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2F04E" w14:textId="77777777" w:rsidR="000C2DE6" w:rsidRDefault="000C2DE6" w:rsidP="00EB4828">
      <w:pPr>
        <w:pStyle w:val="Heading1"/>
        <w:rPr>
          <w:sz w:val="20"/>
          <w:szCs w:val="20"/>
        </w:rPr>
      </w:pPr>
    </w:p>
    <w:p w14:paraId="71999B74" w14:textId="77777777" w:rsidR="000C2DE6" w:rsidRDefault="000C2DE6" w:rsidP="00EB4828">
      <w:pPr>
        <w:pStyle w:val="Heading1"/>
        <w:rPr>
          <w:sz w:val="20"/>
          <w:szCs w:val="20"/>
        </w:rPr>
      </w:pPr>
    </w:p>
    <w:p w14:paraId="2CED970C" w14:textId="77777777" w:rsidR="000C2DE6" w:rsidRDefault="000C2DE6" w:rsidP="00EB4828">
      <w:pPr>
        <w:pStyle w:val="Heading1"/>
        <w:rPr>
          <w:sz w:val="20"/>
          <w:szCs w:val="20"/>
        </w:rPr>
      </w:pPr>
    </w:p>
    <w:p w14:paraId="31C869AC" w14:textId="77777777" w:rsidR="000C2DE6" w:rsidRDefault="000C2DE6" w:rsidP="00EB4828">
      <w:pPr>
        <w:pStyle w:val="Heading1"/>
        <w:rPr>
          <w:sz w:val="20"/>
          <w:szCs w:val="20"/>
        </w:rPr>
      </w:pPr>
    </w:p>
    <w:p w14:paraId="708ABBCE" w14:textId="77777777" w:rsidR="000C2DE6" w:rsidRDefault="000C2DE6" w:rsidP="00EB4828">
      <w:pPr>
        <w:pStyle w:val="Heading1"/>
        <w:rPr>
          <w:sz w:val="20"/>
          <w:szCs w:val="20"/>
        </w:rPr>
      </w:pPr>
    </w:p>
    <w:p w14:paraId="5677E114" w14:textId="77777777" w:rsidR="00EB4828" w:rsidRPr="00606305" w:rsidRDefault="00EB4828" w:rsidP="00EB4828">
      <w:pPr>
        <w:pStyle w:val="Heading1"/>
        <w:rPr>
          <w:sz w:val="20"/>
          <w:szCs w:val="20"/>
        </w:rPr>
      </w:pPr>
      <w:r w:rsidRPr="00606305">
        <w:rPr>
          <w:sz w:val="20"/>
          <w:szCs w:val="20"/>
        </w:rPr>
        <w:t>Resolución de la</w:t>
      </w:r>
    </w:p>
    <w:p w14:paraId="5677E115" w14:textId="77777777" w:rsidR="00EB4828" w:rsidRPr="00606305" w:rsidRDefault="00EB4828" w:rsidP="00EB4828">
      <w:pPr>
        <w:jc w:val="center"/>
        <w:rPr>
          <w:rFonts w:ascii="Verdana" w:hAnsi="Verdana"/>
          <w:b/>
          <w:caps/>
          <w:sz w:val="20"/>
          <w:szCs w:val="20"/>
        </w:rPr>
      </w:pPr>
      <w:r w:rsidRPr="00606305">
        <w:rPr>
          <w:rFonts w:ascii="Verdana" w:hAnsi="Verdana"/>
          <w:b/>
          <w:caps/>
          <w:sz w:val="20"/>
          <w:szCs w:val="20"/>
        </w:rPr>
        <w:t>Corte Interamericana de Derechos Humanos</w:t>
      </w:r>
      <w:r w:rsidR="007C485C" w:rsidRPr="000C3C07">
        <w:rPr>
          <w:rStyle w:val="FootnoteReference"/>
          <w:b/>
          <w:bCs/>
          <w:caps/>
        </w:rPr>
        <w:footnoteReference w:id="1"/>
      </w:r>
    </w:p>
    <w:p w14:paraId="5677E116" w14:textId="5A6B61A8" w:rsidR="00EB4828" w:rsidRPr="00606305" w:rsidRDefault="00EB4828" w:rsidP="00EB4828">
      <w:pPr>
        <w:jc w:val="center"/>
        <w:rPr>
          <w:rFonts w:ascii="Verdana" w:hAnsi="Verdana"/>
          <w:b/>
          <w:caps/>
          <w:sz w:val="20"/>
          <w:szCs w:val="20"/>
        </w:rPr>
      </w:pPr>
      <w:r w:rsidRPr="00606305">
        <w:rPr>
          <w:rFonts w:ascii="Verdana" w:hAnsi="Verdana"/>
          <w:b/>
          <w:caps/>
          <w:sz w:val="20"/>
          <w:szCs w:val="20"/>
        </w:rPr>
        <w:t xml:space="preserve">DE </w:t>
      </w:r>
      <w:r w:rsidR="008823CB">
        <w:rPr>
          <w:rFonts w:ascii="Verdana" w:hAnsi="Verdana"/>
          <w:b/>
          <w:caps/>
          <w:sz w:val="20"/>
          <w:szCs w:val="20"/>
        </w:rPr>
        <w:t>14</w:t>
      </w:r>
      <w:r w:rsidR="0098770F">
        <w:rPr>
          <w:rFonts w:ascii="Verdana" w:hAnsi="Verdana"/>
          <w:b/>
          <w:caps/>
          <w:sz w:val="20"/>
          <w:szCs w:val="20"/>
        </w:rPr>
        <w:t xml:space="preserve"> </w:t>
      </w:r>
      <w:r w:rsidR="000F6DA1" w:rsidRPr="00606305">
        <w:rPr>
          <w:rFonts w:ascii="Verdana" w:hAnsi="Verdana"/>
          <w:b/>
          <w:caps/>
          <w:sz w:val="20"/>
          <w:szCs w:val="20"/>
        </w:rPr>
        <w:t>DE</w:t>
      </w:r>
      <w:r w:rsidRPr="00606305">
        <w:rPr>
          <w:rFonts w:ascii="Verdana" w:hAnsi="Verdana"/>
          <w:b/>
          <w:caps/>
          <w:sz w:val="20"/>
          <w:szCs w:val="20"/>
        </w:rPr>
        <w:t xml:space="preserve"> </w:t>
      </w:r>
      <w:r w:rsidR="00A2366A">
        <w:rPr>
          <w:rFonts w:ascii="Verdana" w:hAnsi="Verdana"/>
          <w:b/>
          <w:caps/>
          <w:sz w:val="20"/>
          <w:szCs w:val="20"/>
        </w:rPr>
        <w:t>Noviembre</w:t>
      </w:r>
      <w:r w:rsidR="0035239E" w:rsidRPr="00606305">
        <w:rPr>
          <w:rFonts w:ascii="Verdana" w:hAnsi="Verdana"/>
          <w:b/>
          <w:caps/>
          <w:sz w:val="20"/>
          <w:szCs w:val="20"/>
        </w:rPr>
        <w:t xml:space="preserve"> </w:t>
      </w:r>
      <w:r w:rsidRPr="00606305">
        <w:rPr>
          <w:rFonts w:ascii="Verdana" w:hAnsi="Verdana"/>
          <w:b/>
          <w:caps/>
          <w:sz w:val="20"/>
          <w:szCs w:val="20"/>
        </w:rPr>
        <w:t>DE 201</w:t>
      </w:r>
      <w:r w:rsidR="00A2366A">
        <w:rPr>
          <w:rFonts w:ascii="Verdana" w:hAnsi="Verdana"/>
          <w:b/>
          <w:caps/>
          <w:sz w:val="20"/>
          <w:szCs w:val="20"/>
        </w:rPr>
        <w:t>7</w:t>
      </w:r>
    </w:p>
    <w:p w14:paraId="5677E117" w14:textId="77777777" w:rsidR="003F7B4B" w:rsidRDefault="003F7B4B" w:rsidP="00C30B6A">
      <w:pPr>
        <w:rPr>
          <w:rFonts w:ascii="Verdana" w:hAnsi="Verdana"/>
          <w:b/>
          <w:caps/>
          <w:sz w:val="20"/>
          <w:szCs w:val="20"/>
        </w:rPr>
      </w:pPr>
    </w:p>
    <w:p w14:paraId="5677E118" w14:textId="77777777" w:rsidR="00EB4828" w:rsidRPr="00606305" w:rsidRDefault="00EB4828" w:rsidP="00EB4828">
      <w:pPr>
        <w:jc w:val="center"/>
        <w:rPr>
          <w:rFonts w:ascii="Verdana" w:hAnsi="Verdana"/>
          <w:b/>
          <w:caps/>
          <w:sz w:val="20"/>
          <w:szCs w:val="20"/>
        </w:rPr>
      </w:pPr>
      <w:r w:rsidRPr="00606305">
        <w:rPr>
          <w:rFonts w:ascii="Verdana" w:hAnsi="Verdana" w:cs="Verdana Bold"/>
          <w:b/>
          <w:bCs/>
          <w:caps/>
          <w:sz w:val="20"/>
          <w:szCs w:val="20"/>
        </w:rPr>
        <w:t>Medidas Provisionales</w:t>
      </w:r>
    </w:p>
    <w:p w14:paraId="5677E119" w14:textId="77777777" w:rsidR="00EB4828" w:rsidRPr="00606305" w:rsidRDefault="00EB4828" w:rsidP="0083451F">
      <w:pPr>
        <w:jc w:val="center"/>
        <w:rPr>
          <w:rFonts w:ascii="Verdana" w:hAnsi="Verdana"/>
          <w:b/>
          <w:caps/>
          <w:sz w:val="20"/>
          <w:szCs w:val="20"/>
        </w:rPr>
      </w:pPr>
      <w:r w:rsidRPr="00606305">
        <w:rPr>
          <w:rFonts w:ascii="Verdana" w:hAnsi="Verdana" w:cs="Verdana Bold"/>
          <w:b/>
          <w:bCs/>
          <w:caps/>
          <w:sz w:val="20"/>
          <w:szCs w:val="20"/>
        </w:rPr>
        <w:t xml:space="preserve">respecto de </w:t>
      </w:r>
      <w:r w:rsidR="00AB0B37" w:rsidRPr="00606305">
        <w:rPr>
          <w:rFonts w:ascii="Verdana" w:hAnsi="Verdana" w:cs="Verdana Bold"/>
          <w:b/>
          <w:bCs/>
          <w:caps/>
          <w:sz w:val="20"/>
          <w:szCs w:val="20"/>
        </w:rPr>
        <w:t>MÉXICO</w:t>
      </w:r>
    </w:p>
    <w:p w14:paraId="5677E11A" w14:textId="77777777" w:rsidR="00EB4828" w:rsidRPr="00606305" w:rsidRDefault="00EB4828" w:rsidP="00EB4828">
      <w:pPr>
        <w:jc w:val="center"/>
        <w:rPr>
          <w:rFonts w:ascii="Verdana" w:hAnsi="Verdana"/>
          <w:b/>
          <w:caps/>
          <w:sz w:val="20"/>
          <w:szCs w:val="20"/>
        </w:rPr>
      </w:pPr>
    </w:p>
    <w:p w14:paraId="5677E11B" w14:textId="77777777" w:rsidR="00EB4828" w:rsidRPr="00606305" w:rsidRDefault="00EB4828" w:rsidP="00EB4828">
      <w:pPr>
        <w:jc w:val="center"/>
        <w:rPr>
          <w:rFonts w:ascii="Verdana" w:hAnsi="Verdana"/>
          <w:b/>
          <w:caps/>
          <w:sz w:val="20"/>
          <w:szCs w:val="20"/>
        </w:rPr>
      </w:pPr>
      <w:r w:rsidRPr="00606305">
        <w:rPr>
          <w:rFonts w:ascii="Verdana" w:hAnsi="Verdana" w:cs="Verdana Bold"/>
          <w:b/>
          <w:bCs/>
          <w:caps/>
          <w:sz w:val="20"/>
          <w:szCs w:val="20"/>
        </w:rPr>
        <w:t>Asunto ALVARADO REYES</w:t>
      </w:r>
      <w:r w:rsidR="00D503E3">
        <w:rPr>
          <w:rFonts w:ascii="Verdana" w:hAnsi="Verdana" w:cs="Verdana Bold"/>
          <w:b/>
          <w:bCs/>
          <w:caps/>
          <w:sz w:val="20"/>
          <w:szCs w:val="20"/>
        </w:rPr>
        <w:t xml:space="preserve"> Y OTROS</w:t>
      </w:r>
    </w:p>
    <w:p w14:paraId="5677E11C" w14:textId="77777777" w:rsidR="00EB4828" w:rsidRPr="00606305" w:rsidRDefault="00EB4828" w:rsidP="00EB4828">
      <w:pPr>
        <w:jc w:val="center"/>
        <w:rPr>
          <w:rFonts w:ascii="Verdana" w:hAnsi="Verdana" w:cs="Verdana"/>
          <w:b/>
          <w:bCs/>
          <w:caps/>
          <w:sz w:val="20"/>
          <w:szCs w:val="20"/>
        </w:rPr>
      </w:pPr>
    </w:p>
    <w:p w14:paraId="5677E11D" w14:textId="77777777" w:rsidR="00EB4828" w:rsidRPr="00606305" w:rsidRDefault="00EB4828" w:rsidP="00EB4828">
      <w:pPr>
        <w:jc w:val="center"/>
        <w:rPr>
          <w:rFonts w:ascii="Verdana" w:hAnsi="Verdana" w:cs="Verdana"/>
          <w:b/>
          <w:bCs/>
          <w:caps/>
          <w:sz w:val="20"/>
          <w:szCs w:val="20"/>
        </w:rPr>
      </w:pPr>
    </w:p>
    <w:p w14:paraId="5677E11E" w14:textId="77777777" w:rsidR="003C3DAD" w:rsidRPr="00606305" w:rsidRDefault="003C3DAD" w:rsidP="003C3DAD">
      <w:pPr>
        <w:rPr>
          <w:rFonts w:ascii="Verdana" w:hAnsi="Verdana" w:cs="Verdana"/>
          <w:b/>
          <w:bCs/>
          <w:caps/>
          <w:sz w:val="20"/>
          <w:szCs w:val="20"/>
        </w:rPr>
      </w:pPr>
      <w:r w:rsidRPr="00606305">
        <w:rPr>
          <w:rFonts w:ascii="Verdana" w:hAnsi="Verdana" w:cs="Verdana"/>
          <w:b/>
          <w:bCs/>
          <w:caps/>
          <w:sz w:val="20"/>
          <w:szCs w:val="20"/>
        </w:rPr>
        <w:t>Visto:</w:t>
      </w:r>
    </w:p>
    <w:p w14:paraId="5677E11F" w14:textId="77777777" w:rsidR="003C3DAD" w:rsidRPr="00606305" w:rsidRDefault="003C3DAD" w:rsidP="003C3DAD">
      <w:pPr>
        <w:rPr>
          <w:rFonts w:ascii="Verdana" w:hAnsi="Verdana" w:cs="Verdana"/>
          <w:b/>
          <w:bCs/>
          <w:caps/>
          <w:sz w:val="20"/>
          <w:szCs w:val="20"/>
        </w:rPr>
      </w:pPr>
    </w:p>
    <w:p w14:paraId="5677E120" w14:textId="48B38962" w:rsidR="003C3DAD" w:rsidRPr="00606305" w:rsidRDefault="003C3DAD" w:rsidP="003C3DAD">
      <w:pPr>
        <w:numPr>
          <w:ilvl w:val="0"/>
          <w:numId w:val="1"/>
        </w:numPr>
        <w:ind w:left="0" w:firstLine="0"/>
        <w:jc w:val="both"/>
        <w:rPr>
          <w:rFonts w:ascii="Verdana" w:hAnsi="Verdana" w:cs="Verdana"/>
          <w:sz w:val="20"/>
          <w:szCs w:val="20"/>
          <w:lang w:val="es-ES"/>
        </w:rPr>
      </w:pPr>
      <w:r w:rsidRPr="00606305">
        <w:rPr>
          <w:rFonts w:ascii="Verdana" w:hAnsi="Verdana" w:cs="Verdana"/>
          <w:sz w:val="20"/>
          <w:szCs w:val="20"/>
        </w:rPr>
        <w:t>Las Resoluciones dictadas por la Corte Interamericana de Derechos Humanos (en adelante “la Corte Interamericana”, “la Corte” o “el Tribunal”) el 26 de mayo y 26 de noviembre de 2010, 15 de mayo de 2011,</w:t>
      </w:r>
      <w:r>
        <w:rPr>
          <w:rFonts w:ascii="Verdana" w:hAnsi="Verdana" w:cs="Verdana"/>
          <w:sz w:val="20"/>
          <w:szCs w:val="20"/>
        </w:rPr>
        <w:t xml:space="preserve"> 23 de noviembre de 2012,</w:t>
      </w:r>
      <w:r w:rsidR="00A2366A">
        <w:rPr>
          <w:rFonts w:ascii="Verdana" w:hAnsi="Verdana" w:cs="Verdana"/>
          <w:sz w:val="20"/>
          <w:szCs w:val="20"/>
        </w:rPr>
        <w:t xml:space="preserve"> y el 23 de junio de 2015,</w:t>
      </w:r>
      <w:r w:rsidRPr="00606305">
        <w:rPr>
          <w:rFonts w:ascii="Verdana" w:hAnsi="Verdana" w:cs="Verdana"/>
          <w:sz w:val="20"/>
          <w:szCs w:val="20"/>
        </w:rPr>
        <w:t xml:space="preserve"> </w:t>
      </w:r>
      <w:r w:rsidR="002A776A">
        <w:rPr>
          <w:rFonts w:ascii="Verdana" w:hAnsi="Verdana" w:cs="Verdana"/>
          <w:sz w:val="20"/>
          <w:szCs w:val="20"/>
        </w:rPr>
        <w:t>mediante las cuales, a solicitud</w:t>
      </w:r>
      <w:bookmarkStart w:id="0" w:name="_GoBack"/>
      <w:bookmarkEnd w:id="0"/>
      <w:r w:rsidRPr="00606305">
        <w:rPr>
          <w:rFonts w:ascii="Verdana" w:hAnsi="Verdana" w:cs="Verdana"/>
          <w:sz w:val="20"/>
          <w:szCs w:val="20"/>
        </w:rPr>
        <w:t xml:space="preserve"> de la Comisión, el Tribu</w:t>
      </w:r>
      <w:r w:rsidR="00A2366A">
        <w:rPr>
          <w:rFonts w:ascii="Verdana" w:hAnsi="Verdana" w:cs="Verdana"/>
          <w:sz w:val="20"/>
          <w:szCs w:val="20"/>
        </w:rPr>
        <w:t>n</w:t>
      </w:r>
      <w:r w:rsidRPr="00606305">
        <w:rPr>
          <w:rFonts w:ascii="Verdana" w:hAnsi="Verdana" w:cs="Verdana"/>
          <w:sz w:val="20"/>
          <w:szCs w:val="20"/>
        </w:rPr>
        <w:t>al ordenó medidas provisionales y supervisó su ejecución en el presente asunto. En su última Resolución la Corte resolvió</w:t>
      </w:r>
      <w:r w:rsidRPr="00606305">
        <w:rPr>
          <w:rFonts w:ascii="Verdana" w:hAnsi="Verdana" w:cs="Verdana"/>
          <w:i/>
          <w:sz w:val="20"/>
          <w:szCs w:val="20"/>
        </w:rPr>
        <w:t xml:space="preserve">, inter </w:t>
      </w:r>
      <w:proofErr w:type="spellStart"/>
      <w:r w:rsidRPr="00606305">
        <w:rPr>
          <w:rFonts w:ascii="Verdana" w:hAnsi="Verdana" w:cs="Verdana"/>
          <w:i/>
          <w:sz w:val="20"/>
          <w:szCs w:val="20"/>
        </w:rPr>
        <w:t>alia</w:t>
      </w:r>
      <w:proofErr w:type="spellEnd"/>
      <w:r w:rsidRPr="00606305">
        <w:rPr>
          <w:rFonts w:ascii="Verdana" w:hAnsi="Verdana" w:cs="Verdana"/>
          <w:sz w:val="20"/>
          <w:szCs w:val="20"/>
        </w:rPr>
        <w:t>:</w:t>
      </w:r>
    </w:p>
    <w:p w14:paraId="5677E123" w14:textId="77777777" w:rsidR="003C3DAD" w:rsidRPr="00A44D6B" w:rsidRDefault="003C3DAD" w:rsidP="006C1B77">
      <w:pPr>
        <w:ind w:right="540"/>
        <w:jc w:val="both"/>
        <w:rPr>
          <w:rFonts w:ascii="Verdana" w:hAnsi="Verdana"/>
          <w:sz w:val="16"/>
          <w:szCs w:val="16"/>
        </w:rPr>
      </w:pPr>
    </w:p>
    <w:p w14:paraId="16037F41" w14:textId="235C86A3" w:rsidR="006C1B77" w:rsidRDefault="006C1B77" w:rsidP="006C1B77">
      <w:pPr>
        <w:numPr>
          <w:ilvl w:val="0"/>
          <w:numId w:val="3"/>
        </w:numPr>
        <w:ind w:left="900" w:right="540" w:firstLine="0"/>
        <w:jc w:val="both"/>
        <w:rPr>
          <w:rFonts w:ascii="Verdana" w:hAnsi="Verdana"/>
          <w:sz w:val="16"/>
          <w:szCs w:val="16"/>
        </w:rPr>
      </w:pPr>
      <w:r w:rsidRPr="006C1B77">
        <w:rPr>
          <w:rFonts w:ascii="Verdana" w:hAnsi="Verdana"/>
          <w:sz w:val="16"/>
          <w:szCs w:val="16"/>
        </w:rPr>
        <w:t xml:space="preserve">Que el Estado mantenga las medidas implementadas y adopte de forma inmediata las medidas que sean necesarias para determinar lo antes posible el paradero de Rocío Irene Alvarado Reyes, </w:t>
      </w:r>
      <w:proofErr w:type="spellStart"/>
      <w:r w:rsidRPr="006C1B77">
        <w:rPr>
          <w:rFonts w:ascii="Verdana" w:hAnsi="Verdana"/>
          <w:sz w:val="16"/>
          <w:szCs w:val="16"/>
        </w:rPr>
        <w:t>Nitza</w:t>
      </w:r>
      <w:proofErr w:type="spellEnd"/>
      <w:r w:rsidRPr="006C1B77">
        <w:rPr>
          <w:rFonts w:ascii="Verdana" w:hAnsi="Verdana"/>
          <w:sz w:val="16"/>
          <w:szCs w:val="16"/>
        </w:rPr>
        <w:t xml:space="preserve"> Paola Alvarado Espinoza y José Ángel Alvarado Herrera, así como para proteger su vida, integridad y libertad personal</w:t>
      </w:r>
      <w:r w:rsidR="00800D98">
        <w:rPr>
          <w:rFonts w:ascii="Verdana" w:hAnsi="Verdana"/>
          <w:sz w:val="16"/>
          <w:szCs w:val="16"/>
        </w:rPr>
        <w:t xml:space="preserve"> […]</w:t>
      </w:r>
      <w:r w:rsidR="00E9246A">
        <w:rPr>
          <w:rFonts w:ascii="Verdana" w:hAnsi="Verdana"/>
          <w:sz w:val="16"/>
          <w:szCs w:val="16"/>
        </w:rPr>
        <w:t>.</w:t>
      </w:r>
    </w:p>
    <w:p w14:paraId="6805CAED" w14:textId="77777777" w:rsidR="006C1B77" w:rsidRDefault="006C1B77" w:rsidP="006C1B77">
      <w:pPr>
        <w:ind w:left="900" w:right="540"/>
        <w:jc w:val="both"/>
        <w:rPr>
          <w:rFonts w:ascii="Verdana" w:hAnsi="Verdana"/>
          <w:sz w:val="16"/>
          <w:szCs w:val="16"/>
        </w:rPr>
      </w:pPr>
    </w:p>
    <w:p w14:paraId="190BE29E" w14:textId="449BD372" w:rsidR="006C1B77" w:rsidRDefault="006C1B77" w:rsidP="006C1B77">
      <w:pPr>
        <w:numPr>
          <w:ilvl w:val="0"/>
          <w:numId w:val="3"/>
        </w:numPr>
        <w:ind w:left="900" w:right="540" w:firstLine="0"/>
        <w:jc w:val="both"/>
        <w:rPr>
          <w:rFonts w:ascii="Verdana" w:hAnsi="Verdana"/>
          <w:sz w:val="16"/>
          <w:szCs w:val="16"/>
        </w:rPr>
      </w:pPr>
      <w:r w:rsidRPr="006C1B77">
        <w:rPr>
          <w:rFonts w:ascii="Verdana" w:hAnsi="Verdana"/>
          <w:sz w:val="16"/>
          <w:szCs w:val="16"/>
        </w:rPr>
        <w:t>Que se levante la medida provisional ordenada a favor de Manuel Reyes Lira</w:t>
      </w:r>
      <w:r w:rsidR="00E9246A">
        <w:rPr>
          <w:rFonts w:ascii="Verdana" w:hAnsi="Verdana"/>
          <w:sz w:val="16"/>
          <w:szCs w:val="16"/>
        </w:rPr>
        <w:t xml:space="preserve"> </w:t>
      </w:r>
      <w:r w:rsidR="00800D98">
        <w:rPr>
          <w:rFonts w:ascii="Verdana" w:hAnsi="Verdana"/>
          <w:sz w:val="16"/>
          <w:szCs w:val="16"/>
        </w:rPr>
        <w:t xml:space="preserve"> […]</w:t>
      </w:r>
      <w:r w:rsidR="00E9246A">
        <w:rPr>
          <w:rFonts w:ascii="Verdana" w:hAnsi="Verdana"/>
          <w:sz w:val="16"/>
          <w:szCs w:val="16"/>
        </w:rPr>
        <w:t>.</w:t>
      </w:r>
    </w:p>
    <w:p w14:paraId="6F182F69" w14:textId="77777777" w:rsidR="006C1B77" w:rsidRDefault="006C1B77" w:rsidP="006C1B77">
      <w:pPr>
        <w:ind w:left="900" w:right="540"/>
        <w:jc w:val="both"/>
        <w:rPr>
          <w:rFonts w:ascii="Verdana" w:hAnsi="Verdana"/>
          <w:sz w:val="16"/>
          <w:szCs w:val="16"/>
        </w:rPr>
      </w:pPr>
    </w:p>
    <w:p w14:paraId="03B67FAE" w14:textId="77777777" w:rsidR="006C1B77" w:rsidRDefault="006C1B77" w:rsidP="006C1B77">
      <w:pPr>
        <w:numPr>
          <w:ilvl w:val="0"/>
          <w:numId w:val="3"/>
        </w:numPr>
        <w:ind w:left="900" w:right="540" w:firstLine="0"/>
        <w:jc w:val="both"/>
        <w:rPr>
          <w:rFonts w:ascii="Verdana" w:hAnsi="Verdana"/>
          <w:sz w:val="16"/>
          <w:szCs w:val="16"/>
        </w:rPr>
      </w:pPr>
      <w:r w:rsidRPr="006C1B77">
        <w:rPr>
          <w:rFonts w:ascii="Verdana" w:hAnsi="Verdana"/>
          <w:sz w:val="16"/>
          <w:szCs w:val="16"/>
        </w:rPr>
        <w:t xml:space="preserve">Que el Estado mantenga las medidas que estuviere implementando, así como también, que adopte, de forma inmediata y definitiva, las medidas complementarias que sean necesarias y efectivas para proteger los derechos a la vida y a la integridad personal de las siguientes personas: 1) J.O.A.R., 2) R.G.A.R., 3) S.A.R. y 4) J.E.A.R. (hijos de Jaime Alvarado Herrera); 5) Sandra Luz Rueda Quezada (esposa de Jaime Alvarado); 6) D.J.A y 7) J.A. (hijas de Manuel Melquiades Alvarado Herrera); 8) Mayra Daniela </w:t>
      </w:r>
      <w:proofErr w:type="spellStart"/>
      <w:r w:rsidRPr="006C1B77">
        <w:rPr>
          <w:rFonts w:ascii="Verdana" w:hAnsi="Verdana"/>
          <w:sz w:val="16"/>
          <w:szCs w:val="16"/>
        </w:rPr>
        <w:t>Salais</w:t>
      </w:r>
      <w:proofErr w:type="spellEnd"/>
      <w:r w:rsidRPr="006C1B77">
        <w:rPr>
          <w:rFonts w:ascii="Verdana" w:hAnsi="Verdana"/>
          <w:sz w:val="16"/>
          <w:szCs w:val="16"/>
        </w:rPr>
        <w:t xml:space="preserve"> Rodríguez (esposa de Manuel Melquiades Alvarado). Asimismo, de 9) Patricia Reyes Rueda y sus dos hijas: 10) A.A.R. y 11) A.A.R.; 12) M.U.A. (hija de Rocío Irene Alvarado Reyes); 13) Obdulia Espinoza Beltrán; 14) J.A.E., 15) J.A.A.E. y 16) A.A.E. (hijos de Jose Ángel Alvarado Herrera y Obdulia Espinoza Beltrán); 17) José Ángel Alvarado Favela; 18) Concepción Herrera Hernández; 19) Jaime Alvarado Herrera; 20) Manuel Melquiades Alvarado Herrera; 21) Rosa Olivia Alvarado Herrera y sus hijos: 22) K.P.A.A., 23) F.A.H. y 24) J.G.A.; 25) Félix García, y 26) Emilia González Tercero.</w:t>
      </w:r>
    </w:p>
    <w:p w14:paraId="205D5A3C" w14:textId="77777777" w:rsidR="006C1B77" w:rsidRDefault="006C1B77" w:rsidP="006C1B77">
      <w:pPr>
        <w:ind w:left="900" w:right="540"/>
        <w:jc w:val="both"/>
        <w:rPr>
          <w:rFonts w:ascii="Verdana" w:hAnsi="Verdana"/>
          <w:sz w:val="16"/>
          <w:szCs w:val="16"/>
        </w:rPr>
      </w:pPr>
    </w:p>
    <w:p w14:paraId="3226F89D" w14:textId="77777777" w:rsidR="00936BC6" w:rsidRDefault="006C1B77" w:rsidP="00936BC6">
      <w:pPr>
        <w:numPr>
          <w:ilvl w:val="0"/>
          <w:numId w:val="3"/>
        </w:numPr>
        <w:ind w:left="900" w:right="540" w:firstLine="0"/>
        <w:jc w:val="both"/>
        <w:rPr>
          <w:rFonts w:ascii="Verdana" w:hAnsi="Verdana"/>
          <w:sz w:val="16"/>
          <w:szCs w:val="16"/>
        </w:rPr>
      </w:pPr>
      <w:r w:rsidRPr="006C1B77">
        <w:rPr>
          <w:rFonts w:ascii="Verdana" w:hAnsi="Verdana"/>
          <w:sz w:val="16"/>
          <w:szCs w:val="16"/>
        </w:rPr>
        <w:t xml:space="preserve">Que el Estado mantenga las medidas del párrafo anterior sobre los siete beneficiarios que se encuentran fuera del territorio: 1) Ascensión Alvarado Favela y 2) María de Jesús Espinoza Peinado (padre y madre de </w:t>
      </w:r>
      <w:proofErr w:type="spellStart"/>
      <w:r w:rsidRPr="006C1B77">
        <w:rPr>
          <w:rFonts w:ascii="Verdana" w:hAnsi="Verdana"/>
          <w:sz w:val="16"/>
          <w:szCs w:val="16"/>
        </w:rPr>
        <w:t>Nitza</w:t>
      </w:r>
      <w:proofErr w:type="spellEnd"/>
      <w:r w:rsidRPr="006C1B77">
        <w:rPr>
          <w:rFonts w:ascii="Verdana" w:hAnsi="Verdana"/>
          <w:sz w:val="16"/>
          <w:szCs w:val="16"/>
        </w:rPr>
        <w:t xml:space="preserve"> Alvarado); 3) María de Jesús Alvarado Reyes (hermana de </w:t>
      </w:r>
      <w:proofErr w:type="spellStart"/>
      <w:r w:rsidRPr="006C1B77">
        <w:rPr>
          <w:rFonts w:ascii="Verdana" w:hAnsi="Verdana"/>
          <w:sz w:val="16"/>
          <w:szCs w:val="16"/>
        </w:rPr>
        <w:t>Nitza</w:t>
      </w:r>
      <w:proofErr w:type="spellEnd"/>
      <w:r w:rsidRPr="006C1B77">
        <w:rPr>
          <w:rFonts w:ascii="Verdana" w:hAnsi="Verdana"/>
          <w:sz w:val="16"/>
          <w:szCs w:val="16"/>
        </w:rPr>
        <w:t xml:space="preserve"> Alvarado); 4) Rigoberto Ambriz </w:t>
      </w:r>
      <w:proofErr w:type="spellStart"/>
      <w:r w:rsidRPr="006C1B77">
        <w:rPr>
          <w:rFonts w:ascii="Verdana" w:hAnsi="Verdana"/>
          <w:sz w:val="16"/>
          <w:szCs w:val="16"/>
        </w:rPr>
        <w:t>Marrufo</w:t>
      </w:r>
      <w:proofErr w:type="spellEnd"/>
      <w:r w:rsidRPr="006C1B77">
        <w:rPr>
          <w:rFonts w:ascii="Verdana" w:hAnsi="Verdana"/>
          <w:sz w:val="16"/>
          <w:szCs w:val="16"/>
        </w:rPr>
        <w:t xml:space="preserve"> (esposo de </w:t>
      </w:r>
      <w:proofErr w:type="spellStart"/>
      <w:r w:rsidRPr="006C1B77">
        <w:rPr>
          <w:rFonts w:ascii="Verdana" w:hAnsi="Verdana"/>
          <w:sz w:val="16"/>
          <w:szCs w:val="16"/>
        </w:rPr>
        <w:t>Nitza</w:t>
      </w:r>
      <w:proofErr w:type="spellEnd"/>
      <w:r w:rsidRPr="006C1B77">
        <w:rPr>
          <w:rFonts w:ascii="Verdana" w:hAnsi="Verdana"/>
          <w:sz w:val="16"/>
          <w:szCs w:val="16"/>
        </w:rPr>
        <w:t xml:space="preserve"> Alvarado); 5) M.P.A.E., 6) N.C.A.E. y 7) D.A.E. (hijas de </w:t>
      </w:r>
      <w:proofErr w:type="spellStart"/>
      <w:r w:rsidRPr="006C1B77">
        <w:rPr>
          <w:rFonts w:ascii="Verdana" w:hAnsi="Verdana"/>
          <w:sz w:val="16"/>
          <w:szCs w:val="16"/>
        </w:rPr>
        <w:t>Nitza</w:t>
      </w:r>
      <w:proofErr w:type="spellEnd"/>
      <w:r w:rsidRPr="006C1B77">
        <w:rPr>
          <w:rFonts w:ascii="Verdana" w:hAnsi="Verdana"/>
          <w:sz w:val="16"/>
          <w:szCs w:val="16"/>
        </w:rPr>
        <w:t xml:space="preserve"> Alvarado), cuya aplicación deberá ser efectiva con efecto inmediato tan pronto se encuentre en territorio mexicano. </w:t>
      </w:r>
    </w:p>
    <w:p w14:paraId="0A05AA2E" w14:textId="77777777" w:rsidR="00936BC6" w:rsidRDefault="00936BC6" w:rsidP="00936BC6">
      <w:pPr>
        <w:ind w:left="900" w:right="540"/>
        <w:jc w:val="both"/>
        <w:rPr>
          <w:rFonts w:ascii="Verdana" w:hAnsi="Verdana"/>
          <w:sz w:val="16"/>
          <w:szCs w:val="16"/>
        </w:rPr>
      </w:pPr>
    </w:p>
    <w:p w14:paraId="76C79A71" w14:textId="056E0238" w:rsidR="00936BC6" w:rsidRDefault="006C1B77" w:rsidP="00936BC6">
      <w:pPr>
        <w:numPr>
          <w:ilvl w:val="0"/>
          <w:numId w:val="3"/>
        </w:numPr>
        <w:ind w:left="900" w:right="540" w:firstLine="0"/>
        <w:jc w:val="both"/>
        <w:rPr>
          <w:rFonts w:ascii="Verdana" w:hAnsi="Verdana"/>
          <w:sz w:val="16"/>
          <w:szCs w:val="16"/>
        </w:rPr>
      </w:pPr>
      <w:r w:rsidRPr="00936BC6">
        <w:rPr>
          <w:rFonts w:ascii="Verdana" w:hAnsi="Verdana"/>
          <w:sz w:val="16"/>
          <w:szCs w:val="16"/>
        </w:rPr>
        <w:t>Que el Estado efectúe el traslado de la residencia de los beneficiarios que así lo solicitaron, a la ciudad de Chihuahua, con las mayores garantías y brevedad posible</w:t>
      </w:r>
      <w:r w:rsidR="00800D98">
        <w:rPr>
          <w:rFonts w:ascii="Verdana" w:hAnsi="Verdana"/>
          <w:sz w:val="16"/>
          <w:szCs w:val="16"/>
        </w:rPr>
        <w:t xml:space="preserve"> […]</w:t>
      </w:r>
      <w:r w:rsidR="00E9246A">
        <w:rPr>
          <w:rFonts w:ascii="Verdana" w:hAnsi="Verdana"/>
          <w:sz w:val="16"/>
          <w:szCs w:val="16"/>
        </w:rPr>
        <w:t>.</w:t>
      </w:r>
      <w:r w:rsidRPr="00936BC6">
        <w:rPr>
          <w:rFonts w:ascii="Verdana" w:hAnsi="Verdana"/>
          <w:sz w:val="16"/>
          <w:szCs w:val="16"/>
        </w:rPr>
        <w:t xml:space="preserve"> </w:t>
      </w:r>
    </w:p>
    <w:p w14:paraId="6873EB42" w14:textId="77777777" w:rsidR="00F22AD2" w:rsidRDefault="00F22AD2" w:rsidP="00C8736E">
      <w:pPr>
        <w:ind w:right="540"/>
        <w:jc w:val="both"/>
        <w:rPr>
          <w:rFonts w:ascii="Verdana" w:hAnsi="Verdana"/>
          <w:sz w:val="16"/>
          <w:szCs w:val="16"/>
        </w:rPr>
      </w:pPr>
    </w:p>
    <w:p w14:paraId="65A37A4C" w14:textId="5517AEBF" w:rsidR="00936BC6" w:rsidRDefault="006C1B77" w:rsidP="00936BC6">
      <w:pPr>
        <w:numPr>
          <w:ilvl w:val="0"/>
          <w:numId w:val="3"/>
        </w:numPr>
        <w:ind w:left="900" w:right="540" w:firstLine="0"/>
        <w:jc w:val="both"/>
        <w:rPr>
          <w:rFonts w:ascii="Verdana" w:hAnsi="Verdana"/>
          <w:sz w:val="16"/>
          <w:szCs w:val="16"/>
        </w:rPr>
      </w:pPr>
      <w:r w:rsidRPr="00936BC6">
        <w:rPr>
          <w:rFonts w:ascii="Verdana" w:hAnsi="Verdana"/>
          <w:sz w:val="16"/>
          <w:szCs w:val="16"/>
        </w:rPr>
        <w:t xml:space="preserve">Que el Estado realice con la mayor brevedad posible un análisis sobre la situación de riesgo de las personas beneficiarias y que se informe a las víctimas o sus representantes sobre la </w:t>
      </w:r>
      <w:r w:rsidRPr="00936BC6">
        <w:rPr>
          <w:rFonts w:ascii="Verdana" w:hAnsi="Verdana"/>
          <w:sz w:val="16"/>
          <w:szCs w:val="16"/>
        </w:rPr>
        <w:lastRenderedPageBreak/>
        <w:t>metodología y personal que realizará dicho análisis, el cual deberá hacerse con una perspectiva de género</w:t>
      </w:r>
      <w:r w:rsidR="00800D98">
        <w:rPr>
          <w:rFonts w:ascii="Verdana" w:hAnsi="Verdana"/>
          <w:sz w:val="16"/>
          <w:szCs w:val="16"/>
        </w:rPr>
        <w:t xml:space="preserve"> […]</w:t>
      </w:r>
      <w:r w:rsidR="00E9246A">
        <w:rPr>
          <w:rFonts w:ascii="Verdana" w:hAnsi="Verdana"/>
          <w:sz w:val="16"/>
          <w:szCs w:val="16"/>
        </w:rPr>
        <w:t>.</w:t>
      </w:r>
    </w:p>
    <w:p w14:paraId="6324344B" w14:textId="4B97AB9F" w:rsidR="00936BC6" w:rsidRDefault="006C1B77" w:rsidP="00936BC6">
      <w:pPr>
        <w:ind w:left="900" w:right="540"/>
        <w:jc w:val="both"/>
        <w:rPr>
          <w:rFonts w:ascii="Verdana" w:hAnsi="Verdana"/>
          <w:sz w:val="16"/>
          <w:szCs w:val="16"/>
        </w:rPr>
      </w:pPr>
      <w:r w:rsidRPr="00936BC6">
        <w:rPr>
          <w:rFonts w:ascii="Verdana" w:hAnsi="Verdana"/>
          <w:sz w:val="16"/>
          <w:szCs w:val="16"/>
        </w:rPr>
        <w:t xml:space="preserve"> </w:t>
      </w:r>
    </w:p>
    <w:p w14:paraId="78B8E398" w14:textId="2B3561DB" w:rsidR="00936BC6" w:rsidRDefault="006C1B77" w:rsidP="00936BC6">
      <w:pPr>
        <w:numPr>
          <w:ilvl w:val="0"/>
          <w:numId w:val="3"/>
        </w:numPr>
        <w:ind w:left="900" w:right="540" w:firstLine="0"/>
        <w:jc w:val="both"/>
        <w:rPr>
          <w:rFonts w:ascii="Verdana" w:hAnsi="Verdana"/>
          <w:sz w:val="16"/>
          <w:szCs w:val="16"/>
        </w:rPr>
      </w:pPr>
      <w:r w:rsidRPr="00936BC6">
        <w:rPr>
          <w:rFonts w:ascii="Verdana" w:hAnsi="Verdana"/>
          <w:sz w:val="16"/>
          <w:szCs w:val="16"/>
        </w:rPr>
        <w:t>Que el Estado presente un informe completo y pormenorizado sobre las actuaciones realizadas para dar cumplimiento a las medidas provisionales decretadas</w:t>
      </w:r>
      <w:r w:rsidR="001A5A3C">
        <w:rPr>
          <w:rFonts w:ascii="Verdana" w:hAnsi="Verdana"/>
          <w:sz w:val="16"/>
          <w:szCs w:val="16"/>
        </w:rPr>
        <w:t xml:space="preserve"> […]</w:t>
      </w:r>
      <w:r w:rsidRPr="00936BC6">
        <w:rPr>
          <w:rFonts w:ascii="Verdana" w:hAnsi="Verdana"/>
          <w:sz w:val="16"/>
          <w:szCs w:val="16"/>
        </w:rPr>
        <w:t>.</w:t>
      </w:r>
    </w:p>
    <w:p w14:paraId="193DA62D" w14:textId="77777777" w:rsidR="0021598F" w:rsidRPr="0021598F" w:rsidRDefault="0021598F" w:rsidP="008747D5">
      <w:pPr>
        <w:ind w:right="540"/>
        <w:jc w:val="both"/>
        <w:rPr>
          <w:rFonts w:ascii="Verdana" w:hAnsi="Verdana"/>
          <w:sz w:val="16"/>
          <w:szCs w:val="16"/>
        </w:rPr>
      </w:pPr>
    </w:p>
    <w:p w14:paraId="5677E12F" w14:textId="77777777" w:rsidR="003C3DAD" w:rsidRPr="00A44D6B" w:rsidRDefault="003C3DAD" w:rsidP="0021598F">
      <w:pPr>
        <w:tabs>
          <w:tab w:val="left" w:pos="900"/>
        </w:tabs>
        <w:ind w:left="900" w:right="567" w:hanging="333"/>
        <w:jc w:val="both"/>
        <w:rPr>
          <w:rFonts w:ascii="Verdana" w:hAnsi="Verdana" w:cs="Verdana"/>
          <w:sz w:val="16"/>
          <w:szCs w:val="16"/>
          <w:lang w:val="es-CR"/>
        </w:rPr>
      </w:pPr>
      <w:r w:rsidRPr="00A44D6B">
        <w:rPr>
          <w:rFonts w:ascii="Verdana" w:hAnsi="Verdana" w:cs="Verdana"/>
          <w:sz w:val="16"/>
          <w:szCs w:val="16"/>
          <w:lang w:val="es-CR"/>
        </w:rPr>
        <w:tab/>
        <w:t>[…]</w:t>
      </w:r>
    </w:p>
    <w:p w14:paraId="5677E130" w14:textId="77777777" w:rsidR="003C3DAD" w:rsidRPr="00606305" w:rsidRDefault="003C3DAD" w:rsidP="003C3DAD">
      <w:pPr>
        <w:autoSpaceDE w:val="0"/>
        <w:autoSpaceDN w:val="0"/>
        <w:adjustRightInd w:val="0"/>
        <w:ind w:right="19"/>
        <w:jc w:val="both"/>
        <w:rPr>
          <w:rFonts w:ascii="Verdana" w:hAnsi="Verdana" w:cs="Verdana"/>
          <w:sz w:val="20"/>
          <w:szCs w:val="20"/>
        </w:rPr>
      </w:pPr>
    </w:p>
    <w:p w14:paraId="5677E131" w14:textId="795CAF02" w:rsidR="003C3DAD" w:rsidRPr="00883915" w:rsidRDefault="004633CF" w:rsidP="00883915">
      <w:pPr>
        <w:numPr>
          <w:ilvl w:val="0"/>
          <w:numId w:val="1"/>
        </w:numPr>
        <w:autoSpaceDE w:val="0"/>
        <w:autoSpaceDN w:val="0"/>
        <w:adjustRightInd w:val="0"/>
        <w:ind w:left="0" w:right="19" w:firstLine="0"/>
        <w:jc w:val="both"/>
        <w:rPr>
          <w:rFonts w:ascii="Verdana" w:hAnsi="Verdana" w:cs="Verdana"/>
          <w:sz w:val="20"/>
          <w:szCs w:val="20"/>
        </w:rPr>
      </w:pPr>
      <w:r w:rsidRPr="004D2A29">
        <w:rPr>
          <w:rFonts w:ascii="Verdana" w:hAnsi="Verdana" w:cs="Verdana"/>
          <w:sz w:val="20"/>
          <w:szCs w:val="20"/>
          <w:lang w:val="es-ES"/>
        </w:rPr>
        <w:t>Los escritos de</w:t>
      </w:r>
      <w:r w:rsidR="003C3DAD" w:rsidRPr="004D2A29">
        <w:rPr>
          <w:rFonts w:ascii="Verdana" w:hAnsi="Verdana" w:cs="Verdana"/>
          <w:sz w:val="20"/>
          <w:szCs w:val="20"/>
          <w:lang w:val="es-ES"/>
        </w:rPr>
        <w:t xml:space="preserve"> </w:t>
      </w:r>
      <w:r w:rsidRPr="004D2A29">
        <w:rPr>
          <w:rFonts w:ascii="Verdana" w:hAnsi="Verdana" w:cs="Verdana"/>
          <w:sz w:val="20"/>
          <w:szCs w:val="20"/>
          <w:lang w:val="es-ES"/>
        </w:rPr>
        <w:t>10 de diciembre de 2015</w:t>
      </w:r>
      <w:r w:rsidR="00AE43AE" w:rsidRPr="004D2A29">
        <w:rPr>
          <w:rFonts w:ascii="Verdana" w:hAnsi="Verdana" w:cs="Verdana"/>
          <w:sz w:val="20"/>
          <w:szCs w:val="20"/>
          <w:lang w:val="es-ES"/>
        </w:rPr>
        <w:t>;</w:t>
      </w:r>
      <w:r w:rsidR="003C3DAD" w:rsidRPr="004D2A29">
        <w:rPr>
          <w:rFonts w:ascii="Verdana" w:hAnsi="Verdana" w:cs="Verdana"/>
          <w:sz w:val="20"/>
          <w:szCs w:val="20"/>
          <w:lang w:val="es-ES"/>
        </w:rPr>
        <w:t xml:space="preserve"> </w:t>
      </w:r>
      <w:r w:rsidRPr="004D2A29">
        <w:rPr>
          <w:rFonts w:ascii="Verdana" w:hAnsi="Verdana" w:cs="Verdana"/>
          <w:sz w:val="20"/>
          <w:szCs w:val="20"/>
          <w:lang w:val="es-ES"/>
        </w:rPr>
        <w:t>7 de marzo</w:t>
      </w:r>
      <w:r w:rsidR="003C3DAD" w:rsidRPr="004D2A29">
        <w:rPr>
          <w:rFonts w:ascii="Verdana" w:hAnsi="Verdana" w:cs="Verdana"/>
          <w:sz w:val="20"/>
          <w:szCs w:val="20"/>
          <w:lang w:val="es-ES"/>
        </w:rPr>
        <w:t xml:space="preserve">, </w:t>
      </w:r>
      <w:r w:rsidRPr="004D2A29">
        <w:rPr>
          <w:rFonts w:ascii="Verdana" w:hAnsi="Verdana" w:cs="Verdana"/>
          <w:sz w:val="20"/>
          <w:szCs w:val="20"/>
          <w:lang w:val="es-ES"/>
        </w:rPr>
        <w:t>4</w:t>
      </w:r>
      <w:r w:rsidR="003C3DAD" w:rsidRPr="004D2A29">
        <w:rPr>
          <w:rFonts w:ascii="Verdana" w:hAnsi="Verdana" w:cs="Verdana"/>
          <w:sz w:val="20"/>
          <w:szCs w:val="20"/>
          <w:lang w:val="es-ES"/>
        </w:rPr>
        <w:t xml:space="preserve"> de </w:t>
      </w:r>
      <w:r w:rsidRPr="004D2A29">
        <w:rPr>
          <w:rFonts w:ascii="Verdana" w:hAnsi="Verdana" w:cs="Verdana"/>
          <w:sz w:val="20"/>
          <w:szCs w:val="20"/>
          <w:lang w:val="es-ES"/>
        </w:rPr>
        <w:t>agosto</w:t>
      </w:r>
      <w:r w:rsidR="009818D0">
        <w:rPr>
          <w:rFonts w:ascii="Verdana" w:hAnsi="Verdana" w:cs="Verdana"/>
          <w:sz w:val="20"/>
          <w:szCs w:val="20"/>
          <w:lang w:val="es-ES"/>
        </w:rPr>
        <w:t xml:space="preserve"> </w:t>
      </w:r>
      <w:r w:rsidR="003C3DAD" w:rsidRPr="004D2A29">
        <w:rPr>
          <w:rFonts w:ascii="Verdana" w:hAnsi="Verdana" w:cs="Verdana"/>
          <w:sz w:val="20"/>
          <w:szCs w:val="20"/>
          <w:lang w:val="es-ES"/>
        </w:rPr>
        <w:t xml:space="preserve">y </w:t>
      </w:r>
      <w:r w:rsidRPr="004D2A29">
        <w:rPr>
          <w:rFonts w:ascii="Verdana" w:hAnsi="Verdana" w:cs="Verdana"/>
          <w:sz w:val="20"/>
          <w:szCs w:val="20"/>
          <w:lang w:val="es-ES"/>
        </w:rPr>
        <w:t>15</w:t>
      </w:r>
      <w:r w:rsidR="003C3DAD" w:rsidRPr="004D2A29">
        <w:rPr>
          <w:rFonts w:ascii="Verdana" w:hAnsi="Verdana" w:cs="Verdana"/>
          <w:sz w:val="20"/>
          <w:szCs w:val="20"/>
          <w:lang w:val="es-ES"/>
        </w:rPr>
        <w:t xml:space="preserve"> de </w:t>
      </w:r>
      <w:r w:rsidR="00800D98">
        <w:rPr>
          <w:rFonts w:ascii="Verdana" w:hAnsi="Verdana" w:cs="Verdana"/>
          <w:sz w:val="20"/>
          <w:szCs w:val="20"/>
          <w:lang w:val="es-ES"/>
        </w:rPr>
        <w:t>diciembre</w:t>
      </w:r>
      <w:r w:rsidR="003C3DAD" w:rsidRPr="004D2A29">
        <w:rPr>
          <w:rFonts w:ascii="Verdana" w:hAnsi="Verdana" w:cs="Verdana"/>
          <w:sz w:val="20"/>
          <w:szCs w:val="20"/>
          <w:lang w:val="es-ES"/>
        </w:rPr>
        <w:t xml:space="preserve"> de 201</w:t>
      </w:r>
      <w:r w:rsidRPr="004D2A29">
        <w:rPr>
          <w:rFonts w:ascii="Verdana" w:hAnsi="Verdana" w:cs="Verdana"/>
          <w:sz w:val="20"/>
          <w:szCs w:val="20"/>
          <w:lang w:val="es-ES"/>
        </w:rPr>
        <w:t>6</w:t>
      </w:r>
      <w:r w:rsidRPr="00883915">
        <w:rPr>
          <w:rFonts w:ascii="Verdana" w:hAnsi="Verdana" w:cs="Verdana"/>
          <w:sz w:val="20"/>
          <w:szCs w:val="20"/>
          <w:lang w:val="es-ES"/>
        </w:rPr>
        <w:t>,</w:t>
      </w:r>
      <w:r w:rsidR="003C3DAD" w:rsidRPr="00883915">
        <w:rPr>
          <w:rFonts w:ascii="Verdana" w:hAnsi="Verdana" w:cs="Verdana"/>
          <w:sz w:val="20"/>
          <w:szCs w:val="20"/>
          <w:lang w:val="es-ES"/>
        </w:rPr>
        <w:t xml:space="preserve"> </w:t>
      </w:r>
      <w:r w:rsidR="00AE43AE" w:rsidRPr="00883915">
        <w:rPr>
          <w:rFonts w:ascii="Verdana" w:hAnsi="Verdana" w:cs="Verdana"/>
          <w:sz w:val="20"/>
          <w:szCs w:val="20"/>
          <w:lang w:val="es-ES"/>
        </w:rPr>
        <w:t>así como de</w:t>
      </w:r>
      <w:r w:rsidR="003C3DAD" w:rsidRPr="00883915">
        <w:rPr>
          <w:rFonts w:ascii="Verdana" w:hAnsi="Verdana" w:cs="Verdana"/>
          <w:sz w:val="20"/>
          <w:szCs w:val="20"/>
          <w:lang w:val="es-ES"/>
        </w:rPr>
        <w:t xml:space="preserve"> </w:t>
      </w:r>
      <w:r w:rsidRPr="00883915">
        <w:rPr>
          <w:rFonts w:ascii="Verdana" w:hAnsi="Verdana" w:cs="Verdana"/>
          <w:sz w:val="20"/>
          <w:szCs w:val="20"/>
          <w:lang w:val="es-ES"/>
        </w:rPr>
        <w:t>26</w:t>
      </w:r>
      <w:r w:rsidR="003C3DAD" w:rsidRPr="00883915">
        <w:rPr>
          <w:rFonts w:ascii="Verdana" w:hAnsi="Verdana" w:cs="Verdana"/>
          <w:sz w:val="20"/>
          <w:szCs w:val="20"/>
          <w:lang w:val="es-ES"/>
        </w:rPr>
        <w:t xml:space="preserve"> de </w:t>
      </w:r>
      <w:r w:rsidRPr="00883915">
        <w:rPr>
          <w:rFonts w:ascii="Verdana" w:hAnsi="Verdana" w:cs="Verdana"/>
          <w:sz w:val="20"/>
          <w:szCs w:val="20"/>
          <w:lang w:val="es-ES"/>
        </w:rPr>
        <w:t>julio</w:t>
      </w:r>
      <w:r w:rsidR="003C3DAD" w:rsidRPr="00883915">
        <w:rPr>
          <w:rFonts w:ascii="Verdana" w:hAnsi="Verdana" w:cs="Verdana"/>
          <w:sz w:val="20"/>
          <w:szCs w:val="20"/>
          <w:lang w:val="es-ES"/>
        </w:rPr>
        <w:t xml:space="preserve"> de 201</w:t>
      </w:r>
      <w:r w:rsidRPr="00883915">
        <w:rPr>
          <w:rFonts w:ascii="Verdana" w:hAnsi="Verdana" w:cs="Verdana"/>
          <w:sz w:val="20"/>
          <w:szCs w:val="20"/>
          <w:lang w:val="es-ES"/>
        </w:rPr>
        <w:t>7</w:t>
      </w:r>
      <w:r w:rsidR="001A5A3C">
        <w:rPr>
          <w:rFonts w:ascii="Verdana" w:hAnsi="Verdana" w:cs="Verdana"/>
          <w:sz w:val="20"/>
          <w:szCs w:val="20"/>
          <w:lang w:val="es-ES"/>
        </w:rPr>
        <w:t>,</w:t>
      </w:r>
      <w:r w:rsidR="003C3DAD" w:rsidRPr="00883915">
        <w:rPr>
          <w:rFonts w:ascii="Verdana" w:hAnsi="Verdana" w:cs="Verdana"/>
          <w:sz w:val="20"/>
          <w:szCs w:val="20"/>
          <w:lang w:val="es-ES"/>
        </w:rPr>
        <w:t xml:space="preserve"> </w:t>
      </w:r>
      <w:r w:rsidR="003C3DAD" w:rsidRPr="00883915">
        <w:rPr>
          <w:rFonts w:ascii="Verdana" w:hAnsi="Verdana" w:cs="Verdana"/>
          <w:sz w:val="20"/>
          <w:szCs w:val="20"/>
        </w:rPr>
        <w:t>mediante los cuales el Estado mexicano (en adelante “el Estado” o “México”) presentó informes sobre la implementación de las medidas provisionales.</w:t>
      </w:r>
    </w:p>
    <w:p w14:paraId="5677E132" w14:textId="77777777" w:rsidR="003C3DAD" w:rsidRPr="004D2A29" w:rsidRDefault="003C3DAD" w:rsidP="003C3DAD">
      <w:pPr>
        <w:autoSpaceDE w:val="0"/>
        <w:autoSpaceDN w:val="0"/>
        <w:adjustRightInd w:val="0"/>
        <w:ind w:right="19"/>
        <w:jc w:val="both"/>
        <w:rPr>
          <w:rFonts w:ascii="Verdana" w:hAnsi="Verdana" w:cs="Verdana"/>
          <w:sz w:val="20"/>
          <w:szCs w:val="20"/>
        </w:rPr>
      </w:pPr>
    </w:p>
    <w:p w14:paraId="5677E133" w14:textId="7B3D1853" w:rsidR="003C3DAD" w:rsidRPr="004D2A29" w:rsidRDefault="003C3DAD" w:rsidP="003C3DAD">
      <w:pPr>
        <w:numPr>
          <w:ilvl w:val="0"/>
          <w:numId w:val="1"/>
        </w:numPr>
        <w:autoSpaceDE w:val="0"/>
        <w:autoSpaceDN w:val="0"/>
        <w:adjustRightInd w:val="0"/>
        <w:ind w:left="0" w:right="19" w:firstLine="0"/>
        <w:jc w:val="both"/>
        <w:rPr>
          <w:rFonts w:ascii="Verdana" w:hAnsi="Verdana" w:cs="Verdana"/>
          <w:sz w:val="20"/>
          <w:szCs w:val="20"/>
        </w:rPr>
      </w:pPr>
      <w:r w:rsidRPr="004D2A29">
        <w:rPr>
          <w:rFonts w:ascii="Verdana" w:hAnsi="Verdana" w:cs="Verdana"/>
          <w:sz w:val="20"/>
          <w:szCs w:val="20"/>
        </w:rPr>
        <w:t xml:space="preserve">Los escritos de </w:t>
      </w:r>
      <w:r w:rsidR="004633CF" w:rsidRPr="004D2A29">
        <w:rPr>
          <w:rFonts w:ascii="Verdana" w:hAnsi="Verdana" w:cs="Verdana"/>
          <w:sz w:val="20"/>
          <w:szCs w:val="20"/>
        </w:rPr>
        <w:t>14</w:t>
      </w:r>
      <w:r w:rsidRPr="004D2A29">
        <w:rPr>
          <w:rFonts w:ascii="Verdana" w:hAnsi="Verdana" w:cs="Verdana"/>
          <w:sz w:val="20"/>
          <w:szCs w:val="20"/>
        </w:rPr>
        <w:t xml:space="preserve"> de </w:t>
      </w:r>
      <w:r w:rsidR="004633CF" w:rsidRPr="004D2A29">
        <w:rPr>
          <w:rFonts w:ascii="Verdana" w:hAnsi="Verdana" w:cs="Verdana"/>
          <w:sz w:val="20"/>
          <w:szCs w:val="20"/>
        </w:rPr>
        <w:t>enero</w:t>
      </w:r>
      <w:r w:rsidRPr="004D2A29">
        <w:rPr>
          <w:rFonts w:ascii="Verdana" w:hAnsi="Verdana" w:cs="Verdana"/>
          <w:sz w:val="20"/>
          <w:szCs w:val="20"/>
        </w:rPr>
        <w:t xml:space="preserve">, </w:t>
      </w:r>
      <w:r w:rsidR="004633CF" w:rsidRPr="004D2A29">
        <w:rPr>
          <w:rFonts w:ascii="Verdana" w:hAnsi="Verdana" w:cs="Verdana"/>
          <w:sz w:val="20"/>
          <w:szCs w:val="20"/>
        </w:rPr>
        <w:t>7 de abril</w:t>
      </w:r>
      <w:r w:rsidR="00E7322C" w:rsidRPr="004D2A29">
        <w:rPr>
          <w:rFonts w:ascii="Verdana" w:hAnsi="Verdana"/>
          <w:b/>
          <w:sz w:val="20"/>
          <w:lang w:val="es-HN"/>
        </w:rPr>
        <w:t xml:space="preserve"> </w:t>
      </w:r>
      <w:r w:rsidRPr="004D2A29">
        <w:rPr>
          <w:rFonts w:ascii="Verdana" w:hAnsi="Verdana" w:cs="Verdana"/>
          <w:sz w:val="20"/>
          <w:szCs w:val="20"/>
        </w:rPr>
        <w:t xml:space="preserve">y </w:t>
      </w:r>
      <w:r w:rsidR="004633CF" w:rsidRPr="004D2A29">
        <w:rPr>
          <w:rFonts w:ascii="Verdana" w:hAnsi="Verdana" w:cs="Verdana"/>
          <w:sz w:val="20"/>
          <w:szCs w:val="20"/>
        </w:rPr>
        <w:t>6</w:t>
      </w:r>
      <w:r w:rsidRPr="004D2A29">
        <w:rPr>
          <w:rFonts w:ascii="Verdana" w:hAnsi="Verdana" w:cs="Verdana"/>
          <w:sz w:val="20"/>
          <w:szCs w:val="20"/>
        </w:rPr>
        <w:t xml:space="preserve"> de </w:t>
      </w:r>
      <w:r w:rsidR="004633CF" w:rsidRPr="004D2A29">
        <w:rPr>
          <w:rFonts w:ascii="Verdana" w:hAnsi="Verdana" w:cs="Verdana"/>
          <w:sz w:val="20"/>
          <w:szCs w:val="20"/>
        </w:rPr>
        <w:t>septiembre de 2016,</w:t>
      </w:r>
      <w:r w:rsidR="009818D0">
        <w:rPr>
          <w:rFonts w:ascii="Verdana" w:hAnsi="Verdana" w:cs="Verdana"/>
          <w:sz w:val="20"/>
          <w:szCs w:val="20"/>
        </w:rPr>
        <w:t xml:space="preserve"> </w:t>
      </w:r>
      <w:r w:rsidR="00AE43AE" w:rsidRPr="004D2A29">
        <w:rPr>
          <w:rFonts w:ascii="Verdana" w:hAnsi="Verdana" w:cs="Verdana"/>
          <w:sz w:val="20"/>
          <w:szCs w:val="20"/>
        </w:rPr>
        <w:t>así como de</w:t>
      </w:r>
      <w:r w:rsidR="004633CF" w:rsidRPr="004D2A29">
        <w:rPr>
          <w:rFonts w:ascii="Verdana" w:hAnsi="Verdana" w:cs="Verdana"/>
          <w:sz w:val="20"/>
          <w:szCs w:val="20"/>
        </w:rPr>
        <w:t xml:space="preserve"> 26</w:t>
      </w:r>
      <w:r w:rsidRPr="004D2A29">
        <w:rPr>
          <w:rFonts w:ascii="Verdana" w:hAnsi="Verdana" w:cs="Verdana"/>
          <w:sz w:val="20"/>
          <w:szCs w:val="20"/>
        </w:rPr>
        <w:t xml:space="preserve"> de </w:t>
      </w:r>
      <w:r w:rsidR="004633CF" w:rsidRPr="004D2A29">
        <w:rPr>
          <w:rFonts w:ascii="Verdana" w:hAnsi="Verdana" w:cs="Verdana"/>
          <w:sz w:val="20"/>
          <w:szCs w:val="20"/>
        </w:rPr>
        <w:t>agosto de 2017</w:t>
      </w:r>
      <w:r w:rsidR="009818D0">
        <w:rPr>
          <w:rFonts w:ascii="Verdana" w:hAnsi="Verdana" w:cs="Verdana"/>
          <w:sz w:val="20"/>
          <w:szCs w:val="20"/>
        </w:rPr>
        <w:t xml:space="preserve">; </w:t>
      </w:r>
      <w:r w:rsidRPr="004D2A29">
        <w:rPr>
          <w:rFonts w:ascii="Verdana" w:hAnsi="Verdana" w:cs="Verdana"/>
          <w:sz w:val="20"/>
          <w:szCs w:val="20"/>
        </w:rPr>
        <w:t>mediante los cuales el Centro de Derechos Humanos de las Mujeres (CEDEHM), la Comisión de Solidaridad y Defensa de los Derechos Humanos (COSYDDHAC) y el Centro de Derechos Humanos Paso del Norte, en su calidad de representantes de los beneficiarios (en adelante “los representantes”), presentaron observaciones a los escritos estatales.</w:t>
      </w:r>
    </w:p>
    <w:p w14:paraId="5677E134" w14:textId="77777777" w:rsidR="003C3DAD" w:rsidRPr="004D2A29" w:rsidRDefault="003C3DAD" w:rsidP="004D2A29">
      <w:pPr>
        <w:autoSpaceDE w:val="0"/>
        <w:autoSpaceDN w:val="0"/>
        <w:adjustRightInd w:val="0"/>
        <w:ind w:right="19"/>
        <w:jc w:val="both"/>
        <w:rPr>
          <w:rFonts w:ascii="Verdana" w:hAnsi="Verdana" w:cs="Verdana"/>
          <w:sz w:val="20"/>
          <w:szCs w:val="20"/>
        </w:rPr>
      </w:pPr>
    </w:p>
    <w:p w14:paraId="5677E135" w14:textId="71DB297A" w:rsidR="003C3DAD" w:rsidRPr="008747D5" w:rsidRDefault="003C3DAD" w:rsidP="008747D5">
      <w:pPr>
        <w:numPr>
          <w:ilvl w:val="0"/>
          <w:numId w:val="1"/>
        </w:numPr>
        <w:ind w:left="0" w:right="19" w:firstLine="0"/>
        <w:jc w:val="both"/>
        <w:rPr>
          <w:rFonts w:ascii="Verdana" w:hAnsi="Verdana" w:cs="Verdana"/>
          <w:sz w:val="20"/>
          <w:szCs w:val="20"/>
          <w:lang w:val="es-HN"/>
        </w:rPr>
      </w:pPr>
      <w:r w:rsidRPr="004D2A29">
        <w:rPr>
          <w:rFonts w:ascii="Verdana" w:hAnsi="Verdana" w:cs="Verdana"/>
          <w:sz w:val="20"/>
          <w:szCs w:val="20"/>
        </w:rPr>
        <w:t xml:space="preserve">Los escritos de </w:t>
      </w:r>
      <w:r w:rsidR="004633CF" w:rsidRPr="004D2A29">
        <w:rPr>
          <w:rFonts w:ascii="Verdana" w:hAnsi="Verdana" w:cs="Verdana"/>
          <w:sz w:val="20"/>
          <w:szCs w:val="20"/>
        </w:rPr>
        <w:t xml:space="preserve">17 de marzo, 20 </w:t>
      </w:r>
      <w:r w:rsidRPr="004D2A29">
        <w:rPr>
          <w:rFonts w:ascii="Verdana" w:hAnsi="Verdana" w:cs="Verdana"/>
          <w:sz w:val="20"/>
          <w:szCs w:val="20"/>
        </w:rPr>
        <w:t>de mayo</w:t>
      </w:r>
      <w:r w:rsidR="004633CF" w:rsidRPr="004D2A29">
        <w:rPr>
          <w:rFonts w:ascii="Verdana" w:hAnsi="Verdana" w:cs="Verdana"/>
          <w:sz w:val="20"/>
          <w:szCs w:val="20"/>
        </w:rPr>
        <w:t xml:space="preserve"> y 11 de octubre d</w:t>
      </w:r>
      <w:r w:rsidR="00AE43AE" w:rsidRPr="004D2A29">
        <w:rPr>
          <w:rFonts w:ascii="Verdana" w:hAnsi="Verdana" w:cs="Verdana"/>
          <w:sz w:val="20"/>
          <w:szCs w:val="20"/>
        </w:rPr>
        <w:t>e</w:t>
      </w:r>
      <w:r w:rsidR="004633CF" w:rsidRPr="004D2A29">
        <w:rPr>
          <w:rFonts w:ascii="Verdana" w:hAnsi="Verdana" w:cs="Verdana"/>
          <w:sz w:val="20"/>
          <w:szCs w:val="20"/>
        </w:rPr>
        <w:t xml:space="preserve"> 2016</w:t>
      </w:r>
      <w:r w:rsidR="001A5A3C">
        <w:rPr>
          <w:rFonts w:ascii="Verdana" w:hAnsi="Verdana" w:cs="Verdana"/>
          <w:sz w:val="20"/>
          <w:szCs w:val="20"/>
        </w:rPr>
        <w:t>,</w:t>
      </w:r>
      <w:r w:rsidR="009818D0">
        <w:rPr>
          <w:rFonts w:ascii="Verdana" w:hAnsi="Verdana" w:cs="Verdana"/>
          <w:sz w:val="20"/>
          <w:szCs w:val="20"/>
        </w:rPr>
        <w:t xml:space="preserve"> </w:t>
      </w:r>
      <w:r w:rsidRPr="004D2A29">
        <w:rPr>
          <w:rFonts w:ascii="Verdana" w:hAnsi="Verdana" w:cs="Verdana"/>
          <w:sz w:val="20"/>
          <w:szCs w:val="20"/>
        </w:rPr>
        <w:t>mediante los cuales la Comisión Interamericana de Derechos Humanos (en adelante “la Comisión” o “la Comisión Interamericana”) se refirió a la implementación de las medidas.</w:t>
      </w:r>
    </w:p>
    <w:p w14:paraId="5677E13A" w14:textId="77777777" w:rsidR="0035239E" w:rsidRPr="008747D5" w:rsidRDefault="0035239E" w:rsidP="00EB4828">
      <w:pPr>
        <w:autoSpaceDE w:val="0"/>
        <w:autoSpaceDN w:val="0"/>
        <w:adjustRightInd w:val="0"/>
        <w:ind w:right="19"/>
        <w:jc w:val="both"/>
        <w:rPr>
          <w:rFonts w:ascii="Verdana" w:hAnsi="Verdana" w:cs="Verdana"/>
          <w:sz w:val="20"/>
          <w:szCs w:val="20"/>
          <w:lang w:val="es-HN"/>
        </w:rPr>
      </w:pPr>
    </w:p>
    <w:p w14:paraId="5677E13B" w14:textId="77777777" w:rsidR="00EB4828" w:rsidRDefault="00EB4828" w:rsidP="00EB4828">
      <w:pPr>
        <w:pStyle w:val="Heading4"/>
        <w:spacing w:before="0" w:after="0"/>
        <w:rPr>
          <w:rFonts w:ascii="Verdana" w:hAnsi="Verdana" w:cs="Verdana"/>
          <w:caps/>
          <w:sz w:val="20"/>
          <w:szCs w:val="20"/>
        </w:rPr>
      </w:pPr>
      <w:r w:rsidRPr="00606305">
        <w:rPr>
          <w:rFonts w:ascii="Verdana" w:hAnsi="Verdana" w:cs="Verdana"/>
          <w:caps/>
          <w:sz w:val="20"/>
          <w:szCs w:val="20"/>
        </w:rPr>
        <w:t>Considerando que:</w:t>
      </w:r>
    </w:p>
    <w:p w14:paraId="5677E13C" w14:textId="77777777" w:rsidR="003D3466" w:rsidRPr="00606305" w:rsidRDefault="003D3466" w:rsidP="003D3466">
      <w:pPr>
        <w:jc w:val="both"/>
        <w:rPr>
          <w:rFonts w:ascii="Verdana" w:hAnsi="Verdana" w:cs="Verdana"/>
          <w:sz w:val="20"/>
          <w:szCs w:val="20"/>
        </w:rPr>
      </w:pPr>
    </w:p>
    <w:p w14:paraId="1DD5ACB0" w14:textId="0831670A" w:rsidR="00DF088C" w:rsidRDefault="00DF088C" w:rsidP="00041C22">
      <w:pPr>
        <w:numPr>
          <w:ilvl w:val="0"/>
          <w:numId w:val="19"/>
        </w:numPr>
        <w:autoSpaceDE w:val="0"/>
        <w:autoSpaceDN w:val="0"/>
        <w:adjustRightInd w:val="0"/>
        <w:ind w:left="0" w:right="19" w:firstLine="0"/>
        <w:jc w:val="both"/>
        <w:rPr>
          <w:rFonts w:ascii="Verdana" w:hAnsi="Verdana" w:cs="Verdana"/>
          <w:sz w:val="20"/>
          <w:szCs w:val="20"/>
        </w:rPr>
      </w:pPr>
      <w:r w:rsidRPr="00DF088C">
        <w:rPr>
          <w:rFonts w:ascii="Verdana" w:hAnsi="Verdana" w:cs="Verdana"/>
          <w:sz w:val="20"/>
          <w:szCs w:val="20"/>
        </w:rPr>
        <w:t>México es Estado Parte en la Convención Americana sobre Derechos Humanos (en adelante “la Convención Americana” o “la Convención”) desde el 24 de marzo de 1981 y, de acuerdo con el artículo 62 de la misma, reconoció la competencia contenciosa de la Corte el 16 de diciembre de 1998.</w:t>
      </w:r>
    </w:p>
    <w:p w14:paraId="5FDE3D68" w14:textId="77777777" w:rsidR="00DF088C" w:rsidRPr="00F22AD2" w:rsidRDefault="00DF088C" w:rsidP="00DF088C">
      <w:pPr>
        <w:autoSpaceDE w:val="0"/>
        <w:autoSpaceDN w:val="0"/>
        <w:adjustRightInd w:val="0"/>
        <w:ind w:right="19"/>
        <w:jc w:val="both"/>
        <w:rPr>
          <w:rFonts w:ascii="Verdana" w:hAnsi="Verdana" w:cs="Verdana"/>
          <w:sz w:val="20"/>
          <w:szCs w:val="20"/>
        </w:rPr>
      </w:pPr>
    </w:p>
    <w:p w14:paraId="5677E13F" w14:textId="7714FAA5" w:rsidR="008B42C3" w:rsidRPr="0003328F" w:rsidRDefault="000D6D52" w:rsidP="0079624B">
      <w:pPr>
        <w:numPr>
          <w:ilvl w:val="0"/>
          <w:numId w:val="19"/>
        </w:numPr>
        <w:autoSpaceDE w:val="0"/>
        <w:autoSpaceDN w:val="0"/>
        <w:adjustRightInd w:val="0"/>
        <w:spacing w:line="242" w:lineRule="exact"/>
        <w:ind w:left="0" w:right="19" w:firstLine="0"/>
        <w:jc w:val="both"/>
        <w:rPr>
          <w:rStyle w:val="Strong"/>
          <w:sz w:val="20"/>
          <w:szCs w:val="20"/>
          <w:lang w:val="es-ES"/>
        </w:rPr>
      </w:pPr>
      <w:r w:rsidRPr="0003328F">
        <w:rPr>
          <w:rFonts w:ascii="Verdana" w:hAnsi="Verdana"/>
          <w:sz w:val="20"/>
          <w:szCs w:val="20"/>
          <w:lang w:val="es-CR"/>
        </w:rPr>
        <w:t>El artículo 63.2 de la Convención Americana dispone que, “[e]n casos de extrema gravedad y urgencia, y cuando se haga necesario evitar daños irreparables</w:t>
      </w:r>
      <w:r w:rsidRPr="00CC6582">
        <w:rPr>
          <w:rFonts w:ascii="Verdana" w:hAnsi="Verdana"/>
          <w:sz w:val="20"/>
          <w:szCs w:val="20"/>
          <w:lang w:val="es-CR"/>
        </w:rPr>
        <w:t xml:space="preserve"> a las persona</w:t>
      </w:r>
      <w:r w:rsidRPr="00C51978">
        <w:rPr>
          <w:rFonts w:ascii="Verdana" w:hAnsi="Verdana"/>
          <w:sz w:val="20"/>
          <w:szCs w:val="20"/>
          <w:lang w:val="es-CR"/>
        </w:rPr>
        <w:t>s, la Corte, en los asuntos que esté conociendo, podrá tomar las medidas provisionales que considere pertinentes. Si se tratare de asuntos que aún no estén sometidos a su conocimiento, podrá act</w:t>
      </w:r>
      <w:r w:rsidR="00A60901" w:rsidRPr="00C51978">
        <w:rPr>
          <w:rFonts w:ascii="Verdana" w:hAnsi="Verdana"/>
          <w:sz w:val="20"/>
          <w:szCs w:val="20"/>
          <w:lang w:val="es-CR"/>
        </w:rPr>
        <w:t>uar a solicitud de la Comisión”</w:t>
      </w:r>
      <w:r w:rsidRPr="00F22AD2">
        <w:rPr>
          <w:rStyle w:val="FootnoteReference"/>
          <w:sz w:val="20"/>
          <w:szCs w:val="20"/>
        </w:rPr>
        <w:footnoteReference w:id="2"/>
      </w:r>
      <w:r w:rsidRPr="0003328F">
        <w:rPr>
          <w:rFonts w:ascii="Verdana" w:hAnsi="Verdana"/>
          <w:sz w:val="20"/>
          <w:szCs w:val="20"/>
          <w:lang w:val="es-ES"/>
        </w:rPr>
        <w:t>.</w:t>
      </w:r>
      <w:r w:rsidR="00F2763F" w:rsidRPr="00CC6582">
        <w:rPr>
          <w:rFonts w:ascii="Verdana" w:hAnsi="Verdana"/>
          <w:sz w:val="20"/>
          <w:szCs w:val="20"/>
          <w:lang w:val="es-ES"/>
        </w:rPr>
        <w:t xml:space="preserve"> </w:t>
      </w:r>
    </w:p>
    <w:p w14:paraId="5677E143" w14:textId="77777777" w:rsidR="00340D37" w:rsidRPr="001D5627" w:rsidRDefault="00340D37" w:rsidP="0022462A">
      <w:pPr>
        <w:ind w:right="4"/>
        <w:jc w:val="both"/>
        <w:rPr>
          <w:rFonts w:ascii="Verdana" w:hAnsi="Verdana"/>
          <w:sz w:val="20"/>
          <w:szCs w:val="20"/>
          <w:lang w:val="es-ES"/>
        </w:rPr>
      </w:pPr>
    </w:p>
    <w:p w14:paraId="5677E144" w14:textId="7FD31AC9" w:rsidR="002D1D93" w:rsidRPr="00597480" w:rsidRDefault="00C51978" w:rsidP="00E11845">
      <w:pPr>
        <w:numPr>
          <w:ilvl w:val="0"/>
          <w:numId w:val="19"/>
        </w:numPr>
        <w:autoSpaceDE w:val="0"/>
        <w:autoSpaceDN w:val="0"/>
        <w:adjustRightInd w:val="0"/>
        <w:ind w:left="0" w:right="19" w:firstLine="0"/>
        <w:jc w:val="both"/>
        <w:rPr>
          <w:rFonts w:ascii="Verdana" w:hAnsi="Verdana"/>
          <w:b/>
          <w:i/>
          <w:sz w:val="20"/>
          <w:szCs w:val="20"/>
        </w:rPr>
      </w:pPr>
      <w:r w:rsidRPr="00D100D6">
        <w:rPr>
          <w:rFonts w:ascii="Verdana" w:hAnsi="Verdana"/>
          <w:sz w:val="20"/>
          <w:szCs w:val="20"/>
        </w:rPr>
        <w:t>H</w:t>
      </w:r>
      <w:proofErr w:type="spellStart"/>
      <w:r w:rsidRPr="00D100D6">
        <w:rPr>
          <w:rFonts w:ascii="Verdana" w:hAnsi="Verdana"/>
          <w:sz w:val="20"/>
          <w:szCs w:val="20"/>
          <w:lang w:val="es-CR"/>
        </w:rPr>
        <w:t>a</w:t>
      </w:r>
      <w:proofErr w:type="spellEnd"/>
      <w:r w:rsidRPr="00D100D6">
        <w:rPr>
          <w:rFonts w:ascii="Verdana" w:hAnsi="Verdana"/>
          <w:sz w:val="20"/>
          <w:szCs w:val="20"/>
          <w:lang w:val="es-CR"/>
        </w:rPr>
        <w:t xml:space="preserve"> transcurrido un período de más de </w:t>
      </w:r>
      <w:r w:rsidR="00DF5FD2" w:rsidRPr="00D100D6">
        <w:rPr>
          <w:rFonts w:ascii="Verdana" w:hAnsi="Verdana"/>
          <w:sz w:val="20"/>
          <w:szCs w:val="20"/>
          <w:lang w:val="es-CR"/>
        </w:rPr>
        <w:t>siete</w:t>
      </w:r>
      <w:r w:rsidRPr="00D100D6">
        <w:rPr>
          <w:rFonts w:ascii="Verdana" w:hAnsi="Verdana"/>
          <w:sz w:val="20"/>
          <w:szCs w:val="20"/>
          <w:lang w:val="es-CR"/>
        </w:rPr>
        <w:t xml:space="preserve"> años desde la adopción de las </w:t>
      </w:r>
      <w:r w:rsidR="00DF5FD2" w:rsidRPr="00D100D6">
        <w:rPr>
          <w:rFonts w:ascii="Verdana" w:hAnsi="Verdana"/>
          <w:sz w:val="20"/>
          <w:szCs w:val="20"/>
          <w:lang w:val="es-CR"/>
        </w:rPr>
        <w:t xml:space="preserve">presentes </w:t>
      </w:r>
      <w:r w:rsidRPr="00E2293A">
        <w:rPr>
          <w:rFonts w:ascii="Verdana" w:hAnsi="Verdana"/>
          <w:sz w:val="20"/>
          <w:szCs w:val="20"/>
          <w:lang w:val="es-CR"/>
        </w:rPr>
        <w:t xml:space="preserve">medidas provisionales, y de más de </w:t>
      </w:r>
      <w:r w:rsidR="00DF5FD2" w:rsidRPr="00E2293A">
        <w:rPr>
          <w:rFonts w:ascii="Verdana" w:hAnsi="Verdana"/>
          <w:sz w:val="20"/>
          <w:szCs w:val="20"/>
          <w:lang w:val="es-CR"/>
        </w:rPr>
        <w:t>dos</w:t>
      </w:r>
      <w:r w:rsidR="00DF5FD2" w:rsidRPr="0079624B">
        <w:rPr>
          <w:rFonts w:ascii="Verdana" w:hAnsi="Verdana"/>
          <w:sz w:val="20"/>
          <w:szCs w:val="20"/>
          <w:lang w:val="es-CR"/>
        </w:rPr>
        <w:t xml:space="preserve"> </w:t>
      </w:r>
      <w:r w:rsidRPr="0079624B">
        <w:rPr>
          <w:rFonts w:ascii="Verdana" w:hAnsi="Verdana"/>
          <w:sz w:val="20"/>
          <w:szCs w:val="20"/>
          <w:lang w:val="es-CR"/>
        </w:rPr>
        <w:t>años desde la última Resolución de este Tribunal</w:t>
      </w:r>
      <w:r w:rsidR="00DF5FD2" w:rsidRPr="0079624B">
        <w:rPr>
          <w:rFonts w:ascii="Verdana" w:hAnsi="Verdana"/>
          <w:sz w:val="20"/>
          <w:szCs w:val="20"/>
          <w:lang w:val="es-CR"/>
        </w:rPr>
        <w:t>.</w:t>
      </w:r>
      <w:r w:rsidRPr="0079624B">
        <w:rPr>
          <w:rFonts w:ascii="Verdana" w:hAnsi="Verdana"/>
          <w:sz w:val="20"/>
          <w:szCs w:val="20"/>
          <w:lang w:val="es-CR"/>
        </w:rPr>
        <w:t xml:space="preserve"> </w:t>
      </w:r>
      <w:r w:rsidR="00DF5FD2" w:rsidRPr="0079624B">
        <w:rPr>
          <w:rFonts w:ascii="Verdana" w:hAnsi="Verdana"/>
          <w:sz w:val="20"/>
          <w:szCs w:val="20"/>
          <w:lang w:val="es-CR"/>
        </w:rPr>
        <w:t xml:space="preserve">Por ello, la Corte estima oportuno realizar un examen sobre las </w:t>
      </w:r>
      <w:r w:rsidR="00056BDF" w:rsidRPr="0079624B">
        <w:rPr>
          <w:rFonts w:ascii="Verdana" w:hAnsi="Verdana"/>
          <w:sz w:val="20"/>
          <w:szCs w:val="20"/>
          <w:lang w:val="es-CR"/>
        </w:rPr>
        <w:t>presentes medidas</w:t>
      </w:r>
      <w:r w:rsidR="00DF5FD2" w:rsidRPr="0079624B">
        <w:rPr>
          <w:rFonts w:ascii="Verdana" w:hAnsi="Verdana"/>
          <w:sz w:val="20"/>
          <w:szCs w:val="20"/>
          <w:lang w:val="es-CR"/>
        </w:rPr>
        <w:t xml:space="preserve">. </w:t>
      </w:r>
      <w:r w:rsidR="00D26159" w:rsidRPr="0079624B">
        <w:rPr>
          <w:rFonts w:ascii="Verdana" w:hAnsi="Verdana"/>
          <w:sz w:val="20"/>
          <w:szCs w:val="20"/>
          <w:lang w:val="es-CR"/>
        </w:rPr>
        <w:t xml:space="preserve">A estos efectos, </w:t>
      </w:r>
      <w:r w:rsidR="00D26159" w:rsidRPr="0079624B">
        <w:rPr>
          <w:rFonts w:ascii="Verdana" w:hAnsi="Verdana" w:cs="Verdana"/>
          <w:sz w:val="20"/>
          <w:szCs w:val="20"/>
          <w:lang w:val="es-ES"/>
        </w:rPr>
        <w:t>d</w:t>
      </w:r>
      <w:r w:rsidR="00472A38" w:rsidRPr="0079624B">
        <w:rPr>
          <w:rFonts w:ascii="Verdana" w:hAnsi="Verdana" w:cs="Verdana"/>
          <w:sz w:val="20"/>
          <w:szCs w:val="20"/>
          <w:lang w:val="es-ES"/>
        </w:rPr>
        <w:t xml:space="preserve">e conformidad </w:t>
      </w:r>
      <w:r w:rsidR="00D740BB" w:rsidRPr="0079624B">
        <w:rPr>
          <w:rFonts w:ascii="Verdana" w:hAnsi="Verdana" w:cs="Verdana"/>
          <w:sz w:val="20"/>
          <w:szCs w:val="20"/>
          <w:lang w:val="es-ES"/>
        </w:rPr>
        <w:t>con</w:t>
      </w:r>
      <w:r w:rsidR="00472A38" w:rsidRPr="0079624B">
        <w:rPr>
          <w:rFonts w:ascii="Verdana" w:hAnsi="Verdana" w:cs="Verdana"/>
          <w:sz w:val="20"/>
          <w:szCs w:val="20"/>
          <w:lang w:val="es-ES"/>
        </w:rPr>
        <w:t xml:space="preserve"> lo decidido en la última</w:t>
      </w:r>
      <w:r w:rsidR="00472A38" w:rsidRPr="00597480">
        <w:rPr>
          <w:rFonts w:ascii="Verdana" w:hAnsi="Verdana" w:cs="Verdana"/>
          <w:sz w:val="20"/>
          <w:szCs w:val="20"/>
          <w:lang w:val="es-ES"/>
        </w:rPr>
        <w:t xml:space="preserve"> Resolución </w:t>
      </w:r>
      <w:r w:rsidR="00305CFB" w:rsidRPr="00597480">
        <w:rPr>
          <w:rFonts w:ascii="Verdana" w:hAnsi="Verdana" w:cs="Verdana"/>
          <w:sz w:val="20"/>
          <w:szCs w:val="20"/>
          <w:lang w:val="es-ES"/>
        </w:rPr>
        <w:t xml:space="preserve">del Tribunal </w:t>
      </w:r>
      <w:r w:rsidR="00472A38" w:rsidRPr="00597480">
        <w:rPr>
          <w:rFonts w:ascii="Verdana" w:hAnsi="Verdana" w:cs="Verdana"/>
          <w:sz w:val="20"/>
          <w:szCs w:val="20"/>
          <w:lang w:val="es-ES"/>
        </w:rPr>
        <w:t>(</w:t>
      </w:r>
      <w:r w:rsidR="00472A38" w:rsidRPr="00597480">
        <w:rPr>
          <w:rFonts w:ascii="Verdana" w:hAnsi="Verdana" w:cs="Verdana"/>
          <w:i/>
          <w:sz w:val="20"/>
          <w:szCs w:val="20"/>
          <w:lang w:val="es-ES"/>
        </w:rPr>
        <w:t xml:space="preserve">supra </w:t>
      </w:r>
      <w:r w:rsidR="00472A38" w:rsidRPr="00597480">
        <w:rPr>
          <w:rFonts w:ascii="Verdana" w:hAnsi="Verdana" w:cs="Verdana"/>
          <w:sz w:val="20"/>
          <w:szCs w:val="20"/>
          <w:lang w:val="es-ES"/>
        </w:rPr>
        <w:t xml:space="preserve">Visto 1), </w:t>
      </w:r>
      <w:r w:rsidR="00597480" w:rsidRPr="00597480">
        <w:rPr>
          <w:rFonts w:ascii="Verdana" w:hAnsi="Verdana" w:cs="Verdana"/>
          <w:sz w:val="20"/>
          <w:szCs w:val="20"/>
          <w:lang w:val="es-ES"/>
        </w:rPr>
        <w:t xml:space="preserve">a continuación se </w:t>
      </w:r>
      <w:r w:rsidR="008747D5" w:rsidRPr="00597480">
        <w:rPr>
          <w:rFonts w:ascii="Verdana" w:hAnsi="Verdana" w:cs="Verdana"/>
          <w:sz w:val="20"/>
          <w:szCs w:val="20"/>
          <w:lang w:val="es-ES"/>
        </w:rPr>
        <w:t>analizará</w:t>
      </w:r>
      <w:r w:rsidR="00597480" w:rsidRPr="00597480">
        <w:rPr>
          <w:rFonts w:ascii="Verdana" w:hAnsi="Verdana" w:cs="Verdana"/>
          <w:sz w:val="20"/>
          <w:szCs w:val="20"/>
          <w:lang w:val="es-ES"/>
        </w:rPr>
        <w:t>n</w:t>
      </w:r>
      <w:r w:rsidR="008747D5" w:rsidRPr="00597480">
        <w:rPr>
          <w:rFonts w:ascii="Verdana" w:hAnsi="Verdana" w:cs="Verdana"/>
          <w:sz w:val="20"/>
          <w:szCs w:val="20"/>
          <w:lang w:val="es-ES"/>
        </w:rPr>
        <w:t xml:space="preserve"> los siguientes apartados</w:t>
      </w:r>
      <w:r w:rsidR="00472A38" w:rsidRPr="00597480">
        <w:rPr>
          <w:rFonts w:ascii="Verdana" w:hAnsi="Verdana"/>
          <w:sz w:val="20"/>
          <w:szCs w:val="20"/>
        </w:rPr>
        <w:t xml:space="preserve">: </w:t>
      </w:r>
      <w:r w:rsidR="0035239E" w:rsidRPr="00597480">
        <w:rPr>
          <w:rFonts w:ascii="Verdana" w:hAnsi="Verdana"/>
          <w:sz w:val="20"/>
          <w:szCs w:val="20"/>
        </w:rPr>
        <w:t>a</w:t>
      </w:r>
      <w:r w:rsidR="002D1D93" w:rsidRPr="00597480">
        <w:rPr>
          <w:rFonts w:ascii="Verdana" w:hAnsi="Verdana"/>
          <w:sz w:val="20"/>
          <w:szCs w:val="20"/>
        </w:rPr>
        <w:t>)</w:t>
      </w:r>
      <w:r w:rsidR="00472A38" w:rsidRPr="00597480">
        <w:rPr>
          <w:rFonts w:ascii="Verdana" w:hAnsi="Verdana"/>
          <w:sz w:val="20"/>
          <w:szCs w:val="20"/>
        </w:rPr>
        <w:t xml:space="preserve"> </w:t>
      </w:r>
      <w:r w:rsidR="002843B6" w:rsidRPr="00597480">
        <w:rPr>
          <w:rFonts w:ascii="Verdana" w:hAnsi="Verdana"/>
          <w:sz w:val="20"/>
          <w:szCs w:val="20"/>
        </w:rPr>
        <w:t>respecto de</w:t>
      </w:r>
      <w:r w:rsidR="003F5DCA" w:rsidRPr="00597480">
        <w:rPr>
          <w:rFonts w:ascii="Verdana" w:hAnsi="Verdana"/>
          <w:sz w:val="20"/>
          <w:szCs w:val="20"/>
        </w:rPr>
        <w:t xml:space="preserve"> </w:t>
      </w:r>
      <w:r w:rsidR="00B35750" w:rsidRPr="00597480">
        <w:rPr>
          <w:rFonts w:ascii="Verdana" w:hAnsi="Verdana"/>
          <w:sz w:val="20"/>
          <w:szCs w:val="20"/>
        </w:rPr>
        <w:t xml:space="preserve">las beneficiarias </w:t>
      </w:r>
      <w:r w:rsidR="002843B6" w:rsidRPr="00597480">
        <w:rPr>
          <w:rFonts w:ascii="Verdana" w:hAnsi="Verdana"/>
          <w:sz w:val="20"/>
          <w:szCs w:val="20"/>
        </w:rPr>
        <w:t>Concepción Herrera Hernández y Emilia González Tercero; b) medidas de búsqueda</w:t>
      </w:r>
      <w:r w:rsidR="00C30665" w:rsidRPr="00597480">
        <w:rPr>
          <w:rFonts w:ascii="Verdana" w:hAnsi="Verdana"/>
          <w:sz w:val="20"/>
          <w:szCs w:val="20"/>
        </w:rPr>
        <w:t xml:space="preserve"> de los desaparecidos</w:t>
      </w:r>
      <w:r w:rsidR="002843B6" w:rsidRPr="00597480">
        <w:rPr>
          <w:rFonts w:ascii="Verdana" w:hAnsi="Verdana"/>
          <w:sz w:val="20"/>
          <w:szCs w:val="20"/>
        </w:rPr>
        <w:t xml:space="preserve"> y caso contencioso; c) análisis de riesgo de los beneficiarios d) </w:t>
      </w:r>
      <w:r w:rsidR="005003B4" w:rsidRPr="00597480">
        <w:rPr>
          <w:rFonts w:ascii="Verdana" w:hAnsi="Verdana"/>
          <w:sz w:val="20"/>
          <w:szCs w:val="20"/>
        </w:rPr>
        <w:t xml:space="preserve">la </w:t>
      </w:r>
      <w:r w:rsidR="00E11845" w:rsidRPr="00597480">
        <w:rPr>
          <w:rFonts w:ascii="Verdana" w:hAnsi="Verdana"/>
          <w:sz w:val="20"/>
          <w:szCs w:val="20"/>
        </w:rPr>
        <w:t>implementación de las presentes medidas provisionales respecto de las personas beneficiarias que se encuentran en el territorio mexicano</w:t>
      </w:r>
      <w:r w:rsidR="001A5A3C">
        <w:rPr>
          <w:rFonts w:ascii="Verdana" w:hAnsi="Verdana"/>
          <w:sz w:val="20"/>
          <w:szCs w:val="20"/>
        </w:rPr>
        <w:t>; y</w:t>
      </w:r>
      <w:r w:rsidR="002D1D93" w:rsidRPr="00597480">
        <w:rPr>
          <w:rFonts w:ascii="Verdana" w:hAnsi="Verdana"/>
          <w:sz w:val="20"/>
          <w:szCs w:val="20"/>
        </w:rPr>
        <w:t xml:space="preserve"> </w:t>
      </w:r>
      <w:r w:rsidR="002843B6" w:rsidRPr="00597480">
        <w:rPr>
          <w:rFonts w:ascii="Verdana" w:hAnsi="Verdana"/>
          <w:sz w:val="20"/>
          <w:szCs w:val="20"/>
        </w:rPr>
        <w:t>e</w:t>
      </w:r>
      <w:r w:rsidR="002D1D93" w:rsidRPr="00597480">
        <w:rPr>
          <w:rFonts w:ascii="Verdana" w:hAnsi="Verdana"/>
          <w:sz w:val="20"/>
          <w:szCs w:val="20"/>
        </w:rPr>
        <w:t xml:space="preserve">) </w:t>
      </w:r>
      <w:r w:rsidR="00590671" w:rsidRPr="00597480">
        <w:rPr>
          <w:rFonts w:ascii="Verdana" w:hAnsi="Verdana"/>
          <w:sz w:val="20"/>
          <w:szCs w:val="20"/>
        </w:rPr>
        <w:t xml:space="preserve">sobre las medidas a favor de las </w:t>
      </w:r>
      <w:r w:rsidR="00D00E6F" w:rsidRPr="00597480">
        <w:rPr>
          <w:rFonts w:ascii="Verdana" w:hAnsi="Verdana"/>
          <w:sz w:val="20"/>
          <w:szCs w:val="20"/>
        </w:rPr>
        <w:t xml:space="preserve">7 </w:t>
      </w:r>
      <w:r w:rsidR="00590671" w:rsidRPr="00597480">
        <w:rPr>
          <w:rFonts w:ascii="Verdana" w:hAnsi="Verdana"/>
          <w:sz w:val="20"/>
          <w:szCs w:val="20"/>
        </w:rPr>
        <w:t>personas beneficiarias que se encuentran fuera del territorio mexicano</w:t>
      </w:r>
      <w:r w:rsidR="00597480" w:rsidRPr="00597480">
        <w:rPr>
          <w:rFonts w:ascii="Verdana" w:hAnsi="Verdana"/>
          <w:sz w:val="20"/>
          <w:szCs w:val="20"/>
        </w:rPr>
        <w:t>.</w:t>
      </w:r>
      <w:r w:rsidR="002D1D93" w:rsidRPr="00597480">
        <w:rPr>
          <w:rFonts w:ascii="Verdana" w:hAnsi="Verdana"/>
          <w:sz w:val="20"/>
          <w:szCs w:val="20"/>
        </w:rPr>
        <w:t xml:space="preserve"> </w:t>
      </w:r>
    </w:p>
    <w:p w14:paraId="5677E145" w14:textId="77777777" w:rsidR="002D1D93" w:rsidRDefault="002D1D93" w:rsidP="0022462A">
      <w:pPr>
        <w:ind w:right="4"/>
        <w:jc w:val="both"/>
        <w:rPr>
          <w:rFonts w:ascii="Verdana" w:hAnsi="Verdana"/>
          <w:sz w:val="20"/>
          <w:szCs w:val="20"/>
        </w:rPr>
      </w:pPr>
    </w:p>
    <w:p w14:paraId="14DD0C13" w14:textId="60947F04" w:rsidR="003F5DCA" w:rsidRDefault="002D1D93" w:rsidP="003F5DCA">
      <w:pPr>
        <w:ind w:left="720"/>
        <w:jc w:val="both"/>
        <w:rPr>
          <w:rFonts w:ascii="Verdana" w:hAnsi="Verdana"/>
          <w:b/>
          <w:i/>
          <w:sz w:val="20"/>
          <w:szCs w:val="20"/>
        </w:rPr>
      </w:pPr>
      <w:r>
        <w:rPr>
          <w:rFonts w:ascii="Verdana" w:hAnsi="Verdana"/>
          <w:b/>
          <w:i/>
          <w:sz w:val="20"/>
          <w:szCs w:val="20"/>
        </w:rPr>
        <w:lastRenderedPageBreak/>
        <w:t>A</w:t>
      </w:r>
      <w:r w:rsidR="009E407B">
        <w:rPr>
          <w:rFonts w:ascii="Verdana" w:hAnsi="Verdana"/>
          <w:b/>
          <w:i/>
          <w:sz w:val="20"/>
          <w:szCs w:val="20"/>
        </w:rPr>
        <w:t xml:space="preserve">) </w:t>
      </w:r>
      <w:r w:rsidR="003F5DCA">
        <w:rPr>
          <w:rFonts w:ascii="Verdana" w:hAnsi="Verdana"/>
          <w:b/>
          <w:i/>
          <w:sz w:val="20"/>
          <w:szCs w:val="20"/>
        </w:rPr>
        <w:t>Respecto de las</w:t>
      </w:r>
      <w:r w:rsidR="00F22AD2">
        <w:rPr>
          <w:rFonts w:ascii="Verdana" w:hAnsi="Verdana"/>
          <w:b/>
          <w:i/>
          <w:sz w:val="20"/>
          <w:szCs w:val="20"/>
        </w:rPr>
        <w:t xml:space="preserve"> beneficiarias</w:t>
      </w:r>
      <w:r w:rsidR="003F5DCA" w:rsidRPr="00C93AFA">
        <w:rPr>
          <w:rFonts w:ascii="Verdana" w:hAnsi="Verdana"/>
          <w:b/>
          <w:i/>
          <w:sz w:val="20"/>
          <w:szCs w:val="20"/>
        </w:rPr>
        <w:t xml:space="preserve"> </w:t>
      </w:r>
      <w:r w:rsidR="003F5DCA">
        <w:rPr>
          <w:rFonts w:ascii="Verdana" w:hAnsi="Verdana"/>
          <w:b/>
          <w:i/>
          <w:sz w:val="20"/>
          <w:szCs w:val="20"/>
        </w:rPr>
        <w:t>Concepción Herrera Hernández y Emilia González Tercero</w:t>
      </w:r>
    </w:p>
    <w:p w14:paraId="7F24EA53" w14:textId="77777777" w:rsidR="003F5DCA" w:rsidRPr="00C93AFA" w:rsidRDefault="003F5DCA" w:rsidP="003F5DCA">
      <w:pPr>
        <w:ind w:left="720"/>
        <w:jc w:val="both"/>
        <w:rPr>
          <w:rFonts w:ascii="Verdana" w:hAnsi="Verdana"/>
          <w:b/>
          <w:i/>
          <w:sz w:val="20"/>
          <w:szCs w:val="20"/>
        </w:rPr>
      </w:pPr>
    </w:p>
    <w:p w14:paraId="64C83F7E" w14:textId="61E73477" w:rsidR="00B35750" w:rsidRPr="009B2C47" w:rsidRDefault="00056BDF" w:rsidP="009B2C47">
      <w:pPr>
        <w:pStyle w:val="ListParagraph"/>
        <w:numPr>
          <w:ilvl w:val="0"/>
          <w:numId w:val="19"/>
        </w:numPr>
        <w:autoSpaceDE w:val="0"/>
        <w:autoSpaceDN w:val="0"/>
        <w:adjustRightInd w:val="0"/>
        <w:ind w:left="0" w:right="19" w:firstLine="0"/>
        <w:jc w:val="both"/>
        <w:rPr>
          <w:rFonts w:ascii="Verdana" w:hAnsi="Verdana"/>
          <w:sz w:val="20"/>
        </w:rPr>
      </w:pPr>
      <w:r w:rsidRPr="009B2C47">
        <w:rPr>
          <w:rFonts w:ascii="Verdana" w:hAnsi="Verdana"/>
          <w:sz w:val="20"/>
        </w:rPr>
        <w:t>C</w:t>
      </w:r>
      <w:r w:rsidR="003F5DCA" w:rsidRPr="009B2C47">
        <w:rPr>
          <w:rFonts w:ascii="Verdana" w:hAnsi="Verdana"/>
          <w:sz w:val="20"/>
        </w:rPr>
        <w:t>onforme a lo informado por los representantes</w:t>
      </w:r>
      <w:r w:rsidR="00640217" w:rsidRPr="009B2C47">
        <w:rPr>
          <w:rFonts w:ascii="Verdana" w:hAnsi="Verdana"/>
          <w:sz w:val="20"/>
        </w:rPr>
        <w:t xml:space="preserve"> el 14 de enero de 2016</w:t>
      </w:r>
      <w:r w:rsidR="003F5DCA" w:rsidRPr="009B2C47">
        <w:rPr>
          <w:rFonts w:ascii="Verdana" w:hAnsi="Verdana"/>
          <w:sz w:val="20"/>
        </w:rPr>
        <w:t xml:space="preserve">, la beneficiaria </w:t>
      </w:r>
      <w:r w:rsidR="003F5DCA" w:rsidRPr="009B2C47">
        <w:rPr>
          <w:rFonts w:ascii="Verdana" w:hAnsi="Verdana"/>
          <w:sz w:val="20"/>
          <w:lang w:val="es-CR"/>
        </w:rPr>
        <w:t>Concepción Herrera Hernández</w:t>
      </w:r>
      <w:r w:rsidR="003F5DCA" w:rsidRPr="009B2C47">
        <w:rPr>
          <w:rFonts w:ascii="Verdana" w:hAnsi="Verdana"/>
          <w:sz w:val="20"/>
        </w:rPr>
        <w:t xml:space="preserve"> falleció por causas naturales.</w:t>
      </w:r>
      <w:r w:rsidR="009818D0" w:rsidRPr="009B2C47">
        <w:rPr>
          <w:rFonts w:ascii="Verdana" w:hAnsi="Verdana"/>
          <w:sz w:val="20"/>
        </w:rPr>
        <w:t xml:space="preserve"> </w:t>
      </w:r>
      <w:r w:rsidR="003F5DCA" w:rsidRPr="009B2C47">
        <w:rPr>
          <w:rFonts w:ascii="Verdana" w:hAnsi="Verdana"/>
          <w:sz w:val="20"/>
        </w:rPr>
        <w:t xml:space="preserve">Asimismo, el Estado informó </w:t>
      </w:r>
      <w:r w:rsidR="00640217" w:rsidRPr="009B2C47">
        <w:rPr>
          <w:rFonts w:ascii="Verdana" w:hAnsi="Verdana"/>
          <w:sz w:val="20"/>
        </w:rPr>
        <w:t xml:space="preserve">el 26 de julio de 2017 </w:t>
      </w:r>
      <w:r w:rsidR="003F5DCA" w:rsidRPr="009B2C47">
        <w:rPr>
          <w:rFonts w:ascii="Verdana" w:hAnsi="Verdana"/>
          <w:sz w:val="20"/>
        </w:rPr>
        <w:t xml:space="preserve">sobre el fallecimiento de </w:t>
      </w:r>
      <w:r w:rsidR="00640217" w:rsidRPr="009B2C47">
        <w:rPr>
          <w:rFonts w:ascii="Verdana" w:hAnsi="Verdana"/>
          <w:sz w:val="20"/>
        </w:rPr>
        <w:t xml:space="preserve">la representante </w:t>
      </w:r>
      <w:r w:rsidR="003F5DCA" w:rsidRPr="009B2C47">
        <w:rPr>
          <w:rFonts w:ascii="Verdana" w:hAnsi="Verdana"/>
          <w:sz w:val="20"/>
        </w:rPr>
        <w:t>Emilia González Tercero.</w:t>
      </w:r>
      <w:r w:rsidR="009818D0" w:rsidRPr="009B2C47">
        <w:rPr>
          <w:rFonts w:ascii="Verdana" w:hAnsi="Verdana"/>
          <w:sz w:val="20"/>
          <w:lang w:val="es-CR"/>
        </w:rPr>
        <w:t xml:space="preserve"> </w:t>
      </w:r>
      <w:r w:rsidR="004843A3" w:rsidRPr="009B2C47">
        <w:rPr>
          <w:rFonts w:ascii="Verdana" w:hAnsi="Verdana"/>
          <w:sz w:val="20"/>
        </w:rPr>
        <w:t xml:space="preserve">En relación al fallecimiento de </w:t>
      </w:r>
      <w:r w:rsidR="00855703" w:rsidRPr="009B2C47">
        <w:rPr>
          <w:rFonts w:ascii="Verdana" w:hAnsi="Verdana"/>
          <w:sz w:val="20"/>
        </w:rPr>
        <w:t>esta última</w:t>
      </w:r>
      <w:r w:rsidR="00B35750" w:rsidRPr="009B2C47">
        <w:rPr>
          <w:rFonts w:ascii="Verdana" w:hAnsi="Verdana"/>
          <w:sz w:val="20"/>
        </w:rPr>
        <w:t xml:space="preserve">, </w:t>
      </w:r>
      <w:r w:rsidR="004843A3" w:rsidRPr="009B2C47">
        <w:rPr>
          <w:rFonts w:ascii="Verdana" w:hAnsi="Verdana"/>
          <w:sz w:val="20"/>
        </w:rPr>
        <w:t xml:space="preserve">ni </w:t>
      </w:r>
      <w:r w:rsidR="00B35750" w:rsidRPr="009B2C47">
        <w:rPr>
          <w:rFonts w:ascii="Verdana" w:hAnsi="Verdana"/>
          <w:sz w:val="20"/>
        </w:rPr>
        <w:t>l</w:t>
      </w:r>
      <w:r w:rsidR="004843A3" w:rsidRPr="009B2C47">
        <w:rPr>
          <w:rFonts w:ascii="Verdana" w:hAnsi="Verdana"/>
          <w:sz w:val="20"/>
        </w:rPr>
        <w:t>o</w:t>
      </w:r>
      <w:r w:rsidR="00B35750" w:rsidRPr="009B2C47">
        <w:rPr>
          <w:rFonts w:ascii="Verdana" w:hAnsi="Verdana"/>
          <w:sz w:val="20"/>
        </w:rPr>
        <w:t xml:space="preserve">s representantes </w:t>
      </w:r>
      <w:r w:rsidR="004843A3" w:rsidRPr="009B2C47">
        <w:rPr>
          <w:rFonts w:ascii="Verdana" w:hAnsi="Verdana"/>
          <w:sz w:val="20"/>
        </w:rPr>
        <w:t>ni</w:t>
      </w:r>
      <w:r w:rsidR="00B35750" w:rsidRPr="009B2C47">
        <w:rPr>
          <w:rFonts w:ascii="Verdana" w:hAnsi="Verdana"/>
          <w:sz w:val="20"/>
        </w:rPr>
        <w:t xml:space="preserve"> la Comisión </w:t>
      </w:r>
      <w:r w:rsidR="004843A3" w:rsidRPr="009B2C47">
        <w:rPr>
          <w:rFonts w:ascii="Verdana" w:hAnsi="Verdana"/>
          <w:sz w:val="20"/>
        </w:rPr>
        <w:t>se pronunciaron al respecto.</w:t>
      </w:r>
    </w:p>
    <w:p w14:paraId="26DB9FAC" w14:textId="77777777" w:rsidR="00B35750" w:rsidRDefault="00B35750" w:rsidP="003F5DCA">
      <w:pPr>
        <w:autoSpaceDE w:val="0"/>
        <w:autoSpaceDN w:val="0"/>
        <w:adjustRightInd w:val="0"/>
        <w:ind w:right="19"/>
        <w:jc w:val="both"/>
        <w:rPr>
          <w:rFonts w:ascii="Verdana" w:hAnsi="Verdana"/>
          <w:sz w:val="20"/>
        </w:rPr>
      </w:pPr>
    </w:p>
    <w:p w14:paraId="1124B2C5" w14:textId="5D3F9C4A" w:rsidR="003F5DCA" w:rsidRDefault="003F5DCA" w:rsidP="003F5DCA">
      <w:pPr>
        <w:numPr>
          <w:ilvl w:val="0"/>
          <w:numId w:val="19"/>
        </w:numPr>
        <w:autoSpaceDE w:val="0"/>
        <w:autoSpaceDN w:val="0"/>
        <w:adjustRightInd w:val="0"/>
        <w:ind w:left="0" w:right="19" w:firstLine="0"/>
        <w:jc w:val="both"/>
        <w:rPr>
          <w:rFonts w:ascii="Verdana" w:hAnsi="Verdana"/>
          <w:sz w:val="20"/>
        </w:rPr>
      </w:pPr>
      <w:r>
        <w:rPr>
          <w:rFonts w:ascii="Verdana" w:hAnsi="Verdana"/>
          <w:sz w:val="20"/>
        </w:rPr>
        <w:t xml:space="preserve">En virtud de lo anterior, </w:t>
      </w:r>
      <w:r w:rsidR="00C30665">
        <w:rPr>
          <w:rFonts w:ascii="Verdana" w:hAnsi="Verdana"/>
          <w:sz w:val="20"/>
        </w:rPr>
        <w:t xml:space="preserve">la Corte </w:t>
      </w:r>
      <w:r>
        <w:rPr>
          <w:rFonts w:ascii="Verdana" w:hAnsi="Verdana"/>
          <w:sz w:val="20"/>
        </w:rPr>
        <w:t xml:space="preserve">lamenta el fallecimiento de las señoras Concepción Herrera Hernández y Emilia González Tercero, quienes eran beneficiarias de las presentes medidas, y por ende procede a levantar las medidas en relación con dichas beneficiarias. </w:t>
      </w:r>
    </w:p>
    <w:p w14:paraId="7EC35C6A" w14:textId="77777777" w:rsidR="003F5DCA" w:rsidRDefault="003F5DCA" w:rsidP="008747D5">
      <w:pPr>
        <w:jc w:val="both"/>
        <w:rPr>
          <w:rFonts w:ascii="Verdana" w:hAnsi="Verdana"/>
          <w:b/>
          <w:i/>
          <w:sz w:val="20"/>
          <w:szCs w:val="20"/>
        </w:rPr>
      </w:pPr>
    </w:p>
    <w:p w14:paraId="21960F7E" w14:textId="7231DF44" w:rsidR="003F5DCA" w:rsidRDefault="00C30665" w:rsidP="00340D37">
      <w:pPr>
        <w:ind w:left="720"/>
        <w:jc w:val="both"/>
        <w:rPr>
          <w:rFonts w:ascii="Verdana" w:hAnsi="Verdana"/>
          <w:b/>
          <w:i/>
          <w:sz w:val="20"/>
          <w:szCs w:val="20"/>
        </w:rPr>
      </w:pPr>
      <w:r>
        <w:rPr>
          <w:rFonts w:ascii="Verdana" w:hAnsi="Verdana"/>
          <w:b/>
          <w:i/>
          <w:sz w:val="20"/>
          <w:szCs w:val="20"/>
        </w:rPr>
        <w:t>B) M</w:t>
      </w:r>
      <w:r w:rsidRPr="00C30665">
        <w:rPr>
          <w:rFonts w:ascii="Verdana" w:hAnsi="Verdana"/>
          <w:b/>
          <w:i/>
          <w:sz w:val="20"/>
          <w:szCs w:val="20"/>
        </w:rPr>
        <w:t>edidas de búsqueda</w:t>
      </w:r>
      <w:r>
        <w:rPr>
          <w:rFonts w:ascii="Verdana" w:hAnsi="Verdana"/>
          <w:b/>
          <w:i/>
          <w:sz w:val="20"/>
          <w:szCs w:val="20"/>
        </w:rPr>
        <w:t xml:space="preserve"> de los desaparecidos</w:t>
      </w:r>
      <w:r w:rsidRPr="00C30665">
        <w:rPr>
          <w:rFonts w:ascii="Verdana" w:hAnsi="Verdana"/>
          <w:b/>
          <w:i/>
          <w:sz w:val="20"/>
          <w:szCs w:val="20"/>
        </w:rPr>
        <w:t xml:space="preserve"> y caso contencioso</w:t>
      </w:r>
    </w:p>
    <w:p w14:paraId="5EED1BE3" w14:textId="77777777" w:rsidR="004F3638" w:rsidRDefault="004F3638" w:rsidP="00340D37">
      <w:pPr>
        <w:ind w:left="720"/>
        <w:jc w:val="both"/>
        <w:rPr>
          <w:rFonts w:ascii="Verdana" w:hAnsi="Verdana"/>
          <w:b/>
          <w:i/>
          <w:sz w:val="20"/>
          <w:szCs w:val="20"/>
        </w:rPr>
      </w:pPr>
    </w:p>
    <w:p w14:paraId="358EBC4F" w14:textId="2723B39C" w:rsidR="00465AD7" w:rsidRPr="008747D5" w:rsidRDefault="004F3638" w:rsidP="008747D5">
      <w:pPr>
        <w:jc w:val="both"/>
        <w:rPr>
          <w:rFonts w:ascii="Verdana" w:eastAsia="Times New Roman" w:hAnsi="Verdana"/>
          <w:i/>
          <w:sz w:val="20"/>
          <w:szCs w:val="20"/>
        </w:rPr>
      </w:pPr>
      <w:r w:rsidRPr="008747D5">
        <w:rPr>
          <w:rFonts w:ascii="Verdana" w:eastAsia="Times New Roman" w:hAnsi="Verdana"/>
          <w:i/>
          <w:sz w:val="20"/>
          <w:szCs w:val="20"/>
        </w:rPr>
        <w:t>Observaciones de la</w:t>
      </w:r>
      <w:r>
        <w:rPr>
          <w:rFonts w:ascii="Verdana" w:eastAsia="Times New Roman" w:hAnsi="Verdana"/>
          <w:i/>
          <w:sz w:val="20"/>
          <w:szCs w:val="20"/>
        </w:rPr>
        <w:t>s partes y de la</w:t>
      </w:r>
      <w:r w:rsidRPr="008747D5">
        <w:rPr>
          <w:rFonts w:ascii="Verdana" w:eastAsia="Times New Roman" w:hAnsi="Verdana"/>
          <w:i/>
          <w:sz w:val="20"/>
          <w:szCs w:val="20"/>
        </w:rPr>
        <w:t xml:space="preserve"> Comisión</w:t>
      </w:r>
    </w:p>
    <w:p w14:paraId="4953B9E4" w14:textId="77777777" w:rsidR="004F3638" w:rsidRDefault="004F3638" w:rsidP="008747D5">
      <w:pPr>
        <w:jc w:val="both"/>
        <w:rPr>
          <w:rFonts w:ascii="Verdana" w:hAnsi="Verdana"/>
          <w:b/>
          <w:i/>
          <w:sz w:val="20"/>
          <w:szCs w:val="20"/>
        </w:rPr>
      </w:pPr>
    </w:p>
    <w:p w14:paraId="26C0EAFE" w14:textId="3C6A5D9C" w:rsidR="00465AD7" w:rsidRPr="005F06DF" w:rsidRDefault="00465AD7" w:rsidP="008747D5">
      <w:pPr>
        <w:pStyle w:val="Default"/>
        <w:numPr>
          <w:ilvl w:val="0"/>
          <w:numId w:val="19"/>
        </w:numPr>
        <w:ind w:left="0" w:firstLine="0"/>
        <w:jc w:val="both"/>
        <w:rPr>
          <w:sz w:val="20"/>
          <w:szCs w:val="20"/>
          <w:lang w:val="es-HN"/>
        </w:rPr>
      </w:pPr>
      <w:r w:rsidRPr="008747D5">
        <w:rPr>
          <w:sz w:val="20"/>
          <w:szCs w:val="20"/>
          <w:lang w:val="es-HN"/>
        </w:rPr>
        <w:t>El</w:t>
      </w:r>
      <w:r w:rsidRPr="0090455F">
        <w:rPr>
          <w:b/>
          <w:sz w:val="20"/>
          <w:szCs w:val="20"/>
          <w:lang w:val="es-HN"/>
        </w:rPr>
        <w:t xml:space="preserve"> </w:t>
      </w:r>
      <w:r w:rsidRPr="00C8736E">
        <w:rPr>
          <w:b/>
          <w:i/>
          <w:sz w:val="20"/>
          <w:szCs w:val="20"/>
          <w:lang w:val="es-HN"/>
        </w:rPr>
        <w:t>Estado</w:t>
      </w:r>
      <w:r>
        <w:rPr>
          <w:sz w:val="20"/>
          <w:szCs w:val="20"/>
          <w:lang w:val="es-HN"/>
        </w:rPr>
        <w:t xml:space="preserve"> </w:t>
      </w:r>
      <w:r w:rsidRPr="008747D5">
        <w:rPr>
          <w:sz w:val="20"/>
          <w:szCs w:val="20"/>
          <w:lang w:val="es-HN"/>
        </w:rPr>
        <w:t xml:space="preserve">proporcionó </w:t>
      </w:r>
      <w:r w:rsidR="005802AC">
        <w:rPr>
          <w:sz w:val="20"/>
          <w:szCs w:val="20"/>
          <w:lang w:val="es-HN"/>
        </w:rPr>
        <w:t xml:space="preserve">a los representantes </w:t>
      </w:r>
      <w:r w:rsidRPr="008747D5">
        <w:rPr>
          <w:sz w:val="20"/>
          <w:szCs w:val="20"/>
          <w:lang w:val="es-HN"/>
        </w:rPr>
        <w:t xml:space="preserve">las coordenadas de ubicación específicas de los lugares </w:t>
      </w:r>
      <w:r w:rsidR="00302309">
        <w:rPr>
          <w:sz w:val="20"/>
          <w:szCs w:val="20"/>
          <w:lang w:val="es-HN"/>
        </w:rPr>
        <w:t>que han sido motivos de</w:t>
      </w:r>
      <w:r w:rsidRPr="008747D5">
        <w:rPr>
          <w:sz w:val="20"/>
          <w:szCs w:val="20"/>
          <w:lang w:val="es-HN"/>
        </w:rPr>
        <w:t xml:space="preserve"> halla</w:t>
      </w:r>
      <w:r w:rsidR="00302309">
        <w:rPr>
          <w:sz w:val="20"/>
          <w:szCs w:val="20"/>
          <w:lang w:val="es-HN"/>
        </w:rPr>
        <w:t>zgo de</w:t>
      </w:r>
      <w:r w:rsidRPr="008747D5">
        <w:rPr>
          <w:sz w:val="20"/>
          <w:szCs w:val="20"/>
          <w:lang w:val="es-HN"/>
        </w:rPr>
        <w:t xml:space="preserve"> restos humanos, en conjunto</w:t>
      </w:r>
      <w:r w:rsidRPr="005F06DF">
        <w:rPr>
          <w:sz w:val="20"/>
          <w:szCs w:val="20"/>
          <w:lang w:val="es-HN"/>
        </w:rPr>
        <w:t xml:space="preserve"> con una clasificación de predios. </w:t>
      </w:r>
      <w:r>
        <w:rPr>
          <w:sz w:val="20"/>
          <w:szCs w:val="20"/>
          <w:lang w:val="es-HN"/>
        </w:rPr>
        <w:t>Asimismo,</w:t>
      </w:r>
      <w:r w:rsidRPr="005F06DF">
        <w:rPr>
          <w:sz w:val="20"/>
          <w:szCs w:val="20"/>
          <w:lang w:val="es-HN"/>
        </w:rPr>
        <w:t xml:space="preserve"> sostuvo que </w:t>
      </w:r>
      <w:r w:rsidR="00302309">
        <w:rPr>
          <w:sz w:val="20"/>
          <w:szCs w:val="20"/>
          <w:lang w:val="es-HN"/>
        </w:rPr>
        <w:t xml:space="preserve">el </w:t>
      </w:r>
      <w:r w:rsidRPr="005F06DF">
        <w:rPr>
          <w:sz w:val="20"/>
          <w:szCs w:val="20"/>
          <w:lang w:val="es-HN"/>
        </w:rPr>
        <w:t>env</w:t>
      </w:r>
      <w:r w:rsidR="00B35750">
        <w:rPr>
          <w:sz w:val="20"/>
          <w:szCs w:val="20"/>
          <w:lang w:val="es-HN"/>
        </w:rPr>
        <w:t>ío</w:t>
      </w:r>
      <w:r w:rsidRPr="005F06DF">
        <w:rPr>
          <w:sz w:val="20"/>
          <w:szCs w:val="20"/>
          <w:lang w:val="es-HN"/>
        </w:rPr>
        <w:t xml:space="preserve"> </w:t>
      </w:r>
      <w:r w:rsidR="00302309">
        <w:rPr>
          <w:sz w:val="20"/>
          <w:szCs w:val="20"/>
          <w:lang w:val="es-HN"/>
        </w:rPr>
        <w:t xml:space="preserve">de </w:t>
      </w:r>
      <w:r w:rsidRPr="005F06DF">
        <w:rPr>
          <w:sz w:val="20"/>
          <w:szCs w:val="20"/>
          <w:lang w:val="es-HN"/>
        </w:rPr>
        <w:t>información</w:t>
      </w:r>
      <w:r w:rsidR="00302309">
        <w:rPr>
          <w:sz w:val="20"/>
          <w:szCs w:val="20"/>
          <w:lang w:val="es-HN"/>
        </w:rPr>
        <w:t xml:space="preserve"> se </w:t>
      </w:r>
      <w:r w:rsidR="00B35750">
        <w:rPr>
          <w:sz w:val="20"/>
          <w:szCs w:val="20"/>
          <w:lang w:val="es-HN"/>
        </w:rPr>
        <w:t>dio</w:t>
      </w:r>
      <w:r w:rsidRPr="005F06DF">
        <w:rPr>
          <w:sz w:val="20"/>
          <w:szCs w:val="20"/>
          <w:lang w:val="es-HN"/>
        </w:rPr>
        <w:t xml:space="preserve"> en dos etapas</w:t>
      </w:r>
      <w:r w:rsidR="003351D4">
        <w:rPr>
          <w:sz w:val="20"/>
          <w:szCs w:val="20"/>
          <w:lang w:val="es-HN"/>
        </w:rPr>
        <w:t>. E</w:t>
      </w:r>
      <w:r w:rsidRPr="005F06DF">
        <w:rPr>
          <w:sz w:val="20"/>
          <w:szCs w:val="20"/>
          <w:lang w:val="es-HN"/>
        </w:rPr>
        <w:t>n la primera</w:t>
      </w:r>
      <w:r>
        <w:rPr>
          <w:sz w:val="20"/>
          <w:szCs w:val="20"/>
          <w:lang w:val="es-HN"/>
        </w:rPr>
        <w:t xml:space="preserve"> etapa, presentó</w:t>
      </w:r>
      <w:r w:rsidRPr="005F06DF">
        <w:rPr>
          <w:sz w:val="20"/>
          <w:szCs w:val="20"/>
          <w:lang w:val="es-HN"/>
        </w:rPr>
        <w:t xml:space="preserve"> </w:t>
      </w:r>
      <w:r w:rsidR="00B35750">
        <w:rPr>
          <w:sz w:val="20"/>
          <w:szCs w:val="20"/>
          <w:lang w:val="es-HN"/>
        </w:rPr>
        <w:t xml:space="preserve"> </w:t>
      </w:r>
      <w:r w:rsidR="005802AC">
        <w:rPr>
          <w:sz w:val="20"/>
          <w:szCs w:val="20"/>
          <w:lang w:val="es-HN"/>
        </w:rPr>
        <w:t>a los representantes</w:t>
      </w:r>
      <w:r w:rsidR="00B35750">
        <w:rPr>
          <w:sz w:val="20"/>
          <w:szCs w:val="20"/>
          <w:lang w:val="es-HN"/>
        </w:rPr>
        <w:t xml:space="preserve"> </w:t>
      </w:r>
      <w:r w:rsidRPr="005F06DF">
        <w:rPr>
          <w:sz w:val="20"/>
          <w:szCs w:val="20"/>
          <w:lang w:val="es-HN"/>
        </w:rPr>
        <w:t xml:space="preserve">información sobre un hallazgo en el municipio de Gomez </w:t>
      </w:r>
      <w:proofErr w:type="spellStart"/>
      <w:r w:rsidRPr="005F06DF">
        <w:rPr>
          <w:sz w:val="20"/>
          <w:szCs w:val="20"/>
          <w:lang w:val="es-HN"/>
        </w:rPr>
        <w:t>Faris</w:t>
      </w:r>
      <w:proofErr w:type="spellEnd"/>
      <w:r w:rsidRPr="005F06DF">
        <w:rPr>
          <w:sz w:val="20"/>
          <w:szCs w:val="20"/>
          <w:lang w:val="es-HN"/>
        </w:rPr>
        <w:t xml:space="preserve"> y dos hallazgos en el municipio de Ascensión. En la segunda etapa</w:t>
      </w:r>
      <w:r>
        <w:rPr>
          <w:sz w:val="20"/>
          <w:szCs w:val="20"/>
          <w:lang w:val="es-HN"/>
        </w:rPr>
        <w:t>, proporcionó</w:t>
      </w:r>
      <w:r w:rsidRPr="005F06DF">
        <w:rPr>
          <w:sz w:val="20"/>
          <w:szCs w:val="20"/>
          <w:lang w:val="es-HN"/>
        </w:rPr>
        <w:t xml:space="preserve"> información sobre una serie de hallazgos en el municipio de </w:t>
      </w:r>
      <w:proofErr w:type="spellStart"/>
      <w:r w:rsidRPr="005F06DF">
        <w:rPr>
          <w:sz w:val="20"/>
          <w:szCs w:val="20"/>
          <w:lang w:val="es-HN"/>
        </w:rPr>
        <w:t>Praxedes</w:t>
      </w:r>
      <w:proofErr w:type="spellEnd"/>
      <w:r w:rsidRPr="005F06DF">
        <w:rPr>
          <w:sz w:val="20"/>
          <w:szCs w:val="20"/>
          <w:lang w:val="es-HN"/>
        </w:rPr>
        <w:t xml:space="preserve"> G. Guerrero.</w:t>
      </w:r>
      <w:r>
        <w:rPr>
          <w:sz w:val="20"/>
          <w:szCs w:val="20"/>
          <w:lang w:val="es-HN"/>
        </w:rPr>
        <w:t xml:space="preserve"> </w:t>
      </w:r>
      <w:r w:rsidRPr="005F06DF">
        <w:rPr>
          <w:sz w:val="20"/>
          <w:szCs w:val="20"/>
          <w:lang w:val="es-HN"/>
        </w:rPr>
        <w:t>En relación</w:t>
      </w:r>
      <w:r>
        <w:rPr>
          <w:sz w:val="20"/>
          <w:szCs w:val="20"/>
          <w:lang w:val="es-HN"/>
        </w:rPr>
        <w:t xml:space="preserve"> a</w:t>
      </w:r>
      <w:r w:rsidRPr="005F06DF">
        <w:rPr>
          <w:sz w:val="20"/>
          <w:szCs w:val="20"/>
          <w:lang w:val="es-HN"/>
        </w:rPr>
        <w:t xml:space="preserve"> la contratación del Equipo Argentino de Antropología Forense </w:t>
      </w:r>
      <w:r w:rsidR="00640217">
        <w:rPr>
          <w:sz w:val="20"/>
          <w:szCs w:val="20"/>
          <w:lang w:val="es-HN"/>
        </w:rPr>
        <w:t xml:space="preserve">(EAAF) </w:t>
      </w:r>
      <w:r w:rsidRPr="005F06DF">
        <w:rPr>
          <w:sz w:val="20"/>
          <w:szCs w:val="20"/>
          <w:lang w:val="es-HN"/>
        </w:rPr>
        <w:t>para la identificación de los restos</w:t>
      </w:r>
      <w:r>
        <w:rPr>
          <w:sz w:val="20"/>
          <w:szCs w:val="20"/>
          <w:lang w:val="es-HN"/>
        </w:rPr>
        <w:t>, el Estado aseguró</w:t>
      </w:r>
      <w:r w:rsidRPr="005F06DF">
        <w:rPr>
          <w:sz w:val="20"/>
          <w:szCs w:val="20"/>
          <w:lang w:val="es-HN"/>
        </w:rPr>
        <w:t xml:space="preserve"> que tenía la intención de celebrar un convenio en el mes de diciembre de 2016 para que el E</w:t>
      </w:r>
      <w:r w:rsidR="00640217">
        <w:rPr>
          <w:sz w:val="20"/>
          <w:szCs w:val="20"/>
          <w:lang w:val="es-HN"/>
        </w:rPr>
        <w:t>AAF</w:t>
      </w:r>
      <w:r>
        <w:rPr>
          <w:sz w:val="20"/>
          <w:szCs w:val="20"/>
          <w:lang w:val="es-HN"/>
        </w:rPr>
        <w:t xml:space="preserve"> prestara</w:t>
      </w:r>
      <w:r w:rsidRPr="005F06DF">
        <w:rPr>
          <w:sz w:val="20"/>
          <w:szCs w:val="20"/>
          <w:lang w:val="es-HN"/>
        </w:rPr>
        <w:t xml:space="preserve"> sus servicios con el fin de llevar a cabo la posible identificación de las personas desaparecidas. </w:t>
      </w:r>
      <w:r>
        <w:rPr>
          <w:sz w:val="20"/>
          <w:szCs w:val="20"/>
          <w:lang w:val="es-HN"/>
        </w:rPr>
        <w:t>En este sentido, aseguró</w:t>
      </w:r>
      <w:r w:rsidRPr="005F06DF">
        <w:rPr>
          <w:sz w:val="20"/>
          <w:szCs w:val="20"/>
          <w:lang w:val="es-HN"/>
        </w:rPr>
        <w:t xml:space="preserve"> que una vez fijados los términos del convenio, iba a notificar a este Tribuna</w:t>
      </w:r>
      <w:r w:rsidR="00640217">
        <w:rPr>
          <w:sz w:val="20"/>
          <w:szCs w:val="20"/>
          <w:lang w:val="es-HN"/>
        </w:rPr>
        <w:t xml:space="preserve">l y a los representantes </w:t>
      </w:r>
      <w:r>
        <w:rPr>
          <w:sz w:val="20"/>
          <w:szCs w:val="20"/>
          <w:lang w:val="es-HN"/>
        </w:rPr>
        <w:t>al respecto</w:t>
      </w:r>
      <w:r w:rsidRPr="005F06DF">
        <w:rPr>
          <w:sz w:val="20"/>
          <w:szCs w:val="20"/>
          <w:lang w:val="es-HN"/>
        </w:rPr>
        <w:t xml:space="preserve">. </w:t>
      </w:r>
      <w:r>
        <w:rPr>
          <w:sz w:val="20"/>
          <w:szCs w:val="20"/>
          <w:lang w:val="es-HN"/>
        </w:rPr>
        <w:t>Por último, i</w:t>
      </w:r>
      <w:r w:rsidRPr="005F06DF">
        <w:rPr>
          <w:sz w:val="20"/>
          <w:szCs w:val="20"/>
          <w:lang w:val="es-HN"/>
        </w:rPr>
        <w:t>nform</w:t>
      </w:r>
      <w:r w:rsidR="00640217">
        <w:rPr>
          <w:sz w:val="20"/>
          <w:szCs w:val="20"/>
          <w:lang w:val="es-HN"/>
        </w:rPr>
        <w:t>ó</w:t>
      </w:r>
      <w:r w:rsidRPr="005F06DF">
        <w:rPr>
          <w:sz w:val="20"/>
          <w:szCs w:val="20"/>
          <w:lang w:val="es-HN"/>
        </w:rPr>
        <w:t xml:space="preserve"> también </w:t>
      </w:r>
      <w:r w:rsidRPr="00465AD7">
        <w:rPr>
          <w:sz w:val="20"/>
          <w:szCs w:val="20"/>
          <w:lang w:val="es-HN"/>
        </w:rPr>
        <w:t xml:space="preserve">que </w:t>
      </w:r>
      <w:r w:rsidR="00640217">
        <w:rPr>
          <w:sz w:val="20"/>
          <w:szCs w:val="20"/>
          <w:lang w:val="es-HN"/>
        </w:rPr>
        <w:t xml:space="preserve">el 15 de junio de 2016 </w:t>
      </w:r>
      <w:r w:rsidRPr="00465AD7">
        <w:rPr>
          <w:sz w:val="20"/>
          <w:szCs w:val="20"/>
          <w:lang w:val="es-HN"/>
        </w:rPr>
        <w:t>se publicó en el Diario Oficial del Estado de Chihuahua, el Decreto número 956/2015 IX P.E</w:t>
      </w:r>
      <w:r w:rsidR="00640217" w:rsidRPr="00640217">
        <w:rPr>
          <w:sz w:val="20"/>
          <w:szCs w:val="20"/>
          <w:lang w:val="es-HN"/>
        </w:rPr>
        <w:t>.,</w:t>
      </w:r>
      <w:r w:rsidR="00640217">
        <w:rPr>
          <w:sz w:val="20"/>
          <w:szCs w:val="20"/>
          <w:lang w:val="es-HN"/>
        </w:rPr>
        <w:t xml:space="preserve"> </w:t>
      </w:r>
      <w:r w:rsidRPr="008747D5">
        <w:rPr>
          <w:sz w:val="20"/>
          <w:szCs w:val="20"/>
          <w:lang w:val="es-HN"/>
        </w:rPr>
        <w:t>en</w:t>
      </w:r>
      <w:r w:rsidRPr="00465AD7">
        <w:rPr>
          <w:sz w:val="20"/>
          <w:szCs w:val="20"/>
          <w:lang w:val="es-HN"/>
        </w:rPr>
        <w:t xml:space="preserve"> el </w:t>
      </w:r>
      <w:r w:rsidR="00640217">
        <w:rPr>
          <w:sz w:val="20"/>
          <w:szCs w:val="20"/>
          <w:lang w:val="es-HN"/>
        </w:rPr>
        <w:t>que se hace de</w:t>
      </w:r>
      <w:r w:rsidRPr="005F06DF">
        <w:rPr>
          <w:sz w:val="20"/>
          <w:szCs w:val="20"/>
          <w:lang w:val="es-HN"/>
        </w:rPr>
        <w:t xml:space="preserve"> conocimiento público la </w:t>
      </w:r>
      <w:r w:rsidR="00640217">
        <w:rPr>
          <w:sz w:val="20"/>
          <w:szCs w:val="20"/>
          <w:lang w:val="es-HN"/>
        </w:rPr>
        <w:t xml:space="preserve">expedición de la </w:t>
      </w:r>
      <w:r w:rsidRPr="005F06DF">
        <w:rPr>
          <w:sz w:val="20"/>
          <w:szCs w:val="20"/>
          <w:lang w:val="es-HN"/>
        </w:rPr>
        <w:t>Ley para la Declaración</w:t>
      </w:r>
      <w:r>
        <w:rPr>
          <w:sz w:val="20"/>
          <w:szCs w:val="20"/>
          <w:lang w:val="es-HN"/>
        </w:rPr>
        <w:t xml:space="preserve"> de Ausencia por Desaparición. </w:t>
      </w:r>
    </w:p>
    <w:p w14:paraId="5203EB36" w14:textId="77777777" w:rsidR="00465AD7" w:rsidRPr="005F06DF" w:rsidRDefault="00465AD7" w:rsidP="00465AD7">
      <w:pPr>
        <w:pStyle w:val="Default"/>
        <w:jc w:val="both"/>
        <w:rPr>
          <w:sz w:val="20"/>
          <w:szCs w:val="20"/>
          <w:lang w:val="es-HN"/>
        </w:rPr>
      </w:pPr>
    </w:p>
    <w:p w14:paraId="0E941EDE" w14:textId="7E34079B" w:rsidR="00465AD7" w:rsidRPr="008747D5" w:rsidRDefault="00465AD7" w:rsidP="008747D5">
      <w:pPr>
        <w:pStyle w:val="Default"/>
        <w:numPr>
          <w:ilvl w:val="0"/>
          <w:numId w:val="19"/>
        </w:numPr>
        <w:ind w:left="0" w:firstLine="0"/>
        <w:jc w:val="both"/>
        <w:rPr>
          <w:sz w:val="20"/>
          <w:szCs w:val="20"/>
          <w:lang w:val="es-HN"/>
        </w:rPr>
      </w:pPr>
      <w:r w:rsidRPr="008747D5">
        <w:rPr>
          <w:sz w:val="20"/>
          <w:szCs w:val="20"/>
          <w:lang w:val="es-HN"/>
        </w:rPr>
        <w:t xml:space="preserve">Los </w:t>
      </w:r>
      <w:r w:rsidRPr="0079624B">
        <w:rPr>
          <w:b/>
          <w:i/>
          <w:sz w:val="20"/>
          <w:szCs w:val="20"/>
          <w:lang w:val="es-HN"/>
        </w:rPr>
        <w:t>representantes</w:t>
      </w:r>
      <w:r>
        <w:rPr>
          <w:b/>
          <w:sz w:val="20"/>
          <w:szCs w:val="20"/>
          <w:lang w:val="es-HN"/>
        </w:rPr>
        <w:t xml:space="preserve"> </w:t>
      </w:r>
      <w:r w:rsidR="00A17A11">
        <w:rPr>
          <w:sz w:val="20"/>
          <w:szCs w:val="20"/>
          <w:lang w:val="es-HN"/>
        </w:rPr>
        <w:t>manifestaron reiteradamente que en varios de los informes estatales,</w:t>
      </w:r>
      <w:r w:rsidRPr="005F06DF">
        <w:rPr>
          <w:sz w:val="20"/>
          <w:szCs w:val="20"/>
          <w:lang w:val="es-HN"/>
        </w:rPr>
        <w:t xml:space="preserve"> no</w:t>
      </w:r>
      <w:r w:rsidR="00A17A11">
        <w:rPr>
          <w:sz w:val="20"/>
          <w:szCs w:val="20"/>
          <w:lang w:val="es-HN"/>
        </w:rPr>
        <w:t xml:space="preserve"> se</w:t>
      </w:r>
      <w:r w:rsidRPr="005F06DF">
        <w:rPr>
          <w:sz w:val="20"/>
          <w:szCs w:val="20"/>
          <w:lang w:val="es-HN"/>
        </w:rPr>
        <w:t xml:space="preserve"> hizo referencia alguna a los avances en l</w:t>
      </w:r>
      <w:r w:rsidR="003351D4">
        <w:rPr>
          <w:sz w:val="20"/>
          <w:szCs w:val="20"/>
          <w:lang w:val="es-HN"/>
        </w:rPr>
        <w:t>a búsqueda de los desaparecidos</w:t>
      </w:r>
      <w:r w:rsidR="00640217">
        <w:rPr>
          <w:sz w:val="20"/>
          <w:szCs w:val="20"/>
          <w:lang w:val="es-HN"/>
        </w:rPr>
        <w:t xml:space="preserve"> e investigación de los hechos</w:t>
      </w:r>
      <w:r w:rsidR="004F3638">
        <w:rPr>
          <w:sz w:val="20"/>
          <w:szCs w:val="20"/>
          <w:lang w:val="es-HN"/>
        </w:rPr>
        <w:t>.</w:t>
      </w:r>
      <w:r w:rsidR="00640217">
        <w:rPr>
          <w:sz w:val="20"/>
          <w:szCs w:val="20"/>
          <w:lang w:val="es-HN"/>
        </w:rPr>
        <w:t xml:space="preserve"> Además, indicaron que</w:t>
      </w:r>
      <w:r w:rsidR="003351D4">
        <w:rPr>
          <w:sz w:val="20"/>
          <w:szCs w:val="20"/>
          <w:lang w:val="es-HN"/>
        </w:rPr>
        <w:t xml:space="preserve"> tampoco </w:t>
      </w:r>
      <w:r w:rsidR="00640217">
        <w:rPr>
          <w:sz w:val="20"/>
          <w:szCs w:val="20"/>
          <w:lang w:val="es-HN"/>
        </w:rPr>
        <w:t xml:space="preserve">se </w:t>
      </w:r>
      <w:r w:rsidR="003351D4">
        <w:rPr>
          <w:sz w:val="20"/>
          <w:szCs w:val="20"/>
          <w:lang w:val="es-HN"/>
        </w:rPr>
        <w:t xml:space="preserve">dio </w:t>
      </w:r>
      <w:r w:rsidRPr="005F06DF">
        <w:rPr>
          <w:sz w:val="20"/>
          <w:szCs w:val="20"/>
          <w:lang w:val="es-HN"/>
        </w:rPr>
        <w:t xml:space="preserve">cumplimiento </w:t>
      </w:r>
      <w:r w:rsidR="003351D4">
        <w:rPr>
          <w:sz w:val="20"/>
          <w:szCs w:val="20"/>
          <w:lang w:val="es-HN"/>
        </w:rPr>
        <w:t xml:space="preserve">a </w:t>
      </w:r>
      <w:r w:rsidRPr="005F06DF">
        <w:rPr>
          <w:sz w:val="20"/>
          <w:szCs w:val="20"/>
          <w:lang w:val="es-HN"/>
        </w:rPr>
        <w:t xml:space="preserve">la presentación del cronograma de búsqueda. </w:t>
      </w:r>
      <w:r w:rsidR="004F3638">
        <w:rPr>
          <w:sz w:val="20"/>
          <w:szCs w:val="20"/>
          <w:lang w:val="es-HN"/>
        </w:rPr>
        <w:t>R</w:t>
      </w:r>
      <w:r w:rsidRPr="005F06DF">
        <w:rPr>
          <w:sz w:val="20"/>
          <w:szCs w:val="20"/>
          <w:lang w:val="es-HN"/>
        </w:rPr>
        <w:t xml:space="preserve">especto </w:t>
      </w:r>
      <w:r w:rsidR="004F3638">
        <w:rPr>
          <w:sz w:val="20"/>
          <w:szCs w:val="20"/>
          <w:lang w:val="es-HN"/>
        </w:rPr>
        <w:t>al</w:t>
      </w:r>
      <w:r w:rsidRPr="005F06DF">
        <w:rPr>
          <w:sz w:val="20"/>
          <w:szCs w:val="20"/>
          <w:lang w:val="es-HN"/>
        </w:rPr>
        <w:t xml:space="preserve"> </w:t>
      </w:r>
      <w:r w:rsidR="004F3638">
        <w:rPr>
          <w:sz w:val="20"/>
          <w:szCs w:val="20"/>
          <w:lang w:val="es-HN"/>
        </w:rPr>
        <w:t xml:space="preserve">cumplimiento del </w:t>
      </w:r>
      <w:r w:rsidRPr="005F06DF">
        <w:rPr>
          <w:sz w:val="20"/>
          <w:szCs w:val="20"/>
          <w:lang w:val="es-HN"/>
        </w:rPr>
        <w:t>plan de búsqueda presentado por el Estado</w:t>
      </w:r>
      <w:r w:rsidR="004F3638">
        <w:rPr>
          <w:sz w:val="20"/>
          <w:szCs w:val="20"/>
          <w:lang w:val="es-HN"/>
        </w:rPr>
        <w:t xml:space="preserve">, señalaron únicamente tener conocimiento </w:t>
      </w:r>
      <w:r w:rsidRPr="005F06DF">
        <w:rPr>
          <w:sz w:val="20"/>
          <w:szCs w:val="20"/>
          <w:lang w:val="es-HN"/>
        </w:rPr>
        <w:t xml:space="preserve"> </w:t>
      </w:r>
      <w:r w:rsidR="004F3638">
        <w:rPr>
          <w:sz w:val="20"/>
          <w:szCs w:val="20"/>
          <w:lang w:val="es-HN"/>
        </w:rPr>
        <w:t>de la realización de la</w:t>
      </w:r>
      <w:r w:rsidRPr="005F06DF">
        <w:rPr>
          <w:sz w:val="20"/>
          <w:szCs w:val="20"/>
          <w:lang w:val="es-HN"/>
        </w:rPr>
        <w:t xml:space="preserve"> difusión de </w:t>
      </w:r>
      <w:r w:rsidR="004F3638">
        <w:rPr>
          <w:sz w:val="20"/>
          <w:szCs w:val="20"/>
          <w:lang w:val="es-HN"/>
        </w:rPr>
        <w:t xml:space="preserve">la </w:t>
      </w:r>
      <w:r w:rsidRPr="005F06DF">
        <w:rPr>
          <w:sz w:val="20"/>
          <w:szCs w:val="20"/>
          <w:lang w:val="es-HN"/>
        </w:rPr>
        <w:t xml:space="preserve">recompensa ofrecida por la Procuraduría General de la Republica y una diligencia de rastreo </w:t>
      </w:r>
      <w:r w:rsidR="004F3638">
        <w:rPr>
          <w:sz w:val="20"/>
          <w:szCs w:val="20"/>
          <w:lang w:val="es-HN"/>
        </w:rPr>
        <w:t>durante</w:t>
      </w:r>
      <w:r w:rsidRPr="005F06DF">
        <w:rPr>
          <w:sz w:val="20"/>
          <w:szCs w:val="20"/>
          <w:lang w:val="es-HN"/>
        </w:rPr>
        <w:t xml:space="preserve"> el mes de junio de 2015.</w:t>
      </w:r>
      <w:r w:rsidR="009818D0">
        <w:rPr>
          <w:sz w:val="20"/>
          <w:szCs w:val="20"/>
          <w:lang w:val="es-HN"/>
        </w:rPr>
        <w:t xml:space="preserve"> </w:t>
      </w:r>
      <w:r w:rsidR="00640217">
        <w:rPr>
          <w:sz w:val="20"/>
          <w:szCs w:val="20"/>
          <w:lang w:val="es-HN"/>
        </w:rPr>
        <w:t>Además</w:t>
      </w:r>
      <w:r w:rsidRPr="005F06DF">
        <w:rPr>
          <w:sz w:val="20"/>
          <w:szCs w:val="20"/>
          <w:lang w:val="es-HN"/>
        </w:rPr>
        <w:t>, los representantes señalaron que el Estado no ha presentado ningún avance sobre la implementación de las 80 recomendaciones hechas por el Equipo Internacional de Peritos (EIP).</w:t>
      </w:r>
      <w:r w:rsidR="009818D0">
        <w:rPr>
          <w:sz w:val="20"/>
          <w:szCs w:val="20"/>
          <w:lang w:val="es-HN"/>
        </w:rPr>
        <w:t xml:space="preserve"> </w:t>
      </w:r>
      <w:r w:rsidR="00640217">
        <w:rPr>
          <w:sz w:val="20"/>
          <w:szCs w:val="20"/>
          <w:lang w:val="es-HN"/>
        </w:rPr>
        <w:t>Por otra parte, h</w:t>
      </w:r>
      <w:r w:rsidRPr="00A17A11">
        <w:rPr>
          <w:sz w:val="20"/>
          <w:szCs w:val="20"/>
          <w:lang w:val="es-HN"/>
        </w:rPr>
        <w:t xml:space="preserve">icieron referencia a la excesiva dilatación en la contratación del </w:t>
      </w:r>
      <w:r w:rsidR="00640217">
        <w:rPr>
          <w:sz w:val="20"/>
          <w:szCs w:val="20"/>
          <w:lang w:val="es-HN"/>
        </w:rPr>
        <w:t>EAAF</w:t>
      </w:r>
      <w:r w:rsidRPr="00A17A11">
        <w:rPr>
          <w:sz w:val="20"/>
          <w:szCs w:val="20"/>
          <w:lang w:val="es-HN"/>
        </w:rPr>
        <w:t xml:space="preserve">, para la identificación de restos humanos encontrados en tres fosas clandestinas en Chihuahua. </w:t>
      </w:r>
      <w:r w:rsidR="004F3638">
        <w:rPr>
          <w:sz w:val="20"/>
          <w:szCs w:val="20"/>
          <w:lang w:val="es-HN"/>
        </w:rPr>
        <w:t xml:space="preserve">En este sentido, </w:t>
      </w:r>
      <w:r w:rsidRPr="00A17A11">
        <w:rPr>
          <w:sz w:val="20"/>
          <w:szCs w:val="20"/>
          <w:lang w:val="es-HN"/>
        </w:rPr>
        <w:t>solicitaron</w:t>
      </w:r>
      <w:r w:rsidR="004F3638">
        <w:rPr>
          <w:sz w:val="20"/>
          <w:szCs w:val="20"/>
          <w:lang w:val="es-HN"/>
        </w:rPr>
        <w:t xml:space="preserve"> a la Corte</w:t>
      </w:r>
      <w:r w:rsidRPr="00A17A11">
        <w:rPr>
          <w:sz w:val="20"/>
          <w:szCs w:val="20"/>
          <w:lang w:val="es-HN"/>
        </w:rPr>
        <w:t xml:space="preserve"> que requiriera al Estado </w:t>
      </w:r>
      <w:r w:rsidR="004F3638">
        <w:rPr>
          <w:sz w:val="20"/>
          <w:szCs w:val="20"/>
          <w:lang w:val="es-HN"/>
        </w:rPr>
        <w:t>a dar</w:t>
      </w:r>
      <w:r w:rsidR="00302309">
        <w:rPr>
          <w:sz w:val="20"/>
          <w:szCs w:val="20"/>
          <w:lang w:val="es-HN"/>
        </w:rPr>
        <w:t xml:space="preserve"> cumplimiento a</w:t>
      </w:r>
      <w:r w:rsidRPr="00A17A11">
        <w:rPr>
          <w:sz w:val="20"/>
          <w:szCs w:val="20"/>
          <w:lang w:val="es-HN"/>
        </w:rPr>
        <w:t xml:space="preserve"> las medidas en relación a la identificación </w:t>
      </w:r>
      <w:r w:rsidR="004F3638">
        <w:rPr>
          <w:sz w:val="20"/>
          <w:szCs w:val="20"/>
          <w:lang w:val="es-HN"/>
        </w:rPr>
        <w:t>de los restos calcinados en el E</w:t>
      </w:r>
      <w:r w:rsidRPr="00A17A11">
        <w:rPr>
          <w:sz w:val="20"/>
          <w:szCs w:val="20"/>
          <w:lang w:val="es-HN"/>
        </w:rPr>
        <w:t>stado de Chihuahua</w:t>
      </w:r>
      <w:r w:rsidR="004F3638">
        <w:rPr>
          <w:sz w:val="20"/>
          <w:szCs w:val="20"/>
          <w:lang w:val="es-HN"/>
        </w:rPr>
        <w:t xml:space="preserve">, y que </w:t>
      </w:r>
      <w:r w:rsidRPr="00A17A11">
        <w:rPr>
          <w:sz w:val="20"/>
          <w:szCs w:val="20"/>
          <w:lang w:val="es-HN"/>
        </w:rPr>
        <w:t>presentara un informe completo y detallado del cronograma de búsqueda de las personas desaparecidas, de los avances alcanzados y del seguimiento efectuado a las recomendaciones de búsqueda realizadas por el E</w:t>
      </w:r>
      <w:r w:rsidR="004F3638">
        <w:rPr>
          <w:sz w:val="20"/>
          <w:szCs w:val="20"/>
          <w:lang w:val="es-HN"/>
        </w:rPr>
        <w:t>IP</w:t>
      </w:r>
      <w:r w:rsidRPr="00A17A11">
        <w:rPr>
          <w:sz w:val="20"/>
          <w:szCs w:val="20"/>
          <w:lang w:val="es-HN"/>
        </w:rPr>
        <w:t xml:space="preserve"> en la Resolución de 23 de junio de 2015.</w:t>
      </w:r>
      <w:r w:rsidRPr="00A17A11">
        <w:rPr>
          <w:b/>
          <w:sz w:val="20"/>
          <w:szCs w:val="20"/>
          <w:lang w:val="es-HN"/>
        </w:rPr>
        <w:t xml:space="preserve"> </w:t>
      </w:r>
    </w:p>
    <w:p w14:paraId="6370F56D" w14:textId="77777777" w:rsidR="00465AD7" w:rsidRDefault="00465AD7" w:rsidP="00465AD7">
      <w:pPr>
        <w:pStyle w:val="Default"/>
        <w:jc w:val="both"/>
        <w:rPr>
          <w:b/>
          <w:sz w:val="20"/>
          <w:szCs w:val="20"/>
          <w:lang w:val="es-HN"/>
        </w:rPr>
      </w:pPr>
    </w:p>
    <w:p w14:paraId="7F843B13" w14:textId="092CBF76" w:rsidR="00465AD7" w:rsidRDefault="00465AD7" w:rsidP="008747D5">
      <w:pPr>
        <w:pStyle w:val="Default"/>
        <w:numPr>
          <w:ilvl w:val="0"/>
          <w:numId w:val="19"/>
        </w:numPr>
        <w:ind w:left="0" w:firstLine="0"/>
        <w:jc w:val="both"/>
        <w:rPr>
          <w:b/>
          <w:sz w:val="20"/>
          <w:szCs w:val="20"/>
          <w:lang w:val="es-HN"/>
        </w:rPr>
      </w:pPr>
      <w:r w:rsidRPr="008747D5">
        <w:rPr>
          <w:sz w:val="20"/>
          <w:szCs w:val="20"/>
          <w:lang w:val="es-HN"/>
        </w:rPr>
        <w:t>Por su parte</w:t>
      </w:r>
      <w:r w:rsidRPr="00465AD7">
        <w:rPr>
          <w:sz w:val="20"/>
          <w:szCs w:val="20"/>
          <w:lang w:val="es-HN"/>
        </w:rPr>
        <w:t>,</w:t>
      </w:r>
      <w:r w:rsidRPr="005756AD">
        <w:rPr>
          <w:sz w:val="20"/>
          <w:szCs w:val="20"/>
          <w:lang w:val="es-HN"/>
        </w:rPr>
        <w:t xml:space="preserve"> </w:t>
      </w:r>
      <w:r>
        <w:rPr>
          <w:sz w:val="20"/>
          <w:szCs w:val="20"/>
          <w:lang w:val="es-HN"/>
        </w:rPr>
        <w:t xml:space="preserve">la </w:t>
      </w:r>
      <w:r w:rsidRPr="0090455F">
        <w:rPr>
          <w:b/>
          <w:sz w:val="20"/>
          <w:szCs w:val="20"/>
          <w:lang w:val="es-HN"/>
        </w:rPr>
        <w:t>Comisión</w:t>
      </w:r>
      <w:r w:rsidRPr="0090455F">
        <w:rPr>
          <w:sz w:val="20"/>
          <w:szCs w:val="20"/>
          <w:lang w:val="es-HN"/>
        </w:rPr>
        <w:t xml:space="preserve"> </w:t>
      </w:r>
      <w:r>
        <w:rPr>
          <w:sz w:val="20"/>
          <w:szCs w:val="20"/>
          <w:lang w:val="es-HN"/>
        </w:rPr>
        <w:t xml:space="preserve">observó </w:t>
      </w:r>
      <w:r w:rsidRPr="005756AD">
        <w:rPr>
          <w:sz w:val="20"/>
          <w:szCs w:val="20"/>
          <w:lang w:val="es-HN"/>
        </w:rPr>
        <w:t xml:space="preserve">que </w:t>
      </w:r>
      <w:r w:rsidR="004F3638">
        <w:rPr>
          <w:sz w:val="20"/>
          <w:szCs w:val="20"/>
          <w:lang w:val="es-HN"/>
        </w:rPr>
        <w:t>los</w:t>
      </w:r>
      <w:r w:rsidRPr="005756AD">
        <w:rPr>
          <w:sz w:val="20"/>
          <w:szCs w:val="20"/>
          <w:lang w:val="es-HN"/>
        </w:rPr>
        <w:t xml:space="preserve"> informe</w:t>
      </w:r>
      <w:r w:rsidR="004F3638">
        <w:rPr>
          <w:sz w:val="20"/>
          <w:szCs w:val="20"/>
          <w:lang w:val="es-HN"/>
        </w:rPr>
        <w:t>s</w:t>
      </w:r>
      <w:r w:rsidRPr="005756AD">
        <w:rPr>
          <w:sz w:val="20"/>
          <w:szCs w:val="20"/>
          <w:lang w:val="es-HN"/>
        </w:rPr>
        <w:t xml:space="preserve"> </w:t>
      </w:r>
      <w:r w:rsidRPr="005A13CB">
        <w:rPr>
          <w:sz w:val="20"/>
          <w:szCs w:val="20"/>
          <w:lang w:val="es-HN"/>
        </w:rPr>
        <w:t>estatal</w:t>
      </w:r>
      <w:r w:rsidR="004F3638">
        <w:rPr>
          <w:sz w:val="20"/>
          <w:szCs w:val="20"/>
          <w:lang w:val="es-HN"/>
        </w:rPr>
        <w:t>es</w:t>
      </w:r>
      <w:r w:rsidRPr="005A13CB">
        <w:rPr>
          <w:sz w:val="20"/>
          <w:szCs w:val="20"/>
          <w:lang w:val="es-HN"/>
        </w:rPr>
        <w:t xml:space="preserve"> no </w:t>
      </w:r>
      <w:r w:rsidR="00056BDF">
        <w:rPr>
          <w:sz w:val="20"/>
          <w:szCs w:val="20"/>
          <w:lang w:val="es-HN"/>
        </w:rPr>
        <w:t>hacen</w:t>
      </w:r>
      <w:r w:rsidR="00056BDF" w:rsidRPr="005A13CB">
        <w:rPr>
          <w:sz w:val="20"/>
          <w:szCs w:val="20"/>
          <w:lang w:val="es-HN"/>
        </w:rPr>
        <w:t xml:space="preserve"> </w:t>
      </w:r>
      <w:r w:rsidRPr="005A13CB">
        <w:rPr>
          <w:sz w:val="20"/>
          <w:szCs w:val="20"/>
          <w:lang w:val="es-HN"/>
        </w:rPr>
        <w:t>referencia</w:t>
      </w:r>
      <w:r w:rsidRPr="0090455F">
        <w:rPr>
          <w:sz w:val="20"/>
          <w:szCs w:val="20"/>
          <w:lang w:val="es-HN"/>
        </w:rPr>
        <w:t xml:space="preserve"> a las acciones realizadas para la búsqueda de las personas desaparecidas, las cuales fueron las que motivaron en principio las presentes medidas. </w:t>
      </w:r>
      <w:r>
        <w:rPr>
          <w:sz w:val="20"/>
          <w:szCs w:val="20"/>
          <w:lang w:val="es-HN"/>
        </w:rPr>
        <w:t xml:space="preserve">Además, resaltó </w:t>
      </w:r>
      <w:r w:rsidRPr="0090455F">
        <w:rPr>
          <w:sz w:val="20"/>
          <w:szCs w:val="20"/>
          <w:lang w:val="es-HN"/>
        </w:rPr>
        <w:t xml:space="preserve">que la situación </w:t>
      </w:r>
      <w:r w:rsidRPr="0090455F">
        <w:rPr>
          <w:sz w:val="20"/>
          <w:szCs w:val="20"/>
          <w:lang w:val="es-HN"/>
        </w:rPr>
        <w:lastRenderedPageBreak/>
        <w:t>antes mencionada contrasta el propósito y principio de protección internacional de este Tribunal considerando especialmente que existen indicios de participación estatal en el asunto.</w:t>
      </w:r>
      <w:r w:rsidR="009818D0">
        <w:rPr>
          <w:sz w:val="20"/>
          <w:szCs w:val="20"/>
          <w:lang w:val="es-HN"/>
        </w:rPr>
        <w:t xml:space="preserve"> </w:t>
      </w:r>
      <w:r w:rsidR="004F3638">
        <w:rPr>
          <w:sz w:val="20"/>
          <w:szCs w:val="20"/>
          <w:lang w:val="es-HN"/>
        </w:rPr>
        <w:t>L</w:t>
      </w:r>
      <w:r w:rsidRPr="0090455F">
        <w:rPr>
          <w:sz w:val="20"/>
          <w:szCs w:val="20"/>
          <w:lang w:val="es-HN"/>
        </w:rPr>
        <w:t xml:space="preserve">a Comisión solicitó a este Tribunal que se requiriera al Estado presentar información específica sobre las medidas aplicadas para localizar </w:t>
      </w:r>
      <w:r w:rsidRPr="00D71C61">
        <w:rPr>
          <w:sz w:val="20"/>
          <w:szCs w:val="20"/>
          <w:lang w:val="es-HN"/>
        </w:rPr>
        <w:t>el paradero</w:t>
      </w:r>
      <w:r w:rsidR="004F3638">
        <w:rPr>
          <w:sz w:val="20"/>
          <w:szCs w:val="20"/>
          <w:lang w:val="es-HN"/>
        </w:rPr>
        <w:t xml:space="preserve"> de los beneficiarios.</w:t>
      </w:r>
      <w:r w:rsidRPr="004527CA">
        <w:rPr>
          <w:sz w:val="20"/>
          <w:szCs w:val="20"/>
          <w:lang w:val="es-HN"/>
        </w:rPr>
        <w:t xml:space="preserve"> </w:t>
      </w:r>
    </w:p>
    <w:p w14:paraId="31614F03" w14:textId="77777777" w:rsidR="002F52B8" w:rsidRDefault="002F52B8" w:rsidP="008747D5">
      <w:pPr>
        <w:autoSpaceDE w:val="0"/>
        <w:autoSpaceDN w:val="0"/>
        <w:adjustRightInd w:val="0"/>
        <w:ind w:right="19"/>
        <w:jc w:val="both"/>
        <w:rPr>
          <w:rFonts w:ascii="Verdana" w:hAnsi="Verdana"/>
          <w:i/>
          <w:sz w:val="20"/>
          <w:szCs w:val="20"/>
          <w:lang w:val="es-MX"/>
        </w:rPr>
      </w:pPr>
    </w:p>
    <w:p w14:paraId="5330BD4A" w14:textId="77777777" w:rsidR="002F52B8" w:rsidRPr="008747D5" w:rsidRDefault="002F52B8" w:rsidP="008747D5">
      <w:pPr>
        <w:autoSpaceDE w:val="0"/>
        <w:autoSpaceDN w:val="0"/>
        <w:adjustRightInd w:val="0"/>
        <w:ind w:right="19"/>
        <w:jc w:val="both"/>
        <w:rPr>
          <w:rFonts w:ascii="Verdana" w:hAnsi="Verdana"/>
          <w:i/>
          <w:sz w:val="20"/>
          <w:szCs w:val="20"/>
          <w:lang w:val="es-MX"/>
        </w:rPr>
      </w:pPr>
      <w:r w:rsidRPr="008747D5">
        <w:rPr>
          <w:rFonts w:ascii="Verdana" w:hAnsi="Verdana"/>
          <w:i/>
          <w:sz w:val="20"/>
          <w:szCs w:val="20"/>
          <w:lang w:val="es-MX"/>
        </w:rPr>
        <w:t xml:space="preserve">Consideraciones de la Corte </w:t>
      </w:r>
    </w:p>
    <w:p w14:paraId="4641FDAA" w14:textId="77777777" w:rsidR="00667E1F" w:rsidRDefault="00667E1F" w:rsidP="008747D5">
      <w:pPr>
        <w:pStyle w:val="Default"/>
        <w:jc w:val="both"/>
        <w:rPr>
          <w:sz w:val="20"/>
          <w:szCs w:val="20"/>
          <w:lang w:val="es-HN"/>
        </w:rPr>
      </w:pPr>
    </w:p>
    <w:p w14:paraId="6CAD32A1" w14:textId="3773033E" w:rsidR="00667E1F" w:rsidRPr="005959B9" w:rsidRDefault="00667E1F" w:rsidP="00667E1F">
      <w:pPr>
        <w:numPr>
          <w:ilvl w:val="0"/>
          <w:numId w:val="19"/>
        </w:numPr>
        <w:autoSpaceDE w:val="0"/>
        <w:autoSpaceDN w:val="0"/>
        <w:adjustRightInd w:val="0"/>
        <w:ind w:left="0" w:right="19" w:firstLine="0"/>
        <w:jc w:val="both"/>
        <w:rPr>
          <w:rFonts w:ascii="Verdana" w:hAnsi="Verdana"/>
          <w:sz w:val="20"/>
          <w:szCs w:val="20"/>
        </w:rPr>
      </w:pPr>
      <w:r>
        <w:rPr>
          <w:rFonts w:ascii="Verdana" w:hAnsi="Verdana"/>
          <w:sz w:val="20"/>
          <w:szCs w:val="20"/>
        </w:rPr>
        <w:t>Esta Corte re</w:t>
      </w:r>
      <w:r w:rsidR="00B35750">
        <w:rPr>
          <w:rFonts w:ascii="Verdana" w:hAnsi="Verdana"/>
          <w:sz w:val="20"/>
          <w:szCs w:val="20"/>
        </w:rPr>
        <w:t>itera</w:t>
      </w:r>
      <w:r w:rsidRPr="00D22146">
        <w:rPr>
          <w:rFonts w:ascii="Verdana" w:hAnsi="Verdana"/>
          <w:sz w:val="20"/>
          <w:szCs w:val="20"/>
        </w:rPr>
        <w:t xml:space="preserve"> que cuando haya motivos razonables para sospechar que una persona ha sido sometida a desaparición, es imprescindible la actuación pronta e inmediata de las autoridades fiscales y judiciales ordenando medidas oportunas y necesarias dirigidas a la determinación del paradero de la </w:t>
      </w:r>
      <w:r w:rsidR="00B35750">
        <w:rPr>
          <w:rFonts w:ascii="Verdana" w:hAnsi="Verdana"/>
          <w:sz w:val="20"/>
          <w:szCs w:val="20"/>
        </w:rPr>
        <w:t xml:space="preserve">presunta </w:t>
      </w:r>
      <w:r w:rsidRPr="00D22146">
        <w:rPr>
          <w:rFonts w:ascii="Verdana" w:hAnsi="Verdana"/>
          <w:sz w:val="20"/>
          <w:szCs w:val="20"/>
        </w:rPr>
        <w:t>víctima</w:t>
      </w:r>
      <w:r>
        <w:rPr>
          <w:rStyle w:val="FootnoteReference"/>
        </w:rPr>
        <w:footnoteReference w:id="3"/>
      </w:r>
      <w:r w:rsidRPr="00D22146">
        <w:rPr>
          <w:rFonts w:ascii="Verdana" w:hAnsi="Verdana"/>
          <w:sz w:val="20"/>
          <w:szCs w:val="20"/>
        </w:rPr>
        <w:t>.</w:t>
      </w:r>
    </w:p>
    <w:p w14:paraId="4B7C3C74" w14:textId="77777777" w:rsidR="00667E1F" w:rsidRPr="006A59E8" w:rsidRDefault="00667E1F" w:rsidP="00667E1F">
      <w:pPr>
        <w:rPr>
          <w:rFonts w:ascii="Verdana" w:hAnsi="Verdana"/>
          <w:sz w:val="20"/>
          <w:szCs w:val="20"/>
          <w:lang w:val="es-ES"/>
        </w:rPr>
      </w:pPr>
    </w:p>
    <w:p w14:paraId="7828129E" w14:textId="24F992C8" w:rsidR="00667E1F" w:rsidRDefault="00667E1F" w:rsidP="00667E1F">
      <w:pPr>
        <w:numPr>
          <w:ilvl w:val="0"/>
          <w:numId w:val="19"/>
        </w:numPr>
        <w:autoSpaceDE w:val="0"/>
        <w:autoSpaceDN w:val="0"/>
        <w:adjustRightInd w:val="0"/>
        <w:ind w:left="0" w:right="19" w:firstLine="0"/>
        <w:jc w:val="both"/>
        <w:rPr>
          <w:rFonts w:ascii="Verdana" w:hAnsi="Verdana"/>
          <w:sz w:val="20"/>
          <w:szCs w:val="20"/>
          <w:lang w:val="es-ES"/>
        </w:rPr>
      </w:pPr>
      <w:r w:rsidRPr="002E3373">
        <w:rPr>
          <w:rFonts w:ascii="Verdana" w:hAnsi="Verdana"/>
          <w:sz w:val="20"/>
          <w:szCs w:val="20"/>
          <w:lang w:val="es-ES"/>
        </w:rPr>
        <w:t>De acuerdo con la jurisprudencia del Tribunal respecto del móvil de la desaparición forzada, dichas personas continuarían experimentando un grave riesgo para su vida e integridad personal, entre otros derechos, en tanto no se conozca su paradero. La Corte destaca el carácter fundamentalmente tutelar de la medidas provisionales, especialmente en este tipo de asunto,</w:t>
      </w:r>
      <w:r w:rsidRPr="002E3373">
        <w:rPr>
          <w:rFonts w:ascii="Verdana" w:hAnsi="Verdana"/>
          <w:sz w:val="20"/>
          <w:szCs w:val="20"/>
        </w:rPr>
        <w:t xml:space="preserve"> por cuanto pretenden proteger los derechos humanos, en la medida en que buscan evitar daños irreparables a las personas. </w:t>
      </w:r>
      <w:r w:rsidRPr="002E3373">
        <w:rPr>
          <w:rFonts w:ascii="Verdana" w:hAnsi="Verdana"/>
          <w:sz w:val="20"/>
          <w:szCs w:val="20"/>
          <w:lang w:val="es-ES"/>
        </w:rPr>
        <w:t>Por lo que el transcurso del tiempo en este asunto y la falta de avances en las investigaciones afecta directamente el efecto útil de las presentes medidas provisionales, al no evitar daños irreparables a la vida e integridad de las tres personas desaparecidas a través de la acción expedita de las autoridades nacionales para dar con su paradero</w:t>
      </w:r>
      <w:r>
        <w:rPr>
          <w:rStyle w:val="FootnoteReference"/>
          <w:lang w:val="es-ES"/>
        </w:rPr>
        <w:footnoteReference w:id="4"/>
      </w:r>
      <w:r w:rsidRPr="00C30B6A">
        <w:rPr>
          <w:rFonts w:ascii="Verdana" w:hAnsi="Verdana"/>
          <w:sz w:val="20"/>
          <w:szCs w:val="20"/>
          <w:lang w:val="es-ES"/>
        </w:rPr>
        <w:t>.</w:t>
      </w:r>
    </w:p>
    <w:p w14:paraId="345F277E" w14:textId="77777777" w:rsidR="00667E1F" w:rsidRDefault="00667E1F" w:rsidP="00667E1F">
      <w:pPr>
        <w:autoSpaceDE w:val="0"/>
        <w:autoSpaceDN w:val="0"/>
        <w:adjustRightInd w:val="0"/>
        <w:ind w:right="19"/>
        <w:jc w:val="both"/>
        <w:rPr>
          <w:rFonts w:ascii="Verdana" w:hAnsi="Verdana"/>
          <w:sz w:val="20"/>
          <w:szCs w:val="20"/>
          <w:lang w:val="es-ES"/>
        </w:rPr>
      </w:pPr>
    </w:p>
    <w:p w14:paraId="650978A8" w14:textId="6B9E2B00" w:rsidR="00F22AD2" w:rsidRDefault="00F22AD2" w:rsidP="00F22AD2">
      <w:pPr>
        <w:pStyle w:val="Default"/>
        <w:numPr>
          <w:ilvl w:val="0"/>
          <w:numId w:val="19"/>
        </w:numPr>
        <w:ind w:left="0" w:firstLine="0"/>
        <w:jc w:val="both"/>
        <w:rPr>
          <w:sz w:val="20"/>
          <w:szCs w:val="20"/>
          <w:lang w:val="es-HN"/>
        </w:rPr>
      </w:pPr>
      <w:r w:rsidRPr="002F52B8">
        <w:rPr>
          <w:sz w:val="20"/>
          <w:szCs w:val="20"/>
          <w:lang w:val="es-HN"/>
        </w:rPr>
        <w:t xml:space="preserve">En relación </w:t>
      </w:r>
      <w:r w:rsidR="00056BDF">
        <w:rPr>
          <w:sz w:val="20"/>
          <w:szCs w:val="20"/>
          <w:lang w:val="es-HN"/>
        </w:rPr>
        <w:t>con</w:t>
      </w:r>
      <w:r w:rsidRPr="002F52B8">
        <w:rPr>
          <w:sz w:val="20"/>
          <w:szCs w:val="20"/>
          <w:lang w:val="es-HN"/>
        </w:rPr>
        <w:t xml:space="preserve"> la búsqueda de los desaparecidos, este Tribunal </w:t>
      </w:r>
      <w:r>
        <w:rPr>
          <w:sz w:val="20"/>
          <w:szCs w:val="20"/>
          <w:lang w:val="es-HN"/>
        </w:rPr>
        <w:t>recuerda que</w:t>
      </w:r>
      <w:r w:rsidR="00056BDF">
        <w:rPr>
          <w:sz w:val="20"/>
          <w:szCs w:val="20"/>
          <w:lang w:val="es-HN"/>
        </w:rPr>
        <w:t>,</w:t>
      </w:r>
      <w:r>
        <w:rPr>
          <w:sz w:val="20"/>
          <w:szCs w:val="20"/>
          <w:lang w:val="es-HN"/>
        </w:rPr>
        <w:t xml:space="preserve"> </w:t>
      </w:r>
      <w:r w:rsidRPr="002F52B8">
        <w:rPr>
          <w:sz w:val="20"/>
          <w:szCs w:val="20"/>
          <w:lang w:val="es-HN"/>
        </w:rPr>
        <w:t>en su</w:t>
      </w:r>
      <w:r>
        <w:rPr>
          <w:sz w:val="20"/>
          <w:szCs w:val="20"/>
          <w:lang w:val="es-HN"/>
        </w:rPr>
        <w:t xml:space="preserve"> R</w:t>
      </w:r>
      <w:r w:rsidRPr="002F52B8">
        <w:rPr>
          <w:sz w:val="20"/>
          <w:szCs w:val="20"/>
          <w:lang w:val="es-HN"/>
        </w:rPr>
        <w:t>esolución de 23 de junio de 2015,</w:t>
      </w:r>
      <w:r w:rsidRPr="00667E1F">
        <w:rPr>
          <w:sz w:val="20"/>
          <w:szCs w:val="20"/>
          <w:lang w:val="es-HN"/>
        </w:rPr>
        <w:t xml:space="preserve"> solicitó al Estado informar a la Corte, de manera clara y precisa, sobre: a) las medidas específicas a implementar y el cronograma de búsqueda; b) los avances alcanzados hasta el momento, y c) las conclusiones de los peritos independientes para el caso</w:t>
      </w:r>
      <w:r>
        <w:rPr>
          <w:rStyle w:val="FootnoteReference"/>
          <w:lang w:val="es-HN"/>
        </w:rPr>
        <w:footnoteReference w:id="5"/>
      </w:r>
      <w:r w:rsidRPr="002F52B8">
        <w:rPr>
          <w:sz w:val="20"/>
          <w:szCs w:val="20"/>
          <w:lang w:val="es-HN"/>
        </w:rPr>
        <w:t>.</w:t>
      </w:r>
      <w:r>
        <w:rPr>
          <w:sz w:val="20"/>
          <w:szCs w:val="20"/>
          <w:lang w:val="es-HN"/>
        </w:rPr>
        <w:t xml:space="preserve"> </w:t>
      </w:r>
    </w:p>
    <w:p w14:paraId="25987692" w14:textId="77777777" w:rsidR="00F22AD2" w:rsidRPr="00C8736E" w:rsidRDefault="00F22AD2" w:rsidP="00667E1F">
      <w:pPr>
        <w:autoSpaceDE w:val="0"/>
        <w:autoSpaceDN w:val="0"/>
        <w:adjustRightInd w:val="0"/>
        <w:ind w:right="19"/>
        <w:jc w:val="both"/>
        <w:rPr>
          <w:rFonts w:ascii="Verdana" w:hAnsi="Verdana"/>
          <w:sz w:val="20"/>
          <w:szCs w:val="20"/>
          <w:lang w:val="es-HN"/>
        </w:rPr>
      </w:pPr>
    </w:p>
    <w:p w14:paraId="534CD987" w14:textId="5F6B1B2D" w:rsidR="00667E1F" w:rsidRPr="008747D5" w:rsidRDefault="00667E1F" w:rsidP="008747D5">
      <w:pPr>
        <w:pStyle w:val="Default"/>
        <w:numPr>
          <w:ilvl w:val="0"/>
          <w:numId w:val="19"/>
        </w:numPr>
        <w:ind w:left="0" w:firstLine="0"/>
        <w:jc w:val="both"/>
        <w:rPr>
          <w:sz w:val="20"/>
          <w:szCs w:val="20"/>
          <w:lang w:val="es-HN"/>
        </w:rPr>
      </w:pPr>
      <w:r w:rsidRPr="00EB1ACA">
        <w:rPr>
          <w:sz w:val="20"/>
          <w:szCs w:val="20"/>
          <w:lang w:val="es-ES"/>
        </w:rPr>
        <w:t xml:space="preserve">Si bien el Estado ha presentado, a la fecha, cinco informes cuatrimestrales </w:t>
      </w:r>
      <w:r w:rsidR="00302309">
        <w:rPr>
          <w:sz w:val="20"/>
          <w:szCs w:val="20"/>
          <w:lang w:val="es-ES"/>
        </w:rPr>
        <w:t xml:space="preserve">a partir de la última Resolución de esta Corte de 23 de junio de 2015 </w:t>
      </w:r>
      <w:r w:rsidRPr="00EB1ACA">
        <w:rPr>
          <w:sz w:val="20"/>
          <w:szCs w:val="20"/>
          <w:lang w:val="es-ES"/>
        </w:rPr>
        <w:t>sobre la implementación de las presentes medidas, no ha brindado al Tribunal información significativa sobre los avances en las diligencias para la búsqueda de las personas desaparecidas e investigación penal de los hechos</w:t>
      </w:r>
      <w:r w:rsidR="00811A02">
        <w:rPr>
          <w:sz w:val="20"/>
          <w:szCs w:val="20"/>
          <w:lang w:val="es-ES"/>
        </w:rPr>
        <w:t xml:space="preserve">. En este sentido, </w:t>
      </w:r>
      <w:r w:rsidR="0024367C">
        <w:rPr>
          <w:sz w:val="20"/>
          <w:szCs w:val="20"/>
          <w:lang w:val="es-ES"/>
        </w:rPr>
        <w:t>no ha presentado información detallada sobre las medidas específicas a implementar y el cronograma de búsqueda, los avances alcanzados, así como sobre las conclusiones de los peritos independientes. Este</w:t>
      </w:r>
      <w:r w:rsidRPr="00EB1ACA">
        <w:rPr>
          <w:sz w:val="20"/>
          <w:szCs w:val="20"/>
          <w:lang w:val="es-ES"/>
        </w:rPr>
        <w:t xml:space="preserve"> Tribunal resalta la importancia de una investigación diligente y eficiente como factores clave en una efectiva tutela de los derechos fundamentales de las víctimas. En consecuencia, se insta al Estado mexicano a que </w:t>
      </w:r>
      <w:r w:rsidR="00F22AD2">
        <w:rPr>
          <w:sz w:val="20"/>
          <w:szCs w:val="20"/>
          <w:lang w:val="es-ES"/>
        </w:rPr>
        <w:t>refuerce</w:t>
      </w:r>
      <w:r w:rsidR="00F22AD2" w:rsidRPr="00EB1ACA">
        <w:rPr>
          <w:sz w:val="20"/>
          <w:szCs w:val="20"/>
          <w:lang w:val="es-ES"/>
        </w:rPr>
        <w:t xml:space="preserve"> </w:t>
      </w:r>
      <w:r w:rsidRPr="00EB1ACA">
        <w:rPr>
          <w:sz w:val="20"/>
          <w:szCs w:val="20"/>
          <w:lang w:val="es-ES"/>
        </w:rPr>
        <w:t xml:space="preserve">sus </w:t>
      </w:r>
      <w:r w:rsidR="00F22AD2">
        <w:rPr>
          <w:sz w:val="20"/>
          <w:szCs w:val="20"/>
          <w:lang w:val="es-ES"/>
        </w:rPr>
        <w:t>acciones</w:t>
      </w:r>
      <w:r w:rsidR="00F22AD2" w:rsidRPr="00EB1ACA">
        <w:rPr>
          <w:sz w:val="20"/>
          <w:szCs w:val="20"/>
          <w:lang w:val="es-ES"/>
        </w:rPr>
        <w:t xml:space="preserve"> </w:t>
      </w:r>
      <w:r w:rsidRPr="00EB1ACA">
        <w:rPr>
          <w:sz w:val="20"/>
          <w:szCs w:val="20"/>
          <w:lang w:val="es-ES"/>
        </w:rPr>
        <w:t xml:space="preserve">hacia una eficiente y diligente búsqueda de </w:t>
      </w:r>
      <w:proofErr w:type="spellStart"/>
      <w:r w:rsidRPr="00EB1ACA">
        <w:rPr>
          <w:sz w:val="20"/>
          <w:szCs w:val="20"/>
          <w:lang w:val="es-ES"/>
        </w:rPr>
        <w:t>Nitza</w:t>
      </w:r>
      <w:proofErr w:type="spellEnd"/>
      <w:r w:rsidRPr="00EB1ACA">
        <w:rPr>
          <w:sz w:val="20"/>
          <w:szCs w:val="20"/>
          <w:lang w:val="es-ES"/>
        </w:rPr>
        <w:t xml:space="preserve"> Paola Alvarado Espinoza, Rocío Irene Alvarado y José Ángel Alvarado Herrera, cuya </w:t>
      </w:r>
      <w:r w:rsidR="00B35750">
        <w:rPr>
          <w:sz w:val="20"/>
          <w:szCs w:val="20"/>
          <w:lang w:val="es-ES"/>
        </w:rPr>
        <w:t xml:space="preserve">presunta </w:t>
      </w:r>
      <w:r w:rsidRPr="00EB1ACA">
        <w:rPr>
          <w:sz w:val="20"/>
          <w:szCs w:val="20"/>
          <w:lang w:val="es-ES"/>
        </w:rPr>
        <w:t>desaparició</w:t>
      </w:r>
      <w:r w:rsidR="00811A02">
        <w:rPr>
          <w:sz w:val="20"/>
          <w:szCs w:val="20"/>
          <w:lang w:val="es-ES"/>
        </w:rPr>
        <w:t>n originó</w:t>
      </w:r>
      <w:r w:rsidRPr="00EB1ACA">
        <w:rPr>
          <w:sz w:val="20"/>
          <w:szCs w:val="20"/>
          <w:lang w:val="es-ES"/>
        </w:rPr>
        <w:t xml:space="preserve"> las presentes medidas provisionales. Además, </w:t>
      </w:r>
      <w:r w:rsidR="008431F3">
        <w:rPr>
          <w:sz w:val="20"/>
          <w:szCs w:val="20"/>
          <w:lang w:val="es-ES"/>
        </w:rPr>
        <w:t>este Tribunal</w:t>
      </w:r>
      <w:r w:rsidRPr="00EB1ACA">
        <w:rPr>
          <w:sz w:val="20"/>
          <w:szCs w:val="20"/>
          <w:lang w:val="es-ES"/>
        </w:rPr>
        <w:t xml:space="preserve"> re</w:t>
      </w:r>
      <w:r>
        <w:rPr>
          <w:sz w:val="20"/>
          <w:szCs w:val="20"/>
          <w:lang w:val="es-ES"/>
        </w:rPr>
        <w:t>itera la solicitud</w:t>
      </w:r>
      <w:r w:rsidRPr="00EB1ACA">
        <w:rPr>
          <w:sz w:val="20"/>
          <w:szCs w:val="20"/>
          <w:lang w:val="es-ES"/>
        </w:rPr>
        <w:t xml:space="preserve"> </w:t>
      </w:r>
      <w:r>
        <w:rPr>
          <w:sz w:val="20"/>
          <w:szCs w:val="20"/>
          <w:lang w:val="es-ES"/>
        </w:rPr>
        <w:t>a</w:t>
      </w:r>
      <w:r w:rsidRPr="00EB1ACA">
        <w:rPr>
          <w:sz w:val="20"/>
          <w:szCs w:val="20"/>
          <w:lang w:val="es-ES"/>
        </w:rPr>
        <w:t xml:space="preserve">l Estado </w:t>
      </w:r>
      <w:r>
        <w:rPr>
          <w:sz w:val="20"/>
          <w:szCs w:val="20"/>
          <w:lang w:val="es-ES"/>
        </w:rPr>
        <w:t>de informar</w:t>
      </w:r>
      <w:r w:rsidRPr="00EB1ACA">
        <w:rPr>
          <w:sz w:val="20"/>
          <w:szCs w:val="20"/>
          <w:lang w:val="es-ES"/>
        </w:rPr>
        <w:t xml:space="preserve"> a la Corte, de manera clara y precisa, sobre: a) las medidas específicas a implementar y el cronograma de búsqueda; b) los avances </w:t>
      </w:r>
      <w:r w:rsidRPr="00EB1ACA">
        <w:rPr>
          <w:sz w:val="20"/>
          <w:szCs w:val="20"/>
          <w:lang w:val="es-ES"/>
        </w:rPr>
        <w:lastRenderedPageBreak/>
        <w:t>alcanzados hasta el momento, y c) las conclusiones de los peritos independientes para el caso.</w:t>
      </w:r>
    </w:p>
    <w:p w14:paraId="66C886AE" w14:textId="77777777" w:rsidR="00667E1F" w:rsidRPr="008747D5" w:rsidRDefault="00667E1F" w:rsidP="008747D5">
      <w:pPr>
        <w:pStyle w:val="Default"/>
        <w:jc w:val="both"/>
        <w:rPr>
          <w:sz w:val="20"/>
          <w:szCs w:val="20"/>
          <w:lang w:val="es-HN"/>
        </w:rPr>
      </w:pPr>
    </w:p>
    <w:p w14:paraId="0D2530A9" w14:textId="29DBB41D" w:rsidR="00667E1F" w:rsidRDefault="0024367C" w:rsidP="008747D5">
      <w:pPr>
        <w:pStyle w:val="Default"/>
        <w:numPr>
          <w:ilvl w:val="0"/>
          <w:numId w:val="19"/>
        </w:numPr>
        <w:ind w:left="0" w:firstLine="0"/>
        <w:jc w:val="both"/>
        <w:rPr>
          <w:sz w:val="20"/>
          <w:szCs w:val="20"/>
          <w:lang w:val="es-HN"/>
        </w:rPr>
      </w:pPr>
      <w:r>
        <w:rPr>
          <w:sz w:val="20"/>
          <w:szCs w:val="20"/>
          <w:lang w:val="es-HN"/>
        </w:rPr>
        <w:t>Adicionalmente</w:t>
      </w:r>
      <w:r w:rsidR="00811A02">
        <w:rPr>
          <w:sz w:val="20"/>
          <w:szCs w:val="20"/>
          <w:lang w:val="es-HN"/>
        </w:rPr>
        <w:t xml:space="preserve">, </w:t>
      </w:r>
      <w:r w:rsidR="008431F3">
        <w:rPr>
          <w:sz w:val="20"/>
          <w:szCs w:val="20"/>
          <w:lang w:val="es-HN"/>
        </w:rPr>
        <w:t>esta Corte</w:t>
      </w:r>
      <w:r>
        <w:rPr>
          <w:sz w:val="20"/>
          <w:szCs w:val="20"/>
          <w:lang w:val="es-HN"/>
        </w:rPr>
        <w:t xml:space="preserve"> </w:t>
      </w:r>
      <w:r w:rsidR="00302309">
        <w:rPr>
          <w:sz w:val="20"/>
          <w:szCs w:val="20"/>
          <w:lang w:val="es-HN"/>
        </w:rPr>
        <w:t>destaca</w:t>
      </w:r>
      <w:r>
        <w:rPr>
          <w:sz w:val="20"/>
          <w:szCs w:val="20"/>
          <w:lang w:val="es-HN"/>
        </w:rPr>
        <w:t xml:space="preserve"> que </w:t>
      </w:r>
      <w:r w:rsidR="00B35750">
        <w:rPr>
          <w:sz w:val="20"/>
          <w:szCs w:val="20"/>
          <w:lang w:val="es-HN"/>
        </w:rPr>
        <w:t>parte fundamental del presente</w:t>
      </w:r>
      <w:r w:rsidR="00811A02">
        <w:rPr>
          <w:sz w:val="20"/>
          <w:szCs w:val="20"/>
          <w:lang w:val="es-HN"/>
        </w:rPr>
        <w:t xml:space="preserve"> asunto </w:t>
      </w:r>
      <w:r>
        <w:rPr>
          <w:sz w:val="20"/>
          <w:szCs w:val="20"/>
          <w:lang w:val="es-HN"/>
        </w:rPr>
        <w:t>fue sometido</w:t>
      </w:r>
      <w:r w:rsidR="008431F3">
        <w:rPr>
          <w:sz w:val="20"/>
          <w:szCs w:val="20"/>
          <w:lang w:val="es-HN"/>
        </w:rPr>
        <w:t xml:space="preserve"> </w:t>
      </w:r>
      <w:r w:rsidR="00B35750">
        <w:rPr>
          <w:sz w:val="20"/>
          <w:szCs w:val="20"/>
          <w:lang w:val="es-HN"/>
        </w:rPr>
        <w:t>por la Comisión Interamericana el 9 de noviembre de 2016</w:t>
      </w:r>
      <w:r w:rsidR="00B35750">
        <w:rPr>
          <w:sz w:val="20"/>
          <w:szCs w:val="20"/>
          <w:lang w:val="es-ES_tradnl"/>
        </w:rPr>
        <w:t xml:space="preserve"> </w:t>
      </w:r>
      <w:r w:rsidR="008431F3">
        <w:rPr>
          <w:sz w:val="20"/>
          <w:szCs w:val="20"/>
          <w:lang w:val="es-HN"/>
        </w:rPr>
        <w:t xml:space="preserve">ante </w:t>
      </w:r>
      <w:r w:rsidR="00302309">
        <w:rPr>
          <w:sz w:val="20"/>
          <w:szCs w:val="20"/>
          <w:lang w:val="es-HN"/>
        </w:rPr>
        <w:t xml:space="preserve">la competencia contenciosa de </w:t>
      </w:r>
      <w:r w:rsidR="008431F3">
        <w:rPr>
          <w:sz w:val="20"/>
          <w:szCs w:val="20"/>
          <w:lang w:val="es-HN"/>
        </w:rPr>
        <w:t>este Tribunal</w:t>
      </w:r>
      <w:r w:rsidR="00056BDF">
        <w:rPr>
          <w:sz w:val="20"/>
          <w:szCs w:val="20"/>
          <w:lang w:val="es-HN"/>
        </w:rPr>
        <w:t>, por lo que</w:t>
      </w:r>
      <w:r w:rsidR="00B35750">
        <w:rPr>
          <w:sz w:val="20"/>
          <w:szCs w:val="20"/>
          <w:lang w:val="es-HN"/>
        </w:rPr>
        <w:t xml:space="preserve"> se encuentra en trámite. P</w:t>
      </w:r>
      <w:r w:rsidR="008431F3">
        <w:rPr>
          <w:sz w:val="20"/>
          <w:szCs w:val="20"/>
          <w:lang w:val="es-HN"/>
        </w:rPr>
        <w:t xml:space="preserve">or tanto, corresponde al análisis de fondo del </w:t>
      </w:r>
      <w:r w:rsidR="00B35750">
        <w:rPr>
          <w:sz w:val="20"/>
          <w:szCs w:val="20"/>
          <w:lang w:val="es-HN"/>
        </w:rPr>
        <w:t>c</w:t>
      </w:r>
      <w:r w:rsidR="008431F3">
        <w:rPr>
          <w:sz w:val="20"/>
          <w:szCs w:val="20"/>
          <w:lang w:val="es-HN"/>
        </w:rPr>
        <w:t xml:space="preserve">aso pronunciarse sobre </w:t>
      </w:r>
      <w:r w:rsidR="00B35750">
        <w:rPr>
          <w:sz w:val="20"/>
          <w:szCs w:val="20"/>
          <w:lang w:val="es-HN"/>
        </w:rPr>
        <w:t>los hechos y el posible alcance de las alegadas violaciones.</w:t>
      </w:r>
      <w:r w:rsidR="00965306">
        <w:rPr>
          <w:sz w:val="20"/>
          <w:szCs w:val="20"/>
          <w:lang w:val="es-HN"/>
        </w:rPr>
        <w:t xml:space="preserve"> Sin embargo, </w:t>
      </w:r>
      <w:r w:rsidR="00F22AD2">
        <w:rPr>
          <w:sz w:val="20"/>
          <w:szCs w:val="20"/>
          <w:lang w:val="es-HN"/>
        </w:rPr>
        <w:t>la Corte toma nota</w:t>
      </w:r>
      <w:r w:rsidR="00965306">
        <w:rPr>
          <w:sz w:val="20"/>
          <w:szCs w:val="20"/>
          <w:lang w:val="es-HN"/>
        </w:rPr>
        <w:t xml:space="preserve"> </w:t>
      </w:r>
      <w:r w:rsidR="00F22AD2">
        <w:rPr>
          <w:sz w:val="20"/>
          <w:szCs w:val="20"/>
          <w:lang w:val="es-HN"/>
        </w:rPr>
        <w:t xml:space="preserve">sobre el hecho </w:t>
      </w:r>
      <w:r w:rsidR="00056BDF">
        <w:rPr>
          <w:sz w:val="20"/>
          <w:szCs w:val="20"/>
          <w:lang w:val="es-HN"/>
        </w:rPr>
        <w:t xml:space="preserve">de </w:t>
      </w:r>
      <w:r w:rsidR="00965306">
        <w:rPr>
          <w:sz w:val="20"/>
          <w:szCs w:val="20"/>
          <w:lang w:val="es-HN"/>
        </w:rPr>
        <w:t>que algunos beneficiar</w:t>
      </w:r>
      <w:r w:rsidR="00C11B6D">
        <w:rPr>
          <w:sz w:val="20"/>
          <w:szCs w:val="20"/>
          <w:lang w:val="es-HN"/>
        </w:rPr>
        <w:t>ios de las presentes medidas</w:t>
      </w:r>
      <w:r w:rsidR="00965306">
        <w:rPr>
          <w:sz w:val="20"/>
          <w:szCs w:val="20"/>
          <w:lang w:val="es-HN"/>
        </w:rPr>
        <w:t xml:space="preserve"> no forman parte de las presuntas víctimas de dicho caso</w:t>
      </w:r>
      <w:r w:rsidR="005802AC">
        <w:rPr>
          <w:rStyle w:val="FootnoteReference"/>
          <w:lang w:val="es-HN"/>
        </w:rPr>
        <w:footnoteReference w:id="6"/>
      </w:r>
      <w:r w:rsidR="00965306">
        <w:rPr>
          <w:sz w:val="20"/>
          <w:szCs w:val="20"/>
          <w:lang w:val="es-HN"/>
        </w:rPr>
        <w:t xml:space="preserve">. </w:t>
      </w:r>
    </w:p>
    <w:p w14:paraId="18F75C2C" w14:textId="77777777" w:rsidR="00D340A0" w:rsidRPr="008747D5" w:rsidRDefault="00D340A0" w:rsidP="008747D5">
      <w:pPr>
        <w:pStyle w:val="Default"/>
        <w:jc w:val="both"/>
        <w:rPr>
          <w:sz w:val="20"/>
          <w:szCs w:val="20"/>
          <w:lang w:val="es-HN"/>
        </w:rPr>
      </w:pPr>
    </w:p>
    <w:p w14:paraId="6A1C428A" w14:textId="2D6E9A58" w:rsidR="00D340A0" w:rsidRDefault="00D340A0" w:rsidP="00D340A0">
      <w:pPr>
        <w:ind w:left="720"/>
        <w:jc w:val="both"/>
        <w:rPr>
          <w:rFonts w:ascii="Verdana" w:hAnsi="Verdana"/>
          <w:b/>
          <w:i/>
          <w:sz w:val="20"/>
          <w:szCs w:val="20"/>
        </w:rPr>
      </w:pPr>
      <w:r>
        <w:rPr>
          <w:rFonts w:ascii="Verdana" w:hAnsi="Verdana"/>
          <w:b/>
          <w:i/>
          <w:sz w:val="20"/>
          <w:szCs w:val="20"/>
        </w:rPr>
        <w:t>C</w:t>
      </w:r>
      <w:r w:rsidRPr="00606305">
        <w:rPr>
          <w:rFonts w:ascii="Verdana" w:hAnsi="Verdana"/>
          <w:b/>
          <w:i/>
          <w:sz w:val="20"/>
          <w:szCs w:val="20"/>
        </w:rPr>
        <w:t xml:space="preserve">) </w:t>
      </w:r>
      <w:r>
        <w:rPr>
          <w:rFonts w:ascii="Verdana" w:hAnsi="Verdana"/>
          <w:b/>
          <w:i/>
          <w:sz w:val="20"/>
          <w:szCs w:val="20"/>
        </w:rPr>
        <w:t xml:space="preserve">Análisis </w:t>
      </w:r>
      <w:r w:rsidRPr="00606305">
        <w:rPr>
          <w:rFonts w:ascii="Verdana" w:hAnsi="Verdana"/>
          <w:b/>
          <w:i/>
          <w:sz w:val="20"/>
          <w:szCs w:val="20"/>
        </w:rPr>
        <w:t>de riesgo de los beneficiari</w:t>
      </w:r>
      <w:r w:rsidR="00056BDF">
        <w:rPr>
          <w:rFonts w:ascii="Verdana" w:hAnsi="Verdana"/>
          <w:b/>
          <w:i/>
          <w:sz w:val="20"/>
          <w:szCs w:val="20"/>
        </w:rPr>
        <w:t>o</w:t>
      </w:r>
      <w:r w:rsidRPr="00606305">
        <w:rPr>
          <w:rFonts w:ascii="Verdana" w:hAnsi="Verdana"/>
          <w:b/>
          <w:i/>
          <w:sz w:val="20"/>
          <w:szCs w:val="20"/>
        </w:rPr>
        <w:t>s</w:t>
      </w:r>
    </w:p>
    <w:p w14:paraId="59318E69" w14:textId="77777777" w:rsidR="00D340A0" w:rsidRDefault="00D340A0" w:rsidP="00D340A0">
      <w:pPr>
        <w:ind w:left="720"/>
        <w:jc w:val="both"/>
        <w:rPr>
          <w:rFonts w:ascii="Verdana" w:hAnsi="Verdana"/>
          <w:b/>
          <w:i/>
          <w:sz w:val="20"/>
          <w:szCs w:val="20"/>
        </w:rPr>
      </w:pPr>
    </w:p>
    <w:p w14:paraId="5D3129A9" w14:textId="77777777" w:rsidR="00D340A0" w:rsidRPr="000610DC" w:rsidRDefault="00D340A0" w:rsidP="00D340A0">
      <w:pPr>
        <w:pStyle w:val="Heading2"/>
        <w:spacing w:before="0"/>
        <w:jc w:val="both"/>
        <w:rPr>
          <w:rFonts w:ascii="Verdana" w:eastAsia="Times New Roman" w:hAnsi="Verdana"/>
          <w:b w:val="0"/>
          <w:i/>
          <w:color w:val="auto"/>
          <w:sz w:val="20"/>
          <w:szCs w:val="20"/>
        </w:rPr>
      </w:pPr>
      <w:r w:rsidRPr="00D340A0">
        <w:rPr>
          <w:rFonts w:ascii="Verdana" w:eastAsia="Times New Roman" w:hAnsi="Verdana"/>
          <w:b w:val="0"/>
          <w:i/>
          <w:color w:val="auto"/>
          <w:sz w:val="20"/>
          <w:szCs w:val="20"/>
        </w:rPr>
        <w:t xml:space="preserve">Observaciones </w:t>
      </w:r>
      <w:r w:rsidRPr="00EE370C">
        <w:rPr>
          <w:rFonts w:ascii="Verdana" w:eastAsia="Times New Roman" w:hAnsi="Verdana"/>
          <w:b w:val="0"/>
          <w:i/>
          <w:color w:val="auto"/>
          <w:sz w:val="20"/>
          <w:szCs w:val="20"/>
        </w:rPr>
        <w:t>de las partes</w:t>
      </w:r>
      <w:r w:rsidRPr="00D340A0">
        <w:rPr>
          <w:rFonts w:ascii="Verdana" w:eastAsia="Times New Roman" w:hAnsi="Verdana"/>
          <w:b w:val="0"/>
          <w:i/>
          <w:color w:val="auto"/>
          <w:sz w:val="20"/>
          <w:szCs w:val="20"/>
        </w:rPr>
        <w:t xml:space="preserve"> y de la Comisión</w:t>
      </w:r>
    </w:p>
    <w:p w14:paraId="5D14A333" w14:textId="77777777" w:rsidR="00D340A0" w:rsidRPr="00717870" w:rsidRDefault="00D340A0" w:rsidP="00D340A0">
      <w:pPr>
        <w:autoSpaceDE w:val="0"/>
        <w:autoSpaceDN w:val="0"/>
        <w:adjustRightInd w:val="0"/>
        <w:ind w:right="19"/>
        <w:jc w:val="both"/>
        <w:rPr>
          <w:rFonts w:ascii="Verdana" w:hAnsi="Verdana"/>
          <w:sz w:val="20"/>
          <w:szCs w:val="20"/>
          <w:lang w:val="es-ES"/>
        </w:rPr>
      </w:pPr>
    </w:p>
    <w:p w14:paraId="7BC5CF10" w14:textId="6647E0CF" w:rsidR="00D340A0" w:rsidRPr="006C0BE9" w:rsidRDefault="00D340A0" w:rsidP="00D340A0">
      <w:pPr>
        <w:numPr>
          <w:ilvl w:val="0"/>
          <w:numId w:val="19"/>
        </w:numPr>
        <w:autoSpaceDE w:val="0"/>
        <w:autoSpaceDN w:val="0"/>
        <w:adjustRightInd w:val="0"/>
        <w:ind w:left="0" w:right="19" w:firstLine="0"/>
        <w:jc w:val="both"/>
        <w:rPr>
          <w:rFonts w:ascii="Verdana" w:hAnsi="Verdana"/>
          <w:sz w:val="20"/>
          <w:szCs w:val="20"/>
          <w:lang w:val="es-ES"/>
        </w:rPr>
      </w:pPr>
      <w:r>
        <w:rPr>
          <w:rFonts w:ascii="Verdana" w:hAnsi="Verdana"/>
          <w:sz w:val="20"/>
          <w:szCs w:val="20"/>
          <w:lang w:val="es-ES"/>
        </w:rPr>
        <w:t xml:space="preserve">Sobre la realización del análisis de riesgo de los beneficiarios, el </w:t>
      </w:r>
      <w:r>
        <w:rPr>
          <w:rFonts w:ascii="Verdana" w:hAnsi="Verdana"/>
          <w:b/>
          <w:i/>
          <w:sz w:val="20"/>
          <w:szCs w:val="20"/>
          <w:lang w:val="es-ES"/>
        </w:rPr>
        <w:t xml:space="preserve">Estado </w:t>
      </w:r>
      <w:r>
        <w:rPr>
          <w:rFonts w:ascii="Verdana" w:hAnsi="Verdana"/>
          <w:sz w:val="20"/>
          <w:szCs w:val="20"/>
          <w:lang w:val="es-ES"/>
        </w:rPr>
        <w:t xml:space="preserve">señaló que </w:t>
      </w:r>
      <w:r w:rsidRPr="006C0BE9">
        <w:rPr>
          <w:rFonts w:ascii="Verdana" w:hAnsi="Verdana"/>
          <w:sz w:val="20"/>
          <w:szCs w:val="20"/>
          <w:lang w:val="es-ES"/>
        </w:rPr>
        <w:t xml:space="preserve">mediante oficios </w:t>
      </w:r>
      <w:r>
        <w:rPr>
          <w:rFonts w:ascii="Verdana" w:hAnsi="Verdana"/>
          <w:sz w:val="20"/>
          <w:szCs w:val="20"/>
          <w:lang w:val="es-ES"/>
        </w:rPr>
        <w:t>d</w:t>
      </w:r>
      <w:r w:rsidRPr="006C0BE9">
        <w:rPr>
          <w:rFonts w:ascii="Verdana" w:hAnsi="Verdana"/>
          <w:sz w:val="20"/>
          <w:szCs w:val="20"/>
          <w:lang w:val="es-ES"/>
        </w:rPr>
        <w:t>e 8</w:t>
      </w:r>
      <w:r>
        <w:rPr>
          <w:rFonts w:ascii="Verdana" w:hAnsi="Verdana"/>
          <w:sz w:val="20"/>
          <w:szCs w:val="20"/>
          <w:lang w:val="es-ES"/>
        </w:rPr>
        <w:t xml:space="preserve"> y 21 de junio</w:t>
      </w:r>
      <w:r w:rsidRPr="006C0BE9">
        <w:rPr>
          <w:rFonts w:ascii="Verdana" w:hAnsi="Verdana"/>
          <w:sz w:val="20"/>
          <w:szCs w:val="20"/>
          <w:lang w:val="es-ES"/>
        </w:rPr>
        <w:t xml:space="preserve">; </w:t>
      </w:r>
      <w:r w:rsidR="00056BDF">
        <w:rPr>
          <w:rFonts w:ascii="Verdana" w:hAnsi="Verdana"/>
          <w:sz w:val="20"/>
          <w:szCs w:val="20"/>
          <w:lang w:val="es-ES"/>
        </w:rPr>
        <w:t xml:space="preserve">y de </w:t>
      </w:r>
      <w:r w:rsidRPr="006C0BE9">
        <w:rPr>
          <w:rFonts w:ascii="Verdana" w:hAnsi="Verdana"/>
          <w:sz w:val="20"/>
          <w:szCs w:val="20"/>
          <w:lang w:val="es-ES"/>
        </w:rPr>
        <w:t xml:space="preserve">15 de julio </w:t>
      </w:r>
      <w:r>
        <w:rPr>
          <w:rFonts w:ascii="Verdana" w:hAnsi="Verdana"/>
          <w:sz w:val="20"/>
          <w:szCs w:val="20"/>
          <w:lang w:val="es-ES"/>
        </w:rPr>
        <w:t>y 28 de octubre de 2016 dirigidos</w:t>
      </w:r>
      <w:r w:rsidRPr="006C0BE9">
        <w:rPr>
          <w:rFonts w:ascii="Verdana" w:hAnsi="Verdana"/>
          <w:sz w:val="20"/>
          <w:szCs w:val="20"/>
          <w:lang w:val="es-ES"/>
        </w:rPr>
        <w:t xml:space="preserve"> al</w:t>
      </w:r>
      <w:r w:rsidR="009818D0">
        <w:rPr>
          <w:rFonts w:ascii="Verdana" w:hAnsi="Verdana"/>
          <w:sz w:val="20"/>
          <w:szCs w:val="20"/>
          <w:lang w:val="es-ES"/>
        </w:rPr>
        <w:t xml:space="preserve"> </w:t>
      </w:r>
      <w:r w:rsidRPr="006C0BE9">
        <w:rPr>
          <w:rFonts w:ascii="Verdana" w:hAnsi="Verdana"/>
          <w:sz w:val="20"/>
          <w:szCs w:val="20"/>
          <w:lang w:val="es-ES"/>
        </w:rPr>
        <w:t xml:space="preserve">CEDHEM, por medio </w:t>
      </w:r>
      <w:r>
        <w:rPr>
          <w:rFonts w:ascii="Verdana" w:hAnsi="Verdana"/>
          <w:sz w:val="20"/>
          <w:szCs w:val="20"/>
          <w:lang w:val="es-ES"/>
        </w:rPr>
        <w:t>de la Secretaría de Gobernación,</w:t>
      </w:r>
      <w:r w:rsidRPr="006C0BE9">
        <w:rPr>
          <w:rFonts w:ascii="Verdana" w:hAnsi="Verdana"/>
          <w:sz w:val="20"/>
          <w:szCs w:val="20"/>
          <w:lang w:val="es-ES"/>
        </w:rPr>
        <w:t xml:space="preserve"> intentó fijar un itinerario acorde con las circunstancias de los beneficiarios y su lo</w:t>
      </w:r>
      <w:r w:rsidR="00302309">
        <w:rPr>
          <w:rFonts w:ascii="Verdana" w:hAnsi="Verdana"/>
          <w:sz w:val="20"/>
          <w:szCs w:val="20"/>
          <w:lang w:val="es-ES"/>
        </w:rPr>
        <w:t>calización territorial para practicar</w:t>
      </w:r>
      <w:r w:rsidRPr="006C0BE9">
        <w:rPr>
          <w:rFonts w:ascii="Verdana" w:hAnsi="Verdana"/>
          <w:sz w:val="20"/>
          <w:szCs w:val="20"/>
          <w:lang w:val="es-ES"/>
        </w:rPr>
        <w:t xml:space="preserve"> los análisis de riesgo personales.</w:t>
      </w:r>
      <w:r>
        <w:rPr>
          <w:rFonts w:ascii="Verdana" w:hAnsi="Verdana"/>
          <w:sz w:val="20"/>
          <w:szCs w:val="20"/>
          <w:lang w:val="es-ES"/>
        </w:rPr>
        <w:t xml:space="preserve"> </w:t>
      </w:r>
      <w:r w:rsidR="00302309">
        <w:rPr>
          <w:rFonts w:ascii="Verdana" w:hAnsi="Verdana"/>
          <w:sz w:val="20"/>
          <w:szCs w:val="20"/>
          <w:lang w:val="es-ES"/>
        </w:rPr>
        <w:t>En este sentido, i</w:t>
      </w:r>
      <w:r>
        <w:rPr>
          <w:rFonts w:ascii="Verdana" w:hAnsi="Verdana"/>
          <w:sz w:val="20"/>
          <w:szCs w:val="20"/>
          <w:lang w:val="es-ES"/>
        </w:rPr>
        <w:t>ndicó que e</w:t>
      </w:r>
      <w:r w:rsidRPr="006C0BE9">
        <w:rPr>
          <w:rFonts w:ascii="Verdana" w:hAnsi="Verdana"/>
          <w:sz w:val="20"/>
          <w:szCs w:val="20"/>
          <w:lang w:val="es-ES"/>
        </w:rPr>
        <w:t xml:space="preserve">n respuesta a dichos oficios, el 4 de noviembre de 2016 se recibió </w:t>
      </w:r>
      <w:r>
        <w:rPr>
          <w:rFonts w:ascii="Verdana" w:hAnsi="Verdana"/>
          <w:sz w:val="20"/>
          <w:szCs w:val="20"/>
          <w:lang w:val="es-ES"/>
        </w:rPr>
        <w:t xml:space="preserve">el </w:t>
      </w:r>
      <w:r w:rsidRPr="006C0BE9">
        <w:rPr>
          <w:rFonts w:ascii="Verdana" w:hAnsi="Verdana"/>
          <w:sz w:val="20"/>
          <w:szCs w:val="20"/>
          <w:lang w:val="es-ES"/>
        </w:rPr>
        <w:t xml:space="preserve">oficio del CEDEHM </w:t>
      </w:r>
      <w:r w:rsidR="00302309">
        <w:rPr>
          <w:rFonts w:ascii="Verdana" w:hAnsi="Verdana"/>
          <w:sz w:val="20"/>
          <w:szCs w:val="20"/>
          <w:lang w:val="es-ES"/>
        </w:rPr>
        <w:t xml:space="preserve">informando sobre </w:t>
      </w:r>
      <w:r w:rsidRPr="006C0BE9">
        <w:rPr>
          <w:rFonts w:ascii="Verdana" w:hAnsi="Verdana"/>
          <w:sz w:val="20"/>
          <w:szCs w:val="20"/>
          <w:lang w:val="es-ES"/>
        </w:rPr>
        <w:t xml:space="preserve">la localización de los beneficiarios, </w:t>
      </w:r>
      <w:r w:rsidR="00302309">
        <w:rPr>
          <w:rFonts w:ascii="Verdana" w:hAnsi="Verdana"/>
          <w:sz w:val="20"/>
          <w:szCs w:val="20"/>
          <w:lang w:val="es-ES"/>
        </w:rPr>
        <w:t>por lo que</w:t>
      </w:r>
      <w:r w:rsidRPr="006C0BE9">
        <w:rPr>
          <w:rFonts w:ascii="Verdana" w:hAnsi="Verdana"/>
          <w:sz w:val="20"/>
          <w:szCs w:val="20"/>
          <w:lang w:val="es-ES"/>
        </w:rPr>
        <w:t xml:space="preserve"> el 8 de noviembre de 2016 </w:t>
      </w:r>
      <w:r w:rsidR="00302309">
        <w:rPr>
          <w:rFonts w:ascii="Verdana" w:hAnsi="Verdana"/>
          <w:sz w:val="20"/>
          <w:szCs w:val="20"/>
          <w:lang w:val="es-ES"/>
        </w:rPr>
        <w:t xml:space="preserve">se </w:t>
      </w:r>
      <w:r w:rsidRPr="006C0BE9">
        <w:rPr>
          <w:rFonts w:ascii="Verdana" w:hAnsi="Verdana"/>
          <w:sz w:val="20"/>
          <w:szCs w:val="20"/>
          <w:lang w:val="es-ES"/>
        </w:rPr>
        <w:t xml:space="preserve">formalizó la solicitud al Mecanismo para la Defensa de Personas  Defensoras de Derechos Humanos y Periodistas a fin de que se procediera a realizar el análisis de riesgo de las personas beneficiarias. </w:t>
      </w:r>
      <w:r w:rsidR="00302309">
        <w:rPr>
          <w:rFonts w:ascii="Verdana" w:hAnsi="Verdana"/>
          <w:sz w:val="20"/>
          <w:szCs w:val="20"/>
          <w:lang w:val="es-ES"/>
        </w:rPr>
        <w:t xml:space="preserve">Agregó </w:t>
      </w:r>
      <w:r>
        <w:rPr>
          <w:rFonts w:ascii="Verdana" w:hAnsi="Verdana"/>
          <w:sz w:val="20"/>
          <w:szCs w:val="20"/>
          <w:lang w:val="es-ES"/>
        </w:rPr>
        <w:t xml:space="preserve">que </w:t>
      </w:r>
      <w:r w:rsidRPr="006C0BE9">
        <w:rPr>
          <w:rFonts w:ascii="Verdana" w:hAnsi="Verdana"/>
          <w:sz w:val="20"/>
          <w:szCs w:val="20"/>
          <w:lang w:val="es-ES"/>
        </w:rPr>
        <w:t xml:space="preserve">actualmente se </w:t>
      </w:r>
      <w:r w:rsidR="00302309">
        <w:rPr>
          <w:rFonts w:ascii="Verdana" w:hAnsi="Verdana"/>
          <w:sz w:val="20"/>
          <w:szCs w:val="20"/>
          <w:lang w:val="es-ES"/>
        </w:rPr>
        <w:t xml:space="preserve">están </w:t>
      </w:r>
      <w:r w:rsidRPr="006C0BE9">
        <w:rPr>
          <w:rFonts w:ascii="Verdana" w:hAnsi="Verdana"/>
          <w:sz w:val="20"/>
          <w:szCs w:val="20"/>
          <w:lang w:val="es-ES"/>
        </w:rPr>
        <w:t>llevan</w:t>
      </w:r>
      <w:r w:rsidR="00302309">
        <w:rPr>
          <w:rFonts w:ascii="Verdana" w:hAnsi="Verdana"/>
          <w:sz w:val="20"/>
          <w:szCs w:val="20"/>
          <w:lang w:val="es-ES"/>
        </w:rPr>
        <w:t>do</w:t>
      </w:r>
      <w:r w:rsidRPr="006C0BE9">
        <w:rPr>
          <w:rFonts w:ascii="Verdana" w:hAnsi="Verdana"/>
          <w:sz w:val="20"/>
          <w:szCs w:val="20"/>
          <w:lang w:val="es-ES"/>
        </w:rPr>
        <w:t xml:space="preserve"> a cabo las gestiones para concretar una fecha de realización</w:t>
      </w:r>
      <w:r>
        <w:rPr>
          <w:rFonts w:ascii="Verdana" w:hAnsi="Verdana"/>
          <w:sz w:val="20"/>
          <w:szCs w:val="20"/>
          <w:lang w:val="es-ES"/>
        </w:rPr>
        <w:t xml:space="preserve"> del mencionado análisis de riesgo a los beneficiarios. </w:t>
      </w:r>
    </w:p>
    <w:p w14:paraId="6EA59C76" w14:textId="77777777" w:rsidR="00D340A0" w:rsidRDefault="00D340A0" w:rsidP="00D340A0">
      <w:pPr>
        <w:autoSpaceDE w:val="0"/>
        <w:autoSpaceDN w:val="0"/>
        <w:adjustRightInd w:val="0"/>
        <w:ind w:right="19"/>
        <w:jc w:val="both"/>
        <w:rPr>
          <w:rFonts w:ascii="Verdana" w:hAnsi="Verdana"/>
          <w:sz w:val="20"/>
          <w:szCs w:val="20"/>
          <w:lang w:val="es-ES"/>
        </w:rPr>
      </w:pPr>
    </w:p>
    <w:p w14:paraId="62703A40" w14:textId="02DB5819" w:rsidR="00D340A0" w:rsidRPr="00E7000D" w:rsidRDefault="00D340A0" w:rsidP="00D340A0">
      <w:pPr>
        <w:numPr>
          <w:ilvl w:val="0"/>
          <w:numId w:val="19"/>
        </w:numPr>
        <w:autoSpaceDE w:val="0"/>
        <w:autoSpaceDN w:val="0"/>
        <w:adjustRightInd w:val="0"/>
        <w:ind w:left="0" w:right="19" w:firstLine="0"/>
        <w:jc w:val="both"/>
        <w:rPr>
          <w:rFonts w:ascii="Verdana" w:hAnsi="Verdana"/>
          <w:sz w:val="20"/>
          <w:szCs w:val="20"/>
          <w:lang w:val="es-MX"/>
        </w:rPr>
      </w:pPr>
      <w:r w:rsidRPr="006C0BE9">
        <w:rPr>
          <w:rFonts w:ascii="Verdana" w:hAnsi="Verdana" w:cs="Arial"/>
          <w:sz w:val="20"/>
          <w:szCs w:val="20"/>
          <w:lang w:val="es-ES"/>
        </w:rPr>
        <w:t>L</w:t>
      </w:r>
      <w:r w:rsidRPr="006C0BE9">
        <w:rPr>
          <w:rFonts w:ascii="Verdana" w:hAnsi="Verdana" w:cs="Arial"/>
          <w:sz w:val="20"/>
          <w:szCs w:val="20"/>
          <w:lang w:val="es-MX"/>
        </w:rPr>
        <w:t xml:space="preserve">os </w:t>
      </w:r>
      <w:r w:rsidRPr="006C0BE9">
        <w:rPr>
          <w:rFonts w:ascii="Verdana" w:hAnsi="Verdana" w:cs="Arial"/>
          <w:b/>
          <w:i/>
          <w:sz w:val="20"/>
          <w:szCs w:val="20"/>
          <w:lang w:val="es-MX"/>
        </w:rPr>
        <w:t>representantes</w:t>
      </w:r>
      <w:r w:rsidRPr="006C0BE9">
        <w:rPr>
          <w:rFonts w:ascii="Verdana" w:hAnsi="Verdana" w:cs="Arial"/>
          <w:sz w:val="20"/>
          <w:szCs w:val="20"/>
          <w:lang w:val="es-MX"/>
        </w:rPr>
        <w:t xml:space="preserve"> </w:t>
      </w:r>
      <w:r>
        <w:rPr>
          <w:rFonts w:ascii="Verdana" w:hAnsi="Verdana" w:cs="Arial"/>
          <w:sz w:val="20"/>
          <w:szCs w:val="20"/>
          <w:lang w:val="es-MX"/>
        </w:rPr>
        <w:t>resaltaron que</w:t>
      </w:r>
      <w:r w:rsidR="00302309">
        <w:rPr>
          <w:rFonts w:ascii="Verdana" w:hAnsi="Verdana" w:cs="Arial"/>
          <w:sz w:val="20"/>
          <w:szCs w:val="20"/>
          <w:lang w:val="es-MX"/>
        </w:rPr>
        <w:t>,</w:t>
      </w:r>
      <w:r>
        <w:rPr>
          <w:rFonts w:ascii="Verdana" w:hAnsi="Verdana" w:cs="Arial"/>
          <w:sz w:val="20"/>
          <w:szCs w:val="20"/>
          <w:lang w:val="es-MX"/>
        </w:rPr>
        <w:t xml:space="preserve"> a la fecha no se ha llevado a cabo</w:t>
      </w:r>
      <w:r w:rsidRPr="00A25855">
        <w:rPr>
          <w:rFonts w:ascii="Verdana" w:hAnsi="Verdana"/>
          <w:sz w:val="20"/>
          <w:lang w:val="es-CR"/>
        </w:rPr>
        <w:t xml:space="preserve"> </w:t>
      </w:r>
      <w:r>
        <w:rPr>
          <w:rFonts w:ascii="Verdana" w:hAnsi="Verdana"/>
          <w:sz w:val="20"/>
          <w:lang w:val="es-CR"/>
        </w:rPr>
        <w:t>el análisis de r</w:t>
      </w:r>
      <w:r w:rsidRPr="00A25855">
        <w:rPr>
          <w:rFonts w:ascii="Verdana" w:hAnsi="Verdana"/>
          <w:sz w:val="20"/>
          <w:lang w:val="es-CR"/>
        </w:rPr>
        <w:t xml:space="preserve">iesgo requerido por </w:t>
      </w:r>
      <w:r w:rsidR="005E2A04">
        <w:rPr>
          <w:rFonts w:ascii="Verdana" w:hAnsi="Verdana"/>
          <w:sz w:val="20"/>
          <w:lang w:val="es-CR"/>
        </w:rPr>
        <w:t xml:space="preserve">la </w:t>
      </w:r>
      <w:r w:rsidRPr="00A25855">
        <w:rPr>
          <w:rFonts w:ascii="Verdana" w:hAnsi="Verdana"/>
          <w:sz w:val="20"/>
          <w:lang w:val="es-CR"/>
        </w:rPr>
        <w:t>Corte en n</w:t>
      </w:r>
      <w:r>
        <w:rPr>
          <w:rFonts w:ascii="Verdana" w:hAnsi="Verdana"/>
          <w:sz w:val="20"/>
          <w:lang w:val="es-CR"/>
        </w:rPr>
        <w:t xml:space="preserve">inguno de los domicilios ni con </w:t>
      </w:r>
      <w:r w:rsidRPr="00A25855">
        <w:rPr>
          <w:rFonts w:ascii="Verdana" w:hAnsi="Verdana"/>
          <w:sz w:val="20"/>
          <w:lang w:val="es-CR"/>
        </w:rPr>
        <w:t>ninguno de los beneficiarios</w:t>
      </w:r>
      <w:r>
        <w:rPr>
          <w:rFonts w:ascii="Verdana" w:hAnsi="Verdana"/>
          <w:sz w:val="20"/>
          <w:lang w:val="es-CR"/>
        </w:rPr>
        <w:t xml:space="preserve">. Asimismo, destacaron que según lo que informó </w:t>
      </w:r>
      <w:r w:rsidRPr="00A25855">
        <w:rPr>
          <w:rFonts w:ascii="Verdana" w:hAnsi="Verdana"/>
          <w:sz w:val="20"/>
          <w:lang w:val="es-CR"/>
        </w:rPr>
        <w:t>el Estado</w:t>
      </w:r>
      <w:r w:rsidR="005E2A04">
        <w:rPr>
          <w:rFonts w:ascii="Verdana" w:hAnsi="Verdana"/>
          <w:sz w:val="20"/>
          <w:lang w:val="es-CR"/>
        </w:rPr>
        <w:t>,</w:t>
      </w:r>
      <w:r w:rsidRPr="00A25855">
        <w:rPr>
          <w:rFonts w:ascii="Verdana" w:hAnsi="Verdana"/>
          <w:sz w:val="20"/>
          <w:lang w:val="es-CR"/>
        </w:rPr>
        <w:t xml:space="preserve"> desde noviembre del</w:t>
      </w:r>
      <w:r>
        <w:rPr>
          <w:rFonts w:ascii="Verdana" w:hAnsi="Verdana"/>
          <w:sz w:val="20"/>
          <w:lang w:val="es-CR"/>
        </w:rPr>
        <w:t xml:space="preserve"> </w:t>
      </w:r>
      <w:r w:rsidRPr="00A25855">
        <w:rPr>
          <w:rFonts w:ascii="Verdana" w:hAnsi="Verdana"/>
          <w:sz w:val="20"/>
          <w:lang w:val="es-CR"/>
        </w:rPr>
        <w:t>2016 se han estado haciendo gestiones para realizarlo</w:t>
      </w:r>
      <w:r>
        <w:rPr>
          <w:rFonts w:ascii="Verdana" w:hAnsi="Verdana"/>
          <w:sz w:val="20"/>
          <w:lang w:val="es-CR"/>
        </w:rPr>
        <w:t xml:space="preserve"> y no se ha logrado </w:t>
      </w:r>
      <w:r w:rsidRPr="00A25855">
        <w:rPr>
          <w:rFonts w:ascii="Verdana" w:hAnsi="Verdana"/>
          <w:sz w:val="20"/>
          <w:lang w:val="es-CR"/>
        </w:rPr>
        <w:t>concretar</w:t>
      </w:r>
      <w:r>
        <w:rPr>
          <w:rFonts w:ascii="Verdana" w:hAnsi="Verdana"/>
          <w:sz w:val="20"/>
          <w:lang w:val="es-CR"/>
        </w:rPr>
        <w:t xml:space="preserve"> </w:t>
      </w:r>
      <w:r w:rsidR="00302309">
        <w:rPr>
          <w:rFonts w:ascii="Verdana" w:hAnsi="Verdana"/>
          <w:sz w:val="20"/>
          <w:lang w:val="es-CR"/>
        </w:rPr>
        <w:t>a pesar del transcurso</w:t>
      </w:r>
      <w:r>
        <w:rPr>
          <w:rFonts w:ascii="Verdana" w:hAnsi="Verdana"/>
          <w:sz w:val="20"/>
          <w:lang w:val="es-CR"/>
        </w:rPr>
        <w:t xml:space="preserve"> </w:t>
      </w:r>
      <w:r w:rsidR="00302309">
        <w:rPr>
          <w:rFonts w:ascii="Verdana" w:hAnsi="Verdana"/>
          <w:sz w:val="20"/>
          <w:lang w:val="es-CR"/>
        </w:rPr>
        <w:t>importante de tiempo</w:t>
      </w:r>
      <w:r>
        <w:rPr>
          <w:rFonts w:ascii="Verdana" w:hAnsi="Verdana"/>
          <w:sz w:val="20"/>
          <w:lang w:val="es-CR"/>
        </w:rPr>
        <w:t xml:space="preserve">. </w:t>
      </w:r>
    </w:p>
    <w:p w14:paraId="06778BEF" w14:textId="77777777" w:rsidR="00D340A0" w:rsidRDefault="00D340A0" w:rsidP="00D340A0">
      <w:pPr>
        <w:autoSpaceDE w:val="0"/>
        <w:autoSpaceDN w:val="0"/>
        <w:adjustRightInd w:val="0"/>
        <w:ind w:right="19"/>
        <w:jc w:val="both"/>
        <w:rPr>
          <w:rFonts w:ascii="Verdana" w:hAnsi="Verdana"/>
          <w:sz w:val="20"/>
          <w:szCs w:val="20"/>
          <w:lang w:val="es-MX"/>
        </w:rPr>
      </w:pPr>
    </w:p>
    <w:p w14:paraId="33400BC5" w14:textId="66D89023" w:rsidR="00D340A0" w:rsidRPr="00E7000D" w:rsidRDefault="00D340A0" w:rsidP="00D340A0">
      <w:pPr>
        <w:numPr>
          <w:ilvl w:val="0"/>
          <w:numId w:val="19"/>
        </w:numPr>
        <w:autoSpaceDE w:val="0"/>
        <w:autoSpaceDN w:val="0"/>
        <w:adjustRightInd w:val="0"/>
        <w:ind w:left="0" w:right="19" w:firstLine="0"/>
        <w:jc w:val="both"/>
        <w:rPr>
          <w:rFonts w:ascii="Verdana" w:hAnsi="Verdana"/>
          <w:sz w:val="20"/>
          <w:szCs w:val="20"/>
          <w:lang w:val="es-MX"/>
        </w:rPr>
      </w:pPr>
      <w:r w:rsidRPr="00E7000D">
        <w:rPr>
          <w:rFonts w:ascii="Verdana" w:hAnsi="Verdana"/>
          <w:sz w:val="20"/>
          <w:szCs w:val="20"/>
          <w:lang w:val="es-MX"/>
        </w:rPr>
        <w:t xml:space="preserve">La </w:t>
      </w:r>
      <w:r w:rsidRPr="00C8736E">
        <w:rPr>
          <w:rFonts w:ascii="Verdana" w:hAnsi="Verdana"/>
          <w:b/>
          <w:i/>
          <w:sz w:val="20"/>
          <w:szCs w:val="20"/>
          <w:lang w:val="es-MX"/>
        </w:rPr>
        <w:t>Comisión</w:t>
      </w:r>
      <w:r w:rsidRPr="00C8736E">
        <w:rPr>
          <w:rFonts w:ascii="Verdana" w:hAnsi="Verdana"/>
          <w:i/>
          <w:sz w:val="20"/>
          <w:szCs w:val="20"/>
          <w:lang w:val="es-MX"/>
        </w:rPr>
        <w:t xml:space="preserve"> </w:t>
      </w:r>
      <w:r w:rsidRPr="00E7000D">
        <w:rPr>
          <w:rFonts w:ascii="Verdana" w:hAnsi="Verdana"/>
          <w:sz w:val="20"/>
          <w:szCs w:val="20"/>
          <w:lang w:val="es-MX"/>
        </w:rPr>
        <w:t>rec</w:t>
      </w:r>
      <w:r>
        <w:rPr>
          <w:rFonts w:ascii="Verdana" w:hAnsi="Verdana"/>
          <w:sz w:val="20"/>
          <w:szCs w:val="20"/>
          <w:lang w:val="es-MX"/>
        </w:rPr>
        <w:t>ordó que la elaboració</w:t>
      </w:r>
      <w:r w:rsidR="00302309">
        <w:rPr>
          <w:rFonts w:ascii="Verdana" w:hAnsi="Verdana"/>
          <w:sz w:val="20"/>
          <w:szCs w:val="20"/>
          <w:lang w:val="es-MX"/>
        </w:rPr>
        <w:t xml:space="preserve">n del </w:t>
      </w:r>
      <w:r>
        <w:rPr>
          <w:rFonts w:ascii="Verdana" w:hAnsi="Verdana"/>
          <w:sz w:val="20"/>
          <w:szCs w:val="20"/>
          <w:lang w:val="es-MX"/>
        </w:rPr>
        <w:t>análisis de riesgo</w:t>
      </w:r>
      <w:r w:rsidRPr="00E7000D">
        <w:rPr>
          <w:rFonts w:ascii="Verdana" w:hAnsi="Verdana"/>
          <w:sz w:val="20"/>
          <w:szCs w:val="20"/>
          <w:lang w:val="es-MX"/>
        </w:rPr>
        <w:t xml:space="preserve"> favorece</w:t>
      </w:r>
      <w:r w:rsidR="007E0B2C">
        <w:rPr>
          <w:rFonts w:ascii="Verdana" w:hAnsi="Verdana"/>
          <w:sz w:val="20"/>
          <w:szCs w:val="20"/>
          <w:lang w:val="es-MX"/>
        </w:rPr>
        <w:t xml:space="preserve"> a</w:t>
      </w:r>
      <w:r w:rsidRPr="00E7000D">
        <w:rPr>
          <w:rFonts w:ascii="Verdana" w:hAnsi="Verdana"/>
          <w:sz w:val="20"/>
          <w:szCs w:val="20"/>
          <w:lang w:val="es-MX"/>
        </w:rPr>
        <w:t xml:space="preserve"> que las medidas adoptadas sean idóneas atendiendo a las circunstancias de los b</w:t>
      </w:r>
      <w:r>
        <w:rPr>
          <w:rFonts w:ascii="Verdana" w:hAnsi="Verdana"/>
          <w:sz w:val="20"/>
          <w:szCs w:val="20"/>
          <w:lang w:val="es-MX"/>
        </w:rPr>
        <w:t>eneficiarios. En este sentido, la Comisión tomó</w:t>
      </w:r>
      <w:r w:rsidRPr="00E7000D">
        <w:rPr>
          <w:rFonts w:ascii="Verdana" w:hAnsi="Verdana"/>
          <w:sz w:val="20"/>
          <w:szCs w:val="20"/>
          <w:lang w:val="es-MX"/>
        </w:rPr>
        <w:t xml:space="preserve"> </w:t>
      </w:r>
      <w:r>
        <w:rPr>
          <w:rFonts w:ascii="Verdana" w:hAnsi="Verdana"/>
          <w:sz w:val="20"/>
          <w:szCs w:val="20"/>
          <w:lang w:val="es-MX"/>
        </w:rPr>
        <w:t>nota del compromiso expresado po</w:t>
      </w:r>
      <w:r w:rsidRPr="00E7000D">
        <w:rPr>
          <w:rFonts w:ascii="Verdana" w:hAnsi="Verdana"/>
          <w:sz w:val="20"/>
          <w:szCs w:val="20"/>
          <w:lang w:val="es-MX"/>
        </w:rPr>
        <w:t>r</w:t>
      </w:r>
      <w:r>
        <w:rPr>
          <w:rFonts w:ascii="Verdana" w:hAnsi="Verdana"/>
          <w:sz w:val="20"/>
          <w:szCs w:val="20"/>
          <w:lang w:val="es-MX"/>
        </w:rPr>
        <w:t xml:space="preserve"> los representantes de prestar la debida colaboració</w:t>
      </w:r>
      <w:r w:rsidRPr="00E7000D">
        <w:rPr>
          <w:rFonts w:ascii="Verdana" w:hAnsi="Verdana"/>
          <w:sz w:val="20"/>
          <w:szCs w:val="20"/>
          <w:lang w:val="es-MX"/>
        </w:rPr>
        <w:t xml:space="preserve">n para que el Estado practique tales estudios. </w:t>
      </w:r>
      <w:r>
        <w:rPr>
          <w:rFonts w:ascii="Verdana" w:hAnsi="Verdana"/>
          <w:sz w:val="20"/>
          <w:szCs w:val="20"/>
          <w:lang w:val="es-MX"/>
        </w:rPr>
        <w:t>Por tanto, quedó a la espera de información sobre este punto</w:t>
      </w:r>
      <w:r w:rsidRPr="00E7000D">
        <w:rPr>
          <w:rFonts w:ascii="Verdana" w:hAnsi="Verdana"/>
          <w:sz w:val="20"/>
          <w:szCs w:val="20"/>
          <w:lang w:val="es-MX"/>
        </w:rPr>
        <w:t xml:space="preserve"> en el pr</w:t>
      </w:r>
      <w:r>
        <w:rPr>
          <w:rFonts w:ascii="Verdana" w:hAnsi="Verdana"/>
          <w:sz w:val="20"/>
          <w:szCs w:val="20"/>
          <w:lang w:val="es-MX"/>
        </w:rPr>
        <w:t>ó</w:t>
      </w:r>
      <w:r w:rsidRPr="00E7000D">
        <w:rPr>
          <w:rFonts w:ascii="Verdana" w:hAnsi="Verdana"/>
          <w:sz w:val="20"/>
          <w:szCs w:val="20"/>
          <w:lang w:val="es-MX"/>
        </w:rPr>
        <w:t xml:space="preserve">ximo informe del Estado. </w:t>
      </w:r>
    </w:p>
    <w:p w14:paraId="3B104408" w14:textId="77777777" w:rsidR="00D340A0" w:rsidRDefault="00D340A0" w:rsidP="00D340A0">
      <w:pPr>
        <w:autoSpaceDE w:val="0"/>
        <w:autoSpaceDN w:val="0"/>
        <w:adjustRightInd w:val="0"/>
        <w:ind w:right="19"/>
        <w:jc w:val="both"/>
        <w:rPr>
          <w:rFonts w:ascii="Verdana" w:hAnsi="Verdana"/>
          <w:sz w:val="20"/>
          <w:szCs w:val="20"/>
          <w:lang w:val="es-MX"/>
        </w:rPr>
      </w:pPr>
    </w:p>
    <w:p w14:paraId="7A0EBAF9" w14:textId="77777777" w:rsidR="00D340A0" w:rsidRDefault="00D340A0" w:rsidP="00D340A0">
      <w:pPr>
        <w:autoSpaceDE w:val="0"/>
        <w:autoSpaceDN w:val="0"/>
        <w:adjustRightInd w:val="0"/>
        <w:ind w:right="19"/>
        <w:jc w:val="both"/>
        <w:rPr>
          <w:rFonts w:ascii="Verdana" w:hAnsi="Verdana"/>
          <w:i/>
          <w:sz w:val="20"/>
          <w:szCs w:val="20"/>
          <w:lang w:val="es-MX"/>
        </w:rPr>
      </w:pPr>
      <w:r>
        <w:rPr>
          <w:rFonts w:ascii="Verdana" w:hAnsi="Verdana"/>
          <w:i/>
          <w:sz w:val="20"/>
          <w:szCs w:val="20"/>
          <w:lang w:val="es-MX"/>
        </w:rPr>
        <w:t>Consideraciones</w:t>
      </w:r>
      <w:r w:rsidRPr="006A59E8">
        <w:rPr>
          <w:rFonts w:ascii="Verdana" w:hAnsi="Verdana"/>
          <w:i/>
          <w:sz w:val="20"/>
          <w:szCs w:val="20"/>
          <w:lang w:val="es-MX"/>
        </w:rPr>
        <w:t xml:space="preserve"> de la Corte </w:t>
      </w:r>
    </w:p>
    <w:p w14:paraId="2227DB05" w14:textId="03585964" w:rsidR="00D340A0" w:rsidRDefault="00D340A0" w:rsidP="00D340A0">
      <w:pPr>
        <w:autoSpaceDE w:val="0"/>
        <w:autoSpaceDN w:val="0"/>
        <w:adjustRightInd w:val="0"/>
        <w:ind w:right="19"/>
        <w:jc w:val="both"/>
        <w:rPr>
          <w:rFonts w:ascii="Verdana" w:hAnsi="Verdana"/>
          <w:sz w:val="20"/>
          <w:szCs w:val="20"/>
          <w:lang w:val="es-MX"/>
        </w:rPr>
      </w:pPr>
    </w:p>
    <w:p w14:paraId="548D1FD4" w14:textId="4A3DFFE5" w:rsidR="005E2A04" w:rsidRPr="008853E6" w:rsidRDefault="00F22AD2" w:rsidP="005E2A04">
      <w:pPr>
        <w:numPr>
          <w:ilvl w:val="0"/>
          <w:numId w:val="19"/>
        </w:numPr>
        <w:autoSpaceDE w:val="0"/>
        <w:autoSpaceDN w:val="0"/>
        <w:adjustRightInd w:val="0"/>
        <w:ind w:left="0" w:right="19" w:firstLine="0"/>
        <w:jc w:val="both"/>
        <w:rPr>
          <w:rFonts w:ascii="Verdana" w:hAnsi="Verdana" w:cs="Arial"/>
          <w:sz w:val="20"/>
          <w:szCs w:val="20"/>
          <w:lang w:val="es-MX"/>
        </w:rPr>
      </w:pPr>
      <w:r>
        <w:rPr>
          <w:rFonts w:ascii="Verdana" w:hAnsi="Verdana" w:cs="Arial"/>
          <w:sz w:val="20"/>
          <w:szCs w:val="20"/>
          <w:lang w:val="es-MX"/>
        </w:rPr>
        <w:t>Primeramente,</w:t>
      </w:r>
      <w:r w:rsidRPr="008853E6">
        <w:rPr>
          <w:rFonts w:ascii="Verdana" w:hAnsi="Verdana" w:cs="Arial"/>
          <w:sz w:val="20"/>
          <w:szCs w:val="20"/>
          <w:lang w:val="es-MX"/>
        </w:rPr>
        <w:t xml:space="preserve"> </w:t>
      </w:r>
      <w:r>
        <w:rPr>
          <w:rFonts w:ascii="Verdana" w:hAnsi="Verdana" w:cs="Arial"/>
          <w:sz w:val="20"/>
          <w:szCs w:val="20"/>
          <w:lang w:val="es-MX"/>
        </w:rPr>
        <w:t>l</w:t>
      </w:r>
      <w:r w:rsidR="005E2A04" w:rsidRPr="008853E6">
        <w:rPr>
          <w:rFonts w:ascii="Verdana" w:hAnsi="Verdana" w:cs="Arial"/>
          <w:sz w:val="20"/>
          <w:szCs w:val="20"/>
          <w:lang w:val="es-MX"/>
        </w:rPr>
        <w:t xml:space="preserve">a </w:t>
      </w:r>
      <w:r w:rsidR="005E2A04" w:rsidRPr="008853E6">
        <w:rPr>
          <w:rFonts w:ascii="Verdana" w:hAnsi="Verdana" w:cs="Arial"/>
          <w:b/>
          <w:sz w:val="20"/>
          <w:szCs w:val="20"/>
          <w:lang w:val="es-MX"/>
        </w:rPr>
        <w:t xml:space="preserve">Corte </w:t>
      </w:r>
      <w:r w:rsidR="005E2A04" w:rsidRPr="008853E6">
        <w:rPr>
          <w:rFonts w:ascii="Verdana" w:hAnsi="Verdana" w:cs="Arial"/>
          <w:sz w:val="20"/>
          <w:szCs w:val="20"/>
          <w:lang w:val="es-MX"/>
        </w:rPr>
        <w:t>observa que no se ha</w:t>
      </w:r>
      <w:r w:rsidR="00965306">
        <w:rPr>
          <w:rFonts w:ascii="Verdana" w:hAnsi="Verdana" w:cs="Arial"/>
          <w:sz w:val="20"/>
          <w:szCs w:val="20"/>
          <w:lang w:val="es-MX"/>
        </w:rPr>
        <w:t xml:space="preserve"> recibido</w:t>
      </w:r>
      <w:r w:rsidR="005E2A04" w:rsidRPr="008853E6">
        <w:rPr>
          <w:rFonts w:ascii="Verdana" w:hAnsi="Verdana" w:cs="Arial"/>
          <w:sz w:val="20"/>
          <w:szCs w:val="20"/>
          <w:lang w:val="es-MX"/>
        </w:rPr>
        <w:t xml:space="preserve"> informa</w:t>
      </w:r>
      <w:r w:rsidR="00965306">
        <w:rPr>
          <w:rFonts w:ascii="Verdana" w:hAnsi="Verdana" w:cs="Arial"/>
          <w:sz w:val="20"/>
          <w:szCs w:val="20"/>
          <w:lang w:val="es-MX"/>
        </w:rPr>
        <w:t>ción</w:t>
      </w:r>
      <w:r w:rsidR="005E2A04" w:rsidRPr="008853E6">
        <w:rPr>
          <w:rFonts w:ascii="Verdana" w:hAnsi="Verdana" w:cs="Arial"/>
          <w:sz w:val="20"/>
          <w:szCs w:val="20"/>
          <w:lang w:val="es-MX"/>
        </w:rPr>
        <w:t xml:space="preserve"> sobre nuevos hechos de amenaza o riesgo para las personas beneficiarias de las presentes medidas. No obstante,</w:t>
      </w:r>
      <w:r w:rsidR="005E2A04" w:rsidRPr="008853E6">
        <w:rPr>
          <w:rFonts w:ascii="Verdana" w:hAnsi="Verdana" w:cs="Arial"/>
          <w:b/>
          <w:sz w:val="20"/>
          <w:szCs w:val="20"/>
          <w:lang w:val="es-MX"/>
        </w:rPr>
        <w:t xml:space="preserve"> </w:t>
      </w:r>
      <w:r w:rsidR="005E2A04" w:rsidRPr="008853E6">
        <w:rPr>
          <w:rFonts w:ascii="Verdana" w:hAnsi="Verdana" w:cs="Arial"/>
          <w:sz w:val="20"/>
          <w:szCs w:val="20"/>
          <w:lang w:val="es-MX"/>
        </w:rPr>
        <w:t xml:space="preserve">toma nota </w:t>
      </w:r>
      <w:r w:rsidR="00965306">
        <w:rPr>
          <w:rFonts w:ascii="Verdana" w:hAnsi="Verdana" w:cs="Arial"/>
          <w:sz w:val="20"/>
          <w:szCs w:val="20"/>
          <w:lang w:val="es-MX"/>
        </w:rPr>
        <w:t xml:space="preserve">sobre el curso de la investigación </w:t>
      </w:r>
      <w:r w:rsidR="005E2A04" w:rsidRPr="008853E6">
        <w:rPr>
          <w:rFonts w:ascii="Verdana" w:hAnsi="Verdana" w:cs="Arial"/>
          <w:sz w:val="20"/>
          <w:szCs w:val="20"/>
          <w:lang w:val="es-MX"/>
        </w:rPr>
        <w:t>de</w:t>
      </w:r>
      <w:r w:rsidR="00965306">
        <w:rPr>
          <w:rFonts w:ascii="Verdana" w:hAnsi="Verdana" w:cs="Arial"/>
          <w:sz w:val="20"/>
          <w:szCs w:val="20"/>
          <w:lang w:val="es-MX"/>
        </w:rPr>
        <w:t xml:space="preserve"> hechos previamente informados y valorados en la anterior Resolución</w:t>
      </w:r>
      <w:r w:rsidR="00FD0B3D">
        <w:rPr>
          <w:rStyle w:val="FootnoteReference"/>
          <w:lang w:val="es-CR"/>
        </w:rPr>
        <w:footnoteReference w:id="7"/>
      </w:r>
      <w:r w:rsidR="008853E6" w:rsidRPr="008853E6">
        <w:rPr>
          <w:rFonts w:ascii="Verdana" w:hAnsi="Verdana"/>
          <w:sz w:val="20"/>
          <w:lang w:val="es-CR"/>
        </w:rPr>
        <w:t>.</w:t>
      </w:r>
    </w:p>
    <w:p w14:paraId="1B3D5D7A" w14:textId="77777777" w:rsidR="005E2A04" w:rsidRDefault="005E2A04" w:rsidP="008747D5">
      <w:pPr>
        <w:autoSpaceDE w:val="0"/>
        <w:autoSpaceDN w:val="0"/>
        <w:adjustRightInd w:val="0"/>
        <w:ind w:right="19"/>
        <w:jc w:val="both"/>
        <w:rPr>
          <w:rFonts w:ascii="Verdana" w:hAnsi="Verdana" w:cs="Arial"/>
          <w:sz w:val="20"/>
          <w:szCs w:val="20"/>
          <w:lang w:val="es-MX"/>
        </w:rPr>
      </w:pPr>
    </w:p>
    <w:p w14:paraId="6AB49E41" w14:textId="08F63798" w:rsidR="005E2A04" w:rsidRDefault="00056BDF" w:rsidP="008747D5">
      <w:pPr>
        <w:numPr>
          <w:ilvl w:val="0"/>
          <w:numId w:val="19"/>
        </w:numPr>
        <w:autoSpaceDE w:val="0"/>
        <w:autoSpaceDN w:val="0"/>
        <w:adjustRightInd w:val="0"/>
        <w:ind w:left="0" w:right="19" w:firstLine="0"/>
        <w:jc w:val="both"/>
        <w:rPr>
          <w:rFonts w:ascii="Verdana" w:hAnsi="Verdana" w:cs="Arial"/>
          <w:sz w:val="20"/>
          <w:szCs w:val="20"/>
          <w:lang w:val="es-MX"/>
        </w:rPr>
      </w:pPr>
      <w:r>
        <w:rPr>
          <w:rFonts w:ascii="Verdana" w:hAnsi="Verdana" w:cs="Arial"/>
          <w:sz w:val="20"/>
          <w:szCs w:val="20"/>
          <w:lang w:val="es-MX"/>
        </w:rPr>
        <w:t xml:space="preserve">Con </w:t>
      </w:r>
      <w:r w:rsidR="005E2A04">
        <w:rPr>
          <w:rFonts w:ascii="Verdana" w:hAnsi="Verdana" w:cs="Arial"/>
          <w:sz w:val="20"/>
          <w:szCs w:val="20"/>
          <w:lang w:val="es-MX"/>
        </w:rPr>
        <w:t xml:space="preserve">relación al análisis de riesgo de los beneficiarios, esta </w:t>
      </w:r>
      <w:r w:rsidR="005E2A04" w:rsidRPr="00C8736E">
        <w:rPr>
          <w:rFonts w:ascii="Verdana" w:hAnsi="Verdana" w:cs="Arial"/>
          <w:sz w:val="20"/>
          <w:szCs w:val="20"/>
          <w:lang w:val="es-MX"/>
        </w:rPr>
        <w:t>Corte</w:t>
      </w:r>
      <w:r w:rsidR="005E2A04">
        <w:rPr>
          <w:rFonts w:ascii="Verdana" w:hAnsi="Verdana" w:cs="Arial"/>
          <w:sz w:val="20"/>
          <w:szCs w:val="20"/>
          <w:lang w:val="es-MX"/>
        </w:rPr>
        <w:t xml:space="preserve"> recuerda que en su Resolución de 23 de junio de 2015, consideró </w:t>
      </w:r>
      <w:r w:rsidR="005E2A04" w:rsidRPr="005E2A04">
        <w:rPr>
          <w:rFonts w:ascii="Verdana" w:hAnsi="Verdana" w:cs="Arial"/>
          <w:sz w:val="20"/>
          <w:szCs w:val="20"/>
          <w:lang w:val="es-MX"/>
        </w:rPr>
        <w:t>indispensable que el Estado ad</w:t>
      </w:r>
      <w:r w:rsidR="005E2A04">
        <w:rPr>
          <w:rFonts w:ascii="Verdana" w:hAnsi="Verdana" w:cs="Arial"/>
          <w:sz w:val="20"/>
          <w:szCs w:val="20"/>
          <w:lang w:val="es-MX"/>
        </w:rPr>
        <w:t>opta</w:t>
      </w:r>
      <w:r w:rsidR="00FD0B3D">
        <w:rPr>
          <w:rFonts w:ascii="Verdana" w:hAnsi="Verdana" w:cs="Arial"/>
          <w:sz w:val="20"/>
          <w:szCs w:val="20"/>
          <w:lang w:val="es-MX"/>
        </w:rPr>
        <w:t>ra</w:t>
      </w:r>
      <w:r w:rsidR="005E2A04" w:rsidRPr="005E2A04">
        <w:rPr>
          <w:rFonts w:ascii="Verdana" w:hAnsi="Verdana" w:cs="Arial"/>
          <w:sz w:val="20"/>
          <w:szCs w:val="20"/>
          <w:lang w:val="es-MX"/>
        </w:rPr>
        <w:t xml:space="preserve"> los pasos necesarios para la debida implementación de</w:t>
      </w:r>
      <w:r w:rsidR="005E2A04">
        <w:rPr>
          <w:rFonts w:ascii="Verdana" w:hAnsi="Verdana" w:cs="Arial"/>
          <w:sz w:val="20"/>
          <w:szCs w:val="20"/>
          <w:lang w:val="es-MX"/>
        </w:rPr>
        <w:t xml:space="preserve"> </w:t>
      </w:r>
      <w:r w:rsidR="005E2A04" w:rsidRPr="005E2A04">
        <w:rPr>
          <w:rFonts w:ascii="Verdana" w:hAnsi="Verdana" w:cs="Arial"/>
          <w:sz w:val="20"/>
          <w:szCs w:val="20"/>
          <w:lang w:val="es-MX"/>
        </w:rPr>
        <w:t>medidas pertinentes respecto de realizar evaluaciones periódicas del riesgo de cada uno</w:t>
      </w:r>
      <w:r w:rsidR="005E2A04">
        <w:rPr>
          <w:rFonts w:ascii="Verdana" w:hAnsi="Verdana" w:cs="Arial"/>
          <w:sz w:val="20"/>
          <w:szCs w:val="20"/>
          <w:lang w:val="es-MX"/>
        </w:rPr>
        <w:t xml:space="preserve"> </w:t>
      </w:r>
      <w:r w:rsidR="005E2A04" w:rsidRPr="005E2A04">
        <w:rPr>
          <w:rFonts w:ascii="Verdana" w:hAnsi="Verdana" w:cs="Arial"/>
          <w:sz w:val="20"/>
          <w:szCs w:val="20"/>
          <w:lang w:val="es-MX"/>
        </w:rPr>
        <w:t xml:space="preserve">de los beneficiarios, incluyendo una perspectiva de </w:t>
      </w:r>
      <w:r w:rsidR="005E2A04">
        <w:rPr>
          <w:rFonts w:ascii="Verdana" w:hAnsi="Verdana" w:cs="Arial"/>
          <w:sz w:val="20"/>
          <w:szCs w:val="20"/>
          <w:lang w:val="es-MX"/>
        </w:rPr>
        <w:t>género e impactos diferenciados</w:t>
      </w:r>
      <w:r w:rsidR="005E2A04">
        <w:rPr>
          <w:rStyle w:val="FootnoteReference"/>
          <w:lang w:val="es-MX"/>
        </w:rPr>
        <w:footnoteReference w:id="8"/>
      </w:r>
      <w:r w:rsidR="005E2A04">
        <w:rPr>
          <w:rFonts w:ascii="Verdana" w:hAnsi="Verdana" w:cs="Arial"/>
          <w:sz w:val="20"/>
          <w:szCs w:val="20"/>
          <w:lang w:val="es-MX"/>
        </w:rPr>
        <w:t xml:space="preserve">. La Corte observa que, pese a lo ordenado, hasta la fecha el Estado no ha cumplido con la realización del mencionado análisis de riesgo </w:t>
      </w:r>
      <w:r w:rsidR="00FD0B3D">
        <w:rPr>
          <w:rFonts w:ascii="Verdana" w:hAnsi="Verdana" w:cs="Arial"/>
          <w:sz w:val="20"/>
          <w:szCs w:val="20"/>
          <w:lang w:val="es-MX"/>
        </w:rPr>
        <w:t>de la</w:t>
      </w:r>
      <w:r w:rsidR="005E2A04">
        <w:rPr>
          <w:rFonts w:ascii="Verdana" w:hAnsi="Verdana" w:cs="Arial"/>
          <w:sz w:val="20"/>
          <w:szCs w:val="20"/>
          <w:lang w:val="es-MX"/>
        </w:rPr>
        <w:t>s</w:t>
      </w:r>
      <w:r w:rsidR="00FD0B3D">
        <w:rPr>
          <w:rFonts w:ascii="Verdana" w:hAnsi="Verdana" w:cs="Arial"/>
          <w:sz w:val="20"/>
          <w:szCs w:val="20"/>
          <w:lang w:val="es-MX"/>
        </w:rPr>
        <w:t xml:space="preserve"> personas beneficiaria</w:t>
      </w:r>
      <w:r w:rsidR="005E2A04">
        <w:rPr>
          <w:rFonts w:ascii="Verdana" w:hAnsi="Verdana" w:cs="Arial"/>
          <w:sz w:val="20"/>
          <w:szCs w:val="20"/>
          <w:lang w:val="es-MX"/>
        </w:rPr>
        <w:t xml:space="preserve">s. En este sentido, destaca la importancia de la realización del referido </w:t>
      </w:r>
      <w:r w:rsidR="00FD0B3D">
        <w:rPr>
          <w:rFonts w:ascii="Verdana" w:hAnsi="Verdana"/>
          <w:sz w:val="20"/>
          <w:szCs w:val="20"/>
        </w:rPr>
        <w:t>análisis de riesgo de lo</w:t>
      </w:r>
      <w:r w:rsidR="005E2A04" w:rsidRPr="00981B82">
        <w:rPr>
          <w:rFonts w:ascii="Verdana" w:hAnsi="Verdana"/>
          <w:sz w:val="20"/>
          <w:szCs w:val="20"/>
        </w:rPr>
        <w:t xml:space="preserve">s </w:t>
      </w:r>
      <w:r w:rsidR="00FD0B3D">
        <w:rPr>
          <w:rFonts w:ascii="Verdana" w:hAnsi="Verdana"/>
          <w:sz w:val="20"/>
          <w:szCs w:val="20"/>
        </w:rPr>
        <w:t>beneficiario</w:t>
      </w:r>
      <w:r w:rsidR="005E2A04" w:rsidRPr="00981B82">
        <w:rPr>
          <w:rFonts w:ascii="Verdana" w:hAnsi="Verdana"/>
          <w:sz w:val="20"/>
          <w:szCs w:val="20"/>
        </w:rPr>
        <w:t>s</w:t>
      </w:r>
      <w:r w:rsidR="005E2A04">
        <w:rPr>
          <w:rFonts w:ascii="Verdana" w:hAnsi="Verdana"/>
          <w:sz w:val="20"/>
          <w:szCs w:val="20"/>
        </w:rPr>
        <w:t xml:space="preserve">, </w:t>
      </w:r>
      <w:r w:rsidR="00FD0B3D">
        <w:rPr>
          <w:rFonts w:ascii="Verdana" w:hAnsi="Verdana"/>
          <w:sz w:val="20"/>
          <w:szCs w:val="20"/>
        </w:rPr>
        <w:t>con el fin de</w:t>
      </w:r>
      <w:r w:rsidR="005E2A04">
        <w:rPr>
          <w:rFonts w:ascii="Verdana" w:hAnsi="Verdana"/>
          <w:sz w:val="20"/>
          <w:szCs w:val="20"/>
        </w:rPr>
        <w:t xml:space="preserve"> conocer la situación de riesgo</w:t>
      </w:r>
      <w:r w:rsidR="005E2A04" w:rsidRPr="00981B82">
        <w:rPr>
          <w:rFonts w:ascii="Verdana" w:hAnsi="Verdana"/>
          <w:sz w:val="20"/>
          <w:szCs w:val="20"/>
        </w:rPr>
        <w:t xml:space="preserve"> </w:t>
      </w:r>
      <w:r w:rsidR="005E2A04">
        <w:rPr>
          <w:rFonts w:ascii="Verdana" w:hAnsi="Verdana"/>
          <w:sz w:val="20"/>
          <w:szCs w:val="20"/>
        </w:rPr>
        <w:t xml:space="preserve">grave y actual en la cual se encuentran, y que las </w:t>
      </w:r>
      <w:r w:rsidR="00FD0B3D">
        <w:rPr>
          <w:rFonts w:ascii="Verdana" w:hAnsi="Verdana"/>
          <w:sz w:val="20"/>
          <w:szCs w:val="20"/>
        </w:rPr>
        <w:t>presentes medidas</w:t>
      </w:r>
      <w:r w:rsidR="005E2A04">
        <w:rPr>
          <w:rFonts w:ascii="Verdana" w:hAnsi="Verdana"/>
          <w:sz w:val="20"/>
          <w:szCs w:val="20"/>
        </w:rPr>
        <w:t xml:space="preserve"> puedan ser aplicadas de la manera más favorable a estos. Por tanto, el Estado debe tomar todas las medidas necesarias para realizar el </w:t>
      </w:r>
      <w:r w:rsidR="005E2A04" w:rsidRPr="00981B82">
        <w:rPr>
          <w:rFonts w:ascii="Verdana" w:hAnsi="Verdana"/>
          <w:sz w:val="20"/>
          <w:szCs w:val="20"/>
        </w:rPr>
        <w:t>análisis sobre la situación de riesgo de las personas beneficiarias</w:t>
      </w:r>
      <w:r w:rsidR="005E2A04">
        <w:rPr>
          <w:rFonts w:ascii="Verdana" w:hAnsi="Verdana"/>
          <w:sz w:val="20"/>
          <w:szCs w:val="20"/>
        </w:rPr>
        <w:t xml:space="preserve"> a la brevedad posible y sin dilación. Asimismo, </w:t>
      </w:r>
      <w:r w:rsidR="00FD0B3D">
        <w:rPr>
          <w:rFonts w:ascii="Verdana" w:hAnsi="Verdana"/>
          <w:sz w:val="20"/>
          <w:szCs w:val="20"/>
        </w:rPr>
        <w:t xml:space="preserve">reitera que el Estado </w:t>
      </w:r>
      <w:r w:rsidR="005E2A04">
        <w:rPr>
          <w:rFonts w:ascii="Verdana" w:hAnsi="Verdana"/>
          <w:sz w:val="20"/>
          <w:szCs w:val="20"/>
        </w:rPr>
        <w:t>deberá informar</w:t>
      </w:r>
      <w:r w:rsidR="005E2A04" w:rsidRPr="00981B82">
        <w:rPr>
          <w:rFonts w:ascii="Verdana" w:hAnsi="Verdana"/>
          <w:sz w:val="20"/>
          <w:szCs w:val="20"/>
        </w:rPr>
        <w:t xml:space="preserve"> a las víctimas o sus representantes sobre la metodología y personal que realizará dicho análisis, el cual deberá hacers</w:t>
      </w:r>
      <w:r w:rsidR="005E2A04">
        <w:rPr>
          <w:rFonts w:ascii="Verdana" w:hAnsi="Verdana"/>
          <w:sz w:val="20"/>
          <w:szCs w:val="20"/>
        </w:rPr>
        <w:t>e con una perspectiva de género e impactos diferenciados.</w:t>
      </w:r>
    </w:p>
    <w:p w14:paraId="5B44A326" w14:textId="77777777" w:rsidR="005E2A04" w:rsidRPr="005E2A04" w:rsidRDefault="005E2A04" w:rsidP="008747D5">
      <w:pPr>
        <w:autoSpaceDE w:val="0"/>
        <w:autoSpaceDN w:val="0"/>
        <w:adjustRightInd w:val="0"/>
        <w:ind w:right="19"/>
        <w:jc w:val="both"/>
        <w:rPr>
          <w:rFonts w:ascii="Verdana" w:hAnsi="Verdana" w:cs="Arial"/>
          <w:sz w:val="20"/>
          <w:szCs w:val="20"/>
          <w:lang w:val="es-MX"/>
        </w:rPr>
      </w:pPr>
    </w:p>
    <w:p w14:paraId="5677E146" w14:textId="2C8A87D7" w:rsidR="00340D37" w:rsidRPr="00606305" w:rsidRDefault="00C30665" w:rsidP="00340D37">
      <w:pPr>
        <w:ind w:left="720"/>
        <w:jc w:val="both"/>
        <w:rPr>
          <w:rFonts w:ascii="Verdana" w:hAnsi="Verdana"/>
          <w:b/>
          <w:sz w:val="20"/>
          <w:szCs w:val="20"/>
        </w:rPr>
      </w:pPr>
      <w:r>
        <w:rPr>
          <w:rFonts w:ascii="Verdana" w:hAnsi="Verdana"/>
          <w:b/>
          <w:i/>
          <w:sz w:val="20"/>
          <w:szCs w:val="20"/>
        </w:rPr>
        <w:t xml:space="preserve">D) </w:t>
      </w:r>
      <w:r w:rsidR="00A74915">
        <w:rPr>
          <w:rFonts w:ascii="Verdana" w:hAnsi="Verdana"/>
          <w:b/>
          <w:i/>
          <w:sz w:val="20"/>
          <w:szCs w:val="20"/>
        </w:rPr>
        <w:t>Implementación de las medidas provisionales respecto de las personas beneficiarias que se encuentran en el territorio mexicano</w:t>
      </w:r>
    </w:p>
    <w:p w14:paraId="5677E147" w14:textId="77777777" w:rsidR="00EA3BDA" w:rsidRDefault="00EA3BDA" w:rsidP="00EA3BDA">
      <w:pPr>
        <w:rPr>
          <w:rFonts w:ascii="Verdana" w:hAnsi="Verdana"/>
          <w:sz w:val="20"/>
          <w:szCs w:val="20"/>
          <w:highlight w:val="yellow"/>
        </w:rPr>
      </w:pPr>
    </w:p>
    <w:p w14:paraId="5677E148" w14:textId="598A1D18" w:rsidR="00D740BB" w:rsidRPr="00FE5F84" w:rsidRDefault="00D740BB" w:rsidP="006A59E8">
      <w:pPr>
        <w:pStyle w:val="Heading2"/>
        <w:spacing w:before="0"/>
        <w:jc w:val="both"/>
        <w:rPr>
          <w:rFonts w:ascii="Verdana" w:eastAsia="Times New Roman" w:hAnsi="Verdana"/>
          <w:b w:val="0"/>
          <w:i/>
          <w:color w:val="auto"/>
          <w:sz w:val="20"/>
          <w:szCs w:val="20"/>
        </w:rPr>
      </w:pPr>
      <w:r>
        <w:rPr>
          <w:rFonts w:ascii="Verdana" w:eastAsia="Times New Roman" w:hAnsi="Verdana"/>
          <w:b w:val="0"/>
          <w:i/>
          <w:color w:val="auto"/>
          <w:sz w:val="20"/>
          <w:szCs w:val="20"/>
        </w:rPr>
        <w:t>Observaciones</w:t>
      </w:r>
      <w:r w:rsidRPr="006A59E8">
        <w:rPr>
          <w:rFonts w:ascii="Verdana" w:eastAsia="Times New Roman" w:hAnsi="Verdana"/>
          <w:b w:val="0"/>
          <w:i/>
          <w:color w:val="auto"/>
          <w:sz w:val="20"/>
          <w:szCs w:val="20"/>
        </w:rPr>
        <w:t xml:space="preserve"> </w:t>
      </w:r>
      <w:r w:rsidR="004F3638" w:rsidRPr="006A59E8">
        <w:rPr>
          <w:rFonts w:ascii="Verdana" w:eastAsia="Times New Roman" w:hAnsi="Verdana"/>
          <w:b w:val="0"/>
          <w:i/>
          <w:color w:val="auto"/>
          <w:sz w:val="20"/>
          <w:szCs w:val="20"/>
        </w:rPr>
        <w:t xml:space="preserve">de las partes </w:t>
      </w:r>
      <w:r w:rsidR="004F3638">
        <w:rPr>
          <w:rFonts w:ascii="Verdana" w:eastAsia="Times New Roman" w:hAnsi="Verdana"/>
          <w:b w:val="0"/>
          <w:i/>
          <w:color w:val="auto"/>
          <w:sz w:val="20"/>
          <w:szCs w:val="20"/>
        </w:rPr>
        <w:t xml:space="preserve">y </w:t>
      </w:r>
      <w:r w:rsidRPr="006A59E8">
        <w:rPr>
          <w:rFonts w:ascii="Verdana" w:eastAsia="Times New Roman" w:hAnsi="Verdana"/>
          <w:b w:val="0"/>
          <w:i/>
          <w:color w:val="auto"/>
          <w:sz w:val="20"/>
          <w:szCs w:val="20"/>
        </w:rPr>
        <w:t>de la Comisión</w:t>
      </w:r>
    </w:p>
    <w:p w14:paraId="7227C006" w14:textId="77777777" w:rsidR="0034403A" w:rsidRDefault="0034403A" w:rsidP="0034403A">
      <w:pPr>
        <w:jc w:val="both"/>
        <w:rPr>
          <w:rFonts w:ascii="Verdana" w:hAnsi="Verdana"/>
          <w:sz w:val="20"/>
          <w:szCs w:val="20"/>
        </w:rPr>
      </w:pPr>
    </w:p>
    <w:p w14:paraId="18E41368" w14:textId="01BD2AF4" w:rsidR="007B489D" w:rsidRPr="008747D5" w:rsidRDefault="00106837" w:rsidP="008747D5">
      <w:pPr>
        <w:pStyle w:val="ListParagraph"/>
        <w:numPr>
          <w:ilvl w:val="0"/>
          <w:numId w:val="29"/>
        </w:numPr>
        <w:jc w:val="both"/>
        <w:rPr>
          <w:rFonts w:ascii="Verdana" w:hAnsi="Verdana"/>
          <w:i/>
          <w:sz w:val="20"/>
          <w:szCs w:val="20"/>
        </w:rPr>
      </w:pPr>
      <w:r>
        <w:rPr>
          <w:rFonts w:ascii="Verdana" w:hAnsi="Verdana"/>
          <w:i/>
          <w:sz w:val="20"/>
          <w:szCs w:val="20"/>
        </w:rPr>
        <w:t>En relación con los t</w:t>
      </w:r>
      <w:r w:rsidR="007B489D" w:rsidRPr="008747D5">
        <w:rPr>
          <w:rFonts w:ascii="Verdana" w:hAnsi="Verdana"/>
          <w:i/>
          <w:sz w:val="20"/>
          <w:szCs w:val="20"/>
        </w:rPr>
        <w:t xml:space="preserve">raslados </w:t>
      </w:r>
    </w:p>
    <w:p w14:paraId="791A4301" w14:textId="77777777" w:rsidR="007B489D" w:rsidRPr="008747D5" w:rsidRDefault="007B489D" w:rsidP="008747D5">
      <w:pPr>
        <w:pStyle w:val="ListParagraph"/>
        <w:jc w:val="both"/>
        <w:rPr>
          <w:rFonts w:ascii="Verdana" w:hAnsi="Verdana"/>
          <w:sz w:val="20"/>
          <w:szCs w:val="20"/>
        </w:rPr>
      </w:pPr>
    </w:p>
    <w:p w14:paraId="4465B14E" w14:textId="47EC4DBD" w:rsidR="00E9246A" w:rsidRDefault="00A74915" w:rsidP="00E63251">
      <w:pPr>
        <w:numPr>
          <w:ilvl w:val="0"/>
          <w:numId w:val="19"/>
        </w:numPr>
        <w:autoSpaceDE w:val="0"/>
        <w:autoSpaceDN w:val="0"/>
        <w:adjustRightInd w:val="0"/>
        <w:ind w:left="0" w:right="19" w:firstLine="0"/>
        <w:jc w:val="both"/>
        <w:rPr>
          <w:rFonts w:ascii="Verdana" w:hAnsi="Verdana"/>
          <w:sz w:val="20"/>
          <w:lang w:val="es-CR"/>
        </w:rPr>
      </w:pPr>
      <w:r w:rsidRPr="00AD197D">
        <w:rPr>
          <w:rFonts w:ascii="Verdana" w:hAnsi="Verdana"/>
          <w:sz w:val="20"/>
          <w:szCs w:val="20"/>
        </w:rPr>
        <w:t xml:space="preserve">Sobre el traslado de los beneficiarios a la ciudad de Chihuahua, el </w:t>
      </w:r>
      <w:r w:rsidRPr="00226BFE">
        <w:rPr>
          <w:rFonts w:ascii="Verdana" w:hAnsi="Verdana"/>
          <w:b/>
          <w:i/>
          <w:sz w:val="20"/>
          <w:szCs w:val="20"/>
        </w:rPr>
        <w:t>Estado</w:t>
      </w:r>
      <w:r w:rsidRPr="00F070F9">
        <w:rPr>
          <w:rFonts w:ascii="Verdana" w:hAnsi="Verdana"/>
          <w:sz w:val="20"/>
          <w:szCs w:val="20"/>
        </w:rPr>
        <w:t xml:space="preserve"> informó </w:t>
      </w:r>
      <w:r w:rsidR="0034403A" w:rsidRPr="009818D0">
        <w:rPr>
          <w:rFonts w:ascii="Verdana" w:hAnsi="Verdana"/>
          <w:sz w:val="20"/>
          <w:szCs w:val="20"/>
        </w:rPr>
        <w:t>que en la</w:t>
      </w:r>
      <w:r w:rsidR="0034403A" w:rsidRPr="009818D0">
        <w:rPr>
          <w:rFonts w:ascii="Verdana" w:hAnsi="Verdana"/>
          <w:sz w:val="20"/>
          <w:lang w:val="es-CR"/>
        </w:rPr>
        <w:t xml:space="preserve"> reunión de trabajo celebrada el 10 de junio del 2015</w:t>
      </w:r>
      <w:r w:rsidR="009818D0" w:rsidRPr="009818D0">
        <w:rPr>
          <w:rFonts w:ascii="Verdana" w:hAnsi="Verdana"/>
          <w:sz w:val="20"/>
          <w:lang w:val="es-CR"/>
        </w:rPr>
        <w:t xml:space="preserve"> </w:t>
      </w:r>
      <w:r w:rsidR="0034403A" w:rsidRPr="009818D0">
        <w:rPr>
          <w:rFonts w:ascii="Verdana" w:hAnsi="Verdana"/>
          <w:sz w:val="20"/>
          <w:lang w:val="es-CR"/>
        </w:rPr>
        <w:t xml:space="preserve">entre autoridades federales, autoridades del estado de Chihuahua, los beneficiarios y sus representantes, estos últimos manifestaron su inconformidad con el ofrecimiento hecho por las autoridades para la realización del traslado, ya que consideraron que las condiciones que se les ofrecían para su reubicación no eran aceptables, debido a la incertidumbre y la desconfianza en las autoridades. </w:t>
      </w:r>
      <w:r w:rsidR="0034403A" w:rsidRPr="009818D0">
        <w:rPr>
          <w:rFonts w:ascii="Verdana" w:hAnsi="Verdana"/>
          <w:sz w:val="20"/>
          <w:szCs w:val="20"/>
        </w:rPr>
        <w:t>N</w:t>
      </w:r>
      <w:proofErr w:type="spellStart"/>
      <w:r w:rsidR="0034403A" w:rsidRPr="009818D0">
        <w:rPr>
          <w:rFonts w:ascii="Verdana" w:hAnsi="Verdana"/>
          <w:sz w:val="20"/>
          <w:lang w:val="es-CR"/>
        </w:rPr>
        <w:t>o</w:t>
      </w:r>
      <w:proofErr w:type="spellEnd"/>
      <w:r w:rsidR="0034403A" w:rsidRPr="009818D0">
        <w:rPr>
          <w:rFonts w:ascii="Verdana" w:hAnsi="Verdana"/>
          <w:sz w:val="20"/>
          <w:lang w:val="es-CR"/>
        </w:rPr>
        <w:t xml:space="preserve"> obstante, indicaron que posteriormente la señora Patricia Reyes y su núcleo familiar cambiaron de opinión con respecto a las condiciones del traslado ofrecido por las autoridades</w:t>
      </w:r>
      <w:r w:rsidR="00F22AD2" w:rsidRPr="009818D0">
        <w:rPr>
          <w:rFonts w:ascii="Verdana" w:hAnsi="Verdana"/>
          <w:sz w:val="20"/>
          <w:lang w:val="es-CR"/>
        </w:rPr>
        <w:t>,</w:t>
      </w:r>
      <w:r w:rsidR="0034403A" w:rsidRPr="009818D0">
        <w:rPr>
          <w:rFonts w:ascii="Verdana" w:hAnsi="Verdana"/>
          <w:sz w:val="20"/>
          <w:lang w:val="es-CR"/>
        </w:rPr>
        <w:t xml:space="preserve"> </w:t>
      </w:r>
      <w:r w:rsidR="00F22AD2" w:rsidRPr="009818D0">
        <w:rPr>
          <w:rFonts w:ascii="Verdana" w:hAnsi="Verdana"/>
          <w:sz w:val="20"/>
          <w:lang w:val="es-CR"/>
        </w:rPr>
        <w:t xml:space="preserve">por lo que </w:t>
      </w:r>
      <w:r w:rsidR="0034403A" w:rsidRPr="009818D0">
        <w:rPr>
          <w:rFonts w:ascii="Verdana" w:hAnsi="Verdana"/>
          <w:sz w:val="20"/>
          <w:lang w:val="es-CR"/>
        </w:rPr>
        <w:t xml:space="preserve">el 22 de noviembre de 2015 se realizó la entrega formal de esta medida de protección en favor de la beneficiaria Patricia </w:t>
      </w:r>
      <w:r w:rsidR="002D1AB3" w:rsidRPr="009818D0">
        <w:rPr>
          <w:rFonts w:ascii="Verdana" w:hAnsi="Verdana"/>
          <w:sz w:val="20"/>
          <w:lang w:val="es-CR"/>
        </w:rPr>
        <w:t>Reyes</w:t>
      </w:r>
      <w:r w:rsidR="0034403A" w:rsidRPr="009818D0">
        <w:rPr>
          <w:rFonts w:ascii="Verdana" w:hAnsi="Verdana"/>
          <w:sz w:val="20"/>
          <w:lang w:val="es-CR"/>
        </w:rPr>
        <w:t xml:space="preserve">, consistente en el arrendamiento de un inmueble (refugio de seguridad) y que se entregó, como una medida </w:t>
      </w:r>
      <w:r w:rsidR="0034403A" w:rsidRPr="009818D0">
        <w:rPr>
          <w:rFonts w:ascii="Verdana" w:hAnsi="Verdana"/>
          <w:sz w:val="20"/>
          <w:lang w:val="es-CR"/>
        </w:rPr>
        <w:lastRenderedPageBreak/>
        <w:t xml:space="preserve">adicional previamente acordada, servicio de alimentación en favor de la beneficiaria y su familia. Adicionalmente, en relación con la beneficiaria Obdulia Alvarado, el Estado manifestó que </w:t>
      </w:r>
      <w:r w:rsidR="00F22AD2" w:rsidRPr="009818D0">
        <w:rPr>
          <w:rFonts w:ascii="Verdana" w:hAnsi="Verdana"/>
          <w:sz w:val="20"/>
          <w:lang w:val="es-CR"/>
        </w:rPr>
        <w:t>é</w:t>
      </w:r>
      <w:r w:rsidR="0034403A" w:rsidRPr="009818D0">
        <w:rPr>
          <w:rFonts w:ascii="Verdana" w:hAnsi="Verdana"/>
          <w:sz w:val="20"/>
          <w:lang w:val="es-CR"/>
        </w:rPr>
        <w:t>sta no se ha manifestado por sí misma o por medio de sus representantes, respecto de las condiciones de la medida del traslado ofrecida por las autoridades</w:t>
      </w:r>
      <w:r w:rsidR="00834F18" w:rsidRPr="009818D0">
        <w:rPr>
          <w:rFonts w:ascii="Verdana" w:hAnsi="Verdana"/>
          <w:sz w:val="20"/>
          <w:lang w:val="es-CR"/>
        </w:rPr>
        <w:t>, sin embargo, el Estado</w:t>
      </w:r>
      <w:r w:rsidR="0034403A" w:rsidRPr="009818D0">
        <w:rPr>
          <w:rFonts w:ascii="Verdana" w:hAnsi="Verdana"/>
          <w:sz w:val="20"/>
          <w:lang w:val="es-CR"/>
        </w:rPr>
        <w:t xml:space="preserve"> reiteró su compromiso y total disposición para realizar las acciones necesarias para su traslado en el momento en que lo solicite la beneficiaria. </w:t>
      </w:r>
    </w:p>
    <w:p w14:paraId="79F42F3D" w14:textId="77777777" w:rsidR="0034403A" w:rsidRPr="00AD197D" w:rsidRDefault="0034403A" w:rsidP="00E9246A">
      <w:pPr>
        <w:autoSpaceDE w:val="0"/>
        <w:autoSpaceDN w:val="0"/>
        <w:adjustRightInd w:val="0"/>
        <w:ind w:right="19"/>
        <w:jc w:val="both"/>
        <w:rPr>
          <w:rFonts w:ascii="Verdana" w:hAnsi="Verdana"/>
          <w:sz w:val="20"/>
          <w:lang w:val="es-CR"/>
        </w:rPr>
      </w:pPr>
    </w:p>
    <w:p w14:paraId="7DE3CA39" w14:textId="60F036DB" w:rsidR="00F22AD2" w:rsidRDefault="00F22AD2" w:rsidP="0034403A">
      <w:pPr>
        <w:numPr>
          <w:ilvl w:val="0"/>
          <w:numId w:val="19"/>
        </w:numPr>
        <w:autoSpaceDE w:val="0"/>
        <w:autoSpaceDN w:val="0"/>
        <w:adjustRightInd w:val="0"/>
        <w:ind w:left="0" w:right="19" w:firstLine="0"/>
        <w:jc w:val="both"/>
        <w:rPr>
          <w:rFonts w:ascii="Verdana" w:hAnsi="Verdana"/>
          <w:sz w:val="20"/>
          <w:lang w:val="es-CR"/>
        </w:rPr>
      </w:pPr>
      <w:r>
        <w:rPr>
          <w:rFonts w:ascii="Verdana" w:hAnsi="Verdana"/>
          <w:sz w:val="20"/>
          <w:lang w:val="es-CR"/>
        </w:rPr>
        <w:t>Al respecto,</w:t>
      </w:r>
      <w:r w:rsidR="0034403A" w:rsidRPr="00597480">
        <w:rPr>
          <w:rFonts w:ascii="Verdana" w:hAnsi="Verdana"/>
          <w:sz w:val="20"/>
          <w:lang w:val="es-CR"/>
        </w:rPr>
        <w:t xml:space="preserve"> los </w:t>
      </w:r>
      <w:r w:rsidR="0034403A" w:rsidRPr="00597480">
        <w:rPr>
          <w:rFonts w:ascii="Verdana" w:hAnsi="Verdana"/>
          <w:b/>
          <w:i/>
          <w:sz w:val="20"/>
          <w:lang w:val="es-CR"/>
        </w:rPr>
        <w:t>representantes</w:t>
      </w:r>
      <w:r w:rsidR="0034403A" w:rsidRPr="00597480">
        <w:rPr>
          <w:rFonts w:ascii="Verdana" w:hAnsi="Verdana"/>
          <w:sz w:val="20"/>
          <w:lang w:val="es-CR"/>
        </w:rPr>
        <w:t xml:space="preserve"> coincidieron con lo señalado por el Estado</w:t>
      </w:r>
      <w:r w:rsidR="003826EE" w:rsidRPr="00597480">
        <w:rPr>
          <w:rFonts w:ascii="Verdana" w:hAnsi="Verdana"/>
          <w:sz w:val="20"/>
          <w:lang w:val="es-CR"/>
        </w:rPr>
        <w:t xml:space="preserve"> respecto al </w:t>
      </w:r>
      <w:r w:rsidR="00FD0B3D" w:rsidRPr="00597480">
        <w:rPr>
          <w:rFonts w:ascii="Verdana" w:hAnsi="Verdana"/>
          <w:sz w:val="20"/>
          <w:lang w:val="es-CR"/>
        </w:rPr>
        <w:t xml:space="preserve">efectivo </w:t>
      </w:r>
      <w:r w:rsidR="00713044">
        <w:rPr>
          <w:rFonts w:ascii="Verdana" w:hAnsi="Verdana"/>
          <w:sz w:val="20"/>
          <w:lang w:val="es-CR"/>
        </w:rPr>
        <w:t>traslado al e</w:t>
      </w:r>
      <w:r w:rsidR="003826EE" w:rsidRPr="00597480">
        <w:rPr>
          <w:rFonts w:ascii="Verdana" w:hAnsi="Verdana"/>
          <w:sz w:val="20"/>
          <w:lang w:val="es-CR"/>
        </w:rPr>
        <w:t xml:space="preserve">stado de Chihuahua de la beneficiaria Patricia </w:t>
      </w:r>
      <w:r w:rsidR="002D1AB3" w:rsidRPr="00597480">
        <w:rPr>
          <w:rFonts w:ascii="Verdana" w:hAnsi="Verdana"/>
          <w:sz w:val="20"/>
          <w:lang w:val="es-CR"/>
        </w:rPr>
        <w:t>Reyes</w:t>
      </w:r>
      <w:r w:rsidR="003826EE" w:rsidRPr="00597480">
        <w:rPr>
          <w:rFonts w:ascii="Verdana" w:hAnsi="Verdana"/>
          <w:sz w:val="20"/>
          <w:lang w:val="es-CR"/>
        </w:rPr>
        <w:t xml:space="preserve"> y las medidas de protección otorgadas por el Estado en su favor señaladas anteriormente</w:t>
      </w:r>
      <w:r w:rsidR="0034403A" w:rsidRPr="00597480">
        <w:rPr>
          <w:rFonts w:ascii="Verdana" w:hAnsi="Verdana"/>
          <w:sz w:val="20"/>
          <w:lang w:val="es-CR"/>
        </w:rPr>
        <w:t>. Además, destacaron que</w:t>
      </w:r>
      <w:r w:rsidR="0034403A" w:rsidRPr="0034403A">
        <w:rPr>
          <w:rFonts w:ascii="Verdana" w:hAnsi="Verdana"/>
          <w:sz w:val="20"/>
          <w:lang w:val="es-CR"/>
        </w:rPr>
        <w:t xml:space="preserve"> el cambio de opinión de las personas beneficiarias que han o habían solicitado su traslado a Chihuahua, responde a las dinámicas y procesos propios de cada una de las familias,</w:t>
      </w:r>
      <w:r w:rsidR="00834F18">
        <w:rPr>
          <w:rFonts w:ascii="Verdana" w:hAnsi="Verdana"/>
          <w:sz w:val="20"/>
          <w:lang w:val="es-CR"/>
        </w:rPr>
        <w:t xml:space="preserve"> que</w:t>
      </w:r>
      <w:r w:rsidR="0034403A" w:rsidRPr="0034403A">
        <w:rPr>
          <w:rFonts w:ascii="Verdana" w:hAnsi="Verdana"/>
          <w:sz w:val="20"/>
          <w:lang w:val="es-CR"/>
        </w:rPr>
        <w:t xml:space="preserve"> si bien saben que estarán más seguras fuera del Ejido Benito Juárez, el significado de abandonar los lazos familiares y sociales, complica </w:t>
      </w:r>
      <w:r w:rsidR="00834F18">
        <w:rPr>
          <w:rFonts w:ascii="Verdana" w:hAnsi="Verdana"/>
          <w:sz w:val="20"/>
          <w:lang w:val="es-CR"/>
        </w:rPr>
        <w:t xml:space="preserve">su </w:t>
      </w:r>
      <w:r w:rsidR="0034403A" w:rsidRPr="0034403A">
        <w:rPr>
          <w:rFonts w:ascii="Verdana" w:hAnsi="Verdana"/>
          <w:sz w:val="20"/>
          <w:lang w:val="es-CR"/>
        </w:rPr>
        <w:t xml:space="preserve">decisión. </w:t>
      </w:r>
    </w:p>
    <w:p w14:paraId="5DD0DFF2" w14:textId="77777777" w:rsidR="00F22AD2" w:rsidRDefault="00F22AD2" w:rsidP="00C8736E">
      <w:pPr>
        <w:pStyle w:val="ListParagraph"/>
        <w:rPr>
          <w:rFonts w:ascii="Verdana" w:hAnsi="Verdana"/>
          <w:sz w:val="20"/>
          <w:lang w:val="es-CR"/>
        </w:rPr>
      </w:pPr>
    </w:p>
    <w:p w14:paraId="7F2E391F" w14:textId="2544251F" w:rsidR="00A74915" w:rsidRPr="00D340A0" w:rsidRDefault="0034403A" w:rsidP="0034403A">
      <w:pPr>
        <w:numPr>
          <w:ilvl w:val="0"/>
          <w:numId w:val="19"/>
        </w:numPr>
        <w:autoSpaceDE w:val="0"/>
        <w:autoSpaceDN w:val="0"/>
        <w:adjustRightInd w:val="0"/>
        <w:ind w:left="0" w:right="19" w:firstLine="0"/>
        <w:jc w:val="both"/>
        <w:rPr>
          <w:rFonts w:ascii="Verdana" w:hAnsi="Verdana"/>
          <w:sz w:val="20"/>
          <w:lang w:val="es-CR"/>
        </w:rPr>
      </w:pPr>
      <w:r w:rsidRPr="0034403A">
        <w:rPr>
          <w:rFonts w:ascii="Verdana" w:hAnsi="Verdana"/>
          <w:sz w:val="20"/>
          <w:lang w:val="es-CR"/>
        </w:rPr>
        <w:t xml:space="preserve">Por su parte, la </w:t>
      </w:r>
      <w:r w:rsidRPr="0034403A">
        <w:rPr>
          <w:rFonts w:ascii="Verdana" w:hAnsi="Verdana"/>
          <w:b/>
          <w:i/>
          <w:sz w:val="20"/>
          <w:lang w:val="es-CR"/>
        </w:rPr>
        <w:t xml:space="preserve">Comisión </w:t>
      </w:r>
      <w:r w:rsidRPr="0034403A">
        <w:rPr>
          <w:rFonts w:ascii="Verdana" w:hAnsi="Verdana"/>
          <w:sz w:val="20"/>
          <w:lang w:val="es-CR"/>
        </w:rPr>
        <w:t xml:space="preserve">tomó nota de la implementación de esta medida, </w:t>
      </w:r>
      <w:r w:rsidR="00834F18">
        <w:rPr>
          <w:rFonts w:ascii="Verdana" w:hAnsi="Verdana"/>
          <w:sz w:val="20"/>
          <w:lang w:val="es-CR"/>
        </w:rPr>
        <w:t>no obstante</w:t>
      </w:r>
      <w:r w:rsidRPr="0034403A">
        <w:rPr>
          <w:rFonts w:ascii="Verdana" w:hAnsi="Verdana"/>
          <w:sz w:val="20"/>
          <w:lang w:val="es-CR"/>
        </w:rPr>
        <w:t xml:space="preserve">, </w:t>
      </w:r>
      <w:r>
        <w:rPr>
          <w:rFonts w:ascii="Verdana" w:hAnsi="Verdana"/>
          <w:sz w:val="20"/>
          <w:lang w:val="es-CR"/>
        </w:rPr>
        <w:t xml:space="preserve">observó que en </w:t>
      </w:r>
      <w:r w:rsidR="00834F18">
        <w:rPr>
          <w:rFonts w:ascii="Verdana" w:hAnsi="Verdana"/>
          <w:sz w:val="20"/>
          <w:lang w:val="es-CR"/>
        </w:rPr>
        <w:t>los</w:t>
      </w:r>
      <w:r>
        <w:rPr>
          <w:rFonts w:ascii="Verdana" w:hAnsi="Verdana"/>
          <w:sz w:val="20"/>
          <w:lang w:val="es-CR"/>
        </w:rPr>
        <w:t xml:space="preserve"> informe</w:t>
      </w:r>
      <w:r w:rsidR="00834F18">
        <w:rPr>
          <w:rFonts w:ascii="Verdana" w:hAnsi="Verdana"/>
          <w:sz w:val="20"/>
          <w:lang w:val="es-CR"/>
        </w:rPr>
        <w:t>s</w:t>
      </w:r>
      <w:r>
        <w:rPr>
          <w:rFonts w:ascii="Verdana" w:hAnsi="Verdana"/>
          <w:sz w:val="20"/>
          <w:lang w:val="es-CR"/>
        </w:rPr>
        <w:t xml:space="preserve"> estatal</w:t>
      </w:r>
      <w:r w:rsidR="00834F18">
        <w:rPr>
          <w:rFonts w:ascii="Verdana" w:hAnsi="Verdana"/>
          <w:sz w:val="20"/>
          <w:lang w:val="es-CR"/>
        </w:rPr>
        <w:t>es</w:t>
      </w:r>
      <w:r>
        <w:rPr>
          <w:rFonts w:ascii="Verdana" w:hAnsi="Verdana"/>
          <w:sz w:val="20"/>
          <w:lang w:val="es-CR"/>
        </w:rPr>
        <w:t xml:space="preserve"> no se detalla la situació</w:t>
      </w:r>
      <w:r w:rsidRPr="0034403A">
        <w:rPr>
          <w:rFonts w:ascii="Verdana" w:hAnsi="Verdana"/>
          <w:sz w:val="20"/>
          <w:lang w:val="es-CR"/>
        </w:rPr>
        <w:t xml:space="preserve">n actual </w:t>
      </w:r>
      <w:r w:rsidRPr="00D340A0">
        <w:rPr>
          <w:rFonts w:ascii="Verdana" w:hAnsi="Verdana"/>
          <w:sz w:val="20"/>
          <w:lang w:val="es-CR"/>
        </w:rPr>
        <w:t xml:space="preserve">en que se encuentran tales beneficiarios ni la vigencia de las medidas de protección ofrecidas. </w:t>
      </w:r>
    </w:p>
    <w:p w14:paraId="64E467F8" w14:textId="77777777" w:rsidR="00A74915" w:rsidRDefault="00A74915" w:rsidP="00A74915">
      <w:pPr>
        <w:autoSpaceDE w:val="0"/>
        <w:autoSpaceDN w:val="0"/>
        <w:adjustRightInd w:val="0"/>
        <w:ind w:right="19"/>
        <w:jc w:val="both"/>
        <w:rPr>
          <w:rFonts w:ascii="Verdana" w:hAnsi="Verdana"/>
          <w:sz w:val="20"/>
          <w:szCs w:val="20"/>
        </w:rPr>
      </w:pPr>
    </w:p>
    <w:p w14:paraId="3A7394AF" w14:textId="60942613" w:rsidR="007B489D" w:rsidRPr="008747D5" w:rsidRDefault="00106837" w:rsidP="008747D5">
      <w:pPr>
        <w:pStyle w:val="ListParagraph"/>
        <w:numPr>
          <w:ilvl w:val="0"/>
          <w:numId w:val="29"/>
        </w:numPr>
        <w:autoSpaceDE w:val="0"/>
        <w:autoSpaceDN w:val="0"/>
        <w:adjustRightInd w:val="0"/>
        <w:ind w:right="19"/>
        <w:jc w:val="both"/>
        <w:rPr>
          <w:rFonts w:ascii="Verdana" w:hAnsi="Verdana"/>
          <w:i/>
          <w:sz w:val="20"/>
          <w:szCs w:val="20"/>
        </w:rPr>
      </w:pPr>
      <w:r>
        <w:rPr>
          <w:rFonts w:ascii="Verdana" w:hAnsi="Verdana"/>
          <w:i/>
          <w:sz w:val="20"/>
          <w:szCs w:val="20"/>
        </w:rPr>
        <w:t>En relación con las m</w:t>
      </w:r>
      <w:r w:rsidR="007B489D" w:rsidRPr="008747D5">
        <w:rPr>
          <w:rFonts w:ascii="Verdana" w:hAnsi="Verdana"/>
          <w:i/>
          <w:sz w:val="20"/>
          <w:szCs w:val="20"/>
        </w:rPr>
        <w:t xml:space="preserve">edidas de protección </w:t>
      </w:r>
    </w:p>
    <w:p w14:paraId="41DCA02A" w14:textId="77777777" w:rsidR="007B489D" w:rsidRPr="008747D5" w:rsidRDefault="007B489D" w:rsidP="008747D5">
      <w:pPr>
        <w:pStyle w:val="ListParagraph"/>
        <w:autoSpaceDE w:val="0"/>
        <w:autoSpaceDN w:val="0"/>
        <w:adjustRightInd w:val="0"/>
        <w:ind w:right="19"/>
        <w:jc w:val="both"/>
        <w:rPr>
          <w:rFonts w:ascii="Verdana" w:hAnsi="Verdana"/>
          <w:sz w:val="20"/>
          <w:szCs w:val="20"/>
        </w:rPr>
      </w:pPr>
    </w:p>
    <w:p w14:paraId="70961D40" w14:textId="7F78B05C" w:rsidR="00D565AC" w:rsidRPr="00FC1398" w:rsidRDefault="001A5A3C" w:rsidP="00C8736E">
      <w:pPr>
        <w:numPr>
          <w:ilvl w:val="0"/>
          <w:numId w:val="19"/>
        </w:numPr>
        <w:tabs>
          <w:tab w:val="left" w:pos="0"/>
        </w:tabs>
        <w:autoSpaceDE w:val="0"/>
        <w:autoSpaceDN w:val="0"/>
        <w:adjustRightInd w:val="0"/>
        <w:ind w:left="0" w:right="19" w:firstLine="0"/>
        <w:jc w:val="both"/>
        <w:rPr>
          <w:rFonts w:ascii="Verdana" w:hAnsi="Verdana" w:cs="Times New Roman"/>
          <w:sz w:val="20"/>
          <w:szCs w:val="20"/>
          <w:lang w:val="es-CR"/>
        </w:rPr>
      </w:pPr>
      <w:r>
        <w:rPr>
          <w:rFonts w:ascii="Verdana" w:hAnsi="Verdana"/>
          <w:sz w:val="20"/>
          <w:szCs w:val="20"/>
        </w:rPr>
        <w:t>E</w:t>
      </w:r>
      <w:r w:rsidR="003826EE" w:rsidRPr="00FC1398">
        <w:rPr>
          <w:rFonts w:ascii="Verdana" w:hAnsi="Verdana"/>
          <w:sz w:val="20"/>
          <w:szCs w:val="20"/>
        </w:rPr>
        <w:t xml:space="preserve">l </w:t>
      </w:r>
      <w:r w:rsidR="003826EE" w:rsidRPr="00C8736E">
        <w:rPr>
          <w:rFonts w:ascii="Verdana" w:hAnsi="Verdana"/>
          <w:b/>
          <w:i/>
          <w:sz w:val="20"/>
          <w:szCs w:val="20"/>
        </w:rPr>
        <w:t>Estado</w:t>
      </w:r>
      <w:r w:rsidR="003826EE" w:rsidRPr="00FC1398">
        <w:rPr>
          <w:rFonts w:ascii="Verdana" w:hAnsi="Verdana"/>
          <w:sz w:val="20"/>
          <w:szCs w:val="20"/>
        </w:rPr>
        <w:t xml:space="preserve"> informó sobre una serie </w:t>
      </w:r>
      <w:r w:rsidR="00C33E19" w:rsidRPr="00FC1398">
        <w:rPr>
          <w:rFonts w:ascii="Verdana" w:hAnsi="Verdana"/>
          <w:sz w:val="20"/>
          <w:szCs w:val="20"/>
        </w:rPr>
        <w:t>de avances en la implementación de las presentes</w:t>
      </w:r>
      <w:r w:rsidR="003826EE" w:rsidRPr="00FC1398">
        <w:rPr>
          <w:rFonts w:ascii="Verdana" w:hAnsi="Verdana"/>
          <w:sz w:val="20"/>
          <w:szCs w:val="20"/>
        </w:rPr>
        <w:t xml:space="preserve"> medidas</w:t>
      </w:r>
      <w:r w:rsidR="00C33E19" w:rsidRPr="00FC1398">
        <w:rPr>
          <w:rFonts w:ascii="Verdana" w:hAnsi="Verdana"/>
          <w:sz w:val="20"/>
          <w:szCs w:val="20"/>
        </w:rPr>
        <w:t>,</w:t>
      </w:r>
      <w:r w:rsidR="003826EE" w:rsidRPr="00FC1398">
        <w:rPr>
          <w:rFonts w:ascii="Verdana" w:hAnsi="Verdana"/>
          <w:sz w:val="20"/>
          <w:szCs w:val="20"/>
        </w:rPr>
        <w:t xml:space="preserve"> </w:t>
      </w:r>
      <w:r w:rsidR="003826EE" w:rsidRPr="00FC1398">
        <w:rPr>
          <w:rFonts w:ascii="Verdana" w:hAnsi="Verdana" w:cs="Times New Roman"/>
          <w:sz w:val="20"/>
          <w:szCs w:val="20"/>
          <w:lang w:val="es-CR"/>
        </w:rPr>
        <w:t xml:space="preserve">a saber: </w:t>
      </w:r>
      <w:r w:rsidR="000F6D2F">
        <w:rPr>
          <w:rFonts w:ascii="Verdana" w:hAnsi="Verdana" w:cs="Times New Roman"/>
          <w:sz w:val="20"/>
          <w:szCs w:val="20"/>
          <w:lang w:val="es-CR"/>
        </w:rPr>
        <w:t>(i</w:t>
      </w:r>
      <w:r w:rsidR="003826EE" w:rsidRPr="00FC1398">
        <w:rPr>
          <w:rFonts w:ascii="Verdana" w:hAnsi="Verdana" w:cs="Times New Roman"/>
          <w:sz w:val="20"/>
          <w:szCs w:val="20"/>
          <w:lang w:val="es-CR"/>
        </w:rPr>
        <w:t>)</w:t>
      </w:r>
      <w:r w:rsidR="00E84B67" w:rsidRPr="00FC1398">
        <w:rPr>
          <w:rFonts w:ascii="Verdana" w:hAnsi="Verdana" w:cs="Times New Roman"/>
          <w:sz w:val="20"/>
          <w:szCs w:val="20"/>
          <w:lang w:val="es-CR"/>
        </w:rPr>
        <w:t xml:space="preserve"> </w:t>
      </w:r>
      <w:r w:rsidR="005003B4" w:rsidRPr="00FC1398">
        <w:rPr>
          <w:rFonts w:ascii="Verdana" w:hAnsi="Verdana" w:cs="Times New Roman"/>
          <w:sz w:val="20"/>
          <w:szCs w:val="20"/>
          <w:lang w:val="es-CR"/>
        </w:rPr>
        <w:t>r</w:t>
      </w:r>
      <w:r w:rsidR="00E84B67" w:rsidRPr="00FC1398">
        <w:rPr>
          <w:rFonts w:ascii="Verdana" w:hAnsi="Verdana" w:cs="Times New Roman"/>
          <w:sz w:val="20"/>
          <w:szCs w:val="20"/>
          <w:lang w:val="es-CR"/>
        </w:rPr>
        <w:t>especto a la solicitud de Proyectos Productivos, aún y cuando se reconoce la</w:t>
      </w:r>
      <w:r w:rsidR="005003B4" w:rsidRPr="00FC1398">
        <w:rPr>
          <w:rFonts w:ascii="Verdana" w:hAnsi="Verdana" w:cs="Times New Roman"/>
          <w:sz w:val="20"/>
          <w:szCs w:val="20"/>
          <w:lang w:val="es-CR"/>
        </w:rPr>
        <w:t xml:space="preserve"> </w:t>
      </w:r>
      <w:r w:rsidR="00E84B67" w:rsidRPr="00FC1398">
        <w:rPr>
          <w:rFonts w:ascii="Verdana" w:hAnsi="Verdana" w:cs="Times New Roman"/>
          <w:sz w:val="20"/>
          <w:szCs w:val="20"/>
          <w:lang w:val="es-CR"/>
        </w:rPr>
        <w:t>entrega de dos apoyos en esta materia, se informa que los representantes de los beneficiarios no han hecho llegar la documentación correspondiente que respalde las solicitudes pendientes de los demás beneficiarios, por lo que los proyectos aún se encuentran pendientes de ingreso ante la Dirección del Servicio Nacional de Empleo</w:t>
      </w:r>
      <w:r w:rsidR="00D565AC" w:rsidRPr="00FC1398">
        <w:rPr>
          <w:rFonts w:ascii="Verdana" w:hAnsi="Verdana"/>
          <w:sz w:val="20"/>
          <w:szCs w:val="20"/>
          <w:lang w:val="es-CR"/>
        </w:rPr>
        <w:t xml:space="preserve">; </w:t>
      </w:r>
      <w:r w:rsidR="000F6D2F">
        <w:rPr>
          <w:rFonts w:ascii="Verdana" w:hAnsi="Verdana"/>
          <w:sz w:val="20"/>
          <w:szCs w:val="20"/>
          <w:lang w:val="es-CR"/>
        </w:rPr>
        <w:t>(ii</w:t>
      </w:r>
      <w:r w:rsidR="00D565AC" w:rsidRPr="00FC1398">
        <w:rPr>
          <w:rFonts w:ascii="Verdana" w:hAnsi="Verdana"/>
          <w:sz w:val="20"/>
          <w:szCs w:val="20"/>
          <w:lang w:val="es-CR"/>
        </w:rPr>
        <w:t xml:space="preserve">) </w:t>
      </w:r>
      <w:r w:rsidR="005003B4" w:rsidRPr="00FC1398">
        <w:rPr>
          <w:rFonts w:ascii="Verdana" w:hAnsi="Verdana" w:cs="Times New Roman"/>
          <w:sz w:val="20"/>
          <w:szCs w:val="20"/>
          <w:lang w:val="es-CR"/>
        </w:rPr>
        <w:t>s</w:t>
      </w:r>
      <w:r w:rsidR="00E84B67" w:rsidRPr="00FC1398">
        <w:rPr>
          <w:rFonts w:ascii="Verdana" w:hAnsi="Verdana" w:cs="Times New Roman"/>
          <w:sz w:val="20"/>
          <w:szCs w:val="20"/>
          <w:lang w:val="es-CR"/>
        </w:rPr>
        <w:t xml:space="preserve">e han otorgado y se mantienen vigentes </w:t>
      </w:r>
      <w:r w:rsidR="00D565AC" w:rsidRPr="00FC1398">
        <w:rPr>
          <w:rFonts w:ascii="Verdana" w:hAnsi="Verdana" w:cs="Times New Roman"/>
          <w:sz w:val="20"/>
          <w:szCs w:val="20"/>
          <w:lang w:val="es-CR"/>
        </w:rPr>
        <w:t>diversas</w:t>
      </w:r>
      <w:r w:rsidR="00E84B67" w:rsidRPr="00FC1398">
        <w:rPr>
          <w:rFonts w:ascii="Verdana" w:hAnsi="Verdana" w:cs="Times New Roman"/>
          <w:sz w:val="20"/>
          <w:szCs w:val="20"/>
          <w:lang w:val="es-CR"/>
        </w:rPr>
        <w:t xml:space="preserve"> </w:t>
      </w:r>
      <w:r w:rsidR="00D565AC" w:rsidRPr="00FC1398">
        <w:rPr>
          <w:rFonts w:ascii="Verdana" w:hAnsi="Verdana" w:cs="Times New Roman"/>
          <w:sz w:val="20"/>
          <w:szCs w:val="20"/>
          <w:lang w:val="es-CR"/>
        </w:rPr>
        <w:t>medidas de protección en el domicilio de Jaime Alvarado</w:t>
      </w:r>
      <w:r w:rsidR="002E2996" w:rsidRPr="007B489D">
        <w:rPr>
          <w:rStyle w:val="FootnoteReference"/>
          <w:lang w:val="es-CR"/>
        </w:rPr>
        <w:footnoteReference w:id="9"/>
      </w:r>
      <w:r w:rsidR="00D565AC" w:rsidRPr="00FC1398">
        <w:rPr>
          <w:rFonts w:ascii="Verdana" w:hAnsi="Verdana" w:cs="Times New Roman"/>
          <w:sz w:val="20"/>
          <w:szCs w:val="20"/>
          <w:lang w:val="es-CR"/>
        </w:rPr>
        <w:t>,</w:t>
      </w:r>
      <w:r w:rsidR="00D565AC" w:rsidRPr="00FC1398">
        <w:rPr>
          <w:rFonts w:ascii="Verdana" w:hAnsi="Verdana" w:cs="Times New Roman"/>
          <w:b/>
          <w:sz w:val="20"/>
          <w:szCs w:val="20"/>
          <w:lang w:val="es-CR"/>
        </w:rPr>
        <w:t xml:space="preserve"> </w:t>
      </w:r>
      <w:r w:rsidR="006D193D" w:rsidRPr="00FC1398">
        <w:rPr>
          <w:rFonts w:ascii="Verdana" w:hAnsi="Verdana" w:cs="Times New Roman"/>
          <w:sz w:val="20"/>
          <w:szCs w:val="20"/>
          <w:lang w:val="es-CR"/>
        </w:rPr>
        <w:t xml:space="preserve">de </w:t>
      </w:r>
      <w:r w:rsidR="00D565AC" w:rsidRPr="00FC1398">
        <w:rPr>
          <w:rFonts w:ascii="Verdana" w:hAnsi="Verdana" w:cs="Times New Roman"/>
          <w:sz w:val="20"/>
          <w:szCs w:val="20"/>
          <w:lang w:val="es-CR"/>
        </w:rPr>
        <w:t>José Ángel Alvarado</w:t>
      </w:r>
      <w:r w:rsidR="002E2996" w:rsidRPr="007B489D">
        <w:rPr>
          <w:rStyle w:val="FootnoteReference"/>
          <w:lang w:val="es-CR"/>
        </w:rPr>
        <w:footnoteReference w:id="10"/>
      </w:r>
      <w:r w:rsidR="006D193D" w:rsidRPr="00FC1398">
        <w:rPr>
          <w:rFonts w:ascii="Verdana" w:hAnsi="Verdana" w:cs="Times New Roman"/>
          <w:sz w:val="20"/>
          <w:szCs w:val="20"/>
          <w:lang w:val="es-CR"/>
        </w:rPr>
        <w:t xml:space="preserve"> y de su núcleo familiar en Ciudad Juárez</w:t>
      </w:r>
      <w:r w:rsidR="006D193D" w:rsidRPr="007B489D">
        <w:rPr>
          <w:rStyle w:val="FootnoteReference"/>
          <w:lang w:val="es-CR"/>
        </w:rPr>
        <w:footnoteReference w:id="11"/>
      </w:r>
      <w:r w:rsidR="006D193D" w:rsidRPr="00FC1398">
        <w:rPr>
          <w:rFonts w:ascii="Verdana" w:hAnsi="Verdana" w:cs="Times New Roman"/>
          <w:sz w:val="20"/>
          <w:szCs w:val="20"/>
          <w:lang w:val="es-CR"/>
        </w:rPr>
        <w:t>,</w:t>
      </w:r>
      <w:r w:rsidR="00D565AC" w:rsidRPr="00FC1398">
        <w:rPr>
          <w:rFonts w:ascii="Verdana" w:hAnsi="Verdana" w:cs="Times New Roman"/>
          <w:sz w:val="20"/>
          <w:szCs w:val="20"/>
          <w:lang w:val="es-CR"/>
        </w:rPr>
        <w:t xml:space="preserve"> y</w:t>
      </w:r>
      <w:r w:rsidR="006D193D" w:rsidRPr="00FC1398">
        <w:rPr>
          <w:rFonts w:ascii="Verdana" w:hAnsi="Verdana" w:cs="Times New Roman"/>
          <w:sz w:val="20"/>
          <w:szCs w:val="20"/>
          <w:lang w:val="es-CR"/>
        </w:rPr>
        <w:t xml:space="preserve"> de</w:t>
      </w:r>
      <w:r w:rsidR="00D565AC" w:rsidRPr="00FC1398">
        <w:rPr>
          <w:rFonts w:ascii="Verdana" w:hAnsi="Verdana" w:cs="Times New Roman"/>
          <w:sz w:val="20"/>
          <w:szCs w:val="20"/>
          <w:lang w:val="es-CR"/>
        </w:rPr>
        <w:t xml:space="preserve"> Patricia Reyes</w:t>
      </w:r>
      <w:r w:rsidR="006D193D" w:rsidRPr="007B489D">
        <w:rPr>
          <w:rStyle w:val="FootnoteReference"/>
          <w:lang w:val="es-CR"/>
        </w:rPr>
        <w:footnoteReference w:id="12"/>
      </w:r>
      <w:r w:rsidR="00583EEB" w:rsidRPr="00FC1398">
        <w:rPr>
          <w:rFonts w:ascii="Verdana" w:hAnsi="Verdana" w:cs="Times New Roman"/>
          <w:sz w:val="20"/>
          <w:szCs w:val="20"/>
          <w:lang w:val="es-CR"/>
        </w:rPr>
        <w:t>;</w:t>
      </w:r>
      <w:r w:rsidR="00D565AC" w:rsidRPr="00FC1398">
        <w:rPr>
          <w:rFonts w:ascii="Verdana" w:hAnsi="Verdana" w:cs="Times New Roman"/>
          <w:sz w:val="20"/>
          <w:szCs w:val="20"/>
          <w:lang w:val="es-CR"/>
        </w:rPr>
        <w:t xml:space="preserve"> </w:t>
      </w:r>
      <w:r w:rsidR="00583EEB" w:rsidRPr="00FC1398">
        <w:rPr>
          <w:rFonts w:ascii="Verdana" w:hAnsi="Verdana" w:cs="Times New Roman"/>
          <w:sz w:val="20"/>
          <w:szCs w:val="20"/>
          <w:lang w:val="es-CR"/>
        </w:rPr>
        <w:t>y</w:t>
      </w:r>
      <w:r w:rsidR="000F6D2F">
        <w:rPr>
          <w:rFonts w:ascii="Verdana" w:hAnsi="Verdana" w:cs="Times New Roman"/>
          <w:sz w:val="20"/>
          <w:szCs w:val="20"/>
          <w:lang w:val="es-CR"/>
        </w:rPr>
        <w:t xml:space="preserve"> (iii</w:t>
      </w:r>
      <w:r w:rsidR="00583EEB" w:rsidRPr="00FC1398">
        <w:rPr>
          <w:rFonts w:ascii="Verdana" w:hAnsi="Verdana" w:cs="Times New Roman"/>
          <w:sz w:val="20"/>
          <w:szCs w:val="20"/>
          <w:lang w:val="es-CR"/>
        </w:rPr>
        <w:t xml:space="preserve">) </w:t>
      </w:r>
      <w:r w:rsidR="005003B4" w:rsidRPr="00FC1398">
        <w:rPr>
          <w:rFonts w:ascii="Verdana" w:hAnsi="Verdana" w:cs="Times New Roman"/>
          <w:sz w:val="20"/>
          <w:szCs w:val="20"/>
          <w:lang w:val="es-CR"/>
        </w:rPr>
        <w:t>r</w:t>
      </w:r>
      <w:r w:rsidR="00583EEB" w:rsidRPr="00FC1398">
        <w:rPr>
          <w:rFonts w:ascii="Verdana" w:hAnsi="Verdana" w:cs="Times New Roman"/>
          <w:sz w:val="20"/>
          <w:szCs w:val="20"/>
          <w:lang w:val="es-CR"/>
        </w:rPr>
        <w:t>eposición de las partes dañadas en el portón de la beneficiaria Rosa Alvarado, producto del impacto de un vehículo contra el portón de su vivienda, dejándolo en mal estado con la chapas inservibles.</w:t>
      </w:r>
      <w:r w:rsidR="00E1465C">
        <w:rPr>
          <w:rFonts w:ascii="Verdana" w:hAnsi="Verdana" w:cs="Times New Roman"/>
          <w:b/>
          <w:sz w:val="20"/>
          <w:szCs w:val="20"/>
          <w:lang w:val="es-CR"/>
        </w:rPr>
        <w:t xml:space="preserve"> </w:t>
      </w:r>
      <w:r w:rsidR="00FC1398" w:rsidRPr="00FC1398">
        <w:rPr>
          <w:rFonts w:ascii="Verdana" w:hAnsi="Verdana" w:cs="Times New Roman"/>
          <w:sz w:val="20"/>
          <w:szCs w:val="20"/>
          <w:lang w:val="es-CR"/>
        </w:rPr>
        <w:t>Sobre este último incidente en el domicilio de la beneficiaria Rosa Alvarado, el Estado manifestó que el hecho nunca fue informado a la SEGOB por parte de los representantes ni de la beneficiaria, por lo que hizo</w:t>
      </w:r>
      <w:r w:rsidR="00FC1398">
        <w:rPr>
          <w:rFonts w:ascii="Verdana" w:hAnsi="Verdana" w:cs="Times New Roman"/>
          <w:sz w:val="20"/>
          <w:szCs w:val="20"/>
          <w:lang w:val="es-CR"/>
        </w:rPr>
        <w:t xml:space="preserve"> un </w:t>
      </w:r>
      <w:r w:rsidR="00FC1398" w:rsidRPr="00FC1398">
        <w:rPr>
          <w:rFonts w:ascii="Verdana" w:hAnsi="Verdana" w:cs="Times New Roman"/>
          <w:sz w:val="20"/>
          <w:szCs w:val="20"/>
          <w:lang w:val="es-CR"/>
        </w:rPr>
        <w:t>llamamiento tanto a los beneficiarios como a sus representantes para que los incidentes</w:t>
      </w:r>
      <w:r w:rsidR="00FC1398">
        <w:rPr>
          <w:rFonts w:ascii="Verdana" w:hAnsi="Verdana" w:cs="Times New Roman"/>
          <w:sz w:val="20"/>
          <w:szCs w:val="20"/>
          <w:lang w:val="es-CR"/>
        </w:rPr>
        <w:t xml:space="preserve"> </w:t>
      </w:r>
      <w:r w:rsidR="00FC1398" w:rsidRPr="00FC1398">
        <w:rPr>
          <w:rFonts w:ascii="Verdana" w:hAnsi="Verdana" w:cs="Times New Roman"/>
          <w:sz w:val="20"/>
          <w:szCs w:val="20"/>
          <w:lang w:val="es-CR"/>
        </w:rPr>
        <w:t>futuros sean informados con oportunidad para que, de ser necesario, se brinde la atención</w:t>
      </w:r>
      <w:r w:rsidR="00FC1398">
        <w:rPr>
          <w:rFonts w:ascii="Verdana" w:hAnsi="Verdana" w:cs="Times New Roman"/>
          <w:sz w:val="20"/>
          <w:szCs w:val="20"/>
          <w:lang w:val="es-CR"/>
        </w:rPr>
        <w:t xml:space="preserve"> </w:t>
      </w:r>
      <w:r w:rsidR="00FC1398" w:rsidRPr="00FC1398">
        <w:rPr>
          <w:rFonts w:ascii="Verdana" w:hAnsi="Verdana" w:cs="Times New Roman"/>
          <w:sz w:val="20"/>
          <w:szCs w:val="20"/>
          <w:lang w:val="es-CR"/>
        </w:rPr>
        <w:t>inmediata.</w:t>
      </w:r>
      <w:r w:rsidR="00FC1398">
        <w:rPr>
          <w:rFonts w:ascii="Verdana" w:hAnsi="Verdana" w:cs="Times New Roman"/>
          <w:sz w:val="20"/>
          <w:szCs w:val="20"/>
          <w:lang w:val="es-CR"/>
        </w:rPr>
        <w:t xml:space="preserve"> </w:t>
      </w:r>
    </w:p>
    <w:p w14:paraId="28C9567A" w14:textId="77777777" w:rsidR="00D565AC" w:rsidRDefault="00D565AC" w:rsidP="00D565AC">
      <w:pPr>
        <w:autoSpaceDE w:val="0"/>
        <w:autoSpaceDN w:val="0"/>
        <w:adjustRightInd w:val="0"/>
        <w:jc w:val="both"/>
        <w:rPr>
          <w:rFonts w:ascii="Verdana" w:hAnsi="Verdana" w:cs="Times New Roman"/>
          <w:b/>
          <w:sz w:val="20"/>
          <w:szCs w:val="20"/>
          <w:lang w:val="es-CR"/>
        </w:rPr>
      </w:pPr>
    </w:p>
    <w:p w14:paraId="77C6AAD9" w14:textId="0BAC8DF3" w:rsidR="00E84B67" w:rsidRPr="00583EEB" w:rsidRDefault="00D565AC" w:rsidP="00583EEB">
      <w:pPr>
        <w:numPr>
          <w:ilvl w:val="0"/>
          <w:numId w:val="19"/>
        </w:numPr>
        <w:autoSpaceDE w:val="0"/>
        <w:autoSpaceDN w:val="0"/>
        <w:adjustRightInd w:val="0"/>
        <w:ind w:left="0" w:right="19" w:firstLine="0"/>
        <w:jc w:val="both"/>
        <w:rPr>
          <w:rFonts w:ascii="Verdana" w:hAnsi="Verdana" w:cs="ArialMT"/>
          <w:color w:val="000000"/>
          <w:sz w:val="20"/>
          <w:szCs w:val="20"/>
          <w:lang w:val="es-CR"/>
        </w:rPr>
      </w:pPr>
      <w:r w:rsidRPr="00583EEB">
        <w:rPr>
          <w:rFonts w:ascii="Verdana" w:hAnsi="Verdana" w:cs="Times New Roman"/>
          <w:sz w:val="20"/>
          <w:szCs w:val="20"/>
          <w:lang w:val="es-CR"/>
        </w:rPr>
        <w:lastRenderedPageBreak/>
        <w:t>En relación a lo</w:t>
      </w:r>
      <w:r w:rsidR="00C33E19">
        <w:rPr>
          <w:rFonts w:ascii="Verdana" w:hAnsi="Verdana" w:cs="Times New Roman"/>
          <w:sz w:val="20"/>
          <w:szCs w:val="20"/>
          <w:lang w:val="es-CR"/>
        </w:rPr>
        <w:t>s</w:t>
      </w:r>
      <w:r w:rsidRPr="00583EEB">
        <w:rPr>
          <w:rFonts w:ascii="Verdana" w:hAnsi="Verdana" w:cs="Times New Roman"/>
          <w:sz w:val="20"/>
          <w:szCs w:val="20"/>
          <w:lang w:val="es-CR"/>
        </w:rPr>
        <w:t xml:space="preserve"> anterior</w:t>
      </w:r>
      <w:r w:rsidR="00C33E19">
        <w:rPr>
          <w:rFonts w:ascii="Verdana" w:hAnsi="Verdana" w:cs="Times New Roman"/>
          <w:sz w:val="20"/>
          <w:szCs w:val="20"/>
          <w:lang w:val="es-CR"/>
        </w:rPr>
        <w:t>es</w:t>
      </w:r>
      <w:r w:rsidRPr="00583EEB">
        <w:rPr>
          <w:rFonts w:ascii="Verdana" w:hAnsi="Verdana" w:cs="Times New Roman"/>
          <w:sz w:val="20"/>
          <w:szCs w:val="20"/>
          <w:lang w:val="es-CR"/>
        </w:rPr>
        <w:t xml:space="preserve">, los </w:t>
      </w:r>
      <w:r w:rsidRPr="00583EEB">
        <w:rPr>
          <w:rFonts w:ascii="Verdana" w:hAnsi="Verdana" w:cs="Times New Roman"/>
          <w:b/>
          <w:i/>
          <w:sz w:val="20"/>
          <w:szCs w:val="20"/>
          <w:lang w:val="es-CR"/>
        </w:rPr>
        <w:t xml:space="preserve">representantes </w:t>
      </w:r>
      <w:r w:rsidRPr="00583EEB">
        <w:rPr>
          <w:rFonts w:ascii="Verdana" w:hAnsi="Verdana" w:cs="Times New Roman"/>
          <w:sz w:val="20"/>
          <w:szCs w:val="20"/>
          <w:lang w:val="es-CR"/>
        </w:rPr>
        <w:t xml:space="preserve">indicaron que respecto </w:t>
      </w:r>
      <w:r w:rsidRPr="00583EEB">
        <w:rPr>
          <w:rFonts w:ascii="Verdana" w:hAnsi="Verdana" w:cs="ArialMT"/>
          <w:color w:val="000000"/>
          <w:sz w:val="20"/>
          <w:szCs w:val="20"/>
          <w:lang w:val="es-CR"/>
        </w:rPr>
        <w:t>de</w:t>
      </w:r>
      <w:r w:rsidR="00D711D3" w:rsidRPr="00583EEB">
        <w:rPr>
          <w:rFonts w:ascii="Verdana" w:hAnsi="Verdana" w:cs="ArialMT"/>
          <w:color w:val="000000"/>
          <w:sz w:val="20"/>
          <w:szCs w:val="20"/>
          <w:lang w:val="es-CR"/>
        </w:rPr>
        <w:t xml:space="preserve"> </w:t>
      </w:r>
      <w:r w:rsidRPr="00583EEB">
        <w:rPr>
          <w:rFonts w:ascii="Verdana" w:hAnsi="Verdana" w:cs="ArialMT"/>
          <w:color w:val="000000"/>
          <w:sz w:val="20"/>
          <w:szCs w:val="20"/>
          <w:lang w:val="es-CR"/>
        </w:rPr>
        <w:t>l</w:t>
      </w:r>
      <w:r w:rsidR="00D711D3" w:rsidRPr="00583EEB">
        <w:rPr>
          <w:rFonts w:ascii="Verdana" w:hAnsi="Verdana" w:cs="ArialMT"/>
          <w:color w:val="000000"/>
          <w:sz w:val="20"/>
          <w:szCs w:val="20"/>
          <w:lang w:val="es-CR"/>
        </w:rPr>
        <w:t>as medidas de protección en el domicilio del</w:t>
      </w:r>
      <w:r w:rsidRPr="00583EEB">
        <w:rPr>
          <w:rFonts w:ascii="Verdana" w:hAnsi="Verdana" w:cs="ArialMT"/>
          <w:color w:val="000000"/>
          <w:sz w:val="20"/>
          <w:szCs w:val="20"/>
          <w:lang w:val="es-CR"/>
        </w:rPr>
        <w:t xml:space="preserve"> beneficiario Jaime Alvarado </w:t>
      </w:r>
      <w:r w:rsidR="00D711D3" w:rsidRPr="00583EEB">
        <w:rPr>
          <w:rFonts w:ascii="Verdana" w:hAnsi="Verdana" w:cs="ArialMT"/>
          <w:color w:val="000000"/>
          <w:sz w:val="20"/>
          <w:szCs w:val="20"/>
          <w:lang w:val="es-CR"/>
        </w:rPr>
        <w:t>solamente</w:t>
      </w:r>
      <w:r w:rsidR="00583EEB">
        <w:rPr>
          <w:rFonts w:ascii="Verdana" w:hAnsi="Verdana" w:cs="ArialMT"/>
          <w:color w:val="000000"/>
          <w:sz w:val="20"/>
          <w:szCs w:val="20"/>
          <w:lang w:val="es-CR"/>
        </w:rPr>
        <w:t xml:space="preserve"> se colocaron</w:t>
      </w:r>
      <w:r w:rsidR="00D711D3" w:rsidRPr="00583EEB">
        <w:rPr>
          <w:rFonts w:ascii="Verdana" w:hAnsi="Verdana" w:cs="ArialMT"/>
          <w:color w:val="000000"/>
          <w:sz w:val="20"/>
          <w:szCs w:val="20"/>
          <w:lang w:val="es-CR"/>
        </w:rPr>
        <w:t xml:space="preserve"> la malla ciclónica y concertina (alambre de navaja), mismas que desde la fecha d</w:t>
      </w:r>
      <w:r w:rsidR="00583EEB">
        <w:rPr>
          <w:rFonts w:ascii="Verdana" w:hAnsi="Verdana" w:cs="ArialMT"/>
          <w:color w:val="000000"/>
          <w:sz w:val="20"/>
          <w:szCs w:val="20"/>
          <w:lang w:val="es-CR"/>
        </w:rPr>
        <w:t>e instalación están incompletas</w:t>
      </w:r>
      <w:r w:rsidR="00E1465C">
        <w:rPr>
          <w:rFonts w:ascii="Verdana" w:hAnsi="Verdana" w:cs="ArialMT"/>
          <w:color w:val="000000"/>
          <w:sz w:val="20"/>
          <w:szCs w:val="20"/>
          <w:lang w:val="es-CR"/>
        </w:rPr>
        <w:t>.</w:t>
      </w:r>
      <w:r w:rsidR="00D711D3" w:rsidRPr="00583EEB">
        <w:rPr>
          <w:rFonts w:ascii="Verdana" w:hAnsi="Verdana" w:cs="ArialMT"/>
          <w:color w:val="000000"/>
          <w:sz w:val="20"/>
          <w:szCs w:val="20"/>
        </w:rPr>
        <w:t xml:space="preserve"> Agregaron que</w:t>
      </w:r>
      <w:r w:rsidR="00D711D3" w:rsidRPr="00583EEB">
        <w:rPr>
          <w:rFonts w:ascii="Verdana" w:hAnsi="Verdana" w:cs="ArialMT"/>
          <w:b/>
          <w:color w:val="000000"/>
          <w:sz w:val="20"/>
          <w:szCs w:val="20"/>
        </w:rPr>
        <w:t xml:space="preserve"> </w:t>
      </w:r>
      <w:r w:rsidR="00D711D3" w:rsidRPr="00583EEB">
        <w:rPr>
          <w:rFonts w:ascii="Verdana" w:hAnsi="Verdana" w:cs="ArialMT"/>
          <w:color w:val="000000"/>
          <w:sz w:val="20"/>
          <w:szCs w:val="20"/>
          <w:lang w:val="es-CR"/>
        </w:rPr>
        <w:t xml:space="preserve">no se ha realizado </w:t>
      </w:r>
      <w:r w:rsidR="00E84B67" w:rsidRPr="00583EEB">
        <w:rPr>
          <w:rFonts w:ascii="Verdana" w:hAnsi="Verdana" w:cs="ArialMT"/>
          <w:color w:val="000000"/>
          <w:sz w:val="20"/>
          <w:szCs w:val="20"/>
          <w:lang w:val="es-CR"/>
        </w:rPr>
        <w:t>la instalación de un circuito cerrado de televisión digital IP,</w:t>
      </w:r>
      <w:r w:rsidR="00D711D3" w:rsidRPr="00583EEB">
        <w:rPr>
          <w:rFonts w:ascii="Verdana" w:hAnsi="Verdana" w:cs="ArialMT"/>
          <w:color w:val="000000"/>
          <w:sz w:val="20"/>
          <w:szCs w:val="20"/>
          <w:lang w:val="es-CR"/>
        </w:rPr>
        <w:t xml:space="preserve"> </w:t>
      </w:r>
      <w:r w:rsidR="00E84B67" w:rsidRPr="00583EEB">
        <w:rPr>
          <w:rFonts w:ascii="Verdana" w:hAnsi="Verdana" w:cs="ArialMT"/>
          <w:color w:val="000000"/>
          <w:sz w:val="20"/>
          <w:szCs w:val="20"/>
          <w:lang w:val="es-CR"/>
        </w:rPr>
        <w:t>cámara de vigilancia digital para el CCTV, y cerradura de alta seguridad para puerta con</w:t>
      </w:r>
      <w:r w:rsidR="00D711D3" w:rsidRPr="00583EEB">
        <w:rPr>
          <w:rFonts w:ascii="Verdana" w:hAnsi="Verdana" w:cs="ArialMT"/>
          <w:color w:val="000000"/>
          <w:sz w:val="20"/>
          <w:szCs w:val="20"/>
          <w:lang w:val="es-CR"/>
        </w:rPr>
        <w:t xml:space="preserve"> </w:t>
      </w:r>
      <w:r w:rsidR="00E84B67" w:rsidRPr="00583EEB">
        <w:rPr>
          <w:rFonts w:ascii="Verdana" w:hAnsi="Verdana" w:cs="ArialMT"/>
          <w:color w:val="000000"/>
          <w:sz w:val="20"/>
          <w:szCs w:val="20"/>
          <w:lang w:val="es-CR"/>
        </w:rPr>
        <w:t>protecci</w:t>
      </w:r>
      <w:r w:rsidR="00D711D3" w:rsidRPr="00583EEB">
        <w:rPr>
          <w:rFonts w:ascii="Verdana" w:hAnsi="Verdana" w:cs="ArialMT"/>
          <w:color w:val="000000"/>
          <w:sz w:val="20"/>
          <w:szCs w:val="20"/>
          <w:lang w:val="es-CR"/>
        </w:rPr>
        <w:t xml:space="preserve">ón contra perforación con broca, e indicaron que </w:t>
      </w:r>
      <w:r w:rsidR="00E84B67" w:rsidRPr="00583EEB">
        <w:rPr>
          <w:rFonts w:ascii="Verdana" w:hAnsi="Verdana" w:cs="ArialMT"/>
          <w:color w:val="000000"/>
          <w:sz w:val="20"/>
          <w:szCs w:val="20"/>
          <w:lang w:val="es-CR"/>
        </w:rPr>
        <w:t xml:space="preserve">se ha </w:t>
      </w:r>
      <w:r w:rsidR="00D711D3" w:rsidRPr="00583EEB">
        <w:rPr>
          <w:rFonts w:ascii="Verdana" w:hAnsi="Verdana" w:cs="ArialMT"/>
          <w:color w:val="000000"/>
          <w:sz w:val="20"/>
          <w:szCs w:val="20"/>
          <w:lang w:val="es-CR"/>
        </w:rPr>
        <w:t>solicitado</w:t>
      </w:r>
      <w:r w:rsidR="00E84B67" w:rsidRPr="00583EEB">
        <w:rPr>
          <w:rFonts w:ascii="Verdana" w:hAnsi="Verdana" w:cs="ArialMT"/>
          <w:color w:val="000000"/>
          <w:sz w:val="20"/>
          <w:szCs w:val="20"/>
          <w:lang w:val="es-CR"/>
        </w:rPr>
        <w:t xml:space="preserve"> al Estado que se concluya con la instalación de</w:t>
      </w:r>
      <w:r w:rsidR="00D711D3" w:rsidRPr="00583EEB">
        <w:rPr>
          <w:rFonts w:ascii="Verdana" w:hAnsi="Verdana" w:cs="ArialMT"/>
          <w:color w:val="000000"/>
          <w:sz w:val="20"/>
          <w:szCs w:val="20"/>
          <w:lang w:val="es-CR"/>
        </w:rPr>
        <w:t xml:space="preserve"> </w:t>
      </w:r>
      <w:r w:rsidR="00E84B67" w:rsidRPr="00583EEB">
        <w:rPr>
          <w:rFonts w:ascii="Verdana" w:hAnsi="Verdana" w:cs="ArialMT"/>
          <w:color w:val="000000"/>
          <w:sz w:val="20"/>
          <w:szCs w:val="20"/>
          <w:lang w:val="es-CR"/>
        </w:rPr>
        <w:t>las medidas sin que a la fecha se haya obtenido un resultado favorable.</w:t>
      </w:r>
      <w:r w:rsidR="00D711D3" w:rsidRPr="00583EEB">
        <w:rPr>
          <w:rFonts w:ascii="Verdana" w:hAnsi="Verdana" w:cs="ArialMT"/>
          <w:color w:val="000000"/>
          <w:sz w:val="20"/>
          <w:szCs w:val="20"/>
          <w:lang w:val="es-CR"/>
        </w:rPr>
        <w:t xml:space="preserve"> Asimismo, en relación a </w:t>
      </w:r>
      <w:r w:rsidR="00E84B67" w:rsidRPr="00583EEB">
        <w:rPr>
          <w:rFonts w:ascii="Verdana" w:hAnsi="Verdana" w:cs="ArialMT"/>
          <w:color w:val="000000"/>
          <w:sz w:val="20"/>
          <w:szCs w:val="20"/>
          <w:lang w:val="es-CR"/>
        </w:rPr>
        <w:t xml:space="preserve">la vivienda de la familia nuclear de Jaime Alvarado que fuera allanada </w:t>
      </w:r>
      <w:r w:rsidR="006E1D7F">
        <w:rPr>
          <w:rFonts w:ascii="Verdana" w:hAnsi="Verdana" w:cs="ArialMT"/>
          <w:color w:val="000000"/>
          <w:sz w:val="20"/>
          <w:szCs w:val="20"/>
          <w:lang w:val="es-CR"/>
        </w:rPr>
        <w:t xml:space="preserve">en 2011 </w:t>
      </w:r>
      <w:r w:rsidR="00E84B67" w:rsidRPr="00583EEB">
        <w:rPr>
          <w:rFonts w:ascii="Verdana" w:hAnsi="Verdana" w:cs="ArialMT"/>
          <w:color w:val="000000"/>
          <w:sz w:val="20"/>
          <w:szCs w:val="20"/>
          <w:lang w:val="es-CR"/>
        </w:rPr>
        <w:t>y</w:t>
      </w:r>
      <w:r w:rsidR="00D711D3" w:rsidRPr="00583EEB">
        <w:rPr>
          <w:rFonts w:ascii="Verdana" w:hAnsi="Verdana" w:cs="ArialMT"/>
          <w:color w:val="000000"/>
          <w:sz w:val="20"/>
          <w:szCs w:val="20"/>
          <w:lang w:val="es-CR"/>
        </w:rPr>
        <w:t xml:space="preserve"> </w:t>
      </w:r>
      <w:r w:rsidR="00E84B67" w:rsidRPr="00583EEB">
        <w:rPr>
          <w:rFonts w:ascii="Verdana" w:hAnsi="Verdana" w:cs="ArialMT"/>
          <w:color w:val="000000"/>
          <w:sz w:val="20"/>
          <w:szCs w:val="20"/>
          <w:lang w:val="es-CR"/>
        </w:rPr>
        <w:t xml:space="preserve">que se encuentra en Ciudad Juárez, </w:t>
      </w:r>
      <w:r w:rsidR="00D711D3" w:rsidRPr="00583EEB">
        <w:rPr>
          <w:rFonts w:ascii="Verdana" w:hAnsi="Verdana" w:cs="ArialMT"/>
          <w:color w:val="000000"/>
          <w:sz w:val="20"/>
          <w:szCs w:val="20"/>
          <w:lang w:val="es-CR"/>
        </w:rPr>
        <w:t xml:space="preserve">manifestaron que </w:t>
      </w:r>
      <w:r w:rsidR="00E84B67" w:rsidRPr="00583EEB">
        <w:rPr>
          <w:rFonts w:ascii="Verdana" w:hAnsi="Verdana" w:cs="ArialMT"/>
          <w:color w:val="000000"/>
          <w:sz w:val="20"/>
          <w:szCs w:val="20"/>
          <w:lang w:val="es-CR"/>
        </w:rPr>
        <w:t>sigue inhabitable y destruida</w:t>
      </w:r>
      <w:r w:rsidR="00D711D3" w:rsidRPr="00583EEB">
        <w:rPr>
          <w:rFonts w:ascii="Verdana" w:hAnsi="Verdana" w:cs="ArialMT"/>
          <w:color w:val="000000"/>
          <w:sz w:val="20"/>
          <w:szCs w:val="20"/>
          <w:lang w:val="es-CR"/>
        </w:rPr>
        <w:t>, debido a que la c</w:t>
      </w:r>
      <w:r w:rsidR="00E84B67" w:rsidRPr="00583EEB">
        <w:rPr>
          <w:rFonts w:ascii="Verdana" w:hAnsi="Verdana" w:cs="ArialMT"/>
          <w:color w:val="000000"/>
          <w:sz w:val="20"/>
          <w:szCs w:val="20"/>
          <w:lang w:val="es-CR"/>
        </w:rPr>
        <w:t>arpeta</w:t>
      </w:r>
      <w:r w:rsidR="00D711D3" w:rsidRPr="00583EEB">
        <w:rPr>
          <w:rFonts w:ascii="Verdana" w:hAnsi="Verdana" w:cs="ArialMT"/>
          <w:color w:val="000000"/>
          <w:sz w:val="20"/>
          <w:szCs w:val="20"/>
          <w:lang w:val="es-CR"/>
        </w:rPr>
        <w:t xml:space="preserve"> de i</w:t>
      </w:r>
      <w:r w:rsidR="00E84B67" w:rsidRPr="00583EEB">
        <w:rPr>
          <w:rFonts w:ascii="Verdana" w:hAnsi="Verdana" w:cs="ArialMT"/>
          <w:color w:val="000000"/>
          <w:sz w:val="20"/>
          <w:szCs w:val="20"/>
          <w:lang w:val="es-CR"/>
        </w:rPr>
        <w:t>nvestigación de los hechos, sigue sin avance y por lo tanto sin determinación de los</w:t>
      </w:r>
      <w:r w:rsidR="00D711D3" w:rsidRPr="00583EEB">
        <w:rPr>
          <w:rFonts w:ascii="Verdana" w:hAnsi="Verdana" w:cs="ArialMT"/>
          <w:color w:val="000000"/>
          <w:sz w:val="20"/>
          <w:szCs w:val="20"/>
          <w:lang w:val="es-CR"/>
        </w:rPr>
        <w:t xml:space="preserve"> </w:t>
      </w:r>
      <w:r w:rsidR="00E84B67" w:rsidRPr="00583EEB">
        <w:rPr>
          <w:rFonts w:ascii="Verdana" w:hAnsi="Verdana" w:cs="ArialMT"/>
          <w:color w:val="000000"/>
          <w:sz w:val="20"/>
          <w:szCs w:val="20"/>
          <w:lang w:val="es-CR"/>
        </w:rPr>
        <w:t>responsables que permitiría solicitar la reparación del d</w:t>
      </w:r>
      <w:r w:rsidR="00D711D3" w:rsidRPr="00583EEB">
        <w:rPr>
          <w:rFonts w:ascii="Verdana" w:hAnsi="Verdana" w:cs="ArialMT"/>
          <w:color w:val="000000"/>
          <w:sz w:val="20"/>
          <w:szCs w:val="20"/>
          <w:lang w:val="es-CR"/>
        </w:rPr>
        <w:t xml:space="preserve">año para que la familia pudiera regresar a su casa. </w:t>
      </w:r>
      <w:r w:rsidR="00E84B67" w:rsidRPr="00583EEB">
        <w:rPr>
          <w:rFonts w:ascii="Verdana" w:hAnsi="Verdana" w:cs="ArialMT"/>
          <w:color w:val="000000"/>
          <w:sz w:val="20"/>
          <w:szCs w:val="20"/>
          <w:lang w:val="es-CR"/>
        </w:rPr>
        <w:t xml:space="preserve">Por </w:t>
      </w:r>
      <w:r w:rsidR="00D711D3" w:rsidRPr="00583EEB">
        <w:rPr>
          <w:rFonts w:ascii="Verdana" w:hAnsi="Verdana" w:cs="ArialMT"/>
          <w:color w:val="000000"/>
          <w:sz w:val="20"/>
          <w:szCs w:val="20"/>
          <w:lang w:val="es-CR"/>
        </w:rPr>
        <w:t>otra parte</w:t>
      </w:r>
      <w:r w:rsidR="00E84B67" w:rsidRPr="00583EEB">
        <w:rPr>
          <w:rFonts w:ascii="Verdana" w:hAnsi="Verdana" w:cs="ArialMT"/>
          <w:color w:val="000000"/>
          <w:sz w:val="20"/>
          <w:szCs w:val="20"/>
          <w:lang w:val="es-CR"/>
        </w:rPr>
        <w:t xml:space="preserve">, en relación al domicilio de José Ángel Alvarado, </w:t>
      </w:r>
      <w:r w:rsidR="00D711D3" w:rsidRPr="00583EEB">
        <w:rPr>
          <w:rFonts w:ascii="Verdana" w:hAnsi="Verdana" w:cs="ArialMT"/>
          <w:color w:val="000000"/>
          <w:sz w:val="20"/>
          <w:szCs w:val="20"/>
          <w:lang w:val="es-CR"/>
        </w:rPr>
        <w:t xml:space="preserve">señalaron que el alambre de navaja fue instalado </w:t>
      </w:r>
      <w:r w:rsidR="00E84B67" w:rsidRPr="00583EEB">
        <w:rPr>
          <w:rFonts w:ascii="Verdana" w:hAnsi="Verdana" w:cs="ArialMT"/>
          <w:color w:val="000000"/>
          <w:sz w:val="20"/>
          <w:szCs w:val="20"/>
          <w:lang w:val="es-CR"/>
        </w:rPr>
        <w:t>solamente por la parte frontal de la vivienda, dejando en estado de vulnerabilidad la parte</w:t>
      </w:r>
      <w:r w:rsidR="00D711D3" w:rsidRPr="00583EEB">
        <w:rPr>
          <w:rFonts w:ascii="Verdana" w:hAnsi="Verdana" w:cs="ArialMT"/>
          <w:color w:val="000000"/>
          <w:sz w:val="20"/>
          <w:szCs w:val="20"/>
          <w:lang w:val="es-CR"/>
        </w:rPr>
        <w:t xml:space="preserve"> </w:t>
      </w:r>
      <w:r w:rsidR="00583EEB">
        <w:rPr>
          <w:rFonts w:ascii="Verdana" w:hAnsi="Verdana" w:cs="ArialMT"/>
          <w:color w:val="000000"/>
          <w:sz w:val="20"/>
          <w:szCs w:val="20"/>
          <w:lang w:val="es-CR"/>
        </w:rPr>
        <w:t>trasera,</w:t>
      </w:r>
      <w:r w:rsidR="00D711D3" w:rsidRPr="00583EEB">
        <w:rPr>
          <w:rFonts w:ascii="Verdana" w:hAnsi="Verdana" w:cs="ArialMT"/>
          <w:color w:val="000000"/>
          <w:sz w:val="20"/>
          <w:szCs w:val="20"/>
          <w:lang w:val="es-CR"/>
        </w:rPr>
        <w:t xml:space="preserve"> además señalaron que </w:t>
      </w:r>
      <w:r w:rsidR="00E84B67" w:rsidRPr="00583EEB">
        <w:rPr>
          <w:rFonts w:ascii="Verdana" w:hAnsi="Verdana" w:cs="ArialMT"/>
          <w:color w:val="000000"/>
          <w:sz w:val="20"/>
          <w:szCs w:val="20"/>
          <w:lang w:val="es-CR"/>
        </w:rPr>
        <w:t>las cámaras de vigilancia dejaron de</w:t>
      </w:r>
      <w:r w:rsidR="00D711D3" w:rsidRPr="00583EEB">
        <w:rPr>
          <w:rFonts w:ascii="Verdana" w:hAnsi="Verdana" w:cs="ArialMT"/>
          <w:color w:val="000000"/>
          <w:sz w:val="20"/>
          <w:szCs w:val="20"/>
          <w:lang w:val="es-CR"/>
        </w:rPr>
        <w:t xml:space="preserve"> </w:t>
      </w:r>
      <w:r w:rsidR="00E84B67" w:rsidRPr="00583EEB">
        <w:rPr>
          <w:rFonts w:ascii="Verdana" w:hAnsi="Verdana" w:cs="ArialMT"/>
          <w:color w:val="000000"/>
          <w:sz w:val="20"/>
          <w:szCs w:val="20"/>
          <w:lang w:val="es-CR"/>
        </w:rPr>
        <w:t>funcionar, estado en el cual aún s</w:t>
      </w:r>
      <w:r w:rsidR="00D711D3" w:rsidRPr="00583EEB">
        <w:rPr>
          <w:rFonts w:ascii="Verdana" w:hAnsi="Verdana" w:cs="ArialMT"/>
          <w:color w:val="000000"/>
          <w:sz w:val="20"/>
          <w:szCs w:val="20"/>
          <w:lang w:val="es-CR"/>
        </w:rPr>
        <w:t xml:space="preserve">e encuentran, pese a que ya fue reportada la falla. </w:t>
      </w:r>
      <w:r w:rsidR="00E84B67" w:rsidRPr="00583EEB">
        <w:rPr>
          <w:rFonts w:ascii="Verdana" w:hAnsi="Verdana" w:cs="ArialMT"/>
          <w:color w:val="000000"/>
          <w:sz w:val="20"/>
          <w:szCs w:val="20"/>
          <w:lang w:val="es-CR"/>
        </w:rPr>
        <w:t>S</w:t>
      </w:r>
      <w:r w:rsidR="00D711D3" w:rsidRPr="00583EEB">
        <w:rPr>
          <w:rFonts w:ascii="Verdana" w:hAnsi="Verdana" w:cs="ArialMT"/>
          <w:color w:val="000000"/>
          <w:sz w:val="20"/>
          <w:szCs w:val="20"/>
          <w:lang w:val="es-CR"/>
        </w:rPr>
        <w:t>obre las medidas instaladas en el domicilio</w:t>
      </w:r>
      <w:r w:rsidR="00E84B67" w:rsidRPr="00583EEB">
        <w:rPr>
          <w:rFonts w:ascii="Verdana" w:hAnsi="Verdana" w:cs="ArialMT"/>
          <w:color w:val="000000"/>
          <w:sz w:val="20"/>
          <w:szCs w:val="20"/>
          <w:lang w:val="es-CR"/>
        </w:rPr>
        <w:t xml:space="preserve"> de Rosa Olivia Alvarado, </w:t>
      </w:r>
      <w:r w:rsidR="00D711D3" w:rsidRPr="00583EEB">
        <w:rPr>
          <w:rFonts w:ascii="Verdana" w:hAnsi="Verdana" w:cs="Arial-ItalicMT"/>
          <w:iCs/>
          <w:color w:val="000000"/>
          <w:sz w:val="20"/>
          <w:szCs w:val="20"/>
          <w:lang w:val="es-CR"/>
        </w:rPr>
        <w:t xml:space="preserve">mencionaron que </w:t>
      </w:r>
      <w:r w:rsidR="00E84B67" w:rsidRPr="00583EEB">
        <w:rPr>
          <w:rFonts w:ascii="Verdana" w:hAnsi="Verdana" w:cs="ArialMT"/>
          <w:color w:val="000000"/>
          <w:sz w:val="20"/>
          <w:szCs w:val="20"/>
          <w:lang w:val="es-CR"/>
        </w:rPr>
        <w:t>la cerradura de alta seguridad falla con</w:t>
      </w:r>
      <w:r w:rsidR="00D711D3" w:rsidRPr="00583EEB">
        <w:rPr>
          <w:rFonts w:ascii="Verdana" w:hAnsi="Verdana" w:cs="ArialMT"/>
          <w:color w:val="000000"/>
          <w:sz w:val="20"/>
          <w:szCs w:val="20"/>
          <w:lang w:val="es-CR"/>
        </w:rPr>
        <w:t xml:space="preserve">secutivamente, por lo tanto con </w:t>
      </w:r>
      <w:r w:rsidR="00E84B67" w:rsidRPr="00583EEB">
        <w:rPr>
          <w:rFonts w:ascii="Verdana" w:hAnsi="Verdana" w:cs="ArialMT"/>
          <w:color w:val="000000"/>
          <w:sz w:val="20"/>
          <w:szCs w:val="20"/>
          <w:lang w:val="es-CR"/>
        </w:rPr>
        <w:t>frecuencia le están haciendo cambio de equipo, por lo q</w:t>
      </w:r>
      <w:r w:rsidR="00D711D3" w:rsidRPr="00583EEB">
        <w:rPr>
          <w:rFonts w:ascii="Verdana" w:hAnsi="Verdana" w:cs="ArialMT"/>
          <w:color w:val="000000"/>
          <w:sz w:val="20"/>
          <w:szCs w:val="20"/>
          <w:lang w:val="es-CR"/>
        </w:rPr>
        <w:t xml:space="preserve">ue ha solicitado que al momento </w:t>
      </w:r>
      <w:r w:rsidR="00E84B67" w:rsidRPr="00583EEB">
        <w:rPr>
          <w:rFonts w:ascii="Verdana" w:hAnsi="Verdana" w:cs="ArialMT"/>
          <w:color w:val="000000"/>
          <w:sz w:val="20"/>
          <w:szCs w:val="20"/>
          <w:lang w:val="es-CR"/>
        </w:rPr>
        <w:t>de hacer el cambio se cercioren de su adecuado funciona</w:t>
      </w:r>
      <w:r w:rsidR="00D711D3" w:rsidRPr="00583EEB">
        <w:rPr>
          <w:rFonts w:ascii="Verdana" w:hAnsi="Verdana" w:cs="ArialMT"/>
          <w:color w:val="000000"/>
          <w:sz w:val="20"/>
          <w:szCs w:val="20"/>
          <w:lang w:val="es-CR"/>
        </w:rPr>
        <w:t xml:space="preserve">miento y que utilicen equipo de </w:t>
      </w:r>
      <w:r w:rsidR="00E84B67" w:rsidRPr="00583EEB">
        <w:rPr>
          <w:rFonts w:ascii="Verdana" w:hAnsi="Verdana" w:cs="ArialMT"/>
          <w:color w:val="000000"/>
          <w:sz w:val="20"/>
          <w:szCs w:val="20"/>
          <w:lang w:val="es-CR"/>
        </w:rPr>
        <w:t>calidad para disminuir las posibili</w:t>
      </w:r>
      <w:r w:rsidR="00D711D3" w:rsidRPr="00583EEB">
        <w:rPr>
          <w:rFonts w:ascii="Verdana" w:hAnsi="Verdana" w:cs="ArialMT"/>
          <w:color w:val="000000"/>
          <w:sz w:val="20"/>
          <w:szCs w:val="20"/>
          <w:lang w:val="es-CR"/>
        </w:rPr>
        <w:t>dades de que deje de funcionar. Finalmente, indicaron que</w:t>
      </w:r>
      <w:r w:rsidR="00F22AD2">
        <w:rPr>
          <w:rFonts w:ascii="Verdana" w:hAnsi="Verdana" w:cs="ArialMT"/>
          <w:color w:val="000000"/>
          <w:sz w:val="20"/>
          <w:szCs w:val="20"/>
          <w:lang w:val="es-CR"/>
        </w:rPr>
        <w:t>,</w:t>
      </w:r>
      <w:r w:rsidR="00D711D3" w:rsidRPr="00583EEB">
        <w:rPr>
          <w:rFonts w:ascii="Verdana" w:hAnsi="Verdana" w:cs="ArialMT"/>
          <w:color w:val="000000"/>
          <w:sz w:val="20"/>
          <w:szCs w:val="20"/>
          <w:lang w:val="es-CR"/>
        </w:rPr>
        <w:t xml:space="preserve"> </w:t>
      </w:r>
      <w:r w:rsidR="00F22AD2" w:rsidRPr="00583EEB">
        <w:rPr>
          <w:rFonts w:ascii="Verdana" w:hAnsi="Verdana" w:cs="ArialMT"/>
          <w:color w:val="000000"/>
          <w:sz w:val="20"/>
          <w:szCs w:val="20"/>
          <w:lang w:val="es-CR"/>
        </w:rPr>
        <w:t>desde aproximadamente hace un año</w:t>
      </w:r>
      <w:r w:rsidR="00F22AD2">
        <w:rPr>
          <w:rFonts w:ascii="Verdana" w:hAnsi="Verdana" w:cs="ArialMT"/>
          <w:color w:val="000000"/>
          <w:sz w:val="20"/>
          <w:szCs w:val="20"/>
          <w:lang w:val="es-CR"/>
        </w:rPr>
        <w:t>,</w:t>
      </w:r>
      <w:r w:rsidR="00F22AD2" w:rsidRPr="00583EEB">
        <w:rPr>
          <w:rFonts w:ascii="Verdana" w:hAnsi="Verdana" w:cs="ArialMT"/>
          <w:color w:val="000000"/>
          <w:sz w:val="20"/>
          <w:szCs w:val="20"/>
          <w:lang w:val="es-CR"/>
        </w:rPr>
        <w:t xml:space="preserve"> </w:t>
      </w:r>
      <w:r w:rsidR="00D711D3" w:rsidRPr="00583EEB">
        <w:rPr>
          <w:rFonts w:ascii="Verdana" w:hAnsi="Verdana" w:cs="ArialMT"/>
          <w:color w:val="000000"/>
          <w:sz w:val="20"/>
          <w:szCs w:val="20"/>
          <w:lang w:val="es-CR"/>
        </w:rPr>
        <w:t>s</w:t>
      </w:r>
      <w:r w:rsidR="00E84B67" w:rsidRPr="00583EEB">
        <w:rPr>
          <w:rFonts w:ascii="Verdana" w:hAnsi="Verdana" w:cs="ArialMT"/>
          <w:color w:val="000000"/>
          <w:sz w:val="20"/>
          <w:szCs w:val="20"/>
          <w:lang w:val="es-CR"/>
        </w:rPr>
        <w:t>e ha suspendido el</w:t>
      </w:r>
      <w:r w:rsidR="00D711D3" w:rsidRPr="00583EEB">
        <w:rPr>
          <w:rFonts w:ascii="Verdana" w:hAnsi="Verdana" w:cs="ArialMT"/>
          <w:color w:val="000000"/>
          <w:sz w:val="20"/>
          <w:szCs w:val="20"/>
          <w:lang w:val="es-CR"/>
        </w:rPr>
        <w:t xml:space="preserve"> </w:t>
      </w:r>
      <w:r w:rsidR="00E84B67" w:rsidRPr="00583EEB">
        <w:rPr>
          <w:rFonts w:ascii="Verdana" w:hAnsi="Verdana" w:cs="ArialMT"/>
          <w:color w:val="000000"/>
          <w:sz w:val="20"/>
          <w:szCs w:val="20"/>
          <w:lang w:val="es-CR"/>
        </w:rPr>
        <w:t>apoyo que se proporcionaba a través del Fideicomiso para Niños y Niñas Víctimas de la</w:t>
      </w:r>
      <w:r w:rsidR="00D711D3" w:rsidRPr="00583EEB">
        <w:rPr>
          <w:rFonts w:ascii="Verdana" w:hAnsi="Verdana" w:cs="ArialMT"/>
          <w:color w:val="000000"/>
          <w:sz w:val="20"/>
          <w:szCs w:val="20"/>
          <w:lang w:val="es-CR"/>
        </w:rPr>
        <w:t xml:space="preserve"> </w:t>
      </w:r>
      <w:r w:rsidR="00E84B67" w:rsidRPr="00583EEB">
        <w:rPr>
          <w:rFonts w:ascii="Verdana" w:hAnsi="Verdana" w:cs="ArialMT"/>
          <w:color w:val="000000"/>
          <w:sz w:val="20"/>
          <w:szCs w:val="20"/>
          <w:lang w:val="es-CR"/>
        </w:rPr>
        <w:t xml:space="preserve">Violencia (FANVI) el cual consistía en la condonación de la cuota escolar, </w:t>
      </w:r>
      <w:r w:rsidR="00597480">
        <w:rPr>
          <w:rFonts w:ascii="Verdana" w:hAnsi="Verdana" w:cs="ArialMT"/>
          <w:color w:val="000000"/>
          <w:sz w:val="20"/>
          <w:szCs w:val="20"/>
          <w:lang w:val="es-CR"/>
        </w:rPr>
        <w:t xml:space="preserve">de </w:t>
      </w:r>
      <w:r w:rsidR="006E1D7F" w:rsidRPr="00583EEB">
        <w:rPr>
          <w:rFonts w:ascii="Verdana" w:hAnsi="Verdana" w:cs="ArialMT"/>
          <w:color w:val="000000"/>
          <w:sz w:val="20"/>
          <w:szCs w:val="20"/>
          <w:lang w:val="es-CR"/>
        </w:rPr>
        <w:t>útiles</w:t>
      </w:r>
      <w:r w:rsidR="00E84B67" w:rsidRPr="00583EEB">
        <w:rPr>
          <w:rFonts w:ascii="Verdana" w:hAnsi="Verdana" w:cs="ArialMT"/>
          <w:color w:val="000000"/>
          <w:sz w:val="20"/>
          <w:szCs w:val="20"/>
          <w:lang w:val="es-CR"/>
        </w:rPr>
        <w:t xml:space="preserve"> y</w:t>
      </w:r>
      <w:r w:rsidR="00D711D3" w:rsidRPr="00583EEB">
        <w:rPr>
          <w:rFonts w:ascii="Verdana" w:hAnsi="Verdana" w:cs="ArialMT"/>
          <w:color w:val="000000"/>
          <w:sz w:val="20"/>
          <w:szCs w:val="20"/>
          <w:lang w:val="es-CR"/>
        </w:rPr>
        <w:t xml:space="preserve"> </w:t>
      </w:r>
      <w:r w:rsidR="006E1D7F" w:rsidRPr="00583EEB">
        <w:rPr>
          <w:rFonts w:ascii="Verdana" w:hAnsi="Verdana" w:cs="ArialMT"/>
          <w:color w:val="000000"/>
          <w:sz w:val="20"/>
          <w:szCs w:val="20"/>
        </w:rPr>
        <w:t>uniformes</w:t>
      </w:r>
      <w:r w:rsidR="00D711D3" w:rsidRPr="00583EEB">
        <w:rPr>
          <w:rFonts w:ascii="Verdana" w:hAnsi="Verdana" w:cs="ArialMT"/>
          <w:color w:val="000000"/>
          <w:sz w:val="20"/>
          <w:szCs w:val="20"/>
        </w:rPr>
        <w:t xml:space="preserve">. </w:t>
      </w:r>
    </w:p>
    <w:p w14:paraId="5677E14F" w14:textId="77777777" w:rsidR="003F7B4B" w:rsidRDefault="003F7B4B" w:rsidP="00C30B6A">
      <w:pPr>
        <w:autoSpaceDE w:val="0"/>
        <w:autoSpaceDN w:val="0"/>
        <w:adjustRightInd w:val="0"/>
        <w:ind w:right="19"/>
        <w:jc w:val="both"/>
        <w:rPr>
          <w:rFonts w:ascii="Verdana" w:hAnsi="Verdana"/>
          <w:sz w:val="20"/>
          <w:szCs w:val="20"/>
          <w:lang w:val="es-MX"/>
        </w:rPr>
      </w:pPr>
    </w:p>
    <w:p w14:paraId="21C103EE" w14:textId="77777777" w:rsidR="00694D50" w:rsidRDefault="00D66754" w:rsidP="00C30B6A">
      <w:pPr>
        <w:autoSpaceDE w:val="0"/>
        <w:autoSpaceDN w:val="0"/>
        <w:adjustRightInd w:val="0"/>
        <w:ind w:right="19"/>
        <w:jc w:val="both"/>
        <w:rPr>
          <w:rFonts w:ascii="Verdana" w:hAnsi="Verdana"/>
          <w:i/>
          <w:sz w:val="20"/>
          <w:szCs w:val="20"/>
          <w:lang w:val="es-MX"/>
        </w:rPr>
      </w:pPr>
      <w:r>
        <w:rPr>
          <w:rFonts w:ascii="Verdana" w:hAnsi="Verdana"/>
          <w:i/>
          <w:sz w:val="20"/>
          <w:szCs w:val="20"/>
          <w:lang w:val="es-MX"/>
        </w:rPr>
        <w:t>Consideraciones</w:t>
      </w:r>
      <w:r w:rsidR="00C511DD" w:rsidRPr="006A59E8">
        <w:rPr>
          <w:rFonts w:ascii="Verdana" w:hAnsi="Verdana"/>
          <w:i/>
          <w:sz w:val="20"/>
          <w:szCs w:val="20"/>
          <w:lang w:val="es-MX"/>
        </w:rPr>
        <w:t xml:space="preserve"> de la Corte</w:t>
      </w:r>
    </w:p>
    <w:p w14:paraId="59C10294" w14:textId="77777777" w:rsidR="00694D50" w:rsidRDefault="00694D50" w:rsidP="00C30B6A">
      <w:pPr>
        <w:autoSpaceDE w:val="0"/>
        <w:autoSpaceDN w:val="0"/>
        <w:adjustRightInd w:val="0"/>
        <w:ind w:right="19"/>
        <w:jc w:val="both"/>
        <w:rPr>
          <w:rFonts w:ascii="Verdana" w:hAnsi="Verdana"/>
          <w:i/>
          <w:sz w:val="20"/>
          <w:szCs w:val="20"/>
          <w:lang w:val="es-MX"/>
        </w:rPr>
      </w:pPr>
    </w:p>
    <w:p w14:paraId="603DE877" w14:textId="7B624627" w:rsidR="00FC3B0C" w:rsidRPr="00FC3B0C" w:rsidRDefault="00694D50" w:rsidP="008747D5">
      <w:pPr>
        <w:numPr>
          <w:ilvl w:val="0"/>
          <w:numId w:val="19"/>
        </w:numPr>
        <w:autoSpaceDE w:val="0"/>
        <w:autoSpaceDN w:val="0"/>
        <w:adjustRightInd w:val="0"/>
        <w:ind w:left="0" w:right="19" w:firstLine="0"/>
        <w:jc w:val="both"/>
        <w:rPr>
          <w:rFonts w:ascii="Verdana" w:hAnsi="Verdana"/>
          <w:sz w:val="20"/>
          <w:szCs w:val="20"/>
          <w:lang w:val="es-MX"/>
        </w:rPr>
      </w:pPr>
      <w:r>
        <w:rPr>
          <w:rFonts w:ascii="Verdana" w:hAnsi="Verdana"/>
          <w:sz w:val="20"/>
          <w:szCs w:val="20"/>
          <w:lang w:val="es-MX"/>
        </w:rPr>
        <w:t xml:space="preserve">Esta </w:t>
      </w:r>
      <w:r w:rsidRPr="00C8736E">
        <w:rPr>
          <w:rFonts w:ascii="Verdana" w:hAnsi="Verdana"/>
          <w:b/>
          <w:i/>
          <w:sz w:val="20"/>
          <w:szCs w:val="20"/>
          <w:lang w:val="es-MX"/>
        </w:rPr>
        <w:t>Corte</w:t>
      </w:r>
      <w:r>
        <w:rPr>
          <w:rFonts w:ascii="Verdana" w:hAnsi="Verdana"/>
          <w:sz w:val="20"/>
          <w:szCs w:val="20"/>
          <w:lang w:val="es-MX"/>
        </w:rPr>
        <w:t xml:space="preserve"> recuerda que </w:t>
      </w:r>
      <w:r w:rsidRPr="00FC3B0C">
        <w:rPr>
          <w:rFonts w:ascii="Verdana" w:hAnsi="Verdana"/>
          <w:sz w:val="20"/>
          <w:szCs w:val="20"/>
          <w:lang w:val="es-MX"/>
        </w:rPr>
        <w:t xml:space="preserve">en </w:t>
      </w:r>
      <w:r w:rsidR="009B7B65" w:rsidRPr="00FC3B0C">
        <w:rPr>
          <w:rFonts w:ascii="Verdana" w:hAnsi="Verdana"/>
          <w:sz w:val="20"/>
          <w:szCs w:val="20"/>
          <w:lang w:val="es-MX"/>
        </w:rPr>
        <w:t>su</w:t>
      </w:r>
      <w:r w:rsidRPr="00FC3B0C">
        <w:rPr>
          <w:rFonts w:ascii="Verdana" w:hAnsi="Verdana"/>
          <w:sz w:val="20"/>
          <w:szCs w:val="20"/>
          <w:lang w:val="es-MX"/>
        </w:rPr>
        <w:t xml:space="preserve"> Resolución de 23 de junio de 2015 sobre las presentes medidas provisionales</w:t>
      </w:r>
      <w:r w:rsidR="009B7B65" w:rsidRPr="00FC3B0C">
        <w:rPr>
          <w:rFonts w:ascii="Verdana" w:hAnsi="Verdana"/>
          <w:sz w:val="20"/>
          <w:szCs w:val="20"/>
          <w:lang w:val="es-MX"/>
        </w:rPr>
        <w:t>,</w:t>
      </w:r>
      <w:r w:rsidR="00FC3B0C" w:rsidRPr="00FC3B0C">
        <w:rPr>
          <w:rFonts w:ascii="Verdana" w:hAnsi="Verdana"/>
          <w:sz w:val="20"/>
          <w:szCs w:val="20"/>
          <w:lang w:val="es-MX"/>
        </w:rPr>
        <w:t xml:space="preserve"> </w:t>
      </w:r>
      <w:r w:rsidR="00F22AD2">
        <w:rPr>
          <w:rFonts w:ascii="Verdana" w:hAnsi="Verdana"/>
          <w:sz w:val="20"/>
          <w:szCs w:val="20"/>
          <w:lang w:val="es-MX"/>
        </w:rPr>
        <w:t>dispuso</w:t>
      </w:r>
      <w:r w:rsidR="00F22AD2" w:rsidRPr="00FC3B0C">
        <w:rPr>
          <w:rFonts w:ascii="Verdana" w:hAnsi="Verdana"/>
          <w:sz w:val="20"/>
          <w:szCs w:val="20"/>
          <w:lang w:val="es-MX"/>
        </w:rPr>
        <w:t xml:space="preserve"> </w:t>
      </w:r>
      <w:r w:rsidR="00FC3B0C" w:rsidRPr="00FC3B0C">
        <w:rPr>
          <w:rFonts w:ascii="Verdana" w:hAnsi="Verdana"/>
          <w:sz w:val="20"/>
          <w:szCs w:val="20"/>
          <w:lang w:val="es-MX"/>
        </w:rPr>
        <w:t>a</w:t>
      </w:r>
      <w:r w:rsidR="00056BDF">
        <w:rPr>
          <w:rFonts w:ascii="Verdana" w:hAnsi="Verdana"/>
          <w:sz w:val="20"/>
          <w:szCs w:val="20"/>
          <w:lang w:val="es-MX"/>
        </w:rPr>
        <w:t xml:space="preserve"> que el</w:t>
      </w:r>
      <w:r w:rsidR="00FC3B0C" w:rsidRPr="00FC3B0C">
        <w:rPr>
          <w:rFonts w:ascii="Verdana" w:hAnsi="Verdana"/>
          <w:sz w:val="20"/>
          <w:szCs w:val="20"/>
          <w:lang w:val="es-MX"/>
        </w:rPr>
        <w:t xml:space="preserve"> Estado</w:t>
      </w:r>
      <w:r w:rsidR="00056BDF">
        <w:rPr>
          <w:rFonts w:ascii="Verdana" w:hAnsi="Verdana"/>
          <w:sz w:val="20"/>
          <w:szCs w:val="20"/>
          <w:lang w:val="es-MX"/>
        </w:rPr>
        <w:t xml:space="preserve"> dispusiera</w:t>
      </w:r>
      <w:r w:rsidR="00FC3B0C" w:rsidRPr="00FC3B0C">
        <w:rPr>
          <w:rFonts w:ascii="Verdana" w:hAnsi="Verdana"/>
          <w:sz w:val="20"/>
          <w:szCs w:val="20"/>
          <w:lang w:val="es-MX"/>
        </w:rPr>
        <w:t xml:space="preserve">, </w:t>
      </w:r>
      <w:r w:rsidR="00FC3B0C" w:rsidRPr="00FC3B0C">
        <w:rPr>
          <w:rFonts w:ascii="Verdana" w:hAnsi="Verdana"/>
          <w:i/>
          <w:sz w:val="20"/>
          <w:szCs w:val="20"/>
          <w:lang w:val="es-MX"/>
        </w:rPr>
        <w:t xml:space="preserve">inter </w:t>
      </w:r>
      <w:proofErr w:type="spellStart"/>
      <w:r w:rsidR="00FC3B0C" w:rsidRPr="00FC3B0C">
        <w:rPr>
          <w:rFonts w:ascii="Verdana" w:hAnsi="Verdana"/>
          <w:i/>
          <w:sz w:val="20"/>
          <w:szCs w:val="20"/>
          <w:lang w:val="es-MX"/>
        </w:rPr>
        <w:t>alia</w:t>
      </w:r>
      <w:proofErr w:type="spellEnd"/>
      <w:r w:rsidR="00FC3B0C" w:rsidRPr="00FC3B0C">
        <w:rPr>
          <w:rFonts w:ascii="Verdana" w:hAnsi="Verdana"/>
          <w:sz w:val="20"/>
          <w:szCs w:val="20"/>
          <w:lang w:val="es-MX"/>
        </w:rPr>
        <w:t xml:space="preserve">, adoptar los pasos necesarios para la debida implementación de medidas pertinentes respecto de: a) garantizar la integridad personal y la vida de los beneficiarios, a través de una metodología que tome en cuenta las necesidades especiales de cada uno de los beneficiarios; b) efectuar el traslado previamente acordado con el Estado a la ciudad de Chihuahua de los beneficiarios que así lo solicitaron con las debidas garantías y a la brevedad posible, de común acuerdo con los beneficiarios y/o sus representantes, </w:t>
      </w:r>
      <w:r w:rsidR="002A3E88">
        <w:rPr>
          <w:rFonts w:ascii="Verdana" w:hAnsi="Verdana"/>
          <w:sz w:val="20"/>
          <w:szCs w:val="20"/>
          <w:lang w:val="es-MX"/>
        </w:rPr>
        <w:t xml:space="preserve">e </w:t>
      </w:r>
      <w:r w:rsidR="00FC3B0C" w:rsidRPr="00FC3B0C">
        <w:rPr>
          <w:rFonts w:ascii="Verdana" w:hAnsi="Verdana"/>
          <w:sz w:val="20"/>
          <w:szCs w:val="20"/>
          <w:lang w:val="es-MX"/>
        </w:rPr>
        <w:t>c) informar a la Corte sobre</w:t>
      </w:r>
      <w:r w:rsidR="00FC3B0C">
        <w:rPr>
          <w:rFonts w:ascii="Verdana" w:hAnsi="Verdana"/>
          <w:sz w:val="20"/>
          <w:szCs w:val="20"/>
          <w:lang w:val="es-MX"/>
        </w:rPr>
        <w:t xml:space="preserve"> </w:t>
      </w:r>
      <w:r w:rsidR="00FC3B0C" w:rsidRPr="00FC3B0C">
        <w:rPr>
          <w:rFonts w:ascii="Verdana" w:hAnsi="Verdana"/>
          <w:sz w:val="20"/>
          <w:szCs w:val="20"/>
          <w:lang w:val="es-MX"/>
        </w:rPr>
        <w:t>las acciones emprendidas y avances alcanzados</w:t>
      </w:r>
      <w:r w:rsidR="00FC3B0C">
        <w:rPr>
          <w:rStyle w:val="FootnoteReference"/>
          <w:lang w:val="es-MX"/>
        </w:rPr>
        <w:footnoteReference w:id="13"/>
      </w:r>
      <w:r w:rsidR="00FC3B0C">
        <w:rPr>
          <w:rFonts w:ascii="Verdana" w:hAnsi="Verdana"/>
          <w:sz w:val="20"/>
          <w:szCs w:val="20"/>
          <w:lang w:val="es-MX"/>
        </w:rPr>
        <w:t xml:space="preserve">. Asimismo, este Tribunal </w:t>
      </w:r>
      <w:r w:rsidR="00FC3B0C" w:rsidRPr="00FC3B0C">
        <w:rPr>
          <w:rFonts w:ascii="Verdana" w:hAnsi="Verdana"/>
          <w:sz w:val="20"/>
          <w:szCs w:val="20"/>
          <w:lang w:val="es-MX"/>
        </w:rPr>
        <w:t>señaló que no daría seguimiento a los demás acuerdos alcanzados entre las partes, al entender que se refieren a medidas generales, las cuales no se relacionan estrictamente con la extrema gravedad, urgencia y necesidad de evitar daños irreparables a los beneficiarios de ésta medidas</w:t>
      </w:r>
      <w:r w:rsidR="00FC3B0C">
        <w:rPr>
          <w:rStyle w:val="FootnoteReference"/>
          <w:lang w:val="es-MX"/>
        </w:rPr>
        <w:footnoteReference w:id="14"/>
      </w:r>
      <w:r w:rsidR="00FC3B0C" w:rsidRPr="00FC3B0C">
        <w:rPr>
          <w:rFonts w:ascii="Verdana" w:hAnsi="Verdana"/>
          <w:sz w:val="20"/>
          <w:szCs w:val="20"/>
          <w:lang w:val="es-MX"/>
        </w:rPr>
        <w:t>.</w:t>
      </w:r>
    </w:p>
    <w:p w14:paraId="12E30686" w14:textId="28A55E0A" w:rsidR="00694D50" w:rsidRPr="002D1AB3" w:rsidRDefault="00694D50" w:rsidP="008747D5">
      <w:pPr>
        <w:autoSpaceDE w:val="0"/>
        <w:autoSpaceDN w:val="0"/>
        <w:adjustRightInd w:val="0"/>
        <w:ind w:right="19"/>
        <w:jc w:val="both"/>
        <w:rPr>
          <w:rFonts w:ascii="Verdana" w:hAnsi="Verdana"/>
          <w:sz w:val="20"/>
          <w:szCs w:val="20"/>
          <w:lang w:val="es-MX"/>
        </w:rPr>
      </w:pPr>
    </w:p>
    <w:p w14:paraId="5677E15C" w14:textId="2C51EA25" w:rsidR="006528D6" w:rsidRDefault="00056BDF" w:rsidP="007C2F25">
      <w:pPr>
        <w:numPr>
          <w:ilvl w:val="0"/>
          <w:numId w:val="19"/>
        </w:numPr>
        <w:autoSpaceDE w:val="0"/>
        <w:autoSpaceDN w:val="0"/>
        <w:adjustRightInd w:val="0"/>
        <w:ind w:left="0" w:right="19" w:firstLine="0"/>
        <w:jc w:val="both"/>
        <w:rPr>
          <w:rFonts w:ascii="Verdana" w:hAnsi="Verdana"/>
          <w:sz w:val="20"/>
          <w:szCs w:val="20"/>
          <w:u w:val="single"/>
          <w:lang w:val="es-ES"/>
        </w:rPr>
      </w:pPr>
      <w:r>
        <w:rPr>
          <w:rFonts w:ascii="Verdana" w:hAnsi="Verdana"/>
          <w:sz w:val="20"/>
          <w:szCs w:val="20"/>
          <w:lang w:val="es-MX"/>
        </w:rPr>
        <w:t>L</w:t>
      </w:r>
      <w:r w:rsidR="0034403A" w:rsidRPr="002D1AB3">
        <w:rPr>
          <w:rFonts w:ascii="Verdana" w:hAnsi="Verdana"/>
          <w:sz w:val="20"/>
          <w:szCs w:val="20"/>
          <w:lang w:val="es-MX"/>
        </w:rPr>
        <w:t xml:space="preserve">a </w:t>
      </w:r>
      <w:r w:rsidR="0034403A" w:rsidRPr="00C8736E">
        <w:rPr>
          <w:rFonts w:ascii="Verdana" w:hAnsi="Verdana"/>
          <w:sz w:val="20"/>
          <w:szCs w:val="20"/>
          <w:lang w:val="es-MX"/>
        </w:rPr>
        <w:t>Corte</w:t>
      </w:r>
      <w:r w:rsidR="0034403A" w:rsidRPr="00F22AD2">
        <w:rPr>
          <w:rFonts w:ascii="Verdana" w:hAnsi="Verdana"/>
          <w:sz w:val="20"/>
          <w:szCs w:val="20"/>
          <w:lang w:val="es-MX"/>
        </w:rPr>
        <w:t xml:space="preserve"> </w:t>
      </w:r>
      <w:r w:rsidR="004C38C5" w:rsidRPr="002D1AB3">
        <w:rPr>
          <w:rFonts w:ascii="Verdana" w:hAnsi="Verdana"/>
          <w:sz w:val="20"/>
          <w:szCs w:val="20"/>
          <w:lang w:val="es-MX"/>
        </w:rPr>
        <w:t xml:space="preserve">valora positivamente la implementación de la medida de protección de </w:t>
      </w:r>
      <w:r w:rsidR="004C38C5" w:rsidRPr="002D1AB3">
        <w:rPr>
          <w:rFonts w:ascii="Verdana" w:hAnsi="Verdana" w:cs="Arial"/>
          <w:sz w:val="20"/>
          <w:szCs w:val="20"/>
          <w:lang w:val="es-MX"/>
        </w:rPr>
        <w:t>traslado a la ciudad de Chihuahua a favor de los beneficiarios que así lo solicitaron, con la finalidad de buscar condiciones de v</w:t>
      </w:r>
      <w:r w:rsidR="004C38C5" w:rsidRPr="00D358E4">
        <w:rPr>
          <w:rFonts w:ascii="Verdana" w:hAnsi="Verdana" w:cs="Arial"/>
          <w:sz w:val="20"/>
          <w:szCs w:val="20"/>
          <w:lang w:val="es-MX"/>
        </w:rPr>
        <w:t>ida más seguras que las que se presentan en el Ejido Benito Juárez</w:t>
      </w:r>
      <w:r w:rsidR="004C38C5" w:rsidRPr="0034188A">
        <w:rPr>
          <w:rFonts w:ascii="Verdana" w:hAnsi="Verdana" w:cs="Arial"/>
          <w:sz w:val="20"/>
          <w:szCs w:val="20"/>
          <w:lang w:val="es-MX"/>
        </w:rPr>
        <w:t>.</w:t>
      </w:r>
      <w:r w:rsidR="004C38C5">
        <w:rPr>
          <w:rFonts w:ascii="Verdana" w:hAnsi="Verdana"/>
          <w:sz w:val="20"/>
          <w:szCs w:val="20"/>
          <w:lang w:val="es-MX"/>
        </w:rPr>
        <w:t xml:space="preserve"> No obstante, recuerda la importancia de que el Estado informe </w:t>
      </w:r>
      <w:r w:rsidR="00583EEB">
        <w:rPr>
          <w:rFonts w:ascii="Verdana" w:hAnsi="Verdana"/>
          <w:sz w:val="20"/>
          <w:szCs w:val="20"/>
          <w:lang w:val="es-MX"/>
        </w:rPr>
        <w:t xml:space="preserve">de manera completa </w:t>
      </w:r>
      <w:r w:rsidR="004C38C5">
        <w:rPr>
          <w:rFonts w:ascii="Verdana" w:hAnsi="Verdana"/>
          <w:sz w:val="20"/>
          <w:szCs w:val="20"/>
          <w:lang w:val="es-MX"/>
        </w:rPr>
        <w:t>al Tribunal sobre las medidas que ha implementado y su vigencia para la protección a la vida e integridad personal de los beneficiarios, de conformidad con lo ordenado por esta Corte</w:t>
      </w:r>
      <w:r w:rsidR="007C2F25">
        <w:rPr>
          <w:rFonts w:ascii="Verdana" w:hAnsi="Verdana"/>
          <w:sz w:val="20"/>
          <w:szCs w:val="20"/>
          <w:lang w:val="es-MX"/>
        </w:rPr>
        <w:t>.</w:t>
      </w:r>
    </w:p>
    <w:p w14:paraId="57C6EAB4" w14:textId="77777777" w:rsidR="003D0AC8" w:rsidRDefault="003D0AC8" w:rsidP="003D0AC8">
      <w:pPr>
        <w:autoSpaceDE w:val="0"/>
        <w:autoSpaceDN w:val="0"/>
        <w:adjustRightInd w:val="0"/>
        <w:ind w:right="19"/>
        <w:jc w:val="both"/>
        <w:rPr>
          <w:rFonts w:ascii="Verdana" w:hAnsi="Verdana"/>
          <w:sz w:val="20"/>
          <w:szCs w:val="20"/>
          <w:u w:val="single"/>
          <w:lang w:val="es-ES"/>
        </w:rPr>
      </w:pPr>
    </w:p>
    <w:p w14:paraId="30C08527" w14:textId="5412C649" w:rsidR="003D0AC8" w:rsidRDefault="003D0AC8" w:rsidP="003D0AC8">
      <w:pPr>
        <w:pStyle w:val="Default"/>
        <w:numPr>
          <w:ilvl w:val="0"/>
          <w:numId w:val="19"/>
        </w:numPr>
        <w:ind w:left="0" w:firstLine="0"/>
        <w:jc w:val="both"/>
        <w:rPr>
          <w:sz w:val="20"/>
          <w:szCs w:val="20"/>
          <w:lang w:val="es-HN"/>
        </w:rPr>
      </w:pPr>
      <w:r>
        <w:rPr>
          <w:sz w:val="20"/>
          <w:szCs w:val="20"/>
          <w:lang w:val="es-HN"/>
        </w:rPr>
        <w:lastRenderedPageBreak/>
        <w:t>Asimismo, l</w:t>
      </w:r>
      <w:r w:rsidR="00834F18">
        <w:rPr>
          <w:sz w:val="20"/>
          <w:szCs w:val="20"/>
          <w:lang w:val="es-HN"/>
        </w:rPr>
        <w:t xml:space="preserve">a </w:t>
      </w:r>
      <w:r w:rsidR="00834F18" w:rsidRPr="00C8736E">
        <w:rPr>
          <w:sz w:val="20"/>
          <w:szCs w:val="20"/>
          <w:lang w:val="es-HN"/>
        </w:rPr>
        <w:t>Corte</w:t>
      </w:r>
      <w:r w:rsidR="00834F18">
        <w:rPr>
          <w:sz w:val="20"/>
          <w:szCs w:val="20"/>
          <w:lang w:val="es-HN"/>
        </w:rPr>
        <w:t xml:space="preserve"> </w:t>
      </w:r>
      <w:r w:rsidR="002B520A">
        <w:rPr>
          <w:sz w:val="20"/>
          <w:szCs w:val="20"/>
          <w:lang w:val="es-HN"/>
        </w:rPr>
        <w:t>toma nota de</w:t>
      </w:r>
      <w:r w:rsidR="007C2F25">
        <w:rPr>
          <w:sz w:val="20"/>
          <w:szCs w:val="20"/>
          <w:lang w:val="es-HN"/>
        </w:rPr>
        <w:t xml:space="preserve"> </w:t>
      </w:r>
      <w:r w:rsidR="00834F18">
        <w:rPr>
          <w:sz w:val="20"/>
          <w:szCs w:val="20"/>
          <w:lang w:val="es-HN"/>
        </w:rPr>
        <w:t xml:space="preserve">las acciones </w:t>
      </w:r>
      <w:r>
        <w:rPr>
          <w:sz w:val="20"/>
          <w:szCs w:val="20"/>
          <w:lang w:val="es-HN"/>
        </w:rPr>
        <w:t>estatales</w:t>
      </w:r>
      <w:r w:rsidR="007C2F25">
        <w:rPr>
          <w:sz w:val="20"/>
          <w:szCs w:val="20"/>
          <w:lang w:val="es-HN"/>
        </w:rPr>
        <w:t xml:space="preserve"> informadas para</w:t>
      </w:r>
      <w:r w:rsidR="00834F18">
        <w:rPr>
          <w:sz w:val="20"/>
          <w:szCs w:val="20"/>
          <w:lang w:val="es-HN"/>
        </w:rPr>
        <w:t xml:space="preserve"> la protección de la vivienda de los beneficiarios</w:t>
      </w:r>
      <w:r>
        <w:rPr>
          <w:sz w:val="20"/>
          <w:szCs w:val="20"/>
          <w:lang w:val="es-HN"/>
        </w:rPr>
        <w:t xml:space="preserve"> Jaime Alvarado,</w:t>
      </w:r>
      <w:r w:rsidR="00834F18">
        <w:rPr>
          <w:sz w:val="20"/>
          <w:szCs w:val="20"/>
          <w:lang w:val="es-HN"/>
        </w:rPr>
        <w:t xml:space="preserve"> </w:t>
      </w:r>
      <w:r w:rsidRPr="005F06DF">
        <w:rPr>
          <w:sz w:val="20"/>
          <w:szCs w:val="20"/>
          <w:lang w:val="es-HN"/>
        </w:rPr>
        <w:t xml:space="preserve">Jose Ángel Alvarado </w:t>
      </w:r>
      <w:r>
        <w:rPr>
          <w:sz w:val="20"/>
          <w:szCs w:val="20"/>
          <w:lang w:val="es-HN"/>
        </w:rPr>
        <w:t xml:space="preserve">y su núcleo familiar, </w:t>
      </w:r>
      <w:r w:rsidR="00834F18" w:rsidRPr="005F06DF">
        <w:rPr>
          <w:sz w:val="20"/>
          <w:szCs w:val="20"/>
          <w:lang w:val="es-HN"/>
        </w:rPr>
        <w:t>Rosa Olivia Alvarad</w:t>
      </w:r>
      <w:r w:rsidR="00834F18">
        <w:rPr>
          <w:sz w:val="20"/>
          <w:szCs w:val="20"/>
          <w:lang w:val="es-HN"/>
        </w:rPr>
        <w:t xml:space="preserve">o y </w:t>
      </w:r>
      <w:r w:rsidR="00834F18" w:rsidRPr="005F06DF">
        <w:rPr>
          <w:sz w:val="20"/>
          <w:szCs w:val="20"/>
          <w:lang w:val="es-HN"/>
        </w:rPr>
        <w:t>Patricia Reyes</w:t>
      </w:r>
      <w:r w:rsidR="00834F18">
        <w:rPr>
          <w:sz w:val="20"/>
          <w:szCs w:val="20"/>
          <w:lang w:val="es-HN"/>
        </w:rPr>
        <w:t xml:space="preserve">. </w:t>
      </w:r>
      <w:r>
        <w:rPr>
          <w:sz w:val="20"/>
          <w:szCs w:val="20"/>
          <w:lang w:val="es-HN"/>
        </w:rPr>
        <w:t>No obstante,</w:t>
      </w:r>
      <w:r w:rsidR="00834F18">
        <w:rPr>
          <w:sz w:val="20"/>
          <w:szCs w:val="20"/>
          <w:lang w:val="es-HN"/>
        </w:rPr>
        <w:t xml:space="preserve"> </w:t>
      </w:r>
      <w:r>
        <w:rPr>
          <w:sz w:val="20"/>
          <w:szCs w:val="20"/>
          <w:lang w:val="es-HN"/>
        </w:rPr>
        <w:t>s</w:t>
      </w:r>
      <w:r w:rsidR="00834F18">
        <w:rPr>
          <w:sz w:val="20"/>
          <w:szCs w:val="20"/>
          <w:lang w:val="es-HN"/>
        </w:rPr>
        <w:t xml:space="preserve">e </w:t>
      </w:r>
      <w:r>
        <w:rPr>
          <w:sz w:val="20"/>
          <w:szCs w:val="20"/>
          <w:lang w:val="es-HN"/>
        </w:rPr>
        <w:t>resalta</w:t>
      </w:r>
      <w:r w:rsidR="00834F18">
        <w:rPr>
          <w:sz w:val="20"/>
          <w:szCs w:val="20"/>
          <w:lang w:val="es-HN"/>
        </w:rPr>
        <w:t xml:space="preserve"> que es de vital importancia la notificación oportuna</w:t>
      </w:r>
      <w:r w:rsidR="006E1D7F">
        <w:rPr>
          <w:sz w:val="20"/>
          <w:szCs w:val="20"/>
          <w:lang w:val="es-HN"/>
        </w:rPr>
        <w:t xml:space="preserve"> al Estado</w:t>
      </w:r>
      <w:r w:rsidR="00667E1F">
        <w:rPr>
          <w:sz w:val="20"/>
          <w:szCs w:val="20"/>
          <w:lang w:val="es-HN"/>
        </w:rPr>
        <w:t>,</w:t>
      </w:r>
      <w:r w:rsidR="00834F18">
        <w:rPr>
          <w:sz w:val="20"/>
          <w:szCs w:val="20"/>
          <w:lang w:val="es-HN"/>
        </w:rPr>
        <w:t xml:space="preserve"> </w:t>
      </w:r>
      <w:r w:rsidR="00667E1F">
        <w:rPr>
          <w:sz w:val="20"/>
          <w:szCs w:val="20"/>
          <w:lang w:val="es-HN"/>
        </w:rPr>
        <w:t xml:space="preserve">por parte de los beneficiarios o </w:t>
      </w:r>
      <w:r w:rsidR="006E1D7F">
        <w:rPr>
          <w:sz w:val="20"/>
          <w:szCs w:val="20"/>
          <w:lang w:val="es-HN"/>
        </w:rPr>
        <w:t>sus representantes</w:t>
      </w:r>
      <w:r w:rsidR="00667E1F">
        <w:rPr>
          <w:sz w:val="20"/>
          <w:szCs w:val="20"/>
          <w:lang w:val="es-HN"/>
        </w:rPr>
        <w:t xml:space="preserve">, </w:t>
      </w:r>
      <w:r w:rsidR="00834F18">
        <w:rPr>
          <w:sz w:val="20"/>
          <w:szCs w:val="20"/>
          <w:lang w:val="es-HN"/>
        </w:rPr>
        <w:t>de cualquier daño a las viviendas</w:t>
      </w:r>
      <w:r w:rsidR="00834F18" w:rsidRPr="005F06DF">
        <w:rPr>
          <w:sz w:val="20"/>
          <w:szCs w:val="20"/>
          <w:lang w:val="es-HN"/>
        </w:rPr>
        <w:t xml:space="preserve"> </w:t>
      </w:r>
      <w:r w:rsidR="00834F18">
        <w:rPr>
          <w:sz w:val="20"/>
          <w:szCs w:val="20"/>
          <w:lang w:val="es-HN"/>
        </w:rPr>
        <w:t>para facilitar u</w:t>
      </w:r>
      <w:r>
        <w:rPr>
          <w:sz w:val="20"/>
          <w:szCs w:val="20"/>
          <w:lang w:val="es-HN"/>
        </w:rPr>
        <w:t>na respuesta pronta y efectiva,</w:t>
      </w:r>
      <w:r w:rsidR="00786808">
        <w:rPr>
          <w:sz w:val="20"/>
          <w:szCs w:val="20"/>
          <w:lang w:val="es-HN"/>
        </w:rPr>
        <w:t xml:space="preserve"> así como </w:t>
      </w:r>
      <w:r>
        <w:rPr>
          <w:sz w:val="20"/>
          <w:szCs w:val="20"/>
          <w:lang w:val="es-HN"/>
        </w:rPr>
        <w:t xml:space="preserve">que </w:t>
      </w:r>
      <w:r w:rsidR="006E1D7F">
        <w:rPr>
          <w:sz w:val="20"/>
          <w:szCs w:val="20"/>
          <w:lang w:val="es-HN"/>
        </w:rPr>
        <w:t>la entidad correspondiente del Estado</w:t>
      </w:r>
      <w:r>
        <w:rPr>
          <w:sz w:val="20"/>
          <w:szCs w:val="20"/>
          <w:lang w:val="es-HN"/>
        </w:rPr>
        <w:t xml:space="preserve"> tome todas las medidas que sean necesarias para dar cumplimiento a las presentes medidas provisionales. </w:t>
      </w:r>
    </w:p>
    <w:p w14:paraId="5C4F6D61" w14:textId="77777777" w:rsidR="003D0AC8" w:rsidRDefault="003D0AC8" w:rsidP="003D0AC8">
      <w:pPr>
        <w:pStyle w:val="Default"/>
        <w:jc w:val="both"/>
        <w:rPr>
          <w:sz w:val="20"/>
          <w:szCs w:val="20"/>
          <w:lang w:val="es-HN"/>
        </w:rPr>
      </w:pPr>
    </w:p>
    <w:p w14:paraId="0ECB38B2" w14:textId="166F5306" w:rsidR="00786808" w:rsidRDefault="003D0AC8" w:rsidP="003D0AC8">
      <w:pPr>
        <w:pStyle w:val="Default"/>
        <w:numPr>
          <w:ilvl w:val="0"/>
          <w:numId w:val="19"/>
        </w:numPr>
        <w:ind w:left="0" w:firstLine="0"/>
        <w:jc w:val="both"/>
        <w:rPr>
          <w:sz w:val="20"/>
          <w:szCs w:val="20"/>
          <w:lang w:val="es-HN"/>
        </w:rPr>
      </w:pPr>
      <w:r w:rsidRPr="003D0AC8">
        <w:rPr>
          <w:sz w:val="20"/>
          <w:szCs w:val="20"/>
          <w:lang w:val="es-HN"/>
        </w:rPr>
        <w:t xml:space="preserve">En este sentido, este Tribunal </w:t>
      </w:r>
      <w:r w:rsidR="00F22AD2">
        <w:rPr>
          <w:sz w:val="20"/>
          <w:szCs w:val="20"/>
          <w:lang w:val="es-HN"/>
        </w:rPr>
        <w:t>nota</w:t>
      </w:r>
      <w:r w:rsidR="00834F18" w:rsidRPr="003D0AC8">
        <w:rPr>
          <w:sz w:val="20"/>
          <w:szCs w:val="20"/>
          <w:lang w:val="es-HN"/>
        </w:rPr>
        <w:t xml:space="preserve"> </w:t>
      </w:r>
      <w:r w:rsidR="00F22AD2">
        <w:rPr>
          <w:sz w:val="20"/>
          <w:szCs w:val="20"/>
          <w:lang w:val="es-HN"/>
        </w:rPr>
        <w:t>la</w:t>
      </w:r>
      <w:r w:rsidR="00834F18" w:rsidRPr="003D0AC8">
        <w:rPr>
          <w:sz w:val="20"/>
          <w:szCs w:val="20"/>
          <w:lang w:val="es-HN"/>
        </w:rPr>
        <w:t xml:space="preserve"> inconformidad de los representantes en cuanto </w:t>
      </w:r>
      <w:r w:rsidR="00056BDF">
        <w:rPr>
          <w:sz w:val="20"/>
          <w:szCs w:val="20"/>
          <w:lang w:val="es-HN"/>
        </w:rPr>
        <w:t>determinadas</w:t>
      </w:r>
      <w:r w:rsidR="00834F18" w:rsidRPr="003D0AC8">
        <w:rPr>
          <w:sz w:val="20"/>
          <w:szCs w:val="20"/>
          <w:lang w:val="es-HN"/>
        </w:rPr>
        <w:t xml:space="preserve"> medidas de protección a las viviendas de los beneficiarios </w:t>
      </w:r>
      <w:r w:rsidR="00786808">
        <w:rPr>
          <w:sz w:val="20"/>
          <w:szCs w:val="20"/>
          <w:lang w:val="es-HN"/>
        </w:rPr>
        <w:t xml:space="preserve">Jaime Alvarado, </w:t>
      </w:r>
      <w:r w:rsidR="00786808" w:rsidRPr="005F06DF">
        <w:rPr>
          <w:sz w:val="20"/>
          <w:szCs w:val="20"/>
          <w:lang w:val="es-HN"/>
        </w:rPr>
        <w:t xml:space="preserve">Jose Ángel Alvarado </w:t>
      </w:r>
      <w:r w:rsidR="00786808">
        <w:rPr>
          <w:sz w:val="20"/>
          <w:szCs w:val="20"/>
          <w:lang w:val="es-HN"/>
        </w:rPr>
        <w:t>y su núcleo familiar,</w:t>
      </w:r>
      <w:r w:rsidR="002D1AB3">
        <w:rPr>
          <w:sz w:val="20"/>
          <w:szCs w:val="20"/>
          <w:lang w:val="es-HN"/>
        </w:rPr>
        <w:t xml:space="preserve"> y</w:t>
      </w:r>
      <w:r w:rsidR="00786808">
        <w:rPr>
          <w:sz w:val="20"/>
          <w:szCs w:val="20"/>
          <w:lang w:val="es-HN"/>
        </w:rPr>
        <w:t xml:space="preserve"> </w:t>
      </w:r>
      <w:r w:rsidR="00786808" w:rsidRPr="005F06DF">
        <w:rPr>
          <w:sz w:val="20"/>
          <w:szCs w:val="20"/>
          <w:lang w:val="es-HN"/>
        </w:rPr>
        <w:t>Rosa Olivia Alvarad</w:t>
      </w:r>
      <w:r w:rsidR="00786808">
        <w:rPr>
          <w:sz w:val="20"/>
          <w:szCs w:val="20"/>
          <w:lang w:val="es-HN"/>
        </w:rPr>
        <w:t>o</w:t>
      </w:r>
      <w:r w:rsidR="002D1AB3">
        <w:rPr>
          <w:sz w:val="20"/>
          <w:szCs w:val="20"/>
          <w:lang w:val="es-HN"/>
        </w:rPr>
        <w:t xml:space="preserve">, </w:t>
      </w:r>
      <w:r w:rsidRPr="003D0AC8">
        <w:rPr>
          <w:sz w:val="20"/>
          <w:szCs w:val="20"/>
          <w:lang w:val="es-HN"/>
        </w:rPr>
        <w:t xml:space="preserve">debido a que </w:t>
      </w:r>
      <w:r w:rsidR="00786808">
        <w:rPr>
          <w:sz w:val="20"/>
          <w:szCs w:val="20"/>
          <w:lang w:val="es-HN"/>
        </w:rPr>
        <w:t xml:space="preserve">según lo manifestado por </w:t>
      </w:r>
      <w:r w:rsidR="00056BDF">
        <w:rPr>
          <w:sz w:val="20"/>
          <w:szCs w:val="20"/>
          <w:lang w:val="es-HN"/>
        </w:rPr>
        <w:t>éstos</w:t>
      </w:r>
      <w:r w:rsidR="00F22AD2">
        <w:rPr>
          <w:sz w:val="20"/>
          <w:szCs w:val="20"/>
          <w:lang w:val="es-HN"/>
        </w:rPr>
        <w:t>,</w:t>
      </w:r>
      <w:r w:rsidRPr="003D0AC8">
        <w:rPr>
          <w:sz w:val="20"/>
          <w:szCs w:val="20"/>
          <w:lang w:val="es-HN"/>
        </w:rPr>
        <w:t xml:space="preserve"> no todas las medidas de protección </w:t>
      </w:r>
      <w:r w:rsidR="00786808">
        <w:rPr>
          <w:sz w:val="20"/>
          <w:szCs w:val="20"/>
          <w:lang w:val="es-HN"/>
        </w:rPr>
        <w:t>que</w:t>
      </w:r>
      <w:r w:rsidRPr="003D0AC8">
        <w:rPr>
          <w:sz w:val="20"/>
          <w:szCs w:val="20"/>
          <w:lang w:val="es-HN"/>
        </w:rPr>
        <w:t xml:space="preserve"> el Estado </w:t>
      </w:r>
      <w:r w:rsidR="00F22AD2">
        <w:rPr>
          <w:sz w:val="20"/>
          <w:szCs w:val="20"/>
          <w:lang w:val="es-HN"/>
        </w:rPr>
        <w:t xml:space="preserve">indicó </w:t>
      </w:r>
      <w:r w:rsidR="00786808">
        <w:rPr>
          <w:sz w:val="20"/>
          <w:szCs w:val="20"/>
          <w:lang w:val="es-HN"/>
        </w:rPr>
        <w:t>haber implementado</w:t>
      </w:r>
      <w:r w:rsidR="00F22AD2">
        <w:rPr>
          <w:sz w:val="20"/>
          <w:szCs w:val="20"/>
          <w:lang w:val="es-HN"/>
        </w:rPr>
        <w:t>,</w:t>
      </w:r>
      <w:r w:rsidR="00786808">
        <w:rPr>
          <w:sz w:val="20"/>
          <w:szCs w:val="20"/>
          <w:lang w:val="es-HN"/>
        </w:rPr>
        <w:t xml:space="preserve"> </w:t>
      </w:r>
      <w:r w:rsidRPr="003D0AC8">
        <w:rPr>
          <w:sz w:val="20"/>
          <w:szCs w:val="20"/>
          <w:lang w:val="es-HN"/>
        </w:rPr>
        <w:t>fueron efectivamente instaladas</w:t>
      </w:r>
      <w:r w:rsidR="00E1465C">
        <w:rPr>
          <w:sz w:val="20"/>
          <w:szCs w:val="20"/>
          <w:lang w:val="es-HN"/>
        </w:rPr>
        <w:t xml:space="preserve"> </w:t>
      </w:r>
      <w:r w:rsidR="00786808">
        <w:rPr>
          <w:sz w:val="20"/>
          <w:szCs w:val="20"/>
          <w:lang w:val="es-HN"/>
        </w:rPr>
        <w:t xml:space="preserve">o bien, </w:t>
      </w:r>
      <w:r w:rsidR="002B520A">
        <w:rPr>
          <w:sz w:val="20"/>
          <w:szCs w:val="20"/>
          <w:lang w:val="es-HN"/>
        </w:rPr>
        <w:t>por considerar</w:t>
      </w:r>
      <w:r w:rsidR="00786808">
        <w:rPr>
          <w:sz w:val="20"/>
          <w:szCs w:val="20"/>
          <w:lang w:val="es-HN"/>
        </w:rPr>
        <w:t xml:space="preserve"> que no se encuentra en óptimo funcionamiento. </w:t>
      </w:r>
      <w:r w:rsidRPr="003D0AC8">
        <w:rPr>
          <w:sz w:val="20"/>
          <w:szCs w:val="20"/>
          <w:lang w:val="es-HN"/>
        </w:rPr>
        <w:t>Al respecto, l</w:t>
      </w:r>
      <w:r w:rsidR="00834F18" w:rsidRPr="003D0AC8">
        <w:rPr>
          <w:sz w:val="20"/>
          <w:szCs w:val="20"/>
          <w:lang w:val="es-HN"/>
        </w:rPr>
        <w:t>a Corte llama a</w:t>
      </w:r>
      <w:r w:rsidR="001A5A3C">
        <w:rPr>
          <w:sz w:val="20"/>
          <w:szCs w:val="20"/>
          <w:lang w:val="es-HN"/>
        </w:rPr>
        <w:t xml:space="preserve">l </w:t>
      </w:r>
      <w:r w:rsidR="00834F18" w:rsidRPr="003D0AC8">
        <w:rPr>
          <w:sz w:val="20"/>
          <w:szCs w:val="20"/>
          <w:lang w:val="es-HN"/>
        </w:rPr>
        <w:t>Estado a dar cumplimiento total a las medidas aplicadas en los domicilios de los beneficiarios</w:t>
      </w:r>
      <w:r>
        <w:rPr>
          <w:sz w:val="20"/>
          <w:szCs w:val="20"/>
          <w:lang w:val="es-HN"/>
        </w:rPr>
        <w:t>, con el objetivo de proteger de manera efectiva la vida e integridad personal de los beneficiarios.</w:t>
      </w:r>
    </w:p>
    <w:p w14:paraId="156CA9A4" w14:textId="77777777" w:rsidR="00097CD8" w:rsidRDefault="00097CD8" w:rsidP="00097CD8">
      <w:pPr>
        <w:pStyle w:val="ListParagraph"/>
        <w:ind w:left="0"/>
        <w:contextualSpacing/>
        <w:jc w:val="both"/>
        <w:rPr>
          <w:rFonts w:ascii="Verdana" w:hAnsi="Verdana" w:cs="Arial"/>
          <w:sz w:val="20"/>
          <w:szCs w:val="20"/>
          <w:lang w:val="es-ES"/>
        </w:rPr>
      </w:pPr>
    </w:p>
    <w:p w14:paraId="04B4BFFD" w14:textId="7609CFDD" w:rsidR="00097CD8" w:rsidRPr="00F05FE2" w:rsidRDefault="00097CD8" w:rsidP="00F05FE2">
      <w:pPr>
        <w:pStyle w:val="Default"/>
        <w:numPr>
          <w:ilvl w:val="0"/>
          <w:numId w:val="19"/>
        </w:numPr>
        <w:ind w:left="0" w:firstLine="0"/>
        <w:jc w:val="both"/>
        <w:rPr>
          <w:sz w:val="20"/>
          <w:szCs w:val="20"/>
          <w:lang w:val="es-CR"/>
        </w:rPr>
      </w:pPr>
      <w:r w:rsidRPr="00F05FE2">
        <w:rPr>
          <w:sz w:val="20"/>
          <w:szCs w:val="20"/>
          <w:lang w:val="es-CR"/>
        </w:rPr>
        <w:t xml:space="preserve">Por otra parte, de conformidad con el artículo 27.8 del Reglamento, “[e]n las circunstancias que estime pertinente, la Corte podrá requerir de otras fuentes de información datos relevantes sobre el asunto, que permitan apreciar la gravedad y urgencia de la situación y la eficacia de las medidas. Para los mismos efectos, podrá también requerir los peritajes e informes que considere oportunos”. De este modo, </w:t>
      </w:r>
      <w:r w:rsidR="001A5A3C">
        <w:rPr>
          <w:sz w:val="20"/>
          <w:szCs w:val="20"/>
          <w:lang w:val="es-CR"/>
        </w:rPr>
        <w:t xml:space="preserve">y en vista de todo lo anterior, </w:t>
      </w:r>
      <w:r w:rsidRPr="00F05FE2">
        <w:rPr>
          <w:sz w:val="20"/>
          <w:szCs w:val="20"/>
          <w:lang w:val="es-CR"/>
        </w:rPr>
        <w:t xml:space="preserve">se solicita a la Comisión Nacional de Derechos Humanos </w:t>
      </w:r>
      <w:r w:rsidR="001A5A3C">
        <w:rPr>
          <w:sz w:val="20"/>
          <w:szCs w:val="20"/>
          <w:lang w:val="es-CR"/>
        </w:rPr>
        <w:t xml:space="preserve">de México </w:t>
      </w:r>
      <w:r w:rsidRPr="00F05FE2">
        <w:rPr>
          <w:sz w:val="20"/>
          <w:szCs w:val="20"/>
          <w:lang w:val="es-CR"/>
        </w:rPr>
        <w:t xml:space="preserve">que presente </w:t>
      </w:r>
      <w:r w:rsidR="00577D09" w:rsidRPr="00F05FE2">
        <w:rPr>
          <w:sz w:val="20"/>
          <w:szCs w:val="20"/>
          <w:lang w:val="es-CR"/>
        </w:rPr>
        <w:t xml:space="preserve">un informe </w:t>
      </w:r>
      <w:r w:rsidR="00B83282" w:rsidRPr="00F05FE2">
        <w:rPr>
          <w:sz w:val="20"/>
          <w:szCs w:val="20"/>
          <w:lang w:val="es-CR"/>
        </w:rPr>
        <w:t>directamente</w:t>
      </w:r>
      <w:r w:rsidRPr="00F05FE2">
        <w:rPr>
          <w:sz w:val="20"/>
          <w:szCs w:val="20"/>
          <w:lang w:val="es-CR"/>
        </w:rPr>
        <w:t xml:space="preserve"> a este Tribunal sobre </w:t>
      </w:r>
      <w:r w:rsidR="001A5A3C">
        <w:rPr>
          <w:sz w:val="20"/>
          <w:szCs w:val="20"/>
          <w:lang w:val="es-CR"/>
        </w:rPr>
        <w:t xml:space="preserve">su valoración respecto de </w:t>
      </w:r>
      <w:r w:rsidRPr="00F05FE2">
        <w:rPr>
          <w:sz w:val="20"/>
          <w:szCs w:val="20"/>
          <w:lang w:val="es-CR"/>
        </w:rPr>
        <w:t xml:space="preserve">la situación de riesgo y medidas de protección que puedan ser implementadas a favor de los y las beneficiarias de estas medidas.  </w:t>
      </w:r>
    </w:p>
    <w:p w14:paraId="603AC64E" w14:textId="77777777" w:rsidR="00097CD8" w:rsidRDefault="00097CD8" w:rsidP="00597480">
      <w:pPr>
        <w:jc w:val="both"/>
        <w:rPr>
          <w:rFonts w:ascii="Verdana" w:hAnsi="Verdana"/>
          <w:b/>
          <w:i/>
          <w:sz w:val="20"/>
          <w:szCs w:val="20"/>
        </w:rPr>
      </w:pPr>
    </w:p>
    <w:p w14:paraId="6550DD0F" w14:textId="5820C2CB" w:rsidR="00041C6F" w:rsidRDefault="00D340A0" w:rsidP="00A74915">
      <w:pPr>
        <w:ind w:left="720"/>
        <w:jc w:val="both"/>
        <w:rPr>
          <w:rFonts w:ascii="Verdana" w:hAnsi="Verdana"/>
          <w:b/>
          <w:i/>
          <w:sz w:val="20"/>
          <w:szCs w:val="20"/>
        </w:rPr>
      </w:pPr>
      <w:r>
        <w:rPr>
          <w:rFonts w:ascii="Verdana" w:hAnsi="Verdana"/>
          <w:b/>
          <w:i/>
          <w:sz w:val="20"/>
          <w:szCs w:val="20"/>
        </w:rPr>
        <w:t>E</w:t>
      </w:r>
      <w:r w:rsidR="00A74915" w:rsidRPr="00606305">
        <w:rPr>
          <w:rFonts w:ascii="Verdana" w:hAnsi="Verdana"/>
          <w:b/>
          <w:i/>
          <w:sz w:val="20"/>
          <w:szCs w:val="20"/>
        </w:rPr>
        <w:t xml:space="preserve">) </w:t>
      </w:r>
      <w:r w:rsidR="00F22AD2">
        <w:rPr>
          <w:rFonts w:ascii="Verdana" w:hAnsi="Verdana"/>
          <w:b/>
          <w:i/>
          <w:sz w:val="20"/>
          <w:szCs w:val="20"/>
        </w:rPr>
        <w:t>M</w:t>
      </w:r>
      <w:r w:rsidR="00A74915">
        <w:rPr>
          <w:rFonts w:ascii="Verdana" w:hAnsi="Verdana"/>
          <w:b/>
          <w:i/>
          <w:sz w:val="20"/>
          <w:szCs w:val="20"/>
        </w:rPr>
        <w:t>edidas</w:t>
      </w:r>
      <w:r w:rsidR="00041C6F">
        <w:rPr>
          <w:rFonts w:ascii="Verdana" w:hAnsi="Verdana"/>
          <w:b/>
          <w:i/>
          <w:sz w:val="20"/>
          <w:szCs w:val="20"/>
        </w:rPr>
        <w:t xml:space="preserve"> a favor de las </w:t>
      </w:r>
      <w:r w:rsidR="00B72160">
        <w:rPr>
          <w:rFonts w:ascii="Verdana" w:hAnsi="Verdana"/>
          <w:b/>
          <w:i/>
          <w:sz w:val="20"/>
          <w:szCs w:val="20"/>
        </w:rPr>
        <w:t>siete</w:t>
      </w:r>
      <w:r w:rsidR="005423F7">
        <w:rPr>
          <w:rFonts w:ascii="Verdana" w:hAnsi="Verdana"/>
          <w:b/>
          <w:i/>
          <w:sz w:val="20"/>
          <w:szCs w:val="20"/>
        </w:rPr>
        <w:t xml:space="preserve"> </w:t>
      </w:r>
      <w:r w:rsidR="00041C6F">
        <w:rPr>
          <w:rFonts w:ascii="Verdana" w:hAnsi="Verdana"/>
          <w:b/>
          <w:i/>
          <w:sz w:val="20"/>
          <w:szCs w:val="20"/>
        </w:rPr>
        <w:t>personas beneficiarias que se encuentran fuera del territorio mexicano</w:t>
      </w:r>
    </w:p>
    <w:p w14:paraId="10C970F4" w14:textId="77777777" w:rsidR="00787906" w:rsidRDefault="00787906" w:rsidP="00A74915">
      <w:pPr>
        <w:ind w:left="720"/>
        <w:jc w:val="both"/>
        <w:rPr>
          <w:rFonts w:ascii="Verdana" w:hAnsi="Verdana"/>
          <w:b/>
          <w:i/>
          <w:sz w:val="20"/>
          <w:szCs w:val="20"/>
        </w:rPr>
      </w:pPr>
    </w:p>
    <w:p w14:paraId="27FA7A7B" w14:textId="77B5FE69" w:rsidR="00A74915" w:rsidRDefault="00A74915" w:rsidP="00041C6F">
      <w:pPr>
        <w:jc w:val="both"/>
        <w:rPr>
          <w:rFonts w:ascii="Verdana" w:eastAsia="Times New Roman" w:hAnsi="Verdana"/>
          <w:i/>
          <w:sz w:val="20"/>
          <w:szCs w:val="20"/>
        </w:rPr>
      </w:pPr>
      <w:r>
        <w:rPr>
          <w:rFonts w:ascii="Verdana" w:hAnsi="Verdana"/>
          <w:b/>
          <w:i/>
          <w:sz w:val="20"/>
          <w:szCs w:val="20"/>
        </w:rPr>
        <w:t xml:space="preserve"> </w:t>
      </w:r>
      <w:r w:rsidR="00787906" w:rsidRPr="000A6D9C">
        <w:rPr>
          <w:rFonts w:ascii="Verdana" w:eastAsia="Times New Roman" w:hAnsi="Verdana"/>
          <w:i/>
          <w:sz w:val="20"/>
          <w:szCs w:val="20"/>
        </w:rPr>
        <w:t>Observaciones de la Comisión y de las partes</w:t>
      </w:r>
    </w:p>
    <w:p w14:paraId="1BEDE727" w14:textId="77777777" w:rsidR="00787906" w:rsidRDefault="00787906" w:rsidP="00041C6F">
      <w:pPr>
        <w:jc w:val="both"/>
        <w:rPr>
          <w:rFonts w:ascii="Verdana" w:hAnsi="Verdana"/>
          <w:b/>
          <w:i/>
          <w:sz w:val="20"/>
          <w:szCs w:val="20"/>
        </w:rPr>
      </w:pPr>
    </w:p>
    <w:p w14:paraId="62DADD9B" w14:textId="6BA1150B" w:rsidR="00041C6F" w:rsidRDefault="00056BDF" w:rsidP="008D3818">
      <w:pPr>
        <w:numPr>
          <w:ilvl w:val="0"/>
          <w:numId w:val="19"/>
        </w:numPr>
        <w:autoSpaceDE w:val="0"/>
        <w:autoSpaceDN w:val="0"/>
        <w:adjustRightInd w:val="0"/>
        <w:ind w:left="0" w:right="19" w:firstLine="0"/>
        <w:jc w:val="both"/>
        <w:rPr>
          <w:rFonts w:ascii="Verdana" w:hAnsi="Verdana"/>
          <w:sz w:val="20"/>
          <w:lang w:val="es-CR"/>
        </w:rPr>
      </w:pPr>
      <w:r>
        <w:rPr>
          <w:rFonts w:ascii="Verdana" w:hAnsi="Verdana" w:cs="Arial"/>
          <w:sz w:val="20"/>
          <w:szCs w:val="20"/>
        </w:rPr>
        <w:t>Con</w:t>
      </w:r>
      <w:r w:rsidR="007B3CC8">
        <w:rPr>
          <w:rFonts w:ascii="Verdana" w:hAnsi="Verdana" w:cs="Arial"/>
          <w:sz w:val="20"/>
          <w:szCs w:val="20"/>
        </w:rPr>
        <w:t xml:space="preserve"> relación a los </w:t>
      </w:r>
      <w:r w:rsidR="00B72160">
        <w:rPr>
          <w:rFonts w:ascii="Verdana" w:hAnsi="Verdana" w:cs="Arial"/>
          <w:sz w:val="20"/>
          <w:szCs w:val="20"/>
        </w:rPr>
        <w:t>siete</w:t>
      </w:r>
      <w:r w:rsidR="000A6D9C">
        <w:rPr>
          <w:rFonts w:ascii="Verdana" w:hAnsi="Verdana" w:cs="Arial"/>
          <w:sz w:val="20"/>
          <w:szCs w:val="20"/>
        </w:rPr>
        <w:t xml:space="preserve"> </w:t>
      </w:r>
      <w:r w:rsidR="007B3CC8">
        <w:rPr>
          <w:rFonts w:ascii="Verdana" w:hAnsi="Verdana" w:cs="Arial"/>
          <w:sz w:val="20"/>
          <w:szCs w:val="20"/>
        </w:rPr>
        <w:t>beneficiarios que se encuentran fuera del territorio mexicano</w:t>
      </w:r>
      <w:r w:rsidR="000A6D9C">
        <w:rPr>
          <w:rFonts w:ascii="Verdana" w:hAnsi="Verdana" w:cs="Arial"/>
          <w:sz w:val="20"/>
          <w:szCs w:val="20"/>
        </w:rPr>
        <w:t xml:space="preserve"> y que forman parte del núcleo familiar de </w:t>
      </w:r>
      <w:proofErr w:type="spellStart"/>
      <w:r w:rsidR="000A6D9C">
        <w:rPr>
          <w:rFonts w:ascii="Verdana" w:hAnsi="Verdana" w:cs="Arial"/>
          <w:sz w:val="20"/>
          <w:szCs w:val="20"/>
        </w:rPr>
        <w:t>Nitza</w:t>
      </w:r>
      <w:proofErr w:type="spellEnd"/>
      <w:r w:rsidR="000A6D9C">
        <w:rPr>
          <w:rFonts w:ascii="Verdana" w:hAnsi="Verdana" w:cs="Arial"/>
          <w:sz w:val="20"/>
          <w:szCs w:val="20"/>
        </w:rPr>
        <w:t xml:space="preserve"> Paola Alvarado</w:t>
      </w:r>
      <w:r w:rsidR="007B3CC8">
        <w:rPr>
          <w:rFonts w:ascii="Verdana" w:hAnsi="Verdana" w:cs="Arial"/>
          <w:sz w:val="20"/>
          <w:szCs w:val="20"/>
        </w:rPr>
        <w:t>, e</w:t>
      </w:r>
      <w:r w:rsidR="00041C6F" w:rsidRPr="00041C6F">
        <w:rPr>
          <w:rFonts w:ascii="Verdana" w:hAnsi="Verdana" w:cs="Arial"/>
          <w:sz w:val="20"/>
          <w:szCs w:val="20"/>
          <w:lang w:val="es-MX"/>
        </w:rPr>
        <w:t xml:space="preserve">l </w:t>
      </w:r>
      <w:r w:rsidR="00041C6F" w:rsidRPr="00041C6F">
        <w:rPr>
          <w:rFonts w:ascii="Verdana" w:hAnsi="Verdana" w:cs="Arial"/>
          <w:b/>
          <w:i/>
          <w:sz w:val="20"/>
          <w:szCs w:val="20"/>
          <w:lang w:val="es-MX"/>
        </w:rPr>
        <w:t xml:space="preserve">Estado </w:t>
      </w:r>
      <w:r w:rsidR="00041C6F" w:rsidRPr="00041C6F">
        <w:rPr>
          <w:rFonts w:ascii="Verdana" w:hAnsi="Verdana" w:cs="Arial"/>
          <w:sz w:val="20"/>
          <w:szCs w:val="20"/>
          <w:lang w:val="es-MX"/>
        </w:rPr>
        <w:t xml:space="preserve">manifestó </w:t>
      </w:r>
      <w:r w:rsidR="000A6D9C">
        <w:rPr>
          <w:rFonts w:ascii="Verdana" w:hAnsi="Verdana" w:cs="Arial"/>
          <w:sz w:val="20"/>
          <w:szCs w:val="20"/>
          <w:lang w:val="es-MX"/>
        </w:rPr>
        <w:t xml:space="preserve">el 10 de diciembre de 2015, </w:t>
      </w:r>
      <w:r w:rsidR="007B3CC8">
        <w:rPr>
          <w:rFonts w:ascii="Verdana" w:hAnsi="Verdana"/>
          <w:sz w:val="20"/>
          <w:lang w:val="es-CR"/>
        </w:rPr>
        <w:t>que</w:t>
      </w:r>
      <w:r w:rsidR="00041C6F" w:rsidRPr="00041C6F">
        <w:rPr>
          <w:rFonts w:ascii="Verdana" w:hAnsi="Verdana"/>
          <w:sz w:val="20"/>
          <w:lang w:val="es-CR"/>
        </w:rPr>
        <w:t xml:space="preserve"> las medidas de asistencia consular que</w:t>
      </w:r>
      <w:r w:rsidR="008D3818">
        <w:rPr>
          <w:rFonts w:ascii="Verdana" w:hAnsi="Verdana"/>
          <w:sz w:val="20"/>
          <w:lang w:val="es-CR"/>
        </w:rPr>
        <w:t xml:space="preserve"> </w:t>
      </w:r>
      <w:r w:rsidR="00041C6F" w:rsidRPr="00041C6F">
        <w:rPr>
          <w:rFonts w:ascii="Verdana" w:hAnsi="Verdana"/>
          <w:sz w:val="20"/>
          <w:lang w:val="es-CR"/>
        </w:rPr>
        <w:t>ha</w:t>
      </w:r>
      <w:r w:rsidR="000A6D9C">
        <w:rPr>
          <w:rFonts w:ascii="Verdana" w:hAnsi="Verdana"/>
          <w:sz w:val="20"/>
          <w:lang w:val="es-CR"/>
        </w:rPr>
        <w:t>n sido</w:t>
      </w:r>
      <w:r w:rsidR="00041C6F" w:rsidRPr="00041C6F">
        <w:rPr>
          <w:rFonts w:ascii="Verdana" w:hAnsi="Verdana"/>
          <w:sz w:val="20"/>
          <w:lang w:val="es-CR"/>
        </w:rPr>
        <w:t xml:space="preserve"> puest</w:t>
      </w:r>
      <w:r w:rsidR="000A6D9C">
        <w:rPr>
          <w:rFonts w:ascii="Verdana" w:hAnsi="Verdana"/>
          <w:sz w:val="20"/>
          <w:lang w:val="es-CR"/>
        </w:rPr>
        <w:t>as</w:t>
      </w:r>
      <w:r w:rsidR="00041C6F" w:rsidRPr="00041C6F">
        <w:rPr>
          <w:rFonts w:ascii="Verdana" w:hAnsi="Verdana"/>
          <w:sz w:val="20"/>
          <w:lang w:val="es-CR"/>
        </w:rPr>
        <w:t xml:space="preserve"> a disposición de </w:t>
      </w:r>
      <w:r w:rsidR="007B3CC8">
        <w:rPr>
          <w:rFonts w:ascii="Verdana" w:hAnsi="Verdana"/>
          <w:sz w:val="20"/>
          <w:lang w:val="es-CR"/>
        </w:rPr>
        <w:t>estos</w:t>
      </w:r>
      <w:r w:rsidR="000A6D9C">
        <w:rPr>
          <w:rFonts w:ascii="Verdana" w:hAnsi="Verdana"/>
          <w:sz w:val="20"/>
          <w:lang w:val="es-CR"/>
        </w:rPr>
        <w:t xml:space="preserve"> beneficiarios</w:t>
      </w:r>
      <w:r w:rsidR="00041C6F" w:rsidRPr="00041C6F">
        <w:rPr>
          <w:rFonts w:ascii="Verdana" w:hAnsi="Verdana"/>
          <w:sz w:val="20"/>
          <w:lang w:val="es-CR"/>
        </w:rPr>
        <w:t xml:space="preserve">, en el ámbito de sus competencias </w:t>
      </w:r>
      <w:r w:rsidR="000A6D9C">
        <w:rPr>
          <w:rFonts w:ascii="Verdana" w:hAnsi="Verdana"/>
          <w:sz w:val="20"/>
          <w:lang w:val="es-CR"/>
        </w:rPr>
        <w:t xml:space="preserve">y en tanto se encuentran fuera del territorio mexicano, </w:t>
      </w:r>
      <w:r w:rsidR="00041C6F" w:rsidRPr="00041C6F">
        <w:rPr>
          <w:rFonts w:ascii="Verdana" w:hAnsi="Verdana"/>
          <w:sz w:val="20"/>
          <w:lang w:val="es-CR"/>
        </w:rPr>
        <w:t xml:space="preserve">no han </w:t>
      </w:r>
      <w:r w:rsidR="007B3CC8">
        <w:rPr>
          <w:rFonts w:ascii="Verdana" w:hAnsi="Verdana"/>
          <w:sz w:val="20"/>
          <w:lang w:val="es-CR"/>
        </w:rPr>
        <w:t>sido solicitadas</w:t>
      </w:r>
      <w:r w:rsidR="00041C6F" w:rsidRPr="00041C6F">
        <w:rPr>
          <w:rFonts w:ascii="Verdana" w:hAnsi="Verdana"/>
          <w:sz w:val="20"/>
          <w:lang w:val="es-CR"/>
        </w:rPr>
        <w:t>.</w:t>
      </w:r>
      <w:r w:rsidR="008D3818">
        <w:rPr>
          <w:rFonts w:ascii="Verdana" w:hAnsi="Verdana"/>
          <w:sz w:val="20"/>
          <w:lang w:val="es-CR"/>
        </w:rPr>
        <w:t xml:space="preserve"> Asimismo, informó </w:t>
      </w:r>
      <w:r w:rsidR="000A6D9C">
        <w:rPr>
          <w:rFonts w:ascii="Verdana" w:hAnsi="Verdana"/>
          <w:sz w:val="20"/>
          <w:lang w:val="es-CR"/>
        </w:rPr>
        <w:t xml:space="preserve">el 26 de julio de 2017 </w:t>
      </w:r>
      <w:r w:rsidR="007B3CC8">
        <w:rPr>
          <w:rFonts w:ascii="Verdana" w:hAnsi="Verdana"/>
          <w:sz w:val="20"/>
          <w:lang w:val="es-CR"/>
        </w:rPr>
        <w:t>que respecto de</w:t>
      </w:r>
      <w:r w:rsidR="000A6D9C">
        <w:rPr>
          <w:rFonts w:ascii="Verdana" w:hAnsi="Verdana"/>
          <w:sz w:val="20"/>
          <w:lang w:val="es-CR"/>
        </w:rPr>
        <w:t xml:space="preserve"> estos beneficiarios</w:t>
      </w:r>
      <w:r w:rsidR="00D300F6">
        <w:rPr>
          <w:rFonts w:ascii="Verdana" w:hAnsi="Verdana"/>
          <w:sz w:val="20"/>
          <w:lang w:val="es-CR"/>
        </w:rPr>
        <w:t>,</w:t>
      </w:r>
      <w:r w:rsidR="008D3818" w:rsidRPr="008D3818">
        <w:rPr>
          <w:rFonts w:ascii="Verdana" w:hAnsi="Verdana"/>
          <w:sz w:val="20"/>
          <w:lang w:val="es-CR"/>
        </w:rPr>
        <w:t xml:space="preserve"> no fue posible otorgarle</w:t>
      </w:r>
      <w:r w:rsidR="008D3818">
        <w:rPr>
          <w:rFonts w:ascii="Verdana" w:hAnsi="Verdana"/>
          <w:sz w:val="20"/>
          <w:lang w:val="es-CR"/>
        </w:rPr>
        <w:t>s</w:t>
      </w:r>
      <w:r w:rsidR="008D3818" w:rsidRPr="008D3818">
        <w:rPr>
          <w:rFonts w:ascii="Verdana" w:hAnsi="Verdana"/>
          <w:sz w:val="20"/>
          <w:lang w:val="es-CR"/>
        </w:rPr>
        <w:t xml:space="preserve"> medidas de seguridad</w:t>
      </w:r>
      <w:r w:rsidR="008D3818">
        <w:rPr>
          <w:rFonts w:ascii="Verdana" w:hAnsi="Verdana"/>
          <w:sz w:val="20"/>
          <w:lang w:val="es-CR"/>
        </w:rPr>
        <w:t>, debido a</w:t>
      </w:r>
      <w:r w:rsidR="008D3818" w:rsidRPr="008D3818">
        <w:rPr>
          <w:rFonts w:ascii="Verdana" w:hAnsi="Verdana"/>
          <w:sz w:val="20"/>
          <w:lang w:val="es-CR"/>
        </w:rPr>
        <w:t xml:space="preserve"> que se encuentran fuera del territorio mexicano. </w:t>
      </w:r>
    </w:p>
    <w:p w14:paraId="6C575836" w14:textId="77777777" w:rsidR="00041C6F" w:rsidRPr="00041C6F" w:rsidRDefault="00041C6F" w:rsidP="00041C6F">
      <w:pPr>
        <w:autoSpaceDE w:val="0"/>
        <w:autoSpaceDN w:val="0"/>
        <w:adjustRightInd w:val="0"/>
        <w:ind w:right="19"/>
        <w:jc w:val="both"/>
        <w:rPr>
          <w:rFonts w:ascii="Verdana" w:hAnsi="Verdana"/>
          <w:sz w:val="20"/>
          <w:lang w:val="es-CR"/>
        </w:rPr>
      </w:pPr>
    </w:p>
    <w:p w14:paraId="516FD152" w14:textId="49E84786" w:rsidR="000211C7" w:rsidRPr="000211C7" w:rsidRDefault="00041C6F" w:rsidP="000211C7">
      <w:pPr>
        <w:pStyle w:val="ListParagraph"/>
        <w:numPr>
          <w:ilvl w:val="0"/>
          <w:numId w:val="19"/>
        </w:numPr>
        <w:ind w:left="0" w:firstLine="0"/>
        <w:jc w:val="both"/>
        <w:rPr>
          <w:rFonts w:ascii="Verdana" w:hAnsi="Verdana"/>
          <w:sz w:val="20"/>
          <w:lang w:val="es-CR"/>
        </w:rPr>
      </w:pPr>
      <w:r>
        <w:rPr>
          <w:rFonts w:ascii="Verdana" w:hAnsi="Verdana"/>
          <w:sz w:val="20"/>
          <w:lang w:val="es-CR"/>
        </w:rPr>
        <w:t xml:space="preserve">Por su parte, los </w:t>
      </w:r>
      <w:r>
        <w:rPr>
          <w:rFonts w:ascii="Verdana" w:hAnsi="Verdana"/>
          <w:b/>
          <w:i/>
          <w:sz w:val="20"/>
          <w:lang w:val="es-CR"/>
        </w:rPr>
        <w:t>representantes</w:t>
      </w:r>
      <w:r w:rsidRPr="00041C6F">
        <w:rPr>
          <w:rFonts w:ascii="Verdana" w:hAnsi="Verdana"/>
          <w:sz w:val="20"/>
          <w:lang w:val="es-CR"/>
        </w:rPr>
        <w:t xml:space="preserve"> </w:t>
      </w:r>
      <w:r w:rsidR="000211C7">
        <w:rPr>
          <w:rFonts w:ascii="Verdana" w:hAnsi="Verdana"/>
          <w:sz w:val="20"/>
          <w:lang w:val="es-CR"/>
        </w:rPr>
        <w:t>manifestaron qu</w:t>
      </w:r>
      <w:r w:rsidRPr="000211C7">
        <w:rPr>
          <w:rFonts w:ascii="Verdana" w:hAnsi="Verdana"/>
          <w:sz w:val="20"/>
          <w:lang w:val="es-CR"/>
        </w:rPr>
        <w:t>e</w:t>
      </w:r>
      <w:r w:rsidR="000211C7">
        <w:rPr>
          <w:rFonts w:ascii="Verdana" w:hAnsi="Verdana"/>
          <w:sz w:val="20"/>
          <w:lang w:val="es-CR"/>
        </w:rPr>
        <w:t xml:space="preserve"> e</w:t>
      </w:r>
      <w:r w:rsidRPr="000211C7">
        <w:rPr>
          <w:rFonts w:ascii="Verdana" w:hAnsi="Verdana"/>
          <w:sz w:val="20"/>
          <w:lang w:val="es-CR"/>
        </w:rPr>
        <w:t>n la reunión del 10 de junio de 2015, se solicitó a la titular de la Unidad para la Defensa de Derechos Humanos (UDDH), institución encargada de coordinar la implementación de las presentes medidas, que se considera</w:t>
      </w:r>
      <w:r w:rsidR="002B520A">
        <w:rPr>
          <w:rFonts w:ascii="Verdana" w:hAnsi="Verdana"/>
          <w:sz w:val="20"/>
          <w:lang w:val="es-CR"/>
        </w:rPr>
        <w:t>ra</w:t>
      </w:r>
      <w:r w:rsidRPr="000211C7">
        <w:rPr>
          <w:rFonts w:ascii="Verdana" w:hAnsi="Verdana"/>
          <w:sz w:val="20"/>
          <w:lang w:val="es-CR"/>
        </w:rPr>
        <w:t xml:space="preserve"> la posibilidad de dar seguimiento a </w:t>
      </w:r>
      <w:r w:rsidR="000211C7">
        <w:rPr>
          <w:rFonts w:ascii="Verdana" w:hAnsi="Verdana"/>
          <w:sz w:val="20"/>
          <w:lang w:val="es-CR"/>
        </w:rPr>
        <w:t xml:space="preserve">la petición de los representantes respecto de </w:t>
      </w:r>
      <w:r w:rsidR="000211C7" w:rsidRPr="000211C7">
        <w:rPr>
          <w:rFonts w:ascii="Verdana" w:hAnsi="Verdana"/>
          <w:sz w:val="20"/>
          <w:lang w:val="es-CR"/>
        </w:rPr>
        <w:t xml:space="preserve">otras acciones que resultarían en un beneficio para las hijas de </w:t>
      </w:r>
      <w:proofErr w:type="spellStart"/>
      <w:r w:rsidR="000211C7" w:rsidRPr="000211C7">
        <w:rPr>
          <w:rFonts w:ascii="Verdana" w:hAnsi="Verdana"/>
          <w:sz w:val="20"/>
          <w:lang w:val="es-CR"/>
        </w:rPr>
        <w:t>Nitza</w:t>
      </w:r>
      <w:proofErr w:type="spellEnd"/>
      <w:r w:rsidR="000211C7" w:rsidRPr="000211C7">
        <w:rPr>
          <w:rFonts w:ascii="Verdana" w:hAnsi="Verdana"/>
          <w:sz w:val="20"/>
          <w:lang w:val="es-CR"/>
        </w:rPr>
        <w:t xml:space="preserve"> Paola y otros familiares</w:t>
      </w:r>
      <w:r w:rsidR="008E7740">
        <w:rPr>
          <w:rFonts w:ascii="Verdana" w:hAnsi="Verdana"/>
          <w:sz w:val="20"/>
          <w:lang w:val="es-CR"/>
        </w:rPr>
        <w:t xml:space="preserve"> que se encuentran fuera del territorio mexicano</w:t>
      </w:r>
      <w:r w:rsidR="000211C7" w:rsidRPr="000211C7">
        <w:rPr>
          <w:rFonts w:ascii="Verdana" w:hAnsi="Verdana"/>
          <w:sz w:val="20"/>
          <w:lang w:val="es-CR"/>
        </w:rPr>
        <w:t xml:space="preserve">, las cuales </w:t>
      </w:r>
      <w:r w:rsidR="000211C7">
        <w:rPr>
          <w:rFonts w:ascii="Verdana" w:hAnsi="Verdana"/>
          <w:sz w:val="20"/>
          <w:lang w:val="es-CR"/>
        </w:rPr>
        <w:t>a su parecer podrían</w:t>
      </w:r>
      <w:r w:rsidR="000211C7" w:rsidRPr="000211C7">
        <w:rPr>
          <w:rFonts w:ascii="Verdana" w:hAnsi="Verdana"/>
          <w:sz w:val="20"/>
          <w:lang w:val="es-CR"/>
        </w:rPr>
        <w:t xml:space="preserve"> impulsarse con independencia del luga</w:t>
      </w:r>
      <w:r w:rsidR="000211C7">
        <w:rPr>
          <w:rFonts w:ascii="Verdana" w:hAnsi="Verdana"/>
          <w:sz w:val="20"/>
          <w:lang w:val="es-CR"/>
        </w:rPr>
        <w:t>r en el que se encuentren éstos</w:t>
      </w:r>
      <w:r w:rsidRPr="000211C7">
        <w:rPr>
          <w:rFonts w:ascii="Verdana" w:hAnsi="Verdana"/>
          <w:sz w:val="20"/>
          <w:lang w:val="es-CR"/>
        </w:rPr>
        <w:t>,</w:t>
      </w:r>
      <w:r w:rsidR="000211C7">
        <w:rPr>
          <w:rFonts w:ascii="Verdana" w:hAnsi="Verdana"/>
          <w:sz w:val="20"/>
          <w:lang w:val="es-CR"/>
        </w:rPr>
        <w:t xml:space="preserve"> e indicaron </w:t>
      </w:r>
      <w:r w:rsidRPr="000211C7">
        <w:rPr>
          <w:rFonts w:ascii="Verdana" w:hAnsi="Verdana"/>
          <w:sz w:val="20"/>
          <w:lang w:val="es-CR"/>
        </w:rPr>
        <w:t>que</w:t>
      </w:r>
      <w:r w:rsidR="000211C7">
        <w:rPr>
          <w:rFonts w:ascii="Verdana" w:hAnsi="Verdana"/>
          <w:sz w:val="20"/>
          <w:lang w:val="es-CR"/>
        </w:rPr>
        <w:t xml:space="preserve"> se llegó al acuerdo de que la t</w:t>
      </w:r>
      <w:r w:rsidRPr="000211C7">
        <w:rPr>
          <w:rFonts w:ascii="Verdana" w:hAnsi="Verdana"/>
          <w:sz w:val="20"/>
          <w:lang w:val="es-CR"/>
        </w:rPr>
        <w:t>itular informaría sobr</w:t>
      </w:r>
      <w:r w:rsidR="000211C7">
        <w:rPr>
          <w:rFonts w:ascii="Verdana" w:hAnsi="Verdana"/>
          <w:sz w:val="20"/>
          <w:lang w:val="es-CR"/>
        </w:rPr>
        <w:t xml:space="preserve">e la viabilidad de la solicitud. Sin embargo, destacaron que no ha recibido </w:t>
      </w:r>
      <w:r w:rsidRPr="000211C7">
        <w:rPr>
          <w:rFonts w:ascii="Verdana" w:hAnsi="Verdana"/>
          <w:sz w:val="20"/>
          <w:lang w:val="es-CR"/>
        </w:rPr>
        <w:t>más información</w:t>
      </w:r>
      <w:r w:rsidR="000211C7">
        <w:rPr>
          <w:rFonts w:ascii="Verdana" w:hAnsi="Verdana"/>
          <w:sz w:val="20"/>
          <w:lang w:val="es-CR"/>
        </w:rPr>
        <w:t xml:space="preserve"> al respecto</w:t>
      </w:r>
      <w:r w:rsidRPr="000211C7">
        <w:rPr>
          <w:rFonts w:ascii="Verdana" w:hAnsi="Verdana"/>
          <w:sz w:val="20"/>
          <w:lang w:val="es-CR"/>
        </w:rPr>
        <w:t xml:space="preserve">. </w:t>
      </w:r>
    </w:p>
    <w:p w14:paraId="1B2666F3" w14:textId="77777777" w:rsidR="000211C7" w:rsidRDefault="000211C7" w:rsidP="000211C7">
      <w:pPr>
        <w:jc w:val="both"/>
        <w:rPr>
          <w:rFonts w:ascii="Verdana" w:hAnsi="Verdana"/>
          <w:sz w:val="20"/>
          <w:lang w:val="es-CR"/>
        </w:rPr>
      </w:pPr>
    </w:p>
    <w:p w14:paraId="720B3114" w14:textId="08493BB3" w:rsidR="000211C7" w:rsidRPr="008E7740" w:rsidRDefault="000211C7" w:rsidP="008747D5">
      <w:pPr>
        <w:pStyle w:val="ListParagraph"/>
        <w:numPr>
          <w:ilvl w:val="0"/>
          <w:numId w:val="19"/>
        </w:numPr>
        <w:tabs>
          <w:tab w:val="left" w:pos="0"/>
        </w:tabs>
        <w:ind w:left="0" w:firstLine="0"/>
        <w:jc w:val="both"/>
        <w:rPr>
          <w:rFonts w:ascii="Verdana" w:hAnsi="Verdana"/>
          <w:sz w:val="20"/>
          <w:lang w:val="es-CR"/>
        </w:rPr>
      </w:pPr>
      <w:r w:rsidRPr="008E7740">
        <w:rPr>
          <w:rFonts w:ascii="Verdana" w:hAnsi="Verdana"/>
          <w:sz w:val="20"/>
          <w:lang w:val="es-CR"/>
        </w:rPr>
        <w:t xml:space="preserve">La </w:t>
      </w:r>
      <w:r w:rsidRPr="008E7740">
        <w:rPr>
          <w:rFonts w:ascii="Verdana" w:hAnsi="Verdana"/>
          <w:b/>
          <w:i/>
          <w:sz w:val="20"/>
          <w:lang w:val="es-CR"/>
        </w:rPr>
        <w:t>Comisión</w:t>
      </w:r>
      <w:r w:rsidRPr="008E7740">
        <w:rPr>
          <w:rFonts w:ascii="Verdana" w:hAnsi="Verdana"/>
          <w:sz w:val="20"/>
          <w:lang w:val="es-CR"/>
        </w:rPr>
        <w:t xml:space="preserve"> </w:t>
      </w:r>
      <w:r w:rsidR="008E7740" w:rsidRPr="008E7740">
        <w:rPr>
          <w:rFonts w:ascii="Verdana" w:hAnsi="Verdana"/>
          <w:sz w:val="20"/>
          <w:lang w:val="es-CR"/>
        </w:rPr>
        <w:t>observó</w:t>
      </w:r>
      <w:r w:rsidR="00F22AD2">
        <w:rPr>
          <w:rFonts w:ascii="Verdana" w:hAnsi="Verdana"/>
          <w:sz w:val="20"/>
          <w:lang w:val="es-CR"/>
        </w:rPr>
        <w:t xml:space="preserve"> </w:t>
      </w:r>
      <w:r w:rsidR="008E7740" w:rsidRPr="008E7740">
        <w:rPr>
          <w:rFonts w:ascii="Verdana" w:hAnsi="Verdana"/>
          <w:sz w:val="20"/>
          <w:lang w:val="es-CR"/>
        </w:rPr>
        <w:t xml:space="preserve">que el Estado señaló que </w:t>
      </w:r>
      <w:r w:rsidR="002B520A">
        <w:rPr>
          <w:rFonts w:ascii="Verdana" w:hAnsi="Verdana"/>
          <w:sz w:val="20"/>
          <w:lang w:val="es-CR"/>
        </w:rPr>
        <w:t>estos</w:t>
      </w:r>
      <w:r w:rsidR="008E7740" w:rsidRPr="008E7740">
        <w:rPr>
          <w:rFonts w:ascii="Verdana" w:hAnsi="Verdana"/>
          <w:sz w:val="20"/>
          <w:lang w:val="es-CR"/>
        </w:rPr>
        <w:t xml:space="preserve"> beneficiarios no han solicitado las medidas detalladas en el informe estatal de 16 de enero de 2015. Respecto de esta información, mencionó que los representantes reiteraron la importancia de que, entre otras </w:t>
      </w:r>
      <w:r w:rsidR="008E7740" w:rsidRPr="008E7740">
        <w:rPr>
          <w:rFonts w:ascii="Verdana" w:hAnsi="Verdana"/>
          <w:sz w:val="20"/>
          <w:lang w:val="es-CR"/>
        </w:rPr>
        <w:lastRenderedPageBreak/>
        <w:t>medidas, se genere un mecanismo extraordinario para favorecer una vivienda y servicios de subsistencia a los beneficiarios que se han desplazado a otro país en búsqueda de mejores condiciones de seguridad. En este sentido, la Comisión resaltó que de los informes estatales no se desprenden esfuerzos ad</w:t>
      </w:r>
      <w:r w:rsidR="008E7740">
        <w:rPr>
          <w:rFonts w:ascii="Verdana" w:hAnsi="Verdana"/>
          <w:sz w:val="20"/>
          <w:lang w:val="es-CR"/>
        </w:rPr>
        <w:t>icionales para brindar medidas de protección a estos beneficiarios</w:t>
      </w:r>
      <w:r w:rsidRPr="008E7740">
        <w:rPr>
          <w:rFonts w:ascii="Verdana" w:hAnsi="Verdana"/>
          <w:sz w:val="20"/>
          <w:lang w:val="es-CR"/>
        </w:rPr>
        <w:t xml:space="preserve">. </w:t>
      </w:r>
    </w:p>
    <w:p w14:paraId="555AF228" w14:textId="77777777" w:rsidR="00787906" w:rsidRDefault="00787906" w:rsidP="00787906">
      <w:pPr>
        <w:autoSpaceDE w:val="0"/>
        <w:autoSpaceDN w:val="0"/>
        <w:adjustRightInd w:val="0"/>
        <w:ind w:right="19"/>
        <w:jc w:val="both"/>
        <w:rPr>
          <w:rFonts w:ascii="Verdana" w:hAnsi="Verdana"/>
          <w:i/>
          <w:sz w:val="20"/>
          <w:szCs w:val="20"/>
          <w:lang w:val="es-MX"/>
        </w:rPr>
      </w:pPr>
    </w:p>
    <w:p w14:paraId="4D6F251A" w14:textId="77777777" w:rsidR="00787906" w:rsidRPr="00787906" w:rsidRDefault="00787906" w:rsidP="00787906">
      <w:pPr>
        <w:autoSpaceDE w:val="0"/>
        <w:autoSpaceDN w:val="0"/>
        <w:adjustRightInd w:val="0"/>
        <w:ind w:right="19"/>
        <w:jc w:val="both"/>
        <w:rPr>
          <w:rFonts w:ascii="Verdana" w:hAnsi="Verdana"/>
          <w:i/>
          <w:sz w:val="20"/>
          <w:szCs w:val="20"/>
          <w:lang w:val="es-MX"/>
        </w:rPr>
      </w:pPr>
      <w:r w:rsidRPr="00787906">
        <w:rPr>
          <w:rFonts w:ascii="Verdana" w:hAnsi="Verdana"/>
          <w:i/>
          <w:sz w:val="20"/>
          <w:szCs w:val="20"/>
          <w:lang w:val="es-MX"/>
        </w:rPr>
        <w:t xml:space="preserve">Consideraciones de la Corte </w:t>
      </w:r>
    </w:p>
    <w:p w14:paraId="47A53597" w14:textId="77777777" w:rsidR="00D300F6" w:rsidRDefault="00D300F6" w:rsidP="00787906">
      <w:pPr>
        <w:pStyle w:val="ListParagraph"/>
        <w:ind w:left="0"/>
        <w:jc w:val="both"/>
        <w:rPr>
          <w:rFonts w:ascii="Verdana" w:hAnsi="Verdana"/>
          <w:sz w:val="20"/>
          <w:lang w:val="es-CR"/>
        </w:rPr>
      </w:pPr>
    </w:p>
    <w:p w14:paraId="4A4298E4" w14:textId="5A62CF4E" w:rsidR="00C94AF0" w:rsidRDefault="008E7740" w:rsidP="008747D5">
      <w:pPr>
        <w:pStyle w:val="Default"/>
        <w:numPr>
          <w:ilvl w:val="0"/>
          <w:numId w:val="19"/>
        </w:numPr>
        <w:ind w:left="0" w:right="19" w:firstLine="0"/>
        <w:jc w:val="both"/>
        <w:rPr>
          <w:rFonts w:cs="Arial"/>
          <w:sz w:val="20"/>
          <w:szCs w:val="20"/>
          <w:lang w:val="es-MX"/>
        </w:rPr>
      </w:pPr>
      <w:r w:rsidRPr="00B72160">
        <w:rPr>
          <w:rFonts w:cs="Arial"/>
          <w:sz w:val="20"/>
          <w:szCs w:val="20"/>
          <w:lang w:val="es-MX"/>
        </w:rPr>
        <w:t xml:space="preserve">La </w:t>
      </w:r>
      <w:r w:rsidRPr="00B72160">
        <w:rPr>
          <w:rFonts w:cs="Arial"/>
          <w:b/>
          <w:i/>
          <w:sz w:val="20"/>
          <w:szCs w:val="20"/>
          <w:lang w:val="es-MX"/>
        </w:rPr>
        <w:t xml:space="preserve">Corte </w:t>
      </w:r>
      <w:r w:rsidRPr="00B72160">
        <w:rPr>
          <w:rFonts w:cs="Arial"/>
          <w:sz w:val="20"/>
          <w:szCs w:val="20"/>
          <w:lang w:val="es-MX"/>
        </w:rPr>
        <w:t xml:space="preserve">recuerda que en su Resolución de 23 de junio de 2015 constató que la situación que llevó a los siete beneficiarios a solicitar asilo en los Estados Unidos fue producto del riesgo al que se encontraban expuestos en su territorio y que, en similar sentido a lo señalado </w:t>
      </w:r>
      <w:r w:rsidR="00056BDF">
        <w:rPr>
          <w:rFonts w:cs="Arial"/>
          <w:sz w:val="20"/>
          <w:szCs w:val="20"/>
          <w:lang w:val="es-MX"/>
        </w:rPr>
        <w:t xml:space="preserve">por </w:t>
      </w:r>
      <w:r w:rsidRPr="00B72160">
        <w:rPr>
          <w:rFonts w:cs="Arial"/>
          <w:sz w:val="20"/>
          <w:szCs w:val="20"/>
          <w:lang w:val="es-MX"/>
        </w:rPr>
        <w:t>la Comisión, el desplazamiento de los beneficiarios fue producto de la ausencia de resultados concretos que permitieran mitigar el riesgo padecido al momento de solicitar el asilo</w:t>
      </w:r>
      <w:r w:rsidR="00C94AF0">
        <w:rPr>
          <w:rStyle w:val="FootnoteReference"/>
          <w:lang w:val="es-MX"/>
        </w:rPr>
        <w:footnoteReference w:id="15"/>
      </w:r>
      <w:r w:rsidRPr="00B72160">
        <w:rPr>
          <w:rFonts w:cs="Arial"/>
          <w:sz w:val="20"/>
          <w:szCs w:val="20"/>
          <w:lang w:val="es-MX"/>
        </w:rPr>
        <w:t>.</w:t>
      </w:r>
      <w:r w:rsidR="00B72160">
        <w:rPr>
          <w:rFonts w:cs="Arial"/>
          <w:sz w:val="20"/>
          <w:szCs w:val="20"/>
          <w:lang w:val="es-MX"/>
        </w:rPr>
        <w:t xml:space="preserve"> </w:t>
      </w:r>
    </w:p>
    <w:p w14:paraId="5DB54975" w14:textId="77777777" w:rsidR="00C94AF0" w:rsidRDefault="00C94AF0" w:rsidP="008747D5">
      <w:pPr>
        <w:pStyle w:val="Default"/>
        <w:ind w:right="19"/>
        <w:jc w:val="both"/>
        <w:rPr>
          <w:rFonts w:cs="Arial"/>
          <w:sz w:val="20"/>
          <w:szCs w:val="20"/>
          <w:lang w:val="es-MX"/>
        </w:rPr>
      </w:pPr>
    </w:p>
    <w:p w14:paraId="7AAD82F0" w14:textId="1BB7C39F" w:rsidR="00D340A0" w:rsidRPr="00B72160" w:rsidRDefault="00C94AF0" w:rsidP="008747D5">
      <w:pPr>
        <w:pStyle w:val="Default"/>
        <w:numPr>
          <w:ilvl w:val="0"/>
          <w:numId w:val="19"/>
        </w:numPr>
        <w:ind w:left="0" w:right="19" w:firstLine="0"/>
        <w:jc w:val="both"/>
        <w:rPr>
          <w:rFonts w:cs="Arial"/>
          <w:sz w:val="20"/>
          <w:szCs w:val="20"/>
          <w:lang w:val="es-MX"/>
        </w:rPr>
      </w:pPr>
      <w:r>
        <w:rPr>
          <w:rFonts w:cs="Arial"/>
          <w:sz w:val="20"/>
          <w:szCs w:val="20"/>
          <w:lang w:val="es-MX"/>
        </w:rPr>
        <w:t>Por lo tanto</w:t>
      </w:r>
      <w:r w:rsidR="00B72160">
        <w:rPr>
          <w:rFonts w:cs="Arial"/>
          <w:sz w:val="20"/>
          <w:szCs w:val="20"/>
          <w:lang w:val="es-MX"/>
        </w:rPr>
        <w:t>, e</w:t>
      </w:r>
      <w:r>
        <w:rPr>
          <w:rFonts w:cs="Arial"/>
          <w:sz w:val="20"/>
          <w:szCs w:val="20"/>
          <w:lang w:val="es-MX"/>
        </w:rPr>
        <w:t xml:space="preserve">l Tribunal </w:t>
      </w:r>
      <w:r w:rsidR="00B72160">
        <w:rPr>
          <w:rFonts w:cs="Arial"/>
          <w:sz w:val="20"/>
          <w:szCs w:val="20"/>
          <w:lang w:val="es-MX"/>
        </w:rPr>
        <w:t xml:space="preserve">reitera </w:t>
      </w:r>
      <w:r>
        <w:rPr>
          <w:rFonts w:cs="Arial"/>
          <w:sz w:val="20"/>
          <w:szCs w:val="20"/>
          <w:lang w:val="es-MX"/>
        </w:rPr>
        <w:t>que el mantenimiento de las medidas de protección a favor de los siete beneficiarios que se encuentran fuera del territorio mexicano, se encuentra</w:t>
      </w:r>
      <w:r w:rsidR="002B520A">
        <w:rPr>
          <w:rFonts w:cs="Arial"/>
          <w:sz w:val="20"/>
          <w:szCs w:val="20"/>
          <w:lang w:val="es-MX"/>
        </w:rPr>
        <w:t xml:space="preserve"> supeditado</w:t>
      </w:r>
      <w:r>
        <w:rPr>
          <w:rFonts w:cs="Arial"/>
          <w:sz w:val="20"/>
          <w:szCs w:val="20"/>
          <w:lang w:val="es-MX"/>
        </w:rPr>
        <w:t xml:space="preserve"> a que se actualicen con la presencia de cualquiera de estos beneficiarios en el territorio mexicano bajo jurisdicción del Estado</w:t>
      </w:r>
      <w:r w:rsidR="00B72160">
        <w:rPr>
          <w:rFonts w:cs="Arial"/>
          <w:sz w:val="20"/>
          <w:szCs w:val="20"/>
          <w:lang w:val="es-MX"/>
        </w:rPr>
        <w:t xml:space="preserve">. </w:t>
      </w:r>
      <w:r w:rsidRPr="00B72160">
        <w:rPr>
          <w:rFonts w:cs="Arial"/>
          <w:sz w:val="20"/>
          <w:szCs w:val="20"/>
          <w:lang w:val="es-MX"/>
        </w:rPr>
        <w:t xml:space="preserve">Para </w:t>
      </w:r>
      <w:r w:rsidR="00056BDF">
        <w:rPr>
          <w:rFonts w:cs="Arial"/>
          <w:sz w:val="20"/>
          <w:szCs w:val="20"/>
          <w:lang w:val="es-MX"/>
        </w:rPr>
        <w:t>ello</w:t>
      </w:r>
      <w:r w:rsidRPr="00B72160">
        <w:rPr>
          <w:rFonts w:cs="Arial"/>
          <w:sz w:val="20"/>
          <w:szCs w:val="20"/>
          <w:lang w:val="es-MX"/>
        </w:rPr>
        <w:t>, los representantes o sus beneficiarios deberán</w:t>
      </w:r>
      <w:r>
        <w:rPr>
          <w:rFonts w:cs="Arial"/>
          <w:sz w:val="20"/>
          <w:szCs w:val="20"/>
          <w:lang w:val="es-MX"/>
        </w:rPr>
        <w:t xml:space="preserve"> </w:t>
      </w:r>
      <w:r w:rsidRPr="00B72160">
        <w:rPr>
          <w:rFonts w:cs="Arial"/>
          <w:sz w:val="20"/>
          <w:szCs w:val="20"/>
          <w:lang w:val="es-MX"/>
        </w:rPr>
        <w:t>informar al Estado y a esta Corte sobre su estadía o permanencia en el territorio</w:t>
      </w:r>
      <w:r>
        <w:rPr>
          <w:rFonts w:cs="Arial"/>
          <w:sz w:val="20"/>
          <w:szCs w:val="20"/>
          <w:lang w:val="es-MX"/>
        </w:rPr>
        <w:t xml:space="preserve"> mexicano.</w:t>
      </w:r>
    </w:p>
    <w:p w14:paraId="567AD73E" w14:textId="77777777" w:rsidR="00635D2C" w:rsidRDefault="00635D2C" w:rsidP="00EB4828">
      <w:pPr>
        <w:pStyle w:val="BodyText"/>
        <w:spacing w:after="0"/>
        <w:rPr>
          <w:rFonts w:ascii="Verdana" w:hAnsi="Verdana"/>
          <w:b/>
          <w:sz w:val="20"/>
          <w:szCs w:val="20"/>
        </w:rPr>
      </w:pPr>
    </w:p>
    <w:p w14:paraId="05D07AF4" w14:textId="77777777" w:rsidR="004C387F" w:rsidRDefault="004C387F" w:rsidP="00EB4828">
      <w:pPr>
        <w:pStyle w:val="BodyText"/>
        <w:spacing w:after="0"/>
        <w:rPr>
          <w:rFonts w:ascii="Verdana" w:hAnsi="Verdana"/>
          <w:b/>
          <w:sz w:val="20"/>
          <w:szCs w:val="20"/>
        </w:rPr>
      </w:pPr>
    </w:p>
    <w:p w14:paraId="5677E1BC" w14:textId="77777777" w:rsidR="00EB4828" w:rsidRPr="00606305" w:rsidRDefault="00EB4828" w:rsidP="00EB4828">
      <w:pPr>
        <w:pStyle w:val="BodyText"/>
        <w:spacing w:after="0"/>
        <w:rPr>
          <w:rFonts w:ascii="Verdana" w:hAnsi="Verdana"/>
          <w:b/>
          <w:sz w:val="20"/>
          <w:szCs w:val="20"/>
        </w:rPr>
      </w:pPr>
      <w:r w:rsidRPr="00606305">
        <w:rPr>
          <w:rFonts w:ascii="Verdana" w:hAnsi="Verdana"/>
          <w:b/>
          <w:sz w:val="20"/>
          <w:szCs w:val="20"/>
        </w:rPr>
        <w:t>POR TANTO:</w:t>
      </w:r>
    </w:p>
    <w:p w14:paraId="5677E1BD" w14:textId="77777777" w:rsidR="00981B82" w:rsidRDefault="00981B82" w:rsidP="000310A0">
      <w:pPr>
        <w:jc w:val="both"/>
        <w:rPr>
          <w:rFonts w:ascii="Verdana" w:hAnsi="Verdana"/>
          <w:b/>
          <w:sz w:val="20"/>
          <w:szCs w:val="20"/>
        </w:rPr>
      </w:pPr>
    </w:p>
    <w:p w14:paraId="5677E1BE" w14:textId="77777777" w:rsidR="00EB4828" w:rsidRPr="000310A0" w:rsidRDefault="00EB4828" w:rsidP="000310A0">
      <w:pPr>
        <w:jc w:val="both"/>
        <w:rPr>
          <w:rFonts w:ascii="Verdana" w:hAnsi="Verdana"/>
          <w:b/>
          <w:sz w:val="20"/>
          <w:szCs w:val="20"/>
        </w:rPr>
      </w:pPr>
      <w:r w:rsidRPr="00606305">
        <w:rPr>
          <w:rFonts w:ascii="Verdana" w:hAnsi="Verdana"/>
          <w:b/>
          <w:sz w:val="20"/>
          <w:szCs w:val="20"/>
        </w:rPr>
        <w:t xml:space="preserve">LA CORTE INTERAMERICANA DE DERECHOS HUMANOS, </w:t>
      </w:r>
    </w:p>
    <w:p w14:paraId="5677E1BF" w14:textId="77777777" w:rsidR="000F6DA1" w:rsidRPr="00606305" w:rsidRDefault="000F6DA1" w:rsidP="00EB4828">
      <w:pPr>
        <w:ind w:right="22"/>
        <w:jc w:val="both"/>
        <w:rPr>
          <w:rFonts w:ascii="Verdana" w:hAnsi="Verdana"/>
          <w:sz w:val="20"/>
          <w:szCs w:val="20"/>
        </w:rPr>
      </w:pPr>
    </w:p>
    <w:p w14:paraId="5677E1C0" w14:textId="77777777" w:rsidR="00EB4828" w:rsidRPr="00606305" w:rsidRDefault="005312F1" w:rsidP="00EB4828">
      <w:pPr>
        <w:ind w:right="22"/>
        <w:jc w:val="both"/>
        <w:rPr>
          <w:rFonts w:ascii="Verdana" w:hAnsi="Verdana"/>
          <w:sz w:val="20"/>
          <w:szCs w:val="20"/>
        </w:rPr>
      </w:pPr>
      <w:r>
        <w:rPr>
          <w:rFonts w:ascii="Verdana" w:hAnsi="Verdana"/>
          <w:sz w:val="20"/>
          <w:szCs w:val="20"/>
        </w:rPr>
        <w:t>e</w:t>
      </w:r>
      <w:r w:rsidR="00EB4828" w:rsidRPr="00606305">
        <w:rPr>
          <w:rFonts w:ascii="Verdana" w:hAnsi="Verdana"/>
          <w:sz w:val="20"/>
          <w:szCs w:val="20"/>
        </w:rPr>
        <w:t xml:space="preserve">n uso de las atribuciones que le confieren los artículos 63.2 de la Convención Americana sobre Derechos Humanos y 27 </w:t>
      </w:r>
      <w:r w:rsidR="0076621C" w:rsidRPr="00606305">
        <w:rPr>
          <w:rFonts w:ascii="Verdana" w:hAnsi="Verdana"/>
          <w:sz w:val="20"/>
          <w:szCs w:val="20"/>
        </w:rPr>
        <w:t xml:space="preserve">y 31 </w:t>
      </w:r>
      <w:r w:rsidR="00EB4828" w:rsidRPr="00606305">
        <w:rPr>
          <w:rFonts w:ascii="Verdana" w:hAnsi="Verdana"/>
          <w:sz w:val="20"/>
          <w:szCs w:val="20"/>
        </w:rPr>
        <w:t>del Reglamento del Tribunal,</w:t>
      </w:r>
    </w:p>
    <w:p w14:paraId="5677E1C1" w14:textId="77777777" w:rsidR="00EB4828" w:rsidRPr="00606305" w:rsidRDefault="00EB4828" w:rsidP="00EB4828">
      <w:pPr>
        <w:ind w:right="22"/>
        <w:jc w:val="both"/>
        <w:rPr>
          <w:rFonts w:ascii="Verdana" w:hAnsi="Verdana"/>
          <w:b/>
          <w:sz w:val="20"/>
          <w:szCs w:val="20"/>
        </w:rPr>
      </w:pPr>
    </w:p>
    <w:p w14:paraId="5677E1C2" w14:textId="77777777" w:rsidR="00EB4828" w:rsidRPr="00606305" w:rsidRDefault="00EB4828" w:rsidP="00EB4828">
      <w:pPr>
        <w:ind w:right="22"/>
        <w:jc w:val="both"/>
        <w:rPr>
          <w:rFonts w:ascii="Verdana" w:hAnsi="Verdana"/>
          <w:b/>
          <w:sz w:val="20"/>
          <w:szCs w:val="20"/>
        </w:rPr>
      </w:pPr>
      <w:r w:rsidRPr="00606305">
        <w:rPr>
          <w:rFonts w:ascii="Verdana" w:hAnsi="Verdana"/>
          <w:b/>
          <w:sz w:val="20"/>
          <w:szCs w:val="20"/>
        </w:rPr>
        <w:t>RESUELVE:</w:t>
      </w:r>
    </w:p>
    <w:p w14:paraId="5677E1C3" w14:textId="77777777" w:rsidR="00EB4828" w:rsidRPr="00606305" w:rsidRDefault="00EB4828" w:rsidP="00EB4828">
      <w:pPr>
        <w:jc w:val="both"/>
        <w:rPr>
          <w:rFonts w:ascii="Verdana" w:hAnsi="Verdana" w:cs="Arial"/>
          <w:b/>
          <w:sz w:val="20"/>
          <w:szCs w:val="20"/>
        </w:rPr>
      </w:pPr>
    </w:p>
    <w:p w14:paraId="14A75014" w14:textId="0C97E2B4" w:rsidR="004C387F" w:rsidRDefault="004C387F" w:rsidP="004C387F">
      <w:pPr>
        <w:numPr>
          <w:ilvl w:val="0"/>
          <w:numId w:val="20"/>
        </w:numPr>
        <w:ind w:left="0" w:right="-6" w:firstLine="0"/>
        <w:jc w:val="both"/>
        <w:rPr>
          <w:rFonts w:ascii="Verdana" w:hAnsi="Verdana"/>
          <w:sz w:val="20"/>
          <w:szCs w:val="20"/>
        </w:rPr>
      </w:pPr>
      <w:r>
        <w:rPr>
          <w:rFonts w:ascii="Verdana" w:hAnsi="Verdana"/>
          <w:sz w:val="20"/>
          <w:szCs w:val="20"/>
        </w:rPr>
        <w:t>L</w:t>
      </w:r>
      <w:r w:rsidRPr="00981B82">
        <w:rPr>
          <w:rFonts w:ascii="Verdana" w:hAnsi="Verdana"/>
          <w:sz w:val="20"/>
          <w:szCs w:val="20"/>
        </w:rPr>
        <w:t>evant</w:t>
      </w:r>
      <w:r>
        <w:rPr>
          <w:rFonts w:ascii="Verdana" w:hAnsi="Verdana"/>
          <w:sz w:val="20"/>
          <w:szCs w:val="20"/>
        </w:rPr>
        <w:t>ar</w:t>
      </w:r>
      <w:r w:rsidRPr="00981B82">
        <w:rPr>
          <w:rFonts w:ascii="Verdana" w:hAnsi="Verdana"/>
          <w:sz w:val="20"/>
          <w:szCs w:val="20"/>
        </w:rPr>
        <w:t xml:space="preserve"> la</w:t>
      </w:r>
      <w:r>
        <w:rPr>
          <w:rFonts w:ascii="Verdana" w:hAnsi="Verdana"/>
          <w:sz w:val="20"/>
          <w:szCs w:val="20"/>
        </w:rPr>
        <w:t>s</w:t>
      </w:r>
      <w:r w:rsidRPr="00981B82">
        <w:rPr>
          <w:rFonts w:ascii="Verdana" w:hAnsi="Verdana"/>
          <w:sz w:val="20"/>
          <w:szCs w:val="20"/>
        </w:rPr>
        <w:t xml:space="preserve"> medida</w:t>
      </w:r>
      <w:r>
        <w:rPr>
          <w:rFonts w:ascii="Verdana" w:hAnsi="Verdana"/>
          <w:sz w:val="20"/>
          <w:szCs w:val="20"/>
        </w:rPr>
        <w:t>s</w:t>
      </w:r>
      <w:r w:rsidRPr="00981B82">
        <w:rPr>
          <w:rFonts w:ascii="Verdana" w:hAnsi="Verdana"/>
          <w:sz w:val="20"/>
          <w:szCs w:val="20"/>
        </w:rPr>
        <w:t xml:space="preserve"> provisional</w:t>
      </w:r>
      <w:r>
        <w:rPr>
          <w:rFonts w:ascii="Verdana" w:hAnsi="Verdana"/>
          <w:sz w:val="20"/>
          <w:szCs w:val="20"/>
        </w:rPr>
        <w:t>es</w:t>
      </w:r>
      <w:r w:rsidRPr="00981B82">
        <w:rPr>
          <w:rFonts w:ascii="Verdana" w:hAnsi="Verdana"/>
          <w:sz w:val="20"/>
          <w:szCs w:val="20"/>
        </w:rPr>
        <w:t xml:space="preserve"> ordenada</w:t>
      </w:r>
      <w:r w:rsidR="00593FBF">
        <w:rPr>
          <w:rFonts w:ascii="Verdana" w:hAnsi="Verdana"/>
          <w:sz w:val="20"/>
          <w:szCs w:val="20"/>
        </w:rPr>
        <w:t>s</w:t>
      </w:r>
      <w:r w:rsidRPr="00981B82">
        <w:rPr>
          <w:rFonts w:ascii="Verdana" w:hAnsi="Verdana"/>
          <w:sz w:val="20"/>
          <w:szCs w:val="20"/>
        </w:rPr>
        <w:t xml:space="preserve"> a favor de </w:t>
      </w:r>
      <w:r>
        <w:rPr>
          <w:rFonts w:ascii="Verdana" w:hAnsi="Verdana"/>
          <w:sz w:val="20"/>
        </w:rPr>
        <w:t>Concepción Herrera Hernández y Emilia González Tercero</w:t>
      </w:r>
      <w:r w:rsidRPr="00981B82">
        <w:rPr>
          <w:rFonts w:ascii="Verdana" w:hAnsi="Verdana"/>
          <w:sz w:val="20"/>
        </w:rPr>
        <w:t xml:space="preserve">, </w:t>
      </w:r>
      <w:r w:rsidRPr="00981B82">
        <w:rPr>
          <w:rFonts w:ascii="Verdana" w:hAnsi="Verdana"/>
          <w:sz w:val="20"/>
          <w:szCs w:val="20"/>
        </w:rPr>
        <w:t>de co</w:t>
      </w:r>
      <w:r>
        <w:rPr>
          <w:rFonts w:ascii="Verdana" w:hAnsi="Verdana"/>
          <w:sz w:val="20"/>
          <w:szCs w:val="20"/>
        </w:rPr>
        <w:t xml:space="preserve">nformidad con el Considerando </w:t>
      </w:r>
      <w:r w:rsidR="009B2C47">
        <w:rPr>
          <w:rFonts w:ascii="Verdana" w:hAnsi="Verdana"/>
          <w:sz w:val="20"/>
          <w:szCs w:val="20"/>
        </w:rPr>
        <w:t>5</w:t>
      </w:r>
      <w:r>
        <w:rPr>
          <w:rFonts w:ascii="Verdana" w:hAnsi="Verdana"/>
          <w:sz w:val="20"/>
          <w:szCs w:val="20"/>
        </w:rPr>
        <w:t xml:space="preserve"> de la presente Resolución</w:t>
      </w:r>
      <w:r w:rsidRPr="00981B82">
        <w:rPr>
          <w:rFonts w:ascii="Verdana" w:hAnsi="Verdana"/>
          <w:sz w:val="20"/>
          <w:szCs w:val="20"/>
        </w:rPr>
        <w:t>.</w:t>
      </w:r>
    </w:p>
    <w:p w14:paraId="71B7CF67" w14:textId="77777777" w:rsidR="004C387F" w:rsidRPr="00402191" w:rsidRDefault="004C387F" w:rsidP="0079624B">
      <w:pPr>
        <w:ind w:right="-6"/>
        <w:jc w:val="both"/>
        <w:rPr>
          <w:rFonts w:ascii="Verdana" w:hAnsi="Verdana"/>
          <w:sz w:val="20"/>
          <w:szCs w:val="20"/>
        </w:rPr>
      </w:pPr>
    </w:p>
    <w:p w14:paraId="5677E1C4" w14:textId="7DCADF15" w:rsidR="006B0E52" w:rsidRPr="00402191" w:rsidRDefault="004C387F" w:rsidP="000310A0">
      <w:pPr>
        <w:numPr>
          <w:ilvl w:val="0"/>
          <w:numId w:val="20"/>
        </w:numPr>
        <w:ind w:left="0" w:right="-6" w:firstLine="0"/>
        <w:jc w:val="both"/>
        <w:rPr>
          <w:rFonts w:ascii="Verdana" w:hAnsi="Verdana"/>
          <w:sz w:val="20"/>
          <w:szCs w:val="20"/>
        </w:rPr>
      </w:pPr>
      <w:r>
        <w:rPr>
          <w:rFonts w:ascii="Verdana" w:hAnsi="Verdana"/>
          <w:sz w:val="20"/>
          <w:szCs w:val="20"/>
        </w:rPr>
        <w:t>M</w:t>
      </w:r>
      <w:r w:rsidR="0093603C" w:rsidRPr="00402191">
        <w:rPr>
          <w:rFonts w:ascii="Verdana" w:hAnsi="Verdana"/>
          <w:sz w:val="20"/>
          <w:szCs w:val="20"/>
        </w:rPr>
        <w:t>anten</w:t>
      </w:r>
      <w:r w:rsidR="00056BDF">
        <w:rPr>
          <w:rFonts w:ascii="Verdana" w:hAnsi="Verdana"/>
          <w:sz w:val="20"/>
          <w:szCs w:val="20"/>
        </w:rPr>
        <w:t>er</w:t>
      </w:r>
      <w:r w:rsidR="0093603C" w:rsidRPr="00402191">
        <w:rPr>
          <w:rFonts w:ascii="Verdana" w:hAnsi="Verdana"/>
          <w:sz w:val="20"/>
          <w:szCs w:val="20"/>
        </w:rPr>
        <w:t xml:space="preserve"> las medidas </w:t>
      </w:r>
      <w:r>
        <w:rPr>
          <w:rFonts w:ascii="Verdana" w:hAnsi="Verdana"/>
          <w:sz w:val="20"/>
          <w:szCs w:val="20"/>
        </w:rPr>
        <w:t xml:space="preserve">y ordenar al Estado que </w:t>
      </w:r>
      <w:r w:rsidR="0093603C" w:rsidRPr="00402191">
        <w:rPr>
          <w:rFonts w:ascii="Verdana" w:hAnsi="Verdana"/>
          <w:sz w:val="20"/>
          <w:szCs w:val="20"/>
        </w:rPr>
        <w:t>implement</w:t>
      </w:r>
      <w:r>
        <w:rPr>
          <w:rFonts w:ascii="Verdana" w:hAnsi="Verdana"/>
          <w:sz w:val="20"/>
          <w:szCs w:val="20"/>
        </w:rPr>
        <w:t>e</w:t>
      </w:r>
      <w:r w:rsidR="0093603C" w:rsidRPr="00402191">
        <w:rPr>
          <w:rFonts w:ascii="Verdana" w:hAnsi="Verdana"/>
          <w:sz w:val="20"/>
          <w:szCs w:val="20"/>
        </w:rPr>
        <w:t xml:space="preserve"> y </w:t>
      </w:r>
      <w:r w:rsidR="006B0E52" w:rsidRPr="00402191">
        <w:rPr>
          <w:rFonts w:ascii="Verdana" w:hAnsi="Verdana"/>
          <w:sz w:val="20"/>
          <w:szCs w:val="20"/>
        </w:rPr>
        <w:t>adop</w:t>
      </w:r>
      <w:r>
        <w:rPr>
          <w:rFonts w:ascii="Verdana" w:hAnsi="Verdana"/>
          <w:sz w:val="20"/>
          <w:szCs w:val="20"/>
        </w:rPr>
        <w:t>te</w:t>
      </w:r>
      <w:r w:rsidR="006B0E52" w:rsidRPr="00402191">
        <w:rPr>
          <w:rFonts w:ascii="Verdana" w:hAnsi="Verdana"/>
          <w:sz w:val="20"/>
          <w:szCs w:val="20"/>
        </w:rPr>
        <w:t xml:space="preserve"> de forma inmediata las medidas que sean necesarias para determinar lo antes posible el paradero de Rocío Irene Alvarado Reyes, </w:t>
      </w:r>
      <w:proofErr w:type="spellStart"/>
      <w:r w:rsidR="006B0E52" w:rsidRPr="00402191">
        <w:rPr>
          <w:rFonts w:ascii="Verdana" w:hAnsi="Verdana"/>
          <w:sz w:val="20"/>
          <w:szCs w:val="20"/>
        </w:rPr>
        <w:t>Nitza</w:t>
      </w:r>
      <w:proofErr w:type="spellEnd"/>
      <w:r w:rsidR="006B0E52" w:rsidRPr="00402191">
        <w:rPr>
          <w:rFonts w:ascii="Verdana" w:hAnsi="Verdana"/>
          <w:sz w:val="20"/>
          <w:szCs w:val="20"/>
        </w:rPr>
        <w:t xml:space="preserve"> Paola Alvarado Espinoza y José Ángel Alvarado Herrera, así </w:t>
      </w:r>
      <w:r w:rsidR="006B0E52" w:rsidRPr="00981B82">
        <w:rPr>
          <w:rFonts w:ascii="Verdana" w:hAnsi="Verdana"/>
          <w:sz w:val="20"/>
          <w:szCs w:val="20"/>
        </w:rPr>
        <w:t>como para proteger su vida, integridad y libertad personal</w:t>
      </w:r>
      <w:r w:rsidR="007761DE" w:rsidRPr="00981B82">
        <w:rPr>
          <w:rFonts w:ascii="Verdana" w:hAnsi="Verdana"/>
          <w:sz w:val="20"/>
          <w:szCs w:val="20"/>
        </w:rPr>
        <w:t xml:space="preserve">, de conformidad con el </w:t>
      </w:r>
      <w:r w:rsidR="001C57C7" w:rsidRPr="00981B82">
        <w:rPr>
          <w:rFonts w:ascii="Verdana" w:hAnsi="Verdana"/>
          <w:sz w:val="20"/>
          <w:szCs w:val="20"/>
        </w:rPr>
        <w:t>Considerando</w:t>
      </w:r>
      <w:r w:rsidR="005312F1" w:rsidRPr="00981B82">
        <w:rPr>
          <w:rFonts w:ascii="Verdana" w:hAnsi="Verdana"/>
          <w:sz w:val="20"/>
          <w:szCs w:val="20"/>
        </w:rPr>
        <w:t xml:space="preserve"> </w:t>
      </w:r>
      <w:r w:rsidR="009B2C47">
        <w:rPr>
          <w:rFonts w:ascii="Verdana" w:hAnsi="Verdana"/>
          <w:sz w:val="20"/>
          <w:szCs w:val="20"/>
        </w:rPr>
        <w:t>12</w:t>
      </w:r>
      <w:r w:rsidR="00C402DB">
        <w:rPr>
          <w:rFonts w:ascii="Verdana" w:hAnsi="Verdana"/>
          <w:sz w:val="20"/>
          <w:szCs w:val="20"/>
        </w:rPr>
        <w:t xml:space="preserve"> de la presente Resolución</w:t>
      </w:r>
      <w:r w:rsidR="005312F1" w:rsidRPr="00402191">
        <w:rPr>
          <w:rFonts w:ascii="Verdana" w:hAnsi="Verdana"/>
          <w:sz w:val="20"/>
          <w:szCs w:val="20"/>
        </w:rPr>
        <w:t>.</w:t>
      </w:r>
    </w:p>
    <w:p w14:paraId="5677E1C7" w14:textId="77777777" w:rsidR="00F84A9A" w:rsidRPr="00402191" w:rsidRDefault="00F84A9A" w:rsidP="00981B82">
      <w:pPr>
        <w:ind w:right="-6"/>
        <w:jc w:val="both"/>
        <w:rPr>
          <w:rFonts w:ascii="Verdana" w:hAnsi="Verdana"/>
          <w:sz w:val="20"/>
          <w:szCs w:val="20"/>
        </w:rPr>
      </w:pPr>
    </w:p>
    <w:p w14:paraId="5677E1C8" w14:textId="449F3937" w:rsidR="001C57C7" w:rsidRPr="00981B82" w:rsidRDefault="0093387F" w:rsidP="00900E82">
      <w:pPr>
        <w:numPr>
          <w:ilvl w:val="0"/>
          <w:numId w:val="20"/>
        </w:numPr>
        <w:ind w:left="0" w:right="-6" w:firstLine="0"/>
        <w:jc w:val="both"/>
        <w:rPr>
          <w:rFonts w:ascii="Verdana" w:hAnsi="Verdana"/>
          <w:sz w:val="20"/>
          <w:szCs w:val="20"/>
        </w:rPr>
      </w:pPr>
      <w:r w:rsidRPr="00981B82">
        <w:rPr>
          <w:rFonts w:ascii="Verdana" w:hAnsi="Verdana"/>
          <w:sz w:val="20"/>
          <w:szCs w:val="20"/>
        </w:rPr>
        <w:t>Que el Estado mantenga las medidas que estuviere implementando, así como también, que adopte, de forma inmediata y definitiva, las medidas complementarias que sean necesarias y efectivas para proteger los derechos a la vida y a la integridad personal de las siguientes personas: 1) J.O.A.R., 2) R.G.A.R., 3) S.A.R. y 4) J.E.A.R. (hijos de Jaime Alvarado Herrera); 5) Sandra Luz Rueda Que</w:t>
      </w:r>
      <w:r w:rsidR="00173636">
        <w:rPr>
          <w:rFonts w:ascii="Verdana" w:hAnsi="Verdana"/>
          <w:sz w:val="20"/>
          <w:szCs w:val="20"/>
        </w:rPr>
        <w:t>zada (esposa de Jaime Alvarado). Asimismo, de 6</w:t>
      </w:r>
      <w:r w:rsidRPr="00981B82">
        <w:rPr>
          <w:rFonts w:ascii="Verdana" w:hAnsi="Verdana"/>
          <w:sz w:val="20"/>
          <w:szCs w:val="20"/>
        </w:rPr>
        <w:t xml:space="preserve">) </w:t>
      </w:r>
      <w:r w:rsidRPr="00597480">
        <w:rPr>
          <w:rFonts w:ascii="Verdana" w:hAnsi="Verdana"/>
          <w:sz w:val="20"/>
          <w:szCs w:val="20"/>
        </w:rPr>
        <w:t>Patricia Reyes Rueda</w:t>
      </w:r>
      <w:r w:rsidRPr="00981B82">
        <w:rPr>
          <w:rFonts w:ascii="Verdana" w:hAnsi="Verdana"/>
          <w:sz w:val="20"/>
          <w:szCs w:val="20"/>
        </w:rPr>
        <w:t xml:space="preserve"> y sus dos hij</w:t>
      </w:r>
      <w:r w:rsidR="00552273">
        <w:rPr>
          <w:rFonts w:ascii="Verdana" w:hAnsi="Verdana"/>
          <w:sz w:val="20"/>
          <w:szCs w:val="20"/>
        </w:rPr>
        <w:t>o</w:t>
      </w:r>
      <w:r w:rsidR="00173636">
        <w:rPr>
          <w:rFonts w:ascii="Verdana" w:hAnsi="Verdana"/>
          <w:sz w:val="20"/>
          <w:szCs w:val="20"/>
        </w:rPr>
        <w:t>s: 7) A.A.R. y 8</w:t>
      </w:r>
      <w:r w:rsidR="00AA7506" w:rsidRPr="00981B82">
        <w:rPr>
          <w:rFonts w:ascii="Verdana" w:hAnsi="Verdana"/>
          <w:sz w:val="20"/>
          <w:szCs w:val="20"/>
        </w:rPr>
        <w:t>) A.A.R.</w:t>
      </w:r>
      <w:r w:rsidR="00173636">
        <w:rPr>
          <w:rFonts w:ascii="Verdana" w:hAnsi="Verdana"/>
          <w:sz w:val="20"/>
          <w:szCs w:val="20"/>
        </w:rPr>
        <w:t xml:space="preserve"> (R.A.A.R.); 9</w:t>
      </w:r>
      <w:r w:rsidRPr="00981B82">
        <w:rPr>
          <w:rFonts w:ascii="Verdana" w:hAnsi="Verdana"/>
          <w:sz w:val="20"/>
          <w:szCs w:val="20"/>
        </w:rPr>
        <w:t>) M.U.A.</w:t>
      </w:r>
      <w:r w:rsidR="00173636">
        <w:rPr>
          <w:rFonts w:ascii="Verdana" w:hAnsi="Verdana"/>
          <w:sz w:val="20"/>
          <w:szCs w:val="20"/>
        </w:rPr>
        <w:t xml:space="preserve"> (A.M.U.A.)</w:t>
      </w:r>
      <w:r w:rsidRPr="00981B82">
        <w:rPr>
          <w:rFonts w:ascii="Verdana" w:hAnsi="Verdana"/>
          <w:sz w:val="20"/>
          <w:szCs w:val="20"/>
        </w:rPr>
        <w:t xml:space="preserve"> (hija de Rocío Irene Alvarado Reyes)</w:t>
      </w:r>
      <w:r w:rsidR="00AA7506" w:rsidRPr="00981B82">
        <w:rPr>
          <w:rFonts w:ascii="Verdana" w:hAnsi="Verdana"/>
          <w:sz w:val="20"/>
          <w:szCs w:val="20"/>
        </w:rPr>
        <w:t>; 1</w:t>
      </w:r>
      <w:r w:rsidR="00173636">
        <w:rPr>
          <w:rFonts w:ascii="Verdana" w:hAnsi="Verdana"/>
          <w:sz w:val="20"/>
          <w:szCs w:val="20"/>
        </w:rPr>
        <w:t>0</w:t>
      </w:r>
      <w:r w:rsidRPr="00981B82">
        <w:rPr>
          <w:rFonts w:ascii="Verdana" w:hAnsi="Verdana"/>
          <w:sz w:val="20"/>
          <w:szCs w:val="20"/>
        </w:rPr>
        <w:t>) Obdulia Espinoza Beltrán</w:t>
      </w:r>
      <w:r w:rsidR="00757731" w:rsidRPr="00981B82">
        <w:rPr>
          <w:rFonts w:ascii="Verdana" w:hAnsi="Verdana"/>
          <w:sz w:val="20"/>
          <w:szCs w:val="20"/>
        </w:rPr>
        <w:t xml:space="preserve">; </w:t>
      </w:r>
      <w:r w:rsidRPr="00981B82">
        <w:rPr>
          <w:rFonts w:ascii="Verdana" w:hAnsi="Verdana"/>
          <w:sz w:val="20"/>
          <w:szCs w:val="20"/>
        </w:rPr>
        <w:t>1</w:t>
      </w:r>
      <w:r w:rsidR="00173636">
        <w:rPr>
          <w:rFonts w:ascii="Verdana" w:hAnsi="Verdana"/>
          <w:sz w:val="20"/>
          <w:szCs w:val="20"/>
        </w:rPr>
        <w:t>1) J.A.E., 12</w:t>
      </w:r>
      <w:r w:rsidRPr="00981B82">
        <w:rPr>
          <w:rFonts w:ascii="Verdana" w:hAnsi="Verdana"/>
          <w:sz w:val="20"/>
          <w:szCs w:val="20"/>
        </w:rPr>
        <w:t>) J.A.A.E. y 1</w:t>
      </w:r>
      <w:r w:rsidR="00173636">
        <w:rPr>
          <w:rFonts w:ascii="Verdana" w:hAnsi="Verdana"/>
          <w:sz w:val="20"/>
          <w:szCs w:val="20"/>
        </w:rPr>
        <w:t>3</w:t>
      </w:r>
      <w:r w:rsidRPr="00981B82">
        <w:rPr>
          <w:rFonts w:ascii="Verdana" w:hAnsi="Verdana"/>
          <w:sz w:val="20"/>
          <w:szCs w:val="20"/>
        </w:rPr>
        <w:t>) A.A.E. (hijos de Jose Ángel Alvarado Herrera y Obdulia Espinoza</w:t>
      </w:r>
      <w:r w:rsidR="00EF1311">
        <w:rPr>
          <w:rFonts w:ascii="Verdana" w:hAnsi="Verdana"/>
          <w:sz w:val="20"/>
          <w:szCs w:val="20"/>
        </w:rPr>
        <w:t xml:space="preserve"> Beltrán</w:t>
      </w:r>
      <w:r w:rsidRPr="00981B82">
        <w:rPr>
          <w:rFonts w:ascii="Verdana" w:hAnsi="Verdana"/>
          <w:sz w:val="20"/>
          <w:szCs w:val="20"/>
        </w:rPr>
        <w:t>); 1</w:t>
      </w:r>
      <w:r w:rsidR="00173636">
        <w:rPr>
          <w:rFonts w:ascii="Verdana" w:hAnsi="Verdana"/>
          <w:sz w:val="20"/>
          <w:szCs w:val="20"/>
        </w:rPr>
        <w:t>4</w:t>
      </w:r>
      <w:r w:rsidR="00C402DB">
        <w:rPr>
          <w:rFonts w:ascii="Verdana" w:hAnsi="Verdana"/>
          <w:sz w:val="20"/>
          <w:szCs w:val="20"/>
        </w:rPr>
        <w:t>) José Ángel Alvarado Fav</w:t>
      </w:r>
      <w:r w:rsidR="00173636">
        <w:rPr>
          <w:rFonts w:ascii="Verdana" w:hAnsi="Verdana"/>
          <w:sz w:val="20"/>
          <w:szCs w:val="20"/>
        </w:rPr>
        <w:t>ela; 15) Jaime Alvarado Herrera; 16</w:t>
      </w:r>
      <w:r w:rsidRPr="00981B82">
        <w:rPr>
          <w:rFonts w:ascii="Verdana" w:hAnsi="Verdana"/>
          <w:sz w:val="20"/>
          <w:szCs w:val="20"/>
        </w:rPr>
        <w:t>) Rosa Olivia Alva</w:t>
      </w:r>
      <w:r w:rsidR="00173636">
        <w:rPr>
          <w:rFonts w:ascii="Verdana" w:hAnsi="Verdana"/>
          <w:sz w:val="20"/>
          <w:szCs w:val="20"/>
        </w:rPr>
        <w:t xml:space="preserve">rado </w:t>
      </w:r>
      <w:r w:rsidR="00173636">
        <w:rPr>
          <w:rFonts w:ascii="Verdana" w:hAnsi="Verdana"/>
          <w:sz w:val="20"/>
          <w:szCs w:val="20"/>
        </w:rPr>
        <w:lastRenderedPageBreak/>
        <w:t>Herrera y sus hijos: 17</w:t>
      </w:r>
      <w:r w:rsidR="00AC56A3" w:rsidRPr="00981B82">
        <w:rPr>
          <w:rFonts w:ascii="Verdana" w:hAnsi="Verdana"/>
          <w:sz w:val="20"/>
          <w:szCs w:val="20"/>
        </w:rPr>
        <w:t>) K.P.A.A.</w:t>
      </w:r>
      <w:r w:rsidR="00173636">
        <w:rPr>
          <w:rFonts w:ascii="Verdana" w:hAnsi="Verdana"/>
          <w:sz w:val="20"/>
          <w:szCs w:val="20"/>
        </w:rPr>
        <w:t xml:space="preserve"> (K.P.A.E.)</w:t>
      </w:r>
      <w:r w:rsidR="00AA7506" w:rsidRPr="00981B82">
        <w:rPr>
          <w:rFonts w:ascii="Verdana" w:hAnsi="Verdana"/>
          <w:sz w:val="20"/>
          <w:szCs w:val="20"/>
        </w:rPr>
        <w:t>,</w:t>
      </w:r>
      <w:r w:rsidR="00173636">
        <w:rPr>
          <w:rFonts w:ascii="Verdana" w:hAnsi="Verdana"/>
          <w:sz w:val="20"/>
          <w:szCs w:val="20"/>
        </w:rPr>
        <w:t xml:space="preserve"> 18</w:t>
      </w:r>
      <w:r w:rsidR="00AC56A3" w:rsidRPr="00981B82">
        <w:rPr>
          <w:rFonts w:ascii="Verdana" w:hAnsi="Verdana"/>
          <w:sz w:val="20"/>
          <w:szCs w:val="20"/>
        </w:rPr>
        <w:t>) F.A.H.</w:t>
      </w:r>
      <w:r w:rsidR="00173636">
        <w:rPr>
          <w:rFonts w:ascii="Verdana" w:hAnsi="Verdana"/>
          <w:sz w:val="20"/>
          <w:szCs w:val="20"/>
        </w:rPr>
        <w:t xml:space="preserve"> y 19</w:t>
      </w:r>
      <w:r w:rsidR="00AA7506" w:rsidRPr="00981B82">
        <w:rPr>
          <w:rFonts w:ascii="Verdana" w:hAnsi="Verdana"/>
          <w:sz w:val="20"/>
          <w:szCs w:val="20"/>
        </w:rPr>
        <w:t>) J.G.A.</w:t>
      </w:r>
      <w:r w:rsidR="00173636">
        <w:rPr>
          <w:rFonts w:ascii="Verdana" w:hAnsi="Verdana"/>
          <w:sz w:val="20"/>
          <w:szCs w:val="20"/>
        </w:rPr>
        <w:t>, y 20</w:t>
      </w:r>
      <w:r w:rsidR="00AC56A3" w:rsidRPr="00981B82">
        <w:rPr>
          <w:rFonts w:ascii="Verdana" w:hAnsi="Verdana"/>
          <w:sz w:val="20"/>
          <w:szCs w:val="20"/>
        </w:rPr>
        <w:t>) Fé</w:t>
      </w:r>
      <w:r w:rsidRPr="00981B82">
        <w:rPr>
          <w:rFonts w:ascii="Verdana" w:hAnsi="Verdana"/>
          <w:sz w:val="20"/>
          <w:szCs w:val="20"/>
        </w:rPr>
        <w:t>li</w:t>
      </w:r>
      <w:r w:rsidR="00AC56A3" w:rsidRPr="00981B82">
        <w:rPr>
          <w:rFonts w:ascii="Verdana" w:hAnsi="Verdana"/>
          <w:sz w:val="20"/>
          <w:szCs w:val="20"/>
        </w:rPr>
        <w:t>x</w:t>
      </w:r>
      <w:r w:rsidR="00C402DB">
        <w:rPr>
          <w:rFonts w:ascii="Verdana" w:hAnsi="Verdana"/>
          <w:sz w:val="20"/>
          <w:szCs w:val="20"/>
        </w:rPr>
        <w:t xml:space="preserve"> García</w:t>
      </w:r>
      <w:r w:rsidR="00552273">
        <w:rPr>
          <w:rFonts w:ascii="Verdana" w:hAnsi="Verdana"/>
          <w:sz w:val="20"/>
          <w:szCs w:val="20"/>
        </w:rPr>
        <w:t xml:space="preserve">; </w:t>
      </w:r>
      <w:r w:rsidR="00552273" w:rsidRPr="00552273">
        <w:rPr>
          <w:rFonts w:ascii="Verdana" w:hAnsi="Verdana"/>
          <w:sz w:val="20"/>
          <w:szCs w:val="20"/>
        </w:rPr>
        <w:t xml:space="preserve">adicionalmente, las personas: </w:t>
      </w:r>
      <w:r w:rsidR="00173636">
        <w:rPr>
          <w:rFonts w:ascii="Verdana" w:hAnsi="Verdana"/>
          <w:sz w:val="20"/>
          <w:szCs w:val="20"/>
        </w:rPr>
        <w:t>2</w:t>
      </w:r>
      <w:r w:rsidR="00552273" w:rsidRPr="00552273">
        <w:rPr>
          <w:rFonts w:ascii="Verdana" w:hAnsi="Verdana"/>
          <w:sz w:val="20"/>
          <w:szCs w:val="20"/>
        </w:rPr>
        <w:t>1) Manuel Melquiades Alvarado</w:t>
      </w:r>
      <w:r w:rsidR="00173636">
        <w:rPr>
          <w:rFonts w:ascii="Verdana" w:hAnsi="Verdana"/>
          <w:sz w:val="20"/>
          <w:szCs w:val="20"/>
        </w:rPr>
        <w:t>; 2</w:t>
      </w:r>
      <w:r w:rsidR="00552273" w:rsidRPr="00552273">
        <w:rPr>
          <w:rFonts w:ascii="Verdana" w:hAnsi="Verdana"/>
          <w:sz w:val="20"/>
          <w:szCs w:val="20"/>
        </w:rPr>
        <w:t xml:space="preserve">2) Mayra Daniela </w:t>
      </w:r>
      <w:proofErr w:type="spellStart"/>
      <w:r w:rsidR="00552273" w:rsidRPr="00552273">
        <w:rPr>
          <w:rFonts w:ascii="Verdana" w:hAnsi="Verdana"/>
          <w:sz w:val="20"/>
          <w:szCs w:val="20"/>
        </w:rPr>
        <w:t>Salais</w:t>
      </w:r>
      <w:proofErr w:type="spellEnd"/>
      <w:r w:rsidR="00552273" w:rsidRPr="00552273">
        <w:rPr>
          <w:rFonts w:ascii="Verdana" w:hAnsi="Verdana"/>
          <w:sz w:val="20"/>
          <w:szCs w:val="20"/>
        </w:rPr>
        <w:t xml:space="preserve"> Rodríguez (esposa de Manuel Melquiades Alvarado); </w:t>
      </w:r>
      <w:r w:rsidR="00173636">
        <w:rPr>
          <w:rFonts w:ascii="Verdana" w:hAnsi="Verdana"/>
          <w:sz w:val="20"/>
          <w:szCs w:val="20"/>
        </w:rPr>
        <w:t>2</w:t>
      </w:r>
      <w:r w:rsidR="00552273" w:rsidRPr="00552273">
        <w:rPr>
          <w:rFonts w:ascii="Verdana" w:hAnsi="Verdana"/>
          <w:sz w:val="20"/>
          <w:szCs w:val="20"/>
        </w:rPr>
        <w:t xml:space="preserve">3) D.J.A., y </w:t>
      </w:r>
      <w:r w:rsidR="00173636">
        <w:rPr>
          <w:rFonts w:ascii="Verdana" w:hAnsi="Verdana"/>
          <w:sz w:val="20"/>
          <w:szCs w:val="20"/>
        </w:rPr>
        <w:t>2</w:t>
      </w:r>
      <w:r w:rsidR="00552273" w:rsidRPr="00552273">
        <w:rPr>
          <w:rFonts w:ascii="Verdana" w:hAnsi="Verdana"/>
          <w:sz w:val="20"/>
          <w:szCs w:val="20"/>
        </w:rPr>
        <w:t xml:space="preserve">4) J.A. (X.A.S.) (hijas de Manuel Melquiades Alvarado y Mayra Daniela </w:t>
      </w:r>
      <w:proofErr w:type="spellStart"/>
      <w:r w:rsidR="00552273" w:rsidRPr="00552273">
        <w:rPr>
          <w:rFonts w:ascii="Verdana" w:hAnsi="Verdana"/>
          <w:sz w:val="20"/>
          <w:szCs w:val="20"/>
        </w:rPr>
        <w:t>Salais</w:t>
      </w:r>
      <w:proofErr w:type="spellEnd"/>
      <w:r w:rsidR="00552273" w:rsidRPr="00552273">
        <w:rPr>
          <w:rFonts w:ascii="Verdana" w:hAnsi="Verdana"/>
          <w:sz w:val="20"/>
          <w:szCs w:val="20"/>
        </w:rPr>
        <w:t xml:space="preserve"> Rodríguez)</w:t>
      </w:r>
      <w:r w:rsidR="00B61A31" w:rsidRPr="00981B82">
        <w:rPr>
          <w:rFonts w:ascii="Verdana" w:hAnsi="Verdana"/>
          <w:sz w:val="20"/>
          <w:szCs w:val="20"/>
        </w:rPr>
        <w:t>.</w:t>
      </w:r>
    </w:p>
    <w:p w14:paraId="5677E1C9" w14:textId="77777777" w:rsidR="007946FD" w:rsidRPr="00981B82" w:rsidRDefault="007946FD" w:rsidP="00900E82">
      <w:pPr>
        <w:ind w:right="-6"/>
        <w:jc w:val="both"/>
        <w:rPr>
          <w:rFonts w:ascii="Verdana" w:hAnsi="Verdana"/>
          <w:sz w:val="20"/>
          <w:szCs w:val="20"/>
        </w:rPr>
      </w:pPr>
    </w:p>
    <w:p w14:paraId="5677E1CA" w14:textId="2DCB73A1" w:rsidR="007946FD" w:rsidRPr="00981B82" w:rsidRDefault="0093603C" w:rsidP="00900E82">
      <w:pPr>
        <w:numPr>
          <w:ilvl w:val="0"/>
          <w:numId w:val="20"/>
        </w:numPr>
        <w:ind w:left="0" w:right="-6" w:firstLine="0"/>
        <w:jc w:val="both"/>
        <w:rPr>
          <w:rFonts w:ascii="Verdana" w:hAnsi="Verdana" w:cs="Arial"/>
          <w:sz w:val="20"/>
          <w:szCs w:val="20"/>
          <w:lang w:val="es-MX"/>
        </w:rPr>
      </w:pPr>
      <w:r w:rsidRPr="00981B82">
        <w:rPr>
          <w:rFonts w:ascii="Verdana" w:hAnsi="Verdana"/>
          <w:sz w:val="20"/>
          <w:szCs w:val="20"/>
        </w:rPr>
        <w:t>Que el Estado mantenga las medidas del párrafo anterior</w:t>
      </w:r>
      <w:r w:rsidR="009B0662" w:rsidRPr="00981B82">
        <w:rPr>
          <w:rFonts w:ascii="Verdana" w:hAnsi="Verdana"/>
          <w:sz w:val="20"/>
          <w:szCs w:val="20"/>
        </w:rPr>
        <w:t xml:space="preserve"> </w:t>
      </w:r>
      <w:r w:rsidR="0093387F" w:rsidRPr="00981B82">
        <w:rPr>
          <w:rFonts w:ascii="Verdana" w:hAnsi="Verdana"/>
          <w:sz w:val="20"/>
          <w:szCs w:val="20"/>
        </w:rPr>
        <w:t xml:space="preserve">sobre los siete beneficiarios que se encuentran fuera del territorio: 1) </w:t>
      </w:r>
      <w:r w:rsidR="00A96E5A" w:rsidRPr="00981B82">
        <w:rPr>
          <w:rFonts w:ascii="Verdana" w:hAnsi="Verdana" w:cs="Arial"/>
          <w:sz w:val="20"/>
          <w:szCs w:val="20"/>
          <w:lang w:val="es-MX"/>
        </w:rPr>
        <w:t>Ascensión</w:t>
      </w:r>
      <w:r w:rsidR="0093387F" w:rsidRPr="00981B82">
        <w:rPr>
          <w:rFonts w:ascii="Verdana" w:hAnsi="Verdana" w:cs="Arial"/>
          <w:sz w:val="20"/>
          <w:szCs w:val="20"/>
          <w:lang w:val="es-MX"/>
        </w:rPr>
        <w:t xml:space="preserve"> Alvarado </w:t>
      </w:r>
      <w:r w:rsidR="00810B8D" w:rsidRPr="00981B82">
        <w:rPr>
          <w:rFonts w:ascii="Verdana" w:hAnsi="Verdana" w:cs="Arial"/>
          <w:sz w:val="20"/>
          <w:szCs w:val="20"/>
          <w:lang w:val="es-MX"/>
        </w:rPr>
        <w:t>Favela</w:t>
      </w:r>
      <w:r w:rsidR="0093387F" w:rsidRPr="00981B82">
        <w:rPr>
          <w:rFonts w:ascii="Verdana" w:hAnsi="Verdana" w:cs="Arial"/>
          <w:sz w:val="20"/>
          <w:szCs w:val="20"/>
          <w:lang w:val="es-MX"/>
        </w:rPr>
        <w:t xml:space="preserve"> y 2) María de Jesús Espinoza Peinado (p</w:t>
      </w:r>
      <w:r w:rsidR="00EB67FE" w:rsidRPr="00981B82">
        <w:rPr>
          <w:rFonts w:ascii="Verdana" w:hAnsi="Verdana" w:cs="Arial"/>
          <w:sz w:val="20"/>
          <w:szCs w:val="20"/>
          <w:lang w:val="es-MX"/>
        </w:rPr>
        <w:t xml:space="preserve">adre y madre de </w:t>
      </w:r>
      <w:proofErr w:type="spellStart"/>
      <w:r w:rsidR="00EB67FE" w:rsidRPr="00981B82">
        <w:rPr>
          <w:rFonts w:ascii="Verdana" w:hAnsi="Verdana" w:cs="Arial"/>
          <w:sz w:val="20"/>
          <w:szCs w:val="20"/>
          <w:lang w:val="es-MX"/>
        </w:rPr>
        <w:t>Nitza</w:t>
      </w:r>
      <w:proofErr w:type="spellEnd"/>
      <w:r w:rsidR="00EB67FE" w:rsidRPr="00981B82">
        <w:rPr>
          <w:rFonts w:ascii="Verdana" w:hAnsi="Verdana" w:cs="Arial"/>
          <w:sz w:val="20"/>
          <w:szCs w:val="20"/>
          <w:lang w:val="es-MX"/>
        </w:rPr>
        <w:t xml:space="preserve"> Alvarado);</w:t>
      </w:r>
      <w:r w:rsidR="0093387F" w:rsidRPr="00981B82">
        <w:rPr>
          <w:rFonts w:ascii="Verdana" w:hAnsi="Verdana" w:cs="Arial"/>
          <w:sz w:val="20"/>
          <w:szCs w:val="20"/>
          <w:lang w:val="es-MX"/>
        </w:rPr>
        <w:t xml:space="preserve"> 3) María de Jesús Alvarado Re</w:t>
      </w:r>
      <w:r w:rsidR="00EB67FE" w:rsidRPr="00981B82">
        <w:rPr>
          <w:rFonts w:ascii="Verdana" w:hAnsi="Verdana" w:cs="Arial"/>
          <w:sz w:val="20"/>
          <w:szCs w:val="20"/>
          <w:lang w:val="es-MX"/>
        </w:rPr>
        <w:t>yes</w:t>
      </w:r>
      <w:r w:rsidR="00552273">
        <w:rPr>
          <w:rFonts w:ascii="Verdana" w:hAnsi="Verdana" w:cs="Arial"/>
          <w:sz w:val="20"/>
          <w:szCs w:val="20"/>
          <w:lang w:val="es-MX"/>
        </w:rPr>
        <w:t xml:space="preserve"> (Espinoza)</w:t>
      </w:r>
      <w:r w:rsidR="00EB67FE" w:rsidRPr="00981B82">
        <w:rPr>
          <w:rFonts w:ascii="Verdana" w:hAnsi="Verdana" w:cs="Arial"/>
          <w:sz w:val="20"/>
          <w:szCs w:val="20"/>
          <w:lang w:val="es-MX"/>
        </w:rPr>
        <w:t xml:space="preserve"> (hermana de </w:t>
      </w:r>
      <w:proofErr w:type="spellStart"/>
      <w:r w:rsidR="00EB67FE" w:rsidRPr="00981B82">
        <w:rPr>
          <w:rFonts w:ascii="Verdana" w:hAnsi="Verdana" w:cs="Arial"/>
          <w:sz w:val="20"/>
          <w:szCs w:val="20"/>
          <w:lang w:val="es-MX"/>
        </w:rPr>
        <w:t>Nitza</w:t>
      </w:r>
      <w:proofErr w:type="spellEnd"/>
      <w:r w:rsidR="00EB67FE" w:rsidRPr="00981B82">
        <w:rPr>
          <w:rFonts w:ascii="Verdana" w:hAnsi="Verdana" w:cs="Arial"/>
          <w:sz w:val="20"/>
          <w:szCs w:val="20"/>
          <w:lang w:val="es-MX"/>
        </w:rPr>
        <w:t xml:space="preserve"> Alvarado);</w:t>
      </w:r>
      <w:r w:rsidR="0093387F" w:rsidRPr="00981B82">
        <w:rPr>
          <w:rFonts w:ascii="Verdana" w:hAnsi="Verdana" w:cs="Arial"/>
          <w:sz w:val="20"/>
          <w:szCs w:val="20"/>
          <w:lang w:val="es-MX"/>
        </w:rPr>
        <w:t xml:space="preserve"> 4) Rigoberto Ambriz </w:t>
      </w:r>
      <w:proofErr w:type="spellStart"/>
      <w:r w:rsidR="0093387F" w:rsidRPr="00981B82">
        <w:rPr>
          <w:rFonts w:ascii="Verdana" w:hAnsi="Verdana" w:cs="Arial"/>
          <w:sz w:val="20"/>
          <w:szCs w:val="20"/>
          <w:lang w:val="es-MX"/>
        </w:rPr>
        <w:t>Marrufo</w:t>
      </w:r>
      <w:proofErr w:type="spellEnd"/>
      <w:r w:rsidR="0093387F" w:rsidRPr="00981B82">
        <w:rPr>
          <w:rFonts w:ascii="Verdana" w:hAnsi="Verdana" w:cs="Arial"/>
          <w:sz w:val="20"/>
          <w:szCs w:val="20"/>
          <w:lang w:val="es-MX"/>
        </w:rPr>
        <w:t xml:space="preserve"> (</w:t>
      </w:r>
      <w:r w:rsidR="00FE72C3">
        <w:rPr>
          <w:rFonts w:ascii="Verdana" w:hAnsi="Verdana" w:cs="Arial"/>
          <w:sz w:val="20"/>
          <w:szCs w:val="20"/>
          <w:lang w:val="es-MX"/>
        </w:rPr>
        <w:t>cuñado</w:t>
      </w:r>
      <w:r w:rsidR="0093387F" w:rsidRPr="00981B82">
        <w:rPr>
          <w:rFonts w:ascii="Verdana" w:hAnsi="Verdana" w:cs="Arial"/>
          <w:sz w:val="20"/>
          <w:szCs w:val="20"/>
          <w:lang w:val="es-MX"/>
        </w:rPr>
        <w:t xml:space="preserve"> de </w:t>
      </w:r>
      <w:proofErr w:type="spellStart"/>
      <w:r w:rsidR="0093387F" w:rsidRPr="00981B82">
        <w:rPr>
          <w:rFonts w:ascii="Verdana" w:hAnsi="Verdana" w:cs="Arial"/>
          <w:sz w:val="20"/>
          <w:szCs w:val="20"/>
          <w:lang w:val="es-MX"/>
        </w:rPr>
        <w:t>Nitza</w:t>
      </w:r>
      <w:proofErr w:type="spellEnd"/>
      <w:r w:rsidR="0093387F" w:rsidRPr="00981B82">
        <w:rPr>
          <w:rFonts w:ascii="Verdana" w:hAnsi="Verdana" w:cs="Arial"/>
          <w:sz w:val="20"/>
          <w:szCs w:val="20"/>
          <w:lang w:val="es-MX"/>
        </w:rPr>
        <w:t xml:space="preserve"> Alvarado</w:t>
      </w:r>
      <w:r w:rsidR="00243F7F" w:rsidRPr="00981B82">
        <w:rPr>
          <w:rFonts w:ascii="Verdana" w:hAnsi="Verdana" w:cs="Arial"/>
          <w:sz w:val="20"/>
          <w:szCs w:val="20"/>
          <w:lang w:val="es-MX"/>
        </w:rPr>
        <w:t>)</w:t>
      </w:r>
      <w:r w:rsidR="0093387F" w:rsidRPr="00981B82">
        <w:rPr>
          <w:rFonts w:ascii="Verdana" w:hAnsi="Verdana" w:cs="Arial"/>
          <w:sz w:val="20"/>
          <w:szCs w:val="20"/>
          <w:lang w:val="es-MX"/>
        </w:rPr>
        <w:t xml:space="preserve">; 5) M.P.A.E., 6) N.C.A.E. </w:t>
      </w:r>
      <w:r w:rsidR="00552273">
        <w:rPr>
          <w:rFonts w:ascii="Verdana" w:hAnsi="Verdana" w:cs="Arial"/>
          <w:sz w:val="20"/>
          <w:szCs w:val="20"/>
          <w:lang w:val="es-MX"/>
        </w:rPr>
        <w:t xml:space="preserve">(N.S.A.E.) </w:t>
      </w:r>
      <w:r w:rsidR="0093387F" w:rsidRPr="00981B82">
        <w:rPr>
          <w:rFonts w:ascii="Verdana" w:hAnsi="Verdana" w:cs="Arial"/>
          <w:sz w:val="20"/>
          <w:szCs w:val="20"/>
          <w:lang w:val="es-MX"/>
        </w:rPr>
        <w:t xml:space="preserve">y 7) D.A.E. (hijas de </w:t>
      </w:r>
      <w:proofErr w:type="spellStart"/>
      <w:r w:rsidR="0093387F" w:rsidRPr="00981B82">
        <w:rPr>
          <w:rFonts w:ascii="Verdana" w:hAnsi="Verdana" w:cs="Arial"/>
          <w:sz w:val="20"/>
          <w:szCs w:val="20"/>
          <w:lang w:val="es-MX"/>
        </w:rPr>
        <w:t>Nitza</w:t>
      </w:r>
      <w:proofErr w:type="spellEnd"/>
      <w:r w:rsidR="0093387F" w:rsidRPr="00981B82">
        <w:rPr>
          <w:rFonts w:ascii="Verdana" w:hAnsi="Verdana" w:cs="Arial"/>
          <w:sz w:val="20"/>
          <w:szCs w:val="20"/>
          <w:lang w:val="es-MX"/>
        </w:rPr>
        <w:t xml:space="preserve"> Alvarado</w:t>
      </w:r>
      <w:r w:rsidR="00EB67FE" w:rsidRPr="00981B82">
        <w:rPr>
          <w:rFonts w:ascii="Verdana" w:hAnsi="Verdana" w:cs="Arial"/>
          <w:sz w:val="20"/>
          <w:szCs w:val="20"/>
          <w:lang w:val="es-MX"/>
        </w:rPr>
        <w:t>)</w:t>
      </w:r>
      <w:r w:rsidR="00B04D1A" w:rsidRPr="00981B82">
        <w:rPr>
          <w:rFonts w:ascii="Verdana" w:hAnsi="Verdana" w:cs="Arial"/>
          <w:sz w:val="20"/>
          <w:szCs w:val="20"/>
          <w:lang w:val="es-MX"/>
        </w:rPr>
        <w:t>, cuya aplicación deberá</w:t>
      </w:r>
      <w:r w:rsidR="007B3CCE" w:rsidRPr="00981B82">
        <w:rPr>
          <w:rFonts w:ascii="Verdana" w:hAnsi="Verdana" w:cs="Arial"/>
          <w:sz w:val="20"/>
          <w:szCs w:val="20"/>
          <w:lang w:val="es-MX"/>
        </w:rPr>
        <w:t xml:space="preserve"> ser efectiva con efecto inmediato tan pronto </w:t>
      </w:r>
      <w:r w:rsidR="007761DE" w:rsidRPr="00981B82">
        <w:rPr>
          <w:rFonts w:ascii="Verdana" w:hAnsi="Verdana" w:cs="Arial"/>
          <w:sz w:val="20"/>
          <w:szCs w:val="20"/>
          <w:lang w:val="es-MX"/>
        </w:rPr>
        <w:t>se encuentre en</w:t>
      </w:r>
      <w:r w:rsidR="007B3CCE" w:rsidRPr="00981B82">
        <w:rPr>
          <w:rFonts w:ascii="Verdana" w:hAnsi="Verdana" w:cs="Arial"/>
          <w:sz w:val="20"/>
          <w:szCs w:val="20"/>
          <w:lang w:val="es-MX"/>
        </w:rPr>
        <w:t xml:space="preserve"> territorio </w:t>
      </w:r>
      <w:r w:rsidR="007761DE" w:rsidRPr="00981B82">
        <w:rPr>
          <w:rFonts w:ascii="Verdana" w:hAnsi="Verdana" w:cs="Arial"/>
          <w:sz w:val="20"/>
          <w:szCs w:val="20"/>
          <w:lang w:val="es-MX"/>
        </w:rPr>
        <w:t>m</w:t>
      </w:r>
      <w:r w:rsidR="007B3CCE" w:rsidRPr="00981B82">
        <w:rPr>
          <w:rFonts w:ascii="Verdana" w:hAnsi="Verdana" w:cs="Arial"/>
          <w:sz w:val="20"/>
          <w:szCs w:val="20"/>
          <w:lang w:val="es-MX"/>
        </w:rPr>
        <w:t>exicano</w:t>
      </w:r>
      <w:r w:rsidR="00C402DB">
        <w:rPr>
          <w:rFonts w:ascii="Verdana" w:hAnsi="Verdana" w:cs="Arial"/>
          <w:sz w:val="20"/>
          <w:szCs w:val="20"/>
          <w:lang w:val="es-MX"/>
        </w:rPr>
        <w:t>, de confor</w:t>
      </w:r>
      <w:r w:rsidR="007A1E85">
        <w:rPr>
          <w:rFonts w:ascii="Verdana" w:hAnsi="Verdana" w:cs="Arial"/>
          <w:sz w:val="20"/>
          <w:szCs w:val="20"/>
          <w:lang w:val="es-MX"/>
        </w:rPr>
        <w:t xml:space="preserve">midad con lo establecido en los </w:t>
      </w:r>
      <w:r w:rsidR="00C402DB">
        <w:rPr>
          <w:rFonts w:ascii="Verdana" w:hAnsi="Verdana" w:cs="Arial"/>
          <w:sz w:val="20"/>
          <w:szCs w:val="20"/>
          <w:lang w:val="es-MX"/>
        </w:rPr>
        <w:t>Considerando</w:t>
      </w:r>
      <w:r w:rsidR="007A1E85">
        <w:rPr>
          <w:rFonts w:ascii="Verdana" w:hAnsi="Verdana" w:cs="Arial"/>
          <w:sz w:val="20"/>
          <w:szCs w:val="20"/>
          <w:lang w:val="es-MX"/>
        </w:rPr>
        <w:t>s</w:t>
      </w:r>
      <w:r w:rsidR="00C402DB">
        <w:rPr>
          <w:rFonts w:ascii="Verdana" w:hAnsi="Verdana" w:cs="Arial"/>
          <w:sz w:val="20"/>
          <w:szCs w:val="20"/>
          <w:lang w:val="es-MX"/>
        </w:rPr>
        <w:t xml:space="preserve"> </w:t>
      </w:r>
      <w:r w:rsidR="00E1465C">
        <w:rPr>
          <w:rFonts w:ascii="Verdana" w:hAnsi="Verdana" w:cs="Arial"/>
          <w:sz w:val="20"/>
          <w:szCs w:val="20"/>
          <w:lang w:val="es-MX"/>
        </w:rPr>
        <w:t>3</w:t>
      </w:r>
      <w:r w:rsidR="007A1E85">
        <w:rPr>
          <w:rFonts w:ascii="Verdana" w:hAnsi="Verdana" w:cs="Arial"/>
          <w:sz w:val="20"/>
          <w:szCs w:val="20"/>
          <w:lang w:val="es-MX"/>
        </w:rPr>
        <w:t>2 y 33</w:t>
      </w:r>
      <w:r w:rsidR="00C402DB">
        <w:rPr>
          <w:rFonts w:ascii="Verdana" w:hAnsi="Verdana" w:cs="Arial"/>
          <w:sz w:val="20"/>
          <w:szCs w:val="20"/>
          <w:lang w:val="es-MX"/>
        </w:rPr>
        <w:t xml:space="preserve"> de la presente Resolución</w:t>
      </w:r>
      <w:r w:rsidR="007B3CCE" w:rsidRPr="00981B82">
        <w:rPr>
          <w:rFonts w:ascii="Verdana" w:hAnsi="Verdana" w:cs="Arial"/>
          <w:sz w:val="20"/>
          <w:szCs w:val="20"/>
          <w:lang w:val="es-MX"/>
        </w:rPr>
        <w:t>.</w:t>
      </w:r>
    </w:p>
    <w:p w14:paraId="5677E1CD" w14:textId="77777777" w:rsidR="001C57C7" w:rsidRPr="00981B82" w:rsidRDefault="001C57C7" w:rsidP="001C57C7">
      <w:pPr>
        <w:ind w:right="-6"/>
        <w:jc w:val="both"/>
        <w:rPr>
          <w:rFonts w:ascii="Verdana" w:hAnsi="Verdana"/>
          <w:sz w:val="20"/>
          <w:szCs w:val="20"/>
        </w:rPr>
      </w:pPr>
    </w:p>
    <w:p w14:paraId="5677E1CE" w14:textId="31E3F415" w:rsidR="001C57C7" w:rsidRPr="00981B82" w:rsidRDefault="001C57C7" w:rsidP="001C57C7">
      <w:pPr>
        <w:numPr>
          <w:ilvl w:val="0"/>
          <w:numId w:val="20"/>
        </w:numPr>
        <w:ind w:left="0" w:right="-6" w:firstLine="0"/>
        <w:jc w:val="both"/>
        <w:rPr>
          <w:rFonts w:ascii="Verdana" w:hAnsi="Verdana"/>
          <w:sz w:val="20"/>
          <w:szCs w:val="20"/>
        </w:rPr>
      </w:pPr>
      <w:r w:rsidRPr="00981B82">
        <w:rPr>
          <w:rFonts w:ascii="Verdana" w:hAnsi="Verdana"/>
          <w:sz w:val="20"/>
          <w:szCs w:val="20"/>
        </w:rPr>
        <w:t xml:space="preserve">Que el Estado realice con la mayor brevedad posible un análisis sobre la situación de riesgo de las personas beneficiarias y que se informe a las víctimas o sus representantes sobre la metodología y personal que realizará dicho análisis, el cual deberá hacerse con una perspectiva de género, de conformidad con lo establecido en el Considerando </w:t>
      </w:r>
      <w:r w:rsidR="00E1465C">
        <w:rPr>
          <w:rFonts w:ascii="Verdana" w:hAnsi="Verdana"/>
          <w:sz w:val="20"/>
          <w:szCs w:val="20"/>
        </w:rPr>
        <w:t>1</w:t>
      </w:r>
      <w:r w:rsidR="00652334">
        <w:rPr>
          <w:rFonts w:ascii="Verdana" w:hAnsi="Verdana"/>
          <w:sz w:val="20"/>
          <w:szCs w:val="20"/>
        </w:rPr>
        <w:t>8</w:t>
      </w:r>
      <w:r w:rsidR="00873345">
        <w:rPr>
          <w:rFonts w:ascii="Verdana" w:hAnsi="Verdana"/>
          <w:sz w:val="20"/>
          <w:szCs w:val="20"/>
        </w:rPr>
        <w:t xml:space="preserve"> </w:t>
      </w:r>
      <w:r w:rsidRPr="00402191">
        <w:rPr>
          <w:rFonts w:ascii="Verdana" w:hAnsi="Verdana"/>
          <w:sz w:val="20"/>
          <w:szCs w:val="20"/>
        </w:rPr>
        <w:t xml:space="preserve">de la presente Resolución. </w:t>
      </w:r>
    </w:p>
    <w:p w14:paraId="5677E1D1" w14:textId="77777777" w:rsidR="001C57C7" w:rsidRPr="00981B82" w:rsidRDefault="001C57C7" w:rsidP="001C57C7"/>
    <w:p w14:paraId="4FA12ABD" w14:textId="7DE17617" w:rsidR="00577D09" w:rsidRDefault="001C57C7" w:rsidP="001C57C7">
      <w:pPr>
        <w:numPr>
          <w:ilvl w:val="0"/>
          <w:numId w:val="20"/>
        </w:numPr>
        <w:ind w:left="0" w:right="-6" w:firstLine="0"/>
        <w:jc w:val="both"/>
        <w:rPr>
          <w:rFonts w:ascii="Verdana" w:hAnsi="Verdana"/>
          <w:sz w:val="20"/>
          <w:szCs w:val="20"/>
        </w:rPr>
      </w:pPr>
      <w:r w:rsidRPr="00981B82">
        <w:rPr>
          <w:rFonts w:ascii="Verdana" w:hAnsi="Verdana"/>
          <w:sz w:val="20"/>
          <w:szCs w:val="20"/>
        </w:rPr>
        <w:t xml:space="preserve">Que el Estado </w:t>
      </w:r>
      <w:r w:rsidR="004C647C" w:rsidRPr="00981B82">
        <w:rPr>
          <w:rFonts w:ascii="Verdana" w:hAnsi="Verdana"/>
          <w:sz w:val="20"/>
          <w:szCs w:val="20"/>
        </w:rPr>
        <w:t xml:space="preserve">presente </w:t>
      </w:r>
      <w:r w:rsidR="004C647C">
        <w:rPr>
          <w:rFonts w:ascii="Verdana" w:hAnsi="Verdana"/>
          <w:sz w:val="20"/>
          <w:szCs w:val="20"/>
        </w:rPr>
        <w:t>información completa y pormenorizada</w:t>
      </w:r>
      <w:r w:rsidR="004C647C" w:rsidRPr="00981B82">
        <w:rPr>
          <w:rFonts w:ascii="Verdana" w:hAnsi="Verdana"/>
          <w:sz w:val="20"/>
          <w:szCs w:val="20"/>
        </w:rPr>
        <w:t xml:space="preserve"> sobre las actuaciones realizadas para dar cumplimiento a las medidas provisionales decretadas, en atención a los Considerandos</w:t>
      </w:r>
      <w:r w:rsidR="004C647C" w:rsidRPr="00402191">
        <w:rPr>
          <w:rFonts w:ascii="Verdana" w:hAnsi="Verdana"/>
          <w:sz w:val="20"/>
          <w:szCs w:val="20"/>
        </w:rPr>
        <w:t xml:space="preserve"> </w:t>
      </w:r>
      <w:r w:rsidR="004C647C">
        <w:rPr>
          <w:rFonts w:ascii="Verdana" w:hAnsi="Verdana"/>
          <w:sz w:val="20"/>
          <w:szCs w:val="20"/>
        </w:rPr>
        <w:t xml:space="preserve">12, </w:t>
      </w:r>
      <w:r w:rsidR="001A5A3C">
        <w:rPr>
          <w:rFonts w:ascii="Verdana" w:hAnsi="Verdana"/>
          <w:sz w:val="20"/>
          <w:szCs w:val="20"/>
        </w:rPr>
        <w:t xml:space="preserve">18 y 27 </w:t>
      </w:r>
      <w:r w:rsidR="004C647C" w:rsidRPr="00402191">
        <w:rPr>
          <w:rFonts w:ascii="Verdana" w:hAnsi="Verdana"/>
          <w:sz w:val="20"/>
          <w:szCs w:val="20"/>
        </w:rPr>
        <w:t>de la presente Resolución</w:t>
      </w:r>
      <w:r w:rsidR="004C647C">
        <w:rPr>
          <w:rFonts w:ascii="Verdana" w:hAnsi="Verdana"/>
          <w:sz w:val="20"/>
          <w:szCs w:val="20"/>
        </w:rPr>
        <w:t xml:space="preserve">, a más tardar el 2 de marzo de 2018. Asimismo, </w:t>
      </w:r>
      <w:r w:rsidRPr="00981B82">
        <w:rPr>
          <w:rFonts w:ascii="Verdana" w:hAnsi="Verdana"/>
          <w:sz w:val="20"/>
          <w:szCs w:val="20"/>
        </w:rPr>
        <w:t>continúe informando a la Corte Interamericana de Derechos Humanos cada cuatro meses, contados a partir de la remisión de su último informe</w:t>
      </w:r>
      <w:r w:rsidRPr="00981B82">
        <w:rPr>
          <w:rFonts w:ascii="Verdana" w:hAnsi="Verdana" w:cs="Arial"/>
          <w:sz w:val="20"/>
          <w:szCs w:val="20"/>
        </w:rPr>
        <w:t>, sobre las medidas provisionales adoptadas.</w:t>
      </w:r>
      <w:r w:rsidR="00784276" w:rsidRPr="00981B82">
        <w:rPr>
          <w:rFonts w:ascii="Verdana" w:hAnsi="Verdana"/>
          <w:sz w:val="20"/>
          <w:szCs w:val="20"/>
        </w:rPr>
        <w:t xml:space="preserve"> </w:t>
      </w:r>
    </w:p>
    <w:p w14:paraId="474A4004" w14:textId="77777777" w:rsidR="00577D09" w:rsidRDefault="00577D09" w:rsidP="00F05FE2">
      <w:pPr>
        <w:pStyle w:val="ListParagraph"/>
        <w:rPr>
          <w:rFonts w:ascii="Verdana" w:hAnsi="Verdana"/>
          <w:b/>
          <w:spacing w:val="-4"/>
          <w:sz w:val="20"/>
          <w:szCs w:val="20"/>
          <w:highlight w:val="lightGray"/>
          <w:lang w:val="es-CR"/>
        </w:rPr>
      </w:pPr>
    </w:p>
    <w:p w14:paraId="5677E1D2" w14:textId="2DC74821" w:rsidR="001C57C7" w:rsidRPr="004C647C" w:rsidRDefault="00577D09" w:rsidP="001C57C7">
      <w:pPr>
        <w:numPr>
          <w:ilvl w:val="0"/>
          <w:numId w:val="20"/>
        </w:numPr>
        <w:ind w:left="0" w:right="-6" w:firstLine="0"/>
        <w:jc w:val="both"/>
        <w:rPr>
          <w:rFonts w:ascii="Verdana" w:hAnsi="Verdana"/>
          <w:sz w:val="20"/>
          <w:szCs w:val="20"/>
        </w:rPr>
      </w:pPr>
      <w:r w:rsidRPr="00F05FE2">
        <w:rPr>
          <w:rFonts w:ascii="Verdana" w:hAnsi="Verdana"/>
          <w:spacing w:val="-4"/>
          <w:sz w:val="20"/>
          <w:szCs w:val="20"/>
          <w:lang w:val="es-CR"/>
        </w:rPr>
        <w:t>R</w:t>
      </w:r>
      <w:r w:rsidR="00097CD8" w:rsidRPr="00F05FE2">
        <w:rPr>
          <w:rFonts w:ascii="Verdana" w:hAnsi="Verdana"/>
          <w:spacing w:val="-4"/>
          <w:sz w:val="20"/>
          <w:szCs w:val="20"/>
          <w:lang w:val="es-CR"/>
        </w:rPr>
        <w:t xml:space="preserve">equerir a </w:t>
      </w:r>
      <w:r w:rsidR="00097CD8" w:rsidRPr="00F05FE2">
        <w:rPr>
          <w:rFonts w:ascii="Verdana" w:hAnsi="Verdana"/>
          <w:spacing w:val="-4"/>
          <w:sz w:val="20"/>
          <w:szCs w:val="20"/>
        </w:rPr>
        <w:t xml:space="preserve">la </w:t>
      </w:r>
      <w:r w:rsidR="00097CD8" w:rsidRPr="00F05FE2">
        <w:rPr>
          <w:rFonts w:ascii="Verdana" w:hAnsi="Verdana"/>
          <w:sz w:val="20"/>
          <w:szCs w:val="20"/>
        </w:rPr>
        <w:t xml:space="preserve">Comisión </w:t>
      </w:r>
      <w:r w:rsidRPr="00F05FE2">
        <w:rPr>
          <w:rFonts w:ascii="Verdana" w:hAnsi="Verdana"/>
          <w:sz w:val="20"/>
          <w:szCs w:val="20"/>
        </w:rPr>
        <w:t xml:space="preserve">Nacional de </w:t>
      </w:r>
      <w:r w:rsidR="00097CD8" w:rsidRPr="00F05FE2">
        <w:rPr>
          <w:rFonts w:ascii="Verdana" w:hAnsi="Verdana"/>
          <w:sz w:val="20"/>
          <w:szCs w:val="20"/>
        </w:rPr>
        <w:t>Derechos Humanos</w:t>
      </w:r>
      <w:r w:rsidR="001A5A3C">
        <w:rPr>
          <w:rFonts w:ascii="Verdana" w:hAnsi="Verdana"/>
          <w:sz w:val="20"/>
          <w:szCs w:val="20"/>
        </w:rPr>
        <w:t xml:space="preserve"> de México</w:t>
      </w:r>
      <w:r w:rsidR="00097CD8" w:rsidRPr="00F05FE2">
        <w:rPr>
          <w:rFonts w:ascii="Verdana" w:hAnsi="Verdana"/>
          <w:spacing w:val="-4"/>
          <w:sz w:val="20"/>
          <w:szCs w:val="20"/>
          <w:lang w:val="es-CR"/>
        </w:rPr>
        <w:t xml:space="preserve">, </w:t>
      </w:r>
      <w:r w:rsidRPr="00F05FE2">
        <w:rPr>
          <w:rFonts w:ascii="Verdana" w:hAnsi="Verdana"/>
          <w:spacing w:val="-4"/>
          <w:sz w:val="20"/>
          <w:szCs w:val="20"/>
        </w:rPr>
        <w:t>que</w:t>
      </w:r>
      <w:r w:rsidR="00097CD8" w:rsidRPr="00F05FE2">
        <w:rPr>
          <w:rFonts w:ascii="Verdana" w:hAnsi="Verdana"/>
          <w:spacing w:val="-4"/>
          <w:sz w:val="20"/>
          <w:szCs w:val="20"/>
        </w:rPr>
        <w:t xml:space="preserve"> </w:t>
      </w:r>
      <w:r w:rsidR="004C647C" w:rsidRPr="00F05FE2">
        <w:rPr>
          <w:rFonts w:ascii="Verdana" w:hAnsi="Verdana"/>
          <w:spacing w:val="-4"/>
          <w:sz w:val="20"/>
          <w:szCs w:val="20"/>
        </w:rPr>
        <w:t>a más tardar el 2 de</w:t>
      </w:r>
      <w:r w:rsidRPr="00F05FE2">
        <w:rPr>
          <w:rFonts w:ascii="Verdana" w:hAnsi="Verdana"/>
          <w:spacing w:val="-4"/>
          <w:sz w:val="20"/>
          <w:szCs w:val="20"/>
        </w:rPr>
        <w:t xml:space="preserve"> marzo</w:t>
      </w:r>
      <w:r w:rsidR="00941511" w:rsidRPr="00F05FE2">
        <w:rPr>
          <w:rFonts w:ascii="Verdana" w:hAnsi="Verdana"/>
          <w:spacing w:val="-4"/>
          <w:sz w:val="20"/>
          <w:szCs w:val="20"/>
        </w:rPr>
        <w:t xml:space="preserve"> de 2018</w:t>
      </w:r>
      <w:r w:rsidR="00097CD8" w:rsidRPr="00F05FE2">
        <w:rPr>
          <w:rFonts w:ascii="Verdana" w:hAnsi="Verdana"/>
          <w:spacing w:val="-4"/>
          <w:sz w:val="20"/>
          <w:szCs w:val="20"/>
          <w:lang w:val="es-CR"/>
        </w:rPr>
        <w:t xml:space="preserve">, presente </w:t>
      </w:r>
      <w:r w:rsidRPr="00F05FE2">
        <w:rPr>
          <w:rFonts w:ascii="Verdana" w:hAnsi="Verdana"/>
          <w:sz w:val="20"/>
          <w:szCs w:val="20"/>
        </w:rPr>
        <w:t xml:space="preserve">un informe </w:t>
      </w:r>
      <w:r w:rsidR="00097CD8" w:rsidRPr="00F05FE2">
        <w:rPr>
          <w:rFonts w:ascii="Verdana" w:hAnsi="Verdana"/>
          <w:sz w:val="20"/>
          <w:szCs w:val="20"/>
        </w:rPr>
        <w:t xml:space="preserve">a este Tribunal sobre </w:t>
      </w:r>
      <w:r w:rsidR="001A5A3C">
        <w:rPr>
          <w:rFonts w:ascii="Verdana" w:hAnsi="Verdana"/>
          <w:sz w:val="20"/>
          <w:szCs w:val="20"/>
        </w:rPr>
        <w:t xml:space="preserve">su valoración respecto de </w:t>
      </w:r>
      <w:r w:rsidR="00097CD8" w:rsidRPr="00F05FE2">
        <w:rPr>
          <w:rFonts w:ascii="Verdana" w:hAnsi="Verdana"/>
          <w:sz w:val="20"/>
          <w:szCs w:val="20"/>
        </w:rPr>
        <w:t xml:space="preserve">la situación de riesgo y medidas de protección que puedan ser </w:t>
      </w:r>
      <w:r w:rsidR="004C647C" w:rsidRPr="00F05FE2">
        <w:rPr>
          <w:rFonts w:ascii="Verdana" w:hAnsi="Verdana"/>
          <w:sz w:val="20"/>
          <w:szCs w:val="20"/>
        </w:rPr>
        <w:t>implementadas a favor de los y las beneficiarias</w:t>
      </w:r>
      <w:r w:rsidR="00097CD8" w:rsidRPr="00F05FE2">
        <w:rPr>
          <w:rFonts w:ascii="Verdana" w:hAnsi="Verdana"/>
          <w:sz w:val="20"/>
          <w:szCs w:val="20"/>
        </w:rPr>
        <w:t>, de conformidad con el Considerando 2</w:t>
      </w:r>
      <w:r w:rsidR="00593FBF" w:rsidRPr="00F05FE2">
        <w:rPr>
          <w:rFonts w:ascii="Verdana" w:hAnsi="Verdana"/>
          <w:sz w:val="20"/>
          <w:szCs w:val="20"/>
        </w:rPr>
        <w:t>8</w:t>
      </w:r>
      <w:r w:rsidR="00097CD8" w:rsidRPr="00F05FE2">
        <w:rPr>
          <w:rFonts w:ascii="Verdana" w:hAnsi="Verdana"/>
          <w:sz w:val="20"/>
          <w:szCs w:val="20"/>
        </w:rPr>
        <w:t xml:space="preserve"> de la presente Resolución.</w:t>
      </w:r>
    </w:p>
    <w:p w14:paraId="5677E1D3" w14:textId="77777777" w:rsidR="00243F7F" w:rsidRPr="00981B82" w:rsidRDefault="00243F7F" w:rsidP="00243F7F">
      <w:pPr>
        <w:pStyle w:val="ListParagraph"/>
        <w:rPr>
          <w:rFonts w:ascii="Verdana" w:hAnsi="Verdana"/>
          <w:sz w:val="20"/>
          <w:szCs w:val="20"/>
        </w:rPr>
      </w:pPr>
    </w:p>
    <w:p w14:paraId="5677E1D4" w14:textId="3595AAD6" w:rsidR="00243F7F" w:rsidRPr="00981B82" w:rsidRDefault="00243F7F" w:rsidP="00243F7F">
      <w:pPr>
        <w:numPr>
          <w:ilvl w:val="0"/>
          <w:numId w:val="20"/>
        </w:numPr>
        <w:ind w:left="0" w:right="-6" w:firstLine="0"/>
        <w:jc w:val="both"/>
        <w:rPr>
          <w:rFonts w:ascii="Verdana" w:hAnsi="Verdana"/>
          <w:sz w:val="20"/>
          <w:szCs w:val="20"/>
        </w:rPr>
      </w:pPr>
      <w:r w:rsidRPr="00981B82">
        <w:rPr>
          <w:rFonts w:ascii="Verdana" w:hAnsi="Verdana" w:cs="Arial"/>
          <w:sz w:val="20"/>
          <w:szCs w:val="20"/>
          <w:lang w:val="es-ES"/>
        </w:rPr>
        <w:t>Que l</w:t>
      </w:r>
      <w:r w:rsidR="00593FBF">
        <w:rPr>
          <w:rFonts w:ascii="Verdana" w:hAnsi="Verdana" w:cs="Arial"/>
          <w:sz w:val="20"/>
          <w:szCs w:val="20"/>
          <w:lang w:val="es-ES"/>
        </w:rPr>
        <w:t>o</w:t>
      </w:r>
      <w:r w:rsidRPr="00981B82">
        <w:rPr>
          <w:rFonts w:ascii="Verdana" w:hAnsi="Verdana" w:cs="Arial"/>
          <w:sz w:val="20"/>
          <w:szCs w:val="20"/>
          <w:lang w:val="es-ES"/>
        </w:rPr>
        <w:t xml:space="preserve">s representantes de los </w:t>
      </w:r>
      <w:r w:rsidR="001A5A3C">
        <w:rPr>
          <w:rFonts w:ascii="Verdana" w:hAnsi="Verdana" w:cs="Arial"/>
          <w:sz w:val="20"/>
          <w:szCs w:val="20"/>
          <w:lang w:val="es-ES"/>
        </w:rPr>
        <w:t xml:space="preserve">y las </w:t>
      </w:r>
      <w:r w:rsidRPr="00981B82">
        <w:rPr>
          <w:rFonts w:ascii="Verdana" w:hAnsi="Verdana" w:cs="Arial"/>
          <w:sz w:val="20"/>
          <w:szCs w:val="20"/>
          <w:lang w:val="es-ES"/>
        </w:rPr>
        <w:t>beneficiari</w:t>
      </w:r>
      <w:r w:rsidR="001A5A3C">
        <w:rPr>
          <w:rFonts w:ascii="Verdana" w:hAnsi="Verdana" w:cs="Arial"/>
          <w:sz w:val="20"/>
          <w:szCs w:val="20"/>
          <w:lang w:val="es-ES"/>
        </w:rPr>
        <w:t>a</w:t>
      </w:r>
      <w:r w:rsidRPr="00981B82">
        <w:rPr>
          <w:rFonts w:ascii="Verdana" w:hAnsi="Verdana" w:cs="Arial"/>
          <w:sz w:val="20"/>
          <w:szCs w:val="20"/>
          <w:lang w:val="es-ES"/>
        </w:rPr>
        <w:t xml:space="preserve">s presenten sus observaciones al informe del Estado dentro del plazo de cuatro semanas, contado a partir </w:t>
      </w:r>
      <w:r w:rsidRPr="00981B82">
        <w:rPr>
          <w:rFonts w:ascii="Verdana" w:hAnsi="Verdana" w:cs="Arial"/>
          <w:sz w:val="20"/>
          <w:szCs w:val="20"/>
        </w:rPr>
        <w:t>de la notificación de los informes estatales que se indican en el punto resolutivo anterior</w:t>
      </w:r>
      <w:r w:rsidR="001A5A3C">
        <w:rPr>
          <w:rFonts w:ascii="Verdana" w:hAnsi="Verdana" w:cs="Arial"/>
          <w:sz w:val="20"/>
          <w:szCs w:val="20"/>
          <w:lang w:val="es-ES"/>
        </w:rPr>
        <w:t xml:space="preserve">, de conformidad con el Considerando 26 y el píe de página 6 de la presente Resolución. </w:t>
      </w:r>
    </w:p>
    <w:p w14:paraId="5677E1D5" w14:textId="77777777" w:rsidR="00AB0B37" w:rsidRPr="00981B82" w:rsidRDefault="00AB0B37" w:rsidP="00AB0B37">
      <w:pPr>
        <w:ind w:right="-6"/>
        <w:jc w:val="both"/>
        <w:rPr>
          <w:rFonts w:ascii="Verdana" w:hAnsi="Verdana"/>
          <w:sz w:val="20"/>
          <w:szCs w:val="20"/>
        </w:rPr>
      </w:pPr>
    </w:p>
    <w:p w14:paraId="5677E1D6" w14:textId="5D6BEFB7" w:rsidR="00EB4828" w:rsidRPr="00981B82" w:rsidRDefault="00EB4828" w:rsidP="000310A0">
      <w:pPr>
        <w:numPr>
          <w:ilvl w:val="0"/>
          <w:numId w:val="20"/>
        </w:numPr>
        <w:ind w:left="0" w:right="-6" w:firstLine="0"/>
        <w:jc w:val="both"/>
        <w:rPr>
          <w:rFonts w:ascii="Verdana" w:hAnsi="Verdana"/>
          <w:sz w:val="20"/>
          <w:szCs w:val="20"/>
          <w:u w:val="single"/>
        </w:rPr>
      </w:pPr>
      <w:r w:rsidRPr="00981B82">
        <w:rPr>
          <w:rFonts w:ascii="Verdana" w:hAnsi="Verdana" w:cs="Arial"/>
          <w:sz w:val="20"/>
          <w:szCs w:val="20"/>
          <w:lang w:val="es-ES"/>
        </w:rPr>
        <w:t xml:space="preserve">Asimismo, la Comisión Interamericana de Derechos Humanos </w:t>
      </w:r>
      <w:r w:rsidR="007761DE" w:rsidRPr="00981B82">
        <w:rPr>
          <w:rFonts w:ascii="Verdana" w:hAnsi="Verdana" w:cs="Arial"/>
          <w:sz w:val="20"/>
          <w:szCs w:val="20"/>
          <w:lang w:val="es-ES"/>
        </w:rPr>
        <w:t xml:space="preserve">podrá </w:t>
      </w:r>
      <w:r w:rsidRPr="00981B82">
        <w:rPr>
          <w:rFonts w:ascii="Verdana" w:hAnsi="Verdana" w:cs="Arial"/>
          <w:sz w:val="20"/>
          <w:szCs w:val="20"/>
          <w:lang w:val="es-ES"/>
        </w:rPr>
        <w:t xml:space="preserve">presentar sus observaciones a los escritos del Estado y de los representantes mencionados anteriormente dentro de un plazo de dos semanas, contado a partir de la recepción del respectivo escrito de observaciones de los representantes. </w:t>
      </w:r>
    </w:p>
    <w:p w14:paraId="5677E1D7" w14:textId="77777777" w:rsidR="00EB4828" w:rsidRPr="00981B82" w:rsidRDefault="00EB4828" w:rsidP="00EB4828">
      <w:pPr>
        <w:pStyle w:val="ListParagraph"/>
        <w:rPr>
          <w:rFonts w:ascii="Verdana" w:hAnsi="Verdana"/>
          <w:sz w:val="20"/>
          <w:szCs w:val="20"/>
        </w:rPr>
      </w:pPr>
    </w:p>
    <w:p w14:paraId="052312F3" w14:textId="6CBAFF9F" w:rsidR="00800376" w:rsidRDefault="00EB4828" w:rsidP="007B3CC8">
      <w:pPr>
        <w:numPr>
          <w:ilvl w:val="0"/>
          <w:numId w:val="20"/>
        </w:numPr>
        <w:ind w:left="0" w:right="-6" w:firstLine="0"/>
        <w:jc w:val="both"/>
        <w:rPr>
          <w:rFonts w:ascii="Verdana" w:hAnsi="Verdana"/>
          <w:sz w:val="20"/>
          <w:szCs w:val="20"/>
        </w:rPr>
      </w:pPr>
      <w:r w:rsidRPr="00981B82">
        <w:rPr>
          <w:rFonts w:ascii="Verdana" w:hAnsi="Verdana"/>
          <w:sz w:val="20"/>
          <w:szCs w:val="20"/>
        </w:rPr>
        <w:t xml:space="preserve">Que la Secretaría notifique la presente Resolución al Estado </w:t>
      </w:r>
      <w:r w:rsidR="00A46563" w:rsidRPr="00981B82">
        <w:rPr>
          <w:rFonts w:ascii="Verdana" w:hAnsi="Verdana"/>
          <w:sz w:val="20"/>
          <w:szCs w:val="20"/>
        </w:rPr>
        <w:t>m</w:t>
      </w:r>
      <w:r w:rsidR="00E8726E" w:rsidRPr="00981B82">
        <w:rPr>
          <w:rFonts w:ascii="Verdana" w:hAnsi="Verdana"/>
          <w:sz w:val="20"/>
          <w:szCs w:val="20"/>
        </w:rPr>
        <w:t>exicano</w:t>
      </w:r>
      <w:r w:rsidRPr="00981B82">
        <w:rPr>
          <w:rFonts w:ascii="Verdana" w:hAnsi="Verdana"/>
          <w:sz w:val="20"/>
          <w:szCs w:val="20"/>
        </w:rPr>
        <w:t>, a la Comisión Inter</w:t>
      </w:r>
      <w:r w:rsidR="0058263F">
        <w:rPr>
          <w:rFonts w:ascii="Verdana" w:hAnsi="Verdana"/>
          <w:sz w:val="20"/>
          <w:szCs w:val="20"/>
        </w:rPr>
        <w:t xml:space="preserve">americana de Derechos Humanos, </w:t>
      </w:r>
      <w:r w:rsidRPr="00981B82">
        <w:rPr>
          <w:rFonts w:ascii="Verdana" w:hAnsi="Verdana"/>
          <w:sz w:val="20"/>
          <w:szCs w:val="20"/>
        </w:rPr>
        <w:t>a los representantes de los beneficiarios</w:t>
      </w:r>
      <w:r w:rsidR="00B83282">
        <w:rPr>
          <w:rFonts w:ascii="Verdana" w:hAnsi="Verdana"/>
          <w:sz w:val="20"/>
          <w:szCs w:val="20"/>
        </w:rPr>
        <w:t xml:space="preserve"> y a la </w:t>
      </w:r>
      <w:r w:rsidR="00B83282" w:rsidRPr="00F05FE2">
        <w:rPr>
          <w:rFonts w:ascii="Verdana" w:hAnsi="Verdana"/>
          <w:sz w:val="20"/>
          <w:szCs w:val="20"/>
        </w:rPr>
        <w:t>Comisión Nacional de los Derechos Humanos de México</w:t>
      </w:r>
      <w:r w:rsidRPr="004C647C">
        <w:rPr>
          <w:rFonts w:ascii="Verdana" w:hAnsi="Verdana"/>
          <w:sz w:val="20"/>
          <w:szCs w:val="20"/>
        </w:rPr>
        <w:t>.</w:t>
      </w:r>
    </w:p>
    <w:p w14:paraId="254F72A7" w14:textId="77777777" w:rsidR="00D300F6" w:rsidRDefault="00D300F6" w:rsidP="008747D5">
      <w:pPr>
        <w:pStyle w:val="ListParagraph"/>
        <w:rPr>
          <w:rFonts w:ascii="Verdana" w:hAnsi="Verdana"/>
          <w:sz w:val="20"/>
          <w:szCs w:val="20"/>
        </w:rPr>
      </w:pPr>
    </w:p>
    <w:p w14:paraId="617BE9CE" w14:textId="1700AF79" w:rsidR="00800376" w:rsidRPr="00784276" w:rsidRDefault="00E934FC" w:rsidP="008747D5">
      <w:pPr>
        <w:numPr>
          <w:ilvl w:val="0"/>
          <w:numId w:val="20"/>
        </w:numPr>
        <w:ind w:left="0" w:right="-6" w:firstLine="0"/>
        <w:jc w:val="both"/>
        <w:rPr>
          <w:rFonts w:ascii="Verdana" w:hAnsi="Verdana"/>
          <w:sz w:val="20"/>
          <w:szCs w:val="20"/>
        </w:rPr>
      </w:pPr>
      <w:r w:rsidRPr="00784276">
        <w:rPr>
          <w:rFonts w:ascii="Verdana" w:hAnsi="Verdana"/>
          <w:sz w:val="20"/>
          <w:szCs w:val="20"/>
        </w:rPr>
        <w:t>Resolución de la Corte Interamericana de Derechos Humanos, Medidas Provisionales respecto de México, asunto Alvarado Reyes y otros.</w:t>
      </w:r>
    </w:p>
    <w:p w14:paraId="5A242C0D" w14:textId="77777777" w:rsidR="008823CB" w:rsidRDefault="008823CB" w:rsidP="00800376">
      <w:pPr>
        <w:ind w:right="-6"/>
        <w:jc w:val="both"/>
        <w:rPr>
          <w:rFonts w:ascii="Verdana" w:hAnsi="Verdana"/>
          <w:sz w:val="20"/>
          <w:szCs w:val="20"/>
        </w:rPr>
      </w:pPr>
    </w:p>
    <w:p w14:paraId="69C56158" w14:textId="2726A170" w:rsidR="005F77C2" w:rsidRDefault="005F77C2">
      <w:pPr>
        <w:rPr>
          <w:rFonts w:ascii="Verdana" w:hAnsi="Verdana"/>
          <w:sz w:val="20"/>
          <w:szCs w:val="20"/>
        </w:rPr>
      </w:pPr>
      <w:r>
        <w:rPr>
          <w:rFonts w:ascii="Verdana" w:hAnsi="Verdana"/>
          <w:sz w:val="20"/>
          <w:szCs w:val="20"/>
        </w:rPr>
        <w:br w:type="page"/>
      </w:r>
    </w:p>
    <w:p w14:paraId="60753C03" w14:textId="77777777" w:rsidR="005F77C2" w:rsidRPr="00784276" w:rsidRDefault="005F77C2" w:rsidP="005F77C2">
      <w:pPr>
        <w:ind w:right="-6"/>
        <w:jc w:val="both"/>
        <w:rPr>
          <w:rFonts w:ascii="Verdana" w:hAnsi="Verdana"/>
          <w:sz w:val="20"/>
          <w:szCs w:val="20"/>
        </w:rPr>
      </w:pPr>
      <w:r w:rsidRPr="00784276">
        <w:rPr>
          <w:rFonts w:ascii="Verdana" w:hAnsi="Verdana"/>
          <w:sz w:val="20"/>
          <w:szCs w:val="20"/>
        </w:rPr>
        <w:lastRenderedPageBreak/>
        <w:t>Resolución de la Corte Interamericana de Derechos Humanos, Medidas Provisionales respecto de México, asunto Alvarado Reyes y otros.</w:t>
      </w:r>
    </w:p>
    <w:p w14:paraId="48EE0BE4" w14:textId="77777777" w:rsidR="00FE7599" w:rsidRDefault="00FE7599" w:rsidP="007B3CC8">
      <w:pPr>
        <w:rPr>
          <w:rFonts w:ascii="Verdana" w:hAnsi="Verdana"/>
          <w:sz w:val="20"/>
          <w:szCs w:val="20"/>
        </w:rPr>
      </w:pPr>
    </w:p>
    <w:p w14:paraId="5C15A74D" w14:textId="77777777" w:rsidR="005F77C2" w:rsidRDefault="005F77C2" w:rsidP="007B3CC8">
      <w:pPr>
        <w:rPr>
          <w:rFonts w:ascii="Verdana" w:hAnsi="Verdana"/>
          <w:sz w:val="20"/>
          <w:szCs w:val="20"/>
        </w:rPr>
      </w:pPr>
    </w:p>
    <w:p w14:paraId="45C020A5" w14:textId="77777777" w:rsidR="005F77C2" w:rsidRDefault="005F77C2" w:rsidP="007B3CC8">
      <w:pPr>
        <w:rPr>
          <w:rFonts w:ascii="Verdana" w:hAnsi="Verdana"/>
          <w:sz w:val="20"/>
          <w:szCs w:val="20"/>
        </w:rPr>
      </w:pPr>
    </w:p>
    <w:p w14:paraId="76B13474" w14:textId="77777777" w:rsidR="005F77C2" w:rsidRDefault="005F77C2" w:rsidP="007B3CC8">
      <w:pPr>
        <w:rPr>
          <w:rFonts w:ascii="Verdana" w:hAnsi="Verdana"/>
          <w:sz w:val="20"/>
          <w:szCs w:val="20"/>
        </w:rPr>
      </w:pPr>
    </w:p>
    <w:p w14:paraId="44E295FF" w14:textId="77777777" w:rsidR="005F77C2" w:rsidRDefault="005F77C2" w:rsidP="005F77C2">
      <w:pPr>
        <w:jc w:val="center"/>
        <w:rPr>
          <w:rFonts w:ascii="Verdana" w:hAnsi="Verdana"/>
          <w:sz w:val="20"/>
        </w:rPr>
      </w:pPr>
      <w:r>
        <w:rPr>
          <w:rFonts w:ascii="Verdana" w:hAnsi="Verdana"/>
          <w:sz w:val="20"/>
          <w:lang w:val="es-CR"/>
        </w:rPr>
        <w:t>Roberto F. Caldas</w:t>
      </w:r>
    </w:p>
    <w:p w14:paraId="43A13034" w14:textId="77777777" w:rsidR="005F77C2" w:rsidRDefault="005F77C2" w:rsidP="005F77C2">
      <w:pPr>
        <w:jc w:val="center"/>
        <w:rPr>
          <w:rFonts w:ascii="Verdana" w:hAnsi="Verdana"/>
          <w:sz w:val="20"/>
        </w:rPr>
      </w:pPr>
      <w:r>
        <w:rPr>
          <w:rFonts w:ascii="Verdana" w:hAnsi="Verdana"/>
          <w:sz w:val="20"/>
        </w:rPr>
        <w:t xml:space="preserve">Presidente </w:t>
      </w:r>
    </w:p>
    <w:p w14:paraId="19C30931" w14:textId="77777777" w:rsidR="005F77C2" w:rsidRDefault="005F77C2" w:rsidP="005F77C2">
      <w:pPr>
        <w:jc w:val="both"/>
        <w:rPr>
          <w:rFonts w:ascii="Verdana" w:hAnsi="Verdana"/>
          <w:sz w:val="20"/>
        </w:rPr>
      </w:pPr>
    </w:p>
    <w:p w14:paraId="6A446F85" w14:textId="77777777" w:rsidR="005F77C2" w:rsidRDefault="005F77C2" w:rsidP="005F77C2">
      <w:pPr>
        <w:jc w:val="both"/>
        <w:rPr>
          <w:rFonts w:ascii="Verdana" w:hAnsi="Verdana"/>
          <w:sz w:val="20"/>
        </w:rPr>
      </w:pPr>
    </w:p>
    <w:p w14:paraId="5E772F89" w14:textId="77777777" w:rsidR="005F77C2" w:rsidRDefault="005F77C2" w:rsidP="005F77C2">
      <w:pPr>
        <w:jc w:val="both"/>
        <w:rPr>
          <w:rFonts w:ascii="Verdana" w:hAnsi="Verdana"/>
          <w:sz w:val="20"/>
        </w:rPr>
      </w:pPr>
    </w:p>
    <w:p w14:paraId="1D677C07" w14:textId="77777777" w:rsidR="005F77C2" w:rsidRDefault="005F77C2" w:rsidP="005F77C2">
      <w:pPr>
        <w:jc w:val="both"/>
        <w:rPr>
          <w:rFonts w:ascii="Verdana" w:hAnsi="Verdana"/>
          <w:sz w:val="20"/>
        </w:rPr>
      </w:pPr>
    </w:p>
    <w:p w14:paraId="260DE98B" w14:textId="77777777" w:rsidR="005F77C2" w:rsidRDefault="005F77C2" w:rsidP="005F77C2">
      <w:pPr>
        <w:jc w:val="both"/>
        <w:rPr>
          <w:rFonts w:ascii="Verdana" w:hAnsi="Verdana"/>
          <w:sz w:val="20"/>
        </w:rPr>
      </w:pPr>
    </w:p>
    <w:p w14:paraId="7EC53A88" w14:textId="039FB29F" w:rsidR="005F77C2" w:rsidRDefault="005F77C2" w:rsidP="005F77C2">
      <w:pPr>
        <w:jc w:val="both"/>
        <w:rPr>
          <w:rFonts w:ascii="Verdana" w:hAnsi="Verdana"/>
          <w:sz w:val="20"/>
          <w:lang w:val="es-CR"/>
        </w:rPr>
      </w:pPr>
      <w:r>
        <w:rPr>
          <w:rFonts w:ascii="Verdana" w:hAnsi="Verdana"/>
          <w:sz w:val="20"/>
          <w:lang w:val="es-CR"/>
        </w:rPr>
        <w:t>Eduardo Vio Grossi</w:t>
      </w:r>
      <w:r w:rsidRPr="005F77C2">
        <w:rPr>
          <w:rFonts w:ascii="Verdana" w:hAnsi="Verdana"/>
          <w:sz w:val="20"/>
          <w:lang w:val="es-CR"/>
        </w:rPr>
        <w:t xml:space="preserve"> </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Humberto A. Sierra Porto</w:t>
      </w:r>
    </w:p>
    <w:p w14:paraId="6F6366B8" w14:textId="77777777" w:rsidR="005F77C2" w:rsidRDefault="005F77C2" w:rsidP="005F77C2">
      <w:pPr>
        <w:jc w:val="both"/>
        <w:rPr>
          <w:rFonts w:ascii="Verdana" w:hAnsi="Verdana"/>
          <w:sz w:val="20"/>
          <w:lang w:val="es-CR"/>
        </w:rPr>
      </w:pPr>
    </w:p>
    <w:p w14:paraId="53688FA9" w14:textId="77777777" w:rsidR="005F77C2" w:rsidRDefault="005F77C2" w:rsidP="005F77C2">
      <w:pPr>
        <w:jc w:val="both"/>
        <w:rPr>
          <w:rFonts w:ascii="Verdana" w:hAnsi="Verdana"/>
          <w:sz w:val="20"/>
          <w:lang w:val="es-CR"/>
        </w:rPr>
      </w:pPr>
    </w:p>
    <w:p w14:paraId="6D5C391B" w14:textId="77777777" w:rsidR="005F77C2" w:rsidRDefault="005F77C2" w:rsidP="005F77C2">
      <w:pPr>
        <w:jc w:val="both"/>
        <w:rPr>
          <w:rFonts w:ascii="Verdana" w:hAnsi="Verdana"/>
          <w:sz w:val="20"/>
          <w:lang w:val="es-CR"/>
        </w:rPr>
      </w:pPr>
    </w:p>
    <w:p w14:paraId="0607C489" w14:textId="77777777" w:rsidR="005F77C2" w:rsidRDefault="005F77C2" w:rsidP="005F77C2">
      <w:pPr>
        <w:jc w:val="both"/>
        <w:rPr>
          <w:rFonts w:ascii="Verdana" w:hAnsi="Verdana"/>
          <w:sz w:val="20"/>
          <w:lang w:val="es-CR"/>
        </w:rPr>
      </w:pPr>
    </w:p>
    <w:p w14:paraId="730B7BAE" w14:textId="77777777" w:rsidR="005F77C2" w:rsidRDefault="005F77C2" w:rsidP="005F77C2">
      <w:pPr>
        <w:jc w:val="both"/>
        <w:rPr>
          <w:rFonts w:ascii="Verdana" w:hAnsi="Verdana"/>
          <w:sz w:val="20"/>
          <w:lang w:val="es-CR"/>
        </w:rPr>
      </w:pPr>
    </w:p>
    <w:p w14:paraId="1A94C018" w14:textId="196827C7" w:rsidR="005F77C2" w:rsidRPr="003D7CEE" w:rsidRDefault="005F77C2" w:rsidP="005F77C2">
      <w:pPr>
        <w:jc w:val="both"/>
        <w:rPr>
          <w:rFonts w:ascii="Verdana" w:hAnsi="Verdana"/>
          <w:sz w:val="20"/>
          <w:lang w:val="es-CR"/>
        </w:rPr>
      </w:pPr>
      <w:r>
        <w:rPr>
          <w:rFonts w:ascii="Verdana" w:hAnsi="Verdana"/>
          <w:sz w:val="20"/>
          <w:lang w:val="es-CR"/>
        </w:rPr>
        <w:t>Elizabeth Odio Benito</w:t>
      </w:r>
      <w:r w:rsidRPr="005F77C2">
        <w:rPr>
          <w:rFonts w:ascii="Verdana" w:hAnsi="Verdana"/>
          <w:sz w:val="20"/>
          <w:lang w:val="es-CR"/>
        </w:rPr>
        <w:t xml:space="preserve"> </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Eugenio Raúl </w:t>
      </w:r>
      <w:proofErr w:type="spellStart"/>
      <w:r>
        <w:rPr>
          <w:rFonts w:ascii="Verdana" w:hAnsi="Verdana"/>
          <w:sz w:val="20"/>
          <w:lang w:val="es-CR"/>
        </w:rPr>
        <w:t>Zaffaroni</w:t>
      </w:r>
      <w:proofErr w:type="spellEnd"/>
    </w:p>
    <w:p w14:paraId="579A1230" w14:textId="77777777" w:rsidR="005F77C2" w:rsidRDefault="005F77C2" w:rsidP="005F77C2">
      <w:pPr>
        <w:jc w:val="center"/>
        <w:rPr>
          <w:rFonts w:ascii="Verdana" w:hAnsi="Verdana"/>
          <w:sz w:val="20"/>
        </w:rPr>
      </w:pPr>
    </w:p>
    <w:p w14:paraId="4CB8A17D" w14:textId="77777777" w:rsidR="005F77C2" w:rsidRDefault="005F77C2" w:rsidP="005F77C2">
      <w:pPr>
        <w:jc w:val="center"/>
        <w:rPr>
          <w:rFonts w:ascii="Verdana" w:hAnsi="Verdana"/>
          <w:sz w:val="20"/>
        </w:rPr>
      </w:pPr>
    </w:p>
    <w:p w14:paraId="62182162" w14:textId="77777777" w:rsidR="005F77C2" w:rsidRDefault="005F77C2" w:rsidP="005F77C2">
      <w:pPr>
        <w:jc w:val="center"/>
        <w:rPr>
          <w:rFonts w:ascii="Verdana" w:hAnsi="Verdana"/>
          <w:sz w:val="20"/>
        </w:rPr>
      </w:pPr>
    </w:p>
    <w:p w14:paraId="52C598CC" w14:textId="77777777" w:rsidR="005F77C2" w:rsidRDefault="005F77C2" w:rsidP="005F77C2">
      <w:pPr>
        <w:jc w:val="center"/>
        <w:rPr>
          <w:rFonts w:ascii="Verdana" w:hAnsi="Verdana"/>
          <w:sz w:val="20"/>
        </w:rPr>
      </w:pPr>
    </w:p>
    <w:p w14:paraId="0183AF0B" w14:textId="47C7FA49" w:rsidR="005F77C2" w:rsidRDefault="005F77C2" w:rsidP="005F77C2">
      <w:pPr>
        <w:rPr>
          <w:rFonts w:ascii="Verdana" w:hAnsi="Verdana"/>
          <w:sz w:val="20"/>
          <w:lang w:val="es-CR"/>
        </w:rPr>
      </w:pPr>
    </w:p>
    <w:p w14:paraId="33DEDFCF" w14:textId="4BCAB1D1" w:rsidR="005F77C2" w:rsidRDefault="005F77C2" w:rsidP="005F77C2">
      <w:pPr>
        <w:jc w:val="center"/>
        <w:rPr>
          <w:rFonts w:ascii="Verdana" w:hAnsi="Verdana"/>
          <w:sz w:val="20"/>
          <w:lang w:val="es-CR"/>
        </w:rPr>
      </w:pPr>
      <w:r>
        <w:rPr>
          <w:rFonts w:ascii="Verdana" w:hAnsi="Verdana"/>
          <w:sz w:val="20"/>
          <w:lang w:val="es-CR"/>
        </w:rPr>
        <w:t>L. Patricio Pazmiño Freire</w:t>
      </w:r>
    </w:p>
    <w:p w14:paraId="083CE57D" w14:textId="77777777" w:rsidR="005F77C2" w:rsidRDefault="005F77C2" w:rsidP="005F77C2">
      <w:pPr>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p>
    <w:p w14:paraId="233CB0DC" w14:textId="77777777" w:rsidR="005F77C2" w:rsidRDefault="005F77C2" w:rsidP="005F77C2">
      <w:pPr>
        <w:rPr>
          <w:rFonts w:ascii="Verdana" w:hAnsi="Verdana"/>
          <w:sz w:val="20"/>
          <w:lang w:val="es-CR"/>
        </w:rPr>
      </w:pPr>
    </w:p>
    <w:p w14:paraId="6A59ABD8" w14:textId="77777777" w:rsidR="005F77C2" w:rsidRDefault="005F77C2" w:rsidP="005F77C2">
      <w:pPr>
        <w:rPr>
          <w:rFonts w:ascii="Verdana" w:hAnsi="Verdana"/>
          <w:sz w:val="20"/>
          <w:lang w:val="es-CR"/>
        </w:rPr>
      </w:pPr>
    </w:p>
    <w:p w14:paraId="0D225D58" w14:textId="77777777" w:rsidR="005F77C2" w:rsidRDefault="005F77C2" w:rsidP="005F77C2">
      <w:pPr>
        <w:tabs>
          <w:tab w:val="left" w:pos="8460"/>
          <w:tab w:val="left" w:pos="8640"/>
        </w:tabs>
        <w:jc w:val="both"/>
        <w:rPr>
          <w:rFonts w:ascii="Verdana" w:hAnsi="Verdana"/>
          <w:sz w:val="20"/>
          <w:lang w:val="es-CR"/>
        </w:rPr>
      </w:pPr>
    </w:p>
    <w:p w14:paraId="7A63A8FF" w14:textId="77777777" w:rsidR="005F77C2" w:rsidRPr="00274D2F" w:rsidRDefault="005F77C2" w:rsidP="005F77C2">
      <w:pPr>
        <w:tabs>
          <w:tab w:val="left" w:pos="8460"/>
          <w:tab w:val="left" w:pos="8640"/>
        </w:tabs>
        <w:jc w:val="both"/>
        <w:rPr>
          <w:rFonts w:ascii="Verdana" w:hAnsi="Verdana"/>
          <w:sz w:val="20"/>
          <w:lang w:val="es-CR"/>
        </w:rPr>
      </w:pPr>
    </w:p>
    <w:p w14:paraId="5C572909" w14:textId="77777777" w:rsidR="005F77C2" w:rsidRDefault="005F77C2" w:rsidP="005F77C2">
      <w:pPr>
        <w:tabs>
          <w:tab w:val="left" w:pos="8460"/>
          <w:tab w:val="left" w:pos="8640"/>
        </w:tabs>
        <w:jc w:val="center"/>
        <w:rPr>
          <w:rFonts w:ascii="Verdana" w:hAnsi="Verdana"/>
          <w:sz w:val="20"/>
        </w:rPr>
      </w:pPr>
      <w:r>
        <w:rPr>
          <w:rFonts w:ascii="Verdana" w:hAnsi="Verdana"/>
          <w:sz w:val="20"/>
        </w:rPr>
        <w:t>Pablo Saavedra Alessandri</w:t>
      </w:r>
    </w:p>
    <w:p w14:paraId="16CE156A" w14:textId="77777777" w:rsidR="005F77C2" w:rsidRDefault="005F77C2" w:rsidP="005F77C2">
      <w:pPr>
        <w:tabs>
          <w:tab w:val="left" w:pos="8460"/>
          <w:tab w:val="left" w:pos="8640"/>
        </w:tabs>
        <w:jc w:val="center"/>
        <w:rPr>
          <w:rFonts w:ascii="Verdana" w:hAnsi="Verdana"/>
          <w:sz w:val="20"/>
        </w:rPr>
      </w:pPr>
      <w:r>
        <w:rPr>
          <w:rFonts w:ascii="Verdana" w:hAnsi="Verdana"/>
          <w:sz w:val="20"/>
        </w:rPr>
        <w:t>Secretario</w:t>
      </w:r>
    </w:p>
    <w:p w14:paraId="7B18407F" w14:textId="77777777" w:rsidR="005F77C2" w:rsidRDefault="005F77C2" w:rsidP="005F77C2">
      <w:pPr>
        <w:tabs>
          <w:tab w:val="left" w:pos="8460"/>
          <w:tab w:val="left" w:pos="8640"/>
        </w:tabs>
        <w:jc w:val="both"/>
        <w:rPr>
          <w:rFonts w:ascii="Verdana" w:hAnsi="Verdana"/>
          <w:sz w:val="20"/>
        </w:rPr>
      </w:pPr>
    </w:p>
    <w:p w14:paraId="6C6F42CB" w14:textId="77777777" w:rsidR="005F77C2" w:rsidRDefault="005F77C2" w:rsidP="005F77C2">
      <w:pPr>
        <w:jc w:val="both"/>
        <w:rPr>
          <w:rFonts w:ascii="Verdana" w:hAnsi="Verdana"/>
          <w:sz w:val="20"/>
        </w:rPr>
      </w:pPr>
    </w:p>
    <w:p w14:paraId="03624CED" w14:textId="77777777" w:rsidR="005F77C2" w:rsidRDefault="005F77C2" w:rsidP="005F77C2">
      <w:pPr>
        <w:tabs>
          <w:tab w:val="left" w:pos="8460"/>
          <w:tab w:val="left" w:pos="8640"/>
        </w:tabs>
        <w:jc w:val="both"/>
        <w:rPr>
          <w:rFonts w:ascii="Verdana" w:hAnsi="Verdana"/>
          <w:sz w:val="20"/>
        </w:rPr>
      </w:pPr>
      <w:r>
        <w:rPr>
          <w:rFonts w:ascii="Verdana" w:hAnsi="Verdana"/>
          <w:sz w:val="20"/>
        </w:rPr>
        <w:t>Comuníquese y ejecútese,</w:t>
      </w:r>
    </w:p>
    <w:p w14:paraId="6D2DD837" w14:textId="77777777" w:rsidR="005F77C2" w:rsidRDefault="005F77C2" w:rsidP="005F77C2">
      <w:pPr>
        <w:tabs>
          <w:tab w:val="left" w:pos="8460"/>
          <w:tab w:val="left" w:pos="8640"/>
        </w:tabs>
        <w:jc w:val="both"/>
        <w:rPr>
          <w:rFonts w:ascii="Verdana" w:hAnsi="Verdana"/>
          <w:sz w:val="20"/>
        </w:rPr>
      </w:pPr>
    </w:p>
    <w:p w14:paraId="12CCB80F" w14:textId="77777777" w:rsidR="005F77C2" w:rsidRDefault="005F77C2" w:rsidP="005F77C2">
      <w:pPr>
        <w:tabs>
          <w:tab w:val="left" w:pos="8460"/>
          <w:tab w:val="left" w:pos="8640"/>
        </w:tabs>
        <w:jc w:val="both"/>
        <w:rPr>
          <w:rFonts w:ascii="Verdana" w:hAnsi="Verdana"/>
          <w:sz w:val="20"/>
        </w:rPr>
      </w:pPr>
    </w:p>
    <w:p w14:paraId="52BDD783" w14:textId="77777777" w:rsidR="005F77C2" w:rsidRDefault="005F77C2" w:rsidP="005F77C2">
      <w:pPr>
        <w:tabs>
          <w:tab w:val="left" w:pos="8460"/>
          <w:tab w:val="left" w:pos="8640"/>
        </w:tabs>
        <w:jc w:val="both"/>
        <w:rPr>
          <w:rFonts w:ascii="Verdana" w:hAnsi="Verdana"/>
          <w:sz w:val="20"/>
        </w:rPr>
      </w:pPr>
    </w:p>
    <w:p w14:paraId="5801A20B" w14:textId="77777777" w:rsidR="005F77C2" w:rsidRDefault="005F77C2" w:rsidP="005F77C2">
      <w:pPr>
        <w:tabs>
          <w:tab w:val="left" w:pos="8460"/>
          <w:tab w:val="left" w:pos="8640"/>
        </w:tabs>
        <w:jc w:val="both"/>
        <w:rPr>
          <w:rFonts w:ascii="Verdana" w:hAnsi="Verdana"/>
          <w:sz w:val="20"/>
        </w:rPr>
      </w:pPr>
    </w:p>
    <w:p w14:paraId="51B25796" w14:textId="77777777" w:rsidR="005F77C2" w:rsidRDefault="005F77C2" w:rsidP="005F77C2">
      <w:pPr>
        <w:ind w:firstLine="720"/>
        <w:jc w:val="right"/>
        <w:rPr>
          <w:rFonts w:ascii="Verdana" w:hAnsi="Verdana"/>
          <w:sz w:val="20"/>
        </w:rPr>
      </w:pPr>
      <w:r>
        <w:rPr>
          <w:rFonts w:ascii="Verdana" w:hAnsi="Verdana"/>
          <w:sz w:val="20"/>
          <w:lang w:val="es-CR"/>
        </w:rPr>
        <w:t xml:space="preserve">                  Roberto F. Caldas</w:t>
      </w:r>
    </w:p>
    <w:p w14:paraId="41D6FC4B" w14:textId="77777777" w:rsidR="005F77C2" w:rsidRDefault="005F77C2" w:rsidP="005F77C2">
      <w:pPr>
        <w:ind w:right="360"/>
        <w:jc w:val="right"/>
        <w:rPr>
          <w:rFonts w:ascii="Verdana" w:hAnsi="Verdana"/>
          <w:sz w:val="20"/>
        </w:rPr>
      </w:pPr>
      <w:r>
        <w:rPr>
          <w:rFonts w:ascii="Verdana" w:hAnsi="Verdana"/>
          <w:sz w:val="20"/>
        </w:rPr>
        <w:t xml:space="preserve">Presidente </w:t>
      </w:r>
    </w:p>
    <w:p w14:paraId="6F99AB2D" w14:textId="77777777" w:rsidR="005F77C2" w:rsidRDefault="005F77C2" w:rsidP="005F77C2">
      <w:pPr>
        <w:tabs>
          <w:tab w:val="left" w:pos="8460"/>
          <w:tab w:val="left" w:pos="8640"/>
        </w:tabs>
        <w:jc w:val="both"/>
        <w:rPr>
          <w:rFonts w:ascii="Verdana" w:hAnsi="Verdana"/>
          <w:sz w:val="20"/>
        </w:rPr>
      </w:pPr>
    </w:p>
    <w:p w14:paraId="7548C6B2" w14:textId="77777777" w:rsidR="005F77C2" w:rsidRDefault="005F77C2" w:rsidP="005F77C2">
      <w:pPr>
        <w:tabs>
          <w:tab w:val="left" w:pos="8460"/>
          <w:tab w:val="left" w:pos="8640"/>
        </w:tabs>
        <w:jc w:val="both"/>
        <w:rPr>
          <w:rFonts w:ascii="Verdana" w:hAnsi="Verdana"/>
          <w:sz w:val="20"/>
        </w:rPr>
      </w:pPr>
    </w:p>
    <w:p w14:paraId="03FB8358" w14:textId="77777777" w:rsidR="005F77C2" w:rsidRDefault="005F77C2" w:rsidP="005F77C2">
      <w:pPr>
        <w:tabs>
          <w:tab w:val="left" w:pos="8460"/>
          <w:tab w:val="left" w:pos="8640"/>
        </w:tabs>
        <w:jc w:val="both"/>
        <w:rPr>
          <w:rFonts w:ascii="Verdana" w:hAnsi="Verdana"/>
          <w:sz w:val="20"/>
        </w:rPr>
      </w:pPr>
    </w:p>
    <w:p w14:paraId="62EA7100" w14:textId="77777777" w:rsidR="005F77C2" w:rsidRDefault="005F77C2" w:rsidP="005F77C2">
      <w:pPr>
        <w:tabs>
          <w:tab w:val="left" w:pos="8460"/>
          <w:tab w:val="left" w:pos="8640"/>
        </w:tabs>
        <w:jc w:val="both"/>
        <w:rPr>
          <w:rFonts w:ascii="Verdana" w:hAnsi="Verdana"/>
          <w:sz w:val="20"/>
        </w:rPr>
      </w:pPr>
    </w:p>
    <w:p w14:paraId="56FE0961" w14:textId="77777777" w:rsidR="005F77C2" w:rsidRDefault="005F77C2" w:rsidP="005F77C2">
      <w:pPr>
        <w:tabs>
          <w:tab w:val="left" w:pos="8460"/>
          <w:tab w:val="left" w:pos="8640"/>
        </w:tabs>
        <w:jc w:val="both"/>
        <w:rPr>
          <w:rFonts w:ascii="Verdana" w:hAnsi="Verdana"/>
          <w:sz w:val="20"/>
        </w:rPr>
      </w:pPr>
      <w:r>
        <w:rPr>
          <w:rFonts w:ascii="Verdana" w:hAnsi="Verdana"/>
          <w:sz w:val="20"/>
        </w:rPr>
        <w:t>Pablo Saavedra Alessandri</w:t>
      </w:r>
    </w:p>
    <w:p w14:paraId="6ABABC28" w14:textId="77777777" w:rsidR="005F77C2" w:rsidRDefault="005F77C2" w:rsidP="005F77C2">
      <w:pPr>
        <w:tabs>
          <w:tab w:val="left" w:pos="8640"/>
        </w:tabs>
        <w:ind w:left="720"/>
        <w:rPr>
          <w:rFonts w:ascii="Verdana" w:hAnsi="Verdana"/>
          <w:sz w:val="20"/>
        </w:rPr>
      </w:pPr>
      <w:r>
        <w:rPr>
          <w:rFonts w:ascii="Verdana" w:hAnsi="Verdana"/>
          <w:sz w:val="20"/>
        </w:rPr>
        <w:t xml:space="preserve">  Secretario</w:t>
      </w:r>
    </w:p>
    <w:p w14:paraId="0736302B" w14:textId="77777777" w:rsidR="005F77C2" w:rsidRDefault="005F77C2" w:rsidP="007B3CC8">
      <w:pPr>
        <w:rPr>
          <w:rFonts w:ascii="Verdana" w:hAnsi="Verdana"/>
          <w:sz w:val="20"/>
          <w:szCs w:val="20"/>
        </w:rPr>
      </w:pPr>
    </w:p>
    <w:p w14:paraId="6F4B0144" w14:textId="77777777" w:rsidR="00FE7599" w:rsidRDefault="00FE7599" w:rsidP="007B3CC8">
      <w:pPr>
        <w:rPr>
          <w:rFonts w:ascii="Verdana" w:hAnsi="Verdana"/>
          <w:sz w:val="20"/>
          <w:szCs w:val="20"/>
        </w:rPr>
      </w:pPr>
    </w:p>
    <w:p w14:paraId="2B7C8CEF" w14:textId="77777777" w:rsidR="00FE7599" w:rsidRDefault="00FE7599" w:rsidP="007B3CC8">
      <w:pPr>
        <w:rPr>
          <w:rFonts w:ascii="Verdana" w:hAnsi="Verdana"/>
          <w:sz w:val="20"/>
          <w:szCs w:val="20"/>
        </w:rPr>
      </w:pPr>
    </w:p>
    <w:p w14:paraId="643770A2" w14:textId="77777777" w:rsidR="00FE7599" w:rsidRDefault="00FE7599" w:rsidP="007B3CC8">
      <w:pPr>
        <w:rPr>
          <w:rFonts w:ascii="Verdana" w:hAnsi="Verdana"/>
          <w:sz w:val="20"/>
          <w:szCs w:val="20"/>
        </w:rPr>
      </w:pPr>
    </w:p>
    <w:p w14:paraId="3DE8DF74" w14:textId="77777777" w:rsidR="00FE7599" w:rsidRPr="00C8736E" w:rsidRDefault="00FE7599" w:rsidP="007B3CC8">
      <w:pPr>
        <w:rPr>
          <w:rFonts w:ascii="Verdana" w:hAnsi="Verdana"/>
          <w:sz w:val="20"/>
          <w:szCs w:val="20"/>
        </w:rPr>
      </w:pPr>
    </w:p>
    <w:sectPr w:rsidR="00FE7599" w:rsidRPr="00C8736E" w:rsidSect="00F05FE2">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BBCF5" w14:textId="77777777" w:rsidR="005F77C2" w:rsidRDefault="005F77C2" w:rsidP="00EB4828">
      <w:r>
        <w:separator/>
      </w:r>
    </w:p>
  </w:endnote>
  <w:endnote w:type="continuationSeparator" w:id="0">
    <w:p w14:paraId="78F06598" w14:textId="77777777" w:rsidR="005F77C2" w:rsidRDefault="005F77C2" w:rsidP="00EB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Bold">
    <w:altName w:val="Verdan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F73EF" w14:textId="77777777" w:rsidR="005F77C2" w:rsidRDefault="005F77C2" w:rsidP="00EB4828">
      <w:r>
        <w:separator/>
      </w:r>
    </w:p>
  </w:footnote>
  <w:footnote w:type="continuationSeparator" w:id="0">
    <w:p w14:paraId="45AFDE2D" w14:textId="77777777" w:rsidR="005F77C2" w:rsidRDefault="005F77C2" w:rsidP="00EB4828">
      <w:r>
        <w:continuationSeparator/>
      </w:r>
    </w:p>
  </w:footnote>
  <w:footnote w:id="1">
    <w:p w14:paraId="5677E1DF" w14:textId="51798BAF" w:rsidR="005F77C2" w:rsidRDefault="005F77C2" w:rsidP="007C485C">
      <w:pPr>
        <w:pStyle w:val="BodyText2"/>
        <w:spacing w:after="0" w:line="240" w:lineRule="auto"/>
        <w:jc w:val="both"/>
      </w:pPr>
      <w:r>
        <w:rPr>
          <w:rStyle w:val="FootnoteReference"/>
        </w:rPr>
        <w:footnoteRef/>
      </w:r>
      <w:r>
        <w:t xml:space="preserve"> </w:t>
      </w:r>
      <w:r>
        <w:tab/>
      </w:r>
      <w:r>
        <w:rPr>
          <w:rFonts w:ascii="Verdana" w:hAnsi="Verdana"/>
          <w:sz w:val="16"/>
          <w:szCs w:val="16"/>
        </w:rPr>
        <w:t>E</w:t>
      </w:r>
      <w:r w:rsidRPr="00B55F19">
        <w:rPr>
          <w:rFonts w:ascii="Verdana" w:hAnsi="Verdana"/>
          <w:sz w:val="16"/>
          <w:szCs w:val="16"/>
        </w:rPr>
        <w:t xml:space="preserve">l </w:t>
      </w:r>
      <w:r w:rsidRPr="001E6C03">
        <w:rPr>
          <w:rFonts w:ascii="Verdana" w:hAnsi="Verdana"/>
          <w:sz w:val="16"/>
          <w:szCs w:val="16"/>
        </w:rPr>
        <w:t>Juez Eduardo Ferrer Mac-Gregor</w:t>
      </w:r>
      <w:r>
        <w:rPr>
          <w:rFonts w:ascii="Verdana" w:hAnsi="Verdana"/>
          <w:sz w:val="16"/>
          <w:szCs w:val="16"/>
        </w:rPr>
        <w:t xml:space="preserve"> Poisot</w:t>
      </w:r>
      <w:r w:rsidRPr="00B55F19">
        <w:rPr>
          <w:rFonts w:ascii="Verdana" w:hAnsi="Verdana"/>
          <w:sz w:val="16"/>
          <w:szCs w:val="16"/>
        </w:rPr>
        <w:t xml:space="preserve">, de nacionalidad </w:t>
      </w:r>
      <w:r>
        <w:rPr>
          <w:rFonts w:ascii="Verdana" w:hAnsi="Verdana"/>
          <w:sz w:val="16"/>
          <w:szCs w:val="16"/>
        </w:rPr>
        <w:t>mexicana</w:t>
      </w:r>
      <w:r w:rsidRPr="00B55F19">
        <w:rPr>
          <w:rFonts w:ascii="Verdana" w:hAnsi="Verdana"/>
          <w:sz w:val="16"/>
          <w:szCs w:val="16"/>
        </w:rPr>
        <w:t xml:space="preserve">, no participó en </w:t>
      </w:r>
      <w:r>
        <w:rPr>
          <w:rFonts w:ascii="Verdana" w:hAnsi="Verdana"/>
          <w:sz w:val="16"/>
          <w:szCs w:val="16"/>
        </w:rPr>
        <w:t xml:space="preserve">el conocimiento y </w:t>
      </w:r>
      <w:r w:rsidRPr="00B55F19">
        <w:rPr>
          <w:rFonts w:ascii="Verdana" w:hAnsi="Verdana"/>
          <w:sz w:val="16"/>
          <w:szCs w:val="16"/>
        </w:rPr>
        <w:t>deliberación de la presente Resolución, de conformidad con lo</w:t>
      </w:r>
      <w:r>
        <w:rPr>
          <w:rFonts w:ascii="Verdana" w:hAnsi="Verdana"/>
          <w:sz w:val="16"/>
          <w:szCs w:val="16"/>
        </w:rPr>
        <w:t xml:space="preserve"> dispuesto en lo</w:t>
      </w:r>
      <w:r w:rsidRPr="00B55F19">
        <w:rPr>
          <w:rFonts w:ascii="Verdana" w:hAnsi="Verdana"/>
          <w:sz w:val="16"/>
          <w:szCs w:val="16"/>
        </w:rPr>
        <w:t xml:space="preserve">s artículos 19.2 del Estatuto </w:t>
      </w:r>
      <w:r>
        <w:rPr>
          <w:rFonts w:ascii="Verdana" w:hAnsi="Verdana"/>
          <w:sz w:val="16"/>
          <w:szCs w:val="16"/>
        </w:rPr>
        <w:t xml:space="preserve">del Tribunal </w:t>
      </w:r>
      <w:r w:rsidRPr="00B55F19">
        <w:rPr>
          <w:rFonts w:ascii="Verdana" w:hAnsi="Verdana"/>
          <w:sz w:val="16"/>
          <w:szCs w:val="16"/>
        </w:rPr>
        <w:t>y 19.1 de</w:t>
      </w:r>
      <w:r>
        <w:rPr>
          <w:rFonts w:ascii="Verdana" w:hAnsi="Verdana"/>
          <w:sz w:val="16"/>
          <w:szCs w:val="16"/>
        </w:rPr>
        <w:t xml:space="preserve"> su</w:t>
      </w:r>
      <w:r w:rsidRPr="00B55F19">
        <w:rPr>
          <w:rFonts w:ascii="Verdana" w:hAnsi="Verdana"/>
          <w:sz w:val="16"/>
          <w:szCs w:val="16"/>
        </w:rPr>
        <w:t xml:space="preserve"> Reglamento.</w:t>
      </w:r>
    </w:p>
  </w:footnote>
  <w:footnote w:id="2">
    <w:p w14:paraId="5677E1E1" w14:textId="6B1CA96A" w:rsidR="005F77C2" w:rsidRPr="00781CB7" w:rsidRDefault="005F77C2" w:rsidP="000D6D52">
      <w:pPr>
        <w:jc w:val="both"/>
        <w:rPr>
          <w:rFonts w:ascii="Verdana" w:hAnsi="Verdana" w:cs="Verdana"/>
          <w:sz w:val="16"/>
          <w:szCs w:val="16"/>
          <w:lang w:val="es-ES"/>
        </w:rPr>
      </w:pPr>
      <w:r w:rsidRPr="00781CB7">
        <w:rPr>
          <w:rStyle w:val="FootnoteReference"/>
        </w:rPr>
        <w:footnoteRef/>
      </w:r>
      <w:r w:rsidRPr="00781CB7">
        <w:rPr>
          <w:rFonts w:ascii="Verdana" w:hAnsi="Verdana" w:cs="Verdana"/>
          <w:iCs/>
          <w:sz w:val="16"/>
          <w:szCs w:val="16"/>
          <w:lang w:val="es-ES"/>
        </w:rPr>
        <w:t xml:space="preserve"> </w:t>
      </w:r>
      <w:r w:rsidRPr="00781CB7">
        <w:rPr>
          <w:rFonts w:ascii="Verdana" w:hAnsi="Verdana" w:cs="Verdana"/>
          <w:iCs/>
          <w:sz w:val="16"/>
          <w:szCs w:val="16"/>
          <w:lang w:val="es-ES"/>
        </w:rPr>
        <w:tab/>
      </w:r>
      <w:r w:rsidRPr="00781CB7">
        <w:rPr>
          <w:rFonts w:ascii="Verdana" w:hAnsi="Verdana" w:cs="Verdana"/>
          <w:i/>
          <w:iCs/>
          <w:sz w:val="16"/>
          <w:szCs w:val="16"/>
          <w:lang w:val="es-ES"/>
        </w:rPr>
        <w:t>Cfr.</w:t>
      </w:r>
      <w:r w:rsidRPr="00781CB7">
        <w:rPr>
          <w:rFonts w:ascii="Verdana" w:hAnsi="Verdana" w:cs="Verdana"/>
          <w:iCs/>
          <w:sz w:val="16"/>
          <w:szCs w:val="16"/>
          <w:lang w:val="es-ES"/>
        </w:rPr>
        <w:t xml:space="preserve"> </w:t>
      </w:r>
      <w:r>
        <w:rPr>
          <w:rFonts w:ascii="Verdana" w:hAnsi="Verdana" w:cs="Verdana"/>
          <w:i/>
          <w:iCs/>
          <w:sz w:val="16"/>
          <w:szCs w:val="16"/>
          <w:lang w:val="es-ES"/>
        </w:rPr>
        <w:t xml:space="preserve">Asunto James y otros </w:t>
      </w:r>
      <w:r w:rsidRPr="00A16EDA">
        <w:rPr>
          <w:rFonts w:ascii="Verdana" w:hAnsi="Verdana" w:cs="Verdana"/>
          <w:i/>
          <w:sz w:val="16"/>
          <w:szCs w:val="16"/>
          <w:lang w:val="es-ES"/>
        </w:rPr>
        <w:t xml:space="preserve">respecto de Trinidad y </w:t>
      </w:r>
      <w:r w:rsidRPr="00800D98">
        <w:rPr>
          <w:rFonts w:ascii="Verdana" w:hAnsi="Verdana" w:cs="Verdana"/>
          <w:i/>
          <w:sz w:val="16"/>
          <w:szCs w:val="16"/>
          <w:lang w:val="es-ES"/>
        </w:rPr>
        <w:t>Tobago</w:t>
      </w:r>
      <w:r w:rsidRPr="00E63251">
        <w:rPr>
          <w:rFonts w:ascii="Verdana" w:hAnsi="Verdana" w:cs="Verdana"/>
          <w:i/>
          <w:sz w:val="16"/>
          <w:szCs w:val="16"/>
          <w:lang w:val="es-ES"/>
        </w:rPr>
        <w:t>. Medidas Provisionales</w:t>
      </w:r>
      <w:r>
        <w:rPr>
          <w:rFonts w:ascii="Verdana" w:hAnsi="Verdana" w:cs="Verdana"/>
          <w:sz w:val="16"/>
          <w:szCs w:val="16"/>
          <w:lang w:val="es-ES"/>
        </w:rPr>
        <w:t>.</w:t>
      </w:r>
      <w:r w:rsidRPr="00781CB7">
        <w:rPr>
          <w:rFonts w:ascii="Verdana" w:hAnsi="Verdana" w:cs="Verdana"/>
          <w:sz w:val="16"/>
          <w:szCs w:val="16"/>
          <w:lang w:val="es-ES"/>
        </w:rPr>
        <w:t xml:space="preserve"> </w:t>
      </w:r>
      <w:r w:rsidRPr="00781CB7">
        <w:rPr>
          <w:rFonts w:ascii="Verdana" w:hAnsi="Verdana" w:cs="Verdana"/>
          <w:color w:val="000000"/>
          <w:sz w:val="16"/>
          <w:szCs w:val="16"/>
        </w:rPr>
        <w:t>Resolución de la Corte Interamericana de Derechos Humanos</w:t>
      </w:r>
      <w:r w:rsidRPr="00781CB7">
        <w:rPr>
          <w:rFonts w:ascii="Verdana" w:hAnsi="Verdana" w:cs="Verdana"/>
          <w:sz w:val="16"/>
          <w:szCs w:val="16"/>
          <w:lang w:val="es-ES"/>
        </w:rPr>
        <w:t xml:space="preserve"> de 14 de junio de 1998, </w:t>
      </w:r>
      <w:r>
        <w:rPr>
          <w:rFonts w:ascii="Verdana" w:hAnsi="Verdana" w:cs="Verdana"/>
          <w:sz w:val="16"/>
          <w:szCs w:val="16"/>
          <w:lang w:val="es-ES"/>
        </w:rPr>
        <w:t>C</w:t>
      </w:r>
      <w:r w:rsidRPr="00781CB7">
        <w:rPr>
          <w:rFonts w:ascii="Verdana" w:hAnsi="Verdana" w:cs="Verdana"/>
          <w:sz w:val="16"/>
          <w:szCs w:val="16"/>
          <w:lang w:val="es-ES"/>
        </w:rPr>
        <w:t xml:space="preserve">onsiderando sexto, y </w:t>
      </w:r>
      <w:r w:rsidRPr="00A60901">
        <w:rPr>
          <w:rFonts w:ascii="Verdana" w:hAnsi="Verdana" w:cs="Verdana"/>
          <w:i/>
          <w:sz w:val="16"/>
          <w:szCs w:val="16"/>
          <w:lang w:val="es-ES"/>
        </w:rPr>
        <w:t xml:space="preserve">Asunto Pobladores de las Comunidades del Pueblo Indígena </w:t>
      </w:r>
      <w:proofErr w:type="spellStart"/>
      <w:r w:rsidRPr="00A60901">
        <w:rPr>
          <w:rFonts w:ascii="Verdana" w:hAnsi="Verdana" w:cs="Verdana"/>
          <w:i/>
          <w:sz w:val="16"/>
          <w:szCs w:val="16"/>
          <w:lang w:val="es-ES"/>
        </w:rPr>
        <w:t>Miskitu</w:t>
      </w:r>
      <w:proofErr w:type="spellEnd"/>
      <w:r w:rsidRPr="00A60901">
        <w:rPr>
          <w:rFonts w:ascii="Verdana" w:hAnsi="Verdana" w:cs="Verdana"/>
          <w:i/>
          <w:sz w:val="16"/>
          <w:szCs w:val="16"/>
          <w:lang w:val="es-ES"/>
        </w:rPr>
        <w:t xml:space="preserve"> de la Región Costa Caribe Norte respecto de Nicaragua.</w:t>
      </w:r>
      <w:r>
        <w:rPr>
          <w:rFonts w:ascii="Verdana" w:hAnsi="Verdana" w:cs="Verdana"/>
          <w:i/>
          <w:sz w:val="16"/>
          <w:szCs w:val="16"/>
          <w:lang w:val="es-ES"/>
        </w:rPr>
        <w:t xml:space="preserve"> Ampliación de Medidas Provisionales.</w:t>
      </w:r>
      <w:r>
        <w:rPr>
          <w:rFonts w:ascii="Verdana" w:hAnsi="Verdana" w:cs="Verdana"/>
          <w:sz w:val="16"/>
          <w:szCs w:val="16"/>
          <w:lang w:val="es-ES"/>
        </w:rPr>
        <w:t xml:space="preserve"> </w:t>
      </w:r>
      <w:r w:rsidRPr="00A60901">
        <w:rPr>
          <w:rFonts w:ascii="Verdana" w:hAnsi="Verdana" w:cs="Verdana"/>
          <w:sz w:val="16"/>
          <w:szCs w:val="16"/>
          <w:lang w:val="es-ES"/>
        </w:rPr>
        <w:t>Resolución de la Corte Interamericana de Derechos Humanos de 22 de agosto de 2017</w:t>
      </w:r>
      <w:r w:rsidRPr="00781CB7">
        <w:rPr>
          <w:rFonts w:ascii="Verdana" w:hAnsi="Verdana"/>
          <w:bCs/>
          <w:color w:val="000000"/>
          <w:sz w:val="16"/>
          <w:szCs w:val="16"/>
        </w:rPr>
        <w:t>, Considerando segundo</w:t>
      </w:r>
      <w:r w:rsidRPr="00781CB7">
        <w:rPr>
          <w:rFonts w:ascii="Verdana" w:hAnsi="Verdana" w:cs="Verdana"/>
          <w:sz w:val="16"/>
          <w:szCs w:val="16"/>
          <w:lang w:val="es-ES"/>
        </w:rPr>
        <w:t>.</w:t>
      </w:r>
    </w:p>
  </w:footnote>
  <w:footnote w:id="3">
    <w:p w14:paraId="509AC917" w14:textId="4B5190A1" w:rsidR="005F77C2" w:rsidRPr="00667E1F" w:rsidRDefault="005F77C2" w:rsidP="00667E1F">
      <w:pPr>
        <w:pStyle w:val="FootnoteText"/>
      </w:pPr>
      <w:r w:rsidRPr="006A38F8">
        <w:rPr>
          <w:rStyle w:val="FootnoteReference"/>
        </w:rPr>
        <w:footnoteRef/>
      </w:r>
      <w:r w:rsidRPr="006A38F8">
        <w:t xml:space="preserve"> </w:t>
      </w:r>
      <w:r w:rsidRPr="006A38F8">
        <w:tab/>
      </w:r>
      <w:r w:rsidRPr="006A38F8">
        <w:rPr>
          <w:i/>
        </w:rPr>
        <w:t>Cfr</w:t>
      </w:r>
      <w:r w:rsidRPr="006A38F8">
        <w:t xml:space="preserve">. </w:t>
      </w:r>
      <w:r w:rsidRPr="006A38F8">
        <w:rPr>
          <w:i/>
        </w:rPr>
        <w:t xml:space="preserve">Caso </w:t>
      </w:r>
      <w:proofErr w:type="spellStart"/>
      <w:r w:rsidRPr="006A38F8">
        <w:rPr>
          <w:i/>
        </w:rPr>
        <w:t>Anzualdo</w:t>
      </w:r>
      <w:proofErr w:type="spellEnd"/>
      <w:r w:rsidRPr="006A38F8">
        <w:rPr>
          <w:i/>
        </w:rPr>
        <w:t xml:space="preserve"> Castro Vs. Perú</w:t>
      </w:r>
      <w:r w:rsidRPr="006A38F8">
        <w:t xml:space="preserve">. </w:t>
      </w:r>
      <w:r w:rsidRPr="00981B82">
        <w:rPr>
          <w:i/>
        </w:rPr>
        <w:t>Excepción Preliminar, Fondo, Reparaciones y Costas</w:t>
      </w:r>
      <w:r w:rsidRPr="006A38F8">
        <w:t>. Sentencia de 22  de  Septiembre  de  2009.  Serie  C No.  202, párr. 134</w:t>
      </w:r>
      <w:r>
        <w:t>,</w:t>
      </w:r>
      <w:r w:rsidRPr="006A38F8">
        <w:t xml:space="preserve"> y </w:t>
      </w:r>
      <w:r w:rsidRPr="00667E1F">
        <w:rPr>
          <w:i/>
        </w:rPr>
        <w:t xml:space="preserve">Asunto Alvarado Reyes y otros respecto de México. Medidas Provisionales. </w:t>
      </w:r>
      <w:r w:rsidRPr="008747D5">
        <w:t>Resolución de la Corte Interamericana de Derechos Humanos de 23 de junio de 2015</w:t>
      </w:r>
      <w:r>
        <w:t>, Considerando décimo.</w:t>
      </w:r>
    </w:p>
  </w:footnote>
  <w:footnote w:id="4">
    <w:p w14:paraId="1580D5C1" w14:textId="40265CDE" w:rsidR="005F77C2" w:rsidRPr="00667E1F" w:rsidRDefault="005F77C2">
      <w:pPr>
        <w:pStyle w:val="FootnoteText"/>
      </w:pPr>
      <w:r>
        <w:rPr>
          <w:rStyle w:val="FootnoteReference"/>
        </w:rPr>
        <w:footnoteRef/>
      </w:r>
      <w:r>
        <w:t xml:space="preserve"> </w:t>
      </w:r>
      <w:r>
        <w:tab/>
      </w:r>
      <w:r w:rsidRPr="008747D5">
        <w:rPr>
          <w:i/>
        </w:rPr>
        <w:t>Cfr. Asunto del Internado Judicial Capital El Rodeo I y el Rodeo II respecto de Venezuela.</w:t>
      </w:r>
      <w:r>
        <w:rPr>
          <w:i/>
        </w:rPr>
        <w:t xml:space="preserve"> Medidas Provisionales.</w:t>
      </w:r>
      <w:r>
        <w:t xml:space="preserve"> Resolución de la Corte Interamericana de Derechos Humanos de 8 de febrero de 2008, Considerando séptimo, y </w:t>
      </w:r>
      <w:r w:rsidRPr="008747D5">
        <w:rPr>
          <w:i/>
        </w:rPr>
        <w:t>Asunto Alvarado Reyes y otros</w:t>
      </w:r>
      <w:r w:rsidRPr="00561A0A">
        <w:t xml:space="preserve"> </w:t>
      </w:r>
      <w:r w:rsidRPr="00561A0A">
        <w:rPr>
          <w:i/>
        </w:rPr>
        <w:t>respecto de México</w:t>
      </w:r>
      <w:r>
        <w:t xml:space="preserve">, </w:t>
      </w:r>
      <w:r w:rsidRPr="00E63251">
        <w:rPr>
          <w:i/>
        </w:rPr>
        <w:t>supra,</w:t>
      </w:r>
      <w:r>
        <w:t xml:space="preserve"> Considerando doce. </w:t>
      </w:r>
    </w:p>
  </w:footnote>
  <w:footnote w:id="5">
    <w:p w14:paraId="3766B905" w14:textId="26EE9421" w:rsidR="005F77C2" w:rsidRPr="002F52B8" w:rsidRDefault="005F77C2" w:rsidP="00F22AD2">
      <w:pPr>
        <w:pStyle w:val="FootnoteText"/>
      </w:pPr>
      <w:r>
        <w:rPr>
          <w:rStyle w:val="FootnoteReference"/>
        </w:rPr>
        <w:footnoteRef/>
      </w:r>
      <w:r>
        <w:t xml:space="preserve"> </w:t>
      </w:r>
      <w:r>
        <w:tab/>
      </w:r>
      <w:r>
        <w:rPr>
          <w:i/>
        </w:rPr>
        <w:t xml:space="preserve">Cfr. </w:t>
      </w:r>
      <w:r w:rsidRPr="008747D5">
        <w:rPr>
          <w:i/>
        </w:rPr>
        <w:t>Asunto Alvarado Reyes y</w:t>
      </w:r>
      <w:r>
        <w:rPr>
          <w:i/>
        </w:rPr>
        <w:t xml:space="preserve"> otros </w:t>
      </w:r>
      <w:r w:rsidRPr="00561A0A">
        <w:rPr>
          <w:i/>
        </w:rPr>
        <w:t>respecto de México</w:t>
      </w:r>
      <w:r>
        <w:t>,</w:t>
      </w:r>
      <w:r w:rsidRPr="00E63251">
        <w:rPr>
          <w:i/>
        </w:rPr>
        <w:t xml:space="preserve"> supra</w:t>
      </w:r>
      <w:r>
        <w:t>, Considerando trece.</w:t>
      </w:r>
    </w:p>
  </w:footnote>
  <w:footnote w:id="6">
    <w:p w14:paraId="4CD12CB1" w14:textId="5793D412" w:rsidR="005F77C2" w:rsidRPr="005802AC" w:rsidRDefault="005F77C2">
      <w:pPr>
        <w:pStyle w:val="FootnoteText"/>
      </w:pPr>
      <w:r>
        <w:rPr>
          <w:rStyle w:val="FootnoteReference"/>
        </w:rPr>
        <w:footnoteRef/>
      </w:r>
      <w:r>
        <w:t xml:space="preserve"> </w:t>
      </w:r>
      <w:r>
        <w:tab/>
      </w:r>
      <w:r w:rsidRPr="000A0D6D">
        <w:t xml:space="preserve">Las presuntas víctimas del </w:t>
      </w:r>
      <w:r w:rsidRPr="00C11B6D">
        <w:rPr>
          <w:i/>
        </w:rPr>
        <w:t>Caso Alvarado Espinoza y otros Vs. México</w:t>
      </w:r>
      <w:r w:rsidRPr="000A0D6D">
        <w:t xml:space="preserve">, actualmente en trámite ante este Tribunal, que también son beneficiarias de las presentes medidas son: 1) Rocío Irene Alvarado Reyes; 2) </w:t>
      </w:r>
      <w:proofErr w:type="spellStart"/>
      <w:r w:rsidRPr="000A0D6D">
        <w:t>Nitza</w:t>
      </w:r>
      <w:proofErr w:type="spellEnd"/>
      <w:r w:rsidRPr="000A0D6D">
        <w:t xml:space="preserve"> Paola Alvarado Espinoza; 3) José Ángel Alvarado Herrera; 4) Ascensión Alvarado Favela y 5) María de Jesús Espinoza Peinado (padre y madres de </w:t>
      </w:r>
      <w:proofErr w:type="spellStart"/>
      <w:r w:rsidRPr="000A0D6D">
        <w:t>Nitza</w:t>
      </w:r>
      <w:proofErr w:type="spellEnd"/>
      <w:r w:rsidRPr="000A0D6D">
        <w:t xml:space="preserve"> Alvarado); 6) María de Jesús Alvarado Reyes (Espinoza) (hermana de </w:t>
      </w:r>
      <w:proofErr w:type="spellStart"/>
      <w:r w:rsidRPr="000A0D6D">
        <w:t>Nitza</w:t>
      </w:r>
      <w:proofErr w:type="spellEnd"/>
      <w:r w:rsidRPr="000A0D6D">
        <w:t xml:space="preserve"> Alvarado); 7) Rigoberto Ambriz </w:t>
      </w:r>
      <w:proofErr w:type="spellStart"/>
      <w:r w:rsidRPr="000A0D6D">
        <w:t>Marrufo</w:t>
      </w:r>
      <w:proofErr w:type="spellEnd"/>
      <w:r w:rsidRPr="000A0D6D">
        <w:t xml:space="preserve"> (cuñado de </w:t>
      </w:r>
      <w:proofErr w:type="spellStart"/>
      <w:r w:rsidRPr="000A0D6D">
        <w:t>Nitza</w:t>
      </w:r>
      <w:proofErr w:type="spellEnd"/>
      <w:r w:rsidRPr="000A0D6D">
        <w:t xml:space="preserve"> Alvarado); 8) M.P.A.E., 9) N.C.A.E. (N.S.A.E.) y 10) D.A.E. (hijas de </w:t>
      </w:r>
      <w:proofErr w:type="spellStart"/>
      <w:r w:rsidRPr="000A0D6D">
        <w:t>Nitza</w:t>
      </w:r>
      <w:proofErr w:type="spellEnd"/>
      <w:r w:rsidRPr="000A0D6D">
        <w:t xml:space="preserve"> Alvarado); 11) Patricia Reyes Rueda y sus dos hijos: 12) A.A.R. y 13) A.A.R. (R.A.A.R.); 14) M.U.A. (A.M.U.A.) (hija de Rocío Irene Alvarado Reyes); 15) Obdulia Espinoza Beltrán; 16) José Ángel Alvarado Fav</w:t>
      </w:r>
      <w:r>
        <w:t>ela; 17) J.A.E.</w:t>
      </w:r>
      <w:r w:rsidRPr="000A0D6D">
        <w:t>, 18) J.A.E.E. y 19) A.A.E. (A.E.B.) (hijos de José Ángel Alvarado Herrera y Obdulia Espinoza Beltrán); 20) Jaime Alvarado Herrera; 21) Sandra Luz Rueda Que</w:t>
      </w:r>
      <w:r>
        <w:t>zada (esposa de Jaime Alvarado)</w:t>
      </w:r>
      <w:r w:rsidRPr="000A0D6D">
        <w:t>;</w:t>
      </w:r>
      <w:r>
        <w:t xml:space="preserve"> 22) J.O.A.R., 23) R.G.A.R., 24</w:t>
      </w:r>
      <w:r w:rsidRPr="000A0D6D">
        <w:t>) S.A.R. (C.N.A.R.)</w:t>
      </w:r>
      <w:r>
        <w:t>, y 25</w:t>
      </w:r>
      <w:r w:rsidRPr="000A0D6D">
        <w:t>) J.E.A.R. (hijos de Jaime</w:t>
      </w:r>
      <w:r>
        <w:t xml:space="preserve"> Alvarado); 26</w:t>
      </w:r>
      <w:r w:rsidRPr="000A0D6D">
        <w:t>) Rosa Olivia Alvarado Herrera</w:t>
      </w:r>
      <w:r>
        <w:t xml:space="preserve"> y sus hijos: 27</w:t>
      </w:r>
      <w:r w:rsidRPr="000A0D6D">
        <w:t>) K.P.A.A. (K.P.A.E.)</w:t>
      </w:r>
      <w:r>
        <w:t>, 28) F.A.H. y 29</w:t>
      </w:r>
      <w:r w:rsidRPr="000A0D6D">
        <w:t xml:space="preserve">) J.G.A.; </w:t>
      </w:r>
      <w:r>
        <w:t>30</w:t>
      </w:r>
      <w:r w:rsidRPr="000A0D6D">
        <w:t>) Félix García</w:t>
      </w:r>
      <w:r>
        <w:t>.</w:t>
      </w:r>
      <w:r w:rsidRPr="000A0D6D">
        <w:t xml:space="preserve"> </w:t>
      </w:r>
      <w:r w:rsidRPr="00D84F2C">
        <w:rPr>
          <w:u w:val="single"/>
        </w:rPr>
        <w:t xml:space="preserve">Adicionalmente, las personas: 31) Manuel Melquiades Alvarado; 32) Mayra Daniela </w:t>
      </w:r>
      <w:proofErr w:type="spellStart"/>
      <w:r w:rsidRPr="00D84F2C">
        <w:rPr>
          <w:u w:val="single"/>
        </w:rPr>
        <w:t>Salais</w:t>
      </w:r>
      <w:proofErr w:type="spellEnd"/>
      <w:r w:rsidRPr="00D84F2C">
        <w:rPr>
          <w:u w:val="single"/>
        </w:rPr>
        <w:t xml:space="preserve"> Rodríguez (esposa de Manuel Melquiades Alvarado); 33) D.J.A., y 34) J.A. (X.A.S.) (hijas de Manuel Melquiades Alvarado y Mayra Daniela </w:t>
      </w:r>
      <w:proofErr w:type="spellStart"/>
      <w:r w:rsidRPr="00D84F2C">
        <w:rPr>
          <w:u w:val="single"/>
        </w:rPr>
        <w:t>Salais</w:t>
      </w:r>
      <w:proofErr w:type="spellEnd"/>
      <w:r w:rsidRPr="00D84F2C">
        <w:rPr>
          <w:u w:val="single"/>
        </w:rPr>
        <w:t xml:space="preserve"> Rodríguez), estas </w:t>
      </w:r>
      <w:r>
        <w:rPr>
          <w:u w:val="single"/>
        </w:rPr>
        <w:t xml:space="preserve">cuatro </w:t>
      </w:r>
      <w:r w:rsidRPr="00D84F2C">
        <w:rPr>
          <w:u w:val="single"/>
        </w:rPr>
        <w:t>últimas respecto de quienes aparentemente no se tendría contacto por parte de las representantes.</w:t>
      </w:r>
      <w:r>
        <w:t xml:space="preserve"> Por el contrario, las siguientes presuntas víctimas del </w:t>
      </w:r>
      <w:r w:rsidRPr="00C11B6D">
        <w:rPr>
          <w:i/>
        </w:rPr>
        <w:t>C</w:t>
      </w:r>
      <w:r>
        <w:rPr>
          <w:i/>
        </w:rPr>
        <w:t>aso Alvarado Espinoza y otros V</w:t>
      </w:r>
      <w:r w:rsidRPr="00C11B6D">
        <w:rPr>
          <w:i/>
        </w:rPr>
        <w:t>s. México</w:t>
      </w:r>
      <w:r>
        <w:t xml:space="preserve"> que no figuran como beneficiarios de las presentes medidas son: 1) </w:t>
      </w:r>
      <w:r w:rsidRPr="006B1B3D">
        <w:t>R.A.A.</w:t>
      </w:r>
      <w:r>
        <w:t xml:space="preserve">, 2) </w:t>
      </w:r>
      <w:r w:rsidRPr="006B1B3D">
        <w:t>I.A.A.A.</w:t>
      </w:r>
      <w:r>
        <w:t xml:space="preserve">, 3) </w:t>
      </w:r>
      <w:r w:rsidRPr="006B1B3D">
        <w:t>J.E.A.A.</w:t>
      </w:r>
      <w:r>
        <w:t xml:space="preserve"> y 4) </w:t>
      </w:r>
      <w:r w:rsidRPr="006B1B3D">
        <w:t>A.Y.A.A.</w:t>
      </w:r>
      <w:r>
        <w:t xml:space="preserve"> (sobrinos de </w:t>
      </w:r>
      <w:proofErr w:type="spellStart"/>
      <w:r>
        <w:t>Nitza</w:t>
      </w:r>
      <w:proofErr w:type="spellEnd"/>
      <w:r>
        <w:t xml:space="preserve"> Alvarado); 5) María de Jesús Rueda Villanueva (abuela de Rocío Irene Alvarado Reyes); y 6) A.G.A. (sobrino de José Ángel Alvarado Herrera). </w:t>
      </w:r>
    </w:p>
  </w:footnote>
  <w:footnote w:id="7">
    <w:p w14:paraId="52D32E42" w14:textId="2D414BE5" w:rsidR="005F77C2" w:rsidRPr="00FD0B3D" w:rsidRDefault="005F77C2" w:rsidP="00FD0B3D">
      <w:pPr>
        <w:pStyle w:val="FootnoteText"/>
      </w:pPr>
      <w:r>
        <w:rPr>
          <w:rStyle w:val="FootnoteReference"/>
        </w:rPr>
        <w:footnoteRef/>
      </w:r>
      <w:r>
        <w:t xml:space="preserve"> </w:t>
      </w:r>
      <w:r>
        <w:tab/>
        <w:t xml:space="preserve">Al respecto, el </w:t>
      </w:r>
      <w:r w:rsidRPr="00965306">
        <w:t>hecho ocurrido el 28 de octubre de 2014 e informado por los representantes a la Corte el 14 de enero de 2016, en relación a la beneficiaria Karen Paola Alvarado, la cual se encontraba frente a su casa cuando un sujeto que portaba un rifle le exigió que le diera su celular y luego el sujeto se retiró.</w:t>
      </w:r>
      <w:r>
        <w:t xml:space="preserve"> </w:t>
      </w:r>
      <w:r w:rsidRPr="00965306">
        <w:t>En relación a este hecho, la Corte observa que la investigación del mismo no derivó en ningún resultado</w:t>
      </w:r>
      <w:r>
        <w:t xml:space="preserve">. Los representantes informaron que al día siguiente de ocurrido el hecho, Rosa Olivia Alvarado (madre de Karen Paola Alvarado) fue ante la Procuraduría General de la República a presentar la denuncia para lo que se entregó la grabación del evento, captado por las cámaras instaladas en la vivienda como parte de las presentes medidas. Asimismo, también mencionaron que el día siguiente del hecho, el vehículo involucrado en el asalto, pasó en varias ocasiones frente a la vivienda. En relación a lo anterior, destacaron que el Estado ha omitido brindar información sobre el avance de las investigaciones. En relación con este hecho, el Estado manifestó que luego de haber consultado con las áreas competentes de la Procuraduría General de la República no logró encontrar registro alguno sobre la denuncia o querella interpuesta por la señora Rosa Olivia Alvarado el día 29 de octubre de 2014. </w:t>
      </w:r>
    </w:p>
  </w:footnote>
  <w:footnote w:id="8">
    <w:p w14:paraId="061F9634" w14:textId="4B953D9C" w:rsidR="005F77C2" w:rsidRPr="005E2A04" w:rsidRDefault="005F77C2">
      <w:pPr>
        <w:pStyle w:val="FootnoteText"/>
      </w:pPr>
      <w:r>
        <w:rPr>
          <w:rStyle w:val="FootnoteReference"/>
        </w:rPr>
        <w:footnoteRef/>
      </w:r>
      <w:r>
        <w:t xml:space="preserve"> </w:t>
      </w:r>
      <w:r>
        <w:tab/>
      </w:r>
      <w:r w:rsidRPr="008747D5">
        <w:rPr>
          <w:i/>
        </w:rPr>
        <w:t>Cfr.</w:t>
      </w:r>
      <w:r>
        <w:t xml:space="preserve"> </w:t>
      </w:r>
      <w:r w:rsidRPr="00EE370C">
        <w:rPr>
          <w:i/>
        </w:rPr>
        <w:t>Asunto Alvarado Reyes y otros respecto de México</w:t>
      </w:r>
      <w:r>
        <w:rPr>
          <w:i/>
        </w:rPr>
        <w:t xml:space="preserve">, supra, </w:t>
      </w:r>
      <w:r>
        <w:t>Considerando veinticuatro.</w:t>
      </w:r>
    </w:p>
  </w:footnote>
  <w:footnote w:id="9">
    <w:p w14:paraId="24AFCC8F" w14:textId="3EC5A4CE" w:rsidR="005F77C2" w:rsidRPr="002E2996" w:rsidRDefault="005F77C2" w:rsidP="002E2996">
      <w:pPr>
        <w:pStyle w:val="FootnoteText"/>
        <w:rPr>
          <w:b/>
        </w:rPr>
      </w:pPr>
      <w:r>
        <w:rPr>
          <w:rStyle w:val="FootnoteReference"/>
        </w:rPr>
        <w:footnoteRef/>
      </w:r>
      <w:r>
        <w:t xml:space="preserve"> </w:t>
      </w:r>
      <w:r>
        <w:tab/>
        <w:t xml:space="preserve">Las medidas de protección en el domicilio de Jaime Alvarado señaladas corresponden a: instalación y puesta en operación de circuito cerrado de televisión digital IP (sin cámaras), instalación y puesta en operación de cámara de vigilancia digital para el CCTV con canalización, instalación y puesta en operación de cerradura de alta seguridad para puerta (protección contra perforación con broca), instalación de metro lineal de malla ciclónica, e instalación de metro lineal concertina (alambre de navajas). </w:t>
      </w:r>
    </w:p>
  </w:footnote>
  <w:footnote w:id="10">
    <w:p w14:paraId="0FBF15B2" w14:textId="3F503C31" w:rsidR="005F77C2" w:rsidRPr="006D193D" w:rsidRDefault="005F77C2" w:rsidP="006D193D">
      <w:pPr>
        <w:pStyle w:val="FootnoteText"/>
        <w:rPr>
          <w:lang w:val="es-CR"/>
        </w:rPr>
      </w:pPr>
      <w:r>
        <w:rPr>
          <w:rStyle w:val="FootnoteReference"/>
        </w:rPr>
        <w:footnoteRef/>
      </w:r>
      <w:r>
        <w:t xml:space="preserve"> </w:t>
      </w:r>
      <w:r>
        <w:tab/>
        <w:t>Las medidas de protección en el domicilio de José Ángel Alvarado en el Ejido Benito Juárez señaladas corresponden a: instalación y puesta en operación de cerradura de alta seguridad para puerta (protección contra perforación con broca), instalación y puesta en operación de luminaria suburbana ahorradora (con instalación eléctrica y canalización), instalación de metro lineal de malla ciclónica, e instalación de metro lineal concertina (alambre de navajas).</w:t>
      </w:r>
      <w:r w:rsidRPr="006D193D">
        <w:rPr>
          <w:b/>
        </w:rPr>
        <w:t xml:space="preserve"> </w:t>
      </w:r>
    </w:p>
  </w:footnote>
  <w:footnote w:id="11">
    <w:p w14:paraId="0DFA1486" w14:textId="0421F6FA" w:rsidR="005F77C2" w:rsidRPr="006D193D" w:rsidRDefault="005F77C2" w:rsidP="006D193D">
      <w:pPr>
        <w:pStyle w:val="FootnoteText"/>
      </w:pPr>
      <w:r>
        <w:rPr>
          <w:rStyle w:val="FootnoteReference"/>
        </w:rPr>
        <w:footnoteRef/>
      </w:r>
      <w:r>
        <w:t xml:space="preserve"> </w:t>
      </w:r>
      <w:r>
        <w:tab/>
        <w:t>Las medidas de protección en el domicilio del núcleo familiar de José Ángel Alvarado en Ciudad Juárez señaladas corresponden a: Instalación y puesta en operación de circuito cerrado de televisión digital IP (sin cámaras), instalación y puesta en operación de cámara de vigilancia digital para el CCTV con canalización, instalación y puesta en operación de cerradura de alta seguridad para puerta (protección contra perforación con broca), instalación y puesta en operación de sistema de cerca eléctrica, e i</w:t>
      </w:r>
      <w:r w:rsidRPr="006D193D">
        <w:t>nstalación de metro lineal de cerca electrificada.</w:t>
      </w:r>
      <w:r>
        <w:t xml:space="preserve"> </w:t>
      </w:r>
    </w:p>
  </w:footnote>
  <w:footnote w:id="12">
    <w:p w14:paraId="493A11A5" w14:textId="260C79C3" w:rsidR="005F77C2" w:rsidRPr="006D193D" w:rsidRDefault="005F77C2" w:rsidP="006D193D">
      <w:pPr>
        <w:pStyle w:val="FootnoteText"/>
      </w:pPr>
      <w:r>
        <w:rPr>
          <w:rStyle w:val="FootnoteReference"/>
        </w:rPr>
        <w:footnoteRef/>
      </w:r>
      <w:r>
        <w:t xml:space="preserve"> </w:t>
      </w:r>
      <w:r>
        <w:rPr>
          <w:lang w:val="es-CR"/>
        </w:rPr>
        <w:tab/>
      </w:r>
      <w:r>
        <w:t xml:space="preserve">Las medidas de protección en el domicilio de Patricia Reyes señaladas corresponden a: refugios de seguridad, y servicio de pago de alimentación. </w:t>
      </w:r>
    </w:p>
  </w:footnote>
  <w:footnote w:id="13">
    <w:p w14:paraId="1DD9697E" w14:textId="41D49D80" w:rsidR="005F77C2" w:rsidRPr="00FC3B0C" w:rsidRDefault="005F77C2">
      <w:pPr>
        <w:pStyle w:val="FootnoteText"/>
      </w:pPr>
      <w:r>
        <w:rPr>
          <w:rStyle w:val="FootnoteReference"/>
        </w:rPr>
        <w:footnoteRef/>
      </w:r>
      <w:r>
        <w:t xml:space="preserve"> </w:t>
      </w:r>
      <w:r>
        <w:tab/>
      </w:r>
      <w:r>
        <w:rPr>
          <w:i/>
        </w:rPr>
        <w:t xml:space="preserve">Cfr. </w:t>
      </w:r>
      <w:r w:rsidRPr="00EE370C">
        <w:rPr>
          <w:i/>
        </w:rPr>
        <w:t>Asunto Alvarado Reyes y</w:t>
      </w:r>
      <w:r>
        <w:rPr>
          <w:i/>
        </w:rPr>
        <w:t xml:space="preserve"> otros respecto de México, supra, </w:t>
      </w:r>
      <w:r>
        <w:t xml:space="preserve">Considerando veinticuatro. </w:t>
      </w:r>
    </w:p>
  </w:footnote>
  <w:footnote w:id="14">
    <w:p w14:paraId="15C1EF06" w14:textId="026EA0A7" w:rsidR="005F77C2" w:rsidRPr="00FC3B0C" w:rsidRDefault="005F77C2">
      <w:pPr>
        <w:pStyle w:val="FootnoteText"/>
      </w:pPr>
      <w:r>
        <w:rPr>
          <w:rStyle w:val="FootnoteReference"/>
        </w:rPr>
        <w:footnoteRef/>
      </w:r>
      <w:r>
        <w:t xml:space="preserve"> </w:t>
      </w:r>
      <w:r>
        <w:tab/>
      </w:r>
      <w:r>
        <w:rPr>
          <w:i/>
        </w:rPr>
        <w:t xml:space="preserve">Cfr. </w:t>
      </w:r>
      <w:r w:rsidRPr="00EE370C">
        <w:rPr>
          <w:i/>
        </w:rPr>
        <w:t xml:space="preserve">Asunto Alvarado Reyes y </w:t>
      </w:r>
      <w:r>
        <w:rPr>
          <w:i/>
        </w:rPr>
        <w:t>otros</w:t>
      </w:r>
      <w:r w:rsidRPr="00561A0A">
        <w:t xml:space="preserve"> </w:t>
      </w:r>
      <w:r w:rsidRPr="00561A0A">
        <w:rPr>
          <w:i/>
        </w:rPr>
        <w:t>respecto de México</w:t>
      </w:r>
      <w:r>
        <w:rPr>
          <w:i/>
        </w:rPr>
        <w:t xml:space="preserve">, supra, </w:t>
      </w:r>
      <w:r>
        <w:t xml:space="preserve">Considerando treinta y nueve. </w:t>
      </w:r>
    </w:p>
  </w:footnote>
  <w:footnote w:id="15">
    <w:p w14:paraId="3843D514" w14:textId="3B7E560D" w:rsidR="005F77C2" w:rsidRPr="008747D5" w:rsidRDefault="005F77C2">
      <w:pPr>
        <w:pStyle w:val="FootnoteText"/>
        <w:rPr>
          <w:lang w:val="es-CR"/>
        </w:rPr>
      </w:pPr>
      <w:r>
        <w:rPr>
          <w:rStyle w:val="FootnoteReference"/>
        </w:rPr>
        <w:footnoteRef/>
      </w:r>
      <w:r>
        <w:t xml:space="preserve"> </w:t>
      </w:r>
      <w:r>
        <w:tab/>
      </w:r>
      <w:r>
        <w:rPr>
          <w:i/>
        </w:rPr>
        <w:t xml:space="preserve">Cfr. </w:t>
      </w:r>
      <w:r w:rsidRPr="00EE370C">
        <w:rPr>
          <w:i/>
        </w:rPr>
        <w:t>Asunto Alvarado Reyes y otros respecto de México</w:t>
      </w:r>
      <w:r>
        <w:rPr>
          <w:i/>
        </w:rPr>
        <w:t>, supra</w:t>
      </w:r>
      <w:r>
        <w:t>, Considerando treinta y 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E1DD" w14:textId="77777777" w:rsidR="005F77C2" w:rsidRPr="00CE180F" w:rsidRDefault="005F77C2">
    <w:pPr>
      <w:pStyle w:val="Header"/>
      <w:jc w:val="center"/>
      <w:rPr>
        <w:rFonts w:ascii="Verdana" w:hAnsi="Verdana"/>
        <w:sz w:val="20"/>
        <w:szCs w:val="20"/>
      </w:rPr>
    </w:pPr>
    <w:r w:rsidRPr="00CE180F">
      <w:rPr>
        <w:rFonts w:ascii="Verdana" w:hAnsi="Verdana"/>
        <w:sz w:val="20"/>
        <w:szCs w:val="20"/>
      </w:rPr>
      <w:fldChar w:fldCharType="begin"/>
    </w:r>
    <w:r w:rsidRPr="00CE180F">
      <w:rPr>
        <w:rFonts w:ascii="Verdana" w:hAnsi="Verdana"/>
        <w:sz w:val="20"/>
        <w:szCs w:val="20"/>
      </w:rPr>
      <w:instrText xml:space="preserve"> PAGE   \* MERGEFORMAT </w:instrText>
    </w:r>
    <w:r w:rsidRPr="00CE180F">
      <w:rPr>
        <w:rFonts w:ascii="Verdana" w:hAnsi="Verdana"/>
        <w:sz w:val="20"/>
        <w:szCs w:val="20"/>
      </w:rPr>
      <w:fldChar w:fldCharType="separate"/>
    </w:r>
    <w:r w:rsidR="002A776A">
      <w:rPr>
        <w:rFonts w:ascii="Verdana" w:hAnsi="Verdana"/>
        <w:noProof/>
        <w:sz w:val="20"/>
        <w:szCs w:val="20"/>
      </w:rPr>
      <w:t>2</w:t>
    </w:r>
    <w:r w:rsidRPr="00CE180F">
      <w:rPr>
        <w:rFonts w:ascii="Verdana" w:hAnsi="Verdana"/>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E04"/>
    <w:multiLevelType w:val="hybridMultilevel"/>
    <w:tmpl w:val="7994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AA7785"/>
    <w:multiLevelType w:val="hybridMultilevel"/>
    <w:tmpl w:val="A70AC010"/>
    <w:lvl w:ilvl="0" w:tplc="95127E5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nsid w:val="0E2F4DAE"/>
    <w:multiLevelType w:val="hybridMultilevel"/>
    <w:tmpl w:val="AD6A3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E4073A"/>
    <w:multiLevelType w:val="hybridMultilevel"/>
    <w:tmpl w:val="A70AC010"/>
    <w:lvl w:ilvl="0" w:tplc="95127E5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12A45687"/>
    <w:multiLevelType w:val="hybridMultilevel"/>
    <w:tmpl w:val="D7B84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D6C3B"/>
    <w:multiLevelType w:val="hybridMultilevel"/>
    <w:tmpl w:val="B858B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85631"/>
    <w:multiLevelType w:val="hybridMultilevel"/>
    <w:tmpl w:val="5BFC5796"/>
    <w:lvl w:ilvl="0" w:tplc="6F9C2AE8">
      <w:start w:val="1"/>
      <w:numFmt w:val="low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21F02155"/>
    <w:multiLevelType w:val="hybridMultilevel"/>
    <w:tmpl w:val="8040BF2A"/>
    <w:lvl w:ilvl="0" w:tplc="5EC2D30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D428C"/>
    <w:multiLevelType w:val="hybridMultilevel"/>
    <w:tmpl w:val="6FB03296"/>
    <w:lvl w:ilvl="0" w:tplc="68E6A6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B1C00"/>
    <w:multiLevelType w:val="hybridMultilevel"/>
    <w:tmpl w:val="CEEE371E"/>
    <w:lvl w:ilvl="0" w:tplc="1EBEC7FE">
      <w:start w:val="1"/>
      <w:numFmt w:val="decimal"/>
      <w:lvlText w:val="%1."/>
      <w:lvlJc w:val="left"/>
      <w:pPr>
        <w:ind w:left="720" w:hanging="720"/>
      </w:pPr>
      <w:rPr>
        <w:rFonts w:ascii="Verdana" w:hAnsi="Verdan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67FB9"/>
    <w:multiLevelType w:val="hybridMultilevel"/>
    <w:tmpl w:val="609CA41C"/>
    <w:lvl w:ilvl="0" w:tplc="12E67A8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B54B4"/>
    <w:multiLevelType w:val="hybridMultilevel"/>
    <w:tmpl w:val="9F04EBB6"/>
    <w:lvl w:ilvl="0" w:tplc="D990E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41ED6"/>
    <w:multiLevelType w:val="hybridMultilevel"/>
    <w:tmpl w:val="3200B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0024DE"/>
    <w:multiLevelType w:val="hybridMultilevel"/>
    <w:tmpl w:val="EB802A6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4057019"/>
    <w:multiLevelType w:val="hybridMultilevel"/>
    <w:tmpl w:val="1570E712"/>
    <w:lvl w:ilvl="0" w:tplc="C4300E4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nsid w:val="380564A0"/>
    <w:multiLevelType w:val="hybridMultilevel"/>
    <w:tmpl w:val="5BFC5796"/>
    <w:lvl w:ilvl="0" w:tplc="6F9C2AE8">
      <w:start w:val="1"/>
      <w:numFmt w:val="low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nsid w:val="4154738F"/>
    <w:multiLevelType w:val="hybridMultilevel"/>
    <w:tmpl w:val="FDC2844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nsid w:val="44082E19"/>
    <w:multiLevelType w:val="hybridMultilevel"/>
    <w:tmpl w:val="4F6AFFC8"/>
    <w:lvl w:ilvl="0" w:tplc="1EBEC7FE">
      <w:start w:val="1"/>
      <w:numFmt w:val="decimal"/>
      <w:lvlText w:val="%1."/>
      <w:lvlJc w:val="left"/>
      <w:pPr>
        <w:ind w:left="1440" w:hanging="720"/>
      </w:pPr>
      <w:rPr>
        <w:rFonts w:ascii="Verdana" w:hAnsi="Verdana"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9A347F"/>
    <w:multiLevelType w:val="hybridMultilevel"/>
    <w:tmpl w:val="F146CDB6"/>
    <w:lvl w:ilvl="0" w:tplc="664256CA">
      <w:start w:val="1"/>
      <w:numFmt w:val="upperLetter"/>
      <w:lvlText w:val="%1."/>
      <w:lvlJc w:val="left"/>
      <w:pPr>
        <w:ind w:left="360" w:hanging="360"/>
      </w:pPr>
      <w:rPr>
        <w:rFonts w:hint="default"/>
        <w:i/>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482B62FA"/>
    <w:multiLevelType w:val="hybridMultilevel"/>
    <w:tmpl w:val="C5CCAD2E"/>
    <w:lvl w:ilvl="0" w:tplc="557A8916">
      <w:start w:val="9"/>
      <w:numFmt w:val="decimal"/>
      <w:lvlText w:val="%1."/>
      <w:lvlJc w:val="left"/>
      <w:pPr>
        <w:tabs>
          <w:tab w:val="num" w:pos="450"/>
        </w:tabs>
        <w:ind w:left="0" w:firstLine="0"/>
      </w:pPr>
      <w:rPr>
        <w:rFonts w:hint="default"/>
        <w:b w:val="0"/>
        <w:strike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B4E33"/>
    <w:multiLevelType w:val="hybridMultilevel"/>
    <w:tmpl w:val="DC845060"/>
    <w:lvl w:ilvl="0" w:tplc="0106AAE0">
      <w:start w:val="1"/>
      <w:numFmt w:val="lowerLetter"/>
      <w:lvlText w:val="%1)"/>
      <w:lvlJc w:val="left"/>
      <w:pPr>
        <w:ind w:left="1080" w:hanging="360"/>
      </w:pPr>
      <w:rPr>
        <w:rFonts w:ascii="Verdana" w:hAnsi="Verdana" w:cs="Verdana" w:hint="default"/>
        <w:b w:val="0"/>
        <w:sz w:val="20"/>
        <w:szCs w:val="20"/>
      </w:rPr>
    </w:lvl>
    <w:lvl w:ilvl="1" w:tplc="2EC48844">
      <w:start w:val="1"/>
      <w:numFmt w:val="decimal"/>
      <w:lvlText w:val="%2."/>
      <w:lvlJc w:val="left"/>
      <w:pPr>
        <w:tabs>
          <w:tab w:val="num" w:pos="450"/>
        </w:tabs>
      </w:pPr>
      <w:rPr>
        <w:rFonts w:hint="default"/>
        <w:b w:val="0"/>
        <w:sz w:val="20"/>
        <w:szCs w:val="20"/>
      </w:rPr>
    </w:lvl>
    <w:lvl w:ilvl="2" w:tplc="B96C1A40">
      <w:start w:val="1"/>
      <w:numFmt w:val="lowerLetter"/>
      <w:lvlText w:val="%3)"/>
      <w:lvlJc w:val="left"/>
      <w:pPr>
        <w:ind w:left="2700" w:hanging="360"/>
      </w:pPr>
      <w:rPr>
        <w:rFonts w:ascii="Verdana" w:hAnsi="Verdana" w:cs="Verdana" w:hint="default"/>
        <w:b w:val="0"/>
        <w:sz w:val="20"/>
        <w:szCs w:val="20"/>
      </w:r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1">
    <w:nsid w:val="524018A6"/>
    <w:multiLevelType w:val="hybridMultilevel"/>
    <w:tmpl w:val="7D965162"/>
    <w:lvl w:ilvl="0" w:tplc="95127E5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nsid w:val="5B936DAF"/>
    <w:multiLevelType w:val="hybridMultilevel"/>
    <w:tmpl w:val="FC3297E4"/>
    <w:lvl w:ilvl="0" w:tplc="9B1E4EDA">
      <w:start w:val="1"/>
      <w:numFmt w:val="decimal"/>
      <w:lvlText w:val="%1."/>
      <w:lvlJc w:val="left"/>
      <w:pPr>
        <w:ind w:left="12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D40139"/>
    <w:multiLevelType w:val="hybridMultilevel"/>
    <w:tmpl w:val="0EB0C392"/>
    <w:lvl w:ilvl="0" w:tplc="9E62A57C">
      <w:start w:val="1"/>
      <w:numFmt w:val="decimal"/>
      <w:lvlText w:val="%1."/>
      <w:lvlJc w:val="left"/>
      <w:pPr>
        <w:ind w:left="862"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E6053A1"/>
    <w:multiLevelType w:val="hybridMultilevel"/>
    <w:tmpl w:val="2548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5D6ECD"/>
    <w:multiLevelType w:val="hybridMultilevel"/>
    <w:tmpl w:val="C9487366"/>
    <w:lvl w:ilvl="0" w:tplc="FE7EEBC4">
      <w:start w:val="1"/>
      <w:numFmt w:val="lowerLetter"/>
      <w:lvlText w:val="%1)"/>
      <w:lvlJc w:val="left"/>
      <w:pPr>
        <w:ind w:left="1080" w:hanging="360"/>
      </w:pPr>
      <w:rPr>
        <w:rFonts w:ascii="Verdana" w:hAnsi="Verdana" w:cs="Verdana" w:hint="default"/>
        <w:sz w:val="20"/>
        <w:szCs w:val="20"/>
      </w:rPr>
    </w:lvl>
    <w:lvl w:ilvl="1" w:tplc="8DB26C0C">
      <w:start w:val="1"/>
      <w:numFmt w:val="decimal"/>
      <w:lvlText w:val="%2."/>
      <w:lvlJc w:val="left"/>
      <w:pPr>
        <w:tabs>
          <w:tab w:val="num" w:pos="450"/>
        </w:tabs>
      </w:pPr>
      <w:rPr>
        <w:rFonts w:hint="default"/>
        <w:b w:val="0"/>
        <w:strike w:val="0"/>
        <w:sz w:val="20"/>
        <w:szCs w:val="20"/>
      </w:rPr>
    </w:lvl>
    <w:lvl w:ilvl="2" w:tplc="B96C1A40">
      <w:start w:val="1"/>
      <w:numFmt w:val="lowerLetter"/>
      <w:lvlText w:val="%3)"/>
      <w:lvlJc w:val="left"/>
      <w:pPr>
        <w:ind w:left="2700" w:hanging="360"/>
      </w:pPr>
      <w:rPr>
        <w:rFonts w:ascii="Verdana" w:hAnsi="Verdana" w:cs="Verdana" w:hint="default"/>
        <w:b w:val="0"/>
        <w:sz w:val="20"/>
        <w:szCs w:val="20"/>
      </w:r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6">
    <w:nsid w:val="723F2EE1"/>
    <w:multiLevelType w:val="hybridMultilevel"/>
    <w:tmpl w:val="5BFC5796"/>
    <w:lvl w:ilvl="0" w:tplc="6F9C2AE8">
      <w:start w:val="1"/>
      <w:numFmt w:val="low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733043A0"/>
    <w:multiLevelType w:val="hybridMultilevel"/>
    <w:tmpl w:val="A70AC010"/>
    <w:lvl w:ilvl="0" w:tplc="95127E5E">
      <w:start w:val="1"/>
      <w:numFmt w:val="lowerLetter"/>
      <w:lvlText w:val="%1)"/>
      <w:lvlJc w:val="left"/>
      <w:pPr>
        <w:ind w:left="360"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nsid w:val="78BA5142"/>
    <w:multiLevelType w:val="hybridMultilevel"/>
    <w:tmpl w:val="3B162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734908"/>
    <w:multiLevelType w:val="hybridMultilevel"/>
    <w:tmpl w:val="4484E3C6"/>
    <w:lvl w:ilvl="0" w:tplc="BBAE747E">
      <w:start w:val="1"/>
      <w:numFmt w:val="decimal"/>
      <w:lvlText w:val="%1."/>
      <w:lvlJc w:val="left"/>
      <w:pPr>
        <w:ind w:left="108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22"/>
  </w:num>
  <w:num w:numId="4">
    <w:abstractNumId w:val="14"/>
  </w:num>
  <w:num w:numId="5">
    <w:abstractNumId w:val="15"/>
  </w:num>
  <w:num w:numId="6">
    <w:abstractNumId w:val="3"/>
  </w:num>
  <w:num w:numId="7">
    <w:abstractNumId w:val="12"/>
  </w:num>
  <w:num w:numId="8">
    <w:abstractNumId w:val="19"/>
  </w:num>
  <w:num w:numId="9">
    <w:abstractNumId w:val="10"/>
  </w:num>
  <w:num w:numId="10">
    <w:abstractNumId w:val="20"/>
  </w:num>
  <w:num w:numId="11">
    <w:abstractNumId w:val="21"/>
  </w:num>
  <w:num w:numId="12">
    <w:abstractNumId w:val="27"/>
  </w:num>
  <w:num w:numId="13">
    <w:abstractNumId w:val="6"/>
  </w:num>
  <w:num w:numId="14">
    <w:abstractNumId w:val="26"/>
  </w:num>
  <w:num w:numId="15">
    <w:abstractNumId w:val="1"/>
  </w:num>
  <w:num w:numId="16">
    <w:abstractNumId w:val="4"/>
  </w:num>
  <w:num w:numId="17">
    <w:abstractNumId w:val="0"/>
  </w:num>
  <w:num w:numId="18">
    <w:abstractNumId w:val="8"/>
  </w:num>
  <w:num w:numId="19">
    <w:abstractNumId w:val="9"/>
  </w:num>
  <w:num w:numId="20">
    <w:abstractNumId w:val="11"/>
  </w:num>
  <w:num w:numId="21">
    <w:abstractNumId w:val="18"/>
  </w:num>
  <w:num w:numId="22">
    <w:abstractNumId w:val="29"/>
  </w:num>
  <w:num w:numId="23">
    <w:abstractNumId w:val="7"/>
  </w:num>
  <w:num w:numId="24">
    <w:abstractNumId w:val="28"/>
  </w:num>
  <w:num w:numId="25">
    <w:abstractNumId w:val="2"/>
  </w:num>
  <w:num w:numId="26">
    <w:abstractNumId w:val="5"/>
  </w:num>
  <w:num w:numId="27">
    <w:abstractNumId w:val="17"/>
  </w:num>
  <w:num w:numId="28">
    <w:abstractNumId w:val="16"/>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8"/>
    <w:rsid w:val="000105F5"/>
    <w:rsid w:val="00010CA5"/>
    <w:rsid w:val="00011104"/>
    <w:rsid w:val="00015FFD"/>
    <w:rsid w:val="00017163"/>
    <w:rsid w:val="0002018C"/>
    <w:rsid w:val="000211C7"/>
    <w:rsid w:val="00022061"/>
    <w:rsid w:val="00023440"/>
    <w:rsid w:val="0002400B"/>
    <w:rsid w:val="00024FA3"/>
    <w:rsid w:val="000301A2"/>
    <w:rsid w:val="000310A0"/>
    <w:rsid w:val="0003328F"/>
    <w:rsid w:val="000335D2"/>
    <w:rsid w:val="000363BE"/>
    <w:rsid w:val="00041C22"/>
    <w:rsid w:val="00041C6F"/>
    <w:rsid w:val="00042800"/>
    <w:rsid w:val="00042B1D"/>
    <w:rsid w:val="000435B9"/>
    <w:rsid w:val="00044423"/>
    <w:rsid w:val="000464E9"/>
    <w:rsid w:val="0004726D"/>
    <w:rsid w:val="00052046"/>
    <w:rsid w:val="00052974"/>
    <w:rsid w:val="000567B5"/>
    <w:rsid w:val="00056B84"/>
    <w:rsid w:val="00056BDF"/>
    <w:rsid w:val="000610DC"/>
    <w:rsid w:val="00062020"/>
    <w:rsid w:val="0006474D"/>
    <w:rsid w:val="00064C8B"/>
    <w:rsid w:val="000655D3"/>
    <w:rsid w:val="0006695B"/>
    <w:rsid w:val="00066ED6"/>
    <w:rsid w:val="00071CAD"/>
    <w:rsid w:val="000750E5"/>
    <w:rsid w:val="00075AC5"/>
    <w:rsid w:val="00083EB9"/>
    <w:rsid w:val="000854BC"/>
    <w:rsid w:val="00090617"/>
    <w:rsid w:val="00092C97"/>
    <w:rsid w:val="00092F10"/>
    <w:rsid w:val="00094746"/>
    <w:rsid w:val="00094C0A"/>
    <w:rsid w:val="00094DD2"/>
    <w:rsid w:val="00097CD8"/>
    <w:rsid w:val="000A0D6D"/>
    <w:rsid w:val="000A28A5"/>
    <w:rsid w:val="000A3EC4"/>
    <w:rsid w:val="000A5E0B"/>
    <w:rsid w:val="000A5FF8"/>
    <w:rsid w:val="000A6D9C"/>
    <w:rsid w:val="000B26B7"/>
    <w:rsid w:val="000B3CF0"/>
    <w:rsid w:val="000C2DE6"/>
    <w:rsid w:val="000D19F9"/>
    <w:rsid w:val="000D3714"/>
    <w:rsid w:val="000D4128"/>
    <w:rsid w:val="000D4E6A"/>
    <w:rsid w:val="000D5ED9"/>
    <w:rsid w:val="000D6D52"/>
    <w:rsid w:val="000E319D"/>
    <w:rsid w:val="000E5614"/>
    <w:rsid w:val="000E64FA"/>
    <w:rsid w:val="000E653E"/>
    <w:rsid w:val="000E7407"/>
    <w:rsid w:val="000E78C8"/>
    <w:rsid w:val="000F06B4"/>
    <w:rsid w:val="000F128A"/>
    <w:rsid w:val="000F6D2F"/>
    <w:rsid w:val="000F6DA1"/>
    <w:rsid w:val="000F73E0"/>
    <w:rsid w:val="00101E53"/>
    <w:rsid w:val="001035AE"/>
    <w:rsid w:val="001056E8"/>
    <w:rsid w:val="00106837"/>
    <w:rsid w:val="00111801"/>
    <w:rsid w:val="00113178"/>
    <w:rsid w:val="00114F8B"/>
    <w:rsid w:val="001171FC"/>
    <w:rsid w:val="00122183"/>
    <w:rsid w:val="00124FC1"/>
    <w:rsid w:val="0012609C"/>
    <w:rsid w:val="0012643B"/>
    <w:rsid w:val="001264DA"/>
    <w:rsid w:val="0013209B"/>
    <w:rsid w:val="00133A89"/>
    <w:rsid w:val="00134A6B"/>
    <w:rsid w:val="00142C8E"/>
    <w:rsid w:val="00143765"/>
    <w:rsid w:val="00155271"/>
    <w:rsid w:val="00155401"/>
    <w:rsid w:val="00157888"/>
    <w:rsid w:val="00160B61"/>
    <w:rsid w:val="001630B6"/>
    <w:rsid w:val="0016614A"/>
    <w:rsid w:val="00166E30"/>
    <w:rsid w:val="00172FB1"/>
    <w:rsid w:val="0017357B"/>
    <w:rsid w:val="00173636"/>
    <w:rsid w:val="001761A4"/>
    <w:rsid w:val="00177A87"/>
    <w:rsid w:val="0018033D"/>
    <w:rsid w:val="00180651"/>
    <w:rsid w:val="001832C8"/>
    <w:rsid w:val="00183811"/>
    <w:rsid w:val="00187B42"/>
    <w:rsid w:val="00190FE5"/>
    <w:rsid w:val="00191C24"/>
    <w:rsid w:val="00197BF4"/>
    <w:rsid w:val="001A0185"/>
    <w:rsid w:val="001A1221"/>
    <w:rsid w:val="001A290B"/>
    <w:rsid w:val="001A58BE"/>
    <w:rsid w:val="001A5955"/>
    <w:rsid w:val="001A5A3C"/>
    <w:rsid w:val="001A7946"/>
    <w:rsid w:val="001B3978"/>
    <w:rsid w:val="001B5E77"/>
    <w:rsid w:val="001C3D8C"/>
    <w:rsid w:val="001C57C7"/>
    <w:rsid w:val="001C6073"/>
    <w:rsid w:val="001C6235"/>
    <w:rsid w:val="001D0726"/>
    <w:rsid w:val="001D2F13"/>
    <w:rsid w:val="001D45D5"/>
    <w:rsid w:val="001D5627"/>
    <w:rsid w:val="001D6287"/>
    <w:rsid w:val="001D7500"/>
    <w:rsid w:val="001E2E39"/>
    <w:rsid w:val="001E37BA"/>
    <w:rsid w:val="001E430D"/>
    <w:rsid w:val="001E552A"/>
    <w:rsid w:val="001F371E"/>
    <w:rsid w:val="00200B77"/>
    <w:rsid w:val="0020671A"/>
    <w:rsid w:val="002145D9"/>
    <w:rsid w:val="00214D88"/>
    <w:rsid w:val="00215446"/>
    <w:rsid w:val="0021598F"/>
    <w:rsid w:val="00220F22"/>
    <w:rsid w:val="00221E74"/>
    <w:rsid w:val="00223845"/>
    <w:rsid w:val="0022462A"/>
    <w:rsid w:val="00224D8E"/>
    <w:rsid w:val="00226BFE"/>
    <w:rsid w:val="0023091A"/>
    <w:rsid w:val="002320ED"/>
    <w:rsid w:val="0023359F"/>
    <w:rsid w:val="0023391B"/>
    <w:rsid w:val="00235DC9"/>
    <w:rsid w:val="00240727"/>
    <w:rsid w:val="00241D62"/>
    <w:rsid w:val="0024367C"/>
    <w:rsid w:val="00243F7F"/>
    <w:rsid w:val="00245A89"/>
    <w:rsid w:val="002464FD"/>
    <w:rsid w:val="00253180"/>
    <w:rsid w:val="0026420E"/>
    <w:rsid w:val="00275028"/>
    <w:rsid w:val="00276DB2"/>
    <w:rsid w:val="00282A85"/>
    <w:rsid w:val="002836DC"/>
    <w:rsid w:val="002843B6"/>
    <w:rsid w:val="002902B9"/>
    <w:rsid w:val="002911CB"/>
    <w:rsid w:val="00292083"/>
    <w:rsid w:val="00297158"/>
    <w:rsid w:val="002A0F65"/>
    <w:rsid w:val="002A3E88"/>
    <w:rsid w:val="002A635C"/>
    <w:rsid w:val="002A776A"/>
    <w:rsid w:val="002B18DF"/>
    <w:rsid w:val="002B2337"/>
    <w:rsid w:val="002B4F47"/>
    <w:rsid w:val="002B51F4"/>
    <w:rsid w:val="002B520A"/>
    <w:rsid w:val="002B534A"/>
    <w:rsid w:val="002B7A0B"/>
    <w:rsid w:val="002B7A38"/>
    <w:rsid w:val="002C34F6"/>
    <w:rsid w:val="002C3898"/>
    <w:rsid w:val="002C5279"/>
    <w:rsid w:val="002C7F9C"/>
    <w:rsid w:val="002D1AB3"/>
    <w:rsid w:val="002D1D93"/>
    <w:rsid w:val="002D2F60"/>
    <w:rsid w:val="002D4462"/>
    <w:rsid w:val="002D5C12"/>
    <w:rsid w:val="002E0E8E"/>
    <w:rsid w:val="002E2996"/>
    <w:rsid w:val="002E3373"/>
    <w:rsid w:val="002E4190"/>
    <w:rsid w:val="002E41BB"/>
    <w:rsid w:val="002E49AF"/>
    <w:rsid w:val="002F26C3"/>
    <w:rsid w:val="002F3DC1"/>
    <w:rsid w:val="002F4CAC"/>
    <w:rsid w:val="002F52B8"/>
    <w:rsid w:val="00300391"/>
    <w:rsid w:val="00302309"/>
    <w:rsid w:val="00305CFB"/>
    <w:rsid w:val="00305D26"/>
    <w:rsid w:val="003061E6"/>
    <w:rsid w:val="00306379"/>
    <w:rsid w:val="003114E9"/>
    <w:rsid w:val="00313621"/>
    <w:rsid w:val="00313EAD"/>
    <w:rsid w:val="003172C0"/>
    <w:rsid w:val="00320A65"/>
    <w:rsid w:val="00321210"/>
    <w:rsid w:val="00321514"/>
    <w:rsid w:val="00321E91"/>
    <w:rsid w:val="003239EA"/>
    <w:rsid w:val="00324E0B"/>
    <w:rsid w:val="0032637D"/>
    <w:rsid w:val="0032756C"/>
    <w:rsid w:val="00327F29"/>
    <w:rsid w:val="003306E0"/>
    <w:rsid w:val="00330E3A"/>
    <w:rsid w:val="003336E7"/>
    <w:rsid w:val="003351D4"/>
    <w:rsid w:val="00336819"/>
    <w:rsid w:val="00340D37"/>
    <w:rsid w:val="0034188A"/>
    <w:rsid w:val="0034291E"/>
    <w:rsid w:val="003438E1"/>
    <w:rsid w:val="0034403A"/>
    <w:rsid w:val="0034591A"/>
    <w:rsid w:val="00345C2B"/>
    <w:rsid w:val="00351800"/>
    <w:rsid w:val="0035239E"/>
    <w:rsid w:val="003553A0"/>
    <w:rsid w:val="00360921"/>
    <w:rsid w:val="003639F9"/>
    <w:rsid w:val="00365A36"/>
    <w:rsid w:val="003762D6"/>
    <w:rsid w:val="003826EE"/>
    <w:rsid w:val="00383B45"/>
    <w:rsid w:val="00383FDF"/>
    <w:rsid w:val="0038631A"/>
    <w:rsid w:val="00390C4B"/>
    <w:rsid w:val="00391A7D"/>
    <w:rsid w:val="00393BE8"/>
    <w:rsid w:val="003A0770"/>
    <w:rsid w:val="003A22CA"/>
    <w:rsid w:val="003A45E5"/>
    <w:rsid w:val="003B500F"/>
    <w:rsid w:val="003B5EF0"/>
    <w:rsid w:val="003B65BE"/>
    <w:rsid w:val="003C2F3C"/>
    <w:rsid w:val="003C3DAD"/>
    <w:rsid w:val="003C4D98"/>
    <w:rsid w:val="003C5F42"/>
    <w:rsid w:val="003C7B77"/>
    <w:rsid w:val="003D08F8"/>
    <w:rsid w:val="003D0AC8"/>
    <w:rsid w:val="003D14EB"/>
    <w:rsid w:val="003D2D25"/>
    <w:rsid w:val="003D3466"/>
    <w:rsid w:val="003D58D0"/>
    <w:rsid w:val="003D75A8"/>
    <w:rsid w:val="003E1B25"/>
    <w:rsid w:val="003F5DCA"/>
    <w:rsid w:val="003F619A"/>
    <w:rsid w:val="003F7B4B"/>
    <w:rsid w:val="00402191"/>
    <w:rsid w:val="00402FDA"/>
    <w:rsid w:val="00403F0D"/>
    <w:rsid w:val="004048E6"/>
    <w:rsid w:val="004071F2"/>
    <w:rsid w:val="00413467"/>
    <w:rsid w:val="004142BE"/>
    <w:rsid w:val="00423F71"/>
    <w:rsid w:val="00424998"/>
    <w:rsid w:val="0042568B"/>
    <w:rsid w:val="004268CA"/>
    <w:rsid w:val="0042751F"/>
    <w:rsid w:val="00427E26"/>
    <w:rsid w:val="00431A25"/>
    <w:rsid w:val="00432A78"/>
    <w:rsid w:val="00432ACD"/>
    <w:rsid w:val="004346C0"/>
    <w:rsid w:val="00435F9A"/>
    <w:rsid w:val="004431B6"/>
    <w:rsid w:val="004454CC"/>
    <w:rsid w:val="004514EC"/>
    <w:rsid w:val="00454241"/>
    <w:rsid w:val="004565FC"/>
    <w:rsid w:val="004612DF"/>
    <w:rsid w:val="004613A8"/>
    <w:rsid w:val="00461DDE"/>
    <w:rsid w:val="004633CF"/>
    <w:rsid w:val="00465AD7"/>
    <w:rsid w:val="00467555"/>
    <w:rsid w:val="00472A38"/>
    <w:rsid w:val="004733E9"/>
    <w:rsid w:val="00476F81"/>
    <w:rsid w:val="00477256"/>
    <w:rsid w:val="00481A54"/>
    <w:rsid w:val="004822E5"/>
    <w:rsid w:val="004843A3"/>
    <w:rsid w:val="00485C64"/>
    <w:rsid w:val="00490513"/>
    <w:rsid w:val="00492EB8"/>
    <w:rsid w:val="00493200"/>
    <w:rsid w:val="00493418"/>
    <w:rsid w:val="004940F5"/>
    <w:rsid w:val="00495DCF"/>
    <w:rsid w:val="004A21EC"/>
    <w:rsid w:val="004B01B2"/>
    <w:rsid w:val="004B1B85"/>
    <w:rsid w:val="004B1DE0"/>
    <w:rsid w:val="004B5D31"/>
    <w:rsid w:val="004B5E94"/>
    <w:rsid w:val="004B62A5"/>
    <w:rsid w:val="004C0C5E"/>
    <w:rsid w:val="004C387F"/>
    <w:rsid w:val="004C38C5"/>
    <w:rsid w:val="004C647C"/>
    <w:rsid w:val="004C6630"/>
    <w:rsid w:val="004C741C"/>
    <w:rsid w:val="004D2A29"/>
    <w:rsid w:val="004D4657"/>
    <w:rsid w:val="004E6687"/>
    <w:rsid w:val="004E7027"/>
    <w:rsid w:val="004F2657"/>
    <w:rsid w:val="004F3638"/>
    <w:rsid w:val="004F7288"/>
    <w:rsid w:val="004F7345"/>
    <w:rsid w:val="005003B4"/>
    <w:rsid w:val="00503BCA"/>
    <w:rsid w:val="0050417A"/>
    <w:rsid w:val="005061E4"/>
    <w:rsid w:val="00511FD7"/>
    <w:rsid w:val="005165A8"/>
    <w:rsid w:val="0052067F"/>
    <w:rsid w:val="00524557"/>
    <w:rsid w:val="00526E87"/>
    <w:rsid w:val="005312F1"/>
    <w:rsid w:val="00536BEB"/>
    <w:rsid w:val="005401E0"/>
    <w:rsid w:val="00541AB0"/>
    <w:rsid w:val="005423F7"/>
    <w:rsid w:val="00550DAE"/>
    <w:rsid w:val="00552273"/>
    <w:rsid w:val="00553DBB"/>
    <w:rsid w:val="00553E0F"/>
    <w:rsid w:val="00554BB2"/>
    <w:rsid w:val="00560918"/>
    <w:rsid w:val="00561344"/>
    <w:rsid w:val="00561A0A"/>
    <w:rsid w:val="00562F9B"/>
    <w:rsid w:val="00566D76"/>
    <w:rsid w:val="005676F1"/>
    <w:rsid w:val="00567B00"/>
    <w:rsid w:val="00577D09"/>
    <w:rsid w:val="005802AC"/>
    <w:rsid w:val="005808AA"/>
    <w:rsid w:val="0058263F"/>
    <w:rsid w:val="00583EEB"/>
    <w:rsid w:val="00585608"/>
    <w:rsid w:val="005875B5"/>
    <w:rsid w:val="00590671"/>
    <w:rsid w:val="00591842"/>
    <w:rsid w:val="005937A6"/>
    <w:rsid w:val="00593FBF"/>
    <w:rsid w:val="005959B9"/>
    <w:rsid w:val="00595B11"/>
    <w:rsid w:val="00597480"/>
    <w:rsid w:val="005A0B60"/>
    <w:rsid w:val="005A439D"/>
    <w:rsid w:val="005B180A"/>
    <w:rsid w:val="005B52B1"/>
    <w:rsid w:val="005B57EC"/>
    <w:rsid w:val="005B74ED"/>
    <w:rsid w:val="005B7E98"/>
    <w:rsid w:val="005C6B6B"/>
    <w:rsid w:val="005D21CD"/>
    <w:rsid w:val="005D37DE"/>
    <w:rsid w:val="005D3B46"/>
    <w:rsid w:val="005D4985"/>
    <w:rsid w:val="005D785B"/>
    <w:rsid w:val="005E2A04"/>
    <w:rsid w:val="005E3511"/>
    <w:rsid w:val="005E5B85"/>
    <w:rsid w:val="005E617D"/>
    <w:rsid w:val="005E7A8C"/>
    <w:rsid w:val="005F25FE"/>
    <w:rsid w:val="005F77C2"/>
    <w:rsid w:val="00606305"/>
    <w:rsid w:val="00606511"/>
    <w:rsid w:val="00606DF7"/>
    <w:rsid w:val="00610A7D"/>
    <w:rsid w:val="00611209"/>
    <w:rsid w:val="00614B32"/>
    <w:rsid w:val="0062548C"/>
    <w:rsid w:val="00626423"/>
    <w:rsid w:val="00627AF3"/>
    <w:rsid w:val="006318AE"/>
    <w:rsid w:val="00633EF5"/>
    <w:rsid w:val="00634CAE"/>
    <w:rsid w:val="006352A7"/>
    <w:rsid w:val="00635D2C"/>
    <w:rsid w:val="00640217"/>
    <w:rsid w:val="0064049D"/>
    <w:rsid w:val="00643078"/>
    <w:rsid w:val="0064611E"/>
    <w:rsid w:val="0064721A"/>
    <w:rsid w:val="006513D1"/>
    <w:rsid w:val="00652334"/>
    <w:rsid w:val="0065258D"/>
    <w:rsid w:val="006528D6"/>
    <w:rsid w:val="006569E3"/>
    <w:rsid w:val="0066011A"/>
    <w:rsid w:val="006628C1"/>
    <w:rsid w:val="006636A0"/>
    <w:rsid w:val="00664457"/>
    <w:rsid w:val="00666922"/>
    <w:rsid w:val="00667E1F"/>
    <w:rsid w:val="00671F56"/>
    <w:rsid w:val="0067303F"/>
    <w:rsid w:val="00674628"/>
    <w:rsid w:val="00676931"/>
    <w:rsid w:val="00680D8A"/>
    <w:rsid w:val="00681AD7"/>
    <w:rsid w:val="006821D0"/>
    <w:rsid w:val="00683CA1"/>
    <w:rsid w:val="00684E24"/>
    <w:rsid w:val="00694D50"/>
    <w:rsid w:val="006A123A"/>
    <w:rsid w:val="006A1E32"/>
    <w:rsid w:val="006A1F3F"/>
    <w:rsid w:val="006A38F8"/>
    <w:rsid w:val="006A58BB"/>
    <w:rsid w:val="006A59E8"/>
    <w:rsid w:val="006A7B8B"/>
    <w:rsid w:val="006B0E52"/>
    <w:rsid w:val="006B1B3D"/>
    <w:rsid w:val="006B3D3A"/>
    <w:rsid w:val="006B43F8"/>
    <w:rsid w:val="006B5196"/>
    <w:rsid w:val="006B5C98"/>
    <w:rsid w:val="006C0BE9"/>
    <w:rsid w:val="006C1B77"/>
    <w:rsid w:val="006C2FE8"/>
    <w:rsid w:val="006C4033"/>
    <w:rsid w:val="006C501A"/>
    <w:rsid w:val="006C7276"/>
    <w:rsid w:val="006C7801"/>
    <w:rsid w:val="006D193D"/>
    <w:rsid w:val="006D3A21"/>
    <w:rsid w:val="006E1D7F"/>
    <w:rsid w:val="006E291F"/>
    <w:rsid w:val="006E2E85"/>
    <w:rsid w:val="006E4FF5"/>
    <w:rsid w:val="006E50A8"/>
    <w:rsid w:val="006E6D1C"/>
    <w:rsid w:val="006F26CB"/>
    <w:rsid w:val="006F6B05"/>
    <w:rsid w:val="006F75EE"/>
    <w:rsid w:val="006F7B1F"/>
    <w:rsid w:val="0070434C"/>
    <w:rsid w:val="00704B12"/>
    <w:rsid w:val="00704FDF"/>
    <w:rsid w:val="00705A30"/>
    <w:rsid w:val="00711607"/>
    <w:rsid w:val="00713044"/>
    <w:rsid w:val="007137EC"/>
    <w:rsid w:val="00714CF4"/>
    <w:rsid w:val="00717870"/>
    <w:rsid w:val="0072208B"/>
    <w:rsid w:val="00723142"/>
    <w:rsid w:val="00725235"/>
    <w:rsid w:val="00727ECF"/>
    <w:rsid w:val="007335FE"/>
    <w:rsid w:val="0074476C"/>
    <w:rsid w:val="00746B04"/>
    <w:rsid w:val="00751AFD"/>
    <w:rsid w:val="00753A6A"/>
    <w:rsid w:val="007567D8"/>
    <w:rsid w:val="00756E35"/>
    <w:rsid w:val="00757731"/>
    <w:rsid w:val="0076132E"/>
    <w:rsid w:val="007635E2"/>
    <w:rsid w:val="0076621C"/>
    <w:rsid w:val="007669E5"/>
    <w:rsid w:val="0076755D"/>
    <w:rsid w:val="0077125C"/>
    <w:rsid w:val="007722E3"/>
    <w:rsid w:val="007761DE"/>
    <w:rsid w:val="00781CB7"/>
    <w:rsid w:val="0078371F"/>
    <w:rsid w:val="00783BAD"/>
    <w:rsid w:val="00784276"/>
    <w:rsid w:val="007843B8"/>
    <w:rsid w:val="0078458A"/>
    <w:rsid w:val="00786808"/>
    <w:rsid w:val="007873E9"/>
    <w:rsid w:val="00787906"/>
    <w:rsid w:val="007913C0"/>
    <w:rsid w:val="00793049"/>
    <w:rsid w:val="007946FD"/>
    <w:rsid w:val="0079624B"/>
    <w:rsid w:val="007965F7"/>
    <w:rsid w:val="007A1E85"/>
    <w:rsid w:val="007A26F5"/>
    <w:rsid w:val="007A2F4C"/>
    <w:rsid w:val="007A3F99"/>
    <w:rsid w:val="007A5530"/>
    <w:rsid w:val="007A58DE"/>
    <w:rsid w:val="007B3CC8"/>
    <w:rsid w:val="007B3CCE"/>
    <w:rsid w:val="007B489D"/>
    <w:rsid w:val="007C1038"/>
    <w:rsid w:val="007C2F25"/>
    <w:rsid w:val="007C404C"/>
    <w:rsid w:val="007C485C"/>
    <w:rsid w:val="007C4E26"/>
    <w:rsid w:val="007D07C3"/>
    <w:rsid w:val="007D0F6D"/>
    <w:rsid w:val="007D153E"/>
    <w:rsid w:val="007E0776"/>
    <w:rsid w:val="007E0B2C"/>
    <w:rsid w:val="00800376"/>
    <w:rsid w:val="00800D98"/>
    <w:rsid w:val="008059FD"/>
    <w:rsid w:val="008105A5"/>
    <w:rsid w:val="00810B8D"/>
    <w:rsid w:val="00811A02"/>
    <w:rsid w:val="008151A9"/>
    <w:rsid w:val="00816CCC"/>
    <w:rsid w:val="00826A48"/>
    <w:rsid w:val="00826D32"/>
    <w:rsid w:val="00830092"/>
    <w:rsid w:val="008302CC"/>
    <w:rsid w:val="0083451F"/>
    <w:rsid w:val="00834F18"/>
    <w:rsid w:val="00835331"/>
    <w:rsid w:val="00835D28"/>
    <w:rsid w:val="00836522"/>
    <w:rsid w:val="0083741B"/>
    <w:rsid w:val="00840B9A"/>
    <w:rsid w:val="00841428"/>
    <w:rsid w:val="00842B58"/>
    <w:rsid w:val="008431F3"/>
    <w:rsid w:val="008449D0"/>
    <w:rsid w:val="00846633"/>
    <w:rsid w:val="00851380"/>
    <w:rsid w:val="00851E35"/>
    <w:rsid w:val="00851F83"/>
    <w:rsid w:val="0085452E"/>
    <w:rsid w:val="00855703"/>
    <w:rsid w:val="00860BF0"/>
    <w:rsid w:val="00864880"/>
    <w:rsid w:val="00864EAA"/>
    <w:rsid w:val="008710FB"/>
    <w:rsid w:val="00873345"/>
    <w:rsid w:val="008747D5"/>
    <w:rsid w:val="00874876"/>
    <w:rsid w:val="00880D17"/>
    <w:rsid w:val="008823CB"/>
    <w:rsid w:val="008838ED"/>
    <w:rsid w:val="00883915"/>
    <w:rsid w:val="00884EC2"/>
    <w:rsid w:val="008853E6"/>
    <w:rsid w:val="008870BB"/>
    <w:rsid w:val="008874EF"/>
    <w:rsid w:val="00887D3C"/>
    <w:rsid w:val="008939DF"/>
    <w:rsid w:val="008A2E5A"/>
    <w:rsid w:val="008A3FFA"/>
    <w:rsid w:val="008A7488"/>
    <w:rsid w:val="008B42C3"/>
    <w:rsid w:val="008B6DF9"/>
    <w:rsid w:val="008C133E"/>
    <w:rsid w:val="008C4685"/>
    <w:rsid w:val="008C4E78"/>
    <w:rsid w:val="008D076A"/>
    <w:rsid w:val="008D2194"/>
    <w:rsid w:val="008D3818"/>
    <w:rsid w:val="008D486B"/>
    <w:rsid w:val="008D6CEA"/>
    <w:rsid w:val="008D7E7D"/>
    <w:rsid w:val="008E1886"/>
    <w:rsid w:val="008E364A"/>
    <w:rsid w:val="008E7740"/>
    <w:rsid w:val="008F425C"/>
    <w:rsid w:val="008F6312"/>
    <w:rsid w:val="00900E82"/>
    <w:rsid w:val="00906AC5"/>
    <w:rsid w:val="00910D3F"/>
    <w:rsid w:val="0091138A"/>
    <w:rsid w:val="00917A2F"/>
    <w:rsid w:val="009220D5"/>
    <w:rsid w:val="00924E32"/>
    <w:rsid w:val="009268EE"/>
    <w:rsid w:val="0093387F"/>
    <w:rsid w:val="00934AC8"/>
    <w:rsid w:val="0093603C"/>
    <w:rsid w:val="00936BC6"/>
    <w:rsid w:val="0093745B"/>
    <w:rsid w:val="009402BA"/>
    <w:rsid w:val="00941511"/>
    <w:rsid w:val="009425D5"/>
    <w:rsid w:val="00942641"/>
    <w:rsid w:val="00944EE6"/>
    <w:rsid w:val="00945A19"/>
    <w:rsid w:val="00954252"/>
    <w:rsid w:val="00955CA8"/>
    <w:rsid w:val="00956DD5"/>
    <w:rsid w:val="009636EB"/>
    <w:rsid w:val="00963BF0"/>
    <w:rsid w:val="00964369"/>
    <w:rsid w:val="00964F6B"/>
    <w:rsid w:val="00964FA1"/>
    <w:rsid w:val="00965306"/>
    <w:rsid w:val="00970B79"/>
    <w:rsid w:val="009710C8"/>
    <w:rsid w:val="009714B0"/>
    <w:rsid w:val="00971ADF"/>
    <w:rsid w:val="00976251"/>
    <w:rsid w:val="009818D0"/>
    <w:rsid w:val="00981B82"/>
    <w:rsid w:val="009828BD"/>
    <w:rsid w:val="0098770F"/>
    <w:rsid w:val="0099218C"/>
    <w:rsid w:val="0099311C"/>
    <w:rsid w:val="00993D39"/>
    <w:rsid w:val="0099687F"/>
    <w:rsid w:val="00997743"/>
    <w:rsid w:val="009A0324"/>
    <w:rsid w:val="009A0622"/>
    <w:rsid w:val="009A165C"/>
    <w:rsid w:val="009A1CD3"/>
    <w:rsid w:val="009A4E5D"/>
    <w:rsid w:val="009A545D"/>
    <w:rsid w:val="009A54B4"/>
    <w:rsid w:val="009A6847"/>
    <w:rsid w:val="009B0662"/>
    <w:rsid w:val="009B175F"/>
    <w:rsid w:val="009B2C47"/>
    <w:rsid w:val="009B5AE4"/>
    <w:rsid w:val="009B7B65"/>
    <w:rsid w:val="009C219D"/>
    <w:rsid w:val="009C4B93"/>
    <w:rsid w:val="009C62A2"/>
    <w:rsid w:val="009C63BA"/>
    <w:rsid w:val="009D32C3"/>
    <w:rsid w:val="009D3F2F"/>
    <w:rsid w:val="009D48E7"/>
    <w:rsid w:val="009D5D1A"/>
    <w:rsid w:val="009E407B"/>
    <w:rsid w:val="009E61E3"/>
    <w:rsid w:val="009F4D1D"/>
    <w:rsid w:val="00A00B3C"/>
    <w:rsid w:val="00A016EF"/>
    <w:rsid w:val="00A03912"/>
    <w:rsid w:val="00A05714"/>
    <w:rsid w:val="00A05C36"/>
    <w:rsid w:val="00A10ADB"/>
    <w:rsid w:val="00A117D8"/>
    <w:rsid w:val="00A1208D"/>
    <w:rsid w:val="00A13151"/>
    <w:rsid w:val="00A14CD3"/>
    <w:rsid w:val="00A16EDA"/>
    <w:rsid w:val="00A17A11"/>
    <w:rsid w:val="00A22190"/>
    <w:rsid w:val="00A2366A"/>
    <w:rsid w:val="00A25F33"/>
    <w:rsid w:val="00A30FCF"/>
    <w:rsid w:val="00A34A50"/>
    <w:rsid w:val="00A37F75"/>
    <w:rsid w:val="00A40BC1"/>
    <w:rsid w:val="00A41004"/>
    <w:rsid w:val="00A4372F"/>
    <w:rsid w:val="00A44D6B"/>
    <w:rsid w:val="00A46563"/>
    <w:rsid w:val="00A5010A"/>
    <w:rsid w:val="00A51B1B"/>
    <w:rsid w:val="00A52072"/>
    <w:rsid w:val="00A523C6"/>
    <w:rsid w:val="00A57C20"/>
    <w:rsid w:val="00A60901"/>
    <w:rsid w:val="00A60AF6"/>
    <w:rsid w:val="00A62093"/>
    <w:rsid w:val="00A64670"/>
    <w:rsid w:val="00A661E4"/>
    <w:rsid w:val="00A663EC"/>
    <w:rsid w:val="00A6719B"/>
    <w:rsid w:val="00A71364"/>
    <w:rsid w:val="00A74915"/>
    <w:rsid w:val="00A764C1"/>
    <w:rsid w:val="00A77A3E"/>
    <w:rsid w:val="00A82733"/>
    <w:rsid w:val="00A8442E"/>
    <w:rsid w:val="00A848E9"/>
    <w:rsid w:val="00A85E4F"/>
    <w:rsid w:val="00A865A7"/>
    <w:rsid w:val="00A9472D"/>
    <w:rsid w:val="00A95AD6"/>
    <w:rsid w:val="00A96E5A"/>
    <w:rsid w:val="00AA252B"/>
    <w:rsid w:val="00AA38C3"/>
    <w:rsid w:val="00AA569A"/>
    <w:rsid w:val="00AA5A0E"/>
    <w:rsid w:val="00AA7506"/>
    <w:rsid w:val="00AB0B37"/>
    <w:rsid w:val="00AC049B"/>
    <w:rsid w:val="00AC0799"/>
    <w:rsid w:val="00AC32D5"/>
    <w:rsid w:val="00AC56A3"/>
    <w:rsid w:val="00AC59FF"/>
    <w:rsid w:val="00AC6C34"/>
    <w:rsid w:val="00AD197D"/>
    <w:rsid w:val="00AD34A3"/>
    <w:rsid w:val="00AD5579"/>
    <w:rsid w:val="00AD5A15"/>
    <w:rsid w:val="00AE0FE4"/>
    <w:rsid w:val="00AE43AE"/>
    <w:rsid w:val="00AE5431"/>
    <w:rsid w:val="00AE6F94"/>
    <w:rsid w:val="00AF318D"/>
    <w:rsid w:val="00AF620A"/>
    <w:rsid w:val="00AF722B"/>
    <w:rsid w:val="00B04D1A"/>
    <w:rsid w:val="00B11BE7"/>
    <w:rsid w:val="00B177F7"/>
    <w:rsid w:val="00B20E6E"/>
    <w:rsid w:val="00B25E98"/>
    <w:rsid w:val="00B335AF"/>
    <w:rsid w:val="00B33F5B"/>
    <w:rsid w:val="00B35750"/>
    <w:rsid w:val="00B36FDB"/>
    <w:rsid w:val="00B37751"/>
    <w:rsid w:val="00B4512A"/>
    <w:rsid w:val="00B45FA5"/>
    <w:rsid w:val="00B52472"/>
    <w:rsid w:val="00B55661"/>
    <w:rsid w:val="00B561B7"/>
    <w:rsid w:val="00B61A31"/>
    <w:rsid w:val="00B631DB"/>
    <w:rsid w:val="00B71466"/>
    <w:rsid w:val="00B72160"/>
    <w:rsid w:val="00B73AEB"/>
    <w:rsid w:val="00B755E5"/>
    <w:rsid w:val="00B771E3"/>
    <w:rsid w:val="00B7741C"/>
    <w:rsid w:val="00B77A6E"/>
    <w:rsid w:val="00B83282"/>
    <w:rsid w:val="00B84127"/>
    <w:rsid w:val="00B966E3"/>
    <w:rsid w:val="00BA0FD8"/>
    <w:rsid w:val="00BA113A"/>
    <w:rsid w:val="00BA65D6"/>
    <w:rsid w:val="00BB145A"/>
    <w:rsid w:val="00BB6079"/>
    <w:rsid w:val="00BC002B"/>
    <w:rsid w:val="00BC1EB1"/>
    <w:rsid w:val="00BC3370"/>
    <w:rsid w:val="00BC417B"/>
    <w:rsid w:val="00BC52B2"/>
    <w:rsid w:val="00BC6235"/>
    <w:rsid w:val="00BD2423"/>
    <w:rsid w:val="00BD2D21"/>
    <w:rsid w:val="00BD392C"/>
    <w:rsid w:val="00BD3F87"/>
    <w:rsid w:val="00BD43E4"/>
    <w:rsid w:val="00BD7205"/>
    <w:rsid w:val="00BE0B2A"/>
    <w:rsid w:val="00BE254A"/>
    <w:rsid w:val="00BE2EA5"/>
    <w:rsid w:val="00BE36C4"/>
    <w:rsid w:val="00BF082B"/>
    <w:rsid w:val="00BF1CC3"/>
    <w:rsid w:val="00BF4400"/>
    <w:rsid w:val="00BF59ED"/>
    <w:rsid w:val="00BF5BA1"/>
    <w:rsid w:val="00BF66B9"/>
    <w:rsid w:val="00BF7CC5"/>
    <w:rsid w:val="00C00009"/>
    <w:rsid w:val="00C035B3"/>
    <w:rsid w:val="00C03FAF"/>
    <w:rsid w:val="00C06850"/>
    <w:rsid w:val="00C07282"/>
    <w:rsid w:val="00C07675"/>
    <w:rsid w:val="00C11B6D"/>
    <w:rsid w:val="00C123DD"/>
    <w:rsid w:val="00C139E3"/>
    <w:rsid w:val="00C14C9C"/>
    <w:rsid w:val="00C15081"/>
    <w:rsid w:val="00C22AE4"/>
    <w:rsid w:val="00C26245"/>
    <w:rsid w:val="00C30665"/>
    <w:rsid w:val="00C308C1"/>
    <w:rsid w:val="00C30B6A"/>
    <w:rsid w:val="00C33E19"/>
    <w:rsid w:val="00C402DB"/>
    <w:rsid w:val="00C41FDD"/>
    <w:rsid w:val="00C4293A"/>
    <w:rsid w:val="00C50FFF"/>
    <w:rsid w:val="00C511DD"/>
    <w:rsid w:val="00C51978"/>
    <w:rsid w:val="00C51EB1"/>
    <w:rsid w:val="00C6017A"/>
    <w:rsid w:val="00C6185C"/>
    <w:rsid w:val="00C61D87"/>
    <w:rsid w:val="00C630A0"/>
    <w:rsid w:val="00C64428"/>
    <w:rsid w:val="00C66D05"/>
    <w:rsid w:val="00C671FF"/>
    <w:rsid w:val="00C72655"/>
    <w:rsid w:val="00C72810"/>
    <w:rsid w:val="00C74304"/>
    <w:rsid w:val="00C765B0"/>
    <w:rsid w:val="00C7728B"/>
    <w:rsid w:val="00C77FAB"/>
    <w:rsid w:val="00C84FF8"/>
    <w:rsid w:val="00C86185"/>
    <w:rsid w:val="00C8736E"/>
    <w:rsid w:val="00C90731"/>
    <w:rsid w:val="00C90BEE"/>
    <w:rsid w:val="00C91338"/>
    <w:rsid w:val="00C9213B"/>
    <w:rsid w:val="00C928D1"/>
    <w:rsid w:val="00C93AFA"/>
    <w:rsid w:val="00C94AF0"/>
    <w:rsid w:val="00CA23E2"/>
    <w:rsid w:val="00CA3789"/>
    <w:rsid w:val="00CB0B9A"/>
    <w:rsid w:val="00CB1C31"/>
    <w:rsid w:val="00CB2624"/>
    <w:rsid w:val="00CB3071"/>
    <w:rsid w:val="00CB4DA0"/>
    <w:rsid w:val="00CB6844"/>
    <w:rsid w:val="00CC14A7"/>
    <w:rsid w:val="00CC5618"/>
    <w:rsid w:val="00CC6582"/>
    <w:rsid w:val="00CD6BC7"/>
    <w:rsid w:val="00CE180F"/>
    <w:rsid w:val="00CE5630"/>
    <w:rsid w:val="00CE6CA3"/>
    <w:rsid w:val="00CF224D"/>
    <w:rsid w:val="00CF27EF"/>
    <w:rsid w:val="00CF3518"/>
    <w:rsid w:val="00D00076"/>
    <w:rsid w:val="00D00E6F"/>
    <w:rsid w:val="00D026BC"/>
    <w:rsid w:val="00D05009"/>
    <w:rsid w:val="00D05EDA"/>
    <w:rsid w:val="00D065F5"/>
    <w:rsid w:val="00D100D6"/>
    <w:rsid w:val="00D13918"/>
    <w:rsid w:val="00D147B1"/>
    <w:rsid w:val="00D17114"/>
    <w:rsid w:val="00D1748E"/>
    <w:rsid w:val="00D22277"/>
    <w:rsid w:val="00D22E18"/>
    <w:rsid w:val="00D26159"/>
    <w:rsid w:val="00D26D33"/>
    <w:rsid w:val="00D27591"/>
    <w:rsid w:val="00D2776E"/>
    <w:rsid w:val="00D300F6"/>
    <w:rsid w:val="00D340A0"/>
    <w:rsid w:val="00D358E4"/>
    <w:rsid w:val="00D42F57"/>
    <w:rsid w:val="00D435DC"/>
    <w:rsid w:val="00D4468C"/>
    <w:rsid w:val="00D46E10"/>
    <w:rsid w:val="00D503E3"/>
    <w:rsid w:val="00D50C51"/>
    <w:rsid w:val="00D51755"/>
    <w:rsid w:val="00D52E52"/>
    <w:rsid w:val="00D565AC"/>
    <w:rsid w:val="00D61C27"/>
    <w:rsid w:val="00D64807"/>
    <w:rsid w:val="00D65321"/>
    <w:rsid w:val="00D66754"/>
    <w:rsid w:val="00D711D3"/>
    <w:rsid w:val="00D72D77"/>
    <w:rsid w:val="00D73BB3"/>
    <w:rsid w:val="00D740BB"/>
    <w:rsid w:val="00D746E4"/>
    <w:rsid w:val="00D77236"/>
    <w:rsid w:val="00D8024F"/>
    <w:rsid w:val="00D84F2C"/>
    <w:rsid w:val="00D930AA"/>
    <w:rsid w:val="00DA091E"/>
    <w:rsid w:val="00DA0B62"/>
    <w:rsid w:val="00DA1875"/>
    <w:rsid w:val="00DA4C6C"/>
    <w:rsid w:val="00DA4CB1"/>
    <w:rsid w:val="00DA5CE6"/>
    <w:rsid w:val="00DB0C86"/>
    <w:rsid w:val="00DB73B5"/>
    <w:rsid w:val="00DB7FDB"/>
    <w:rsid w:val="00DD0AE6"/>
    <w:rsid w:val="00DD203E"/>
    <w:rsid w:val="00DD2A21"/>
    <w:rsid w:val="00DD2D4E"/>
    <w:rsid w:val="00DD4958"/>
    <w:rsid w:val="00DD7EAC"/>
    <w:rsid w:val="00DE10E3"/>
    <w:rsid w:val="00DE14F4"/>
    <w:rsid w:val="00DF088C"/>
    <w:rsid w:val="00DF108F"/>
    <w:rsid w:val="00DF1A21"/>
    <w:rsid w:val="00DF4634"/>
    <w:rsid w:val="00DF5FD2"/>
    <w:rsid w:val="00E00088"/>
    <w:rsid w:val="00E031FF"/>
    <w:rsid w:val="00E048E2"/>
    <w:rsid w:val="00E04D2B"/>
    <w:rsid w:val="00E04E97"/>
    <w:rsid w:val="00E04F84"/>
    <w:rsid w:val="00E11845"/>
    <w:rsid w:val="00E13977"/>
    <w:rsid w:val="00E139B4"/>
    <w:rsid w:val="00E1465C"/>
    <w:rsid w:val="00E179CF"/>
    <w:rsid w:val="00E21889"/>
    <w:rsid w:val="00E2293A"/>
    <w:rsid w:val="00E22BC7"/>
    <w:rsid w:val="00E249AC"/>
    <w:rsid w:val="00E270E2"/>
    <w:rsid w:val="00E309AB"/>
    <w:rsid w:val="00E310BA"/>
    <w:rsid w:val="00E31242"/>
    <w:rsid w:val="00E32628"/>
    <w:rsid w:val="00E33195"/>
    <w:rsid w:val="00E354A3"/>
    <w:rsid w:val="00E36BB9"/>
    <w:rsid w:val="00E4004B"/>
    <w:rsid w:val="00E410D0"/>
    <w:rsid w:val="00E41C88"/>
    <w:rsid w:val="00E430FB"/>
    <w:rsid w:val="00E511DC"/>
    <w:rsid w:val="00E5303D"/>
    <w:rsid w:val="00E53E20"/>
    <w:rsid w:val="00E54B97"/>
    <w:rsid w:val="00E56612"/>
    <w:rsid w:val="00E57011"/>
    <w:rsid w:val="00E625C9"/>
    <w:rsid w:val="00E63251"/>
    <w:rsid w:val="00E640C6"/>
    <w:rsid w:val="00E67F50"/>
    <w:rsid w:val="00E7000D"/>
    <w:rsid w:val="00E700E2"/>
    <w:rsid w:val="00E70FBD"/>
    <w:rsid w:val="00E7322C"/>
    <w:rsid w:val="00E74D93"/>
    <w:rsid w:val="00E7627E"/>
    <w:rsid w:val="00E8233C"/>
    <w:rsid w:val="00E84B67"/>
    <w:rsid w:val="00E8726E"/>
    <w:rsid w:val="00E904E8"/>
    <w:rsid w:val="00E9246A"/>
    <w:rsid w:val="00E934FC"/>
    <w:rsid w:val="00E93C14"/>
    <w:rsid w:val="00E943D0"/>
    <w:rsid w:val="00EA03C8"/>
    <w:rsid w:val="00EA1FF3"/>
    <w:rsid w:val="00EA25F0"/>
    <w:rsid w:val="00EA3BDA"/>
    <w:rsid w:val="00EA4C09"/>
    <w:rsid w:val="00EB1546"/>
    <w:rsid w:val="00EB1ACA"/>
    <w:rsid w:val="00EB21FC"/>
    <w:rsid w:val="00EB4828"/>
    <w:rsid w:val="00EB64A1"/>
    <w:rsid w:val="00EB67FE"/>
    <w:rsid w:val="00EB6FD5"/>
    <w:rsid w:val="00EC472C"/>
    <w:rsid w:val="00EC52E1"/>
    <w:rsid w:val="00EC69EB"/>
    <w:rsid w:val="00EC6E53"/>
    <w:rsid w:val="00EC76BB"/>
    <w:rsid w:val="00ED4BBE"/>
    <w:rsid w:val="00EE1A9E"/>
    <w:rsid w:val="00EE24E0"/>
    <w:rsid w:val="00EE4252"/>
    <w:rsid w:val="00EF1311"/>
    <w:rsid w:val="00EF331D"/>
    <w:rsid w:val="00EF39DE"/>
    <w:rsid w:val="00F0281A"/>
    <w:rsid w:val="00F04D37"/>
    <w:rsid w:val="00F05FE2"/>
    <w:rsid w:val="00F070F9"/>
    <w:rsid w:val="00F07A86"/>
    <w:rsid w:val="00F11D07"/>
    <w:rsid w:val="00F12407"/>
    <w:rsid w:val="00F125F4"/>
    <w:rsid w:val="00F1584C"/>
    <w:rsid w:val="00F22AD2"/>
    <w:rsid w:val="00F22BEC"/>
    <w:rsid w:val="00F25F3A"/>
    <w:rsid w:val="00F2763F"/>
    <w:rsid w:val="00F30784"/>
    <w:rsid w:val="00F30C6B"/>
    <w:rsid w:val="00F3309D"/>
    <w:rsid w:val="00F358B2"/>
    <w:rsid w:val="00F40B05"/>
    <w:rsid w:val="00F4178B"/>
    <w:rsid w:val="00F472CD"/>
    <w:rsid w:val="00F50FA2"/>
    <w:rsid w:val="00F51C12"/>
    <w:rsid w:val="00F55591"/>
    <w:rsid w:val="00F55FDB"/>
    <w:rsid w:val="00F56250"/>
    <w:rsid w:val="00F56775"/>
    <w:rsid w:val="00F57CC8"/>
    <w:rsid w:val="00F604AE"/>
    <w:rsid w:val="00F63656"/>
    <w:rsid w:val="00F668EE"/>
    <w:rsid w:val="00F6751D"/>
    <w:rsid w:val="00F67BE7"/>
    <w:rsid w:val="00F70D9A"/>
    <w:rsid w:val="00F75924"/>
    <w:rsid w:val="00F75F2E"/>
    <w:rsid w:val="00F8368E"/>
    <w:rsid w:val="00F84A9A"/>
    <w:rsid w:val="00F855C2"/>
    <w:rsid w:val="00FA1552"/>
    <w:rsid w:val="00FA3827"/>
    <w:rsid w:val="00FA48D0"/>
    <w:rsid w:val="00FA6F37"/>
    <w:rsid w:val="00FB289F"/>
    <w:rsid w:val="00FB4E19"/>
    <w:rsid w:val="00FB62F7"/>
    <w:rsid w:val="00FB6CC2"/>
    <w:rsid w:val="00FB743B"/>
    <w:rsid w:val="00FB7A3D"/>
    <w:rsid w:val="00FC0DFF"/>
    <w:rsid w:val="00FC1398"/>
    <w:rsid w:val="00FC3B0C"/>
    <w:rsid w:val="00FC450D"/>
    <w:rsid w:val="00FC5550"/>
    <w:rsid w:val="00FC5F59"/>
    <w:rsid w:val="00FC65AE"/>
    <w:rsid w:val="00FC6C66"/>
    <w:rsid w:val="00FC725F"/>
    <w:rsid w:val="00FC7EF4"/>
    <w:rsid w:val="00FD0B3D"/>
    <w:rsid w:val="00FD75B0"/>
    <w:rsid w:val="00FE4640"/>
    <w:rsid w:val="00FE59F4"/>
    <w:rsid w:val="00FE5F84"/>
    <w:rsid w:val="00FE72C3"/>
    <w:rsid w:val="00FE7599"/>
    <w:rsid w:val="00FF1090"/>
    <w:rsid w:val="00FF4BAB"/>
    <w:rsid w:val="00FF4C14"/>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7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28"/>
    <w:rPr>
      <w:rFonts w:ascii="Times" w:hAnsi="Times" w:cs="Times"/>
      <w:sz w:val="24"/>
      <w:szCs w:val="24"/>
      <w:lang w:val="es-ES_tradnl" w:eastAsia="es-ES"/>
    </w:rPr>
  </w:style>
  <w:style w:type="paragraph" w:styleId="Heading1">
    <w:name w:val="heading 1"/>
    <w:basedOn w:val="Normal"/>
    <w:next w:val="Normal"/>
    <w:link w:val="Heading1Char"/>
    <w:uiPriority w:val="99"/>
    <w:qFormat/>
    <w:rsid w:val="00EB4828"/>
    <w:pPr>
      <w:keepNext/>
      <w:jc w:val="center"/>
      <w:outlineLvl w:val="0"/>
    </w:pPr>
    <w:rPr>
      <w:rFonts w:ascii="Verdana" w:hAnsi="Verdana" w:cs="Times New Roman"/>
      <w:b/>
      <w:bCs/>
      <w:caps/>
      <w:sz w:val="28"/>
      <w:szCs w:val="28"/>
    </w:rPr>
  </w:style>
  <w:style w:type="paragraph" w:styleId="Heading2">
    <w:name w:val="heading 2"/>
    <w:basedOn w:val="Normal"/>
    <w:next w:val="Normal"/>
    <w:link w:val="Heading2Char"/>
    <w:uiPriority w:val="9"/>
    <w:unhideWhenUsed/>
    <w:qFormat/>
    <w:rsid w:val="00D740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EB4828"/>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B4828"/>
    <w:rPr>
      <w:rFonts w:ascii="Verdana" w:eastAsia="Calibri" w:hAnsi="Verdana" w:cs="Verdana"/>
      <w:b/>
      <w:bCs/>
      <w:caps/>
      <w:sz w:val="28"/>
      <w:szCs w:val="28"/>
      <w:lang w:val="es-ES_tradnl" w:eastAsia="es-ES"/>
    </w:rPr>
  </w:style>
  <w:style w:type="character" w:customStyle="1" w:styleId="Heading4Char">
    <w:name w:val="Heading 4 Char"/>
    <w:link w:val="Heading4"/>
    <w:uiPriority w:val="99"/>
    <w:rsid w:val="00EB4828"/>
    <w:rPr>
      <w:rFonts w:ascii="Times" w:eastAsia="Calibri" w:hAnsi="Times" w:cs="Times"/>
      <w:b/>
      <w:bCs/>
      <w:sz w:val="28"/>
      <w:szCs w:val="28"/>
      <w:lang w:val="es-ES_tradnl" w:eastAsia="es-ES"/>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link w:val="4GChar"/>
    <w:uiPriority w:val="99"/>
    <w:qFormat/>
    <w:rsid w:val="00EB4828"/>
    <w:rPr>
      <w:rFonts w:ascii="Verdana" w:hAnsi="Verdana" w:cs="Verdana"/>
      <w:sz w:val="16"/>
      <w:szCs w:val="16"/>
      <w:vertAlign w:val="superscript"/>
    </w:rPr>
  </w:style>
  <w:style w:type="paragraph" w:styleId="FootnoteText">
    <w:name w:val="footnote text"/>
    <w:aliases w:val="FA Fu,Footnote Text Char Char Char Char Char,Footnote Text Char Char Char Char,Footnote reference,Footnote Text Char Char Char,FA Fu Car,FA Fu Car Car,Footnote Text Cha,FA Fußnotentext,FA Fuﬂnotentext,FA Fu?notentext,Ca,footnote text"/>
    <w:basedOn w:val="Normal"/>
    <w:link w:val="FootnoteTextChar"/>
    <w:autoRedefine/>
    <w:uiPriority w:val="99"/>
    <w:qFormat/>
    <w:rsid w:val="00EA03C8"/>
    <w:pPr>
      <w:jc w:val="both"/>
    </w:pPr>
    <w:rPr>
      <w:rFonts w:ascii="Verdana" w:hAnsi="Verdana" w:cs="Times New Roman"/>
      <w:sz w:val="16"/>
      <w:szCs w:val="16"/>
    </w:rPr>
  </w:style>
  <w:style w:type="character" w:customStyle="1" w:styleId="FootnoteTextChar">
    <w:name w:val="Footnote Text Char"/>
    <w:aliases w:val="FA Fu Char,Footnote Text Char Char Char Char Char Char,Footnote Text Char Char Char Char Char1,Footnote reference Char,Footnote Text Char Char Char Char1,FA Fu Car Char,FA Fu Car Car Char,Footnote Text Cha Char,FA Fußnotentext Char"/>
    <w:link w:val="FootnoteText"/>
    <w:uiPriority w:val="99"/>
    <w:rsid w:val="00EA03C8"/>
    <w:rPr>
      <w:rFonts w:ascii="Verdana" w:hAnsi="Verdana"/>
      <w:sz w:val="16"/>
      <w:szCs w:val="16"/>
      <w:lang w:val="es-ES_tradnl" w:eastAsia="es-ES"/>
    </w:rPr>
  </w:style>
  <w:style w:type="paragraph" w:styleId="ListParagraph">
    <w:name w:val="List Paragraph"/>
    <w:aliases w:val="Footnote,Párrafo de lista1"/>
    <w:basedOn w:val="Normal"/>
    <w:uiPriority w:val="34"/>
    <w:qFormat/>
    <w:rsid w:val="00EB4828"/>
    <w:pPr>
      <w:ind w:left="720"/>
    </w:pPr>
  </w:style>
  <w:style w:type="paragraph" w:styleId="BodyText">
    <w:name w:val="Body Text"/>
    <w:basedOn w:val="Normal"/>
    <w:link w:val="BodyTextChar"/>
    <w:uiPriority w:val="99"/>
    <w:semiHidden/>
    <w:unhideWhenUsed/>
    <w:rsid w:val="00EB4828"/>
    <w:pPr>
      <w:spacing w:after="120"/>
    </w:pPr>
    <w:rPr>
      <w:rFonts w:cs="Times New Roman"/>
    </w:rPr>
  </w:style>
  <w:style w:type="character" w:customStyle="1" w:styleId="BodyTextChar">
    <w:name w:val="Body Text Char"/>
    <w:link w:val="BodyText"/>
    <w:uiPriority w:val="99"/>
    <w:semiHidden/>
    <w:rsid w:val="00EB4828"/>
    <w:rPr>
      <w:rFonts w:ascii="Times" w:eastAsia="Calibri" w:hAnsi="Times" w:cs="Times"/>
      <w:sz w:val="24"/>
      <w:szCs w:val="24"/>
      <w:lang w:val="es-ES_tradnl" w:eastAsia="es-ES"/>
    </w:rPr>
  </w:style>
  <w:style w:type="paragraph" w:styleId="BodyText2">
    <w:name w:val="Body Text 2"/>
    <w:basedOn w:val="Normal"/>
    <w:link w:val="BodyText2Char"/>
    <w:rsid w:val="00EB4828"/>
    <w:pPr>
      <w:spacing w:after="120" w:line="480" w:lineRule="auto"/>
    </w:pPr>
    <w:rPr>
      <w:rFonts w:eastAsia="Times" w:cs="Times New Roman"/>
      <w:szCs w:val="20"/>
    </w:rPr>
  </w:style>
  <w:style w:type="character" w:customStyle="1" w:styleId="BodyText2Char">
    <w:name w:val="Body Text 2 Char"/>
    <w:link w:val="BodyText2"/>
    <w:rsid w:val="00EB4828"/>
    <w:rPr>
      <w:rFonts w:ascii="Times" w:eastAsia="Times" w:hAnsi="Times" w:cs="Times New Roman"/>
      <w:sz w:val="24"/>
      <w:szCs w:val="20"/>
      <w:lang w:val="es-ES_tradnl" w:eastAsia="es-ES"/>
    </w:rPr>
  </w:style>
  <w:style w:type="paragraph" w:styleId="Header">
    <w:name w:val="header"/>
    <w:basedOn w:val="Normal"/>
    <w:link w:val="HeaderChar"/>
    <w:uiPriority w:val="99"/>
    <w:unhideWhenUsed/>
    <w:rsid w:val="00A5010A"/>
    <w:pPr>
      <w:tabs>
        <w:tab w:val="center" w:pos="4680"/>
        <w:tab w:val="right" w:pos="9360"/>
      </w:tabs>
    </w:pPr>
    <w:rPr>
      <w:rFonts w:cs="Times New Roman"/>
    </w:rPr>
  </w:style>
  <w:style w:type="character" w:customStyle="1" w:styleId="HeaderChar">
    <w:name w:val="Header Char"/>
    <w:link w:val="Header"/>
    <w:uiPriority w:val="99"/>
    <w:rsid w:val="00A5010A"/>
    <w:rPr>
      <w:rFonts w:ascii="Times" w:hAnsi="Times" w:cs="Times"/>
      <w:sz w:val="24"/>
      <w:szCs w:val="24"/>
      <w:lang w:val="es-ES_tradnl" w:eastAsia="es-ES"/>
    </w:rPr>
  </w:style>
  <w:style w:type="paragraph" w:styleId="Footer">
    <w:name w:val="footer"/>
    <w:basedOn w:val="Normal"/>
    <w:link w:val="FooterChar"/>
    <w:uiPriority w:val="99"/>
    <w:unhideWhenUsed/>
    <w:rsid w:val="00A5010A"/>
    <w:pPr>
      <w:tabs>
        <w:tab w:val="center" w:pos="4680"/>
        <w:tab w:val="right" w:pos="9360"/>
      </w:tabs>
    </w:pPr>
    <w:rPr>
      <w:rFonts w:cs="Times New Roman"/>
    </w:rPr>
  </w:style>
  <w:style w:type="character" w:customStyle="1" w:styleId="FooterChar">
    <w:name w:val="Footer Char"/>
    <w:link w:val="Footer"/>
    <w:uiPriority w:val="99"/>
    <w:rsid w:val="00A5010A"/>
    <w:rPr>
      <w:rFonts w:ascii="Times" w:hAnsi="Times" w:cs="Times"/>
      <w:sz w:val="24"/>
      <w:szCs w:val="24"/>
      <w:lang w:val="es-ES_tradnl" w:eastAsia="es-ES"/>
    </w:rPr>
  </w:style>
  <w:style w:type="paragraph" w:styleId="BalloonText">
    <w:name w:val="Balloon Text"/>
    <w:basedOn w:val="Normal"/>
    <w:link w:val="BalloonTextChar"/>
    <w:uiPriority w:val="99"/>
    <w:semiHidden/>
    <w:unhideWhenUsed/>
    <w:rsid w:val="007722E3"/>
    <w:rPr>
      <w:rFonts w:ascii="Tahoma" w:hAnsi="Tahoma" w:cs="Times New Roman"/>
      <w:sz w:val="16"/>
      <w:szCs w:val="16"/>
    </w:rPr>
  </w:style>
  <w:style w:type="character" w:customStyle="1" w:styleId="BalloonTextChar">
    <w:name w:val="Balloon Text Char"/>
    <w:link w:val="BalloonText"/>
    <w:uiPriority w:val="99"/>
    <w:semiHidden/>
    <w:rsid w:val="007722E3"/>
    <w:rPr>
      <w:rFonts w:ascii="Tahoma" w:hAnsi="Tahoma" w:cs="Tahoma"/>
      <w:sz w:val="16"/>
      <w:szCs w:val="16"/>
      <w:lang w:val="es-ES_tradnl" w:eastAsia="es-ES"/>
    </w:rPr>
  </w:style>
  <w:style w:type="character" w:styleId="CommentReference">
    <w:name w:val="annotation reference"/>
    <w:uiPriority w:val="99"/>
    <w:semiHidden/>
    <w:unhideWhenUsed/>
    <w:rsid w:val="008F425C"/>
    <w:rPr>
      <w:sz w:val="16"/>
      <w:szCs w:val="16"/>
    </w:rPr>
  </w:style>
  <w:style w:type="paragraph" w:styleId="CommentText">
    <w:name w:val="annotation text"/>
    <w:basedOn w:val="Normal"/>
    <w:link w:val="CommentTextChar"/>
    <w:uiPriority w:val="99"/>
    <w:unhideWhenUsed/>
    <w:rsid w:val="008F425C"/>
    <w:rPr>
      <w:rFonts w:cs="Times New Roman"/>
      <w:sz w:val="20"/>
      <w:szCs w:val="20"/>
    </w:rPr>
  </w:style>
  <w:style w:type="character" w:customStyle="1" w:styleId="CommentTextChar">
    <w:name w:val="Comment Text Char"/>
    <w:link w:val="CommentText"/>
    <w:uiPriority w:val="99"/>
    <w:rsid w:val="008F425C"/>
    <w:rPr>
      <w:rFonts w:ascii="Times" w:hAnsi="Times" w:cs="Times"/>
      <w:lang w:val="es-ES_tradnl" w:eastAsia="es-ES"/>
    </w:rPr>
  </w:style>
  <w:style w:type="paragraph" w:styleId="CommentSubject">
    <w:name w:val="annotation subject"/>
    <w:basedOn w:val="CommentText"/>
    <w:next w:val="CommentText"/>
    <w:link w:val="CommentSubjectChar"/>
    <w:uiPriority w:val="99"/>
    <w:semiHidden/>
    <w:unhideWhenUsed/>
    <w:rsid w:val="008F425C"/>
    <w:rPr>
      <w:b/>
      <w:bCs/>
    </w:rPr>
  </w:style>
  <w:style w:type="character" w:customStyle="1" w:styleId="CommentSubjectChar">
    <w:name w:val="Comment Subject Char"/>
    <w:link w:val="CommentSubject"/>
    <w:uiPriority w:val="99"/>
    <w:semiHidden/>
    <w:rsid w:val="008F425C"/>
    <w:rPr>
      <w:rFonts w:ascii="Times" w:hAnsi="Times" w:cs="Times"/>
      <w:b/>
      <w:bCs/>
      <w:lang w:val="es-ES_tradnl" w:eastAsia="es-ES"/>
    </w:rPr>
  </w:style>
  <w:style w:type="character" w:styleId="Strong">
    <w:name w:val="Strong"/>
    <w:basedOn w:val="DefaultParagraphFont"/>
    <w:uiPriority w:val="22"/>
    <w:qFormat/>
    <w:rsid w:val="00C77FAB"/>
    <w:rPr>
      <w:b/>
      <w:bCs/>
    </w:rPr>
  </w:style>
  <w:style w:type="character" w:customStyle="1" w:styleId="apple-converted-space">
    <w:name w:val="apple-converted-space"/>
    <w:basedOn w:val="DefaultParagraphFont"/>
    <w:rsid w:val="00E00088"/>
  </w:style>
  <w:style w:type="character" w:customStyle="1" w:styleId="Heading2Char">
    <w:name w:val="Heading 2 Char"/>
    <w:basedOn w:val="DefaultParagraphFont"/>
    <w:link w:val="Heading2"/>
    <w:uiPriority w:val="9"/>
    <w:rsid w:val="00D740BB"/>
    <w:rPr>
      <w:rFonts w:asciiTheme="majorHAnsi" w:eastAsiaTheme="majorEastAsia" w:hAnsiTheme="majorHAnsi" w:cstheme="majorBidi"/>
      <w:b/>
      <w:bCs/>
      <w:color w:val="4F81BD" w:themeColor="accent1"/>
      <w:sz w:val="26"/>
      <w:szCs w:val="26"/>
      <w:lang w:val="es-ES_tradnl" w:eastAsia="es-ES"/>
    </w:rPr>
  </w:style>
  <w:style w:type="paragraph" w:customStyle="1" w:styleId="Default">
    <w:name w:val="Default"/>
    <w:rsid w:val="00F2763F"/>
    <w:pPr>
      <w:autoSpaceDE w:val="0"/>
      <w:autoSpaceDN w:val="0"/>
      <w:adjustRightInd w:val="0"/>
    </w:pPr>
    <w:rPr>
      <w:rFonts w:ascii="Verdana" w:eastAsiaTheme="minorHAnsi" w:hAnsi="Verdana" w:cs="Verdana"/>
      <w:color w:val="000000"/>
      <w:sz w:val="24"/>
      <w:szCs w:val="24"/>
    </w:rPr>
  </w:style>
  <w:style w:type="paragraph" w:styleId="Revision">
    <w:name w:val="Revision"/>
    <w:hidden/>
    <w:uiPriority w:val="99"/>
    <w:semiHidden/>
    <w:rsid w:val="003826EE"/>
    <w:rPr>
      <w:rFonts w:ascii="Times" w:hAnsi="Times" w:cs="Times"/>
      <w:sz w:val="24"/>
      <w:szCs w:val="24"/>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C51978"/>
    <w:pPr>
      <w:jc w:val="both"/>
    </w:pPr>
    <w:rPr>
      <w:rFonts w:ascii="Verdana" w:hAnsi="Verdana" w:cs="Verdana"/>
      <w:sz w:val="16"/>
      <w:szCs w:val="16"/>
      <w:vertAlign w:val="superscript"/>
      <w:lang w:val="en-US" w:eastAsia="en-US"/>
    </w:rPr>
  </w:style>
  <w:style w:type="character" w:styleId="LineNumber">
    <w:name w:val="line number"/>
    <w:basedOn w:val="DefaultParagraphFont"/>
    <w:uiPriority w:val="99"/>
    <w:semiHidden/>
    <w:unhideWhenUsed/>
    <w:rsid w:val="00E22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28"/>
    <w:rPr>
      <w:rFonts w:ascii="Times" w:hAnsi="Times" w:cs="Times"/>
      <w:sz w:val="24"/>
      <w:szCs w:val="24"/>
      <w:lang w:val="es-ES_tradnl" w:eastAsia="es-ES"/>
    </w:rPr>
  </w:style>
  <w:style w:type="paragraph" w:styleId="Heading1">
    <w:name w:val="heading 1"/>
    <w:basedOn w:val="Normal"/>
    <w:next w:val="Normal"/>
    <w:link w:val="Heading1Char"/>
    <w:uiPriority w:val="99"/>
    <w:qFormat/>
    <w:rsid w:val="00EB4828"/>
    <w:pPr>
      <w:keepNext/>
      <w:jc w:val="center"/>
      <w:outlineLvl w:val="0"/>
    </w:pPr>
    <w:rPr>
      <w:rFonts w:ascii="Verdana" w:hAnsi="Verdana" w:cs="Times New Roman"/>
      <w:b/>
      <w:bCs/>
      <w:caps/>
      <w:sz w:val="28"/>
      <w:szCs w:val="28"/>
    </w:rPr>
  </w:style>
  <w:style w:type="paragraph" w:styleId="Heading2">
    <w:name w:val="heading 2"/>
    <w:basedOn w:val="Normal"/>
    <w:next w:val="Normal"/>
    <w:link w:val="Heading2Char"/>
    <w:uiPriority w:val="9"/>
    <w:unhideWhenUsed/>
    <w:qFormat/>
    <w:rsid w:val="00D740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EB4828"/>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B4828"/>
    <w:rPr>
      <w:rFonts w:ascii="Verdana" w:eastAsia="Calibri" w:hAnsi="Verdana" w:cs="Verdana"/>
      <w:b/>
      <w:bCs/>
      <w:caps/>
      <w:sz w:val="28"/>
      <w:szCs w:val="28"/>
      <w:lang w:val="es-ES_tradnl" w:eastAsia="es-ES"/>
    </w:rPr>
  </w:style>
  <w:style w:type="character" w:customStyle="1" w:styleId="Heading4Char">
    <w:name w:val="Heading 4 Char"/>
    <w:link w:val="Heading4"/>
    <w:uiPriority w:val="99"/>
    <w:rsid w:val="00EB4828"/>
    <w:rPr>
      <w:rFonts w:ascii="Times" w:eastAsia="Calibri" w:hAnsi="Times" w:cs="Times"/>
      <w:b/>
      <w:bCs/>
      <w:sz w:val="28"/>
      <w:szCs w:val="28"/>
      <w:lang w:val="es-ES_tradnl" w:eastAsia="es-ES"/>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link w:val="4GChar"/>
    <w:uiPriority w:val="99"/>
    <w:qFormat/>
    <w:rsid w:val="00EB4828"/>
    <w:rPr>
      <w:rFonts w:ascii="Verdana" w:hAnsi="Verdana" w:cs="Verdana"/>
      <w:sz w:val="16"/>
      <w:szCs w:val="16"/>
      <w:vertAlign w:val="superscript"/>
    </w:rPr>
  </w:style>
  <w:style w:type="paragraph" w:styleId="FootnoteText">
    <w:name w:val="footnote text"/>
    <w:aliases w:val="FA Fu,Footnote Text Char Char Char Char Char,Footnote Text Char Char Char Char,Footnote reference,Footnote Text Char Char Char,FA Fu Car,FA Fu Car Car,Footnote Text Cha,FA Fußnotentext,FA Fuﬂnotentext,FA Fu?notentext,Ca,footnote text"/>
    <w:basedOn w:val="Normal"/>
    <w:link w:val="FootnoteTextChar"/>
    <w:autoRedefine/>
    <w:uiPriority w:val="99"/>
    <w:qFormat/>
    <w:rsid w:val="00EA03C8"/>
    <w:pPr>
      <w:jc w:val="both"/>
    </w:pPr>
    <w:rPr>
      <w:rFonts w:ascii="Verdana" w:hAnsi="Verdana" w:cs="Times New Roman"/>
      <w:sz w:val="16"/>
      <w:szCs w:val="16"/>
    </w:rPr>
  </w:style>
  <w:style w:type="character" w:customStyle="1" w:styleId="FootnoteTextChar">
    <w:name w:val="Footnote Text Char"/>
    <w:aliases w:val="FA Fu Char,Footnote Text Char Char Char Char Char Char,Footnote Text Char Char Char Char Char1,Footnote reference Char,Footnote Text Char Char Char Char1,FA Fu Car Char,FA Fu Car Car Char,Footnote Text Cha Char,FA Fußnotentext Char"/>
    <w:link w:val="FootnoteText"/>
    <w:uiPriority w:val="99"/>
    <w:rsid w:val="00EA03C8"/>
    <w:rPr>
      <w:rFonts w:ascii="Verdana" w:hAnsi="Verdana"/>
      <w:sz w:val="16"/>
      <w:szCs w:val="16"/>
      <w:lang w:val="es-ES_tradnl" w:eastAsia="es-ES"/>
    </w:rPr>
  </w:style>
  <w:style w:type="paragraph" w:styleId="ListParagraph">
    <w:name w:val="List Paragraph"/>
    <w:aliases w:val="Footnote,Párrafo de lista1"/>
    <w:basedOn w:val="Normal"/>
    <w:uiPriority w:val="34"/>
    <w:qFormat/>
    <w:rsid w:val="00EB4828"/>
    <w:pPr>
      <w:ind w:left="720"/>
    </w:pPr>
  </w:style>
  <w:style w:type="paragraph" w:styleId="BodyText">
    <w:name w:val="Body Text"/>
    <w:basedOn w:val="Normal"/>
    <w:link w:val="BodyTextChar"/>
    <w:uiPriority w:val="99"/>
    <w:semiHidden/>
    <w:unhideWhenUsed/>
    <w:rsid w:val="00EB4828"/>
    <w:pPr>
      <w:spacing w:after="120"/>
    </w:pPr>
    <w:rPr>
      <w:rFonts w:cs="Times New Roman"/>
    </w:rPr>
  </w:style>
  <w:style w:type="character" w:customStyle="1" w:styleId="BodyTextChar">
    <w:name w:val="Body Text Char"/>
    <w:link w:val="BodyText"/>
    <w:uiPriority w:val="99"/>
    <w:semiHidden/>
    <w:rsid w:val="00EB4828"/>
    <w:rPr>
      <w:rFonts w:ascii="Times" w:eastAsia="Calibri" w:hAnsi="Times" w:cs="Times"/>
      <w:sz w:val="24"/>
      <w:szCs w:val="24"/>
      <w:lang w:val="es-ES_tradnl" w:eastAsia="es-ES"/>
    </w:rPr>
  </w:style>
  <w:style w:type="paragraph" w:styleId="BodyText2">
    <w:name w:val="Body Text 2"/>
    <w:basedOn w:val="Normal"/>
    <w:link w:val="BodyText2Char"/>
    <w:rsid w:val="00EB4828"/>
    <w:pPr>
      <w:spacing w:after="120" w:line="480" w:lineRule="auto"/>
    </w:pPr>
    <w:rPr>
      <w:rFonts w:eastAsia="Times" w:cs="Times New Roman"/>
      <w:szCs w:val="20"/>
    </w:rPr>
  </w:style>
  <w:style w:type="character" w:customStyle="1" w:styleId="BodyText2Char">
    <w:name w:val="Body Text 2 Char"/>
    <w:link w:val="BodyText2"/>
    <w:rsid w:val="00EB4828"/>
    <w:rPr>
      <w:rFonts w:ascii="Times" w:eastAsia="Times" w:hAnsi="Times" w:cs="Times New Roman"/>
      <w:sz w:val="24"/>
      <w:szCs w:val="20"/>
      <w:lang w:val="es-ES_tradnl" w:eastAsia="es-ES"/>
    </w:rPr>
  </w:style>
  <w:style w:type="paragraph" w:styleId="Header">
    <w:name w:val="header"/>
    <w:basedOn w:val="Normal"/>
    <w:link w:val="HeaderChar"/>
    <w:uiPriority w:val="99"/>
    <w:unhideWhenUsed/>
    <w:rsid w:val="00A5010A"/>
    <w:pPr>
      <w:tabs>
        <w:tab w:val="center" w:pos="4680"/>
        <w:tab w:val="right" w:pos="9360"/>
      </w:tabs>
    </w:pPr>
    <w:rPr>
      <w:rFonts w:cs="Times New Roman"/>
    </w:rPr>
  </w:style>
  <w:style w:type="character" w:customStyle="1" w:styleId="HeaderChar">
    <w:name w:val="Header Char"/>
    <w:link w:val="Header"/>
    <w:uiPriority w:val="99"/>
    <w:rsid w:val="00A5010A"/>
    <w:rPr>
      <w:rFonts w:ascii="Times" w:hAnsi="Times" w:cs="Times"/>
      <w:sz w:val="24"/>
      <w:szCs w:val="24"/>
      <w:lang w:val="es-ES_tradnl" w:eastAsia="es-ES"/>
    </w:rPr>
  </w:style>
  <w:style w:type="paragraph" w:styleId="Footer">
    <w:name w:val="footer"/>
    <w:basedOn w:val="Normal"/>
    <w:link w:val="FooterChar"/>
    <w:uiPriority w:val="99"/>
    <w:unhideWhenUsed/>
    <w:rsid w:val="00A5010A"/>
    <w:pPr>
      <w:tabs>
        <w:tab w:val="center" w:pos="4680"/>
        <w:tab w:val="right" w:pos="9360"/>
      </w:tabs>
    </w:pPr>
    <w:rPr>
      <w:rFonts w:cs="Times New Roman"/>
    </w:rPr>
  </w:style>
  <w:style w:type="character" w:customStyle="1" w:styleId="FooterChar">
    <w:name w:val="Footer Char"/>
    <w:link w:val="Footer"/>
    <w:uiPriority w:val="99"/>
    <w:rsid w:val="00A5010A"/>
    <w:rPr>
      <w:rFonts w:ascii="Times" w:hAnsi="Times" w:cs="Times"/>
      <w:sz w:val="24"/>
      <w:szCs w:val="24"/>
      <w:lang w:val="es-ES_tradnl" w:eastAsia="es-ES"/>
    </w:rPr>
  </w:style>
  <w:style w:type="paragraph" w:styleId="BalloonText">
    <w:name w:val="Balloon Text"/>
    <w:basedOn w:val="Normal"/>
    <w:link w:val="BalloonTextChar"/>
    <w:uiPriority w:val="99"/>
    <w:semiHidden/>
    <w:unhideWhenUsed/>
    <w:rsid w:val="007722E3"/>
    <w:rPr>
      <w:rFonts w:ascii="Tahoma" w:hAnsi="Tahoma" w:cs="Times New Roman"/>
      <w:sz w:val="16"/>
      <w:szCs w:val="16"/>
    </w:rPr>
  </w:style>
  <w:style w:type="character" w:customStyle="1" w:styleId="BalloonTextChar">
    <w:name w:val="Balloon Text Char"/>
    <w:link w:val="BalloonText"/>
    <w:uiPriority w:val="99"/>
    <w:semiHidden/>
    <w:rsid w:val="007722E3"/>
    <w:rPr>
      <w:rFonts w:ascii="Tahoma" w:hAnsi="Tahoma" w:cs="Tahoma"/>
      <w:sz w:val="16"/>
      <w:szCs w:val="16"/>
      <w:lang w:val="es-ES_tradnl" w:eastAsia="es-ES"/>
    </w:rPr>
  </w:style>
  <w:style w:type="character" w:styleId="CommentReference">
    <w:name w:val="annotation reference"/>
    <w:uiPriority w:val="99"/>
    <w:semiHidden/>
    <w:unhideWhenUsed/>
    <w:rsid w:val="008F425C"/>
    <w:rPr>
      <w:sz w:val="16"/>
      <w:szCs w:val="16"/>
    </w:rPr>
  </w:style>
  <w:style w:type="paragraph" w:styleId="CommentText">
    <w:name w:val="annotation text"/>
    <w:basedOn w:val="Normal"/>
    <w:link w:val="CommentTextChar"/>
    <w:uiPriority w:val="99"/>
    <w:unhideWhenUsed/>
    <w:rsid w:val="008F425C"/>
    <w:rPr>
      <w:rFonts w:cs="Times New Roman"/>
      <w:sz w:val="20"/>
      <w:szCs w:val="20"/>
    </w:rPr>
  </w:style>
  <w:style w:type="character" w:customStyle="1" w:styleId="CommentTextChar">
    <w:name w:val="Comment Text Char"/>
    <w:link w:val="CommentText"/>
    <w:uiPriority w:val="99"/>
    <w:rsid w:val="008F425C"/>
    <w:rPr>
      <w:rFonts w:ascii="Times" w:hAnsi="Times" w:cs="Times"/>
      <w:lang w:val="es-ES_tradnl" w:eastAsia="es-ES"/>
    </w:rPr>
  </w:style>
  <w:style w:type="paragraph" w:styleId="CommentSubject">
    <w:name w:val="annotation subject"/>
    <w:basedOn w:val="CommentText"/>
    <w:next w:val="CommentText"/>
    <w:link w:val="CommentSubjectChar"/>
    <w:uiPriority w:val="99"/>
    <w:semiHidden/>
    <w:unhideWhenUsed/>
    <w:rsid w:val="008F425C"/>
    <w:rPr>
      <w:b/>
      <w:bCs/>
    </w:rPr>
  </w:style>
  <w:style w:type="character" w:customStyle="1" w:styleId="CommentSubjectChar">
    <w:name w:val="Comment Subject Char"/>
    <w:link w:val="CommentSubject"/>
    <w:uiPriority w:val="99"/>
    <w:semiHidden/>
    <w:rsid w:val="008F425C"/>
    <w:rPr>
      <w:rFonts w:ascii="Times" w:hAnsi="Times" w:cs="Times"/>
      <w:b/>
      <w:bCs/>
      <w:lang w:val="es-ES_tradnl" w:eastAsia="es-ES"/>
    </w:rPr>
  </w:style>
  <w:style w:type="character" w:styleId="Strong">
    <w:name w:val="Strong"/>
    <w:basedOn w:val="DefaultParagraphFont"/>
    <w:uiPriority w:val="22"/>
    <w:qFormat/>
    <w:rsid w:val="00C77FAB"/>
    <w:rPr>
      <w:b/>
      <w:bCs/>
    </w:rPr>
  </w:style>
  <w:style w:type="character" w:customStyle="1" w:styleId="apple-converted-space">
    <w:name w:val="apple-converted-space"/>
    <w:basedOn w:val="DefaultParagraphFont"/>
    <w:rsid w:val="00E00088"/>
  </w:style>
  <w:style w:type="character" w:customStyle="1" w:styleId="Heading2Char">
    <w:name w:val="Heading 2 Char"/>
    <w:basedOn w:val="DefaultParagraphFont"/>
    <w:link w:val="Heading2"/>
    <w:uiPriority w:val="9"/>
    <w:rsid w:val="00D740BB"/>
    <w:rPr>
      <w:rFonts w:asciiTheme="majorHAnsi" w:eastAsiaTheme="majorEastAsia" w:hAnsiTheme="majorHAnsi" w:cstheme="majorBidi"/>
      <w:b/>
      <w:bCs/>
      <w:color w:val="4F81BD" w:themeColor="accent1"/>
      <w:sz w:val="26"/>
      <w:szCs w:val="26"/>
      <w:lang w:val="es-ES_tradnl" w:eastAsia="es-ES"/>
    </w:rPr>
  </w:style>
  <w:style w:type="paragraph" w:customStyle="1" w:styleId="Default">
    <w:name w:val="Default"/>
    <w:rsid w:val="00F2763F"/>
    <w:pPr>
      <w:autoSpaceDE w:val="0"/>
      <w:autoSpaceDN w:val="0"/>
      <w:adjustRightInd w:val="0"/>
    </w:pPr>
    <w:rPr>
      <w:rFonts w:ascii="Verdana" w:eastAsiaTheme="minorHAnsi" w:hAnsi="Verdana" w:cs="Verdana"/>
      <w:color w:val="000000"/>
      <w:sz w:val="24"/>
      <w:szCs w:val="24"/>
    </w:rPr>
  </w:style>
  <w:style w:type="paragraph" w:styleId="Revision">
    <w:name w:val="Revision"/>
    <w:hidden/>
    <w:uiPriority w:val="99"/>
    <w:semiHidden/>
    <w:rsid w:val="003826EE"/>
    <w:rPr>
      <w:rFonts w:ascii="Times" w:hAnsi="Times" w:cs="Times"/>
      <w:sz w:val="24"/>
      <w:szCs w:val="24"/>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C51978"/>
    <w:pPr>
      <w:jc w:val="both"/>
    </w:pPr>
    <w:rPr>
      <w:rFonts w:ascii="Verdana" w:hAnsi="Verdana" w:cs="Verdana"/>
      <w:sz w:val="16"/>
      <w:szCs w:val="16"/>
      <w:vertAlign w:val="superscript"/>
      <w:lang w:val="en-US" w:eastAsia="en-US"/>
    </w:rPr>
  </w:style>
  <w:style w:type="character" w:styleId="LineNumber">
    <w:name w:val="line number"/>
    <w:basedOn w:val="DefaultParagraphFont"/>
    <w:uiPriority w:val="99"/>
    <w:semiHidden/>
    <w:unhideWhenUsed/>
    <w:rsid w:val="00E2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081">
      <w:bodyDiv w:val="1"/>
      <w:marLeft w:val="0"/>
      <w:marRight w:val="0"/>
      <w:marTop w:val="0"/>
      <w:marBottom w:val="0"/>
      <w:divBdr>
        <w:top w:val="none" w:sz="0" w:space="0" w:color="auto"/>
        <w:left w:val="none" w:sz="0" w:space="0" w:color="auto"/>
        <w:bottom w:val="none" w:sz="0" w:space="0" w:color="auto"/>
        <w:right w:val="none" w:sz="0" w:space="0" w:color="auto"/>
      </w:divBdr>
    </w:div>
    <w:div w:id="16582936">
      <w:bodyDiv w:val="1"/>
      <w:marLeft w:val="0"/>
      <w:marRight w:val="0"/>
      <w:marTop w:val="0"/>
      <w:marBottom w:val="0"/>
      <w:divBdr>
        <w:top w:val="none" w:sz="0" w:space="0" w:color="auto"/>
        <w:left w:val="none" w:sz="0" w:space="0" w:color="auto"/>
        <w:bottom w:val="none" w:sz="0" w:space="0" w:color="auto"/>
        <w:right w:val="none" w:sz="0" w:space="0" w:color="auto"/>
      </w:divBdr>
    </w:div>
    <w:div w:id="61369091">
      <w:bodyDiv w:val="1"/>
      <w:marLeft w:val="0"/>
      <w:marRight w:val="0"/>
      <w:marTop w:val="0"/>
      <w:marBottom w:val="0"/>
      <w:divBdr>
        <w:top w:val="none" w:sz="0" w:space="0" w:color="auto"/>
        <w:left w:val="none" w:sz="0" w:space="0" w:color="auto"/>
        <w:bottom w:val="none" w:sz="0" w:space="0" w:color="auto"/>
        <w:right w:val="none" w:sz="0" w:space="0" w:color="auto"/>
      </w:divBdr>
    </w:div>
    <w:div w:id="381755163">
      <w:bodyDiv w:val="1"/>
      <w:marLeft w:val="0"/>
      <w:marRight w:val="0"/>
      <w:marTop w:val="0"/>
      <w:marBottom w:val="0"/>
      <w:divBdr>
        <w:top w:val="none" w:sz="0" w:space="0" w:color="auto"/>
        <w:left w:val="none" w:sz="0" w:space="0" w:color="auto"/>
        <w:bottom w:val="none" w:sz="0" w:space="0" w:color="auto"/>
        <w:right w:val="none" w:sz="0" w:space="0" w:color="auto"/>
      </w:divBdr>
    </w:div>
    <w:div w:id="403265878">
      <w:bodyDiv w:val="1"/>
      <w:marLeft w:val="0"/>
      <w:marRight w:val="0"/>
      <w:marTop w:val="0"/>
      <w:marBottom w:val="0"/>
      <w:divBdr>
        <w:top w:val="none" w:sz="0" w:space="0" w:color="auto"/>
        <w:left w:val="none" w:sz="0" w:space="0" w:color="auto"/>
        <w:bottom w:val="none" w:sz="0" w:space="0" w:color="auto"/>
        <w:right w:val="none" w:sz="0" w:space="0" w:color="auto"/>
      </w:divBdr>
    </w:div>
    <w:div w:id="675309656">
      <w:bodyDiv w:val="1"/>
      <w:marLeft w:val="0"/>
      <w:marRight w:val="0"/>
      <w:marTop w:val="0"/>
      <w:marBottom w:val="0"/>
      <w:divBdr>
        <w:top w:val="none" w:sz="0" w:space="0" w:color="auto"/>
        <w:left w:val="none" w:sz="0" w:space="0" w:color="auto"/>
        <w:bottom w:val="none" w:sz="0" w:space="0" w:color="auto"/>
        <w:right w:val="none" w:sz="0" w:space="0" w:color="auto"/>
      </w:divBdr>
      <w:divsChild>
        <w:div w:id="740837485">
          <w:marLeft w:val="0"/>
          <w:marRight w:val="0"/>
          <w:marTop w:val="0"/>
          <w:marBottom w:val="0"/>
          <w:divBdr>
            <w:top w:val="none" w:sz="0" w:space="0" w:color="auto"/>
            <w:left w:val="none" w:sz="0" w:space="0" w:color="auto"/>
            <w:bottom w:val="none" w:sz="0" w:space="0" w:color="auto"/>
            <w:right w:val="none" w:sz="0" w:space="0" w:color="auto"/>
          </w:divBdr>
        </w:div>
        <w:div w:id="542062258">
          <w:marLeft w:val="0"/>
          <w:marRight w:val="0"/>
          <w:marTop w:val="0"/>
          <w:marBottom w:val="0"/>
          <w:divBdr>
            <w:top w:val="none" w:sz="0" w:space="0" w:color="auto"/>
            <w:left w:val="none" w:sz="0" w:space="0" w:color="auto"/>
            <w:bottom w:val="none" w:sz="0" w:space="0" w:color="auto"/>
            <w:right w:val="none" w:sz="0" w:space="0" w:color="auto"/>
          </w:divBdr>
        </w:div>
        <w:div w:id="1802259332">
          <w:marLeft w:val="0"/>
          <w:marRight w:val="0"/>
          <w:marTop w:val="0"/>
          <w:marBottom w:val="0"/>
          <w:divBdr>
            <w:top w:val="none" w:sz="0" w:space="0" w:color="auto"/>
            <w:left w:val="none" w:sz="0" w:space="0" w:color="auto"/>
            <w:bottom w:val="none" w:sz="0" w:space="0" w:color="auto"/>
            <w:right w:val="none" w:sz="0" w:space="0" w:color="auto"/>
          </w:divBdr>
        </w:div>
        <w:div w:id="582490252">
          <w:marLeft w:val="0"/>
          <w:marRight w:val="0"/>
          <w:marTop w:val="0"/>
          <w:marBottom w:val="0"/>
          <w:divBdr>
            <w:top w:val="none" w:sz="0" w:space="0" w:color="auto"/>
            <w:left w:val="none" w:sz="0" w:space="0" w:color="auto"/>
            <w:bottom w:val="none" w:sz="0" w:space="0" w:color="auto"/>
            <w:right w:val="none" w:sz="0" w:space="0" w:color="auto"/>
          </w:divBdr>
        </w:div>
        <w:div w:id="828638489">
          <w:marLeft w:val="0"/>
          <w:marRight w:val="0"/>
          <w:marTop w:val="0"/>
          <w:marBottom w:val="0"/>
          <w:divBdr>
            <w:top w:val="none" w:sz="0" w:space="0" w:color="auto"/>
            <w:left w:val="none" w:sz="0" w:space="0" w:color="auto"/>
            <w:bottom w:val="none" w:sz="0" w:space="0" w:color="auto"/>
            <w:right w:val="none" w:sz="0" w:space="0" w:color="auto"/>
          </w:divBdr>
        </w:div>
        <w:div w:id="487212942">
          <w:marLeft w:val="0"/>
          <w:marRight w:val="0"/>
          <w:marTop w:val="0"/>
          <w:marBottom w:val="0"/>
          <w:divBdr>
            <w:top w:val="none" w:sz="0" w:space="0" w:color="auto"/>
            <w:left w:val="none" w:sz="0" w:space="0" w:color="auto"/>
            <w:bottom w:val="none" w:sz="0" w:space="0" w:color="auto"/>
            <w:right w:val="none" w:sz="0" w:space="0" w:color="auto"/>
          </w:divBdr>
        </w:div>
        <w:div w:id="855773824">
          <w:marLeft w:val="0"/>
          <w:marRight w:val="0"/>
          <w:marTop w:val="0"/>
          <w:marBottom w:val="0"/>
          <w:divBdr>
            <w:top w:val="none" w:sz="0" w:space="0" w:color="auto"/>
            <w:left w:val="none" w:sz="0" w:space="0" w:color="auto"/>
            <w:bottom w:val="none" w:sz="0" w:space="0" w:color="auto"/>
            <w:right w:val="none" w:sz="0" w:space="0" w:color="auto"/>
          </w:divBdr>
        </w:div>
        <w:div w:id="926885124">
          <w:marLeft w:val="0"/>
          <w:marRight w:val="0"/>
          <w:marTop w:val="0"/>
          <w:marBottom w:val="0"/>
          <w:divBdr>
            <w:top w:val="none" w:sz="0" w:space="0" w:color="auto"/>
            <w:left w:val="none" w:sz="0" w:space="0" w:color="auto"/>
            <w:bottom w:val="none" w:sz="0" w:space="0" w:color="auto"/>
            <w:right w:val="none" w:sz="0" w:space="0" w:color="auto"/>
          </w:divBdr>
        </w:div>
      </w:divsChild>
    </w:div>
    <w:div w:id="980040429">
      <w:bodyDiv w:val="1"/>
      <w:marLeft w:val="0"/>
      <w:marRight w:val="0"/>
      <w:marTop w:val="0"/>
      <w:marBottom w:val="0"/>
      <w:divBdr>
        <w:top w:val="none" w:sz="0" w:space="0" w:color="auto"/>
        <w:left w:val="none" w:sz="0" w:space="0" w:color="auto"/>
        <w:bottom w:val="none" w:sz="0" w:space="0" w:color="auto"/>
        <w:right w:val="none" w:sz="0" w:space="0" w:color="auto"/>
      </w:divBdr>
    </w:div>
    <w:div w:id="1282683022">
      <w:bodyDiv w:val="1"/>
      <w:marLeft w:val="0"/>
      <w:marRight w:val="0"/>
      <w:marTop w:val="0"/>
      <w:marBottom w:val="0"/>
      <w:divBdr>
        <w:top w:val="none" w:sz="0" w:space="0" w:color="auto"/>
        <w:left w:val="none" w:sz="0" w:space="0" w:color="auto"/>
        <w:bottom w:val="none" w:sz="0" w:space="0" w:color="auto"/>
        <w:right w:val="none" w:sz="0" w:space="0" w:color="auto"/>
      </w:divBdr>
    </w:div>
    <w:div w:id="1372068255">
      <w:bodyDiv w:val="1"/>
      <w:marLeft w:val="0"/>
      <w:marRight w:val="0"/>
      <w:marTop w:val="0"/>
      <w:marBottom w:val="0"/>
      <w:divBdr>
        <w:top w:val="none" w:sz="0" w:space="0" w:color="auto"/>
        <w:left w:val="none" w:sz="0" w:space="0" w:color="auto"/>
        <w:bottom w:val="none" w:sz="0" w:space="0" w:color="auto"/>
        <w:right w:val="none" w:sz="0" w:space="0" w:color="auto"/>
      </w:divBdr>
    </w:div>
    <w:div w:id="1764448111">
      <w:bodyDiv w:val="1"/>
      <w:marLeft w:val="0"/>
      <w:marRight w:val="0"/>
      <w:marTop w:val="0"/>
      <w:marBottom w:val="0"/>
      <w:divBdr>
        <w:top w:val="none" w:sz="0" w:space="0" w:color="auto"/>
        <w:left w:val="none" w:sz="0" w:space="0" w:color="auto"/>
        <w:bottom w:val="none" w:sz="0" w:space="0" w:color="auto"/>
        <w:right w:val="none" w:sz="0" w:space="0" w:color="auto"/>
      </w:divBdr>
    </w:div>
    <w:div w:id="20913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D53E3-22CF-4279-B443-2ADCC9133817}">
  <ds:schemaRef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97CF0716-332B-490F-9528-C5C0D6D53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10E1E1-1AFF-492D-9AAC-D77993C5F873}">
  <ds:schemaRefs>
    <ds:schemaRef ds:uri="http://schemas.microsoft.com/sharepoint/v3/contenttype/forms"/>
  </ds:schemaRefs>
</ds:datastoreItem>
</file>

<file path=customXml/itemProps4.xml><?xml version="1.0" encoding="utf-8"?>
<ds:datastoreItem xmlns:ds="http://schemas.openxmlformats.org/officeDocument/2006/customXml" ds:itemID="{8DA1A4B2-0306-41E5-A87C-EAF90EF2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5349</Words>
  <Characters>29421</Characters>
  <Application>Microsoft Office Word</Application>
  <DocSecurity>0</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CorteIDH</Company>
  <LinksUpToDate>false</LinksUpToDate>
  <CharactersWithSpaces>34701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3</cp:revision>
  <cp:lastPrinted>2017-11-28T22:49:00Z</cp:lastPrinted>
  <dcterms:created xsi:type="dcterms:W3CDTF">2017-11-28T22:52:00Z</dcterms:created>
  <dcterms:modified xsi:type="dcterms:W3CDTF">2017-11-28T23:03:00Z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