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ABBCE" w14:textId="04F2B290" w:rsidR="000C2DE6" w:rsidRDefault="000C2DE6" w:rsidP="00C75287">
      <w:pPr>
        <w:pStyle w:val="Heading1"/>
        <w:jc w:val="left"/>
        <w:rPr>
          <w:sz w:val="20"/>
          <w:szCs w:val="20"/>
        </w:rPr>
      </w:pPr>
    </w:p>
    <w:p w14:paraId="5677E114" w14:textId="77777777" w:rsidR="00EB4828" w:rsidRPr="00606305" w:rsidRDefault="00EB4828" w:rsidP="00147940">
      <w:pPr>
        <w:pStyle w:val="Heading1"/>
        <w:spacing w:before="360"/>
        <w:rPr>
          <w:sz w:val="20"/>
          <w:szCs w:val="20"/>
        </w:rPr>
      </w:pPr>
      <w:r w:rsidRPr="00606305">
        <w:rPr>
          <w:sz w:val="20"/>
          <w:szCs w:val="20"/>
        </w:rPr>
        <w:t>Resolución de la</w:t>
      </w:r>
    </w:p>
    <w:p w14:paraId="5677E115" w14:textId="77777777" w:rsidR="00EB4828" w:rsidRPr="00606305" w:rsidRDefault="00EB4828" w:rsidP="00EB4828">
      <w:pPr>
        <w:jc w:val="center"/>
        <w:rPr>
          <w:rFonts w:ascii="Verdana" w:hAnsi="Verdana"/>
          <w:b/>
          <w:caps/>
          <w:sz w:val="20"/>
          <w:szCs w:val="20"/>
        </w:rPr>
      </w:pPr>
      <w:r w:rsidRPr="00606305">
        <w:rPr>
          <w:rFonts w:ascii="Verdana" w:hAnsi="Verdana"/>
          <w:b/>
          <w:caps/>
          <w:sz w:val="20"/>
          <w:szCs w:val="20"/>
        </w:rPr>
        <w:t>Corte Interamericana de Derechos Humanos</w:t>
      </w:r>
      <w:r w:rsidR="007C485C" w:rsidRPr="000C3C07">
        <w:rPr>
          <w:rStyle w:val="FootnoteReference"/>
          <w:b/>
          <w:bCs/>
          <w:caps/>
        </w:rPr>
        <w:footnoteReference w:id="1"/>
      </w:r>
    </w:p>
    <w:p w14:paraId="5677E116" w14:textId="33C3F9EC" w:rsidR="00EB4828" w:rsidRPr="00606305" w:rsidRDefault="00EB4828" w:rsidP="00EB4828">
      <w:pPr>
        <w:jc w:val="center"/>
        <w:rPr>
          <w:rFonts w:ascii="Verdana" w:hAnsi="Verdana"/>
          <w:b/>
          <w:caps/>
          <w:sz w:val="20"/>
          <w:szCs w:val="20"/>
        </w:rPr>
      </w:pPr>
      <w:r w:rsidRPr="00606305">
        <w:rPr>
          <w:rFonts w:ascii="Verdana" w:hAnsi="Verdana"/>
          <w:b/>
          <w:caps/>
          <w:sz w:val="20"/>
          <w:szCs w:val="20"/>
        </w:rPr>
        <w:t xml:space="preserve">DE </w:t>
      </w:r>
      <w:r w:rsidR="00886A3D">
        <w:rPr>
          <w:rFonts w:ascii="Verdana" w:hAnsi="Verdana"/>
          <w:b/>
          <w:caps/>
          <w:sz w:val="20"/>
          <w:szCs w:val="20"/>
        </w:rPr>
        <w:t xml:space="preserve">14 </w:t>
      </w:r>
      <w:r w:rsidR="000F6DA1" w:rsidRPr="00606305">
        <w:rPr>
          <w:rFonts w:ascii="Verdana" w:hAnsi="Verdana"/>
          <w:b/>
          <w:caps/>
          <w:sz w:val="20"/>
          <w:szCs w:val="20"/>
        </w:rPr>
        <w:t>DE</w:t>
      </w:r>
      <w:r w:rsidRPr="00606305">
        <w:rPr>
          <w:rFonts w:ascii="Verdana" w:hAnsi="Verdana"/>
          <w:b/>
          <w:caps/>
          <w:sz w:val="20"/>
          <w:szCs w:val="20"/>
        </w:rPr>
        <w:t xml:space="preserve"> </w:t>
      </w:r>
      <w:r w:rsidR="002A402B">
        <w:rPr>
          <w:rFonts w:ascii="Verdana" w:hAnsi="Verdana"/>
          <w:b/>
          <w:caps/>
          <w:sz w:val="20"/>
          <w:szCs w:val="20"/>
        </w:rPr>
        <w:t>MARZO</w:t>
      </w:r>
      <w:r w:rsidR="002A402B" w:rsidRPr="00606305">
        <w:rPr>
          <w:rFonts w:ascii="Verdana" w:hAnsi="Verdana"/>
          <w:b/>
          <w:caps/>
          <w:sz w:val="20"/>
          <w:szCs w:val="20"/>
        </w:rPr>
        <w:t xml:space="preserve"> </w:t>
      </w:r>
      <w:r w:rsidRPr="00606305">
        <w:rPr>
          <w:rFonts w:ascii="Verdana" w:hAnsi="Verdana"/>
          <w:b/>
          <w:caps/>
          <w:sz w:val="20"/>
          <w:szCs w:val="20"/>
        </w:rPr>
        <w:t>DE 201</w:t>
      </w:r>
      <w:r w:rsidR="0082175F">
        <w:rPr>
          <w:rFonts w:ascii="Verdana" w:hAnsi="Verdana"/>
          <w:b/>
          <w:caps/>
          <w:sz w:val="20"/>
          <w:szCs w:val="20"/>
        </w:rPr>
        <w:t>8</w:t>
      </w:r>
    </w:p>
    <w:p w14:paraId="5677E117" w14:textId="77777777" w:rsidR="003F7B4B" w:rsidRDefault="003F7B4B" w:rsidP="00C30B6A">
      <w:pPr>
        <w:rPr>
          <w:rFonts w:ascii="Verdana" w:hAnsi="Verdana"/>
          <w:b/>
          <w:caps/>
          <w:sz w:val="20"/>
          <w:szCs w:val="20"/>
        </w:rPr>
      </w:pPr>
    </w:p>
    <w:p w14:paraId="5677E118" w14:textId="77777777" w:rsidR="00EB4828" w:rsidRPr="00606305" w:rsidRDefault="00EB4828" w:rsidP="00EB4828">
      <w:pPr>
        <w:jc w:val="center"/>
        <w:rPr>
          <w:rFonts w:ascii="Verdana" w:hAnsi="Verdana"/>
          <w:b/>
          <w:caps/>
          <w:sz w:val="20"/>
          <w:szCs w:val="20"/>
        </w:rPr>
      </w:pPr>
      <w:r w:rsidRPr="00606305">
        <w:rPr>
          <w:rFonts w:ascii="Verdana" w:hAnsi="Verdana" w:cs="Verdana Bold"/>
          <w:b/>
          <w:bCs/>
          <w:caps/>
          <w:sz w:val="20"/>
          <w:szCs w:val="20"/>
        </w:rPr>
        <w:t>Medidas Provisionales</w:t>
      </w:r>
    </w:p>
    <w:p w14:paraId="5677E119" w14:textId="77777777" w:rsidR="00EB4828" w:rsidRPr="00606305" w:rsidRDefault="00EB4828" w:rsidP="0083451F">
      <w:pPr>
        <w:jc w:val="center"/>
        <w:rPr>
          <w:rFonts w:ascii="Verdana" w:hAnsi="Verdana"/>
          <w:b/>
          <w:caps/>
          <w:sz w:val="20"/>
          <w:szCs w:val="20"/>
        </w:rPr>
      </w:pPr>
      <w:r w:rsidRPr="00606305">
        <w:rPr>
          <w:rFonts w:ascii="Verdana" w:hAnsi="Verdana" w:cs="Verdana Bold"/>
          <w:b/>
          <w:bCs/>
          <w:caps/>
          <w:sz w:val="20"/>
          <w:szCs w:val="20"/>
        </w:rPr>
        <w:t xml:space="preserve">respecto de </w:t>
      </w:r>
      <w:r w:rsidR="00AB0B37" w:rsidRPr="00606305">
        <w:rPr>
          <w:rFonts w:ascii="Verdana" w:hAnsi="Verdana" w:cs="Verdana Bold"/>
          <w:b/>
          <w:bCs/>
          <w:caps/>
          <w:sz w:val="20"/>
          <w:szCs w:val="20"/>
        </w:rPr>
        <w:t>MÉXICO</w:t>
      </w:r>
    </w:p>
    <w:p w14:paraId="5677E11A" w14:textId="77777777" w:rsidR="00EB4828" w:rsidRPr="00606305" w:rsidRDefault="00EB4828" w:rsidP="00EB4828">
      <w:pPr>
        <w:jc w:val="center"/>
        <w:rPr>
          <w:rFonts w:ascii="Verdana" w:hAnsi="Verdana"/>
          <w:b/>
          <w:caps/>
          <w:sz w:val="20"/>
          <w:szCs w:val="20"/>
        </w:rPr>
      </w:pPr>
    </w:p>
    <w:p w14:paraId="5677E11B" w14:textId="77777777" w:rsidR="00EB4828" w:rsidRPr="00606305" w:rsidRDefault="00EB4828" w:rsidP="00EB4828">
      <w:pPr>
        <w:jc w:val="center"/>
        <w:rPr>
          <w:rFonts w:ascii="Verdana" w:hAnsi="Verdana"/>
          <w:b/>
          <w:caps/>
          <w:sz w:val="20"/>
          <w:szCs w:val="20"/>
        </w:rPr>
      </w:pPr>
      <w:r w:rsidRPr="00606305">
        <w:rPr>
          <w:rFonts w:ascii="Verdana" w:hAnsi="Verdana" w:cs="Verdana Bold"/>
          <w:b/>
          <w:bCs/>
          <w:caps/>
          <w:sz w:val="20"/>
          <w:szCs w:val="20"/>
        </w:rPr>
        <w:t>Asunto ALVARADO REYES</w:t>
      </w:r>
      <w:r w:rsidR="00D503E3">
        <w:rPr>
          <w:rFonts w:ascii="Verdana" w:hAnsi="Verdana" w:cs="Verdana Bold"/>
          <w:b/>
          <w:bCs/>
          <w:caps/>
          <w:sz w:val="20"/>
          <w:szCs w:val="20"/>
        </w:rPr>
        <w:t xml:space="preserve"> Y OTROS</w:t>
      </w:r>
      <w:bookmarkStart w:id="0" w:name="_GoBack"/>
      <w:bookmarkEnd w:id="0"/>
    </w:p>
    <w:p w14:paraId="5677E11C" w14:textId="77777777" w:rsidR="00EB4828" w:rsidRPr="00606305" w:rsidRDefault="00EB4828" w:rsidP="00EB4828">
      <w:pPr>
        <w:jc w:val="center"/>
        <w:rPr>
          <w:rFonts w:ascii="Verdana" w:hAnsi="Verdana" w:cs="Verdana"/>
          <w:b/>
          <w:bCs/>
          <w:caps/>
          <w:sz w:val="20"/>
          <w:szCs w:val="20"/>
        </w:rPr>
      </w:pPr>
    </w:p>
    <w:p w14:paraId="5677E11E" w14:textId="77777777" w:rsidR="003C3DAD" w:rsidRPr="00606305" w:rsidRDefault="003C3DAD" w:rsidP="003C3DAD">
      <w:pPr>
        <w:rPr>
          <w:rFonts w:ascii="Verdana" w:hAnsi="Verdana" w:cs="Verdana"/>
          <w:b/>
          <w:bCs/>
          <w:caps/>
          <w:sz w:val="20"/>
          <w:szCs w:val="20"/>
        </w:rPr>
      </w:pPr>
      <w:r w:rsidRPr="00606305">
        <w:rPr>
          <w:rFonts w:ascii="Verdana" w:hAnsi="Verdana" w:cs="Verdana"/>
          <w:b/>
          <w:bCs/>
          <w:caps/>
          <w:sz w:val="20"/>
          <w:szCs w:val="20"/>
        </w:rPr>
        <w:t>Visto:</w:t>
      </w:r>
    </w:p>
    <w:p w14:paraId="5677E11F" w14:textId="77777777" w:rsidR="003C3DAD" w:rsidRPr="00606305" w:rsidRDefault="003C3DAD" w:rsidP="003C3DAD">
      <w:pPr>
        <w:rPr>
          <w:rFonts w:ascii="Verdana" w:hAnsi="Verdana" w:cs="Verdana"/>
          <w:b/>
          <w:bCs/>
          <w:caps/>
          <w:sz w:val="20"/>
          <w:szCs w:val="20"/>
        </w:rPr>
      </w:pPr>
    </w:p>
    <w:p w14:paraId="5677E120" w14:textId="00579BA5" w:rsidR="003C3DAD" w:rsidRPr="00606305" w:rsidRDefault="003C3DAD" w:rsidP="003C3DAD">
      <w:pPr>
        <w:numPr>
          <w:ilvl w:val="0"/>
          <w:numId w:val="1"/>
        </w:numPr>
        <w:ind w:left="0" w:firstLine="0"/>
        <w:jc w:val="both"/>
        <w:rPr>
          <w:rFonts w:ascii="Verdana" w:hAnsi="Verdana" w:cs="Verdana"/>
          <w:sz w:val="20"/>
          <w:szCs w:val="20"/>
          <w:lang w:val="es-ES"/>
        </w:rPr>
      </w:pPr>
      <w:r w:rsidRPr="00606305">
        <w:rPr>
          <w:rFonts w:ascii="Verdana" w:hAnsi="Verdana" w:cs="Verdana"/>
          <w:sz w:val="20"/>
          <w:szCs w:val="20"/>
        </w:rPr>
        <w:t>Las Resoluciones dictadas por la Corte Interamericana de Derechos Humanos (en adelante “la Corte Interamericana”, “la Corte” o “el Tribunal”) el 26 de mayo y 26 de noviembre de 2010, 15 de mayo de 2011,</w:t>
      </w:r>
      <w:r>
        <w:rPr>
          <w:rFonts w:ascii="Verdana" w:hAnsi="Verdana" w:cs="Verdana"/>
          <w:sz w:val="20"/>
          <w:szCs w:val="20"/>
        </w:rPr>
        <w:t xml:space="preserve"> 23 de noviembre de 2012,</w:t>
      </w:r>
      <w:r w:rsidR="00A2366A">
        <w:rPr>
          <w:rFonts w:ascii="Verdana" w:hAnsi="Verdana" w:cs="Verdana"/>
          <w:sz w:val="20"/>
          <w:szCs w:val="20"/>
        </w:rPr>
        <w:t xml:space="preserve"> 23 de junio de 2015,</w:t>
      </w:r>
      <w:r w:rsidRPr="00606305">
        <w:rPr>
          <w:rFonts w:ascii="Verdana" w:hAnsi="Verdana" w:cs="Verdana"/>
          <w:sz w:val="20"/>
          <w:szCs w:val="20"/>
        </w:rPr>
        <w:t xml:space="preserve"> </w:t>
      </w:r>
      <w:r w:rsidR="0082175F">
        <w:rPr>
          <w:rFonts w:ascii="Verdana" w:hAnsi="Verdana" w:cs="Verdana"/>
          <w:sz w:val="20"/>
          <w:szCs w:val="20"/>
        </w:rPr>
        <w:t xml:space="preserve">y 14 de noviembre de 2017 </w:t>
      </w:r>
      <w:r w:rsidRPr="00606305">
        <w:rPr>
          <w:rFonts w:ascii="Verdana" w:hAnsi="Verdana" w:cs="Verdana"/>
          <w:sz w:val="20"/>
          <w:szCs w:val="20"/>
        </w:rPr>
        <w:t>mediante las cuales, a solicitud de la Comisión, el Tribu</w:t>
      </w:r>
      <w:r w:rsidR="00A2366A">
        <w:rPr>
          <w:rFonts w:ascii="Verdana" w:hAnsi="Verdana" w:cs="Verdana"/>
          <w:sz w:val="20"/>
          <w:szCs w:val="20"/>
        </w:rPr>
        <w:t>n</w:t>
      </w:r>
      <w:r w:rsidRPr="00606305">
        <w:rPr>
          <w:rFonts w:ascii="Verdana" w:hAnsi="Verdana" w:cs="Verdana"/>
          <w:sz w:val="20"/>
          <w:szCs w:val="20"/>
        </w:rPr>
        <w:t>al ordenó medidas provisionales y supervisó su ejecución en el presente asunto. En su última Resolución la Corte resolvió</w:t>
      </w:r>
      <w:r w:rsidRPr="00606305">
        <w:rPr>
          <w:rFonts w:ascii="Verdana" w:hAnsi="Verdana" w:cs="Verdana"/>
          <w:i/>
          <w:sz w:val="20"/>
          <w:szCs w:val="20"/>
        </w:rPr>
        <w:t>, inter alia</w:t>
      </w:r>
      <w:r w:rsidRPr="00606305">
        <w:rPr>
          <w:rFonts w:ascii="Verdana" w:hAnsi="Verdana" w:cs="Verdana"/>
          <w:sz w:val="20"/>
          <w:szCs w:val="20"/>
        </w:rPr>
        <w:t>:</w:t>
      </w:r>
    </w:p>
    <w:p w14:paraId="5677E123" w14:textId="77777777" w:rsidR="003C3DAD" w:rsidRPr="00A44D6B" w:rsidRDefault="003C3DAD" w:rsidP="006C1B77">
      <w:pPr>
        <w:ind w:right="540"/>
        <w:jc w:val="both"/>
        <w:rPr>
          <w:rFonts w:ascii="Verdana" w:hAnsi="Verdana"/>
          <w:sz w:val="16"/>
          <w:szCs w:val="16"/>
        </w:rPr>
      </w:pPr>
    </w:p>
    <w:p w14:paraId="2C0CCB98" w14:textId="788F01EC" w:rsidR="0082175F" w:rsidRPr="0082175F" w:rsidRDefault="0082175F" w:rsidP="0082175F">
      <w:pPr>
        <w:numPr>
          <w:ilvl w:val="0"/>
          <w:numId w:val="3"/>
        </w:numPr>
        <w:ind w:right="540"/>
        <w:jc w:val="both"/>
        <w:rPr>
          <w:rFonts w:ascii="Verdana" w:hAnsi="Verdana"/>
          <w:sz w:val="16"/>
          <w:szCs w:val="16"/>
        </w:rPr>
      </w:pPr>
      <w:r w:rsidRPr="0082175F">
        <w:rPr>
          <w:rFonts w:ascii="Verdana" w:hAnsi="Verdana"/>
          <w:sz w:val="16"/>
          <w:szCs w:val="16"/>
        </w:rPr>
        <w:t>Levantar las medidas provisionales ordenadas a favor de Concepción Herrera Hernández y Emilia González Tercero</w:t>
      </w:r>
      <w:r>
        <w:rPr>
          <w:rFonts w:ascii="Verdana" w:hAnsi="Verdana"/>
          <w:sz w:val="16"/>
          <w:szCs w:val="16"/>
        </w:rPr>
        <w:t xml:space="preserve"> […]</w:t>
      </w:r>
      <w:r w:rsidRPr="0082175F">
        <w:rPr>
          <w:rFonts w:ascii="Verdana" w:hAnsi="Verdana"/>
          <w:sz w:val="16"/>
          <w:szCs w:val="16"/>
        </w:rPr>
        <w:t>.</w:t>
      </w:r>
    </w:p>
    <w:p w14:paraId="01EB4756" w14:textId="77777777" w:rsidR="0082175F" w:rsidRPr="0082175F" w:rsidRDefault="0082175F" w:rsidP="0082175F">
      <w:pPr>
        <w:ind w:left="1260" w:right="540"/>
        <w:jc w:val="both"/>
        <w:rPr>
          <w:rFonts w:ascii="Verdana" w:hAnsi="Verdana"/>
          <w:sz w:val="16"/>
          <w:szCs w:val="16"/>
        </w:rPr>
      </w:pPr>
    </w:p>
    <w:p w14:paraId="3A1C5BCD" w14:textId="286422EB" w:rsidR="0082175F" w:rsidRPr="0082175F" w:rsidRDefault="0082175F" w:rsidP="0082175F">
      <w:pPr>
        <w:numPr>
          <w:ilvl w:val="0"/>
          <w:numId w:val="3"/>
        </w:numPr>
        <w:ind w:right="540"/>
        <w:jc w:val="both"/>
        <w:rPr>
          <w:rFonts w:ascii="Verdana" w:hAnsi="Verdana"/>
          <w:sz w:val="16"/>
          <w:szCs w:val="16"/>
        </w:rPr>
      </w:pPr>
      <w:r w:rsidRPr="0082175F">
        <w:rPr>
          <w:rFonts w:ascii="Verdana" w:hAnsi="Verdana"/>
          <w:sz w:val="16"/>
          <w:szCs w:val="16"/>
        </w:rPr>
        <w:t>Mantener las medidas y ordenar al Estado que implemente y adopte de forma inmediata las medidas que sean necesarias para determinar lo antes posible el paradero de Rocío Irene Alvarado Reyes, Nitza Paola Alvarado Espinoza y José Ángel Alvarado Herrera, así como para proteger su vida, integridad y libertad personal</w:t>
      </w:r>
      <w:r>
        <w:rPr>
          <w:rFonts w:ascii="Verdana" w:hAnsi="Verdana"/>
          <w:sz w:val="16"/>
          <w:szCs w:val="16"/>
        </w:rPr>
        <w:t xml:space="preserve"> […]</w:t>
      </w:r>
      <w:r w:rsidRPr="0082175F">
        <w:rPr>
          <w:rFonts w:ascii="Verdana" w:hAnsi="Verdana"/>
          <w:sz w:val="16"/>
          <w:szCs w:val="16"/>
        </w:rPr>
        <w:t>.</w:t>
      </w:r>
    </w:p>
    <w:p w14:paraId="6CFA8BBB" w14:textId="77777777" w:rsidR="0082175F" w:rsidRPr="0082175F" w:rsidRDefault="0082175F" w:rsidP="0082175F">
      <w:pPr>
        <w:ind w:left="1260" w:right="540"/>
        <w:jc w:val="both"/>
        <w:rPr>
          <w:rFonts w:ascii="Verdana" w:hAnsi="Verdana"/>
          <w:sz w:val="16"/>
          <w:szCs w:val="16"/>
        </w:rPr>
      </w:pPr>
    </w:p>
    <w:p w14:paraId="62CF87FB" w14:textId="77777777" w:rsidR="0082175F" w:rsidRPr="0082175F" w:rsidRDefault="0082175F" w:rsidP="0082175F">
      <w:pPr>
        <w:numPr>
          <w:ilvl w:val="0"/>
          <w:numId w:val="3"/>
        </w:numPr>
        <w:ind w:right="540"/>
        <w:jc w:val="both"/>
        <w:rPr>
          <w:rFonts w:ascii="Verdana" w:hAnsi="Verdana"/>
          <w:sz w:val="16"/>
          <w:szCs w:val="16"/>
        </w:rPr>
      </w:pPr>
      <w:r w:rsidRPr="0082175F">
        <w:rPr>
          <w:rFonts w:ascii="Verdana" w:hAnsi="Verdana"/>
          <w:sz w:val="16"/>
          <w:szCs w:val="16"/>
        </w:rPr>
        <w:t>Que el Estado mantenga las medidas que estuviere implementando, así como también, que adopte, de forma inmediata y definitiva, las medidas complementarias que sean necesarias y efectivas para proteger los derechos a la vida y a la integridad personal de las siguientes personas: 1) J.O.A.R., 2) R.G.A.R., 3) S.A.R. y 4) J.E.A.R. (hijos de Jaime Alvarado Herrera); 5) Sandra Luz Rueda Quezada (esposa de Jaime Alvarado). Asimismo, de 6) Patricia Reyes Rueda y sus dos hijos: 7) A.A.R. y 8) A.A.R. (R.A.A.R.); 9) M.U.A. (A.M.U.A.) (hija de Rocío Irene Alvarado Reyes); 10) Obdulia Espinoza Beltrán; 11) J.A.E., 12) J.A.A.E. y 13) A.A.E. (hijos de Jose Ángel Alvarado Herrera y Obdulia Espinoza Beltrán); 14) José Ángel Alvarado Favela; 15) Jaime Alvarado Herrera; 16) Rosa Olivia Alvarado Herrera y sus hijos: 17) K.P.A.A. (K.P.A.E.), 18) F.A.H. y 19) J.G.A., y 20) Félix García; adicionalmente, las personas: 21) Manuel Melquiades Alvarado; 22) Mayra Daniela Salais Rodríguez (esposa de Manuel Melquiades Alvarado); 23) D.J.A., y 24) J.A. (X.A.S.) (hijas de Manuel Melquiades Alvarado y Mayra Daniela Salais Rodríguez).</w:t>
      </w:r>
    </w:p>
    <w:p w14:paraId="4EA09C8C" w14:textId="77777777" w:rsidR="0082175F" w:rsidRPr="0082175F" w:rsidRDefault="0082175F" w:rsidP="0082175F">
      <w:pPr>
        <w:ind w:left="1260" w:right="540"/>
        <w:jc w:val="both"/>
        <w:rPr>
          <w:rFonts w:ascii="Verdana" w:hAnsi="Verdana"/>
          <w:sz w:val="16"/>
          <w:szCs w:val="16"/>
        </w:rPr>
      </w:pPr>
    </w:p>
    <w:p w14:paraId="02A28413" w14:textId="75DD6AFA" w:rsidR="0082175F" w:rsidRPr="0082175F" w:rsidRDefault="0082175F" w:rsidP="0082175F">
      <w:pPr>
        <w:numPr>
          <w:ilvl w:val="0"/>
          <w:numId w:val="3"/>
        </w:numPr>
        <w:ind w:right="540"/>
        <w:jc w:val="both"/>
        <w:rPr>
          <w:rFonts w:ascii="Verdana" w:hAnsi="Verdana"/>
          <w:sz w:val="16"/>
          <w:szCs w:val="16"/>
        </w:rPr>
      </w:pPr>
      <w:r w:rsidRPr="0082175F">
        <w:rPr>
          <w:rFonts w:ascii="Verdana" w:hAnsi="Verdana"/>
          <w:sz w:val="16"/>
          <w:szCs w:val="16"/>
        </w:rPr>
        <w:t>Que el Estado mantenga las medidas del párrafo anterior sobre los siete beneficiarios que se encuentran fuera del territorio: 1) Ascensión Alvarado Favela y 2) María de Jesús Espinoza Peinado (padre y madre de Nitza Alvarado); 3) María de Jesús Alvarado Reyes (Espinoza) (hermana de Nitza Alvarado); 4) Rigoberto Ambriz Marrufo (cuñado de Nitza Alvarado); 5) M.P.A.E., 6) N.C.A.E. (N.S.A.E.) y 7) D.A.E. (hijas de Nitza Alvarado), cuya aplicación deberá ser efectiva con efecto inmediato tan pronto se encuentre en territorio mexicano</w:t>
      </w:r>
      <w:r>
        <w:rPr>
          <w:rFonts w:ascii="Verdana" w:hAnsi="Verdana"/>
          <w:sz w:val="16"/>
          <w:szCs w:val="16"/>
        </w:rPr>
        <w:t xml:space="preserve"> […]</w:t>
      </w:r>
      <w:r w:rsidRPr="0082175F">
        <w:rPr>
          <w:rFonts w:ascii="Verdana" w:hAnsi="Verdana"/>
          <w:sz w:val="16"/>
          <w:szCs w:val="16"/>
        </w:rPr>
        <w:t>.</w:t>
      </w:r>
    </w:p>
    <w:p w14:paraId="2FB17EE1" w14:textId="77777777" w:rsidR="0082175F" w:rsidRPr="0082175F" w:rsidRDefault="0082175F" w:rsidP="0082175F">
      <w:pPr>
        <w:ind w:left="1260" w:right="540"/>
        <w:jc w:val="both"/>
        <w:rPr>
          <w:rFonts w:ascii="Verdana" w:hAnsi="Verdana"/>
          <w:sz w:val="16"/>
          <w:szCs w:val="16"/>
        </w:rPr>
      </w:pPr>
    </w:p>
    <w:p w14:paraId="475D5D80" w14:textId="0A883C06" w:rsidR="0082175F" w:rsidRPr="0082175F" w:rsidRDefault="0082175F" w:rsidP="0082175F">
      <w:pPr>
        <w:numPr>
          <w:ilvl w:val="0"/>
          <w:numId w:val="3"/>
        </w:numPr>
        <w:ind w:right="540"/>
        <w:jc w:val="both"/>
        <w:rPr>
          <w:rFonts w:ascii="Verdana" w:hAnsi="Verdana"/>
          <w:sz w:val="16"/>
          <w:szCs w:val="16"/>
        </w:rPr>
      </w:pPr>
      <w:r w:rsidRPr="0082175F">
        <w:rPr>
          <w:rFonts w:ascii="Verdana" w:hAnsi="Verdana"/>
          <w:sz w:val="16"/>
          <w:szCs w:val="16"/>
        </w:rPr>
        <w:t>Que el Estado realice con la mayor brevedad posible un análisis sobre la situación de riesgo de las personas beneficiarias y que se informe a las víctimas o sus representantes sobre la metodología y personal que realizará dicho análisis, el cual deberá hacerse con una perspectiva de género</w:t>
      </w:r>
      <w:r>
        <w:rPr>
          <w:rFonts w:ascii="Verdana" w:hAnsi="Verdana"/>
          <w:sz w:val="16"/>
          <w:szCs w:val="16"/>
        </w:rPr>
        <w:t xml:space="preserve"> […]</w:t>
      </w:r>
      <w:r w:rsidRPr="0082175F">
        <w:rPr>
          <w:rFonts w:ascii="Verdana" w:hAnsi="Verdana"/>
          <w:sz w:val="16"/>
          <w:szCs w:val="16"/>
        </w:rPr>
        <w:t xml:space="preserve">. </w:t>
      </w:r>
    </w:p>
    <w:p w14:paraId="63D8C739" w14:textId="77777777" w:rsidR="0082175F" w:rsidRPr="0082175F" w:rsidRDefault="0082175F" w:rsidP="0082175F">
      <w:pPr>
        <w:ind w:left="1260" w:right="540"/>
        <w:jc w:val="both"/>
        <w:rPr>
          <w:rFonts w:ascii="Verdana" w:hAnsi="Verdana"/>
          <w:sz w:val="16"/>
          <w:szCs w:val="16"/>
        </w:rPr>
      </w:pPr>
    </w:p>
    <w:p w14:paraId="193DA62D" w14:textId="2F340ADE" w:rsidR="0021598F" w:rsidRDefault="0082175F" w:rsidP="008747D5">
      <w:pPr>
        <w:numPr>
          <w:ilvl w:val="0"/>
          <w:numId w:val="3"/>
        </w:numPr>
        <w:ind w:right="540"/>
        <w:jc w:val="both"/>
        <w:rPr>
          <w:rFonts w:ascii="Verdana" w:hAnsi="Verdana"/>
          <w:sz w:val="16"/>
          <w:szCs w:val="16"/>
        </w:rPr>
      </w:pPr>
      <w:r w:rsidRPr="0082175F">
        <w:rPr>
          <w:rFonts w:ascii="Verdana" w:hAnsi="Verdana"/>
          <w:sz w:val="16"/>
          <w:szCs w:val="16"/>
        </w:rPr>
        <w:lastRenderedPageBreak/>
        <w:t>Que el Estado presente información completa y pormenorizada sobre las actuaciones realizadas para dar cumplimiento a las medidas provisionales decretadas</w:t>
      </w:r>
      <w:r>
        <w:rPr>
          <w:rFonts w:ascii="Verdana" w:hAnsi="Verdana"/>
          <w:sz w:val="16"/>
          <w:szCs w:val="16"/>
        </w:rPr>
        <w:t xml:space="preserve"> […]</w:t>
      </w:r>
      <w:r w:rsidRPr="0082175F">
        <w:rPr>
          <w:rFonts w:ascii="Verdana" w:hAnsi="Verdana"/>
          <w:sz w:val="16"/>
          <w:szCs w:val="16"/>
        </w:rPr>
        <w:t xml:space="preserve">. </w:t>
      </w:r>
    </w:p>
    <w:p w14:paraId="581A066A" w14:textId="77777777" w:rsidR="00147940" w:rsidRDefault="00147940" w:rsidP="00147940">
      <w:pPr>
        <w:pStyle w:val="ListParagraph"/>
        <w:rPr>
          <w:rFonts w:ascii="Verdana" w:hAnsi="Verdana"/>
          <w:sz w:val="16"/>
          <w:szCs w:val="16"/>
        </w:rPr>
      </w:pPr>
    </w:p>
    <w:p w14:paraId="5677E133" w14:textId="539C233D" w:rsidR="003C3DAD" w:rsidRPr="004D2A29" w:rsidRDefault="0082175F" w:rsidP="00C75287">
      <w:pPr>
        <w:numPr>
          <w:ilvl w:val="0"/>
          <w:numId w:val="1"/>
        </w:numPr>
        <w:autoSpaceDE w:val="0"/>
        <w:autoSpaceDN w:val="0"/>
        <w:adjustRightInd w:val="0"/>
        <w:ind w:left="0" w:firstLine="0"/>
        <w:jc w:val="both"/>
        <w:rPr>
          <w:rFonts w:ascii="Verdana" w:hAnsi="Verdana" w:cs="Verdana"/>
          <w:sz w:val="20"/>
          <w:szCs w:val="20"/>
        </w:rPr>
      </w:pPr>
      <w:r>
        <w:rPr>
          <w:rFonts w:ascii="Verdana" w:hAnsi="Verdana" w:cs="Verdana"/>
          <w:sz w:val="20"/>
          <w:szCs w:val="20"/>
        </w:rPr>
        <w:t>El escrito</w:t>
      </w:r>
      <w:r w:rsidR="003C3DAD" w:rsidRPr="004D2A29">
        <w:rPr>
          <w:rFonts w:ascii="Verdana" w:hAnsi="Verdana" w:cs="Verdana"/>
          <w:sz w:val="20"/>
          <w:szCs w:val="20"/>
        </w:rPr>
        <w:t xml:space="preserve"> de </w:t>
      </w:r>
      <w:r w:rsidR="004633CF" w:rsidRPr="004D2A29">
        <w:rPr>
          <w:rFonts w:ascii="Verdana" w:hAnsi="Verdana" w:cs="Verdana"/>
          <w:sz w:val="20"/>
          <w:szCs w:val="20"/>
        </w:rPr>
        <w:t>14</w:t>
      </w:r>
      <w:r w:rsidR="003C3DAD" w:rsidRPr="004D2A29">
        <w:rPr>
          <w:rFonts w:ascii="Verdana" w:hAnsi="Verdana" w:cs="Verdana"/>
          <w:sz w:val="20"/>
          <w:szCs w:val="20"/>
        </w:rPr>
        <w:t xml:space="preserve"> de </w:t>
      </w:r>
      <w:r>
        <w:rPr>
          <w:rFonts w:ascii="Verdana" w:hAnsi="Verdana" w:cs="Verdana"/>
          <w:sz w:val="20"/>
          <w:szCs w:val="20"/>
        </w:rPr>
        <w:t>febrero de 2018</w:t>
      </w:r>
      <w:r w:rsidR="004633CF" w:rsidRPr="004D2A29">
        <w:rPr>
          <w:rFonts w:ascii="Verdana" w:hAnsi="Verdana" w:cs="Verdana"/>
          <w:sz w:val="20"/>
          <w:szCs w:val="20"/>
        </w:rPr>
        <w:t>,</w:t>
      </w:r>
      <w:r w:rsidR="009818D0">
        <w:rPr>
          <w:rFonts w:ascii="Verdana" w:hAnsi="Verdana" w:cs="Verdana"/>
          <w:sz w:val="20"/>
          <w:szCs w:val="20"/>
        </w:rPr>
        <w:t xml:space="preserve"> </w:t>
      </w:r>
      <w:r w:rsidR="003C3DAD" w:rsidRPr="004D2A29">
        <w:rPr>
          <w:rFonts w:ascii="Verdana" w:hAnsi="Verdana" w:cs="Verdana"/>
          <w:sz w:val="20"/>
          <w:szCs w:val="20"/>
        </w:rPr>
        <w:t xml:space="preserve">mediante </w:t>
      </w:r>
      <w:r>
        <w:rPr>
          <w:rFonts w:ascii="Verdana" w:hAnsi="Verdana" w:cs="Verdana"/>
          <w:sz w:val="20"/>
          <w:szCs w:val="20"/>
        </w:rPr>
        <w:t xml:space="preserve">el </w:t>
      </w:r>
      <w:r w:rsidR="003C3DAD" w:rsidRPr="004D2A29">
        <w:rPr>
          <w:rFonts w:ascii="Verdana" w:hAnsi="Verdana" w:cs="Verdana"/>
          <w:sz w:val="20"/>
          <w:szCs w:val="20"/>
        </w:rPr>
        <w:t xml:space="preserve">cual el Centro de Derechos Humanos de las Mujeres (CEDEHM), la Comisión de Solidaridad y Defensa de los Derechos Humanos (COSYDDHAC) y el Centro de Derechos Humanos Paso del Norte, en su calidad de representantes de los beneficiarios (en </w:t>
      </w:r>
      <w:r w:rsidR="00B47F11">
        <w:rPr>
          <w:rFonts w:ascii="Verdana" w:hAnsi="Verdana" w:cs="Verdana"/>
          <w:sz w:val="20"/>
          <w:szCs w:val="20"/>
        </w:rPr>
        <w:t xml:space="preserve">adelante “los representantes”), </w:t>
      </w:r>
      <w:r w:rsidR="003C3DAD" w:rsidRPr="004D2A29">
        <w:rPr>
          <w:rFonts w:ascii="Verdana" w:hAnsi="Verdana" w:cs="Verdana"/>
          <w:sz w:val="20"/>
          <w:szCs w:val="20"/>
        </w:rPr>
        <w:t xml:space="preserve">presentaron </w:t>
      </w:r>
      <w:r w:rsidR="00B47F11">
        <w:rPr>
          <w:rFonts w:ascii="Verdana" w:hAnsi="Verdana" w:cs="Verdana"/>
          <w:sz w:val="20"/>
          <w:szCs w:val="20"/>
        </w:rPr>
        <w:t>la solicitud de ampliación de medidas provisionales a favor del menor A.G.A</w:t>
      </w:r>
      <w:r w:rsidR="003C3DAD" w:rsidRPr="004D2A29">
        <w:rPr>
          <w:rFonts w:ascii="Verdana" w:hAnsi="Verdana" w:cs="Verdana"/>
          <w:sz w:val="20"/>
          <w:szCs w:val="20"/>
        </w:rPr>
        <w:t>.</w:t>
      </w:r>
    </w:p>
    <w:p w14:paraId="5677E134" w14:textId="77777777" w:rsidR="003C3DAD" w:rsidRDefault="003C3DAD" w:rsidP="00C75287">
      <w:pPr>
        <w:autoSpaceDE w:val="0"/>
        <w:autoSpaceDN w:val="0"/>
        <w:adjustRightInd w:val="0"/>
        <w:jc w:val="both"/>
        <w:rPr>
          <w:rFonts w:ascii="Verdana" w:hAnsi="Verdana" w:cs="Verdana"/>
          <w:sz w:val="20"/>
          <w:szCs w:val="20"/>
        </w:rPr>
      </w:pPr>
    </w:p>
    <w:p w14:paraId="2B0DCB86" w14:textId="6B3D6F3A" w:rsidR="00347E10" w:rsidRDefault="00F7611B" w:rsidP="00C75287">
      <w:pPr>
        <w:pStyle w:val="ListParagraph"/>
        <w:numPr>
          <w:ilvl w:val="0"/>
          <w:numId w:val="1"/>
        </w:numPr>
        <w:autoSpaceDE w:val="0"/>
        <w:autoSpaceDN w:val="0"/>
        <w:adjustRightInd w:val="0"/>
        <w:ind w:left="0" w:firstLine="0"/>
        <w:jc w:val="both"/>
        <w:rPr>
          <w:rFonts w:ascii="Verdana" w:hAnsi="Verdana" w:cs="Verdana"/>
          <w:sz w:val="20"/>
          <w:szCs w:val="20"/>
        </w:rPr>
      </w:pPr>
      <w:r w:rsidRPr="0005405F">
        <w:rPr>
          <w:rFonts w:ascii="Verdana" w:hAnsi="Verdana" w:cs="Verdana"/>
          <w:sz w:val="20"/>
          <w:szCs w:val="20"/>
        </w:rPr>
        <w:t xml:space="preserve">El </w:t>
      </w:r>
      <w:r w:rsidR="003F010D" w:rsidRPr="0005405F">
        <w:rPr>
          <w:rFonts w:ascii="Verdana" w:hAnsi="Verdana" w:cs="Verdana"/>
          <w:sz w:val="20"/>
          <w:szCs w:val="20"/>
        </w:rPr>
        <w:t>escrito</w:t>
      </w:r>
      <w:r w:rsidRPr="0005405F">
        <w:rPr>
          <w:rFonts w:ascii="Verdana" w:hAnsi="Verdana" w:cs="Verdana"/>
          <w:sz w:val="20"/>
          <w:szCs w:val="20"/>
        </w:rPr>
        <w:t xml:space="preserve"> </w:t>
      </w:r>
      <w:r w:rsidR="00347E10" w:rsidRPr="0005405F">
        <w:rPr>
          <w:rFonts w:ascii="Verdana" w:hAnsi="Verdana" w:cs="Verdana"/>
          <w:sz w:val="20"/>
          <w:szCs w:val="20"/>
        </w:rPr>
        <w:t>de 22 de febr</w:t>
      </w:r>
      <w:r w:rsidR="003F010D" w:rsidRPr="0005405F">
        <w:rPr>
          <w:rFonts w:ascii="Verdana" w:hAnsi="Verdana" w:cs="Verdana"/>
          <w:sz w:val="20"/>
          <w:szCs w:val="20"/>
        </w:rPr>
        <w:t xml:space="preserve">ero de 2018, </w:t>
      </w:r>
      <w:r w:rsidR="0005405F" w:rsidRPr="00C75287">
        <w:rPr>
          <w:rFonts w:ascii="Verdana" w:hAnsi="Verdana" w:cs="Verdana"/>
          <w:sz w:val="20"/>
          <w:szCs w:val="20"/>
        </w:rPr>
        <w:t xml:space="preserve">mediante </w:t>
      </w:r>
      <w:r w:rsidR="003F010D" w:rsidRPr="0005405F">
        <w:rPr>
          <w:rFonts w:ascii="Verdana" w:hAnsi="Verdana" w:cs="Verdana"/>
          <w:sz w:val="20"/>
          <w:szCs w:val="20"/>
        </w:rPr>
        <w:t>el cual los Estados Unidos Mexicanos (en adelante “el Estado” o “México”) presentó</w:t>
      </w:r>
      <w:r w:rsidR="0005405F">
        <w:rPr>
          <w:rFonts w:ascii="Verdana" w:hAnsi="Verdana" w:cs="Verdana"/>
          <w:sz w:val="20"/>
          <w:szCs w:val="20"/>
        </w:rPr>
        <w:t xml:space="preserve"> </w:t>
      </w:r>
      <w:r w:rsidR="00675B59">
        <w:rPr>
          <w:rFonts w:ascii="Verdana" w:hAnsi="Verdana" w:cs="Verdana"/>
          <w:sz w:val="20"/>
          <w:szCs w:val="20"/>
        </w:rPr>
        <w:t>un</w:t>
      </w:r>
      <w:r w:rsidR="003F010D" w:rsidRPr="0005405F">
        <w:rPr>
          <w:rFonts w:ascii="Verdana" w:hAnsi="Verdana" w:cs="Verdana"/>
          <w:sz w:val="20"/>
          <w:szCs w:val="20"/>
        </w:rPr>
        <w:t xml:space="preserve"> informe sobre la implementación de las medidas </w:t>
      </w:r>
      <w:r w:rsidR="00E5049F" w:rsidRPr="0005405F">
        <w:rPr>
          <w:rFonts w:ascii="Verdana" w:hAnsi="Verdana" w:cs="Verdana"/>
          <w:sz w:val="20"/>
          <w:szCs w:val="20"/>
        </w:rPr>
        <w:t xml:space="preserve">de protección </w:t>
      </w:r>
      <w:r w:rsidR="009E4178" w:rsidRPr="0005405F">
        <w:rPr>
          <w:rFonts w:ascii="Verdana" w:hAnsi="Verdana" w:cs="Verdana"/>
          <w:sz w:val="20"/>
          <w:szCs w:val="20"/>
        </w:rPr>
        <w:t xml:space="preserve">adoptadas </w:t>
      </w:r>
      <w:r w:rsidR="002A402B">
        <w:rPr>
          <w:rFonts w:ascii="Verdana" w:hAnsi="Verdana" w:cs="Verdana"/>
          <w:sz w:val="20"/>
          <w:szCs w:val="20"/>
        </w:rPr>
        <w:t xml:space="preserve">en favor de </w:t>
      </w:r>
      <w:r w:rsidR="00157462">
        <w:rPr>
          <w:rFonts w:ascii="Verdana" w:hAnsi="Verdana" w:cs="Verdana"/>
          <w:sz w:val="20"/>
          <w:szCs w:val="20"/>
        </w:rPr>
        <w:t>F.A.H</w:t>
      </w:r>
      <w:r w:rsidR="00854BD6" w:rsidRPr="00C75287">
        <w:rPr>
          <w:rFonts w:ascii="Verdana" w:hAnsi="Verdana" w:cs="Verdana"/>
          <w:sz w:val="20"/>
          <w:szCs w:val="20"/>
        </w:rPr>
        <w:t>,</w:t>
      </w:r>
      <w:r w:rsidR="009E4178" w:rsidRPr="0005405F">
        <w:rPr>
          <w:rFonts w:ascii="Verdana" w:hAnsi="Verdana" w:cs="Verdana"/>
          <w:sz w:val="20"/>
          <w:szCs w:val="20"/>
        </w:rPr>
        <w:t xml:space="preserve"> así como sus observaciones con relación a la solicitud de ampliaci</w:t>
      </w:r>
      <w:r w:rsidR="00854BD6" w:rsidRPr="00C75287">
        <w:rPr>
          <w:rFonts w:ascii="Verdana" w:hAnsi="Verdana" w:cs="Verdana"/>
          <w:sz w:val="20"/>
          <w:szCs w:val="20"/>
        </w:rPr>
        <w:t>ón de medidas provisionales</w:t>
      </w:r>
      <w:r w:rsidR="009E4178" w:rsidRPr="0005405F">
        <w:rPr>
          <w:rFonts w:ascii="Verdana" w:hAnsi="Verdana" w:cs="Verdana"/>
          <w:sz w:val="20"/>
          <w:szCs w:val="20"/>
        </w:rPr>
        <w:t xml:space="preserve"> solicitada por los representantes. </w:t>
      </w:r>
    </w:p>
    <w:p w14:paraId="7A8F0382" w14:textId="77777777" w:rsidR="00A25390" w:rsidRPr="00C45913" w:rsidRDefault="00A25390" w:rsidP="00C45913">
      <w:pPr>
        <w:pStyle w:val="ListParagraph"/>
        <w:rPr>
          <w:rFonts w:ascii="Verdana" w:hAnsi="Verdana" w:cs="Verdana"/>
          <w:sz w:val="20"/>
          <w:szCs w:val="20"/>
        </w:rPr>
      </w:pPr>
    </w:p>
    <w:p w14:paraId="2EE1E44D" w14:textId="4B73A9FC" w:rsidR="00A25390" w:rsidRDefault="00A25390" w:rsidP="00C45913">
      <w:pPr>
        <w:pStyle w:val="ListParagraph"/>
        <w:numPr>
          <w:ilvl w:val="0"/>
          <w:numId w:val="1"/>
        </w:numPr>
        <w:autoSpaceDE w:val="0"/>
        <w:autoSpaceDN w:val="0"/>
        <w:adjustRightInd w:val="0"/>
        <w:ind w:left="0" w:firstLine="0"/>
        <w:jc w:val="both"/>
        <w:rPr>
          <w:rFonts w:ascii="Verdana" w:hAnsi="Verdana" w:cs="Verdana"/>
          <w:sz w:val="20"/>
          <w:szCs w:val="20"/>
        </w:rPr>
      </w:pPr>
      <w:r>
        <w:rPr>
          <w:rFonts w:ascii="Verdana" w:hAnsi="Verdana" w:cs="Verdana"/>
          <w:sz w:val="20"/>
          <w:szCs w:val="20"/>
        </w:rPr>
        <w:t xml:space="preserve">El escrito de 28 de febrero de 2018, </w:t>
      </w:r>
      <w:r w:rsidR="00C45913">
        <w:rPr>
          <w:rFonts w:ascii="Verdana" w:hAnsi="Verdana" w:cs="Verdana"/>
          <w:sz w:val="20"/>
          <w:szCs w:val="20"/>
        </w:rPr>
        <w:t xml:space="preserve">mediante </w:t>
      </w:r>
      <w:r>
        <w:rPr>
          <w:rFonts w:ascii="Verdana" w:hAnsi="Verdana" w:cs="Verdana"/>
          <w:sz w:val="20"/>
          <w:szCs w:val="20"/>
        </w:rPr>
        <w:t>el cual la Comisión</w:t>
      </w:r>
      <w:r w:rsidR="00886A3D">
        <w:rPr>
          <w:rFonts w:ascii="Verdana" w:hAnsi="Verdana" w:cs="Verdana"/>
          <w:sz w:val="20"/>
          <w:szCs w:val="20"/>
        </w:rPr>
        <w:t xml:space="preserve"> Interamericana de Derechos Humanos (en adelante “la Comisión” o “la Comisión Interamericana”)</w:t>
      </w:r>
      <w:r>
        <w:rPr>
          <w:rFonts w:ascii="Verdana" w:hAnsi="Verdana" w:cs="Verdana"/>
          <w:sz w:val="20"/>
          <w:szCs w:val="20"/>
        </w:rPr>
        <w:t xml:space="preserve"> remitió sus observaciones al informe del Estado sobre la implementación de las medidas de protección adoptadas con motivo del homicidio de F</w:t>
      </w:r>
      <w:r w:rsidR="00157462">
        <w:rPr>
          <w:rFonts w:ascii="Verdana" w:hAnsi="Verdana" w:cs="Verdana"/>
          <w:sz w:val="20"/>
          <w:szCs w:val="20"/>
        </w:rPr>
        <w:t>.A.H.</w:t>
      </w:r>
    </w:p>
    <w:p w14:paraId="0D83979C" w14:textId="77777777" w:rsidR="00A25390" w:rsidRPr="00C45913" w:rsidRDefault="00A25390" w:rsidP="00C45913">
      <w:pPr>
        <w:pStyle w:val="ListParagraph"/>
        <w:rPr>
          <w:rFonts w:ascii="Verdana" w:hAnsi="Verdana" w:cs="Verdana"/>
          <w:sz w:val="20"/>
          <w:szCs w:val="20"/>
        </w:rPr>
      </w:pPr>
    </w:p>
    <w:p w14:paraId="345A7692" w14:textId="5CAD024A" w:rsidR="00A25390" w:rsidRPr="00C45913" w:rsidRDefault="00A25390" w:rsidP="00C45913">
      <w:pPr>
        <w:pStyle w:val="ListParagraph"/>
        <w:numPr>
          <w:ilvl w:val="0"/>
          <w:numId w:val="1"/>
        </w:numPr>
        <w:ind w:left="0" w:firstLine="0"/>
        <w:jc w:val="both"/>
        <w:rPr>
          <w:rFonts w:ascii="Verdana" w:hAnsi="Verdana" w:cs="Verdana"/>
          <w:sz w:val="20"/>
          <w:szCs w:val="20"/>
          <w:lang w:val="es-MX"/>
        </w:rPr>
      </w:pPr>
      <w:r>
        <w:rPr>
          <w:rFonts w:ascii="Verdana" w:hAnsi="Verdana" w:cs="Verdana"/>
          <w:sz w:val="20"/>
          <w:szCs w:val="20"/>
        </w:rPr>
        <w:t>El escrito de 1 de marzo de 2018</w:t>
      </w:r>
      <w:r w:rsidR="00CE1261">
        <w:rPr>
          <w:rFonts w:ascii="Verdana" w:hAnsi="Verdana" w:cs="Verdana"/>
          <w:sz w:val="20"/>
          <w:szCs w:val="20"/>
        </w:rPr>
        <w:t>, mediante el cual</w:t>
      </w:r>
      <w:r>
        <w:rPr>
          <w:rFonts w:ascii="Verdana" w:hAnsi="Verdana" w:cs="Verdana"/>
          <w:sz w:val="20"/>
          <w:szCs w:val="20"/>
        </w:rPr>
        <w:t xml:space="preserve"> los representantes presentaron sus observaciones </w:t>
      </w:r>
      <w:r w:rsidRPr="00C45913">
        <w:rPr>
          <w:rFonts w:ascii="Verdana" w:hAnsi="Verdana" w:cs="Verdana"/>
          <w:sz w:val="20"/>
          <w:szCs w:val="20"/>
          <w:lang w:val="es-MX"/>
        </w:rPr>
        <w:t>respecto del informe del Estado</w:t>
      </w:r>
      <w:r>
        <w:rPr>
          <w:rFonts w:ascii="Verdana" w:hAnsi="Verdana" w:cs="Verdana"/>
          <w:sz w:val="20"/>
          <w:szCs w:val="20"/>
          <w:lang w:val="es-MX"/>
        </w:rPr>
        <w:t xml:space="preserve"> sobre la implementación de </w:t>
      </w:r>
      <w:r w:rsidRPr="00A25390">
        <w:rPr>
          <w:rFonts w:ascii="Verdana" w:hAnsi="Verdana" w:cs="Verdana"/>
          <w:sz w:val="20"/>
          <w:szCs w:val="20"/>
        </w:rPr>
        <w:t xml:space="preserve">las medidas de protección adoptadas con motivo del </w:t>
      </w:r>
      <w:r>
        <w:rPr>
          <w:rFonts w:ascii="Verdana" w:hAnsi="Verdana" w:cs="Verdana"/>
          <w:sz w:val="20"/>
          <w:szCs w:val="20"/>
        </w:rPr>
        <w:t>asesinato</w:t>
      </w:r>
      <w:r w:rsidRPr="00A25390">
        <w:rPr>
          <w:rFonts w:ascii="Verdana" w:hAnsi="Verdana" w:cs="Verdana"/>
          <w:sz w:val="20"/>
          <w:szCs w:val="20"/>
        </w:rPr>
        <w:t xml:space="preserve"> de</w:t>
      </w:r>
      <w:r w:rsidR="00CE1261">
        <w:rPr>
          <w:rFonts w:ascii="Verdana" w:hAnsi="Verdana" w:cs="Verdana"/>
          <w:sz w:val="20"/>
          <w:szCs w:val="20"/>
        </w:rPr>
        <w:t xml:space="preserve"> F.A.H.</w:t>
      </w:r>
      <w:r w:rsidRPr="00A25390">
        <w:rPr>
          <w:rFonts w:ascii="Verdana" w:hAnsi="Verdana" w:cs="Verdana"/>
          <w:sz w:val="20"/>
          <w:szCs w:val="20"/>
        </w:rPr>
        <w:t xml:space="preserve"> y </w:t>
      </w:r>
      <w:r w:rsidR="00F04830">
        <w:rPr>
          <w:rFonts w:ascii="Verdana" w:hAnsi="Verdana" w:cs="Verdana"/>
          <w:sz w:val="20"/>
          <w:szCs w:val="20"/>
        </w:rPr>
        <w:t xml:space="preserve">con relación a </w:t>
      </w:r>
      <w:r w:rsidRPr="00A25390">
        <w:rPr>
          <w:rFonts w:ascii="Verdana" w:hAnsi="Verdana" w:cs="Verdana"/>
          <w:sz w:val="20"/>
          <w:szCs w:val="20"/>
        </w:rPr>
        <w:t>la solicitud de ampliación de medidas provisionales en favor del menor A.G.A.</w:t>
      </w:r>
    </w:p>
    <w:p w14:paraId="7E98D0BD" w14:textId="3BFAB24D" w:rsidR="00F04830" w:rsidRDefault="00F7611B" w:rsidP="00960E80">
      <w:pPr>
        <w:autoSpaceDE w:val="0"/>
        <w:autoSpaceDN w:val="0"/>
        <w:adjustRightInd w:val="0"/>
        <w:ind w:right="19"/>
        <w:jc w:val="both"/>
      </w:pPr>
      <w:r w:rsidRPr="00C75287">
        <w:rPr>
          <w:rFonts w:ascii="Verdana" w:hAnsi="Verdana" w:cs="Verdana"/>
          <w:sz w:val="20"/>
          <w:szCs w:val="20"/>
        </w:rPr>
        <w:t xml:space="preserve"> </w:t>
      </w:r>
    </w:p>
    <w:p w14:paraId="5677E13B" w14:textId="77777777" w:rsidR="00EB4828" w:rsidRDefault="00EB4828" w:rsidP="00EB4828">
      <w:pPr>
        <w:pStyle w:val="Heading4"/>
        <w:spacing w:before="0" w:after="0"/>
        <w:rPr>
          <w:rFonts w:ascii="Verdana" w:hAnsi="Verdana" w:cs="Verdana"/>
          <w:caps/>
          <w:sz w:val="20"/>
          <w:szCs w:val="20"/>
        </w:rPr>
      </w:pPr>
      <w:r w:rsidRPr="00606305">
        <w:rPr>
          <w:rFonts w:ascii="Verdana" w:hAnsi="Verdana" w:cs="Verdana"/>
          <w:caps/>
          <w:sz w:val="20"/>
          <w:szCs w:val="20"/>
        </w:rPr>
        <w:t>Considerando que:</w:t>
      </w:r>
    </w:p>
    <w:p w14:paraId="5677E13C" w14:textId="77777777" w:rsidR="003D3466" w:rsidRPr="00606305" w:rsidRDefault="003D3466" w:rsidP="003D3466">
      <w:pPr>
        <w:jc w:val="both"/>
        <w:rPr>
          <w:rFonts w:ascii="Verdana" w:hAnsi="Verdana" w:cs="Verdana"/>
          <w:sz w:val="20"/>
          <w:szCs w:val="20"/>
        </w:rPr>
      </w:pPr>
    </w:p>
    <w:p w14:paraId="1DD5ACB0" w14:textId="0831670A" w:rsidR="00DF088C" w:rsidRDefault="00DF088C" w:rsidP="00041C22">
      <w:pPr>
        <w:numPr>
          <w:ilvl w:val="0"/>
          <w:numId w:val="19"/>
        </w:numPr>
        <w:autoSpaceDE w:val="0"/>
        <w:autoSpaceDN w:val="0"/>
        <w:adjustRightInd w:val="0"/>
        <w:ind w:left="0" w:right="19" w:firstLine="0"/>
        <w:jc w:val="both"/>
        <w:rPr>
          <w:rFonts w:ascii="Verdana" w:hAnsi="Verdana" w:cs="Verdana"/>
          <w:sz w:val="20"/>
          <w:szCs w:val="20"/>
        </w:rPr>
      </w:pPr>
      <w:r w:rsidRPr="00DF088C">
        <w:rPr>
          <w:rFonts w:ascii="Verdana" w:hAnsi="Verdana" w:cs="Verdana"/>
          <w:sz w:val="20"/>
          <w:szCs w:val="20"/>
        </w:rPr>
        <w:t>México es Estado Parte en la Convención Americana sobre Derechos Humanos (en adelante “la Convención Americana” o “la Convención”) desde el 24 de marzo de 1981 y, de acuerdo con el artículo 62 de la misma, reconoció la competencia contenciosa de la Corte el 16 de diciembre de 1998.</w:t>
      </w:r>
    </w:p>
    <w:p w14:paraId="5FDE3D68" w14:textId="77777777" w:rsidR="00DF088C" w:rsidRPr="00F22AD2" w:rsidRDefault="00DF088C" w:rsidP="00DF088C">
      <w:pPr>
        <w:autoSpaceDE w:val="0"/>
        <w:autoSpaceDN w:val="0"/>
        <w:adjustRightInd w:val="0"/>
        <w:ind w:right="19"/>
        <w:jc w:val="both"/>
        <w:rPr>
          <w:rFonts w:ascii="Verdana" w:hAnsi="Verdana" w:cs="Verdana"/>
          <w:sz w:val="20"/>
          <w:szCs w:val="20"/>
        </w:rPr>
      </w:pPr>
    </w:p>
    <w:p w14:paraId="271123E9" w14:textId="77777777" w:rsidR="00953CDC" w:rsidRPr="00953CDC" w:rsidRDefault="000D6D52" w:rsidP="00953CDC">
      <w:pPr>
        <w:numPr>
          <w:ilvl w:val="0"/>
          <w:numId w:val="19"/>
        </w:numPr>
        <w:autoSpaceDE w:val="0"/>
        <w:autoSpaceDN w:val="0"/>
        <w:adjustRightInd w:val="0"/>
        <w:spacing w:line="242" w:lineRule="exact"/>
        <w:ind w:left="0" w:right="19" w:firstLine="0"/>
        <w:jc w:val="both"/>
        <w:rPr>
          <w:b/>
          <w:bCs/>
          <w:sz w:val="20"/>
          <w:szCs w:val="20"/>
          <w:lang w:val="es-ES"/>
        </w:rPr>
      </w:pPr>
      <w:r w:rsidRPr="0003328F">
        <w:rPr>
          <w:rFonts w:ascii="Verdana" w:hAnsi="Verdana"/>
          <w:sz w:val="20"/>
          <w:szCs w:val="20"/>
          <w:lang w:val="es-CR"/>
        </w:rPr>
        <w:t>El artículo 63.2 de la Convención Americana dispone que, “[e]n casos de extrema gravedad y urgencia, y cuando se haga necesario evitar daños irreparables</w:t>
      </w:r>
      <w:r w:rsidRPr="00CC6582">
        <w:rPr>
          <w:rFonts w:ascii="Verdana" w:hAnsi="Verdana"/>
          <w:sz w:val="20"/>
          <w:szCs w:val="20"/>
          <w:lang w:val="es-CR"/>
        </w:rPr>
        <w:t xml:space="preserve"> a las persona</w:t>
      </w:r>
      <w:r w:rsidRPr="00C51978">
        <w:rPr>
          <w:rFonts w:ascii="Verdana" w:hAnsi="Verdana"/>
          <w:sz w:val="20"/>
          <w:szCs w:val="20"/>
          <w:lang w:val="es-CR"/>
        </w:rPr>
        <w:t>s, la Corte, en los asuntos que esté conociendo, podrá tomar las medidas provisionales que considere pertinentes. Si se tratare de asuntos que aún no estén sometidos a su conocimiento, podrá act</w:t>
      </w:r>
      <w:r w:rsidR="00A60901" w:rsidRPr="00C51978">
        <w:rPr>
          <w:rFonts w:ascii="Verdana" w:hAnsi="Verdana"/>
          <w:sz w:val="20"/>
          <w:szCs w:val="20"/>
          <w:lang w:val="es-CR"/>
        </w:rPr>
        <w:t>uar a solicitud de la Comisión”</w:t>
      </w:r>
      <w:r w:rsidRPr="00F22AD2">
        <w:rPr>
          <w:rStyle w:val="FootnoteReference"/>
          <w:sz w:val="20"/>
          <w:szCs w:val="20"/>
        </w:rPr>
        <w:footnoteReference w:id="2"/>
      </w:r>
      <w:r w:rsidRPr="0003328F">
        <w:rPr>
          <w:rFonts w:ascii="Verdana" w:hAnsi="Verdana"/>
          <w:sz w:val="20"/>
          <w:szCs w:val="20"/>
          <w:lang w:val="es-ES"/>
        </w:rPr>
        <w:t>.</w:t>
      </w:r>
      <w:r w:rsidR="00F2763F" w:rsidRPr="00CC6582">
        <w:rPr>
          <w:rFonts w:ascii="Verdana" w:hAnsi="Verdana"/>
          <w:sz w:val="20"/>
          <w:szCs w:val="20"/>
          <w:lang w:val="es-ES"/>
        </w:rPr>
        <w:t xml:space="preserve"> </w:t>
      </w:r>
    </w:p>
    <w:p w14:paraId="7DEF2E7D" w14:textId="77777777" w:rsidR="00953CDC" w:rsidRDefault="00953CDC" w:rsidP="00953CDC">
      <w:pPr>
        <w:autoSpaceDE w:val="0"/>
        <w:autoSpaceDN w:val="0"/>
        <w:adjustRightInd w:val="0"/>
        <w:spacing w:line="242" w:lineRule="exact"/>
        <w:ind w:right="19"/>
        <w:jc w:val="both"/>
        <w:rPr>
          <w:b/>
          <w:bCs/>
          <w:sz w:val="20"/>
          <w:szCs w:val="20"/>
          <w:lang w:val="es-ES"/>
        </w:rPr>
      </w:pPr>
    </w:p>
    <w:p w14:paraId="1441F7A9" w14:textId="579B5A97" w:rsidR="00953CDC" w:rsidRPr="00953CDC" w:rsidRDefault="00953CDC" w:rsidP="00953CDC">
      <w:pPr>
        <w:numPr>
          <w:ilvl w:val="0"/>
          <w:numId w:val="19"/>
        </w:numPr>
        <w:autoSpaceDE w:val="0"/>
        <w:autoSpaceDN w:val="0"/>
        <w:adjustRightInd w:val="0"/>
        <w:spacing w:line="242" w:lineRule="exact"/>
        <w:ind w:left="0" w:right="19" w:firstLine="0"/>
        <w:jc w:val="both"/>
        <w:rPr>
          <w:rFonts w:ascii="Verdana" w:hAnsi="Verdana"/>
          <w:b/>
          <w:bCs/>
          <w:sz w:val="20"/>
          <w:szCs w:val="20"/>
          <w:lang w:val="es-ES"/>
        </w:rPr>
      </w:pPr>
      <w:r w:rsidRPr="00953CDC">
        <w:rPr>
          <w:rFonts w:ascii="Verdana" w:hAnsi="Verdana"/>
          <w:sz w:val="20"/>
          <w:szCs w:val="20"/>
        </w:rPr>
        <w:t>En el Derecho Internacional de los Derechos Humanos las medidas provisionales tienen un carácter no sólo cautelar, en el sentido de que preservan una situación jurídica, sino fundamentalmente tutelar, por cuanto protegen derechos humanos, en tanto que buscan evitar daños irreparables a las personas. Éstas se aplican siempre y cuando se reúnan los requisitos básicos de extrema gravedad y urgencia y de la prevención de daños irreparables a las personas. De esta manera, las medidas provisionales se transforman en una verdadera garantía jurisdiccional de carácter preventivo</w:t>
      </w:r>
      <w:r w:rsidRPr="00953CDC">
        <w:rPr>
          <w:rStyle w:val="FootnoteReference"/>
          <w:sz w:val="20"/>
          <w:szCs w:val="20"/>
        </w:rPr>
        <w:footnoteReference w:id="3"/>
      </w:r>
      <w:r w:rsidRPr="00953CDC">
        <w:rPr>
          <w:rFonts w:ascii="Verdana" w:hAnsi="Verdana"/>
          <w:sz w:val="20"/>
          <w:szCs w:val="20"/>
        </w:rPr>
        <w:t xml:space="preserve">. </w:t>
      </w:r>
    </w:p>
    <w:p w14:paraId="5BD7773B" w14:textId="77777777" w:rsidR="00953CDC" w:rsidRPr="00953CDC" w:rsidRDefault="00953CDC" w:rsidP="00953CDC">
      <w:pPr>
        <w:autoSpaceDE w:val="0"/>
        <w:autoSpaceDN w:val="0"/>
        <w:adjustRightInd w:val="0"/>
        <w:spacing w:line="242" w:lineRule="exact"/>
        <w:ind w:right="19"/>
        <w:jc w:val="both"/>
        <w:rPr>
          <w:b/>
          <w:bCs/>
          <w:sz w:val="20"/>
          <w:szCs w:val="20"/>
          <w:lang w:val="es-ES"/>
        </w:rPr>
      </w:pPr>
    </w:p>
    <w:p w14:paraId="28E0F61A" w14:textId="6DFA1C50" w:rsidR="002A402B" w:rsidRDefault="00953CDC" w:rsidP="00C75287">
      <w:pPr>
        <w:numPr>
          <w:ilvl w:val="0"/>
          <w:numId w:val="19"/>
        </w:numPr>
        <w:autoSpaceDE w:val="0"/>
        <w:autoSpaceDN w:val="0"/>
        <w:adjustRightInd w:val="0"/>
        <w:spacing w:line="242" w:lineRule="exact"/>
        <w:ind w:left="0" w:right="19" w:firstLine="0"/>
        <w:jc w:val="both"/>
        <w:rPr>
          <w:rStyle w:val="Strong"/>
          <w:rFonts w:ascii="Verdana" w:hAnsi="Verdana"/>
          <w:sz w:val="20"/>
          <w:szCs w:val="20"/>
          <w:lang w:val="es-ES"/>
        </w:rPr>
      </w:pPr>
      <w:r w:rsidRPr="00953CDC">
        <w:rPr>
          <w:rFonts w:ascii="Verdana" w:hAnsi="Verdana" w:cs="Verdana"/>
          <w:bCs/>
          <w:color w:val="000000"/>
          <w:sz w:val="20"/>
          <w:szCs w:val="20"/>
        </w:rPr>
        <w:lastRenderedPageBreak/>
        <w:t xml:space="preserve">En vista de la información remitida, a continuación la Corte se pronunciará sobre la </w:t>
      </w:r>
      <w:r w:rsidR="00295B96">
        <w:rPr>
          <w:rFonts w:ascii="Verdana" w:hAnsi="Verdana" w:cs="Verdana"/>
          <w:bCs/>
          <w:color w:val="000000"/>
          <w:sz w:val="20"/>
          <w:szCs w:val="20"/>
        </w:rPr>
        <w:t xml:space="preserve">muerte de F.A. H. y la </w:t>
      </w:r>
      <w:r w:rsidRPr="00953CDC">
        <w:rPr>
          <w:rFonts w:ascii="Verdana" w:hAnsi="Verdana" w:cs="Verdana"/>
          <w:bCs/>
          <w:color w:val="000000"/>
          <w:sz w:val="20"/>
          <w:szCs w:val="20"/>
        </w:rPr>
        <w:t>solicitud de ampliación de las medidas provisionales en favor de</w:t>
      </w:r>
      <w:r w:rsidR="00960F3A">
        <w:rPr>
          <w:rFonts w:ascii="Verdana" w:hAnsi="Verdana" w:cs="Verdana"/>
          <w:bCs/>
          <w:color w:val="000000"/>
          <w:sz w:val="20"/>
          <w:szCs w:val="20"/>
        </w:rPr>
        <w:t>l menor</w:t>
      </w:r>
      <w:r>
        <w:rPr>
          <w:rFonts w:ascii="Verdana" w:hAnsi="Verdana" w:cs="Verdana"/>
          <w:bCs/>
          <w:color w:val="000000"/>
          <w:sz w:val="20"/>
          <w:szCs w:val="20"/>
        </w:rPr>
        <w:t xml:space="preserve"> A.G.A., hijo de Rosa Olivia Alvarado Herrera y Félix García. </w:t>
      </w:r>
    </w:p>
    <w:p w14:paraId="229741C9" w14:textId="76009814" w:rsidR="004F57A2" w:rsidRPr="00C75287" w:rsidRDefault="004F57A2" w:rsidP="0022462A">
      <w:pPr>
        <w:ind w:right="4"/>
        <w:jc w:val="both"/>
        <w:rPr>
          <w:rFonts w:ascii="Verdana" w:hAnsi="Verdana"/>
          <w:sz w:val="20"/>
          <w:szCs w:val="20"/>
          <w:lang w:val="es-CR"/>
        </w:rPr>
      </w:pPr>
    </w:p>
    <w:p w14:paraId="14DD0C13" w14:textId="0FD7268A" w:rsidR="003F5DCA" w:rsidRDefault="002D1D93" w:rsidP="003F5DCA">
      <w:pPr>
        <w:ind w:left="720"/>
        <w:jc w:val="both"/>
        <w:rPr>
          <w:rFonts w:ascii="Verdana" w:hAnsi="Verdana"/>
          <w:b/>
          <w:i/>
          <w:sz w:val="20"/>
          <w:szCs w:val="20"/>
        </w:rPr>
      </w:pPr>
      <w:r>
        <w:rPr>
          <w:rFonts w:ascii="Verdana" w:hAnsi="Verdana"/>
          <w:b/>
          <w:i/>
          <w:sz w:val="20"/>
          <w:szCs w:val="20"/>
        </w:rPr>
        <w:t>A</w:t>
      </w:r>
      <w:r w:rsidR="009E407B">
        <w:rPr>
          <w:rFonts w:ascii="Verdana" w:hAnsi="Verdana"/>
          <w:b/>
          <w:i/>
          <w:sz w:val="20"/>
          <w:szCs w:val="20"/>
        </w:rPr>
        <w:t xml:space="preserve">) </w:t>
      </w:r>
      <w:r w:rsidR="00B41CAC">
        <w:rPr>
          <w:rFonts w:ascii="Verdana" w:hAnsi="Verdana"/>
          <w:b/>
          <w:i/>
          <w:sz w:val="20"/>
          <w:szCs w:val="20"/>
        </w:rPr>
        <w:t>S</w:t>
      </w:r>
      <w:r w:rsidR="000F7B93">
        <w:rPr>
          <w:rFonts w:ascii="Verdana" w:hAnsi="Verdana"/>
          <w:b/>
          <w:i/>
          <w:sz w:val="20"/>
          <w:szCs w:val="20"/>
        </w:rPr>
        <w:t>o</w:t>
      </w:r>
      <w:r w:rsidR="00B41CAC">
        <w:rPr>
          <w:rFonts w:ascii="Verdana" w:hAnsi="Verdana"/>
          <w:b/>
          <w:i/>
          <w:sz w:val="20"/>
          <w:szCs w:val="20"/>
        </w:rPr>
        <w:t>bre la muerte de F.A.H y la s</w:t>
      </w:r>
      <w:r w:rsidR="00953CDC">
        <w:rPr>
          <w:rFonts w:ascii="Verdana" w:hAnsi="Verdana"/>
          <w:b/>
          <w:i/>
          <w:sz w:val="20"/>
          <w:szCs w:val="20"/>
        </w:rPr>
        <w:t>olicitud de ampliación de medidas provisionales</w:t>
      </w:r>
    </w:p>
    <w:p w14:paraId="7F24EA53" w14:textId="77777777" w:rsidR="003F5DCA" w:rsidRPr="00C93AFA" w:rsidRDefault="003F5DCA" w:rsidP="003F5DCA">
      <w:pPr>
        <w:ind w:left="720"/>
        <w:jc w:val="both"/>
        <w:rPr>
          <w:rFonts w:ascii="Verdana" w:hAnsi="Verdana"/>
          <w:b/>
          <w:i/>
          <w:sz w:val="20"/>
          <w:szCs w:val="20"/>
        </w:rPr>
      </w:pPr>
    </w:p>
    <w:p w14:paraId="0AA26A37" w14:textId="28E0A5DD" w:rsidR="00C75F0B" w:rsidRPr="00C75F0B" w:rsidRDefault="00953CDC" w:rsidP="00C75F0B">
      <w:pPr>
        <w:pStyle w:val="ListParagraph"/>
        <w:numPr>
          <w:ilvl w:val="0"/>
          <w:numId w:val="19"/>
        </w:numPr>
        <w:ind w:left="0" w:right="19" w:firstLine="0"/>
        <w:jc w:val="both"/>
        <w:rPr>
          <w:rFonts w:ascii="Verdana" w:hAnsi="Verdana"/>
          <w:sz w:val="20"/>
        </w:rPr>
      </w:pPr>
      <w:r w:rsidRPr="00C75F0B">
        <w:rPr>
          <w:rFonts w:ascii="Verdana" w:hAnsi="Verdana"/>
          <w:sz w:val="20"/>
          <w:szCs w:val="20"/>
        </w:rPr>
        <w:t xml:space="preserve">Los </w:t>
      </w:r>
      <w:r w:rsidRPr="00C75F0B">
        <w:rPr>
          <w:rFonts w:ascii="Verdana" w:hAnsi="Verdana"/>
          <w:b/>
          <w:i/>
          <w:sz w:val="20"/>
          <w:szCs w:val="20"/>
        </w:rPr>
        <w:t>representantes</w:t>
      </w:r>
      <w:r w:rsidRPr="00C75F0B">
        <w:rPr>
          <w:rFonts w:ascii="Verdana" w:hAnsi="Verdana"/>
          <w:b/>
          <w:sz w:val="20"/>
          <w:szCs w:val="20"/>
        </w:rPr>
        <w:t xml:space="preserve"> </w:t>
      </w:r>
      <w:r w:rsidRPr="00C75F0B">
        <w:rPr>
          <w:rFonts w:ascii="Verdana" w:hAnsi="Verdana"/>
          <w:sz w:val="20"/>
          <w:szCs w:val="20"/>
        </w:rPr>
        <w:t>hicieron del conocimiento del Tribunal que el día 6 de febrero de 2018 el beneficiario F.A.H (hijo de Rosa Olivia Alvarado Herrera y Félix García)</w:t>
      </w:r>
      <w:r w:rsidR="00C75F0B" w:rsidRPr="00C75F0B">
        <w:rPr>
          <w:rFonts w:ascii="Verdana" w:hAnsi="Verdana"/>
          <w:sz w:val="20"/>
          <w:szCs w:val="20"/>
        </w:rPr>
        <w:t xml:space="preserve"> </w:t>
      </w:r>
      <w:r w:rsidR="00C75F0B" w:rsidRPr="00C75F0B">
        <w:rPr>
          <w:rFonts w:ascii="Verdana" w:hAnsi="Verdana"/>
          <w:sz w:val="20"/>
          <w:szCs w:val="20"/>
          <w:lang w:val="es-CR"/>
        </w:rPr>
        <w:t>se encontraba en su carro en compañía de su cuñado Marco Eduardo Ruiz Torres y de su hijo Dylan Alvarado, cuando a</w:t>
      </w:r>
      <w:r w:rsidR="00C75F0B" w:rsidRPr="00C75F0B">
        <w:rPr>
          <w:rFonts w:ascii="Verdana" w:hAnsi="Verdana" w:cs="Arial"/>
          <w:sz w:val="20"/>
          <w:szCs w:val="20"/>
          <w:lang w:val="es-CR" w:eastAsia="en-US"/>
        </w:rPr>
        <w:t>proximadamente a las 13:40 horas se empezaron a escuchar disparos cerca de la casa de F.A.H</w:t>
      </w:r>
      <w:r w:rsidR="00C75F0B" w:rsidRPr="00C75F0B">
        <w:rPr>
          <w:rFonts w:ascii="Verdana" w:hAnsi="Verdana"/>
          <w:sz w:val="20"/>
          <w:szCs w:val="20"/>
          <w:lang w:val="es-CR"/>
        </w:rPr>
        <w:t>., el cual vivía con sus padres. Agregaron</w:t>
      </w:r>
      <w:r w:rsidRPr="00C75F0B">
        <w:rPr>
          <w:rFonts w:ascii="Verdana" w:hAnsi="Verdana"/>
          <w:sz w:val="20"/>
          <w:szCs w:val="20"/>
        </w:rPr>
        <w:t xml:space="preserve"> </w:t>
      </w:r>
      <w:r w:rsidR="00C75F0B" w:rsidRPr="00C75F0B">
        <w:rPr>
          <w:rFonts w:ascii="Verdana" w:hAnsi="Verdana"/>
          <w:sz w:val="20"/>
          <w:szCs w:val="20"/>
        </w:rPr>
        <w:t xml:space="preserve">que </w:t>
      </w:r>
      <w:r w:rsidR="00C75F0B" w:rsidRPr="00C75F0B">
        <w:rPr>
          <w:rFonts w:ascii="Verdana" w:hAnsi="Verdana"/>
          <w:sz w:val="20"/>
          <w:szCs w:val="20"/>
          <w:lang w:val="es-CR"/>
        </w:rPr>
        <w:t>las beneficiarias Rosa Olivia Alvarado y su hija K.P.A.A.</w:t>
      </w:r>
      <w:r w:rsidR="00167C84">
        <w:rPr>
          <w:rFonts w:ascii="Verdana" w:hAnsi="Verdana"/>
          <w:sz w:val="20"/>
          <w:szCs w:val="20"/>
          <w:lang w:val="es-CR"/>
        </w:rPr>
        <w:t>,</w:t>
      </w:r>
      <w:r w:rsidR="00886A3D">
        <w:rPr>
          <w:rFonts w:ascii="Verdana" w:hAnsi="Verdana"/>
          <w:sz w:val="20"/>
          <w:szCs w:val="20"/>
          <w:lang w:val="es-CR"/>
        </w:rPr>
        <w:t xml:space="preserve"> </w:t>
      </w:r>
      <w:r w:rsidR="00C75F0B" w:rsidRPr="00C75F0B">
        <w:rPr>
          <w:rFonts w:ascii="Verdana" w:hAnsi="Verdana"/>
          <w:sz w:val="20"/>
          <w:szCs w:val="20"/>
          <w:lang w:val="es-CR"/>
        </w:rPr>
        <w:t>”salieron a la calle a investigar qué suced</w:t>
      </w:r>
      <w:r w:rsidR="00ED3542">
        <w:rPr>
          <w:rFonts w:ascii="Verdana" w:hAnsi="Verdana"/>
          <w:sz w:val="20"/>
          <w:szCs w:val="20"/>
          <w:lang w:val="es-CR"/>
        </w:rPr>
        <w:t>ía y se dieron cuenta que [F.A.H</w:t>
      </w:r>
      <w:r w:rsidR="00886A3D">
        <w:rPr>
          <w:rFonts w:ascii="Verdana" w:hAnsi="Verdana"/>
          <w:sz w:val="20"/>
          <w:szCs w:val="20"/>
          <w:lang w:val="es-CR"/>
        </w:rPr>
        <w:t>.</w:t>
      </w:r>
      <w:r w:rsidR="00ED3542">
        <w:rPr>
          <w:rFonts w:ascii="Verdana" w:hAnsi="Verdana"/>
          <w:sz w:val="20"/>
          <w:szCs w:val="20"/>
          <w:lang w:val="es-CR"/>
        </w:rPr>
        <w:t>]</w:t>
      </w:r>
      <w:r w:rsidR="00C75F0B" w:rsidRPr="00C75F0B">
        <w:rPr>
          <w:rFonts w:ascii="Verdana" w:hAnsi="Verdana"/>
          <w:sz w:val="20"/>
          <w:szCs w:val="20"/>
          <w:lang w:val="es-CR"/>
        </w:rPr>
        <w:t xml:space="preserve"> estaba herido dentro de su carro. También vieron que Dylan se encontraba escondido debajo del asiento trasero del carro y que la puerta del copiloto se encontraba abierta”. Además, indicaron que “[a] corta distancia del carro se encontraba el cadáver de Marco en el suelo, muerto a causa de disparos de arma de fuego” y que “</w:t>
      </w:r>
      <w:r w:rsidR="00ED3542">
        <w:rPr>
          <w:rFonts w:ascii="Verdana" w:hAnsi="Verdana"/>
          <w:sz w:val="20"/>
          <w:szCs w:val="20"/>
          <w:lang w:val="es-CR"/>
        </w:rPr>
        <w:t>[F.A.H.]</w:t>
      </w:r>
      <w:r w:rsidR="00C75F0B" w:rsidRPr="00C75F0B">
        <w:rPr>
          <w:rFonts w:ascii="Verdana" w:hAnsi="Verdana"/>
          <w:sz w:val="20"/>
          <w:szCs w:val="20"/>
          <w:lang w:val="es-CR"/>
        </w:rPr>
        <w:t xml:space="preserve"> aún se encontraba con signos de vida muy débiles, con un impacto de bala en la cabeza y otro en el hombro”. Finalmente, manifestaron que ante la “falta de respuesta de los servicios de emergencia, Jaime Alvarado Herrera y […] J.O.A.R. (tío y primo de </w:t>
      </w:r>
      <w:r w:rsidR="00ED3542">
        <w:rPr>
          <w:rFonts w:ascii="Verdana" w:hAnsi="Verdana"/>
          <w:sz w:val="20"/>
          <w:szCs w:val="20"/>
          <w:lang w:val="es-CR"/>
        </w:rPr>
        <w:t>[F.A.H.]</w:t>
      </w:r>
      <w:r w:rsidR="00C75F0B" w:rsidRPr="00C75F0B">
        <w:rPr>
          <w:rFonts w:ascii="Verdana" w:hAnsi="Verdana"/>
          <w:sz w:val="20"/>
          <w:szCs w:val="20"/>
          <w:lang w:val="es-CR"/>
        </w:rPr>
        <w:t>, respectivamente, y ambos beneficiarios de medidas provisionales), tomaron un taxi y llevaron de urgencia al herido al Hospital General Regional 66 del Instituto Mexicano del Seguro Social (IMSS) en Ciudad Juárez”, y que “[a]proximadamente a las 17:00 horas del 6 de febrero les</w:t>
      </w:r>
      <w:r w:rsidR="00C75F0B">
        <w:rPr>
          <w:rFonts w:ascii="Verdana" w:hAnsi="Verdana"/>
          <w:sz w:val="20"/>
          <w:szCs w:val="20"/>
          <w:lang w:val="es-CR"/>
        </w:rPr>
        <w:t xml:space="preserve"> </w:t>
      </w:r>
      <w:r w:rsidR="00C75F0B" w:rsidRPr="00C75F0B">
        <w:rPr>
          <w:rFonts w:ascii="Verdana" w:hAnsi="Verdana"/>
          <w:sz w:val="20"/>
          <w:szCs w:val="20"/>
          <w:lang w:val="es-CR"/>
        </w:rPr>
        <w:t xml:space="preserve">informaron que </w:t>
      </w:r>
      <w:r w:rsidR="00ED3542">
        <w:rPr>
          <w:rFonts w:ascii="Verdana" w:hAnsi="Verdana"/>
          <w:sz w:val="20"/>
          <w:szCs w:val="20"/>
          <w:lang w:val="es-CR"/>
        </w:rPr>
        <w:t>[F.A.H.]</w:t>
      </w:r>
      <w:r w:rsidR="00C75F0B" w:rsidRPr="00C75F0B">
        <w:rPr>
          <w:rFonts w:ascii="Verdana" w:hAnsi="Verdana"/>
          <w:sz w:val="20"/>
          <w:szCs w:val="20"/>
          <w:lang w:val="es-CR"/>
        </w:rPr>
        <w:t xml:space="preserve"> había fallecido</w:t>
      </w:r>
      <w:r w:rsidR="00C75F0B">
        <w:rPr>
          <w:rFonts w:ascii="Verdana" w:hAnsi="Verdana"/>
          <w:sz w:val="20"/>
          <w:szCs w:val="20"/>
          <w:lang w:val="es-CR"/>
        </w:rPr>
        <w:t>”</w:t>
      </w:r>
      <w:r w:rsidR="008D0F11">
        <w:rPr>
          <w:rFonts w:ascii="Verdana" w:hAnsi="Verdana"/>
          <w:sz w:val="20"/>
          <w:szCs w:val="20"/>
          <w:lang w:val="es-CR"/>
        </w:rPr>
        <w:t>.</w:t>
      </w:r>
    </w:p>
    <w:p w14:paraId="24E9B498" w14:textId="13D1812C" w:rsidR="00C75F0B" w:rsidRPr="00C75F0B" w:rsidRDefault="00C75F0B" w:rsidP="00C75F0B">
      <w:pPr>
        <w:pStyle w:val="ListParagraph"/>
        <w:ind w:left="0" w:right="19"/>
        <w:jc w:val="both"/>
        <w:rPr>
          <w:rFonts w:ascii="Verdana" w:hAnsi="Verdana"/>
          <w:sz w:val="20"/>
        </w:rPr>
      </w:pPr>
      <w:r w:rsidRPr="00C75F0B">
        <w:rPr>
          <w:rFonts w:ascii="Verdana" w:hAnsi="Verdana"/>
          <w:sz w:val="20"/>
        </w:rPr>
        <w:t xml:space="preserve"> </w:t>
      </w:r>
    </w:p>
    <w:p w14:paraId="408283D1" w14:textId="583D9F86" w:rsidR="009B5A86" w:rsidRDefault="009B5A86" w:rsidP="00C75F0B">
      <w:pPr>
        <w:pStyle w:val="ListParagraph"/>
        <w:numPr>
          <w:ilvl w:val="0"/>
          <w:numId w:val="19"/>
        </w:numPr>
        <w:ind w:left="0" w:right="19" w:firstLine="0"/>
        <w:jc w:val="both"/>
        <w:rPr>
          <w:rFonts w:ascii="Verdana" w:hAnsi="Verdana"/>
          <w:sz w:val="20"/>
        </w:rPr>
      </w:pPr>
      <w:r w:rsidRPr="009B5A86">
        <w:rPr>
          <w:rFonts w:ascii="Verdana" w:hAnsi="Verdana"/>
          <w:sz w:val="20"/>
        </w:rPr>
        <w:t xml:space="preserve">A raíz de la situación expuesta anteriormente y por considerar que al igual que todo el núcleo familiar de Rosa Olivia Alvarado y Félix García, el menor </w:t>
      </w:r>
      <w:r>
        <w:rPr>
          <w:rFonts w:ascii="Verdana" w:hAnsi="Verdana"/>
          <w:sz w:val="20"/>
        </w:rPr>
        <w:t xml:space="preserve">de 6 años y 11 meses de edad </w:t>
      </w:r>
      <w:r w:rsidRPr="009B5A86">
        <w:rPr>
          <w:rFonts w:ascii="Verdana" w:hAnsi="Verdana"/>
          <w:sz w:val="20"/>
        </w:rPr>
        <w:t>A.G.A. (hijo de Rosa Olivia Alvarado Herrera y Félix García, y hermano de F.A.H.), “</w:t>
      </w:r>
      <w:r w:rsidRPr="009B5A86">
        <w:rPr>
          <w:rFonts w:ascii="Verdana" w:hAnsi="Verdana"/>
          <w:sz w:val="20"/>
          <w:lang w:val="es-CR"/>
        </w:rPr>
        <w:t>se encuentra en alto riesgo por el involucramiento de personas presuntamente vinculadas con la delincuencia organizada. […] [Si]tuación [que consideran] […] de gravedad, urgencia y conlleva una alta probabilidad de que su vida e integridad puedan ser irreparablemente afectadas</w:t>
      </w:r>
      <w:r>
        <w:rPr>
          <w:rFonts w:ascii="Verdana" w:hAnsi="Verdana"/>
          <w:sz w:val="20"/>
          <w:lang w:val="es-CR"/>
        </w:rPr>
        <w:t>”, los</w:t>
      </w:r>
      <w:r w:rsidRPr="00121865">
        <w:rPr>
          <w:rFonts w:ascii="Verdana" w:hAnsi="Verdana"/>
          <w:sz w:val="20"/>
          <w:lang w:val="es-CR"/>
        </w:rPr>
        <w:t xml:space="preserve"> representantes</w:t>
      </w:r>
      <w:r w:rsidR="00886A3D">
        <w:rPr>
          <w:rFonts w:ascii="Verdana" w:hAnsi="Verdana"/>
          <w:sz w:val="20"/>
          <w:lang w:val="es-CR"/>
        </w:rPr>
        <w:t>,</w:t>
      </w:r>
      <w:r>
        <w:rPr>
          <w:rFonts w:ascii="Verdana" w:hAnsi="Verdana"/>
          <w:sz w:val="20"/>
          <w:lang w:val="es-CR"/>
        </w:rPr>
        <w:t xml:space="preserve"> </w:t>
      </w:r>
      <w:r w:rsidR="00C75F0B">
        <w:rPr>
          <w:rFonts w:ascii="Verdana" w:hAnsi="Verdana"/>
          <w:sz w:val="20"/>
          <w:lang w:val="es-CR"/>
        </w:rPr>
        <w:t>en virtud de su edad y en aras de garantizar su interés superior</w:t>
      </w:r>
      <w:r w:rsidR="00886A3D">
        <w:rPr>
          <w:rFonts w:ascii="Verdana" w:hAnsi="Verdana"/>
          <w:sz w:val="20"/>
          <w:lang w:val="es-CR"/>
        </w:rPr>
        <w:t>,</w:t>
      </w:r>
      <w:r w:rsidR="00C75F0B">
        <w:rPr>
          <w:rFonts w:ascii="Verdana" w:hAnsi="Verdana"/>
          <w:sz w:val="20"/>
          <w:lang w:val="es-CR"/>
        </w:rPr>
        <w:t xml:space="preserve"> </w:t>
      </w:r>
      <w:r>
        <w:rPr>
          <w:rFonts w:ascii="Verdana" w:hAnsi="Verdana"/>
          <w:sz w:val="20"/>
          <w:lang w:val="es-CR"/>
        </w:rPr>
        <w:t>solicitaron la ampliación de las medidas provisionales en favor de</w:t>
      </w:r>
      <w:r w:rsidR="00960F3A">
        <w:rPr>
          <w:rFonts w:ascii="Verdana" w:hAnsi="Verdana"/>
          <w:sz w:val="20"/>
          <w:lang w:val="es-CR"/>
        </w:rPr>
        <w:t>l menor</w:t>
      </w:r>
      <w:r>
        <w:rPr>
          <w:rFonts w:ascii="Verdana" w:hAnsi="Verdana"/>
          <w:sz w:val="20"/>
          <w:lang w:val="es-CR"/>
        </w:rPr>
        <w:t xml:space="preserve"> A.G.A</w:t>
      </w:r>
      <w:r w:rsidRPr="009B5A86">
        <w:rPr>
          <w:rFonts w:ascii="Verdana" w:hAnsi="Verdana"/>
          <w:sz w:val="20"/>
          <w:lang w:val="es-CR"/>
        </w:rPr>
        <w:t xml:space="preserve">. </w:t>
      </w:r>
      <w:r w:rsidR="00C75F0B">
        <w:rPr>
          <w:rFonts w:ascii="Verdana" w:hAnsi="Verdana"/>
          <w:sz w:val="20"/>
        </w:rPr>
        <w:t xml:space="preserve">Agregaron </w:t>
      </w:r>
      <w:r w:rsidR="00960F3A" w:rsidRPr="00C75F0B">
        <w:rPr>
          <w:rFonts w:ascii="Verdana" w:hAnsi="Verdana"/>
          <w:sz w:val="20"/>
        </w:rPr>
        <w:t>que la situación expuesta “cumple el requisito previsto en el artículo 63.2 del Pacto de San José”</w:t>
      </w:r>
      <w:r w:rsidR="009A2384" w:rsidRPr="00C75F0B">
        <w:rPr>
          <w:rFonts w:ascii="Verdana" w:hAnsi="Verdana"/>
          <w:sz w:val="20"/>
        </w:rPr>
        <w:t>.</w:t>
      </w:r>
    </w:p>
    <w:p w14:paraId="2B1D25BB" w14:textId="77777777" w:rsidR="00310506" w:rsidRPr="00C75287" w:rsidRDefault="00310506" w:rsidP="00C75287">
      <w:pPr>
        <w:pStyle w:val="ListParagraph"/>
        <w:rPr>
          <w:rFonts w:ascii="Verdana" w:hAnsi="Verdana"/>
          <w:sz w:val="20"/>
        </w:rPr>
      </w:pPr>
    </w:p>
    <w:p w14:paraId="160AE5A7" w14:textId="0322D619" w:rsidR="00D532B3" w:rsidRDefault="00642DC3" w:rsidP="00960E80">
      <w:pPr>
        <w:pStyle w:val="ListParagraph"/>
        <w:numPr>
          <w:ilvl w:val="0"/>
          <w:numId w:val="19"/>
        </w:numPr>
        <w:ind w:left="0" w:right="19" w:firstLine="0"/>
        <w:jc w:val="both"/>
        <w:rPr>
          <w:rFonts w:ascii="Verdana" w:hAnsi="Verdana"/>
          <w:sz w:val="20"/>
          <w:szCs w:val="20"/>
          <w:lang w:val="es-MX"/>
        </w:rPr>
      </w:pPr>
      <w:r w:rsidRPr="00C75287">
        <w:rPr>
          <w:rFonts w:ascii="Verdana" w:hAnsi="Verdana"/>
          <w:sz w:val="20"/>
          <w:szCs w:val="20"/>
        </w:rPr>
        <w:t xml:space="preserve">Por su parte, el </w:t>
      </w:r>
      <w:r w:rsidRPr="00C75287">
        <w:rPr>
          <w:rFonts w:ascii="Verdana" w:hAnsi="Verdana"/>
          <w:b/>
          <w:i/>
          <w:sz w:val="20"/>
          <w:szCs w:val="20"/>
        </w:rPr>
        <w:t>Estado</w:t>
      </w:r>
      <w:r w:rsidRPr="00C75287">
        <w:rPr>
          <w:rFonts w:ascii="Verdana" w:hAnsi="Verdana"/>
          <w:sz w:val="20"/>
          <w:szCs w:val="20"/>
        </w:rPr>
        <w:t xml:space="preserve"> informo que, sobre el esquema de protección que se encontraba implementando al momento de los hechos a favor del núcleo familiar de Rosa Alvarado</w:t>
      </w:r>
      <w:r w:rsidRPr="00C75287">
        <w:rPr>
          <w:rFonts w:ascii="Verdana" w:hAnsi="Verdana"/>
          <w:sz w:val="20"/>
          <w:szCs w:val="20"/>
          <w:lang w:val="es-MX"/>
        </w:rPr>
        <w:t>, se contaba con un circuito cerrado de televisión, cámara de vigilancia, cerradura de alta seguridad y cerca eléctrica. Respecto del análisis de riesgo solicitado por la Corte,</w:t>
      </w:r>
      <w:r w:rsidR="00886A3D">
        <w:rPr>
          <w:rFonts w:ascii="Verdana" w:hAnsi="Verdana"/>
          <w:sz w:val="20"/>
          <w:szCs w:val="20"/>
          <w:lang w:val="es-MX"/>
        </w:rPr>
        <w:t xml:space="preserve"> señaló que</w:t>
      </w:r>
      <w:r w:rsidRPr="00C75287">
        <w:rPr>
          <w:rFonts w:ascii="Verdana" w:hAnsi="Verdana"/>
          <w:sz w:val="20"/>
          <w:szCs w:val="20"/>
          <w:lang w:val="es-MX"/>
        </w:rPr>
        <w:t xml:space="preserve"> se había solicitado y agendado con personal del Mecanismo de Protección de Personas Defensoras de Derechos Humanos y Periodistas para llevarse a cabo durante la segunda semana de febrero de 2018, no obstante debido a los hechos ocurridos no se había </w:t>
      </w:r>
      <w:r w:rsidR="001C62EB" w:rsidRPr="00C75287">
        <w:rPr>
          <w:rFonts w:ascii="Verdana" w:hAnsi="Verdana"/>
          <w:sz w:val="20"/>
          <w:szCs w:val="20"/>
          <w:lang w:val="es-MX"/>
        </w:rPr>
        <w:t>realiza</w:t>
      </w:r>
      <w:r w:rsidR="001C62EB">
        <w:rPr>
          <w:rFonts w:ascii="Verdana" w:hAnsi="Verdana"/>
          <w:sz w:val="20"/>
          <w:szCs w:val="20"/>
          <w:lang w:val="es-MX"/>
        </w:rPr>
        <w:t>do</w:t>
      </w:r>
      <w:r w:rsidRPr="00C75287">
        <w:rPr>
          <w:rFonts w:ascii="Verdana" w:hAnsi="Verdana"/>
          <w:sz w:val="20"/>
          <w:szCs w:val="20"/>
          <w:lang w:val="es-MX"/>
        </w:rPr>
        <w:t>.</w:t>
      </w:r>
    </w:p>
    <w:p w14:paraId="44C58A57" w14:textId="77777777" w:rsidR="00D532B3" w:rsidRPr="00960E80" w:rsidRDefault="00D532B3" w:rsidP="00D532B3">
      <w:pPr>
        <w:pStyle w:val="ListParagraph"/>
        <w:ind w:left="0" w:right="19"/>
        <w:jc w:val="both"/>
        <w:rPr>
          <w:rFonts w:ascii="Verdana" w:hAnsi="Verdana"/>
          <w:sz w:val="20"/>
          <w:szCs w:val="20"/>
          <w:lang w:val="es-MX"/>
        </w:rPr>
      </w:pPr>
    </w:p>
    <w:p w14:paraId="32124997" w14:textId="5DF4FD8B" w:rsidR="002671D9" w:rsidRDefault="00DC4992" w:rsidP="00960E80">
      <w:pPr>
        <w:pStyle w:val="ListParagraph"/>
        <w:numPr>
          <w:ilvl w:val="0"/>
          <w:numId w:val="19"/>
        </w:numPr>
        <w:ind w:left="0" w:right="19" w:firstLine="0"/>
        <w:jc w:val="both"/>
        <w:rPr>
          <w:rFonts w:ascii="Verdana" w:hAnsi="Verdana"/>
          <w:sz w:val="20"/>
        </w:rPr>
      </w:pPr>
      <w:r w:rsidRPr="001C62EB">
        <w:rPr>
          <w:rFonts w:ascii="Verdana" w:hAnsi="Verdana"/>
          <w:sz w:val="20"/>
        </w:rPr>
        <w:t>Además, e</w:t>
      </w:r>
      <w:r w:rsidR="00DB240B" w:rsidRPr="00D532B3">
        <w:rPr>
          <w:rFonts w:ascii="Verdana" w:hAnsi="Verdana"/>
          <w:sz w:val="20"/>
        </w:rPr>
        <w:t xml:space="preserve">l Estado informó sobre </w:t>
      </w:r>
      <w:r w:rsidR="007508DE" w:rsidRPr="00D532B3">
        <w:rPr>
          <w:rFonts w:ascii="Verdana" w:hAnsi="Verdana"/>
          <w:sz w:val="20"/>
        </w:rPr>
        <w:t xml:space="preserve">las acciones </w:t>
      </w:r>
      <w:r w:rsidR="00743FBA" w:rsidRPr="00D532B3">
        <w:rPr>
          <w:rFonts w:ascii="Verdana" w:hAnsi="Verdana"/>
          <w:sz w:val="20"/>
        </w:rPr>
        <w:t>y medidas de protección implementadas en favor del núcleo familiar de F</w:t>
      </w:r>
      <w:r w:rsidR="00ED3542" w:rsidRPr="00D532B3">
        <w:rPr>
          <w:rFonts w:ascii="Verdana" w:hAnsi="Verdana"/>
          <w:sz w:val="20"/>
        </w:rPr>
        <w:t>.A.H.</w:t>
      </w:r>
      <w:r w:rsidR="00743FBA" w:rsidRPr="005125B1">
        <w:rPr>
          <w:rFonts w:ascii="Verdana" w:hAnsi="Verdana"/>
          <w:sz w:val="20"/>
        </w:rPr>
        <w:t xml:space="preserve"> con motivo de</w:t>
      </w:r>
      <w:r w:rsidR="00C8148E" w:rsidRPr="005125B1">
        <w:rPr>
          <w:rFonts w:ascii="Verdana" w:hAnsi="Verdana"/>
          <w:sz w:val="20"/>
        </w:rPr>
        <w:t>l asesinato de éste,</w:t>
      </w:r>
      <w:r w:rsidR="00743FBA" w:rsidRPr="005125B1">
        <w:rPr>
          <w:rFonts w:ascii="Verdana" w:hAnsi="Verdana"/>
          <w:sz w:val="20"/>
        </w:rPr>
        <w:t xml:space="preserve"> </w:t>
      </w:r>
      <w:r w:rsidR="00743FBA" w:rsidRPr="001C62EB">
        <w:rPr>
          <w:rFonts w:ascii="Verdana" w:hAnsi="Verdana"/>
          <w:i/>
          <w:sz w:val="20"/>
        </w:rPr>
        <w:t>inter alia</w:t>
      </w:r>
      <w:r w:rsidR="00A34906" w:rsidRPr="001C62EB">
        <w:rPr>
          <w:rFonts w:ascii="Verdana" w:hAnsi="Verdana"/>
          <w:sz w:val="20"/>
        </w:rPr>
        <w:t>:</w:t>
      </w:r>
      <w:r w:rsidR="00743FBA" w:rsidRPr="001C62EB">
        <w:rPr>
          <w:rFonts w:ascii="Verdana" w:hAnsi="Verdana"/>
          <w:sz w:val="20"/>
        </w:rPr>
        <w:t xml:space="preserve"> i) inicio de investigación de los hechos; ii) medidas de protección específicas en </w:t>
      </w:r>
      <w:r w:rsidR="00EA6F06" w:rsidRPr="001C62EB">
        <w:rPr>
          <w:rFonts w:ascii="Verdana" w:hAnsi="Verdana"/>
          <w:sz w:val="20"/>
        </w:rPr>
        <w:t>beneficio</w:t>
      </w:r>
      <w:r w:rsidR="00743FBA" w:rsidRPr="001C62EB">
        <w:rPr>
          <w:rFonts w:ascii="Verdana" w:hAnsi="Verdana"/>
          <w:sz w:val="20"/>
        </w:rPr>
        <w:t xml:space="preserve"> de los familiares</w:t>
      </w:r>
      <w:r w:rsidR="00EA6F06" w:rsidRPr="001C62EB">
        <w:rPr>
          <w:rFonts w:ascii="Verdana" w:hAnsi="Verdana"/>
          <w:sz w:val="20"/>
        </w:rPr>
        <w:t xml:space="preserve"> de F</w:t>
      </w:r>
      <w:r w:rsidR="00ED3542" w:rsidRPr="001C62EB">
        <w:rPr>
          <w:rFonts w:ascii="Verdana" w:hAnsi="Verdana"/>
          <w:sz w:val="20"/>
        </w:rPr>
        <w:t>.A.H.</w:t>
      </w:r>
      <w:r w:rsidR="00EA6F06" w:rsidRPr="001C62EB">
        <w:rPr>
          <w:rFonts w:ascii="Verdana" w:hAnsi="Verdana"/>
          <w:sz w:val="20"/>
        </w:rPr>
        <w:t>,</w:t>
      </w:r>
      <w:r w:rsidR="00823381" w:rsidRPr="001C62EB">
        <w:rPr>
          <w:rFonts w:ascii="Verdana" w:hAnsi="Verdana"/>
          <w:sz w:val="20"/>
        </w:rPr>
        <w:t xml:space="preserve"> tales como servicios de acompañamiento </w:t>
      </w:r>
      <w:r w:rsidR="00823381" w:rsidRPr="001C62EB">
        <w:rPr>
          <w:rFonts w:ascii="Verdana" w:hAnsi="Verdana"/>
          <w:bCs/>
          <w:sz w:val="20"/>
          <w:lang w:val="es-MX"/>
        </w:rPr>
        <w:t>directo, jurídico, social y psicológico, resguardo, seguridad</w:t>
      </w:r>
      <w:r w:rsidR="00C8148E" w:rsidRPr="001C62EB">
        <w:rPr>
          <w:rFonts w:ascii="Verdana" w:hAnsi="Verdana"/>
          <w:bCs/>
          <w:sz w:val="20"/>
          <w:lang w:val="es-MX"/>
        </w:rPr>
        <w:t>, escolta</w:t>
      </w:r>
      <w:r w:rsidR="00823381" w:rsidRPr="001C62EB">
        <w:rPr>
          <w:rFonts w:ascii="Verdana" w:hAnsi="Verdana"/>
          <w:bCs/>
          <w:sz w:val="20"/>
          <w:lang w:val="es-MX"/>
        </w:rPr>
        <w:t xml:space="preserve"> y ayuda para gastos funerarios,</w:t>
      </w:r>
      <w:r w:rsidR="00823381" w:rsidRPr="001C62EB">
        <w:rPr>
          <w:rFonts w:ascii="Verdana" w:hAnsi="Verdana"/>
          <w:sz w:val="20"/>
        </w:rPr>
        <w:t xml:space="preserve"> </w:t>
      </w:r>
      <w:r w:rsidR="00EA6F06" w:rsidRPr="001C62EB">
        <w:rPr>
          <w:rFonts w:ascii="Verdana" w:hAnsi="Verdana"/>
          <w:sz w:val="20"/>
        </w:rPr>
        <w:t xml:space="preserve">y </w:t>
      </w:r>
      <w:r w:rsidR="00743FBA" w:rsidRPr="001C62EB">
        <w:rPr>
          <w:rFonts w:ascii="Verdana" w:hAnsi="Verdana"/>
          <w:sz w:val="20"/>
        </w:rPr>
        <w:t xml:space="preserve">iii) </w:t>
      </w:r>
      <w:r w:rsidR="00EA6F06" w:rsidRPr="001C62EB">
        <w:rPr>
          <w:rFonts w:ascii="Verdana" w:hAnsi="Verdana"/>
          <w:sz w:val="20"/>
        </w:rPr>
        <w:t>el esquema de protección diseñado en favor del núcleo familiar de F</w:t>
      </w:r>
      <w:r w:rsidR="00ED3542" w:rsidRPr="001C62EB">
        <w:rPr>
          <w:rFonts w:ascii="Verdana" w:hAnsi="Verdana"/>
          <w:sz w:val="20"/>
        </w:rPr>
        <w:t>.A.H.</w:t>
      </w:r>
      <w:r w:rsidR="001C62EB" w:rsidDel="001C62EB">
        <w:rPr>
          <w:rFonts w:ascii="Verdana" w:hAnsi="Verdana"/>
          <w:sz w:val="20"/>
        </w:rPr>
        <w:t xml:space="preserve"> </w:t>
      </w:r>
    </w:p>
    <w:p w14:paraId="3ACA5D34" w14:textId="77777777" w:rsidR="00A34906" w:rsidRPr="00642DC3" w:rsidRDefault="00A34906" w:rsidP="002671D9">
      <w:pPr>
        <w:pStyle w:val="ListParagraph"/>
        <w:ind w:left="0" w:right="19"/>
        <w:jc w:val="both"/>
        <w:rPr>
          <w:rFonts w:ascii="Verdana" w:hAnsi="Verdana"/>
          <w:sz w:val="20"/>
        </w:rPr>
      </w:pPr>
    </w:p>
    <w:p w14:paraId="3E1B597B" w14:textId="5E7E5501" w:rsidR="00C8148E" w:rsidRPr="00C75287" w:rsidRDefault="00E70F28" w:rsidP="00C75287">
      <w:pPr>
        <w:pStyle w:val="ListParagraph"/>
        <w:numPr>
          <w:ilvl w:val="0"/>
          <w:numId w:val="19"/>
        </w:numPr>
        <w:ind w:left="0" w:right="19" w:firstLine="0"/>
        <w:jc w:val="both"/>
        <w:rPr>
          <w:rFonts w:ascii="Verdana" w:hAnsi="Verdana"/>
          <w:sz w:val="20"/>
          <w:szCs w:val="20"/>
          <w:lang w:val="es-MX"/>
        </w:rPr>
      </w:pPr>
      <w:r w:rsidRPr="00642DC3">
        <w:rPr>
          <w:rFonts w:ascii="Verdana" w:hAnsi="Verdana"/>
          <w:sz w:val="20"/>
          <w:szCs w:val="20"/>
        </w:rPr>
        <w:lastRenderedPageBreak/>
        <w:t>En relación al homicidio de F</w:t>
      </w:r>
      <w:r w:rsidR="00ED3542">
        <w:rPr>
          <w:rFonts w:ascii="Verdana" w:hAnsi="Verdana"/>
          <w:sz w:val="20"/>
          <w:szCs w:val="20"/>
        </w:rPr>
        <w:t>.A.H.</w:t>
      </w:r>
      <w:r w:rsidRPr="00642DC3">
        <w:rPr>
          <w:rFonts w:ascii="Verdana" w:hAnsi="Verdana"/>
          <w:sz w:val="20"/>
          <w:szCs w:val="20"/>
        </w:rPr>
        <w:t xml:space="preserve">, </w:t>
      </w:r>
      <w:r w:rsidRPr="0097554A">
        <w:rPr>
          <w:rFonts w:ascii="Verdana" w:hAnsi="Verdana"/>
          <w:sz w:val="20"/>
          <w:szCs w:val="20"/>
        </w:rPr>
        <w:t xml:space="preserve">el </w:t>
      </w:r>
      <w:r w:rsidRPr="00121865">
        <w:rPr>
          <w:rFonts w:ascii="Verdana" w:hAnsi="Verdana"/>
          <w:sz w:val="20"/>
          <w:szCs w:val="20"/>
        </w:rPr>
        <w:t>Estado</w:t>
      </w:r>
      <w:r w:rsidRPr="0097554A">
        <w:rPr>
          <w:rFonts w:ascii="Verdana" w:hAnsi="Verdana"/>
          <w:sz w:val="20"/>
          <w:szCs w:val="20"/>
        </w:rPr>
        <w:t xml:space="preserve"> señaló que “inició las investigaciones correspondientes una vez que tuvo conocimiento de los hechos</w:t>
      </w:r>
      <w:r w:rsidRPr="002536A2">
        <w:rPr>
          <w:rFonts w:ascii="Verdana" w:hAnsi="Verdana"/>
          <w:sz w:val="20"/>
          <w:szCs w:val="20"/>
        </w:rPr>
        <w:t xml:space="preserve">”, y que el día 8 de febrero de 2018 “logró la detención de los imputados Israel Guerrero Gurbina, Carlos </w:t>
      </w:r>
      <w:r w:rsidRPr="00DC4992">
        <w:rPr>
          <w:rFonts w:ascii="Verdana" w:hAnsi="Verdana"/>
          <w:sz w:val="20"/>
          <w:szCs w:val="20"/>
        </w:rPr>
        <w:t xml:space="preserve">Alfonso Gutiérrez Olveda y Juan José Gómez Carlos”. </w:t>
      </w:r>
      <w:r w:rsidR="00A34906" w:rsidRPr="00C75287">
        <w:rPr>
          <w:rFonts w:ascii="Verdana" w:hAnsi="Verdana"/>
          <w:sz w:val="20"/>
          <w:szCs w:val="20"/>
        </w:rPr>
        <w:t xml:space="preserve">Agregó que </w:t>
      </w:r>
      <w:r w:rsidR="00A34906" w:rsidRPr="00642DC3">
        <w:rPr>
          <w:rFonts w:ascii="Verdana" w:hAnsi="Verdana"/>
          <w:sz w:val="20"/>
          <w:szCs w:val="20"/>
        </w:rPr>
        <w:t>“[e]</w:t>
      </w:r>
      <w:r w:rsidR="00A34906" w:rsidRPr="00C75287">
        <w:rPr>
          <w:rFonts w:ascii="Verdana" w:hAnsi="Verdana"/>
          <w:sz w:val="20"/>
          <w:szCs w:val="20"/>
        </w:rPr>
        <w:t>l 14 de febrero de 2018 se dictó Auto de Vinculación a Proceso, por los delitos de</w:t>
      </w:r>
      <w:r w:rsidR="00A34906" w:rsidRPr="00642DC3">
        <w:rPr>
          <w:rFonts w:ascii="Verdana" w:hAnsi="Verdana"/>
          <w:sz w:val="20"/>
          <w:szCs w:val="20"/>
        </w:rPr>
        <w:t xml:space="preserve"> </w:t>
      </w:r>
      <w:r w:rsidR="00A34906" w:rsidRPr="00C75287">
        <w:rPr>
          <w:rFonts w:ascii="Verdana" w:hAnsi="Verdana"/>
          <w:sz w:val="20"/>
          <w:szCs w:val="20"/>
        </w:rPr>
        <w:t>homicidio calificado</w:t>
      </w:r>
      <w:r w:rsidR="00A34906" w:rsidRPr="00642DC3">
        <w:rPr>
          <w:rFonts w:ascii="Verdana" w:hAnsi="Verdana"/>
          <w:sz w:val="20"/>
          <w:szCs w:val="20"/>
        </w:rPr>
        <w:t>”</w:t>
      </w:r>
      <w:r w:rsidR="0023192A" w:rsidRPr="00642DC3">
        <w:rPr>
          <w:rFonts w:ascii="Verdana" w:hAnsi="Verdana"/>
          <w:sz w:val="20"/>
          <w:szCs w:val="20"/>
        </w:rPr>
        <w:t>, los cuales son de carácter doloso imputándose el grado de intervención como coautores a los sujetos mencionados anteriormente</w:t>
      </w:r>
      <w:r w:rsidR="00F94564" w:rsidRPr="0097554A">
        <w:rPr>
          <w:rFonts w:ascii="Verdana" w:hAnsi="Verdana"/>
          <w:sz w:val="20"/>
          <w:szCs w:val="20"/>
        </w:rPr>
        <w:t>, de conformidad con la normativa vigente en el Estado de Chihuahua</w:t>
      </w:r>
      <w:r w:rsidR="00A34906" w:rsidRPr="0097554A">
        <w:rPr>
          <w:rFonts w:ascii="Verdana" w:hAnsi="Verdana"/>
          <w:sz w:val="20"/>
          <w:szCs w:val="20"/>
        </w:rPr>
        <w:t>.</w:t>
      </w:r>
      <w:r w:rsidR="00AB3E36" w:rsidRPr="0097554A">
        <w:rPr>
          <w:rFonts w:ascii="Verdana" w:hAnsi="Verdana"/>
          <w:sz w:val="20"/>
          <w:szCs w:val="20"/>
        </w:rPr>
        <w:t xml:space="preserve"> </w:t>
      </w:r>
      <w:r w:rsidRPr="0097554A">
        <w:rPr>
          <w:rFonts w:ascii="Verdana" w:hAnsi="Verdana"/>
          <w:sz w:val="20"/>
          <w:szCs w:val="20"/>
        </w:rPr>
        <w:t xml:space="preserve">Asimismo, </w:t>
      </w:r>
      <w:r w:rsidRPr="00D948BC">
        <w:rPr>
          <w:rFonts w:ascii="Verdana" w:hAnsi="Verdana"/>
          <w:sz w:val="20"/>
          <w:szCs w:val="20"/>
        </w:rPr>
        <w:t>indicó que “</w:t>
      </w:r>
      <w:r w:rsidR="00A34906" w:rsidRPr="00C75287">
        <w:rPr>
          <w:rFonts w:ascii="Verdana" w:hAnsi="Verdana"/>
          <w:sz w:val="20"/>
          <w:szCs w:val="20"/>
          <w:lang w:val="es-CR"/>
        </w:rPr>
        <w:t>el plazo de cierre de investigación</w:t>
      </w:r>
      <w:r w:rsidR="00AB3E36" w:rsidRPr="00C75287">
        <w:rPr>
          <w:rFonts w:ascii="Verdana" w:hAnsi="Verdana"/>
          <w:sz w:val="20"/>
          <w:szCs w:val="20"/>
          <w:lang w:val="es-CR"/>
        </w:rPr>
        <w:t xml:space="preserve"> </w:t>
      </w:r>
      <w:r w:rsidR="00A34906" w:rsidRPr="00C75287">
        <w:rPr>
          <w:rFonts w:ascii="Verdana" w:hAnsi="Verdana"/>
          <w:sz w:val="20"/>
          <w:szCs w:val="20"/>
          <w:lang w:val="es-CR"/>
        </w:rPr>
        <w:t xml:space="preserve">complementaria es de 2 meses, los cuales fenecen el día 14 de abril del 2018 […] [por lo que] </w:t>
      </w:r>
      <w:r w:rsidRPr="00642DC3">
        <w:rPr>
          <w:rFonts w:ascii="Verdana" w:hAnsi="Verdana"/>
          <w:sz w:val="20"/>
          <w:szCs w:val="20"/>
        </w:rPr>
        <w:t>se llevarán a cabo distintas diligencias</w:t>
      </w:r>
      <w:r w:rsidR="00D13A72" w:rsidRPr="00642DC3">
        <w:rPr>
          <w:rFonts w:ascii="Verdana" w:hAnsi="Verdana"/>
          <w:sz w:val="20"/>
          <w:szCs w:val="20"/>
        </w:rPr>
        <w:t>, como la declaración de posibles testigos presenciales de los hechos, así como de reconocimientos de los mismos sobre las personas que participaron en el evento delictivo</w:t>
      </w:r>
      <w:r w:rsidRPr="00642DC3">
        <w:rPr>
          <w:rFonts w:ascii="Verdana" w:hAnsi="Verdana"/>
          <w:sz w:val="20"/>
          <w:szCs w:val="20"/>
        </w:rPr>
        <w:t>”</w:t>
      </w:r>
      <w:r w:rsidR="00D13A72" w:rsidRPr="00642DC3">
        <w:rPr>
          <w:rFonts w:ascii="Verdana" w:hAnsi="Verdana"/>
          <w:sz w:val="20"/>
          <w:szCs w:val="20"/>
        </w:rPr>
        <w:t>.</w:t>
      </w:r>
      <w:r w:rsidR="00A34906" w:rsidRPr="00C75287">
        <w:rPr>
          <w:rFonts w:ascii="Verdana" w:hAnsi="Verdana"/>
          <w:b/>
          <w:sz w:val="20"/>
          <w:szCs w:val="20"/>
        </w:rPr>
        <w:t xml:space="preserve"> </w:t>
      </w:r>
      <w:r w:rsidR="00D13A72" w:rsidRPr="00642DC3">
        <w:rPr>
          <w:rFonts w:ascii="Verdana" w:hAnsi="Verdana"/>
          <w:sz w:val="20"/>
          <w:szCs w:val="20"/>
        </w:rPr>
        <w:t xml:space="preserve">Finalmente, el Estado destacó que “ni los beneficiarios [de las medidas provisionales] ni sus representantes comunicaron o informaron a la Unidad </w:t>
      </w:r>
      <w:r w:rsidR="00D13A72" w:rsidRPr="00C75287">
        <w:rPr>
          <w:rFonts w:ascii="Verdana" w:hAnsi="Verdana"/>
          <w:sz w:val="20"/>
          <w:szCs w:val="20"/>
          <w:lang w:val="es-MX"/>
        </w:rPr>
        <w:t>para la Defensa de los Derechos Humanos sobre la existencia de alguna situación de riesgo o amenazas, relacionada o derivada del homicidio</w:t>
      </w:r>
      <w:r w:rsidR="00D13A72" w:rsidRPr="00642DC3">
        <w:rPr>
          <w:rFonts w:ascii="Verdana" w:hAnsi="Verdana"/>
          <w:sz w:val="20"/>
          <w:szCs w:val="20"/>
          <w:lang w:val="es-MX"/>
        </w:rPr>
        <w:t xml:space="preserve"> </w:t>
      </w:r>
      <w:r w:rsidR="001C62EB">
        <w:rPr>
          <w:rFonts w:ascii="Verdana" w:hAnsi="Verdana"/>
          <w:sz w:val="20"/>
          <w:szCs w:val="20"/>
          <w:lang w:val="es-MX"/>
        </w:rPr>
        <w:t xml:space="preserve">[…] </w:t>
      </w:r>
      <w:r w:rsidR="00D13A72" w:rsidRPr="00642DC3">
        <w:rPr>
          <w:rFonts w:ascii="Verdana" w:hAnsi="Verdana"/>
          <w:sz w:val="20"/>
          <w:szCs w:val="20"/>
          <w:lang w:val="es-MX"/>
        </w:rPr>
        <w:t>[de</w:t>
      </w:r>
      <w:r w:rsidR="00ED3542">
        <w:rPr>
          <w:rFonts w:ascii="Verdana" w:hAnsi="Verdana"/>
          <w:sz w:val="20"/>
          <w:szCs w:val="20"/>
          <w:lang w:val="es-MX"/>
        </w:rPr>
        <w:t xml:space="preserve"> F.A.H.</w:t>
      </w:r>
      <w:r w:rsidR="00D13A72" w:rsidRPr="00642DC3">
        <w:rPr>
          <w:rFonts w:ascii="Verdana" w:hAnsi="Verdana"/>
          <w:sz w:val="20"/>
          <w:szCs w:val="20"/>
          <w:lang w:val="es-MX"/>
        </w:rPr>
        <w:t>]”</w:t>
      </w:r>
      <w:r w:rsidR="00D13A72" w:rsidRPr="00C75287">
        <w:rPr>
          <w:rFonts w:ascii="Verdana" w:hAnsi="Verdana"/>
          <w:sz w:val="20"/>
          <w:szCs w:val="20"/>
          <w:lang w:val="es-MX"/>
        </w:rPr>
        <w:t>.</w:t>
      </w:r>
    </w:p>
    <w:p w14:paraId="4645EC87" w14:textId="77777777" w:rsidR="006345E3" w:rsidRPr="00C75287" w:rsidRDefault="006345E3" w:rsidP="00C75287">
      <w:pPr>
        <w:pStyle w:val="ListParagraph"/>
        <w:rPr>
          <w:rFonts w:ascii="Verdana" w:hAnsi="Verdana"/>
          <w:sz w:val="20"/>
          <w:lang w:val="es-MX"/>
        </w:rPr>
      </w:pPr>
    </w:p>
    <w:p w14:paraId="5BBB94BD" w14:textId="489FE23C" w:rsidR="006345E3" w:rsidRPr="00C45913" w:rsidRDefault="006345E3" w:rsidP="00C75287">
      <w:pPr>
        <w:pStyle w:val="ListParagraph"/>
        <w:numPr>
          <w:ilvl w:val="0"/>
          <w:numId w:val="19"/>
        </w:numPr>
        <w:ind w:left="0" w:right="19" w:firstLine="0"/>
        <w:jc w:val="both"/>
        <w:rPr>
          <w:rFonts w:ascii="Verdana" w:hAnsi="Verdana" w:cs="Arial"/>
          <w:sz w:val="20"/>
          <w:lang w:val="es-CR" w:eastAsia="ja-JP"/>
        </w:rPr>
      </w:pPr>
      <w:r w:rsidRPr="00642DC3">
        <w:rPr>
          <w:rFonts w:ascii="Verdana" w:hAnsi="Verdana"/>
          <w:sz w:val="20"/>
          <w:lang w:val="es-MX"/>
        </w:rPr>
        <w:t>Con relaci</w:t>
      </w:r>
      <w:r w:rsidRPr="00C75287">
        <w:rPr>
          <w:rFonts w:ascii="Verdana" w:hAnsi="Verdana" w:cs="Arial"/>
          <w:sz w:val="20"/>
          <w:lang w:val="es-MX" w:eastAsia="ja-JP"/>
        </w:rPr>
        <w:t>ón a la solicitud de los representantes para la ampliación de las medidas provisionales en favor del menor de edad A.G.A., el</w:t>
      </w:r>
      <w:r w:rsidRPr="00C75287">
        <w:rPr>
          <w:rFonts w:ascii="Verdana" w:hAnsi="Verdana" w:cs="Arial"/>
          <w:b/>
          <w:i/>
          <w:sz w:val="20"/>
          <w:lang w:val="es-MX" w:eastAsia="ja-JP"/>
        </w:rPr>
        <w:t xml:space="preserve"> </w:t>
      </w:r>
      <w:r w:rsidRPr="00121865">
        <w:rPr>
          <w:rFonts w:ascii="Verdana" w:hAnsi="Verdana" w:cs="Arial"/>
          <w:sz w:val="20"/>
          <w:lang w:val="es-MX" w:eastAsia="ja-JP"/>
        </w:rPr>
        <w:t>Estado</w:t>
      </w:r>
      <w:r w:rsidR="00B416F7" w:rsidRPr="00121865">
        <w:rPr>
          <w:rFonts w:ascii="Verdana" w:hAnsi="Verdana" w:cs="Arial"/>
          <w:sz w:val="20"/>
          <w:lang w:val="es-MX" w:eastAsia="ja-JP"/>
        </w:rPr>
        <w:t xml:space="preserve"> </w:t>
      </w:r>
      <w:r w:rsidR="00EF385B" w:rsidRPr="00642DC3">
        <w:rPr>
          <w:rFonts w:ascii="Verdana" w:hAnsi="Verdana" w:cs="Arial"/>
          <w:sz w:val="20"/>
          <w:lang w:val="es-MX" w:eastAsia="ja-JP"/>
        </w:rPr>
        <w:t>consideró</w:t>
      </w:r>
      <w:r w:rsidR="00B416F7" w:rsidRPr="00642DC3">
        <w:rPr>
          <w:rFonts w:ascii="Verdana" w:hAnsi="Verdana" w:cs="Arial"/>
          <w:sz w:val="20"/>
          <w:lang w:val="es-MX" w:eastAsia="ja-JP"/>
        </w:rPr>
        <w:t xml:space="preserve"> que la misma debe ser desestimada en virtud de que el homicidio de </w:t>
      </w:r>
      <w:r w:rsidR="00AB3E36" w:rsidRPr="00C75287">
        <w:rPr>
          <w:rFonts w:ascii="Verdana" w:hAnsi="Verdana" w:cs="Arial"/>
          <w:sz w:val="20"/>
          <w:lang w:val="es-MX" w:eastAsia="ja-JP"/>
        </w:rPr>
        <w:t xml:space="preserve">F.A.H </w:t>
      </w:r>
      <w:r w:rsidR="00193918">
        <w:rPr>
          <w:rFonts w:ascii="Verdana" w:hAnsi="Verdana" w:cs="Arial"/>
          <w:sz w:val="20"/>
          <w:lang w:val="es-MX" w:eastAsia="ja-JP"/>
        </w:rPr>
        <w:t>“</w:t>
      </w:r>
      <w:r w:rsidR="00B416F7" w:rsidRPr="00642DC3">
        <w:rPr>
          <w:rFonts w:ascii="Verdana" w:hAnsi="Verdana" w:cs="Arial"/>
          <w:sz w:val="20"/>
          <w:lang w:val="es-MX" w:eastAsia="ja-JP"/>
        </w:rPr>
        <w:t>carece de un vínculo con los hechos que originaron las</w:t>
      </w:r>
      <w:r w:rsidR="00AB3E36" w:rsidRPr="00C75287">
        <w:rPr>
          <w:rFonts w:ascii="Verdana" w:hAnsi="Verdana" w:cs="Arial"/>
          <w:sz w:val="20"/>
          <w:lang w:val="es-MX" w:eastAsia="ja-JP"/>
        </w:rPr>
        <w:t xml:space="preserve"> presentes</w:t>
      </w:r>
      <w:r w:rsidR="00B416F7" w:rsidRPr="00642DC3">
        <w:rPr>
          <w:rFonts w:ascii="Verdana" w:hAnsi="Verdana" w:cs="Arial"/>
          <w:sz w:val="20"/>
          <w:lang w:val="es-MX" w:eastAsia="ja-JP"/>
        </w:rPr>
        <w:t xml:space="preserve"> medidas provisionales</w:t>
      </w:r>
      <w:r w:rsidR="00193918">
        <w:rPr>
          <w:rFonts w:ascii="Verdana" w:hAnsi="Verdana" w:cs="Arial"/>
          <w:sz w:val="20"/>
          <w:lang w:val="es-MX" w:eastAsia="ja-JP"/>
        </w:rPr>
        <w:t>”</w:t>
      </w:r>
      <w:r w:rsidR="00AB3E36" w:rsidRPr="00C75287">
        <w:rPr>
          <w:rFonts w:ascii="Verdana" w:hAnsi="Verdana" w:cs="Arial"/>
          <w:sz w:val="20"/>
          <w:lang w:val="es-MX" w:eastAsia="ja-JP"/>
        </w:rPr>
        <w:t xml:space="preserve">, </w:t>
      </w:r>
      <w:r w:rsidR="00EF385B" w:rsidRPr="00C75287">
        <w:rPr>
          <w:rFonts w:ascii="Verdana" w:hAnsi="Verdana" w:cs="Arial"/>
          <w:sz w:val="20"/>
          <w:lang w:val="es-MX" w:eastAsia="ja-JP"/>
        </w:rPr>
        <w:t>en tanto</w:t>
      </w:r>
      <w:r w:rsidR="00EF385B" w:rsidRPr="00642DC3">
        <w:rPr>
          <w:rFonts w:ascii="Verdana" w:hAnsi="Verdana" w:cs="Arial"/>
          <w:color w:val="FF0000"/>
          <w:sz w:val="20"/>
          <w:lang w:val="es-MX" w:eastAsia="ja-JP"/>
        </w:rPr>
        <w:t xml:space="preserve"> </w:t>
      </w:r>
      <w:r w:rsidR="00972EC1" w:rsidRPr="00C75287">
        <w:rPr>
          <w:rFonts w:ascii="Verdana" w:hAnsi="Verdana" w:cs="Arial"/>
          <w:sz w:val="20"/>
          <w:lang w:val="es-MX" w:eastAsia="ja-JP"/>
        </w:rPr>
        <w:t xml:space="preserve">el referido homicidio no tiene </w:t>
      </w:r>
      <w:r w:rsidR="003C071A" w:rsidRPr="00642DC3">
        <w:rPr>
          <w:rFonts w:ascii="Verdana" w:hAnsi="Verdana" w:cs="Arial"/>
          <w:sz w:val="20"/>
          <w:lang w:val="es-MX" w:eastAsia="ja-JP"/>
        </w:rPr>
        <w:t>relación</w:t>
      </w:r>
      <w:r w:rsidR="00972EC1" w:rsidRPr="00642DC3">
        <w:rPr>
          <w:rFonts w:ascii="Verdana" w:hAnsi="Verdana" w:cs="Arial"/>
          <w:sz w:val="20"/>
          <w:lang w:val="es-MX" w:eastAsia="ja-JP"/>
        </w:rPr>
        <w:t xml:space="preserve"> </w:t>
      </w:r>
      <w:r w:rsidR="00F13A63" w:rsidRPr="00642DC3">
        <w:rPr>
          <w:rFonts w:ascii="Verdana" w:hAnsi="Verdana" w:cs="Arial"/>
          <w:sz w:val="20"/>
          <w:lang w:val="es-MX" w:eastAsia="ja-JP"/>
        </w:rPr>
        <w:t>“</w:t>
      </w:r>
      <w:r w:rsidR="00972EC1" w:rsidRPr="00642DC3">
        <w:rPr>
          <w:rFonts w:ascii="Verdana" w:hAnsi="Verdana" w:cs="Arial"/>
          <w:sz w:val="20"/>
          <w:lang w:val="es-MX" w:eastAsia="ja-JP"/>
        </w:rPr>
        <w:t>con actos de hostigamiento y amenaza</w:t>
      </w:r>
      <w:r w:rsidR="00F13A63" w:rsidRPr="00642DC3">
        <w:rPr>
          <w:rFonts w:ascii="Verdana" w:hAnsi="Verdana" w:cs="Arial"/>
          <w:sz w:val="20"/>
          <w:lang w:val="es-MX" w:eastAsia="ja-JP"/>
        </w:rPr>
        <w:t>”</w:t>
      </w:r>
      <w:r w:rsidR="00972EC1" w:rsidRPr="00642DC3">
        <w:rPr>
          <w:rFonts w:ascii="Verdana" w:hAnsi="Verdana" w:cs="Arial"/>
          <w:sz w:val="20"/>
          <w:lang w:val="es-MX" w:eastAsia="ja-JP"/>
        </w:rPr>
        <w:t xml:space="preserve"> en contra de familiares de Nitza Paola Alvarado Espinoza, Rocío Irene Alvarado Reyes, y José Ángel</w:t>
      </w:r>
      <w:r w:rsidR="00F13A63" w:rsidRPr="00642DC3">
        <w:rPr>
          <w:rFonts w:ascii="Verdana" w:hAnsi="Verdana" w:cs="Arial"/>
          <w:sz w:val="20"/>
          <w:lang w:val="es-MX" w:eastAsia="ja-JP"/>
        </w:rPr>
        <w:t xml:space="preserve"> Alvarado Herrera.</w:t>
      </w:r>
      <w:r w:rsidR="00972EC1" w:rsidRPr="00642DC3">
        <w:rPr>
          <w:rFonts w:ascii="Verdana" w:hAnsi="Verdana" w:cs="Arial"/>
          <w:sz w:val="20"/>
          <w:lang w:val="es-MX" w:eastAsia="ja-JP"/>
        </w:rPr>
        <w:t xml:space="preserve"> </w:t>
      </w:r>
      <w:r w:rsidR="009A6F57" w:rsidRPr="00C75287">
        <w:rPr>
          <w:rFonts w:ascii="Verdana" w:hAnsi="Verdana" w:cs="Arial"/>
          <w:sz w:val="20"/>
          <w:lang w:val="es-MX" w:eastAsia="ja-JP"/>
        </w:rPr>
        <w:t>Además, consideró</w:t>
      </w:r>
      <w:r w:rsidR="00AB3E36" w:rsidRPr="00C75287">
        <w:rPr>
          <w:rFonts w:ascii="Verdana" w:hAnsi="Verdana" w:cs="Arial"/>
          <w:sz w:val="20"/>
          <w:lang w:val="es-MX" w:eastAsia="ja-JP"/>
        </w:rPr>
        <w:t xml:space="preserve"> que</w:t>
      </w:r>
      <w:r w:rsidR="00AB3E36" w:rsidRPr="00C75287">
        <w:rPr>
          <w:rFonts w:ascii="Verdana" w:hAnsi="Verdana" w:cs="Arial"/>
          <w:sz w:val="20"/>
          <w:lang w:val="es-CR" w:eastAsia="ja-JP"/>
        </w:rPr>
        <w:t xml:space="preserve"> la ampliación de las medidas provisionales contravendría el</w:t>
      </w:r>
      <w:r w:rsidR="009A6F57" w:rsidRPr="00C75287">
        <w:rPr>
          <w:rFonts w:ascii="Verdana" w:hAnsi="Verdana" w:cs="Arial"/>
          <w:sz w:val="20"/>
          <w:lang w:val="es-CR" w:eastAsia="ja-JP"/>
        </w:rPr>
        <w:t xml:space="preserve"> principio de complementariedad, y en este sentido</w:t>
      </w:r>
      <w:r w:rsidR="00AB3E36" w:rsidRPr="00C75287">
        <w:rPr>
          <w:rFonts w:ascii="Verdana" w:hAnsi="Verdana"/>
          <w:b/>
          <w:sz w:val="20"/>
          <w:szCs w:val="20"/>
        </w:rPr>
        <w:t xml:space="preserve"> </w:t>
      </w:r>
      <w:r w:rsidR="002863F6" w:rsidRPr="00642DC3">
        <w:rPr>
          <w:rFonts w:ascii="Verdana" w:hAnsi="Verdana" w:cs="Arial"/>
          <w:sz w:val="20"/>
          <w:lang w:val="es-MX" w:eastAsia="ja-JP"/>
        </w:rPr>
        <w:t>explicó que “el Estado mexicano ha demostrado que actualmente se están implementando medidas para salvaguardar la integridad del meno[r]</w:t>
      </w:r>
      <w:r w:rsidR="002863F6" w:rsidRPr="0097554A">
        <w:rPr>
          <w:rFonts w:ascii="Verdana" w:hAnsi="Verdana" w:cs="Arial"/>
          <w:sz w:val="20"/>
          <w:lang w:val="es-MX" w:eastAsia="ja-JP"/>
        </w:rPr>
        <w:t xml:space="preserve"> A.G.A., </w:t>
      </w:r>
      <w:r w:rsidR="001C62EB">
        <w:rPr>
          <w:rFonts w:ascii="Verdana" w:hAnsi="Verdana" w:cs="Arial"/>
          <w:sz w:val="20"/>
          <w:lang w:val="es-MX" w:eastAsia="ja-JP"/>
        </w:rPr>
        <w:t xml:space="preserve">[…] </w:t>
      </w:r>
      <w:r w:rsidR="002863F6" w:rsidRPr="0097554A">
        <w:rPr>
          <w:rFonts w:ascii="Verdana" w:hAnsi="Verdana" w:cs="Arial"/>
          <w:sz w:val="20"/>
          <w:lang w:val="es-MX" w:eastAsia="ja-JP"/>
        </w:rPr>
        <w:t>[dado que] se encuentra realizando las acciones necesarias para lograr</w:t>
      </w:r>
      <w:r w:rsidR="002863F6" w:rsidRPr="00D948BC">
        <w:rPr>
          <w:rFonts w:ascii="Verdana" w:hAnsi="Verdana" w:cs="Arial"/>
          <w:sz w:val="20"/>
          <w:lang w:val="es-MX" w:eastAsia="ja-JP"/>
        </w:rPr>
        <w:t xml:space="preserve"> la inclusión de todas las </w:t>
      </w:r>
      <w:r w:rsidR="002863F6" w:rsidRPr="002536A2">
        <w:rPr>
          <w:rFonts w:ascii="Verdana" w:hAnsi="Verdana" w:cs="Arial"/>
          <w:sz w:val="20"/>
          <w:lang w:val="es-MX" w:eastAsia="ja-JP"/>
        </w:rPr>
        <w:t>víctimas indirectas de los hechos en</w:t>
      </w:r>
      <w:r w:rsidR="00ED3542">
        <w:rPr>
          <w:rFonts w:ascii="Verdana" w:hAnsi="Verdana" w:cs="Arial"/>
          <w:sz w:val="20"/>
          <w:lang w:val="es-MX" w:eastAsia="ja-JP"/>
        </w:rPr>
        <w:t xml:space="preserve"> que perdiera la vida </w:t>
      </w:r>
      <w:r w:rsidR="00E865F0" w:rsidRPr="00C75287">
        <w:rPr>
          <w:rFonts w:ascii="Verdana" w:hAnsi="Verdana" w:cs="Arial"/>
          <w:sz w:val="20"/>
          <w:lang w:val="es-MX" w:eastAsia="ja-JP"/>
        </w:rPr>
        <w:t>[</w:t>
      </w:r>
      <w:r w:rsidR="00ED3542">
        <w:rPr>
          <w:rFonts w:ascii="Verdana" w:hAnsi="Verdana" w:cs="Arial"/>
          <w:sz w:val="20"/>
          <w:lang w:val="es-MX" w:eastAsia="ja-JP"/>
        </w:rPr>
        <w:t>F.A.H.</w:t>
      </w:r>
      <w:r w:rsidR="00E865F0" w:rsidRPr="00C75287">
        <w:rPr>
          <w:rFonts w:ascii="Verdana" w:hAnsi="Verdana" w:cs="Arial"/>
          <w:sz w:val="20"/>
          <w:lang w:val="es-MX" w:eastAsia="ja-JP"/>
        </w:rPr>
        <w:t>]</w:t>
      </w:r>
      <w:r w:rsidR="001C62EB">
        <w:rPr>
          <w:rFonts w:ascii="Verdana" w:hAnsi="Verdana" w:cs="Arial"/>
          <w:sz w:val="20"/>
          <w:lang w:val="es-MX" w:eastAsia="ja-JP"/>
        </w:rPr>
        <w:t>,</w:t>
      </w:r>
      <w:r w:rsidR="002863F6" w:rsidRPr="00C75287">
        <w:rPr>
          <w:rFonts w:ascii="Verdana" w:hAnsi="Verdana" w:cs="Arial"/>
          <w:sz w:val="20"/>
          <w:lang w:val="es-MX" w:eastAsia="ja-JP"/>
        </w:rPr>
        <w:t xml:space="preserve"> al Registro Estatal de Víctimas</w:t>
      </w:r>
      <w:r w:rsidR="00E73113" w:rsidRPr="00C75287">
        <w:rPr>
          <w:rFonts w:ascii="Verdana" w:hAnsi="Verdana" w:cs="Arial"/>
          <w:sz w:val="20"/>
          <w:lang w:val="es-MX" w:eastAsia="ja-JP"/>
        </w:rPr>
        <w:t>, lo cual predispone el otorgamiento en favor del niño A.G.A. la protección, atenciones y derechos que por ley le concede dicha inclusión</w:t>
      </w:r>
      <w:r w:rsidR="002863F6" w:rsidRPr="00C75287">
        <w:rPr>
          <w:rFonts w:ascii="Verdana" w:hAnsi="Verdana" w:cs="Arial"/>
          <w:sz w:val="20"/>
          <w:lang w:val="es-MX" w:eastAsia="ja-JP"/>
        </w:rPr>
        <w:t>”</w:t>
      </w:r>
      <w:r w:rsidR="00E73113" w:rsidRPr="00C75287">
        <w:rPr>
          <w:rFonts w:ascii="Verdana" w:hAnsi="Verdana" w:cs="Arial"/>
          <w:sz w:val="20"/>
          <w:lang w:val="es-MX" w:eastAsia="ja-JP"/>
        </w:rPr>
        <w:t xml:space="preserve">. </w:t>
      </w:r>
      <w:r w:rsidR="00AB3E36" w:rsidRPr="00C75287">
        <w:rPr>
          <w:rFonts w:ascii="Verdana" w:hAnsi="Verdana" w:cs="Arial"/>
          <w:sz w:val="20"/>
          <w:lang w:val="es-MX" w:eastAsia="ja-JP"/>
        </w:rPr>
        <w:t>Por último, e</w:t>
      </w:r>
      <w:r w:rsidR="00E865F0" w:rsidRPr="00642DC3">
        <w:rPr>
          <w:rFonts w:ascii="Verdana" w:hAnsi="Verdana" w:cs="Arial"/>
          <w:sz w:val="20"/>
          <w:lang w:val="es-MX" w:eastAsia="ja-JP"/>
        </w:rPr>
        <w:t>l</w:t>
      </w:r>
      <w:r w:rsidR="00E865F0" w:rsidRPr="00642DC3">
        <w:rPr>
          <w:rFonts w:ascii="Verdana" w:hAnsi="Verdana" w:cs="Arial"/>
          <w:b/>
          <w:i/>
          <w:sz w:val="20"/>
          <w:lang w:val="es-MX" w:eastAsia="ja-JP"/>
        </w:rPr>
        <w:t xml:space="preserve"> </w:t>
      </w:r>
      <w:r w:rsidR="00E865F0" w:rsidRPr="00121865">
        <w:rPr>
          <w:rFonts w:ascii="Verdana" w:hAnsi="Verdana" w:cs="Arial"/>
          <w:sz w:val="20"/>
          <w:lang w:val="es-MX" w:eastAsia="ja-JP"/>
        </w:rPr>
        <w:t>Estado</w:t>
      </w:r>
      <w:r w:rsidR="00E865F0" w:rsidRPr="00642DC3">
        <w:rPr>
          <w:rFonts w:ascii="Verdana" w:hAnsi="Verdana" w:cs="Arial"/>
          <w:b/>
          <w:i/>
          <w:sz w:val="20"/>
          <w:lang w:val="es-MX" w:eastAsia="ja-JP"/>
        </w:rPr>
        <w:t xml:space="preserve"> </w:t>
      </w:r>
      <w:r w:rsidR="00AB3E36" w:rsidRPr="00C75287">
        <w:rPr>
          <w:rFonts w:ascii="Verdana" w:hAnsi="Verdana" w:cs="Arial"/>
          <w:sz w:val="20"/>
          <w:lang w:val="es-MX" w:eastAsia="ja-JP"/>
        </w:rPr>
        <w:t>señaló</w:t>
      </w:r>
      <w:r w:rsidR="00E865F0" w:rsidRPr="00642DC3">
        <w:rPr>
          <w:rFonts w:ascii="Verdana" w:hAnsi="Verdana" w:cs="Arial"/>
          <w:sz w:val="20"/>
          <w:lang w:val="es-MX" w:eastAsia="ja-JP"/>
        </w:rPr>
        <w:t xml:space="preserve"> que el menor A.G.A. “sí goza de los beneficios derivados de la implementación de las medidas provisionales [</w:t>
      </w:r>
      <w:r w:rsidR="00E865F0" w:rsidRPr="0097554A">
        <w:rPr>
          <w:rFonts w:ascii="Verdana" w:hAnsi="Verdana" w:cs="Arial"/>
          <w:sz w:val="20"/>
          <w:lang w:val="es-MX" w:eastAsia="ja-JP"/>
        </w:rPr>
        <w:t>dictadas por la Corte</w:t>
      </w:r>
      <w:r w:rsidR="001C62EB">
        <w:rPr>
          <w:rFonts w:ascii="Verdana" w:hAnsi="Verdana" w:cs="Arial"/>
          <w:sz w:val="20"/>
          <w:lang w:val="es-MX" w:eastAsia="ja-JP"/>
        </w:rPr>
        <w:t>,</w:t>
      </w:r>
      <w:r w:rsidR="00E865F0" w:rsidRPr="0097554A">
        <w:rPr>
          <w:rFonts w:ascii="Verdana" w:hAnsi="Verdana" w:cs="Arial"/>
          <w:sz w:val="20"/>
          <w:lang w:val="es-MX" w:eastAsia="ja-JP"/>
        </w:rPr>
        <w:t xml:space="preserve"> en virtud de que]</w:t>
      </w:r>
      <w:r w:rsidR="001C62EB">
        <w:rPr>
          <w:rFonts w:ascii="Verdana" w:hAnsi="Verdana" w:cs="Arial"/>
          <w:sz w:val="20"/>
          <w:lang w:val="es-MX" w:eastAsia="ja-JP"/>
        </w:rPr>
        <w:t xml:space="preserve"> […]</w:t>
      </w:r>
      <w:r w:rsidR="00E865F0" w:rsidRPr="0097554A">
        <w:rPr>
          <w:rFonts w:ascii="Verdana" w:hAnsi="Verdana" w:cs="Arial"/>
          <w:sz w:val="20"/>
          <w:lang w:val="es-MX" w:eastAsia="ja-JP"/>
        </w:rPr>
        <w:t xml:space="preserve"> forma parte del núcleo familiar de la beneficiaria Rosa </w:t>
      </w:r>
      <w:r w:rsidR="00887D62" w:rsidRPr="00D948BC">
        <w:rPr>
          <w:rFonts w:ascii="Verdana" w:hAnsi="Verdana" w:cs="Arial"/>
          <w:sz w:val="20"/>
          <w:lang w:val="es-MX" w:eastAsia="ja-JP"/>
        </w:rPr>
        <w:t xml:space="preserve">[Olivia] </w:t>
      </w:r>
      <w:r w:rsidR="00E865F0" w:rsidRPr="002536A2">
        <w:rPr>
          <w:rFonts w:ascii="Verdana" w:hAnsi="Verdana" w:cs="Arial"/>
          <w:sz w:val="20"/>
          <w:lang w:val="es-MX" w:eastAsia="ja-JP"/>
        </w:rPr>
        <w:t>Alvarado</w:t>
      </w:r>
      <w:r w:rsidR="00887D62" w:rsidRPr="002536A2">
        <w:rPr>
          <w:rFonts w:ascii="Verdana" w:hAnsi="Verdana" w:cs="Arial"/>
          <w:sz w:val="20"/>
          <w:lang w:val="es-MX" w:eastAsia="ja-JP"/>
        </w:rPr>
        <w:t xml:space="preserve"> [Herrera]</w:t>
      </w:r>
      <w:r w:rsidR="00E865F0" w:rsidRPr="00DC4992">
        <w:rPr>
          <w:rFonts w:ascii="Verdana" w:hAnsi="Verdana" w:cs="Arial"/>
          <w:sz w:val="20"/>
          <w:lang w:val="es-MX" w:eastAsia="ja-JP"/>
        </w:rPr>
        <w:t xml:space="preserve">, y por ello, las medidas de seguridad e </w:t>
      </w:r>
      <w:r w:rsidR="00204353" w:rsidRPr="00DC4992">
        <w:rPr>
          <w:rFonts w:ascii="Verdana" w:hAnsi="Verdana" w:cs="Arial"/>
          <w:sz w:val="20"/>
          <w:lang w:val="es-MX" w:eastAsia="ja-JP"/>
        </w:rPr>
        <w:t>infraestructura que se han otorgado amparan al total de sus integrantes, incluyendo al menor A.G.A.</w:t>
      </w:r>
      <w:r w:rsidR="00E865F0" w:rsidRPr="00DC4992">
        <w:rPr>
          <w:rFonts w:ascii="Verdana" w:hAnsi="Verdana" w:cs="Arial"/>
          <w:sz w:val="20"/>
          <w:lang w:val="es-MX" w:eastAsia="ja-JP"/>
        </w:rPr>
        <w:t>”</w:t>
      </w:r>
      <w:r w:rsidR="00CB4815" w:rsidRPr="00960E80">
        <w:rPr>
          <w:rFonts w:ascii="Verdana" w:hAnsi="Verdana"/>
          <w:sz w:val="20"/>
          <w:szCs w:val="20"/>
        </w:rPr>
        <w:t>.</w:t>
      </w:r>
    </w:p>
    <w:p w14:paraId="0BC14315" w14:textId="77777777" w:rsidR="00CB4815" w:rsidRPr="00C45913" w:rsidRDefault="00CB4815" w:rsidP="00C45913">
      <w:pPr>
        <w:pStyle w:val="ListParagraph"/>
        <w:ind w:left="0" w:right="19"/>
        <w:jc w:val="both"/>
        <w:rPr>
          <w:rFonts w:ascii="Verdana" w:hAnsi="Verdana" w:cs="Arial"/>
          <w:sz w:val="20"/>
          <w:lang w:val="es-CR" w:eastAsia="ja-JP"/>
        </w:rPr>
      </w:pPr>
    </w:p>
    <w:p w14:paraId="2E7B80D8" w14:textId="68C03C00" w:rsidR="00CE3673" w:rsidRPr="00121865" w:rsidRDefault="00CB4815" w:rsidP="00121865">
      <w:pPr>
        <w:pStyle w:val="ListParagraph"/>
        <w:numPr>
          <w:ilvl w:val="0"/>
          <w:numId w:val="19"/>
        </w:numPr>
        <w:ind w:left="0" w:right="19" w:firstLine="0"/>
        <w:jc w:val="both"/>
        <w:rPr>
          <w:rFonts w:ascii="Verdana" w:hAnsi="Verdana" w:cs="Arial"/>
          <w:sz w:val="20"/>
          <w:lang w:val="es-CR" w:eastAsia="ja-JP"/>
        </w:rPr>
      </w:pPr>
      <w:r w:rsidRPr="007479C2">
        <w:rPr>
          <w:rFonts w:ascii="Verdana" w:hAnsi="Verdana" w:cs="Arial"/>
          <w:sz w:val="20"/>
          <w:lang w:val="es-CR" w:eastAsia="ja-JP"/>
        </w:rPr>
        <w:t xml:space="preserve">Por </w:t>
      </w:r>
      <w:r w:rsidR="00A25390" w:rsidRPr="007479C2">
        <w:rPr>
          <w:rFonts w:ascii="Verdana" w:hAnsi="Verdana" w:cs="Arial"/>
          <w:sz w:val="20"/>
          <w:lang w:val="es-CR" w:eastAsia="ja-JP"/>
        </w:rPr>
        <w:t xml:space="preserve">su parte, </w:t>
      </w:r>
      <w:r w:rsidR="00A25390" w:rsidRPr="00C45913">
        <w:rPr>
          <w:rFonts w:ascii="Verdana" w:hAnsi="Verdana" w:cs="Arial"/>
          <w:sz w:val="20"/>
          <w:lang w:val="es-CR" w:eastAsia="ja-JP"/>
        </w:rPr>
        <w:t>la</w:t>
      </w:r>
      <w:r w:rsidR="00A25390" w:rsidRPr="007479C2">
        <w:rPr>
          <w:rFonts w:ascii="Verdana" w:hAnsi="Verdana" w:cs="Arial"/>
          <w:b/>
          <w:i/>
          <w:sz w:val="20"/>
          <w:lang w:val="es-CR" w:eastAsia="ja-JP"/>
        </w:rPr>
        <w:t xml:space="preserve"> Comisión </w:t>
      </w:r>
      <w:r w:rsidR="0056098A" w:rsidRPr="00C45913">
        <w:rPr>
          <w:rFonts w:ascii="Verdana" w:hAnsi="Verdana" w:cs="Arial"/>
          <w:sz w:val="20"/>
          <w:lang w:val="es-MX" w:eastAsia="ja-JP"/>
        </w:rPr>
        <w:t>señaló que</w:t>
      </w:r>
      <w:r w:rsidR="0056098A" w:rsidRPr="00C45913">
        <w:rPr>
          <w:rFonts w:ascii="Verdana" w:hAnsi="Verdana" w:cs="Arial"/>
          <w:b/>
          <w:i/>
          <w:sz w:val="20"/>
          <w:lang w:val="es-MX" w:eastAsia="ja-JP"/>
        </w:rPr>
        <w:t xml:space="preserve"> </w:t>
      </w:r>
      <w:r w:rsidR="0056098A" w:rsidRPr="00C45913">
        <w:rPr>
          <w:rFonts w:ascii="Verdana" w:hAnsi="Verdana" w:cs="Arial"/>
          <w:sz w:val="20"/>
          <w:lang w:val="es-MX" w:eastAsia="ja-JP"/>
        </w:rPr>
        <w:t xml:space="preserve">“en términos generales, el Estado se refirió </w:t>
      </w:r>
      <w:r w:rsidR="0056098A" w:rsidRPr="007479C2">
        <w:rPr>
          <w:rFonts w:ascii="Verdana" w:hAnsi="Verdana" w:cs="Arial"/>
          <w:sz w:val="20"/>
          <w:lang w:val="es-MX" w:eastAsia="ja-JP"/>
        </w:rPr>
        <w:t xml:space="preserve">[en su informe] </w:t>
      </w:r>
      <w:r w:rsidR="0056098A" w:rsidRPr="00C45913">
        <w:rPr>
          <w:rFonts w:ascii="Verdana" w:hAnsi="Verdana" w:cs="Arial"/>
          <w:sz w:val="20"/>
          <w:lang w:val="es-MX" w:eastAsia="ja-JP"/>
        </w:rPr>
        <w:t xml:space="preserve">únicamente al inicio de la investigación y algunas medidas de atención, principalmente por parte de la Comisión Ejecutiva de Atención a Víctimas del </w:t>
      </w:r>
      <w:r w:rsidR="0056098A" w:rsidRPr="007479C2">
        <w:rPr>
          <w:rFonts w:ascii="Verdana" w:hAnsi="Verdana" w:cs="Arial"/>
          <w:sz w:val="20"/>
          <w:lang w:val="es-MX" w:eastAsia="ja-JP"/>
        </w:rPr>
        <w:t>[E]</w:t>
      </w:r>
      <w:r w:rsidR="0056098A" w:rsidRPr="00C45913">
        <w:rPr>
          <w:rFonts w:ascii="Verdana" w:hAnsi="Verdana" w:cs="Arial"/>
          <w:sz w:val="20"/>
          <w:lang w:val="es-MX" w:eastAsia="ja-JP"/>
        </w:rPr>
        <w:t>stado de Chihuahua</w:t>
      </w:r>
      <w:r w:rsidR="0056098A" w:rsidRPr="007479C2">
        <w:rPr>
          <w:rFonts w:ascii="Verdana" w:hAnsi="Verdana" w:cs="Arial"/>
          <w:sz w:val="20"/>
          <w:lang w:val="es-MX" w:eastAsia="ja-JP"/>
        </w:rPr>
        <w:t>”</w:t>
      </w:r>
      <w:r w:rsidR="0056098A" w:rsidRPr="00C45913">
        <w:rPr>
          <w:rFonts w:ascii="Verdana" w:hAnsi="Verdana" w:cs="Arial"/>
          <w:sz w:val="20"/>
          <w:lang w:val="es-MX" w:eastAsia="ja-JP"/>
        </w:rPr>
        <w:t>.</w:t>
      </w:r>
      <w:r w:rsidR="007479C2" w:rsidRPr="00C45913">
        <w:rPr>
          <w:rFonts w:ascii="Cambria" w:hAnsi="Cambria" w:cs="Cambria"/>
          <w:sz w:val="20"/>
          <w:szCs w:val="22"/>
          <w:lang w:val="es-MX" w:eastAsia="en-US"/>
        </w:rPr>
        <w:t xml:space="preserve"> </w:t>
      </w:r>
      <w:r w:rsidR="007479C2" w:rsidRPr="00C45913">
        <w:rPr>
          <w:rFonts w:ascii="Verdana" w:hAnsi="Verdana" w:cs="Cambria"/>
          <w:sz w:val="20"/>
          <w:szCs w:val="22"/>
          <w:lang w:val="es-MX" w:eastAsia="en-US"/>
        </w:rPr>
        <w:t>En este sentido,</w:t>
      </w:r>
      <w:r w:rsidR="007479C2" w:rsidRPr="00C45913">
        <w:rPr>
          <w:rFonts w:ascii="Cambria" w:hAnsi="Cambria" w:cs="Cambria"/>
          <w:sz w:val="20"/>
          <w:szCs w:val="22"/>
          <w:lang w:val="es-MX" w:eastAsia="en-US"/>
        </w:rPr>
        <w:t xml:space="preserve"> </w:t>
      </w:r>
      <w:r w:rsidR="007479C2">
        <w:rPr>
          <w:rFonts w:ascii="Verdana" w:hAnsi="Verdana" w:cs="Arial"/>
          <w:sz w:val="20"/>
          <w:lang w:val="es-MX" w:eastAsia="ja-JP"/>
        </w:rPr>
        <w:t>enfatizó</w:t>
      </w:r>
      <w:r w:rsidR="007479C2" w:rsidRPr="00C45913">
        <w:rPr>
          <w:rFonts w:ascii="Verdana" w:hAnsi="Verdana" w:cs="Arial"/>
          <w:sz w:val="20"/>
          <w:lang w:val="es-MX" w:eastAsia="ja-JP"/>
        </w:rPr>
        <w:t xml:space="preserve"> que</w:t>
      </w:r>
      <w:r w:rsidR="007479C2">
        <w:rPr>
          <w:rFonts w:ascii="Verdana" w:hAnsi="Verdana" w:cs="Arial"/>
          <w:sz w:val="20"/>
          <w:lang w:val="es-MX" w:eastAsia="ja-JP"/>
        </w:rPr>
        <w:t>, con relación a las medidas de protección adoptadas por el Estado en favor de los beneficiarios</w:t>
      </w:r>
      <w:r w:rsidR="002A03D6">
        <w:rPr>
          <w:rFonts w:ascii="Verdana" w:hAnsi="Verdana" w:cs="Arial"/>
          <w:sz w:val="20"/>
          <w:lang w:val="es-MX" w:eastAsia="ja-JP"/>
        </w:rPr>
        <w:t xml:space="preserve"> tras el homicidio de</w:t>
      </w:r>
      <w:r w:rsidR="00D80510">
        <w:rPr>
          <w:rFonts w:ascii="Verdana" w:hAnsi="Verdana" w:cs="Arial"/>
          <w:sz w:val="20"/>
          <w:lang w:val="es-MX" w:eastAsia="ja-JP"/>
        </w:rPr>
        <w:t xml:space="preserve"> F.A.H</w:t>
      </w:r>
      <w:r w:rsidR="002A03D6">
        <w:rPr>
          <w:rFonts w:ascii="Verdana" w:hAnsi="Verdana" w:cs="Arial"/>
          <w:sz w:val="20"/>
          <w:lang w:val="es-MX" w:eastAsia="ja-JP"/>
        </w:rPr>
        <w:t>, “</w:t>
      </w:r>
      <w:r w:rsidR="007479C2" w:rsidRPr="00C45913">
        <w:rPr>
          <w:rFonts w:ascii="Verdana" w:hAnsi="Verdana" w:cs="Arial"/>
          <w:sz w:val="20"/>
          <w:lang w:val="es-MX" w:eastAsia="ja-JP"/>
        </w:rPr>
        <w:t>los propios representantes ya habían advertido sobre algunas falencias en la atención bridada por el Estado luego de ocurridos los hechos</w:t>
      </w:r>
      <w:r w:rsidR="002A03D6">
        <w:rPr>
          <w:rFonts w:ascii="Verdana" w:hAnsi="Verdana" w:cs="Arial"/>
          <w:sz w:val="20"/>
          <w:lang w:val="es-MX" w:eastAsia="ja-JP"/>
        </w:rPr>
        <w:t xml:space="preserve">”, mencionando </w:t>
      </w:r>
      <w:r w:rsidR="00D45A17">
        <w:rPr>
          <w:rFonts w:ascii="Verdana" w:hAnsi="Verdana" w:cs="Arial"/>
          <w:sz w:val="20"/>
          <w:lang w:val="es-MX" w:eastAsia="ja-JP"/>
        </w:rPr>
        <w:t xml:space="preserve">además </w:t>
      </w:r>
      <w:r w:rsidR="002A03D6">
        <w:rPr>
          <w:rFonts w:ascii="Verdana" w:hAnsi="Verdana" w:cs="Arial"/>
          <w:sz w:val="20"/>
          <w:lang w:val="es-MX" w:eastAsia="ja-JP"/>
        </w:rPr>
        <w:t xml:space="preserve">que, con relación a las carencias subrayadas por los representantes en su solicitud de ampliación de medidas provisionales en favor del menor A.G.A., </w:t>
      </w:r>
      <w:r w:rsidR="007479C2" w:rsidRPr="00C45913">
        <w:rPr>
          <w:rFonts w:ascii="Verdana" w:hAnsi="Verdana" w:cs="Arial"/>
          <w:sz w:val="20"/>
          <w:lang w:val="es-MX" w:eastAsia="ja-JP"/>
        </w:rPr>
        <w:t xml:space="preserve">el Estado no </w:t>
      </w:r>
      <w:r w:rsidR="002A03D6">
        <w:rPr>
          <w:rFonts w:ascii="Verdana" w:hAnsi="Verdana" w:cs="Arial"/>
          <w:sz w:val="20"/>
          <w:lang w:val="es-MX" w:eastAsia="ja-JP"/>
        </w:rPr>
        <w:t xml:space="preserve">realizó pronunciamiento </w:t>
      </w:r>
      <w:r w:rsidR="007479C2" w:rsidRPr="00C45913">
        <w:rPr>
          <w:rFonts w:ascii="Verdana" w:hAnsi="Verdana" w:cs="Arial"/>
          <w:sz w:val="20"/>
          <w:lang w:val="es-MX" w:eastAsia="ja-JP"/>
        </w:rPr>
        <w:t xml:space="preserve">específicamente </w:t>
      </w:r>
      <w:r w:rsidR="002A03D6">
        <w:rPr>
          <w:rFonts w:ascii="Verdana" w:hAnsi="Verdana" w:cs="Arial"/>
          <w:sz w:val="20"/>
          <w:lang w:val="es-MX" w:eastAsia="ja-JP"/>
        </w:rPr>
        <w:t>alguno</w:t>
      </w:r>
      <w:r w:rsidR="007479C2" w:rsidRPr="00C45913">
        <w:rPr>
          <w:rFonts w:ascii="Verdana" w:hAnsi="Verdana" w:cs="Arial"/>
          <w:sz w:val="20"/>
          <w:lang w:val="es-MX" w:eastAsia="ja-JP"/>
        </w:rPr>
        <w:t>.</w:t>
      </w:r>
      <w:r w:rsidR="00121865">
        <w:rPr>
          <w:rFonts w:ascii="Verdana" w:hAnsi="Verdana" w:cs="Arial"/>
          <w:sz w:val="20"/>
          <w:lang w:val="es-CR" w:eastAsia="ja-JP"/>
        </w:rPr>
        <w:t xml:space="preserve"> </w:t>
      </w:r>
      <w:r w:rsidR="00AB32D2" w:rsidRPr="00121865">
        <w:rPr>
          <w:rFonts w:ascii="Verdana" w:hAnsi="Verdana" w:cs="Arial"/>
          <w:sz w:val="20"/>
          <w:lang w:val="es-MX" w:eastAsia="ja-JP"/>
        </w:rPr>
        <w:t>Asimismo, la Comisión</w:t>
      </w:r>
      <w:r w:rsidR="00AB32D2" w:rsidRPr="00121865">
        <w:rPr>
          <w:rFonts w:ascii="Verdana" w:hAnsi="Verdana" w:cs="Arial"/>
          <w:sz w:val="20"/>
          <w:lang w:val="es-CR" w:eastAsia="ja-JP"/>
        </w:rPr>
        <w:t xml:space="preserve"> </w:t>
      </w:r>
      <w:r w:rsidR="009A31AB" w:rsidRPr="00121865">
        <w:rPr>
          <w:rFonts w:ascii="Verdana" w:hAnsi="Verdana" w:cs="Arial"/>
          <w:sz w:val="20"/>
          <w:lang w:val="es-CR" w:eastAsia="ja-JP"/>
        </w:rPr>
        <w:t xml:space="preserve">manifestó </w:t>
      </w:r>
      <w:r w:rsidR="00CE3673" w:rsidRPr="00121865">
        <w:rPr>
          <w:rFonts w:ascii="Verdana" w:hAnsi="Verdana" w:cs="Arial"/>
          <w:sz w:val="20"/>
          <w:lang w:val="es-CR" w:eastAsia="ja-JP"/>
        </w:rPr>
        <w:t>“</w:t>
      </w:r>
      <w:r w:rsidR="00CE3673" w:rsidRPr="00121865">
        <w:rPr>
          <w:rFonts w:ascii="Verdana" w:hAnsi="Verdana" w:cs="Arial"/>
          <w:sz w:val="20"/>
          <w:lang w:val="es-MX" w:eastAsia="ja-JP"/>
        </w:rPr>
        <w:t xml:space="preserve">su profunda preocupación por el asesinato de </w:t>
      </w:r>
      <w:r w:rsidR="00C45913" w:rsidRPr="00121865">
        <w:rPr>
          <w:rFonts w:ascii="Verdana" w:hAnsi="Verdana" w:cs="Arial"/>
          <w:sz w:val="20"/>
          <w:lang w:val="es-MX" w:eastAsia="ja-JP"/>
        </w:rPr>
        <w:t>[</w:t>
      </w:r>
      <w:r w:rsidR="00CE3673" w:rsidRPr="00121865">
        <w:rPr>
          <w:rFonts w:ascii="Verdana" w:hAnsi="Verdana" w:cs="Arial"/>
          <w:sz w:val="20"/>
          <w:lang w:val="es-MX" w:eastAsia="ja-JP"/>
        </w:rPr>
        <w:t>F</w:t>
      </w:r>
      <w:r w:rsidR="00C45913" w:rsidRPr="00121865">
        <w:rPr>
          <w:rFonts w:ascii="Verdana" w:hAnsi="Verdana" w:cs="Arial"/>
          <w:sz w:val="20"/>
          <w:lang w:val="es-MX" w:eastAsia="ja-JP"/>
        </w:rPr>
        <w:t>.A.H.]</w:t>
      </w:r>
      <w:r w:rsidR="00D532B3">
        <w:rPr>
          <w:rFonts w:ascii="Verdana" w:hAnsi="Verdana" w:cs="Arial"/>
          <w:sz w:val="20"/>
          <w:lang w:val="es-MX" w:eastAsia="ja-JP"/>
        </w:rPr>
        <w:t xml:space="preserve"> […</w:t>
      </w:r>
      <w:r w:rsidR="00CE3673" w:rsidRPr="00121865">
        <w:rPr>
          <w:rFonts w:ascii="Verdana" w:hAnsi="Verdana" w:cs="Arial"/>
          <w:sz w:val="20"/>
          <w:lang w:val="es-MX" w:eastAsia="ja-JP"/>
        </w:rPr>
        <w:t xml:space="preserve">, el cual ocurre además en un contexto en el que […] el Estado no ha adoptado medidas concretas y serias para dar cumplimiento a las </w:t>
      </w:r>
      <w:r w:rsidR="00D80510" w:rsidRPr="00121865">
        <w:rPr>
          <w:rFonts w:ascii="Verdana" w:hAnsi="Verdana" w:cs="Arial"/>
          <w:sz w:val="20"/>
          <w:lang w:val="es-MX" w:eastAsia="ja-JP"/>
        </w:rPr>
        <w:t>presentes</w:t>
      </w:r>
      <w:r w:rsidR="00CE3673" w:rsidRPr="00121865">
        <w:rPr>
          <w:rFonts w:ascii="Verdana" w:hAnsi="Verdana" w:cs="Arial"/>
          <w:sz w:val="20"/>
          <w:lang w:val="es-MX" w:eastAsia="ja-JP"/>
        </w:rPr>
        <w:t xml:space="preserve"> medidas internacionales de protección”.</w:t>
      </w:r>
      <w:r w:rsidR="0056098A" w:rsidRPr="00121865">
        <w:rPr>
          <w:rFonts w:ascii="Verdana" w:hAnsi="Verdana" w:cs="Arial"/>
          <w:sz w:val="20"/>
          <w:lang w:val="es-MX" w:eastAsia="ja-JP"/>
        </w:rPr>
        <w:t xml:space="preserve"> </w:t>
      </w:r>
      <w:r w:rsidR="00D80510" w:rsidRPr="00121865">
        <w:rPr>
          <w:rFonts w:ascii="Verdana" w:hAnsi="Verdana" w:cs="Arial"/>
          <w:sz w:val="20"/>
          <w:lang w:val="es-MX" w:eastAsia="ja-JP"/>
        </w:rPr>
        <w:t>Agregó que</w:t>
      </w:r>
      <w:r w:rsidR="00CE6011" w:rsidRPr="00121865">
        <w:rPr>
          <w:rFonts w:ascii="Verdana" w:hAnsi="Verdana" w:cs="Arial"/>
          <w:sz w:val="20"/>
          <w:lang w:val="es-MX" w:eastAsia="ja-JP"/>
        </w:rPr>
        <w:t xml:space="preserve"> “pese a los distintos requerimientos realizados por la </w:t>
      </w:r>
      <w:r w:rsidR="00D80510" w:rsidRPr="00121865">
        <w:rPr>
          <w:rFonts w:ascii="Verdana" w:hAnsi="Verdana" w:cs="Arial"/>
          <w:sz w:val="20"/>
          <w:lang w:val="es-MX" w:eastAsia="ja-JP"/>
        </w:rPr>
        <w:t>[…]</w:t>
      </w:r>
      <w:r w:rsidR="00CE6011" w:rsidRPr="00121865">
        <w:rPr>
          <w:rFonts w:ascii="Verdana" w:hAnsi="Verdana" w:cs="Arial"/>
          <w:sz w:val="20"/>
          <w:lang w:val="es-MX" w:eastAsia="ja-JP"/>
        </w:rPr>
        <w:t xml:space="preserve"> Corte y como se ha venido observando, una de las omisiones principales por parte del Estado ha sido la falta de realización de los análisis de riesgo de los beneficiarios</w:t>
      </w:r>
      <w:r w:rsidR="00333AD6" w:rsidRPr="00121865">
        <w:rPr>
          <w:rFonts w:ascii="Verdana" w:hAnsi="Verdana" w:cs="Arial"/>
          <w:sz w:val="20"/>
          <w:lang w:val="es-MX" w:eastAsia="ja-JP"/>
        </w:rPr>
        <w:t>”. Finalmente, resaltó que la realización de dicho análisis de riesgo “</w:t>
      </w:r>
      <w:r w:rsidR="00584610" w:rsidRPr="00121865">
        <w:rPr>
          <w:rFonts w:ascii="Verdana" w:hAnsi="Verdana" w:cs="Arial"/>
          <w:sz w:val="20"/>
          <w:lang w:val="es-MX" w:eastAsia="ja-JP"/>
        </w:rPr>
        <w:t xml:space="preserve">resulta importante para </w:t>
      </w:r>
      <w:r w:rsidR="00F56F84">
        <w:rPr>
          <w:rFonts w:ascii="Verdana" w:hAnsi="Verdana" w:cs="Arial"/>
          <w:sz w:val="20"/>
          <w:lang w:val="es-MX" w:eastAsia="ja-JP"/>
        </w:rPr>
        <w:t xml:space="preserve">que el Estado pueda avanzar </w:t>
      </w:r>
      <w:r w:rsidR="00584610" w:rsidRPr="00121865">
        <w:rPr>
          <w:rFonts w:ascii="Verdana" w:hAnsi="Verdana" w:cs="Arial"/>
          <w:sz w:val="20"/>
          <w:lang w:val="es-MX" w:eastAsia="ja-JP"/>
        </w:rPr>
        <w:t xml:space="preserve">con una debida implementación de las medidas provisionales, </w:t>
      </w:r>
      <w:r w:rsidR="00584610" w:rsidRPr="00121865">
        <w:rPr>
          <w:rFonts w:ascii="Verdana" w:hAnsi="Verdana" w:cs="Arial"/>
          <w:sz w:val="20"/>
          <w:lang w:val="es-MX" w:eastAsia="ja-JP"/>
        </w:rPr>
        <w:lastRenderedPageBreak/>
        <w:t>teniendo en cuenta la situación actual de riesgo de los beneficiarios y los impactos diferenciados de cada una de éstas”</w:t>
      </w:r>
      <w:r w:rsidR="00CE6011" w:rsidRPr="00121865">
        <w:rPr>
          <w:rFonts w:ascii="Verdana" w:hAnsi="Verdana" w:cs="Arial"/>
          <w:sz w:val="20"/>
          <w:lang w:val="es-MX" w:eastAsia="ja-JP"/>
        </w:rPr>
        <w:t>.</w:t>
      </w:r>
      <w:r w:rsidR="002F34C0" w:rsidRPr="00121865">
        <w:rPr>
          <w:rFonts w:ascii="Verdana" w:hAnsi="Verdana" w:cs="Arial"/>
          <w:sz w:val="20"/>
          <w:lang w:val="es-MX" w:eastAsia="ja-JP"/>
        </w:rPr>
        <w:t xml:space="preserve"> </w:t>
      </w:r>
    </w:p>
    <w:p w14:paraId="235C7EED" w14:textId="77777777" w:rsidR="00162CF1" w:rsidRPr="00162CF1" w:rsidRDefault="00162CF1" w:rsidP="00162CF1">
      <w:pPr>
        <w:pStyle w:val="ListParagraph"/>
        <w:ind w:left="0" w:right="19"/>
        <w:jc w:val="both"/>
        <w:rPr>
          <w:rFonts w:ascii="Verdana" w:hAnsi="Verdana" w:cs="Arial"/>
          <w:sz w:val="20"/>
          <w:lang w:val="es-CR" w:eastAsia="ja-JP"/>
        </w:rPr>
      </w:pPr>
    </w:p>
    <w:p w14:paraId="1C457729" w14:textId="38B6F815" w:rsidR="002A433C" w:rsidRDefault="00840005" w:rsidP="00C45913">
      <w:pPr>
        <w:pStyle w:val="ListParagraph"/>
        <w:numPr>
          <w:ilvl w:val="0"/>
          <w:numId w:val="19"/>
        </w:numPr>
        <w:ind w:left="0" w:right="19" w:firstLine="0"/>
        <w:jc w:val="both"/>
        <w:rPr>
          <w:rFonts w:ascii="Verdana" w:hAnsi="Verdana" w:cs="Arial"/>
          <w:sz w:val="20"/>
          <w:lang w:val="es-CR" w:eastAsia="ja-JP"/>
        </w:rPr>
      </w:pPr>
      <w:r w:rsidRPr="00162CF1">
        <w:rPr>
          <w:rFonts w:ascii="Verdana" w:hAnsi="Verdana" w:cs="Arial"/>
          <w:sz w:val="20"/>
          <w:lang w:val="es-CR" w:eastAsia="ja-JP"/>
        </w:rPr>
        <w:t xml:space="preserve">Por </w:t>
      </w:r>
      <w:r w:rsidR="00C92CDB" w:rsidRPr="00145CE6">
        <w:rPr>
          <w:rFonts w:ascii="Verdana" w:hAnsi="Verdana" w:cs="Arial"/>
          <w:sz w:val="20"/>
          <w:lang w:val="es-CR" w:eastAsia="ja-JP"/>
        </w:rPr>
        <w:t>otra</w:t>
      </w:r>
      <w:r w:rsidRPr="00145CE6">
        <w:rPr>
          <w:rFonts w:ascii="Verdana" w:hAnsi="Verdana" w:cs="Arial"/>
          <w:sz w:val="20"/>
          <w:lang w:val="es-CR" w:eastAsia="ja-JP"/>
        </w:rPr>
        <w:t xml:space="preserve"> parte, </w:t>
      </w:r>
      <w:r w:rsidR="00260719">
        <w:rPr>
          <w:rFonts w:ascii="Verdana" w:hAnsi="Verdana" w:cs="Arial"/>
          <w:sz w:val="20"/>
          <w:lang w:val="es-CR" w:eastAsia="ja-JP"/>
        </w:rPr>
        <w:t>c</w:t>
      </w:r>
      <w:r w:rsidR="00ED4F29">
        <w:rPr>
          <w:rFonts w:ascii="Verdana" w:hAnsi="Verdana" w:cs="Arial"/>
          <w:sz w:val="20"/>
          <w:lang w:val="es-CR" w:eastAsia="ja-JP"/>
        </w:rPr>
        <w:t>on relación a las diligencias realizadas con motivo del asesinato de F</w:t>
      </w:r>
      <w:r w:rsidR="00C92CDB">
        <w:rPr>
          <w:rFonts w:ascii="Verdana" w:hAnsi="Verdana" w:cs="Arial"/>
          <w:sz w:val="20"/>
          <w:lang w:val="es-CR" w:eastAsia="ja-JP"/>
        </w:rPr>
        <w:t>.</w:t>
      </w:r>
      <w:r w:rsidR="00ED4F29">
        <w:rPr>
          <w:rFonts w:ascii="Verdana" w:hAnsi="Verdana" w:cs="Arial"/>
          <w:sz w:val="20"/>
          <w:lang w:val="es-CR" w:eastAsia="ja-JP"/>
        </w:rPr>
        <w:t>A</w:t>
      </w:r>
      <w:r w:rsidR="00C92CDB">
        <w:rPr>
          <w:rFonts w:ascii="Verdana" w:hAnsi="Verdana" w:cs="Arial"/>
          <w:sz w:val="20"/>
          <w:lang w:val="es-CR" w:eastAsia="ja-JP"/>
        </w:rPr>
        <w:t>.</w:t>
      </w:r>
      <w:r w:rsidR="00ED4F29">
        <w:rPr>
          <w:rFonts w:ascii="Verdana" w:hAnsi="Verdana" w:cs="Arial"/>
          <w:sz w:val="20"/>
          <w:lang w:val="es-CR" w:eastAsia="ja-JP"/>
        </w:rPr>
        <w:t>H</w:t>
      </w:r>
      <w:r w:rsidR="00C92CDB">
        <w:rPr>
          <w:rFonts w:ascii="Verdana" w:hAnsi="Verdana" w:cs="Arial"/>
          <w:sz w:val="20"/>
          <w:lang w:val="es-CR" w:eastAsia="ja-JP"/>
        </w:rPr>
        <w:t>.</w:t>
      </w:r>
      <w:r w:rsidR="00ED4F29">
        <w:rPr>
          <w:rFonts w:ascii="Verdana" w:hAnsi="Verdana" w:cs="Arial"/>
          <w:sz w:val="20"/>
          <w:lang w:val="es-CR" w:eastAsia="ja-JP"/>
        </w:rPr>
        <w:t>,</w:t>
      </w:r>
      <w:r w:rsidR="00B81524">
        <w:rPr>
          <w:rFonts w:ascii="Verdana" w:hAnsi="Verdana" w:cs="Arial"/>
          <w:sz w:val="20"/>
          <w:lang w:val="es-CR" w:eastAsia="ja-JP"/>
        </w:rPr>
        <w:t xml:space="preserve"> </w:t>
      </w:r>
      <w:r w:rsidR="00260719" w:rsidRPr="00260719">
        <w:rPr>
          <w:rFonts w:ascii="Verdana" w:hAnsi="Verdana" w:cs="Arial"/>
          <w:sz w:val="20"/>
          <w:lang w:val="es-CR" w:eastAsia="ja-JP"/>
        </w:rPr>
        <w:t>los</w:t>
      </w:r>
      <w:r w:rsidR="00260719">
        <w:rPr>
          <w:rFonts w:ascii="Verdana" w:hAnsi="Verdana" w:cs="Arial"/>
          <w:b/>
          <w:i/>
          <w:sz w:val="20"/>
          <w:lang w:val="es-CR" w:eastAsia="ja-JP"/>
        </w:rPr>
        <w:t xml:space="preserve"> representantes </w:t>
      </w:r>
      <w:r w:rsidR="00B81524">
        <w:rPr>
          <w:rFonts w:ascii="Verdana" w:hAnsi="Verdana" w:cs="Arial"/>
          <w:sz w:val="20"/>
          <w:lang w:val="es-CR" w:eastAsia="ja-JP"/>
        </w:rPr>
        <w:t xml:space="preserve">manifestaron </w:t>
      </w:r>
      <w:r w:rsidR="00ED4F29" w:rsidRPr="00C45913">
        <w:rPr>
          <w:rFonts w:ascii="Verdana" w:hAnsi="Verdana" w:cs="Arial"/>
          <w:sz w:val="20"/>
          <w:lang w:val="es-CR" w:eastAsia="ja-JP"/>
        </w:rPr>
        <w:t>que</w:t>
      </w:r>
      <w:r w:rsidR="00ED4F29">
        <w:rPr>
          <w:rFonts w:ascii="Verdana" w:hAnsi="Verdana" w:cs="Arial"/>
          <w:b/>
          <w:i/>
          <w:sz w:val="20"/>
          <w:lang w:val="es-CR" w:eastAsia="ja-JP"/>
        </w:rPr>
        <w:t xml:space="preserve"> </w:t>
      </w:r>
      <w:r w:rsidR="00ED4F29">
        <w:rPr>
          <w:rFonts w:ascii="Verdana" w:hAnsi="Verdana" w:cs="Arial"/>
          <w:sz w:val="20"/>
          <w:lang w:val="es-CR" w:eastAsia="ja-JP"/>
        </w:rPr>
        <w:t xml:space="preserve">el informe del Estado </w:t>
      </w:r>
      <w:r w:rsidR="00366591">
        <w:rPr>
          <w:rFonts w:ascii="Verdana" w:hAnsi="Verdana" w:cs="Arial"/>
          <w:sz w:val="20"/>
          <w:lang w:val="es-CR" w:eastAsia="ja-JP"/>
        </w:rPr>
        <w:t>resulta inexacto</w:t>
      </w:r>
      <w:r w:rsidR="00ED4F29">
        <w:rPr>
          <w:rFonts w:ascii="Verdana" w:hAnsi="Verdana" w:cs="Arial"/>
          <w:sz w:val="20"/>
          <w:lang w:val="es-CR" w:eastAsia="ja-JP"/>
        </w:rPr>
        <w:t xml:space="preserve"> y, en este sentido, consideraron oportuno realizar una serie de precisione</w:t>
      </w:r>
      <w:r w:rsidR="00366591">
        <w:rPr>
          <w:rFonts w:ascii="Verdana" w:hAnsi="Verdana" w:cs="Arial"/>
          <w:sz w:val="20"/>
          <w:lang w:val="es-CR" w:eastAsia="ja-JP"/>
        </w:rPr>
        <w:t xml:space="preserve">s, tales como: i) el número de perpetradores materiales y de personas detenidas con motivo de los hechos; ii)  la edad de los ejecutores materiales del crimen; iii) el </w:t>
      </w:r>
      <w:r w:rsidR="00366591">
        <w:rPr>
          <w:rFonts w:ascii="Verdana" w:hAnsi="Verdana" w:cs="Arial"/>
          <w:i/>
          <w:sz w:val="20"/>
          <w:lang w:val="es-CR" w:eastAsia="ja-JP"/>
        </w:rPr>
        <w:t xml:space="preserve">modus operandi </w:t>
      </w:r>
      <w:r w:rsidR="00366591" w:rsidRPr="00C45913">
        <w:rPr>
          <w:rFonts w:ascii="Verdana" w:hAnsi="Verdana" w:cs="Arial"/>
          <w:sz w:val="20"/>
          <w:lang w:val="es-CR" w:eastAsia="ja-JP"/>
        </w:rPr>
        <w:t>intencional</w:t>
      </w:r>
      <w:r w:rsidR="00366591">
        <w:rPr>
          <w:rFonts w:ascii="Verdana" w:hAnsi="Verdana" w:cs="Arial"/>
          <w:i/>
          <w:sz w:val="20"/>
          <w:lang w:val="es-CR" w:eastAsia="ja-JP"/>
        </w:rPr>
        <w:t xml:space="preserve"> </w:t>
      </w:r>
      <w:r w:rsidR="00366591">
        <w:rPr>
          <w:rFonts w:ascii="Verdana" w:hAnsi="Verdana" w:cs="Arial"/>
          <w:sz w:val="20"/>
          <w:lang w:val="es-CR" w:eastAsia="ja-JP"/>
        </w:rPr>
        <w:t xml:space="preserve">y </w:t>
      </w:r>
      <w:r w:rsidR="00366591" w:rsidRPr="00C45913">
        <w:rPr>
          <w:rFonts w:ascii="Verdana" w:hAnsi="Verdana" w:cs="Arial"/>
          <w:sz w:val="20"/>
          <w:lang w:val="es-CR" w:eastAsia="ja-JP"/>
        </w:rPr>
        <w:t xml:space="preserve">premeditado </w:t>
      </w:r>
      <w:r w:rsidR="00366591">
        <w:rPr>
          <w:rFonts w:ascii="Verdana" w:hAnsi="Verdana" w:cs="Arial"/>
          <w:sz w:val="20"/>
          <w:lang w:val="es-CR" w:eastAsia="ja-JP"/>
        </w:rPr>
        <w:t xml:space="preserve">de los homicidas, y iv) el </w:t>
      </w:r>
      <w:r w:rsidR="00907A85">
        <w:rPr>
          <w:rFonts w:ascii="Verdana" w:hAnsi="Verdana" w:cs="Arial"/>
          <w:sz w:val="20"/>
          <w:lang w:val="es-CR" w:eastAsia="ja-JP"/>
        </w:rPr>
        <w:t xml:space="preserve">desconocimiento del </w:t>
      </w:r>
      <w:r w:rsidR="00D532B3">
        <w:rPr>
          <w:rFonts w:ascii="Verdana" w:hAnsi="Verdana" w:cs="Arial"/>
          <w:sz w:val="20"/>
          <w:lang w:val="es-CR" w:eastAsia="ja-JP"/>
        </w:rPr>
        <w:t>E</w:t>
      </w:r>
      <w:r w:rsidR="00907A85">
        <w:rPr>
          <w:rFonts w:ascii="Verdana" w:hAnsi="Verdana" w:cs="Arial"/>
          <w:sz w:val="20"/>
          <w:lang w:val="es-CR" w:eastAsia="ja-JP"/>
        </w:rPr>
        <w:t>stado de las investigaciones con relación a la menor de edad detenida por su participación en los hechos.</w:t>
      </w:r>
    </w:p>
    <w:p w14:paraId="01A2729A" w14:textId="77777777" w:rsidR="002A433C" w:rsidRPr="00C45913" w:rsidRDefault="002A433C" w:rsidP="00C45913">
      <w:pPr>
        <w:pStyle w:val="ListParagraph"/>
        <w:rPr>
          <w:rFonts w:ascii="Verdana" w:hAnsi="Verdana" w:cs="Arial"/>
          <w:sz w:val="20"/>
          <w:lang w:val="es-CR" w:eastAsia="ja-JP"/>
        </w:rPr>
      </w:pPr>
    </w:p>
    <w:p w14:paraId="5EEF63C5" w14:textId="5E5800C3" w:rsidR="008F6E5C" w:rsidRDefault="00B81524" w:rsidP="00C45913">
      <w:pPr>
        <w:pStyle w:val="ListParagraph"/>
        <w:numPr>
          <w:ilvl w:val="0"/>
          <w:numId w:val="19"/>
        </w:numPr>
        <w:ind w:left="0" w:right="19" w:firstLine="0"/>
        <w:jc w:val="both"/>
        <w:rPr>
          <w:rFonts w:ascii="Verdana" w:hAnsi="Verdana" w:cs="Arial"/>
          <w:sz w:val="20"/>
          <w:lang w:val="es-MX" w:eastAsia="ja-JP"/>
        </w:rPr>
      </w:pPr>
      <w:r>
        <w:rPr>
          <w:rFonts w:ascii="Verdana" w:hAnsi="Verdana" w:cs="Arial"/>
          <w:sz w:val="20"/>
          <w:lang w:val="es-CR" w:eastAsia="ja-JP"/>
        </w:rPr>
        <w:t>L</w:t>
      </w:r>
      <w:r w:rsidR="009526AD" w:rsidRPr="002A433C">
        <w:rPr>
          <w:rFonts w:ascii="Verdana" w:hAnsi="Verdana" w:cs="Arial"/>
          <w:sz w:val="20"/>
          <w:lang w:val="es-CR" w:eastAsia="ja-JP"/>
        </w:rPr>
        <w:t xml:space="preserve">os </w:t>
      </w:r>
      <w:r w:rsidR="009526AD" w:rsidRPr="00121865">
        <w:rPr>
          <w:rFonts w:ascii="Verdana" w:hAnsi="Verdana" w:cs="Arial"/>
          <w:sz w:val="20"/>
          <w:lang w:val="es-CR" w:eastAsia="ja-JP"/>
        </w:rPr>
        <w:t>representantes</w:t>
      </w:r>
      <w:r w:rsidR="009526AD" w:rsidRPr="002A433C">
        <w:rPr>
          <w:rFonts w:ascii="Verdana" w:hAnsi="Verdana" w:cs="Arial"/>
          <w:b/>
          <w:i/>
          <w:sz w:val="20"/>
          <w:lang w:val="es-CR" w:eastAsia="ja-JP"/>
        </w:rPr>
        <w:t xml:space="preserve"> </w:t>
      </w:r>
      <w:r>
        <w:rPr>
          <w:rFonts w:ascii="Verdana" w:hAnsi="Verdana" w:cs="Arial"/>
          <w:sz w:val="20"/>
          <w:lang w:val="es-CR" w:eastAsia="ja-JP"/>
        </w:rPr>
        <w:t>agregaron que las</w:t>
      </w:r>
      <w:r w:rsidRPr="002A433C">
        <w:rPr>
          <w:rFonts w:ascii="Verdana" w:hAnsi="Verdana" w:cs="Arial"/>
          <w:sz w:val="20"/>
          <w:lang w:val="es-CR" w:eastAsia="ja-JP"/>
        </w:rPr>
        <w:t xml:space="preserve"> medidas implementadas por el Estado con motivo del homicidio de F</w:t>
      </w:r>
      <w:r>
        <w:rPr>
          <w:rFonts w:ascii="Verdana" w:hAnsi="Verdana" w:cs="Arial"/>
          <w:sz w:val="20"/>
          <w:lang w:val="es-CR" w:eastAsia="ja-JP"/>
        </w:rPr>
        <w:t>.A.H.</w:t>
      </w:r>
      <w:r w:rsidR="00260719">
        <w:rPr>
          <w:rFonts w:ascii="Verdana" w:hAnsi="Verdana" w:cs="Arial"/>
          <w:sz w:val="20"/>
          <w:lang w:val="es-CR" w:eastAsia="ja-JP"/>
        </w:rPr>
        <w:t xml:space="preserve"> fueron proporcionadas</w:t>
      </w:r>
      <w:r w:rsidR="009526AD" w:rsidRPr="002A433C">
        <w:rPr>
          <w:rFonts w:ascii="Verdana" w:hAnsi="Verdana" w:cs="Arial"/>
          <w:sz w:val="20"/>
          <w:lang w:val="es-CR" w:eastAsia="ja-JP"/>
        </w:rPr>
        <w:t xml:space="preserve"> a través de la </w:t>
      </w:r>
      <w:r w:rsidR="009526AD" w:rsidRPr="00C45913">
        <w:rPr>
          <w:rFonts w:ascii="Verdana" w:hAnsi="Verdana" w:cs="Arial"/>
          <w:sz w:val="20"/>
          <w:lang w:val="es-MX" w:eastAsia="ja-JP"/>
        </w:rPr>
        <w:t>Comisión Ejecutiva de Atención a Víctimas del Estado de Chihuahua</w:t>
      </w:r>
      <w:r w:rsidR="009526AD" w:rsidRPr="002A433C">
        <w:rPr>
          <w:rFonts w:ascii="Verdana" w:hAnsi="Verdana" w:cs="Arial"/>
          <w:sz w:val="20"/>
          <w:lang w:val="es-MX" w:eastAsia="ja-JP"/>
        </w:rPr>
        <w:t xml:space="preserve"> (CEAVE)</w:t>
      </w:r>
      <w:r w:rsidR="00260719">
        <w:rPr>
          <w:rFonts w:ascii="Verdana" w:hAnsi="Verdana" w:cs="Arial"/>
          <w:sz w:val="20"/>
          <w:lang w:val="es-MX" w:eastAsia="ja-JP"/>
        </w:rPr>
        <w:t>,</w:t>
      </w:r>
      <w:r w:rsidR="009526AD" w:rsidRPr="002A433C">
        <w:rPr>
          <w:rFonts w:ascii="Verdana" w:hAnsi="Verdana" w:cs="Arial"/>
          <w:sz w:val="20"/>
          <w:lang w:val="es-MX" w:eastAsia="ja-JP"/>
        </w:rPr>
        <w:t xml:space="preserve"> gracias a </w:t>
      </w:r>
      <w:r w:rsidR="00260719">
        <w:rPr>
          <w:rFonts w:ascii="Verdana" w:hAnsi="Verdana" w:cs="Arial"/>
          <w:sz w:val="20"/>
          <w:lang w:val="es-MX" w:eastAsia="ja-JP"/>
        </w:rPr>
        <w:t>sus</w:t>
      </w:r>
      <w:r w:rsidR="009526AD" w:rsidRPr="002A433C">
        <w:rPr>
          <w:rFonts w:ascii="Verdana" w:hAnsi="Verdana" w:cs="Arial"/>
          <w:sz w:val="20"/>
          <w:lang w:val="es-MX" w:eastAsia="ja-JP"/>
        </w:rPr>
        <w:t xml:space="preserve"> gestiones. </w:t>
      </w:r>
      <w:r w:rsidR="00260719">
        <w:rPr>
          <w:rFonts w:ascii="Verdana" w:hAnsi="Verdana" w:cs="Arial"/>
          <w:sz w:val="20"/>
          <w:lang w:val="es-MX" w:eastAsia="ja-JP"/>
        </w:rPr>
        <w:t xml:space="preserve">Asimismo, cuestionaron </w:t>
      </w:r>
      <w:r w:rsidR="004434B2" w:rsidRPr="002A433C">
        <w:rPr>
          <w:rFonts w:ascii="Verdana" w:hAnsi="Verdana" w:cs="Arial"/>
          <w:sz w:val="20"/>
          <w:lang w:val="es-MX" w:eastAsia="ja-JP"/>
        </w:rPr>
        <w:t>el desempeño de los elementos de policía encargados de</w:t>
      </w:r>
      <w:r w:rsidR="00260719">
        <w:rPr>
          <w:rFonts w:ascii="Verdana" w:hAnsi="Verdana" w:cs="Arial"/>
          <w:sz w:val="20"/>
          <w:lang w:val="es-MX" w:eastAsia="ja-JP"/>
        </w:rPr>
        <w:t xml:space="preserve"> la custodia </w:t>
      </w:r>
      <w:r w:rsidR="004434B2" w:rsidRPr="002A433C">
        <w:rPr>
          <w:rFonts w:ascii="Verdana" w:hAnsi="Verdana" w:cs="Arial"/>
          <w:sz w:val="20"/>
          <w:lang w:val="es-MX" w:eastAsia="ja-JP"/>
        </w:rPr>
        <w:t xml:space="preserve">de la beneficiaria Rosa Olivia Alvarado, así </w:t>
      </w:r>
      <w:r w:rsidR="004434B2" w:rsidRPr="00C45913">
        <w:rPr>
          <w:rFonts w:ascii="Verdana" w:hAnsi="Verdana" w:cs="Arial"/>
          <w:sz w:val="20"/>
          <w:lang w:val="es-MX" w:eastAsia="ja-JP"/>
        </w:rPr>
        <w:t>como de su núcleo familiar</w:t>
      </w:r>
      <w:r w:rsidR="00F27491" w:rsidRPr="002A433C">
        <w:rPr>
          <w:rFonts w:ascii="Verdana" w:hAnsi="Verdana" w:cs="Arial"/>
          <w:sz w:val="20"/>
          <w:lang w:val="es-MX" w:eastAsia="ja-JP"/>
        </w:rPr>
        <w:t xml:space="preserve">. </w:t>
      </w:r>
      <w:r w:rsidR="00162CF1">
        <w:rPr>
          <w:rFonts w:ascii="Verdana" w:hAnsi="Verdana" w:cs="Arial"/>
          <w:sz w:val="20"/>
          <w:lang w:val="es-MX" w:eastAsia="ja-JP"/>
        </w:rPr>
        <w:t>Sobre</w:t>
      </w:r>
      <w:r w:rsidR="00F27491" w:rsidRPr="002A433C">
        <w:rPr>
          <w:rFonts w:ascii="Verdana" w:hAnsi="Verdana" w:cs="Arial"/>
          <w:sz w:val="20"/>
          <w:lang w:val="es-MX" w:eastAsia="ja-JP"/>
        </w:rPr>
        <w:t xml:space="preserve"> la realización del análisis de riesgo, </w:t>
      </w:r>
      <w:r w:rsidR="00243715" w:rsidRPr="002A433C">
        <w:rPr>
          <w:rFonts w:ascii="Verdana" w:hAnsi="Verdana" w:cs="Arial"/>
          <w:sz w:val="20"/>
          <w:lang w:val="es-MX" w:eastAsia="ja-JP"/>
        </w:rPr>
        <w:t>señalaron</w:t>
      </w:r>
      <w:r w:rsidR="00243715" w:rsidRPr="002A433C">
        <w:rPr>
          <w:rFonts w:ascii="Arial" w:hAnsi="Arial" w:cs="Arial"/>
          <w:sz w:val="20"/>
          <w:lang w:val="es-MX" w:eastAsia="ja-JP"/>
        </w:rPr>
        <w:t xml:space="preserve"> </w:t>
      </w:r>
      <w:r w:rsidR="00C24FB1" w:rsidRPr="00C45913">
        <w:rPr>
          <w:rFonts w:ascii="Verdana" w:hAnsi="Verdana" w:cs="Arial"/>
          <w:sz w:val="20"/>
          <w:lang w:val="es-MX" w:eastAsia="ja-JP"/>
        </w:rPr>
        <w:t xml:space="preserve">que </w:t>
      </w:r>
      <w:r w:rsidR="00C24FB1" w:rsidRPr="002A433C">
        <w:rPr>
          <w:rFonts w:ascii="Verdana" w:hAnsi="Verdana" w:cs="Arial"/>
          <w:sz w:val="20"/>
          <w:lang w:val="es-MX" w:eastAsia="ja-JP"/>
        </w:rPr>
        <w:t xml:space="preserve">la información proporcionada por el Estado adolece de </w:t>
      </w:r>
      <w:r w:rsidR="00260719">
        <w:rPr>
          <w:rFonts w:ascii="Verdana" w:hAnsi="Verdana" w:cs="Arial"/>
          <w:sz w:val="20"/>
          <w:lang w:val="es-MX" w:eastAsia="ja-JP"/>
        </w:rPr>
        <w:t>imprecisiones, en virtud de</w:t>
      </w:r>
      <w:r w:rsidR="00D532B3">
        <w:rPr>
          <w:rFonts w:ascii="Verdana" w:hAnsi="Verdana" w:cs="Arial"/>
          <w:sz w:val="20"/>
          <w:lang w:val="es-MX" w:eastAsia="ja-JP"/>
        </w:rPr>
        <w:t xml:space="preserve"> que no se realizó el mismo debido a</w:t>
      </w:r>
      <w:r w:rsidR="00260719">
        <w:rPr>
          <w:rFonts w:ascii="Verdana" w:hAnsi="Verdana" w:cs="Arial"/>
          <w:sz w:val="20"/>
          <w:lang w:val="es-MX" w:eastAsia="ja-JP"/>
        </w:rPr>
        <w:t xml:space="preserve"> la cancelación, sin previo aviso, de la cita programada con el Fiscal de la Zona Norte. S</w:t>
      </w:r>
      <w:r w:rsidR="00C24FB1" w:rsidRPr="00C45913">
        <w:rPr>
          <w:rFonts w:ascii="Verdana" w:hAnsi="Verdana" w:cs="Arial"/>
          <w:sz w:val="20"/>
          <w:lang w:val="es-MX" w:eastAsia="ja-JP"/>
        </w:rPr>
        <w:t xml:space="preserve">in embargo, </w:t>
      </w:r>
      <w:r w:rsidR="00D532B3">
        <w:rPr>
          <w:rFonts w:ascii="Verdana" w:hAnsi="Verdana" w:cs="Arial"/>
          <w:sz w:val="20"/>
          <w:lang w:val="es-MX" w:eastAsia="ja-JP"/>
        </w:rPr>
        <w:t xml:space="preserve">mencionaron que </w:t>
      </w:r>
      <w:r w:rsidR="00211A11" w:rsidRPr="002A433C">
        <w:rPr>
          <w:rFonts w:ascii="Verdana" w:hAnsi="Verdana" w:cs="Arial"/>
          <w:sz w:val="20"/>
          <w:lang w:val="es-MX" w:eastAsia="ja-JP"/>
        </w:rPr>
        <w:t>se reunieron, c</w:t>
      </w:r>
      <w:r w:rsidR="00BF2F5F" w:rsidRPr="002A433C">
        <w:rPr>
          <w:rFonts w:ascii="Verdana" w:hAnsi="Verdana" w:cs="Arial"/>
          <w:sz w:val="20"/>
          <w:lang w:val="es-MX" w:eastAsia="ja-JP"/>
        </w:rPr>
        <w:t>onjuntamente con los familiares</w:t>
      </w:r>
      <w:r w:rsidR="00211A11" w:rsidRPr="002A433C">
        <w:rPr>
          <w:rFonts w:ascii="Verdana" w:hAnsi="Verdana" w:cs="Arial"/>
          <w:sz w:val="20"/>
          <w:lang w:val="es-MX" w:eastAsia="ja-JP"/>
        </w:rPr>
        <w:t xml:space="preserve">, con el </w:t>
      </w:r>
      <w:r w:rsidR="00C24FB1" w:rsidRPr="00C45913">
        <w:rPr>
          <w:rFonts w:ascii="Verdana" w:hAnsi="Verdana" w:cs="Arial"/>
          <w:sz w:val="20"/>
          <w:lang w:val="es-MX" w:eastAsia="ja-JP"/>
        </w:rPr>
        <w:t>Coordinador de Agentes del Ministerio Público y la Coordinadora</w:t>
      </w:r>
      <w:r w:rsidR="00C24FB1" w:rsidRPr="002A433C">
        <w:rPr>
          <w:rFonts w:ascii="Verdana" w:hAnsi="Verdana" w:cs="Arial"/>
          <w:sz w:val="20"/>
          <w:lang w:val="es-MX" w:eastAsia="ja-JP"/>
        </w:rPr>
        <w:t xml:space="preserve"> </w:t>
      </w:r>
      <w:r w:rsidR="00C24FB1" w:rsidRPr="00C45913">
        <w:rPr>
          <w:rFonts w:ascii="Verdana" w:hAnsi="Verdana" w:cs="Arial"/>
          <w:sz w:val="20"/>
          <w:lang w:val="es-MX" w:eastAsia="ja-JP"/>
        </w:rPr>
        <w:t>de la Unidad de Delitos contra la Vida</w:t>
      </w:r>
      <w:r w:rsidR="00211A11" w:rsidRPr="002A433C">
        <w:rPr>
          <w:rFonts w:ascii="Verdana" w:hAnsi="Verdana" w:cs="Arial"/>
          <w:sz w:val="20"/>
          <w:lang w:val="es-MX" w:eastAsia="ja-JP"/>
        </w:rPr>
        <w:t xml:space="preserve"> y refiriero</w:t>
      </w:r>
      <w:r w:rsidR="00C24FB1" w:rsidRPr="00C45913">
        <w:rPr>
          <w:rFonts w:ascii="Verdana" w:hAnsi="Verdana" w:cs="Arial"/>
          <w:sz w:val="20"/>
          <w:lang w:val="es-MX" w:eastAsia="ja-JP"/>
        </w:rPr>
        <w:t xml:space="preserve">n, </w:t>
      </w:r>
      <w:r w:rsidR="00211A11" w:rsidRPr="002A433C">
        <w:rPr>
          <w:rFonts w:ascii="Verdana" w:hAnsi="Verdana" w:cs="Arial"/>
          <w:sz w:val="20"/>
          <w:lang w:val="es-MX" w:eastAsia="ja-JP"/>
        </w:rPr>
        <w:t>que, “en ningún momento [le fue formulada] a la familia [</w:t>
      </w:r>
      <w:r w:rsidR="00260719">
        <w:rPr>
          <w:rFonts w:ascii="Verdana" w:hAnsi="Verdana" w:cs="Arial"/>
          <w:sz w:val="20"/>
          <w:lang w:val="es-MX" w:eastAsia="ja-JP"/>
        </w:rPr>
        <w:t>la</w:t>
      </w:r>
      <w:r w:rsidR="00211A11" w:rsidRPr="002A433C">
        <w:rPr>
          <w:rFonts w:ascii="Verdana" w:hAnsi="Verdana" w:cs="Arial"/>
          <w:sz w:val="20"/>
          <w:lang w:val="es-MX" w:eastAsia="ja-JP"/>
        </w:rPr>
        <w:t xml:space="preserve"> evaluación</w:t>
      </w:r>
      <w:r w:rsidR="00260719">
        <w:rPr>
          <w:rFonts w:ascii="Verdana" w:hAnsi="Verdana" w:cs="Arial"/>
          <w:sz w:val="20"/>
          <w:lang w:val="es-MX" w:eastAsia="ja-JP"/>
        </w:rPr>
        <w:t xml:space="preserve"> de riesgo</w:t>
      </w:r>
      <w:r w:rsidR="00211A11" w:rsidRPr="002A433C">
        <w:rPr>
          <w:rFonts w:ascii="Verdana" w:hAnsi="Verdana" w:cs="Arial"/>
          <w:sz w:val="20"/>
          <w:lang w:val="es-MX" w:eastAsia="ja-JP"/>
        </w:rPr>
        <w:t>]”</w:t>
      </w:r>
      <w:r w:rsidR="00975527" w:rsidRPr="002A433C">
        <w:rPr>
          <w:rFonts w:ascii="Verdana" w:hAnsi="Verdana" w:cs="Arial"/>
          <w:sz w:val="20"/>
          <w:lang w:val="es-MX" w:eastAsia="ja-JP"/>
        </w:rPr>
        <w:t xml:space="preserve">. </w:t>
      </w:r>
      <w:r w:rsidR="00BF2F5F" w:rsidRPr="002A433C">
        <w:rPr>
          <w:rFonts w:ascii="Verdana" w:hAnsi="Verdana" w:cs="Arial"/>
          <w:sz w:val="20"/>
          <w:lang w:val="es-MX" w:eastAsia="ja-JP"/>
        </w:rPr>
        <w:t xml:space="preserve">Con relación a las medidas de protección implementadas en el domicilio de la señora Rosa Olivia Alvarado Herrera, los </w:t>
      </w:r>
      <w:r w:rsidR="00BF2F5F" w:rsidRPr="00121865">
        <w:rPr>
          <w:rFonts w:ascii="Verdana" w:hAnsi="Verdana" w:cs="Arial"/>
          <w:sz w:val="20"/>
          <w:lang w:val="es-MX" w:eastAsia="ja-JP"/>
        </w:rPr>
        <w:t>representantes</w:t>
      </w:r>
      <w:r w:rsidR="00BF2F5F" w:rsidRPr="002A433C">
        <w:rPr>
          <w:rFonts w:ascii="Verdana" w:hAnsi="Verdana" w:cs="Arial"/>
          <w:b/>
          <w:i/>
          <w:sz w:val="20"/>
          <w:lang w:val="es-MX" w:eastAsia="ja-JP"/>
        </w:rPr>
        <w:t xml:space="preserve"> </w:t>
      </w:r>
      <w:r w:rsidR="00BF2F5F" w:rsidRPr="002A433C">
        <w:rPr>
          <w:rFonts w:ascii="Verdana" w:hAnsi="Verdana" w:cs="Arial"/>
          <w:sz w:val="20"/>
          <w:lang w:val="es-MX" w:eastAsia="ja-JP"/>
        </w:rPr>
        <w:t>indicaron que el informe del Estado se limita a reproducir una relación de aquellas concernientes a la infraestructura adoptada desde octubre de 2014,</w:t>
      </w:r>
      <w:r w:rsidR="00AC6EFC" w:rsidRPr="002A433C">
        <w:rPr>
          <w:rFonts w:ascii="Verdana" w:hAnsi="Verdana" w:cs="Arial"/>
          <w:sz w:val="20"/>
          <w:lang w:val="es-MX" w:eastAsia="ja-JP"/>
        </w:rPr>
        <w:t xml:space="preserve"> y destacaron las continuas denuncias que han realizado con relación a la operación de las mismas. </w:t>
      </w:r>
      <w:r w:rsidR="00E93B60" w:rsidRPr="00C45913">
        <w:rPr>
          <w:rFonts w:ascii="Verdana" w:hAnsi="Verdana" w:cs="Arial"/>
          <w:sz w:val="20"/>
          <w:lang w:val="es-MX" w:eastAsia="ja-JP"/>
        </w:rPr>
        <w:t>De igual forma, mencionaron que por el temor de sufrir represalias</w:t>
      </w:r>
      <w:r w:rsidR="00260719">
        <w:rPr>
          <w:rFonts w:ascii="Verdana" w:hAnsi="Verdana" w:cs="Arial"/>
          <w:sz w:val="20"/>
          <w:lang w:val="es-MX" w:eastAsia="ja-JP"/>
        </w:rPr>
        <w:t xml:space="preserve"> relacionadas con</w:t>
      </w:r>
      <w:r w:rsidR="00E93B60" w:rsidRPr="00C45913">
        <w:rPr>
          <w:rFonts w:ascii="Verdana" w:hAnsi="Verdana" w:cs="Arial"/>
          <w:sz w:val="20"/>
          <w:lang w:val="es-MX" w:eastAsia="ja-JP"/>
        </w:rPr>
        <w:t xml:space="preserve"> el homicidio de </w:t>
      </w:r>
      <w:r w:rsidR="00E93B60" w:rsidRPr="002A433C">
        <w:rPr>
          <w:rFonts w:ascii="Verdana" w:hAnsi="Verdana" w:cs="Arial"/>
          <w:sz w:val="20"/>
          <w:lang w:val="es-MX" w:eastAsia="ja-JP"/>
        </w:rPr>
        <w:t>F</w:t>
      </w:r>
      <w:r w:rsidR="00162CF1">
        <w:rPr>
          <w:rFonts w:ascii="Verdana" w:hAnsi="Verdana" w:cs="Arial"/>
          <w:sz w:val="20"/>
          <w:lang w:val="es-MX" w:eastAsia="ja-JP"/>
        </w:rPr>
        <w:t>.A.</w:t>
      </w:r>
      <w:r w:rsidR="00E93B60" w:rsidRPr="002A433C">
        <w:rPr>
          <w:rFonts w:ascii="Verdana" w:hAnsi="Verdana" w:cs="Arial"/>
          <w:sz w:val="20"/>
          <w:lang w:val="es-MX" w:eastAsia="ja-JP"/>
        </w:rPr>
        <w:t>H</w:t>
      </w:r>
      <w:r w:rsidR="00162CF1">
        <w:rPr>
          <w:rFonts w:ascii="Verdana" w:hAnsi="Verdana" w:cs="Arial"/>
          <w:sz w:val="20"/>
          <w:lang w:val="es-MX" w:eastAsia="ja-JP"/>
        </w:rPr>
        <w:t>.</w:t>
      </w:r>
      <w:r w:rsidR="00E93B60" w:rsidRPr="002A433C">
        <w:rPr>
          <w:rFonts w:ascii="Verdana" w:hAnsi="Verdana" w:cs="Arial"/>
          <w:sz w:val="20"/>
          <w:lang w:val="es-MX" w:eastAsia="ja-JP"/>
        </w:rPr>
        <w:t xml:space="preserve">, los integrantes del núcleo familiar de Rosa Olivia Alvarado </w:t>
      </w:r>
      <w:r w:rsidR="0090629A">
        <w:rPr>
          <w:rFonts w:ascii="Verdana" w:hAnsi="Verdana" w:cs="Arial"/>
          <w:sz w:val="20"/>
          <w:lang w:val="es-MX" w:eastAsia="ja-JP"/>
        </w:rPr>
        <w:t xml:space="preserve">Herrera </w:t>
      </w:r>
      <w:r w:rsidR="00E93B60" w:rsidRPr="002A433C">
        <w:rPr>
          <w:rFonts w:ascii="Verdana" w:hAnsi="Verdana" w:cs="Arial"/>
          <w:sz w:val="20"/>
          <w:lang w:val="es-MX" w:eastAsia="ja-JP"/>
        </w:rPr>
        <w:t xml:space="preserve">y Jaime Alvarado Herrera </w:t>
      </w:r>
      <w:r w:rsidR="00260719">
        <w:rPr>
          <w:rFonts w:ascii="Verdana" w:hAnsi="Verdana" w:cs="Arial"/>
          <w:sz w:val="20"/>
          <w:lang w:val="es-MX" w:eastAsia="ja-JP"/>
        </w:rPr>
        <w:t>debieron</w:t>
      </w:r>
      <w:r w:rsidR="00E93B60" w:rsidRPr="002A433C">
        <w:rPr>
          <w:rFonts w:ascii="Verdana" w:hAnsi="Verdana" w:cs="Arial"/>
          <w:sz w:val="20"/>
          <w:lang w:val="es-MX" w:eastAsia="ja-JP"/>
        </w:rPr>
        <w:t xml:space="preserve"> desplazarse a un lugar distinto del </w:t>
      </w:r>
      <w:r w:rsidR="00E93B60" w:rsidRPr="00C45913">
        <w:rPr>
          <w:rFonts w:ascii="Verdana" w:hAnsi="Verdana" w:cs="Arial"/>
          <w:sz w:val="20"/>
          <w:lang w:val="es-MX" w:eastAsia="ja-JP"/>
        </w:rPr>
        <w:t xml:space="preserve">de su </w:t>
      </w:r>
      <w:r w:rsidR="00E93B60" w:rsidRPr="002A433C">
        <w:rPr>
          <w:rFonts w:ascii="Verdana" w:hAnsi="Verdana" w:cs="Arial"/>
          <w:sz w:val="20"/>
          <w:lang w:val="es-MX" w:eastAsia="ja-JP"/>
        </w:rPr>
        <w:t xml:space="preserve">residencia. </w:t>
      </w:r>
      <w:r w:rsidR="00055EC1">
        <w:rPr>
          <w:rFonts w:ascii="Verdana" w:hAnsi="Verdana" w:cs="Arial"/>
          <w:sz w:val="20"/>
          <w:lang w:val="es-MX" w:eastAsia="ja-JP"/>
        </w:rPr>
        <w:t>Además</w:t>
      </w:r>
      <w:r w:rsidR="00E93B60" w:rsidRPr="002A433C">
        <w:rPr>
          <w:rFonts w:ascii="Verdana" w:hAnsi="Verdana" w:cs="Arial"/>
          <w:sz w:val="20"/>
          <w:lang w:val="es-MX" w:eastAsia="ja-JP"/>
        </w:rPr>
        <w:t xml:space="preserve">, enfatizaron </w:t>
      </w:r>
      <w:r w:rsidR="00055EC1">
        <w:rPr>
          <w:rFonts w:ascii="Verdana" w:hAnsi="Verdana" w:cs="Arial"/>
          <w:sz w:val="20"/>
          <w:lang w:val="es-MX" w:eastAsia="ja-JP"/>
        </w:rPr>
        <w:t>que</w:t>
      </w:r>
      <w:r w:rsidR="00E93B60" w:rsidRPr="002A433C">
        <w:rPr>
          <w:rFonts w:ascii="Verdana" w:hAnsi="Verdana" w:cs="Arial"/>
          <w:sz w:val="20"/>
          <w:lang w:val="es-MX" w:eastAsia="ja-JP"/>
        </w:rPr>
        <w:t xml:space="preserve"> la importancia del</w:t>
      </w:r>
      <w:r w:rsidR="00E93B60" w:rsidRPr="00C45913">
        <w:rPr>
          <w:rFonts w:ascii="Verdana" w:hAnsi="Verdana" w:cs="Arial"/>
          <w:sz w:val="20"/>
          <w:lang w:val="es-MX" w:eastAsia="ja-JP"/>
        </w:rPr>
        <w:t xml:space="preserve"> reconocimiento del Estado al señalar </w:t>
      </w:r>
      <w:r w:rsidR="00E93B60" w:rsidRPr="002A433C">
        <w:rPr>
          <w:rFonts w:ascii="Verdana" w:hAnsi="Verdana" w:cs="Arial"/>
          <w:sz w:val="20"/>
          <w:lang w:val="es-MX" w:eastAsia="ja-JP"/>
        </w:rPr>
        <w:t>las medidas de resguardo adoptadas, “</w:t>
      </w:r>
      <w:r w:rsidR="00E93B60" w:rsidRPr="00C45913">
        <w:rPr>
          <w:rFonts w:ascii="Verdana" w:hAnsi="Verdana" w:cs="Arial"/>
          <w:sz w:val="20"/>
          <w:lang w:val="es-MX" w:eastAsia="ja-JP"/>
        </w:rPr>
        <w:t>da cuenta de la situación de inseguridad que se vive</w:t>
      </w:r>
      <w:r w:rsidR="00E93B60" w:rsidRPr="002A433C">
        <w:rPr>
          <w:rFonts w:ascii="Verdana" w:hAnsi="Verdana" w:cs="Arial"/>
          <w:sz w:val="20"/>
          <w:lang w:val="es-MX" w:eastAsia="ja-JP"/>
        </w:rPr>
        <w:t xml:space="preserve"> </w:t>
      </w:r>
      <w:r w:rsidR="00E93B60" w:rsidRPr="00C45913">
        <w:rPr>
          <w:rFonts w:ascii="Verdana" w:hAnsi="Verdana" w:cs="Arial"/>
          <w:sz w:val="20"/>
          <w:lang w:val="es-MX" w:eastAsia="ja-JP"/>
        </w:rPr>
        <w:t>en la zona</w:t>
      </w:r>
      <w:r w:rsidR="00E93B60" w:rsidRPr="002A433C">
        <w:rPr>
          <w:rFonts w:ascii="Verdana" w:hAnsi="Verdana" w:cs="Arial"/>
          <w:sz w:val="20"/>
          <w:lang w:val="es-MX" w:eastAsia="ja-JP"/>
        </w:rPr>
        <w:t>”.</w:t>
      </w:r>
    </w:p>
    <w:p w14:paraId="66E022DD" w14:textId="77777777" w:rsidR="008F6E5C" w:rsidRDefault="008F6E5C">
      <w:pPr>
        <w:pStyle w:val="ListParagraph"/>
        <w:ind w:left="0" w:right="19"/>
        <w:jc w:val="both"/>
        <w:rPr>
          <w:rFonts w:ascii="Verdana" w:hAnsi="Verdana" w:cs="Arial"/>
          <w:sz w:val="20"/>
          <w:lang w:val="es-MX" w:eastAsia="ja-JP"/>
        </w:rPr>
      </w:pPr>
    </w:p>
    <w:p w14:paraId="4D2CEEEA" w14:textId="1947642B" w:rsidR="007F7968" w:rsidRPr="00055EC1" w:rsidRDefault="00055EC1" w:rsidP="00055EC1">
      <w:pPr>
        <w:pStyle w:val="ListParagraph"/>
        <w:numPr>
          <w:ilvl w:val="0"/>
          <w:numId w:val="19"/>
        </w:numPr>
        <w:ind w:left="0" w:right="19" w:firstLine="0"/>
        <w:jc w:val="both"/>
        <w:rPr>
          <w:rFonts w:ascii="Verdana" w:hAnsi="Verdana" w:cs="Arial"/>
          <w:sz w:val="20"/>
          <w:lang w:val="es-MX" w:eastAsia="ja-JP"/>
        </w:rPr>
      </w:pPr>
      <w:r>
        <w:rPr>
          <w:rFonts w:ascii="Verdana" w:hAnsi="Verdana" w:cs="Arial"/>
          <w:sz w:val="20"/>
          <w:lang w:val="es-MX" w:eastAsia="ja-JP"/>
        </w:rPr>
        <w:t>Asimismo, l</w:t>
      </w:r>
      <w:r w:rsidR="00BC7BC5" w:rsidRPr="008F6E5C">
        <w:rPr>
          <w:rFonts w:ascii="Verdana" w:hAnsi="Verdana" w:cs="Arial"/>
          <w:sz w:val="20"/>
          <w:lang w:val="es-MX" w:eastAsia="ja-JP"/>
        </w:rPr>
        <w:t xml:space="preserve">os </w:t>
      </w:r>
      <w:r w:rsidR="00BC7BC5" w:rsidRPr="00121865">
        <w:rPr>
          <w:rFonts w:ascii="Verdana" w:hAnsi="Verdana" w:cs="Arial"/>
          <w:sz w:val="20"/>
          <w:lang w:val="es-MX" w:eastAsia="ja-JP"/>
        </w:rPr>
        <w:t>representantes</w:t>
      </w:r>
      <w:r w:rsidR="00BC7BC5" w:rsidRPr="008F6E5C">
        <w:rPr>
          <w:rFonts w:ascii="Verdana" w:hAnsi="Verdana" w:cs="Arial"/>
          <w:b/>
          <w:i/>
          <w:sz w:val="20"/>
          <w:lang w:val="es-MX" w:eastAsia="ja-JP"/>
        </w:rPr>
        <w:t xml:space="preserve"> </w:t>
      </w:r>
      <w:r w:rsidR="00162CF1">
        <w:rPr>
          <w:rFonts w:ascii="Verdana" w:hAnsi="Verdana" w:cs="Arial"/>
          <w:sz w:val="20"/>
          <w:lang w:val="es-MX" w:eastAsia="ja-JP"/>
        </w:rPr>
        <w:t>señalaron</w:t>
      </w:r>
      <w:r w:rsidR="00BC7BC5" w:rsidRPr="008F6E5C">
        <w:rPr>
          <w:rFonts w:ascii="Verdana" w:hAnsi="Verdana" w:cs="Arial"/>
          <w:sz w:val="20"/>
          <w:lang w:val="es-MX" w:eastAsia="ja-JP"/>
        </w:rPr>
        <w:t xml:space="preserve"> </w:t>
      </w:r>
      <w:r w:rsidR="00C318D2" w:rsidRPr="008F6E5C">
        <w:rPr>
          <w:rFonts w:ascii="Verdana" w:hAnsi="Verdana" w:cs="Arial"/>
          <w:sz w:val="20"/>
          <w:lang w:val="es-MX" w:eastAsia="ja-JP"/>
        </w:rPr>
        <w:t>que la puesta en duda de la situación de riesgo</w:t>
      </w:r>
      <w:r>
        <w:rPr>
          <w:rFonts w:ascii="Verdana" w:hAnsi="Verdana" w:cs="Arial"/>
          <w:sz w:val="20"/>
          <w:lang w:val="es-MX" w:eastAsia="ja-JP"/>
        </w:rPr>
        <w:t xml:space="preserve"> por parte del Estado</w:t>
      </w:r>
      <w:r w:rsidR="00C318D2" w:rsidRPr="008F6E5C">
        <w:rPr>
          <w:rFonts w:ascii="Verdana" w:hAnsi="Verdana" w:cs="Arial"/>
          <w:sz w:val="20"/>
          <w:lang w:val="es-MX" w:eastAsia="ja-JP"/>
        </w:rPr>
        <w:t xml:space="preserve">, </w:t>
      </w:r>
      <w:r w:rsidR="00C318D2" w:rsidRPr="00C45913">
        <w:rPr>
          <w:rFonts w:ascii="Verdana" w:hAnsi="Verdana" w:cs="Arial"/>
          <w:i/>
          <w:iCs/>
          <w:sz w:val="20"/>
          <w:lang w:val="es-MX" w:eastAsia="ja-JP"/>
        </w:rPr>
        <w:t>per se</w:t>
      </w:r>
      <w:r w:rsidR="00B768D8">
        <w:rPr>
          <w:rFonts w:ascii="Verdana" w:hAnsi="Verdana" w:cs="Arial"/>
          <w:sz w:val="20"/>
          <w:lang w:val="es-MX" w:eastAsia="ja-JP"/>
        </w:rPr>
        <w:t>, debe ser considerada como</w:t>
      </w:r>
      <w:r>
        <w:rPr>
          <w:rFonts w:ascii="Verdana" w:hAnsi="Verdana" w:cs="Arial"/>
          <w:sz w:val="20"/>
          <w:lang w:val="es-MX" w:eastAsia="ja-JP"/>
        </w:rPr>
        <w:t xml:space="preserve"> una</w:t>
      </w:r>
      <w:r w:rsidR="00C318D2" w:rsidRPr="00C45913">
        <w:rPr>
          <w:rFonts w:ascii="Verdana" w:hAnsi="Verdana" w:cs="Arial"/>
          <w:sz w:val="20"/>
          <w:lang w:val="es-MX" w:eastAsia="ja-JP"/>
        </w:rPr>
        <w:t xml:space="preserve"> valoración </w:t>
      </w:r>
      <w:r>
        <w:rPr>
          <w:rFonts w:ascii="Verdana" w:hAnsi="Verdana" w:cs="Arial"/>
          <w:sz w:val="20"/>
          <w:lang w:val="es-MX" w:eastAsia="ja-JP"/>
        </w:rPr>
        <w:t xml:space="preserve">superficial </w:t>
      </w:r>
      <w:r w:rsidR="00C318D2" w:rsidRPr="00C45913">
        <w:rPr>
          <w:rFonts w:ascii="Verdana" w:hAnsi="Verdana" w:cs="Arial"/>
          <w:sz w:val="20"/>
          <w:lang w:val="es-MX" w:eastAsia="ja-JP"/>
        </w:rPr>
        <w:t>sobre la seguridad de la familia beneficiaria</w:t>
      </w:r>
      <w:r w:rsidR="00C318D2" w:rsidRPr="008F6E5C">
        <w:rPr>
          <w:rFonts w:ascii="Verdana" w:hAnsi="Verdana" w:cs="Arial"/>
          <w:sz w:val="20"/>
          <w:lang w:val="es-MX" w:eastAsia="ja-JP"/>
        </w:rPr>
        <w:t xml:space="preserve">. </w:t>
      </w:r>
      <w:r>
        <w:rPr>
          <w:rFonts w:ascii="Verdana" w:hAnsi="Verdana" w:cs="Arial"/>
          <w:sz w:val="20"/>
          <w:lang w:val="es-MX" w:eastAsia="ja-JP"/>
        </w:rPr>
        <w:t>C</w:t>
      </w:r>
      <w:r w:rsidR="00C318D2" w:rsidRPr="008F6E5C">
        <w:rPr>
          <w:rFonts w:ascii="Verdana" w:hAnsi="Verdana" w:cs="Arial"/>
          <w:sz w:val="20"/>
          <w:lang w:val="es-MX" w:eastAsia="ja-JP"/>
        </w:rPr>
        <w:t xml:space="preserve">onsideraron que la valoración de la </w:t>
      </w:r>
      <w:r w:rsidR="00C318D2" w:rsidRPr="00C45913">
        <w:rPr>
          <w:rFonts w:ascii="Verdana" w:hAnsi="Verdana" w:cs="Arial"/>
          <w:sz w:val="20"/>
          <w:lang w:val="es-MX" w:eastAsia="ja-JP"/>
        </w:rPr>
        <w:t xml:space="preserve">situación de riesgo </w:t>
      </w:r>
      <w:r w:rsidR="00C318D2" w:rsidRPr="008F6E5C">
        <w:rPr>
          <w:rFonts w:ascii="Verdana" w:hAnsi="Verdana" w:cs="Arial"/>
          <w:sz w:val="20"/>
          <w:lang w:val="es-MX" w:eastAsia="ja-JP"/>
        </w:rPr>
        <w:t>en que se encuentra el menor A.G.A. “</w:t>
      </w:r>
      <w:r w:rsidR="00C318D2" w:rsidRPr="00C45913">
        <w:rPr>
          <w:rFonts w:ascii="Verdana" w:hAnsi="Verdana" w:cs="Arial"/>
          <w:sz w:val="20"/>
          <w:lang w:val="es-MX" w:eastAsia="ja-JP"/>
        </w:rPr>
        <w:t>deriva del asesinato de su hermano, a unos metros de su casa</w:t>
      </w:r>
      <w:r w:rsidR="00B768D8">
        <w:rPr>
          <w:rFonts w:ascii="Verdana" w:hAnsi="Verdana" w:cs="Arial"/>
          <w:sz w:val="20"/>
          <w:lang w:val="es-MX" w:eastAsia="ja-JP"/>
        </w:rPr>
        <w:t>”</w:t>
      </w:r>
      <w:r w:rsidR="00C318D2" w:rsidRPr="00C45913">
        <w:rPr>
          <w:rFonts w:ascii="Verdana" w:hAnsi="Verdana" w:cs="Arial"/>
          <w:sz w:val="20"/>
          <w:lang w:val="es-MX" w:eastAsia="ja-JP"/>
        </w:rPr>
        <w:t xml:space="preserve">; a </w:t>
      </w:r>
      <w:r w:rsidR="00C318D2" w:rsidRPr="008F6E5C">
        <w:rPr>
          <w:rFonts w:ascii="Verdana" w:hAnsi="Verdana" w:cs="Arial"/>
          <w:sz w:val="20"/>
          <w:lang w:val="es-MX" w:eastAsia="ja-JP"/>
        </w:rPr>
        <w:t xml:space="preserve">que “la </w:t>
      </w:r>
      <w:r w:rsidR="00C318D2" w:rsidRPr="00C45913">
        <w:rPr>
          <w:rFonts w:ascii="Verdana" w:hAnsi="Verdana" w:cs="Arial"/>
          <w:sz w:val="20"/>
          <w:lang w:val="es-MX" w:eastAsia="ja-JP"/>
        </w:rPr>
        <w:t xml:space="preserve">familia entera tuvo que resguardarse en un refugio de seguridad y que posteriormente se tuvieron que desplazar a otros lugares”, y de la aceptación expresa </w:t>
      </w:r>
      <w:r w:rsidR="00D532B3">
        <w:rPr>
          <w:rFonts w:ascii="Verdana" w:hAnsi="Verdana" w:cs="Arial"/>
          <w:sz w:val="20"/>
          <w:lang w:val="es-MX" w:eastAsia="ja-JP"/>
        </w:rPr>
        <w:t xml:space="preserve">por parte del Estado </w:t>
      </w:r>
      <w:r w:rsidR="00C318D2" w:rsidRPr="00C45913">
        <w:rPr>
          <w:rFonts w:ascii="Verdana" w:hAnsi="Verdana" w:cs="Arial"/>
          <w:sz w:val="20"/>
          <w:lang w:val="es-MX" w:eastAsia="ja-JP"/>
        </w:rPr>
        <w:t>del riesgo en que se encuentran los familiares.</w:t>
      </w:r>
      <w:r>
        <w:rPr>
          <w:rFonts w:ascii="Verdana" w:hAnsi="Verdana" w:cs="Arial"/>
          <w:sz w:val="20"/>
          <w:lang w:val="es-MX" w:eastAsia="ja-JP"/>
        </w:rPr>
        <w:t xml:space="preserve"> A</w:t>
      </w:r>
      <w:r w:rsidR="009533AE" w:rsidRPr="00C45913">
        <w:rPr>
          <w:rFonts w:ascii="Verdana" w:hAnsi="Verdana" w:cs="Arial"/>
          <w:sz w:val="20"/>
          <w:szCs w:val="20"/>
          <w:lang w:val="es-MX" w:eastAsia="ja-JP"/>
        </w:rPr>
        <w:t>rguyeron que “</w:t>
      </w:r>
      <w:r w:rsidR="009533AE" w:rsidRPr="00C45913">
        <w:rPr>
          <w:rFonts w:ascii="Verdana" w:hAnsi="Verdana" w:cs="Arial"/>
          <w:sz w:val="20"/>
          <w:szCs w:val="20"/>
          <w:lang w:val="es-MX" w:eastAsia="en-US"/>
        </w:rPr>
        <w:t xml:space="preserve">solamente una investigación penal avanzada de manera diligente </w:t>
      </w:r>
      <w:r w:rsidR="00D532B3">
        <w:rPr>
          <w:rFonts w:ascii="Verdana" w:hAnsi="Verdana" w:cs="Arial"/>
          <w:sz w:val="20"/>
          <w:szCs w:val="20"/>
          <w:lang w:val="es-MX" w:eastAsia="en-US"/>
        </w:rPr>
        <w:t xml:space="preserve">[…] </w:t>
      </w:r>
      <w:r w:rsidR="009533AE" w:rsidRPr="00C45913">
        <w:rPr>
          <w:rFonts w:ascii="Verdana" w:hAnsi="Verdana" w:cs="Arial"/>
          <w:sz w:val="20"/>
          <w:szCs w:val="20"/>
          <w:lang w:val="es-MX" w:eastAsia="en-US"/>
        </w:rPr>
        <w:t>podría concluir si existe o no relación con los hechos que dieron origen a las presentes medidas</w:t>
      </w:r>
      <w:r w:rsidR="009533AE" w:rsidRPr="008F6E5C">
        <w:rPr>
          <w:rFonts w:ascii="Verdana" w:hAnsi="Verdana" w:cs="Arial"/>
          <w:sz w:val="20"/>
          <w:szCs w:val="20"/>
          <w:lang w:val="es-MX" w:eastAsia="en-US"/>
        </w:rPr>
        <w:t>”</w:t>
      </w:r>
      <w:r w:rsidR="005024D2" w:rsidRPr="008F6E5C">
        <w:rPr>
          <w:rFonts w:ascii="Verdana" w:hAnsi="Verdana" w:cs="Arial"/>
          <w:sz w:val="20"/>
          <w:szCs w:val="20"/>
          <w:lang w:val="es-MX" w:eastAsia="en-US"/>
        </w:rPr>
        <w:t xml:space="preserve">. </w:t>
      </w:r>
      <w:r w:rsidR="004F68E6" w:rsidRPr="008F6E5C">
        <w:rPr>
          <w:rFonts w:ascii="Verdana" w:hAnsi="Verdana" w:cs="Arial"/>
          <w:sz w:val="20"/>
          <w:szCs w:val="20"/>
          <w:lang w:val="es-MX" w:eastAsia="en-US"/>
        </w:rPr>
        <w:t>Sobre el alcance de la protección para el menor A.G.A. de las medidas adoptadas por el Estado, señalaron que, no obstante que “</w:t>
      </w:r>
      <w:r w:rsidR="004F68E6" w:rsidRPr="00C45913">
        <w:rPr>
          <w:rFonts w:ascii="Verdana" w:hAnsi="Verdana" w:cs="Arial"/>
          <w:sz w:val="20"/>
          <w:szCs w:val="20"/>
          <w:lang w:val="es-MX" w:eastAsia="en-US"/>
        </w:rPr>
        <w:t xml:space="preserve">el Estado argumente que </w:t>
      </w:r>
      <w:r w:rsidR="004F68E6" w:rsidRPr="008F6E5C">
        <w:rPr>
          <w:rFonts w:ascii="Verdana" w:hAnsi="Verdana" w:cs="Arial"/>
          <w:sz w:val="20"/>
          <w:szCs w:val="20"/>
          <w:lang w:val="es-MX" w:eastAsia="en-US"/>
        </w:rPr>
        <w:t xml:space="preserve">[…] </w:t>
      </w:r>
      <w:r w:rsidR="004F68E6" w:rsidRPr="00C45913">
        <w:rPr>
          <w:rFonts w:ascii="Verdana" w:hAnsi="Verdana" w:cs="Arial"/>
          <w:sz w:val="20"/>
          <w:szCs w:val="20"/>
          <w:lang w:val="es-MX" w:eastAsia="en-US"/>
        </w:rPr>
        <w:t>las medidas de</w:t>
      </w:r>
      <w:r w:rsidR="004F68E6" w:rsidRPr="008F6E5C">
        <w:rPr>
          <w:rFonts w:ascii="Verdana" w:hAnsi="Verdana" w:cs="Arial"/>
          <w:sz w:val="20"/>
          <w:szCs w:val="20"/>
          <w:lang w:val="es-MX" w:eastAsia="en-US"/>
        </w:rPr>
        <w:t xml:space="preserve"> </w:t>
      </w:r>
      <w:r w:rsidR="004F68E6" w:rsidRPr="00C45913">
        <w:rPr>
          <w:rFonts w:ascii="Verdana" w:hAnsi="Verdana" w:cs="Arial"/>
          <w:sz w:val="20"/>
          <w:szCs w:val="20"/>
          <w:lang w:val="es-MX" w:eastAsia="en-US"/>
        </w:rPr>
        <w:t xml:space="preserve">protección implementadas </w:t>
      </w:r>
      <w:r w:rsidR="004F68E6" w:rsidRPr="008F6E5C">
        <w:rPr>
          <w:rFonts w:ascii="Verdana" w:hAnsi="Verdana" w:cs="Arial"/>
          <w:sz w:val="20"/>
          <w:szCs w:val="20"/>
          <w:lang w:val="es-MX" w:eastAsia="en-US"/>
        </w:rPr>
        <w:t xml:space="preserve">[...] </w:t>
      </w:r>
      <w:r w:rsidR="004F68E6" w:rsidRPr="00C45913">
        <w:rPr>
          <w:rFonts w:ascii="Verdana" w:hAnsi="Verdana" w:cs="Arial"/>
          <w:sz w:val="20"/>
          <w:szCs w:val="20"/>
          <w:lang w:val="es-MX" w:eastAsia="en-US"/>
        </w:rPr>
        <w:t>beneficiarán a A.G.A. en tanto se han otorgado a sus familiares,</w:t>
      </w:r>
      <w:r w:rsidR="004F68E6" w:rsidRPr="008F6E5C">
        <w:rPr>
          <w:rFonts w:ascii="Verdana" w:hAnsi="Verdana" w:cs="Arial"/>
          <w:sz w:val="20"/>
          <w:szCs w:val="20"/>
          <w:lang w:val="es-MX" w:eastAsia="en-US"/>
        </w:rPr>
        <w:t xml:space="preserve"> </w:t>
      </w:r>
      <w:r w:rsidR="004F68E6" w:rsidRPr="00C45913">
        <w:rPr>
          <w:rFonts w:ascii="Verdana" w:hAnsi="Verdana" w:cs="Arial"/>
          <w:sz w:val="20"/>
          <w:szCs w:val="20"/>
          <w:lang w:val="es-MX" w:eastAsia="en-US"/>
        </w:rPr>
        <w:t xml:space="preserve">la diferenciación de trato que ha dado en ocasiones anteriores, </w:t>
      </w:r>
      <w:r w:rsidR="00D532B3">
        <w:rPr>
          <w:rFonts w:ascii="Verdana" w:hAnsi="Verdana" w:cs="Arial"/>
          <w:sz w:val="20"/>
          <w:szCs w:val="20"/>
          <w:lang w:val="es-MX" w:eastAsia="en-US"/>
        </w:rPr>
        <w:t xml:space="preserve">[…] </w:t>
      </w:r>
      <w:r w:rsidR="004F68E6" w:rsidRPr="00C45913">
        <w:rPr>
          <w:rFonts w:ascii="Verdana" w:hAnsi="Verdana" w:cs="Arial"/>
          <w:sz w:val="20"/>
          <w:szCs w:val="20"/>
          <w:lang w:val="es-MX" w:eastAsia="en-US"/>
        </w:rPr>
        <w:t>hace</w:t>
      </w:r>
      <w:r w:rsidR="004F68E6" w:rsidRPr="008F6E5C">
        <w:rPr>
          <w:rFonts w:ascii="Verdana" w:hAnsi="Verdana" w:cs="Arial"/>
          <w:sz w:val="20"/>
          <w:szCs w:val="20"/>
          <w:lang w:val="es-MX" w:eastAsia="en-US"/>
        </w:rPr>
        <w:t xml:space="preserve"> </w:t>
      </w:r>
      <w:r w:rsidR="004F68E6" w:rsidRPr="00C45913">
        <w:rPr>
          <w:rFonts w:ascii="Verdana" w:hAnsi="Verdana" w:cs="Arial"/>
          <w:sz w:val="20"/>
          <w:szCs w:val="20"/>
          <w:lang w:val="es-MX" w:eastAsia="en-US"/>
        </w:rPr>
        <w:t xml:space="preserve">necesario un pronunciamiento de protección por parte de esta </w:t>
      </w:r>
      <w:r w:rsidR="00BE7666">
        <w:rPr>
          <w:rFonts w:ascii="Verdana" w:hAnsi="Verdana" w:cs="Arial"/>
          <w:sz w:val="20"/>
          <w:szCs w:val="20"/>
          <w:lang w:val="es-MX" w:eastAsia="en-US"/>
        </w:rPr>
        <w:t>[…]</w:t>
      </w:r>
      <w:r w:rsidR="004F68E6" w:rsidRPr="00C45913">
        <w:rPr>
          <w:rFonts w:ascii="Verdana" w:hAnsi="Verdana" w:cs="Arial"/>
          <w:sz w:val="20"/>
          <w:szCs w:val="20"/>
          <w:lang w:val="es-MX" w:eastAsia="en-US"/>
        </w:rPr>
        <w:t xml:space="preserve"> Corte</w:t>
      </w:r>
      <w:r w:rsidR="00BE52B9" w:rsidRPr="008F6E5C">
        <w:rPr>
          <w:rFonts w:ascii="Verdana" w:hAnsi="Verdana" w:cs="Arial"/>
          <w:sz w:val="20"/>
          <w:szCs w:val="20"/>
          <w:lang w:val="es-MX" w:eastAsia="en-US"/>
        </w:rPr>
        <w:t>”</w:t>
      </w:r>
      <w:r w:rsidR="0057594C" w:rsidRPr="00F97852">
        <w:rPr>
          <w:rFonts w:ascii="Verdana" w:hAnsi="Verdana" w:cs="Arial"/>
          <w:sz w:val="20"/>
          <w:lang w:val="es-MX" w:eastAsia="ja-JP"/>
        </w:rPr>
        <w:t xml:space="preserve">. </w:t>
      </w:r>
      <w:r>
        <w:rPr>
          <w:rFonts w:ascii="Verdana" w:hAnsi="Verdana" w:cs="Arial"/>
          <w:sz w:val="20"/>
          <w:lang w:val="es-MX" w:eastAsia="ja-JP"/>
        </w:rPr>
        <w:t>Agregaron</w:t>
      </w:r>
      <w:r w:rsidR="00FF4BEE" w:rsidRPr="00F97852">
        <w:rPr>
          <w:rFonts w:ascii="Verdana" w:hAnsi="Verdana" w:cs="Arial"/>
          <w:sz w:val="20"/>
          <w:lang w:val="es-MX" w:eastAsia="ja-JP"/>
        </w:rPr>
        <w:t xml:space="preserve"> que </w:t>
      </w:r>
      <w:r w:rsidR="00FF4BEE" w:rsidRPr="00C45913">
        <w:rPr>
          <w:rFonts w:ascii="Verdana" w:hAnsi="Verdana" w:cs="Arial"/>
          <w:sz w:val="20"/>
          <w:lang w:val="es-MX" w:eastAsia="ja-JP"/>
        </w:rPr>
        <w:t xml:space="preserve"> “</w:t>
      </w:r>
      <w:r w:rsidR="00FF4BEE" w:rsidRPr="00F97852">
        <w:rPr>
          <w:rFonts w:ascii="Verdana" w:hAnsi="Verdana" w:cs="Arial"/>
          <w:sz w:val="20"/>
          <w:lang w:val="es-MX" w:eastAsia="ja-JP"/>
        </w:rPr>
        <w:t xml:space="preserve">[no] </w:t>
      </w:r>
      <w:r w:rsidR="00FF4BEE" w:rsidRPr="00C45913">
        <w:rPr>
          <w:rFonts w:ascii="Verdana" w:hAnsi="Verdana" w:cs="Arial"/>
          <w:sz w:val="20"/>
          <w:lang w:val="es-MX" w:eastAsia="ja-JP"/>
        </w:rPr>
        <w:t>por el hecho de otorgar ciertas medidas de protección a la familia beneficiaria, automáticamente A.G.A. quedaría completamente protegido</w:t>
      </w:r>
      <w:r w:rsidR="00FF4BEE" w:rsidRPr="00F97852">
        <w:rPr>
          <w:rFonts w:ascii="Verdana" w:hAnsi="Verdana" w:cs="Arial"/>
          <w:sz w:val="20"/>
          <w:lang w:val="es-MX" w:eastAsia="ja-JP"/>
        </w:rPr>
        <w:t>”</w:t>
      </w:r>
      <w:r w:rsidR="00FF4BEE" w:rsidRPr="00C45913">
        <w:rPr>
          <w:rFonts w:ascii="Verdana" w:hAnsi="Verdana" w:cs="Arial"/>
          <w:sz w:val="20"/>
          <w:lang w:val="es-MX" w:eastAsia="ja-JP"/>
        </w:rPr>
        <w:t>.</w:t>
      </w:r>
      <w:r w:rsidR="00FF4BEE" w:rsidRPr="00F97852">
        <w:rPr>
          <w:rFonts w:ascii="Verdana" w:hAnsi="Verdana" w:cs="Arial"/>
          <w:sz w:val="20"/>
          <w:lang w:val="es-MX" w:eastAsia="ja-JP"/>
        </w:rPr>
        <w:t xml:space="preserve"> </w:t>
      </w:r>
      <w:r w:rsidR="00B768D8">
        <w:rPr>
          <w:rFonts w:ascii="Verdana" w:hAnsi="Verdana" w:cs="Arial"/>
          <w:sz w:val="20"/>
          <w:lang w:val="es-MX" w:eastAsia="ja-JP"/>
        </w:rPr>
        <w:t>Por ende</w:t>
      </w:r>
      <w:r w:rsidR="00FF4BEE" w:rsidRPr="00F97852">
        <w:rPr>
          <w:rFonts w:ascii="Verdana" w:hAnsi="Verdana" w:cs="Arial"/>
          <w:sz w:val="20"/>
          <w:lang w:val="es-MX" w:eastAsia="ja-JP"/>
        </w:rPr>
        <w:t xml:space="preserve">, resaltaron la importancia </w:t>
      </w:r>
      <w:r w:rsidR="00F97852" w:rsidRPr="00F97852">
        <w:rPr>
          <w:rFonts w:ascii="Verdana" w:hAnsi="Verdana" w:cs="Arial"/>
          <w:sz w:val="20"/>
          <w:lang w:val="es-MX" w:eastAsia="ja-JP"/>
        </w:rPr>
        <w:t xml:space="preserve">de que para la determinación del análisis de riesgo, éste </w:t>
      </w:r>
      <w:r w:rsidR="001100F3">
        <w:rPr>
          <w:rFonts w:ascii="Verdana" w:hAnsi="Verdana" w:cs="Arial"/>
          <w:sz w:val="20"/>
          <w:lang w:val="es-MX" w:eastAsia="ja-JP"/>
        </w:rPr>
        <w:t xml:space="preserve">se </w:t>
      </w:r>
      <w:r w:rsidR="00F97852" w:rsidRPr="00F97852">
        <w:rPr>
          <w:rFonts w:ascii="Verdana" w:hAnsi="Verdana" w:cs="Arial"/>
          <w:sz w:val="20"/>
          <w:lang w:val="es-MX" w:eastAsia="ja-JP"/>
        </w:rPr>
        <w:t>reali</w:t>
      </w:r>
      <w:r w:rsidR="001100F3">
        <w:rPr>
          <w:rFonts w:ascii="Verdana" w:hAnsi="Verdana" w:cs="Arial"/>
          <w:sz w:val="20"/>
          <w:lang w:val="es-MX" w:eastAsia="ja-JP"/>
        </w:rPr>
        <w:t>ce</w:t>
      </w:r>
      <w:r w:rsidR="00F97852" w:rsidRPr="00F97852">
        <w:rPr>
          <w:rFonts w:ascii="Verdana" w:hAnsi="Verdana" w:cs="Arial"/>
          <w:sz w:val="20"/>
          <w:lang w:val="es-MX" w:eastAsia="ja-JP"/>
        </w:rPr>
        <w:t xml:space="preserve"> con perspectiva de género y enfoque diferenciado.</w:t>
      </w:r>
      <w:r>
        <w:rPr>
          <w:rFonts w:ascii="Verdana" w:hAnsi="Verdana" w:cs="Arial"/>
          <w:sz w:val="20"/>
          <w:lang w:val="es-MX" w:eastAsia="ja-JP"/>
        </w:rPr>
        <w:t xml:space="preserve"> </w:t>
      </w:r>
      <w:r w:rsidR="001100F3">
        <w:rPr>
          <w:rFonts w:ascii="Verdana" w:hAnsi="Verdana" w:cs="Arial"/>
          <w:sz w:val="20"/>
          <w:lang w:val="es-MX" w:eastAsia="ja-JP"/>
        </w:rPr>
        <w:t>Por último, sobre</w:t>
      </w:r>
      <w:r w:rsidR="007F7968" w:rsidRPr="00055EC1">
        <w:rPr>
          <w:rFonts w:ascii="Verdana" w:hAnsi="Verdana" w:cs="Arial"/>
          <w:sz w:val="20"/>
          <w:lang w:val="es-MX" w:eastAsia="ja-JP"/>
        </w:rPr>
        <w:t xml:space="preserve"> la alegada eficacia de las medidas de protección implementadas por el Estado, consideraron</w:t>
      </w:r>
      <w:r w:rsidR="007F7968" w:rsidRPr="00055EC1">
        <w:rPr>
          <w:rFonts w:ascii="Verdana" w:hAnsi="Verdana" w:cs="Arial"/>
          <w:i/>
          <w:sz w:val="20"/>
          <w:lang w:val="es-MX" w:eastAsia="ja-JP"/>
        </w:rPr>
        <w:t xml:space="preserve"> </w:t>
      </w:r>
      <w:r w:rsidR="007F7968" w:rsidRPr="00055EC1">
        <w:rPr>
          <w:rFonts w:ascii="Verdana" w:hAnsi="Verdana" w:cs="Arial"/>
          <w:sz w:val="20"/>
          <w:lang w:val="es-MX" w:eastAsia="ja-JP"/>
        </w:rPr>
        <w:t>la afirmación</w:t>
      </w:r>
      <w:r w:rsidR="007F7968" w:rsidRPr="00055EC1">
        <w:rPr>
          <w:rFonts w:ascii="Verdana" w:hAnsi="Verdana" w:cs="Arial"/>
          <w:b/>
          <w:sz w:val="20"/>
          <w:lang w:val="es-MX" w:eastAsia="ja-JP"/>
        </w:rPr>
        <w:t xml:space="preserve"> </w:t>
      </w:r>
      <w:r w:rsidR="007F7968" w:rsidRPr="00055EC1">
        <w:rPr>
          <w:rFonts w:ascii="Verdana" w:hAnsi="Verdana" w:cs="Arial"/>
          <w:sz w:val="20"/>
          <w:lang w:val="es-MX" w:eastAsia="ja-JP"/>
        </w:rPr>
        <w:t xml:space="preserve">carente de “sustento objetivo” en atención a los distintos perjuicios que los familiares de las víctimas </w:t>
      </w:r>
      <w:r w:rsidR="007F7968" w:rsidRPr="00055EC1">
        <w:rPr>
          <w:rFonts w:ascii="Verdana" w:hAnsi="Verdana" w:cs="Arial"/>
          <w:sz w:val="20"/>
          <w:lang w:val="es-MX" w:eastAsia="ja-JP"/>
        </w:rPr>
        <w:lastRenderedPageBreak/>
        <w:t xml:space="preserve">en el presente caso han padecido </w:t>
      </w:r>
      <w:r w:rsidR="00572AAB" w:rsidRPr="00055EC1">
        <w:rPr>
          <w:rFonts w:ascii="Verdana" w:hAnsi="Verdana" w:cs="Arial"/>
          <w:sz w:val="20"/>
          <w:lang w:val="es-MX" w:eastAsia="ja-JP"/>
        </w:rPr>
        <w:t>y a la información proporcionada a la Corte (</w:t>
      </w:r>
      <w:r w:rsidR="00572AAB" w:rsidRPr="00055EC1">
        <w:rPr>
          <w:rFonts w:ascii="Verdana" w:hAnsi="Verdana" w:cs="Arial"/>
          <w:i/>
          <w:sz w:val="20"/>
          <w:lang w:val="es-MX" w:eastAsia="ja-JP"/>
        </w:rPr>
        <w:t xml:space="preserve">supra, </w:t>
      </w:r>
      <w:r w:rsidR="00572AAB" w:rsidRPr="00055EC1">
        <w:rPr>
          <w:rFonts w:ascii="Verdana" w:hAnsi="Verdana" w:cs="Arial"/>
          <w:sz w:val="20"/>
          <w:lang w:val="es-MX" w:eastAsia="ja-JP"/>
        </w:rPr>
        <w:t xml:space="preserve">considerandos </w:t>
      </w:r>
      <w:r w:rsidR="00D532B3">
        <w:rPr>
          <w:rFonts w:ascii="Verdana" w:hAnsi="Verdana" w:cs="Arial"/>
          <w:sz w:val="20"/>
          <w:lang w:val="es-MX" w:eastAsia="ja-JP"/>
        </w:rPr>
        <w:t>5</w:t>
      </w:r>
      <w:r w:rsidR="00BE7666" w:rsidRPr="00055EC1">
        <w:rPr>
          <w:rFonts w:ascii="Verdana" w:hAnsi="Verdana" w:cs="Arial"/>
          <w:sz w:val="20"/>
          <w:lang w:val="es-MX" w:eastAsia="ja-JP"/>
        </w:rPr>
        <w:t xml:space="preserve"> </w:t>
      </w:r>
      <w:r w:rsidR="00D532B3">
        <w:rPr>
          <w:rFonts w:ascii="Verdana" w:hAnsi="Verdana" w:cs="Arial"/>
          <w:sz w:val="20"/>
          <w:lang w:val="es-MX" w:eastAsia="ja-JP"/>
        </w:rPr>
        <w:t>y</w:t>
      </w:r>
      <w:r w:rsidR="00572AAB" w:rsidRPr="00055EC1">
        <w:rPr>
          <w:rFonts w:ascii="Verdana" w:hAnsi="Verdana" w:cs="Arial"/>
          <w:sz w:val="20"/>
          <w:lang w:val="es-MX" w:eastAsia="ja-JP"/>
        </w:rPr>
        <w:t xml:space="preserve"> </w:t>
      </w:r>
      <w:r w:rsidR="00D532B3">
        <w:rPr>
          <w:rFonts w:ascii="Verdana" w:hAnsi="Verdana" w:cs="Arial"/>
          <w:sz w:val="20"/>
          <w:lang w:val="es-MX" w:eastAsia="ja-JP"/>
        </w:rPr>
        <w:t>6</w:t>
      </w:r>
      <w:r w:rsidR="00572AAB" w:rsidRPr="00055EC1">
        <w:rPr>
          <w:rFonts w:ascii="Verdana" w:hAnsi="Verdana" w:cs="Arial"/>
          <w:sz w:val="20"/>
          <w:lang w:val="es-MX" w:eastAsia="ja-JP"/>
        </w:rPr>
        <w:t xml:space="preserve">). </w:t>
      </w:r>
    </w:p>
    <w:p w14:paraId="4F95FC6C" w14:textId="77777777" w:rsidR="0095359C" w:rsidRPr="00960F3A" w:rsidRDefault="0095359C">
      <w:pPr>
        <w:pStyle w:val="ListParagraph"/>
        <w:ind w:left="0" w:right="19"/>
        <w:jc w:val="both"/>
        <w:rPr>
          <w:rFonts w:ascii="Verdana" w:hAnsi="Verdana"/>
          <w:sz w:val="20"/>
        </w:rPr>
      </w:pPr>
    </w:p>
    <w:p w14:paraId="345F277E" w14:textId="120633E8" w:rsidR="00667E1F" w:rsidRPr="009A2384" w:rsidRDefault="00C30665" w:rsidP="009A2384">
      <w:pPr>
        <w:ind w:left="720"/>
        <w:jc w:val="both"/>
        <w:rPr>
          <w:rFonts w:ascii="Verdana" w:hAnsi="Verdana"/>
          <w:b/>
          <w:i/>
          <w:sz w:val="20"/>
          <w:szCs w:val="20"/>
        </w:rPr>
      </w:pPr>
      <w:r>
        <w:rPr>
          <w:rFonts w:ascii="Verdana" w:hAnsi="Verdana"/>
          <w:b/>
          <w:i/>
          <w:sz w:val="20"/>
          <w:szCs w:val="20"/>
        </w:rPr>
        <w:t xml:space="preserve">B) </w:t>
      </w:r>
      <w:r w:rsidR="00953CDC">
        <w:rPr>
          <w:rFonts w:ascii="Verdana" w:hAnsi="Verdana"/>
          <w:b/>
          <w:i/>
          <w:sz w:val="20"/>
          <w:szCs w:val="20"/>
        </w:rPr>
        <w:t>Consideraciones de la Corte</w:t>
      </w:r>
    </w:p>
    <w:p w14:paraId="5C6AACA6" w14:textId="77777777" w:rsidR="009A2384" w:rsidRDefault="009A2384" w:rsidP="009A2384">
      <w:pPr>
        <w:pStyle w:val="ListParagraph"/>
        <w:ind w:left="0" w:right="19"/>
        <w:jc w:val="both"/>
        <w:rPr>
          <w:rFonts w:ascii="Verdana" w:hAnsi="Verdana"/>
          <w:sz w:val="20"/>
        </w:rPr>
      </w:pPr>
    </w:p>
    <w:p w14:paraId="3857876F" w14:textId="62DA768C" w:rsidR="0095359C" w:rsidRPr="00C75287" w:rsidRDefault="0095359C" w:rsidP="00C75287">
      <w:pPr>
        <w:pStyle w:val="ListParagraph"/>
        <w:numPr>
          <w:ilvl w:val="0"/>
          <w:numId w:val="19"/>
        </w:numPr>
        <w:ind w:left="0" w:firstLine="0"/>
        <w:jc w:val="both"/>
        <w:rPr>
          <w:rFonts w:ascii="Verdana" w:eastAsiaTheme="minorHAnsi" w:hAnsi="Verdana" w:cs="Verdana"/>
          <w:color w:val="000000"/>
          <w:sz w:val="20"/>
          <w:szCs w:val="20"/>
          <w:lang w:val="es-HN" w:eastAsia="en-US"/>
        </w:rPr>
      </w:pPr>
      <w:r>
        <w:rPr>
          <w:rFonts w:ascii="Verdana" w:hAnsi="Verdana"/>
          <w:sz w:val="20"/>
        </w:rPr>
        <w:t xml:space="preserve">La Corte lamenta los hechos sucedidos y el fallecimiento de </w:t>
      </w:r>
      <w:r w:rsidRPr="00C75F0B">
        <w:rPr>
          <w:rFonts w:ascii="Verdana" w:hAnsi="Verdana" w:cs="Arial"/>
          <w:sz w:val="20"/>
          <w:szCs w:val="20"/>
          <w:lang w:val="es-CR" w:eastAsia="en-US"/>
        </w:rPr>
        <w:t>F.A.H</w:t>
      </w:r>
      <w:r w:rsidRPr="00C75F0B">
        <w:rPr>
          <w:rFonts w:ascii="Verdana" w:hAnsi="Verdana"/>
          <w:sz w:val="20"/>
          <w:szCs w:val="20"/>
          <w:lang w:val="es-CR"/>
        </w:rPr>
        <w:t>.</w:t>
      </w:r>
      <w:r>
        <w:rPr>
          <w:rFonts w:ascii="Verdana" w:hAnsi="Verdana"/>
          <w:sz w:val="20"/>
          <w:szCs w:val="20"/>
          <w:lang w:val="es-CR"/>
        </w:rPr>
        <w:t>, quien era beneficiario de medidas provisionales</w:t>
      </w:r>
      <w:r w:rsidR="00603708">
        <w:rPr>
          <w:rFonts w:ascii="Verdana" w:hAnsi="Verdana"/>
          <w:sz w:val="20"/>
          <w:szCs w:val="20"/>
          <w:lang w:val="es-CR"/>
        </w:rPr>
        <w:t>.</w:t>
      </w:r>
    </w:p>
    <w:p w14:paraId="69C325DC" w14:textId="77777777" w:rsidR="0095359C" w:rsidRPr="00C75287" w:rsidRDefault="0095359C" w:rsidP="00C75287">
      <w:pPr>
        <w:pStyle w:val="ListParagraph"/>
        <w:ind w:left="0"/>
        <w:jc w:val="both"/>
        <w:rPr>
          <w:rFonts w:ascii="Verdana" w:eastAsiaTheme="minorHAnsi" w:hAnsi="Verdana" w:cs="Verdana"/>
          <w:color w:val="000000"/>
          <w:sz w:val="20"/>
          <w:szCs w:val="20"/>
          <w:lang w:val="es-HN" w:eastAsia="en-US"/>
        </w:rPr>
      </w:pPr>
    </w:p>
    <w:p w14:paraId="39329DCB" w14:textId="58B896F8" w:rsidR="00053EC6" w:rsidRDefault="0095359C" w:rsidP="00C75287">
      <w:pPr>
        <w:pStyle w:val="ListParagraph"/>
        <w:numPr>
          <w:ilvl w:val="0"/>
          <w:numId w:val="19"/>
        </w:numPr>
        <w:ind w:left="0" w:firstLine="0"/>
        <w:jc w:val="both"/>
        <w:rPr>
          <w:rFonts w:ascii="Verdana" w:eastAsiaTheme="minorHAnsi" w:hAnsi="Verdana" w:cs="Verdana"/>
          <w:color w:val="000000"/>
          <w:sz w:val="20"/>
          <w:szCs w:val="20"/>
          <w:lang w:val="es-HN" w:eastAsia="en-US"/>
        </w:rPr>
      </w:pPr>
      <w:r>
        <w:rPr>
          <w:rFonts w:ascii="Verdana" w:hAnsi="Verdana"/>
          <w:sz w:val="20"/>
          <w:szCs w:val="20"/>
          <w:lang w:val="es-CR"/>
        </w:rPr>
        <w:t xml:space="preserve">Al respecto, </w:t>
      </w:r>
      <w:r w:rsidRPr="00B07E3E">
        <w:rPr>
          <w:rFonts w:ascii="Verdana" w:eastAsiaTheme="minorHAnsi" w:hAnsi="Verdana" w:cs="Verdana"/>
          <w:color w:val="000000"/>
          <w:sz w:val="20"/>
          <w:szCs w:val="20"/>
          <w:lang w:val="es-HN" w:eastAsia="en-US"/>
        </w:rPr>
        <w:t xml:space="preserve">esta Corte recuerda que en su Resolución de 14 de noviembre de 2017 </w:t>
      </w:r>
      <w:r>
        <w:rPr>
          <w:rFonts w:ascii="Verdana" w:eastAsiaTheme="minorHAnsi" w:hAnsi="Verdana" w:cs="Verdana"/>
          <w:color w:val="000000"/>
          <w:sz w:val="20"/>
          <w:szCs w:val="20"/>
          <w:lang w:val="es-HN" w:eastAsia="en-US"/>
        </w:rPr>
        <w:t xml:space="preserve">llamó la atención sobre el incumplimiento por parte del Estado en la realización del análisis de riesgo previamente solicitado mediante </w:t>
      </w:r>
      <w:r w:rsidR="00295B96">
        <w:rPr>
          <w:rFonts w:ascii="Verdana" w:eastAsiaTheme="minorHAnsi" w:hAnsi="Verdana" w:cs="Verdana"/>
          <w:color w:val="000000"/>
          <w:sz w:val="20"/>
          <w:szCs w:val="20"/>
          <w:lang w:val="es-HN" w:eastAsia="en-US"/>
        </w:rPr>
        <w:t>R</w:t>
      </w:r>
      <w:r>
        <w:rPr>
          <w:rFonts w:ascii="Verdana" w:eastAsiaTheme="minorHAnsi" w:hAnsi="Verdana" w:cs="Verdana"/>
          <w:color w:val="000000"/>
          <w:sz w:val="20"/>
          <w:szCs w:val="20"/>
          <w:lang w:val="es-HN" w:eastAsia="en-US"/>
        </w:rPr>
        <w:t>esolución de 23 de junio de</w:t>
      </w:r>
      <w:r w:rsidR="00053EC6">
        <w:rPr>
          <w:rFonts w:ascii="Verdana" w:eastAsiaTheme="minorHAnsi" w:hAnsi="Verdana" w:cs="Verdana"/>
          <w:color w:val="000000"/>
          <w:sz w:val="20"/>
          <w:szCs w:val="20"/>
          <w:lang w:val="es-HN" w:eastAsia="en-US"/>
        </w:rPr>
        <w:t xml:space="preserve"> </w:t>
      </w:r>
      <w:r>
        <w:rPr>
          <w:rFonts w:ascii="Verdana" w:eastAsiaTheme="minorHAnsi" w:hAnsi="Verdana" w:cs="Verdana"/>
          <w:color w:val="000000"/>
          <w:sz w:val="20"/>
          <w:szCs w:val="20"/>
          <w:lang w:val="es-HN" w:eastAsia="en-US"/>
        </w:rPr>
        <w:t>2015 (Considerando 18</w:t>
      </w:r>
      <w:r w:rsidR="00053EC6">
        <w:rPr>
          <w:rFonts w:ascii="Verdana" w:eastAsiaTheme="minorHAnsi" w:hAnsi="Verdana" w:cs="Verdana"/>
          <w:color w:val="000000"/>
          <w:sz w:val="20"/>
          <w:szCs w:val="20"/>
          <w:lang w:val="es-HN" w:eastAsia="en-US"/>
        </w:rPr>
        <w:t xml:space="preserve"> y Resolutivo 5</w:t>
      </w:r>
      <w:r>
        <w:rPr>
          <w:rFonts w:ascii="Verdana" w:eastAsiaTheme="minorHAnsi" w:hAnsi="Verdana" w:cs="Verdana"/>
          <w:color w:val="000000"/>
          <w:sz w:val="20"/>
          <w:szCs w:val="20"/>
          <w:lang w:val="es-HN" w:eastAsia="en-US"/>
        </w:rPr>
        <w:t>)</w:t>
      </w:r>
      <w:r w:rsidR="00053EC6">
        <w:rPr>
          <w:rFonts w:ascii="Verdana" w:eastAsiaTheme="minorHAnsi" w:hAnsi="Verdana" w:cs="Verdana"/>
          <w:color w:val="000000"/>
          <w:sz w:val="20"/>
          <w:szCs w:val="20"/>
          <w:lang w:val="es-HN" w:eastAsia="en-US"/>
        </w:rPr>
        <w:t>, por lo que</w:t>
      </w:r>
      <w:r>
        <w:rPr>
          <w:rFonts w:ascii="Verdana" w:eastAsiaTheme="minorHAnsi" w:hAnsi="Verdana" w:cs="Verdana"/>
          <w:color w:val="000000"/>
          <w:sz w:val="20"/>
          <w:szCs w:val="20"/>
          <w:lang w:val="es-HN" w:eastAsia="en-US"/>
        </w:rPr>
        <w:t xml:space="preserve"> reiteró al </w:t>
      </w:r>
      <w:r w:rsidRPr="00B07E3E">
        <w:rPr>
          <w:rFonts w:ascii="Verdana" w:eastAsiaTheme="minorHAnsi" w:hAnsi="Verdana" w:cs="Verdana"/>
          <w:color w:val="000000"/>
          <w:sz w:val="20"/>
          <w:szCs w:val="20"/>
          <w:lang w:val="es-HN" w:eastAsia="en-US"/>
        </w:rPr>
        <w:t xml:space="preserve">Estado </w:t>
      </w:r>
      <w:r>
        <w:rPr>
          <w:rFonts w:ascii="Verdana" w:eastAsiaTheme="minorHAnsi" w:hAnsi="Verdana" w:cs="Verdana"/>
          <w:color w:val="000000"/>
          <w:sz w:val="20"/>
          <w:szCs w:val="20"/>
          <w:lang w:val="es-HN" w:eastAsia="en-US"/>
        </w:rPr>
        <w:t xml:space="preserve">que </w:t>
      </w:r>
      <w:r w:rsidRPr="00B07E3E">
        <w:rPr>
          <w:rFonts w:ascii="Verdana" w:eastAsiaTheme="minorHAnsi" w:hAnsi="Verdana" w:cs="Verdana"/>
          <w:color w:val="000000"/>
          <w:sz w:val="20"/>
          <w:szCs w:val="20"/>
          <w:lang w:val="es-HN" w:eastAsia="en-US"/>
        </w:rPr>
        <w:t>adoptara</w:t>
      </w:r>
      <w:r w:rsidR="00053EC6">
        <w:rPr>
          <w:rFonts w:ascii="Verdana" w:eastAsiaTheme="minorHAnsi" w:hAnsi="Verdana" w:cs="Verdana"/>
          <w:color w:val="000000"/>
          <w:sz w:val="20"/>
          <w:szCs w:val="20"/>
          <w:lang w:val="es-HN" w:eastAsia="en-US"/>
        </w:rPr>
        <w:t>, a la mayor brevedad,</w:t>
      </w:r>
      <w:r w:rsidRPr="00B07E3E">
        <w:rPr>
          <w:rFonts w:ascii="Verdana" w:eastAsiaTheme="minorHAnsi" w:hAnsi="Verdana" w:cs="Verdana"/>
          <w:color w:val="000000"/>
          <w:sz w:val="20"/>
          <w:szCs w:val="20"/>
          <w:lang w:val="es-HN" w:eastAsia="en-US"/>
        </w:rPr>
        <w:t xml:space="preserve"> los pasos necesarios para la debida implementación de </w:t>
      </w:r>
      <w:r>
        <w:rPr>
          <w:rFonts w:ascii="Verdana" w:eastAsiaTheme="minorHAnsi" w:hAnsi="Verdana" w:cs="Verdana"/>
          <w:color w:val="000000"/>
          <w:sz w:val="20"/>
          <w:szCs w:val="20"/>
          <w:lang w:val="es-HN" w:eastAsia="en-US"/>
        </w:rPr>
        <w:t xml:space="preserve">las </w:t>
      </w:r>
      <w:r w:rsidRPr="00B07E3E">
        <w:rPr>
          <w:rFonts w:ascii="Verdana" w:eastAsiaTheme="minorHAnsi" w:hAnsi="Verdana" w:cs="Verdana"/>
          <w:color w:val="000000"/>
          <w:sz w:val="20"/>
          <w:szCs w:val="20"/>
          <w:lang w:val="es-HN" w:eastAsia="en-US"/>
        </w:rPr>
        <w:t>medidas pertinentes</w:t>
      </w:r>
      <w:r>
        <w:rPr>
          <w:rFonts w:ascii="Verdana" w:eastAsiaTheme="minorHAnsi" w:hAnsi="Verdana" w:cs="Verdana"/>
          <w:color w:val="000000"/>
          <w:sz w:val="20"/>
          <w:szCs w:val="20"/>
          <w:lang w:val="es-HN" w:eastAsia="en-US"/>
        </w:rPr>
        <w:t>, particularmente</w:t>
      </w:r>
      <w:r w:rsidRPr="00B07E3E">
        <w:rPr>
          <w:rFonts w:ascii="Verdana" w:eastAsiaTheme="minorHAnsi" w:hAnsi="Verdana" w:cs="Verdana"/>
          <w:color w:val="000000"/>
          <w:sz w:val="20"/>
          <w:szCs w:val="20"/>
          <w:lang w:val="es-HN" w:eastAsia="en-US"/>
        </w:rPr>
        <w:t xml:space="preserve"> respecto d</w:t>
      </w:r>
      <w:r w:rsidRPr="00767472">
        <w:rPr>
          <w:rFonts w:ascii="Verdana" w:eastAsiaTheme="minorHAnsi" w:hAnsi="Verdana" w:cs="Verdana"/>
          <w:color w:val="000000"/>
          <w:sz w:val="20"/>
          <w:szCs w:val="20"/>
          <w:lang w:val="es-HN" w:eastAsia="en-US"/>
        </w:rPr>
        <w:t>e realizar evaluaciones periódicas del riesgo de cada uno de los beneficiarios, incluyendo una perspectiva de género e impactos diferenciados</w:t>
      </w:r>
      <w:r w:rsidRPr="00767472">
        <w:rPr>
          <w:rStyle w:val="FootnoteReference"/>
          <w:rFonts w:eastAsiaTheme="minorHAnsi"/>
          <w:color w:val="000000"/>
          <w:lang w:val="es-HN" w:eastAsia="en-US"/>
        </w:rPr>
        <w:footnoteReference w:id="4"/>
      </w:r>
      <w:r w:rsidRPr="00B07E3E">
        <w:rPr>
          <w:rFonts w:ascii="Verdana" w:eastAsiaTheme="minorHAnsi" w:hAnsi="Verdana" w:cs="Verdana"/>
          <w:color w:val="000000"/>
          <w:sz w:val="20"/>
          <w:szCs w:val="20"/>
          <w:lang w:val="es-HN" w:eastAsia="en-US"/>
        </w:rPr>
        <w:t xml:space="preserve">. </w:t>
      </w:r>
      <w:r w:rsidRPr="00053EC6">
        <w:rPr>
          <w:rFonts w:ascii="Verdana" w:eastAsiaTheme="minorHAnsi" w:hAnsi="Verdana" w:cs="Verdana"/>
          <w:color w:val="000000"/>
          <w:sz w:val="20"/>
          <w:szCs w:val="20"/>
          <w:lang w:val="es-HN" w:eastAsia="en-US"/>
        </w:rPr>
        <w:t>En atención a lo anterior, la Corte toma nota que, pese a lo ordenado reiteradamente, hasta la fecha del incidente (6 de febrero de 2018) el Estado no había cumplido con la realización del mencionado análisis de riesg</w:t>
      </w:r>
      <w:r w:rsidR="00053EC6" w:rsidRPr="00B41CAC">
        <w:rPr>
          <w:rFonts w:ascii="Verdana" w:eastAsiaTheme="minorHAnsi" w:hAnsi="Verdana" w:cs="Verdana"/>
          <w:color w:val="000000"/>
          <w:sz w:val="20"/>
          <w:szCs w:val="20"/>
          <w:lang w:val="es-HN" w:eastAsia="en-US"/>
        </w:rPr>
        <w:t>o de las personas beneficiarias</w:t>
      </w:r>
      <w:r w:rsidR="00053EC6">
        <w:rPr>
          <w:rFonts w:ascii="Verdana" w:eastAsiaTheme="minorHAnsi" w:hAnsi="Verdana" w:cs="Verdana"/>
          <w:color w:val="000000"/>
          <w:sz w:val="20"/>
          <w:szCs w:val="20"/>
          <w:lang w:val="es-HN" w:eastAsia="en-US"/>
        </w:rPr>
        <w:t>, lo cual resulta inaceptable</w:t>
      </w:r>
      <w:r w:rsidR="00B41CAC">
        <w:rPr>
          <w:rFonts w:ascii="Verdana" w:eastAsiaTheme="minorHAnsi" w:hAnsi="Verdana" w:cs="Verdana"/>
          <w:color w:val="000000"/>
          <w:sz w:val="20"/>
          <w:szCs w:val="20"/>
          <w:lang w:val="es-HN" w:eastAsia="en-US"/>
        </w:rPr>
        <w:t xml:space="preserve"> en relación con sus obligaciones internacionales, por lo que la falta de implementación de las </w:t>
      </w:r>
      <w:r w:rsidR="00DC4992">
        <w:rPr>
          <w:rFonts w:ascii="Verdana" w:eastAsiaTheme="minorHAnsi" w:hAnsi="Verdana" w:cs="Verdana"/>
          <w:color w:val="000000"/>
          <w:sz w:val="20"/>
          <w:szCs w:val="20"/>
          <w:lang w:val="es-HN" w:eastAsia="en-US"/>
        </w:rPr>
        <w:t>medidas provisionales</w:t>
      </w:r>
      <w:r w:rsidR="00B41CAC">
        <w:rPr>
          <w:rFonts w:ascii="Verdana" w:eastAsiaTheme="minorHAnsi" w:hAnsi="Verdana" w:cs="Verdana"/>
          <w:color w:val="000000"/>
          <w:sz w:val="20"/>
          <w:szCs w:val="20"/>
          <w:lang w:val="es-HN" w:eastAsia="en-US"/>
        </w:rPr>
        <w:t xml:space="preserve"> de manera integral puede derivar en daños graves o irreparables a las personas beneficiarias de las mismas, dejando sin efecto </w:t>
      </w:r>
      <w:r w:rsidR="00DC4992">
        <w:rPr>
          <w:rFonts w:ascii="Verdana" w:eastAsiaTheme="minorHAnsi" w:hAnsi="Verdana" w:cs="Verdana"/>
          <w:color w:val="000000"/>
          <w:sz w:val="20"/>
          <w:szCs w:val="20"/>
          <w:lang w:val="es-HN" w:eastAsia="en-US"/>
        </w:rPr>
        <w:t>tales medidas</w:t>
      </w:r>
      <w:r w:rsidR="00B41CAC">
        <w:rPr>
          <w:rFonts w:ascii="Verdana" w:eastAsiaTheme="minorHAnsi" w:hAnsi="Verdana" w:cs="Verdana"/>
          <w:color w:val="000000"/>
          <w:sz w:val="20"/>
          <w:szCs w:val="20"/>
          <w:lang w:val="es-HN" w:eastAsia="en-US"/>
        </w:rPr>
        <w:t xml:space="preserve">. </w:t>
      </w:r>
    </w:p>
    <w:p w14:paraId="1D441800" w14:textId="7BEC6D93" w:rsidR="00053EC6" w:rsidRDefault="00053EC6" w:rsidP="00C75287">
      <w:pPr>
        <w:pStyle w:val="ListParagraph"/>
        <w:ind w:left="0"/>
        <w:jc w:val="both"/>
        <w:rPr>
          <w:rFonts w:ascii="Verdana" w:eastAsiaTheme="minorHAnsi" w:hAnsi="Verdana" w:cs="Verdana"/>
          <w:color w:val="000000"/>
          <w:sz w:val="20"/>
          <w:szCs w:val="20"/>
          <w:lang w:val="es-HN" w:eastAsia="en-US"/>
        </w:rPr>
      </w:pPr>
    </w:p>
    <w:p w14:paraId="20A6940A" w14:textId="7E857A44" w:rsidR="0095359C" w:rsidRPr="00C75287" w:rsidRDefault="0095359C" w:rsidP="00C75287">
      <w:pPr>
        <w:pStyle w:val="ListParagraph"/>
        <w:numPr>
          <w:ilvl w:val="0"/>
          <w:numId w:val="19"/>
        </w:numPr>
        <w:ind w:left="0" w:firstLine="0"/>
        <w:jc w:val="both"/>
        <w:rPr>
          <w:rFonts w:ascii="Verdana" w:eastAsiaTheme="minorHAnsi" w:hAnsi="Verdana" w:cs="Verdana"/>
          <w:color w:val="000000"/>
          <w:sz w:val="20"/>
          <w:szCs w:val="20"/>
          <w:lang w:val="es-HN" w:eastAsia="en-US"/>
        </w:rPr>
      </w:pPr>
      <w:r w:rsidRPr="00053EC6">
        <w:rPr>
          <w:rFonts w:ascii="Verdana" w:eastAsiaTheme="minorHAnsi" w:hAnsi="Verdana" w:cs="Verdana"/>
          <w:color w:val="000000"/>
          <w:sz w:val="20"/>
          <w:szCs w:val="20"/>
          <w:lang w:val="es-HN" w:eastAsia="en-US"/>
        </w:rPr>
        <w:t xml:space="preserve">En este sentido, la Corte </w:t>
      </w:r>
      <w:r w:rsidRPr="00053EC6">
        <w:rPr>
          <w:rFonts w:ascii="Verdana" w:eastAsiaTheme="minorHAnsi" w:hAnsi="Verdana" w:cs="Verdana"/>
          <w:color w:val="000000"/>
          <w:sz w:val="20"/>
          <w:szCs w:val="20"/>
          <w:lang w:eastAsia="en-US"/>
        </w:rPr>
        <w:t xml:space="preserve">reitera al Estado que, en virtud de los nuevos </w:t>
      </w:r>
      <w:r w:rsidR="00DC4992">
        <w:rPr>
          <w:rFonts w:ascii="Verdana" w:eastAsiaTheme="minorHAnsi" w:hAnsi="Verdana" w:cs="Verdana"/>
          <w:color w:val="000000"/>
          <w:sz w:val="20"/>
          <w:szCs w:val="20"/>
          <w:lang w:eastAsia="en-US"/>
        </w:rPr>
        <w:t xml:space="preserve">hechos </w:t>
      </w:r>
      <w:r w:rsidR="00B41CAC">
        <w:rPr>
          <w:rFonts w:ascii="Verdana" w:eastAsiaTheme="minorHAnsi" w:hAnsi="Verdana" w:cs="Verdana"/>
          <w:color w:val="000000"/>
          <w:sz w:val="20"/>
          <w:szCs w:val="20"/>
          <w:lang w:eastAsia="en-US"/>
        </w:rPr>
        <w:t>en perjuicio de uno de los beneficiarios</w:t>
      </w:r>
      <w:r w:rsidRPr="00053EC6">
        <w:rPr>
          <w:rFonts w:ascii="Verdana" w:eastAsiaTheme="minorHAnsi" w:hAnsi="Verdana" w:cs="Verdana"/>
          <w:color w:val="000000"/>
          <w:sz w:val="20"/>
          <w:szCs w:val="20"/>
          <w:lang w:eastAsia="en-US"/>
        </w:rPr>
        <w:t xml:space="preserve">, el Estado </w:t>
      </w:r>
      <w:r w:rsidRPr="00B41CAC">
        <w:rPr>
          <w:rFonts w:ascii="Verdana" w:eastAsiaTheme="minorHAnsi" w:hAnsi="Verdana" w:cs="Verdana"/>
          <w:color w:val="000000"/>
          <w:sz w:val="20"/>
          <w:szCs w:val="20"/>
          <w:lang w:val="es-HN" w:eastAsia="en-US"/>
        </w:rPr>
        <w:t>deberá tomar todas las medidas necesarias para realizar</w:t>
      </w:r>
      <w:r w:rsidR="00DC4992">
        <w:rPr>
          <w:rFonts w:ascii="Verdana" w:eastAsiaTheme="minorHAnsi" w:hAnsi="Verdana" w:cs="Verdana"/>
          <w:color w:val="000000"/>
          <w:sz w:val="20"/>
          <w:szCs w:val="20"/>
          <w:lang w:val="es-HN" w:eastAsia="en-US"/>
        </w:rPr>
        <w:t>, sin mayor dilación,</w:t>
      </w:r>
      <w:r w:rsidRPr="00B41CAC">
        <w:rPr>
          <w:rFonts w:ascii="Verdana" w:eastAsiaTheme="minorHAnsi" w:hAnsi="Verdana" w:cs="Verdana"/>
          <w:color w:val="000000"/>
          <w:sz w:val="20"/>
          <w:szCs w:val="20"/>
          <w:lang w:val="es-HN" w:eastAsia="en-US"/>
        </w:rPr>
        <w:t xml:space="preserve"> el análisis sobre la situación de riesgo referido</w:t>
      </w:r>
      <w:r w:rsidR="00DC4992">
        <w:rPr>
          <w:rFonts w:ascii="Verdana" w:eastAsiaTheme="minorHAnsi" w:hAnsi="Verdana" w:cs="Verdana"/>
          <w:color w:val="000000"/>
          <w:sz w:val="20"/>
          <w:szCs w:val="20"/>
          <w:lang w:eastAsia="en-US"/>
        </w:rPr>
        <w:t>, a</w:t>
      </w:r>
      <w:r w:rsidR="00D532B3">
        <w:rPr>
          <w:rFonts w:ascii="Verdana" w:eastAsiaTheme="minorHAnsi" w:hAnsi="Verdana" w:cs="Verdana"/>
          <w:color w:val="000000"/>
          <w:sz w:val="20"/>
          <w:szCs w:val="20"/>
          <w:lang w:eastAsia="en-US"/>
        </w:rPr>
        <w:t>demás</w:t>
      </w:r>
      <w:r w:rsidR="00DC4992">
        <w:rPr>
          <w:rFonts w:ascii="Verdana" w:eastAsiaTheme="minorHAnsi" w:hAnsi="Verdana" w:cs="Verdana"/>
          <w:color w:val="000000"/>
          <w:sz w:val="20"/>
          <w:szCs w:val="20"/>
          <w:lang w:eastAsia="en-US"/>
        </w:rPr>
        <w:t xml:space="preserve"> deberá</w:t>
      </w:r>
      <w:r w:rsidR="00B41CAC">
        <w:rPr>
          <w:rFonts w:ascii="Verdana" w:eastAsiaTheme="minorHAnsi" w:hAnsi="Verdana" w:cs="Verdana"/>
          <w:color w:val="000000"/>
          <w:sz w:val="20"/>
          <w:szCs w:val="20"/>
          <w:lang w:eastAsia="en-US"/>
        </w:rPr>
        <w:t xml:space="preserve"> inform</w:t>
      </w:r>
      <w:r w:rsidR="00DC4992">
        <w:rPr>
          <w:rFonts w:ascii="Verdana" w:eastAsiaTheme="minorHAnsi" w:hAnsi="Verdana" w:cs="Verdana"/>
          <w:color w:val="000000"/>
          <w:sz w:val="20"/>
          <w:szCs w:val="20"/>
          <w:lang w:eastAsia="en-US"/>
        </w:rPr>
        <w:t>ar</w:t>
      </w:r>
      <w:r w:rsidRPr="00B41CAC">
        <w:rPr>
          <w:rFonts w:ascii="Verdana" w:eastAsiaTheme="minorHAnsi" w:hAnsi="Verdana" w:cs="Verdana"/>
          <w:color w:val="000000"/>
          <w:sz w:val="20"/>
          <w:szCs w:val="20"/>
          <w:lang w:eastAsia="en-US"/>
        </w:rPr>
        <w:t xml:space="preserve"> al Tribunal de forma detallada y completa de sus resultados, así como </w:t>
      </w:r>
      <w:r w:rsidR="00DC4992">
        <w:rPr>
          <w:rFonts w:ascii="Verdana" w:eastAsiaTheme="minorHAnsi" w:hAnsi="Verdana" w:cs="Verdana"/>
          <w:color w:val="000000"/>
          <w:sz w:val="20"/>
          <w:szCs w:val="20"/>
          <w:lang w:eastAsia="en-US"/>
        </w:rPr>
        <w:t xml:space="preserve">sobre </w:t>
      </w:r>
      <w:r w:rsidRPr="00B41CAC">
        <w:rPr>
          <w:rFonts w:ascii="Verdana" w:eastAsiaTheme="minorHAnsi" w:hAnsi="Verdana" w:cs="Verdana"/>
          <w:color w:val="000000"/>
          <w:sz w:val="20"/>
          <w:szCs w:val="20"/>
          <w:lang w:eastAsia="en-US"/>
        </w:rPr>
        <w:t xml:space="preserve">las </w:t>
      </w:r>
      <w:r w:rsidR="00DC4992">
        <w:rPr>
          <w:rFonts w:ascii="Verdana" w:eastAsiaTheme="minorHAnsi" w:hAnsi="Verdana" w:cs="Verdana"/>
          <w:color w:val="000000"/>
          <w:sz w:val="20"/>
          <w:szCs w:val="20"/>
          <w:lang w:eastAsia="en-US"/>
        </w:rPr>
        <w:t>medidas de protección específicas, adecuada</w:t>
      </w:r>
      <w:r w:rsidRPr="00B41CAC">
        <w:rPr>
          <w:rFonts w:ascii="Verdana" w:eastAsiaTheme="minorHAnsi" w:hAnsi="Verdana" w:cs="Verdana"/>
          <w:color w:val="000000"/>
          <w:sz w:val="20"/>
          <w:szCs w:val="20"/>
          <w:lang w:eastAsia="en-US"/>
        </w:rPr>
        <w:t>s y s</w:t>
      </w:r>
      <w:r w:rsidR="00DC4992">
        <w:rPr>
          <w:rFonts w:ascii="Verdana" w:eastAsiaTheme="minorHAnsi" w:hAnsi="Verdana" w:cs="Verdana"/>
          <w:color w:val="000000"/>
          <w:sz w:val="20"/>
          <w:szCs w:val="20"/>
          <w:lang w:eastAsia="en-US"/>
        </w:rPr>
        <w:t>uficientes que sean implementada</w:t>
      </w:r>
      <w:r w:rsidRPr="00B41CAC">
        <w:rPr>
          <w:rFonts w:ascii="Verdana" w:eastAsiaTheme="minorHAnsi" w:hAnsi="Verdana" w:cs="Verdana"/>
          <w:color w:val="000000"/>
          <w:sz w:val="20"/>
          <w:szCs w:val="20"/>
          <w:lang w:eastAsia="en-US"/>
        </w:rPr>
        <w:t xml:space="preserve">s </w:t>
      </w:r>
      <w:r w:rsidR="00DC4992">
        <w:rPr>
          <w:rFonts w:ascii="Verdana" w:eastAsiaTheme="minorHAnsi" w:hAnsi="Verdana" w:cs="Verdana"/>
          <w:color w:val="000000"/>
          <w:sz w:val="20"/>
          <w:szCs w:val="20"/>
          <w:lang w:eastAsia="en-US"/>
        </w:rPr>
        <w:t xml:space="preserve">para cada grupo familiar </w:t>
      </w:r>
      <w:r w:rsidRPr="00B41CAC">
        <w:rPr>
          <w:rFonts w:ascii="Verdana" w:eastAsiaTheme="minorHAnsi" w:hAnsi="Verdana" w:cs="Verdana"/>
          <w:color w:val="000000"/>
          <w:sz w:val="20"/>
          <w:szCs w:val="20"/>
          <w:lang w:eastAsia="en-US"/>
        </w:rPr>
        <w:t>como consecuencia de dichas evaluaciones.</w:t>
      </w:r>
      <w:r w:rsidRPr="00B41CAC">
        <w:rPr>
          <w:rFonts w:ascii="Verdana" w:eastAsiaTheme="minorHAnsi" w:hAnsi="Verdana" w:cs="Verdana"/>
          <w:color w:val="000000"/>
          <w:sz w:val="20"/>
          <w:szCs w:val="20"/>
          <w:lang w:val="es-HN" w:eastAsia="en-US"/>
        </w:rPr>
        <w:t xml:space="preserve"> Del mismo modo, re</w:t>
      </w:r>
      <w:r w:rsidR="00D532B3">
        <w:rPr>
          <w:rFonts w:ascii="Verdana" w:eastAsiaTheme="minorHAnsi" w:hAnsi="Verdana" w:cs="Verdana"/>
          <w:color w:val="000000"/>
          <w:sz w:val="20"/>
          <w:szCs w:val="20"/>
          <w:lang w:val="es-HN" w:eastAsia="en-US"/>
        </w:rPr>
        <w:t>calca</w:t>
      </w:r>
      <w:r w:rsidRPr="00B41CAC">
        <w:rPr>
          <w:rFonts w:ascii="Verdana" w:eastAsiaTheme="minorHAnsi" w:hAnsi="Verdana" w:cs="Verdana"/>
          <w:color w:val="000000"/>
          <w:sz w:val="20"/>
          <w:szCs w:val="20"/>
          <w:lang w:val="es-HN" w:eastAsia="en-US"/>
        </w:rPr>
        <w:t xml:space="preserve"> que el Estado deberá informar a las víctimas o sus representantes sobre la metodología y personal que realizará dicho análisis, el cual deberá hacerse con una perspectiva de género e impactos diferenciados</w:t>
      </w:r>
      <w:r w:rsidR="00603708">
        <w:rPr>
          <w:rFonts w:ascii="Verdana" w:eastAsiaTheme="minorHAnsi" w:hAnsi="Verdana" w:cs="Verdana"/>
          <w:color w:val="000000"/>
          <w:sz w:val="20"/>
          <w:szCs w:val="20"/>
          <w:lang w:val="es-HN" w:eastAsia="en-US"/>
        </w:rPr>
        <w:t>, de conformidad con lo dispuesto en el punto Resolutivo 5</w:t>
      </w:r>
      <w:r w:rsidR="00603708" w:rsidRPr="00B07E3E">
        <w:rPr>
          <w:rFonts w:ascii="Verdana" w:eastAsiaTheme="minorHAnsi" w:hAnsi="Verdana" w:cs="Verdana"/>
          <w:color w:val="000000"/>
          <w:sz w:val="20"/>
          <w:szCs w:val="20"/>
          <w:lang w:val="es-HN" w:eastAsia="en-US"/>
        </w:rPr>
        <w:t xml:space="preserve"> de </w:t>
      </w:r>
      <w:r w:rsidR="00603708">
        <w:rPr>
          <w:rFonts w:ascii="Verdana" w:eastAsiaTheme="minorHAnsi" w:hAnsi="Verdana" w:cs="Verdana"/>
          <w:color w:val="000000"/>
          <w:sz w:val="20"/>
          <w:szCs w:val="20"/>
          <w:lang w:val="es-HN" w:eastAsia="en-US"/>
        </w:rPr>
        <w:t xml:space="preserve">la Resolución de </w:t>
      </w:r>
      <w:r w:rsidR="00603708" w:rsidRPr="00B07E3E">
        <w:rPr>
          <w:rFonts w:ascii="Verdana" w:eastAsiaTheme="minorHAnsi" w:hAnsi="Verdana" w:cs="Verdana"/>
          <w:color w:val="000000"/>
          <w:sz w:val="20"/>
          <w:szCs w:val="20"/>
          <w:lang w:val="es-HN" w:eastAsia="en-US"/>
        </w:rPr>
        <w:t>14 de noviembre de 2017</w:t>
      </w:r>
      <w:r w:rsidRPr="00B41CAC">
        <w:rPr>
          <w:rFonts w:ascii="Verdana" w:eastAsiaTheme="minorHAnsi" w:hAnsi="Verdana" w:cs="Verdana"/>
          <w:color w:val="000000"/>
          <w:sz w:val="20"/>
          <w:szCs w:val="20"/>
          <w:lang w:val="es-HN" w:eastAsia="en-US"/>
        </w:rPr>
        <w:t xml:space="preserve">. </w:t>
      </w:r>
    </w:p>
    <w:p w14:paraId="632FF535" w14:textId="318A07AB" w:rsidR="0095359C" w:rsidRPr="00C75287" w:rsidRDefault="0095359C" w:rsidP="00C75287">
      <w:pPr>
        <w:pStyle w:val="ListParagraph"/>
        <w:ind w:left="0" w:right="19"/>
        <w:jc w:val="both"/>
        <w:rPr>
          <w:rFonts w:ascii="Verdana" w:hAnsi="Verdana"/>
          <w:sz w:val="20"/>
        </w:rPr>
      </w:pPr>
      <w:r>
        <w:rPr>
          <w:rFonts w:ascii="Verdana" w:hAnsi="Verdana"/>
          <w:sz w:val="20"/>
        </w:rPr>
        <w:t xml:space="preserve"> </w:t>
      </w:r>
    </w:p>
    <w:p w14:paraId="764DFD60" w14:textId="00B34D48" w:rsidR="009A2384" w:rsidRPr="0005405F" w:rsidRDefault="00603708" w:rsidP="009A2384">
      <w:pPr>
        <w:pStyle w:val="ListParagraph"/>
        <w:numPr>
          <w:ilvl w:val="0"/>
          <w:numId w:val="19"/>
        </w:numPr>
        <w:ind w:left="0" w:right="19" w:firstLine="0"/>
        <w:jc w:val="both"/>
        <w:rPr>
          <w:rFonts w:ascii="Verdana" w:hAnsi="Verdana"/>
          <w:sz w:val="20"/>
        </w:rPr>
      </w:pPr>
      <w:r>
        <w:rPr>
          <w:rFonts w:ascii="Verdana" w:eastAsiaTheme="minorHAnsi" w:hAnsi="Verdana" w:cs="Verdana"/>
          <w:color w:val="000000"/>
          <w:sz w:val="20"/>
          <w:szCs w:val="20"/>
          <w:lang w:val="es-HN" w:eastAsia="en-US"/>
        </w:rPr>
        <w:t>Respecto de la solicitud de ampliación de medidas, l</w:t>
      </w:r>
      <w:r w:rsidR="009A2384" w:rsidRPr="009A2384">
        <w:rPr>
          <w:rFonts w:ascii="Verdana" w:eastAsiaTheme="minorHAnsi" w:hAnsi="Verdana" w:cs="Verdana"/>
          <w:color w:val="000000"/>
          <w:sz w:val="20"/>
          <w:szCs w:val="20"/>
          <w:lang w:val="es-HN" w:eastAsia="en-US"/>
        </w:rPr>
        <w:t>a Corte ha considerado como un criterio para otorgar la ampliación de medidas provisionales que los hechos alegados en la solicitud tengan una conexión fáctica con los eventos que justificaron la adopción de medidas provisionales</w:t>
      </w:r>
      <w:r w:rsidR="009A2384" w:rsidRPr="008818D3">
        <w:rPr>
          <w:rStyle w:val="FootnoteReference"/>
        </w:rPr>
        <w:footnoteReference w:id="5"/>
      </w:r>
      <w:r w:rsidR="009A2384" w:rsidRPr="009A2384">
        <w:rPr>
          <w:rFonts w:ascii="Verdana" w:eastAsiaTheme="minorHAnsi" w:hAnsi="Verdana" w:cs="Verdana"/>
          <w:color w:val="000000"/>
          <w:sz w:val="20"/>
          <w:szCs w:val="20"/>
          <w:lang w:val="es-HN" w:eastAsia="en-US"/>
        </w:rPr>
        <w:t xml:space="preserve">. Además, ha señalado que si bien es cierto que los hechos que motivan una solicitud de medidas provisionales o ampliación de las mismas no requieren estar plenamente comprobados, sí se requiere un mínimo de detalle e información que permitan al Tribunal apreciar </w:t>
      </w:r>
      <w:r w:rsidR="009A2384" w:rsidRPr="00837D8D">
        <w:rPr>
          <w:rFonts w:ascii="Verdana" w:eastAsiaTheme="minorHAnsi" w:hAnsi="Verdana" w:cs="Verdana"/>
          <w:i/>
          <w:color w:val="000000"/>
          <w:sz w:val="20"/>
          <w:szCs w:val="20"/>
          <w:lang w:val="es-HN" w:eastAsia="en-US"/>
        </w:rPr>
        <w:t>prima facie</w:t>
      </w:r>
      <w:r w:rsidR="009A2384" w:rsidRPr="009A2384">
        <w:rPr>
          <w:rFonts w:ascii="Verdana" w:eastAsiaTheme="minorHAnsi" w:hAnsi="Verdana" w:cs="Verdana"/>
          <w:color w:val="000000"/>
          <w:sz w:val="20"/>
          <w:szCs w:val="20"/>
          <w:lang w:val="es-HN" w:eastAsia="en-US"/>
        </w:rPr>
        <w:t xml:space="preserve"> una situación de extrema gravedad y urgencia</w:t>
      </w:r>
      <w:r w:rsidR="00837D8D" w:rsidRPr="008818D3">
        <w:rPr>
          <w:rStyle w:val="FootnoteReference"/>
        </w:rPr>
        <w:footnoteReference w:id="6"/>
      </w:r>
      <w:r w:rsidR="009A2384" w:rsidRPr="009A2384">
        <w:rPr>
          <w:rFonts w:ascii="Verdana" w:eastAsiaTheme="minorHAnsi" w:hAnsi="Verdana" w:cs="Verdana"/>
          <w:color w:val="000000"/>
          <w:sz w:val="20"/>
          <w:szCs w:val="20"/>
          <w:lang w:val="es-HN" w:eastAsia="en-US"/>
        </w:rPr>
        <w:t>.</w:t>
      </w:r>
    </w:p>
    <w:p w14:paraId="5004D8DB" w14:textId="77777777" w:rsidR="0005405F" w:rsidRPr="009A2384" w:rsidRDefault="0005405F" w:rsidP="0005405F">
      <w:pPr>
        <w:pStyle w:val="ListParagraph"/>
        <w:ind w:left="0" w:right="19"/>
        <w:jc w:val="both"/>
        <w:rPr>
          <w:rFonts w:ascii="Verdana" w:hAnsi="Verdana"/>
          <w:sz w:val="20"/>
        </w:rPr>
      </w:pPr>
    </w:p>
    <w:p w14:paraId="042A01B6" w14:textId="6AA3E4B3" w:rsidR="00837D8D" w:rsidRPr="00C75287" w:rsidRDefault="00837D8D" w:rsidP="00C75287">
      <w:pPr>
        <w:pStyle w:val="ListParagraph"/>
        <w:numPr>
          <w:ilvl w:val="0"/>
          <w:numId w:val="19"/>
        </w:numPr>
        <w:ind w:left="0" w:right="19" w:firstLine="0"/>
        <w:jc w:val="both"/>
        <w:rPr>
          <w:sz w:val="20"/>
          <w:szCs w:val="20"/>
          <w:lang w:val="es-HN"/>
        </w:rPr>
      </w:pPr>
      <w:r w:rsidRPr="00C75287">
        <w:rPr>
          <w:rFonts w:ascii="Verdana" w:hAnsi="Verdana"/>
          <w:sz w:val="20"/>
          <w:szCs w:val="20"/>
          <w:lang w:val="es-HN"/>
        </w:rPr>
        <w:t xml:space="preserve">De la información presentada se desprende que el núcleo familiar de Rosa Olivia </w:t>
      </w:r>
      <w:r w:rsidR="00F56F84">
        <w:rPr>
          <w:rFonts w:ascii="Verdana" w:hAnsi="Verdana"/>
          <w:sz w:val="20"/>
          <w:szCs w:val="20"/>
          <w:lang w:val="es-HN"/>
        </w:rPr>
        <w:t>Alvarado Herrera y Félix García</w:t>
      </w:r>
      <w:r w:rsidRPr="00C75287">
        <w:rPr>
          <w:rFonts w:ascii="Verdana" w:hAnsi="Verdana"/>
          <w:sz w:val="20"/>
          <w:szCs w:val="20"/>
          <w:lang w:val="es-HN"/>
        </w:rPr>
        <w:t xml:space="preserve"> experimenta</w:t>
      </w:r>
      <w:r w:rsidR="00F56F84">
        <w:rPr>
          <w:rFonts w:ascii="Verdana" w:hAnsi="Verdana"/>
          <w:sz w:val="20"/>
          <w:szCs w:val="20"/>
          <w:lang w:val="es-HN"/>
        </w:rPr>
        <w:t>ron</w:t>
      </w:r>
      <w:r w:rsidRPr="00C75287">
        <w:rPr>
          <w:rFonts w:ascii="Verdana" w:hAnsi="Verdana"/>
          <w:sz w:val="20"/>
          <w:szCs w:val="20"/>
          <w:lang w:val="es-HN"/>
        </w:rPr>
        <w:t xml:space="preserve"> recientes situaciones de riesgo que </w:t>
      </w:r>
      <w:r w:rsidRPr="00C75287">
        <w:rPr>
          <w:rFonts w:ascii="Verdana" w:hAnsi="Verdana"/>
          <w:sz w:val="20"/>
          <w:szCs w:val="20"/>
          <w:lang w:val="es-HN"/>
        </w:rPr>
        <w:lastRenderedPageBreak/>
        <w:t>derivaron</w:t>
      </w:r>
      <w:r w:rsidR="00F56F84">
        <w:rPr>
          <w:rFonts w:ascii="Verdana" w:hAnsi="Verdana"/>
          <w:sz w:val="20"/>
          <w:szCs w:val="20"/>
          <w:lang w:val="es-HN"/>
        </w:rPr>
        <w:t xml:space="preserve"> en</w:t>
      </w:r>
      <w:r w:rsidRPr="00C75287">
        <w:rPr>
          <w:rFonts w:ascii="Verdana" w:hAnsi="Verdana"/>
          <w:sz w:val="20"/>
          <w:szCs w:val="20"/>
          <w:lang w:val="es-HN"/>
        </w:rPr>
        <w:t xml:space="preserve"> </w:t>
      </w:r>
      <w:r w:rsidR="00F56F84">
        <w:rPr>
          <w:rFonts w:ascii="Verdana" w:hAnsi="Verdana"/>
          <w:sz w:val="20"/>
          <w:szCs w:val="20"/>
          <w:lang w:val="es-HN"/>
        </w:rPr>
        <w:t xml:space="preserve">la </w:t>
      </w:r>
      <w:r w:rsidRPr="00C75287">
        <w:rPr>
          <w:rFonts w:ascii="Verdana" w:hAnsi="Verdana"/>
          <w:sz w:val="20"/>
          <w:szCs w:val="20"/>
          <w:lang w:val="es-HN"/>
        </w:rPr>
        <w:t xml:space="preserve">muerte del beneficiario F.A.H en el mes de febrero del presente año. </w:t>
      </w:r>
      <w:r w:rsidR="006E531E" w:rsidRPr="00C75287">
        <w:rPr>
          <w:rFonts w:ascii="Verdana" w:eastAsia="Calibri" w:hAnsi="Verdana"/>
          <w:sz w:val="20"/>
          <w:szCs w:val="20"/>
          <w:lang w:val="es-HN"/>
        </w:rPr>
        <w:t>En tal sentido, este Tribunal corrobora que el menor A.G.A. forma parte del núcleo familiar del señor José Ángel Alvarado Herrera</w:t>
      </w:r>
      <w:r w:rsidR="00536ABB" w:rsidRPr="00C75287">
        <w:rPr>
          <w:rStyle w:val="FootnoteReference"/>
          <w:rFonts w:eastAsia="Calibri"/>
          <w:sz w:val="20"/>
          <w:szCs w:val="20"/>
          <w:lang w:val="es-HN"/>
        </w:rPr>
        <w:footnoteReference w:id="7"/>
      </w:r>
      <w:r w:rsidR="00C47AA8">
        <w:rPr>
          <w:rFonts w:ascii="Verdana" w:eastAsia="Calibri" w:hAnsi="Verdana"/>
          <w:sz w:val="20"/>
          <w:szCs w:val="20"/>
          <w:lang w:val="es-HN"/>
        </w:rPr>
        <w:t xml:space="preserve"> </w:t>
      </w:r>
      <w:r w:rsidR="009C4289">
        <w:rPr>
          <w:rFonts w:ascii="Verdana" w:eastAsia="Calibri" w:hAnsi="Verdana"/>
          <w:sz w:val="20"/>
          <w:szCs w:val="20"/>
          <w:lang w:val="es-HN"/>
        </w:rPr>
        <w:t>cuyo</w:t>
      </w:r>
      <w:r w:rsidR="00AF7A89">
        <w:rPr>
          <w:rFonts w:ascii="Verdana" w:eastAsia="Calibri" w:hAnsi="Verdana"/>
          <w:sz w:val="20"/>
          <w:szCs w:val="20"/>
          <w:lang w:val="es-HN"/>
        </w:rPr>
        <w:t xml:space="preserve">s integrantes se encuentran protegidos por las </w:t>
      </w:r>
      <w:r w:rsidR="00AF7A89" w:rsidRPr="00767472">
        <w:rPr>
          <w:rFonts w:ascii="Verdana" w:hAnsi="Verdana"/>
          <w:sz w:val="20"/>
          <w:szCs w:val="20"/>
          <w:lang w:val="es-HN"/>
        </w:rPr>
        <w:t xml:space="preserve">medidas </w:t>
      </w:r>
      <w:r w:rsidR="00AF7A89" w:rsidRPr="00767472">
        <w:rPr>
          <w:rFonts w:ascii="Verdana" w:hAnsi="Verdana"/>
          <w:sz w:val="20"/>
          <w:szCs w:val="20"/>
          <w:lang w:val="es-CR"/>
        </w:rPr>
        <w:t>provisionales otorgadas</w:t>
      </w:r>
      <w:r w:rsidR="00AF7A89">
        <w:rPr>
          <w:rFonts w:ascii="Verdana" w:hAnsi="Verdana"/>
          <w:sz w:val="20"/>
          <w:szCs w:val="20"/>
          <w:lang w:val="es-CR"/>
        </w:rPr>
        <w:t xml:space="preserve"> por la Corte</w:t>
      </w:r>
      <w:r w:rsidR="00AF7A89" w:rsidRPr="00767472">
        <w:rPr>
          <w:rFonts w:ascii="Verdana" w:hAnsi="Verdana"/>
          <w:sz w:val="20"/>
          <w:szCs w:val="20"/>
          <w:lang w:val="es-CR"/>
        </w:rPr>
        <w:t xml:space="preserve"> </w:t>
      </w:r>
      <w:r w:rsidR="00603708">
        <w:rPr>
          <w:rFonts w:ascii="Verdana" w:hAnsi="Verdana"/>
          <w:sz w:val="20"/>
          <w:szCs w:val="20"/>
          <w:lang w:val="es-CR"/>
        </w:rPr>
        <w:t xml:space="preserve">hasta su última resolución de </w:t>
      </w:r>
      <w:r w:rsidR="00AF7A89" w:rsidRPr="00767472">
        <w:rPr>
          <w:rFonts w:ascii="Verdana" w:hAnsi="Verdana"/>
          <w:sz w:val="20"/>
          <w:szCs w:val="20"/>
          <w:lang w:val="es-CR"/>
        </w:rPr>
        <w:t>14 de noviembre de 2017</w:t>
      </w:r>
      <w:r w:rsidR="00603708">
        <w:rPr>
          <w:rStyle w:val="FootnoteReference"/>
          <w:lang w:val="es-CR"/>
        </w:rPr>
        <w:footnoteReference w:id="8"/>
      </w:r>
      <w:r w:rsidR="00AF7A89">
        <w:rPr>
          <w:rFonts w:ascii="Verdana" w:eastAsia="Calibri" w:hAnsi="Verdana"/>
          <w:sz w:val="20"/>
          <w:szCs w:val="20"/>
          <w:lang w:val="es-HN"/>
        </w:rPr>
        <w:t xml:space="preserve">, las cuales obedecieron a </w:t>
      </w:r>
      <w:r w:rsidR="009C29E5" w:rsidRPr="00B07E3E">
        <w:rPr>
          <w:rFonts w:ascii="Verdana" w:eastAsia="Calibri" w:hAnsi="Verdana"/>
          <w:sz w:val="20"/>
          <w:szCs w:val="20"/>
          <w:lang w:val="es-HN"/>
        </w:rPr>
        <w:t>la posibilidad razonable de que se</w:t>
      </w:r>
      <w:r w:rsidR="004D44B2" w:rsidRPr="00C75287">
        <w:rPr>
          <w:rFonts w:ascii="Verdana" w:eastAsia="Calibri" w:hAnsi="Verdana"/>
          <w:sz w:val="20"/>
          <w:szCs w:val="20"/>
          <w:lang w:val="es-HN"/>
        </w:rPr>
        <w:t xml:space="preserve"> </w:t>
      </w:r>
      <w:r w:rsidR="009C29E5" w:rsidRPr="00B07E3E">
        <w:rPr>
          <w:rFonts w:ascii="Verdana" w:eastAsia="Calibri" w:hAnsi="Verdana"/>
          <w:sz w:val="20"/>
          <w:szCs w:val="20"/>
          <w:lang w:val="es-HN"/>
        </w:rPr>
        <w:t>materiali</w:t>
      </w:r>
      <w:r w:rsidR="00AF7A89">
        <w:rPr>
          <w:rFonts w:ascii="Verdana" w:eastAsia="Calibri" w:hAnsi="Verdana"/>
          <w:sz w:val="20"/>
          <w:szCs w:val="20"/>
          <w:lang w:val="es-HN"/>
        </w:rPr>
        <w:t>cen</w:t>
      </w:r>
      <w:r w:rsidR="009C29E5" w:rsidRPr="00B07E3E">
        <w:rPr>
          <w:rFonts w:ascii="Verdana" w:eastAsia="Calibri" w:hAnsi="Verdana"/>
          <w:sz w:val="20"/>
          <w:szCs w:val="20"/>
          <w:lang w:val="es-HN"/>
        </w:rPr>
        <w:t xml:space="preserve"> daños irreparables a </w:t>
      </w:r>
      <w:r w:rsidR="00AF7A89">
        <w:rPr>
          <w:rFonts w:ascii="Verdana" w:eastAsia="Calibri" w:hAnsi="Verdana"/>
          <w:sz w:val="20"/>
          <w:szCs w:val="20"/>
          <w:lang w:val="es-HN"/>
        </w:rPr>
        <w:t>sus</w:t>
      </w:r>
      <w:r w:rsidR="009C29E5" w:rsidRPr="00B07E3E">
        <w:rPr>
          <w:rFonts w:ascii="Verdana" w:eastAsia="Calibri" w:hAnsi="Verdana"/>
          <w:sz w:val="20"/>
          <w:szCs w:val="20"/>
          <w:lang w:val="es-HN"/>
        </w:rPr>
        <w:t xml:space="preserve"> derechos a la vida e integridad personal</w:t>
      </w:r>
      <w:r w:rsidR="00AF7A89">
        <w:rPr>
          <w:rFonts w:ascii="Verdana" w:eastAsia="Calibri" w:hAnsi="Verdana"/>
          <w:sz w:val="20"/>
          <w:szCs w:val="20"/>
          <w:lang w:val="es-HN"/>
        </w:rPr>
        <w:t xml:space="preserve">. </w:t>
      </w:r>
      <w:r w:rsidR="00536ABB" w:rsidRPr="00C75287">
        <w:rPr>
          <w:rFonts w:ascii="Verdana" w:eastAsia="Calibri" w:hAnsi="Verdana"/>
          <w:sz w:val="20"/>
          <w:szCs w:val="20"/>
          <w:lang w:val="es-HN"/>
        </w:rPr>
        <w:t>Sobre este particular,</w:t>
      </w:r>
      <w:r w:rsidR="00AF7A89">
        <w:rPr>
          <w:rFonts w:ascii="Verdana" w:eastAsia="Calibri" w:hAnsi="Verdana"/>
          <w:sz w:val="20"/>
          <w:szCs w:val="20"/>
          <w:lang w:val="es-HN"/>
        </w:rPr>
        <w:t xml:space="preserve"> l</w:t>
      </w:r>
      <w:r w:rsidR="00536ABB" w:rsidRPr="00C75287">
        <w:rPr>
          <w:rFonts w:ascii="Verdana" w:eastAsia="Calibri" w:hAnsi="Verdana"/>
          <w:sz w:val="20"/>
          <w:szCs w:val="20"/>
        </w:rPr>
        <w:t xml:space="preserve">a Corte reitera que </w:t>
      </w:r>
      <w:r w:rsidR="00AF66FD" w:rsidRPr="00C75287">
        <w:rPr>
          <w:rFonts w:ascii="Verdana" w:eastAsia="Calibri" w:hAnsi="Verdana"/>
          <w:sz w:val="20"/>
          <w:szCs w:val="20"/>
        </w:rPr>
        <w:t>es obligación d</w:t>
      </w:r>
      <w:r w:rsidR="00536ABB" w:rsidRPr="00C75287">
        <w:rPr>
          <w:rFonts w:ascii="Verdana" w:eastAsia="Calibri" w:hAnsi="Verdana"/>
          <w:sz w:val="20"/>
          <w:szCs w:val="20"/>
        </w:rPr>
        <w:t xml:space="preserve">el Estado </w:t>
      </w:r>
      <w:r w:rsidR="00AF66FD" w:rsidRPr="00C75287">
        <w:rPr>
          <w:rFonts w:ascii="Verdana" w:eastAsia="Calibri" w:hAnsi="Verdana"/>
          <w:sz w:val="20"/>
          <w:szCs w:val="20"/>
        </w:rPr>
        <w:t xml:space="preserve">el </w:t>
      </w:r>
      <w:r w:rsidR="00536ABB" w:rsidRPr="00C75287">
        <w:rPr>
          <w:rFonts w:ascii="Verdana" w:eastAsia="Calibri" w:hAnsi="Verdana"/>
          <w:sz w:val="20"/>
          <w:szCs w:val="20"/>
        </w:rPr>
        <w:t xml:space="preserve">brindar a los beneficiarios la debida protección a su integridad personal, de conformidad con lo ordenado mediante las </w:t>
      </w:r>
      <w:r w:rsidR="00AF66FD" w:rsidRPr="00C75287">
        <w:rPr>
          <w:rFonts w:ascii="Verdana" w:eastAsia="Calibri" w:hAnsi="Verdana"/>
          <w:sz w:val="20"/>
          <w:szCs w:val="20"/>
        </w:rPr>
        <w:t>respectivas medidas provisionales</w:t>
      </w:r>
      <w:r w:rsidR="0065458B" w:rsidRPr="00C75287">
        <w:rPr>
          <w:rFonts w:ascii="Verdana" w:eastAsia="Calibri" w:hAnsi="Verdana"/>
          <w:sz w:val="20"/>
          <w:szCs w:val="20"/>
        </w:rPr>
        <w:t>,</w:t>
      </w:r>
      <w:r w:rsidR="00536ABB" w:rsidRPr="00C75287">
        <w:rPr>
          <w:rFonts w:ascii="Verdana" w:eastAsia="Calibri" w:hAnsi="Verdana"/>
          <w:sz w:val="20"/>
          <w:szCs w:val="20"/>
        </w:rPr>
        <w:t xml:space="preserve"> teniendo en</w:t>
      </w:r>
      <w:r w:rsidR="00AF66FD" w:rsidRPr="00C75287">
        <w:rPr>
          <w:rFonts w:ascii="Verdana" w:eastAsia="Calibri" w:hAnsi="Verdana"/>
          <w:sz w:val="20"/>
          <w:szCs w:val="20"/>
        </w:rPr>
        <w:t xml:space="preserve"> consideración, en el caso en específico, la</w:t>
      </w:r>
      <w:r w:rsidR="00536ABB" w:rsidRPr="00C75287">
        <w:rPr>
          <w:rFonts w:ascii="Verdana" w:eastAsia="Calibri" w:hAnsi="Verdana"/>
          <w:sz w:val="20"/>
          <w:szCs w:val="20"/>
        </w:rPr>
        <w:t xml:space="preserve"> </w:t>
      </w:r>
      <w:r w:rsidR="00AF66FD" w:rsidRPr="00C75287">
        <w:rPr>
          <w:rFonts w:ascii="Verdana" w:eastAsia="Calibri" w:hAnsi="Verdana"/>
          <w:sz w:val="20"/>
          <w:szCs w:val="20"/>
        </w:rPr>
        <w:t xml:space="preserve">particular </w:t>
      </w:r>
      <w:r w:rsidR="00536ABB" w:rsidRPr="00C75287">
        <w:rPr>
          <w:rFonts w:ascii="Verdana" w:eastAsia="Calibri" w:hAnsi="Verdana"/>
          <w:sz w:val="20"/>
          <w:szCs w:val="20"/>
        </w:rPr>
        <w:t xml:space="preserve">atención </w:t>
      </w:r>
      <w:r w:rsidR="00AF66FD" w:rsidRPr="00C75287">
        <w:rPr>
          <w:rFonts w:ascii="Verdana" w:eastAsia="Calibri" w:hAnsi="Verdana"/>
          <w:sz w:val="20"/>
          <w:szCs w:val="20"/>
        </w:rPr>
        <w:t xml:space="preserve">que requiere el solicitante </w:t>
      </w:r>
      <w:r w:rsidR="00536ABB" w:rsidRPr="00C75287">
        <w:rPr>
          <w:rFonts w:ascii="Verdana" w:eastAsia="Calibri" w:hAnsi="Verdana"/>
          <w:sz w:val="20"/>
          <w:szCs w:val="20"/>
        </w:rPr>
        <w:t>e</w:t>
      </w:r>
      <w:r w:rsidR="00AF66FD" w:rsidRPr="00C75287">
        <w:rPr>
          <w:rFonts w:ascii="Verdana" w:eastAsia="Calibri" w:hAnsi="Verdana"/>
          <w:sz w:val="20"/>
          <w:szCs w:val="20"/>
        </w:rPr>
        <w:t xml:space="preserve">n razón de su condición de </w:t>
      </w:r>
      <w:r w:rsidR="00AF7A89">
        <w:rPr>
          <w:rFonts w:ascii="Verdana" w:eastAsia="Calibri" w:hAnsi="Verdana"/>
          <w:sz w:val="20"/>
          <w:szCs w:val="20"/>
        </w:rPr>
        <w:t>menor de edad</w:t>
      </w:r>
      <w:r w:rsidR="00603708">
        <w:rPr>
          <w:rFonts w:ascii="Verdana" w:eastAsia="Calibri" w:hAnsi="Verdana"/>
          <w:sz w:val="20"/>
          <w:szCs w:val="20"/>
        </w:rPr>
        <w:t xml:space="preserve"> y,</w:t>
      </w:r>
      <w:r w:rsidR="00AF7A89">
        <w:rPr>
          <w:rFonts w:ascii="Verdana" w:eastAsia="Calibri" w:hAnsi="Verdana"/>
          <w:sz w:val="20"/>
          <w:szCs w:val="20"/>
        </w:rPr>
        <w:t xml:space="preserve"> </w:t>
      </w:r>
      <w:r w:rsidR="002A402B">
        <w:rPr>
          <w:rFonts w:ascii="Verdana" w:eastAsia="Calibri" w:hAnsi="Verdana"/>
          <w:sz w:val="20"/>
          <w:szCs w:val="20"/>
        </w:rPr>
        <w:t>en su caso</w:t>
      </w:r>
      <w:r w:rsidR="00603708">
        <w:rPr>
          <w:rFonts w:ascii="Verdana" w:eastAsia="Calibri" w:hAnsi="Verdana"/>
          <w:sz w:val="20"/>
          <w:szCs w:val="20"/>
        </w:rPr>
        <w:t>,</w:t>
      </w:r>
      <w:r w:rsidR="002A402B">
        <w:rPr>
          <w:rFonts w:ascii="Verdana" w:eastAsia="Calibri" w:hAnsi="Verdana"/>
          <w:sz w:val="20"/>
          <w:szCs w:val="20"/>
        </w:rPr>
        <w:t xml:space="preserve"> </w:t>
      </w:r>
      <w:r w:rsidR="00AF7A89">
        <w:rPr>
          <w:rFonts w:ascii="Verdana" w:eastAsia="Calibri" w:hAnsi="Verdana"/>
          <w:sz w:val="20"/>
          <w:szCs w:val="20"/>
        </w:rPr>
        <w:t xml:space="preserve">de su </w:t>
      </w:r>
      <w:r w:rsidR="002A402B">
        <w:rPr>
          <w:rFonts w:ascii="Verdana" w:eastAsia="Calibri" w:hAnsi="Verdana"/>
          <w:sz w:val="20"/>
          <w:szCs w:val="20"/>
        </w:rPr>
        <w:t xml:space="preserve">probable </w:t>
      </w:r>
      <w:r w:rsidR="00AF7A89">
        <w:rPr>
          <w:rFonts w:ascii="Verdana" w:eastAsia="Calibri" w:hAnsi="Verdana"/>
          <w:sz w:val="20"/>
          <w:szCs w:val="20"/>
        </w:rPr>
        <w:t>vulnerabilidad</w:t>
      </w:r>
      <w:r w:rsidR="00536ABB" w:rsidRPr="00C75287">
        <w:rPr>
          <w:rStyle w:val="FootnoteReference"/>
          <w:rFonts w:eastAsia="Calibri"/>
          <w:sz w:val="20"/>
          <w:szCs w:val="20"/>
        </w:rPr>
        <w:footnoteReference w:id="9"/>
      </w:r>
      <w:r w:rsidR="00AF7A89">
        <w:rPr>
          <w:rFonts w:ascii="Verdana" w:eastAsia="Calibri" w:hAnsi="Verdana"/>
          <w:sz w:val="20"/>
          <w:szCs w:val="20"/>
        </w:rPr>
        <w:t>.</w:t>
      </w:r>
    </w:p>
    <w:p w14:paraId="4459E78A" w14:textId="77777777" w:rsidR="00307806" w:rsidRDefault="00307806" w:rsidP="00C75287">
      <w:pPr>
        <w:pStyle w:val="ListParagraph"/>
        <w:ind w:left="0"/>
        <w:jc w:val="both"/>
        <w:rPr>
          <w:rFonts w:ascii="Verdana" w:eastAsiaTheme="minorHAnsi" w:hAnsi="Verdana" w:cs="Verdana"/>
          <w:color w:val="000000"/>
          <w:sz w:val="20"/>
          <w:szCs w:val="20"/>
          <w:highlight w:val="green"/>
          <w:lang w:val="es-HN" w:eastAsia="en-US"/>
        </w:rPr>
      </w:pPr>
    </w:p>
    <w:p w14:paraId="2E1A256F" w14:textId="52C22C45" w:rsidR="00837D8D" w:rsidRPr="00837D8D" w:rsidRDefault="00837D8D" w:rsidP="00837D8D">
      <w:pPr>
        <w:pStyle w:val="Default"/>
        <w:numPr>
          <w:ilvl w:val="0"/>
          <w:numId w:val="19"/>
        </w:numPr>
        <w:ind w:left="0" w:firstLine="0"/>
        <w:jc w:val="both"/>
        <w:rPr>
          <w:sz w:val="20"/>
          <w:szCs w:val="20"/>
          <w:lang w:val="es-HN"/>
        </w:rPr>
      </w:pPr>
      <w:r>
        <w:rPr>
          <w:sz w:val="20"/>
          <w:szCs w:val="20"/>
          <w:lang w:val="es-HN"/>
        </w:rPr>
        <w:t>Por tanto, e</w:t>
      </w:r>
      <w:r w:rsidRPr="00837D8D">
        <w:rPr>
          <w:sz w:val="20"/>
          <w:szCs w:val="20"/>
          <w:lang w:val="es-HN"/>
        </w:rPr>
        <w:t xml:space="preserve">n vista de la información recibida, en aplicación del estándar </w:t>
      </w:r>
      <w:r w:rsidRPr="00837D8D">
        <w:rPr>
          <w:i/>
          <w:sz w:val="20"/>
          <w:szCs w:val="20"/>
          <w:lang w:val="es-HN"/>
        </w:rPr>
        <w:t>prima facie</w:t>
      </w:r>
      <w:r w:rsidRPr="00837D8D">
        <w:rPr>
          <w:sz w:val="20"/>
          <w:szCs w:val="20"/>
          <w:lang w:val="es-HN"/>
        </w:rPr>
        <w:t xml:space="preserve">, la Corte considera que se encuentran acreditados los requisitos de extrema gravedad, urgencia y peligro inminente de daño irreparable a </w:t>
      </w:r>
      <w:r>
        <w:rPr>
          <w:sz w:val="20"/>
          <w:szCs w:val="20"/>
          <w:lang w:val="es-HN"/>
        </w:rPr>
        <w:t xml:space="preserve">la vida e integridad </w:t>
      </w:r>
      <w:r w:rsidR="00C75F0B">
        <w:rPr>
          <w:sz w:val="20"/>
          <w:szCs w:val="20"/>
          <w:lang w:val="es-HN"/>
        </w:rPr>
        <w:t xml:space="preserve">personal </w:t>
      </w:r>
      <w:r>
        <w:rPr>
          <w:sz w:val="20"/>
          <w:szCs w:val="20"/>
          <w:lang w:val="es-HN"/>
        </w:rPr>
        <w:t>del menor A.G.A.</w:t>
      </w:r>
      <w:r w:rsidR="002A402B">
        <w:rPr>
          <w:sz w:val="20"/>
          <w:szCs w:val="20"/>
          <w:lang w:val="es-HN"/>
        </w:rPr>
        <w:t>, por lo</w:t>
      </w:r>
      <w:r w:rsidRPr="00837D8D">
        <w:rPr>
          <w:sz w:val="20"/>
          <w:szCs w:val="20"/>
          <w:lang w:val="es-HN"/>
        </w:rPr>
        <w:t xml:space="preserve"> que </w:t>
      </w:r>
      <w:r w:rsidR="002A402B">
        <w:rPr>
          <w:sz w:val="20"/>
          <w:szCs w:val="20"/>
          <w:lang w:val="es-HN"/>
        </w:rPr>
        <w:t xml:space="preserve">se </w:t>
      </w:r>
      <w:r w:rsidRPr="00837D8D">
        <w:rPr>
          <w:sz w:val="20"/>
          <w:szCs w:val="20"/>
          <w:lang w:val="es-HN"/>
        </w:rPr>
        <w:t xml:space="preserve">requiere su protección a través del mecanismo de medidas provisionales. </w:t>
      </w:r>
    </w:p>
    <w:p w14:paraId="567AD73E" w14:textId="77777777" w:rsidR="00635D2C" w:rsidRDefault="00635D2C" w:rsidP="00EB4828">
      <w:pPr>
        <w:pStyle w:val="BodyText"/>
        <w:spacing w:after="0"/>
        <w:rPr>
          <w:rFonts w:ascii="Verdana" w:hAnsi="Verdana"/>
          <w:b/>
          <w:sz w:val="20"/>
          <w:szCs w:val="20"/>
          <w:lang w:val="es-HN"/>
        </w:rPr>
      </w:pPr>
    </w:p>
    <w:p w14:paraId="05D07AF4" w14:textId="77777777" w:rsidR="004C387F" w:rsidRDefault="004C387F" w:rsidP="00EB4828">
      <w:pPr>
        <w:pStyle w:val="BodyText"/>
        <w:spacing w:after="0"/>
        <w:rPr>
          <w:rFonts w:ascii="Verdana" w:hAnsi="Verdana"/>
          <w:b/>
          <w:sz w:val="20"/>
          <w:szCs w:val="20"/>
        </w:rPr>
      </w:pPr>
    </w:p>
    <w:p w14:paraId="5677E1BC" w14:textId="77777777" w:rsidR="00EB4828" w:rsidRPr="00606305" w:rsidRDefault="00EB4828" w:rsidP="00EB4828">
      <w:pPr>
        <w:pStyle w:val="BodyText"/>
        <w:spacing w:after="0"/>
        <w:rPr>
          <w:rFonts w:ascii="Verdana" w:hAnsi="Verdana"/>
          <w:b/>
          <w:sz w:val="20"/>
          <w:szCs w:val="20"/>
        </w:rPr>
      </w:pPr>
      <w:r w:rsidRPr="00606305">
        <w:rPr>
          <w:rFonts w:ascii="Verdana" w:hAnsi="Verdana"/>
          <w:b/>
          <w:sz w:val="20"/>
          <w:szCs w:val="20"/>
        </w:rPr>
        <w:t>POR TANTO:</w:t>
      </w:r>
    </w:p>
    <w:p w14:paraId="5677E1BD" w14:textId="77777777" w:rsidR="00981B82" w:rsidRDefault="00981B82" w:rsidP="000310A0">
      <w:pPr>
        <w:jc w:val="both"/>
        <w:rPr>
          <w:rFonts w:ascii="Verdana" w:hAnsi="Verdana"/>
          <w:b/>
          <w:sz w:val="20"/>
          <w:szCs w:val="20"/>
        </w:rPr>
      </w:pPr>
    </w:p>
    <w:p w14:paraId="5677E1BE" w14:textId="77777777" w:rsidR="00EB4828" w:rsidRPr="000310A0" w:rsidRDefault="00EB4828" w:rsidP="000310A0">
      <w:pPr>
        <w:jc w:val="both"/>
        <w:rPr>
          <w:rFonts w:ascii="Verdana" w:hAnsi="Verdana"/>
          <w:b/>
          <w:sz w:val="20"/>
          <w:szCs w:val="20"/>
        </w:rPr>
      </w:pPr>
      <w:r w:rsidRPr="00606305">
        <w:rPr>
          <w:rFonts w:ascii="Verdana" w:hAnsi="Verdana"/>
          <w:b/>
          <w:sz w:val="20"/>
          <w:szCs w:val="20"/>
        </w:rPr>
        <w:t xml:space="preserve">LA CORTE INTERAMERICANA DE DERECHOS HUMANOS, </w:t>
      </w:r>
    </w:p>
    <w:p w14:paraId="5677E1BF" w14:textId="77777777" w:rsidR="000F6DA1" w:rsidRPr="00606305" w:rsidRDefault="000F6DA1" w:rsidP="00EB4828">
      <w:pPr>
        <w:ind w:right="22"/>
        <w:jc w:val="both"/>
        <w:rPr>
          <w:rFonts w:ascii="Verdana" w:hAnsi="Verdana"/>
          <w:sz w:val="20"/>
          <w:szCs w:val="20"/>
        </w:rPr>
      </w:pPr>
    </w:p>
    <w:p w14:paraId="5677E1C0" w14:textId="3668F15D" w:rsidR="00EB4828" w:rsidRPr="00606305" w:rsidRDefault="005312F1" w:rsidP="00EB4828">
      <w:pPr>
        <w:ind w:right="22"/>
        <w:jc w:val="both"/>
        <w:rPr>
          <w:rFonts w:ascii="Verdana" w:hAnsi="Verdana"/>
          <w:sz w:val="20"/>
          <w:szCs w:val="20"/>
        </w:rPr>
      </w:pPr>
      <w:r>
        <w:rPr>
          <w:rFonts w:ascii="Verdana" w:hAnsi="Verdana"/>
          <w:sz w:val="20"/>
          <w:szCs w:val="20"/>
        </w:rPr>
        <w:t>e</w:t>
      </w:r>
      <w:r w:rsidR="00EB4828" w:rsidRPr="00606305">
        <w:rPr>
          <w:rFonts w:ascii="Verdana" w:hAnsi="Verdana"/>
          <w:sz w:val="20"/>
          <w:szCs w:val="20"/>
        </w:rPr>
        <w:t>n uso de las atribuciones que le confieren los artículos 63.2 de la Convención Americana sobre Derechos Humanos</w:t>
      </w:r>
      <w:r w:rsidR="00295B96">
        <w:rPr>
          <w:rFonts w:ascii="Verdana" w:hAnsi="Verdana"/>
          <w:sz w:val="20"/>
          <w:szCs w:val="20"/>
        </w:rPr>
        <w:t>;</w:t>
      </w:r>
      <w:r w:rsidR="00EB4828" w:rsidRPr="00606305">
        <w:rPr>
          <w:rFonts w:ascii="Verdana" w:hAnsi="Verdana"/>
          <w:sz w:val="20"/>
          <w:szCs w:val="20"/>
        </w:rPr>
        <w:t xml:space="preserve"> 27 </w:t>
      </w:r>
      <w:r w:rsidR="0076621C" w:rsidRPr="00606305">
        <w:rPr>
          <w:rFonts w:ascii="Verdana" w:hAnsi="Verdana"/>
          <w:sz w:val="20"/>
          <w:szCs w:val="20"/>
        </w:rPr>
        <w:t xml:space="preserve">y 31 </w:t>
      </w:r>
      <w:r w:rsidR="00EB4828" w:rsidRPr="00606305">
        <w:rPr>
          <w:rFonts w:ascii="Verdana" w:hAnsi="Verdana"/>
          <w:sz w:val="20"/>
          <w:szCs w:val="20"/>
        </w:rPr>
        <w:t>del Reglamento del Tribunal,</w:t>
      </w:r>
    </w:p>
    <w:p w14:paraId="5677E1C1" w14:textId="77777777" w:rsidR="00EB4828" w:rsidRPr="00606305" w:rsidRDefault="00EB4828" w:rsidP="00EB4828">
      <w:pPr>
        <w:ind w:right="22"/>
        <w:jc w:val="both"/>
        <w:rPr>
          <w:rFonts w:ascii="Verdana" w:hAnsi="Verdana"/>
          <w:b/>
          <w:sz w:val="20"/>
          <w:szCs w:val="20"/>
        </w:rPr>
      </w:pPr>
    </w:p>
    <w:p w14:paraId="5677E1C2" w14:textId="77777777" w:rsidR="00EB4828" w:rsidRPr="00606305" w:rsidRDefault="00EB4828" w:rsidP="00EB4828">
      <w:pPr>
        <w:ind w:right="22"/>
        <w:jc w:val="both"/>
        <w:rPr>
          <w:rFonts w:ascii="Verdana" w:hAnsi="Verdana"/>
          <w:b/>
          <w:sz w:val="20"/>
          <w:szCs w:val="20"/>
        </w:rPr>
      </w:pPr>
      <w:r w:rsidRPr="00606305">
        <w:rPr>
          <w:rFonts w:ascii="Verdana" w:hAnsi="Verdana"/>
          <w:b/>
          <w:sz w:val="20"/>
          <w:szCs w:val="20"/>
        </w:rPr>
        <w:t>RESUELVE:</w:t>
      </w:r>
    </w:p>
    <w:p w14:paraId="5677E1C3" w14:textId="77777777" w:rsidR="00EB4828" w:rsidRPr="00606305" w:rsidRDefault="00EB4828" w:rsidP="00EB4828">
      <w:pPr>
        <w:jc w:val="both"/>
        <w:rPr>
          <w:rFonts w:ascii="Verdana" w:hAnsi="Verdana" w:cs="Arial"/>
          <w:b/>
          <w:sz w:val="20"/>
          <w:szCs w:val="20"/>
        </w:rPr>
      </w:pPr>
    </w:p>
    <w:p w14:paraId="1F4E6CAB" w14:textId="13622274" w:rsidR="00BD4DE9" w:rsidRDefault="009B5A86" w:rsidP="00BD4DE9">
      <w:pPr>
        <w:numPr>
          <w:ilvl w:val="0"/>
          <w:numId w:val="20"/>
        </w:numPr>
        <w:ind w:left="0" w:right="-6" w:firstLine="0"/>
        <w:jc w:val="both"/>
        <w:rPr>
          <w:rFonts w:ascii="Verdana" w:hAnsi="Verdana"/>
          <w:sz w:val="20"/>
          <w:szCs w:val="20"/>
        </w:rPr>
      </w:pPr>
      <w:r>
        <w:rPr>
          <w:rFonts w:ascii="Verdana" w:hAnsi="Verdana"/>
          <w:sz w:val="20"/>
          <w:szCs w:val="20"/>
        </w:rPr>
        <w:t>Ampliar las medidas provisionales emitidas en el presente asunto</w:t>
      </w:r>
      <w:r w:rsidR="00675B59" w:rsidRPr="00675B59">
        <w:rPr>
          <w:rFonts w:ascii="Verdana" w:hAnsi="Verdana"/>
          <w:sz w:val="20"/>
          <w:szCs w:val="20"/>
        </w:rPr>
        <w:t xml:space="preserve"> </w:t>
      </w:r>
      <w:r w:rsidR="00675B59">
        <w:rPr>
          <w:rFonts w:ascii="Verdana" w:hAnsi="Verdana"/>
          <w:sz w:val="20"/>
          <w:szCs w:val="20"/>
        </w:rPr>
        <w:t>al menor A.G.A</w:t>
      </w:r>
      <w:r w:rsidR="007761DE" w:rsidRPr="00981B82">
        <w:rPr>
          <w:rFonts w:ascii="Verdana" w:hAnsi="Verdana"/>
          <w:sz w:val="20"/>
          <w:szCs w:val="20"/>
        </w:rPr>
        <w:t>,</w:t>
      </w:r>
      <w:r>
        <w:rPr>
          <w:rFonts w:ascii="Verdana" w:hAnsi="Verdana"/>
          <w:sz w:val="20"/>
          <w:szCs w:val="20"/>
        </w:rPr>
        <w:t xml:space="preserve"> de tal forma que el Estado mexicano </w:t>
      </w:r>
      <w:r w:rsidR="00675B59">
        <w:rPr>
          <w:rFonts w:ascii="Verdana" w:hAnsi="Verdana"/>
          <w:sz w:val="20"/>
          <w:szCs w:val="20"/>
        </w:rPr>
        <w:t xml:space="preserve">lo </w:t>
      </w:r>
      <w:r>
        <w:rPr>
          <w:rFonts w:ascii="Verdana" w:hAnsi="Verdana"/>
          <w:sz w:val="20"/>
          <w:szCs w:val="20"/>
        </w:rPr>
        <w:t>incluya</w:t>
      </w:r>
      <w:r w:rsidR="00BD4DE9">
        <w:rPr>
          <w:rFonts w:ascii="Verdana" w:hAnsi="Verdana"/>
          <w:sz w:val="20"/>
          <w:szCs w:val="20"/>
        </w:rPr>
        <w:t xml:space="preserve"> </w:t>
      </w:r>
      <w:r>
        <w:rPr>
          <w:rFonts w:ascii="Verdana" w:hAnsi="Verdana"/>
          <w:sz w:val="20"/>
          <w:szCs w:val="20"/>
        </w:rPr>
        <w:t xml:space="preserve">de manera inmediata </w:t>
      </w:r>
      <w:r w:rsidR="00BD4DE9">
        <w:rPr>
          <w:rFonts w:ascii="Verdana" w:hAnsi="Verdana"/>
          <w:sz w:val="20"/>
          <w:szCs w:val="20"/>
        </w:rPr>
        <w:t xml:space="preserve">dentro de las medidas ordenadas mediante las Resoluciones de </w:t>
      </w:r>
      <w:r w:rsidR="00960F3A">
        <w:rPr>
          <w:rFonts w:ascii="Verdana" w:hAnsi="Verdana"/>
          <w:sz w:val="20"/>
          <w:szCs w:val="20"/>
        </w:rPr>
        <w:t>2</w:t>
      </w:r>
      <w:r w:rsidR="00960F3A" w:rsidRPr="00606305">
        <w:rPr>
          <w:rFonts w:ascii="Verdana" w:hAnsi="Verdana" w:cs="Verdana"/>
          <w:sz w:val="20"/>
          <w:szCs w:val="20"/>
        </w:rPr>
        <w:t>6 de mayo y 26 de noviembre de 2010, 15 de mayo de 2011,</w:t>
      </w:r>
      <w:r w:rsidR="00960F3A">
        <w:rPr>
          <w:rFonts w:ascii="Verdana" w:hAnsi="Verdana" w:cs="Verdana"/>
          <w:sz w:val="20"/>
          <w:szCs w:val="20"/>
        </w:rPr>
        <w:t xml:space="preserve"> 23 de noviembre de 2012, 23 de junio de 2015,</w:t>
      </w:r>
      <w:r w:rsidR="00960F3A" w:rsidRPr="00606305">
        <w:rPr>
          <w:rFonts w:ascii="Verdana" w:hAnsi="Verdana" w:cs="Verdana"/>
          <w:sz w:val="20"/>
          <w:szCs w:val="20"/>
        </w:rPr>
        <w:t xml:space="preserve"> </w:t>
      </w:r>
      <w:r w:rsidR="00960F3A">
        <w:rPr>
          <w:rFonts w:ascii="Verdana" w:hAnsi="Verdana" w:cs="Verdana"/>
          <w:sz w:val="20"/>
          <w:szCs w:val="20"/>
        </w:rPr>
        <w:t>y 14 de noviembre de 2017</w:t>
      </w:r>
      <w:r w:rsidR="00BD4DE9">
        <w:rPr>
          <w:rFonts w:ascii="Verdana" w:hAnsi="Verdana"/>
          <w:sz w:val="20"/>
          <w:szCs w:val="20"/>
        </w:rPr>
        <w:t>,</w:t>
      </w:r>
      <w:r w:rsidR="00837D8D">
        <w:rPr>
          <w:rFonts w:ascii="Verdana" w:hAnsi="Verdana"/>
          <w:sz w:val="20"/>
          <w:szCs w:val="20"/>
        </w:rPr>
        <w:t xml:space="preserve"> de conformidad con el Considerando </w:t>
      </w:r>
      <w:r w:rsidR="00BF06F9">
        <w:rPr>
          <w:rFonts w:ascii="Verdana" w:hAnsi="Verdana"/>
          <w:sz w:val="20"/>
          <w:szCs w:val="20"/>
        </w:rPr>
        <w:t xml:space="preserve">20 </w:t>
      </w:r>
      <w:r w:rsidR="00837D8D">
        <w:rPr>
          <w:rFonts w:ascii="Verdana" w:hAnsi="Verdana"/>
          <w:sz w:val="20"/>
          <w:szCs w:val="20"/>
        </w:rPr>
        <w:t>de la presente Resolución</w:t>
      </w:r>
      <w:r w:rsidR="00BD4DE9">
        <w:rPr>
          <w:rFonts w:ascii="Verdana" w:hAnsi="Verdana"/>
          <w:sz w:val="20"/>
          <w:szCs w:val="20"/>
        </w:rPr>
        <w:t>.</w:t>
      </w:r>
    </w:p>
    <w:p w14:paraId="29761E0B" w14:textId="77777777" w:rsidR="00BD4DE9" w:rsidRDefault="00BD4DE9" w:rsidP="00BD4DE9">
      <w:pPr>
        <w:ind w:right="-6"/>
        <w:jc w:val="both"/>
        <w:rPr>
          <w:rFonts w:ascii="Verdana" w:hAnsi="Verdana"/>
          <w:sz w:val="20"/>
          <w:szCs w:val="20"/>
        </w:rPr>
      </w:pPr>
    </w:p>
    <w:p w14:paraId="5677E1CE" w14:textId="78BDCAE2" w:rsidR="001C57C7" w:rsidRPr="00BD4DE9" w:rsidRDefault="00BD4DE9" w:rsidP="00BD4DE9">
      <w:pPr>
        <w:numPr>
          <w:ilvl w:val="0"/>
          <w:numId w:val="20"/>
        </w:numPr>
        <w:ind w:left="0" w:right="-6" w:firstLine="0"/>
        <w:jc w:val="both"/>
        <w:rPr>
          <w:rFonts w:ascii="Verdana" w:hAnsi="Verdana"/>
          <w:sz w:val="20"/>
          <w:szCs w:val="20"/>
        </w:rPr>
      </w:pPr>
      <w:r w:rsidRPr="00BD4DE9">
        <w:rPr>
          <w:rFonts w:ascii="Verdana" w:hAnsi="Verdana"/>
          <w:sz w:val="20"/>
          <w:szCs w:val="20"/>
        </w:rPr>
        <w:t>Reiterar a</w:t>
      </w:r>
      <w:r w:rsidR="001C57C7" w:rsidRPr="00BD4DE9">
        <w:rPr>
          <w:rFonts w:ascii="Verdana" w:hAnsi="Verdana"/>
          <w:sz w:val="20"/>
          <w:szCs w:val="20"/>
        </w:rPr>
        <w:t>l Estado</w:t>
      </w:r>
      <w:r w:rsidRPr="00BD4DE9">
        <w:rPr>
          <w:rFonts w:ascii="Verdana" w:hAnsi="Verdana"/>
          <w:sz w:val="20"/>
          <w:szCs w:val="20"/>
        </w:rPr>
        <w:t xml:space="preserve"> que incluya al beneficiario A.G.A. en el </w:t>
      </w:r>
      <w:r w:rsidR="001C57C7" w:rsidRPr="00BD4DE9">
        <w:rPr>
          <w:rFonts w:ascii="Verdana" w:hAnsi="Verdana"/>
          <w:sz w:val="20"/>
          <w:szCs w:val="20"/>
        </w:rPr>
        <w:t>análisis sobre la situación de riesgo de las personas beneficiarias</w:t>
      </w:r>
      <w:r w:rsidR="00675B59">
        <w:rPr>
          <w:rFonts w:ascii="Verdana" w:hAnsi="Verdana"/>
          <w:sz w:val="20"/>
          <w:szCs w:val="20"/>
        </w:rPr>
        <w:t>, el cual deberá realizar a la mayor brevedad,</w:t>
      </w:r>
      <w:r w:rsidR="001C57C7" w:rsidRPr="00BD4DE9">
        <w:rPr>
          <w:rFonts w:ascii="Verdana" w:hAnsi="Verdana"/>
          <w:sz w:val="20"/>
          <w:szCs w:val="20"/>
        </w:rPr>
        <w:t xml:space="preserve"> y que se informe a las víctimas o sus representantes sobre la metodología y personal que realizará dicho análisis,</w:t>
      </w:r>
      <w:r w:rsidR="00603708">
        <w:rPr>
          <w:rFonts w:ascii="Verdana" w:hAnsi="Verdana"/>
          <w:sz w:val="20"/>
          <w:szCs w:val="20"/>
        </w:rPr>
        <w:t xml:space="preserve"> de conformidad </w:t>
      </w:r>
      <w:r w:rsidR="00675B59">
        <w:rPr>
          <w:rFonts w:ascii="Verdana" w:hAnsi="Verdana"/>
          <w:sz w:val="20"/>
          <w:szCs w:val="20"/>
        </w:rPr>
        <w:t>con el C</w:t>
      </w:r>
      <w:r w:rsidR="00603708">
        <w:rPr>
          <w:rFonts w:ascii="Verdana" w:hAnsi="Verdana"/>
          <w:sz w:val="20"/>
          <w:szCs w:val="20"/>
        </w:rPr>
        <w:t xml:space="preserve">onsiderando </w:t>
      </w:r>
      <w:r w:rsidR="00BF06F9">
        <w:rPr>
          <w:rFonts w:ascii="Verdana" w:hAnsi="Verdana"/>
          <w:sz w:val="20"/>
          <w:szCs w:val="20"/>
        </w:rPr>
        <w:t xml:space="preserve">17 </w:t>
      </w:r>
      <w:r w:rsidR="00CB69F4">
        <w:rPr>
          <w:rFonts w:ascii="Verdana" w:hAnsi="Verdana"/>
          <w:sz w:val="20"/>
          <w:szCs w:val="20"/>
        </w:rPr>
        <w:t>de la presente Resolución</w:t>
      </w:r>
      <w:r w:rsidR="00603708">
        <w:rPr>
          <w:rFonts w:ascii="Verdana" w:hAnsi="Verdana"/>
          <w:sz w:val="20"/>
          <w:szCs w:val="20"/>
        </w:rPr>
        <w:t xml:space="preserve">. </w:t>
      </w:r>
    </w:p>
    <w:p w14:paraId="5677E1D1" w14:textId="77777777" w:rsidR="001C57C7" w:rsidRPr="00981B82" w:rsidRDefault="001C57C7" w:rsidP="001C57C7"/>
    <w:p w14:paraId="37F74821" w14:textId="3DF0CF65" w:rsidR="00F21FF6" w:rsidRDefault="00F21FF6" w:rsidP="001C57C7">
      <w:pPr>
        <w:numPr>
          <w:ilvl w:val="0"/>
          <w:numId w:val="20"/>
        </w:numPr>
        <w:ind w:left="0" w:right="-6" w:firstLine="0"/>
        <w:jc w:val="both"/>
        <w:rPr>
          <w:rFonts w:ascii="Verdana" w:hAnsi="Verdana"/>
          <w:sz w:val="20"/>
          <w:szCs w:val="20"/>
        </w:rPr>
      </w:pPr>
      <w:r>
        <w:rPr>
          <w:rFonts w:ascii="Verdana" w:hAnsi="Verdana"/>
          <w:sz w:val="20"/>
          <w:szCs w:val="20"/>
        </w:rPr>
        <w:t>Instar al Estado que a través de</w:t>
      </w:r>
      <w:r w:rsidR="00BF06F9">
        <w:rPr>
          <w:rFonts w:ascii="Verdana" w:hAnsi="Verdana"/>
          <w:sz w:val="20"/>
          <w:szCs w:val="20"/>
        </w:rPr>
        <w:t xml:space="preserve"> sus instituciones competentes;</w:t>
      </w:r>
      <w:r>
        <w:rPr>
          <w:rFonts w:ascii="Verdana" w:hAnsi="Verdana"/>
          <w:sz w:val="20"/>
          <w:szCs w:val="20"/>
        </w:rPr>
        <w:t xml:space="preserve"> </w:t>
      </w:r>
      <w:r w:rsidR="002671D9">
        <w:rPr>
          <w:rFonts w:ascii="Verdana" w:hAnsi="Verdana"/>
          <w:sz w:val="20"/>
          <w:szCs w:val="20"/>
        </w:rPr>
        <w:t xml:space="preserve">entre ellas, </w:t>
      </w:r>
      <w:r>
        <w:rPr>
          <w:rFonts w:ascii="Verdana" w:hAnsi="Verdana"/>
          <w:sz w:val="20"/>
          <w:szCs w:val="20"/>
        </w:rPr>
        <w:t>la Comisión Nacional de Derechos Humanos y/o la Comisión Ejecutiva de Atención a Víctimas</w:t>
      </w:r>
      <w:r w:rsidR="002671D9">
        <w:rPr>
          <w:rFonts w:ascii="Verdana" w:hAnsi="Verdana"/>
          <w:sz w:val="20"/>
          <w:szCs w:val="20"/>
        </w:rPr>
        <w:t xml:space="preserve"> del Estado de Chihuahua</w:t>
      </w:r>
      <w:r>
        <w:rPr>
          <w:rFonts w:ascii="Verdana" w:hAnsi="Verdana"/>
          <w:sz w:val="20"/>
          <w:szCs w:val="20"/>
        </w:rPr>
        <w:t xml:space="preserve">, brinde seguimiento </w:t>
      </w:r>
      <w:r w:rsidR="004D3F1A">
        <w:rPr>
          <w:rFonts w:ascii="Verdana" w:hAnsi="Verdana"/>
          <w:sz w:val="20"/>
          <w:szCs w:val="20"/>
        </w:rPr>
        <w:t xml:space="preserve">a </w:t>
      </w:r>
      <w:r w:rsidR="002671D9">
        <w:rPr>
          <w:rFonts w:ascii="Verdana" w:hAnsi="Verdana"/>
          <w:sz w:val="20"/>
          <w:szCs w:val="20"/>
        </w:rPr>
        <w:t xml:space="preserve">estas </w:t>
      </w:r>
      <w:r w:rsidR="004D3F1A">
        <w:rPr>
          <w:rFonts w:ascii="Verdana" w:hAnsi="Verdana"/>
          <w:sz w:val="20"/>
          <w:szCs w:val="20"/>
        </w:rPr>
        <w:t xml:space="preserve">medidas </w:t>
      </w:r>
      <w:r>
        <w:rPr>
          <w:rFonts w:ascii="Verdana" w:hAnsi="Verdana"/>
          <w:sz w:val="20"/>
          <w:szCs w:val="20"/>
        </w:rPr>
        <w:t xml:space="preserve">y preste acompañamiento a los beneficiarios de las </w:t>
      </w:r>
      <w:r w:rsidR="004D3F1A">
        <w:rPr>
          <w:rFonts w:ascii="Verdana" w:hAnsi="Verdana"/>
          <w:sz w:val="20"/>
          <w:szCs w:val="20"/>
        </w:rPr>
        <w:t>mismas</w:t>
      </w:r>
      <w:r>
        <w:rPr>
          <w:rFonts w:ascii="Verdana" w:hAnsi="Verdana"/>
          <w:sz w:val="20"/>
          <w:szCs w:val="20"/>
        </w:rPr>
        <w:t>.</w:t>
      </w:r>
    </w:p>
    <w:p w14:paraId="7CD23B81" w14:textId="2496FE2B" w:rsidR="00F21FF6" w:rsidRDefault="00F21FF6" w:rsidP="00F21FF6">
      <w:pPr>
        <w:ind w:right="-6"/>
        <w:jc w:val="both"/>
        <w:rPr>
          <w:rFonts w:ascii="Verdana" w:hAnsi="Verdana"/>
          <w:sz w:val="20"/>
          <w:szCs w:val="20"/>
        </w:rPr>
      </w:pPr>
      <w:r>
        <w:rPr>
          <w:rFonts w:ascii="Verdana" w:hAnsi="Verdana"/>
          <w:sz w:val="20"/>
          <w:szCs w:val="20"/>
        </w:rPr>
        <w:t xml:space="preserve"> </w:t>
      </w:r>
    </w:p>
    <w:p w14:paraId="4FA12ABD" w14:textId="133B603C" w:rsidR="00577D09" w:rsidRDefault="00BD4DE9" w:rsidP="001C57C7">
      <w:pPr>
        <w:numPr>
          <w:ilvl w:val="0"/>
          <w:numId w:val="20"/>
        </w:numPr>
        <w:ind w:left="0" w:right="-6" w:firstLine="0"/>
        <w:jc w:val="both"/>
        <w:rPr>
          <w:rFonts w:ascii="Verdana" w:hAnsi="Verdana"/>
          <w:sz w:val="20"/>
          <w:szCs w:val="20"/>
        </w:rPr>
      </w:pPr>
      <w:r>
        <w:rPr>
          <w:rFonts w:ascii="Verdana" w:hAnsi="Verdana"/>
          <w:sz w:val="20"/>
          <w:szCs w:val="20"/>
        </w:rPr>
        <w:t>Requerir que</w:t>
      </w:r>
      <w:r w:rsidR="001C57C7" w:rsidRPr="00981B82">
        <w:rPr>
          <w:rFonts w:ascii="Verdana" w:hAnsi="Verdana"/>
          <w:sz w:val="20"/>
          <w:szCs w:val="20"/>
        </w:rPr>
        <w:t xml:space="preserve"> el Estado continúe informando a la Corte Interamericana de Derechos Humanos cada cuatro meses, </w:t>
      </w:r>
      <w:r w:rsidR="00603708">
        <w:rPr>
          <w:rFonts w:ascii="Verdana" w:hAnsi="Verdana"/>
          <w:sz w:val="20"/>
          <w:szCs w:val="20"/>
        </w:rPr>
        <w:t xml:space="preserve">así como a los representantes y la </w:t>
      </w:r>
      <w:r w:rsidR="00CB69F4">
        <w:rPr>
          <w:rFonts w:ascii="Verdana" w:hAnsi="Verdana"/>
          <w:sz w:val="20"/>
          <w:szCs w:val="20"/>
        </w:rPr>
        <w:t>C</w:t>
      </w:r>
      <w:r w:rsidR="00603708">
        <w:rPr>
          <w:rFonts w:ascii="Verdana" w:hAnsi="Verdana"/>
          <w:sz w:val="20"/>
          <w:szCs w:val="20"/>
        </w:rPr>
        <w:t xml:space="preserve">omisión, de conformidad con </w:t>
      </w:r>
      <w:r w:rsidR="00675B59">
        <w:rPr>
          <w:rFonts w:ascii="Verdana" w:hAnsi="Verdana"/>
          <w:sz w:val="20"/>
          <w:szCs w:val="20"/>
        </w:rPr>
        <w:t xml:space="preserve">los plazos establecidos en </w:t>
      </w:r>
      <w:r w:rsidR="00603708">
        <w:rPr>
          <w:rFonts w:ascii="Verdana" w:hAnsi="Verdana"/>
          <w:sz w:val="20"/>
          <w:szCs w:val="20"/>
        </w:rPr>
        <w:t>la Resolución de 14 de noviembre de 2017</w:t>
      </w:r>
      <w:r w:rsidR="00603708">
        <w:rPr>
          <w:rFonts w:ascii="Verdana" w:hAnsi="Verdana" w:cs="Arial"/>
          <w:sz w:val="20"/>
          <w:szCs w:val="20"/>
        </w:rPr>
        <w:t>.</w:t>
      </w:r>
    </w:p>
    <w:p w14:paraId="5677E1D3" w14:textId="77777777" w:rsidR="00243F7F" w:rsidRPr="00981B82" w:rsidRDefault="00243F7F" w:rsidP="00C75287"/>
    <w:p w14:paraId="052312F3" w14:textId="1B1CDBF8" w:rsidR="00800376" w:rsidRDefault="00EB4828" w:rsidP="007B3CC8">
      <w:pPr>
        <w:numPr>
          <w:ilvl w:val="0"/>
          <w:numId w:val="20"/>
        </w:numPr>
        <w:ind w:left="0" w:right="-6" w:firstLine="0"/>
        <w:jc w:val="both"/>
        <w:rPr>
          <w:rFonts w:ascii="Verdana" w:hAnsi="Verdana"/>
          <w:sz w:val="20"/>
          <w:szCs w:val="20"/>
        </w:rPr>
      </w:pPr>
      <w:r w:rsidRPr="00981B82">
        <w:rPr>
          <w:rFonts w:ascii="Verdana" w:hAnsi="Verdana"/>
          <w:sz w:val="20"/>
          <w:szCs w:val="20"/>
        </w:rPr>
        <w:t xml:space="preserve">Que la Secretaría notifique la presente Resolución al Estado </w:t>
      </w:r>
      <w:r w:rsidR="00A46563" w:rsidRPr="00981B82">
        <w:rPr>
          <w:rFonts w:ascii="Verdana" w:hAnsi="Verdana"/>
          <w:sz w:val="20"/>
          <w:szCs w:val="20"/>
        </w:rPr>
        <w:t>m</w:t>
      </w:r>
      <w:r w:rsidR="00E8726E" w:rsidRPr="00981B82">
        <w:rPr>
          <w:rFonts w:ascii="Verdana" w:hAnsi="Verdana"/>
          <w:sz w:val="20"/>
          <w:szCs w:val="20"/>
        </w:rPr>
        <w:t>exicano</w:t>
      </w:r>
      <w:r w:rsidRPr="00981B82">
        <w:rPr>
          <w:rFonts w:ascii="Verdana" w:hAnsi="Verdana"/>
          <w:sz w:val="20"/>
          <w:szCs w:val="20"/>
        </w:rPr>
        <w:t>, a la Comisión Inter</w:t>
      </w:r>
      <w:r w:rsidR="0058263F">
        <w:rPr>
          <w:rFonts w:ascii="Verdana" w:hAnsi="Verdana"/>
          <w:sz w:val="20"/>
          <w:szCs w:val="20"/>
        </w:rPr>
        <w:t xml:space="preserve">americana de Derechos Humanos, </w:t>
      </w:r>
      <w:r w:rsidRPr="00981B82">
        <w:rPr>
          <w:rFonts w:ascii="Verdana" w:hAnsi="Verdana"/>
          <w:sz w:val="20"/>
          <w:szCs w:val="20"/>
        </w:rPr>
        <w:t>a los representantes de los beneficiarios</w:t>
      </w:r>
      <w:r w:rsidR="002671D9">
        <w:rPr>
          <w:rFonts w:ascii="Verdana" w:hAnsi="Verdana"/>
          <w:sz w:val="20"/>
          <w:szCs w:val="20"/>
        </w:rPr>
        <w:t>, así como</w:t>
      </w:r>
      <w:r w:rsidR="00B83282" w:rsidRPr="002536A2">
        <w:rPr>
          <w:rFonts w:ascii="Verdana" w:hAnsi="Verdana"/>
          <w:sz w:val="20"/>
          <w:szCs w:val="20"/>
        </w:rPr>
        <w:t xml:space="preserve"> a la Comisión Nacional de los Derechos Humanos de México</w:t>
      </w:r>
      <w:r w:rsidR="002671D9">
        <w:rPr>
          <w:rFonts w:ascii="Verdana" w:hAnsi="Verdana"/>
          <w:sz w:val="20"/>
          <w:szCs w:val="20"/>
        </w:rPr>
        <w:t xml:space="preserve"> y</w:t>
      </w:r>
      <w:r w:rsidR="002671D9" w:rsidRPr="002671D9">
        <w:rPr>
          <w:rFonts w:ascii="Verdana" w:hAnsi="Verdana"/>
          <w:sz w:val="20"/>
          <w:szCs w:val="20"/>
        </w:rPr>
        <w:t xml:space="preserve"> </w:t>
      </w:r>
      <w:r w:rsidR="002671D9">
        <w:rPr>
          <w:rFonts w:ascii="Verdana" w:hAnsi="Verdana"/>
          <w:sz w:val="20"/>
          <w:szCs w:val="20"/>
        </w:rPr>
        <w:t>la Comisión Ejecutiva de Atención a Víctimas del Estado de Chihuahua.</w:t>
      </w:r>
    </w:p>
    <w:p w14:paraId="5A242C0D" w14:textId="77777777" w:rsidR="008823CB" w:rsidRDefault="008823CB" w:rsidP="00800376">
      <w:pPr>
        <w:ind w:right="-6"/>
        <w:jc w:val="both"/>
        <w:rPr>
          <w:rFonts w:ascii="Verdana" w:hAnsi="Verdana"/>
          <w:sz w:val="20"/>
          <w:szCs w:val="20"/>
        </w:rPr>
      </w:pPr>
    </w:p>
    <w:p w14:paraId="69C56158" w14:textId="60DD1A7F" w:rsidR="00AA52EB" w:rsidRDefault="00AA52EB">
      <w:pPr>
        <w:rPr>
          <w:rFonts w:ascii="Verdana" w:hAnsi="Verdana"/>
          <w:sz w:val="20"/>
          <w:szCs w:val="20"/>
        </w:rPr>
      </w:pPr>
      <w:r>
        <w:rPr>
          <w:rFonts w:ascii="Verdana" w:hAnsi="Verdana"/>
          <w:sz w:val="20"/>
          <w:szCs w:val="20"/>
        </w:rPr>
        <w:br w:type="page"/>
      </w:r>
    </w:p>
    <w:p w14:paraId="4BBE8C47" w14:textId="77777777" w:rsidR="00AA52EB" w:rsidRDefault="00AA52EB" w:rsidP="00AA52EB">
      <w:pPr>
        <w:ind w:right="-6"/>
        <w:jc w:val="both"/>
        <w:rPr>
          <w:rFonts w:ascii="Verdana" w:hAnsi="Verdana"/>
          <w:sz w:val="20"/>
          <w:szCs w:val="20"/>
        </w:rPr>
      </w:pPr>
      <w:r>
        <w:rPr>
          <w:rFonts w:ascii="Verdana" w:hAnsi="Verdana"/>
          <w:sz w:val="20"/>
          <w:szCs w:val="20"/>
        </w:rPr>
        <w:lastRenderedPageBreak/>
        <w:t>Resolución de la Corte Interamericana de Derechos Humanos, Medidas Provisionales respecto de México, asunto Alvarado Reyes y otros.</w:t>
      </w:r>
    </w:p>
    <w:p w14:paraId="68185E47" w14:textId="77777777" w:rsidR="00AA52EB" w:rsidRDefault="00AA52EB" w:rsidP="00AA52EB">
      <w:pPr>
        <w:rPr>
          <w:rFonts w:ascii="Verdana" w:hAnsi="Verdana"/>
          <w:sz w:val="20"/>
          <w:szCs w:val="20"/>
        </w:rPr>
      </w:pPr>
    </w:p>
    <w:p w14:paraId="09E5A582" w14:textId="77777777" w:rsidR="00AA52EB" w:rsidRDefault="00AA52EB" w:rsidP="00AA52EB">
      <w:pPr>
        <w:rPr>
          <w:rFonts w:ascii="Verdana" w:hAnsi="Verdana"/>
          <w:sz w:val="20"/>
          <w:szCs w:val="20"/>
        </w:rPr>
      </w:pPr>
    </w:p>
    <w:p w14:paraId="4A0B2C4A" w14:textId="77777777" w:rsidR="00AA52EB" w:rsidRDefault="00AA52EB" w:rsidP="00AA52EB">
      <w:pPr>
        <w:rPr>
          <w:rFonts w:ascii="Verdana" w:hAnsi="Verdana"/>
          <w:sz w:val="20"/>
          <w:szCs w:val="20"/>
        </w:rPr>
      </w:pPr>
    </w:p>
    <w:p w14:paraId="29AEF856" w14:textId="77777777" w:rsidR="00AA52EB" w:rsidRDefault="00AA52EB" w:rsidP="00AA52EB">
      <w:pPr>
        <w:rPr>
          <w:rFonts w:ascii="Verdana" w:hAnsi="Verdana"/>
          <w:sz w:val="20"/>
          <w:szCs w:val="20"/>
        </w:rPr>
      </w:pPr>
    </w:p>
    <w:p w14:paraId="3879D2D6" w14:textId="0CC2FEA0" w:rsidR="00AA52EB" w:rsidRPr="00960E80" w:rsidRDefault="00BD4DE9" w:rsidP="00AA52EB">
      <w:pPr>
        <w:jc w:val="center"/>
        <w:rPr>
          <w:rFonts w:ascii="Verdana" w:hAnsi="Verdana"/>
          <w:sz w:val="20"/>
        </w:rPr>
      </w:pPr>
      <w:r w:rsidRPr="00960E80">
        <w:rPr>
          <w:rFonts w:ascii="Verdana" w:hAnsi="Verdana"/>
          <w:sz w:val="20"/>
          <w:lang w:val="es-CR"/>
        </w:rPr>
        <w:t>Eduardo Vio Grossi</w:t>
      </w:r>
    </w:p>
    <w:p w14:paraId="349A1C2E" w14:textId="2FAF05CF" w:rsidR="00AA52EB" w:rsidRDefault="00AA52EB" w:rsidP="00AA52EB">
      <w:pPr>
        <w:jc w:val="center"/>
        <w:rPr>
          <w:rFonts w:ascii="Verdana" w:hAnsi="Verdana"/>
          <w:sz w:val="20"/>
        </w:rPr>
      </w:pPr>
      <w:r w:rsidRPr="00960E80">
        <w:rPr>
          <w:rFonts w:ascii="Verdana" w:hAnsi="Verdana"/>
          <w:sz w:val="20"/>
        </w:rPr>
        <w:t>Presidente</w:t>
      </w:r>
      <w:r w:rsidR="00BD4DE9" w:rsidRPr="00960E80">
        <w:rPr>
          <w:rFonts w:ascii="Verdana" w:hAnsi="Verdana"/>
          <w:sz w:val="20"/>
        </w:rPr>
        <w:t xml:space="preserve"> en ejercicio</w:t>
      </w:r>
      <w:r>
        <w:rPr>
          <w:rFonts w:ascii="Verdana" w:hAnsi="Verdana"/>
          <w:sz w:val="20"/>
        </w:rPr>
        <w:t xml:space="preserve"> </w:t>
      </w:r>
    </w:p>
    <w:p w14:paraId="1737F2A5" w14:textId="77777777" w:rsidR="00AA52EB" w:rsidRDefault="00AA52EB" w:rsidP="00AA52EB">
      <w:pPr>
        <w:jc w:val="both"/>
        <w:rPr>
          <w:rFonts w:ascii="Verdana" w:hAnsi="Verdana"/>
          <w:sz w:val="20"/>
        </w:rPr>
      </w:pPr>
    </w:p>
    <w:p w14:paraId="586466ED" w14:textId="77777777" w:rsidR="00AA52EB" w:rsidRDefault="00AA52EB" w:rsidP="00AA52EB">
      <w:pPr>
        <w:jc w:val="both"/>
        <w:rPr>
          <w:rFonts w:ascii="Verdana" w:hAnsi="Verdana"/>
          <w:sz w:val="20"/>
        </w:rPr>
      </w:pPr>
    </w:p>
    <w:p w14:paraId="1ECD7AC6" w14:textId="77777777" w:rsidR="00AA52EB" w:rsidRDefault="00AA52EB" w:rsidP="00AA52EB">
      <w:pPr>
        <w:jc w:val="both"/>
        <w:rPr>
          <w:rFonts w:ascii="Verdana" w:hAnsi="Verdana"/>
          <w:sz w:val="20"/>
        </w:rPr>
      </w:pPr>
    </w:p>
    <w:p w14:paraId="4BEBCE41" w14:textId="77777777" w:rsidR="00AA52EB" w:rsidRDefault="00AA52EB" w:rsidP="00AA52EB">
      <w:pPr>
        <w:jc w:val="both"/>
        <w:rPr>
          <w:rFonts w:ascii="Verdana" w:hAnsi="Verdana"/>
          <w:sz w:val="20"/>
        </w:rPr>
      </w:pPr>
    </w:p>
    <w:p w14:paraId="74C821AE" w14:textId="77777777" w:rsidR="00121865" w:rsidRDefault="00121865" w:rsidP="00AA52EB">
      <w:pPr>
        <w:jc w:val="both"/>
        <w:rPr>
          <w:rFonts w:ascii="Verdana" w:hAnsi="Verdana"/>
          <w:sz w:val="20"/>
        </w:rPr>
      </w:pPr>
    </w:p>
    <w:p w14:paraId="0F0057D0" w14:textId="77777777" w:rsidR="00121865" w:rsidRDefault="00AA52EB" w:rsidP="00121865">
      <w:pPr>
        <w:jc w:val="right"/>
        <w:rPr>
          <w:rFonts w:ascii="Verdana" w:hAnsi="Verdana"/>
          <w:sz w:val="20"/>
          <w:lang w:val="es-CR"/>
        </w:rPr>
      </w:pPr>
      <w:r>
        <w:rPr>
          <w:rFonts w:ascii="Verdana" w:hAnsi="Verdana"/>
          <w:sz w:val="20"/>
          <w:lang w:val="es-CR"/>
        </w:rPr>
        <w:t>Humberto A. Sierra Porto</w:t>
      </w:r>
      <w:r w:rsidR="00121865">
        <w:rPr>
          <w:rFonts w:ascii="Verdana" w:hAnsi="Verdana"/>
          <w:sz w:val="20"/>
          <w:lang w:val="es-CR"/>
        </w:rPr>
        <w:tab/>
      </w:r>
      <w:r w:rsidR="00121865">
        <w:rPr>
          <w:rFonts w:ascii="Verdana" w:hAnsi="Verdana"/>
          <w:sz w:val="20"/>
          <w:lang w:val="es-CR"/>
        </w:rPr>
        <w:tab/>
      </w:r>
      <w:r w:rsidR="00121865">
        <w:rPr>
          <w:rFonts w:ascii="Verdana" w:hAnsi="Verdana"/>
          <w:sz w:val="20"/>
          <w:lang w:val="es-CR"/>
        </w:rPr>
        <w:tab/>
      </w:r>
      <w:r w:rsidR="00121865">
        <w:rPr>
          <w:rFonts w:ascii="Verdana" w:hAnsi="Verdana"/>
          <w:sz w:val="20"/>
          <w:lang w:val="es-CR"/>
        </w:rPr>
        <w:tab/>
      </w:r>
      <w:r w:rsidR="00121865">
        <w:rPr>
          <w:rFonts w:ascii="Verdana" w:hAnsi="Verdana"/>
          <w:sz w:val="20"/>
          <w:lang w:val="es-CR"/>
        </w:rPr>
        <w:tab/>
      </w:r>
      <w:r w:rsidR="00121865">
        <w:rPr>
          <w:rFonts w:ascii="Verdana" w:hAnsi="Verdana"/>
          <w:sz w:val="20"/>
          <w:lang w:val="es-CR"/>
        </w:rPr>
        <w:tab/>
      </w:r>
      <w:r w:rsidR="00121865">
        <w:rPr>
          <w:rFonts w:ascii="Verdana" w:hAnsi="Verdana"/>
          <w:sz w:val="20"/>
          <w:lang w:val="es-CR"/>
        </w:rPr>
        <w:tab/>
      </w:r>
      <w:r>
        <w:rPr>
          <w:rFonts w:ascii="Verdana" w:hAnsi="Verdana"/>
          <w:sz w:val="20"/>
          <w:lang w:val="es-CR"/>
        </w:rPr>
        <w:t xml:space="preserve">Elizabeth Odio Benito </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w:t>
      </w:r>
    </w:p>
    <w:p w14:paraId="6C97CED0" w14:textId="77777777" w:rsidR="00121865" w:rsidRDefault="00121865" w:rsidP="00121865">
      <w:pPr>
        <w:jc w:val="right"/>
        <w:rPr>
          <w:rFonts w:ascii="Verdana" w:hAnsi="Verdana"/>
          <w:sz w:val="20"/>
          <w:lang w:val="es-CR"/>
        </w:rPr>
      </w:pPr>
    </w:p>
    <w:p w14:paraId="16E5F076" w14:textId="77777777" w:rsidR="00121865" w:rsidRDefault="00121865" w:rsidP="00121865">
      <w:pPr>
        <w:jc w:val="right"/>
        <w:rPr>
          <w:rFonts w:ascii="Verdana" w:hAnsi="Verdana"/>
          <w:sz w:val="20"/>
          <w:lang w:val="es-CR"/>
        </w:rPr>
      </w:pPr>
    </w:p>
    <w:p w14:paraId="0E468BC1" w14:textId="77777777" w:rsidR="00121865" w:rsidRDefault="00121865" w:rsidP="00121865">
      <w:pPr>
        <w:jc w:val="right"/>
        <w:rPr>
          <w:rFonts w:ascii="Verdana" w:hAnsi="Verdana"/>
          <w:sz w:val="20"/>
          <w:lang w:val="es-CR"/>
        </w:rPr>
      </w:pPr>
    </w:p>
    <w:p w14:paraId="436C1705" w14:textId="77777777" w:rsidR="00121865" w:rsidRDefault="00121865" w:rsidP="00121865">
      <w:pPr>
        <w:jc w:val="right"/>
        <w:rPr>
          <w:rFonts w:ascii="Verdana" w:hAnsi="Verdana"/>
          <w:sz w:val="20"/>
          <w:lang w:val="es-CR"/>
        </w:rPr>
      </w:pPr>
    </w:p>
    <w:p w14:paraId="24BC0597" w14:textId="77777777" w:rsidR="00121865" w:rsidRDefault="00121865" w:rsidP="00121865">
      <w:pPr>
        <w:jc w:val="right"/>
        <w:rPr>
          <w:rFonts w:ascii="Verdana" w:hAnsi="Verdana"/>
          <w:sz w:val="20"/>
          <w:lang w:val="es-CR"/>
        </w:rPr>
      </w:pPr>
    </w:p>
    <w:p w14:paraId="5C2F4579" w14:textId="77777777" w:rsidR="00121865" w:rsidRDefault="00121865" w:rsidP="00121865">
      <w:pPr>
        <w:jc w:val="right"/>
        <w:rPr>
          <w:rFonts w:ascii="Verdana" w:hAnsi="Verdana"/>
          <w:sz w:val="20"/>
          <w:lang w:val="es-CR"/>
        </w:rPr>
      </w:pPr>
    </w:p>
    <w:p w14:paraId="45481D53" w14:textId="5221BCBE" w:rsidR="00AA52EB" w:rsidRDefault="00AA52EB" w:rsidP="00121865">
      <w:pPr>
        <w:rPr>
          <w:rFonts w:ascii="Verdana" w:hAnsi="Verdana"/>
          <w:sz w:val="20"/>
          <w:lang w:val="es-CR"/>
        </w:rPr>
      </w:pPr>
      <w:r>
        <w:rPr>
          <w:rFonts w:ascii="Verdana" w:hAnsi="Verdana"/>
          <w:sz w:val="20"/>
          <w:lang w:val="es-CR"/>
        </w:rPr>
        <w:t>Eugenio Raúl Zaffaroni</w:t>
      </w:r>
      <w:r w:rsidR="00121865">
        <w:rPr>
          <w:rFonts w:ascii="Verdana" w:hAnsi="Verdana"/>
          <w:sz w:val="20"/>
          <w:lang w:val="es-CR"/>
        </w:rPr>
        <w:t xml:space="preserve"> </w:t>
      </w:r>
      <w:r w:rsidR="00121865">
        <w:rPr>
          <w:rFonts w:ascii="Verdana" w:hAnsi="Verdana"/>
          <w:sz w:val="20"/>
          <w:lang w:val="es-CR"/>
        </w:rPr>
        <w:tab/>
      </w:r>
      <w:r w:rsidR="00121865">
        <w:rPr>
          <w:rFonts w:ascii="Verdana" w:hAnsi="Verdana"/>
          <w:sz w:val="20"/>
          <w:lang w:val="es-CR"/>
        </w:rPr>
        <w:tab/>
      </w:r>
      <w:r w:rsidR="00121865">
        <w:rPr>
          <w:rFonts w:ascii="Verdana" w:hAnsi="Verdana"/>
          <w:sz w:val="20"/>
          <w:lang w:val="es-CR"/>
        </w:rPr>
        <w:tab/>
      </w:r>
      <w:r w:rsidR="00121865">
        <w:rPr>
          <w:rFonts w:ascii="Verdana" w:hAnsi="Verdana"/>
          <w:sz w:val="20"/>
          <w:lang w:val="es-CR"/>
        </w:rPr>
        <w:tab/>
      </w:r>
      <w:r w:rsidR="00121865">
        <w:rPr>
          <w:rFonts w:ascii="Verdana" w:hAnsi="Verdana"/>
          <w:sz w:val="20"/>
          <w:lang w:val="es-CR"/>
        </w:rPr>
        <w:tab/>
      </w:r>
      <w:r w:rsidR="00121865">
        <w:rPr>
          <w:rFonts w:ascii="Verdana" w:hAnsi="Verdana"/>
          <w:sz w:val="20"/>
          <w:lang w:val="es-CR"/>
        </w:rPr>
        <w:tab/>
        <w:t xml:space="preserve">    </w:t>
      </w:r>
      <w:r>
        <w:rPr>
          <w:rFonts w:ascii="Verdana" w:hAnsi="Verdana"/>
          <w:sz w:val="20"/>
          <w:lang w:val="es-CR"/>
        </w:rPr>
        <w:t>L. Patricio Pazmiño Freire</w:t>
      </w:r>
    </w:p>
    <w:p w14:paraId="7A99D4F0" w14:textId="77777777" w:rsidR="00AA52EB" w:rsidRDefault="00AA52EB" w:rsidP="00AA52EB">
      <w:pPr>
        <w:rPr>
          <w:rFonts w:ascii="Verdana" w:hAnsi="Verdana"/>
          <w:sz w:val="20"/>
          <w:lang w:val="es-CR"/>
        </w:rPr>
      </w:pPr>
      <w:r>
        <w:rPr>
          <w:rFonts w:ascii="Verdana" w:hAnsi="Verdana"/>
          <w:sz w:val="20"/>
          <w:lang w:val="es-CR"/>
        </w:rPr>
        <w:tab/>
      </w:r>
      <w:r>
        <w:rPr>
          <w:rFonts w:ascii="Verdana" w:hAnsi="Verdana"/>
          <w:sz w:val="20"/>
          <w:lang w:val="es-CR"/>
        </w:rPr>
        <w:tab/>
      </w:r>
      <w:r>
        <w:rPr>
          <w:rFonts w:ascii="Verdana" w:hAnsi="Verdana"/>
          <w:sz w:val="20"/>
          <w:lang w:val="es-CR"/>
        </w:rPr>
        <w:tab/>
      </w:r>
    </w:p>
    <w:p w14:paraId="7A8AE894" w14:textId="77777777" w:rsidR="00AA52EB" w:rsidRDefault="00AA52EB" w:rsidP="00AA52EB">
      <w:pPr>
        <w:rPr>
          <w:rFonts w:ascii="Verdana" w:hAnsi="Verdana"/>
          <w:sz w:val="20"/>
          <w:lang w:val="es-CR"/>
        </w:rPr>
      </w:pPr>
    </w:p>
    <w:p w14:paraId="3E097D76" w14:textId="77777777" w:rsidR="00AA52EB" w:rsidRDefault="00AA52EB" w:rsidP="00AA52EB">
      <w:pPr>
        <w:rPr>
          <w:rFonts w:ascii="Verdana" w:hAnsi="Verdana"/>
          <w:sz w:val="20"/>
          <w:lang w:val="es-CR"/>
        </w:rPr>
      </w:pPr>
    </w:p>
    <w:p w14:paraId="0D1EEFE9" w14:textId="77777777" w:rsidR="00AA52EB" w:rsidRDefault="00AA52EB" w:rsidP="00AA52EB">
      <w:pPr>
        <w:tabs>
          <w:tab w:val="left" w:pos="8460"/>
          <w:tab w:val="left" w:pos="8640"/>
        </w:tabs>
        <w:jc w:val="both"/>
        <w:rPr>
          <w:rFonts w:ascii="Verdana" w:hAnsi="Verdana"/>
          <w:sz w:val="20"/>
          <w:lang w:val="es-CR"/>
        </w:rPr>
      </w:pPr>
    </w:p>
    <w:p w14:paraId="76E68187" w14:textId="77777777" w:rsidR="00AA52EB" w:rsidRDefault="00AA52EB" w:rsidP="00AA52EB">
      <w:pPr>
        <w:tabs>
          <w:tab w:val="left" w:pos="8460"/>
          <w:tab w:val="left" w:pos="8640"/>
        </w:tabs>
        <w:jc w:val="both"/>
        <w:rPr>
          <w:rFonts w:ascii="Verdana" w:hAnsi="Verdana"/>
          <w:sz w:val="20"/>
          <w:lang w:val="es-CR"/>
        </w:rPr>
      </w:pPr>
    </w:p>
    <w:p w14:paraId="0404079D" w14:textId="77777777" w:rsidR="00AA52EB" w:rsidRDefault="00AA52EB" w:rsidP="00AA52EB">
      <w:pPr>
        <w:tabs>
          <w:tab w:val="left" w:pos="8460"/>
          <w:tab w:val="left" w:pos="8640"/>
        </w:tabs>
        <w:jc w:val="center"/>
        <w:rPr>
          <w:rFonts w:ascii="Verdana" w:hAnsi="Verdana"/>
          <w:sz w:val="20"/>
        </w:rPr>
      </w:pPr>
      <w:r>
        <w:rPr>
          <w:rFonts w:ascii="Verdana" w:hAnsi="Verdana"/>
          <w:sz w:val="20"/>
        </w:rPr>
        <w:t>Pablo Saavedra Alessandri</w:t>
      </w:r>
    </w:p>
    <w:p w14:paraId="29A4D758" w14:textId="77777777" w:rsidR="00AA52EB" w:rsidRDefault="00AA52EB" w:rsidP="00AA52EB">
      <w:pPr>
        <w:tabs>
          <w:tab w:val="left" w:pos="8460"/>
          <w:tab w:val="left" w:pos="8640"/>
        </w:tabs>
        <w:jc w:val="center"/>
        <w:rPr>
          <w:rFonts w:ascii="Verdana" w:hAnsi="Verdana"/>
          <w:sz w:val="20"/>
        </w:rPr>
      </w:pPr>
      <w:r>
        <w:rPr>
          <w:rFonts w:ascii="Verdana" w:hAnsi="Verdana"/>
          <w:sz w:val="20"/>
        </w:rPr>
        <w:t>Secretario</w:t>
      </w:r>
    </w:p>
    <w:p w14:paraId="33E6257C" w14:textId="77777777" w:rsidR="00AA52EB" w:rsidRDefault="00AA52EB" w:rsidP="00AA52EB">
      <w:pPr>
        <w:tabs>
          <w:tab w:val="left" w:pos="8460"/>
          <w:tab w:val="left" w:pos="8640"/>
        </w:tabs>
        <w:jc w:val="both"/>
        <w:rPr>
          <w:rFonts w:ascii="Verdana" w:hAnsi="Verdana"/>
          <w:sz w:val="20"/>
        </w:rPr>
      </w:pPr>
    </w:p>
    <w:p w14:paraId="1F38C9B6" w14:textId="77777777" w:rsidR="00AA52EB" w:rsidRDefault="00AA52EB" w:rsidP="00AA52EB">
      <w:pPr>
        <w:jc w:val="both"/>
        <w:rPr>
          <w:rFonts w:ascii="Verdana" w:hAnsi="Verdana"/>
          <w:sz w:val="20"/>
        </w:rPr>
      </w:pPr>
    </w:p>
    <w:p w14:paraId="609EFF6A" w14:textId="77777777" w:rsidR="00AA52EB" w:rsidRDefault="00AA52EB" w:rsidP="00AA52EB">
      <w:pPr>
        <w:tabs>
          <w:tab w:val="left" w:pos="8460"/>
          <w:tab w:val="left" w:pos="8640"/>
        </w:tabs>
        <w:jc w:val="both"/>
        <w:rPr>
          <w:rFonts w:ascii="Verdana" w:hAnsi="Verdana"/>
          <w:sz w:val="20"/>
        </w:rPr>
      </w:pPr>
      <w:r>
        <w:rPr>
          <w:rFonts w:ascii="Verdana" w:hAnsi="Verdana"/>
          <w:sz w:val="20"/>
        </w:rPr>
        <w:t>Comuníquese y ejecútese,</w:t>
      </w:r>
    </w:p>
    <w:p w14:paraId="4EB97D78" w14:textId="77777777" w:rsidR="00AA52EB" w:rsidRDefault="00AA52EB" w:rsidP="00AA52EB">
      <w:pPr>
        <w:tabs>
          <w:tab w:val="left" w:pos="8460"/>
          <w:tab w:val="left" w:pos="8640"/>
        </w:tabs>
        <w:jc w:val="both"/>
        <w:rPr>
          <w:rFonts w:ascii="Verdana" w:hAnsi="Verdana"/>
          <w:sz w:val="20"/>
        </w:rPr>
      </w:pPr>
    </w:p>
    <w:p w14:paraId="3D0F3704" w14:textId="77777777" w:rsidR="00AA52EB" w:rsidRDefault="00AA52EB" w:rsidP="00AA52EB">
      <w:pPr>
        <w:tabs>
          <w:tab w:val="left" w:pos="8460"/>
          <w:tab w:val="left" w:pos="8640"/>
        </w:tabs>
        <w:jc w:val="both"/>
        <w:rPr>
          <w:rFonts w:ascii="Verdana" w:hAnsi="Verdana"/>
          <w:sz w:val="20"/>
        </w:rPr>
      </w:pPr>
    </w:p>
    <w:p w14:paraId="0BBE66CE" w14:textId="77777777" w:rsidR="00AA52EB" w:rsidRDefault="00AA52EB" w:rsidP="00AA52EB">
      <w:pPr>
        <w:tabs>
          <w:tab w:val="left" w:pos="8460"/>
          <w:tab w:val="left" w:pos="8640"/>
        </w:tabs>
        <w:jc w:val="both"/>
        <w:rPr>
          <w:rFonts w:ascii="Verdana" w:hAnsi="Verdana"/>
          <w:sz w:val="20"/>
        </w:rPr>
      </w:pPr>
    </w:p>
    <w:p w14:paraId="227A91DA" w14:textId="77777777" w:rsidR="00AA52EB" w:rsidRDefault="00AA52EB" w:rsidP="00AA52EB">
      <w:pPr>
        <w:tabs>
          <w:tab w:val="left" w:pos="8460"/>
          <w:tab w:val="left" w:pos="8640"/>
        </w:tabs>
        <w:jc w:val="both"/>
        <w:rPr>
          <w:rFonts w:ascii="Verdana" w:hAnsi="Verdana"/>
          <w:sz w:val="20"/>
        </w:rPr>
      </w:pPr>
    </w:p>
    <w:p w14:paraId="533A27B2" w14:textId="5CCA4422" w:rsidR="00AA52EB" w:rsidRDefault="00BD4DE9" w:rsidP="00BD4DE9">
      <w:pPr>
        <w:ind w:firstLine="720"/>
        <w:jc w:val="center"/>
        <w:rPr>
          <w:rFonts w:ascii="Verdana" w:hAnsi="Verdana"/>
          <w:sz w:val="20"/>
        </w:rPr>
      </w:pPr>
      <w:r>
        <w:rPr>
          <w:rFonts w:ascii="Verdana" w:hAnsi="Verdana"/>
          <w:sz w:val="20"/>
          <w:lang w:val="es-CR"/>
        </w:rPr>
        <w:t xml:space="preserve">  </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Eduardo Vio Grossi</w:t>
      </w:r>
    </w:p>
    <w:p w14:paraId="7911A6C9" w14:textId="56A4A78A" w:rsidR="00AA52EB" w:rsidRDefault="00BD4DE9" w:rsidP="00BD4DE9">
      <w:pPr>
        <w:ind w:left="6480" w:right="360"/>
        <w:jc w:val="center"/>
        <w:rPr>
          <w:rFonts w:ascii="Verdana" w:hAnsi="Verdana"/>
          <w:sz w:val="20"/>
        </w:rPr>
      </w:pPr>
      <w:r>
        <w:rPr>
          <w:rFonts w:ascii="Verdana" w:hAnsi="Verdana"/>
          <w:sz w:val="20"/>
        </w:rPr>
        <w:t>Presidente en ejercicio</w:t>
      </w:r>
    </w:p>
    <w:p w14:paraId="35386608" w14:textId="77777777" w:rsidR="00AA52EB" w:rsidRDefault="00AA52EB" w:rsidP="00AA52EB">
      <w:pPr>
        <w:tabs>
          <w:tab w:val="left" w:pos="8460"/>
          <w:tab w:val="left" w:pos="8640"/>
        </w:tabs>
        <w:jc w:val="both"/>
        <w:rPr>
          <w:rFonts w:ascii="Verdana" w:hAnsi="Verdana"/>
          <w:sz w:val="20"/>
        </w:rPr>
      </w:pPr>
    </w:p>
    <w:p w14:paraId="4FAF01DE" w14:textId="77777777" w:rsidR="00AA52EB" w:rsidRDefault="00AA52EB" w:rsidP="00AA52EB">
      <w:pPr>
        <w:tabs>
          <w:tab w:val="left" w:pos="8460"/>
          <w:tab w:val="left" w:pos="8640"/>
        </w:tabs>
        <w:jc w:val="both"/>
        <w:rPr>
          <w:rFonts w:ascii="Verdana" w:hAnsi="Verdana"/>
          <w:sz w:val="20"/>
        </w:rPr>
      </w:pPr>
    </w:p>
    <w:p w14:paraId="07E78E00" w14:textId="77777777" w:rsidR="00AA52EB" w:rsidRDefault="00AA52EB" w:rsidP="00AA52EB">
      <w:pPr>
        <w:tabs>
          <w:tab w:val="left" w:pos="8460"/>
          <w:tab w:val="left" w:pos="8640"/>
        </w:tabs>
        <w:jc w:val="both"/>
        <w:rPr>
          <w:rFonts w:ascii="Verdana" w:hAnsi="Verdana"/>
          <w:sz w:val="20"/>
        </w:rPr>
      </w:pPr>
    </w:p>
    <w:p w14:paraId="593F3C23" w14:textId="77777777" w:rsidR="00AA52EB" w:rsidRDefault="00AA52EB" w:rsidP="00AA52EB">
      <w:pPr>
        <w:tabs>
          <w:tab w:val="left" w:pos="8460"/>
          <w:tab w:val="left" w:pos="8640"/>
        </w:tabs>
        <w:jc w:val="both"/>
        <w:rPr>
          <w:rFonts w:ascii="Verdana" w:hAnsi="Verdana"/>
          <w:sz w:val="20"/>
        </w:rPr>
      </w:pPr>
    </w:p>
    <w:p w14:paraId="69F2F603" w14:textId="77777777" w:rsidR="00AA52EB" w:rsidRDefault="00AA52EB" w:rsidP="00AA52EB">
      <w:pPr>
        <w:tabs>
          <w:tab w:val="left" w:pos="8460"/>
          <w:tab w:val="left" w:pos="8640"/>
        </w:tabs>
        <w:jc w:val="both"/>
        <w:rPr>
          <w:rFonts w:ascii="Verdana" w:hAnsi="Verdana"/>
          <w:sz w:val="20"/>
        </w:rPr>
      </w:pPr>
      <w:r>
        <w:rPr>
          <w:rFonts w:ascii="Verdana" w:hAnsi="Verdana"/>
          <w:sz w:val="20"/>
        </w:rPr>
        <w:t>Pablo Saavedra Alessandri</w:t>
      </w:r>
    </w:p>
    <w:p w14:paraId="28D4AF20" w14:textId="77777777" w:rsidR="00AA52EB" w:rsidRDefault="00AA52EB" w:rsidP="00AA52EB">
      <w:pPr>
        <w:tabs>
          <w:tab w:val="left" w:pos="8640"/>
        </w:tabs>
        <w:ind w:left="720"/>
        <w:rPr>
          <w:rFonts w:ascii="Verdana" w:hAnsi="Verdana"/>
          <w:sz w:val="20"/>
        </w:rPr>
      </w:pPr>
      <w:r>
        <w:rPr>
          <w:rFonts w:ascii="Verdana" w:hAnsi="Verdana"/>
          <w:sz w:val="20"/>
        </w:rPr>
        <w:t xml:space="preserve">  Secretario</w:t>
      </w:r>
    </w:p>
    <w:p w14:paraId="1D4E6956" w14:textId="77777777" w:rsidR="00800376" w:rsidRDefault="00800376" w:rsidP="007B3CC8">
      <w:pPr>
        <w:rPr>
          <w:rFonts w:ascii="Verdana" w:hAnsi="Verdana"/>
          <w:sz w:val="20"/>
          <w:szCs w:val="20"/>
        </w:rPr>
      </w:pPr>
    </w:p>
    <w:p w14:paraId="469C93B0" w14:textId="77777777" w:rsidR="00AA52EB" w:rsidRDefault="00AA52EB" w:rsidP="007B3CC8">
      <w:pPr>
        <w:rPr>
          <w:rFonts w:ascii="Verdana" w:hAnsi="Verdana"/>
          <w:sz w:val="20"/>
          <w:szCs w:val="20"/>
        </w:rPr>
      </w:pPr>
    </w:p>
    <w:p w14:paraId="7FDAA75E" w14:textId="77777777" w:rsidR="00AA52EB" w:rsidRDefault="00AA52EB" w:rsidP="007B3CC8">
      <w:pPr>
        <w:rPr>
          <w:rFonts w:ascii="Verdana" w:hAnsi="Verdana"/>
          <w:sz w:val="20"/>
          <w:szCs w:val="20"/>
        </w:rPr>
      </w:pPr>
    </w:p>
    <w:p w14:paraId="0253B897" w14:textId="77777777" w:rsidR="00AA52EB" w:rsidRPr="00C8736E" w:rsidRDefault="00AA52EB" w:rsidP="007B3CC8">
      <w:pPr>
        <w:rPr>
          <w:rFonts w:ascii="Verdana" w:hAnsi="Verdana"/>
          <w:sz w:val="20"/>
          <w:szCs w:val="20"/>
        </w:rPr>
      </w:pPr>
    </w:p>
    <w:sectPr w:rsidR="00AA52EB" w:rsidRPr="00C8736E" w:rsidSect="00F05FE2">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4D1EC" w14:textId="77777777" w:rsidR="00CB3608" w:rsidRDefault="00CB3608" w:rsidP="00EB4828">
      <w:r>
        <w:separator/>
      </w:r>
    </w:p>
  </w:endnote>
  <w:endnote w:type="continuationSeparator" w:id="0">
    <w:p w14:paraId="3DDF1DDF" w14:textId="77777777" w:rsidR="00CB3608" w:rsidRDefault="00CB3608" w:rsidP="00EB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FB720" w14:textId="77777777" w:rsidR="00CB3608" w:rsidRDefault="00CB3608" w:rsidP="00EB4828">
      <w:r>
        <w:separator/>
      </w:r>
    </w:p>
  </w:footnote>
  <w:footnote w:type="continuationSeparator" w:id="0">
    <w:p w14:paraId="30C70AD7" w14:textId="77777777" w:rsidR="00CB3608" w:rsidRDefault="00CB3608" w:rsidP="00EB4828">
      <w:r>
        <w:continuationSeparator/>
      </w:r>
    </w:p>
  </w:footnote>
  <w:footnote w:id="1">
    <w:p w14:paraId="5677E1DF" w14:textId="3CEF2FBF" w:rsidR="00CB3608" w:rsidRDefault="00CB3608" w:rsidP="00960E80">
      <w:pPr>
        <w:pStyle w:val="FootnoteText"/>
      </w:pPr>
      <w:r>
        <w:rPr>
          <w:rStyle w:val="FootnoteReference"/>
        </w:rPr>
        <w:footnoteRef/>
      </w:r>
      <w:r>
        <w:t xml:space="preserve"> </w:t>
      </w:r>
      <w:r>
        <w:tab/>
        <w:t>E</w:t>
      </w:r>
      <w:r w:rsidRPr="00B55F19">
        <w:t xml:space="preserve">l </w:t>
      </w:r>
      <w:r w:rsidRPr="001E6C03">
        <w:t>Juez Eduardo Ferrer Mac-Gregor</w:t>
      </w:r>
      <w:r>
        <w:t xml:space="preserve"> Poisot</w:t>
      </w:r>
      <w:r w:rsidRPr="00B55F19">
        <w:t xml:space="preserve">, de nacionalidad </w:t>
      </w:r>
      <w:r>
        <w:t>mexicana</w:t>
      </w:r>
      <w:r w:rsidRPr="00B55F19">
        <w:t xml:space="preserve">, no participó en </w:t>
      </w:r>
      <w:r>
        <w:t xml:space="preserve">el conocimiento y </w:t>
      </w:r>
      <w:r w:rsidRPr="00B55F19">
        <w:t>deliberación de la presente Resolución, de conformidad con lo</w:t>
      </w:r>
      <w:r>
        <w:t xml:space="preserve"> dispuesto en lo</w:t>
      </w:r>
      <w:r w:rsidRPr="00B55F19">
        <w:t xml:space="preserve">s artículos 19.2 del Estatuto </w:t>
      </w:r>
      <w:r>
        <w:t xml:space="preserve">del Tribunal </w:t>
      </w:r>
      <w:r w:rsidRPr="00B55F19">
        <w:t>y 19.1 de</w:t>
      </w:r>
      <w:r>
        <w:t xml:space="preserve"> su</w:t>
      </w:r>
      <w:r w:rsidRPr="00B55F19">
        <w:t xml:space="preserve"> Reglamento.</w:t>
      </w:r>
      <w:r>
        <w:t xml:space="preserve"> </w:t>
      </w:r>
      <w:r w:rsidRPr="00AB1E03">
        <w:t>Por otra parte, el Juez Roberto F. Caldas, por razones de fuerza mayor aceptadas por el Pleno, no participó en la deliberación y firma de la presente Sentencia.</w:t>
      </w:r>
    </w:p>
  </w:footnote>
  <w:footnote w:id="2">
    <w:p w14:paraId="5677E1E1" w14:textId="41BDC205" w:rsidR="00CB3608" w:rsidRPr="00781CB7" w:rsidRDefault="00CB3608" w:rsidP="000D6D52">
      <w:pPr>
        <w:jc w:val="both"/>
        <w:rPr>
          <w:rFonts w:ascii="Verdana" w:hAnsi="Verdana" w:cs="Verdana"/>
          <w:sz w:val="16"/>
          <w:szCs w:val="16"/>
          <w:lang w:val="es-ES"/>
        </w:rPr>
      </w:pPr>
      <w:r w:rsidRPr="00781CB7">
        <w:rPr>
          <w:rStyle w:val="FootnoteReference"/>
        </w:rPr>
        <w:footnoteRef/>
      </w:r>
      <w:r w:rsidRPr="00781CB7">
        <w:rPr>
          <w:rFonts w:ascii="Verdana" w:hAnsi="Verdana" w:cs="Verdana"/>
          <w:iCs/>
          <w:sz w:val="16"/>
          <w:szCs w:val="16"/>
          <w:lang w:val="es-ES"/>
        </w:rPr>
        <w:t xml:space="preserve"> </w:t>
      </w:r>
      <w:r w:rsidRPr="00781CB7">
        <w:rPr>
          <w:rFonts w:ascii="Verdana" w:hAnsi="Verdana" w:cs="Verdana"/>
          <w:iCs/>
          <w:sz w:val="16"/>
          <w:szCs w:val="16"/>
          <w:lang w:val="es-ES"/>
        </w:rPr>
        <w:tab/>
      </w:r>
      <w:r w:rsidRPr="00781CB7">
        <w:rPr>
          <w:rFonts w:ascii="Verdana" w:hAnsi="Verdana" w:cs="Verdana"/>
          <w:i/>
          <w:iCs/>
          <w:sz w:val="16"/>
          <w:szCs w:val="16"/>
          <w:lang w:val="es-ES"/>
        </w:rPr>
        <w:t>Cfr.</w:t>
      </w:r>
      <w:r w:rsidRPr="00781CB7">
        <w:rPr>
          <w:rFonts w:ascii="Verdana" w:hAnsi="Verdana" w:cs="Verdana"/>
          <w:iCs/>
          <w:sz w:val="16"/>
          <w:szCs w:val="16"/>
          <w:lang w:val="es-ES"/>
        </w:rPr>
        <w:t xml:space="preserve"> </w:t>
      </w:r>
      <w:r>
        <w:rPr>
          <w:rFonts w:ascii="Verdana" w:hAnsi="Verdana" w:cs="Verdana"/>
          <w:i/>
          <w:iCs/>
          <w:sz w:val="16"/>
          <w:szCs w:val="16"/>
          <w:lang w:val="es-ES"/>
        </w:rPr>
        <w:t xml:space="preserve">Asunto James y otros </w:t>
      </w:r>
      <w:r w:rsidRPr="00A16EDA">
        <w:rPr>
          <w:rFonts w:ascii="Verdana" w:hAnsi="Verdana" w:cs="Verdana"/>
          <w:i/>
          <w:sz w:val="16"/>
          <w:szCs w:val="16"/>
          <w:lang w:val="es-ES"/>
        </w:rPr>
        <w:t xml:space="preserve">respecto de Trinidad y </w:t>
      </w:r>
      <w:r w:rsidRPr="00800D98">
        <w:rPr>
          <w:rFonts w:ascii="Verdana" w:hAnsi="Verdana" w:cs="Verdana"/>
          <w:i/>
          <w:sz w:val="16"/>
          <w:szCs w:val="16"/>
          <w:lang w:val="es-ES"/>
        </w:rPr>
        <w:t>Tobago</w:t>
      </w:r>
      <w:r w:rsidRPr="00E63251">
        <w:rPr>
          <w:rFonts w:ascii="Verdana" w:hAnsi="Verdana" w:cs="Verdana"/>
          <w:i/>
          <w:sz w:val="16"/>
          <w:szCs w:val="16"/>
          <w:lang w:val="es-ES"/>
        </w:rPr>
        <w:t>. Medidas Provisionales</w:t>
      </w:r>
      <w:r>
        <w:rPr>
          <w:rFonts w:ascii="Verdana" w:hAnsi="Verdana" w:cs="Verdana"/>
          <w:sz w:val="16"/>
          <w:szCs w:val="16"/>
          <w:lang w:val="es-ES"/>
        </w:rPr>
        <w:t>.</w:t>
      </w:r>
      <w:r w:rsidRPr="00781CB7">
        <w:rPr>
          <w:rFonts w:ascii="Verdana" w:hAnsi="Verdana" w:cs="Verdana"/>
          <w:sz w:val="16"/>
          <w:szCs w:val="16"/>
          <w:lang w:val="es-ES"/>
        </w:rPr>
        <w:t xml:space="preserve"> </w:t>
      </w:r>
      <w:r w:rsidRPr="00781CB7">
        <w:rPr>
          <w:rFonts w:ascii="Verdana" w:hAnsi="Verdana" w:cs="Verdana"/>
          <w:color w:val="000000"/>
          <w:sz w:val="16"/>
          <w:szCs w:val="16"/>
        </w:rPr>
        <w:t>Resolución de la Corte Interamericana de Derechos Humanos</w:t>
      </w:r>
      <w:r w:rsidRPr="00781CB7">
        <w:rPr>
          <w:rFonts w:ascii="Verdana" w:hAnsi="Verdana" w:cs="Verdana"/>
          <w:sz w:val="16"/>
          <w:szCs w:val="16"/>
          <w:lang w:val="es-ES"/>
        </w:rPr>
        <w:t xml:space="preserve"> de 14 de junio de 1998, </w:t>
      </w:r>
      <w:r>
        <w:rPr>
          <w:rFonts w:ascii="Verdana" w:hAnsi="Verdana" w:cs="Verdana"/>
          <w:sz w:val="16"/>
          <w:szCs w:val="16"/>
          <w:lang w:val="es-ES"/>
        </w:rPr>
        <w:t>C</w:t>
      </w:r>
      <w:r w:rsidRPr="00781CB7">
        <w:rPr>
          <w:rFonts w:ascii="Verdana" w:hAnsi="Verdana" w:cs="Verdana"/>
          <w:sz w:val="16"/>
          <w:szCs w:val="16"/>
          <w:lang w:val="es-ES"/>
        </w:rPr>
        <w:t xml:space="preserve">onsiderando sexto, y </w:t>
      </w:r>
      <w:r>
        <w:rPr>
          <w:rFonts w:ascii="Verdana" w:hAnsi="Verdana" w:cs="Verdana"/>
          <w:i/>
          <w:sz w:val="16"/>
          <w:szCs w:val="16"/>
          <w:lang w:val="es-ES"/>
        </w:rPr>
        <w:t>Caso Durand y Ugarte Vs. Perú</w:t>
      </w:r>
      <w:r w:rsidRPr="00A60901">
        <w:rPr>
          <w:rFonts w:ascii="Verdana" w:hAnsi="Verdana" w:cs="Verdana"/>
          <w:i/>
          <w:sz w:val="16"/>
          <w:szCs w:val="16"/>
          <w:lang w:val="es-ES"/>
        </w:rPr>
        <w:t>.</w:t>
      </w:r>
      <w:r>
        <w:rPr>
          <w:rFonts w:ascii="Verdana" w:hAnsi="Verdana" w:cs="Verdana"/>
          <w:i/>
          <w:sz w:val="16"/>
          <w:szCs w:val="16"/>
          <w:lang w:val="es-ES"/>
        </w:rPr>
        <w:t xml:space="preserve"> Solicitud de Medidas Provisionales.</w:t>
      </w:r>
      <w:r>
        <w:rPr>
          <w:rFonts w:ascii="Verdana" w:hAnsi="Verdana" w:cs="Verdana"/>
          <w:sz w:val="16"/>
          <w:szCs w:val="16"/>
          <w:lang w:val="es-ES"/>
        </w:rPr>
        <w:t xml:space="preserve"> </w:t>
      </w:r>
      <w:r w:rsidRPr="00A60901">
        <w:rPr>
          <w:rFonts w:ascii="Verdana" w:hAnsi="Verdana" w:cs="Verdana"/>
          <w:sz w:val="16"/>
          <w:szCs w:val="16"/>
          <w:lang w:val="es-ES"/>
        </w:rPr>
        <w:t xml:space="preserve">Resolución de la Corte Interamericana de Derechos Humanos de </w:t>
      </w:r>
      <w:r>
        <w:rPr>
          <w:rFonts w:ascii="Verdana" w:hAnsi="Verdana" w:cs="Verdana"/>
          <w:sz w:val="16"/>
          <w:szCs w:val="16"/>
          <w:lang w:val="es-ES"/>
        </w:rPr>
        <w:t>8</w:t>
      </w:r>
      <w:r w:rsidRPr="00A60901">
        <w:rPr>
          <w:rFonts w:ascii="Verdana" w:hAnsi="Verdana" w:cs="Verdana"/>
          <w:sz w:val="16"/>
          <w:szCs w:val="16"/>
          <w:lang w:val="es-ES"/>
        </w:rPr>
        <w:t xml:space="preserve"> de </w:t>
      </w:r>
      <w:r>
        <w:rPr>
          <w:rFonts w:ascii="Verdana" w:hAnsi="Verdana" w:cs="Verdana"/>
          <w:sz w:val="16"/>
          <w:szCs w:val="16"/>
          <w:lang w:val="es-ES"/>
        </w:rPr>
        <w:t>febrero</w:t>
      </w:r>
      <w:r w:rsidRPr="00A60901">
        <w:rPr>
          <w:rFonts w:ascii="Verdana" w:hAnsi="Verdana" w:cs="Verdana"/>
          <w:sz w:val="16"/>
          <w:szCs w:val="16"/>
          <w:lang w:val="es-ES"/>
        </w:rPr>
        <w:t xml:space="preserve"> de 201</w:t>
      </w:r>
      <w:r>
        <w:rPr>
          <w:rFonts w:ascii="Verdana" w:hAnsi="Verdana" w:cs="Verdana"/>
          <w:sz w:val="16"/>
          <w:szCs w:val="16"/>
          <w:lang w:val="es-ES"/>
        </w:rPr>
        <w:t>8</w:t>
      </w:r>
      <w:r w:rsidRPr="00781CB7">
        <w:rPr>
          <w:rFonts w:ascii="Verdana" w:hAnsi="Verdana"/>
          <w:bCs/>
          <w:color w:val="000000"/>
          <w:sz w:val="16"/>
          <w:szCs w:val="16"/>
        </w:rPr>
        <w:t xml:space="preserve">, Considerando </w:t>
      </w:r>
      <w:r>
        <w:rPr>
          <w:rFonts w:ascii="Verdana" w:hAnsi="Verdana"/>
          <w:bCs/>
          <w:color w:val="000000"/>
          <w:sz w:val="16"/>
          <w:szCs w:val="16"/>
        </w:rPr>
        <w:t>primero</w:t>
      </w:r>
      <w:r w:rsidRPr="00781CB7">
        <w:rPr>
          <w:rFonts w:ascii="Verdana" w:hAnsi="Verdana" w:cs="Verdana"/>
          <w:sz w:val="16"/>
          <w:szCs w:val="16"/>
          <w:lang w:val="es-ES"/>
        </w:rPr>
        <w:t>.</w:t>
      </w:r>
    </w:p>
  </w:footnote>
  <w:footnote w:id="3">
    <w:p w14:paraId="41C6C8C4" w14:textId="4E6C201E" w:rsidR="00CB3608" w:rsidRPr="00417F64" w:rsidRDefault="00CB3608" w:rsidP="00953CDC">
      <w:pPr>
        <w:pStyle w:val="FootnoteText"/>
        <w:rPr>
          <w:lang w:val="es-MX"/>
        </w:rPr>
      </w:pPr>
      <w:r w:rsidRPr="00417F64">
        <w:rPr>
          <w:rStyle w:val="FootnoteReference"/>
        </w:rPr>
        <w:footnoteRef/>
      </w:r>
      <w:r w:rsidRPr="00417F64">
        <w:rPr>
          <w:lang w:val="es-MX"/>
        </w:rPr>
        <w:t xml:space="preserve"> </w:t>
      </w:r>
      <w:r w:rsidRPr="00417F64">
        <w:rPr>
          <w:lang w:val="es-MX"/>
        </w:rPr>
        <w:tab/>
      </w:r>
      <w:r w:rsidRPr="00417F64">
        <w:rPr>
          <w:i/>
          <w:lang w:val="es-MX"/>
        </w:rPr>
        <w:t xml:space="preserve">Cfr. Caso del Periódico “La Nación”. </w:t>
      </w:r>
      <w:r w:rsidRPr="00417F64">
        <w:rPr>
          <w:lang w:val="es-MX"/>
        </w:rPr>
        <w:t>Medidas Provisionales respecto de Costa Rica.</w:t>
      </w:r>
      <w:r w:rsidRPr="00417F64">
        <w:rPr>
          <w:i/>
          <w:lang w:val="es-MX"/>
        </w:rPr>
        <w:t xml:space="preserve"> </w:t>
      </w:r>
      <w:r w:rsidRPr="00417F64">
        <w:rPr>
          <w:lang w:val="es-MX"/>
        </w:rPr>
        <w:t xml:space="preserve">Resolución de la Corte Interamericana de Derechos Humanos de 7 de septiembre de 2001, Considerando </w:t>
      </w:r>
      <w:r>
        <w:rPr>
          <w:lang w:val="es-MX"/>
        </w:rPr>
        <w:t>cuarto</w:t>
      </w:r>
      <w:r w:rsidRPr="00417F64">
        <w:rPr>
          <w:lang w:val="es-MX"/>
        </w:rPr>
        <w:t xml:space="preserve">, y </w:t>
      </w:r>
      <w:r>
        <w:rPr>
          <w:i/>
          <w:lang w:val="es-MX"/>
        </w:rPr>
        <w:t>Caso Coc Max y ptrps Vs. Guatemala. Adopción de Medidas Provisionales. Resolución de la Corte Interamericana de Derechos Humanos de</w:t>
      </w:r>
      <w:r>
        <w:rPr>
          <w:lang w:val="es-MX"/>
        </w:rPr>
        <w:t xml:space="preserve"> 8</w:t>
      </w:r>
      <w:r w:rsidRPr="00417F64">
        <w:rPr>
          <w:lang w:val="es-MX"/>
        </w:rPr>
        <w:t xml:space="preserve"> de </w:t>
      </w:r>
      <w:r>
        <w:rPr>
          <w:lang w:val="es-MX"/>
        </w:rPr>
        <w:t>febrero</w:t>
      </w:r>
      <w:r w:rsidRPr="00417F64">
        <w:rPr>
          <w:lang w:val="es-MX"/>
        </w:rPr>
        <w:t xml:space="preserve"> de 201</w:t>
      </w:r>
      <w:r>
        <w:rPr>
          <w:lang w:val="es-MX"/>
        </w:rPr>
        <w:t>8</w:t>
      </w:r>
      <w:r w:rsidRPr="00417F64">
        <w:rPr>
          <w:lang w:val="es-MX"/>
        </w:rPr>
        <w:t xml:space="preserve">, Considerando </w:t>
      </w:r>
      <w:r>
        <w:rPr>
          <w:lang w:val="es-MX"/>
        </w:rPr>
        <w:t>tercero</w:t>
      </w:r>
      <w:r w:rsidRPr="00417F64">
        <w:rPr>
          <w:i/>
          <w:lang w:val="es-MX"/>
        </w:rPr>
        <w:t>.</w:t>
      </w:r>
    </w:p>
  </w:footnote>
  <w:footnote w:id="4">
    <w:p w14:paraId="0AEBEAFC" w14:textId="77777777" w:rsidR="00CB3608" w:rsidRPr="00767472" w:rsidRDefault="00CB3608" w:rsidP="0095359C">
      <w:pPr>
        <w:pStyle w:val="FootnoteText"/>
        <w:rPr>
          <w:lang w:val="es-MX"/>
        </w:rPr>
      </w:pPr>
      <w:r>
        <w:rPr>
          <w:rStyle w:val="FootnoteReference"/>
        </w:rPr>
        <w:footnoteRef/>
      </w:r>
      <w:r>
        <w:t xml:space="preserve">  </w:t>
      </w:r>
      <w:r>
        <w:tab/>
      </w:r>
      <w:r w:rsidRPr="00786693">
        <w:rPr>
          <w:i/>
          <w:lang w:val="es-MX"/>
        </w:rPr>
        <w:t xml:space="preserve">Cfr. </w:t>
      </w:r>
      <w:r>
        <w:rPr>
          <w:i/>
          <w:lang w:val="es-MX"/>
        </w:rPr>
        <w:t>Asunto Alvarado Reyes y otros respecto de México.</w:t>
      </w:r>
      <w:r w:rsidRPr="00786693">
        <w:rPr>
          <w:i/>
          <w:lang w:val="es-MX"/>
        </w:rPr>
        <w:t xml:space="preserve"> </w:t>
      </w:r>
      <w:r w:rsidRPr="00786693">
        <w:rPr>
          <w:lang w:val="es-MX"/>
        </w:rPr>
        <w:t xml:space="preserve">Medidas Provisionales. </w:t>
      </w:r>
      <w:r w:rsidRPr="00786693">
        <w:rPr>
          <w:bCs/>
          <w:lang w:val="es-MX"/>
        </w:rPr>
        <w:t xml:space="preserve">Resolución de la Corte Interamericana de Derechos Humanos </w:t>
      </w:r>
      <w:r w:rsidRPr="00786693">
        <w:rPr>
          <w:lang w:val="es-MX"/>
        </w:rPr>
        <w:t xml:space="preserve">de </w:t>
      </w:r>
      <w:r>
        <w:rPr>
          <w:lang w:val="es-MX"/>
        </w:rPr>
        <w:t xml:space="preserve">14 </w:t>
      </w:r>
      <w:r w:rsidRPr="00786693">
        <w:rPr>
          <w:lang w:val="es-MX"/>
        </w:rPr>
        <w:t>de noviembre de 2</w:t>
      </w:r>
      <w:r>
        <w:rPr>
          <w:lang w:val="es-MX"/>
        </w:rPr>
        <w:t>017, Considerando 18</w:t>
      </w:r>
      <w:r w:rsidRPr="00786693">
        <w:rPr>
          <w:lang w:val="es-MX"/>
        </w:rPr>
        <w:t xml:space="preserve">.  </w:t>
      </w:r>
    </w:p>
  </w:footnote>
  <w:footnote w:id="5">
    <w:p w14:paraId="51F77FA1" w14:textId="706DCAFF" w:rsidR="00CB3608" w:rsidRPr="00417F64" w:rsidRDefault="00CB3608" w:rsidP="009A2384">
      <w:pPr>
        <w:pStyle w:val="FootnoteText"/>
        <w:rPr>
          <w:lang w:val="es-MX"/>
        </w:rPr>
      </w:pPr>
      <w:r w:rsidRPr="00417F64">
        <w:rPr>
          <w:rStyle w:val="FootnoteReference"/>
        </w:rPr>
        <w:footnoteRef/>
      </w:r>
      <w:r w:rsidRPr="00417F64">
        <w:rPr>
          <w:lang w:val="es-MX"/>
        </w:rPr>
        <w:t xml:space="preserve"> </w:t>
      </w:r>
      <w:r w:rsidRPr="00417F64">
        <w:rPr>
          <w:lang w:val="es-MX"/>
        </w:rPr>
        <w:tab/>
      </w:r>
      <w:r w:rsidRPr="00417F64">
        <w:rPr>
          <w:i/>
          <w:lang w:val="es-MX"/>
        </w:rPr>
        <w:t xml:space="preserve">Cfr. Caso Fernández Ortega y otros Vs. México. </w:t>
      </w:r>
      <w:r w:rsidRPr="00417F64">
        <w:rPr>
          <w:lang w:val="es-MX"/>
        </w:rPr>
        <w:t xml:space="preserve">Medidas Provisionales. </w:t>
      </w:r>
      <w:r w:rsidRPr="00417F64">
        <w:rPr>
          <w:bCs/>
          <w:lang w:val="es-MX"/>
        </w:rPr>
        <w:t xml:space="preserve">Resolución de la Corte Interamericana de Derechos Humanos </w:t>
      </w:r>
      <w:r w:rsidRPr="00417F64">
        <w:rPr>
          <w:lang w:val="es-MX"/>
        </w:rPr>
        <w:t>de 23 de noviembre de 2010, Considerando 11</w:t>
      </w:r>
      <w:r>
        <w:rPr>
          <w:lang w:val="es-MX"/>
        </w:rPr>
        <w:t>, y</w:t>
      </w:r>
      <w:r w:rsidRPr="00417F64">
        <w:rPr>
          <w:lang w:val="es-MX"/>
        </w:rPr>
        <w:t xml:space="preserve"> </w:t>
      </w:r>
      <w:r w:rsidRPr="00417F64">
        <w:rPr>
          <w:i/>
          <w:lang w:val="es-CR"/>
        </w:rPr>
        <w:t xml:space="preserve">Asunto Pobladores de las Comunidades del Pueblo Indígena Miskitu de la Región Costa Caribe Norte respecto de Nicaragua. </w:t>
      </w:r>
      <w:r>
        <w:rPr>
          <w:i/>
          <w:lang w:val="es-CR"/>
        </w:rPr>
        <w:t xml:space="preserve">Ampliación de Medidas Provisionales. </w:t>
      </w:r>
      <w:r>
        <w:rPr>
          <w:lang w:val="es-CR"/>
        </w:rPr>
        <w:t xml:space="preserve">Resolución de la Corte Interamericana de Derechos Humanos de </w:t>
      </w:r>
      <w:r w:rsidRPr="00417F64">
        <w:rPr>
          <w:lang w:val="es-CR"/>
        </w:rPr>
        <w:t>2</w:t>
      </w:r>
      <w:r>
        <w:rPr>
          <w:lang w:val="es-CR"/>
        </w:rPr>
        <w:t>2</w:t>
      </w:r>
      <w:r w:rsidRPr="00417F64">
        <w:rPr>
          <w:lang w:val="es-CR"/>
        </w:rPr>
        <w:t xml:space="preserve"> de </w:t>
      </w:r>
      <w:r>
        <w:rPr>
          <w:lang w:val="es-CR"/>
        </w:rPr>
        <w:t>agosto</w:t>
      </w:r>
      <w:r w:rsidRPr="00417F64">
        <w:rPr>
          <w:lang w:val="es-CR"/>
        </w:rPr>
        <w:t xml:space="preserve"> de 201</w:t>
      </w:r>
      <w:r>
        <w:rPr>
          <w:lang w:val="es-CR"/>
        </w:rPr>
        <w:t>7</w:t>
      </w:r>
      <w:r>
        <w:rPr>
          <w:i/>
          <w:lang w:val="es-CR"/>
        </w:rPr>
        <w:t>,</w:t>
      </w:r>
      <w:r w:rsidRPr="00417F64">
        <w:rPr>
          <w:i/>
          <w:lang w:val="es-CR"/>
        </w:rPr>
        <w:t xml:space="preserve"> </w:t>
      </w:r>
      <w:r w:rsidRPr="00417F64">
        <w:rPr>
          <w:lang w:val="es-MX"/>
        </w:rPr>
        <w:t>Considerando 15.</w:t>
      </w:r>
    </w:p>
  </w:footnote>
  <w:footnote w:id="6">
    <w:p w14:paraId="4C11D5D4" w14:textId="6BF3A884" w:rsidR="00CB3608" w:rsidRPr="00417F64" w:rsidRDefault="00CB3608" w:rsidP="00837D8D">
      <w:pPr>
        <w:pStyle w:val="FootnoteText"/>
        <w:rPr>
          <w:lang w:val="es-MX"/>
        </w:rPr>
      </w:pPr>
      <w:r w:rsidRPr="00417F64">
        <w:rPr>
          <w:vertAlign w:val="superscript"/>
          <w:lang w:val="es-MX"/>
        </w:rPr>
        <w:footnoteRef/>
      </w:r>
      <w:r w:rsidRPr="00417F64">
        <w:rPr>
          <w:vertAlign w:val="superscript"/>
          <w:lang w:val="es-MX"/>
        </w:rPr>
        <w:t xml:space="preserve"> </w:t>
      </w:r>
      <w:r w:rsidRPr="00417F64">
        <w:rPr>
          <w:lang w:val="es-MX"/>
        </w:rPr>
        <w:tab/>
      </w:r>
      <w:r w:rsidRPr="00417F64">
        <w:rPr>
          <w:i/>
          <w:lang w:val="es-MX"/>
        </w:rPr>
        <w:t xml:space="preserve">Cfr. </w:t>
      </w:r>
      <w:r w:rsidRPr="00417F64">
        <w:rPr>
          <w:bCs/>
          <w:i/>
          <w:lang w:val="es-MX"/>
        </w:rPr>
        <w:t>Asunto de los niños y adolescentes privados de libertad en el "Complexo do Tatuapé” da FEBEM respecto Brasil</w:t>
      </w:r>
      <w:r w:rsidRPr="00417F64">
        <w:rPr>
          <w:bCs/>
          <w:lang w:val="es-MX"/>
        </w:rPr>
        <w:t>. Medidas Provisionales. Resolución de la Corte Interamericana de Derechos Humanos de 4 de julio de 2006</w:t>
      </w:r>
      <w:r w:rsidRPr="00417F64">
        <w:rPr>
          <w:lang w:val="es-MX"/>
        </w:rPr>
        <w:t>, Considerando 23</w:t>
      </w:r>
      <w:r>
        <w:rPr>
          <w:lang w:val="es-MX"/>
        </w:rPr>
        <w:t>,</w:t>
      </w:r>
      <w:r w:rsidRPr="00417F64">
        <w:rPr>
          <w:lang w:val="es-MX"/>
        </w:rPr>
        <w:t xml:space="preserve"> y </w:t>
      </w:r>
      <w:r w:rsidRPr="00417F64">
        <w:rPr>
          <w:i/>
          <w:lang w:val="es-MX"/>
        </w:rPr>
        <w:t xml:space="preserve">Asunto </w:t>
      </w:r>
      <w:r>
        <w:rPr>
          <w:i/>
          <w:lang w:val="es-MX"/>
        </w:rPr>
        <w:t xml:space="preserve">Pobladores de las Comunidades del Pueblo Indígena Miskitu de la Región Costa Caribe Norte respecto de Nicaragua, supra, </w:t>
      </w:r>
      <w:r w:rsidRPr="00417F64">
        <w:rPr>
          <w:lang w:val="es-MX"/>
        </w:rPr>
        <w:t>Considerando 1</w:t>
      </w:r>
      <w:r>
        <w:rPr>
          <w:lang w:val="es-MX"/>
        </w:rPr>
        <w:t>5</w:t>
      </w:r>
      <w:r w:rsidRPr="00417F64">
        <w:rPr>
          <w:lang w:val="es-MX"/>
        </w:rPr>
        <w:t xml:space="preserve">. </w:t>
      </w:r>
    </w:p>
  </w:footnote>
  <w:footnote w:id="7">
    <w:p w14:paraId="13576297" w14:textId="7FD635CB" w:rsidR="00CB3608" w:rsidRPr="00C75287" w:rsidRDefault="00CB3608" w:rsidP="00536ABB">
      <w:pPr>
        <w:pStyle w:val="FootnoteText"/>
        <w:rPr>
          <w:rFonts w:cs="Arial"/>
          <w:lang w:val="es-MX" w:eastAsia="ja-JP"/>
        </w:rPr>
      </w:pPr>
      <w:r>
        <w:rPr>
          <w:rStyle w:val="FootnoteReference"/>
        </w:rPr>
        <w:footnoteRef/>
      </w:r>
      <w:r w:rsidRPr="0086415E">
        <w:rPr>
          <w:lang w:val="es-MX"/>
        </w:rPr>
        <w:t xml:space="preserve"> </w:t>
      </w:r>
      <w:r w:rsidRPr="0086415E">
        <w:rPr>
          <w:lang w:val="es-MX"/>
        </w:rPr>
        <w:tab/>
      </w:r>
      <w:r w:rsidRPr="0086415E">
        <w:rPr>
          <w:i/>
          <w:lang w:val="es-MX"/>
        </w:rPr>
        <w:t xml:space="preserve">Cfr. </w:t>
      </w:r>
      <w:r w:rsidRPr="0086415E">
        <w:rPr>
          <w:lang w:val="es-MX"/>
        </w:rPr>
        <w:t xml:space="preserve">CIDH, Informe </w:t>
      </w:r>
      <w:r>
        <w:rPr>
          <w:lang w:val="es-MX"/>
        </w:rPr>
        <w:t xml:space="preserve">No. </w:t>
      </w:r>
      <w:r w:rsidRPr="0086415E">
        <w:rPr>
          <w:lang w:val="es-MX"/>
        </w:rPr>
        <w:t xml:space="preserve">3/16, Caso 12.916. </w:t>
      </w:r>
      <w:r>
        <w:rPr>
          <w:lang w:val="es-MX"/>
        </w:rPr>
        <w:t xml:space="preserve">Informe de </w:t>
      </w:r>
      <w:r w:rsidRPr="0086415E">
        <w:rPr>
          <w:lang w:val="es-MX"/>
        </w:rPr>
        <w:t>Fondo. Nitza Paola Alvarado Espinoza, Rocío Irene Alvarado Reyes, José Ángel Alvarado Herrera y otros. M</w:t>
      </w:r>
      <w:r w:rsidRPr="00C75287">
        <w:rPr>
          <w:rFonts w:eastAsia="Calibri" w:cs="Arial"/>
          <w:lang w:val="es-MX" w:eastAsia="ja-JP"/>
        </w:rPr>
        <w:t>éxico. 13 de abril de 2016, párr. 62.</w:t>
      </w:r>
    </w:p>
  </w:footnote>
  <w:footnote w:id="8">
    <w:p w14:paraId="153F0BA6" w14:textId="7D94C417" w:rsidR="00CB3608" w:rsidRPr="00603708" w:rsidRDefault="00CB3608">
      <w:pPr>
        <w:pStyle w:val="FootnoteText"/>
      </w:pPr>
      <w:r>
        <w:rPr>
          <w:rStyle w:val="FootnoteReference"/>
        </w:rPr>
        <w:footnoteRef/>
      </w:r>
      <w:r>
        <w:t xml:space="preserve"> </w:t>
      </w:r>
      <w:r>
        <w:tab/>
        <w:t>Dichas medidas fueron adoptadas e</w:t>
      </w:r>
      <w:r w:rsidRPr="00603708">
        <w:t>l 26 de mayo de 2010 y reiteradas el 26 de noviembre de 2010, 15 de mayo de 2011, 23 de noviembre de 2012, 23 de junio de 201</w:t>
      </w:r>
      <w:r>
        <w:t>5.</w:t>
      </w:r>
    </w:p>
  </w:footnote>
  <w:footnote w:id="9">
    <w:p w14:paraId="59433696" w14:textId="7AE25B4D" w:rsidR="00CB3608" w:rsidRPr="00C75287" w:rsidRDefault="00CB3608">
      <w:pPr>
        <w:pStyle w:val="FootnoteText"/>
        <w:rPr>
          <w:lang w:val="es-MX"/>
        </w:rPr>
      </w:pPr>
      <w:r>
        <w:rPr>
          <w:rStyle w:val="FootnoteReference"/>
        </w:rPr>
        <w:footnoteRef/>
      </w:r>
      <w:r>
        <w:t xml:space="preserve"> </w:t>
      </w:r>
      <w:r>
        <w:tab/>
      </w:r>
      <w:r>
        <w:rPr>
          <w:i/>
        </w:rPr>
        <w:t xml:space="preserve">Cfr. </w:t>
      </w:r>
      <w:r w:rsidRPr="00C75287">
        <w:rPr>
          <w:i/>
        </w:rPr>
        <w:t>Asunto de la Unidad de Internación Socioeducativa respecto de Brasil. Medidas Provisionales.</w:t>
      </w:r>
      <w:r>
        <w:t xml:space="preserve"> </w:t>
      </w:r>
      <w:r w:rsidRPr="00536ABB">
        <w:t>Resolución de la Corte Interamer</w:t>
      </w:r>
      <w:r>
        <w:t xml:space="preserve">icana de Derechos Humanos de </w:t>
      </w:r>
      <w:r w:rsidRPr="00536ABB">
        <w:t>1 de septiembre de 2011</w:t>
      </w:r>
      <w:r>
        <w:t>, Considerando 19</w:t>
      </w:r>
      <w:r w:rsidRPr="00536AB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7E1DD" w14:textId="77777777" w:rsidR="00CB3608" w:rsidRPr="00CE180F" w:rsidRDefault="00CB3608">
    <w:pPr>
      <w:pStyle w:val="Header"/>
      <w:jc w:val="center"/>
      <w:rPr>
        <w:rFonts w:ascii="Verdana" w:hAnsi="Verdana"/>
        <w:sz w:val="20"/>
        <w:szCs w:val="20"/>
      </w:rPr>
    </w:pPr>
    <w:r w:rsidRPr="00CE180F">
      <w:rPr>
        <w:rFonts w:ascii="Verdana" w:hAnsi="Verdana"/>
        <w:sz w:val="20"/>
        <w:szCs w:val="20"/>
      </w:rPr>
      <w:fldChar w:fldCharType="begin"/>
    </w:r>
    <w:r w:rsidRPr="00CE180F">
      <w:rPr>
        <w:rFonts w:ascii="Verdana" w:hAnsi="Verdana"/>
        <w:sz w:val="20"/>
        <w:szCs w:val="20"/>
      </w:rPr>
      <w:instrText xml:space="preserve"> PAGE   \* MERGEFORMAT </w:instrText>
    </w:r>
    <w:r w:rsidRPr="00CE180F">
      <w:rPr>
        <w:rFonts w:ascii="Verdana" w:hAnsi="Verdana"/>
        <w:sz w:val="20"/>
        <w:szCs w:val="20"/>
      </w:rPr>
      <w:fldChar w:fldCharType="separate"/>
    </w:r>
    <w:r w:rsidR="001838C8">
      <w:rPr>
        <w:rFonts w:ascii="Verdana" w:hAnsi="Verdana"/>
        <w:noProof/>
        <w:sz w:val="20"/>
        <w:szCs w:val="20"/>
      </w:rPr>
      <w:t>2</w:t>
    </w:r>
    <w:r w:rsidRPr="00CE180F">
      <w:rPr>
        <w:rFonts w:ascii="Verdana" w:hAnsi="Verdana"/>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E04"/>
    <w:multiLevelType w:val="hybridMultilevel"/>
    <w:tmpl w:val="79949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AA7785"/>
    <w:multiLevelType w:val="hybridMultilevel"/>
    <w:tmpl w:val="A70AC010"/>
    <w:lvl w:ilvl="0" w:tplc="95127E5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nsid w:val="0E2F4DAE"/>
    <w:multiLevelType w:val="hybridMultilevel"/>
    <w:tmpl w:val="AD6A3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E4073A"/>
    <w:multiLevelType w:val="hybridMultilevel"/>
    <w:tmpl w:val="A70AC010"/>
    <w:lvl w:ilvl="0" w:tplc="95127E5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12A45687"/>
    <w:multiLevelType w:val="hybridMultilevel"/>
    <w:tmpl w:val="D7B84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D6C3B"/>
    <w:multiLevelType w:val="hybridMultilevel"/>
    <w:tmpl w:val="B858B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85631"/>
    <w:multiLevelType w:val="hybridMultilevel"/>
    <w:tmpl w:val="5BFC5796"/>
    <w:lvl w:ilvl="0" w:tplc="6F9C2AE8">
      <w:start w:val="1"/>
      <w:numFmt w:val="low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20DC44E3"/>
    <w:multiLevelType w:val="hybridMultilevel"/>
    <w:tmpl w:val="060E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02155"/>
    <w:multiLevelType w:val="hybridMultilevel"/>
    <w:tmpl w:val="8040BF2A"/>
    <w:lvl w:ilvl="0" w:tplc="5EC2D30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D428C"/>
    <w:multiLevelType w:val="hybridMultilevel"/>
    <w:tmpl w:val="6FB03296"/>
    <w:lvl w:ilvl="0" w:tplc="68E6A6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B1C00"/>
    <w:multiLevelType w:val="hybridMultilevel"/>
    <w:tmpl w:val="CEEE371E"/>
    <w:lvl w:ilvl="0" w:tplc="1EBEC7FE">
      <w:start w:val="1"/>
      <w:numFmt w:val="decimal"/>
      <w:lvlText w:val="%1."/>
      <w:lvlJc w:val="left"/>
      <w:pPr>
        <w:ind w:left="720" w:hanging="720"/>
      </w:pPr>
      <w:rPr>
        <w:rFonts w:ascii="Verdana" w:hAnsi="Verdan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67FB9"/>
    <w:multiLevelType w:val="hybridMultilevel"/>
    <w:tmpl w:val="609CA41C"/>
    <w:lvl w:ilvl="0" w:tplc="12E67A8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B54B4"/>
    <w:multiLevelType w:val="hybridMultilevel"/>
    <w:tmpl w:val="9F04EBB6"/>
    <w:lvl w:ilvl="0" w:tplc="D990E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41ED6"/>
    <w:multiLevelType w:val="hybridMultilevel"/>
    <w:tmpl w:val="3200B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0024DE"/>
    <w:multiLevelType w:val="hybridMultilevel"/>
    <w:tmpl w:val="EB802A6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4057019"/>
    <w:multiLevelType w:val="hybridMultilevel"/>
    <w:tmpl w:val="1570E712"/>
    <w:lvl w:ilvl="0" w:tplc="C4300E4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nsid w:val="380564A0"/>
    <w:multiLevelType w:val="hybridMultilevel"/>
    <w:tmpl w:val="5BFC5796"/>
    <w:lvl w:ilvl="0" w:tplc="6F9C2AE8">
      <w:start w:val="1"/>
      <w:numFmt w:val="low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nsid w:val="4154738F"/>
    <w:multiLevelType w:val="hybridMultilevel"/>
    <w:tmpl w:val="FDC2844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nsid w:val="44082E19"/>
    <w:multiLevelType w:val="hybridMultilevel"/>
    <w:tmpl w:val="4F6AFFC8"/>
    <w:lvl w:ilvl="0" w:tplc="1EBEC7FE">
      <w:start w:val="1"/>
      <w:numFmt w:val="decimal"/>
      <w:lvlText w:val="%1."/>
      <w:lvlJc w:val="left"/>
      <w:pPr>
        <w:ind w:left="1440" w:hanging="720"/>
      </w:pPr>
      <w:rPr>
        <w:rFonts w:ascii="Verdana" w:hAnsi="Verdana"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9A347F"/>
    <w:multiLevelType w:val="hybridMultilevel"/>
    <w:tmpl w:val="F146CDB6"/>
    <w:lvl w:ilvl="0" w:tplc="664256CA">
      <w:start w:val="1"/>
      <w:numFmt w:val="upperLetter"/>
      <w:lvlText w:val="%1."/>
      <w:lvlJc w:val="left"/>
      <w:pPr>
        <w:ind w:left="360" w:hanging="360"/>
      </w:pPr>
      <w:rPr>
        <w:rFonts w:hint="default"/>
        <w:i/>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nsid w:val="482B62FA"/>
    <w:multiLevelType w:val="hybridMultilevel"/>
    <w:tmpl w:val="C5CCAD2E"/>
    <w:lvl w:ilvl="0" w:tplc="557A8916">
      <w:start w:val="9"/>
      <w:numFmt w:val="decimal"/>
      <w:lvlText w:val="%1."/>
      <w:lvlJc w:val="left"/>
      <w:pPr>
        <w:tabs>
          <w:tab w:val="num" w:pos="450"/>
        </w:tabs>
        <w:ind w:left="0" w:firstLine="0"/>
      </w:pPr>
      <w:rPr>
        <w:rFonts w:hint="default"/>
        <w:b w:val="0"/>
        <w:strike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B4E33"/>
    <w:multiLevelType w:val="hybridMultilevel"/>
    <w:tmpl w:val="DC845060"/>
    <w:lvl w:ilvl="0" w:tplc="0106AAE0">
      <w:start w:val="1"/>
      <w:numFmt w:val="lowerLetter"/>
      <w:lvlText w:val="%1)"/>
      <w:lvlJc w:val="left"/>
      <w:pPr>
        <w:ind w:left="1080" w:hanging="360"/>
      </w:pPr>
      <w:rPr>
        <w:rFonts w:ascii="Verdana" w:hAnsi="Verdana" w:cs="Verdana" w:hint="default"/>
        <w:b w:val="0"/>
        <w:sz w:val="20"/>
        <w:szCs w:val="20"/>
      </w:rPr>
    </w:lvl>
    <w:lvl w:ilvl="1" w:tplc="2EC48844">
      <w:start w:val="1"/>
      <w:numFmt w:val="decimal"/>
      <w:lvlText w:val="%2."/>
      <w:lvlJc w:val="left"/>
      <w:pPr>
        <w:tabs>
          <w:tab w:val="num" w:pos="450"/>
        </w:tabs>
      </w:pPr>
      <w:rPr>
        <w:rFonts w:hint="default"/>
        <w:b w:val="0"/>
        <w:sz w:val="20"/>
        <w:szCs w:val="20"/>
      </w:rPr>
    </w:lvl>
    <w:lvl w:ilvl="2" w:tplc="B96C1A40">
      <w:start w:val="1"/>
      <w:numFmt w:val="lowerLetter"/>
      <w:lvlText w:val="%3)"/>
      <w:lvlJc w:val="left"/>
      <w:pPr>
        <w:ind w:left="2700" w:hanging="360"/>
      </w:pPr>
      <w:rPr>
        <w:rFonts w:ascii="Verdana" w:hAnsi="Verdana" w:cs="Verdana" w:hint="default"/>
        <w:b w:val="0"/>
        <w:sz w:val="20"/>
        <w:szCs w:val="20"/>
      </w:r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2">
    <w:nsid w:val="524018A6"/>
    <w:multiLevelType w:val="hybridMultilevel"/>
    <w:tmpl w:val="7D965162"/>
    <w:lvl w:ilvl="0" w:tplc="95127E5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nsid w:val="527E72E5"/>
    <w:multiLevelType w:val="hybridMultilevel"/>
    <w:tmpl w:val="880A4D4C"/>
    <w:lvl w:ilvl="0" w:tplc="849CD9DC">
      <w:start w:val="1"/>
      <w:numFmt w:val="decimal"/>
      <w:lvlText w:val="%1."/>
      <w:lvlJc w:val="left"/>
      <w:pPr>
        <w:ind w:left="705" w:hanging="7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5B936DAF"/>
    <w:multiLevelType w:val="hybridMultilevel"/>
    <w:tmpl w:val="FC3297E4"/>
    <w:lvl w:ilvl="0" w:tplc="9B1E4EDA">
      <w:start w:val="1"/>
      <w:numFmt w:val="decimal"/>
      <w:lvlText w:val="%1."/>
      <w:lvlJc w:val="left"/>
      <w:pPr>
        <w:ind w:left="12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CD40139"/>
    <w:multiLevelType w:val="hybridMultilevel"/>
    <w:tmpl w:val="0EB0C392"/>
    <w:lvl w:ilvl="0" w:tplc="9E62A57C">
      <w:start w:val="1"/>
      <w:numFmt w:val="decimal"/>
      <w:lvlText w:val="%1."/>
      <w:lvlJc w:val="left"/>
      <w:pPr>
        <w:ind w:left="862"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E6053A1"/>
    <w:multiLevelType w:val="hybridMultilevel"/>
    <w:tmpl w:val="2548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D6ECD"/>
    <w:multiLevelType w:val="hybridMultilevel"/>
    <w:tmpl w:val="C9487366"/>
    <w:lvl w:ilvl="0" w:tplc="FE7EEBC4">
      <w:start w:val="1"/>
      <w:numFmt w:val="lowerLetter"/>
      <w:lvlText w:val="%1)"/>
      <w:lvlJc w:val="left"/>
      <w:pPr>
        <w:ind w:left="1080" w:hanging="360"/>
      </w:pPr>
      <w:rPr>
        <w:rFonts w:ascii="Verdana" w:hAnsi="Verdana" w:cs="Verdana" w:hint="default"/>
        <w:sz w:val="20"/>
        <w:szCs w:val="20"/>
      </w:rPr>
    </w:lvl>
    <w:lvl w:ilvl="1" w:tplc="8DB26C0C">
      <w:start w:val="1"/>
      <w:numFmt w:val="decimal"/>
      <w:lvlText w:val="%2."/>
      <w:lvlJc w:val="left"/>
      <w:pPr>
        <w:tabs>
          <w:tab w:val="num" w:pos="450"/>
        </w:tabs>
      </w:pPr>
      <w:rPr>
        <w:rFonts w:hint="default"/>
        <w:b w:val="0"/>
        <w:strike w:val="0"/>
        <w:sz w:val="20"/>
        <w:szCs w:val="20"/>
      </w:rPr>
    </w:lvl>
    <w:lvl w:ilvl="2" w:tplc="B96C1A40">
      <w:start w:val="1"/>
      <w:numFmt w:val="lowerLetter"/>
      <w:lvlText w:val="%3)"/>
      <w:lvlJc w:val="left"/>
      <w:pPr>
        <w:ind w:left="2700" w:hanging="360"/>
      </w:pPr>
      <w:rPr>
        <w:rFonts w:ascii="Verdana" w:hAnsi="Verdana" w:cs="Verdana" w:hint="default"/>
        <w:b w:val="0"/>
        <w:sz w:val="20"/>
        <w:szCs w:val="20"/>
      </w:r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8">
    <w:nsid w:val="723F2EE1"/>
    <w:multiLevelType w:val="hybridMultilevel"/>
    <w:tmpl w:val="5BFC5796"/>
    <w:lvl w:ilvl="0" w:tplc="6F9C2AE8">
      <w:start w:val="1"/>
      <w:numFmt w:val="low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nsid w:val="733043A0"/>
    <w:multiLevelType w:val="hybridMultilevel"/>
    <w:tmpl w:val="A70AC010"/>
    <w:lvl w:ilvl="0" w:tplc="95127E5E">
      <w:start w:val="1"/>
      <w:numFmt w:val="lowerLetter"/>
      <w:lvlText w:val="%1)"/>
      <w:lvlJc w:val="left"/>
      <w:pPr>
        <w:ind w:left="360"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nsid w:val="744010E1"/>
    <w:multiLevelType w:val="hybridMultilevel"/>
    <w:tmpl w:val="7F30DBD2"/>
    <w:lvl w:ilvl="0" w:tplc="C520F6C4">
      <w:start w:val="1"/>
      <w:numFmt w:val="decimal"/>
      <w:lvlText w:val="%1."/>
      <w:lvlJc w:val="left"/>
      <w:pPr>
        <w:tabs>
          <w:tab w:val="num" w:pos="1068"/>
        </w:tabs>
        <w:ind w:left="1068" w:hanging="360"/>
      </w:pPr>
      <w:rPr>
        <w:rFonts w:ascii="Verdana" w:hAnsi="Verdana" w:hint="default"/>
        <w:b w:val="0"/>
        <w:i w:val="0"/>
        <w:sz w:val="20"/>
        <w:lang w:val="es-ES"/>
      </w:rPr>
    </w:lvl>
    <w:lvl w:ilvl="1" w:tplc="0409000F">
      <w:start w:val="1"/>
      <w:numFmt w:val="decimal"/>
      <w:lvlText w:val="%2."/>
      <w:lvlJc w:val="left"/>
      <w:pPr>
        <w:tabs>
          <w:tab w:val="num" w:pos="2148"/>
        </w:tabs>
        <w:ind w:left="2148" w:hanging="360"/>
      </w:pPr>
      <w:rPr>
        <w:b w:val="0"/>
      </w:rPr>
    </w:lvl>
    <w:lvl w:ilvl="2" w:tplc="92DEE256">
      <w:start w:val="1"/>
      <w:numFmt w:val="lowerLetter"/>
      <w:lvlText w:val="%3."/>
      <w:lvlJc w:val="left"/>
      <w:pPr>
        <w:tabs>
          <w:tab w:val="num" w:pos="3048"/>
        </w:tabs>
        <w:ind w:left="3048" w:hanging="360"/>
      </w:pPr>
    </w:lvl>
    <w:lvl w:ilvl="3" w:tplc="A9E0C762">
      <w:start w:val="1"/>
      <w:numFmt w:val="lowerLetter"/>
      <w:lvlText w:val="%4)"/>
      <w:lvlJc w:val="left"/>
      <w:pPr>
        <w:tabs>
          <w:tab w:val="num" w:pos="2148"/>
        </w:tabs>
        <w:ind w:left="214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31">
    <w:nsid w:val="78BA5142"/>
    <w:multiLevelType w:val="hybridMultilevel"/>
    <w:tmpl w:val="3B162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734908"/>
    <w:multiLevelType w:val="hybridMultilevel"/>
    <w:tmpl w:val="4484E3C6"/>
    <w:lvl w:ilvl="0" w:tplc="BBAE747E">
      <w:start w:val="1"/>
      <w:numFmt w:val="decimal"/>
      <w:lvlText w:val="%1."/>
      <w:lvlJc w:val="left"/>
      <w:pPr>
        <w:ind w:left="108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24"/>
  </w:num>
  <w:num w:numId="4">
    <w:abstractNumId w:val="15"/>
  </w:num>
  <w:num w:numId="5">
    <w:abstractNumId w:val="16"/>
  </w:num>
  <w:num w:numId="6">
    <w:abstractNumId w:val="3"/>
  </w:num>
  <w:num w:numId="7">
    <w:abstractNumId w:val="13"/>
  </w:num>
  <w:num w:numId="8">
    <w:abstractNumId w:val="20"/>
  </w:num>
  <w:num w:numId="9">
    <w:abstractNumId w:val="11"/>
  </w:num>
  <w:num w:numId="10">
    <w:abstractNumId w:val="21"/>
  </w:num>
  <w:num w:numId="11">
    <w:abstractNumId w:val="22"/>
  </w:num>
  <w:num w:numId="12">
    <w:abstractNumId w:val="29"/>
  </w:num>
  <w:num w:numId="13">
    <w:abstractNumId w:val="6"/>
  </w:num>
  <w:num w:numId="14">
    <w:abstractNumId w:val="28"/>
  </w:num>
  <w:num w:numId="15">
    <w:abstractNumId w:val="1"/>
  </w:num>
  <w:num w:numId="16">
    <w:abstractNumId w:val="4"/>
  </w:num>
  <w:num w:numId="17">
    <w:abstractNumId w:val="0"/>
  </w:num>
  <w:num w:numId="18">
    <w:abstractNumId w:val="9"/>
  </w:num>
  <w:num w:numId="19">
    <w:abstractNumId w:val="10"/>
  </w:num>
  <w:num w:numId="20">
    <w:abstractNumId w:val="12"/>
  </w:num>
  <w:num w:numId="21">
    <w:abstractNumId w:val="19"/>
  </w:num>
  <w:num w:numId="22">
    <w:abstractNumId w:val="32"/>
  </w:num>
  <w:num w:numId="23">
    <w:abstractNumId w:val="8"/>
  </w:num>
  <w:num w:numId="24">
    <w:abstractNumId w:val="31"/>
  </w:num>
  <w:num w:numId="25">
    <w:abstractNumId w:val="2"/>
  </w:num>
  <w:num w:numId="26">
    <w:abstractNumId w:val="5"/>
  </w:num>
  <w:num w:numId="27">
    <w:abstractNumId w:val="18"/>
  </w:num>
  <w:num w:numId="28">
    <w:abstractNumId w:val="17"/>
  </w:num>
  <w:num w:numId="29">
    <w:abstractNumId w:val="14"/>
  </w:num>
  <w:num w:numId="30">
    <w:abstractNumId w:val="26"/>
  </w:num>
  <w:num w:numId="31">
    <w:abstractNumId w:val="30"/>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8"/>
    <w:rsid w:val="000105F5"/>
    <w:rsid w:val="00010CA5"/>
    <w:rsid w:val="00011104"/>
    <w:rsid w:val="00015FFD"/>
    <w:rsid w:val="00017163"/>
    <w:rsid w:val="0002018C"/>
    <w:rsid w:val="000211C7"/>
    <w:rsid w:val="00022061"/>
    <w:rsid w:val="00023440"/>
    <w:rsid w:val="0002400B"/>
    <w:rsid w:val="00024FA3"/>
    <w:rsid w:val="000301A2"/>
    <w:rsid w:val="000310A0"/>
    <w:rsid w:val="0003328F"/>
    <w:rsid w:val="000335D2"/>
    <w:rsid w:val="000363BE"/>
    <w:rsid w:val="00041C22"/>
    <w:rsid w:val="00041C6F"/>
    <w:rsid w:val="00042800"/>
    <w:rsid w:val="00042B1D"/>
    <w:rsid w:val="000435B9"/>
    <w:rsid w:val="00044423"/>
    <w:rsid w:val="000464E9"/>
    <w:rsid w:val="0004726D"/>
    <w:rsid w:val="00052046"/>
    <w:rsid w:val="00052974"/>
    <w:rsid w:val="00053EC6"/>
    <w:rsid w:val="0005405F"/>
    <w:rsid w:val="00055EC1"/>
    <w:rsid w:val="000567B5"/>
    <w:rsid w:val="00056B84"/>
    <w:rsid w:val="00056BDF"/>
    <w:rsid w:val="0006071B"/>
    <w:rsid w:val="000610DC"/>
    <w:rsid w:val="00062020"/>
    <w:rsid w:val="0006474D"/>
    <w:rsid w:val="00064C8B"/>
    <w:rsid w:val="000655D3"/>
    <w:rsid w:val="0006695B"/>
    <w:rsid w:val="00066ED6"/>
    <w:rsid w:val="00071CAD"/>
    <w:rsid w:val="000750E5"/>
    <w:rsid w:val="00075AC5"/>
    <w:rsid w:val="00083EB9"/>
    <w:rsid w:val="000854BC"/>
    <w:rsid w:val="00090617"/>
    <w:rsid w:val="00092C97"/>
    <w:rsid w:val="00092F10"/>
    <w:rsid w:val="00094746"/>
    <w:rsid w:val="00094C0A"/>
    <w:rsid w:val="00097CD8"/>
    <w:rsid w:val="000A0D6D"/>
    <w:rsid w:val="000A28A5"/>
    <w:rsid w:val="000A3EC4"/>
    <w:rsid w:val="000A5E0B"/>
    <w:rsid w:val="000A5FF8"/>
    <w:rsid w:val="000A6D9C"/>
    <w:rsid w:val="000B21F2"/>
    <w:rsid w:val="000B26B7"/>
    <w:rsid w:val="000B3CF0"/>
    <w:rsid w:val="000C2DE6"/>
    <w:rsid w:val="000D19F9"/>
    <w:rsid w:val="000D3714"/>
    <w:rsid w:val="000D4128"/>
    <w:rsid w:val="000D4E6A"/>
    <w:rsid w:val="000D5ED9"/>
    <w:rsid w:val="000D6D52"/>
    <w:rsid w:val="000E319D"/>
    <w:rsid w:val="000E5614"/>
    <w:rsid w:val="000E64FA"/>
    <w:rsid w:val="000E653E"/>
    <w:rsid w:val="000E7407"/>
    <w:rsid w:val="000E78C8"/>
    <w:rsid w:val="000F06B4"/>
    <w:rsid w:val="000F128A"/>
    <w:rsid w:val="000F62B1"/>
    <w:rsid w:val="000F6D2F"/>
    <w:rsid w:val="000F6DA1"/>
    <w:rsid w:val="000F73E0"/>
    <w:rsid w:val="000F7B93"/>
    <w:rsid w:val="00101E53"/>
    <w:rsid w:val="00102D73"/>
    <w:rsid w:val="001035AE"/>
    <w:rsid w:val="001056E8"/>
    <w:rsid w:val="00106837"/>
    <w:rsid w:val="001100F3"/>
    <w:rsid w:val="00111801"/>
    <w:rsid w:val="00113178"/>
    <w:rsid w:val="00114B1C"/>
    <w:rsid w:val="00114F8B"/>
    <w:rsid w:val="001171FC"/>
    <w:rsid w:val="0011758C"/>
    <w:rsid w:val="00121865"/>
    <w:rsid w:val="00122183"/>
    <w:rsid w:val="00123927"/>
    <w:rsid w:val="00124FC1"/>
    <w:rsid w:val="0012609C"/>
    <w:rsid w:val="0012643B"/>
    <w:rsid w:val="001264DA"/>
    <w:rsid w:val="0013209B"/>
    <w:rsid w:val="00133A89"/>
    <w:rsid w:val="00134A6B"/>
    <w:rsid w:val="00141AE3"/>
    <w:rsid w:val="00142C8E"/>
    <w:rsid w:val="001436F9"/>
    <w:rsid w:val="00143765"/>
    <w:rsid w:val="00145CE6"/>
    <w:rsid w:val="00147940"/>
    <w:rsid w:val="00155271"/>
    <w:rsid w:val="00155401"/>
    <w:rsid w:val="00157462"/>
    <w:rsid w:val="00157888"/>
    <w:rsid w:val="00160B61"/>
    <w:rsid w:val="00162CF1"/>
    <w:rsid w:val="001630B6"/>
    <w:rsid w:val="0016614A"/>
    <w:rsid w:val="00166E30"/>
    <w:rsid w:val="00167C84"/>
    <w:rsid w:val="00172FB1"/>
    <w:rsid w:val="0017357B"/>
    <w:rsid w:val="00173636"/>
    <w:rsid w:val="00173B89"/>
    <w:rsid w:val="001761A4"/>
    <w:rsid w:val="00177A87"/>
    <w:rsid w:val="0018033D"/>
    <w:rsid w:val="00180651"/>
    <w:rsid w:val="001832C8"/>
    <w:rsid w:val="00183811"/>
    <w:rsid w:val="001838C8"/>
    <w:rsid w:val="00187B42"/>
    <w:rsid w:val="00190FE5"/>
    <w:rsid w:val="00191C24"/>
    <w:rsid w:val="00193918"/>
    <w:rsid w:val="00197BF4"/>
    <w:rsid w:val="001A0185"/>
    <w:rsid w:val="001A1221"/>
    <w:rsid w:val="001A290B"/>
    <w:rsid w:val="001A58BE"/>
    <w:rsid w:val="001A5955"/>
    <w:rsid w:val="001A5A3C"/>
    <w:rsid w:val="001A7946"/>
    <w:rsid w:val="001B3978"/>
    <w:rsid w:val="001B5E77"/>
    <w:rsid w:val="001C3D8C"/>
    <w:rsid w:val="001C57C7"/>
    <w:rsid w:val="001C6073"/>
    <w:rsid w:val="001C6235"/>
    <w:rsid w:val="001C62EB"/>
    <w:rsid w:val="001D0726"/>
    <w:rsid w:val="001D2F13"/>
    <w:rsid w:val="001D45D5"/>
    <w:rsid w:val="001D52F4"/>
    <w:rsid w:val="001D5627"/>
    <w:rsid w:val="001D6287"/>
    <w:rsid w:val="001D6C0C"/>
    <w:rsid w:val="001D7500"/>
    <w:rsid w:val="001E2E39"/>
    <w:rsid w:val="001E37BA"/>
    <w:rsid w:val="001E430D"/>
    <w:rsid w:val="001E552A"/>
    <w:rsid w:val="001F371E"/>
    <w:rsid w:val="001F3C9E"/>
    <w:rsid w:val="00200B77"/>
    <w:rsid w:val="00204353"/>
    <w:rsid w:val="0020671A"/>
    <w:rsid w:val="00211A11"/>
    <w:rsid w:val="002145D9"/>
    <w:rsid w:val="00214D88"/>
    <w:rsid w:val="00215446"/>
    <w:rsid w:val="0021598F"/>
    <w:rsid w:val="00220F22"/>
    <w:rsid w:val="00221E74"/>
    <w:rsid w:val="00223845"/>
    <w:rsid w:val="0022462A"/>
    <w:rsid w:val="00224D8E"/>
    <w:rsid w:val="00226BFE"/>
    <w:rsid w:val="0023091A"/>
    <w:rsid w:val="0023192A"/>
    <w:rsid w:val="002320ED"/>
    <w:rsid w:val="002325A0"/>
    <w:rsid w:val="0023359F"/>
    <w:rsid w:val="0023391B"/>
    <w:rsid w:val="00235DC9"/>
    <w:rsid w:val="00240727"/>
    <w:rsid w:val="00241D62"/>
    <w:rsid w:val="0024367C"/>
    <w:rsid w:val="00243715"/>
    <w:rsid w:val="00243F7F"/>
    <w:rsid w:val="00245A89"/>
    <w:rsid w:val="002464FD"/>
    <w:rsid w:val="00250D2B"/>
    <w:rsid w:val="00253180"/>
    <w:rsid w:val="002536A2"/>
    <w:rsid w:val="00256E43"/>
    <w:rsid w:val="00260719"/>
    <w:rsid w:val="00262481"/>
    <w:rsid w:val="0026420E"/>
    <w:rsid w:val="002671D9"/>
    <w:rsid w:val="00271729"/>
    <w:rsid w:val="00275028"/>
    <w:rsid w:val="00276DB2"/>
    <w:rsid w:val="00282A85"/>
    <w:rsid w:val="002836DC"/>
    <w:rsid w:val="002843B6"/>
    <w:rsid w:val="002863F6"/>
    <w:rsid w:val="002902B9"/>
    <w:rsid w:val="002911CB"/>
    <w:rsid w:val="00292083"/>
    <w:rsid w:val="00295B96"/>
    <w:rsid w:val="00297158"/>
    <w:rsid w:val="002A03D6"/>
    <w:rsid w:val="002A0F65"/>
    <w:rsid w:val="002A3E88"/>
    <w:rsid w:val="002A402B"/>
    <w:rsid w:val="002A433C"/>
    <w:rsid w:val="002A635C"/>
    <w:rsid w:val="002B18DF"/>
    <w:rsid w:val="002B2337"/>
    <w:rsid w:val="002B4F47"/>
    <w:rsid w:val="002B51F4"/>
    <w:rsid w:val="002B520A"/>
    <w:rsid w:val="002B534A"/>
    <w:rsid w:val="002B7A0B"/>
    <w:rsid w:val="002B7A38"/>
    <w:rsid w:val="002B7D5B"/>
    <w:rsid w:val="002C34F6"/>
    <w:rsid w:val="002C3898"/>
    <w:rsid w:val="002C5279"/>
    <w:rsid w:val="002C7F9C"/>
    <w:rsid w:val="002D1AB3"/>
    <w:rsid w:val="002D1D93"/>
    <w:rsid w:val="002D2F60"/>
    <w:rsid w:val="002D4462"/>
    <w:rsid w:val="002D5C12"/>
    <w:rsid w:val="002E0E8E"/>
    <w:rsid w:val="002E2996"/>
    <w:rsid w:val="002E3373"/>
    <w:rsid w:val="002E4190"/>
    <w:rsid w:val="002E41BB"/>
    <w:rsid w:val="002E49AF"/>
    <w:rsid w:val="002E4C29"/>
    <w:rsid w:val="002F26C3"/>
    <w:rsid w:val="002F34C0"/>
    <w:rsid w:val="002F3DC1"/>
    <w:rsid w:val="002F4CAC"/>
    <w:rsid w:val="002F52B8"/>
    <w:rsid w:val="00300391"/>
    <w:rsid w:val="00302309"/>
    <w:rsid w:val="00305CFB"/>
    <w:rsid w:val="00305D26"/>
    <w:rsid w:val="003061E6"/>
    <w:rsid w:val="00306379"/>
    <w:rsid w:val="00307806"/>
    <w:rsid w:val="00310506"/>
    <w:rsid w:val="003114E9"/>
    <w:rsid w:val="00313621"/>
    <w:rsid w:val="00313EAD"/>
    <w:rsid w:val="003172C0"/>
    <w:rsid w:val="00317357"/>
    <w:rsid w:val="00320A65"/>
    <w:rsid w:val="00321210"/>
    <w:rsid w:val="00321514"/>
    <w:rsid w:val="00321E91"/>
    <w:rsid w:val="003223AE"/>
    <w:rsid w:val="003239EA"/>
    <w:rsid w:val="00324E0B"/>
    <w:rsid w:val="0032637D"/>
    <w:rsid w:val="0032756C"/>
    <w:rsid w:val="00327F29"/>
    <w:rsid w:val="003306E0"/>
    <w:rsid w:val="00330E3A"/>
    <w:rsid w:val="003321D1"/>
    <w:rsid w:val="003336E7"/>
    <w:rsid w:val="00333AD6"/>
    <w:rsid w:val="003351D4"/>
    <w:rsid w:val="00336819"/>
    <w:rsid w:val="00340D37"/>
    <w:rsid w:val="0034188A"/>
    <w:rsid w:val="0034291E"/>
    <w:rsid w:val="003438E1"/>
    <w:rsid w:val="0034403A"/>
    <w:rsid w:val="0034591A"/>
    <w:rsid w:val="00345C2B"/>
    <w:rsid w:val="00347E10"/>
    <w:rsid w:val="00351800"/>
    <w:rsid w:val="0035239E"/>
    <w:rsid w:val="003553A0"/>
    <w:rsid w:val="00360921"/>
    <w:rsid w:val="003639F9"/>
    <w:rsid w:val="00365A36"/>
    <w:rsid w:val="00366591"/>
    <w:rsid w:val="003762D6"/>
    <w:rsid w:val="003826EE"/>
    <w:rsid w:val="00383B45"/>
    <w:rsid w:val="00383FDF"/>
    <w:rsid w:val="0038631A"/>
    <w:rsid w:val="00390C4B"/>
    <w:rsid w:val="00391A7D"/>
    <w:rsid w:val="00393BE8"/>
    <w:rsid w:val="003A0770"/>
    <w:rsid w:val="003A22CA"/>
    <w:rsid w:val="003A45E5"/>
    <w:rsid w:val="003B500F"/>
    <w:rsid w:val="003B5EF0"/>
    <w:rsid w:val="003B65BE"/>
    <w:rsid w:val="003C071A"/>
    <w:rsid w:val="003C2F3C"/>
    <w:rsid w:val="003C3DAD"/>
    <w:rsid w:val="003C4D98"/>
    <w:rsid w:val="003C5F42"/>
    <w:rsid w:val="003C7B77"/>
    <w:rsid w:val="003D08F8"/>
    <w:rsid w:val="003D0AC8"/>
    <w:rsid w:val="003D14EB"/>
    <w:rsid w:val="003D2D25"/>
    <w:rsid w:val="003D3466"/>
    <w:rsid w:val="003D58D0"/>
    <w:rsid w:val="003D75A8"/>
    <w:rsid w:val="003E1B25"/>
    <w:rsid w:val="003F010D"/>
    <w:rsid w:val="003F5DCA"/>
    <w:rsid w:val="003F619A"/>
    <w:rsid w:val="003F7B4B"/>
    <w:rsid w:val="00402191"/>
    <w:rsid w:val="00402FDA"/>
    <w:rsid w:val="00403F0D"/>
    <w:rsid w:val="004048E6"/>
    <w:rsid w:val="004071F2"/>
    <w:rsid w:val="00413467"/>
    <w:rsid w:val="004142BE"/>
    <w:rsid w:val="00423F71"/>
    <w:rsid w:val="00424998"/>
    <w:rsid w:val="0042568B"/>
    <w:rsid w:val="004268CA"/>
    <w:rsid w:val="0042751F"/>
    <w:rsid w:val="00427E26"/>
    <w:rsid w:val="00431A25"/>
    <w:rsid w:val="00432A78"/>
    <w:rsid w:val="00432ACD"/>
    <w:rsid w:val="004346C0"/>
    <w:rsid w:val="00435F9A"/>
    <w:rsid w:val="004431B6"/>
    <w:rsid w:val="004434B2"/>
    <w:rsid w:val="004454CC"/>
    <w:rsid w:val="004514EC"/>
    <w:rsid w:val="00454241"/>
    <w:rsid w:val="004565FC"/>
    <w:rsid w:val="004612DF"/>
    <w:rsid w:val="004613A8"/>
    <w:rsid w:val="00461DDE"/>
    <w:rsid w:val="004633CF"/>
    <w:rsid w:val="00464F53"/>
    <w:rsid w:val="00465AD7"/>
    <w:rsid w:val="00467555"/>
    <w:rsid w:val="00472A38"/>
    <w:rsid w:val="004733E9"/>
    <w:rsid w:val="00476F81"/>
    <w:rsid w:val="00477256"/>
    <w:rsid w:val="00481A54"/>
    <w:rsid w:val="004822E5"/>
    <w:rsid w:val="004843A3"/>
    <w:rsid w:val="00485C64"/>
    <w:rsid w:val="00490513"/>
    <w:rsid w:val="00492EB8"/>
    <w:rsid w:val="00493200"/>
    <w:rsid w:val="00493418"/>
    <w:rsid w:val="004940F5"/>
    <w:rsid w:val="00495DCF"/>
    <w:rsid w:val="004A21EC"/>
    <w:rsid w:val="004B01B2"/>
    <w:rsid w:val="004B1B85"/>
    <w:rsid w:val="004B1DE0"/>
    <w:rsid w:val="004B403D"/>
    <w:rsid w:val="004B5D31"/>
    <w:rsid w:val="004B5E94"/>
    <w:rsid w:val="004B62A5"/>
    <w:rsid w:val="004C0C5E"/>
    <w:rsid w:val="004C387F"/>
    <w:rsid w:val="004C38C5"/>
    <w:rsid w:val="004C647C"/>
    <w:rsid w:val="004C6630"/>
    <w:rsid w:val="004C741C"/>
    <w:rsid w:val="004D2A29"/>
    <w:rsid w:val="004D3F1A"/>
    <w:rsid w:val="004D44B2"/>
    <w:rsid w:val="004D4657"/>
    <w:rsid w:val="004E6687"/>
    <w:rsid w:val="004E7027"/>
    <w:rsid w:val="004F2657"/>
    <w:rsid w:val="004F3638"/>
    <w:rsid w:val="004F57A2"/>
    <w:rsid w:val="004F68E6"/>
    <w:rsid w:val="004F7288"/>
    <w:rsid w:val="004F7345"/>
    <w:rsid w:val="005003B4"/>
    <w:rsid w:val="00501FE3"/>
    <w:rsid w:val="005024D2"/>
    <w:rsid w:val="00503BCA"/>
    <w:rsid w:val="0050417A"/>
    <w:rsid w:val="005061E4"/>
    <w:rsid w:val="00511FD7"/>
    <w:rsid w:val="005125B1"/>
    <w:rsid w:val="005165A8"/>
    <w:rsid w:val="0052067F"/>
    <w:rsid w:val="00524557"/>
    <w:rsid w:val="00526E87"/>
    <w:rsid w:val="005312F1"/>
    <w:rsid w:val="00536ABB"/>
    <w:rsid w:val="00536BEB"/>
    <w:rsid w:val="005401E0"/>
    <w:rsid w:val="00541AB0"/>
    <w:rsid w:val="005423F7"/>
    <w:rsid w:val="00550DAE"/>
    <w:rsid w:val="00552273"/>
    <w:rsid w:val="00553DBB"/>
    <w:rsid w:val="00553E0F"/>
    <w:rsid w:val="00554BB2"/>
    <w:rsid w:val="00560911"/>
    <w:rsid w:val="00560918"/>
    <w:rsid w:val="0056098A"/>
    <w:rsid w:val="00561344"/>
    <w:rsid w:val="00561A0A"/>
    <w:rsid w:val="00561B0A"/>
    <w:rsid w:val="00562F9B"/>
    <w:rsid w:val="00566D76"/>
    <w:rsid w:val="005676F1"/>
    <w:rsid w:val="00567B00"/>
    <w:rsid w:val="00572AAB"/>
    <w:rsid w:val="0057594C"/>
    <w:rsid w:val="00577D09"/>
    <w:rsid w:val="005802AC"/>
    <w:rsid w:val="005808AA"/>
    <w:rsid w:val="0058263F"/>
    <w:rsid w:val="00583EEB"/>
    <w:rsid w:val="00584610"/>
    <w:rsid w:val="00585608"/>
    <w:rsid w:val="005875B5"/>
    <w:rsid w:val="00590671"/>
    <w:rsid w:val="00591842"/>
    <w:rsid w:val="00592FA6"/>
    <w:rsid w:val="005937A6"/>
    <w:rsid w:val="00593FBF"/>
    <w:rsid w:val="005959B9"/>
    <w:rsid w:val="00595B11"/>
    <w:rsid w:val="00597480"/>
    <w:rsid w:val="005A0B60"/>
    <w:rsid w:val="005A439D"/>
    <w:rsid w:val="005B180A"/>
    <w:rsid w:val="005B52B1"/>
    <w:rsid w:val="005B532D"/>
    <w:rsid w:val="005B57EC"/>
    <w:rsid w:val="005B74ED"/>
    <w:rsid w:val="005B7E98"/>
    <w:rsid w:val="005C6B6B"/>
    <w:rsid w:val="005D21CD"/>
    <w:rsid w:val="005D22D7"/>
    <w:rsid w:val="005D37DE"/>
    <w:rsid w:val="005D3B46"/>
    <w:rsid w:val="005D4985"/>
    <w:rsid w:val="005D785B"/>
    <w:rsid w:val="005E2A04"/>
    <w:rsid w:val="005E3511"/>
    <w:rsid w:val="005E5B85"/>
    <w:rsid w:val="005E617D"/>
    <w:rsid w:val="005E7A8C"/>
    <w:rsid w:val="005F25FE"/>
    <w:rsid w:val="00603708"/>
    <w:rsid w:val="00606305"/>
    <w:rsid w:val="00606511"/>
    <w:rsid w:val="00606DF7"/>
    <w:rsid w:val="00610A7D"/>
    <w:rsid w:val="00611209"/>
    <w:rsid w:val="00612646"/>
    <w:rsid w:val="00614B32"/>
    <w:rsid w:val="0062548C"/>
    <w:rsid w:val="00626423"/>
    <w:rsid w:val="00627AF3"/>
    <w:rsid w:val="006318AE"/>
    <w:rsid w:val="00633EF5"/>
    <w:rsid w:val="006345E3"/>
    <w:rsid w:val="00634CAE"/>
    <w:rsid w:val="006352A7"/>
    <w:rsid w:val="00635AFF"/>
    <w:rsid w:val="00635D2C"/>
    <w:rsid w:val="00640217"/>
    <w:rsid w:val="0064049D"/>
    <w:rsid w:val="00642DC3"/>
    <w:rsid w:val="00643078"/>
    <w:rsid w:val="0064611E"/>
    <w:rsid w:val="0064721A"/>
    <w:rsid w:val="0065009A"/>
    <w:rsid w:val="006513D1"/>
    <w:rsid w:val="00652334"/>
    <w:rsid w:val="0065258D"/>
    <w:rsid w:val="006528D6"/>
    <w:rsid w:val="0065458B"/>
    <w:rsid w:val="00655AB4"/>
    <w:rsid w:val="006569E3"/>
    <w:rsid w:val="0066011A"/>
    <w:rsid w:val="006628C1"/>
    <w:rsid w:val="006636A0"/>
    <w:rsid w:val="00664457"/>
    <w:rsid w:val="00666922"/>
    <w:rsid w:val="00667E1F"/>
    <w:rsid w:val="00671F56"/>
    <w:rsid w:val="0067303F"/>
    <w:rsid w:val="00674628"/>
    <w:rsid w:val="00675B59"/>
    <w:rsid w:val="006762E3"/>
    <w:rsid w:val="00676931"/>
    <w:rsid w:val="00680D8A"/>
    <w:rsid w:val="00681AD7"/>
    <w:rsid w:val="006821D0"/>
    <w:rsid w:val="00683CA1"/>
    <w:rsid w:val="00684E24"/>
    <w:rsid w:val="006850AF"/>
    <w:rsid w:val="00694D50"/>
    <w:rsid w:val="006A123A"/>
    <w:rsid w:val="006A1E32"/>
    <w:rsid w:val="006A1F3F"/>
    <w:rsid w:val="006A38F8"/>
    <w:rsid w:val="006A58BB"/>
    <w:rsid w:val="006A59E8"/>
    <w:rsid w:val="006A7B8B"/>
    <w:rsid w:val="006B0E52"/>
    <w:rsid w:val="006B1B3D"/>
    <w:rsid w:val="006B3D3A"/>
    <w:rsid w:val="006B43F8"/>
    <w:rsid w:val="006B5196"/>
    <w:rsid w:val="006B5C98"/>
    <w:rsid w:val="006C0BE9"/>
    <w:rsid w:val="006C1B77"/>
    <w:rsid w:val="006C2FE8"/>
    <w:rsid w:val="006C4033"/>
    <w:rsid w:val="006C501A"/>
    <w:rsid w:val="006C7276"/>
    <w:rsid w:val="006C7801"/>
    <w:rsid w:val="006D193D"/>
    <w:rsid w:val="006D3A21"/>
    <w:rsid w:val="006D7EE8"/>
    <w:rsid w:val="006E1D7F"/>
    <w:rsid w:val="006E291F"/>
    <w:rsid w:val="006E2E85"/>
    <w:rsid w:val="006E4FF5"/>
    <w:rsid w:val="006E50A8"/>
    <w:rsid w:val="006E531E"/>
    <w:rsid w:val="006E6D1C"/>
    <w:rsid w:val="006F26CB"/>
    <w:rsid w:val="006F393B"/>
    <w:rsid w:val="006F6B05"/>
    <w:rsid w:val="006F75EE"/>
    <w:rsid w:val="006F7B1F"/>
    <w:rsid w:val="00702910"/>
    <w:rsid w:val="0070434C"/>
    <w:rsid w:val="00704B12"/>
    <w:rsid w:val="00704FDF"/>
    <w:rsid w:val="00705A30"/>
    <w:rsid w:val="0071008C"/>
    <w:rsid w:val="00711607"/>
    <w:rsid w:val="00713044"/>
    <w:rsid w:val="007137EC"/>
    <w:rsid w:val="00714CF4"/>
    <w:rsid w:val="00717870"/>
    <w:rsid w:val="0072208B"/>
    <w:rsid w:val="00723142"/>
    <w:rsid w:val="00725235"/>
    <w:rsid w:val="00727ECF"/>
    <w:rsid w:val="007328DC"/>
    <w:rsid w:val="007335FE"/>
    <w:rsid w:val="00743FBA"/>
    <w:rsid w:val="0074476C"/>
    <w:rsid w:val="00746B04"/>
    <w:rsid w:val="007479C2"/>
    <w:rsid w:val="007508DE"/>
    <w:rsid w:val="00751AFD"/>
    <w:rsid w:val="00753A6A"/>
    <w:rsid w:val="007567D8"/>
    <w:rsid w:val="00756E35"/>
    <w:rsid w:val="00757731"/>
    <w:rsid w:val="0076132E"/>
    <w:rsid w:val="007635E2"/>
    <w:rsid w:val="0076621C"/>
    <w:rsid w:val="007669E5"/>
    <w:rsid w:val="0076755D"/>
    <w:rsid w:val="0077125C"/>
    <w:rsid w:val="007722E3"/>
    <w:rsid w:val="007761DE"/>
    <w:rsid w:val="00781CB7"/>
    <w:rsid w:val="0078371F"/>
    <w:rsid w:val="00783BAD"/>
    <w:rsid w:val="00784276"/>
    <w:rsid w:val="007843B8"/>
    <w:rsid w:val="0078458A"/>
    <w:rsid w:val="00786693"/>
    <w:rsid w:val="00786808"/>
    <w:rsid w:val="007873E9"/>
    <w:rsid w:val="00787906"/>
    <w:rsid w:val="007913C0"/>
    <w:rsid w:val="00793049"/>
    <w:rsid w:val="007946FD"/>
    <w:rsid w:val="0079624B"/>
    <w:rsid w:val="007965F7"/>
    <w:rsid w:val="00797674"/>
    <w:rsid w:val="007A1E85"/>
    <w:rsid w:val="007A26F5"/>
    <w:rsid w:val="007A2F4C"/>
    <w:rsid w:val="007A3F99"/>
    <w:rsid w:val="007A5530"/>
    <w:rsid w:val="007A58DE"/>
    <w:rsid w:val="007B3C66"/>
    <w:rsid w:val="007B3CC8"/>
    <w:rsid w:val="007B3CCE"/>
    <w:rsid w:val="007B489D"/>
    <w:rsid w:val="007C1038"/>
    <w:rsid w:val="007C2F25"/>
    <w:rsid w:val="007C404C"/>
    <w:rsid w:val="007C485C"/>
    <w:rsid w:val="007C4E26"/>
    <w:rsid w:val="007C6527"/>
    <w:rsid w:val="007D07C3"/>
    <w:rsid w:val="007D0F6D"/>
    <w:rsid w:val="007D153E"/>
    <w:rsid w:val="007E0776"/>
    <w:rsid w:val="007E0B2C"/>
    <w:rsid w:val="007E6B1C"/>
    <w:rsid w:val="007F38A9"/>
    <w:rsid w:val="007F7968"/>
    <w:rsid w:val="00800376"/>
    <w:rsid w:val="00800D98"/>
    <w:rsid w:val="008059FD"/>
    <w:rsid w:val="008105A5"/>
    <w:rsid w:val="00810B8D"/>
    <w:rsid w:val="00811A02"/>
    <w:rsid w:val="008151A9"/>
    <w:rsid w:val="00816CCC"/>
    <w:rsid w:val="0082175F"/>
    <w:rsid w:val="00823381"/>
    <w:rsid w:val="00826A48"/>
    <w:rsid w:val="00826D32"/>
    <w:rsid w:val="00830092"/>
    <w:rsid w:val="008302CC"/>
    <w:rsid w:val="0083451F"/>
    <w:rsid w:val="00834F18"/>
    <w:rsid w:val="00835331"/>
    <w:rsid w:val="00835D28"/>
    <w:rsid w:val="00836522"/>
    <w:rsid w:val="0083741B"/>
    <w:rsid w:val="00837D8D"/>
    <w:rsid w:val="00840005"/>
    <w:rsid w:val="00840B9A"/>
    <w:rsid w:val="00841428"/>
    <w:rsid w:val="00842B58"/>
    <w:rsid w:val="008431F3"/>
    <w:rsid w:val="008449D0"/>
    <w:rsid w:val="00846633"/>
    <w:rsid w:val="00851380"/>
    <w:rsid w:val="00851E35"/>
    <w:rsid w:val="00851F83"/>
    <w:rsid w:val="0085452E"/>
    <w:rsid w:val="00854BD6"/>
    <w:rsid w:val="00855703"/>
    <w:rsid w:val="0085714E"/>
    <w:rsid w:val="00860BF0"/>
    <w:rsid w:val="00864880"/>
    <w:rsid w:val="00864EAA"/>
    <w:rsid w:val="008710FB"/>
    <w:rsid w:val="00873345"/>
    <w:rsid w:val="008747D5"/>
    <w:rsid w:val="00874876"/>
    <w:rsid w:val="00880D17"/>
    <w:rsid w:val="008823CB"/>
    <w:rsid w:val="008838ED"/>
    <w:rsid w:val="00883915"/>
    <w:rsid w:val="00884EC2"/>
    <w:rsid w:val="008853E6"/>
    <w:rsid w:val="00886A3D"/>
    <w:rsid w:val="008870BB"/>
    <w:rsid w:val="008874EF"/>
    <w:rsid w:val="00887D3C"/>
    <w:rsid w:val="00887D62"/>
    <w:rsid w:val="008939DF"/>
    <w:rsid w:val="00895AC4"/>
    <w:rsid w:val="008A2E5A"/>
    <w:rsid w:val="008A3FFA"/>
    <w:rsid w:val="008A7488"/>
    <w:rsid w:val="008B42C3"/>
    <w:rsid w:val="008B6DF9"/>
    <w:rsid w:val="008C133E"/>
    <w:rsid w:val="008C4685"/>
    <w:rsid w:val="008C4E78"/>
    <w:rsid w:val="008D076A"/>
    <w:rsid w:val="008D0F11"/>
    <w:rsid w:val="008D2194"/>
    <w:rsid w:val="008D3818"/>
    <w:rsid w:val="008D486B"/>
    <w:rsid w:val="008D6CEA"/>
    <w:rsid w:val="008D7E7D"/>
    <w:rsid w:val="008E1886"/>
    <w:rsid w:val="008E364A"/>
    <w:rsid w:val="008E76D6"/>
    <w:rsid w:val="008E7740"/>
    <w:rsid w:val="008F425C"/>
    <w:rsid w:val="008F6312"/>
    <w:rsid w:val="008F6E5C"/>
    <w:rsid w:val="00900E82"/>
    <w:rsid w:val="0090629A"/>
    <w:rsid w:val="00906AC5"/>
    <w:rsid w:val="00907A85"/>
    <w:rsid w:val="00910D3F"/>
    <w:rsid w:val="0091138A"/>
    <w:rsid w:val="009130E4"/>
    <w:rsid w:val="00917A2F"/>
    <w:rsid w:val="009220D5"/>
    <w:rsid w:val="00924E32"/>
    <w:rsid w:val="009268EE"/>
    <w:rsid w:val="00931239"/>
    <w:rsid w:val="0093387F"/>
    <w:rsid w:val="00934AC8"/>
    <w:rsid w:val="0093603C"/>
    <w:rsid w:val="00936BC6"/>
    <w:rsid w:val="0093745B"/>
    <w:rsid w:val="009402BA"/>
    <w:rsid w:val="00941511"/>
    <w:rsid w:val="009425D5"/>
    <w:rsid w:val="00942641"/>
    <w:rsid w:val="00944EE6"/>
    <w:rsid w:val="00945A19"/>
    <w:rsid w:val="009526AD"/>
    <w:rsid w:val="009533AE"/>
    <w:rsid w:val="0095359C"/>
    <w:rsid w:val="00953CDC"/>
    <w:rsid w:val="00954252"/>
    <w:rsid w:val="00955CA8"/>
    <w:rsid w:val="00956DD5"/>
    <w:rsid w:val="00960E80"/>
    <w:rsid w:val="00960F3A"/>
    <w:rsid w:val="009636EB"/>
    <w:rsid w:val="00963BF0"/>
    <w:rsid w:val="00964369"/>
    <w:rsid w:val="00964F6B"/>
    <w:rsid w:val="00964FA1"/>
    <w:rsid w:val="00965306"/>
    <w:rsid w:val="00970B79"/>
    <w:rsid w:val="009710C8"/>
    <w:rsid w:val="009714B0"/>
    <w:rsid w:val="00971ADF"/>
    <w:rsid w:val="00972EC1"/>
    <w:rsid w:val="00975527"/>
    <w:rsid w:val="0097554A"/>
    <w:rsid w:val="00976251"/>
    <w:rsid w:val="009818D0"/>
    <w:rsid w:val="00981B82"/>
    <w:rsid w:val="009828BD"/>
    <w:rsid w:val="0098770F"/>
    <w:rsid w:val="0099218C"/>
    <w:rsid w:val="0099311C"/>
    <w:rsid w:val="00993D39"/>
    <w:rsid w:val="0099687F"/>
    <w:rsid w:val="00997743"/>
    <w:rsid w:val="009A0324"/>
    <w:rsid w:val="009A0622"/>
    <w:rsid w:val="009A165C"/>
    <w:rsid w:val="009A1CD3"/>
    <w:rsid w:val="009A2384"/>
    <w:rsid w:val="009A31AB"/>
    <w:rsid w:val="009A4E5D"/>
    <w:rsid w:val="009A545D"/>
    <w:rsid w:val="009A54B4"/>
    <w:rsid w:val="009A6847"/>
    <w:rsid w:val="009A6F57"/>
    <w:rsid w:val="009B0662"/>
    <w:rsid w:val="009B175F"/>
    <w:rsid w:val="009B2C47"/>
    <w:rsid w:val="009B5A86"/>
    <w:rsid w:val="009B5AE4"/>
    <w:rsid w:val="009B7B65"/>
    <w:rsid w:val="009C219D"/>
    <w:rsid w:val="009C29E5"/>
    <w:rsid w:val="009C4289"/>
    <w:rsid w:val="009C4B93"/>
    <w:rsid w:val="009C62A2"/>
    <w:rsid w:val="009C63BA"/>
    <w:rsid w:val="009D28EA"/>
    <w:rsid w:val="009D32C3"/>
    <w:rsid w:val="009D3F2F"/>
    <w:rsid w:val="009D48E7"/>
    <w:rsid w:val="009D5D1A"/>
    <w:rsid w:val="009E407B"/>
    <w:rsid w:val="009E4178"/>
    <w:rsid w:val="009E61E3"/>
    <w:rsid w:val="009F4D1D"/>
    <w:rsid w:val="009F4E1C"/>
    <w:rsid w:val="009F7DC6"/>
    <w:rsid w:val="00A00B3C"/>
    <w:rsid w:val="00A016EF"/>
    <w:rsid w:val="00A03912"/>
    <w:rsid w:val="00A04284"/>
    <w:rsid w:val="00A05714"/>
    <w:rsid w:val="00A05C36"/>
    <w:rsid w:val="00A10ADB"/>
    <w:rsid w:val="00A117D8"/>
    <w:rsid w:val="00A1208D"/>
    <w:rsid w:val="00A13151"/>
    <w:rsid w:val="00A14CD3"/>
    <w:rsid w:val="00A16EDA"/>
    <w:rsid w:val="00A17579"/>
    <w:rsid w:val="00A17A11"/>
    <w:rsid w:val="00A22190"/>
    <w:rsid w:val="00A2366A"/>
    <w:rsid w:val="00A25390"/>
    <w:rsid w:val="00A25F33"/>
    <w:rsid w:val="00A27F9E"/>
    <w:rsid w:val="00A30FCF"/>
    <w:rsid w:val="00A32C8F"/>
    <w:rsid w:val="00A34906"/>
    <w:rsid w:val="00A34A50"/>
    <w:rsid w:val="00A37F75"/>
    <w:rsid w:val="00A40BC1"/>
    <w:rsid w:val="00A41004"/>
    <w:rsid w:val="00A4372F"/>
    <w:rsid w:val="00A44D6B"/>
    <w:rsid w:val="00A46563"/>
    <w:rsid w:val="00A5010A"/>
    <w:rsid w:val="00A51B1B"/>
    <w:rsid w:val="00A52072"/>
    <w:rsid w:val="00A523C6"/>
    <w:rsid w:val="00A57C20"/>
    <w:rsid w:val="00A60756"/>
    <w:rsid w:val="00A60901"/>
    <w:rsid w:val="00A60AF6"/>
    <w:rsid w:val="00A62093"/>
    <w:rsid w:val="00A64670"/>
    <w:rsid w:val="00A661E4"/>
    <w:rsid w:val="00A663EC"/>
    <w:rsid w:val="00A6719B"/>
    <w:rsid w:val="00A71364"/>
    <w:rsid w:val="00A73042"/>
    <w:rsid w:val="00A74915"/>
    <w:rsid w:val="00A764C1"/>
    <w:rsid w:val="00A77A3E"/>
    <w:rsid w:val="00A82733"/>
    <w:rsid w:val="00A8442E"/>
    <w:rsid w:val="00A848E9"/>
    <w:rsid w:val="00A85E4F"/>
    <w:rsid w:val="00A865A7"/>
    <w:rsid w:val="00A9472D"/>
    <w:rsid w:val="00A95AD6"/>
    <w:rsid w:val="00A96E5A"/>
    <w:rsid w:val="00AA252B"/>
    <w:rsid w:val="00AA38C3"/>
    <w:rsid w:val="00AA52EB"/>
    <w:rsid w:val="00AA569A"/>
    <w:rsid w:val="00AA5A0E"/>
    <w:rsid w:val="00AA7506"/>
    <w:rsid w:val="00AB0B37"/>
    <w:rsid w:val="00AB32D2"/>
    <w:rsid w:val="00AB3E36"/>
    <w:rsid w:val="00AC049B"/>
    <w:rsid w:val="00AC0799"/>
    <w:rsid w:val="00AC32D5"/>
    <w:rsid w:val="00AC56A3"/>
    <w:rsid w:val="00AC59FF"/>
    <w:rsid w:val="00AC6C34"/>
    <w:rsid w:val="00AC6EFC"/>
    <w:rsid w:val="00AD197D"/>
    <w:rsid w:val="00AD34A3"/>
    <w:rsid w:val="00AD5579"/>
    <w:rsid w:val="00AD5A15"/>
    <w:rsid w:val="00AE0FE4"/>
    <w:rsid w:val="00AE43AE"/>
    <w:rsid w:val="00AE5431"/>
    <w:rsid w:val="00AE6F94"/>
    <w:rsid w:val="00AF318D"/>
    <w:rsid w:val="00AF620A"/>
    <w:rsid w:val="00AF66FD"/>
    <w:rsid w:val="00AF722B"/>
    <w:rsid w:val="00AF7A89"/>
    <w:rsid w:val="00B04D1A"/>
    <w:rsid w:val="00B07E3E"/>
    <w:rsid w:val="00B11BE7"/>
    <w:rsid w:val="00B177F7"/>
    <w:rsid w:val="00B20E6E"/>
    <w:rsid w:val="00B25E98"/>
    <w:rsid w:val="00B335AF"/>
    <w:rsid w:val="00B33F5B"/>
    <w:rsid w:val="00B35750"/>
    <w:rsid w:val="00B35AD6"/>
    <w:rsid w:val="00B36FDB"/>
    <w:rsid w:val="00B37751"/>
    <w:rsid w:val="00B416F7"/>
    <w:rsid w:val="00B41CAC"/>
    <w:rsid w:val="00B4512A"/>
    <w:rsid w:val="00B45FA5"/>
    <w:rsid w:val="00B47F11"/>
    <w:rsid w:val="00B52472"/>
    <w:rsid w:val="00B55661"/>
    <w:rsid w:val="00B561B7"/>
    <w:rsid w:val="00B56917"/>
    <w:rsid w:val="00B57D5C"/>
    <w:rsid w:val="00B61A31"/>
    <w:rsid w:val="00B631DB"/>
    <w:rsid w:val="00B71466"/>
    <w:rsid w:val="00B72160"/>
    <w:rsid w:val="00B73AEB"/>
    <w:rsid w:val="00B755E5"/>
    <w:rsid w:val="00B768D8"/>
    <w:rsid w:val="00B771E3"/>
    <w:rsid w:val="00B7741C"/>
    <w:rsid w:val="00B77A6E"/>
    <w:rsid w:val="00B81524"/>
    <w:rsid w:val="00B82217"/>
    <w:rsid w:val="00B83282"/>
    <w:rsid w:val="00B84127"/>
    <w:rsid w:val="00B966E3"/>
    <w:rsid w:val="00BA0FD8"/>
    <w:rsid w:val="00BA113A"/>
    <w:rsid w:val="00BA65D6"/>
    <w:rsid w:val="00BB145A"/>
    <w:rsid w:val="00BB6079"/>
    <w:rsid w:val="00BC002B"/>
    <w:rsid w:val="00BC1EB1"/>
    <w:rsid w:val="00BC3370"/>
    <w:rsid w:val="00BC417B"/>
    <w:rsid w:val="00BC52B2"/>
    <w:rsid w:val="00BC6235"/>
    <w:rsid w:val="00BC7BC5"/>
    <w:rsid w:val="00BD22D2"/>
    <w:rsid w:val="00BD2423"/>
    <w:rsid w:val="00BD2D21"/>
    <w:rsid w:val="00BD392C"/>
    <w:rsid w:val="00BD3F87"/>
    <w:rsid w:val="00BD43E4"/>
    <w:rsid w:val="00BD4DE9"/>
    <w:rsid w:val="00BD7205"/>
    <w:rsid w:val="00BE0B2A"/>
    <w:rsid w:val="00BE254A"/>
    <w:rsid w:val="00BE2EA5"/>
    <w:rsid w:val="00BE36C4"/>
    <w:rsid w:val="00BE52B9"/>
    <w:rsid w:val="00BE7666"/>
    <w:rsid w:val="00BF06F9"/>
    <w:rsid w:val="00BF082B"/>
    <w:rsid w:val="00BF1CC3"/>
    <w:rsid w:val="00BF2F5F"/>
    <w:rsid w:val="00BF4400"/>
    <w:rsid w:val="00BF59ED"/>
    <w:rsid w:val="00BF5BA1"/>
    <w:rsid w:val="00BF66B7"/>
    <w:rsid w:val="00BF66B9"/>
    <w:rsid w:val="00BF7CC5"/>
    <w:rsid w:val="00C00009"/>
    <w:rsid w:val="00C035B3"/>
    <w:rsid w:val="00C03FAF"/>
    <w:rsid w:val="00C06850"/>
    <w:rsid w:val="00C07282"/>
    <w:rsid w:val="00C07675"/>
    <w:rsid w:val="00C07A0D"/>
    <w:rsid w:val="00C11B6D"/>
    <w:rsid w:val="00C123DD"/>
    <w:rsid w:val="00C139E3"/>
    <w:rsid w:val="00C14C9C"/>
    <w:rsid w:val="00C15081"/>
    <w:rsid w:val="00C22AE4"/>
    <w:rsid w:val="00C24FB1"/>
    <w:rsid w:val="00C26245"/>
    <w:rsid w:val="00C27FE0"/>
    <w:rsid w:val="00C30665"/>
    <w:rsid w:val="00C308C1"/>
    <w:rsid w:val="00C30B6A"/>
    <w:rsid w:val="00C318D2"/>
    <w:rsid w:val="00C33E19"/>
    <w:rsid w:val="00C37DB3"/>
    <w:rsid w:val="00C402DB"/>
    <w:rsid w:val="00C41FDD"/>
    <w:rsid w:val="00C4293A"/>
    <w:rsid w:val="00C45913"/>
    <w:rsid w:val="00C47AA8"/>
    <w:rsid w:val="00C50FFF"/>
    <w:rsid w:val="00C511DD"/>
    <w:rsid w:val="00C51978"/>
    <w:rsid w:val="00C51E7B"/>
    <w:rsid w:val="00C51EB1"/>
    <w:rsid w:val="00C6017A"/>
    <w:rsid w:val="00C6185C"/>
    <w:rsid w:val="00C61D87"/>
    <w:rsid w:val="00C630A0"/>
    <w:rsid w:val="00C64428"/>
    <w:rsid w:val="00C66D05"/>
    <w:rsid w:val="00C671FF"/>
    <w:rsid w:val="00C70419"/>
    <w:rsid w:val="00C72655"/>
    <w:rsid w:val="00C72810"/>
    <w:rsid w:val="00C75287"/>
    <w:rsid w:val="00C75F0B"/>
    <w:rsid w:val="00C765B0"/>
    <w:rsid w:val="00C7728B"/>
    <w:rsid w:val="00C77FAB"/>
    <w:rsid w:val="00C8148E"/>
    <w:rsid w:val="00C84FF8"/>
    <w:rsid w:val="00C86185"/>
    <w:rsid w:val="00C8736E"/>
    <w:rsid w:val="00C90731"/>
    <w:rsid w:val="00C90BEE"/>
    <w:rsid w:val="00C91338"/>
    <w:rsid w:val="00C9213B"/>
    <w:rsid w:val="00C928D1"/>
    <w:rsid w:val="00C92CDB"/>
    <w:rsid w:val="00C93AFA"/>
    <w:rsid w:val="00C94AF0"/>
    <w:rsid w:val="00CA23E2"/>
    <w:rsid w:val="00CA3789"/>
    <w:rsid w:val="00CB0B9A"/>
    <w:rsid w:val="00CB1C31"/>
    <w:rsid w:val="00CB2624"/>
    <w:rsid w:val="00CB273A"/>
    <w:rsid w:val="00CB3071"/>
    <w:rsid w:val="00CB3608"/>
    <w:rsid w:val="00CB4815"/>
    <w:rsid w:val="00CB4DA0"/>
    <w:rsid w:val="00CB6844"/>
    <w:rsid w:val="00CB69F4"/>
    <w:rsid w:val="00CC14A7"/>
    <w:rsid w:val="00CC5618"/>
    <w:rsid w:val="00CC6582"/>
    <w:rsid w:val="00CC66FA"/>
    <w:rsid w:val="00CD6BC7"/>
    <w:rsid w:val="00CE1261"/>
    <w:rsid w:val="00CE180F"/>
    <w:rsid w:val="00CE3673"/>
    <w:rsid w:val="00CE5630"/>
    <w:rsid w:val="00CE6011"/>
    <w:rsid w:val="00CE6CA3"/>
    <w:rsid w:val="00CF224D"/>
    <w:rsid w:val="00CF27EF"/>
    <w:rsid w:val="00CF3518"/>
    <w:rsid w:val="00D00076"/>
    <w:rsid w:val="00D00E6F"/>
    <w:rsid w:val="00D026BC"/>
    <w:rsid w:val="00D05009"/>
    <w:rsid w:val="00D05EDA"/>
    <w:rsid w:val="00D065F5"/>
    <w:rsid w:val="00D100D6"/>
    <w:rsid w:val="00D13918"/>
    <w:rsid w:val="00D13A72"/>
    <w:rsid w:val="00D147B1"/>
    <w:rsid w:val="00D17114"/>
    <w:rsid w:val="00D1748E"/>
    <w:rsid w:val="00D22277"/>
    <w:rsid w:val="00D22E18"/>
    <w:rsid w:val="00D26159"/>
    <w:rsid w:val="00D26D33"/>
    <w:rsid w:val="00D27591"/>
    <w:rsid w:val="00D2776E"/>
    <w:rsid w:val="00D300F6"/>
    <w:rsid w:val="00D340A0"/>
    <w:rsid w:val="00D358E4"/>
    <w:rsid w:val="00D42F57"/>
    <w:rsid w:val="00D435DC"/>
    <w:rsid w:val="00D4468C"/>
    <w:rsid w:val="00D45A17"/>
    <w:rsid w:val="00D46E10"/>
    <w:rsid w:val="00D47F80"/>
    <w:rsid w:val="00D503E3"/>
    <w:rsid w:val="00D50C51"/>
    <w:rsid w:val="00D51755"/>
    <w:rsid w:val="00D52E52"/>
    <w:rsid w:val="00D532B3"/>
    <w:rsid w:val="00D565AC"/>
    <w:rsid w:val="00D61C27"/>
    <w:rsid w:val="00D64807"/>
    <w:rsid w:val="00D65321"/>
    <w:rsid w:val="00D66754"/>
    <w:rsid w:val="00D711D3"/>
    <w:rsid w:val="00D72D77"/>
    <w:rsid w:val="00D73BB3"/>
    <w:rsid w:val="00D740BB"/>
    <w:rsid w:val="00D746E4"/>
    <w:rsid w:val="00D7527A"/>
    <w:rsid w:val="00D77236"/>
    <w:rsid w:val="00D80510"/>
    <w:rsid w:val="00D82B58"/>
    <w:rsid w:val="00D84F2C"/>
    <w:rsid w:val="00D930AA"/>
    <w:rsid w:val="00D948BC"/>
    <w:rsid w:val="00DA091E"/>
    <w:rsid w:val="00DA0B62"/>
    <w:rsid w:val="00DA1875"/>
    <w:rsid w:val="00DA4C6C"/>
    <w:rsid w:val="00DA4CB1"/>
    <w:rsid w:val="00DA5CE6"/>
    <w:rsid w:val="00DB0C86"/>
    <w:rsid w:val="00DB240B"/>
    <w:rsid w:val="00DB73B5"/>
    <w:rsid w:val="00DB7FDB"/>
    <w:rsid w:val="00DC3F96"/>
    <w:rsid w:val="00DC4992"/>
    <w:rsid w:val="00DD0AE6"/>
    <w:rsid w:val="00DD203E"/>
    <w:rsid w:val="00DD2A21"/>
    <w:rsid w:val="00DD2D4E"/>
    <w:rsid w:val="00DD4958"/>
    <w:rsid w:val="00DD7EAC"/>
    <w:rsid w:val="00DE0E93"/>
    <w:rsid w:val="00DE10E3"/>
    <w:rsid w:val="00DE14F4"/>
    <w:rsid w:val="00DF088C"/>
    <w:rsid w:val="00DF108F"/>
    <w:rsid w:val="00DF1A21"/>
    <w:rsid w:val="00DF4634"/>
    <w:rsid w:val="00DF5FD2"/>
    <w:rsid w:val="00E00088"/>
    <w:rsid w:val="00E031FF"/>
    <w:rsid w:val="00E048E2"/>
    <w:rsid w:val="00E04D2B"/>
    <w:rsid w:val="00E04E97"/>
    <w:rsid w:val="00E04F84"/>
    <w:rsid w:val="00E11845"/>
    <w:rsid w:val="00E13977"/>
    <w:rsid w:val="00E139B4"/>
    <w:rsid w:val="00E1465C"/>
    <w:rsid w:val="00E179CF"/>
    <w:rsid w:val="00E21889"/>
    <w:rsid w:val="00E21B0D"/>
    <w:rsid w:val="00E2293A"/>
    <w:rsid w:val="00E22BC7"/>
    <w:rsid w:val="00E249AC"/>
    <w:rsid w:val="00E270E2"/>
    <w:rsid w:val="00E309AB"/>
    <w:rsid w:val="00E310BA"/>
    <w:rsid w:val="00E31242"/>
    <w:rsid w:val="00E32628"/>
    <w:rsid w:val="00E33195"/>
    <w:rsid w:val="00E354A3"/>
    <w:rsid w:val="00E36BB9"/>
    <w:rsid w:val="00E4004B"/>
    <w:rsid w:val="00E410D0"/>
    <w:rsid w:val="00E41C88"/>
    <w:rsid w:val="00E430FB"/>
    <w:rsid w:val="00E47EDA"/>
    <w:rsid w:val="00E5049F"/>
    <w:rsid w:val="00E511DC"/>
    <w:rsid w:val="00E5303D"/>
    <w:rsid w:val="00E53E20"/>
    <w:rsid w:val="00E54B97"/>
    <w:rsid w:val="00E56612"/>
    <w:rsid w:val="00E57011"/>
    <w:rsid w:val="00E625C9"/>
    <w:rsid w:val="00E63251"/>
    <w:rsid w:val="00E640C6"/>
    <w:rsid w:val="00E67F50"/>
    <w:rsid w:val="00E7000D"/>
    <w:rsid w:val="00E700E2"/>
    <w:rsid w:val="00E70F28"/>
    <w:rsid w:val="00E70FBD"/>
    <w:rsid w:val="00E73113"/>
    <w:rsid w:val="00E7322C"/>
    <w:rsid w:val="00E74D93"/>
    <w:rsid w:val="00E7627E"/>
    <w:rsid w:val="00E8233C"/>
    <w:rsid w:val="00E84B67"/>
    <w:rsid w:val="00E865F0"/>
    <w:rsid w:val="00E8726E"/>
    <w:rsid w:val="00E904E8"/>
    <w:rsid w:val="00E91633"/>
    <w:rsid w:val="00E9246A"/>
    <w:rsid w:val="00E934FC"/>
    <w:rsid w:val="00E93B60"/>
    <w:rsid w:val="00E93C14"/>
    <w:rsid w:val="00E943D0"/>
    <w:rsid w:val="00EA03C8"/>
    <w:rsid w:val="00EA1FF3"/>
    <w:rsid w:val="00EA25F0"/>
    <w:rsid w:val="00EA3BDA"/>
    <w:rsid w:val="00EA4BFF"/>
    <w:rsid w:val="00EA4C09"/>
    <w:rsid w:val="00EA6555"/>
    <w:rsid w:val="00EA6F06"/>
    <w:rsid w:val="00EB1546"/>
    <w:rsid w:val="00EB1ACA"/>
    <w:rsid w:val="00EB21FC"/>
    <w:rsid w:val="00EB4828"/>
    <w:rsid w:val="00EB64A1"/>
    <w:rsid w:val="00EB67FE"/>
    <w:rsid w:val="00EB6FD5"/>
    <w:rsid w:val="00EC472C"/>
    <w:rsid w:val="00EC52E1"/>
    <w:rsid w:val="00EC69EB"/>
    <w:rsid w:val="00EC6E53"/>
    <w:rsid w:val="00EC76BB"/>
    <w:rsid w:val="00ED1951"/>
    <w:rsid w:val="00ED1EB9"/>
    <w:rsid w:val="00ED3542"/>
    <w:rsid w:val="00ED4BBE"/>
    <w:rsid w:val="00ED4F29"/>
    <w:rsid w:val="00EE1A9E"/>
    <w:rsid w:val="00EE24E0"/>
    <w:rsid w:val="00EE4252"/>
    <w:rsid w:val="00EF1311"/>
    <w:rsid w:val="00EF331D"/>
    <w:rsid w:val="00EF385B"/>
    <w:rsid w:val="00EF39DE"/>
    <w:rsid w:val="00F0281A"/>
    <w:rsid w:val="00F04830"/>
    <w:rsid w:val="00F04D37"/>
    <w:rsid w:val="00F05FE2"/>
    <w:rsid w:val="00F070F9"/>
    <w:rsid w:val="00F07A86"/>
    <w:rsid w:val="00F11D07"/>
    <w:rsid w:val="00F12407"/>
    <w:rsid w:val="00F125F4"/>
    <w:rsid w:val="00F13A63"/>
    <w:rsid w:val="00F1584C"/>
    <w:rsid w:val="00F21FF6"/>
    <w:rsid w:val="00F22AB7"/>
    <w:rsid w:val="00F22AD2"/>
    <w:rsid w:val="00F22BEC"/>
    <w:rsid w:val="00F25F3A"/>
    <w:rsid w:val="00F27491"/>
    <w:rsid w:val="00F2763F"/>
    <w:rsid w:val="00F30784"/>
    <w:rsid w:val="00F30C6B"/>
    <w:rsid w:val="00F3309D"/>
    <w:rsid w:val="00F358B2"/>
    <w:rsid w:val="00F40B05"/>
    <w:rsid w:val="00F4178B"/>
    <w:rsid w:val="00F472CD"/>
    <w:rsid w:val="00F50FA2"/>
    <w:rsid w:val="00F51C12"/>
    <w:rsid w:val="00F55591"/>
    <w:rsid w:val="00F55FDB"/>
    <w:rsid w:val="00F56250"/>
    <w:rsid w:val="00F56775"/>
    <w:rsid w:val="00F56F84"/>
    <w:rsid w:val="00F57CC8"/>
    <w:rsid w:val="00F604AE"/>
    <w:rsid w:val="00F63656"/>
    <w:rsid w:val="00F668EE"/>
    <w:rsid w:val="00F6751D"/>
    <w:rsid w:val="00F67BE7"/>
    <w:rsid w:val="00F70D9A"/>
    <w:rsid w:val="00F75924"/>
    <w:rsid w:val="00F75F2E"/>
    <w:rsid w:val="00F7611B"/>
    <w:rsid w:val="00F8368E"/>
    <w:rsid w:val="00F84A9A"/>
    <w:rsid w:val="00F854D1"/>
    <w:rsid w:val="00F855C2"/>
    <w:rsid w:val="00F94564"/>
    <w:rsid w:val="00F97852"/>
    <w:rsid w:val="00FA1552"/>
    <w:rsid w:val="00FA3827"/>
    <w:rsid w:val="00FA48D0"/>
    <w:rsid w:val="00FA6F37"/>
    <w:rsid w:val="00FB289F"/>
    <w:rsid w:val="00FB4E19"/>
    <w:rsid w:val="00FB62F7"/>
    <w:rsid w:val="00FB6CC2"/>
    <w:rsid w:val="00FB743B"/>
    <w:rsid w:val="00FB7A3D"/>
    <w:rsid w:val="00FC0DFF"/>
    <w:rsid w:val="00FC1398"/>
    <w:rsid w:val="00FC3B0C"/>
    <w:rsid w:val="00FC450D"/>
    <w:rsid w:val="00FC5550"/>
    <w:rsid w:val="00FC5F59"/>
    <w:rsid w:val="00FC65AE"/>
    <w:rsid w:val="00FC6C66"/>
    <w:rsid w:val="00FC6FE7"/>
    <w:rsid w:val="00FC725F"/>
    <w:rsid w:val="00FC7EF4"/>
    <w:rsid w:val="00FD0B3D"/>
    <w:rsid w:val="00FD75B0"/>
    <w:rsid w:val="00FE4640"/>
    <w:rsid w:val="00FE59F4"/>
    <w:rsid w:val="00FE5F84"/>
    <w:rsid w:val="00FE72C3"/>
    <w:rsid w:val="00FF1090"/>
    <w:rsid w:val="00FF4BAB"/>
    <w:rsid w:val="00FF4BEE"/>
    <w:rsid w:val="00FF4C14"/>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7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28"/>
    <w:rPr>
      <w:rFonts w:ascii="Times" w:hAnsi="Times" w:cs="Times"/>
      <w:sz w:val="24"/>
      <w:szCs w:val="24"/>
      <w:lang w:val="es-ES_tradnl" w:eastAsia="es-ES"/>
    </w:rPr>
  </w:style>
  <w:style w:type="paragraph" w:styleId="Heading1">
    <w:name w:val="heading 1"/>
    <w:basedOn w:val="Normal"/>
    <w:next w:val="Normal"/>
    <w:link w:val="Heading1Char"/>
    <w:uiPriority w:val="99"/>
    <w:qFormat/>
    <w:rsid w:val="00EB4828"/>
    <w:pPr>
      <w:keepNext/>
      <w:jc w:val="center"/>
      <w:outlineLvl w:val="0"/>
    </w:pPr>
    <w:rPr>
      <w:rFonts w:ascii="Verdana" w:hAnsi="Verdana" w:cs="Times New Roman"/>
      <w:b/>
      <w:bCs/>
      <w:caps/>
      <w:sz w:val="28"/>
      <w:szCs w:val="28"/>
    </w:rPr>
  </w:style>
  <w:style w:type="paragraph" w:styleId="Heading2">
    <w:name w:val="heading 2"/>
    <w:basedOn w:val="Normal"/>
    <w:next w:val="Normal"/>
    <w:link w:val="Heading2Char"/>
    <w:uiPriority w:val="9"/>
    <w:unhideWhenUsed/>
    <w:qFormat/>
    <w:rsid w:val="00D740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EB4828"/>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B4828"/>
    <w:rPr>
      <w:rFonts w:ascii="Verdana" w:eastAsia="Calibri" w:hAnsi="Verdana" w:cs="Verdana"/>
      <w:b/>
      <w:bCs/>
      <w:caps/>
      <w:sz w:val="28"/>
      <w:szCs w:val="28"/>
      <w:lang w:val="es-ES_tradnl" w:eastAsia="es-ES"/>
    </w:rPr>
  </w:style>
  <w:style w:type="character" w:customStyle="1" w:styleId="Heading4Char">
    <w:name w:val="Heading 4 Char"/>
    <w:link w:val="Heading4"/>
    <w:uiPriority w:val="99"/>
    <w:rsid w:val="00EB4828"/>
    <w:rPr>
      <w:rFonts w:ascii="Times" w:eastAsia="Calibri" w:hAnsi="Times" w:cs="Times"/>
      <w:b/>
      <w:bCs/>
      <w:sz w:val="28"/>
      <w:szCs w:val="28"/>
      <w:lang w:val="es-ES_tradnl" w:eastAsia="es-ES"/>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link w:val="4GChar"/>
    <w:uiPriority w:val="99"/>
    <w:qFormat/>
    <w:rsid w:val="00EB4828"/>
    <w:rPr>
      <w:rFonts w:ascii="Verdana" w:hAnsi="Verdana" w:cs="Verdana"/>
      <w:sz w:val="16"/>
      <w:szCs w:val="16"/>
      <w:vertAlign w:val="superscript"/>
    </w:rPr>
  </w:style>
  <w:style w:type="paragraph" w:styleId="FootnoteText">
    <w:name w:val="footnote text"/>
    <w:aliases w:val="FA Fu,Footnote Text Char Char Char Char Char,Footnote Text Char Char Char Char,Footnote reference,Footnote Text Char Char Char,FA Fu Car,FA Fu Car Car,Footnote Text Cha,FA Fußnotentext,FA Fuﬂnotentext,FA Fu?notentext,Ca,footnote text,C,ft"/>
    <w:basedOn w:val="Normal"/>
    <w:link w:val="FootnoteTextChar"/>
    <w:autoRedefine/>
    <w:uiPriority w:val="99"/>
    <w:qFormat/>
    <w:rsid w:val="00EA03C8"/>
    <w:pPr>
      <w:jc w:val="both"/>
    </w:pPr>
    <w:rPr>
      <w:rFonts w:ascii="Verdana" w:hAnsi="Verdana" w:cs="Times New Roman"/>
      <w:sz w:val="16"/>
      <w:szCs w:val="16"/>
    </w:rPr>
  </w:style>
  <w:style w:type="character" w:customStyle="1" w:styleId="FootnoteTextChar">
    <w:name w:val="Footnote Text Char"/>
    <w:aliases w:val="FA Fu Char,Footnote Text Char Char Char Char Char Char,Footnote Text Char Char Char Char Char1,Footnote reference Char,Footnote Text Char Char Char Char1,FA Fu Car Char,FA Fu Car Car Char,Footnote Text Cha Char,FA Fußnotentext Char"/>
    <w:link w:val="FootnoteText"/>
    <w:uiPriority w:val="99"/>
    <w:qFormat/>
    <w:rsid w:val="00EA03C8"/>
    <w:rPr>
      <w:rFonts w:ascii="Verdana" w:hAnsi="Verdana"/>
      <w:sz w:val="16"/>
      <w:szCs w:val="16"/>
      <w:lang w:val="es-ES_tradnl" w:eastAsia="es-ES"/>
    </w:rPr>
  </w:style>
  <w:style w:type="paragraph" w:styleId="ListParagraph">
    <w:name w:val="List Paragraph"/>
    <w:aliases w:val="Footnote,Párrafo de lista1"/>
    <w:basedOn w:val="Normal"/>
    <w:qFormat/>
    <w:rsid w:val="00EB4828"/>
    <w:pPr>
      <w:ind w:left="720"/>
    </w:pPr>
  </w:style>
  <w:style w:type="paragraph" w:styleId="BodyText">
    <w:name w:val="Body Text"/>
    <w:basedOn w:val="Normal"/>
    <w:link w:val="BodyTextChar"/>
    <w:uiPriority w:val="99"/>
    <w:semiHidden/>
    <w:unhideWhenUsed/>
    <w:rsid w:val="00EB4828"/>
    <w:pPr>
      <w:spacing w:after="120"/>
    </w:pPr>
    <w:rPr>
      <w:rFonts w:cs="Times New Roman"/>
    </w:rPr>
  </w:style>
  <w:style w:type="character" w:customStyle="1" w:styleId="BodyTextChar">
    <w:name w:val="Body Text Char"/>
    <w:link w:val="BodyText"/>
    <w:uiPriority w:val="99"/>
    <w:semiHidden/>
    <w:rsid w:val="00EB4828"/>
    <w:rPr>
      <w:rFonts w:ascii="Times" w:eastAsia="Calibri" w:hAnsi="Times" w:cs="Times"/>
      <w:sz w:val="24"/>
      <w:szCs w:val="24"/>
      <w:lang w:val="es-ES_tradnl" w:eastAsia="es-ES"/>
    </w:rPr>
  </w:style>
  <w:style w:type="paragraph" w:styleId="BodyText2">
    <w:name w:val="Body Text 2"/>
    <w:basedOn w:val="Normal"/>
    <w:link w:val="BodyText2Char"/>
    <w:rsid w:val="00EB4828"/>
    <w:pPr>
      <w:spacing w:after="120" w:line="480" w:lineRule="auto"/>
    </w:pPr>
    <w:rPr>
      <w:rFonts w:eastAsia="Times" w:cs="Times New Roman"/>
      <w:szCs w:val="20"/>
    </w:rPr>
  </w:style>
  <w:style w:type="character" w:customStyle="1" w:styleId="BodyText2Char">
    <w:name w:val="Body Text 2 Char"/>
    <w:link w:val="BodyText2"/>
    <w:rsid w:val="00EB4828"/>
    <w:rPr>
      <w:rFonts w:ascii="Times" w:eastAsia="Times" w:hAnsi="Times" w:cs="Times New Roman"/>
      <w:sz w:val="24"/>
      <w:szCs w:val="20"/>
      <w:lang w:val="es-ES_tradnl" w:eastAsia="es-ES"/>
    </w:rPr>
  </w:style>
  <w:style w:type="paragraph" w:styleId="Header">
    <w:name w:val="header"/>
    <w:basedOn w:val="Normal"/>
    <w:link w:val="HeaderChar"/>
    <w:uiPriority w:val="99"/>
    <w:unhideWhenUsed/>
    <w:rsid w:val="00A5010A"/>
    <w:pPr>
      <w:tabs>
        <w:tab w:val="center" w:pos="4680"/>
        <w:tab w:val="right" w:pos="9360"/>
      </w:tabs>
    </w:pPr>
    <w:rPr>
      <w:rFonts w:cs="Times New Roman"/>
    </w:rPr>
  </w:style>
  <w:style w:type="character" w:customStyle="1" w:styleId="HeaderChar">
    <w:name w:val="Header Char"/>
    <w:link w:val="Header"/>
    <w:uiPriority w:val="99"/>
    <w:rsid w:val="00A5010A"/>
    <w:rPr>
      <w:rFonts w:ascii="Times" w:hAnsi="Times" w:cs="Times"/>
      <w:sz w:val="24"/>
      <w:szCs w:val="24"/>
      <w:lang w:val="es-ES_tradnl" w:eastAsia="es-ES"/>
    </w:rPr>
  </w:style>
  <w:style w:type="paragraph" w:styleId="Footer">
    <w:name w:val="footer"/>
    <w:basedOn w:val="Normal"/>
    <w:link w:val="FooterChar"/>
    <w:uiPriority w:val="99"/>
    <w:unhideWhenUsed/>
    <w:rsid w:val="00A5010A"/>
    <w:pPr>
      <w:tabs>
        <w:tab w:val="center" w:pos="4680"/>
        <w:tab w:val="right" w:pos="9360"/>
      </w:tabs>
    </w:pPr>
    <w:rPr>
      <w:rFonts w:cs="Times New Roman"/>
    </w:rPr>
  </w:style>
  <w:style w:type="character" w:customStyle="1" w:styleId="FooterChar">
    <w:name w:val="Footer Char"/>
    <w:link w:val="Footer"/>
    <w:uiPriority w:val="99"/>
    <w:rsid w:val="00A5010A"/>
    <w:rPr>
      <w:rFonts w:ascii="Times" w:hAnsi="Times" w:cs="Times"/>
      <w:sz w:val="24"/>
      <w:szCs w:val="24"/>
      <w:lang w:val="es-ES_tradnl" w:eastAsia="es-ES"/>
    </w:rPr>
  </w:style>
  <w:style w:type="paragraph" w:styleId="BalloonText">
    <w:name w:val="Balloon Text"/>
    <w:basedOn w:val="Normal"/>
    <w:link w:val="BalloonTextChar"/>
    <w:uiPriority w:val="99"/>
    <w:semiHidden/>
    <w:unhideWhenUsed/>
    <w:rsid w:val="007722E3"/>
    <w:rPr>
      <w:rFonts w:ascii="Tahoma" w:hAnsi="Tahoma" w:cs="Times New Roman"/>
      <w:sz w:val="16"/>
      <w:szCs w:val="16"/>
    </w:rPr>
  </w:style>
  <w:style w:type="character" w:customStyle="1" w:styleId="BalloonTextChar">
    <w:name w:val="Balloon Text Char"/>
    <w:link w:val="BalloonText"/>
    <w:uiPriority w:val="99"/>
    <w:semiHidden/>
    <w:rsid w:val="007722E3"/>
    <w:rPr>
      <w:rFonts w:ascii="Tahoma" w:hAnsi="Tahoma" w:cs="Tahoma"/>
      <w:sz w:val="16"/>
      <w:szCs w:val="16"/>
      <w:lang w:val="es-ES_tradnl" w:eastAsia="es-ES"/>
    </w:rPr>
  </w:style>
  <w:style w:type="character" w:styleId="CommentReference">
    <w:name w:val="annotation reference"/>
    <w:uiPriority w:val="99"/>
    <w:semiHidden/>
    <w:unhideWhenUsed/>
    <w:rsid w:val="008F425C"/>
    <w:rPr>
      <w:sz w:val="16"/>
      <w:szCs w:val="16"/>
    </w:rPr>
  </w:style>
  <w:style w:type="paragraph" w:styleId="CommentText">
    <w:name w:val="annotation text"/>
    <w:basedOn w:val="Normal"/>
    <w:link w:val="CommentTextChar"/>
    <w:uiPriority w:val="99"/>
    <w:unhideWhenUsed/>
    <w:rsid w:val="008F425C"/>
    <w:rPr>
      <w:rFonts w:cs="Times New Roman"/>
      <w:sz w:val="20"/>
      <w:szCs w:val="20"/>
    </w:rPr>
  </w:style>
  <w:style w:type="character" w:customStyle="1" w:styleId="CommentTextChar">
    <w:name w:val="Comment Text Char"/>
    <w:link w:val="CommentText"/>
    <w:uiPriority w:val="99"/>
    <w:rsid w:val="008F425C"/>
    <w:rPr>
      <w:rFonts w:ascii="Times" w:hAnsi="Times" w:cs="Times"/>
      <w:lang w:val="es-ES_tradnl" w:eastAsia="es-ES"/>
    </w:rPr>
  </w:style>
  <w:style w:type="paragraph" w:styleId="CommentSubject">
    <w:name w:val="annotation subject"/>
    <w:basedOn w:val="CommentText"/>
    <w:next w:val="CommentText"/>
    <w:link w:val="CommentSubjectChar"/>
    <w:uiPriority w:val="99"/>
    <w:semiHidden/>
    <w:unhideWhenUsed/>
    <w:rsid w:val="008F425C"/>
    <w:rPr>
      <w:b/>
      <w:bCs/>
    </w:rPr>
  </w:style>
  <w:style w:type="character" w:customStyle="1" w:styleId="CommentSubjectChar">
    <w:name w:val="Comment Subject Char"/>
    <w:link w:val="CommentSubject"/>
    <w:uiPriority w:val="99"/>
    <w:semiHidden/>
    <w:rsid w:val="008F425C"/>
    <w:rPr>
      <w:rFonts w:ascii="Times" w:hAnsi="Times" w:cs="Times"/>
      <w:b/>
      <w:bCs/>
      <w:lang w:val="es-ES_tradnl" w:eastAsia="es-ES"/>
    </w:rPr>
  </w:style>
  <w:style w:type="character" w:styleId="Strong">
    <w:name w:val="Strong"/>
    <w:basedOn w:val="DefaultParagraphFont"/>
    <w:uiPriority w:val="22"/>
    <w:qFormat/>
    <w:rsid w:val="00C77FAB"/>
    <w:rPr>
      <w:b/>
      <w:bCs/>
    </w:rPr>
  </w:style>
  <w:style w:type="character" w:customStyle="1" w:styleId="apple-converted-space">
    <w:name w:val="apple-converted-space"/>
    <w:basedOn w:val="DefaultParagraphFont"/>
    <w:rsid w:val="00E00088"/>
  </w:style>
  <w:style w:type="character" w:customStyle="1" w:styleId="Heading2Char">
    <w:name w:val="Heading 2 Char"/>
    <w:basedOn w:val="DefaultParagraphFont"/>
    <w:link w:val="Heading2"/>
    <w:uiPriority w:val="9"/>
    <w:rsid w:val="00D740BB"/>
    <w:rPr>
      <w:rFonts w:asciiTheme="majorHAnsi" w:eastAsiaTheme="majorEastAsia" w:hAnsiTheme="majorHAnsi" w:cstheme="majorBidi"/>
      <w:b/>
      <w:bCs/>
      <w:color w:val="4F81BD" w:themeColor="accent1"/>
      <w:sz w:val="26"/>
      <w:szCs w:val="26"/>
      <w:lang w:val="es-ES_tradnl" w:eastAsia="es-ES"/>
    </w:rPr>
  </w:style>
  <w:style w:type="paragraph" w:customStyle="1" w:styleId="Default">
    <w:name w:val="Default"/>
    <w:rsid w:val="00F2763F"/>
    <w:pPr>
      <w:autoSpaceDE w:val="0"/>
      <w:autoSpaceDN w:val="0"/>
      <w:adjustRightInd w:val="0"/>
    </w:pPr>
    <w:rPr>
      <w:rFonts w:ascii="Verdana" w:eastAsiaTheme="minorHAnsi" w:hAnsi="Verdana" w:cs="Verdana"/>
      <w:color w:val="000000"/>
      <w:sz w:val="24"/>
      <w:szCs w:val="24"/>
    </w:rPr>
  </w:style>
  <w:style w:type="paragraph" w:styleId="Revision">
    <w:name w:val="Revision"/>
    <w:hidden/>
    <w:uiPriority w:val="99"/>
    <w:semiHidden/>
    <w:rsid w:val="003826EE"/>
    <w:rPr>
      <w:rFonts w:ascii="Times" w:hAnsi="Times" w:cs="Times"/>
      <w:sz w:val="24"/>
      <w:szCs w:val="24"/>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C51978"/>
    <w:pPr>
      <w:jc w:val="both"/>
    </w:pPr>
    <w:rPr>
      <w:rFonts w:ascii="Verdana" w:hAnsi="Verdana" w:cs="Verdana"/>
      <w:sz w:val="16"/>
      <w:szCs w:val="16"/>
      <w:vertAlign w:val="superscript"/>
      <w:lang w:val="en-US" w:eastAsia="en-US"/>
    </w:rPr>
  </w:style>
  <w:style w:type="character" w:styleId="LineNumber">
    <w:name w:val="line number"/>
    <w:basedOn w:val="DefaultParagraphFont"/>
    <w:uiPriority w:val="99"/>
    <w:semiHidden/>
    <w:unhideWhenUsed/>
    <w:rsid w:val="00E2293A"/>
  </w:style>
  <w:style w:type="character" w:styleId="PlaceholderText">
    <w:name w:val="Placeholder Text"/>
    <w:basedOn w:val="DefaultParagraphFont"/>
    <w:uiPriority w:val="99"/>
    <w:semiHidden/>
    <w:rsid w:val="009E417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28"/>
    <w:rPr>
      <w:rFonts w:ascii="Times" w:hAnsi="Times" w:cs="Times"/>
      <w:sz w:val="24"/>
      <w:szCs w:val="24"/>
      <w:lang w:val="es-ES_tradnl" w:eastAsia="es-ES"/>
    </w:rPr>
  </w:style>
  <w:style w:type="paragraph" w:styleId="Heading1">
    <w:name w:val="heading 1"/>
    <w:basedOn w:val="Normal"/>
    <w:next w:val="Normal"/>
    <w:link w:val="Heading1Char"/>
    <w:uiPriority w:val="99"/>
    <w:qFormat/>
    <w:rsid w:val="00EB4828"/>
    <w:pPr>
      <w:keepNext/>
      <w:jc w:val="center"/>
      <w:outlineLvl w:val="0"/>
    </w:pPr>
    <w:rPr>
      <w:rFonts w:ascii="Verdana" w:hAnsi="Verdana" w:cs="Times New Roman"/>
      <w:b/>
      <w:bCs/>
      <w:caps/>
      <w:sz w:val="28"/>
      <w:szCs w:val="28"/>
    </w:rPr>
  </w:style>
  <w:style w:type="paragraph" w:styleId="Heading2">
    <w:name w:val="heading 2"/>
    <w:basedOn w:val="Normal"/>
    <w:next w:val="Normal"/>
    <w:link w:val="Heading2Char"/>
    <w:uiPriority w:val="9"/>
    <w:unhideWhenUsed/>
    <w:qFormat/>
    <w:rsid w:val="00D740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EB4828"/>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B4828"/>
    <w:rPr>
      <w:rFonts w:ascii="Verdana" w:eastAsia="Calibri" w:hAnsi="Verdana" w:cs="Verdana"/>
      <w:b/>
      <w:bCs/>
      <w:caps/>
      <w:sz w:val="28"/>
      <w:szCs w:val="28"/>
      <w:lang w:val="es-ES_tradnl" w:eastAsia="es-ES"/>
    </w:rPr>
  </w:style>
  <w:style w:type="character" w:customStyle="1" w:styleId="Heading4Char">
    <w:name w:val="Heading 4 Char"/>
    <w:link w:val="Heading4"/>
    <w:uiPriority w:val="99"/>
    <w:rsid w:val="00EB4828"/>
    <w:rPr>
      <w:rFonts w:ascii="Times" w:eastAsia="Calibri" w:hAnsi="Times" w:cs="Times"/>
      <w:b/>
      <w:bCs/>
      <w:sz w:val="28"/>
      <w:szCs w:val="28"/>
      <w:lang w:val="es-ES_tradnl" w:eastAsia="es-ES"/>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link w:val="4GChar"/>
    <w:uiPriority w:val="99"/>
    <w:qFormat/>
    <w:rsid w:val="00EB4828"/>
    <w:rPr>
      <w:rFonts w:ascii="Verdana" w:hAnsi="Verdana" w:cs="Verdana"/>
      <w:sz w:val="16"/>
      <w:szCs w:val="16"/>
      <w:vertAlign w:val="superscript"/>
    </w:rPr>
  </w:style>
  <w:style w:type="paragraph" w:styleId="FootnoteText">
    <w:name w:val="footnote text"/>
    <w:aliases w:val="FA Fu,Footnote Text Char Char Char Char Char,Footnote Text Char Char Char Char,Footnote reference,Footnote Text Char Char Char,FA Fu Car,FA Fu Car Car,Footnote Text Cha,FA Fußnotentext,FA Fuﬂnotentext,FA Fu?notentext,Ca,footnote text,C,ft"/>
    <w:basedOn w:val="Normal"/>
    <w:link w:val="FootnoteTextChar"/>
    <w:autoRedefine/>
    <w:uiPriority w:val="99"/>
    <w:qFormat/>
    <w:rsid w:val="00EA03C8"/>
    <w:pPr>
      <w:jc w:val="both"/>
    </w:pPr>
    <w:rPr>
      <w:rFonts w:ascii="Verdana" w:hAnsi="Verdana" w:cs="Times New Roman"/>
      <w:sz w:val="16"/>
      <w:szCs w:val="16"/>
    </w:rPr>
  </w:style>
  <w:style w:type="character" w:customStyle="1" w:styleId="FootnoteTextChar">
    <w:name w:val="Footnote Text Char"/>
    <w:aliases w:val="FA Fu Char,Footnote Text Char Char Char Char Char Char,Footnote Text Char Char Char Char Char1,Footnote reference Char,Footnote Text Char Char Char Char1,FA Fu Car Char,FA Fu Car Car Char,Footnote Text Cha Char,FA Fußnotentext Char"/>
    <w:link w:val="FootnoteText"/>
    <w:uiPriority w:val="99"/>
    <w:qFormat/>
    <w:rsid w:val="00EA03C8"/>
    <w:rPr>
      <w:rFonts w:ascii="Verdana" w:hAnsi="Verdana"/>
      <w:sz w:val="16"/>
      <w:szCs w:val="16"/>
      <w:lang w:val="es-ES_tradnl" w:eastAsia="es-ES"/>
    </w:rPr>
  </w:style>
  <w:style w:type="paragraph" w:styleId="ListParagraph">
    <w:name w:val="List Paragraph"/>
    <w:aliases w:val="Footnote,Párrafo de lista1"/>
    <w:basedOn w:val="Normal"/>
    <w:qFormat/>
    <w:rsid w:val="00EB4828"/>
    <w:pPr>
      <w:ind w:left="720"/>
    </w:pPr>
  </w:style>
  <w:style w:type="paragraph" w:styleId="BodyText">
    <w:name w:val="Body Text"/>
    <w:basedOn w:val="Normal"/>
    <w:link w:val="BodyTextChar"/>
    <w:uiPriority w:val="99"/>
    <w:semiHidden/>
    <w:unhideWhenUsed/>
    <w:rsid w:val="00EB4828"/>
    <w:pPr>
      <w:spacing w:after="120"/>
    </w:pPr>
    <w:rPr>
      <w:rFonts w:cs="Times New Roman"/>
    </w:rPr>
  </w:style>
  <w:style w:type="character" w:customStyle="1" w:styleId="BodyTextChar">
    <w:name w:val="Body Text Char"/>
    <w:link w:val="BodyText"/>
    <w:uiPriority w:val="99"/>
    <w:semiHidden/>
    <w:rsid w:val="00EB4828"/>
    <w:rPr>
      <w:rFonts w:ascii="Times" w:eastAsia="Calibri" w:hAnsi="Times" w:cs="Times"/>
      <w:sz w:val="24"/>
      <w:szCs w:val="24"/>
      <w:lang w:val="es-ES_tradnl" w:eastAsia="es-ES"/>
    </w:rPr>
  </w:style>
  <w:style w:type="paragraph" w:styleId="BodyText2">
    <w:name w:val="Body Text 2"/>
    <w:basedOn w:val="Normal"/>
    <w:link w:val="BodyText2Char"/>
    <w:rsid w:val="00EB4828"/>
    <w:pPr>
      <w:spacing w:after="120" w:line="480" w:lineRule="auto"/>
    </w:pPr>
    <w:rPr>
      <w:rFonts w:eastAsia="Times" w:cs="Times New Roman"/>
      <w:szCs w:val="20"/>
    </w:rPr>
  </w:style>
  <w:style w:type="character" w:customStyle="1" w:styleId="BodyText2Char">
    <w:name w:val="Body Text 2 Char"/>
    <w:link w:val="BodyText2"/>
    <w:rsid w:val="00EB4828"/>
    <w:rPr>
      <w:rFonts w:ascii="Times" w:eastAsia="Times" w:hAnsi="Times" w:cs="Times New Roman"/>
      <w:sz w:val="24"/>
      <w:szCs w:val="20"/>
      <w:lang w:val="es-ES_tradnl" w:eastAsia="es-ES"/>
    </w:rPr>
  </w:style>
  <w:style w:type="paragraph" w:styleId="Header">
    <w:name w:val="header"/>
    <w:basedOn w:val="Normal"/>
    <w:link w:val="HeaderChar"/>
    <w:uiPriority w:val="99"/>
    <w:unhideWhenUsed/>
    <w:rsid w:val="00A5010A"/>
    <w:pPr>
      <w:tabs>
        <w:tab w:val="center" w:pos="4680"/>
        <w:tab w:val="right" w:pos="9360"/>
      </w:tabs>
    </w:pPr>
    <w:rPr>
      <w:rFonts w:cs="Times New Roman"/>
    </w:rPr>
  </w:style>
  <w:style w:type="character" w:customStyle="1" w:styleId="HeaderChar">
    <w:name w:val="Header Char"/>
    <w:link w:val="Header"/>
    <w:uiPriority w:val="99"/>
    <w:rsid w:val="00A5010A"/>
    <w:rPr>
      <w:rFonts w:ascii="Times" w:hAnsi="Times" w:cs="Times"/>
      <w:sz w:val="24"/>
      <w:szCs w:val="24"/>
      <w:lang w:val="es-ES_tradnl" w:eastAsia="es-ES"/>
    </w:rPr>
  </w:style>
  <w:style w:type="paragraph" w:styleId="Footer">
    <w:name w:val="footer"/>
    <w:basedOn w:val="Normal"/>
    <w:link w:val="FooterChar"/>
    <w:uiPriority w:val="99"/>
    <w:unhideWhenUsed/>
    <w:rsid w:val="00A5010A"/>
    <w:pPr>
      <w:tabs>
        <w:tab w:val="center" w:pos="4680"/>
        <w:tab w:val="right" w:pos="9360"/>
      </w:tabs>
    </w:pPr>
    <w:rPr>
      <w:rFonts w:cs="Times New Roman"/>
    </w:rPr>
  </w:style>
  <w:style w:type="character" w:customStyle="1" w:styleId="FooterChar">
    <w:name w:val="Footer Char"/>
    <w:link w:val="Footer"/>
    <w:uiPriority w:val="99"/>
    <w:rsid w:val="00A5010A"/>
    <w:rPr>
      <w:rFonts w:ascii="Times" w:hAnsi="Times" w:cs="Times"/>
      <w:sz w:val="24"/>
      <w:szCs w:val="24"/>
      <w:lang w:val="es-ES_tradnl" w:eastAsia="es-ES"/>
    </w:rPr>
  </w:style>
  <w:style w:type="paragraph" w:styleId="BalloonText">
    <w:name w:val="Balloon Text"/>
    <w:basedOn w:val="Normal"/>
    <w:link w:val="BalloonTextChar"/>
    <w:uiPriority w:val="99"/>
    <w:semiHidden/>
    <w:unhideWhenUsed/>
    <w:rsid w:val="007722E3"/>
    <w:rPr>
      <w:rFonts w:ascii="Tahoma" w:hAnsi="Tahoma" w:cs="Times New Roman"/>
      <w:sz w:val="16"/>
      <w:szCs w:val="16"/>
    </w:rPr>
  </w:style>
  <w:style w:type="character" w:customStyle="1" w:styleId="BalloonTextChar">
    <w:name w:val="Balloon Text Char"/>
    <w:link w:val="BalloonText"/>
    <w:uiPriority w:val="99"/>
    <w:semiHidden/>
    <w:rsid w:val="007722E3"/>
    <w:rPr>
      <w:rFonts w:ascii="Tahoma" w:hAnsi="Tahoma" w:cs="Tahoma"/>
      <w:sz w:val="16"/>
      <w:szCs w:val="16"/>
      <w:lang w:val="es-ES_tradnl" w:eastAsia="es-ES"/>
    </w:rPr>
  </w:style>
  <w:style w:type="character" w:styleId="CommentReference">
    <w:name w:val="annotation reference"/>
    <w:uiPriority w:val="99"/>
    <w:semiHidden/>
    <w:unhideWhenUsed/>
    <w:rsid w:val="008F425C"/>
    <w:rPr>
      <w:sz w:val="16"/>
      <w:szCs w:val="16"/>
    </w:rPr>
  </w:style>
  <w:style w:type="paragraph" w:styleId="CommentText">
    <w:name w:val="annotation text"/>
    <w:basedOn w:val="Normal"/>
    <w:link w:val="CommentTextChar"/>
    <w:uiPriority w:val="99"/>
    <w:unhideWhenUsed/>
    <w:rsid w:val="008F425C"/>
    <w:rPr>
      <w:rFonts w:cs="Times New Roman"/>
      <w:sz w:val="20"/>
      <w:szCs w:val="20"/>
    </w:rPr>
  </w:style>
  <w:style w:type="character" w:customStyle="1" w:styleId="CommentTextChar">
    <w:name w:val="Comment Text Char"/>
    <w:link w:val="CommentText"/>
    <w:uiPriority w:val="99"/>
    <w:rsid w:val="008F425C"/>
    <w:rPr>
      <w:rFonts w:ascii="Times" w:hAnsi="Times" w:cs="Times"/>
      <w:lang w:val="es-ES_tradnl" w:eastAsia="es-ES"/>
    </w:rPr>
  </w:style>
  <w:style w:type="paragraph" w:styleId="CommentSubject">
    <w:name w:val="annotation subject"/>
    <w:basedOn w:val="CommentText"/>
    <w:next w:val="CommentText"/>
    <w:link w:val="CommentSubjectChar"/>
    <w:uiPriority w:val="99"/>
    <w:semiHidden/>
    <w:unhideWhenUsed/>
    <w:rsid w:val="008F425C"/>
    <w:rPr>
      <w:b/>
      <w:bCs/>
    </w:rPr>
  </w:style>
  <w:style w:type="character" w:customStyle="1" w:styleId="CommentSubjectChar">
    <w:name w:val="Comment Subject Char"/>
    <w:link w:val="CommentSubject"/>
    <w:uiPriority w:val="99"/>
    <w:semiHidden/>
    <w:rsid w:val="008F425C"/>
    <w:rPr>
      <w:rFonts w:ascii="Times" w:hAnsi="Times" w:cs="Times"/>
      <w:b/>
      <w:bCs/>
      <w:lang w:val="es-ES_tradnl" w:eastAsia="es-ES"/>
    </w:rPr>
  </w:style>
  <w:style w:type="character" w:styleId="Strong">
    <w:name w:val="Strong"/>
    <w:basedOn w:val="DefaultParagraphFont"/>
    <w:uiPriority w:val="22"/>
    <w:qFormat/>
    <w:rsid w:val="00C77FAB"/>
    <w:rPr>
      <w:b/>
      <w:bCs/>
    </w:rPr>
  </w:style>
  <w:style w:type="character" w:customStyle="1" w:styleId="apple-converted-space">
    <w:name w:val="apple-converted-space"/>
    <w:basedOn w:val="DefaultParagraphFont"/>
    <w:rsid w:val="00E00088"/>
  </w:style>
  <w:style w:type="character" w:customStyle="1" w:styleId="Heading2Char">
    <w:name w:val="Heading 2 Char"/>
    <w:basedOn w:val="DefaultParagraphFont"/>
    <w:link w:val="Heading2"/>
    <w:uiPriority w:val="9"/>
    <w:rsid w:val="00D740BB"/>
    <w:rPr>
      <w:rFonts w:asciiTheme="majorHAnsi" w:eastAsiaTheme="majorEastAsia" w:hAnsiTheme="majorHAnsi" w:cstheme="majorBidi"/>
      <w:b/>
      <w:bCs/>
      <w:color w:val="4F81BD" w:themeColor="accent1"/>
      <w:sz w:val="26"/>
      <w:szCs w:val="26"/>
      <w:lang w:val="es-ES_tradnl" w:eastAsia="es-ES"/>
    </w:rPr>
  </w:style>
  <w:style w:type="paragraph" w:customStyle="1" w:styleId="Default">
    <w:name w:val="Default"/>
    <w:rsid w:val="00F2763F"/>
    <w:pPr>
      <w:autoSpaceDE w:val="0"/>
      <w:autoSpaceDN w:val="0"/>
      <w:adjustRightInd w:val="0"/>
    </w:pPr>
    <w:rPr>
      <w:rFonts w:ascii="Verdana" w:eastAsiaTheme="minorHAnsi" w:hAnsi="Verdana" w:cs="Verdana"/>
      <w:color w:val="000000"/>
      <w:sz w:val="24"/>
      <w:szCs w:val="24"/>
    </w:rPr>
  </w:style>
  <w:style w:type="paragraph" w:styleId="Revision">
    <w:name w:val="Revision"/>
    <w:hidden/>
    <w:uiPriority w:val="99"/>
    <w:semiHidden/>
    <w:rsid w:val="003826EE"/>
    <w:rPr>
      <w:rFonts w:ascii="Times" w:hAnsi="Times" w:cs="Times"/>
      <w:sz w:val="24"/>
      <w:szCs w:val="24"/>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C51978"/>
    <w:pPr>
      <w:jc w:val="both"/>
    </w:pPr>
    <w:rPr>
      <w:rFonts w:ascii="Verdana" w:hAnsi="Verdana" w:cs="Verdana"/>
      <w:sz w:val="16"/>
      <w:szCs w:val="16"/>
      <w:vertAlign w:val="superscript"/>
      <w:lang w:val="en-US" w:eastAsia="en-US"/>
    </w:rPr>
  </w:style>
  <w:style w:type="character" w:styleId="LineNumber">
    <w:name w:val="line number"/>
    <w:basedOn w:val="DefaultParagraphFont"/>
    <w:uiPriority w:val="99"/>
    <w:semiHidden/>
    <w:unhideWhenUsed/>
    <w:rsid w:val="00E2293A"/>
  </w:style>
  <w:style w:type="character" w:styleId="PlaceholderText">
    <w:name w:val="Placeholder Text"/>
    <w:basedOn w:val="DefaultParagraphFont"/>
    <w:uiPriority w:val="99"/>
    <w:semiHidden/>
    <w:rsid w:val="009E41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081">
      <w:bodyDiv w:val="1"/>
      <w:marLeft w:val="0"/>
      <w:marRight w:val="0"/>
      <w:marTop w:val="0"/>
      <w:marBottom w:val="0"/>
      <w:divBdr>
        <w:top w:val="none" w:sz="0" w:space="0" w:color="auto"/>
        <w:left w:val="none" w:sz="0" w:space="0" w:color="auto"/>
        <w:bottom w:val="none" w:sz="0" w:space="0" w:color="auto"/>
        <w:right w:val="none" w:sz="0" w:space="0" w:color="auto"/>
      </w:divBdr>
    </w:div>
    <w:div w:id="16582936">
      <w:bodyDiv w:val="1"/>
      <w:marLeft w:val="0"/>
      <w:marRight w:val="0"/>
      <w:marTop w:val="0"/>
      <w:marBottom w:val="0"/>
      <w:divBdr>
        <w:top w:val="none" w:sz="0" w:space="0" w:color="auto"/>
        <w:left w:val="none" w:sz="0" w:space="0" w:color="auto"/>
        <w:bottom w:val="none" w:sz="0" w:space="0" w:color="auto"/>
        <w:right w:val="none" w:sz="0" w:space="0" w:color="auto"/>
      </w:divBdr>
    </w:div>
    <w:div w:id="61369091">
      <w:bodyDiv w:val="1"/>
      <w:marLeft w:val="0"/>
      <w:marRight w:val="0"/>
      <w:marTop w:val="0"/>
      <w:marBottom w:val="0"/>
      <w:divBdr>
        <w:top w:val="none" w:sz="0" w:space="0" w:color="auto"/>
        <w:left w:val="none" w:sz="0" w:space="0" w:color="auto"/>
        <w:bottom w:val="none" w:sz="0" w:space="0" w:color="auto"/>
        <w:right w:val="none" w:sz="0" w:space="0" w:color="auto"/>
      </w:divBdr>
    </w:div>
    <w:div w:id="381755163">
      <w:bodyDiv w:val="1"/>
      <w:marLeft w:val="0"/>
      <w:marRight w:val="0"/>
      <w:marTop w:val="0"/>
      <w:marBottom w:val="0"/>
      <w:divBdr>
        <w:top w:val="none" w:sz="0" w:space="0" w:color="auto"/>
        <w:left w:val="none" w:sz="0" w:space="0" w:color="auto"/>
        <w:bottom w:val="none" w:sz="0" w:space="0" w:color="auto"/>
        <w:right w:val="none" w:sz="0" w:space="0" w:color="auto"/>
      </w:divBdr>
    </w:div>
    <w:div w:id="403265878">
      <w:bodyDiv w:val="1"/>
      <w:marLeft w:val="0"/>
      <w:marRight w:val="0"/>
      <w:marTop w:val="0"/>
      <w:marBottom w:val="0"/>
      <w:divBdr>
        <w:top w:val="none" w:sz="0" w:space="0" w:color="auto"/>
        <w:left w:val="none" w:sz="0" w:space="0" w:color="auto"/>
        <w:bottom w:val="none" w:sz="0" w:space="0" w:color="auto"/>
        <w:right w:val="none" w:sz="0" w:space="0" w:color="auto"/>
      </w:divBdr>
    </w:div>
    <w:div w:id="523329109">
      <w:bodyDiv w:val="1"/>
      <w:marLeft w:val="0"/>
      <w:marRight w:val="0"/>
      <w:marTop w:val="0"/>
      <w:marBottom w:val="0"/>
      <w:divBdr>
        <w:top w:val="none" w:sz="0" w:space="0" w:color="auto"/>
        <w:left w:val="none" w:sz="0" w:space="0" w:color="auto"/>
        <w:bottom w:val="none" w:sz="0" w:space="0" w:color="auto"/>
        <w:right w:val="none" w:sz="0" w:space="0" w:color="auto"/>
      </w:divBdr>
    </w:div>
    <w:div w:id="675309656">
      <w:bodyDiv w:val="1"/>
      <w:marLeft w:val="0"/>
      <w:marRight w:val="0"/>
      <w:marTop w:val="0"/>
      <w:marBottom w:val="0"/>
      <w:divBdr>
        <w:top w:val="none" w:sz="0" w:space="0" w:color="auto"/>
        <w:left w:val="none" w:sz="0" w:space="0" w:color="auto"/>
        <w:bottom w:val="none" w:sz="0" w:space="0" w:color="auto"/>
        <w:right w:val="none" w:sz="0" w:space="0" w:color="auto"/>
      </w:divBdr>
      <w:divsChild>
        <w:div w:id="740837485">
          <w:marLeft w:val="0"/>
          <w:marRight w:val="0"/>
          <w:marTop w:val="0"/>
          <w:marBottom w:val="0"/>
          <w:divBdr>
            <w:top w:val="none" w:sz="0" w:space="0" w:color="auto"/>
            <w:left w:val="none" w:sz="0" w:space="0" w:color="auto"/>
            <w:bottom w:val="none" w:sz="0" w:space="0" w:color="auto"/>
            <w:right w:val="none" w:sz="0" w:space="0" w:color="auto"/>
          </w:divBdr>
        </w:div>
        <w:div w:id="542062258">
          <w:marLeft w:val="0"/>
          <w:marRight w:val="0"/>
          <w:marTop w:val="0"/>
          <w:marBottom w:val="0"/>
          <w:divBdr>
            <w:top w:val="none" w:sz="0" w:space="0" w:color="auto"/>
            <w:left w:val="none" w:sz="0" w:space="0" w:color="auto"/>
            <w:bottom w:val="none" w:sz="0" w:space="0" w:color="auto"/>
            <w:right w:val="none" w:sz="0" w:space="0" w:color="auto"/>
          </w:divBdr>
        </w:div>
        <w:div w:id="1802259332">
          <w:marLeft w:val="0"/>
          <w:marRight w:val="0"/>
          <w:marTop w:val="0"/>
          <w:marBottom w:val="0"/>
          <w:divBdr>
            <w:top w:val="none" w:sz="0" w:space="0" w:color="auto"/>
            <w:left w:val="none" w:sz="0" w:space="0" w:color="auto"/>
            <w:bottom w:val="none" w:sz="0" w:space="0" w:color="auto"/>
            <w:right w:val="none" w:sz="0" w:space="0" w:color="auto"/>
          </w:divBdr>
        </w:div>
        <w:div w:id="582490252">
          <w:marLeft w:val="0"/>
          <w:marRight w:val="0"/>
          <w:marTop w:val="0"/>
          <w:marBottom w:val="0"/>
          <w:divBdr>
            <w:top w:val="none" w:sz="0" w:space="0" w:color="auto"/>
            <w:left w:val="none" w:sz="0" w:space="0" w:color="auto"/>
            <w:bottom w:val="none" w:sz="0" w:space="0" w:color="auto"/>
            <w:right w:val="none" w:sz="0" w:space="0" w:color="auto"/>
          </w:divBdr>
        </w:div>
        <w:div w:id="828638489">
          <w:marLeft w:val="0"/>
          <w:marRight w:val="0"/>
          <w:marTop w:val="0"/>
          <w:marBottom w:val="0"/>
          <w:divBdr>
            <w:top w:val="none" w:sz="0" w:space="0" w:color="auto"/>
            <w:left w:val="none" w:sz="0" w:space="0" w:color="auto"/>
            <w:bottom w:val="none" w:sz="0" w:space="0" w:color="auto"/>
            <w:right w:val="none" w:sz="0" w:space="0" w:color="auto"/>
          </w:divBdr>
        </w:div>
        <w:div w:id="487212942">
          <w:marLeft w:val="0"/>
          <w:marRight w:val="0"/>
          <w:marTop w:val="0"/>
          <w:marBottom w:val="0"/>
          <w:divBdr>
            <w:top w:val="none" w:sz="0" w:space="0" w:color="auto"/>
            <w:left w:val="none" w:sz="0" w:space="0" w:color="auto"/>
            <w:bottom w:val="none" w:sz="0" w:space="0" w:color="auto"/>
            <w:right w:val="none" w:sz="0" w:space="0" w:color="auto"/>
          </w:divBdr>
        </w:div>
        <w:div w:id="855773824">
          <w:marLeft w:val="0"/>
          <w:marRight w:val="0"/>
          <w:marTop w:val="0"/>
          <w:marBottom w:val="0"/>
          <w:divBdr>
            <w:top w:val="none" w:sz="0" w:space="0" w:color="auto"/>
            <w:left w:val="none" w:sz="0" w:space="0" w:color="auto"/>
            <w:bottom w:val="none" w:sz="0" w:space="0" w:color="auto"/>
            <w:right w:val="none" w:sz="0" w:space="0" w:color="auto"/>
          </w:divBdr>
        </w:div>
        <w:div w:id="926885124">
          <w:marLeft w:val="0"/>
          <w:marRight w:val="0"/>
          <w:marTop w:val="0"/>
          <w:marBottom w:val="0"/>
          <w:divBdr>
            <w:top w:val="none" w:sz="0" w:space="0" w:color="auto"/>
            <w:left w:val="none" w:sz="0" w:space="0" w:color="auto"/>
            <w:bottom w:val="none" w:sz="0" w:space="0" w:color="auto"/>
            <w:right w:val="none" w:sz="0" w:space="0" w:color="auto"/>
          </w:divBdr>
        </w:div>
      </w:divsChild>
    </w:div>
    <w:div w:id="980040429">
      <w:bodyDiv w:val="1"/>
      <w:marLeft w:val="0"/>
      <w:marRight w:val="0"/>
      <w:marTop w:val="0"/>
      <w:marBottom w:val="0"/>
      <w:divBdr>
        <w:top w:val="none" w:sz="0" w:space="0" w:color="auto"/>
        <w:left w:val="none" w:sz="0" w:space="0" w:color="auto"/>
        <w:bottom w:val="none" w:sz="0" w:space="0" w:color="auto"/>
        <w:right w:val="none" w:sz="0" w:space="0" w:color="auto"/>
      </w:divBdr>
    </w:div>
    <w:div w:id="1282683022">
      <w:bodyDiv w:val="1"/>
      <w:marLeft w:val="0"/>
      <w:marRight w:val="0"/>
      <w:marTop w:val="0"/>
      <w:marBottom w:val="0"/>
      <w:divBdr>
        <w:top w:val="none" w:sz="0" w:space="0" w:color="auto"/>
        <w:left w:val="none" w:sz="0" w:space="0" w:color="auto"/>
        <w:bottom w:val="none" w:sz="0" w:space="0" w:color="auto"/>
        <w:right w:val="none" w:sz="0" w:space="0" w:color="auto"/>
      </w:divBdr>
    </w:div>
    <w:div w:id="1372068255">
      <w:bodyDiv w:val="1"/>
      <w:marLeft w:val="0"/>
      <w:marRight w:val="0"/>
      <w:marTop w:val="0"/>
      <w:marBottom w:val="0"/>
      <w:divBdr>
        <w:top w:val="none" w:sz="0" w:space="0" w:color="auto"/>
        <w:left w:val="none" w:sz="0" w:space="0" w:color="auto"/>
        <w:bottom w:val="none" w:sz="0" w:space="0" w:color="auto"/>
        <w:right w:val="none" w:sz="0" w:space="0" w:color="auto"/>
      </w:divBdr>
    </w:div>
    <w:div w:id="1764448111">
      <w:bodyDiv w:val="1"/>
      <w:marLeft w:val="0"/>
      <w:marRight w:val="0"/>
      <w:marTop w:val="0"/>
      <w:marBottom w:val="0"/>
      <w:divBdr>
        <w:top w:val="none" w:sz="0" w:space="0" w:color="auto"/>
        <w:left w:val="none" w:sz="0" w:space="0" w:color="auto"/>
        <w:bottom w:val="none" w:sz="0" w:space="0" w:color="auto"/>
        <w:right w:val="none" w:sz="0" w:space="0" w:color="auto"/>
      </w:divBdr>
    </w:div>
    <w:div w:id="20913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0E1E1-1AFF-492D-9AAC-D77993C5F873}">
  <ds:schemaRefs>
    <ds:schemaRef ds:uri="http://schemas.microsoft.com/sharepoint/v3/contenttype/forms"/>
  </ds:schemaRefs>
</ds:datastoreItem>
</file>

<file path=customXml/itemProps2.xml><?xml version="1.0" encoding="utf-8"?>
<ds:datastoreItem xmlns:ds="http://schemas.openxmlformats.org/officeDocument/2006/customXml" ds:itemID="{97CF0716-332B-490F-9528-C5C0D6D53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1D53E3-22CF-4279-B443-2ADCC9133817}">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90E967F-BF5D-4DE1-A8A3-172B2B87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3820</Words>
  <Characters>21012</Characters>
  <Application>Microsoft Office Word</Application>
  <DocSecurity>4</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CorteIDH</Company>
  <LinksUpToDate>false</LinksUpToDate>
  <CharactersWithSpaces>24783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2018-03-22T22:06:00Z</cp:lastPrinted>
  <dcterms:created xsi:type="dcterms:W3CDTF">2018-03-22T22:08:00Z</dcterms:created>
  <dcterms:modified xsi:type="dcterms:W3CDTF">2018-03-22T22:08:00Z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