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A1" w:rsidRDefault="000A0EA1" w:rsidP="000A0EA1">
      <w:pPr>
        <w:tabs>
          <w:tab w:val="left" w:pos="360"/>
        </w:tabs>
        <w:spacing w:afterLines="80" w:after="192" w:line="240" w:lineRule="auto"/>
        <w:contextualSpacing/>
        <w:jc w:val="center"/>
        <w:rPr>
          <w:rFonts w:ascii="Verdana" w:hAnsi="Verdana"/>
          <w:b/>
          <w:sz w:val="20"/>
          <w:lang w:val="es-CR"/>
        </w:rPr>
      </w:pPr>
      <w:bookmarkStart w:id="0" w:name="_Toc465688273"/>
      <w:bookmarkStart w:id="1" w:name="_Toc465693515"/>
      <w:bookmarkStart w:id="2" w:name="_Toc465696221"/>
      <w:bookmarkStart w:id="3" w:name="_Toc465697883"/>
      <w:bookmarkStart w:id="4" w:name="_Toc465769764"/>
      <w:bookmarkStart w:id="5" w:name="_Toc465772863"/>
      <w:bookmarkStart w:id="6" w:name="_GoBack"/>
      <w:bookmarkEnd w:id="6"/>
    </w:p>
    <w:p w:rsidR="000A0EA1" w:rsidRDefault="000A0EA1" w:rsidP="000A0EA1">
      <w:pPr>
        <w:tabs>
          <w:tab w:val="left" w:pos="360"/>
        </w:tabs>
        <w:spacing w:afterLines="80" w:after="192" w:line="240" w:lineRule="auto"/>
        <w:contextualSpacing/>
        <w:jc w:val="center"/>
        <w:rPr>
          <w:rFonts w:ascii="Verdana" w:hAnsi="Verdana"/>
          <w:b/>
          <w:sz w:val="20"/>
          <w:lang w:val="es-CR"/>
        </w:rPr>
      </w:pPr>
    </w:p>
    <w:p w:rsidR="000A0EA1" w:rsidRDefault="000A0EA1" w:rsidP="000A0EA1">
      <w:pPr>
        <w:tabs>
          <w:tab w:val="left" w:pos="360"/>
        </w:tabs>
        <w:spacing w:afterLines="80" w:after="192" w:line="240" w:lineRule="auto"/>
        <w:contextualSpacing/>
        <w:jc w:val="center"/>
        <w:rPr>
          <w:rFonts w:ascii="Verdana" w:hAnsi="Verdana"/>
          <w:b/>
          <w:sz w:val="20"/>
          <w:lang w:val="es-CR"/>
        </w:rPr>
      </w:pPr>
    </w:p>
    <w:p w:rsidR="000A0EA1" w:rsidRDefault="000A0EA1" w:rsidP="000A0EA1">
      <w:pPr>
        <w:tabs>
          <w:tab w:val="left" w:pos="360"/>
        </w:tabs>
        <w:spacing w:afterLines="80" w:after="192" w:line="240" w:lineRule="auto"/>
        <w:contextualSpacing/>
        <w:jc w:val="center"/>
        <w:rPr>
          <w:rFonts w:ascii="Verdana" w:hAnsi="Verdana"/>
          <w:b/>
          <w:sz w:val="20"/>
          <w:lang w:val="es-CR"/>
        </w:rPr>
      </w:pPr>
    </w:p>
    <w:p w:rsidR="000A0EA1" w:rsidRDefault="000A0EA1" w:rsidP="000A0EA1">
      <w:pPr>
        <w:tabs>
          <w:tab w:val="left" w:pos="360"/>
        </w:tabs>
        <w:spacing w:afterLines="80" w:after="192" w:line="240" w:lineRule="auto"/>
        <w:contextualSpacing/>
        <w:jc w:val="center"/>
        <w:rPr>
          <w:rFonts w:ascii="Verdana" w:hAnsi="Verdana"/>
          <w:b/>
          <w:sz w:val="20"/>
          <w:lang w:val="es-CR"/>
        </w:rPr>
      </w:pPr>
    </w:p>
    <w:p w:rsidR="000A0EA1" w:rsidRDefault="000A0EA1" w:rsidP="000A0EA1">
      <w:pPr>
        <w:tabs>
          <w:tab w:val="left" w:pos="360"/>
        </w:tabs>
        <w:spacing w:afterLines="80" w:after="192" w:line="240" w:lineRule="auto"/>
        <w:contextualSpacing/>
        <w:jc w:val="center"/>
        <w:rPr>
          <w:rFonts w:ascii="Verdana" w:hAnsi="Verdana"/>
          <w:b/>
          <w:sz w:val="20"/>
          <w:lang w:val="es-CR"/>
        </w:rPr>
      </w:pPr>
    </w:p>
    <w:p w:rsidR="000A0EA1" w:rsidRDefault="000A0EA1" w:rsidP="000A0EA1">
      <w:pPr>
        <w:tabs>
          <w:tab w:val="left" w:pos="360"/>
        </w:tabs>
        <w:spacing w:afterLines="80" w:after="192" w:line="240" w:lineRule="auto"/>
        <w:contextualSpacing/>
        <w:jc w:val="center"/>
        <w:rPr>
          <w:rFonts w:ascii="Verdana" w:hAnsi="Verdana"/>
          <w:b/>
          <w:sz w:val="20"/>
          <w:lang w:val="es-CR"/>
        </w:rPr>
      </w:pPr>
    </w:p>
    <w:p w:rsidR="000A0EA1" w:rsidRDefault="000A0EA1" w:rsidP="000A0EA1">
      <w:pPr>
        <w:tabs>
          <w:tab w:val="left" w:pos="360"/>
        </w:tabs>
        <w:spacing w:beforeLines="80" w:before="192" w:afterLines="80" w:after="192" w:line="480" w:lineRule="auto"/>
        <w:contextualSpacing/>
        <w:jc w:val="center"/>
        <w:rPr>
          <w:rFonts w:ascii="Verdana" w:hAnsi="Verdana"/>
          <w:b/>
          <w:sz w:val="20"/>
          <w:lang w:val="es-CR"/>
        </w:rPr>
      </w:pPr>
    </w:p>
    <w:p w:rsidR="00B609A8" w:rsidRPr="0007729F" w:rsidRDefault="00B609A8" w:rsidP="000A0EA1">
      <w:pPr>
        <w:tabs>
          <w:tab w:val="left" w:pos="360"/>
        </w:tabs>
        <w:spacing w:beforeLines="80" w:before="192" w:afterLines="80" w:after="192" w:line="600" w:lineRule="auto"/>
        <w:contextualSpacing/>
        <w:jc w:val="center"/>
        <w:rPr>
          <w:rFonts w:ascii="Verdana" w:hAnsi="Verdana"/>
          <w:b/>
          <w:sz w:val="20"/>
          <w:lang w:val="es-CR"/>
        </w:rPr>
      </w:pPr>
      <w:r w:rsidRPr="0007729F">
        <w:rPr>
          <w:rFonts w:ascii="Verdana" w:hAnsi="Verdana"/>
          <w:b/>
          <w:sz w:val="20"/>
          <w:lang w:val="es-CR"/>
        </w:rPr>
        <w:t>RESOLUCIÓN DE LA</w:t>
      </w:r>
      <w:bookmarkEnd w:id="0"/>
      <w:bookmarkEnd w:id="1"/>
      <w:bookmarkEnd w:id="2"/>
      <w:bookmarkEnd w:id="3"/>
      <w:bookmarkEnd w:id="4"/>
      <w:bookmarkEnd w:id="5"/>
    </w:p>
    <w:p w:rsidR="00B609A8" w:rsidRPr="0007729F" w:rsidRDefault="00B609A8" w:rsidP="000A0EA1">
      <w:pPr>
        <w:spacing w:beforeLines="80" w:before="192" w:afterLines="80" w:after="192" w:line="600" w:lineRule="auto"/>
        <w:contextualSpacing/>
        <w:jc w:val="center"/>
        <w:rPr>
          <w:rFonts w:ascii="Verdana" w:hAnsi="Verdana"/>
          <w:b/>
          <w:sz w:val="20"/>
          <w:lang w:val="es-PR"/>
        </w:rPr>
      </w:pPr>
      <w:r w:rsidRPr="0007729F">
        <w:rPr>
          <w:rFonts w:ascii="Verdana" w:hAnsi="Verdana"/>
          <w:b/>
          <w:sz w:val="20"/>
          <w:lang w:val="es-CR"/>
        </w:rPr>
        <w:t>CORTE INTERAMERICANA DE DERECHOS HUMANOS</w:t>
      </w:r>
    </w:p>
    <w:p w:rsidR="00B609A8" w:rsidRPr="0007729F" w:rsidRDefault="00B609A8" w:rsidP="000A0EA1">
      <w:pPr>
        <w:spacing w:beforeLines="80" w:before="192" w:afterLines="80" w:after="192" w:line="600" w:lineRule="auto"/>
        <w:contextualSpacing/>
        <w:jc w:val="center"/>
        <w:rPr>
          <w:rFonts w:ascii="Verdana" w:hAnsi="Verdana"/>
          <w:b/>
          <w:sz w:val="20"/>
          <w:szCs w:val="20"/>
          <w:lang w:val="es-CR"/>
        </w:rPr>
      </w:pPr>
      <w:r w:rsidRPr="0007729F">
        <w:rPr>
          <w:rFonts w:ascii="Verdana" w:hAnsi="Verdana"/>
          <w:b/>
          <w:sz w:val="20"/>
          <w:szCs w:val="20"/>
          <w:lang w:val="es-CR"/>
        </w:rPr>
        <w:t>DE</w:t>
      </w:r>
      <w:r w:rsidR="00B42238" w:rsidRPr="0007729F">
        <w:rPr>
          <w:rFonts w:ascii="Verdana" w:hAnsi="Verdana"/>
          <w:b/>
          <w:sz w:val="20"/>
          <w:szCs w:val="20"/>
          <w:lang w:val="es-CR"/>
        </w:rPr>
        <w:t xml:space="preserve"> </w:t>
      </w:r>
      <w:r w:rsidR="001A16D1">
        <w:rPr>
          <w:rFonts w:ascii="Verdana" w:hAnsi="Verdana"/>
          <w:b/>
          <w:sz w:val="20"/>
          <w:szCs w:val="20"/>
          <w:lang w:val="es-CR"/>
        </w:rPr>
        <w:t>21</w:t>
      </w:r>
      <w:r w:rsidR="00B42238" w:rsidRPr="0007729F">
        <w:rPr>
          <w:rFonts w:ascii="Verdana" w:hAnsi="Verdana"/>
          <w:b/>
          <w:sz w:val="20"/>
          <w:szCs w:val="20"/>
          <w:lang w:val="es-CR"/>
        </w:rPr>
        <w:t xml:space="preserve"> DE </w:t>
      </w:r>
      <w:r w:rsidR="00131FBD" w:rsidRPr="0007729F">
        <w:rPr>
          <w:rFonts w:ascii="Verdana" w:hAnsi="Verdana"/>
          <w:b/>
          <w:sz w:val="20"/>
          <w:szCs w:val="20"/>
          <w:lang w:val="es-CR"/>
        </w:rPr>
        <w:t>NOVIEMBRE</w:t>
      </w:r>
      <w:r w:rsidR="00B42238" w:rsidRPr="0007729F">
        <w:rPr>
          <w:rFonts w:ascii="Verdana" w:hAnsi="Verdana"/>
          <w:b/>
          <w:sz w:val="20"/>
          <w:szCs w:val="20"/>
          <w:lang w:val="es-CR"/>
        </w:rPr>
        <w:t xml:space="preserve"> DE 2018</w:t>
      </w:r>
      <w:r w:rsidRPr="0007729F">
        <w:rPr>
          <w:rFonts w:ascii="Verdana" w:hAnsi="Verdana"/>
          <w:b/>
          <w:sz w:val="20"/>
          <w:szCs w:val="20"/>
          <w:lang w:val="es-CR"/>
        </w:rPr>
        <w:t xml:space="preserve"> </w:t>
      </w:r>
    </w:p>
    <w:p w:rsidR="00B42238" w:rsidRPr="0007729F" w:rsidRDefault="00B42238" w:rsidP="000A0EA1">
      <w:pPr>
        <w:spacing w:beforeLines="80" w:before="192" w:afterLines="80" w:after="192" w:line="600" w:lineRule="auto"/>
        <w:contextualSpacing/>
        <w:jc w:val="center"/>
        <w:rPr>
          <w:rFonts w:ascii="Verdana" w:hAnsi="Verdana"/>
          <w:b/>
          <w:caps/>
          <w:sz w:val="20"/>
          <w:szCs w:val="20"/>
          <w:lang w:val="es-CR"/>
        </w:rPr>
      </w:pPr>
    </w:p>
    <w:p w:rsidR="00B609A8" w:rsidRPr="0007729F" w:rsidRDefault="00B609A8" w:rsidP="000A0EA1">
      <w:pPr>
        <w:spacing w:beforeLines="80" w:before="192" w:afterLines="80" w:after="192" w:line="600" w:lineRule="auto"/>
        <w:contextualSpacing/>
        <w:jc w:val="center"/>
        <w:rPr>
          <w:rFonts w:ascii="Verdana" w:hAnsi="Verdana"/>
          <w:b/>
          <w:caps/>
          <w:sz w:val="20"/>
          <w:szCs w:val="20"/>
          <w:lang w:val="es-CR"/>
        </w:rPr>
      </w:pPr>
      <w:r w:rsidRPr="0007729F">
        <w:rPr>
          <w:rFonts w:ascii="Verdana" w:hAnsi="Verdana"/>
          <w:b/>
          <w:caps/>
          <w:sz w:val="20"/>
          <w:szCs w:val="20"/>
          <w:lang w:val="es-CR"/>
        </w:rPr>
        <w:t xml:space="preserve">Medidas Provisionales Respecto DE </w:t>
      </w:r>
      <w:r w:rsidR="00B42238" w:rsidRPr="0007729F">
        <w:rPr>
          <w:rFonts w:ascii="Verdana" w:hAnsi="Verdana"/>
          <w:b/>
          <w:caps/>
          <w:sz w:val="20"/>
          <w:szCs w:val="20"/>
          <w:lang w:val="es-CR"/>
        </w:rPr>
        <w:t>LA REPÚBLICA DE GUATEMALA</w:t>
      </w:r>
    </w:p>
    <w:p w:rsidR="00B42238" w:rsidRPr="0007729F" w:rsidRDefault="00B42238" w:rsidP="000A0EA1">
      <w:pPr>
        <w:spacing w:beforeLines="80" w:before="192" w:afterLines="80" w:after="192" w:line="480" w:lineRule="auto"/>
        <w:contextualSpacing/>
        <w:jc w:val="center"/>
        <w:rPr>
          <w:rFonts w:ascii="Verdana" w:hAnsi="Verdana"/>
          <w:b/>
          <w:caps/>
          <w:sz w:val="20"/>
          <w:szCs w:val="20"/>
          <w:lang w:val="es-CR"/>
        </w:rPr>
      </w:pPr>
      <w:r w:rsidRPr="0007729F">
        <w:rPr>
          <w:rFonts w:ascii="Verdana" w:hAnsi="Verdana"/>
          <w:b/>
          <w:caps/>
          <w:sz w:val="20"/>
          <w:szCs w:val="20"/>
          <w:lang w:val="es-CR"/>
        </w:rPr>
        <w:t xml:space="preserve">ASUNTO DE LA FUNDACIÓN DE ANTROPOLOGÍA FORENSE DE GUATEMALA </w:t>
      </w:r>
    </w:p>
    <w:p w:rsidR="00B609A8" w:rsidRPr="0007729F" w:rsidRDefault="00B609A8" w:rsidP="000A0EA1">
      <w:pPr>
        <w:spacing w:beforeLines="80" w:before="192" w:afterLines="80" w:after="192" w:line="240" w:lineRule="auto"/>
        <w:contextualSpacing/>
        <w:rPr>
          <w:rFonts w:ascii="Verdana" w:hAnsi="Verdana"/>
          <w:b/>
          <w:caps/>
          <w:sz w:val="20"/>
          <w:szCs w:val="20"/>
          <w:lang w:val="es-CR"/>
        </w:rPr>
      </w:pPr>
    </w:p>
    <w:p w:rsidR="00B609A8" w:rsidRPr="0007729F" w:rsidRDefault="00B609A8" w:rsidP="000A0EA1">
      <w:pPr>
        <w:spacing w:beforeLines="80" w:before="192" w:afterLines="80" w:after="192" w:line="240" w:lineRule="auto"/>
        <w:contextualSpacing/>
        <w:rPr>
          <w:rFonts w:ascii="Verdana" w:hAnsi="Verdana"/>
          <w:b/>
          <w:caps/>
          <w:sz w:val="20"/>
          <w:szCs w:val="20"/>
          <w:lang w:val="es-ES"/>
        </w:rPr>
      </w:pPr>
      <w:r w:rsidRPr="0007729F">
        <w:rPr>
          <w:rFonts w:ascii="Verdana" w:hAnsi="Verdana"/>
          <w:b/>
          <w:caps/>
          <w:sz w:val="20"/>
          <w:szCs w:val="20"/>
          <w:lang w:val="es-ES"/>
        </w:rPr>
        <w:t>VISTO:</w:t>
      </w:r>
    </w:p>
    <w:p w:rsidR="00B609A8" w:rsidRPr="0007729F" w:rsidRDefault="00B609A8" w:rsidP="000A0EA1">
      <w:pPr>
        <w:spacing w:beforeLines="80" w:before="192" w:afterLines="80" w:after="192" w:line="240" w:lineRule="auto"/>
        <w:contextualSpacing/>
        <w:jc w:val="both"/>
        <w:rPr>
          <w:rFonts w:ascii="Verdana" w:hAnsi="Verdana"/>
          <w:sz w:val="20"/>
          <w:szCs w:val="20"/>
          <w:lang w:val="es-ES"/>
        </w:rPr>
      </w:pPr>
    </w:p>
    <w:p w:rsidR="00B609A8" w:rsidRPr="0007729F" w:rsidRDefault="00B609A8" w:rsidP="000A0EA1">
      <w:pPr>
        <w:pStyle w:val="ListParagraph"/>
        <w:numPr>
          <w:ilvl w:val="0"/>
          <w:numId w:val="1"/>
        </w:numPr>
        <w:spacing w:beforeLines="80" w:before="192" w:afterLines="80" w:after="192"/>
        <w:jc w:val="both"/>
        <w:rPr>
          <w:rFonts w:ascii="Verdana" w:hAnsi="Verdana"/>
          <w:sz w:val="20"/>
        </w:rPr>
      </w:pPr>
      <w:r w:rsidRPr="0007729F">
        <w:rPr>
          <w:rFonts w:ascii="Verdana" w:hAnsi="Verdana"/>
          <w:sz w:val="20"/>
        </w:rPr>
        <w:t>Las Resoluciones de la Corte Interamericana de Derechos Humanos (en adelante “la Corte Interamericana”, “la Corte” o “el Tribunal”)</w:t>
      </w:r>
      <w:r w:rsidR="00B42238" w:rsidRPr="0007729F">
        <w:rPr>
          <w:rFonts w:ascii="Verdana" w:hAnsi="Verdana"/>
          <w:sz w:val="20"/>
        </w:rPr>
        <w:t xml:space="preserve"> de 4 de julio de 2006, 21 de noviembre de 2007, 26 de enero de 2009, 22 de febrero de 2011 y 18 de noviembre de 2015, mediante las cuales se ordenó la adopción de medidas provisionales y el mantenimiento de aquellas existentes a favor de los integrantes de la Fundación de Antropología Forense de Guatemala (en adelante también</w:t>
      </w:r>
      <w:r w:rsidR="00131FBD" w:rsidRPr="0007729F">
        <w:rPr>
          <w:rFonts w:ascii="Verdana" w:hAnsi="Verdana"/>
          <w:sz w:val="20"/>
        </w:rPr>
        <w:t xml:space="preserve"> “los beneficiarios”</w:t>
      </w:r>
      <w:r w:rsidR="00746CC5" w:rsidRPr="0007729F">
        <w:rPr>
          <w:rFonts w:ascii="Verdana" w:hAnsi="Verdana"/>
          <w:sz w:val="20"/>
        </w:rPr>
        <w:t>,</w:t>
      </w:r>
      <w:r w:rsidR="00B42238" w:rsidRPr="0007729F">
        <w:rPr>
          <w:rFonts w:ascii="Verdana" w:hAnsi="Verdana"/>
          <w:sz w:val="20"/>
        </w:rPr>
        <w:t xml:space="preserve"> “FAFG” o “la Fundación”) mencionados en dichas</w:t>
      </w:r>
      <w:r w:rsidR="00131FBD" w:rsidRPr="0007729F">
        <w:rPr>
          <w:rFonts w:ascii="Verdana" w:hAnsi="Verdana"/>
          <w:sz w:val="20"/>
        </w:rPr>
        <w:t xml:space="preserve"> resoluciones, así como</w:t>
      </w:r>
      <w:r w:rsidR="00B42238" w:rsidRPr="0007729F">
        <w:rPr>
          <w:rFonts w:ascii="Verdana" w:hAnsi="Verdana"/>
          <w:sz w:val="20"/>
        </w:rPr>
        <w:t xml:space="preserve"> </w:t>
      </w:r>
      <w:r w:rsidR="00227D4D">
        <w:rPr>
          <w:rFonts w:ascii="Verdana" w:hAnsi="Verdana"/>
          <w:sz w:val="20"/>
        </w:rPr>
        <w:t xml:space="preserve">de </w:t>
      </w:r>
      <w:r w:rsidR="00B42238" w:rsidRPr="0007729F">
        <w:rPr>
          <w:rFonts w:ascii="Verdana" w:hAnsi="Verdana"/>
          <w:sz w:val="20"/>
        </w:rPr>
        <w:t xml:space="preserve">ocho familiares del señor Fredy Armando Peccerelli, Director Ejecutivo de la Fundación. </w:t>
      </w:r>
      <w:r w:rsidR="006F45FE" w:rsidRPr="0007729F">
        <w:rPr>
          <w:rFonts w:ascii="Verdana" w:hAnsi="Verdana"/>
          <w:sz w:val="20"/>
        </w:rPr>
        <w:t>En esta última Resolución</w:t>
      </w:r>
      <w:r w:rsidRPr="0007729F">
        <w:rPr>
          <w:rFonts w:ascii="Verdana" w:hAnsi="Verdana"/>
          <w:sz w:val="20"/>
        </w:rPr>
        <w:t xml:space="preserve"> la Corte resolvió, </w:t>
      </w:r>
      <w:r w:rsidRPr="0007729F">
        <w:rPr>
          <w:rFonts w:ascii="Verdana" w:hAnsi="Verdana"/>
          <w:i/>
          <w:sz w:val="20"/>
        </w:rPr>
        <w:t>inter alia</w:t>
      </w:r>
      <w:r w:rsidRPr="0007729F">
        <w:rPr>
          <w:rFonts w:ascii="Verdana" w:hAnsi="Verdana"/>
          <w:sz w:val="20"/>
        </w:rPr>
        <w:t>:</w:t>
      </w:r>
    </w:p>
    <w:p w:rsidR="00B609A8" w:rsidRPr="0007729F" w:rsidRDefault="00B609A8" w:rsidP="000A0EA1">
      <w:pPr>
        <w:pStyle w:val="Default"/>
        <w:spacing w:beforeLines="80" w:before="192" w:afterLines="80" w:after="192"/>
        <w:ind w:right="428"/>
        <w:contextualSpacing/>
        <w:jc w:val="both"/>
        <w:rPr>
          <w:sz w:val="20"/>
          <w:szCs w:val="20"/>
          <w:lang w:val="es-ES"/>
        </w:rPr>
      </w:pPr>
    </w:p>
    <w:p w:rsidR="00AC202C" w:rsidRPr="0007729F" w:rsidRDefault="00227D4D" w:rsidP="000A0EA1">
      <w:pPr>
        <w:pStyle w:val="Default"/>
        <w:spacing w:beforeLines="80" w:before="192" w:afterLines="80" w:after="192"/>
        <w:ind w:left="720"/>
        <w:contextualSpacing/>
        <w:jc w:val="both"/>
        <w:rPr>
          <w:sz w:val="16"/>
          <w:szCs w:val="20"/>
          <w:lang w:val="es-GT"/>
        </w:rPr>
      </w:pPr>
      <w:r>
        <w:rPr>
          <w:sz w:val="16"/>
          <w:szCs w:val="20"/>
          <w:lang w:val="es-GT"/>
        </w:rPr>
        <w:t>8</w:t>
      </w:r>
      <w:r w:rsidR="00AC202C" w:rsidRPr="0007729F">
        <w:rPr>
          <w:sz w:val="16"/>
          <w:szCs w:val="20"/>
          <w:lang w:val="es-GT"/>
        </w:rPr>
        <w:t xml:space="preserve">. Desestimar la solicitud de ampliación de las </w:t>
      </w:r>
      <w:r>
        <w:rPr>
          <w:sz w:val="16"/>
          <w:szCs w:val="20"/>
          <w:lang w:val="es-GT"/>
        </w:rPr>
        <w:t>presentes</w:t>
      </w:r>
      <w:r w:rsidR="00AC202C" w:rsidRPr="0007729F">
        <w:rPr>
          <w:sz w:val="16"/>
          <w:szCs w:val="20"/>
          <w:lang w:val="es-GT"/>
        </w:rPr>
        <w:t xml:space="preserve"> medidas provisionales presentada por los representantes de los beneficiarios, de conformidad con lo indicado en los Considerandos 4 y 5 de [la] Resolución.</w:t>
      </w:r>
    </w:p>
    <w:p w:rsidR="00AC202C" w:rsidRPr="0007729F" w:rsidRDefault="00AC202C" w:rsidP="000A0EA1">
      <w:pPr>
        <w:pStyle w:val="Default"/>
        <w:spacing w:beforeLines="80" w:before="192" w:afterLines="80" w:after="192"/>
        <w:ind w:left="720"/>
        <w:contextualSpacing/>
        <w:jc w:val="both"/>
        <w:rPr>
          <w:sz w:val="16"/>
          <w:szCs w:val="20"/>
          <w:lang w:val="es-GT"/>
        </w:rPr>
      </w:pPr>
    </w:p>
    <w:p w:rsidR="00B42238" w:rsidRPr="0007729F" w:rsidRDefault="00227D4D" w:rsidP="000A0EA1">
      <w:pPr>
        <w:pStyle w:val="Default"/>
        <w:spacing w:beforeLines="80" w:before="192" w:afterLines="80" w:after="192"/>
        <w:ind w:left="720"/>
        <w:contextualSpacing/>
        <w:jc w:val="both"/>
        <w:rPr>
          <w:sz w:val="16"/>
          <w:szCs w:val="16"/>
          <w:lang w:val="es-GT"/>
        </w:rPr>
      </w:pPr>
      <w:r>
        <w:rPr>
          <w:sz w:val="16"/>
          <w:szCs w:val="20"/>
          <w:lang w:val="es-ES"/>
        </w:rPr>
        <w:t>9</w:t>
      </w:r>
      <w:r w:rsidR="00B609A8" w:rsidRPr="0007729F">
        <w:rPr>
          <w:sz w:val="16"/>
          <w:szCs w:val="20"/>
          <w:lang w:val="es-ES"/>
        </w:rPr>
        <w:t xml:space="preserve">. </w:t>
      </w:r>
      <w:r w:rsidR="00B42238" w:rsidRPr="0007729F">
        <w:rPr>
          <w:sz w:val="16"/>
          <w:szCs w:val="16"/>
          <w:lang w:val="es-GT"/>
        </w:rPr>
        <w:t xml:space="preserve">Requerir al Estado que contin[uara] adoptando todas las medidas que [fueran] necesarias para proteger efectivamente los derechos a la vida y a la integridad personal de las siguientes personas, trabajadores de la Fundación de Antropología Forense de Guatemala: Fredy Armando Peccerelli Monterroso, Alma Nydia Vásquez Almazán, Ana Dolores Arriola Carrillo, Beatriz Díaz Arreaga, Blanca Noemí Barcenas Albizurez, Byron Estuardo García Méndez, Claudia Eugenia Rivera Fernández, Danny A. Guzmán Castellanos, Dominga Alejandra Varel Sequeira, Edgar Herlindo Hernández Sánchez, Edwin Giovanni Peruch Conós, Fredy Arnoldo Cumes Erazo, Gladis Amparo Martinez Ruiz, Guillermo E. Vásquez Escobar, Heidy Hirua Quezada Arriaga, Jaime Enrique Ruiz Castellanos, Jessika Marisela Osorio Galindo, Jorge Luis Romero de Paz, José Samuel Suasnavar Bolaños, Juan Carlos Gatica Pérez, Juan Ramón Donado Vivar, Katia Victoria Orantes Poza, Leonel Estuardo Paiz Diez, Marco Tulio Pérez Tánchez, Mario Bernabé Ramírez Alarcón, Mario Nájera, Mynor Adán Silvestre Aroche, Nancy Yadira Valdez Vielman, Omar Bertoni Girón de León, Oscar Ariel Ixpatá, Oswaldo Alexander García Pérez,  Ramiro Edmundo Martínez Lemus, Raúl H. Archila García, Renaldo Leonel Acevedo Álvarez, Sergio Oswaldo García López, Shirley Carola Chacón, Silvia Beatriz Pellecer Montiel y Tomasa Cifuentes Cifuentes. </w:t>
      </w:r>
    </w:p>
    <w:p w:rsidR="00B42238" w:rsidRPr="0007729F" w:rsidRDefault="00B42238" w:rsidP="000A0EA1">
      <w:pPr>
        <w:pStyle w:val="Default"/>
        <w:spacing w:beforeLines="80" w:before="192" w:afterLines="80" w:after="192"/>
        <w:ind w:left="720"/>
        <w:contextualSpacing/>
        <w:jc w:val="both"/>
        <w:rPr>
          <w:sz w:val="16"/>
          <w:szCs w:val="16"/>
          <w:lang w:val="es-GT"/>
        </w:rPr>
      </w:pPr>
    </w:p>
    <w:p w:rsidR="00B42238" w:rsidRPr="0007729F" w:rsidRDefault="003F123D" w:rsidP="000A0EA1">
      <w:pPr>
        <w:pStyle w:val="Default"/>
        <w:spacing w:beforeLines="80" w:before="192" w:after="80"/>
        <w:ind w:left="720"/>
        <w:contextualSpacing/>
        <w:jc w:val="both"/>
        <w:rPr>
          <w:rFonts w:eastAsiaTheme="minorHAnsi"/>
          <w:sz w:val="16"/>
          <w:szCs w:val="16"/>
          <w:lang w:val="es-GT"/>
        </w:rPr>
      </w:pPr>
      <w:r>
        <w:rPr>
          <w:rFonts w:eastAsiaTheme="minorHAnsi"/>
          <w:sz w:val="16"/>
          <w:szCs w:val="16"/>
          <w:lang w:val="es-GT"/>
        </w:rPr>
        <w:t>10</w:t>
      </w:r>
      <w:r w:rsidR="00B42238" w:rsidRPr="0007729F">
        <w:rPr>
          <w:rFonts w:eastAsiaTheme="minorHAnsi"/>
          <w:sz w:val="16"/>
          <w:szCs w:val="16"/>
          <w:lang w:val="es-GT"/>
        </w:rPr>
        <w:t xml:space="preserve">. Requerir al Estado que </w:t>
      </w:r>
      <w:r w:rsidR="00B42238" w:rsidRPr="0007729F">
        <w:rPr>
          <w:sz w:val="16"/>
          <w:szCs w:val="16"/>
          <w:lang w:val="es-GT"/>
        </w:rPr>
        <w:t xml:space="preserve">contin[uara] </w:t>
      </w:r>
      <w:r w:rsidR="00B42238" w:rsidRPr="0007729F">
        <w:rPr>
          <w:rFonts w:eastAsiaTheme="minorHAnsi"/>
          <w:sz w:val="16"/>
          <w:szCs w:val="16"/>
          <w:lang w:val="es-GT"/>
        </w:rPr>
        <w:t xml:space="preserve">adoptando todas las medidas que </w:t>
      </w:r>
      <w:r w:rsidR="009213ED" w:rsidRPr="0007729F">
        <w:rPr>
          <w:rFonts w:eastAsiaTheme="minorHAnsi"/>
          <w:sz w:val="16"/>
          <w:szCs w:val="16"/>
          <w:lang w:val="es-GT"/>
        </w:rPr>
        <w:t>[fuer]</w:t>
      </w:r>
      <w:r w:rsidR="00B42238" w:rsidRPr="0007729F">
        <w:rPr>
          <w:rFonts w:eastAsiaTheme="minorHAnsi"/>
          <w:sz w:val="16"/>
          <w:szCs w:val="16"/>
          <w:lang w:val="es-GT"/>
        </w:rPr>
        <w:t xml:space="preserve">an necesarias para proteger efectivamente los derechos a la vida y a la integridad personal de los familiares del Director de la Fundación </w:t>
      </w:r>
      <w:r w:rsidR="00B42238" w:rsidRPr="0007729F">
        <w:rPr>
          <w:rFonts w:eastAsiaTheme="minorHAnsi"/>
          <w:sz w:val="16"/>
          <w:szCs w:val="16"/>
          <w:lang w:val="es-GT"/>
        </w:rPr>
        <w:lastRenderedPageBreak/>
        <w:t>de Antropología Forense de Guatemala, Fredy Armando Peccerelli, a saber: Jeannette Peccerelli, Ashley Corienne Peccerelli del Valle, Tristán Collin Peccerelli del Valle, Fredy Armando Peccerelli Tenas, María del Carmen Monterroso de Peccerelli, Bianka Irina Peccerelli de Girón, Gianni Paolo Peccerelli Monterroso y Luisa Fernanda Martínez de Peccerelli.</w:t>
      </w:r>
    </w:p>
    <w:p w:rsidR="005D3D6C" w:rsidRPr="0007729F" w:rsidRDefault="005D3D6C" w:rsidP="000A0EA1">
      <w:pPr>
        <w:pStyle w:val="Default"/>
        <w:spacing w:beforeLines="80" w:before="192" w:after="80"/>
        <w:ind w:left="720"/>
        <w:contextualSpacing/>
        <w:jc w:val="both"/>
        <w:rPr>
          <w:rFonts w:eastAsiaTheme="minorHAnsi"/>
          <w:sz w:val="16"/>
          <w:szCs w:val="16"/>
          <w:lang w:val="es-GT"/>
        </w:rPr>
      </w:pPr>
    </w:p>
    <w:p w:rsidR="005D3D6C" w:rsidRPr="0007729F" w:rsidRDefault="003F123D" w:rsidP="000A0EA1">
      <w:pPr>
        <w:pStyle w:val="Default"/>
        <w:spacing w:beforeLines="80" w:before="192" w:after="80"/>
        <w:ind w:left="720"/>
        <w:contextualSpacing/>
        <w:jc w:val="both"/>
        <w:rPr>
          <w:rFonts w:eastAsiaTheme="minorHAnsi"/>
          <w:sz w:val="16"/>
          <w:szCs w:val="16"/>
          <w:lang w:val="es-GT"/>
        </w:rPr>
      </w:pPr>
      <w:r>
        <w:rPr>
          <w:rFonts w:eastAsiaTheme="minorHAnsi"/>
          <w:sz w:val="16"/>
          <w:szCs w:val="16"/>
          <w:lang w:val="es-GT"/>
        </w:rPr>
        <w:t>11</w:t>
      </w:r>
      <w:r w:rsidR="005D3D6C" w:rsidRPr="0007729F">
        <w:rPr>
          <w:rFonts w:eastAsiaTheme="minorHAnsi"/>
          <w:sz w:val="16"/>
          <w:szCs w:val="16"/>
          <w:lang w:val="es-GT"/>
        </w:rPr>
        <w:t>. Instar al Estado [a] que conti[nuara] realizando todas las gestiones pertinentes para que las medidas de protección ordenadas en la […] Resolución se planifi[caran] e implemen[taran] con la participación de los beneficiarios de las mismas o sus representantes, de manera que si[guieran] siendo implementadas de forma diligente y efectiva y que, en general, les man[tuviera] informados sobre los avances en la ejecución de estas.</w:t>
      </w:r>
    </w:p>
    <w:p w:rsidR="005D3D6C" w:rsidRPr="0007729F" w:rsidRDefault="005D3D6C" w:rsidP="000A0EA1">
      <w:pPr>
        <w:pStyle w:val="Default"/>
        <w:spacing w:beforeLines="80" w:before="192" w:after="80"/>
        <w:ind w:left="720"/>
        <w:contextualSpacing/>
        <w:jc w:val="both"/>
        <w:rPr>
          <w:rFonts w:eastAsiaTheme="minorHAnsi"/>
          <w:sz w:val="16"/>
          <w:szCs w:val="16"/>
          <w:lang w:val="es-GT"/>
        </w:rPr>
      </w:pPr>
    </w:p>
    <w:p w:rsidR="005D3D6C" w:rsidRPr="0007729F" w:rsidRDefault="005D3D6C" w:rsidP="000A0EA1">
      <w:pPr>
        <w:pStyle w:val="Default"/>
        <w:spacing w:beforeLines="80" w:before="192" w:after="80"/>
        <w:ind w:left="720"/>
        <w:contextualSpacing/>
        <w:jc w:val="both"/>
        <w:rPr>
          <w:rFonts w:eastAsiaTheme="minorHAnsi"/>
          <w:sz w:val="16"/>
          <w:szCs w:val="16"/>
          <w:lang w:val="es-GT"/>
        </w:rPr>
      </w:pPr>
      <w:r w:rsidRPr="0007729F">
        <w:rPr>
          <w:rFonts w:eastAsiaTheme="minorHAnsi"/>
          <w:sz w:val="16"/>
          <w:szCs w:val="16"/>
          <w:lang w:val="es-GT"/>
        </w:rPr>
        <w:t>[…]</w:t>
      </w:r>
    </w:p>
    <w:p w:rsidR="00B42238" w:rsidRPr="0007729F" w:rsidRDefault="0032770D" w:rsidP="000A0EA1">
      <w:pPr>
        <w:pStyle w:val="Default"/>
        <w:spacing w:beforeLines="80" w:before="192" w:after="80"/>
        <w:ind w:left="540" w:right="428"/>
        <w:contextualSpacing/>
        <w:jc w:val="both"/>
        <w:rPr>
          <w:sz w:val="16"/>
          <w:szCs w:val="20"/>
          <w:lang w:val="es-ES"/>
        </w:rPr>
      </w:pPr>
      <w:r w:rsidRPr="0007729F">
        <w:rPr>
          <w:sz w:val="16"/>
          <w:szCs w:val="20"/>
          <w:lang w:val="es-GT"/>
        </w:rPr>
        <w:t xml:space="preserve"> </w:t>
      </w:r>
    </w:p>
    <w:p w:rsidR="00B261D6" w:rsidRDefault="00B609A8" w:rsidP="000A0EA1">
      <w:pPr>
        <w:numPr>
          <w:ilvl w:val="0"/>
          <w:numId w:val="1"/>
        </w:numPr>
        <w:spacing w:beforeLines="80" w:before="192" w:after="80" w:line="240" w:lineRule="auto"/>
        <w:contextualSpacing/>
        <w:jc w:val="both"/>
        <w:rPr>
          <w:rFonts w:ascii="Verdana" w:hAnsi="Verdana"/>
          <w:sz w:val="20"/>
          <w:szCs w:val="20"/>
          <w:lang w:val="es-ES"/>
        </w:rPr>
      </w:pPr>
      <w:r w:rsidRPr="0007729F">
        <w:rPr>
          <w:rFonts w:ascii="Verdana" w:hAnsi="Verdana"/>
          <w:sz w:val="20"/>
          <w:szCs w:val="20"/>
          <w:lang w:val="es-ES"/>
        </w:rPr>
        <w:t xml:space="preserve">Los escritos de </w:t>
      </w:r>
      <w:r w:rsidR="00AC202C" w:rsidRPr="0007729F">
        <w:rPr>
          <w:rFonts w:ascii="Verdana" w:hAnsi="Verdana"/>
          <w:sz w:val="20"/>
          <w:szCs w:val="20"/>
          <w:lang w:val="es-ES"/>
        </w:rPr>
        <w:t>9 de febrero, 13 de mayo</w:t>
      </w:r>
      <w:r w:rsidR="00131FBD" w:rsidRPr="0007729F">
        <w:rPr>
          <w:rFonts w:ascii="Verdana" w:hAnsi="Verdana"/>
          <w:sz w:val="20"/>
          <w:szCs w:val="20"/>
          <w:lang w:val="es-ES"/>
        </w:rPr>
        <w:t xml:space="preserve"> </w:t>
      </w:r>
      <w:r w:rsidR="00AC202C" w:rsidRPr="0007729F">
        <w:rPr>
          <w:rFonts w:ascii="Verdana" w:hAnsi="Verdana"/>
          <w:sz w:val="20"/>
          <w:szCs w:val="20"/>
          <w:lang w:val="es-ES"/>
        </w:rPr>
        <w:t>y 29 de septiembre de 2016; 2</w:t>
      </w:r>
      <w:r w:rsidR="004F36AC" w:rsidRPr="0007729F">
        <w:rPr>
          <w:rFonts w:ascii="Verdana" w:hAnsi="Verdana"/>
          <w:sz w:val="20"/>
          <w:szCs w:val="20"/>
          <w:lang w:val="es-ES"/>
        </w:rPr>
        <w:t>4</w:t>
      </w:r>
      <w:r w:rsidR="00AC202C" w:rsidRPr="0007729F">
        <w:rPr>
          <w:rFonts w:ascii="Verdana" w:hAnsi="Verdana"/>
          <w:sz w:val="20"/>
          <w:szCs w:val="20"/>
          <w:lang w:val="es-ES"/>
        </w:rPr>
        <w:t xml:space="preserve"> de febrero</w:t>
      </w:r>
      <w:r w:rsidR="00A92BAB">
        <w:rPr>
          <w:rFonts w:ascii="Verdana" w:hAnsi="Verdana"/>
          <w:sz w:val="20"/>
          <w:szCs w:val="20"/>
          <w:lang w:val="es-ES"/>
        </w:rPr>
        <w:t xml:space="preserve">, </w:t>
      </w:r>
      <w:r w:rsidR="004F36AC" w:rsidRPr="0007729F">
        <w:rPr>
          <w:rFonts w:ascii="Verdana" w:hAnsi="Verdana"/>
          <w:sz w:val="20"/>
          <w:szCs w:val="20"/>
          <w:lang w:val="es-ES"/>
        </w:rPr>
        <w:t>2</w:t>
      </w:r>
      <w:r w:rsidR="00A92BAB">
        <w:rPr>
          <w:rFonts w:ascii="Verdana" w:hAnsi="Verdana"/>
          <w:sz w:val="20"/>
          <w:szCs w:val="20"/>
          <w:lang w:val="es-ES"/>
        </w:rPr>
        <w:t>7</w:t>
      </w:r>
      <w:r w:rsidR="004F36AC" w:rsidRPr="0007729F">
        <w:rPr>
          <w:rFonts w:ascii="Verdana" w:hAnsi="Verdana"/>
          <w:sz w:val="20"/>
          <w:szCs w:val="20"/>
          <w:lang w:val="es-ES"/>
        </w:rPr>
        <w:t xml:space="preserve"> de junio</w:t>
      </w:r>
      <w:r w:rsidR="00F537A3">
        <w:rPr>
          <w:rFonts w:ascii="Verdana" w:hAnsi="Verdana"/>
          <w:sz w:val="20"/>
          <w:szCs w:val="20"/>
          <w:lang w:val="es-ES"/>
        </w:rPr>
        <w:t xml:space="preserve"> y</w:t>
      </w:r>
      <w:r w:rsidR="00131FBD" w:rsidRPr="0007729F">
        <w:rPr>
          <w:rFonts w:ascii="Verdana" w:hAnsi="Verdana"/>
          <w:sz w:val="20"/>
          <w:szCs w:val="20"/>
          <w:lang w:val="es-ES"/>
        </w:rPr>
        <w:t xml:space="preserve"> </w:t>
      </w:r>
      <w:r w:rsidR="00254866" w:rsidRPr="0007729F">
        <w:rPr>
          <w:rFonts w:ascii="Verdana" w:hAnsi="Verdana"/>
          <w:sz w:val="20"/>
          <w:szCs w:val="20"/>
          <w:lang w:val="es-ES"/>
        </w:rPr>
        <w:t>2</w:t>
      </w:r>
      <w:r w:rsidR="00A92BAB">
        <w:rPr>
          <w:rFonts w:ascii="Verdana" w:hAnsi="Verdana"/>
          <w:sz w:val="20"/>
          <w:szCs w:val="20"/>
          <w:lang w:val="es-ES"/>
        </w:rPr>
        <w:t>1</w:t>
      </w:r>
      <w:r w:rsidR="00AC202C" w:rsidRPr="0007729F">
        <w:rPr>
          <w:rFonts w:ascii="Verdana" w:hAnsi="Verdana"/>
          <w:sz w:val="20"/>
          <w:szCs w:val="20"/>
          <w:lang w:val="es-ES"/>
        </w:rPr>
        <w:t xml:space="preserve"> de </w:t>
      </w:r>
      <w:r w:rsidR="00254866" w:rsidRPr="0007729F">
        <w:rPr>
          <w:rFonts w:ascii="Verdana" w:hAnsi="Verdana"/>
          <w:sz w:val="20"/>
          <w:szCs w:val="20"/>
          <w:lang w:val="es-ES"/>
        </w:rPr>
        <w:t xml:space="preserve">septiembre de </w:t>
      </w:r>
      <w:r w:rsidR="00AC202C" w:rsidRPr="0007729F">
        <w:rPr>
          <w:rFonts w:ascii="Verdana" w:hAnsi="Verdana"/>
          <w:sz w:val="20"/>
          <w:szCs w:val="20"/>
          <w:lang w:val="es-ES"/>
        </w:rPr>
        <w:t>2017</w:t>
      </w:r>
      <w:r w:rsidR="00131FBD" w:rsidRPr="0007729F">
        <w:rPr>
          <w:rFonts w:ascii="Verdana" w:hAnsi="Verdana"/>
          <w:sz w:val="20"/>
          <w:szCs w:val="20"/>
          <w:lang w:val="es-ES"/>
        </w:rPr>
        <w:t xml:space="preserve"> </w:t>
      </w:r>
      <w:r w:rsidR="006A74A1" w:rsidRPr="0007729F">
        <w:rPr>
          <w:rFonts w:ascii="Verdana" w:hAnsi="Verdana"/>
          <w:sz w:val="20"/>
          <w:szCs w:val="20"/>
          <w:lang w:val="es-ES"/>
        </w:rPr>
        <w:t>y 1</w:t>
      </w:r>
      <w:r w:rsidR="00B261D6">
        <w:rPr>
          <w:rFonts w:ascii="Verdana" w:hAnsi="Verdana"/>
          <w:sz w:val="20"/>
          <w:szCs w:val="20"/>
          <w:lang w:val="es-ES"/>
        </w:rPr>
        <w:t>6</w:t>
      </w:r>
      <w:r w:rsidR="006A74A1" w:rsidRPr="0007729F">
        <w:rPr>
          <w:rFonts w:ascii="Verdana" w:hAnsi="Verdana"/>
          <w:sz w:val="20"/>
          <w:szCs w:val="20"/>
          <w:lang w:val="es-ES"/>
        </w:rPr>
        <w:t xml:space="preserve"> de enero</w:t>
      </w:r>
      <w:r w:rsidR="00F06663" w:rsidRPr="0007729F">
        <w:rPr>
          <w:rFonts w:ascii="Verdana" w:hAnsi="Verdana"/>
          <w:sz w:val="20"/>
          <w:szCs w:val="20"/>
          <w:lang w:val="es-ES"/>
        </w:rPr>
        <w:t xml:space="preserve">, 16 de febrero y </w:t>
      </w:r>
      <w:r w:rsidR="00B261D6">
        <w:rPr>
          <w:rFonts w:ascii="Verdana" w:hAnsi="Verdana"/>
          <w:sz w:val="20"/>
          <w:szCs w:val="20"/>
          <w:lang w:val="es-ES"/>
        </w:rPr>
        <w:t>24</w:t>
      </w:r>
      <w:r w:rsidR="00B261D6" w:rsidRPr="0007729F">
        <w:rPr>
          <w:rFonts w:ascii="Verdana" w:hAnsi="Verdana"/>
          <w:sz w:val="20"/>
          <w:szCs w:val="20"/>
          <w:lang w:val="es-ES"/>
        </w:rPr>
        <w:t xml:space="preserve"> </w:t>
      </w:r>
      <w:r w:rsidR="00F06663" w:rsidRPr="0007729F">
        <w:rPr>
          <w:rFonts w:ascii="Verdana" w:hAnsi="Verdana"/>
          <w:sz w:val="20"/>
          <w:szCs w:val="20"/>
          <w:lang w:val="es-ES"/>
        </w:rPr>
        <w:t>de julio</w:t>
      </w:r>
      <w:r w:rsidR="006A74A1" w:rsidRPr="0007729F">
        <w:rPr>
          <w:rFonts w:ascii="Verdana" w:hAnsi="Verdana"/>
          <w:sz w:val="20"/>
          <w:szCs w:val="20"/>
          <w:lang w:val="es-ES"/>
        </w:rPr>
        <w:t xml:space="preserve"> de 2018</w:t>
      </w:r>
      <w:r w:rsidR="00240195">
        <w:rPr>
          <w:rFonts w:ascii="Verdana" w:hAnsi="Verdana"/>
          <w:sz w:val="20"/>
          <w:szCs w:val="20"/>
          <w:lang w:val="es-ES"/>
        </w:rPr>
        <w:t>, así como</w:t>
      </w:r>
      <w:r w:rsidR="00AC202C" w:rsidRPr="0007729F">
        <w:rPr>
          <w:rFonts w:ascii="Verdana" w:hAnsi="Verdana"/>
          <w:sz w:val="20"/>
          <w:szCs w:val="20"/>
          <w:lang w:val="es-ES"/>
        </w:rPr>
        <w:t xml:space="preserve"> sus anexos, mediante los cuales la República de</w:t>
      </w:r>
      <w:r w:rsidR="004F36AC" w:rsidRPr="0007729F">
        <w:rPr>
          <w:rFonts w:ascii="Verdana" w:hAnsi="Verdana"/>
          <w:sz w:val="20"/>
          <w:szCs w:val="20"/>
          <w:lang w:val="es-ES"/>
        </w:rPr>
        <w:t xml:space="preserve"> </w:t>
      </w:r>
      <w:r w:rsidR="00AC202C" w:rsidRPr="0007729F">
        <w:rPr>
          <w:rFonts w:ascii="Verdana" w:hAnsi="Verdana"/>
          <w:sz w:val="20"/>
          <w:szCs w:val="20"/>
          <w:lang w:val="es-ES"/>
        </w:rPr>
        <w:t>Guatemala (en adelante “el Estado” o “Guatemala”) se refirió a la implementación de las presentes medidas provisionales.</w:t>
      </w:r>
      <w:r w:rsidR="00F06663" w:rsidRPr="0007729F">
        <w:rPr>
          <w:rFonts w:ascii="Verdana" w:hAnsi="Verdana"/>
          <w:sz w:val="20"/>
          <w:szCs w:val="20"/>
          <w:lang w:val="es-ES"/>
        </w:rPr>
        <w:t xml:space="preserve"> Asimismo, el escrito de 24 de julio de 2018</w:t>
      </w:r>
      <w:r w:rsidR="00A72D0E" w:rsidRPr="0007729F">
        <w:rPr>
          <w:rFonts w:ascii="Verdana" w:hAnsi="Verdana"/>
          <w:sz w:val="20"/>
          <w:szCs w:val="20"/>
          <w:lang w:val="es-ES"/>
        </w:rPr>
        <w:t>,</w:t>
      </w:r>
      <w:r w:rsidR="00F06663" w:rsidRPr="0007729F">
        <w:rPr>
          <w:rFonts w:ascii="Verdana" w:hAnsi="Verdana"/>
          <w:sz w:val="20"/>
          <w:szCs w:val="20"/>
          <w:lang w:val="es-ES"/>
        </w:rPr>
        <w:t xml:space="preserve"> mediante el cual el Estado solicitó una reunión de trabajo en el marco de las presentes medidas provisionales con el fin de definir retos y desafíos en el cumplimiento de las mismas.</w:t>
      </w:r>
    </w:p>
    <w:p w:rsidR="00B609A8" w:rsidRPr="0007729F" w:rsidRDefault="00F06663" w:rsidP="000A0EA1">
      <w:pPr>
        <w:spacing w:beforeLines="80" w:before="192" w:after="80" w:line="240" w:lineRule="auto"/>
        <w:contextualSpacing/>
        <w:jc w:val="both"/>
        <w:rPr>
          <w:rFonts w:ascii="Verdana" w:hAnsi="Verdana"/>
          <w:sz w:val="20"/>
          <w:szCs w:val="20"/>
          <w:lang w:val="es-ES"/>
        </w:rPr>
      </w:pPr>
      <w:r w:rsidRPr="0007729F">
        <w:rPr>
          <w:rFonts w:ascii="Verdana" w:hAnsi="Verdana"/>
          <w:sz w:val="20"/>
          <w:szCs w:val="20"/>
          <w:lang w:val="es-ES"/>
        </w:rPr>
        <w:t xml:space="preserve">  </w:t>
      </w:r>
    </w:p>
    <w:p w:rsidR="00781F08" w:rsidRPr="0007729F" w:rsidRDefault="00254866" w:rsidP="000A0EA1">
      <w:pPr>
        <w:pStyle w:val="ListParagraph"/>
        <w:numPr>
          <w:ilvl w:val="0"/>
          <w:numId w:val="1"/>
        </w:numPr>
        <w:autoSpaceDE w:val="0"/>
        <w:autoSpaceDN w:val="0"/>
        <w:adjustRightInd w:val="0"/>
        <w:spacing w:beforeLines="80" w:before="192" w:after="80"/>
        <w:jc w:val="both"/>
        <w:rPr>
          <w:rFonts w:ascii="Verdana" w:hAnsi="Verdana" w:cs="Verdana"/>
          <w:color w:val="000000"/>
          <w:sz w:val="20"/>
        </w:rPr>
      </w:pPr>
      <w:r w:rsidRPr="0007729F">
        <w:rPr>
          <w:rFonts w:ascii="Verdana" w:hAnsi="Verdana" w:cs="Verdana"/>
          <w:color w:val="000000"/>
          <w:sz w:val="20"/>
        </w:rPr>
        <w:t>Los escritos de 3 de marzo,</w:t>
      </w:r>
      <w:r w:rsidR="00131FBD" w:rsidRPr="0007729F">
        <w:rPr>
          <w:rFonts w:ascii="Verdana" w:hAnsi="Verdana" w:cs="Verdana"/>
          <w:color w:val="000000"/>
          <w:sz w:val="20"/>
        </w:rPr>
        <w:t xml:space="preserve"> </w:t>
      </w:r>
      <w:r w:rsidRPr="0007729F">
        <w:rPr>
          <w:rFonts w:ascii="Verdana" w:hAnsi="Verdana" w:cs="Verdana"/>
          <w:color w:val="000000"/>
          <w:sz w:val="20"/>
        </w:rPr>
        <w:t>15 de</w:t>
      </w:r>
      <w:r w:rsidR="004F36AC" w:rsidRPr="0007729F">
        <w:rPr>
          <w:rFonts w:ascii="Verdana" w:hAnsi="Verdana" w:cs="Verdana"/>
          <w:color w:val="000000"/>
          <w:sz w:val="20"/>
        </w:rPr>
        <w:t xml:space="preserve"> junio</w:t>
      </w:r>
      <w:r w:rsidR="00131FBD" w:rsidRPr="0007729F">
        <w:rPr>
          <w:rFonts w:ascii="Verdana" w:hAnsi="Verdana" w:cs="Verdana"/>
          <w:color w:val="000000"/>
          <w:sz w:val="20"/>
        </w:rPr>
        <w:t xml:space="preserve"> </w:t>
      </w:r>
      <w:r w:rsidR="004F36AC" w:rsidRPr="0007729F">
        <w:rPr>
          <w:rFonts w:ascii="Verdana" w:hAnsi="Verdana" w:cs="Verdana"/>
          <w:color w:val="000000"/>
          <w:sz w:val="20"/>
        </w:rPr>
        <w:t>y 9 de noviembre de 2016; 2</w:t>
      </w:r>
      <w:r w:rsidR="000F716B" w:rsidRPr="0007729F">
        <w:rPr>
          <w:rFonts w:ascii="Verdana" w:hAnsi="Verdana" w:cs="Verdana"/>
          <w:color w:val="000000"/>
          <w:sz w:val="20"/>
        </w:rPr>
        <w:t xml:space="preserve">9 </w:t>
      </w:r>
      <w:r w:rsidR="004F36AC" w:rsidRPr="0007729F">
        <w:rPr>
          <w:rFonts w:ascii="Verdana" w:hAnsi="Verdana" w:cs="Verdana"/>
          <w:color w:val="000000"/>
          <w:sz w:val="20"/>
        </w:rPr>
        <w:t xml:space="preserve">de </w:t>
      </w:r>
      <w:r w:rsidR="000F716B" w:rsidRPr="0007729F">
        <w:rPr>
          <w:rFonts w:ascii="Verdana" w:hAnsi="Verdana" w:cs="Verdana"/>
          <w:color w:val="000000"/>
          <w:sz w:val="20"/>
        </w:rPr>
        <w:t xml:space="preserve">marzo, </w:t>
      </w:r>
      <w:r w:rsidR="00F537A3">
        <w:rPr>
          <w:rFonts w:ascii="Verdana" w:hAnsi="Verdana" w:cs="Verdana"/>
          <w:color w:val="000000"/>
          <w:sz w:val="20"/>
        </w:rPr>
        <w:t>26</w:t>
      </w:r>
      <w:r w:rsidR="000F716B" w:rsidRPr="0007729F">
        <w:rPr>
          <w:rFonts w:ascii="Verdana" w:hAnsi="Verdana" w:cs="Verdana"/>
          <w:color w:val="000000"/>
          <w:sz w:val="20"/>
        </w:rPr>
        <w:t xml:space="preserve"> de julio</w:t>
      </w:r>
      <w:r w:rsidR="00240195">
        <w:rPr>
          <w:rFonts w:ascii="Verdana" w:hAnsi="Verdana" w:cs="Verdana"/>
          <w:color w:val="000000"/>
          <w:sz w:val="20"/>
        </w:rPr>
        <w:t xml:space="preserve"> y</w:t>
      </w:r>
      <w:r w:rsidR="000F716B" w:rsidRPr="0007729F">
        <w:rPr>
          <w:rFonts w:ascii="Verdana" w:hAnsi="Verdana" w:cs="Verdana"/>
          <w:color w:val="000000"/>
          <w:sz w:val="20"/>
        </w:rPr>
        <w:t xml:space="preserve"> 19 de octubre de 2017</w:t>
      </w:r>
      <w:r w:rsidR="00240195">
        <w:rPr>
          <w:rFonts w:ascii="Verdana" w:hAnsi="Verdana" w:cs="Verdana"/>
          <w:color w:val="000000"/>
          <w:sz w:val="20"/>
        </w:rPr>
        <w:t>,</w:t>
      </w:r>
      <w:r w:rsidR="00E07271" w:rsidRPr="0007729F">
        <w:rPr>
          <w:rFonts w:ascii="Verdana" w:hAnsi="Verdana" w:cs="Verdana"/>
          <w:color w:val="000000"/>
          <w:sz w:val="20"/>
        </w:rPr>
        <w:t xml:space="preserve"> </w:t>
      </w:r>
      <w:r w:rsidR="006A74A1" w:rsidRPr="0007729F">
        <w:rPr>
          <w:rFonts w:ascii="Verdana" w:hAnsi="Verdana" w:cs="Verdana"/>
          <w:color w:val="000000"/>
          <w:sz w:val="20"/>
        </w:rPr>
        <w:t>y 1</w:t>
      </w:r>
      <w:r w:rsidR="00586374">
        <w:rPr>
          <w:rFonts w:ascii="Verdana" w:hAnsi="Verdana" w:cs="Verdana"/>
          <w:color w:val="000000"/>
          <w:sz w:val="20"/>
        </w:rPr>
        <w:t>6</w:t>
      </w:r>
      <w:r w:rsidR="006A74A1" w:rsidRPr="0007729F">
        <w:rPr>
          <w:rFonts w:ascii="Verdana" w:hAnsi="Verdana" w:cs="Verdana"/>
          <w:color w:val="000000"/>
          <w:sz w:val="20"/>
        </w:rPr>
        <w:t xml:space="preserve"> de </w:t>
      </w:r>
      <w:r w:rsidR="00E07271" w:rsidRPr="0007729F">
        <w:rPr>
          <w:rFonts w:ascii="Verdana" w:hAnsi="Verdana" w:cs="Verdana"/>
          <w:color w:val="000000"/>
          <w:sz w:val="20"/>
        </w:rPr>
        <w:t xml:space="preserve">enero </w:t>
      </w:r>
      <w:r w:rsidR="006F45FE" w:rsidRPr="0007729F">
        <w:rPr>
          <w:rFonts w:ascii="Verdana" w:hAnsi="Verdana" w:cs="Verdana"/>
          <w:color w:val="000000"/>
          <w:sz w:val="20"/>
        </w:rPr>
        <w:t>y</w:t>
      </w:r>
      <w:r w:rsidR="00E07271" w:rsidRPr="0007729F">
        <w:rPr>
          <w:rFonts w:ascii="Verdana" w:hAnsi="Verdana" w:cs="Verdana"/>
          <w:color w:val="000000"/>
          <w:sz w:val="20"/>
        </w:rPr>
        <w:t xml:space="preserve"> 16 de febrero</w:t>
      </w:r>
      <w:r w:rsidR="00A72D0E" w:rsidRPr="0007729F">
        <w:rPr>
          <w:rFonts w:ascii="Verdana" w:hAnsi="Verdana" w:cs="Verdana"/>
          <w:color w:val="000000"/>
          <w:sz w:val="20"/>
        </w:rPr>
        <w:t xml:space="preserve"> de 2018,</w:t>
      </w:r>
      <w:r w:rsidR="00E07271" w:rsidRPr="0007729F">
        <w:rPr>
          <w:rFonts w:ascii="Verdana" w:hAnsi="Verdana" w:cs="Verdana"/>
          <w:color w:val="000000"/>
          <w:sz w:val="20"/>
        </w:rPr>
        <w:t xml:space="preserve"> </w:t>
      </w:r>
      <w:r w:rsidRPr="0007729F">
        <w:rPr>
          <w:rFonts w:ascii="Verdana" w:hAnsi="Verdana" w:cs="Verdana"/>
          <w:color w:val="000000"/>
          <w:sz w:val="20"/>
        </w:rPr>
        <w:t>mediante los cuales los representantes de los beneficiarios de las presentes medidas provisionales (en adelante “los representantes”)</w:t>
      </w:r>
      <w:r w:rsidRPr="0007729F">
        <w:rPr>
          <w:rStyle w:val="FootnoteReference"/>
          <w:rFonts w:ascii="Verdana" w:hAnsi="Verdana"/>
          <w:color w:val="000000"/>
          <w:sz w:val="20"/>
        </w:rPr>
        <w:footnoteReference w:id="1"/>
      </w:r>
      <w:r w:rsidRPr="0007729F">
        <w:rPr>
          <w:rFonts w:ascii="Verdana" w:hAnsi="Verdana" w:cs="Verdana"/>
          <w:color w:val="000000"/>
          <w:sz w:val="20"/>
        </w:rPr>
        <w:t xml:space="preserve"> presentaron sus observaciones a la información remitida por el Estado</w:t>
      </w:r>
      <w:r w:rsidR="00240195">
        <w:rPr>
          <w:rFonts w:ascii="Verdana" w:hAnsi="Verdana" w:cs="Verdana"/>
          <w:color w:val="000000"/>
          <w:sz w:val="20"/>
        </w:rPr>
        <w:t xml:space="preserve"> (</w:t>
      </w:r>
      <w:r w:rsidR="00240195">
        <w:rPr>
          <w:rFonts w:ascii="Verdana" w:hAnsi="Verdana" w:cs="Verdana"/>
          <w:i/>
          <w:color w:val="000000"/>
          <w:sz w:val="20"/>
        </w:rPr>
        <w:t xml:space="preserve">supra </w:t>
      </w:r>
      <w:r w:rsidR="00240195">
        <w:rPr>
          <w:rFonts w:ascii="Verdana" w:hAnsi="Verdana" w:cs="Verdana"/>
          <w:color w:val="000000"/>
          <w:sz w:val="20"/>
        </w:rPr>
        <w:t>Visto 2)</w:t>
      </w:r>
      <w:r w:rsidRPr="0007729F">
        <w:rPr>
          <w:rFonts w:ascii="Verdana" w:hAnsi="Verdana" w:cs="Verdana"/>
          <w:color w:val="000000"/>
          <w:sz w:val="20"/>
        </w:rPr>
        <w:t>. Asimismo</w:t>
      </w:r>
      <w:r w:rsidR="00A72D0E" w:rsidRPr="0007729F">
        <w:rPr>
          <w:rFonts w:ascii="Verdana" w:hAnsi="Verdana" w:cs="Verdana"/>
          <w:color w:val="000000"/>
          <w:sz w:val="20"/>
        </w:rPr>
        <w:t>,</w:t>
      </w:r>
      <w:r w:rsidRPr="0007729F">
        <w:rPr>
          <w:rFonts w:ascii="Verdana" w:hAnsi="Verdana" w:cs="Verdana"/>
          <w:color w:val="000000"/>
          <w:sz w:val="20"/>
        </w:rPr>
        <w:t xml:space="preserve"> el escrito de 19 de octubre de 2017, mediante el cual los representantes informaron sobre la decisión del Departamento de Riesgo de la División de Protección de Personas y Seguridad de la Policía Nacional Civil Guatemalteca</w:t>
      </w:r>
      <w:r w:rsidR="00781F08" w:rsidRPr="0007729F">
        <w:rPr>
          <w:rFonts w:ascii="Verdana" w:hAnsi="Verdana" w:cs="Verdana"/>
          <w:color w:val="000000"/>
          <w:sz w:val="20"/>
        </w:rPr>
        <w:t>,</w:t>
      </w:r>
      <w:r w:rsidRPr="0007729F">
        <w:rPr>
          <w:rFonts w:ascii="Verdana" w:hAnsi="Verdana" w:cs="Verdana"/>
          <w:color w:val="000000"/>
          <w:sz w:val="20"/>
        </w:rPr>
        <w:t xml:space="preserve"> </w:t>
      </w:r>
      <w:r w:rsidR="00781F08" w:rsidRPr="0007729F">
        <w:rPr>
          <w:rFonts w:ascii="Verdana" w:hAnsi="Verdana" w:cs="Verdana"/>
          <w:color w:val="000000"/>
          <w:sz w:val="20"/>
        </w:rPr>
        <w:t xml:space="preserve">de </w:t>
      </w:r>
      <w:r w:rsidRPr="0007729F">
        <w:rPr>
          <w:rFonts w:ascii="Verdana" w:hAnsi="Verdana" w:cs="Verdana"/>
          <w:color w:val="000000"/>
          <w:sz w:val="20"/>
        </w:rPr>
        <w:t xml:space="preserve">realizar un análisis de riesgo </w:t>
      </w:r>
      <w:r w:rsidR="00781F08" w:rsidRPr="0007729F">
        <w:rPr>
          <w:rFonts w:ascii="Verdana" w:hAnsi="Verdana" w:cs="Verdana"/>
          <w:color w:val="000000"/>
          <w:sz w:val="20"/>
        </w:rPr>
        <w:t xml:space="preserve">a </w:t>
      </w:r>
      <w:r w:rsidR="00137B19">
        <w:rPr>
          <w:rFonts w:ascii="Verdana" w:hAnsi="Verdana" w:cs="Verdana"/>
          <w:color w:val="000000"/>
          <w:sz w:val="20"/>
        </w:rPr>
        <w:t>los</w:t>
      </w:r>
      <w:r w:rsidR="00781F08" w:rsidRPr="0007729F">
        <w:rPr>
          <w:rFonts w:ascii="Verdana" w:hAnsi="Verdana" w:cs="Verdana"/>
          <w:color w:val="000000"/>
          <w:sz w:val="20"/>
        </w:rPr>
        <w:t xml:space="preserve"> beneficiarios de las medidas provisionales. A través de dicho</w:t>
      </w:r>
      <w:r w:rsidRPr="0007729F">
        <w:rPr>
          <w:rFonts w:ascii="Verdana" w:hAnsi="Verdana" w:cs="Verdana"/>
          <w:color w:val="000000"/>
          <w:sz w:val="20"/>
        </w:rPr>
        <w:t xml:space="preserve"> escrito, solicitaron que la Corte </w:t>
      </w:r>
      <w:r w:rsidR="00781F08" w:rsidRPr="0007729F">
        <w:rPr>
          <w:rFonts w:ascii="Verdana" w:hAnsi="Verdana" w:cs="Verdana"/>
          <w:color w:val="000000"/>
          <w:sz w:val="20"/>
        </w:rPr>
        <w:t>valor</w:t>
      </w:r>
      <w:r w:rsidR="00A72D0E" w:rsidRPr="0007729F">
        <w:rPr>
          <w:rFonts w:ascii="Verdana" w:hAnsi="Verdana" w:cs="Verdana"/>
          <w:color w:val="000000"/>
          <w:sz w:val="20"/>
        </w:rPr>
        <w:t>ara</w:t>
      </w:r>
      <w:r w:rsidR="00781F08" w:rsidRPr="0007729F">
        <w:rPr>
          <w:rFonts w:ascii="Verdana" w:hAnsi="Verdana" w:cs="Verdana"/>
          <w:color w:val="000000"/>
          <w:sz w:val="20"/>
        </w:rPr>
        <w:t xml:space="preserve"> los esfuerzos realizados por el Estado y le inst</w:t>
      </w:r>
      <w:r w:rsidR="00937D07" w:rsidRPr="0007729F">
        <w:rPr>
          <w:rFonts w:ascii="Verdana" w:hAnsi="Verdana" w:cs="Verdana"/>
          <w:color w:val="000000"/>
          <w:sz w:val="20"/>
        </w:rPr>
        <w:t>ara</w:t>
      </w:r>
      <w:r w:rsidR="00781F08" w:rsidRPr="0007729F">
        <w:rPr>
          <w:rFonts w:ascii="Verdana" w:hAnsi="Verdana" w:cs="Verdana"/>
          <w:color w:val="000000"/>
          <w:sz w:val="20"/>
        </w:rPr>
        <w:t xml:space="preserve"> a seguir implementando las medidas de protección “de forma diligente y efectiva a fin de garantizar la vida e integridad personal de los beneficiarios</w:t>
      </w:r>
      <w:r w:rsidR="00E07271" w:rsidRPr="0007729F">
        <w:rPr>
          <w:rFonts w:ascii="Verdana" w:hAnsi="Verdana" w:cs="Verdana"/>
          <w:color w:val="000000"/>
          <w:sz w:val="20"/>
        </w:rPr>
        <w:t>”. Además, el escrito de 6 de septiembre de 2018</w:t>
      </w:r>
      <w:r w:rsidR="00937D07" w:rsidRPr="0007729F">
        <w:rPr>
          <w:rFonts w:ascii="Verdana" w:hAnsi="Verdana" w:cs="Verdana"/>
          <w:color w:val="000000"/>
          <w:sz w:val="20"/>
        </w:rPr>
        <w:t>,</w:t>
      </w:r>
      <w:r w:rsidR="006F45FE" w:rsidRPr="0007729F">
        <w:rPr>
          <w:rFonts w:ascii="Verdana" w:hAnsi="Verdana" w:cs="Verdana"/>
          <w:color w:val="000000"/>
          <w:sz w:val="20"/>
        </w:rPr>
        <w:t xml:space="preserve"> </w:t>
      </w:r>
      <w:r w:rsidR="00E07271" w:rsidRPr="0007729F">
        <w:rPr>
          <w:rFonts w:ascii="Verdana" w:hAnsi="Verdana" w:cs="Verdana"/>
          <w:color w:val="000000"/>
          <w:sz w:val="20"/>
        </w:rPr>
        <w:t>mediante el cual los rep</w:t>
      </w:r>
      <w:r w:rsidR="006F45FE" w:rsidRPr="0007729F">
        <w:rPr>
          <w:rFonts w:ascii="Verdana" w:hAnsi="Verdana" w:cs="Verdana"/>
          <w:color w:val="000000"/>
          <w:sz w:val="20"/>
        </w:rPr>
        <w:t>resentantes indicaron que</w:t>
      </w:r>
      <w:r w:rsidR="00E07271" w:rsidRPr="0007729F">
        <w:rPr>
          <w:rFonts w:ascii="Verdana" w:hAnsi="Verdana" w:cs="Verdana"/>
          <w:color w:val="000000"/>
          <w:sz w:val="20"/>
        </w:rPr>
        <w:t xml:space="preserve"> el Estado ha implementado </w:t>
      </w:r>
      <w:r w:rsidR="00E07271" w:rsidRPr="0007729F">
        <w:rPr>
          <w:rFonts w:ascii="Verdana" w:hAnsi="Verdana" w:cs="Verdana"/>
          <w:sz w:val="20"/>
        </w:rPr>
        <w:t>todas las medidas y esquemas de seguridad a favor de</w:t>
      </w:r>
      <w:r w:rsidR="00137B19">
        <w:rPr>
          <w:rFonts w:ascii="Verdana" w:hAnsi="Verdana" w:cs="Verdana"/>
          <w:sz w:val="20"/>
        </w:rPr>
        <w:t xml:space="preserve"> </w:t>
      </w:r>
      <w:r w:rsidR="00E07271" w:rsidRPr="0007729F">
        <w:rPr>
          <w:rFonts w:ascii="Verdana" w:hAnsi="Verdana" w:cs="Verdana"/>
          <w:sz w:val="20"/>
        </w:rPr>
        <w:t>l</w:t>
      </w:r>
      <w:r w:rsidR="00137B19">
        <w:rPr>
          <w:rFonts w:ascii="Verdana" w:hAnsi="Verdana" w:cs="Verdana"/>
          <w:sz w:val="20"/>
        </w:rPr>
        <w:t>os beneficiarios</w:t>
      </w:r>
      <w:r w:rsidR="006F45FE" w:rsidRPr="0007729F">
        <w:rPr>
          <w:rFonts w:ascii="Verdana" w:hAnsi="Verdana" w:cs="Verdana"/>
          <w:sz w:val="20"/>
        </w:rPr>
        <w:t>, y solicitó a la Corte que</w:t>
      </w:r>
      <w:r w:rsidR="00E07271" w:rsidRPr="0007729F">
        <w:rPr>
          <w:rFonts w:ascii="Verdana" w:hAnsi="Verdana" w:cs="Verdana"/>
          <w:sz w:val="20"/>
        </w:rPr>
        <w:t xml:space="preserve"> </w:t>
      </w:r>
      <w:r w:rsidR="00E07271" w:rsidRPr="0007729F">
        <w:rPr>
          <w:rFonts w:ascii="Verdana" w:hAnsi="Verdana" w:cs="Arial"/>
          <w:sz w:val="20"/>
          <w:lang w:val="es-CR"/>
        </w:rPr>
        <w:t>valore los esfuerzos realizados por</w:t>
      </w:r>
      <w:r w:rsidR="00937D07" w:rsidRPr="0007729F">
        <w:rPr>
          <w:rFonts w:ascii="Verdana" w:hAnsi="Verdana" w:cs="Arial"/>
          <w:sz w:val="20"/>
          <w:lang w:val="es-CR"/>
        </w:rPr>
        <w:t xml:space="preserve"> Guatemala</w:t>
      </w:r>
      <w:r w:rsidR="00E07271" w:rsidRPr="0007729F">
        <w:rPr>
          <w:rFonts w:ascii="Verdana" w:hAnsi="Verdana" w:cs="Arial"/>
          <w:sz w:val="20"/>
          <w:lang w:val="es-CR"/>
        </w:rPr>
        <w:t xml:space="preserve">. </w:t>
      </w:r>
    </w:p>
    <w:p w:rsidR="00781F08" w:rsidRPr="0007729F" w:rsidRDefault="00781F08" w:rsidP="000A0EA1">
      <w:pPr>
        <w:pStyle w:val="ListParagraph"/>
        <w:spacing w:beforeLines="80" w:before="192" w:after="80"/>
        <w:rPr>
          <w:rFonts w:ascii="Verdana" w:hAnsi="Verdana" w:cs="Verdana"/>
          <w:color w:val="000000"/>
          <w:sz w:val="20"/>
        </w:rPr>
      </w:pPr>
    </w:p>
    <w:p w:rsidR="00781F08" w:rsidRPr="0007729F" w:rsidRDefault="00781F08" w:rsidP="000A0EA1">
      <w:pPr>
        <w:pStyle w:val="ListParagraph"/>
        <w:numPr>
          <w:ilvl w:val="0"/>
          <w:numId w:val="1"/>
        </w:numPr>
        <w:autoSpaceDE w:val="0"/>
        <w:autoSpaceDN w:val="0"/>
        <w:adjustRightInd w:val="0"/>
        <w:spacing w:beforeLines="80" w:before="192" w:after="80"/>
        <w:jc w:val="both"/>
        <w:rPr>
          <w:rFonts w:ascii="Verdana" w:hAnsi="Verdana" w:cs="Verdana"/>
          <w:color w:val="000000"/>
          <w:sz w:val="20"/>
        </w:rPr>
      </w:pPr>
      <w:r w:rsidRPr="0007729F">
        <w:rPr>
          <w:rFonts w:ascii="Verdana" w:hAnsi="Verdana" w:cs="Verdana"/>
          <w:color w:val="000000"/>
          <w:sz w:val="20"/>
        </w:rPr>
        <w:t xml:space="preserve">Las comunicaciones de la Comisión Interamericana de Derechos Humanos (en adelante “la Comisión Interamericana” o “la Comisión”) de </w:t>
      </w:r>
      <w:r w:rsidR="00614370" w:rsidRPr="0007729F">
        <w:rPr>
          <w:rFonts w:ascii="Verdana" w:hAnsi="Verdana" w:cs="Verdana"/>
          <w:color w:val="000000"/>
          <w:sz w:val="20"/>
        </w:rPr>
        <w:t>22</w:t>
      </w:r>
      <w:r w:rsidRPr="0007729F">
        <w:rPr>
          <w:rFonts w:ascii="Verdana" w:hAnsi="Verdana" w:cs="Verdana"/>
          <w:color w:val="000000"/>
          <w:sz w:val="20"/>
        </w:rPr>
        <w:t xml:space="preserve"> de </w:t>
      </w:r>
      <w:r w:rsidR="00614370" w:rsidRPr="0007729F">
        <w:rPr>
          <w:rFonts w:ascii="Verdana" w:hAnsi="Verdana" w:cs="Verdana"/>
          <w:color w:val="000000"/>
          <w:sz w:val="20"/>
        </w:rPr>
        <w:t>abril</w:t>
      </w:r>
      <w:r w:rsidR="00E07271" w:rsidRPr="0007729F">
        <w:rPr>
          <w:rFonts w:ascii="Verdana" w:hAnsi="Verdana" w:cs="Verdana"/>
          <w:color w:val="000000"/>
          <w:sz w:val="20"/>
        </w:rPr>
        <w:t xml:space="preserve"> </w:t>
      </w:r>
      <w:r w:rsidR="00015EBF" w:rsidRPr="0007729F">
        <w:rPr>
          <w:rFonts w:ascii="Verdana" w:hAnsi="Verdana" w:cs="Verdana"/>
          <w:color w:val="000000"/>
          <w:sz w:val="20"/>
        </w:rPr>
        <w:t>y 19</w:t>
      </w:r>
      <w:r w:rsidRPr="0007729F">
        <w:rPr>
          <w:rFonts w:ascii="Verdana" w:hAnsi="Verdana" w:cs="Verdana"/>
          <w:color w:val="000000"/>
          <w:sz w:val="20"/>
        </w:rPr>
        <w:t xml:space="preserve"> de </w:t>
      </w:r>
      <w:r w:rsidR="00015EBF" w:rsidRPr="0007729F">
        <w:rPr>
          <w:rFonts w:ascii="Verdana" w:hAnsi="Verdana" w:cs="Verdana"/>
          <w:color w:val="000000"/>
          <w:sz w:val="20"/>
        </w:rPr>
        <w:t>julio</w:t>
      </w:r>
      <w:r w:rsidRPr="0007729F">
        <w:rPr>
          <w:rFonts w:ascii="Verdana" w:hAnsi="Verdana" w:cs="Verdana"/>
          <w:color w:val="000000"/>
          <w:sz w:val="20"/>
        </w:rPr>
        <w:t xml:space="preserve"> </w:t>
      </w:r>
      <w:r w:rsidR="00015EBF" w:rsidRPr="0007729F">
        <w:rPr>
          <w:rFonts w:ascii="Verdana" w:hAnsi="Verdana" w:cs="Verdana"/>
          <w:color w:val="000000"/>
          <w:sz w:val="20"/>
        </w:rPr>
        <w:t>de 2016; 2</w:t>
      </w:r>
      <w:r w:rsidR="000F716B" w:rsidRPr="0007729F">
        <w:rPr>
          <w:rFonts w:ascii="Verdana" w:hAnsi="Verdana" w:cs="Verdana"/>
          <w:color w:val="000000"/>
          <w:sz w:val="20"/>
        </w:rPr>
        <w:t>6 de enero</w:t>
      </w:r>
      <w:r w:rsidR="00E07271" w:rsidRPr="0007729F">
        <w:rPr>
          <w:rFonts w:ascii="Verdana" w:hAnsi="Verdana" w:cs="Verdana"/>
          <w:color w:val="000000"/>
          <w:sz w:val="20"/>
        </w:rPr>
        <w:t xml:space="preserve"> </w:t>
      </w:r>
      <w:r w:rsidR="000F716B" w:rsidRPr="0007729F">
        <w:rPr>
          <w:rFonts w:ascii="Verdana" w:hAnsi="Verdana" w:cs="Verdana"/>
          <w:color w:val="000000"/>
          <w:sz w:val="20"/>
        </w:rPr>
        <w:t xml:space="preserve">y 19 de julio de </w:t>
      </w:r>
      <w:r w:rsidRPr="0007729F">
        <w:rPr>
          <w:rFonts w:ascii="Verdana" w:hAnsi="Verdana" w:cs="Verdana"/>
          <w:color w:val="000000"/>
          <w:sz w:val="20"/>
        </w:rPr>
        <w:t>201</w:t>
      </w:r>
      <w:r w:rsidR="00015EBF" w:rsidRPr="0007729F">
        <w:rPr>
          <w:rFonts w:ascii="Verdana" w:hAnsi="Verdana" w:cs="Verdana"/>
          <w:color w:val="000000"/>
          <w:sz w:val="20"/>
        </w:rPr>
        <w:t>7</w:t>
      </w:r>
      <w:r w:rsidR="00137B19">
        <w:rPr>
          <w:rFonts w:ascii="Verdana" w:hAnsi="Verdana" w:cs="Verdana"/>
          <w:color w:val="000000"/>
          <w:sz w:val="20"/>
        </w:rPr>
        <w:t>,</w:t>
      </w:r>
      <w:r w:rsidR="00E07271" w:rsidRPr="0007729F">
        <w:rPr>
          <w:rFonts w:ascii="Verdana" w:hAnsi="Verdana" w:cs="Verdana"/>
          <w:color w:val="000000"/>
          <w:sz w:val="20"/>
        </w:rPr>
        <w:t xml:space="preserve"> </w:t>
      </w:r>
      <w:r w:rsidR="008E656A" w:rsidRPr="0007729F">
        <w:rPr>
          <w:rFonts w:ascii="Verdana" w:hAnsi="Verdana" w:cs="Verdana"/>
          <w:color w:val="000000"/>
          <w:sz w:val="20"/>
        </w:rPr>
        <w:t>y 6 de noviembre de 2018</w:t>
      </w:r>
      <w:r w:rsidR="00937D07" w:rsidRPr="0007729F">
        <w:rPr>
          <w:rFonts w:ascii="Verdana" w:hAnsi="Verdana" w:cs="Verdana"/>
          <w:color w:val="000000"/>
          <w:sz w:val="20"/>
        </w:rPr>
        <w:t xml:space="preserve">, </w:t>
      </w:r>
      <w:r w:rsidRPr="0007729F">
        <w:rPr>
          <w:rFonts w:ascii="Verdana" w:hAnsi="Verdana" w:cs="Verdana"/>
          <w:color w:val="000000"/>
          <w:sz w:val="20"/>
        </w:rPr>
        <w:t>mediante las cuales presentó sus observaciones a la información remitida por el Estado y los representantes (</w:t>
      </w:r>
      <w:r w:rsidRPr="0007729F">
        <w:rPr>
          <w:rFonts w:ascii="Verdana" w:hAnsi="Verdana" w:cs="Verdana"/>
          <w:i/>
          <w:iCs/>
          <w:color w:val="000000"/>
          <w:sz w:val="20"/>
        </w:rPr>
        <w:t xml:space="preserve">supra </w:t>
      </w:r>
      <w:r w:rsidRPr="0007729F">
        <w:rPr>
          <w:rFonts w:ascii="Verdana" w:hAnsi="Verdana" w:cs="Verdana"/>
          <w:color w:val="000000"/>
          <w:sz w:val="20"/>
        </w:rPr>
        <w:t xml:space="preserve">Vistos 2 y 3). </w:t>
      </w:r>
    </w:p>
    <w:p w:rsidR="006B4066" w:rsidRPr="0007729F" w:rsidRDefault="006B4066" w:rsidP="000A0EA1">
      <w:pPr>
        <w:pStyle w:val="ListParagraph"/>
        <w:spacing w:beforeLines="80" w:before="192" w:after="80"/>
        <w:rPr>
          <w:rFonts w:ascii="Verdana" w:hAnsi="Verdana" w:cs="Verdana"/>
          <w:color w:val="000000"/>
          <w:sz w:val="20"/>
        </w:rPr>
      </w:pPr>
    </w:p>
    <w:p w:rsidR="00B609A8" w:rsidRPr="0007729F" w:rsidRDefault="00B609A8" w:rsidP="000A0EA1">
      <w:pPr>
        <w:pStyle w:val="Heading4"/>
        <w:spacing w:beforeLines="80" w:before="192" w:after="80" w:line="240" w:lineRule="auto"/>
        <w:contextualSpacing/>
        <w:jc w:val="both"/>
        <w:rPr>
          <w:rFonts w:ascii="Verdana" w:hAnsi="Verdana"/>
          <w:i w:val="0"/>
          <w:color w:val="auto"/>
          <w:sz w:val="20"/>
          <w:szCs w:val="20"/>
          <w:lang w:val="es-GT"/>
        </w:rPr>
      </w:pPr>
      <w:r w:rsidRPr="0007729F">
        <w:rPr>
          <w:rFonts w:ascii="Verdana" w:hAnsi="Verdana"/>
          <w:i w:val="0"/>
          <w:color w:val="auto"/>
          <w:sz w:val="20"/>
          <w:szCs w:val="20"/>
          <w:lang w:val="es-GT"/>
        </w:rPr>
        <w:t>C</w:t>
      </w:r>
      <w:r w:rsidRPr="0007729F">
        <w:rPr>
          <w:rFonts w:ascii="Verdana" w:hAnsi="Verdana"/>
          <w:i w:val="0"/>
          <w:caps/>
          <w:smallCaps/>
          <w:color w:val="auto"/>
          <w:sz w:val="20"/>
          <w:szCs w:val="20"/>
          <w:lang w:val="es-GT"/>
        </w:rPr>
        <w:t>onsiderando que:</w:t>
      </w:r>
    </w:p>
    <w:p w:rsidR="00B609A8" w:rsidRPr="0007729F" w:rsidRDefault="00B609A8" w:rsidP="000A0EA1">
      <w:pPr>
        <w:spacing w:beforeLines="80" w:before="192" w:after="80" w:line="240" w:lineRule="auto"/>
        <w:contextualSpacing/>
        <w:rPr>
          <w:rFonts w:ascii="Verdana" w:hAnsi="Verdana"/>
          <w:b/>
          <w:sz w:val="16"/>
          <w:szCs w:val="20"/>
          <w:lang w:val="es-PR"/>
        </w:rPr>
      </w:pPr>
    </w:p>
    <w:p w:rsidR="00B609A8" w:rsidRPr="0007729F" w:rsidRDefault="00B609A8" w:rsidP="000A0EA1">
      <w:pPr>
        <w:spacing w:beforeLines="80" w:before="192" w:after="80" w:line="240" w:lineRule="auto"/>
        <w:ind w:left="720" w:right="22"/>
        <w:contextualSpacing/>
        <w:jc w:val="both"/>
        <w:rPr>
          <w:rFonts w:ascii="Verdana" w:hAnsi="Verdana"/>
          <w:b/>
          <w:i/>
          <w:sz w:val="20"/>
          <w:szCs w:val="20"/>
          <w:lang w:val="es-CR"/>
        </w:rPr>
      </w:pPr>
      <w:r w:rsidRPr="0007729F">
        <w:rPr>
          <w:rFonts w:ascii="Verdana" w:hAnsi="Verdana"/>
          <w:b/>
          <w:i/>
          <w:sz w:val="20"/>
          <w:szCs w:val="20"/>
          <w:lang w:val="es-CR"/>
        </w:rPr>
        <w:t>A. Sobre la implementación de las medidas provisionales</w:t>
      </w:r>
    </w:p>
    <w:p w:rsidR="00B609A8" w:rsidRPr="0007729F" w:rsidRDefault="00B609A8" w:rsidP="000A0EA1">
      <w:pPr>
        <w:spacing w:beforeLines="80" w:before="192" w:after="80" w:line="240" w:lineRule="auto"/>
        <w:ind w:right="22"/>
        <w:contextualSpacing/>
        <w:jc w:val="both"/>
        <w:rPr>
          <w:rFonts w:ascii="Verdana" w:hAnsi="Verdana"/>
          <w:sz w:val="20"/>
          <w:szCs w:val="20"/>
          <w:lang w:val="es-CR"/>
        </w:rPr>
      </w:pPr>
    </w:p>
    <w:p w:rsidR="00B609A8" w:rsidRPr="0007729F" w:rsidRDefault="00B609A8" w:rsidP="000A0EA1">
      <w:pPr>
        <w:spacing w:beforeLines="80" w:before="192" w:after="80" w:line="240" w:lineRule="auto"/>
        <w:ind w:right="22" w:firstLine="720"/>
        <w:contextualSpacing/>
        <w:jc w:val="both"/>
        <w:rPr>
          <w:rFonts w:ascii="Verdana" w:hAnsi="Verdana"/>
          <w:i/>
          <w:sz w:val="20"/>
          <w:szCs w:val="20"/>
          <w:lang w:val="es-CR"/>
        </w:rPr>
      </w:pPr>
      <w:r w:rsidRPr="0007729F">
        <w:rPr>
          <w:rFonts w:ascii="Verdana" w:hAnsi="Verdana"/>
          <w:i/>
          <w:sz w:val="20"/>
          <w:szCs w:val="20"/>
          <w:lang w:val="es-CR"/>
        </w:rPr>
        <w:t>A.1. Alegatos e información remitida por las partes y la Comisión</w:t>
      </w:r>
    </w:p>
    <w:p w:rsidR="00B609A8" w:rsidRPr="0007729F" w:rsidRDefault="00B609A8" w:rsidP="000A0EA1">
      <w:pPr>
        <w:spacing w:beforeLines="80" w:before="192" w:after="80" w:line="240" w:lineRule="auto"/>
        <w:ind w:right="22"/>
        <w:contextualSpacing/>
        <w:jc w:val="both"/>
        <w:rPr>
          <w:rFonts w:ascii="Verdana" w:hAnsi="Verdana"/>
          <w:b/>
          <w:sz w:val="20"/>
          <w:szCs w:val="20"/>
          <w:lang w:val="es-CR"/>
        </w:rPr>
      </w:pPr>
    </w:p>
    <w:p w:rsidR="00EE6A73" w:rsidRPr="0007729F" w:rsidRDefault="00F06663" w:rsidP="000A0EA1">
      <w:pPr>
        <w:pStyle w:val="ListParagraph"/>
        <w:numPr>
          <w:ilvl w:val="0"/>
          <w:numId w:val="1"/>
        </w:numPr>
        <w:spacing w:beforeLines="80" w:before="192" w:after="80"/>
        <w:ind w:right="22"/>
        <w:jc w:val="both"/>
        <w:rPr>
          <w:rFonts w:ascii="Verdana" w:hAnsi="Verdana"/>
          <w:b/>
          <w:sz w:val="20"/>
          <w:lang w:val="es-CR"/>
        </w:rPr>
      </w:pPr>
      <w:r w:rsidRPr="0007729F">
        <w:rPr>
          <w:rFonts w:ascii="Verdana" w:hAnsi="Verdana"/>
          <w:sz w:val="20"/>
          <w:lang w:val="es-CR"/>
        </w:rPr>
        <w:t xml:space="preserve">Mediante escritos de </w:t>
      </w:r>
      <w:r w:rsidRPr="0007729F">
        <w:rPr>
          <w:rFonts w:ascii="Verdana" w:hAnsi="Verdana"/>
          <w:sz w:val="20"/>
          <w:lang w:val="es-ES"/>
        </w:rPr>
        <w:t xml:space="preserve">9 de noviembre de 2016 y 29 de marzo de 2017 los </w:t>
      </w:r>
      <w:r w:rsidRPr="0007729F">
        <w:rPr>
          <w:rFonts w:ascii="Verdana" w:hAnsi="Verdana"/>
          <w:b/>
          <w:i/>
          <w:sz w:val="20"/>
          <w:lang w:val="es-ES"/>
        </w:rPr>
        <w:t>representantes</w:t>
      </w:r>
      <w:r w:rsidRPr="0007729F">
        <w:rPr>
          <w:rFonts w:ascii="Verdana" w:hAnsi="Verdana"/>
          <w:sz w:val="20"/>
          <w:lang w:val="es-ES"/>
        </w:rPr>
        <w:t xml:space="preserve"> de los beneficiarios </w:t>
      </w:r>
      <w:r w:rsidR="00B700C6">
        <w:rPr>
          <w:rFonts w:ascii="Verdana" w:hAnsi="Verdana"/>
          <w:sz w:val="20"/>
          <w:lang w:val="es-ES"/>
        </w:rPr>
        <w:t>señalaron falencias en</w:t>
      </w:r>
      <w:r w:rsidR="00137B19">
        <w:rPr>
          <w:rFonts w:ascii="Verdana" w:hAnsi="Verdana"/>
          <w:sz w:val="20"/>
          <w:lang w:val="es-ES"/>
        </w:rPr>
        <w:t xml:space="preserve"> la implementación de las </w:t>
      </w:r>
      <w:r w:rsidR="00137B19">
        <w:rPr>
          <w:rFonts w:ascii="Verdana" w:hAnsi="Verdana"/>
          <w:sz w:val="20"/>
          <w:lang w:val="es-ES"/>
        </w:rPr>
        <w:lastRenderedPageBreak/>
        <w:t>medidas de protección</w:t>
      </w:r>
      <w:r w:rsidR="000E13D4" w:rsidRPr="0007729F">
        <w:rPr>
          <w:rFonts w:ascii="Verdana" w:hAnsi="Verdana"/>
          <w:sz w:val="20"/>
          <w:lang w:val="es-ES"/>
        </w:rPr>
        <w:t>.</w:t>
      </w:r>
      <w:r w:rsidRPr="0007729F">
        <w:rPr>
          <w:rFonts w:ascii="Verdana" w:hAnsi="Verdana"/>
          <w:sz w:val="20"/>
          <w:lang w:val="es-ES"/>
        </w:rPr>
        <w:t xml:space="preserve"> No obstante lo anterior, mediante escrito de</w:t>
      </w:r>
      <w:r w:rsidRPr="0007729F">
        <w:rPr>
          <w:rFonts w:ascii="Verdana" w:hAnsi="Verdana" w:cs="Verdana"/>
          <w:color w:val="000000"/>
          <w:sz w:val="20"/>
        </w:rPr>
        <w:t xml:space="preserve"> 6 de septiembre de 2018 indicaron que “efectivamente el Estado ha implementado todas las medidas y esquemas de seguridad a favor </w:t>
      </w:r>
      <w:r w:rsidR="005750E4" w:rsidRPr="00137B19">
        <w:rPr>
          <w:rFonts w:ascii="Verdana" w:hAnsi="Verdana" w:cs="Verdana"/>
          <w:color w:val="000000"/>
          <w:sz w:val="20"/>
        </w:rPr>
        <w:t>[de los beneficiarios]</w:t>
      </w:r>
      <w:r w:rsidRPr="0007729F">
        <w:rPr>
          <w:rFonts w:ascii="Verdana" w:hAnsi="Verdana" w:cs="Verdana"/>
          <w:sz w:val="20"/>
        </w:rPr>
        <w:t>”. Además, solicitaron a la Corte que “</w:t>
      </w:r>
      <w:r w:rsidRPr="0007729F">
        <w:rPr>
          <w:rFonts w:ascii="Verdana" w:hAnsi="Verdana" w:cs="Arial"/>
          <w:sz w:val="20"/>
          <w:lang w:val="es-CR"/>
        </w:rPr>
        <w:t>valore los esfuerzos realizados por el Estado en la implementación de los esquemas</w:t>
      </w:r>
      <w:r w:rsidRPr="0007729F">
        <w:rPr>
          <w:rFonts w:ascii="Verdana" w:hAnsi="Verdana" w:cs="Verdana"/>
          <w:sz w:val="20"/>
        </w:rPr>
        <w:t xml:space="preserve"> </w:t>
      </w:r>
      <w:r w:rsidRPr="0007729F">
        <w:rPr>
          <w:rFonts w:ascii="Verdana" w:hAnsi="Verdana" w:cs="Arial"/>
          <w:sz w:val="20"/>
          <w:lang w:val="es-CR"/>
        </w:rPr>
        <w:t xml:space="preserve">y medidas de seguridad brindadas a la FAFG”. </w:t>
      </w:r>
    </w:p>
    <w:p w:rsidR="00D3235F" w:rsidRPr="0007729F" w:rsidRDefault="00D3235F" w:rsidP="000A0EA1">
      <w:pPr>
        <w:pStyle w:val="ListParagraph"/>
        <w:spacing w:beforeLines="80" w:before="192" w:after="80"/>
        <w:ind w:left="0" w:right="22"/>
        <w:jc w:val="both"/>
        <w:rPr>
          <w:rFonts w:ascii="Verdana" w:hAnsi="Verdana"/>
          <w:b/>
          <w:sz w:val="20"/>
          <w:lang w:val="es-CR"/>
        </w:rPr>
      </w:pPr>
    </w:p>
    <w:p w:rsidR="00EE6DDC" w:rsidRPr="0007729F" w:rsidRDefault="00F06663" w:rsidP="000A0EA1">
      <w:pPr>
        <w:pStyle w:val="ListParagraph"/>
        <w:numPr>
          <w:ilvl w:val="0"/>
          <w:numId w:val="1"/>
        </w:numPr>
        <w:spacing w:beforeLines="80" w:before="192" w:after="80"/>
        <w:ind w:right="22"/>
        <w:jc w:val="both"/>
        <w:rPr>
          <w:rFonts w:ascii="Verdana" w:hAnsi="Verdana"/>
          <w:b/>
          <w:sz w:val="20"/>
          <w:lang w:val="es-CR"/>
        </w:rPr>
      </w:pPr>
      <w:r w:rsidRPr="0007729F">
        <w:rPr>
          <w:rFonts w:ascii="Verdana" w:hAnsi="Verdana"/>
          <w:sz w:val="20"/>
          <w:lang w:val="es-ES"/>
        </w:rPr>
        <w:t>Por su parte, e</w:t>
      </w:r>
      <w:r w:rsidR="00B609A8" w:rsidRPr="0007729F">
        <w:rPr>
          <w:rFonts w:ascii="Verdana" w:hAnsi="Verdana"/>
          <w:sz w:val="20"/>
          <w:lang w:val="es-ES"/>
        </w:rPr>
        <w:t>l</w:t>
      </w:r>
      <w:r w:rsidR="00B609A8" w:rsidRPr="0007729F">
        <w:rPr>
          <w:rFonts w:ascii="Verdana" w:hAnsi="Verdana"/>
          <w:i/>
          <w:sz w:val="20"/>
          <w:lang w:val="es-ES"/>
        </w:rPr>
        <w:t xml:space="preserve"> </w:t>
      </w:r>
      <w:r w:rsidR="00B609A8" w:rsidRPr="0007729F">
        <w:rPr>
          <w:rFonts w:ascii="Verdana" w:hAnsi="Verdana"/>
          <w:b/>
          <w:i/>
          <w:sz w:val="20"/>
          <w:lang w:val="es-ES"/>
        </w:rPr>
        <w:t>Estado</w:t>
      </w:r>
      <w:r w:rsidRPr="0007729F">
        <w:rPr>
          <w:rFonts w:ascii="Verdana" w:hAnsi="Verdana"/>
          <w:b/>
          <w:sz w:val="20"/>
          <w:lang w:val="es-ES"/>
        </w:rPr>
        <w:t xml:space="preserve"> </w:t>
      </w:r>
      <w:r w:rsidRPr="0007729F">
        <w:rPr>
          <w:rFonts w:ascii="Verdana" w:hAnsi="Verdana"/>
          <w:sz w:val="20"/>
          <w:lang w:val="es-ES"/>
        </w:rPr>
        <w:t>reiteró</w:t>
      </w:r>
      <w:r w:rsidR="00EE6DDC" w:rsidRPr="0007729F">
        <w:rPr>
          <w:rFonts w:ascii="Verdana" w:hAnsi="Verdana"/>
          <w:sz w:val="20"/>
          <w:lang w:val="es-ES"/>
        </w:rPr>
        <w:t xml:space="preserve"> en</w:t>
      </w:r>
      <w:r w:rsidR="00900A9B" w:rsidRPr="0007729F">
        <w:rPr>
          <w:rFonts w:ascii="Verdana" w:hAnsi="Verdana"/>
          <w:sz w:val="20"/>
          <w:lang w:val="es-ES"/>
        </w:rPr>
        <w:t xml:space="preserve"> sus</w:t>
      </w:r>
      <w:r w:rsidR="00EE6DDC" w:rsidRPr="0007729F">
        <w:rPr>
          <w:rFonts w:ascii="Verdana" w:hAnsi="Verdana"/>
          <w:sz w:val="20"/>
          <w:lang w:val="es-ES"/>
        </w:rPr>
        <w:t xml:space="preserve"> informes que</w:t>
      </w:r>
      <w:r w:rsidR="003E6597" w:rsidRPr="0007729F">
        <w:rPr>
          <w:rFonts w:ascii="Verdana" w:hAnsi="Verdana"/>
          <w:sz w:val="20"/>
          <w:lang w:val="es-ES"/>
        </w:rPr>
        <w:t>,</w:t>
      </w:r>
      <w:r w:rsidR="00EE6DDC" w:rsidRPr="0007729F">
        <w:rPr>
          <w:rFonts w:ascii="Verdana" w:hAnsi="Verdana"/>
          <w:sz w:val="20"/>
          <w:lang w:val="es-ES"/>
        </w:rPr>
        <w:t xml:space="preserve"> </w:t>
      </w:r>
      <w:r w:rsidR="008E3CF7" w:rsidRPr="0007729F">
        <w:rPr>
          <w:rFonts w:ascii="Verdana" w:hAnsi="Verdana"/>
          <w:sz w:val="20"/>
          <w:lang w:val="es-ES"/>
        </w:rPr>
        <w:t xml:space="preserve">para hacer efectivas las medidas de protección a favor de la FAFG, </w:t>
      </w:r>
      <w:r w:rsidR="000972FA" w:rsidRPr="0007729F">
        <w:rPr>
          <w:rFonts w:ascii="Verdana" w:hAnsi="Verdana"/>
          <w:sz w:val="20"/>
          <w:lang w:val="es-ES"/>
        </w:rPr>
        <w:t>a través de las instituciones correspondientes ha mantenido el esquema de protección asignado</w:t>
      </w:r>
      <w:r w:rsidR="003E6597" w:rsidRPr="0007729F">
        <w:rPr>
          <w:rFonts w:ascii="Verdana" w:hAnsi="Verdana"/>
          <w:sz w:val="20"/>
          <w:lang w:val="es-ES"/>
        </w:rPr>
        <w:t xml:space="preserve">. </w:t>
      </w:r>
      <w:r w:rsidR="000E13D4" w:rsidRPr="0007729F">
        <w:rPr>
          <w:rFonts w:ascii="Verdana" w:hAnsi="Verdana"/>
          <w:sz w:val="20"/>
          <w:lang w:val="es-ES"/>
        </w:rPr>
        <w:t xml:space="preserve">Asimismo, mediante escritos de 24 de febrero y 26 de junio de 2017, informó sobre cómo estaba atendiendo </w:t>
      </w:r>
      <w:r w:rsidR="000F118C" w:rsidRPr="0007729F">
        <w:rPr>
          <w:rFonts w:ascii="Verdana" w:hAnsi="Verdana"/>
          <w:sz w:val="20"/>
          <w:lang w:val="es-ES"/>
        </w:rPr>
        <w:t xml:space="preserve">las </w:t>
      </w:r>
      <w:r w:rsidR="00137B19">
        <w:rPr>
          <w:rFonts w:ascii="Verdana" w:hAnsi="Verdana"/>
          <w:sz w:val="20"/>
          <w:lang w:val="es-ES"/>
        </w:rPr>
        <w:t>inconformidades</w:t>
      </w:r>
      <w:r w:rsidR="00137B19" w:rsidRPr="0007729F">
        <w:rPr>
          <w:rFonts w:ascii="Verdana" w:hAnsi="Verdana"/>
          <w:sz w:val="20"/>
          <w:lang w:val="es-ES"/>
        </w:rPr>
        <w:t xml:space="preserve"> </w:t>
      </w:r>
      <w:r w:rsidR="000F118C" w:rsidRPr="0007729F">
        <w:rPr>
          <w:rFonts w:ascii="Verdana" w:hAnsi="Verdana"/>
          <w:sz w:val="20"/>
          <w:lang w:val="es-ES"/>
        </w:rPr>
        <w:t>señaladas por los representantes</w:t>
      </w:r>
      <w:r w:rsidR="000E13D4" w:rsidRPr="0007729F">
        <w:rPr>
          <w:rFonts w:ascii="Verdana" w:hAnsi="Verdana"/>
          <w:sz w:val="20"/>
          <w:lang w:val="es-ES"/>
        </w:rPr>
        <w:t>.</w:t>
      </w:r>
      <w:r w:rsidR="000F118C" w:rsidRPr="0007729F">
        <w:rPr>
          <w:rFonts w:ascii="Verdana" w:hAnsi="Verdana"/>
          <w:sz w:val="20"/>
          <w:lang w:val="es-ES"/>
        </w:rPr>
        <w:t xml:space="preserve"> </w:t>
      </w:r>
      <w:r w:rsidR="000E13D4" w:rsidRPr="0007729F">
        <w:rPr>
          <w:rFonts w:ascii="Verdana" w:hAnsi="Verdana"/>
          <w:sz w:val="20"/>
          <w:lang w:val="es-ES"/>
        </w:rPr>
        <w:t>M</w:t>
      </w:r>
      <w:r w:rsidRPr="0007729F">
        <w:rPr>
          <w:rFonts w:ascii="Verdana" w:hAnsi="Verdana"/>
          <w:sz w:val="20"/>
          <w:lang w:val="es-ES"/>
        </w:rPr>
        <w:t>ediante informe de 19 de julio de 2018</w:t>
      </w:r>
      <w:r w:rsidR="00D927B6" w:rsidRPr="0007729F">
        <w:rPr>
          <w:rFonts w:ascii="Verdana" w:hAnsi="Verdana"/>
          <w:sz w:val="20"/>
          <w:lang w:val="es-ES"/>
        </w:rPr>
        <w:t>,</w:t>
      </w:r>
      <w:r w:rsidR="006F45FE" w:rsidRPr="0007729F">
        <w:rPr>
          <w:rFonts w:ascii="Verdana" w:hAnsi="Verdana"/>
          <w:sz w:val="20"/>
          <w:lang w:val="es-ES"/>
        </w:rPr>
        <w:t xml:space="preserve"> informó que a</w:t>
      </w:r>
      <w:r w:rsidRPr="0007729F">
        <w:rPr>
          <w:rFonts w:ascii="Verdana" w:hAnsi="Verdana"/>
          <w:bCs/>
          <w:sz w:val="20"/>
          <w:lang w:val="es-CR"/>
        </w:rPr>
        <w:t xml:space="preserve"> los beneficiarios </w:t>
      </w:r>
      <w:r w:rsidR="006F45FE" w:rsidRPr="0007729F">
        <w:rPr>
          <w:rFonts w:ascii="Verdana" w:hAnsi="Verdana"/>
          <w:bCs/>
          <w:sz w:val="20"/>
          <w:lang w:val="es-CR"/>
        </w:rPr>
        <w:t>se les</w:t>
      </w:r>
      <w:r w:rsidRPr="0007729F">
        <w:rPr>
          <w:rFonts w:ascii="Verdana" w:hAnsi="Verdana"/>
          <w:bCs/>
          <w:sz w:val="20"/>
          <w:lang w:val="es-CR"/>
        </w:rPr>
        <w:t xml:space="preserve"> </w:t>
      </w:r>
      <w:r w:rsidRPr="0007729F">
        <w:rPr>
          <w:rFonts w:ascii="Verdana" w:hAnsi="Verdana"/>
          <w:sz w:val="20"/>
          <w:lang w:val="es-CR"/>
        </w:rPr>
        <w:t>continúa brindando un esquema de seguridad</w:t>
      </w:r>
      <w:r w:rsidR="007A4F7D">
        <w:rPr>
          <w:rFonts w:ascii="Verdana" w:hAnsi="Verdana"/>
          <w:sz w:val="20"/>
          <w:lang w:val="es-CR"/>
        </w:rPr>
        <w:t>.</w:t>
      </w:r>
    </w:p>
    <w:p w:rsidR="00751D3E" w:rsidRPr="0007729F" w:rsidRDefault="00751D3E" w:rsidP="000A0EA1">
      <w:pPr>
        <w:pStyle w:val="ListParagraph"/>
        <w:spacing w:beforeLines="80" w:before="192" w:after="80"/>
        <w:ind w:left="0" w:right="22"/>
        <w:jc w:val="both"/>
        <w:rPr>
          <w:rFonts w:ascii="Verdana" w:hAnsi="Verdana"/>
          <w:b/>
          <w:sz w:val="20"/>
          <w:lang w:val="es-CR"/>
        </w:rPr>
      </w:pPr>
    </w:p>
    <w:p w:rsidR="00B609A8" w:rsidRPr="0007729F" w:rsidRDefault="003915AA" w:rsidP="000A0EA1">
      <w:pPr>
        <w:numPr>
          <w:ilvl w:val="0"/>
          <w:numId w:val="1"/>
        </w:numPr>
        <w:spacing w:beforeLines="80" w:before="192" w:after="80" w:line="240" w:lineRule="auto"/>
        <w:ind w:right="22"/>
        <w:contextualSpacing/>
        <w:jc w:val="both"/>
        <w:rPr>
          <w:rFonts w:ascii="Verdana" w:hAnsi="Verdana"/>
          <w:b/>
          <w:sz w:val="20"/>
          <w:szCs w:val="20"/>
          <w:lang w:val="es-CR"/>
        </w:rPr>
      </w:pPr>
      <w:r w:rsidRPr="0007729F">
        <w:rPr>
          <w:rFonts w:ascii="Verdana" w:hAnsi="Verdana"/>
          <w:sz w:val="20"/>
          <w:szCs w:val="20"/>
          <w:lang w:val="es-ES"/>
        </w:rPr>
        <w:t xml:space="preserve">En sus observaciones de </w:t>
      </w:r>
      <w:r w:rsidRPr="0007729F">
        <w:rPr>
          <w:rFonts w:ascii="Verdana" w:hAnsi="Verdana" w:cs="Verdana"/>
          <w:color w:val="000000"/>
          <w:sz w:val="20"/>
          <w:lang w:val="es-CR"/>
        </w:rPr>
        <w:t>26 de enero y 19 de julio de 2017</w:t>
      </w:r>
      <w:r w:rsidR="00137B19">
        <w:rPr>
          <w:rFonts w:ascii="Verdana" w:hAnsi="Verdana" w:cs="Verdana"/>
          <w:color w:val="000000"/>
          <w:sz w:val="20"/>
          <w:lang w:val="es-CR"/>
        </w:rPr>
        <w:t>,</w:t>
      </w:r>
      <w:r w:rsidRPr="0007729F">
        <w:rPr>
          <w:rFonts w:ascii="Verdana" w:hAnsi="Verdana" w:cs="Verdana"/>
          <w:color w:val="000000"/>
          <w:sz w:val="20"/>
          <w:lang w:val="es-CR"/>
        </w:rPr>
        <w:t xml:space="preserve"> </w:t>
      </w:r>
      <w:r w:rsidR="00932E83" w:rsidRPr="0007729F">
        <w:rPr>
          <w:rFonts w:ascii="Verdana" w:hAnsi="Verdana" w:cs="Verdana"/>
          <w:color w:val="000000"/>
          <w:sz w:val="20"/>
          <w:lang w:val="es-VE"/>
        </w:rPr>
        <w:t xml:space="preserve">y </w:t>
      </w:r>
      <w:r w:rsidR="00932E83" w:rsidRPr="00DF7549">
        <w:rPr>
          <w:rFonts w:ascii="Verdana" w:hAnsi="Verdana" w:cs="Verdana"/>
          <w:color w:val="000000"/>
          <w:sz w:val="20"/>
          <w:lang w:val="es-VE"/>
        </w:rPr>
        <w:t>6 de noviembre de 2018</w:t>
      </w:r>
      <w:r w:rsidRPr="006D5D4A">
        <w:rPr>
          <w:rFonts w:ascii="Verdana" w:hAnsi="Verdana" w:cs="Verdana"/>
          <w:color w:val="000000"/>
          <w:sz w:val="20"/>
          <w:lang w:val="es-CR"/>
        </w:rPr>
        <w:t>,</w:t>
      </w:r>
      <w:r w:rsidRPr="0007729F">
        <w:rPr>
          <w:rFonts w:ascii="Verdana" w:hAnsi="Verdana" w:cs="Verdana"/>
          <w:color w:val="000000"/>
          <w:sz w:val="20"/>
          <w:lang w:val="es-CR"/>
        </w:rPr>
        <w:t xml:space="preserve"> </w:t>
      </w:r>
      <w:r w:rsidRPr="0007729F">
        <w:rPr>
          <w:rFonts w:ascii="Verdana" w:hAnsi="Verdana"/>
          <w:sz w:val="20"/>
          <w:szCs w:val="20"/>
          <w:lang w:val="es-ES"/>
        </w:rPr>
        <w:t>l</w:t>
      </w:r>
      <w:r w:rsidR="00B609A8" w:rsidRPr="0007729F">
        <w:rPr>
          <w:rFonts w:ascii="Verdana" w:hAnsi="Verdana"/>
          <w:sz w:val="20"/>
          <w:szCs w:val="20"/>
          <w:lang w:val="es-ES"/>
        </w:rPr>
        <w:t>a</w:t>
      </w:r>
      <w:r w:rsidR="00B609A8" w:rsidRPr="0007729F">
        <w:rPr>
          <w:rFonts w:ascii="Verdana" w:hAnsi="Verdana"/>
          <w:b/>
          <w:i/>
          <w:sz w:val="20"/>
          <w:szCs w:val="20"/>
          <w:lang w:val="es-ES"/>
        </w:rPr>
        <w:t xml:space="preserve"> Comisión</w:t>
      </w:r>
      <w:r w:rsidR="00A229CB" w:rsidRPr="0007729F">
        <w:rPr>
          <w:rFonts w:ascii="Verdana" w:hAnsi="Verdana"/>
          <w:sz w:val="20"/>
          <w:szCs w:val="20"/>
          <w:lang w:val="es-ES"/>
        </w:rPr>
        <w:t xml:space="preserve"> </w:t>
      </w:r>
      <w:r w:rsidR="00633345" w:rsidRPr="0007729F">
        <w:rPr>
          <w:rFonts w:ascii="Verdana" w:hAnsi="Verdana"/>
          <w:sz w:val="20"/>
          <w:szCs w:val="20"/>
          <w:lang w:val="es-ES"/>
        </w:rPr>
        <w:t xml:space="preserve">valoró </w:t>
      </w:r>
      <w:r w:rsidR="00DC75EA" w:rsidRPr="0007729F">
        <w:rPr>
          <w:rFonts w:ascii="Verdana" w:hAnsi="Verdana"/>
          <w:sz w:val="20"/>
          <w:szCs w:val="20"/>
          <w:lang w:val="es-ES"/>
        </w:rPr>
        <w:t>las gestiones realizadas por el Estado y consideró necesaria la continuidad en la implementación de dichas medidas</w:t>
      </w:r>
      <w:r w:rsidR="006F45FE" w:rsidRPr="0007729F">
        <w:rPr>
          <w:rFonts w:ascii="Verdana" w:hAnsi="Verdana"/>
          <w:sz w:val="20"/>
          <w:szCs w:val="20"/>
          <w:lang w:val="es-ES"/>
        </w:rPr>
        <w:t>,</w:t>
      </w:r>
      <w:r w:rsidR="00DC75EA" w:rsidRPr="0007729F">
        <w:rPr>
          <w:rFonts w:ascii="Verdana" w:hAnsi="Verdana"/>
          <w:sz w:val="20"/>
          <w:szCs w:val="20"/>
          <w:lang w:val="es-ES"/>
        </w:rPr>
        <w:t xml:space="preserve"> mediante la comunicación entre los beneficiarios y el Estado para asegurar su implementación de forma diligente y efectiva.      </w:t>
      </w:r>
      <w:r w:rsidR="00633345" w:rsidRPr="0007729F">
        <w:rPr>
          <w:rFonts w:ascii="Verdana" w:hAnsi="Verdana"/>
          <w:sz w:val="20"/>
          <w:szCs w:val="20"/>
          <w:lang w:val="es-ES"/>
        </w:rPr>
        <w:t xml:space="preserve"> </w:t>
      </w:r>
    </w:p>
    <w:p w:rsidR="00B609A8" w:rsidRPr="0007729F" w:rsidRDefault="00B609A8" w:rsidP="000A0EA1">
      <w:pPr>
        <w:spacing w:beforeLines="80" w:before="192" w:after="80" w:line="240" w:lineRule="auto"/>
        <w:ind w:right="22" w:firstLine="360"/>
        <w:contextualSpacing/>
        <w:jc w:val="both"/>
        <w:rPr>
          <w:rFonts w:ascii="Verdana" w:hAnsi="Verdana"/>
          <w:b/>
          <w:sz w:val="20"/>
          <w:szCs w:val="20"/>
          <w:lang w:val="es-CR"/>
        </w:rPr>
      </w:pPr>
    </w:p>
    <w:p w:rsidR="00B609A8" w:rsidRPr="0007729F" w:rsidRDefault="00B609A8" w:rsidP="000A0EA1">
      <w:pPr>
        <w:spacing w:beforeLines="80" w:before="192" w:after="80" w:line="240" w:lineRule="auto"/>
        <w:ind w:right="22" w:firstLine="720"/>
        <w:contextualSpacing/>
        <w:jc w:val="both"/>
        <w:rPr>
          <w:rFonts w:ascii="Verdana" w:hAnsi="Verdana"/>
          <w:i/>
          <w:sz w:val="20"/>
          <w:szCs w:val="20"/>
          <w:lang w:val="es-CR"/>
        </w:rPr>
      </w:pPr>
      <w:r w:rsidRPr="0007729F">
        <w:rPr>
          <w:rFonts w:ascii="Verdana" w:hAnsi="Verdana"/>
          <w:i/>
          <w:sz w:val="20"/>
          <w:szCs w:val="20"/>
          <w:lang w:val="es-CR"/>
        </w:rPr>
        <w:t>A.2. Consideraciones de la Corte</w:t>
      </w:r>
    </w:p>
    <w:p w:rsidR="00B609A8" w:rsidRPr="0007729F" w:rsidRDefault="00B609A8" w:rsidP="000A0EA1">
      <w:pPr>
        <w:spacing w:beforeLines="80" w:before="192" w:after="80" w:line="240" w:lineRule="auto"/>
        <w:ind w:right="22"/>
        <w:contextualSpacing/>
        <w:jc w:val="both"/>
        <w:rPr>
          <w:rFonts w:ascii="Verdana" w:hAnsi="Verdana"/>
          <w:b/>
          <w:sz w:val="20"/>
          <w:szCs w:val="20"/>
          <w:lang w:val="es-CR"/>
        </w:rPr>
      </w:pPr>
    </w:p>
    <w:p w:rsidR="001E38EC" w:rsidRPr="0007729F" w:rsidRDefault="0026434E" w:rsidP="000A0EA1">
      <w:pPr>
        <w:numPr>
          <w:ilvl w:val="0"/>
          <w:numId w:val="1"/>
        </w:numPr>
        <w:spacing w:beforeLines="80" w:before="192" w:after="80" w:line="240" w:lineRule="auto"/>
        <w:ind w:right="22"/>
        <w:contextualSpacing/>
        <w:jc w:val="both"/>
        <w:rPr>
          <w:rFonts w:ascii="Verdana" w:hAnsi="Verdana"/>
          <w:b/>
          <w:i/>
          <w:sz w:val="20"/>
          <w:szCs w:val="20"/>
          <w:lang w:val="es-CR"/>
        </w:rPr>
      </w:pPr>
      <w:r w:rsidRPr="0007729F">
        <w:rPr>
          <w:rFonts w:ascii="Verdana" w:hAnsi="Verdana"/>
          <w:sz w:val="20"/>
          <w:szCs w:val="20"/>
          <w:lang w:val="es-ES"/>
        </w:rPr>
        <w:t>L</w:t>
      </w:r>
      <w:r w:rsidR="00EA0EF6" w:rsidRPr="0007729F">
        <w:rPr>
          <w:rFonts w:ascii="Verdana" w:hAnsi="Verdana"/>
          <w:sz w:val="20"/>
          <w:szCs w:val="20"/>
          <w:lang w:val="es-ES"/>
        </w:rPr>
        <w:t>a Corte valora</w:t>
      </w:r>
      <w:r w:rsidR="00F06663" w:rsidRPr="0007729F">
        <w:rPr>
          <w:rFonts w:ascii="Verdana" w:hAnsi="Verdana"/>
          <w:sz w:val="20"/>
          <w:szCs w:val="20"/>
          <w:lang w:val="es-ES"/>
        </w:rPr>
        <w:t xml:space="preserve"> </w:t>
      </w:r>
      <w:r w:rsidR="00F06663" w:rsidRPr="00E64B8F">
        <w:rPr>
          <w:rFonts w:ascii="Verdana" w:hAnsi="Verdana"/>
          <w:sz w:val="20"/>
          <w:szCs w:val="20"/>
          <w:lang w:val="es-ES"/>
        </w:rPr>
        <w:t>positivamente las acciones emprendidas</w:t>
      </w:r>
      <w:r w:rsidR="00EA0EF6" w:rsidRPr="00E64B8F">
        <w:rPr>
          <w:rFonts w:ascii="Verdana" w:hAnsi="Verdana"/>
          <w:sz w:val="20"/>
          <w:szCs w:val="20"/>
          <w:lang w:val="es-ES"/>
        </w:rPr>
        <w:t xml:space="preserve"> por</w:t>
      </w:r>
      <w:r w:rsidR="00EA0EF6" w:rsidRPr="0007729F">
        <w:rPr>
          <w:rFonts w:ascii="Verdana" w:hAnsi="Verdana"/>
          <w:sz w:val="20"/>
          <w:szCs w:val="20"/>
          <w:lang w:val="es-ES"/>
        </w:rPr>
        <w:t xml:space="preserve"> el Estado de Guatemala en el marco de las pr</w:t>
      </w:r>
      <w:r w:rsidR="00F06663" w:rsidRPr="0007729F">
        <w:rPr>
          <w:rFonts w:ascii="Verdana" w:hAnsi="Verdana"/>
          <w:sz w:val="20"/>
          <w:szCs w:val="20"/>
          <w:lang w:val="es-ES"/>
        </w:rPr>
        <w:t xml:space="preserve">esentes medidas provisionales para asegurar la vida e integridad personal de </w:t>
      </w:r>
      <w:r w:rsidR="00F06663" w:rsidRPr="0007729F">
        <w:rPr>
          <w:rFonts w:ascii="Verdana" w:hAnsi="Verdana" w:cs="Times New Roman"/>
          <w:bCs/>
          <w:sz w:val="20"/>
          <w:szCs w:val="20"/>
          <w:lang w:val="es-CR"/>
        </w:rPr>
        <w:t xml:space="preserve">los beneficiarios Fredy Armando Peccerelli Monterroso </w:t>
      </w:r>
      <w:r w:rsidR="00F06663" w:rsidRPr="0007729F">
        <w:rPr>
          <w:rFonts w:ascii="Verdana" w:hAnsi="Verdana" w:cs="Arial"/>
          <w:bCs/>
          <w:sz w:val="20"/>
          <w:szCs w:val="20"/>
          <w:lang w:val="es-CR"/>
        </w:rPr>
        <w:t xml:space="preserve">y sus </w:t>
      </w:r>
      <w:r w:rsidR="00F06663" w:rsidRPr="0007729F">
        <w:rPr>
          <w:rFonts w:ascii="Verdana" w:hAnsi="Verdana" w:cs="Times New Roman"/>
          <w:bCs/>
          <w:sz w:val="20"/>
          <w:szCs w:val="20"/>
          <w:lang w:val="es-CR"/>
        </w:rPr>
        <w:t xml:space="preserve">familiares, así como de los miembros de la </w:t>
      </w:r>
      <w:r w:rsidRPr="0007729F">
        <w:rPr>
          <w:rFonts w:ascii="Verdana" w:hAnsi="Verdana" w:cs="Times New Roman"/>
          <w:bCs/>
          <w:sz w:val="20"/>
          <w:szCs w:val="20"/>
          <w:lang w:val="es-CR"/>
        </w:rPr>
        <w:t>FAFG</w:t>
      </w:r>
      <w:r w:rsidR="009752B1">
        <w:rPr>
          <w:rFonts w:ascii="Verdana" w:hAnsi="Verdana" w:cs="Times New Roman"/>
          <w:bCs/>
          <w:sz w:val="20"/>
          <w:szCs w:val="20"/>
          <w:lang w:val="es-CR"/>
        </w:rPr>
        <w:t>.</w:t>
      </w:r>
      <w:r w:rsidR="006F45FE" w:rsidRPr="0007729F">
        <w:rPr>
          <w:rFonts w:ascii="Verdana" w:hAnsi="Verdana" w:cs="Times New Roman"/>
          <w:bCs/>
          <w:sz w:val="20"/>
          <w:szCs w:val="20"/>
          <w:lang w:val="es-CR"/>
        </w:rPr>
        <w:t xml:space="preserve"> </w:t>
      </w:r>
      <w:r w:rsidR="00F06663" w:rsidRPr="0007729F">
        <w:rPr>
          <w:rFonts w:ascii="Verdana" w:hAnsi="Verdana" w:cs="Times New Roman"/>
          <w:bCs/>
          <w:sz w:val="20"/>
          <w:szCs w:val="20"/>
          <w:lang w:val="es-CR"/>
        </w:rPr>
        <w:t>Particularmente</w:t>
      </w:r>
      <w:r w:rsidRPr="0007729F">
        <w:rPr>
          <w:rFonts w:ascii="Verdana" w:hAnsi="Verdana" w:cs="Times New Roman"/>
          <w:bCs/>
          <w:sz w:val="20"/>
          <w:szCs w:val="20"/>
          <w:lang w:val="es-CR"/>
        </w:rPr>
        <w:t>,</w:t>
      </w:r>
      <w:r w:rsidR="00F06663" w:rsidRPr="0007729F">
        <w:rPr>
          <w:rFonts w:ascii="Verdana" w:hAnsi="Verdana" w:cs="Times New Roman"/>
          <w:bCs/>
          <w:sz w:val="20"/>
          <w:szCs w:val="20"/>
          <w:lang w:val="es-CR"/>
        </w:rPr>
        <w:t xml:space="preserve"> la Corte resalta la voluntad del Estado y los representantes para concertar dichas medidas</w:t>
      </w:r>
      <w:r w:rsidRPr="0007729F">
        <w:rPr>
          <w:rFonts w:ascii="Verdana" w:hAnsi="Verdana" w:cs="Times New Roman"/>
          <w:bCs/>
          <w:sz w:val="20"/>
          <w:szCs w:val="20"/>
          <w:lang w:val="es-CR"/>
        </w:rPr>
        <w:t>, las cuales, conforme expresan</w:t>
      </w:r>
      <w:r w:rsidR="00F06663" w:rsidRPr="0007729F">
        <w:rPr>
          <w:rFonts w:ascii="Verdana" w:hAnsi="Verdana" w:cs="Times New Roman"/>
          <w:bCs/>
          <w:sz w:val="20"/>
          <w:szCs w:val="20"/>
          <w:lang w:val="es-CR"/>
        </w:rPr>
        <w:t xml:space="preserve"> los representantes</w:t>
      </w:r>
      <w:r w:rsidRPr="0007729F">
        <w:rPr>
          <w:rFonts w:ascii="Verdana" w:hAnsi="Verdana" w:cs="Times New Roman"/>
          <w:bCs/>
          <w:sz w:val="20"/>
          <w:szCs w:val="20"/>
          <w:lang w:val="es-CR"/>
        </w:rPr>
        <w:t>,</w:t>
      </w:r>
      <w:r w:rsidR="00F06663" w:rsidRPr="0007729F">
        <w:rPr>
          <w:rFonts w:ascii="Verdana" w:hAnsi="Verdana" w:cs="Times New Roman"/>
          <w:bCs/>
          <w:sz w:val="20"/>
          <w:szCs w:val="20"/>
          <w:lang w:val="es-CR"/>
        </w:rPr>
        <w:t xml:space="preserve"> se han implementado “efectivamente”.   </w:t>
      </w:r>
      <w:r w:rsidR="00F06663" w:rsidRPr="0007729F">
        <w:rPr>
          <w:rFonts w:ascii="Verdana" w:hAnsi="Verdana"/>
          <w:sz w:val="20"/>
          <w:szCs w:val="20"/>
          <w:lang w:val="es-ES"/>
        </w:rPr>
        <w:t xml:space="preserve">  </w:t>
      </w:r>
    </w:p>
    <w:p w:rsidR="00F06663" w:rsidRPr="0007729F" w:rsidRDefault="00F06663" w:rsidP="000A0EA1">
      <w:pPr>
        <w:spacing w:beforeLines="80" w:before="192" w:after="80" w:line="240" w:lineRule="auto"/>
        <w:ind w:right="22"/>
        <w:contextualSpacing/>
        <w:jc w:val="both"/>
        <w:rPr>
          <w:rFonts w:ascii="Verdana" w:hAnsi="Verdana"/>
          <w:b/>
          <w:sz w:val="20"/>
          <w:szCs w:val="20"/>
          <w:lang w:val="es-CR"/>
        </w:rPr>
      </w:pPr>
    </w:p>
    <w:p w:rsidR="00B609A8" w:rsidRPr="0007729F" w:rsidRDefault="00B609A8" w:rsidP="000A0EA1">
      <w:pPr>
        <w:spacing w:beforeLines="80" w:before="192" w:after="80" w:line="240" w:lineRule="auto"/>
        <w:ind w:left="720" w:right="22"/>
        <w:contextualSpacing/>
        <w:jc w:val="both"/>
        <w:rPr>
          <w:rFonts w:ascii="Verdana" w:hAnsi="Verdana"/>
          <w:b/>
          <w:i/>
          <w:sz w:val="20"/>
          <w:szCs w:val="20"/>
          <w:lang w:val="es-CR"/>
        </w:rPr>
      </w:pPr>
      <w:r w:rsidRPr="0007729F">
        <w:rPr>
          <w:rFonts w:ascii="Verdana" w:hAnsi="Verdana"/>
          <w:b/>
          <w:i/>
          <w:sz w:val="20"/>
          <w:szCs w:val="20"/>
          <w:lang w:val="es-CR"/>
        </w:rPr>
        <w:t>B. Situación actual de riesgo de los beneficiarios</w:t>
      </w:r>
    </w:p>
    <w:p w:rsidR="00B609A8" w:rsidRPr="0007729F" w:rsidRDefault="00B609A8" w:rsidP="000A0EA1">
      <w:pPr>
        <w:spacing w:beforeLines="80" w:before="192" w:after="80" w:line="240" w:lineRule="auto"/>
        <w:ind w:left="720" w:right="22"/>
        <w:contextualSpacing/>
        <w:jc w:val="both"/>
        <w:rPr>
          <w:rFonts w:ascii="Verdana" w:hAnsi="Verdana"/>
          <w:b/>
          <w:sz w:val="20"/>
          <w:szCs w:val="20"/>
          <w:lang w:val="es-CR"/>
        </w:rPr>
      </w:pPr>
    </w:p>
    <w:p w:rsidR="00B609A8" w:rsidRPr="0007729F" w:rsidRDefault="00B609A8" w:rsidP="000A0EA1">
      <w:pPr>
        <w:spacing w:beforeLines="80" w:before="192" w:after="80" w:line="240" w:lineRule="auto"/>
        <w:ind w:left="720" w:right="22"/>
        <w:contextualSpacing/>
        <w:jc w:val="both"/>
        <w:rPr>
          <w:rFonts w:ascii="Verdana" w:hAnsi="Verdana"/>
          <w:i/>
          <w:sz w:val="20"/>
          <w:szCs w:val="20"/>
          <w:lang w:val="es-CR"/>
        </w:rPr>
      </w:pPr>
      <w:r w:rsidRPr="0007729F">
        <w:rPr>
          <w:rFonts w:ascii="Verdana" w:hAnsi="Verdana"/>
          <w:i/>
          <w:sz w:val="20"/>
          <w:szCs w:val="20"/>
          <w:lang w:val="es-CR"/>
        </w:rPr>
        <w:t>B.1. Alegatos e información remitida por las partes y la Comisión</w:t>
      </w:r>
    </w:p>
    <w:p w:rsidR="00B609A8" w:rsidRPr="0007729F" w:rsidRDefault="000A0EA1" w:rsidP="000A0EA1">
      <w:pPr>
        <w:tabs>
          <w:tab w:val="left" w:pos="4000"/>
        </w:tabs>
        <w:spacing w:beforeLines="80" w:before="192" w:after="80" w:line="240" w:lineRule="auto"/>
        <w:ind w:right="22"/>
        <w:contextualSpacing/>
        <w:jc w:val="both"/>
        <w:rPr>
          <w:rFonts w:ascii="Verdana" w:hAnsi="Verdana"/>
          <w:b/>
          <w:sz w:val="20"/>
          <w:szCs w:val="20"/>
          <w:lang w:val="es-CR"/>
        </w:rPr>
      </w:pPr>
      <w:r>
        <w:rPr>
          <w:rFonts w:ascii="Verdana" w:hAnsi="Verdana"/>
          <w:b/>
          <w:sz w:val="20"/>
          <w:szCs w:val="20"/>
          <w:lang w:val="es-CR"/>
        </w:rPr>
        <w:tab/>
      </w:r>
    </w:p>
    <w:p w:rsidR="00F06663" w:rsidRPr="0007729F" w:rsidRDefault="003915AA" w:rsidP="000A0EA1">
      <w:pPr>
        <w:numPr>
          <w:ilvl w:val="0"/>
          <w:numId w:val="1"/>
        </w:numPr>
        <w:spacing w:beforeLines="80" w:before="192" w:after="80" w:line="240" w:lineRule="auto"/>
        <w:ind w:right="22"/>
        <w:contextualSpacing/>
        <w:jc w:val="both"/>
        <w:rPr>
          <w:rFonts w:ascii="Verdana" w:hAnsi="Verdana"/>
          <w:b/>
          <w:sz w:val="20"/>
          <w:szCs w:val="20"/>
          <w:lang w:val="es-CR"/>
        </w:rPr>
      </w:pPr>
      <w:r w:rsidRPr="0007729F">
        <w:rPr>
          <w:rFonts w:ascii="Verdana" w:hAnsi="Verdana"/>
          <w:sz w:val="20"/>
          <w:szCs w:val="20"/>
          <w:lang w:val="es-CR"/>
        </w:rPr>
        <w:t>En sus observaciones de 29 de marzo de 2017 l</w:t>
      </w:r>
      <w:r w:rsidR="00F06663" w:rsidRPr="0007729F">
        <w:rPr>
          <w:rFonts w:ascii="Verdana" w:hAnsi="Verdana"/>
          <w:sz w:val="20"/>
          <w:szCs w:val="20"/>
          <w:lang w:val="es-ES"/>
        </w:rPr>
        <w:t>os</w:t>
      </w:r>
      <w:r w:rsidR="00F06663" w:rsidRPr="0007729F">
        <w:rPr>
          <w:rFonts w:ascii="Verdana" w:hAnsi="Verdana"/>
          <w:b/>
          <w:i/>
          <w:sz w:val="20"/>
          <w:szCs w:val="20"/>
          <w:lang w:val="es-ES"/>
        </w:rPr>
        <w:t xml:space="preserve"> representantes </w:t>
      </w:r>
      <w:r w:rsidR="00FD1D79" w:rsidRPr="0007729F">
        <w:rPr>
          <w:rFonts w:ascii="Verdana" w:hAnsi="Verdana"/>
          <w:sz w:val="20"/>
          <w:szCs w:val="20"/>
          <w:lang w:val="es-ES"/>
        </w:rPr>
        <w:t>sostuvieron que</w:t>
      </w:r>
      <w:r w:rsidR="00F06663" w:rsidRPr="0007729F">
        <w:rPr>
          <w:rFonts w:ascii="Verdana" w:hAnsi="Verdana"/>
          <w:sz w:val="20"/>
          <w:szCs w:val="20"/>
          <w:lang w:val="es-ES"/>
        </w:rPr>
        <w:t xml:space="preserve"> la situación de riesgo se deriva del “contexto de la persecución penal que realiza el Ministerio Público en contra de ex militares y presuntos responsables de las víctimas exhumadas del caso CREOMPAZ”. Adicionalmente</w:t>
      </w:r>
      <w:r w:rsidR="002D3A3E" w:rsidRPr="0007729F">
        <w:rPr>
          <w:rFonts w:ascii="Verdana" w:hAnsi="Verdana"/>
          <w:sz w:val="20"/>
          <w:szCs w:val="20"/>
          <w:lang w:val="es-ES"/>
        </w:rPr>
        <w:t xml:space="preserve">, </w:t>
      </w:r>
      <w:r w:rsidR="00F06663" w:rsidRPr="002D3624">
        <w:rPr>
          <w:rFonts w:ascii="Verdana" w:hAnsi="Verdana"/>
          <w:sz w:val="20"/>
          <w:szCs w:val="20"/>
          <w:lang w:val="es-ES"/>
        </w:rPr>
        <w:t>informaron que la FAFG y sus integrantes han sido objeto de “una campaña de desprestigio, descalificación de su quehacer y de odio en distintos medios y redes sociales”, que ha llega</w:t>
      </w:r>
      <w:r w:rsidR="00F06663" w:rsidRPr="00D67831">
        <w:rPr>
          <w:rFonts w:ascii="Verdana" w:hAnsi="Verdana"/>
          <w:sz w:val="20"/>
          <w:szCs w:val="20"/>
          <w:lang w:val="es-ES"/>
        </w:rPr>
        <w:t xml:space="preserve">do a la interposición de una “querella </w:t>
      </w:r>
      <w:r w:rsidR="006D5D4A" w:rsidRPr="00DF77F3">
        <w:rPr>
          <w:rFonts w:ascii="Verdana" w:hAnsi="Verdana"/>
          <w:sz w:val="20"/>
          <w:szCs w:val="20"/>
          <w:lang w:val="es-ES"/>
        </w:rPr>
        <w:t>[…</w:t>
      </w:r>
      <w:r w:rsidR="006D5D4A" w:rsidRPr="002D3624">
        <w:rPr>
          <w:rFonts w:ascii="Verdana" w:hAnsi="Verdana"/>
          <w:sz w:val="20"/>
          <w:szCs w:val="20"/>
          <w:lang w:val="es-ES"/>
        </w:rPr>
        <w:t xml:space="preserve"> </w:t>
      </w:r>
      <w:r w:rsidR="002D3624" w:rsidRPr="00DF77F3">
        <w:rPr>
          <w:rFonts w:ascii="Verdana" w:hAnsi="Verdana"/>
          <w:sz w:val="20"/>
          <w:szCs w:val="20"/>
          <w:lang w:val="es-ES"/>
        </w:rPr>
        <w:t xml:space="preserve">penal </w:t>
      </w:r>
      <w:r w:rsidR="00F06663" w:rsidRPr="002D3624">
        <w:rPr>
          <w:rFonts w:ascii="Verdana" w:hAnsi="Verdana"/>
          <w:sz w:val="20"/>
          <w:szCs w:val="20"/>
          <w:lang w:val="es-ES"/>
        </w:rPr>
        <w:t>en</w:t>
      </w:r>
      <w:r w:rsidR="006D5D4A" w:rsidRPr="00DF77F3">
        <w:rPr>
          <w:rFonts w:ascii="Verdana" w:hAnsi="Verdana"/>
          <w:sz w:val="20"/>
          <w:szCs w:val="20"/>
          <w:lang w:val="es-ES"/>
        </w:rPr>
        <w:t>]</w:t>
      </w:r>
      <w:r w:rsidR="00F06663" w:rsidRPr="002D3624">
        <w:rPr>
          <w:rFonts w:ascii="Verdana" w:hAnsi="Verdana"/>
          <w:sz w:val="20"/>
          <w:szCs w:val="20"/>
          <w:lang w:val="es-ES"/>
        </w:rPr>
        <w:t xml:space="preserve"> contra de</w:t>
      </w:r>
      <w:r w:rsidR="000355C7">
        <w:rPr>
          <w:rFonts w:ascii="Verdana" w:hAnsi="Verdana"/>
          <w:sz w:val="20"/>
          <w:szCs w:val="20"/>
          <w:lang w:val="es-ES"/>
        </w:rPr>
        <w:t>l</w:t>
      </w:r>
      <w:r w:rsidR="00F06663" w:rsidRPr="00D67831">
        <w:rPr>
          <w:rFonts w:ascii="Verdana" w:hAnsi="Verdana"/>
          <w:sz w:val="20"/>
          <w:szCs w:val="20"/>
          <w:lang w:val="es-ES"/>
        </w:rPr>
        <w:t xml:space="preserve"> señor Fredy Armando Peccerelli Monterroso”</w:t>
      </w:r>
      <w:r w:rsidR="006D5D4A" w:rsidRPr="00DF77F3">
        <w:rPr>
          <w:rFonts w:ascii="Verdana" w:hAnsi="Verdana"/>
          <w:sz w:val="20"/>
          <w:szCs w:val="20"/>
          <w:lang w:val="es-ES"/>
        </w:rPr>
        <w:t xml:space="preserve">. </w:t>
      </w:r>
      <w:r w:rsidR="002D3624" w:rsidRPr="00DF77F3">
        <w:rPr>
          <w:rFonts w:ascii="Verdana" w:hAnsi="Verdana"/>
          <w:sz w:val="20"/>
          <w:szCs w:val="20"/>
          <w:lang w:val="es-ES"/>
        </w:rPr>
        <w:t>Según los representantes, e</w:t>
      </w:r>
      <w:r w:rsidR="006D5D4A" w:rsidRPr="00DF77F3">
        <w:rPr>
          <w:rFonts w:ascii="Verdana" w:hAnsi="Verdana"/>
          <w:sz w:val="20"/>
          <w:szCs w:val="20"/>
          <w:lang w:val="es-ES"/>
        </w:rPr>
        <w:t>l hecho de que se resolvió</w:t>
      </w:r>
      <w:r w:rsidR="002D3624" w:rsidRPr="00DF77F3">
        <w:rPr>
          <w:rFonts w:ascii="Verdana" w:hAnsi="Verdana"/>
          <w:sz w:val="20"/>
          <w:szCs w:val="20"/>
          <w:lang w:val="es-ES"/>
        </w:rPr>
        <w:t xml:space="preserve"> </w:t>
      </w:r>
      <w:r w:rsidR="006D5D4A" w:rsidRPr="00DF77F3">
        <w:rPr>
          <w:rFonts w:ascii="Verdana" w:hAnsi="Verdana"/>
          <w:sz w:val="20"/>
          <w:szCs w:val="20"/>
          <w:lang w:val="es-ES"/>
        </w:rPr>
        <w:t>sin lugar l</w:t>
      </w:r>
      <w:r w:rsidR="002D3624" w:rsidRPr="00DF77F3">
        <w:rPr>
          <w:rFonts w:ascii="Verdana" w:hAnsi="Verdana"/>
          <w:sz w:val="20"/>
          <w:szCs w:val="20"/>
          <w:lang w:val="es-ES"/>
        </w:rPr>
        <w:t>a solicitud de des</w:t>
      </w:r>
      <w:r w:rsidR="009104B7">
        <w:rPr>
          <w:rFonts w:ascii="Verdana" w:hAnsi="Verdana"/>
          <w:sz w:val="20"/>
          <w:szCs w:val="20"/>
          <w:lang w:val="es-ES"/>
        </w:rPr>
        <w:t>e</w:t>
      </w:r>
      <w:r w:rsidR="002D3624" w:rsidRPr="00DF77F3">
        <w:rPr>
          <w:rFonts w:ascii="Verdana" w:hAnsi="Verdana"/>
          <w:sz w:val="20"/>
          <w:szCs w:val="20"/>
          <w:lang w:val="es-ES"/>
        </w:rPr>
        <w:t xml:space="preserve">stimación y archivo de la querella “pers[eguiría] mantener la presión de </w:t>
      </w:r>
      <w:r w:rsidR="00F06663" w:rsidRPr="002D3624">
        <w:rPr>
          <w:rFonts w:ascii="Verdana" w:hAnsi="Verdana"/>
          <w:sz w:val="20"/>
          <w:szCs w:val="20"/>
          <w:lang w:val="es-ES"/>
        </w:rPr>
        <w:t xml:space="preserve">criminalización </w:t>
      </w:r>
      <w:r w:rsidR="002D3624" w:rsidRPr="00DF77F3">
        <w:rPr>
          <w:rFonts w:ascii="Verdana" w:hAnsi="Verdana"/>
          <w:sz w:val="20"/>
          <w:szCs w:val="20"/>
          <w:lang w:val="es-ES"/>
        </w:rPr>
        <w:t>en contra del señor Peccerel</w:t>
      </w:r>
      <w:r w:rsidR="00254726">
        <w:rPr>
          <w:rFonts w:ascii="Verdana" w:hAnsi="Verdana"/>
          <w:sz w:val="20"/>
          <w:szCs w:val="20"/>
          <w:lang w:val="es-ES"/>
        </w:rPr>
        <w:t>[l]</w:t>
      </w:r>
      <w:r w:rsidR="002D3624" w:rsidRPr="00DF77F3">
        <w:rPr>
          <w:rFonts w:ascii="Verdana" w:hAnsi="Verdana"/>
          <w:sz w:val="20"/>
          <w:szCs w:val="20"/>
          <w:lang w:val="es-ES"/>
        </w:rPr>
        <w:t>i Monterroso y por ente de la</w:t>
      </w:r>
      <w:r w:rsidR="00F06663" w:rsidRPr="002D3624">
        <w:rPr>
          <w:rFonts w:ascii="Verdana" w:hAnsi="Verdana"/>
          <w:sz w:val="20"/>
          <w:szCs w:val="20"/>
          <w:lang w:val="es-ES"/>
        </w:rPr>
        <w:t xml:space="preserve"> </w:t>
      </w:r>
      <w:r w:rsidR="00F34165" w:rsidRPr="00D67831">
        <w:rPr>
          <w:rFonts w:ascii="Verdana" w:hAnsi="Verdana"/>
          <w:sz w:val="20"/>
          <w:szCs w:val="20"/>
          <w:lang w:val="es-ES"/>
        </w:rPr>
        <w:t>FAFG por su trabajo y el papel que ha jugado en los distintos procesos penales que se han ventilado</w:t>
      </w:r>
      <w:r w:rsidR="002D3624" w:rsidRPr="00DF77F3">
        <w:rPr>
          <w:rFonts w:ascii="Verdana" w:hAnsi="Verdana"/>
          <w:sz w:val="20"/>
          <w:szCs w:val="20"/>
          <w:lang w:val="es-ES"/>
        </w:rPr>
        <w:t>”</w:t>
      </w:r>
      <w:r w:rsidR="00F34165" w:rsidRPr="002D3624">
        <w:rPr>
          <w:rFonts w:ascii="Verdana" w:hAnsi="Verdana"/>
          <w:sz w:val="20"/>
          <w:szCs w:val="20"/>
          <w:lang w:val="es-ES"/>
        </w:rPr>
        <w:t xml:space="preserve"> en Guatemala</w:t>
      </w:r>
      <w:r w:rsidR="00FD1D79" w:rsidRPr="00D67831">
        <w:rPr>
          <w:rFonts w:ascii="Verdana" w:hAnsi="Verdana"/>
          <w:sz w:val="20"/>
          <w:szCs w:val="20"/>
          <w:lang w:val="es-ES"/>
        </w:rPr>
        <w:t>.</w:t>
      </w:r>
      <w:r w:rsidR="00F34165" w:rsidRPr="0007729F">
        <w:rPr>
          <w:rFonts w:ascii="Verdana" w:hAnsi="Verdana"/>
          <w:sz w:val="20"/>
          <w:szCs w:val="20"/>
          <w:lang w:val="es-ES"/>
        </w:rPr>
        <w:t xml:space="preserve"> </w:t>
      </w:r>
      <w:r w:rsidR="00FD1D79" w:rsidRPr="0007729F">
        <w:rPr>
          <w:rFonts w:ascii="Verdana" w:hAnsi="Verdana"/>
          <w:sz w:val="20"/>
          <w:szCs w:val="20"/>
          <w:lang w:val="es-ES"/>
        </w:rPr>
        <w:t>Además,</w:t>
      </w:r>
      <w:r w:rsidR="006F45FE" w:rsidRPr="0007729F">
        <w:rPr>
          <w:rFonts w:ascii="Verdana" w:hAnsi="Verdana"/>
          <w:sz w:val="20"/>
          <w:szCs w:val="20"/>
          <w:lang w:val="es-ES"/>
        </w:rPr>
        <w:t xml:space="preserve"> en cuanto</w:t>
      </w:r>
      <w:r w:rsidR="00F06663" w:rsidRPr="0007729F">
        <w:rPr>
          <w:rFonts w:ascii="Verdana" w:hAnsi="Verdana"/>
          <w:sz w:val="20"/>
          <w:szCs w:val="20"/>
          <w:lang w:val="es-ES"/>
        </w:rPr>
        <w:t xml:space="preserve"> al resultado del análisis de riesgo</w:t>
      </w:r>
      <w:r w:rsidRPr="0007729F">
        <w:rPr>
          <w:rFonts w:ascii="Verdana" w:hAnsi="Verdana"/>
          <w:sz w:val="20"/>
          <w:szCs w:val="20"/>
          <w:lang w:val="es-ES"/>
        </w:rPr>
        <w:t xml:space="preserve"> realizado por el Estado </w:t>
      </w:r>
      <w:r w:rsidR="00236368" w:rsidRPr="0007729F">
        <w:rPr>
          <w:rFonts w:ascii="Verdana" w:hAnsi="Verdana"/>
          <w:sz w:val="20"/>
          <w:szCs w:val="20"/>
          <w:lang w:val="es-ES"/>
        </w:rPr>
        <w:t>los días 16 y 18 de diciembre</w:t>
      </w:r>
      <w:r w:rsidRPr="0007729F">
        <w:rPr>
          <w:rFonts w:ascii="Verdana" w:hAnsi="Verdana"/>
          <w:sz w:val="20"/>
          <w:szCs w:val="20"/>
          <w:lang w:val="es-ES"/>
        </w:rPr>
        <w:t xml:space="preserve"> de 2017</w:t>
      </w:r>
      <w:r w:rsidR="00997114" w:rsidRPr="0007729F">
        <w:rPr>
          <w:rFonts w:ascii="Verdana" w:hAnsi="Verdana"/>
          <w:sz w:val="20"/>
          <w:szCs w:val="20"/>
          <w:lang w:val="es-ES"/>
        </w:rPr>
        <w:t xml:space="preserve"> (</w:t>
      </w:r>
      <w:r w:rsidR="00997114" w:rsidRPr="0007729F">
        <w:rPr>
          <w:rFonts w:ascii="Verdana" w:hAnsi="Verdana"/>
          <w:i/>
          <w:sz w:val="20"/>
          <w:szCs w:val="20"/>
          <w:lang w:val="es-ES"/>
        </w:rPr>
        <w:t xml:space="preserve">infra </w:t>
      </w:r>
      <w:r w:rsidR="00997114" w:rsidRPr="0007729F">
        <w:rPr>
          <w:rFonts w:ascii="Verdana" w:hAnsi="Verdana"/>
          <w:sz w:val="20"/>
          <w:szCs w:val="20"/>
          <w:lang w:val="es-ES"/>
        </w:rPr>
        <w:t xml:space="preserve">párr. </w:t>
      </w:r>
      <w:r w:rsidR="00E64B8F">
        <w:rPr>
          <w:rFonts w:ascii="Verdana" w:hAnsi="Verdana"/>
          <w:sz w:val="20"/>
          <w:szCs w:val="20"/>
          <w:lang w:val="es-ES"/>
        </w:rPr>
        <w:t>10</w:t>
      </w:r>
      <w:r w:rsidR="00997114" w:rsidRPr="0007729F">
        <w:rPr>
          <w:rFonts w:ascii="Verdana" w:hAnsi="Verdana"/>
          <w:sz w:val="20"/>
          <w:szCs w:val="20"/>
          <w:lang w:val="es-ES"/>
        </w:rPr>
        <w:t>),</w:t>
      </w:r>
      <w:r w:rsidRPr="0007729F">
        <w:rPr>
          <w:rFonts w:ascii="Verdana" w:hAnsi="Verdana"/>
          <w:sz w:val="20"/>
          <w:szCs w:val="20"/>
          <w:lang w:val="es-ES"/>
        </w:rPr>
        <w:t xml:space="preserve"> </w:t>
      </w:r>
      <w:r w:rsidR="00F06663" w:rsidRPr="0007729F">
        <w:rPr>
          <w:rFonts w:ascii="Verdana" w:hAnsi="Verdana"/>
          <w:sz w:val="20"/>
          <w:szCs w:val="20"/>
          <w:lang w:val="es-ES"/>
        </w:rPr>
        <w:t xml:space="preserve">los representantes expresaron </w:t>
      </w:r>
      <w:r w:rsidR="00CA2C70" w:rsidRPr="0007729F">
        <w:rPr>
          <w:rFonts w:ascii="Verdana" w:hAnsi="Verdana"/>
          <w:sz w:val="20"/>
          <w:szCs w:val="20"/>
          <w:lang w:val="es-ES"/>
        </w:rPr>
        <w:t xml:space="preserve">mediante escrito de 16 de febrero de 2018 </w:t>
      </w:r>
      <w:r w:rsidR="00F06663" w:rsidRPr="0007729F">
        <w:rPr>
          <w:rFonts w:ascii="Verdana" w:hAnsi="Verdana"/>
          <w:sz w:val="20"/>
          <w:szCs w:val="20"/>
          <w:lang w:val="es-ES"/>
        </w:rPr>
        <w:t xml:space="preserve">que </w:t>
      </w:r>
      <w:r w:rsidR="00F06663" w:rsidRPr="0007729F">
        <w:rPr>
          <w:rFonts w:ascii="Verdana" w:hAnsi="Verdana"/>
          <w:sz w:val="20"/>
          <w:lang w:val="es-ES"/>
        </w:rPr>
        <w:t>el Estado no tom</w:t>
      </w:r>
      <w:r w:rsidR="00CA2C70" w:rsidRPr="0007729F">
        <w:rPr>
          <w:rFonts w:ascii="Verdana" w:hAnsi="Verdana"/>
          <w:sz w:val="20"/>
          <w:lang w:val="es-ES"/>
        </w:rPr>
        <w:t>ó</w:t>
      </w:r>
      <w:r w:rsidR="00F06663" w:rsidRPr="0007729F">
        <w:rPr>
          <w:rFonts w:ascii="Verdana" w:hAnsi="Verdana"/>
          <w:sz w:val="20"/>
          <w:lang w:val="es-ES"/>
        </w:rPr>
        <w:t xml:space="preserve"> en cuenta </w:t>
      </w:r>
      <w:r w:rsidR="00F06663" w:rsidRPr="0007729F">
        <w:rPr>
          <w:rFonts w:ascii="Verdana" w:hAnsi="Verdana" w:cs="Verdana"/>
          <w:color w:val="000000"/>
          <w:sz w:val="20"/>
          <w:lang w:val="es-MX"/>
        </w:rPr>
        <w:t xml:space="preserve">lo manifestado por el Sub Director, en el sentido de que </w:t>
      </w:r>
      <w:r w:rsidR="00D67831">
        <w:rPr>
          <w:rFonts w:ascii="Verdana" w:hAnsi="Verdana" w:cs="Verdana"/>
          <w:color w:val="000000"/>
          <w:sz w:val="20"/>
          <w:lang w:val="es-MX"/>
        </w:rPr>
        <w:t>“</w:t>
      </w:r>
      <w:r w:rsidR="00F06663" w:rsidRPr="0007729F">
        <w:rPr>
          <w:rFonts w:ascii="Verdana" w:hAnsi="Verdana" w:cs="Verdana"/>
          <w:color w:val="000000"/>
          <w:sz w:val="20"/>
          <w:lang w:val="es-MX"/>
        </w:rPr>
        <w:t xml:space="preserve">en todo este tiempo la FAFG ha sido objeto de un ataque mediático en las redes sociales, </w:t>
      </w:r>
      <w:r w:rsidR="00D67831">
        <w:rPr>
          <w:rFonts w:ascii="Verdana" w:hAnsi="Verdana" w:cs="Verdana"/>
          <w:color w:val="000000"/>
          <w:sz w:val="20"/>
          <w:lang w:val="es-MX"/>
        </w:rPr>
        <w:t xml:space="preserve">en </w:t>
      </w:r>
      <w:r w:rsidR="00F06663" w:rsidRPr="0007729F">
        <w:rPr>
          <w:rFonts w:ascii="Verdana" w:hAnsi="Verdana" w:cs="Verdana"/>
          <w:color w:val="000000"/>
          <w:sz w:val="20"/>
          <w:lang w:val="es-MX"/>
        </w:rPr>
        <w:t>donde se resalta el odio y la descalificación en contra de los resultados de investigaci</w:t>
      </w:r>
      <w:r w:rsidR="00D233B9">
        <w:rPr>
          <w:rFonts w:ascii="Verdana" w:hAnsi="Verdana" w:cs="Verdana"/>
          <w:color w:val="000000"/>
          <w:sz w:val="20"/>
          <w:lang w:val="es-MX"/>
        </w:rPr>
        <w:t>ón que han realizado</w:t>
      </w:r>
      <w:r w:rsidR="00F06663" w:rsidRPr="0007729F">
        <w:rPr>
          <w:rFonts w:ascii="Verdana" w:hAnsi="Verdana" w:cs="Verdana"/>
          <w:color w:val="000000"/>
          <w:sz w:val="20"/>
          <w:lang w:val="es-MX"/>
        </w:rPr>
        <w:t xml:space="preserve">”. Por </w:t>
      </w:r>
      <w:r w:rsidR="00036BEC" w:rsidRPr="0007729F">
        <w:rPr>
          <w:rFonts w:ascii="Verdana" w:hAnsi="Verdana" w:cs="Verdana"/>
          <w:color w:val="000000"/>
          <w:sz w:val="20"/>
          <w:lang w:val="es-MX"/>
        </w:rPr>
        <w:t>ello, consideraron</w:t>
      </w:r>
      <w:r w:rsidR="00F06663" w:rsidRPr="0007729F">
        <w:rPr>
          <w:rFonts w:ascii="Verdana" w:hAnsi="Verdana" w:cs="Verdana"/>
          <w:color w:val="000000"/>
          <w:sz w:val="20"/>
          <w:lang w:val="es-MX"/>
        </w:rPr>
        <w:t xml:space="preserve"> que es más factible algún ataque de un fanático</w:t>
      </w:r>
      <w:r w:rsidR="006F45FE" w:rsidRPr="0007729F">
        <w:rPr>
          <w:rFonts w:ascii="Verdana" w:hAnsi="Verdana" w:cs="Verdana"/>
          <w:color w:val="000000"/>
          <w:sz w:val="20"/>
          <w:lang w:val="es-MX"/>
        </w:rPr>
        <w:t xml:space="preserve"> que</w:t>
      </w:r>
      <w:r w:rsidR="00F06663" w:rsidRPr="0007729F">
        <w:rPr>
          <w:rFonts w:ascii="Verdana" w:hAnsi="Verdana" w:cs="Verdana"/>
          <w:color w:val="000000"/>
          <w:sz w:val="20"/>
          <w:lang w:val="es-MX"/>
        </w:rPr>
        <w:t xml:space="preserve"> quisiera actuar por su propia cuenta y hacer daño a </w:t>
      </w:r>
      <w:r w:rsidR="00036BEC" w:rsidRPr="0007729F">
        <w:rPr>
          <w:rFonts w:ascii="Verdana" w:hAnsi="Verdana" w:cs="Verdana"/>
          <w:color w:val="000000"/>
          <w:sz w:val="20"/>
          <w:lang w:val="es-MX"/>
        </w:rPr>
        <w:t xml:space="preserve">alguno </w:t>
      </w:r>
      <w:r w:rsidR="00F06663" w:rsidRPr="0007729F">
        <w:rPr>
          <w:rFonts w:ascii="Verdana" w:hAnsi="Verdana" w:cs="Verdana"/>
          <w:color w:val="000000"/>
          <w:sz w:val="20"/>
          <w:lang w:val="es-MX"/>
        </w:rPr>
        <w:t>de los integrantes</w:t>
      </w:r>
      <w:r w:rsidR="00036BEC" w:rsidRPr="0007729F">
        <w:rPr>
          <w:rFonts w:ascii="Verdana" w:hAnsi="Verdana" w:cs="Verdana"/>
          <w:color w:val="000000"/>
          <w:sz w:val="20"/>
          <w:lang w:val="es-MX"/>
        </w:rPr>
        <w:t xml:space="preserve"> de FAFG</w:t>
      </w:r>
      <w:r w:rsidR="00F06663" w:rsidRPr="0007729F">
        <w:rPr>
          <w:rFonts w:ascii="Verdana" w:hAnsi="Verdana" w:cs="Verdana"/>
          <w:color w:val="000000"/>
          <w:sz w:val="20"/>
          <w:lang w:val="es-MX"/>
        </w:rPr>
        <w:t xml:space="preserve">, sin descartar un ataque estructurado, y </w:t>
      </w:r>
      <w:r w:rsidR="006F45FE" w:rsidRPr="0007729F">
        <w:rPr>
          <w:rFonts w:ascii="Verdana" w:hAnsi="Verdana" w:cs="Verdana"/>
          <w:color w:val="000000"/>
          <w:sz w:val="20"/>
          <w:lang w:val="es-MX"/>
        </w:rPr>
        <w:t>resaltaron</w:t>
      </w:r>
      <w:r w:rsidR="00F06663" w:rsidRPr="0007729F">
        <w:rPr>
          <w:rFonts w:ascii="Verdana" w:hAnsi="Verdana" w:cs="Verdana"/>
          <w:color w:val="000000"/>
          <w:sz w:val="20"/>
          <w:lang w:val="es-MX"/>
        </w:rPr>
        <w:t xml:space="preserve"> que</w:t>
      </w:r>
      <w:r w:rsidR="009752B1" w:rsidRPr="00DF77F3">
        <w:rPr>
          <w:rFonts w:ascii="Verdana" w:hAnsi="Verdana" w:cs="Verdana"/>
          <w:color w:val="000000"/>
          <w:sz w:val="20"/>
          <w:lang w:val="es-MX"/>
        </w:rPr>
        <w:t xml:space="preserve"> </w:t>
      </w:r>
      <w:r w:rsidR="00F06663" w:rsidRPr="0007729F">
        <w:rPr>
          <w:rFonts w:ascii="Verdana" w:hAnsi="Verdana" w:cs="Verdana"/>
          <w:color w:val="000000"/>
          <w:sz w:val="20"/>
          <w:lang w:val="es-MX"/>
        </w:rPr>
        <w:t>esperan</w:t>
      </w:r>
      <w:r w:rsidR="006F45FE" w:rsidRPr="0007729F">
        <w:rPr>
          <w:rFonts w:ascii="Verdana" w:hAnsi="Verdana" w:cs="Verdana"/>
          <w:color w:val="000000"/>
          <w:sz w:val="20"/>
          <w:lang w:val="es-MX"/>
        </w:rPr>
        <w:t xml:space="preserve"> que</w:t>
      </w:r>
      <w:r w:rsidR="00F06663" w:rsidRPr="0007729F">
        <w:rPr>
          <w:rFonts w:ascii="Verdana" w:hAnsi="Verdana" w:cs="Verdana"/>
          <w:color w:val="000000"/>
          <w:sz w:val="20"/>
          <w:lang w:val="es-MX"/>
        </w:rPr>
        <w:t xml:space="preserve"> no se ponga en mayor riesgo la vida e integridad personal de los beneficiarios.</w:t>
      </w:r>
    </w:p>
    <w:p w:rsidR="00D3235F" w:rsidRPr="0007729F" w:rsidRDefault="00D3235F" w:rsidP="000A0EA1">
      <w:pPr>
        <w:spacing w:beforeLines="80" w:before="192" w:after="80" w:line="240" w:lineRule="auto"/>
        <w:ind w:right="22"/>
        <w:contextualSpacing/>
        <w:jc w:val="both"/>
        <w:rPr>
          <w:rFonts w:ascii="Verdana" w:hAnsi="Verdana"/>
          <w:b/>
          <w:sz w:val="20"/>
          <w:lang w:val="es-CR"/>
        </w:rPr>
      </w:pPr>
    </w:p>
    <w:p w:rsidR="008E7AC6" w:rsidRPr="0007729F" w:rsidRDefault="008E7AC6" w:rsidP="000A0EA1">
      <w:pPr>
        <w:numPr>
          <w:ilvl w:val="0"/>
          <w:numId w:val="1"/>
        </w:numPr>
        <w:spacing w:beforeLines="80" w:before="192" w:after="80" w:line="240" w:lineRule="auto"/>
        <w:ind w:right="22"/>
        <w:contextualSpacing/>
        <w:jc w:val="both"/>
        <w:rPr>
          <w:rFonts w:ascii="Verdana" w:eastAsia="Times" w:hAnsi="Verdana" w:cs="Verdana"/>
          <w:color w:val="000000"/>
          <w:sz w:val="20"/>
          <w:szCs w:val="20"/>
          <w:lang w:val="es-GT"/>
        </w:rPr>
      </w:pPr>
      <w:r w:rsidRPr="0007729F">
        <w:rPr>
          <w:rFonts w:ascii="Verdana" w:hAnsi="Verdana"/>
          <w:sz w:val="20"/>
          <w:szCs w:val="20"/>
          <w:lang w:val="es-ES"/>
        </w:rPr>
        <w:lastRenderedPageBreak/>
        <w:t xml:space="preserve">El </w:t>
      </w:r>
      <w:r w:rsidRPr="0007729F">
        <w:rPr>
          <w:rFonts w:ascii="Verdana" w:hAnsi="Verdana"/>
          <w:b/>
          <w:i/>
          <w:sz w:val="20"/>
          <w:szCs w:val="20"/>
          <w:lang w:val="es-ES"/>
        </w:rPr>
        <w:t>Estado</w:t>
      </w:r>
      <w:r w:rsidRPr="0007729F">
        <w:rPr>
          <w:rFonts w:ascii="Verdana" w:hAnsi="Verdana"/>
          <w:sz w:val="20"/>
          <w:szCs w:val="20"/>
          <w:lang w:val="es-ES"/>
        </w:rPr>
        <w:t xml:space="preserve"> reiteró en sus informes su voluntad de seguir “proporcionando protección a los beneficiarios de las medidas provisionales”. Informó que los días 16 y 18 de diciembre de 2017 en conjunto con los beneficiarios y sus representantes, el Departamento de Riesgo de la División de Protección de Personas y Seguridad de la Policía Nacional Civil realizó un análisis de riesgo </w:t>
      </w:r>
      <w:r>
        <w:rPr>
          <w:rFonts w:ascii="Verdana" w:hAnsi="Verdana"/>
          <w:sz w:val="20"/>
          <w:szCs w:val="20"/>
          <w:lang w:val="es-ES"/>
        </w:rPr>
        <w:t>sobre</w:t>
      </w:r>
      <w:r w:rsidRPr="0007729F">
        <w:rPr>
          <w:rFonts w:ascii="Verdana" w:hAnsi="Verdana"/>
          <w:sz w:val="20"/>
          <w:szCs w:val="20"/>
          <w:lang w:val="es-ES"/>
        </w:rPr>
        <w:t xml:space="preserve"> la situación de los beneficiarios, a raíz del cual se recomendó la continuidad de medidas de protección. </w:t>
      </w:r>
    </w:p>
    <w:p w:rsidR="008E7AC6" w:rsidRDefault="008E7AC6" w:rsidP="000A0EA1">
      <w:pPr>
        <w:pStyle w:val="ListParagraph"/>
        <w:spacing w:beforeLines="80" w:before="192" w:after="80"/>
        <w:rPr>
          <w:rFonts w:ascii="Verdana" w:hAnsi="Verdana"/>
          <w:sz w:val="20"/>
          <w:lang w:val="es-ES"/>
        </w:rPr>
      </w:pPr>
    </w:p>
    <w:p w:rsidR="00D3235F" w:rsidRPr="0007729F" w:rsidRDefault="003915AA" w:rsidP="000A0EA1">
      <w:pPr>
        <w:numPr>
          <w:ilvl w:val="0"/>
          <w:numId w:val="1"/>
        </w:numPr>
        <w:spacing w:beforeLines="80" w:before="192" w:after="80" w:line="240" w:lineRule="auto"/>
        <w:ind w:right="22"/>
        <w:contextualSpacing/>
        <w:jc w:val="both"/>
        <w:rPr>
          <w:rFonts w:ascii="Verdana" w:hAnsi="Verdana"/>
          <w:b/>
          <w:sz w:val="20"/>
          <w:szCs w:val="20"/>
          <w:lang w:val="es-CR"/>
        </w:rPr>
      </w:pPr>
      <w:r w:rsidRPr="0007729F">
        <w:rPr>
          <w:rFonts w:ascii="Verdana" w:hAnsi="Verdana"/>
          <w:sz w:val="20"/>
          <w:szCs w:val="20"/>
          <w:lang w:val="es-ES"/>
        </w:rPr>
        <w:t>En sus observaciones de 19 de julio de 2017 l</w:t>
      </w:r>
      <w:r w:rsidR="00D3235F" w:rsidRPr="0007729F">
        <w:rPr>
          <w:rFonts w:ascii="Verdana" w:hAnsi="Verdana"/>
          <w:sz w:val="20"/>
          <w:szCs w:val="20"/>
          <w:lang w:val="es-ES"/>
        </w:rPr>
        <w:t>a</w:t>
      </w:r>
      <w:r w:rsidR="00D3235F" w:rsidRPr="0007729F">
        <w:rPr>
          <w:rFonts w:ascii="Verdana" w:hAnsi="Verdana"/>
          <w:b/>
          <w:i/>
          <w:sz w:val="20"/>
          <w:szCs w:val="20"/>
          <w:lang w:val="es-ES"/>
        </w:rPr>
        <w:t xml:space="preserve"> Comisión</w:t>
      </w:r>
      <w:r w:rsidR="00D3235F" w:rsidRPr="0007729F">
        <w:rPr>
          <w:rFonts w:ascii="Verdana" w:hAnsi="Verdana"/>
          <w:sz w:val="20"/>
          <w:szCs w:val="20"/>
          <w:lang w:val="es-ES"/>
        </w:rPr>
        <w:t xml:space="preserve"> notó que lo</w:t>
      </w:r>
      <w:r w:rsidR="006F45FE" w:rsidRPr="0007729F">
        <w:rPr>
          <w:rFonts w:ascii="Verdana" w:hAnsi="Verdana"/>
          <w:sz w:val="20"/>
          <w:szCs w:val="20"/>
          <w:lang w:val="es-ES"/>
        </w:rPr>
        <w:t>s</w:t>
      </w:r>
      <w:r w:rsidR="00D3235F" w:rsidRPr="0007729F">
        <w:rPr>
          <w:rFonts w:ascii="Verdana" w:hAnsi="Verdana"/>
          <w:sz w:val="20"/>
          <w:szCs w:val="20"/>
          <w:lang w:val="es-ES"/>
        </w:rPr>
        <w:t xml:space="preserve"> representantes continúan identificando una falta de respuesta sobre ciertos hechos de estigmatización y descalificación contra los integrantes de FAFG y la alegada criminalización contra el señor Pe</w:t>
      </w:r>
      <w:r w:rsidR="00D504E6">
        <w:rPr>
          <w:rFonts w:ascii="Verdana" w:hAnsi="Verdana"/>
          <w:sz w:val="20"/>
          <w:szCs w:val="20"/>
          <w:lang w:val="es-ES"/>
        </w:rPr>
        <w:t>c</w:t>
      </w:r>
      <w:r w:rsidR="00D3235F" w:rsidRPr="0007729F">
        <w:rPr>
          <w:rFonts w:ascii="Verdana" w:hAnsi="Verdana"/>
          <w:sz w:val="20"/>
          <w:szCs w:val="20"/>
          <w:lang w:val="es-ES"/>
        </w:rPr>
        <w:t>cere</w:t>
      </w:r>
      <w:r w:rsidR="00413CFA">
        <w:rPr>
          <w:rFonts w:ascii="Verdana" w:hAnsi="Verdana"/>
          <w:sz w:val="20"/>
          <w:szCs w:val="20"/>
          <w:lang w:val="es-ES"/>
        </w:rPr>
        <w:t>l</w:t>
      </w:r>
      <w:r w:rsidR="00D3235F" w:rsidRPr="0007729F">
        <w:rPr>
          <w:rFonts w:ascii="Verdana" w:hAnsi="Verdana"/>
          <w:sz w:val="20"/>
          <w:szCs w:val="20"/>
          <w:lang w:val="es-ES"/>
        </w:rPr>
        <w:t xml:space="preserve">li. </w:t>
      </w:r>
      <w:r w:rsidR="00962F32" w:rsidRPr="0007729F">
        <w:rPr>
          <w:rFonts w:ascii="Verdana" w:hAnsi="Verdana"/>
          <w:sz w:val="20"/>
          <w:szCs w:val="20"/>
          <w:lang w:val="es-ES"/>
        </w:rPr>
        <w:t>En sus observaciones de 6 de noviembre de 2018, informó sobre la persistencia de la situación de riesgo de defensores</w:t>
      </w:r>
      <w:r w:rsidR="005E592F" w:rsidRPr="0007729F">
        <w:rPr>
          <w:rFonts w:ascii="Verdana" w:hAnsi="Verdana"/>
          <w:sz w:val="20"/>
          <w:szCs w:val="20"/>
          <w:lang w:val="es-ES"/>
        </w:rPr>
        <w:t xml:space="preserve"> y defensor</w:t>
      </w:r>
      <w:r w:rsidR="00962F32" w:rsidRPr="0007729F">
        <w:rPr>
          <w:rFonts w:ascii="Verdana" w:hAnsi="Verdana"/>
          <w:sz w:val="20"/>
          <w:szCs w:val="20"/>
          <w:lang w:val="es-ES"/>
        </w:rPr>
        <w:t xml:space="preserve">as de derechos humanos en Guatemala de acuerdo con </w:t>
      </w:r>
      <w:r w:rsidR="005E592F" w:rsidRPr="0007729F">
        <w:rPr>
          <w:rFonts w:ascii="Verdana" w:hAnsi="Verdana"/>
          <w:sz w:val="20"/>
          <w:szCs w:val="20"/>
          <w:lang w:val="es-ES"/>
        </w:rPr>
        <w:t>su</w:t>
      </w:r>
      <w:r w:rsidR="00962F32" w:rsidRPr="0007729F">
        <w:rPr>
          <w:rFonts w:ascii="Verdana" w:hAnsi="Verdana"/>
          <w:sz w:val="20"/>
          <w:szCs w:val="20"/>
          <w:lang w:val="es-ES"/>
        </w:rPr>
        <w:t xml:space="preserve"> Informe de 2017 sobre la Situación de los Derechos Humanos en Guatemala</w:t>
      </w:r>
      <w:r w:rsidR="005E592F" w:rsidRPr="0007729F">
        <w:rPr>
          <w:rFonts w:ascii="Verdana" w:hAnsi="Verdana"/>
          <w:sz w:val="20"/>
          <w:szCs w:val="20"/>
          <w:lang w:val="es-ES"/>
        </w:rPr>
        <w:t>. Advirtió que se</w:t>
      </w:r>
      <w:r w:rsidR="00962F32" w:rsidRPr="0007729F">
        <w:rPr>
          <w:rFonts w:ascii="Verdana" w:hAnsi="Verdana"/>
          <w:sz w:val="20"/>
          <w:szCs w:val="20"/>
          <w:lang w:val="es-ES"/>
        </w:rPr>
        <w:t xml:space="preserve"> le preguntó al Director de la </w:t>
      </w:r>
      <w:r w:rsidR="0014187F" w:rsidRPr="0007729F">
        <w:rPr>
          <w:rFonts w:ascii="Verdana" w:hAnsi="Verdana"/>
          <w:sz w:val="20"/>
          <w:szCs w:val="20"/>
          <w:lang w:val="es-ES"/>
        </w:rPr>
        <w:t>FAFG</w:t>
      </w:r>
      <w:r w:rsidR="00962F32" w:rsidRPr="0007729F">
        <w:rPr>
          <w:rFonts w:ascii="Verdana" w:hAnsi="Verdana"/>
          <w:sz w:val="20"/>
          <w:szCs w:val="20"/>
          <w:lang w:val="es-ES"/>
        </w:rPr>
        <w:t>, en el marco de un interrogatorio en la sección de delitos administrativos sobre los procesos contra el ex Presidente José Efraín Ríos Montt y José Mauricio Rodríguez, si tenía algún resentimiento u odio hacia la profesión militar y si él o su padre habían pertenecido a algún grupo terrorista, guerrillero, fuerza armada rebelde, organización revolucionaria o partido político de izquierda</w:t>
      </w:r>
      <w:r w:rsidR="005E592F" w:rsidRPr="0007729F">
        <w:rPr>
          <w:rFonts w:ascii="Verdana" w:hAnsi="Verdana"/>
          <w:sz w:val="20"/>
          <w:szCs w:val="20"/>
          <w:lang w:val="es-ES"/>
        </w:rPr>
        <w:t>. S</w:t>
      </w:r>
      <w:r w:rsidR="00962F32" w:rsidRPr="0007729F">
        <w:rPr>
          <w:rFonts w:ascii="Verdana" w:hAnsi="Verdana"/>
          <w:sz w:val="20"/>
          <w:szCs w:val="20"/>
          <w:lang w:val="es-ES"/>
        </w:rPr>
        <w:t>egún la Comisión, en un contexto de riesgo y polarización</w:t>
      </w:r>
      <w:r w:rsidR="009E44CB" w:rsidRPr="0007729F">
        <w:rPr>
          <w:rFonts w:ascii="Verdana" w:hAnsi="Verdana"/>
          <w:sz w:val="20"/>
          <w:szCs w:val="20"/>
          <w:lang w:val="es-ES"/>
        </w:rPr>
        <w:t xml:space="preserve">, </w:t>
      </w:r>
      <w:r w:rsidR="003C5108">
        <w:rPr>
          <w:rFonts w:ascii="Verdana" w:hAnsi="Verdana"/>
          <w:sz w:val="20"/>
          <w:szCs w:val="20"/>
          <w:lang w:val="es-ES"/>
        </w:rPr>
        <w:t>sería importante asegurar que tales comparecencias no</w:t>
      </w:r>
      <w:r w:rsidR="009E44CB" w:rsidRPr="0007729F">
        <w:rPr>
          <w:rFonts w:ascii="Verdana" w:hAnsi="Verdana"/>
          <w:sz w:val="20"/>
          <w:szCs w:val="20"/>
          <w:lang w:val="es-ES"/>
        </w:rPr>
        <w:t xml:space="preserve"> desl</w:t>
      </w:r>
      <w:r w:rsidR="003C5108">
        <w:rPr>
          <w:rFonts w:ascii="Verdana" w:hAnsi="Verdana"/>
          <w:sz w:val="20"/>
          <w:szCs w:val="20"/>
          <w:lang w:val="es-ES"/>
        </w:rPr>
        <w:t>egitimen</w:t>
      </w:r>
      <w:r w:rsidR="009E44CB" w:rsidRPr="0007729F">
        <w:rPr>
          <w:rFonts w:ascii="Verdana" w:hAnsi="Verdana"/>
          <w:sz w:val="20"/>
          <w:szCs w:val="20"/>
          <w:lang w:val="es-ES"/>
        </w:rPr>
        <w:t xml:space="preserve"> la labor de las personas defensoras y operadores o auxiliares de justicia</w:t>
      </w:r>
      <w:r w:rsidR="00AA4C4E">
        <w:rPr>
          <w:rFonts w:ascii="Verdana" w:hAnsi="Verdana"/>
          <w:sz w:val="20"/>
          <w:szCs w:val="20"/>
          <w:lang w:val="es-ES"/>
        </w:rPr>
        <w:t>,</w:t>
      </w:r>
      <w:r w:rsidR="009E44CB" w:rsidRPr="0007729F">
        <w:rPr>
          <w:rFonts w:ascii="Verdana" w:hAnsi="Verdana"/>
          <w:sz w:val="20"/>
          <w:szCs w:val="20"/>
          <w:lang w:val="es-ES"/>
        </w:rPr>
        <w:t xml:space="preserve"> toda vez que declaraciones estigmatizantes podrían contribuir a exacerbar un clima de hostilidad y agravar la situación de riesgo</w:t>
      </w:r>
      <w:r w:rsidR="00962F32" w:rsidRPr="0007729F">
        <w:rPr>
          <w:rFonts w:ascii="Verdana" w:hAnsi="Verdana"/>
          <w:sz w:val="20"/>
          <w:szCs w:val="20"/>
          <w:lang w:val="es-ES"/>
        </w:rPr>
        <w:t>.</w:t>
      </w:r>
    </w:p>
    <w:p w:rsidR="00F06663" w:rsidRPr="0007729F" w:rsidRDefault="00F06663" w:rsidP="000A0EA1">
      <w:pPr>
        <w:spacing w:beforeLines="80" w:before="192" w:after="80" w:line="240" w:lineRule="auto"/>
        <w:ind w:right="22"/>
        <w:contextualSpacing/>
        <w:jc w:val="both"/>
        <w:rPr>
          <w:rFonts w:ascii="Verdana" w:eastAsia="Times" w:hAnsi="Verdana" w:cs="Verdana"/>
          <w:color w:val="000000"/>
          <w:sz w:val="20"/>
          <w:szCs w:val="20"/>
          <w:lang w:val="es-GT"/>
        </w:rPr>
      </w:pPr>
    </w:p>
    <w:p w:rsidR="00B609A8" w:rsidRPr="0007729F" w:rsidRDefault="00B609A8" w:rsidP="000A0EA1">
      <w:pPr>
        <w:pStyle w:val="BodyText2"/>
        <w:spacing w:beforeLines="80" w:before="192" w:after="80" w:line="240" w:lineRule="auto"/>
        <w:ind w:left="720"/>
        <w:contextualSpacing/>
        <w:jc w:val="both"/>
        <w:rPr>
          <w:rFonts w:ascii="Verdana" w:hAnsi="Verdana"/>
          <w:i/>
          <w:sz w:val="20"/>
          <w:szCs w:val="20"/>
          <w:lang w:val="es-PR"/>
        </w:rPr>
      </w:pPr>
      <w:r w:rsidRPr="0007729F">
        <w:rPr>
          <w:rFonts w:ascii="Verdana" w:hAnsi="Verdana"/>
          <w:i/>
          <w:sz w:val="20"/>
          <w:szCs w:val="20"/>
          <w:lang w:val="es-PR"/>
        </w:rPr>
        <w:t>B.2. Consideraciones de la Corte</w:t>
      </w:r>
    </w:p>
    <w:p w:rsidR="004430B4" w:rsidRPr="0007729F" w:rsidRDefault="004430B4" w:rsidP="000A0EA1">
      <w:pPr>
        <w:pStyle w:val="BodyText2"/>
        <w:spacing w:beforeLines="80" w:before="192" w:after="80" w:line="240" w:lineRule="auto"/>
        <w:ind w:left="720"/>
        <w:contextualSpacing/>
        <w:jc w:val="both"/>
        <w:rPr>
          <w:rFonts w:ascii="Verdana" w:hAnsi="Verdana"/>
          <w:b/>
          <w:sz w:val="20"/>
          <w:szCs w:val="20"/>
          <w:lang w:val="es-PR"/>
        </w:rPr>
      </w:pPr>
    </w:p>
    <w:p w:rsidR="004430B4" w:rsidRPr="0007729F" w:rsidRDefault="006F45FE" w:rsidP="000A0EA1">
      <w:pPr>
        <w:numPr>
          <w:ilvl w:val="0"/>
          <w:numId w:val="1"/>
        </w:numPr>
        <w:spacing w:beforeLines="80" w:before="192" w:after="80" w:line="240" w:lineRule="auto"/>
        <w:ind w:right="22"/>
        <w:contextualSpacing/>
        <w:jc w:val="both"/>
        <w:rPr>
          <w:rFonts w:ascii="Verdana" w:hAnsi="Verdana"/>
          <w:sz w:val="20"/>
          <w:szCs w:val="20"/>
          <w:lang w:val="es-CR"/>
        </w:rPr>
      </w:pPr>
      <w:r w:rsidRPr="0007729F">
        <w:rPr>
          <w:rFonts w:ascii="Verdana" w:hAnsi="Verdana"/>
          <w:sz w:val="20"/>
          <w:szCs w:val="20"/>
          <w:lang w:val="es-CR"/>
        </w:rPr>
        <w:t>La Corte nota</w:t>
      </w:r>
      <w:r w:rsidR="00415ADD" w:rsidRPr="0007729F">
        <w:rPr>
          <w:rFonts w:ascii="Verdana" w:hAnsi="Verdana"/>
          <w:sz w:val="20"/>
          <w:szCs w:val="20"/>
          <w:lang w:val="es-CR"/>
        </w:rPr>
        <w:t xml:space="preserve"> que, en </w:t>
      </w:r>
      <w:r w:rsidRPr="0007729F">
        <w:rPr>
          <w:rFonts w:ascii="Verdana" w:hAnsi="Verdana"/>
          <w:sz w:val="20"/>
          <w:szCs w:val="20"/>
          <w:lang w:val="es-CR"/>
        </w:rPr>
        <w:t xml:space="preserve">el </w:t>
      </w:r>
      <w:r w:rsidR="00234474" w:rsidRPr="0007729F">
        <w:rPr>
          <w:rFonts w:ascii="Verdana" w:hAnsi="Verdana"/>
          <w:sz w:val="20"/>
          <w:szCs w:val="20"/>
          <w:lang w:val="es-CR"/>
        </w:rPr>
        <w:t xml:space="preserve">análisis </w:t>
      </w:r>
      <w:r w:rsidRPr="0007729F">
        <w:rPr>
          <w:rFonts w:ascii="Verdana" w:hAnsi="Verdana"/>
          <w:sz w:val="20"/>
          <w:szCs w:val="20"/>
          <w:lang w:val="es-CR"/>
        </w:rPr>
        <w:t>realizado por el</w:t>
      </w:r>
      <w:r w:rsidRPr="0007729F">
        <w:rPr>
          <w:rFonts w:ascii="Verdana" w:hAnsi="Verdana"/>
          <w:sz w:val="20"/>
          <w:szCs w:val="20"/>
          <w:lang w:val="es-ES"/>
        </w:rPr>
        <w:t xml:space="preserve"> Departamento de Riesgo de la División de Protección de Personas y Seguridad de la Policía Nacional Civil</w:t>
      </w:r>
      <w:r w:rsidR="003915AA" w:rsidRPr="0007729F">
        <w:rPr>
          <w:rFonts w:ascii="Verdana" w:hAnsi="Verdana"/>
          <w:sz w:val="20"/>
          <w:szCs w:val="20"/>
          <w:lang w:val="es-ES"/>
        </w:rPr>
        <w:t xml:space="preserve"> </w:t>
      </w:r>
      <w:r w:rsidR="00F526E8">
        <w:rPr>
          <w:rFonts w:ascii="Verdana" w:hAnsi="Verdana"/>
          <w:sz w:val="20"/>
          <w:szCs w:val="20"/>
          <w:lang w:val="es-ES"/>
        </w:rPr>
        <w:t>los días</w:t>
      </w:r>
      <w:r w:rsidR="00B0254D">
        <w:rPr>
          <w:rFonts w:ascii="Verdana" w:hAnsi="Verdana"/>
          <w:sz w:val="20"/>
          <w:szCs w:val="20"/>
          <w:lang w:val="es-ES"/>
        </w:rPr>
        <w:t xml:space="preserve"> 16 y 18 de</w:t>
      </w:r>
      <w:r w:rsidR="00B0254D" w:rsidRPr="0007729F">
        <w:rPr>
          <w:rFonts w:ascii="Verdana" w:hAnsi="Verdana"/>
          <w:sz w:val="20"/>
          <w:szCs w:val="20"/>
          <w:lang w:val="es-ES"/>
        </w:rPr>
        <w:t xml:space="preserve"> </w:t>
      </w:r>
      <w:r w:rsidR="00B0254D">
        <w:rPr>
          <w:rFonts w:ascii="Verdana" w:hAnsi="Verdana"/>
          <w:sz w:val="20"/>
          <w:szCs w:val="20"/>
          <w:lang w:val="es-ES"/>
        </w:rPr>
        <w:t xml:space="preserve">diciembre </w:t>
      </w:r>
      <w:r w:rsidR="003915AA" w:rsidRPr="0007729F">
        <w:rPr>
          <w:rFonts w:ascii="Verdana" w:hAnsi="Verdana"/>
          <w:sz w:val="20"/>
          <w:szCs w:val="20"/>
          <w:lang w:val="es-ES"/>
        </w:rPr>
        <w:t>de 2017</w:t>
      </w:r>
      <w:r w:rsidR="00F526E8">
        <w:rPr>
          <w:rFonts w:ascii="Verdana" w:hAnsi="Verdana"/>
          <w:sz w:val="20"/>
          <w:szCs w:val="20"/>
          <w:lang w:val="es-ES"/>
        </w:rPr>
        <w:t>,</w:t>
      </w:r>
      <w:r w:rsidR="00B377D7">
        <w:rPr>
          <w:rFonts w:ascii="Verdana" w:hAnsi="Verdana"/>
          <w:sz w:val="20"/>
          <w:szCs w:val="20"/>
          <w:lang w:val="es-CR"/>
        </w:rPr>
        <w:t xml:space="preserve"> </w:t>
      </w:r>
      <w:r w:rsidRPr="0007729F">
        <w:rPr>
          <w:rFonts w:ascii="Verdana" w:hAnsi="Verdana"/>
          <w:sz w:val="20"/>
          <w:szCs w:val="20"/>
          <w:lang w:val="es-CR"/>
        </w:rPr>
        <w:t>se determinó un nivel de</w:t>
      </w:r>
      <w:r w:rsidR="00234474" w:rsidRPr="0007729F">
        <w:rPr>
          <w:rFonts w:ascii="Verdana" w:hAnsi="Verdana"/>
          <w:sz w:val="20"/>
          <w:szCs w:val="20"/>
          <w:lang w:val="es-CR"/>
        </w:rPr>
        <w:t xml:space="preserve"> riesgo</w:t>
      </w:r>
      <w:r w:rsidRPr="0007729F">
        <w:rPr>
          <w:rFonts w:ascii="Verdana" w:hAnsi="Verdana"/>
          <w:sz w:val="20"/>
          <w:szCs w:val="20"/>
          <w:lang w:val="es-CR"/>
        </w:rPr>
        <w:t xml:space="preserve"> </w:t>
      </w:r>
      <w:r w:rsidR="00415ADD" w:rsidRPr="0007729F">
        <w:rPr>
          <w:rFonts w:ascii="Verdana" w:hAnsi="Verdana"/>
          <w:sz w:val="20"/>
          <w:szCs w:val="20"/>
          <w:lang w:val="es-CR"/>
        </w:rPr>
        <w:t xml:space="preserve">medio para el señor </w:t>
      </w:r>
      <w:r w:rsidR="00415ADD" w:rsidRPr="0007729F">
        <w:rPr>
          <w:rFonts w:ascii="Verdana" w:hAnsi="Verdana" w:cs="Verdana"/>
          <w:color w:val="000000"/>
          <w:sz w:val="20"/>
          <w:lang w:val="es-GT"/>
        </w:rPr>
        <w:t xml:space="preserve">Fredy Armando Peccerelli Monterroso </w:t>
      </w:r>
      <w:r w:rsidRPr="0007729F">
        <w:rPr>
          <w:rFonts w:ascii="Verdana" w:hAnsi="Verdana"/>
          <w:sz w:val="20"/>
          <w:szCs w:val="20"/>
          <w:lang w:val="es-CR"/>
        </w:rPr>
        <w:t xml:space="preserve">y </w:t>
      </w:r>
      <w:r w:rsidR="00415ADD" w:rsidRPr="0007729F">
        <w:rPr>
          <w:rFonts w:ascii="Verdana" w:hAnsi="Verdana" w:cs="Verdana"/>
          <w:color w:val="000000"/>
          <w:sz w:val="20"/>
          <w:lang w:val="es-GT"/>
        </w:rPr>
        <w:t>los demás miembros de la FAFG</w:t>
      </w:r>
      <w:r w:rsidR="00F526E8">
        <w:rPr>
          <w:rFonts w:ascii="Verdana" w:hAnsi="Verdana" w:cs="Verdana"/>
          <w:color w:val="000000"/>
          <w:sz w:val="20"/>
          <w:lang w:val="es-GT"/>
        </w:rPr>
        <w:t>, y</w:t>
      </w:r>
      <w:r w:rsidR="00F526E8" w:rsidRPr="00F526E8">
        <w:rPr>
          <w:rFonts w:ascii="Verdana" w:hAnsi="Verdana"/>
          <w:sz w:val="20"/>
          <w:szCs w:val="20"/>
          <w:lang w:val="es-CR"/>
        </w:rPr>
        <w:t xml:space="preserve"> </w:t>
      </w:r>
      <w:r w:rsidR="00F526E8" w:rsidRPr="0007729F">
        <w:rPr>
          <w:rFonts w:ascii="Verdana" w:hAnsi="Verdana"/>
          <w:sz w:val="20"/>
          <w:szCs w:val="20"/>
          <w:lang w:val="es-CR"/>
        </w:rPr>
        <w:t xml:space="preserve">se recomendó </w:t>
      </w:r>
      <w:r w:rsidR="00F526E8">
        <w:rPr>
          <w:rFonts w:ascii="Verdana" w:hAnsi="Verdana"/>
          <w:sz w:val="20"/>
          <w:szCs w:val="20"/>
          <w:lang w:val="es-CR"/>
        </w:rPr>
        <w:t>la continuidad de</w:t>
      </w:r>
      <w:r w:rsidR="00F526E8" w:rsidRPr="0007729F">
        <w:rPr>
          <w:rFonts w:ascii="Verdana" w:hAnsi="Verdana"/>
          <w:sz w:val="20"/>
          <w:szCs w:val="20"/>
          <w:lang w:val="es-CR"/>
        </w:rPr>
        <w:t xml:space="preserve"> medidas de protección</w:t>
      </w:r>
      <w:r w:rsidR="00CD39C3" w:rsidRPr="0007729F">
        <w:rPr>
          <w:rFonts w:ascii="Verdana" w:hAnsi="Verdana" w:cs="Verdana"/>
          <w:color w:val="000000"/>
          <w:sz w:val="20"/>
          <w:lang w:val="es-GT"/>
        </w:rPr>
        <w:t xml:space="preserve">. </w:t>
      </w:r>
      <w:r w:rsidR="00415ADD" w:rsidRPr="0007729F">
        <w:rPr>
          <w:rFonts w:ascii="Verdana" w:hAnsi="Verdana"/>
          <w:sz w:val="20"/>
          <w:szCs w:val="20"/>
          <w:lang w:val="es-CR"/>
        </w:rPr>
        <w:t>Asimismo</w:t>
      </w:r>
      <w:r w:rsidRPr="0007729F">
        <w:rPr>
          <w:rFonts w:ascii="Verdana" w:hAnsi="Verdana"/>
          <w:sz w:val="20"/>
          <w:szCs w:val="20"/>
          <w:lang w:val="es-CR"/>
        </w:rPr>
        <w:t xml:space="preserve">, </w:t>
      </w:r>
      <w:r w:rsidR="00330A98">
        <w:rPr>
          <w:rFonts w:ascii="Verdana" w:hAnsi="Verdana"/>
          <w:sz w:val="20"/>
          <w:szCs w:val="20"/>
          <w:lang w:val="es-CR"/>
        </w:rPr>
        <w:t>es relevante</w:t>
      </w:r>
      <w:r w:rsidRPr="0007729F">
        <w:rPr>
          <w:rFonts w:ascii="Verdana" w:hAnsi="Verdana"/>
          <w:sz w:val="20"/>
          <w:szCs w:val="20"/>
          <w:lang w:val="es-CR"/>
        </w:rPr>
        <w:t xml:space="preserve"> la “campaña de desprestigio, descalificación de su quehacer y odio en distintos medios</w:t>
      </w:r>
      <w:r w:rsidR="00F526E8">
        <w:rPr>
          <w:rFonts w:ascii="Verdana" w:hAnsi="Verdana"/>
          <w:sz w:val="20"/>
          <w:szCs w:val="20"/>
          <w:lang w:val="es-CR"/>
        </w:rPr>
        <w:t>”</w:t>
      </w:r>
      <w:r w:rsidRPr="0007729F">
        <w:rPr>
          <w:rFonts w:ascii="Verdana" w:hAnsi="Verdana"/>
          <w:sz w:val="20"/>
          <w:szCs w:val="20"/>
          <w:lang w:val="es-CR"/>
        </w:rPr>
        <w:t xml:space="preserve"> de la cual ha</w:t>
      </w:r>
      <w:r w:rsidR="00F526E8">
        <w:rPr>
          <w:rFonts w:ascii="Verdana" w:hAnsi="Verdana"/>
          <w:sz w:val="20"/>
          <w:szCs w:val="20"/>
          <w:lang w:val="es-CR"/>
        </w:rPr>
        <w:t>bría</w:t>
      </w:r>
      <w:r w:rsidRPr="0007729F">
        <w:rPr>
          <w:rFonts w:ascii="Verdana" w:hAnsi="Verdana"/>
          <w:sz w:val="20"/>
          <w:szCs w:val="20"/>
          <w:lang w:val="es-CR"/>
        </w:rPr>
        <w:t xml:space="preserve"> sido objeto</w:t>
      </w:r>
      <w:r w:rsidR="00F526E8">
        <w:rPr>
          <w:rFonts w:ascii="Verdana" w:hAnsi="Verdana"/>
          <w:sz w:val="20"/>
          <w:szCs w:val="20"/>
          <w:lang w:val="es-CR"/>
        </w:rPr>
        <w:t xml:space="preserve"> la</w:t>
      </w:r>
      <w:r w:rsidRPr="0007729F">
        <w:rPr>
          <w:rFonts w:ascii="Verdana" w:hAnsi="Verdana"/>
          <w:sz w:val="20"/>
          <w:szCs w:val="20"/>
          <w:lang w:val="es-CR"/>
        </w:rPr>
        <w:t xml:space="preserve"> FAFG</w:t>
      </w:r>
      <w:r w:rsidR="00415ADD" w:rsidRPr="0007729F">
        <w:rPr>
          <w:rFonts w:ascii="Verdana" w:hAnsi="Verdana"/>
          <w:sz w:val="20"/>
          <w:szCs w:val="20"/>
          <w:lang w:val="es-CR"/>
        </w:rPr>
        <w:t xml:space="preserve">. </w:t>
      </w:r>
      <w:r w:rsidRPr="0007729F">
        <w:rPr>
          <w:rFonts w:ascii="Verdana" w:hAnsi="Verdana"/>
          <w:sz w:val="20"/>
          <w:szCs w:val="20"/>
          <w:lang w:val="es-CR"/>
        </w:rPr>
        <w:t>En este sentido, el Tribunal resalta</w:t>
      </w:r>
      <w:r w:rsidR="004430B4" w:rsidRPr="0007729F">
        <w:rPr>
          <w:rFonts w:ascii="Verdana" w:hAnsi="Verdana"/>
          <w:sz w:val="20"/>
          <w:szCs w:val="20"/>
          <w:lang w:val="es-CR"/>
        </w:rPr>
        <w:t xml:space="preserve"> </w:t>
      </w:r>
      <w:r w:rsidR="00234474" w:rsidRPr="0007729F">
        <w:rPr>
          <w:rFonts w:ascii="Verdana" w:hAnsi="Verdana"/>
          <w:sz w:val="20"/>
          <w:szCs w:val="20"/>
          <w:lang w:val="es-CR"/>
        </w:rPr>
        <w:t xml:space="preserve">la persecución penal emprendida por el Ministerio Público </w:t>
      </w:r>
      <w:r w:rsidR="00B51FDF" w:rsidRPr="0007729F">
        <w:rPr>
          <w:rFonts w:ascii="Verdana" w:hAnsi="Verdana"/>
          <w:sz w:val="20"/>
          <w:szCs w:val="20"/>
          <w:lang w:val="es-CR"/>
        </w:rPr>
        <w:t xml:space="preserve">de Guatemala en contra de ex militares y presuntos responsables de la muerte de </w:t>
      </w:r>
      <w:r w:rsidR="009752B1">
        <w:rPr>
          <w:rFonts w:ascii="Verdana" w:hAnsi="Verdana"/>
          <w:sz w:val="20"/>
          <w:szCs w:val="20"/>
          <w:lang w:val="es-CR"/>
        </w:rPr>
        <w:t>personas</w:t>
      </w:r>
      <w:r w:rsidR="009752B1" w:rsidRPr="0007729F">
        <w:rPr>
          <w:rFonts w:ascii="Verdana" w:hAnsi="Verdana"/>
          <w:sz w:val="20"/>
          <w:szCs w:val="20"/>
          <w:lang w:val="es-CR"/>
        </w:rPr>
        <w:t xml:space="preserve"> </w:t>
      </w:r>
      <w:r w:rsidR="00B51FDF" w:rsidRPr="0007729F">
        <w:rPr>
          <w:rFonts w:ascii="Verdana" w:hAnsi="Verdana"/>
          <w:sz w:val="20"/>
          <w:szCs w:val="20"/>
          <w:lang w:val="es-CR"/>
        </w:rPr>
        <w:t xml:space="preserve">exhumadas por la FAFG, </w:t>
      </w:r>
      <w:r w:rsidR="005A2947" w:rsidRPr="0007729F">
        <w:rPr>
          <w:rFonts w:ascii="Verdana" w:hAnsi="Verdana"/>
          <w:sz w:val="20"/>
          <w:szCs w:val="20"/>
          <w:lang w:val="es-CR"/>
        </w:rPr>
        <w:t xml:space="preserve">casos </w:t>
      </w:r>
      <w:r w:rsidR="00B51FDF" w:rsidRPr="0007729F">
        <w:rPr>
          <w:rFonts w:ascii="Verdana" w:hAnsi="Verdana"/>
          <w:sz w:val="20"/>
          <w:szCs w:val="20"/>
          <w:lang w:val="es-CR"/>
        </w:rPr>
        <w:t>en los cu</w:t>
      </w:r>
      <w:r w:rsidR="00330A98">
        <w:rPr>
          <w:rFonts w:ascii="Verdana" w:hAnsi="Verdana"/>
          <w:sz w:val="20"/>
          <w:szCs w:val="20"/>
          <w:lang w:val="es-CR"/>
        </w:rPr>
        <w:t>a</w:t>
      </w:r>
      <w:r w:rsidR="00B51FDF" w:rsidRPr="0007729F">
        <w:rPr>
          <w:rFonts w:ascii="Verdana" w:hAnsi="Verdana"/>
          <w:sz w:val="20"/>
          <w:szCs w:val="20"/>
          <w:lang w:val="es-CR"/>
        </w:rPr>
        <w:t>les las investigaciones de la F</w:t>
      </w:r>
      <w:r w:rsidR="005A2947" w:rsidRPr="0007729F">
        <w:rPr>
          <w:rFonts w:ascii="Verdana" w:hAnsi="Verdana"/>
          <w:sz w:val="20"/>
          <w:szCs w:val="20"/>
          <w:lang w:val="es-CR"/>
        </w:rPr>
        <w:t>undación</w:t>
      </w:r>
      <w:r w:rsidR="00B51FDF" w:rsidRPr="0007729F">
        <w:rPr>
          <w:rFonts w:ascii="Verdana" w:hAnsi="Verdana"/>
          <w:sz w:val="20"/>
          <w:szCs w:val="20"/>
          <w:lang w:val="es-CR"/>
        </w:rPr>
        <w:t xml:space="preserve"> desempeñ</w:t>
      </w:r>
      <w:r w:rsidR="009752B1">
        <w:rPr>
          <w:rFonts w:ascii="Verdana" w:hAnsi="Verdana"/>
          <w:sz w:val="20"/>
          <w:szCs w:val="20"/>
          <w:lang w:val="es-CR"/>
        </w:rPr>
        <w:t>a</w:t>
      </w:r>
      <w:r w:rsidR="00E5551F">
        <w:rPr>
          <w:rFonts w:ascii="Verdana" w:hAnsi="Verdana"/>
          <w:sz w:val="20"/>
          <w:szCs w:val="20"/>
          <w:lang w:val="es-CR"/>
        </w:rPr>
        <w:t>ría</w:t>
      </w:r>
      <w:r w:rsidR="00B51FDF" w:rsidRPr="0007729F">
        <w:rPr>
          <w:rFonts w:ascii="Verdana" w:hAnsi="Verdana"/>
          <w:sz w:val="20"/>
          <w:szCs w:val="20"/>
          <w:lang w:val="es-CR"/>
        </w:rPr>
        <w:t xml:space="preserve">n un rol </w:t>
      </w:r>
      <w:r w:rsidR="00A901CC" w:rsidRPr="0007729F">
        <w:rPr>
          <w:rFonts w:ascii="Verdana" w:hAnsi="Verdana"/>
          <w:sz w:val="20"/>
          <w:szCs w:val="20"/>
          <w:lang w:val="es-CR"/>
        </w:rPr>
        <w:t xml:space="preserve">importante </w:t>
      </w:r>
      <w:r w:rsidR="00B51FDF" w:rsidRPr="0007729F">
        <w:rPr>
          <w:rFonts w:ascii="Verdana" w:hAnsi="Verdana"/>
          <w:sz w:val="20"/>
          <w:szCs w:val="20"/>
          <w:lang w:val="es-CR"/>
        </w:rPr>
        <w:t>para el esclarecimiento de la verdad, y por ende colo</w:t>
      </w:r>
      <w:r w:rsidR="005A2947" w:rsidRPr="0007729F">
        <w:rPr>
          <w:rFonts w:ascii="Verdana" w:hAnsi="Verdana"/>
          <w:sz w:val="20"/>
          <w:szCs w:val="20"/>
          <w:lang w:val="es-CR"/>
        </w:rPr>
        <w:t>ca</w:t>
      </w:r>
      <w:r w:rsidR="00253236">
        <w:rPr>
          <w:rFonts w:ascii="Verdana" w:hAnsi="Verdana"/>
          <w:sz w:val="20"/>
          <w:szCs w:val="20"/>
          <w:lang w:val="es-CR"/>
        </w:rPr>
        <w:t>n</w:t>
      </w:r>
      <w:r w:rsidR="00B51FDF" w:rsidRPr="0007729F">
        <w:rPr>
          <w:rFonts w:ascii="Verdana" w:hAnsi="Verdana"/>
          <w:sz w:val="20"/>
          <w:szCs w:val="20"/>
          <w:lang w:val="es-CR"/>
        </w:rPr>
        <w:t xml:space="preserve"> al personal en un mayor grado de vulnerabilidad ante la posibilidad de sufrir ataques o intimidaciones por sectores interesados en que tales hechos permanezcan en la impunidad. </w:t>
      </w:r>
      <w:r w:rsidR="004430B4" w:rsidRPr="0007729F">
        <w:rPr>
          <w:rFonts w:ascii="Verdana" w:hAnsi="Verdana"/>
          <w:sz w:val="20"/>
          <w:szCs w:val="20"/>
          <w:lang w:val="es-CR"/>
        </w:rPr>
        <w:t xml:space="preserve">En consecuencia, la Corte estima que </w:t>
      </w:r>
      <w:r w:rsidR="00B51FDF" w:rsidRPr="0007729F">
        <w:rPr>
          <w:rFonts w:ascii="Verdana" w:hAnsi="Verdana"/>
          <w:sz w:val="20"/>
          <w:szCs w:val="20"/>
          <w:lang w:val="es-CR"/>
        </w:rPr>
        <w:t>el señor Fredy Peccerelli</w:t>
      </w:r>
      <w:r w:rsidR="005A2947" w:rsidRPr="0007729F">
        <w:rPr>
          <w:rFonts w:ascii="Verdana" w:hAnsi="Verdana"/>
          <w:sz w:val="20"/>
          <w:szCs w:val="20"/>
          <w:lang w:val="es-CR"/>
        </w:rPr>
        <w:t>, su familia</w:t>
      </w:r>
      <w:r w:rsidR="00B51FDF" w:rsidRPr="0007729F">
        <w:rPr>
          <w:rFonts w:ascii="Verdana" w:hAnsi="Verdana"/>
          <w:sz w:val="20"/>
          <w:szCs w:val="20"/>
          <w:lang w:val="es-CR"/>
        </w:rPr>
        <w:t xml:space="preserve"> y </w:t>
      </w:r>
      <w:r w:rsidR="005A2947" w:rsidRPr="0007729F">
        <w:rPr>
          <w:rFonts w:ascii="Verdana" w:hAnsi="Verdana"/>
          <w:sz w:val="20"/>
          <w:szCs w:val="20"/>
          <w:lang w:val="es-CR"/>
        </w:rPr>
        <w:t xml:space="preserve">los integrantes </w:t>
      </w:r>
      <w:r w:rsidR="00B51FDF" w:rsidRPr="0007729F">
        <w:rPr>
          <w:rFonts w:ascii="Verdana" w:hAnsi="Verdana"/>
          <w:sz w:val="20"/>
          <w:szCs w:val="20"/>
          <w:lang w:val="es-CR"/>
        </w:rPr>
        <w:t xml:space="preserve">de la FAFG </w:t>
      </w:r>
      <w:r w:rsidR="004430B4" w:rsidRPr="0007729F">
        <w:rPr>
          <w:rFonts w:ascii="Verdana" w:hAnsi="Verdana"/>
          <w:sz w:val="20"/>
          <w:szCs w:val="20"/>
          <w:lang w:val="es-CR"/>
        </w:rPr>
        <w:t>aún se</w:t>
      </w:r>
      <w:r w:rsidR="005A2947" w:rsidRPr="0007729F">
        <w:rPr>
          <w:rFonts w:ascii="Verdana" w:hAnsi="Verdana"/>
          <w:sz w:val="20"/>
          <w:szCs w:val="20"/>
          <w:lang w:val="es-CR"/>
        </w:rPr>
        <w:t xml:space="preserve"> encuentran en una situación de extrema gravedad y urgencia en la cual podrían sufrir daños irreparables, </w:t>
      </w:r>
      <w:r w:rsidR="004430B4" w:rsidRPr="0007729F">
        <w:rPr>
          <w:rFonts w:ascii="Verdana" w:hAnsi="Verdana"/>
          <w:sz w:val="20"/>
          <w:szCs w:val="20"/>
          <w:lang w:val="es-CR"/>
        </w:rPr>
        <w:t xml:space="preserve">por lo que es procedente que se mantenga la vigencia de las medidas provisionales </w:t>
      </w:r>
      <w:r w:rsidR="005A2947" w:rsidRPr="0007729F">
        <w:rPr>
          <w:rFonts w:ascii="Verdana" w:hAnsi="Verdana"/>
          <w:sz w:val="20"/>
          <w:szCs w:val="20"/>
          <w:lang w:val="es-CR"/>
        </w:rPr>
        <w:t>ordenadas en su</w:t>
      </w:r>
      <w:r w:rsidR="004430B4" w:rsidRPr="0007729F">
        <w:rPr>
          <w:rFonts w:ascii="Verdana" w:hAnsi="Verdana"/>
          <w:sz w:val="20"/>
          <w:szCs w:val="20"/>
          <w:lang w:val="es-CR"/>
        </w:rPr>
        <w:t xml:space="preserve"> favor</w:t>
      </w:r>
      <w:r w:rsidR="005A2947" w:rsidRPr="0007729F">
        <w:rPr>
          <w:rFonts w:ascii="Verdana" w:hAnsi="Verdana"/>
          <w:sz w:val="20"/>
          <w:szCs w:val="20"/>
          <w:lang w:val="es-CR"/>
        </w:rPr>
        <w:t xml:space="preserve">, </w:t>
      </w:r>
      <w:r w:rsidR="00415ADD" w:rsidRPr="0007729F">
        <w:rPr>
          <w:rFonts w:ascii="Verdana" w:hAnsi="Verdana"/>
          <w:sz w:val="20"/>
          <w:szCs w:val="20"/>
          <w:lang w:val="es-CR"/>
        </w:rPr>
        <w:t xml:space="preserve">tendientes a proteger </w:t>
      </w:r>
      <w:r w:rsidR="005A2947" w:rsidRPr="0007729F">
        <w:rPr>
          <w:rFonts w:ascii="Verdana" w:hAnsi="Verdana"/>
          <w:sz w:val="20"/>
          <w:szCs w:val="20"/>
          <w:lang w:val="es-CR"/>
        </w:rPr>
        <w:t>su</w:t>
      </w:r>
      <w:r w:rsidR="00415ADD" w:rsidRPr="0007729F">
        <w:rPr>
          <w:rFonts w:ascii="Verdana" w:hAnsi="Verdana"/>
          <w:sz w:val="20"/>
          <w:szCs w:val="20"/>
          <w:lang w:val="es-CR"/>
        </w:rPr>
        <w:t xml:space="preserve"> vida e integridad personal, así como de garantizar </w:t>
      </w:r>
      <w:r w:rsidR="00DD4FAE" w:rsidRPr="0007729F">
        <w:rPr>
          <w:rFonts w:ascii="Verdana" w:hAnsi="Verdana"/>
          <w:sz w:val="20"/>
          <w:szCs w:val="20"/>
          <w:lang w:val="es-CR"/>
        </w:rPr>
        <w:t xml:space="preserve">el ejercicio de </w:t>
      </w:r>
      <w:r w:rsidR="005A2947" w:rsidRPr="0007729F">
        <w:rPr>
          <w:rFonts w:ascii="Verdana" w:hAnsi="Verdana"/>
          <w:sz w:val="20"/>
          <w:szCs w:val="20"/>
          <w:lang w:val="es-CR"/>
        </w:rPr>
        <w:t>sus</w:t>
      </w:r>
      <w:r w:rsidR="00415ADD" w:rsidRPr="0007729F">
        <w:rPr>
          <w:rFonts w:ascii="Verdana" w:hAnsi="Verdana"/>
          <w:sz w:val="20"/>
          <w:szCs w:val="20"/>
          <w:lang w:val="es-CR"/>
        </w:rPr>
        <w:t xml:space="preserve"> labores</w:t>
      </w:r>
      <w:r w:rsidR="005A2947" w:rsidRPr="0007729F">
        <w:rPr>
          <w:rFonts w:ascii="Verdana" w:hAnsi="Verdana"/>
          <w:sz w:val="20"/>
          <w:szCs w:val="20"/>
          <w:lang w:val="es-CR"/>
        </w:rPr>
        <w:t xml:space="preserve">. </w:t>
      </w:r>
    </w:p>
    <w:p w:rsidR="004430B4" w:rsidRPr="0007729F" w:rsidRDefault="004430B4" w:rsidP="000A0EA1">
      <w:pPr>
        <w:spacing w:beforeLines="80" w:before="192" w:after="80" w:line="240" w:lineRule="auto"/>
        <w:ind w:right="22"/>
        <w:contextualSpacing/>
        <w:jc w:val="both"/>
        <w:rPr>
          <w:rFonts w:ascii="Verdana" w:hAnsi="Verdana"/>
          <w:sz w:val="20"/>
          <w:szCs w:val="20"/>
          <w:lang w:val="es-CR"/>
        </w:rPr>
      </w:pPr>
    </w:p>
    <w:p w:rsidR="00B609A8" w:rsidRPr="0007729F" w:rsidRDefault="00B609A8" w:rsidP="000A0EA1">
      <w:pPr>
        <w:widowControl w:val="0"/>
        <w:autoSpaceDE w:val="0"/>
        <w:autoSpaceDN w:val="0"/>
        <w:adjustRightInd w:val="0"/>
        <w:spacing w:beforeLines="80" w:before="192" w:after="80" w:line="240" w:lineRule="auto"/>
        <w:contextualSpacing/>
        <w:jc w:val="both"/>
        <w:rPr>
          <w:rFonts w:ascii="Verdana" w:hAnsi="Verdana" w:cs="Verdana"/>
          <w:b/>
          <w:sz w:val="20"/>
          <w:szCs w:val="20"/>
          <w:lang w:val="es-ES"/>
        </w:rPr>
      </w:pPr>
      <w:r w:rsidRPr="0007729F">
        <w:rPr>
          <w:rFonts w:ascii="Verdana" w:hAnsi="Verdana" w:cs="Verdana"/>
          <w:b/>
          <w:sz w:val="20"/>
          <w:szCs w:val="20"/>
          <w:lang w:val="es-ES"/>
        </w:rPr>
        <w:t>POR TANTO:</w:t>
      </w:r>
    </w:p>
    <w:p w:rsidR="00B609A8" w:rsidRPr="0007729F" w:rsidRDefault="00B609A8" w:rsidP="000A0EA1">
      <w:pPr>
        <w:widowControl w:val="0"/>
        <w:autoSpaceDE w:val="0"/>
        <w:autoSpaceDN w:val="0"/>
        <w:adjustRightInd w:val="0"/>
        <w:spacing w:beforeLines="80" w:before="192" w:after="80" w:line="240" w:lineRule="auto"/>
        <w:contextualSpacing/>
        <w:jc w:val="both"/>
        <w:rPr>
          <w:rFonts w:ascii="Verdana" w:hAnsi="Verdana" w:cs="Verdana"/>
          <w:b/>
          <w:sz w:val="20"/>
          <w:szCs w:val="20"/>
          <w:lang w:val="es-ES"/>
        </w:rPr>
      </w:pPr>
    </w:p>
    <w:p w:rsidR="00B609A8" w:rsidRPr="0007729F" w:rsidRDefault="00B609A8" w:rsidP="000A0EA1">
      <w:pPr>
        <w:widowControl w:val="0"/>
        <w:autoSpaceDE w:val="0"/>
        <w:autoSpaceDN w:val="0"/>
        <w:adjustRightInd w:val="0"/>
        <w:spacing w:beforeLines="80" w:before="192" w:after="80" w:line="240" w:lineRule="auto"/>
        <w:contextualSpacing/>
        <w:jc w:val="both"/>
        <w:rPr>
          <w:rFonts w:ascii="Verdana" w:hAnsi="Verdana" w:cs="Verdana"/>
          <w:b/>
          <w:sz w:val="20"/>
          <w:szCs w:val="20"/>
          <w:lang w:val="es-ES"/>
        </w:rPr>
      </w:pPr>
      <w:r w:rsidRPr="0007729F">
        <w:rPr>
          <w:rFonts w:ascii="Verdana" w:hAnsi="Verdana" w:cs="Verdana"/>
          <w:b/>
          <w:sz w:val="20"/>
          <w:szCs w:val="20"/>
          <w:lang w:val="es-ES"/>
        </w:rPr>
        <w:t>LA CORTE INTERAMERICANA DE DERECHOS HUMANOS,</w:t>
      </w:r>
    </w:p>
    <w:p w:rsidR="00B609A8" w:rsidRPr="0007729F" w:rsidRDefault="00B609A8" w:rsidP="000A0EA1">
      <w:pPr>
        <w:widowControl w:val="0"/>
        <w:autoSpaceDE w:val="0"/>
        <w:autoSpaceDN w:val="0"/>
        <w:adjustRightInd w:val="0"/>
        <w:spacing w:beforeLines="80" w:before="192" w:after="80" w:line="240" w:lineRule="auto"/>
        <w:contextualSpacing/>
        <w:jc w:val="both"/>
        <w:rPr>
          <w:rFonts w:ascii="Verdana" w:hAnsi="Verdana" w:cs="Verdana"/>
          <w:b/>
          <w:sz w:val="20"/>
          <w:szCs w:val="20"/>
          <w:lang w:val="es-ES"/>
        </w:rPr>
      </w:pPr>
    </w:p>
    <w:p w:rsidR="00B609A8" w:rsidRPr="0007729F" w:rsidRDefault="005B47E4" w:rsidP="000A0EA1">
      <w:pPr>
        <w:widowControl w:val="0"/>
        <w:autoSpaceDE w:val="0"/>
        <w:autoSpaceDN w:val="0"/>
        <w:adjustRightInd w:val="0"/>
        <w:spacing w:beforeLines="80" w:before="192" w:after="80" w:line="240" w:lineRule="auto"/>
        <w:contextualSpacing/>
        <w:jc w:val="both"/>
        <w:rPr>
          <w:rFonts w:ascii="Verdana" w:hAnsi="Verdana" w:cs="Times"/>
          <w:sz w:val="20"/>
          <w:szCs w:val="20"/>
          <w:lang w:val="es-ES"/>
        </w:rPr>
      </w:pPr>
      <w:r w:rsidRPr="0007729F">
        <w:rPr>
          <w:rFonts w:ascii="Verdana" w:hAnsi="Verdana" w:cs="Verdana"/>
          <w:sz w:val="20"/>
          <w:szCs w:val="20"/>
          <w:lang w:val="es-ES"/>
        </w:rPr>
        <w:t xml:space="preserve">En </w:t>
      </w:r>
      <w:r w:rsidR="00B609A8" w:rsidRPr="0007729F">
        <w:rPr>
          <w:rFonts w:ascii="Verdana" w:hAnsi="Verdana" w:cs="Verdana"/>
          <w:sz w:val="20"/>
          <w:szCs w:val="20"/>
          <w:lang w:val="es-ES"/>
        </w:rPr>
        <w:t>uso de sus atribuciones conferidas por el artículo 63.2 de la Convención Americana sobre Derechos Humanos y los artículos 27 y 31 del Reglamento de la Corte,</w:t>
      </w:r>
    </w:p>
    <w:p w:rsidR="00B609A8" w:rsidRPr="0007729F" w:rsidRDefault="00B609A8" w:rsidP="000A0EA1">
      <w:pPr>
        <w:spacing w:beforeLines="80" w:before="192" w:after="80" w:line="240" w:lineRule="auto"/>
        <w:ind w:right="386"/>
        <w:contextualSpacing/>
        <w:jc w:val="both"/>
        <w:rPr>
          <w:rFonts w:ascii="Verdana" w:hAnsi="Verdana"/>
          <w:b/>
          <w:sz w:val="20"/>
          <w:szCs w:val="20"/>
          <w:lang w:val="es-ES"/>
        </w:rPr>
      </w:pPr>
    </w:p>
    <w:p w:rsidR="00B609A8" w:rsidRDefault="00B609A8" w:rsidP="000A0EA1">
      <w:pPr>
        <w:spacing w:beforeLines="80" w:before="192" w:after="80" w:line="240" w:lineRule="auto"/>
        <w:ind w:right="386"/>
        <w:contextualSpacing/>
        <w:jc w:val="both"/>
        <w:rPr>
          <w:rFonts w:ascii="Verdana" w:hAnsi="Verdana"/>
          <w:b/>
          <w:sz w:val="20"/>
          <w:szCs w:val="20"/>
        </w:rPr>
      </w:pPr>
      <w:r w:rsidRPr="0007729F">
        <w:rPr>
          <w:rFonts w:ascii="Verdana" w:hAnsi="Verdana"/>
          <w:b/>
          <w:sz w:val="20"/>
          <w:szCs w:val="20"/>
        </w:rPr>
        <w:lastRenderedPageBreak/>
        <w:t xml:space="preserve">RESUELVE: </w:t>
      </w:r>
    </w:p>
    <w:p w:rsidR="009F4B94" w:rsidRDefault="009F4B94" w:rsidP="000A0EA1">
      <w:pPr>
        <w:spacing w:beforeLines="80" w:before="192" w:after="80" w:line="240" w:lineRule="auto"/>
        <w:ind w:right="386"/>
        <w:contextualSpacing/>
        <w:jc w:val="both"/>
        <w:rPr>
          <w:rFonts w:ascii="Verdana" w:hAnsi="Verdana"/>
          <w:b/>
          <w:sz w:val="20"/>
          <w:szCs w:val="20"/>
        </w:rPr>
      </w:pPr>
    </w:p>
    <w:p w:rsidR="003922F4" w:rsidRPr="0007729F" w:rsidRDefault="003922F4" w:rsidP="000A0EA1">
      <w:pPr>
        <w:spacing w:beforeLines="80" w:before="192" w:after="80" w:line="240" w:lineRule="auto"/>
        <w:ind w:right="386"/>
        <w:contextualSpacing/>
        <w:jc w:val="both"/>
        <w:rPr>
          <w:rFonts w:ascii="Verdana" w:hAnsi="Verdana"/>
          <w:b/>
          <w:sz w:val="20"/>
          <w:szCs w:val="20"/>
        </w:rPr>
      </w:pPr>
    </w:p>
    <w:p w:rsidR="0084313C" w:rsidRPr="0007729F" w:rsidRDefault="00091F2A" w:rsidP="00911CAB">
      <w:pPr>
        <w:numPr>
          <w:ilvl w:val="0"/>
          <w:numId w:val="1"/>
        </w:numPr>
        <w:spacing w:after="0" w:line="240" w:lineRule="auto"/>
        <w:ind w:right="-6"/>
        <w:contextualSpacing/>
        <w:jc w:val="both"/>
        <w:rPr>
          <w:rFonts w:ascii="Verdana" w:hAnsi="Verdana"/>
          <w:sz w:val="20"/>
          <w:szCs w:val="20"/>
          <w:lang w:val="es-GT"/>
        </w:rPr>
      </w:pPr>
      <w:r w:rsidRPr="0007729F">
        <w:rPr>
          <w:rFonts w:ascii="Verdana" w:hAnsi="Verdana"/>
          <w:sz w:val="20"/>
          <w:szCs w:val="20"/>
          <w:lang w:val="es-GT"/>
        </w:rPr>
        <w:t xml:space="preserve">Requerir al Estado que continúe adoptando todas las medidas necesarias para proteger efectivamente los derechos a la vida y a la integridad personal de las siguientes personas, trabajadores de la Fundación de Antropología Forense de Guatemala: Fredy Armando Peccerelli Monterroso, Alma Nydia Vásquez Almazán, Ana Dolores Arriola Carrillo, Beatriz Díaz Arreaga, Blanca Noemí Barcenas Albizurez, Byron Estuardo García Méndez, Claudia Eugenia Rivera Fernández, Danny A. Guzmán Castellanos, Dominga Alejandra Varel Sequeira, Edgar Herlindo Hernández Sánchez, Edwin Giovanni Peruch Conós, Fredy Arnoldo Cumes Erazo, Gladis Amparo Martinez Ruiz, Guillermo E. Vásquez Escobar, Heidy Hirua Quezada Arriaga, Jaime Enrique Ruiz Castellanos, Jessika Marisela Osorio Galindo, Jorge Luis Romero de Paz, José Samuel Suasnavar Bolaños, Juan Carlos Gatica Pérez, Juan Ramón Donado Vivar, Katia Victoria Orantes Poza, Leonel Estuardo Paiz Diez, Marco Tulio Pérez Tánchez, Mario Bernabé Ramírez Alarcón, Mario Nájera, Mynor Adán Silvestre Aroche, Nancy Yadira Valdez Vielman,  Omar Bertoni Girón de León, Oscar Ariel Ixpatá, Oswaldo Alexander García Pérez,  Ramiro Edmundo Martínez Lemus, Raúl H. Archila García, Renaldo Leonel Acevedo Álvarez, Sergio Oswaldo García López, Shirley Carola Chacón, Silvia Beatriz Pellecer Montiel y Tomasa Cifuentes Cifuentes. </w:t>
      </w:r>
    </w:p>
    <w:p w:rsidR="0084313C" w:rsidRDefault="0084313C" w:rsidP="00911CAB">
      <w:pPr>
        <w:spacing w:after="0" w:line="240" w:lineRule="auto"/>
        <w:ind w:right="-6"/>
        <w:contextualSpacing/>
        <w:jc w:val="both"/>
        <w:rPr>
          <w:rFonts w:ascii="Verdana" w:hAnsi="Verdana"/>
          <w:sz w:val="20"/>
          <w:szCs w:val="20"/>
          <w:lang w:val="es-GT"/>
        </w:rPr>
      </w:pPr>
    </w:p>
    <w:p w:rsidR="00911CAB" w:rsidRPr="0007729F" w:rsidRDefault="00911CAB" w:rsidP="00911CAB">
      <w:pPr>
        <w:spacing w:after="0" w:line="240" w:lineRule="auto"/>
        <w:ind w:right="-6"/>
        <w:contextualSpacing/>
        <w:jc w:val="both"/>
        <w:rPr>
          <w:rFonts w:ascii="Verdana" w:hAnsi="Verdana"/>
          <w:sz w:val="20"/>
          <w:szCs w:val="20"/>
          <w:lang w:val="es-GT"/>
        </w:rPr>
      </w:pPr>
    </w:p>
    <w:p w:rsidR="00DD4FAE" w:rsidRPr="000A0EA1" w:rsidRDefault="00091F2A" w:rsidP="00911CAB">
      <w:pPr>
        <w:numPr>
          <w:ilvl w:val="0"/>
          <w:numId w:val="1"/>
        </w:numPr>
        <w:spacing w:after="0" w:line="240" w:lineRule="auto"/>
        <w:ind w:right="-6"/>
        <w:contextualSpacing/>
        <w:jc w:val="both"/>
        <w:rPr>
          <w:rFonts w:ascii="Verdana" w:hAnsi="Verdana"/>
          <w:sz w:val="20"/>
          <w:lang w:val="es-GT"/>
        </w:rPr>
      </w:pPr>
      <w:r w:rsidRPr="000A0EA1">
        <w:rPr>
          <w:rFonts w:ascii="Verdana" w:hAnsi="Verdana"/>
          <w:sz w:val="20"/>
          <w:szCs w:val="20"/>
          <w:lang w:val="es-GT"/>
        </w:rPr>
        <w:t xml:space="preserve">Requerir al Estado que </w:t>
      </w:r>
      <w:r w:rsidR="0084313C" w:rsidRPr="000A0EA1">
        <w:rPr>
          <w:rFonts w:ascii="Verdana" w:hAnsi="Verdana"/>
          <w:sz w:val="20"/>
          <w:szCs w:val="20"/>
          <w:lang w:val="es-GT"/>
        </w:rPr>
        <w:t xml:space="preserve">continúe adoptando todas las medidas </w:t>
      </w:r>
      <w:r w:rsidRPr="000A0EA1">
        <w:rPr>
          <w:rFonts w:ascii="Verdana" w:hAnsi="Verdana"/>
          <w:sz w:val="20"/>
          <w:szCs w:val="20"/>
          <w:lang w:val="es-GT"/>
        </w:rPr>
        <w:t>que sean necesarias para proteger efectivamente los derechos a la vida y a la integridad personal de los familiares del Director de la Fundación de Antropología Forense de Guatemala, Fredy Armando Peccerelli, a saber: Jeannette Peccerelli, Ashley Corienne Peccerelli del Valle, Tristán Collin Peccerelli del Valle, Fredy Armando Peccerelli Tenas, María del Carmen Monterroso de Peccerelli, Bianka Irina Peccerelli de Girón, Gianni Paolo Peccerelli Monterroso y Luisa Fernanda Martínez de Peccerelli.</w:t>
      </w:r>
    </w:p>
    <w:p w:rsidR="000A0EA1" w:rsidRDefault="000A0EA1" w:rsidP="00911CAB">
      <w:pPr>
        <w:spacing w:after="0" w:line="240" w:lineRule="auto"/>
        <w:ind w:right="-6"/>
        <w:contextualSpacing/>
        <w:jc w:val="both"/>
        <w:rPr>
          <w:rFonts w:ascii="Verdana" w:hAnsi="Verdana"/>
          <w:sz w:val="20"/>
          <w:lang w:val="es-GT"/>
        </w:rPr>
      </w:pPr>
    </w:p>
    <w:p w:rsidR="00911CAB" w:rsidRPr="000A0EA1" w:rsidRDefault="00911CAB" w:rsidP="00911CAB">
      <w:pPr>
        <w:spacing w:after="0" w:line="240" w:lineRule="auto"/>
        <w:ind w:right="-6"/>
        <w:contextualSpacing/>
        <w:jc w:val="both"/>
        <w:rPr>
          <w:rFonts w:ascii="Verdana" w:hAnsi="Verdana"/>
          <w:sz w:val="20"/>
          <w:lang w:val="es-GT"/>
        </w:rPr>
      </w:pPr>
    </w:p>
    <w:p w:rsidR="00DD4FAE" w:rsidRPr="00911CAB" w:rsidRDefault="00DD4FAE" w:rsidP="00911CAB">
      <w:pPr>
        <w:numPr>
          <w:ilvl w:val="0"/>
          <w:numId w:val="1"/>
        </w:numPr>
        <w:spacing w:after="0" w:line="240" w:lineRule="auto"/>
        <w:ind w:right="-6"/>
        <w:contextualSpacing/>
        <w:jc w:val="both"/>
        <w:rPr>
          <w:rFonts w:ascii="Verdana" w:hAnsi="Verdana" w:cs="Verdana"/>
          <w:sz w:val="20"/>
          <w:szCs w:val="20"/>
          <w:lang w:val="es-ES"/>
        </w:rPr>
      </w:pPr>
      <w:r w:rsidRPr="0007729F">
        <w:rPr>
          <w:rFonts w:ascii="Verdana" w:hAnsi="Verdana"/>
          <w:sz w:val="20"/>
          <w:szCs w:val="20"/>
          <w:lang w:val="es-MX"/>
        </w:rPr>
        <w:t xml:space="preserve">Requerir al Estado que continúe realizando todas las gestiones pertinentes para que las </w:t>
      </w:r>
      <w:r w:rsidR="005F0E09" w:rsidRPr="0007729F">
        <w:rPr>
          <w:rFonts w:ascii="Verdana" w:hAnsi="Verdana"/>
          <w:sz w:val="20"/>
          <w:szCs w:val="20"/>
          <w:lang w:val="es-MX"/>
        </w:rPr>
        <w:t xml:space="preserve">medidas de protección ordenadas </w:t>
      </w:r>
      <w:r w:rsidRPr="0007729F">
        <w:rPr>
          <w:rFonts w:ascii="Verdana" w:hAnsi="Verdana"/>
          <w:sz w:val="20"/>
          <w:szCs w:val="20"/>
          <w:lang w:val="es-MX"/>
        </w:rPr>
        <w:t>se planifiquen e implementen con la participación de los beneficiarios o sus representantes</w:t>
      </w:r>
      <w:r w:rsidR="005F0E09" w:rsidRPr="0007729F">
        <w:rPr>
          <w:rFonts w:ascii="Verdana" w:hAnsi="Verdana"/>
          <w:sz w:val="20"/>
          <w:szCs w:val="20"/>
          <w:lang w:val="es-MX"/>
        </w:rPr>
        <w:t>.</w:t>
      </w:r>
    </w:p>
    <w:p w:rsidR="00911CAB" w:rsidRPr="0007729F" w:rsidRDefault="00911CAB" w:rsidP="00911CAB">
      <w:pPr>
        <w:spacing w:after="0" w:line="240" w:lineRule="auto"/>
        <w:ind w:right="-6"/>
        <w:contextualSpacing/>
        <w:jc w:val="both"/>
        <w:rPr>
          <w:rFonts w:ascii="Verdana" w:hAnsi="Verdana" w:cs="Verdana"/>
          <w:sz w:val="20"/>
          <w:szCs w:val="20"/>
          <w:lang w:val="es-ES"/>
        </w:rPr>
      </w:pPr>
    </w:p>
    <w:p w:rsidR="00BE2C35" w:rsidRPr="0007729F" w:rsidRDefault="00BE2C35" w:rsidP="00911CAB">
      <w:pPr>
        <w:spacing w:after="0" w:line="240" w:lineRule="auto"/>
        <w:ind w:right="-6"/>
        <w:contextualSpacing/>
        <w:jc w:val="both"/>
        <w:rPr>
          <w:rFonts w:ascii="Verdana" w:hAnsi="Verdana"/>
          <w:sz w:val="20"/>
          <w:lang w:val="es-GT"/>
        </w:rPr>
      </w:pPr>
    </w:p>
    <w:p w:rsidR="00B609A8" w:rsidRPr="0007729F" w:rsidRDefault="00091F2A" w:rsidP="00911CAB">
      <w:pPr>
        <w:numPr>
          <w:ilvl w:val="0"/>
          <w:numId w:val="1"/>
        </w:numPr>
        <w:spacing w:after="0" w:line="240" w:lineRule="auto"/>
        <w:ind w:right="-6"/>
        <w:contextualSpacing/>
        <w:jc w:val="both"/>
        <w:rPr>
          <w:rFonts w:ascii="Verdana" w:hAnsi="Verdana"/>
          <w:sz w:val="20"/>
          <w:lang w:val="es-GT"/>
        </w:rPr>
      </w:pPr>
      <w:r w:rsidRPr="0007729F">
        <w:rPr>
          <w:rFonts w:ascii="Verdana" w:hAnsi="Verdana"/>
          <w:sz w:val="20"/>
          <w:lang w:val="es-MX"/>
        </w:rPr>
        <w:t xml:space="preserve">Requerir al Estado que remita un informe sobre la implementación de las presentes medidas provisionales a más tardar el </w:t>
      </w:r>
      <w:r w:rsidR="000355C7">
        <w:rPr>
          <w:rFonts w:ascii="Verdana" w:hAnsi="Verdana"/>
          <w:sz w:val="20"/>
          <w:lang w:val="es-MX"/>
        </w:rPr>
        <w:t>4 de marzo</w:t>
      </w:r>
      <w:r w:rsidR="005F0E09" w:rsidRPr="0007729F">
        <w:rPr>
          <w:rFonts w:ascii="Verdana" w:hAnsi="Verdana"/>
          <w:sz w:val="20"/>
          <w:lang w:val="es-MX"/>
        </w:rPr>
        <w:t xml:space="preserve"> de 2019</w:t>
      </w:r>
      <w:r w:rsidRPr="0007729F">
        <w:rPr>
          <w:rFonts w:ascii="Verdana" w:hAnsi="Verdana"/>
          <w:sz w:val="20"/>
          <w:lang w:val="es-MX"/>
        </w:rPr>
        <w:t>. Posteriormente, el Estado deberá continuar informando a la Corte Interamericana de Derechos Humanos cada tres meses sobre las medidas provisionales adoptadas. Asimismo, los representantes de los beneficiarios y a la Comisión Interamericana de Derechos Humanos deberán presentar sus observaciones a dichos informes estatales dentro de plazos de cuatro y seis semanas, respectivamente, contados a partir de la notificación de los mismos.</w:t>
      </w:r>
    </w:p>
    <w:p w:rsidR="00091F2A" w:rsidRDefault="00091F2A" w:rsidP="00911CAB">
      <w:pPr>
        <w:pStyle w:val="ListParagraph"/>
        <w:ind w:left="0"/>
        <w:jc w:val="both"/>
        <w:rPr>
          <w:rFonts w:ascii="Verdana" w:hAnsi="Verdana"/>
          <w:sz w:val="20"/>
          <w:lang w:val="es-MX"/>
        </w:rPr>
      </w:pPr>
    </w:p>
    <w:p w:rsidR="00911CAB" w:rsidRPr="0007729F" w:rsidRDefault="00911CAB" w:rsidP="00911CAB">
      <w:pPr>
        <w:pStyle w:val="ListParagraph"/>
        <w:ind w:left="0"/>
        <w:jc w:val="both"/>
        <w:rPr>
          <w:rFonts w:ascii="Verdana" w:hAnsi="Verdana"/>
          <w:sz w:val="20"/>
          <w:lang w:val="es-MX"/>
        </w:rPr>
      </w:pPr>
    </w:p>
    <w:p w:rsidR="00C30B1C" w:rsidRDefault="00B609A8" w:rsidP="00911CAB">
      <w:pPr>
        <w:pStyle w:val="ListParagraph"/>
        <w:numPr>
          <w:ilvl w:val="0"/>
          <w:numId w:val="1"/>
        </w:numPr>
        <w:jc w:val="both"/>
        <w:rPr>
          <w:rFonts w:ascii="Verdana" w:hAnsi="Verdana"/>
          <w:sz w:val="20"/>
          <w:lang w:val="es-MX"/>
        </w:rPr>
      </w:pPr>
      <w:r w:rsidRPr="0007729F">
        <w:rPr>
          <w:rFonts w:ascii="Verdana" w:hAnsi="Verdana"/>
          <w:sz w:val="20"/>
          <w:lang w:val="es-MX"/>
        </w:rPr>
        <w:t xml:space="preserve">Requerir a la Secretaría de la Corte que notifique la presente Resolución al Estado de </w:t>
      </w:r>
      <w:r w:rsidR="00091F2A" w:rsidRPr="0007729F">
        <w:rPr>
          <w:rFonts w:ascii="Verdana" w:hAnsi="Verdana"/>
          <w:sz w:val="20"/>
          <w:lang w:val="es-MX"/>
        </w:rPr>
        <w:t>Guatemala,</w:t>
      </w:r>
      <w:r w:rsidRPr="0007729F">
        <w:rPr>
          <w:rFonts w:ascii="Verdana" w:hAnsi="Verdana"/>
          <w:sz w:val="20"/>
          <w:lang w:val="es-MX"/>
        </w:rPr>
        <w:t xml:space="preserve"> a la Comisión Interamericana de Derechos Humanos y a la representación de </w:t>
      </w:r>
      <w:r w:rsidR="00091F2A" w:rsidRPr="0007729F">
        <w:rPr>
          <w:rFonts w:ascii="Verdana" w:hAnsi="Verdana"/>
          <w:sz w:val="20"/>
          <w:lang w:val="es-MX"/>
        </w:rPr>
        <w:t>los beneficiarios</w:t>
      </w:r>
      <w:r w:rsidR="00E96EE5">
        <w:rPr>
          <w:rFonts w:ascii="Verdana" w:hAnsi="Verdana"/>
          <w:sz w:val="20"/>
          <w:lang w:val="es-MX"/>
        </w:rPr>
        <w:t>.</w:t>
      </w:r>
    </w:p>
    <w:p w:rsidR="00C30B1C" w:rsidRDefault="00C30B1C">
      <w:pPr>
        <w:rPr>
          <w:rFonts w:ascii="Verdana" w:eastAsia="Times" w:hAnsi="Verdana" w:cs="Times New Roman"/>
          <w:sz w:val="20"/>
          <w:szCs w:val="20"/>
          <w:lang w:val="es-MX"/>
        </w:rPr>
      </w:pPr>
      <w:r>
        <w:rPr>
          <w:rFonts w:ascii="Verdana" w:hAnsi="Verdana"/>
          <w:sz w:val="20"/>
          <w:lang w:val="es-MX"/>
        </w:rPr>
        <w:br w:type="page"/>
      </w:r>
    </w:p>
    <w:p w:rsidR="00C30B1C" w:rsidRPr="00503CED" w:rsidRDefault="00C30B1C" w:rsidP="00C30B1C">
      <w:pPr>
        <w:keepNext/>
        <w:jc w:val="both"/>
        <w:outlineLvl w:val="0"/>
        <w:rPr>
          <w:rFonts w:ascii="Verdana" w:hAnsi="Verdana" w:cs="Verdana"/>
          <w:b/>
          <w:bCs/>
          <w:sz w:val="20"/>
          <w:lang w:val="es-ES"/>
        </w:rPr>
      </w:pPr>
      <w:r w:rsidRPr="00524655">
        <w:rPr>
          <w:rFonts w:ascii="Verdana" w:hAnsi="Verdana" w:cs="Courier New"/>
          <w:noProof/>
          <w:sz w:val="20"/>
          <w:lang w:val="es-AR"/>
        </w:rPr>
        <w:lastRenderedPageBreak/>
        <w:t xml:space="preserve">Corte IDH. </w:t>
      </w:r>
      <w:r w:rsidRPr="006474A3">
        <w:rPr>
          <w:rFonts w:ascii="Verdana" w:hAnsi="Verdana"/>
          <w:bCs/>
          <w:i/>
          <w:sz w:val="20"/>
          <w:lang w:val="es-CR"/>
        </w:rPr>
        <w:t>Asunto de la Fundación de Antropología Forense de Guatemala</w:t>
      </w:r>
      <w:r w:rsidRPr="00B32051">
        <w:rPr>
          <w:rFonts w:ascii="Verdana" w:hAnsi="Verdana"/>
          <w:bCs/>
          <w:i/>
          <w:sz w:val="20"/>
          <w:lang w:val="es-CR"/>
        </w:rPr>
        <w:t>.</w:t>
      </w:r>
      <w:r w:rsidRPr="00503CED">
        <w:rPr>
          <w:rFonts w:ascii="Verdana" w:hAnsi="Verdana"/>
          <w:bCs/>
          <w:i/>
          <w:sz w:val="20"/>
          <w:lang w:val="es-CR"/>
        </w:rPr>
        <w:t xml:space="preserve"> </w:t>
      </w:r>
      <w:r w:rsidRPr="00B32051">
        <w:rPr>
          <w:rFonts w:ascii="Verdana" w:hAnsi="Verdana"/>
          <w:bCs/>
          <w:sz w:val="20"/>
          <w:lang w:val="es-CR"/>
        </w:rPr>
        <w:t xml:space="preserve">Resolución de la Corte Interamericana de Derechos Humanos de </w:t>
      </w:r>
      <w:r>
        <w:rPr>
          <w:rFonts w:ascii="Verdana" w:hAnsi="Verdana"/>
          <w:bCs/>
          <w:sz w:val="20"/>
          <w:lang w:val="es-CR"/>
        </w:rPr>
        <w:t>21</w:t>
      </w:r>
      <w:r w:rsidRPr="00B32051">
        <w:rPr>
          <w:rFonts w:ascii="Verdana" w:hAnsi="Verdana"/>
          <w:bCs/>
          <w:sz w:val="20"/>
          <w:lang w:val="es-CR"/>
        </w:rPr>
        <w:t xml:space="preserve"> de </w:t>
      </w:r>
      <w:r>
        <w:rPr>
          <w:rFonts w:ascii="Verdana" w:hAnsi="Verdana"/>
          <w:bCs/>
          <w:sz w:val="20"/>
          <w:lang w:val="es-CR"/>
        </w:rPr>
        <w:t>noviembre</w:t>
      </w:r>
      <w:r w:rsidRPr="00B32051">
        <w:rPr>
          <w:rFonts w:ascii="Verdana" w:hAnsi="Verdana"/>
          <w:bCs/>
          <w:sz w:val="20"/>
          <w:lang w:val="es-CR"/>
        </w:rPr>
        <w:t xml:space="preserve"> de 201</w:t>
      </w:r>
      <w:r>
        <w:rPr>
          <w:rFonts w:ascii="Verdana" w:hAnsi="Verdana"/>
          <w:bCs/>
          <w:sz w:val="20"/>
          <w:lang w:val="es-CR"/>
        </w:rPr>
        <w:t>8</w:t>
      </w:r>
      <w:r w:rsidRPr="00B32051">
        <w:rPr>
          <w:rFonts w:ascii="Verdana" w:hAnsi="Verdana"/>
          <w:bCs/>
          <w:sz w:val="20"/>
          <w:lang w:val="es-CR"/>
        </w:rPr>
        <w:t>.</w:t>
      </w:r>
    </w:p>
    <w:p w:rsidR="00C30B1C" w:rsidRDefault="00C30B1C" w:rsidP="00C30B1C">
      <w:pPr>
        <w:jc w:val="center"/>
        <w:rPr>
          <w:rFonts w:ascii="Verdana" w:hAnsi="Verdana"/>
          <w:sz w:val="20"/>
          <w:lang w:val="es-ES"/>
        </w:rPr>
      </w:pPr>
    </w:p>
    <w:p w:rsidR="00C30B1C" w:rsidRDefault="00C30B1C" w:rsidP="00C30B1C">
      <w:pPr>
        <w:jc w:val="center"/>
        <w:rPr>
          <w:rFonts w:ascii="Verdana" w:hAnsi="Verdana"/>
          <w:sz w:val="20"/>
          <w:lang w:val="es-ES"/>
        </w:rPr>
      </w:pPr>
    </w:p>
    <w:p w:rsidR="00C30B1C" w:rsidRDefault="00C30B1C" w:rsidP="00C30B1C">
      <w:pPr>
        <w:jc w:val="center"/>
        <w:rPr>
          <w:rFonts w:ascii="Verdana" w:hAnsi="Verdana"/>
          <w:sz w:val="20"/>
          <w:lang w:val="es-ES"/>
        </w:rPr>
      </w:pPr>
    </w:p>
    <w:p w:rsidR="00C30B1C" w:rsidRDefault="00C30B1C" w:rsidP="00C30B1C">
      <w:pPr>
        <w:jc w:val="center"/>
        <w:rPr>
          <w:rFonts w:ascii="Verdana" w:hAnsi="Verdana"/>
          <w:sz w:val="20"/>
          <w:lang w:val="es-ES"/>
        </w:rPr>
      </w:pPr>
    </w:p>
    <w:p w:rsidR="00C30B1C" w:rsidRDefault="00C30B1C" w:rsidP="00C30B1C">
      <w:pPr>
        <w:jc w:val="center"/>
        <w:rPr>
          <w:rFonts w:ascii="Verdana" w:hAnsi="Verdana"/>
          <w:sz w:val="20"/>
          <w:lang w:val="es-ES"/>
        </w:rPr>
      </w:pPr>
    </w:p>
    <w:p w:rsidR="00C30B1C" w:rsidRDefault="00C30B1C" w:rsidP="00C30B1C">
      <w:pPr>
        <w:jc w:val="center"/>
        <w:rPr>
          <w:rFonts w:ascii="Verdana" w:hAnsi="Verdana"/>
          <w:sz w:val="20"/>
          <w:lang w:val="es-ES"/>
        </w:rPr>
      </w:pPr>
    </w:p>
    <w:p w:rsidR="00C30B1C" w:rsidRDefault="00C30B1C" w:rsidP="00C30B1C">
      <w:pPr>
        <w:jc w:val="center"/>
        <w:rPr>
          <w:rFonts w:ascii="Verdana" w:hAnsi="Verdana"/>
          <w:sz w:val="20"/>
          <w:lang w:val="pt-BR"/>
        </w:rPr>
      </w:pPr>
      <w:r w:rsidRPr="00D0325C">
        <w:rPr>
          <w:rFonts w:ascii="Verdana" w:hAnsi="Verdana"/>
          <w:sz w:val="20"/>
          <w:lang w:val="pt-BR"/>
        </w:rPr>
        <w:t xml:space="preserve">Eduardo Ferrer Mac-Gregor Poisot </w:t>
      </w:r>
    </w:p>
    <w:p w:rsidR="00C30B1C" w:rsidRPr="00D0325C" w:rsidRDefault="00C30B1C" w:rsidP="00C30B1C">
      <w:pPr>
        <w:jc w:val="center"/>
        <w:rPr>
          <w:rFonts w:ascii="Verdana" w:hAnsi="Verdana"/>
          <w:sz w:val="20"/>
          <w:lang w:val="pt-BR"/>
        </w:rPr>
      </w:pPr>
      <w:r w:rsidRPr="00D0325C">
        <w:rPr>
          <w:rFonts w:ascii="Verdana" w:hAnsi="Verdana"/>
          <w:sz w:val="20"/>
          <w:lang w:val="pt-BR"/>
        </w:rPr>
        <w:t>Presidente</w:t>
      </w:r>
    </w:p>
    <w:p w:rsidR="00C30B1C" w:rsidRPr="00D0325C" w:rsidRDefault="00C30B1C" w:rsidP="00C30B1C">
      <w:pPr>
        <w:jc w:val="both"/>
        <w:rPr>
          <w:rFonts w:ascii="Verdana" w:hAnsi="Verdana"/>
          <w:sz w:val="20"/>
          <w:lang w:val="pt-BR"/>
        </w:rPr>
      </w:pPr>
    </w:p>
    <w:p w:rsidR="00C30B1C" w:rsidRDefault="00C30B1C" w:rsidP="00C30B1C">
      <w:pPr>
        <w:jc w:val="both"/>
        <w:rPr>
          <w:rFonts w:ascii="Verdana" w:hAnsi="Verdana"/>
          <w:sz w:val="20"/>
          <w:lang w:val="pt-BR"/>
        </w:rPr>
      </w:pPr>
    </w:p>
    <w:p w:rsidR="00C30B1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Pr="00D0325C" w:rsidRDefault="00C30B1C" w:rsidP="00C30B1C">
      <w:pPr>
        <w:jc w:val="center"/>
        <w:rPr>
          <w:rFonts w:ascii="Verdana" w:hAnsi="Verdana"/>
          <w:sz w:val="20"/>
          <w:lang w:val="pt-BR"/>
        </w:rPr>
      </w:pPr>
      <w:r w:rsidRPr="00D0325C">
        <w:rPr>
          <w:rFonts w:ascii="Verdana" w:hAnsi="Verdana"/>
          <w:sz w:val="20"/>
          <w:lang w:val="pt-BR"/>
        </w:rPr>
        <w:t>Eduardo Vio Grossi</w:t>
      </w:r>
      <w:r w:rsidRPr="006E102A">
        <w:rPr>
          <w:rFonts w:ascii="Verdana" w:hAnsi="Verdana"/>
          <w:sz w:val="20"/>
          <w:lang w:val="pt-BR"/>
        </w:rPr>
        <w:t xml:space="preserve"> </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w:t>
      </w:r>
      <w:r w:rsidRPr="00D0325C">
        <w:rPr>
          <w:rFonts w:ascii="Verdana" w:hAnsi="Verdana"/>
          <w:sz w:val="20"/>
          <w:lang w:val="pt-BR"/>
        </w:rPr>
        <w:t>Elizabeth Odio Benito</w:t>
      </w:r>
    </w:p>
    <w:p w:rsidR="00C30B1C" w:rsidRPr="00D0325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Default="00C30B1C" w:rsidP="00C30B1C">
      <w:pPr>
        <w:jc w:val="both"/>
        <w:rPr>
          <w:rFonts w:ascii="Verdana" w:hAnsi="Verdana"/>
          <w:sz w:val="20"/>
          <w:lang w:val="pt-BR"/>
        </w:rPr>
      </w:pPr>
    </w:p>
    <w:p w:rsidR="00C30B1C" w:rsidRDefault="00C30B1C" w:rsidP="00C30B1C">
      <w:pPr>
        <w:jc w:val="both"/>
        <w:rPr>
          <w:rFonts w:ascii="Verdana" w:hAnsi="Verdana"/>
          <w:sz w:val="20"/>
          <w:lang w:val="pt-BR"/>
        </w:rPr>
      </w:pPr>
    </w:p>
    <w:p w:rsidR="00C30B1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Pr="00D0325C" w:rsidRDefault="00C30B1C" w:rsidP="00C30B1C">
      <w:pPr>
        <w:jc w:val="center"/>
        <w:rPr>
          <w:rFonts w:ascii="Verdana" w:hAnsi="Verdana"/>
          <w:sz w:val="20"/>
          <w:lang w:val="pt-BR"/>
        </w:rPr>
      </w:pPr>
      <w:r w:rsidRPr="00D0325C">
        <w:rPr>
          <w:rFonts w:ascii="Verdana" w:hAnsi="Verdana"/>
          <w:sz w:val="20"/>
          <w:lang w:val="pt-BR"/>
        </w:rPr>
        <w:t>Eugenio Raúl Zaffaroni</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w:t>
      </w:r>
      <w:r w:rsidRPr="00D0325C">
        <w:rPr>
          <w:rFonts w:ascii="Verdana" w:hAnsi="Verdana"/>
          <w:sz w:val="20"/>
          <w:lang w:val="pt-BR"/>
        </w:rPr>
        <w:t>L. Patricio Pazmiño Freire</w:t>
      </w:r>
    </w:p>
    <w:p w:rsidR="00C30B1C" w:rsidRPr="00D0325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Pr="00D0325C" w:rsidRDefault="00C30B1C" w:rsidP="00C30B1C">
      <w:pPr>
        <w:jc w:val="both"/>
        <w:rPr>
          <w:rFonts w:ascii="Verdana" w:hAnsi="Verdana"/>
          <w:sz w:val="20"/>
          <w:lang w:val="pt-BR"/>
        </w:rPr>
      </w:pPr>
    </w:p>
    <w:p w:rsidR="00C30B1C" w:rsidRPr="004B7A1D" w:rsidRDefault="00C30B1C" w:rsidP="00C30B1C">
      <w:pPr>
        <w:jc w:val="center"/>
        <w:rPr>
          <w:rFonts w:ascii="Verdana" w:hAnsi="Verdana"/>
          <w:sz w:val="20"/>
          <w:lang w:val="es-ES"/>
        </w:rPr>
      </w:pPr>
      <w:r w:rsidRPr="004B7A1D">
        <w:rPr>
          <w:rFonts w:ascii="Verdana" w:hAnsi="Verdana"/>
          <w:sz w:val="20"/>
          <w:lang w:val="es-ES"/>
        </w:rPr>
        <w:t>Pablo Saavedra Alessandri</w:t>
      </w:r>
    </w:p>
    <w:p w:rsidR="00C30B1C" w:rsidRPr="004B7A1D" w:rsidRDefault="00C30B1C" w:rsidP="00C30B1C">
      <w:pPr>
        <w:jc w:val="center"/>
        <w:rPr>
          <w:rFonts w:ascii="Verdana" w:hAnsi="Verdana"/>
          <w:sz w:val="20"/>
          <w:lang w:val="es-ES"/>
        </w:rPr>
      </w:pPr>
      <w:r w:rsidRPr="004B7A1D">
        <w:rPr>
          <w:rFonts w:ascii="Verdana" w:hAnsi="Verdana"/>
          <w:sz w:val="20"/>
          <w:lang w:val="es-ES"/>
        </w:rPr>
        <w:t>Secretario</w:t>
      </w:r>
    </w:p>
    <w:p w:rsidR="00C30B1C" w:rsidRPr="004B7A1D" w:rsidRDefault="00C30B1C" w:rsidP="00C30B1C">
      <w:pPr>
        <w:rPr>
          <w:rFonts w:ascii="Verdana" w:hAnsi="Verdana"/>
          <w:sz w:val="20"/>
          <w:lang w:val="es-ES"/>
        </w:rPr>
      </w:pPr>
    </w:p>
    <w:p w:rsidR="00C30B1C" w:rsidRPr="004B7A1D" w:rsidRDefault="00C30B1C" w:rsidP="00C30B1C">
      <w:pPr>
        <w:pStyle w:val="FootnoteText"/>
        <w:rPr>
          <w:rFonts w:ascii="Verdana" w:hAnsi="Verdana"/>
          <w:lang w:val="es-ES"/>
        </w:rPr>
      </w:pPr>
    </w:p>
    <w:p w:rsidR="00C30B1C" w:rsidRDefault="00C30B1C" w:rsidP="00C30B1C">
      <w:pPr>
        <w:jc w:val="both"/>
        <w:rPr>
          <w:rFonts w:ascii="Verdana" w:hAnsi="Verdana"/>
          <w:sz w:val="20"/>
          <w:lang w:val="es-ES"/>
        </w:rPr>
      </w:pPr>
      <w:r w:rsidRPr="004B7A1D">
        <w:rPr>
          <w:rFonts w:ascii="Verdana" w:hAnsi="Verdana"/>
          <w:sz w:val="20"/>
          <w:lang w:val="es-ES"/>
        </w:rPr>
        <w:t>Comuníquese y ejecútese,</w:t>
      </w:r>
    </w:p>
    <w:p w:rsidR="00C30B1C" w:rsidRPr="004B7A1D" w:rsidRDefault="00C30B1C" w:rsidP="00C30B1C">
      <w:pPr>
        <w:jc w:val="both"/>
        <w:rPr>
          <w:rFonts w:ascii="Verdana" w:hAnsi="Verdana"/>
          <w:sz w:val="20"/>
          <w:lang w:val="es-ES"/>
        </w:rPr>
      </w:pPr>
    </w:p>
    <w:p w:rsidR="00C30B1C" w:rsidRDefault="00C30B1C" w:rsidP="00C30B1C">
      <w:pPr>
        <w:jc w:val="both"/>
        <w:rPr>
          <w:rFonts w:ascii="Verdana" w:hAnsi="Verdana"/>
          <w:sz w:val="20"/>
          <w:lang w:val="es-ES"/>
        </w:rPr>
      </w:pPr>
    </w:p>
    <w:p w:rsidR="00C30B1C" w:rsidRDefault="00C30B1C" w:rsidP="00C30B1C">
      <w:pPr>
        <w:jc w:val="both"/>
        <w:rPr>
          <w:rFonts w:ascii="Verdana" w:hAnsi="Verdana"/>
          <w:sz w:val="20"/>
          <w:lang w:val="es-ES"/>
        </w:rPr>
      </w:pPr>
    </w:p>
    <w:p w:rsidR="00C30B1C" w:rsidRPr="004B7A1D" w:rsidRDefault="00C30B1C" w:rsidP="00C30B1C">
      <w:pPr>
        <w:jc w:val="both"/>
        <w:rPr>
          <w:rFonts w:ascii="Verdana" w:hAnsi="Verdana"/>
          <w:sz w:val="20"/>
          <w:lang w:val="es-ES"/>
        </w:rPr>
      </w:pPr>
    </w:p>
    <w:p w:rsidR="00C30B1C" w:rsidRPr="004B7A1D" w:rsidRDefault="00C30B1C" w:rsidP="00C30B1C">
      <w:pPr>
        <w:ind w:left="4956"/>
        <w:jc w:val="both"/>
        <w:rPr>
          <w:rFonts w:ascii="Verdana" w:hAnsi="Verdana"/>
          <w:sz w:val="20"/>
          <w:lang w:val="es-ES"/>
        </w:rPr>
      </w:pPr>
    </w:p>
    <w:p w:rsidR="00C30B1C" w:rsidRDefault="00C30B1C" w:rsidP="00C30B1C">
      <w:pPr>
        <w:ind w:left="4956"/>
        <w:jc w:val="center"/>
        <w:rPr>
          <w:rFonts w:ascii="Verdana" w:hAnsi="Verdana"/>
          <w:sz w:val="20"/>
          <w:lang w:val="pt-BR"/>
        </w:rPr>
      </w:pPr>
      <w:r w:rsidRPr="00D0325C">
        <w:rPr>
          <w:rFonts w:ascii="Verdana" w:hAnsi="Verdana"/>
          <w:sz w:val="20"/>
          <w:lang w:val="pt-BR"/>
        </w:rPr>
        <w:t xml:space="preserve">Eduardo Ferrer Mac-Gregor Poisot </w:t>
      </w:r>
    </w:p>
    <w:p w:rsidR="00C30B1C" w:rsidRPr="00D0325C" w:rsidRDefault="00C30B1C" w:rsidP="00C30B1C">
      <w:pPr>
        <w:ind w:left="4956"/>
        <w:jc w:val="center"/>
        <w:rPr>
          <w:rFonts w:ascii="Verdana" w:hAnsi="Verdana"/>
          <w:sz w:val="20"/>
          <w:lang w:val="pt-BR"/>
        </w:rPr>
      </w:pPr>
      <w:r w:rsidRPr="00D0325C">
        <w:rPr>
          <w:rFonts w:ascii="Verdana" w:hAnsi="Verdana"/>
          <w:sz w:val="20"/>
          <w:lang w:val="pt-BR"/>
        </w:rPr>
        <w:t xml:space="preserve">Presidente </w:t>
      </w:r>
    </w:p>
    <w:p w:rsidR="00C30B1C" w:rsidRDefault="00C30B1C" w:rsidP="00C30B1C">
      <w:pPr>
        <w:jc w:val="both"/>
        <w:rPr>
          <w:rFonts w:ascii="Verdana" w:hAnsi="Verdana"/>
          <w:sz w:val="20"/>
          <w:lang w:val="es-ES"/>
        </w:rPr>
      </w:pPr>
    </w:p>
    <w:p w:rsidR="00C30B1C" w:rsidRDefault="00C30B1C" w:rsidP="00C30B1C">
      <w:pPr>
        <w:jc w:val="both"/>
        <w:rPr>
          <w:rFonts w:ascii="Verdana" w:hAnsi="Verdana"/>
          <w:sz w:val="20"/>
          <w:lang w:val="es-ES"/>
        </w:rPr>
      </w:pPr>
    </w:p>
    <w:p w:rsidR="00C30B1C" w:rsidRPr="004B7A1D" w:rsidRDefault="00C30B1C" w:rsidP="00C30B1C">
      <w:pPr>
        <w:jc w:val="both"/>
        <w:rPr>
          <w:rFonts w:ascii="Verdana" w:hAnsi="Verdana"/>
          <w:sz w:val="20"/>
          <w:lang w:val="es-ES"/>
        </w:rPr>
      </w:pPr>
    </w:p>
    <w:p w:rsidR="00C30B1C" w:rsidRPr="004B7A1D" w:rsidRDefault="00C30B1C" w:rsidP="00C30B1C">
      <w:pPr>
        <w:jc w:val="both"/>
        <w:rPr>
          <w:rFonts w:ascii="Verdana" w:hAnsi="Verdana"/>
          <w:sz w:val="20"/>
          <w:lang w:val="es-ES"/>
        </w:rPr>
      </w:pPr>
    </w:p>
    <w:p w:rsidR="00C30B1C" w:rsidRPr="004B7A1D" w:rsidRDefault="00C30B1C" w:rsidP="00C30B1C">
      <w:pPr>
        <w:jc w:val="both"/>
        <w:rPr>
          <w:rFonts w:ascii="Verdana" w:hAnsi="Verdana"/>
          <w:sz w:val="20"/>
          <w:lang w:val="es-ES"/>
        </w:rPr>
      </w:pPr>
      <w:r w:rsidRPr="004B7A1D">
        <w:rPr>
          <w:rFonts w:ascii="Verdana" w:hAnsi="Verdana"/>
          <w:sz w:val="20"/>
          <w:lang w:val="es-ES"/>
        </w:rPr>
        <w:t>Pablo Saavedra Alessandri</w:t>
      </w:r>
    </w:p>
    <w:p w:rsidR="00C30B1C" w:rsidRDefault="00C30B1C" w:rsidP="00C30B1C">
      <w:r w:rsidRPr="004B7A1D">
        <w:rPr>
          <w:rFonts w:ascii="Verdana" w:hAnsi="Verdana"/>
          <w:sz w:val="20"/>
          <w:lang w:val="es-ES"/>
        </w:rPr>
        <w:tab/>
      </w:r>
      <w:r w:rsidRPr="004B7A1D">
        <w:rPr>
          <w:rFonts w:ascii="Verdana" w:hAnsi="Verdana"/>
          <w:sz w:val="20"/>
          <w:lang w:val="es-CR"/>
        </w:rPr>
        <w:t>Secretario</w:t>
      </w:r>
    </w:p>
    <w:p w:rsidR="00B609A8" w:rsidRPr="0007729F" w:rsidRDefault="00B609A8" w:rsidP="00C30B1C">
      <w:pPr>
        <w:pStyle w:val="ListParagraph"/>
        <w:ind w:left="0"/>
        <w:jc w:val="both"/>
        <w:rPr>
          <w:rFonts w:ascii="Verdana" w:hAnsi="Verdana"/>
          <w:sz w:val="20"/>
          <w:lang w:val="es-MX"/>
        </w:rPr>
      </w:pPr>
    </w:p>
    <w:p w:rsidR="00D53355" w:rsidRDefault="00D53355">
      <w:pPr>
        <w:rPr>
          <w:rFonts w:ascii="Verdana" w:hAnsi="Verdana"/>
          <w:lang w:val="es-MX"/>
        </w:rPr>
      </w:pPr>
    </w:p>
    <w:p w:rsidR="002E36EF" w:rsidRPr="0007729F" w:rsidRDefault="002E36EF">
      <w:pPr>
        <w:rPr>
          <w:rFonts w:ascii="Verdana" w:hAnsi="Verdana"/>
          <w:lang w:val="es-MX"/>
        </w:rPr>
      </w:pPr>
    </w:p>
    <w:sectPr w:rsidR="002E36EF" w:rsidRPr="0007729F" w:rsidSect="0007729F">
      <w:headerReference w:type="default" r:id="rId12"/>
      <w:headerReference w:type="first" r:id="rId13"/>
      <w:pgSz w:w="12240" w:h="15840"/>
      <w:pgMar w:top="1368" w:right="1368" w:bottom="1368" w:left="13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2F" w:rsidRDefault="0065212F" w:rsidP="00B609A8">
      <w:pPr>
        <w:spacing w:after="0" w:line="240" w:lineRule="auto"/>
      </w:pPr>
      <w:r>
        <w:separator/>
      </w:r>
    </w:p>
  </w:endnote>
  <w:endnote w:type="continuationSeparator" w:id="0">
    <w:p w:rsidR="0065212F" w:rsidRDefault="0065212F" w:rsidP="00B6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2F" w:rsidRDefault="0065212F" w:rsidP="00B609A8">
      <w:pPr>
        <w:spacing w:after="0" w:line="240" w:lineRule="auto"/>
      </w:pPr>
      <w:r>
        <w:separator/>
      </w:r>
    </w:p>
  </w:footnote>
  <w:footnote w:type="continuationSeparator" w:id="0">
    <w:p w:rsidR="0065212F" w:rsidRDefault="0065212F" w:rsidP="00B609A8">
      <w:pPr>
        <w:spacing w:after="0" w:line="240" w:lineRule="auto"/>
      </w:pPr>
      <w:r>
        <w:continuationSeparator/>
      </w:r>
    </w:p>
  </w:footnote>
  <w:footnote w:id="1">
    <w:p w:rsidR="00B377D7" w:rsidRPr="0007729F" w:rsidRDefault="00B377D7" w:rsidP="00CA2C70">
      <w:pPr>
        <w:pStyle w:val="FootnoteText"/>
        <w:jc w:val="both"/>
        <w:rPr>
          <w:rFonts w:ascii="Verdana" w:hAnsi="Verdana"/>
          <w:sz w:val="16"/>
          <w:szCs w:val="16"/>
          <w:lang w:val="es-GT"/>
        </w:rPr>
      </w:pPr>
      <w:r w:rsidRPr="0007729F">
        <w:rPr>
          <w:rStyle w:val="FootnoteReference"/>
          <w:rFonts w:ascii="Verdana" w:hAnsi="Verdana"/>
          <w:sz w:val="16"/>
          <w:szCs w:val="16"/>
        </w:rPr>
        <w:footnoteRef/>
      </w:r>
      <w:r w:rsidRPr="0007729F">
        <w:rPr>
          <w:rFonts w:ascii="Verdana" w:hAnsi="Verdana"/>
          <w:sz w:val="16"/>
          <w:szCs w:val="16"/>
          <w:lang w:val="es-GT"/>
        </w:rPr>
        <w:t xml:space="preserve"> </w:t>
      </w:r>
      <w:r w:rsidRPr="0007729F">
        <w:rPr>
          <w:rFonts w:ascii="Verdana" w:hAnsi="Verdana"/>
          <w:sz w:val="16"/>
          <w:szCs w:val="16"/>
          <w:lang w:val="es-GT"/>
        </w:rPr>
        <w:tab/>
        <w:t xml:space="preserve">El Centro para la Acción Legal en Derechos Humanos funge como representante en el presente </w:t>
      </w:r>
      <w:r>
        <w:rPr>
          <w:rFonts w:ascii="Verdana" w:hAnsi="Verdana"/>
          <w:sz w:val="16"/>
          <w:szCs w:val="16"/>
          <w:lang w:val="es-GT"/>
        </w:rPr>
        <w:t>asunto</w:t>
      </w:r>
      <w:r w:rsidRPr="0007729F">
        <w:rPr>
          <w:rFonts w:ascii="Verdana" w:hAnsi="Verdana"/>
          <w:sz w:val="16"/>
          <w:szCs w:val="16"/>
          <w:lang w:val="es-G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774257"/>
      <w:docPartObj>
        <w:docPartGallery w:val="Page Numbers (Top of Page)"/>
        <w:docPartUnique/>
      </w:docPartObj>
    </w:sdtPr>
    <w:sdtEndPr>
      <w:rPr>
        <w:rFonts w:ascii="Verdana" w:hAnsi="Verdana"/>
        <w:noProof/>
        <w:sz w:val="20"/>
      </w:rPr>
    </w:sdtEndPr>
    <w:sdtContent>
      <w:p w:rsidR="00B377D7" w:rsidRPr="0042780F" w:rsidRDefault="00B377D7">
        <w:pPr>
          <w:pStyle w:val="Header"/>
          <w:jc w:val="center"/>
          <w:rPr>
            <w:rFonts w:ascii="Verdana" w:hAnsi="Verdana"/>
            <w:sz w:val="20"/>
          </w:rPr>
        </w:pPr>
        <w:r w:rsidRPr="0042780F">
          <w:rPr>
            <w:rFonts w:ascii="Verdana" w:hAnsi="Verdana"/>
            <w:sz w:val="20"/>
          </w:rPr>
          <w:fldChar w:fldCharType="begin"/>
        </w:r>
        <w:r w:rsidRPr="0042780F">
          <w:rPr>
            <w:rFonts w:ascii="Verdana" w:hAnsi="Verdana"/>
            <w:sz w:val="20"/>
          </w:rPr>
          <w:instrText xml:space="preserve"> PAGE   \* MERGEFORMAT </w:instrText>
        </w:r>
        <w:r w:rsidRPr="0042780F">
          <w:rPr>
            <w:rFonts w:ascii="Verdana" w:hAnsi="Verdana"/>
            <w:sz w:val="20"/>
          </w:rPr>
          <w:fldChar w:fldCharType="separate"/>
        </w:r>
        <w:r w:rsidR="00086909">
          <w:rPr>
            <w:rFonts w:ascii="Verdana" w:hAnsi="Verdana"/>
            <w:noProof/>
            <w:sz w:val="20"/>
          </w:rPr>
          <w:t>7</w:t>
        </w:r>
        <w:r w:rsidRPr="0042780F">
          <w:rPr>
            <w:rFonts w:ascii="Verdana" w:hAnsi="Verdana"/>
            <w:noProof/>
            <w:sz w:val="20"/>
          </w:rPr>
          <w:fldChar w:fldCharType="end"/>
        </w:r>
      </w:p>
    </w:sdtContent>
  </w:sdt>
  <w:p w:rsidR="00B377D7" w:rsidRDefault="00B37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7D7" w:rsidRPr="0042780F" w:rsidRDefault="00B377D7">
    <w:pPr>
      <w:pStyle w:val="Header"/>
      <w:jc w:val="center"/>
      <w:rPr>
        <w:rFonts w:ascii="Verdana" w:hAnsi="Verdana"/>
        <w:sz w:val="20"/>
      </w:rPr>
    </w:pPr>
  </w:p>
  <w:p w:rsidR="00B377D7" w:rsidRDefault="00B377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47762"/>
    <w:multiLevelType w:val="hybridMultilevel"/>
    <w:tmpl w:val="06DECBDE"/>
    <w:lvl w:ilvl="0" w:tplc="466299C8">
      <w:start w:val="1"/>
      <w:numFmt w:val="decimal"/>
      <w:lvlText w:val="%1."/>
      <w:lvlJc w:val="left"/>
      <w:pPr>
        <w:tabs>
          <w:tab w:val="num" w:pos="567"/>
        </w:tabs>
        <w:ind w:left="0" w:firstLine="0"/>
      </w:pPr>
      <w:rPr>
        <w:rFonts w:ascii="Verdana" w:hAnsi="Verdana" w:hint="default"/>
        <w:b w:val="0"/>
        <w:i w:val="0"/>
        <w:strike w:val="0"/>
        <w:color w:val="auto"/>
        <w:sz w:val="20"/>
        <w:szCs w:val="20"/>
        <w:lang w:val="es-ES"/>
      </w:rPr>
    </w:lvl>
    <w:lvl w:ilvl="1" w:tplc="9752BD62">
      <w:start w:val="1"/>
      <w:numFmt w:val="lowerRoman"/>
      <w:lvlText w:val="%2."/>
      <w:lvlJc w:val="right"/>
      <w:pPr>
        <w:ind w:left="1440" w:hanging="360"/>
      </w:pPr>
      <w:rPr>
        <w:rFonts w:hint="default"/>
        <w:b w:val="0"/>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1402C7C"/>
    <w:multiLevelType w:val="hybridMultilevel"/>
    <w:tmpl w:val="39B2C072"/>
    <w:name w:val="WW8Num2"/>
    <w:lvl w:ilvl="0" w:tplc="5FBC247A">
      <w:start w:val="1"/>
      <w:numFmt w:val="decimal"/>
      <w:lvlText w:val="%1."/>
      <w:lvlJc w:val="left"/>
      <w:pPr>
        <w:tabs>
          <w:tab w:val="num" w:pos="567"/>
        </w:tabs>
        <w:ind w:left="0" w:firstLine="0"/>
      </w:pPr>
      <w:rPr>
        <w:rFonts w:ascii="Verdana" w:hAnsi="Verdana" w:hint="default"/>
        <w:b w:val="0"/>
        <w:i w:val="0"/>
        <w:strike w:val="0"/>
        <w:sz w:val="20"/>
        <w:szCs w:val="20"/>
      </w:rPr>
    </w:lvl>
    <w:lvl w:ilvl="1" w:tplc="AB4AEBC6">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340"/>
        </w:tabs>
        <w:ind w:left="2340" w:hanging="360"/>
      </w:pPr>
      <w:rPr>
        <w:rFonts w:hint="default"/>
        <w:b w:val="0"/>
        <w:i w:val="0"/>
        <w:strike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6603CD0"/>
    <w:multiLevelType w:val="hybridMultilevel"/>
    <w:tmpl w:val="EB942612"/>
    <w:lvl w:ilvl="0" w:tplc="E83A9E88">
      <w:start w:val="1"/>
      <w:numFmt w:val="decimal"/>
      <w:lvlText w:val="%1."/>
      <w:lvlJc w:val="left"/>
      <w:pPr>
        <w:tabs>
          <w:tab w:val="num" w:pos="680"/>
        </w:tabs>
        <w:ind w:left="0" w:firstLine="0"/>
      </w:pPr>
      <w:rPr>
        <w:rFonts w:hint="default"/>
        <w:b w:val="0"/>
        <w:i w:val="0"/>
        <w:strike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A8"/>
    <w:rsid w:val="000038D5"/>
    <w:rsid w:val="00015EBF"/>
    <w:rsid w:val="00017C7A"/>
    <w:rsid w:val="000355C7"/>
    <w:rsid w:val="00036BEC"/>
    <w:rsid w:val="00036CF5"/>
    <w:rsid w:val="00056F2A"/>
    <w:rsid w:val="00070A21"/>
    <w:rsid w:val="0007729F"/>
    <w:rsid w:val="00084DCD"/>
    <w:rsid w:val="00086909"/>
    <w:rsid w:val="00091F2A"/>
    <w:rsid w:val="00095C3A"/>
    <w:rsid w:val="000972FA"/>
    <w:rsid w:val="000A0EA1"/>
    <w:rsid w:val="000A6483"/>
    <w:rsid w:val="000B60D3"/>
    <w:rsid w:val="000E13D4"/>
    <w:rsid w:val="000F118C"/>
    <w:rsid w:val="000F716B"/>
    <w:rsid w:val="00106084"/>
    <w:rsid w:val="001068A7"/>
    <w:rsid w:val="00131FBD"/>
    <w:rsid w:val="001337C1"/>
    <w:rsid w:val="00137B19"/>
    <w:rsid w:val="0014187F"/>
    <w:rsid w:val="0015226B"/>
    <w:rsid w:val="001A0CDE"/>
    <w:rsid w:val="001A16D1"/>
    <w:rsid w:val="001B22F1"/>
    <w:rsid w:val="001D065E"/>
    <w:rsid w:val="001E38EC"/>
    <w:rsid w:val="002071C2"/>
    <w:rsid w:val="00227D4D"/>
    <w:rsid w:val="00234474"/>
    <w:rsid w:val="00236368"/>
    <w:rsid w:val="00240195"/>
    <w:rsid w:val="00253236"/>
    <w:rsid w:val="00254726"/>
    <w:rsid w:val="00254866"/>
    <w:rsid w:val="0026434E"/>
    <w:rsid w:val="002706AA"/>
    <w:rsid w:val="0027078A"/>
    <w:rsid w:val="00274235"/>
    <w:rsid w:val="002944EF"/>
    <w:rsid w:val="002A2159"/>
    <w:rsid w:val="002A3DB1"/>
    <w:rsid w:val="002B1688"/>
    <w:rsid w:val="002D3624"/>
    <w:rsid w:val="002D3A3E"/>
    <w:rsid w:val="002D3AFF"/>
    <w:rsid w:val="002E36EF"/>
    <w:rsid w:val="0032770D"/>
    <w:rsid w:val="00330A98"/>
    <w:rsid w:val="00362D14"/>
    <w:rsid w:val="003842B8"/>
    <w:rsid w:val="003915AA"/>
    <w:rsid w:val="003922F4"/>
    <w:rsid w:val="003B6492"/>
    <w:rsid w:val="003B6BC0"/>
    <w:rsid w:val="003C5108"/>
    <w:rsid w:val="003E6597"/>
    <w:rsid w:val="003F123D"/>
    <w:rsid w:val="003F4497"/>
    <w:rsid w:val="00413CFA"/>
    <w:rsid w:val="00415ADD"/>
    <w:rsid w:val="0042780F"/>
    <w:rsid w:val="004430B4"/>
    <w:rsid w:val="00461155"/>
    <w:rsid w:val="0047159A"/>
    <w:rsid w:val="004840AF"/>
    <w:rsid w:val="00487B42"/>
    <w:rsid w:val="004A5A20"/>
    <w:rsid w:val="004F36AC"/>
    <w:rsid w:val="004F6F13"/>
    <w:rsid w:val="005113ED"/>
    <w:rsid w:val="00534EC4"/>
    <w:rsid w:val="00557D4E"/>
    <w:rsid w:val="005750E4"/>
    <w:rsid w:val="00586374"/>
    <w:rsid w:val="005A2947"/>
    <w:rsid w:val="005B2EA6"/>
    <w:rsid w:val="005B47E4"/>
    <w:rsid w:val="005D3D6C"/>
    <w:rsid w:val="005E592F"/>
    <w:rsid w:val="005F0E09"/>
    <w:rsid w:val="005F7CC8"/>
    <w:rsid w:val="00614370"/>
    <w:rsid w:val="006229AD"/>
    <w:rsid w:val="00625B2D"/>
    <w:rsid w:val="00633345"/>
    <w:rsid w:val="006406D8"/>
    <w:rsid w:val="00646F16"/>
    <w:rsid w:val="0065212F"/>
    <w:rsid w:val="0065444A"/>
    <w:rsid w:val="00670982"/>
    <w:rsid w:val="00673971"/>
    <w:rsid w:val="006A74A1"/>
    <w:rsid w:val="006B4066"/>
    <w:rsid w:val="006D1F46"/>
    <w:rsid w:val="006D5D4A"/>
    <w:rsid w:val="006F45FE"/>
    <w:rsid w:val="006F550C"/>
    <w:rsid w:val="00731D03"/>
    <w:rsid w:val="00736AA7"/>
    <w:rsid w:val="00746CC5"/>
    <w:rsid w:val="0074778E"/>
    <w:rsid w:val="00751D3E"/>
    <w:rsid w:val="007556BF"/>
    <w:rsid w:val="00772F26"/>
    <w:rsid w:val="00781F08"/>
    <w:rsid w:val="007920E3"/>
    <w:rsid w:val="00793884"/>
    <w:rsid w:val="0079438F"/>
    <w:rsid w:val="007A4F7D"/>
    <w:rsid w:val="007B07F7"/>
    <w:rsid w:val="007E6B06"/>
    <w:rsid w:val="00805C6C"/>
    <w:rsid w:val="00837B42"/>
    <w:rsid w:val="0084313C"/>
    <w:rsid w:val="008723EA"/>
    <w:rsid w:val="00881845"/>
    <w:rsid w:val="0088575F"/>
    <w:rsid w:val="008953A3"/>
    <w:rsid w:val="008A73FF"/>
    <w:rsid w:val="008E3CF7"/>
    <w:rsid w:val="008E656A"/>
    <w:rsid w:val="008E7AC6"/>
    <w:rsid w:val="00900A9B"/>
    <w:rsid w:val="009070A9"/>
    <w:rsid w:val="009078B3"/>
    <w:rsid w:val="009104B7"/>
    <w:rsid w:val="00911CAB"/>
    <w:rsid w:val="009213ED"/>
    <w:rsid w:val="00932E83"/>
    <w:rsid w:val="00937D07"/>
    <w:rsid w:val="0094044E"/>
    <w:rsid w:val="00962F32"/>
    <w:rsid w:val="009752B1"/>
    <w:rsid w:val="0099074F"/>
    <w:rsid w:val="00997114"/>
    <w:rsid w:val="00997B76"/>
    <w:rsid w:val="009A2D9D"/>
    <w:rsid w:val="009E44CB"/>
    <w:rsid w:val="009F4B94"/>
    <w:rsid w:val="00A229CB"/>
    <w:rsid w:val="00A347DA"/>
    <w:rsid w:val="00A3531D"/>
    <w:rsid w:val="00A43079"/>
    <w:rsid w:val="00A72D0E"/>
    <w:rsid w:val="00A77172"/>
    <w:rsid w:val="00A901CC"/>
    <w:rsid w:val="00A92BAB"/>
    <w:rsid w:val="00AA4C4E"/>
    <w:rsid w:val="00AC202C"/>
    <w:rsid w:val="00AD255C"/>
    <w:rsid w:val="00AD3B90"/>
    <w:rsid w:val="00AE3B17"/>
    <w:rsid w:val="00B0254D"/>
    <w:rsid w:val="00B261D6"/>
    <w:rsid w:val="00B377D7"/>
    <w:rsid w:val="00B42238"/>
    <w:rsid w:val="00B51FDF"/>
    <w:rsid w:val="00B609A8"/>
    <w:rsid w:val="00B700C6"/>
    <w:rsid w:val="00B87CB0"/>
    <w:rsid w:val="00BB2412"/>
    <w:rsid w:val="00BC2F1B"/>
    <w:rsid w:val="00BD03F5"/>
    <w:rsid w:val="00BD3F88"/>
    <w:rsid w:val="00BE2C35"/>
    <w:rsid w:val="00BF78DD"/>
    <w:rsid w:val="00C02799"/>
    <w:rsid w:val="00C26D4A"/>
    <w:rsid w:val="00C30B1C"/>
    <w:rsid w:val="00C510BF"/>
    <w:rsid w:val="00CA2C70"/>
    <w:rsid w:val="00CA56B8"/>
    <w:rsid w:val="00CB7324"/>
    <w:rsid w:val="00CC7B21"/>
    <w:rsid w:val="00CD39C3"/>
    <w:rsid w:val="00CE7A99"/>
    <w:rsid w:val="00D10E96"/>
    <w:rsid w:val="00D1538E"/>
    <w:rsid w:val="00D233B9"/>
    <w:rsid w:val="00D3235F"/>
    <w:rsid w:val="00D504E6"/>
    <w:rsid w:val="00D53355"/>
    <w:rsid w:val="00D653B5"/>
    <w:rsid w:val="00D67831"/>
    <w:rsid w:val="00D845D7"/>
    <w:rsid w:val="00D927B6"/>
    <w:rsid w:val="00DC72F6"/>
    <w:rsid w:val="00DC75EA"/>
    <w:rsid w:val="00DD0C23"/>
    <w:rsid w:val="00DD24AD"/>
    <w:rsid w:val="00DD4FAE"/>
    <w:rsid w:val="00DE440F"/>
    <w:rsid w:val="00DF3B3C"/>
    <w:rsid w:val="00DF7549"/>
    <w:rsid w:val="00DF77F3"/>
    <w:rsid w:val="00E07271"/>
    <w:rsid w:val="00E5551F"/>
    <w:rsid w:val="00E64B8F"/>
    <w:rsid w:val="00E764E7"/>
    <w:rsid w:val="00E911F2"/>
    <w:rsid w:val="00E96EE5"/>
    <w:rsid w:val="00EA0EF6"/>
    <w:rsid w:val="00ED2CB7"/>
    <w:rsid w:val="00EE6A73"/>
    <w:rsid w:val="00EE6DDC"/>
    <w:rsid w:val="00F06663"/>
    <w:rsid w:val="00F13ED8"/>
    <w:rsid w:val="00F34165"/>
    <w:rsid w:val="00F44A17"/>
    <w:rsid w:val="00F526E8"/>
    <w:rsid w:val="00F537A3"/>
    <w:rsid w:val="00F82C8F"/>
    <w:rsid w:val="00FC5A15"/>
    <w:rsid w:val="00FC69BD"/>
    <w:rsid w:val="00FD1D79"/>
    <w:rsid w:val="00FD68CB"/>
    <w:rsid w:val="00FE6502"/>
    <w:rsid w:val="00FF1663"/>
    <w:rsid w:val="00FF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A8"/>
  </w:style>
  <w:style w:type="paragraph" w:styleId="Heading1">
    <w:name w:val="heading 1"/>
    <w:basedOn w:val="Normal"/>
    <w:next w:val="Normal"/>
    <w:link w:val="Heading1Char"/>
    <w:qFormat/>
    <w:rsid w:val="00B609A8"/>
    <w:pPr>
      <w:keepNext/>
      <w:spacing w:after="0" w:line="240" w:lineRule="auto"/>
      <w:jc w:val="center"/>
      <w:outlineLvl w:val="0"/>
    </w:pPr>
    <w:rPr>
      <w:rFonts w:ascii="Verdana" w:eastAsia="Times New Roman" w:hAnsi="Verdana" w:cs="Times New Roman"/>
      <w:b/>
      <w:bCs/>
      <w:sz w:val="20"/>
      <w:szCs w:val="24"/>
      <w:lang w:val="es-ES" w:eastAsia="es-ES"/>
    </w:rPr>
  </w:style>
  <w:style w:type="paragraph" w:styleId="Heading4">
    <w:name w:val="heading 4"/>
    <w:basedOn w:val="Normal"/>
    <w:next w:val="Normal"/>
    <w:link w:val="Heading4Char"/>
    <w:uiPriority w:val="9"/>
    <w:semiHidden/>
    <w:unhideWhenUsed/>
    <w:qFormat/>
    <w:rsid w:val="00B609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9A8"/>
    <w:rPr>
      <w:rFonts w:ascii="Verdana" w:eastAsia="Times New Roman" w:hAnsi="Verdana" w:cs="Times New Roman"/>
      <w:b/>
      <w:bCs/>
      <w:sz w:val="20"/>
      <w:szCs w:val="24"/>
      <w:lang w:val="es-ES" w:eastAsia="es-ES"/>
    </w:rPr>
  </w:style>
  <w:style w:type="character" w:customStyle="1" w:styleId="Heading4Char">
    <w:name w:val="Heading 4 Char"/>
    <w:basedOn w:val="DefaultParagraphFont"/>
    <w:link w:val="Heading4"/>
    <w:uiPriority w:val="9"/>
    <w:semiHidden/>
    <w:rsid w:val="00B609A8"/>
    <w:rPr>
      <w:rFonts w:asciiTheme="majorHAnsi" w:eastAsiaTheme="majorEastAsia" w:hAnsiTheme="majorHAnsi" w:cstheme="majorBidi"/>
      <w:b/>
      <w:bCs/>
      <w:i/>
      <w:iCs/>
      <w:color w:val="4F81BD" w:themeColor="accent1"/>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basedOn w:val="Normal"/>
    <w:link w:val="FootnoteTextChar"/>
    <w:qFormat/>
    <w:rsid w:val="00B609A8"/>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B609A8"/>
    <w:rPr>
      <w:rFonts w:ascii="Times New Roman" w:eastAsia="MS Mincho" w:hAnsi="Times New Roman" w:cs="Times New Roman"/>
      <w:sz w:val="20"/>
      <w:szCs w:val="20"/>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uiPriority w:val="99"/>
    <w:qFormat/>
    <w:rsid w:val="00B609A8"/>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B609A8"/>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34"/>
    <w:locked/>
    <w:rsid w:val="00B609A8"/>
    <w:rPr>
      <w:rFonts w:ascii="Garamond" w:eastAsia="Times" w:hAnsi="Garamond" w:cs="Times New Roman"/>
      <w:sz w:val="24"/>
      <w:szCs w:val="20"/>
      <w:lang w:val="es-ES_tradnl"/>
    </w:rPr>
  </w:style>
  <w:style w:type="character" w:styleId="Strong">
    <w:name w:val="Strong"/>
    <w:basedOn w:val="DefaultParagraphFont"/>
    <w:uiPriority w:val="22"/>
    <w:qFormat/>
    <w:rsid w:val="00B609A8"/>
    <w:rPr>
      <w:b/>
      <w:bCs/>
    </w:rPr>
  </w:style>
  <w:style w:type="paragraph" w:customStyle="1" w:styleId="Default">
    <w:name w:val="Default"/>
    <w:rsid w:val="00B609A8"/>
    <w:pPr>
      <w:autoSpaceDE w:val="0"/>
      <w:autoSpaceDN w:val="0"/>
      <w:adjustRightInd w:val="0"/>
      <w:spacing w:after="0" w:line="240" w:lineRule="auto"/>
    </w:pPr>
    <w:rPr>
      <w:rFonts w:ascii="Verdana" w:eastAsia="Calibri" w:hAnsi="Verdana" w:cs="Verdana"/>
      <w:color w:val="000000"/>
      <w:sz w:val="24"/>
      <w:szCs w:val="24"/>
    </w:rPr>
  </w:style>
  <w:style w:type="paragraph" w:styleId="BodyText2">
    <w:name w:val="Body Text 2"/>
    <w:basedOn w:val="Normal"/>
    <w:link w:val="BodyText2Char"/>
    <w:uiPriority w:val="99"/>
    <w:semiHidden/>
    <w:unhideWhenUsed/>
    <w:rsid w:val="00B609A8"/>
    <w:pPr>
      <w:spacing w:after="120" w:line="480" w:lineRule="auto"/>
    </w:pPr>
  </w:style>
  <w:style w:type="character" w:customStyle="1" w:styleId="BodyText2Char">
    <w:name w:val="Body Text 2 Char"/>
    <w:basedOn w:val="DefaultParagraphFont"/>
    <w:link w:val="BodyText2"/>
    <w:uiPriority w:val="99"/>
    <w:semiHidden/>
    <w:rsid w:val="00B609A8"/>
  </w:style>
  <w:style w:type="paragraph" w:customStyle="1" w:styleId="ParaAttribute3">
    <w:name w:val="ParaAttribute3"/>
    <w:rsid w:val="00B609A8"/>
    <w:pPr>
      <w:widowControl w:val="0"/>
      <w:wordWrap w:val="0"/>
      <w:spacing w:after="0" w:line="240" w:lineRule="auto"/>
      <w:jc w:val="both"/>
    </w:pPr>
    <w:rPr>
      <w:rFonts w:ascii="Times New Roman" w:eastAsia="Batang" w:hAnsi="Times New Roman" w:cs="Times New Roman"/>
      <w:sz w:val="20"/>
      <w:szCs w:val="20"/>
    </w:rPr>
  </w:style>
  <w:style w:type="character" w:styleId="CommentReference">
    <w:name w:val="annotation reference"/>
    <w:basedOn w:val="DefaultParagraphFont"/>
    <w:uiPriority w:val="99"/>
    <w:semiHidden/>
    <w:unhideWhenUsed/>
    <w:rsid w:val="00254866"/>
    <w:rPr>
      <w:sz w:val="16"/>
      <w:szCs w:val="16"/>
    </w:rPr>
  </w:style>
  <w:style w:type="paragraph" w:styleId="CommentText">
    <w:name w:val="annotation text"/>
    <w:basedOn w:val="Normal"/>
    <w:link w:val="CommentTextChar"/>
    <w:uiPriority w:val="99"/>
    <w:semiHidden/>
    <w:unhideWhenUsed/>
    <w:rsid w:val="00254866"/>
    <w:pPr>
      <w:spacing w:line="240" w:lineRule="auto"/>
    </w:pPr>
    <w:rPr>
      <w:sz w:val="20"/>
      <w:szCs w:val="20"/>
    </w:rPr>
  </w:style>
  <w:style w:type="character" w:customStyle="1" w:styleId="CommentTextChar">
    <w:name w:val="Comment Text Char"/>
    <w:basedOn w:val="DefaultParagraphFont"/>
    <w:link w:val="CommentText"/>
    <w:uiPriority w:val="99"/>
    <w:semiHidden/>
    <w:rsid w:val="00254866"/>
    <w:rPr>
      <w:sz w:val="20"/>
      <w:szCs w:val="20"/>
    </w:rPr>
  </w:style>
  <w:style w:type="paragraph" w:styleId="CommentSubject">
    <w:name w:val="annotation subject"/>
    <w:basedOn w:val="CommentText"/>
    <w:next w:val="CommentText"/>
    <w:link w:val="CommentSubjectChar"/>
    <w:uiPriority w:val="99"/>
    <w:semiHidden/>
    <w:unhideWhenUsed/>
    <w:rsid w:val="00254866"/>
    <w:rPr>
      <w:b/>
      <w:bCs/>
    </w:rPr>
  </w:style>
  <w:style w:type="character" w:customStyle="1" w:styleId="CommentSubjectChar">
    <w:name w:val="Comment Subject Char"/>
    <w:basedOn w:val="CommentTextChar"/>
    <w:link w:val="CommentSubject"/>
    <w:uiPriority w:val="99"/>
    <w:semiHidden/>
    <w:rsid w:val="00254866"/>
    <w:rPr>
      <w:b/>
      <w:bCs/>
      <w:sz w:val="20"/>
      <w:szCs w:val="20"/>
    </w:rPr>
  </w:style>
  <w:style w:type="paragraph" w:styleId="BalloonText">
    <w:name w:val="Balloon Text"/>
    <w:basedOn w:val="Normal"/>
    <w:link w:val="BalloonTextChar"/>
    <w:uiPriority w:val="99"/>
    <w:semiHidden/>
    <w:unhideWhenUsed/>
    <w:rsid w:val="00254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866"/>
    <w:rPr>
      <w:rFonts w:ascii="Tahoma" w:hAnsi="Tahoma" w:cs="Tahoma"/>
      <w:sz w:val="16"/>
      <w:szCs w:val="16"/>
    </w:rPr>
  </w:style>
  <w:style w:type="paragraph" w:styleId="Header">
    <w:name w:val="header"/>
    <w:basedOn w:val="Normal"/>
    <w:link w:val="HeaderChar"/>
    <w:uiPriority w:val="99"/>
    <w:unhideWhenUsed/>
    <w:rsid w:val="0042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0F"/>
  </w:style>
  <w:style w:type="paragraph" w:styleId="Footer">
    <w:name w:val="footer"/>
    <w:basedOn w:val="Normal"/>
    <w:link w:val="FooterChar"/>
    <w:uiPriority w:val="99"/>
    <w:unhideWhenUsed/>
    <w:rsid w:val="0042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0F"/>
  </w:style>
  <w:style w:type="paragraph" w:styleId="Revision">
    <w:name w:val="Revision"/>
    <w:hidden/>
    <w:uiPriority w:val="99"/>
    <w:semiHidden/>
    <w:rsid w:val="003915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A8"/>
  </w:style>
  <w:style w:type="paragraph" w:styleId="Heading1">
    <w:name w:val="heading 1"/>
    <w:basedOn w:val="Normal"/>
    <w:next w:val="Normal"/>
    <w:link w:val="Heading1Char"/>
    <w:qFormat/>
    <w:rsid w:val="00B609A8"/>
    <w:pPr>
      <w:keepNext/>
      <w:spacing w:after="0" w:line="240" w:lineRule="auto"/>
      <w:jc w:val="center"/>
      <w:outlineLvl w:val="0"/>
    </w:pPr>
    <w:rPr>
      <w:rFonts w:ascii="Verdana" w:eastAsia="Times New Roman" w:hAnsi="Verdana" w:cs="Times New Roman"/>
      <w:b/>
      <w:bCs/>
      <w:sz w:val="20"/>
      <w:szCs w:val="24"/>
      <w:lang w:val="es-ES" w:eastAsia="es-ES"/>
    </w:rPr>
  </w:style>
  <w:style w:type="paragraph" w:styleId="Heading4">
    <w:name w:val="heading 4"/>
    <w:basedOn w:val="Normal"/>
    <w:next w:val="Normal"/>
    <w:link w:val="Heading4Char"/>
    <w:uiPriority w:val="9"/>
    <w:semiHidden/>
    <w:unhideWhenUsed/>
    <w:qFormat/>
    <w:rsid w:val="00B609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9A8"/>
    <w:rPr>
      <w:rFonts w:ascii="Verdana" w:eastAsia="Times New Roman" w:hAnsi="Verdana" w:cs="Times New Roman"/>
      <w:b/>
      <w:bCs/>
      <w:sz w:val="20"/>
      <w:szCs w:val="24"/>
      <w:lang w:val="es-ES" w:eastAsia="es-ES"/>
    </w:rPr>
  </w:style>
  <w:style w:type="character" w:customStyle="1" w:styleId="Heading4Char">
    <w:name w:val="Heading 4 Char"/>
    <w:basedOn w:val="DefaultParagraphFont"/>
    <w:link w:val="Heading4"/>
    <w:uiPriority w:val="9"/>
    <w:semiHidden/>
    <w:rsid w:val="00B609A8"/>
    <w:rPr>
      <w:rFonts w:asciiTheme="majorHAnsi" w:eastAsiaTheme="majorEastAsia" w:hAnsiTheme="majorHAnsi" w:cstheme="majorBidi"/>
      <w:b/>
      <w:bCs/>
      <w:i/>
      <w:iCs/>
      <w:color w:val="4F81BD" w:themeColor="accent1"/>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C"/>
    <w:basedOn w:val="Normal"/>
    <w:link w:val="FootnoteTextChar"/>
    <w:qFormat/>
    <w:rsid w:val="00B609A8"/>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rsid w:val="00B609A8"/>
    <w:rPr>
      <w:rFonts w:ascii="Times New Roman" w:eastAsia="MS Mincho" w:hAnsi="Times New Roman" w:cs="Times New Roman"/>
      <w:sz w:val="20"/>
      <w:szCs w:val="20"/>
    </w:rPr>
  </w:style>
  <w:style w:type="character" w:styleId="FootnoteReference">
    <w:name w:val="footnote reference"/>
    <w:aliases w:val="Footnotes refss,Texto de nota al pie,Appel note de bas de page,Footnote number,referencia nota al pie,BVI fnr,f,Footnote symbol,Footnote,Ref. de nota al pie.,4_G,16 Point,Superscript 6 Point,Texto nota al pie,Ref,de nota al pie,norma"/>
    <w:uiPriority w:val="99"/>
    <w:qFormat/>
    <w:rsid w:val="00B609A8"/>
    <w:rPr>
      <w:rFonts w:cs="Times New Roman"/>
      <w:vertAlign w:val="superscript"/>
    </w:rPr>
  </w:style>
  <w:style w:type="paragraph" w:styleId="ListParagraph">
    <w:name w:val="List Paragraph"/>
    <w:aliases w:val="Colorful List - Accent 11,List Paragraph2,List Paragraph1,Lista vistosa - Énfasis 11"/>
    <w:basedOn w:val="Normal"/>
    <w:link w:val="ListParagraphChar"/>
    <w:uiPriority w:val="34"/>
    <w:qFormat/>
    <w:rsid w:val="00B609A8"/>
    <w:pPr>
      <w:spacing w:after="0" w:line="240" w:lineRule="auto"/>
      <w:ind w:left="720"/>
      <w:contextualSpacing/>
    </w:pPr>
    <w:rPr>
      <w:rFonts w:ascii="Garamond" w:eastAsia="Times" w:hAnsi="Garamond" w:cs="Times New Roman"/>
      <w:sz w:val="24"/>
      <w:szCs w:val="20"/>
      <w:lang w:val="es-ES_tradnl"/>
    </w:rPr>
  </w:style>
  <w:style w:type="character" w:customStyle="1" w:styleId="ListParagraphChar">
    <w:name w:val="List Paragraph Char"/>
    <w:aliases w:val="Colorful List - Accent 11 Char,List Paragraph2 Char,List Paragraph1 Char,Lista vistosa - Énfasis 11 Char"/>
    <w:link w:val="ListParagraph"/>
    <w:uiPriority w:val="34"/>
    <w:locked/>
    <w:rsid w:val="00B609A8"/>
    <w:rPr>
      <w:rFonts w:ascii="Garamond" w:eastAsia="Times" w:hAnsi="Garamond" w:cs="Times New Roman"/>
      <w:sz w:val="24"/>
      <w:szCs w:val="20"/>
      <w:lang w:val="es-ES_tradnl"/>
    </w:rPr>
  </w:style>
  <w:style w:type="character" w:styleId="Strong">
    <w:name w:val="Strong"/>
    <w:basedOn w:val="DefaultParagraphFont"/>
    <w:uiPriority w:val="22"/>
    <w:qFormat/>
    <w:rsid w:val="00B609A8"/>
    <w:rPr>
      <w:b/>
      <w:bCs/>
    </w:rPr>
  </w:style>
  <w:style w:type="paragraph" w:customStyle="1" w:styleId="Default">
    <w:name w:val="Default"/>
    <w:rsid w:val="00B609A8"/>
    <w:pPr>
      <w:autoSpaceDE w:val="0"/>
      <w:autoSpaceDN w:val="0"/>
      <w:adjustRightInd w:val="0"/>
      <w:spacing w:after="0" w:line="240" w:lineRule="auto"/>
    </w:pPr>
    <w:rPr>
      <w:rFonts w:ascii="Verdana" w:eastAsia="Calibri" w:hAnsi="Verdana" w:cs="Verdana"/>
      <w:color w:val="000000"/>
      <w:sz w:val="24"/>
      <w:szCs w:val="24"/>
    </w:rPr>
  </w:style>
  <w:style w:type="paragraph" w:styleId="BodyText2">
    <w:name w:val="Body Text 2"/>
    <w:basedOn w:val="Normal"/>
    <w:link w:val="BodyText2Char"/>
    <w:uiPriority w:val="99"/>
    <w:semiHidden/>
    <w:unhideWhenUsed/>
    <w:rsid w:val="00B609A8"/>
    <w:pPr>
      <w:spacing w:after="120" w:line="480" w:lineRule="auto"/>
    </w:pPr>
  </w:style>
  <w:style w:type="character" w:customStyle="1" w:styleId="BodyText2Char">
    <w:name w:val="Body Text 2 Char"/>
    <w:basedOn w:val="DefaultParagraphFont"/>
    <w:link w:val="BodyText2"/>
    <w:uiPriority w:val="99"/>
    <w:semiHidden/>
    <w:rsid w:val="00B609A8"/>
  </w:style>
  <w:style w:type="paragraph" w:customStyle="1" w:styleId="ParaAttribute3">
    <w:name w:val="ParaAttribute3"/>
    <w:rsid w:val="00B609A8"/>
    <w:pPr>
      <w:widowControl w:val="0"/>
      <w:wordWrap w:val="0"/>
      <w:spacing w:after="0" w:line="240" w:lineRule="auto"/>
      <w:jc w:val="both"/>
    </w:pPr>
    <w:rPr>
      <w:rFonts w:ascii="Times New Roman" w:eastAsia="Batang" w:hAnsi="Times New Roman" w:cs="Times New Roman"/>
      <w:sz w:val="20"/>
      <w:szCs w:val="20"/>
    </w:rPr>
  </w:style>
  <w:style w:type="character" w:styleId="CommentReference">
    <w:name w:val="annotation reference"/>
    <w:basedOn w:val="DefaultParagraphFont"/>
    <w:uiPriority w:val="99"/>
    <w:semiHidden/>
    <w:unhideWhenUsed/>
    <w:rsid w:val="00254866"/>
    <w:rPr>
      <w:sz w:val="16"/>
      <w:szCs w:val="16"/>
    </w:rPr>
  </w:style>
  <w:style w:type="paragraph" w:styleId="CommentText">
    <w:name w:val="annotation text"/>
    <w:basedOn w:val="Normal"/>
    <w:link w:val="CommentTextChar"/>
    <w:uiPriority w:val="99"/>
    <w:semiHidden/>
    <w:unhideWhenUsed/>
    <w:rsid w:val="00254866"/>
    <w:pPr>
      <w:spacing w:line="240" w:lineRule="auto"/>
    </w:pPr>
    <w:rPr>
      <w:sz w:val="20"/>
      <w:szCs w:val="20"/>
    </w:rPr>
  </w:style>
  <w:style w:type="character" w:customStyle="1" w:styleId="CommentTextChar">
    <w:name w:val="Comment Text Char"/>
    <w:basedOn w:val="DefaultParagraphFont"/>
    <w:link w:val="CommentText"/>
    <w:uiPriority w:val="99"/>
    <w:semiHidden/>
    <w:rsid w:val="00254866"/>
    <w:rPr>
      <w:sz w:val="20"/>
      <w:szCs w:val="20"/>
    </w:rPr>
  </w:style>
  <w:style w:type="paragraph" w:styleId="CommentSubject">
    <w:name w:val="annotation subject"/>
    <w:basedOn w:val="CommentText"/>
    <w:next w:val="CommentText"/>
    <w:link w:val="CommentSubjectChar"/>
    <w:uiPriority w:val="99"/>
    <w:semiHidden/>
    <w:unhideWhenUsed/>
    <w:rsid w:val="00254866"/>
    <w:rPr>
      <w:b/>
      <w:bCs/>
    </w:rPr>
  </w:style>
  <w:style w:type="character" w:customStyle="1" w:styleId="CommentSubjectChar">
    <w:name w:val="Comment Subject Char"/>
    <w:basedOn w:val="CommentTextChar"/>
    <w:link w:val="CommentSubject"/>
    <w:uiPriority w:val="99"/>
    <w:semiHidden/>
    <w:rsid w:val="00254866"/>
    <w:rPr>
      <w:b/>
      <w:bCs/>
      <w:sz w:val="20"/>
      <w:szCs w:val="20"/>
    </w:rPr>
  </w:style>
  <w:style w:type="paragraph" w:styleId="BalloonText">
    <w:name w:val="Balloon Text"/>
    <w:basedOn w:val="Normal"/>
    <w:link w:val="BalloonTextChar"/>
    <w:uiPriority w:val="99"/>
    <w:semiHidden/>
    <w:unhideWhenUsed/>
    <w:rsid w:val="00254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866"/>
    <w:rPr>
      <w:rFonts w:ascii="Tahoma" w:hAnsi="Tahoma" w:cs="Tahoma"/>
      <w:sz w:val="16"/>
      <w:szCs w:val="16"/>
    </w:rPr>
  </w:style>
  <w:style w:type="paragraph" w:styleId="Header">
    <w:name w:val="header"/>
    <w:basedOn w:val="Normal"/>
    <w:link w:val="HeaderChar"/>
    <w:uiPriority w:val="99"/>
    <w:unhideWhenUsed/>
    <w:rsid w:val="0042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80F"/>
  </w:style>
  <w:style w:type="paragraph" w:styleId="Footer">
    <w:name w:val="footer"/>
    <w:basedOn w:val="Normal"/>
    <w:link w:val="FooterChar"/>
    <w:uiPriority w:val="99"/>
    <w:unhideWhenUsed/>
    <w:rsid w:val="0042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80F"/>
  </w:style>
  <w:style w:type="paragraph" w:styleId="Revision">
    <w:name w:val="Revision"/>
    <w:hidden/>
    <w:uiPriority w:val="99"/>
    <w:semiHidden/>
    <w:rsid w:val="003915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65DE0E31EAF2439D287EEF21B08142" ma:contentTypeVersion="0" ma:contentTypeDescription="Create a new document." ma:contentTypeScope="" ma:versionID="01638f88f95378e84390226ee62acf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F0636-DADD-4CBD-A18B-A125BF56A902}">
  <ds:schemaRefs>
    <ds:schemaRef ds:uri="http://schemas.microsoft.com/sharepoint/v3/contenttype/forms"/>
  </ds:schemaRefs>
</ds:datastoreItem>
</file>

<file path=customXml/itemProps2.xml><?xml version="1.0" encoding="utf-8"?>
<ds:datastoreItem xmlns:ds="http://schemas.openxmlformats.org/officeDocument/2006/customXml" ds:itemID="{04841540-9068-49DC-B35A-95B13DBFE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8C97A4-78D4-425A-ADE3-E14B387A78D4}">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AF23FA0D-39B0-4110-976C-78B29E5D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2547</Words>
  <Characters>14009</Characters>
  <Application>Microsoft Office Word</Application>
  <DocSecurity>0</DocSecurity>
  <Lines>116</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Julliana Saborio</cp:lastModifiedBy>
  <cp:revision>2</cp:revision>
  <cp:lastPrinted>2018-12-04T21:14:00Z</cp:lastPrinted>
  <dcterms:created xsi:type="dcterms:W3CDTF">2018-12-04T22:02:00Z</dcterms:created>
  <dcterms:modified xsi:type="dcterms:W3CDTF">2018-12-04T22:02:00Z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0x0101009C65DE0E31EAF2439D287EEF21B08142</vt:lpwstr>
  </property>
</Properties>
</file>