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8C" w:rsidRDefault="002B768C" w:rsidP="00AF2628">
      <w:pPr>
        <w:autoSpaceDE w:val="0"/>
        <w:autoSpaceDN w:val="0"/>
        <w:adjustRightInd w:val="0"/>
        <w:spacing w:after="0" w:line="240" w:lineRule="auto"/>
        <w:jc w:val="center"/>
        <w:rPr>
          <w:rFonts w:ascii="Verdana" w:hAnsi="Verdana" w:cs="Verdana"/>
          <w:b/>
          <w:bCs/>
          <w:sz w:val="20"/>
          <w:szCs w:val="20"/>
          <w:lang w:val="es-ES"/>
        </w:rPr>
      </w:pPr>
      <w:bookmarkStart w:id="0" w:name="_GoBack"/>
      <w:bookmarkEnd w:id="0"/>
    </w:p>
    <w:p w:rsidR="002B768C" w:rsidRDefault="002B768C" w:rsidP="00AF2628">
      <w:pPr>
        <w:autoSpaceDE w:val="0"/>
        <w:autoSpaceDN w:val="0"/>
        <w:adjustRightInd w:val="0"/>
        <w:spacing w:after="0" w:line="240" w:lineRule="auto"/>
        <w:jc w:val="center"/>
        <w:rPr>
          <w:rFonts w:ascii="Verdana" w:hAnsi="Verdana" w:cs="Verdana"/>
          <w:b/>
          <w:bCs/>
          <w:sz w:val="20"/>
          <w:szCs w:val="20"/>
          <w:lang w:val="es-ES"/>
        </w:rPr>
      </w:pPr>
    </w:p>
    <w:p w:rsidR="002B768C" w:rsidRDefault="002B768C" w:rsidP="00AF2628">
      <w:pPr>
        <w:autoSpaceDE w:val="0"/>
        <w:autoSpaceDN w:val="0"/>
        <w:adjustRightInd w:val="0"/>
        <w:spacing w:after="0" w:line="240" w:lineRule="auto"/>
        <w:jc w:val="center"/>
        <w:rPr>
          <w:rFonts w:ascii="Verdana" w:hAnsi="Verdana" w:cs="Verdana"/>
          <w:b/>
          <w:bCs/>
          <w:sz w:val="20"/>
          <w:szCs w:val="20"/>
          <w:lang w:val="es-ES"/>
        </w:rPr>
      </w:pPr>
    </w:p>
    <w:p w:rsidR="002B768C" w:rsidRDefault="002B768C" w:rsidP="00AF2628">
      <w:pPr>
        <w:autoSpaceDE w:val="0"/>
        <w:autoSpaceDN w:val="0"/>
        <w:adjustRightInd w:val="0"/>
        <w:spacing w:after="0" w:line="240" w:lineRule="auto"/>
        <w:jc w:val="center"/>
        <w:rPr>
          <w:rFonts w:ascii="Verdana" w:hAnsi="Verdana" w:cs="Verdana"/>
          <w:b/>
          <w:bCs/>
          <w:sz w:val="20"/>
          <w:szCs w:val="20"/>
          <w:lang w:val="es-ES"/>
        </w:rPr>
      </w:pPr>
    </w:p>
    <w:p w:rsidR="002B768C" w:rsidRDefault="002B768C" w:rsidP="00AF2628">
      <w:pPr>
        <w:autoSpaceDE w:val="0"/>
        <w:autoSpaceDN w:val="0"/>
        <w:adjustRightInd w:val="0"/>
        <w:spacing w:after="0" w:line="240" w:lineRule="auto"/>
        <w:jc w:val="center"/>
        <w:rPr>
          <w:rFonts w:ascii="Verdana" w:hAnsi="Verdana" w:cs="Verdana"/>
          <w:b/>
          <w:bCs/>
          <w:sz w:val="20"/>
          <w:szCs w:val="20"/>
          <w:lang w:val="es-ES"/>
        </w:rPr>
      </w:pPr>
    </w:p>
    <w:p w:rsidR="002B768C" w:rsidRDefault="002B768C" w:rsidP="00AF2628">
      <w:pPr>
        <w:autoSpaceDE w:val="0"/>
        <w:autoSpaceDN w:val="0"/>
        <w:adjustRightInd w:val="0"/>
        <w:spacing w:after="0" w:line="240" w:lineRule="auto"/>
        <w:jc w:val="center"/>
        <w:rPr>
          <w:rFonts w:ascii="Verdana" w:hAnsi="Verdana" w:cs="Verdana"/>
          <w:b/>
          <w:bCs/>
          <w:sz w:val="20"/>
          <w:szCs w:val="20"/>
          <w:lang w:val="es-ES"/>
        </w:rPr>
      </w:pPr>
    </w:p>
    <w:p w:rsidR="003F627B" w:rsidRPr="00AF1610" w:rsidRDefault="003F627B" w:rsidP="00AF2628">
      <w:pPr>
        <w:autoSpaceDE w:val="0"/>
        <w:autoSpaceDN w:val="0"/>
        <w:adjustRightInd w:val="0"/>
        <w:spacing w:after="0" w:line="240" w:lineRule="auto"/>
        <w:jc w:val="center"/>
        <w:rPr>
          <w:rFonts w:ascii="Verdana" w:hAnsi="Verdana" w:cs="Verdana"/>
          <w:b/>
          <w:bCs/>
          <w:sz w:val="20"/>
          <w:szCs w:val="20"/>
          <w:lang w:val="es-ES"/>
        </w:rPr>
      </w:pPr>
      <w:r w:rsidRPr="00AF1610">
        <w:rPr>
          <w:rFonts w:ascii="Verdana" w:hAnsi="Verdana" w:cs="Verdana"/>
          <w:b/>
          <w:bCs/>
          <w:sz w:val="20"/>
          <w:szCs w:val="20"/>
          <w:lang w:val="es-ES"/>
        </w:rPr>
        <w:t>RESOLUCIÓN DE LA</w:t>
      </w:r>
    </w:p>
    <w:p w:rsidR="003F627B" w:rsidRPr="005F5593" w:rsidRDefault="003F627B" w:rsidP="00AF2628">
      <w:pPr>
        <w:spacing w:after="0"/>
        <w:ind w:hanging="11"/>
        <w:jc w:val="center"/>
        <w:rPr>
          <w:rFonts w:eastAsiaTheme="minorHAnsi"/>
          <w:lang w:val="es-CR"/>
        </w:rPr>
      </w:pPr>
      <w:r w:rsidRPr="00AF1610">
        <w:rPr>
          <w:rFonts w:ascii="Verdana" w:hAnsi="Verdana" w:cs="Verdana"/>
          <w:b/>
          <w:bCs/>
          <w:sz w:val="20"/>
          <w:szCs w:val="20"/>
          <w:lang w:val="es-ES"/>
        </w:rPr>
        <w:t>CORTE INTERAMERICANA DE DERECHOS HUMANOS</w:t>
      </w:r>
    </w:p>
    <w:p w:rsidR="003F627B" w:rsidRPr="005B080E" w:rsidRDefault="003F627B" w:rsidP="00AF2628">
      <w:pPr>
        <w:autoSpaceDE w:val="0"/>
        <w:autoSpaceDN w:val="0"/>
        <w:adjustRightInd w:val="0"/>
        <w:spacing w:after="0" w:line="240" w:lineRule="auto"/>
        <w:jc w:val="center"/>
        <w:rPr>
          <w:rFonts w:ascii="Verdana" w:hAnsi="Verdana" w:cs="Verdana"/>
          <w:b/>
          <w:bCs/>
          <w:sz w:val="20"/>
          <w:szCs w:val="20"/>
          <w:lang w:val="es-CR"/>
        </w:rPr>
      </w:pPr>
    </w:p>
    <w:p w:rsidR="003F627B" w:rsidRPr="00AF1610" w:rsidRDefault="003F627B" w:rsidP="00AF2628">
      <w:pPr>
        <w:autoSpaceDE w:val="0"/>
        <w:autoSpaceDN w:val="0"/>
        <w:adjustRightInd w:val="0"/>
        <w:spacing w:after="0" w:line="240" w:lineRule="auto"/>
        <w:jc w:val="center"/>
        <w:rPr>
          <w:rFonts w:ascii="Verdana" w:hAnsi="Verdana" w:cs="Verdana"/>
          <w:b/>
          <w:bCs/>
          <w:sz w:val="20"/>
          <w:szCs w:val="20"/>
          <w:lang w:val="es-ES"/>
        </w:rPr>
      </w:pPr>
      <w:r>
        <w:rPr>
          <w:rFonts w:ascii="Verdana" w:hAnsi="Verdana" w:cs="Verdana"/>
          <w:b/>
          <w:bCs/>
          <w:sz w:val="20"/>
          <w:szCs w:val="20"/>
          <w:lang w:val="es-ES"/>
        </w:rPr>
        <w:t xml:space="preserve">DE </w:t>
      </w:r>
      <w:r w:rsidR="00756188">
        <w:rPr>
          <w:rFonts w:ascii="Verdana" w:hAnsi="Verdana" w:cs="Verdana"/>
          <w:b/>
          <w:bCs/>
          <w:sz w:val="20"/>
          <w:szCs w:val="20"/>
          <w:lang w:val="es-ES"/>
        </w:rPr>
        <w:t>31</w:t>
      </w:r>
      <w:r>
        <w:rPr>
          <w:rFonts w:ascii="Verdana" w:hAnsi="Verdana" w:cs="Verdana"/>
          <w:b/>
          <w:bCs/>
          <w:sz w:val="20"/>
          <w:szCs w:val="20"/>
          <w:lang w:val="es-ES"/>
        </w:rPr>
        <w:t xml:space="preserve"> DE</w:t>
      </w:r>
      <w:r w:rsidR="007D2294">
        <w:rPr>
          <w:rFonts w:ascii="Verdana" w:hAnsi="Verdana" w:cs="Verdana"/>
          <w:b/>
          <w:bCs/>
          <w:sz w:val="20"/>
          <w:szCs w:val="20"/>
          <w:lang w:val="es-ES"/>
        </w:rPr>
        <w:t xml:space="preserve"> </w:t>
      </w:r>
      <w:r w:rsidR="00756188">
        <w:rPr>
          <w:rFonts w:ascii="Verdana" w:hAnsi="Verdana" w:cs="Verdana"/>
          <w:b/>
          <w:bCs/>
          <w:sz w:val="20"/>
          <w:szCs w:val="20"/>
          <w:lang w:val="es-ES"/>
        </w:rPr>
        <w:t>AGOSTO</w:t>
      </w:r>
      <w:r w:rsidRPr="00AF1610">
        <w:rPr>
          <w:rFonts w:ascii="Verdana" w:hAnsi="Verdana" w:cs="Verdana"/>
          <w:b/>
          <w:bCs/>
          <w:sz w:val="20"/>
          <w:szCs w:val="20"/>
          <w:lang w:val="es-ES"/>
        </w:rPr>
        <w:t xml:space="preserve"> DE 201</w:t>
      </w:r>
      <w:r>
        <w:rPr>
          <w:rFonts w:ascii="Verdana" w:hAnsi="Verdana" w:cs="Verdana"/>
          <w:b/>
          <w:bCs/>
          <w:sz w:val="20"/>
          <w:szCs w:val="20"/>
          <w:lang w:val="es-ES"/>
        </w:rPr>
        <w:t>6</w:t>
      </w:r>
    </w:p>
    <w:p w:rsidR="003F627B" w:rsidRPr="00AF1610" w:rsidRDefault="003F627B" w:rsidP="00AF2628">
      <w:pPr>
        <w:autoSpaceDE w:val="0"/>
        <w:autoSpaceDN w:val="0"/>
        <w:adjustRightInd w:val="0"/>
        <w:spacing w:after="0" w:line="240" w:lineRule="auto"/>
        <w:jc w:val="center"/>
        <w:rPr>
          <w:rFonts w:ascii="Verdana" w:hAnsi="Verdana" w:cs="Verdana"/>
          <w:b/>
          <w:bCs/>
          <w:sz w:val="20"/>
          <w:szCs w:val="20"/>
          <w:lang w:val="es-ES"/>
        </w:rPr>
      </w:pPr>
    </w:p>
    <w:p w:rsidR="003F627B" w:rsidRPr="00AF1610" w:rsidRDefault="003F627B" w:rsidP="00AF2628">
      <w:pPr>
        <w:autoSpaceDE w:val="0"/>
        <w:autoSpaceDN w:val="0"/>
        <w:adjustRightInd w:val="0"/>
        <w:spacing w:after="0" w:line="240" w:lineRule="auto"/>
        <w:jc w:val="center"/>
        <w:rPr>
          <w:rFonts w:ascii="Verdana" w:hAnsi="Verdana" w:cs="Verdana"/>
          <w:b/>
          <w:bCs/>
          <w:sz w:val="20"/>
          <w:szCs w:val="20"/>
          <w:lang w:val="es-ES"/>
        </w:rPr>
      </w:pPr>
      <w:r w:rsidRPr="00AF1610">
        <w:rPr>
          <w:rFonts w:ascii="Verdana" w:hAnsi="Verdana" w:cs="Verdana"/>
          <w:b/>
          <w:bCs/>
          <w:sz w:val="20"/>
          <w:szCs w:val="20"/>
          <w:lang w:val="es-ES"/>
        </w:rPr>
        <w:t xml:space="preserve">CASO BÁMACA VELÁSQUEZ </w:t>
      </w:r>
      <w:r w:rsidRPr="00925E60">
        <w:rPr>
          <w:rFonts w:ascii="Verdana" w:hAnsi="Verdana" w:cs="Verdana"/>
          <w:b/>
          <w:bCs/>
          <w:iCs/>
          <w:sz w:val="20"/>
          <w:szCs w:val="20"/>
          <w:lang w:val="es-ES"/>
        </w:rPr>
        <w:t>VS</w:t>
      </w:r>
      <w:r w:rsidRPr="00AF1610">
        <w:rPr>
          <w:rFonts w:ascii="Verdana" w:hAnsi="Verdana" w:cs="Verdana"/>
          <w:b/>
          <w:bCs/>
          <w:i/>
          <w:iCs/>
          <w:sz w:val="20"/>
          <w:szCs w:val="20"/>
          <w:lang w:val="es-ES"/>
        </w:rPr>
        <w:t xml:space="preserve">. </w:t>
      </w:r>
      <w:r w:rsidRPr="00AF1610">
        <w:rPr>
          <w:rFonts w:ascii="Verdana" w:hAnsi="Verdana" w:cs="Verdana"/>
          <w:b/>
          <w:bCs/>
          <w:sz w:val="20"/>
          <w:szCs w:val="20"/>
          <w:lang w:val="es-ES"/>
        </w:rPr>
        <w:t>GUATEMALA</w:t>
      </w:r>
    </w:p>
    <w:p w:rsidR="003F627B" w:rsidRPr="00AF1610" w:rsidRDefault="003F627B" w:rsidP="00AF2628">
      <w:pPr>
        <w:autoSpaceDE w:val="0"/>
        <w:autoSpaceDN w:val="0"/>
        <w:adjustRightInd w:val="0"/>
        <w:spacing w:after="0" w:line="240" w:lineRule="auto"/>
        <w:jc w:val="center"/>
        <w:rPr>
          <w:rFonts w:ascii="Verdana" w:hAnsi="Verdana" w:cs="Verdana"/>
          <w:b/>
          <w:bCs/>
          <w:sz w:val="20"/>
          <w:szCs w:val="20"/>
          <w:lang w:val="es-ES"/>
        </w:rPr>
      </w:pPr>
    </w:p>
    <w:p w:rsidR="003F627B" w:rsidRPr="00AF1610" w:rsidRDefault="003F627B" w:rsidP="00AF2628">
      <w:pPr>
        <w:spacing w:after="0" w:line="240" w:lineRule="auto"/>
        <w:jc w:val="center"/>
        <w:rPr>
          <w:rFonts w:ascii="Verdana" w:hAnsi="Verdana" w:cstheme="minorHAnsi"/>
          <w:b/>
          <w:sz w:val="20"/>
          <w:szCs w:val="20"/>
          <w:lang w:val="es-ES"/>
        </w:rPr>
      </w:pPr>
      <w:r w:rsidRPr="00AF1610">
        <w:rPr>
          <w:rFonts w:ascii="Verdana" w:hAnsi="Verdana" w:cs="Verdana"/>
          <w:b/>
          <w:bCs/>
          <w:sz w:val="20"/>
          <w:szCs w:val="20"/>
          <w:lang w:val="es-ES"/>
        </w:rPr>
        <w:t>MEDIDAS PROVISIONALES</w:t>
      </w:r>
    </w:p>
    <w:p w:rsidR="003F627B" w:rsidRDefault="003F627B" w:rsidP="000D3C49">
      <w:pPr>
        <w:spacing w:after="0" w:line="240" w:lineRule="auto"/>
        <w:jc w:val="center"/>
        <w:rPr>
          <w:rFonts w:ascii="Verdana" w:hAnsi="Verdana" w:cstheme="minorHAnsi"/>
          <w:sz w:val="20"/>
          <w:szCs w:val="20"/>
          <w:lang w:val="es-ES"/>
        </w:rPr>
      </w:pPr>
    </w:p>
    <w:p w:rsidR="002B768C" w:rsidRDefault="002B768C" w:rsidP="000D3C49">
      <w:pPr>
        <w:spacing w:after="0" w:line="240" w:lineRule="auto"/>
        <w:jc w:val="center"/>
        <w:rPr>
          <w:rFonts w:ascii="Verdana" w:hAnsi="Verdana" w:cstheme="minorHAnsi"/>
          <w:sz w:val="20"/>
          <w:szCs w:val="20"/>
          <w:lang w:val="es-ES"/>
        </w:rPr>
      </w:pPr>
    </w:p>
    <w:p w:rsidR="002B768C" w:rsidRPr="00AF1610" w:rsidRDefault="002B768C" w:rsidP="000D3C49">
      <w:pPr>
        <w:spacing w:after="0" w:line="240" w:lineRule="auto"/>
        <w:jc w:val="center"/>
        <w:rPr>
          <w:rFonts w:ascii="Verdana" w:hAnsi="Verdana" w:cstheme="minorHAnsi"/>
          <w:sz w:val="20"/>
          <w:szCs w:val="20"/>
          <w:lang w:val="es-ES"/>
        </w:rPr>
      </w:pPr>
    </w:p>
    <w:p w:rsidR="003F627B" w:rsidRPr="00AF1610" w:rsidRDefault="003F627B" w:rsidP="000D3C49">
      <w:pPr>
        <w:spacing w:after="0" w:line="240" w:lineRule="auto"/>
        <w:ind w:right="-8"/>
        <w:rPr>
          <w:rFonts w:ascii="Verdana" w:hAnsi="Verdana"/>
          <w:b/>
          <w:sz w:val="20"/>
          <w:szCs w:val="20"/>
          <w:lang w:val="es-ES"/>
        </w:rPr>
      </w:pPr>
      <w:r w:rsidRPr="00AF1610">
        <w:rPr>
          <w:rFonts w:ascii="Verdana" w:hAnsi="Verdana"/>
          <w:b/>
          <w:sz w:val="20"/>
          <w:szCs w:val="20"/>
          <w:lang w:val="es-ES"/>
        </w:rPr>
        <w:t>VISTO:</w:t>
      </w:r>
      <w:r w:rsidRPr="00AF1610">
        <w:rPr>
          <w:rFonts w:ascii="Verdana" w:hAnsi="Verdana"/>
          <w:b/>
          <w:sz w:val="20"/>
          <w:szCs w:val="20"/>
          <w:lang w:val="es-ES"/>
        </w:rPr>
        <w:br/>
      </w:r>
    </w:p>
    <w:p w:rsidR="003F627B" w:rsidRDefault="003F627B" w:rsidP="000D3C49">
      <w:pPr>
        <w:pStyle w:val="ListParagraph"/>
        <w:numPr>
          <w:ilvl w:val="0"/>
          <w:numId w:val="1"/>
        </w:numPr>
        <w:autoSpaceDE w:val="0"/>
        <w:autoSpaceDN w:val="0"/>
        <w:adjustRightInd w:val="0"/>
        <w:spacing w:after="0" w:line="240" w:lineRule="auto"/>
        <w:ind w:left="0" w:firstLine="0"/>
        <w:jc w:val="both"/>
        <w:rPr>
          <w:rFonts w:ascii="Verdana" w:hAnsi="Verdana" w:cs="Verdana"/>
          <w:sz w:val="20"/>
          <w:szCs w:val="20"/>
          <w:lang w:val="es-ES"/>
        </w:rPr>
      </w:pPr>
      <w:r w:rsidRPr="001C414E">
        <w:rPr>
          <w:rFonts w:ascii="Verdana" w:hAnsi="Verdana" w:cs="Verdana"/>
          <w:sz w:val="20"/>
          <w:szCs w:val="20"/>
          <w:lang w:val="es-ES"/>
        </w:rPr>
        <w:t>Las Resoluciones del Presidente de la Corte Interamericana de Derechos Humanos (en adelante</w:t>
      </w:r>
      <w:r>
        <w:rPr>
          <w:rFonts w:ascii="Verdana" w:hAnsi="Verdana" w:cs="Verdana"/>
          <w:sz w:val="20"/>
          <w:szCs w:val="20"/>
          <w:lang w:val="es-ES"/>
        </w:rPr>
        <w:t xml:space="preserve"> también</w:t>
      </w:r>
      <w:r w:rsidRPr="001C414E">
        <w:rPr>
          <w:rFonts w:ascii="Verdana" w:hAnsi="Verdana" w:cs="Verdana"/>
          <w:sz w:val="20"/>
          <w:szCs w:val="20"/>
          <w:lang w:val="es-ES"/>
        </w:rPr>
        <w:t xml:space="preserve"> “la Corte Interamericana”, “la Corte” o “este Tribunal”) de 30 de junio de 1998, 20 de diciembre de 2002, 26 de septiembre de 2003 y 11 de noviembre de 2008</w:t>
      </w:r>
      <w:r w:rsidR="007B5127">
        <w:rPr>
          <w:rFonts w:ascii="Verdana" w:hAnsi="Verdana" w:cs="Verdana"/>
          <w:sz w:val="20"/>
          <w:szCs w:val="20"/>
          <w:lang w:val="es-ES"/>
        </w:rPr>
        <w:t>,</w:t>
      </w:r>
      <w:r w:rsidRPr="001C414E">
        <w:rPr>
          <w:rFonts w:ascii="Verdana" w:hAnsi="Verdana" w:cs="Verdana"/>
          <w:sz w:val="20"/>
          <w:szCs w:val="20"/>
          <w:lang w:val="es-ES"/>
        </w:rPr>
        <w:t xml:space="preserve"> y las Resoluciones de la Corte de 29 de agosto de 1998, 5 de septiembre de 2001, 21 de febrero</w:t>
      </w:r>
      <w:r w:rsidR="00504B58">
        <w:rPr>
          <w:rFonts w:ascii="Verdana" w:hAnsi="Verdana" w:cs="Verdana"/>
          <w:sz w:val="20"/>
          <w:szCs w:val="20"/>
          <w:lang w:val="es-ES"/>
        </w:rPr>
        <w:t xml:space="preserve"> </w:t>
      </w:r>
      <w:r w:rsidR="00F96416" w:rsidRPr="000D3C49">
        <w:rPr>
          <w:rFonts w:ascii="Verdana" w:hAnsi="Verdana" w:cs="Verdana"/>
          <w:sz w:val="20"/>
          <w:szCs w:val="20"/>
          <w:lang w:val="es-ES"/>
        </w:rPr>
        <w:t xml:space="preserve">y </w:t>
      </w:r>
      <w:r w:rsidRPr="001C414E">
        <w:rPr>
          <w:rFonts w:ascii="Verdana" w:hAnsi="Verdana" w:cs="Verdana"/>
          <w:sz w:val="20"/>
          <w:szCs w:val="20"/>
          <w:lang w:val="es-ES"/>
        </w:rPr>
        <w:t>20 de noviembre</w:t>
      </w:r>
      <w:r>
        <w:rPr>
          <w:rFonts w:ascii="Verdana" w:hAnsi="Verdana" w:cs="Verdana"/>
          <w:sz w:val="20"/>
          <w:szCs w:val="20"/>
          <w:lang w:val="es-ES"/>
        </w:rPr>
        <w:t xml:space="preserve"> de 2003, 11 de marzo de 2005</w:t>
      </w:r>
      <w:r w:rsidR="007B5127">
        <w:rPr>
          <w:rFonts w:ascii="Verdana" w:hAnsi="Verdana" w:cs="Verdana"/>
          <w:sz w:val="20"/>
          <w:szCs w:val="20"/>
          <w:lang w:val="es-ES"/>
        </w:rPr>
        <w:t xml:space="preserve"> y</w:t>
      </w:r>
      <w:r w:rsidRPr="001C414E">
        <w:rPr>
          <w:rFonts w:ascii="Verdana" w:hAnsi="Verdana" w:cs="Verdana"/>
          <w:sz w:val="20"/>
          <w:szCs w:val="20"/>
          <w:lang w:val="es-ES"/>
        </w:rPr>
        <w:t xml:space="preserve"> 27 de enero de 2009</w:t>
      </w:r>
      <w:r>
        <w:rPr>
          <w:rFonts w:ascii="Verdana" w:hAnsi="Verdana" w:cs="Verdana"/>
          <w:sz w:val="20"/>
          <w:szCs w:val="20"/>
          <w:lang w:val="es-ES"/>
        </w:rPr>
        <w:t>. E</w:t>
      </w:r>
      <w:r w:rsidRPr="001C414E">
        <w:rPr>
          <w:rFonts w:ascii="Verdana" w:hAnsi="Verdana" w:cs="Verdana"/>
          <w:sz w:val="20"/>
          <w:szCs w:val="20"/>
          <w:lang w:val="es-ES"/>
        </w:rPr>
        <w:t xml:space="preserve">n esta última resolución la Corte resolvió, </w:t>
      </w:r>
      <w:r w:rsidR="005B080E">
        <w:rPr>
          <w:rFonts w:ascii="Verdana" w:hAnsi="Verdana" w:cs="Verdana"/>
          <w:sz w:val="20"/>
          <w:szCs w:val="20"/>
          <w:lang w:val="es-ES"/>
        </w:rPr>
        <w:t>entre otros</w:t>
      </w:r>
      <w:r w:rsidRPr="001C414E">
        <w:rPr>
          <w:rFonts w:ascii="Verdana" w:hAnsi="Verdana" w:cs="Verdana"/>
          <w:sz w:val="20"/>
          <w:szCs w:val="20"/>
          <w:lang w:val="es-ES"/>
        </w:rPr>
        <w:t>:</w:t>
      </w:r>
    </w:p>
    <w:p w:rsidR="003F627B" w:rsidRPr="001C414E" w:rsidRDefault="003F627B" w:rsidP="003F627B">
      <w:pPr>
        <w:pStyle w:val="ListParagraph"/>
        <w:autoSpaceDE w:val="0"/>
        <w:autoSpaceDN w:val="0"/>
        <w:adjustRightInd w:val="0"/>
        <w:spacing w:after="0" w:line="240" w:lineRule="auto"/>
        <w:ind w:left="0"/>
        <w:jc w:val="both"/>
        <w:rPr>
          <w:rFonts w:ascii="Verdana" w:hAnsi="Verdana" w:cs="Verdana"/>
          <w:sz w:val="20"/>
          <w:szCs w:val="20"/>
          <w:lang w:val="es-ES"/>
        </w:rPr>
      </w:pPr>
    </w:p>
    <w:p w:rsidR="003F627B" w:rsidRPr="00902126" w:rsidRDefault="003F627B" w:rsidP="003F627B">
      <w:pPr>
        <w:autoSpaceDE w:val="0"/>
        <w:autoSpaceDN w:val="0"/>
        <w:adjustRightInd w:val="0"/>
        <w:spacing w:after="0" w:line="240" w:lineRule="auto"/>
        <w:ind w:left="720"/>
        <w:jc w:val="both"/>
        <w:rPr>
          <w:rFonts w:ascii="Verdana" w:hAnsi="Verdana" w:cs="Verdana"/>
          <w:sz w:val="16"/>
          <w:szCs w:val="16"/>
          <w:lang w:val="es-ES"/>
        </w:rPr>
      </w:pPr>
      <w:r w:rsidRPr="00902126">
        <w:rPr>
          <w:rFonts w:ascii="Verdana" w:hAnsi="Verdana" w:cs="Verdana"/>
          <w:sz w:val="16"/>
          <w:szCs w:val="16"/>
          <w:lang w:val="es-ES"/>
        </w:rPr>
        <w:t>[…]</w:t>
      </w:r>
    </w:p>
    <w:p w:rsidR="003F627B" w:rsidRPr="00B95D16" w:rsidRDefault="003F627B" w:rsidP="003F627B">
      <w:pPr>
        <w:pStyle w:val="ListParagraph"/>
        <w:numPr>
          <w:ilvl w:val="0"/>
          <w:numId w:val="28"/>
        </w:numPr>
        <w:spacing w:after="0" w:line="240" w:lineRule="auto"/>
        <w:ind w:left="720" w:right="855" w:firstLine="0"/>
        <w:jc w:val="both"/>
        <w:rPr>
          <w:rFonts w:ascii="Verdana" w:hAnsi="Verdana"/>
          <w:sz w:val="16"/>
          <w:szCs w:val="16"/>
          <w:lang w:val="es-ES_tradnl"/>
        </w:rPr>
      </w:pPr>
      <w:r w:rsidRPr="00B95D16">
        <w:rPr>
          <w:rFonts w:ascii="Verdana" w:hAnsi="Verdana"/>
          <w:sz w:val="16"/>
          <w:szCs w:val="16"/>
          <w:lang w:val="es-ES_tradnl"/>
        </w:rPr>
        <w:t>Requerir al Estado que mantenga las medidas provisionales ordenadas en la Resolución de 11 de marzo de 2005.</w:t>
      </w:r>
    </w:p>
    <w:p w:rsidR="003F627B" w:rsidRPr="00B95D16" w:rsidRDefault="003F627B" w:rsidP="003F627B">
      <w:pPr>
        <w:numPr>
          <w:ilvl w:val="0"/>
          <w:numId w:val="28"/>
        </w:numPr>
        <w:spacing w:after="0" w:line="240" w:lineRule="auto"/>
        <w:ind w:left="720" w:right="855" w:firstLine="0"/>
        <w:jc w:val="both"/>
        <w:rPr>
          <w:rFonts w:ascii="Verdana" w:hAnsi="Verdana"/>
          <w:sz w:val="16"/>
          <w:szCs w:val="16"/>
          <w:lang w:val="es-ES_tradnl"/>
        </w:rPr>
      </w:pPr>
      <w:r w:rsidRPr="00B95D16">
        <w:rPr>
          <w:rFonts w:ascii="Verdana" w:hAnsi="Verdana"/>
          <w:sz w:val="16"/>
          <w:szCs w:val="16"/>
          <w:lang w:val="es-ES_tradnl"/>
        </w:rPr>
        <w:t xml:space="preserve">Solicitar, de conformidad con lo expuesto en los párrafos considerativos 56 y 57, que el Estado presente, en un plazo de cuatro meses a partir de la notificación de la </w:t>
      </w:r>
      <w:r>
        <w:rPr>
          <w:rFonts w:ascii="Verdana" w:hAnsi="Verdana"/>
          <w:sz w:val="16"/>
          <w:szCs w:val="16"/>
          <w:lang w:val="es-ES_tradnl"/>
        </w:rPr>
        <w:t xml:space="preserve">[…] </w:t>
      </w:r>
      <w:r w:rsidRPr="00B95D16">
        <w:rPr>
          <w:rFonts w:ascii="Verdana" w:hAnsi="Verdana"/>
          <w:sz w:val="16"/>
          <w:szCs w:val="16"/>
          <w:lang w:val="es-ES_tradnl"/>
        </w:rPr>
        <w:t xml:space="preserve">Resolución, información sobre la implementación de las medidas provisionales y una evaluación </w:t>
      </w:r>
      <w:r w:rsidRPr="00B95D16">
        <w:rPr>
          <w:rFonts w:ascii="Verdana" w:hAnsi="Verdana" w:cs="ArialMT"/>
          <w:sz w:val="16"/>
          <w:szCs w:val="16"/>
          <w:lang w:val="es-ES_tradnl" w:bidi="en-US"/>
        </w:rPr>
        <w:t>sobre la situación de extrema gravedad y urgencia con relación a cada uno de los beneficiarios de las medidas provisionales.</w:t>
      </w:r>
    </w:p>
    <w:p w:rsidR="003F627B" w:rsidRPr="00B95D16" w:rsidRDefault="003F627B" w:rsidP="003F627B">
      <w:pPr>
        <w:numPr>
          <w:ilvl w:val="0"/>
          <w:numId w:val="28"/>
        </w:numPr>
        <w:spacing w:after="0" w:line="240" w:lineRule="auto"/>
        <w:ind w:left="720" w:right="855" w:firstLine="0"/>
        <w:jc w:val="both"/>
        <w:rPr>
          <w:rFonts w:ascii="Verdana" w:hAnsi="Verdana"/>
          <w:sz w:val="16"/>
          <w:szCs w:val="16"/>
          <w:lang w:val="es-ES_tradnl"/>
        </w:rPr>
      </w:pPr>
      <w:r w:rsidRPr="00B95D16">
        <w:rPr>
          <w:rFonts w:ascii="Verdana" w:hAnsi="Verdana"/>
          <w:sz w:val="16"/>
          <w:szCs w:val="16"/>
          <w:lang w:val="es-ES_tradnl"/>
        </w:rPr>
        <w:t xml:space="preserve">Solicitar, de conformidad con lo expuesto en el párrafo considerativo 59 de </w:t>
      </w:r>
      <w:r>
        <w:rPr>
          <w:rFonts w:ascii="Verdana" w:hAnsi="Verdana"/>
          <w:sz w:val="16"/>
          <w:szCs w:val="16"/>
          <w:lang w:val="es-ES_tradnl"/>
        </w:rPr>
        <w:t xml:space="preserve">[la] </w:t>
      </w:r>
      <w:r w:rsidRPr="00B95D16">
        <w:rPr>
          <w:rFonts w:ascii="Verdana" w:hAnsi="Verdana"/>
          <w:sz w:val="16"/>
          <w:szCs w:val="16"/>
          <w:lang w:val="es-ES_tradnl"/>
        </w:rPr>
        <w:t>Resolución, que los representantes y el Estado presenten información que permita afirmar o desvirtuar que la falta de investigación sitúa a los beneficiarios de las medidas provisionales en circunstancias de extrema gravedad y urgencia de evitar daños irreparables para la vida e integridad personal.</w:t>
      </w:r>
    </w:p>
    <w:p w:rsidR="003F627B" w:rsidRPr="00B95D16" w:rsidRDefault="003F627B" w:rsidP="003F627B">
      <w:pPr>
        <w:numPr>
          <w:ilvl w:val="0"/>
          <w:numId w:val="28"/>
        </w:numPr>
        <w:spacing w:after="0" w:line="240" w:lineRule="auto"/>
        <w:ind w:left="720" w:right="855" w:firstLine="0"/>
        <w:jc w:val="both"/>
        <w:rPr>
          <w:rFonts w:ascii="Verdana" w:hAnsi="Verdana"/>
          <w:sz w:val="16"/>
          <w:szCs w:val="16"/>
          <w:lang w:val="es-ES_tradnl"/>
        </w:rPr>
      </w:pPr>
      <w:r w:rsidRPr="00B95D16">
        <w:rPr>
          <w:rFonts w:ascii="Verdana" w:hAnsi="Verdana"/>
          <w:sz w:val="16"/>
          <w:szCs w:val="16"/>
          <w:lang w:val="es-ES_tradnl"/>
        </w:rPr>
        <w:t xml:space="preserve">Solicitar a la Comisión Interamericana que presente observaciones a los informes del Estado y de los representantes mencionados en los puntos resolutivos quinto y sexto </w:t>
      </w:r>
      <w:r w:rsidRPr="00A40BF0">
        <w:rPr>
          <w:rFonts w:ascii="Verdana" w:hAnsi="Verdana"/>
          <w:sz w:val="16"/>
          <w:szCs w:val="16"/>
          <w:lang w:val="es-ES_tradnl"/>
        </w:rPr>
        <w:t xml:space="preserve">[…] </w:t>
      </w:r>
      <w:r w:rsidRPr="00B95D16">
        <w:rPr>
          <w:rFonts w:ascii="Verdana" w:hAnsi="Verdana"/>
          <w:sz w:val="16"/>
          <w:szCs w:val="16"/>
          <w:lang w:val="es-ES_tradnl"/>
        </w:rPr>
        <w:t>en el plazo de cuatro semanas, contado a partir de la recepción de dicho informe.</w:t>
      </w:r>
    </w:p>
    <w:p w:rsidR="003F627B" w:rsidRDefault="003F627B" w:rsidP="003F627B">
      <w:pPr>
        <w:spacing w:after="0" w:line="240" w:lineRule="auto"/>
        <w:ind w:left="720"/>
        <w:jc w:val="both"/>
        <w:rPr>
          <w:rFonts w:ascii="Verdana" w:hAnsi="Verdana"/>
          <w:sz w:val="16"/>
          <w:szCs w:val="16"/>
          <w:lang w:val="es-ES_tradnl"/>
        </w:rPr>
      </w:pPr>
      <w:r w:rsidRPr="00BA303D">
        <w:rPr>
          <w:rFonts w:ascii="Verdana" w:hAnsi="Verdana"/>
          <w:sz w:val="16"/>
          <w:szCs w:val="16"/>
          <w:lang w:val="es-ES_tradnl"/>
        </w:rPr>
        <w:t>[…]</w:t>
      </w:r>
    </w:p>
    <w:p w:rsidR="003F627B" w:rsidRPr="00BA303D" w:rsidRDefault="003F627B" w:rsidP="003F627B">
      <w:pPr>
        <w:spacing w:after="0" w:line="240" w:lineRule="auto"/>
        <w:ind w:firstLine="567"/>
        <w:jc w:val="both"/>
        <w:rPr>
          <w:rFonts w:ascii="Verdana" w:hAnsi="Verdana"/>
          <w:sz w:val="16"/>
          <w:szCs w:val="16"/>
          <w:lang w:val="es-ES_tradnl"/>
        </w:rPr>
      </w:pPr>
    </w:p>
    <w:p w:rsidR="003F627B" w:rsidRPr="001C414E" w:rsidRDefault="003F627B" w:rsidP="003F627B">
      <w:pPr>
        <w:spacing w:line="240" w:lineRule="auto"/>
        <w:jc w:val="both"/>
        <w:rPr>
          <w:rFonts w:ascii="Verdana" w:hAnsi="Verdana" w:cs="Verdana"/>
          <w:sz w:val="20"/>
          <w:szCs w:val="20"/>
          <w:lang w:val="es-ES"/>
        </w:rPr>
      </w:pPr>
      <w:r>
        <w:rPr>
          <w:rFonts w:ascii="Verdana" w:hAnsi="Verdana" w:cs="Verdana"/>
          <w:sz w:val="20"/>
          <w:szCs w:val="20"/>
          <w:lang w:val="es-ES"/>
        </w:rPr>
        <w:t>2</w:t>
      </w:r>
      <w:r w:rsidR="00AA3571">
        <w:rPr>
          <w:rFonts w:ascii="Verdana" w:hAnsi="Verdana" w:cs="Verdana"/>
          <w:sz w:val="20"/>
          <w:szCs w:val="20"/>
          <w:lang w:val="es-ES"/>
        </w:rPr>
        <w:t>.</w:t>
      </w:r>
      <w:r w:rsidRPr="001C414E">
        <w:rPr>
          <w:rFonts w:ascii="Verdana" w:hAnsi="Verdana" w:cs="Verdana"/>
          <w:sz w:val="20"/>
          <w:szCs w:val="20"/>
          <w:lang w:val="es-ES"/>
        </w:rPr>
        <w:tab/>
        <w:t xml:space="preserve">Los escritos presentados por la República de Guatemala (en adelante </w:t>
      </w:r>
      <w:r>
        <w:rPr>
          <w:rFonts w:ascii="Verdana" w:hAnsi="Verdana" w:cs="Verdana"/>
          <w:sz w:val="20"/>
          <w:szCs w:val="20"/>
          <w:lang w:val="es-ES"/>
        </w:rPr>
        <w:t xml:space="preserve">también “el Estado” o </w:t>
      </w:r>
      <w:r w:rsidRPr="001C414E">
        <w:rPr>
          <w:rFonts w:ascii="Verdana" w:hAnsi="Verdana" w:cs="Verdana"/>
          <w:sz w:val="20"/>
          <w:szCs w:val="20"/>
          <w:lang w:val="es-ES"/>
        </w:rPr>
        <w:t>“Guatemala”)</w:t>
      </w:r>
      <w:r w:rsidR="002A7B14">
        <w:rPr>
          <w:rFonts w:ascii="Verdana" w:hAnsi="Verdana" w:cs="Verdana"/>
          <w:sz w:val="20"/>
          <w:szCs w:val="20"/>
          <w:lang w:val="es-ES"/>
        </w:rPr>
        <w:t xml:space="preserve"> de</w:t>
      </w:r>
      <w:r>
        <w:rPr>
          <w:rFonts w:ascii="Verdana" w:hAnsi="Verdana" w:cs="Verdana"/>
          <w:sz w:val="20"/>
          <w:szCs w:val="20"/>
          <w:lang w:val="es-ES"/>
        </w:rPr>
        <w:t xml:space="preserve"> </w:t>
      </w:r>
      <w:r w:rsidRPr="005F70A7">
        <w:rPr>
          <w:rFonts w:ascii="Verdana" w:hAnsi="Verdana" w:cs="Verdana"/>
          <w:sz w:val="20"/>
          <w:szCs w:val="20"/>
          <w:lang w:val="es-ES"/>
        </w:rPr>
        <w:t xml:space="preserve">16 de febrero, 9 de junio y 18 de septiembre de 2009; 27 de abril y </w:t>
      </w:r>
      <w:r w:rsidR="00615585" w:rsidRPr="005F70A7">
        <w:rPr>
          <w:rFonts w:ascii="Verdana" w:hAnsi="Verdana" w:cs="Verdana"/>
          <w:sz w:val="20"/>
          <w:szCs w:val="20"/>
          <w:lang w:val="es-ES"/>
        </w:rPr>
        <w:t>8</w:t>
      </w:r>
      <w:r w:rsidRPr="005F70A7">
        <w:rPr>
          <w:rFonts w:ascii="Verdana" w:hAnsi="Verdana" w:cs="Verdana"/>
          <w:sz w:val="20"/>
          <w:szCs w:val="20"/>
          <w:lang w:val="es-ES"/>
        </w:rPr>
        <w:t xml:space="preserve"> de septiembre de 2010</w:t>
      </w:r>
      <w:r w:rsidR="007B5127">
        <w:rPr>
          <w:rFonts w:ascii="Verdana" w:hAnsi="Verdana" w:cs="Verdana"/>
          <w:sz w:val="20"/>
          <w:szCs w:val="20"/>
          <w:lang w:val="es-ES"/>
        </w:rPr>
        <w:t>;</w:t>
      </w:r>
      <w:r w:rsidRPr="005F70A7">
        <w:rPr>
          <w:rFonts w:ascii="Verdana" w:hAnsi="Verdana" w:cs="Verdana"/>
          <w:sz w:val="20"/>
          <w:szCs w:val="20"/>
          <w:lang w:val="es-ES"/>
        </w:rPr>
        <w:t xml:space="preserve"> 14 de enero, 3 de mayo y 7 de octubre de 2011; </w:t>
      </w:r>
      <w:r w:rsidR="00991CB4" w:rsidRPr="005F70A7">
        <w:rPr>
          <w:rFonts w:ascii="Verdana" w:hAnsi="Verdana" w:cs="Verdana"/>
          <w:sz w:val="20"/>
          <w:szCs w:val="20"/>
          <w:lang w:val="es-ES"/>
        </w:rPr>
        <w:t>1</w:t>
      </w:r>
      <w:r w:rsidRPr="005F70A7">
        <w:rPr>
          <w:rFonts w:ascii="Verdana" w:hAnsi="Verdana" w:cs="Verdana"/>
          <w:sz w:val="20"/>
          <w:szCs w:val="20"/>
          <w:lang w:val="es-ES"/>
        </w:rPr>
        <w:t>0 de febrero</w:t>
      </w:r>
      <w:r w:rsidRPr="005F70A7">
        <w:rPr>
          <w:rFonts w:ascii="Verdana" w:hAnsi="Verdana" w:cs="Verdana"/>
          <w:b/>
          <w:sz w:val="20"/>
          <w:szCs w:val="20"/>
          <w:lang w:val="es-ES"/>
        </w:rPr>
        <w:t xml:space="preserve"> </w:t>
      </w:r>
      <w:r w:rsidRPr="005F70A7">
        <w:rPr>
          <w:rFonts w:ascii="Verdana" w:hAnsi="Verdana" w:cs="Verdana"/>
          <w:sz w:val="20"/>
          <w:szCs w:val="20"/>
          <w:lang w:val="es-ES"/>
        </w:rPr>
        <w:t>y 26 de junio de 2012; 9 de enero y 9 de mayo de 2013; 19 de diciembre de 2014</w:t>
      </w:r>
      <w:r w:rsidR="003625B8">
        <w:rPr>
          <w:rFonts w:ascii="Verdana" w:hAnsi="Verdana" w:cs="Verdana"/>
          <w:sz w:val="20"/>
          <w:szCs w:val="20"/>
          <w:lang w:val="es-ES"/>
        </w:rPr>
        <w:t>,</w:t>
      </w:r>
      <w:r w:rsidR="00E5695F">
        <w:rPr>
          <w:rFonts w:ascii="Verdana" w:hAnsi="Verdana" w:cs="Verdana"/>
          <w:sz w:val="20"/>
          <w:szCs w:val="20"/>
          <w:lang w:val="es-ES"/>
        </w:rPr>
        <w:t xml:space="preserve"> </w:t>
      </w:r>
      <w:r w:rsidR="003625B8">
        <w:rPr>
          <w:rFonts w:ascii="Verdana" w:hAnsi="Verdana" w:cs="Verdana"/>
          <w:sz w:val="20"/>
          <w:szCs w:val="20"/>
          <w:lang w:val="es-ES"/>
        </w:rPr>
        <w:t xml:space="preserve">y </w:t>
      </w:r>
      <w:r w:rsidRPr="005F70A7">
        <w:rPr>
          <w:rFonts w:ascii="Verdana" w:hAnsi="Verdana" w:cs="Verdana"/>
          <w:sz w:val="20"/>
          <w:szCs w:val="20"/>
          <w:lang w:val="es-ES"/>
        </w:rPr>
        <w:t>26 de abril</w:t>
      </w:r>
      <w:r w:rsidR="00E66C47" w:rsidRPr="000D3C49">
        <w:rPr>
          <w:rFonts w:ascii="Verdana" w:hAnsi="Verdana" w:cs="Verdana"/>
          <w:sz w:val="20"/>
          <w:szCs w:val="20"/>
          <w:lang w:val="es-ES"/>
        </w:rPr>
        <w:t xml:space="preserve"> y 1</w:t>
      </w:r>
      <w:r w:rsidR="00E752CD" w:rsidRPr="000D3C49">
        <w:rPr>
          <w:rFonts w:ascii="Verdana" w:hAnsi="Verdana" w:cs="Verdana"/>
          <w:sz w:val="20"/>
          <w:szCs w:val="20"/>
          <w:lang w:val="es-ES"/>
        </w:rPr>
        <w:t>1</w:t>
      </w:r>
      <w:r w:rsidR="00E66C47" w:rsidRPr="000D3C49">
        <w:rPr>
          <w:rFonts w:ascii="Verdana" w:hAnsi="Verdana" w:cs="Verdana"/>
          <w:sz w:val="20"/>
          <w:szCs w:val="20"/>
          <w:lang w:val="es-ES"/>
        </w:rPr>
        <w:t xml:space="preserve"> de agosto </w:t>
      </w:r>
      <w:r w:rsidRPr="000D3C49">
        <w:rPr>
          <w:rFonts w:ascii="Verdana" w:hAnsi="Verdana" w:cs="Verdana"/>
          <w:sz w:val="20"/>
          <w:szCs w:val="20"/>
          <w:lang w:val="es-ES"/>
        </w:rPr>
        <w:t>de 2016</w:t>
      </w:r>
      <w:r w:rsidRPr="001C414E">
        <w:rPr>
          <w:rFonts w:ascii="Verdana" w:hAnsi="Verdana" w:cs="Verdana"/>
          <w:sz w:val="20"/>
          <w:szCs w:val="20"/>
          <w:lang w:val="es-ES"/>
        </w:rPr>
        <w:t xml:space="preserve">, mediante los cuales </w:t>
      </w:r>
      <w:r w:rsidR="007B5127">
        <w:rPr>
          <w:rFonts w:ascii="Verdana" w:hAnsi="Verdana" w:cs="Verdana"/>
          <w:sz w:val="20"/>
          <w:szCs w:val="20"/>
          <w:lang w:val="es-ES"/>
        </w:rPr>
        <w:t xml:space="preserve">presentó </w:t>
      </w:r>
      <w:r w:rsidRPr="001C414E">
        <w:rPr>
          <w:rFonts w:ascii="Verdana" w:hAnsi="Verdana" w:cs="Verdana"/>
          <w:sz w:val="20"/>
          <w:szCs w:val="20"/>
          <w:lang w:val="es-ES"/>
        </w:rPr>
        <w:t>inform</w:t>
      </w:r>
      <w:r w:rsidR="007B5127">
        <w:rPr>
          <w:rFonts w:ascii="Verdana" w:hAnsi="Verdana" w:cs="Verdana"/>
          <w:sz w:val="20"/>
          <w:szCs w:val="20"/>
          <w:lang w:val="es-ES"/>
        </w:rPr>
        <w:t>ación</w:t>
      </w:r>
      <w:r w:rsidRPr="001C414E">
        <w:rPr>
          <w:rFonts w:ascii="Verdana" w:hAnsi="Verdana" w:cs="Verdana"/>
          <w:sz w:val="20"/>
          <w:szCs w:val="20"/>
          <w:lang w:val="es-ES"/>
        </w:rPr>
        <w:t xml:space="preserve"> relacionad</w:t>
      </w:r>
      <w:r w:rsidR="007B5127">
        <w:rPr>
          <w:rFonts w:ascii="Verdana" w:hAnsi="Verdana" w:cs="Verdana"/>
          <w:sz w:val="20"/>
          <w:szCs w:val="20"/>
          <w:lang w:val="es-ES"/>
        </w:rPr>
        <w:t>a</w:t>
      </w:r>
      <w:r w:rsidRPr="001C414E">
        <w:rPr>
          <w:rFonts w:ascii="Verdana" w:hAnsi="Verdana" w:cs="Verdana"/>
          <w:sz w:val="20"/>
          <w:szCs w:val="20"/>
          <w:lang w:val="es-ES"/>
        </w:rPr>
        <w:t xml:space="preserve"> con medidas provisionales.</w:t>
      </w:r>
    </w:p>
    <w:p w:rsidR="003F627B" w:rsidRPr="00DF1F83" w:rsidRDefault="003F627B" w:rsidP="003F627B">
      <w:pPr>
        <w:pStyle w:val="ListParagraph"/>
        <w:numPr>
          <w:ilvl w:val="0"/>
          <w:numId w:val="2"/>
        </w:numPr>
        <w:autoSpaceDE w:val="0"/>
        <w:autoSpaceDN w:val="0"/>
        <w:adjustRightInd w:val="0"/>
        <w:spacing w:after="0" w:line="240" w:lineRule="auto"/>
        <w:ind w:left="0" w:firstLine="0"/>
        <w:jc w:val="both"/>
        <w:rPr>
          <w:rFonts w:ascii="Verdana" w:hAnsi="Verdana" w:cs="Verdana"/>
          <w:sz w:val="20"/>
          <w:szCs w:val="20"/>
          <w:lang w:val="es-ES"/>
        </w:rPr>
      </w:pPr>
      <w:r w:rsidRPr="00DF1F83">
        <w:rPr>
          <w:rFonts w:ascii="Verdana" w:hAnsi="Verdana" w:cs="Verdana"/>
          <w:sz w:val="20"/>
          <w:szCs w:val="20"/>
          <w:lang w:val="es-ES"/>
        </w:rPr>
        <w:t>Los escritos presentados por los representantes de los beneficiarios de las medidas provisionales (en adelante</w:t>
      </w:r>
      <w:r>
        <w:rPr>
          <w:rFonts w:ascii="Verdana" w:hAnsi="Verdana" w:cs="Verdana"/>
          <w:sz w:val="20"/>
          <w:szCs w:val="20"/>
          <w:lang w:val="es-ES"/>
        </w:rPr>
        <w:t xml:space="preserve"> también </w:t>
      </w:r>
      <w:r w:rsidRPr="00DF1F83">
        <w:rPr>
          <w:rFonts w:ascii="Verdana" w:hAnsi="Verdana" w:cs="Verdana"/>
          <w:sz w:val="20"/>
          <w:szCs w:val="20"/>
          <w:lang w:val="es-ES"/>
        </w:rPr>
        <w:t xml:space="preserve">“los representantes”) de </w:t>
      </w:r>
      <w:r w:rsidRPr="005F70A7">
        <w:rPr>
          <w:rFonts w:ascii="Verdana" w:hAnsi="Verdana" w:cs="Verdana"/>
          <w:sz w:val="20"/>
          <w:szCs w:val="20"/>
          <w:lang w:val="es-ES"/>
        </w:rPr>
        <w:t>3 de abril, 9 de junio, 4 de agosto y 30 de octubre de 2009; 11 de junio y 20 de octubre de 2010; 16 de febrero</w:t>
      </w:r>
      <w:r w:rsidR="003F250B" w:rsidRPr="005F70A7">
        <w:rPr>
          <w:rFonts w:ascii="Verdana" w:hAnsi="Verdana" w:cs="Verdana"/>
          <w:sz w:val="20"/>
          <w:szCs w:val="20"/>
          <w:lang w:val="es-ES"/>
        </w:rPr>
        <w:t>, 15 de abril</w:t>
      </w:r>
      <w:r w:rsidRPr="005F70A7">
        <w:rPr>
          <w:rFonts w:ascii="Verdana" w:hAnsi="Verdana" w:cs="Verdana"/>
          <w:sz w:val="20"/>
          <w:szCs w:val="20"/>
          <w:lang w:val="es-ES"/>
        </w:rPr>
        <w:t xml:space="preserve"> y 18 de noviembre de 2011; 27 de marzo y 7 de agosto de 2012; 20 de febrero y 21 de junio de 2013</w:t>
      </w:r>
      <w:r w:rsidRPr="00DF1F83">
        <w:rPr>
          <w:rFonts w:ascii="Verdana" w:hAnsi="Verdana" w:cs="Verdana"/>
          <w:sz w:val="20"/>
          <w:szCs w:val="20"/>
          <w:lang w:val="es-ES"/>
        </w:rPr>
        <w:t xml:space="preserve">; 27 de mayo y </w:t>
      </w:r>
      <w:r w:rsidRPr="005F70A7">
        <w:rPr>
          <w:rFonts w:ascii="Verdana" w:hAnsi="Verdana" w:cs="Verdana"/>
          <w:sz w:val="20"/>
          <w:szCs w:val="20"/>
          <w:lang w:val="es-ES"/>
        </w:rPr>
        <w:t>8 de septiembre de 2015</w:t>
      </w:r>
      <w:r w:rsidR="005B080E" w:rsidRPr="005F70A7">
        <w:rPr>
          <w:rFonts w:ascii="Verdana" w:hAnsi="Verdana" w:cs="Verdana"/>
          <w:sz w:val="20"/>
          <w:szCs w:val="20"/>
          <w:lang w:val="es-ES"/>
        </w:rPr>
        <w:t>;</w:t>
      </w:r>
      <w:r w:rsidRPr="005F70A7">
        <w:rPr>
          <w:rFonts w:ascii="Verdana" w:hAnsi="Verdana" w:cs="Verdana"/>
          <w:sz w:val="20"/>
          <w:szCs w:val="20"/>
          <w:lang w:val="es-ES"/>
        </w:rPr>
        <w:t xml:space="preserve"> 1 y 15 de abril</w:t>
      </w:r>
      <w:r w:rsidR="00680D84" w:rsidRPr="005F70A7">
        <w:rPr>
          <w:rFonts w:ascii="Verdana" w:hAnsi="Verdana" w:cs="Verdana"/>
          <w:sz w:val="20"/>
          <w:szCs w:val="20"/>
          <w:lang w:val="es-ES"/>
        </w:rPr>
        <w:t xml:space="preserve">, 2 de junio de 2016, </w:t>
      </w:r>
      <w:r w:rsidR="00B07B96" w:rsidRPr="000D3C49">
        <w:rPr>
          <w:rFonts w:ascii="Verdana" w:hAnsi="Verdana" w:cs="Verdana"/>
          <w:sz w:val="20"/>
          <w:szCs w:val="20"/>
          <w:lang w:val="es-ES"/>
        </w:rPr>
        <w:t xml:space="preserve">y 11 de agosto </w:t>
      </w:r>
      <w:r w:rsidRPr="005F70A7">
        <w:rPr>
          <w:rFonts w:ascii="Verdana" w:hAnsi="Verdana" w:cs="Verdana"/>
          <w:sz w:val="20"/>
          <w:szCs w:val="20"/>
          <w:lang w:val="es-ES"/>
        </w:rPr>
        <w:t>de 2016</w:t>
      </w:r>
      <w:r w:rsidRPr="00DF1F83">
        <w:rPr>
          <w:rFonts w:ascii="Verdana" w:hAnsi="Verdana" w:cs="Verdana"/>
          <w:sz w:val="20"/>
          <w:szCs w:val="20"/>
          <w:lang w:val="es-ES"/>
        </w:rPr>
        <w:t>, mediante los cuales remitieron sus observaciones a los informes del Estado.</w:t>
      </w:r>
    </w:p>
    <w:p w:rsidR="003F627B" w:rsidRPr="001C414E" w:rsidRDefault="003F627B" w:rsidP="003F627B">
      <w:pPr>
        <w:pStyle w:val="ListParagraph"/>
        <w:autoSpaceDE w:val="0"/>
        <w:autoSpaceDN w:val="0"/>
        <w:adjustRightInd w:val="0"/>
        <w:spacing w:after="0" w:line="240" w:lineRule="auto"/>
        <w:ind w:left="0"/>
        <w:jc w:val="both"/>
        <w:rPr>
          <w:rFonts w:ascii="Verdana" w:hAnsi="Verdana" w:cs="Verdana"/>
          <w:sz w:val="20"/>
          <w:szCs w:val="20"/>
          <w:lang w:val="es-ES"/>
        </w:rPr>
      </w:pPr>
    </w:p>
    <w:p w:rsidR="003F627B" w:rsidRPr="00940827" w:rsidRDefault="003F627B" w:rsidP="003F627B">
      <w:pPr>
        <w:pStyle w:val="ListParagraph"/>
        <w:numPr>
          <w:ilvl w:val="0"/>
          <w:numId w:val="2"/>
        </w:numPr>
        <w:autoSpaceDE w:val="0"/>
        <w:autoSpaceDN w:val="0"/>
        <w:adjustRightInd w:val="0"/>
        <w:spacing w:after="0" w:line="240" w:lineRule="auto"/>
        <w:ind w:left="0" w:firstLine="0"/>
        <w:jc w:val="both"/>
        <w:rPr>
          <w:rFonts w:ascii="Verdana" w:hAnsi="Verdana" w:cs="Verdana"/>
          <w:sz w:val="20"/>
          <w:szCs w:val="20"/>
          <w:lang w:val="es-ES"/>
        </w:rPr>
      </w:pPr>
      <w:r w:rsidRPr="001C414E">
        <w:rPr>
          <w:rFonts w:ascii="Verdana" w:hAnsi="Verdana" w:cs="Verdana"/>
          <w:sz w:val="20"/>
          <w:szCs w:val="20"/>
          <w:lang w:val="es-ES"/>
        </w:rPr>
        <w:lastRenderedPageBreak/>
        <w:t xml:space="preserve">Los escritos presentados por la Comisión Interamericana de Derechos Humanos (en adelante </w:t>
      </w:r>
      <w:r>
        <w:rPr>
          <w:rFonts w:ascii="Verdana" w:hAnsi="Verdana" w:cs="Verdana"/>
          <w:sz w:val="20"/>
          <w:szCs w:val="20"/>
          <w:lang w:val="es-ES"/>
        </w:rPr>
        <w:t xml:space="preserve">también </w:t>
      </w:r>
      <w:r w:rsidRPr="001C414E">
        <w:rPr>
          <w:rFonts w:ascii="Verdana" w:hAnsi="Verdana" w:cs="Verdana"/>
          <w:sz w:val="20"/>
          <w:szCs w:val="20"/>
          <w:lang w:val="es-ES"/>
        </w:rPr>
        <w:t>“la Comisión Interamericana” o “la Comisión”)</w:t>
      </w:r>
      <w:r w:rsidR="002A7B14">
        <w:rPr>
          <w:rFonts w:ascii="Verdana" w:hAnsi="Verdana" w:cs="Verdana"/>
          <w:sz w:val="20"/>
          <w:szCs w:val="20"/>
          <w:lang w:val="es-ES"/>
        </w:rPr>
        <w:t xml:space="preserve"> de</w:t>
      </w:r>
      <w:r w:rsidR="003625B8">
        <w:rPr>
          <w:rFonts w:ascii="Verdana" w:hAnsi="Verdana" w:cs="Verdana"/>
          <w:sz w:val="20"/>
          <w:szCs w:val="20"/>
          <w:lang w:val="es-ES"/>
        </w:rPr>
        <w:t xml:space="preserve"> </w:t>
      </w:r>
      <w:r w:rsidRPr="005F70A7">
        <w:rPr>
          <w:rFonts w:ascii="Verdana" w:hAnsi="Verdana" w:cs="Verdana"/>
          <w:sz w:val="20"/>
          <w:szCs w:val="20"/>
          <w:lang w:val="es-ES"/>
        </w:rPr>
        <w:t>23 de abril y 14 de julio de 2009; 19 de enero y 30 de julio de 2010; 17 de mayo y 21 de diciembre de 2011; 11 de abril y 20 de agosto de 2012; 3 de abril y 26 de julio de 2013; 4 de agosto de 201</w:t>
      </w:r>
      <w:r w:rsidR="00AD3289" w:rsidRPr="005F70A7">
        <w:rPr>
          <w:rFonts w:ascii="Verdana" w:hAnsi="Verdana" w:cs="Verdana"/>
          <w:sz w:val="20"/>
          <w:szCs w:val="20"/>
          <w:lang w:val="es-ES"/>
        </w:rPr>
        <w:t>5</w:t>
      </w:r>
      <w:r w:rsidRPr="005F70A7">
        <w:rPr>
          <w:rFonts w:ascii="Verdana" w:hAnsi="Verdana" w:cs="Verdana"/>
          <w:sz w:val="20"/>
          <w:szCs w:val="20"/>
          <w:lang w:val="es-ES"/>
        </w:rPr>
        <w:t>, y</w:t>
      </w:r>
      <w:r w:rsidRPr="005F70A7">
        <w:rPr>
          <w:rFonts w:ascii="Verdana" w:hAnsi="Verdana" w:cs="Verdana"/>
          <w:b/>
          <w:sz w:val="20"/>
          <w:szCs w:val="20"/>
          <w:lang w:val="es-ES"/>
        </w:rPr>
        <w:t xml:space="preserve"> </w:t>
      </w:r>
      <w:r w:rsidRPr="005F70A7">
        <w:rPr>
          <w:rFonts w:ascii="Verdana" w:hAnsi="Verdana"/>
          <w:sz w:val="20"/>
          <w:szCs w:val="20"/>
          <w:lang w:val="es-MX"/>
        </w:rPr>
        <w:t>7 de junio de 2016</w:t>
      </w:r>
      <w:r w:rsidRPr="005F70A7">
        <w:rPr>
          <w:rFonts w:ascii="Verdana" w:hAnsi="Verdana" w:cs="Verdana"/>
          <w:sz w:val="20"/>
          <w:szCs w:val="20"/>
          <w:lang w:val="es-ES"/>
        </w:rPr>
        <w:t>,</w:t>
      </w:r>
      <w:r w:rsidRPr="001C414E">
        <w:rPr>
          <w:rFonts w:ascii="Verdana" w:hAnsi="Verdana" w:cs="Verdana"/>
          <w:sz w:val="20"/>
          <w:szCs w:val="20"/>
          <w:lang w:val="es-ES"/>
        </w:rPr>
        <w:t xml:space="preserve"> mediante los cuales remitió sus observaciones a la inf</w:t>
      </w:r>
      <w:r>
        <w:rPr>
          <w:rFonts w:ascii="Verdana" w:hAnsi="Verdana" w:cs="Verdana"/>
          <w:sz w:val="20"/>
          <w:szCs w:val="20"/>
          <w:lang w:val="es-ES"/>
        </w:rPr>
        <w:t>ormación brindada por el Estado</w:t>
      </w:r>
      <w:r w:rsidR="00AE109E">
        <w:rPr>
          <w:rFonts w:ascii="Verdana" w:hAnsi="Verdana" w:cs="Verdana"/>
          <w:sz w:val="20"/>
          <w:szCs w:val="20"/>
          <w:lang w:val="es-ES"/>
        </w:rPr>
        <w:t>.</w:t>
      </w:r>
    </w:p>
    <w:p w:rsidR="003F627B" w:rsidRDefault="003F627B" w:rsidP="003F627B">
      <w:pPr>
        <w:pStyle w:val="ListParagraph"/>
        <w:autoSpaceDE w:val="0"/>
        <w:autoSpaceDN w:val="0"/>
        <w:adjustRightInd w:val="0"/>
        <w:spacing w:after="0" w:line="240" w:lineRule="auto"/>
        <w:ind w:left="0"/>
        <w:jc w:val="both"/>
        <w:rPr>
          <w:rFonts w:ascii="Verdana" w:hAnsi="Verdana" w:cs="Verdana"/>
          <w:b/>
          <w:sz w:val="20"/>
          <w:szCs w:val="20"/>
          <w:lang w:val="es-ES"/>
        </w:rPr>
      </w:pPr>
    </w:p>
    <w:p w:rsidR="003F627B" w:rsidRPr="001C414E" w:rsidRDefault="003F627B" w:rsidP="003F627B">
      <w:pPr>
        <w:pStyle w:val="ListParagraph"/>
        <w:autoSpaceDE w:val="0"/>
        <w:autoSpaceDN w:val="0"/>
        <w:adjustRightInd w:val="0"/>
        <w:spacing w:after="0" w:line="240" w:lineRule="auto"/>
        <w:ind w:left="0"/>
        <w:jc w:val="both"/>
        <w:rPr>
          <w:rFonts w:ascii="Verdana" w:hAnsi="Verdana" w:cs="Verdana"/>
          <w:b/>
          <w:sz w:val="20"/>
          <w:szCs w:val="20"/>
          <w:lang w:val="es-ES"/>
        </w:rPr>
      </w:pPr>
      <w:r w:rsidRPr="001C414E">
        <w:rPr>
          <w:rFonts w:ascii="Verdana" w:hAnsi="Verdana" w:cs="Verdana"/>
          <w:b/>
          <w:sz w:val="20"/>
          <w:szCs w:val="20"/>
          <w:lang w:val="es-ES"/>
        </w:rPr>
        <w:t xml:space="preserve">CONSIDERANDO QUE: </w:t>
      </w:r>
    </w:p>
    <w:p w:rsidR="003F627B" w:rsidRPr="001C414E" w:rsidRDefault="003F627B" w:rsidP="003F627B">
      <w:pPr>
        <w:pStyle w:val="ListParagraph"/>
        <w:autoSpaceDE w:val="0"/>
        <w:autoSpaceDN w:val="0"/>
        <w:adjustRightInd w:val="0"/>
        <w:spacing w:after="0" w:line="240" w:lineRule="auto"/>
        <w:ind w:left="0"/>
        <w:jc w:val="both"/>
        <w:rPr>
          <w:rFonts w:ascii="Verdana" w:hAnsi="Verdana" w:cs="Verdana"/>
          <w:sz w:val="20"/>
          <w:szCs w:val="20"/>
          <w:lang w:val="es-ES"/>
        </w:rPr>
      </w:pPr>
    </w:p>
    <w:p w:rsidR="003F627B" w:rsidRPr="001C414E" w:rsidRDefault="003F627B" w:rsidP="003F627B">
      <w:pPr>
        <w:pStyle w:val="ListParagraph"/>
        <w:numPr>
          <w:ilvl w:val="0"/>
          <w:numId w:val="29"/>
        </w:numPr>
        <w:autoSpaceDE w:val="0"/>
        <w:autoSpaceDN w:val="0"/>
        <w:adjustRightInd w:val="0"/>
        <w:spacing w:after="0" w:line="240" w:lineRule="auto"/>
        <w:ind w:left="0" w:firstLine="0"/>
        <w:jc w:val="both"/>
        <w:rPr>
          <w:rFonts w:ascii="Verdana" w:hAnsi="Verdana" w:cs="Verdana"/>
          <w:sz w:val="20"/>
          <w:szCs w:val="20"/>
          <w:lang w:val="es-ES"/>
        </w:rPr>
      </w:pPr>
      <w:r w:rsidRPr="001C414E">
        <w:rPr>
          <w:rFonts w:ascii="Verdana" w:hAnsi="Verdana" w:cs="Verdana"/>
          <w:sz w:val="20"/>
          <w:szCs w:val="20"/>
          <w:lang w:val="es-ES"/>
        </w:rPr>
        <w:t>Guatemala es Estado parte en la Convención Americana</w:t>
      </w:r>
      <w:r>
        <w:rPr>
          <w:rFonts w:ascii="Verdana" w:hAnsi="Verdana" w:cs="Verdana"/>
          <w:sz w:val="20"/>
          <w:szCs w:val="20"/>
          <w:lang w:val="es-ES"/>
        </w:rPr>
        <w:t xml:space="preserve"> sobre Derechos Humanos</w:t>
      </w:r>
      <w:r w:rsidRPr="001C414E">
        <w:rPr>
          <w:rFonts w:ascii="Verdana" w:hAnsi="Verdana" w:cs="Verdana"/>
          <w:sz w:val="20"/>
          <w:szCs w:val="20"/>
          <w:lang w:val="es-ES"/>
        </w:rPr>
        <w:t xml:space="preserve"> </w:t>
      </w:r>
      <w:r>
        <w:rPr>
          <w:rFonts w:ascii="Verdana" w:hAnsi="Verdana" w:cs="Verdana"/>
          <w:sz w:val="20"/>
          <w:szCs w:val="20"/>
          <w:lang w:val="es-ES"/>
        </w:rPr>
        <w:t xml:space="preserve">(en adelante también “la Convención Americana” o “la Convención”) </w:t>
      </w:r>
      <w:r w:rsidRPr="001C414E">
        <w:rPr>
          <w:rFonts w:ascii="Verdana" w:hAnsi="Verdana" w:cs="Verdana"/>
          <w:sz w:val="20"/>
          <w:szCs w:val="20"/>
          <w:lang w:val="es-ES"/>
        </w:rPr>
        <w:t>desde el 25 de mayo de 1978 y reconoció la competencia de la Corte el 9 de marzo de 1987.</w:t>
      </w:r>
    </w:p>
    <w:p w:rsidR="003F627B" w:rsidRPr="001C414E" w:rsidRDefault="003F627B" w:rsidP="003F627B">
      <w:pPr>
        <w:pStyle w:val="ListParagraph"/>
        <w:autoSpaceDE w:val="0"/>
        <w:autoSpaceDN w:val="0"/>
        <w:adjustRightInd w:val="0"/>
        <w:spacing w:after="0" w:line="240" w:lineRule="auto"/>
        <w:ind w:left="0"/>
        <w:jc w:val="both"/>
        <w:rPr>
          <w:rFonts w:ascii="Verdana" w:hAnsi="Verdana" w:cs="Verdana"/>
          <w:sz w:val="20"/>
          <w:szCs w:val="20"/>
          <w:lang w:val="es-ES"/>
        </w:rPr>
      </w:pPr>
    </w:p>
    <w:p w:rsidR="003F627B" w:rsidRDefault="003F627B" w:rsidP="003F627B">
      <w:pPr>
        <w:pStyle w:val="ListParagraph"/>
        <w:numPr>
          <w:ilvl w:val="0"/>
          <w:numId w:val="29"/>
        </w:numPr>
        <w:autoSpaceDE w:val="0"/>
        <w:autoSpaceDN w:val="0"/>
        <w:adjustRightInd w:val="0"/>
        <w:spacing w:after="0" w:line="240" w:lineRule="auto"/>
        <w:ind w:left="0" w:firstLine="0"/>
        <w:jc w:val="both"/>
        <w:rPr>
          <w:rFonts w:ascii="Verdana" w:hAnsi="Verdana" w:cs="Verdana"/>
          <w:sz w:val="20"/>
          <w:szCs w:val="20"/>
          <w:lang w:val="es-ES"/>
        </w:rPr>
      </w:pPr>
      <w:r w:rsidRPr="001C414E">
        <w:rPr>
          <w:rFonts w:ascii="Verdana" w:hAnsi="Verdana" w:cs="Verdana"/>
          <w:sz w:val="20"/>
          <w:szCs w:val="20"/>
          <w:lang w:val="es-ES"/>
        </w:rPr>
        <w:t>En</w:t>
      </w:r>
      <w:r>
        <w:rPr>
          <w:rFonts w:ascii="Verdana" w:hAnsi="Verdana" w:cs="Verdana"/>
          <w:sz w:val="20"/>
          <w:szCs w:val="20"/>
          <w:lang w:val="es-ES"/>
        </w:rPr>
        <w:t xml:space="preserve"> su última Resolución emitida el 27 de enero de</w:t>
      </w:r>
      <w:r w:rsidRPr="001C414E">
        <w:rPr>
          <w:rFonts w:ascii="Verdana" w:hAnsi="Verdana" w:cs="Verdana"/>
          <w:sz w:val="20"/>
          <w:szCs w:val="20"/>
          <w:lang w:val="es-ES"/>
        </w:rPr>
        <w:t xml:space="preserve"> 2009 (</w:t>
      </w:r>
      <w:r w:rsidRPr="00E52B5E">
        <w:rPr>
          <w:rFonts w:ascii="Verdana" w:hAnsi="Verdana" w:cs="Verdana"/>
          <w:i/>
          <w:sz w:val="20"/>
          <w:szCs w:val="20"/>
          <w:lang w:val="es-ES"/>
        </w:rPr>
        <w:t>supra</w:t>
      </w:r>
      <w:r w:rsidRPr="001C414E">
        <w:rPr>
          <w:rFonts w:ascii="Verdana" w:hAnsi="Verdana" w:cs="Verdana"/>
          <w:sz w:val="20"/>
          <w:szCs w:val="20"/>
          <w:lang w:val="es-ES"/>
        </w:rPr>
        <w:t xml:space="preserve"> Visto 1), la Corte analizó la información disponible entre </w:t>
      </w:r>
      <w:r>
        <w:rPr>
          <w:rFonts w:ascii="Verdana" w:hAnsi="Verdana" w:cs="Verdana"/>
          <w:sz w:val="20"/>
          <w:szCs w:val="20"/>
          <w:lang w:val="es-ES"/>
        </w:rPr>
        <w:t xml:space="preserve">los años </w:t>
      </w:r>
      <w:r w:rsidRPr="001C414E">
        <w:rPr>
          <w:rFonts w:ascii="Verdana" w:hAnsi="Verdana" w:cs="Verdana"/>
          <w:sz w:val="20"/>
          <w:szCs w:val="20"/>
          <w:lang w:val="es-ES"/>
        </w:rPr>
        <w:t>2005 y 2008 y requirió que las presentes medidas se mantuvieran con el mismo a</w:t>
      </w:r>
      <w:r>
        <w:rPr>
          <w:rFonts w:ascii="Verdana" w:hAnsi="Verdana" w:cs="Verdana"/>
          <w:sz w:val="20"/>
          <w:szCs w:val="20"/>
          <w:lang w:val="es-ES"/>
        </w:rPr>
        <w:t>lcance dado en la Resolución de</w:t>
      </w:r>
      <w:r w:rsidRPr="001C414E">
        <w:rPr>
          <w:rFonts w:ascii="Verdana" w:hAnsi="Verdana" w:cs="Verdana"/>
          <w:sz w:val="20"/>
          <w:szCs w:val="20"/>
          <w:lang w:val="es-ES"/>
        </w:rPr>
        <w:t xml:space="preserve"> 11 de marzo 2005. </w:t>
      </w:r>
    </w:p>
    <w:p w:rsidR="003F627B" w:rsidRPr="00844E2E" w:rsidRDefault="003F627B" w:rsidP="003F627B">
      <w:pPr>
        <w:pStyle w:val="ListParagraph"/>
        <w:rPr>
          <w:rFonts w:ascii="Verdana" w:hAnsi="Verdana" w:cs="Verdana"/>
          <w:sz w:val="20"/>
          <w:szCs w:val="20"/>
          <w:lang w:val="es-ES"/>
        </w:rPr>
      </w:pPr>
    </w:p>
    <w:p w:rsidR="003F627B" w:rsidRDefault="003F627B" w:rsidP="003F627B">
      <w:pPr>
        <w:pStyle w:val="ListParagraph"/>
        <w:numPr>
          <w:ilvl w:val="0"/>
          <w:numId w:val="29"/>
        </w:numPr>
        <w:autoSpaceDE w:val="0"/>
        <w:autoSpaceDN w:val="0"/>
        <w:adjustRightInd w:val="0"/>
        <w:spacing w:after="0" w:line="240" w:lineRule="auto"/>
        <w:ind w:left="0" w:firstLine="0"/>
        <w:jc w:val="both"/>
        <w:rPr>
          <w:rFonts w:ascii="Verdana" w:hAnsi="Verdana" w:cs="Verdana"/>
          <w:sz w:val="20"/>
          <w:szCs w:val="20"/>
          <w:lang w:val="es-ES"/>
        </w:rPr>
      </w:pPr>
      <w:r w:rsidRPr="001C414E">
        <w:rPr>
          <w:rFonts w:ascii="Verdana" w:hAnsi="Verdana" w:cs="Verdana"/>
          <w:sz w:val="20"/>
          <w:szCs w:val="20"/>
          <w:lang w:val="es-ES"/>
        </w:rPr>
        <w:t xml:space="preserve">La Corte </w:t>
      </w:r>
      <w:r>
        <w:rPr>
          <w:rFonts w:ascii="Verdana" w:hAnsi="Verdana" w:cs="Verdana"/>
          <w:sz w:val="20"/>
          <w:szCs w:val="20"/>
          <w:lang w:val="es-ES"/>
        </w:rPr>
        <w:t xml:space="preserve">estima oportuno </w:t>
      </w:r>
      <w:r w:rsidRPr="001C414E">
        <w:rPr>
          <w:rFonts w:ascii="Verdana" w:hAnsi="Verdana" w:cs="Verdana"/>
          <w:sz w:val="20"/>
          <w:szCs w:val="20"/>
          <w:lang w:val="es-ES"/>
        </w:rPr>
        <w:t>reitera</w:t>
      </w:r>
      <w:r>
        <w:rPr>
          <w:rFonts w:ascii="Verdana" w:hAnsi="Verdana" w:cs="Verdana"/>
          <w:sz w:val="20"/>
          <w:szCs w:val="20"/>
          <w:lang w:val="es-ES"/>
        </w:rPr>
        <w:t>r</w:t>
      </w:r>
      <w:r w:rsidRPr="001C414E">
        <w:rPr>
          <w:rFonts w:ascii="Verdana" w:hAnsi="Verdana" w:cs="Verdana"/>
          <w:sz w:val="20"/>
          <w:szCs w:val="20"/>
          <w:lang w:val="es-ES"/>
        </w:rPr>
        <w:t xml:space="preserve"> que el mantenimiento de las medidas de protección exige una evaluación más rigurosa de la Corte en cuanto a la persistencia de la situa</w:t>
      </w:r>
      <w:r>
        <w:rPr>
          <w:rFonts w:ascii="Verdana" w:hAnsi="Verdana" w:cs="Verdana"/>
          <w:sz w:val="20"/>
          <w:szCs w:val="20"/>
          <w:lang w:val="es-ES"/>
        </w:rPr>
        <w:t>ción que dio origen a las mismas</w:t>
      </w:r>
      <w:r w:rsidRPr="001C414E">
        <w:rPr>
          <w:rFonts w:ascii="Verdana" w:hAnsi="Verdana" w:cs="Verdana"/>
          <w:sz w:val="20"/>
          <w:szCs w:val="20"/>
          <w:lang w:val="es-ES"/>
        </w:rPr>
        <w:t>. Además, este Tribunal insiste en que la carga probatoria y argumentativa de los beneficiarios y de la Comisión aumentará conforme transcurre el tiempo y no se presenten nuevas amenazas</w:t>
      </w:r>
      <w:r w:rsidRPr="001C414E">
        <w:rPr>
          <w:rStyle w:val="FootnoteReference"/>
          <w:rFonts w:ascii="Verdana" w:hAnsi="Verdana"/>
          <w:sz w:val="20"/>
          <w:szCs w:val="20"/>
        </w:rPr>
        <w:footnoteReference w:id="1"/>
      </w:r>
      <w:r w:rsidRPr="001C414E">
        <w:rPr>
          <w:rFonts w:ascii="Verdana" w:hAnsi="Verdana"/>
          <w:sz w:val="20"/>
          <w:szCs w:val="20"/>
        </w:rPr>
        <w:t xml:space="preserve">. </w:t>
      </w:r>
      <w:r w:rsidRPr="00FD73F9">
        <w:rPr>
          <w:rFonts w:ascii="Verdana" w:hAnsi="Verdana" w:cs="Verdana"/>
          <w:sz w:val="20"/>
          <w:szCs w:val="20"/>
          <w:lang w:val="es-ES"/>
        </w:rPr>
        <w:t>Teniendo en cuenta lo anterior</w:t>
      </w:r>
      <w:r>
        <w:rPr>
          <w:rFonts w:ascii="Verdana" w:hAnsi="Verdana" w:cs="Verdana"/>
          <w:sz w:val="20"/>
          <w:szCs w:val="20"/>
          <w:lang w:val="es-ES"/>
        </w:rPr>
        <w:t xml:space="preserve">,  </w:t>
      </w:r>
      <w:r w:rsidRPr="0066257C">
        <w:rPr>
          <w:rFonts w:ascii="Verdana" w:hAnsi="Verdana" w:cs="Verdana"/>
          <w:sz w:val="20"/>
          <w:szCs w:val="20"/>
          <w:lang w:val="es-ES"/>
        </w:rPr>
        <w:t>la Corte realizará un análisis sobre la situación de los beneficiarios de las presentes medidas provisionales, de acuerdo a la información presentada por el Estado, y las observaciones de los representantes y la Comisión</w:t>
      </w:r>
      <w:r>
        <w:rPr>
          <w:rFonts w:ascii="Verdana" w:hAnsi="Verdana" w:cs="Verdana"/>
          <w:sz w:val="20"/>
          <w:szCs w:val="20"/>
          <w:lang w:val="es-ES"/>
        </w:rPr>
        <w:t>.</w:t>
      </w:r>
    </w:p>
    <w:p w:rsidR="003F627B" w:rsidRPr="00A40BF0" w:rsidRDefault="003F627B" w:rsidP="003F627B">
      <w:pPr>
        <w:pStyle w:val="ListParagraph"/>
        <w:rPr>
          <w:rFonts w:ascii="Verdana" w:hAnsi="Verdana" w:cs="Verdana"/>
          <w:sz w:val="20"/>
          <w:szCs w:val="20"/>
          <w:lang w:val="es-ES"/>
        </w:rPr>
      </w:pPr>
    </w:p>
    <w:p w:rsidR="003F627B" w:rsidRPr="0066257C" w:rsidRDefault="003F627B" w:rsidP="003F627B">
      <w:pPr>
        <w:pStyle w:val="ListParagraph"/>
        <w:numPr>
          <w:ilvl w:val="0"/>
          <w:numId w:val="29"/>
        </w:numPr>
        <w:autoSpaceDE w:val="0"/>
        <w:autoSpaceDN w:val="0"/>
        <w:adjustRightInd w:val="0"/>
        <w:spacing w:after="0" w:line="240" w:lineRule="auto"/>
        <w:ind w:left="0" w:firstLine="0"/>
        <w:jc w:val="both"/>
        <w:rPr>
          <w:rFonts w:ascii="Verdana" w:hAnsi="Verdana" w:cs="Verdana"/>
          <w:sz w:val="20"/>
          <w:szCs w:val="20"/>
          <w:lang w:val="es-ES"/>
        </w:rPr>
      </w:pPr>
      <w:r>
        <w:rPr>
          <w:rFonts w:ascii="Verdana" w:hAnsi="Verdana" w:cs="Verdana"/>
          <w:sz w:val="20"/>
          <w:szCs w:val="20"/>
          <w:lang w:val="es-ES"/>
        </w:rPr>
        <w:t>D</w:t>
      </w:r>
      <w:r w:rsidRPr="00AF1610">
        <w:rPr>
          <w:rFonts w:ascii="Verdana" w:hAnsi="Verdana" w:cs="Verdana"/>
          <w:sz w:val="20"/>
          <w:szCs w:val="20"/>
          <w:lang w:val="es-ES"/>
        </w:rPr>
        <w:t>e acuerdo con las Resoluciones de la Corte dictadas entre 1998 y 2009</w:t>
      </w:r>
      <w:r>
        <w:rPr>
          <w:rFonts w:ascii="Verdana" w:hAnsi="Verdana" w:cs="Verdana"/>
          <w:sz w:val="20"/>
          <w:szCs w:val="20"/>
          <w:lang w:val="es-ES"/>
        </w:rPr>
        <w:t xml:space="preserve"> </w:t>
      </w:r>
      <w:r w:rsidRPr="00AF1610">
        <w:rPr>
          <w:rFonts w:ascii="Verdana" w:hAnsi="Verdana" w:cs="Verdana"/>
          <w:sz w:val="20"/>
          <w:szCs w:val="20"/>
          <w:lang w:val="es-ES"/>
        </w:rPr>
        <w:t>(</w:t>
      </w:r>
      <w:r w:rsidRPr="00B95D16">
        <w:rPr>
          <w:rFonts w:ascii="Verdana" w:hAnsi="Verdana" w:cs="Verdana"/>
          <w:i/>
          <w:sz w:val="20"/>
          <w:szCs w:val="20"/>
          <w:lang w:val="es-ES"/>
        </w:rPr>
        <w:t>supra</w:t>
      </w:r>
      <w:r w:rsidRPr="00DA132F">
        <w:rPr>
          <w:rFonts w:ascii="Verdana" w:hAnsi="Verdana" w:cs="Verdana"/>
          <w:sz w:val="20"/>
          <w:szCs w:val="20"/>
          <w:lang w:val="es-ES"/>
        </w:rPr>
        <w:t xml:space="preserve"> </w:t>
      </w:r>
      <w:r w:rsidRPr="00AF1610">
        <w:rPr>
          <w:rFonts w:ascii="Verdana" w:hAnsi="Verdana" w:cs="Verdana"/>
          <w:sz w:val="20"/>
          <w:szCs w:val="20"/>
          <w:lang w:val="es-ES"/>
        </w:rPr>
        <w:t>Visto 1), el Estado está obligado a adoptar las medidas de protección que sean</w:t>
      </w:r>
      <w:r>
        <w:rPr>
          <w:rFonts w:ascii="Verdana" w:hAnsi="Verdana" w:cs="Verdana"/>
          <w:sz w:val="20"/>
          <w:szCs w:val="20"/>
          <w:lang w:val="es-ES"/>
        </w:rPr>
        <w:t xml:space="preserve"> n</w:t>
      </w:r>
      <w:r w:rsidRPr="00AF1610">
        <w:rPr>
          <w:rFonts w:ascii="Verdana" w:hAnsi="Verdana" w:cs="Verdana"/>
          <w:sz w:val="20"/>
          <w:szCs w:val="20"/>
          <w:lang w:val="es-ES"/>
        </w:rPr>
        <w:t>ecesarias para preservar la vida e integridad de Santiago Cabrera López, Alfonso</w:t>
      </w:r>
      <w:r>
        <w:rPr>
          <w:rFonts w:ascii="Verdana" w:hAnsi="Verdana" w:cs="Verdana"/>
          <w:sz w:val="20"/>
          <w:szCs w:val="20"/>
          <w:lang w:val="es-ES"/>
        </w:rPr>
        <w:t xml:space="preserve"> </w:t>
      </w:r>
      <w:r w:rsidRPr="00AF1610">
        <w:rPr>
          <w:rFonts w:ascii="Verdana" w:hAnsi="Verdana" w:cs="Verdana"/>
          <w:sz w:val="20"/>
          <w:szCs w:val="20"/>
          <w:lang w:val="es-ES"/>
        </w:rPr>
        <w:t>Cabrera Viagres, María Victoria López, Blanca Cabrera, Carmenlinda Cabrera, Teresa</w:t>
      </w:r>
      <w:r>
        <w:rPr>
          <w:rFonts w:ascii="Verdana" w:hAnsi="Verdana" w:cs="Verdana"/>
          <w:sz w:val="20"/>
          <w:szCs w:val="20"/>
          <w:lang w:val="es-ES"/>
        </w:rPr>
        <w:t xml:space="preserve"> </w:t>
      </w:r>
      <w:r w:rsidRPr="00AF1610">
        <w:rPr>
          <w:rFonts w:ascii="Verdana" w:hAnsi="Verdana" w:cs="Verdana"/>
          <w:sz w:val="20"/>
          <w:szCs w:val="20"/>
          <w:lang w:val="es-ES"/>
        </w:rPr>
        <w:t>Aguilar Cabrera, Olga Maldonado, Carlos Alfonso Cabrera, José León Bámaca</w:t>
      </w:r>
      <w:r>
        <w:rPr>
          <w:rFonts w:ascii="Verdana" w:hAnsi="Verdana" w:cs="Verdana"/>
          <w:sz w:val="20"/>
          <w:szCs w:val="20"/>
          <w:lang w:val="es-ES"/>
        </w:rPr>
        <w:t xml:space="preserve"> </w:t>
      </w:r>
      <w:r w:rsidRPr="00AF1610">
        <w:rPr>
          <w:rFonts w:ascii="Verdana" w:hAnsi="Verdana" w:cs="Verdana"/>
          <w:sz w:val="20"/>
          <w:szCs w:val="20"/>
          <w:lang w:val="es-ES"/>
        </w:rPr>
        <w:t>Hernández, Egidia Gebia Bámaca Velásquez, Josefina Bámaca Velásquez, Alberta</w:t>
      </w:r>
      <w:r>
        <w:rPr>
          <w:rFonts w:ascii="Verdana" w:hAnsi="Verdana" w:cs="Verdana"/>
          <w:sz w:val="20"/>
          <w:szCs w:val="20"/>
          <w:lang w:val="es-ES"/>
        </w:rPr>
        <w:t xml:space="preserve"> </w:t>
      </w:r>
      <w:r w:rsidRPr="00AF1610">
        <w:rPr>
          <w:rFonts w:ascii="Verdana" w:hAnsi="Verdana" w:cs="Verdana"/>
          <w:sz w:val="20"/>
          <w:szCs w:val="20"/>
          <w:lang w:val="es-ES"/>
        </w:rPr>
        <w:t>Velásquez, Rudy López Velásquez y demás miembros de la familia Bámaca Velásquez</w:t>
      </w:r>
      <w:r>
        <w:rPr>
          <w:rFonts w:ascii="Verdana" w:hAnsi="Verdana" w:cs="Verdana"/>
          <w:sz w:val="20"/>
          <w:szCs w:val="20"/>
          <w:lang w:val="es-ES"/>
        </w:rPr>
        <w:t xml:space="preserve"> </w:t>
      </w:r>
      <w:r w:rsidRPr="00AF1610">
        <w:rPr>
          <w:rFonts w:ascii="Verdana" w:hAnsi="Verdana" w:cs="Verdana"/>
          <w:sz w:val="20"/>
          <w:szCs w:val="20"/>
          <w:lang w:val="es-ES"/>
        </w:rPr>
        <w:t>que residan permanentemente en Guatemala, Emerita Mendoza, Wendy Pérez Álvarez,</w:t>
      </w:r>
      <w:r>
        <w:rPr>
          <w:rFonts w:ascii="Verdana" w:hAnsi="Verdana" w:cs="Verdana"/>
          <w:sz w:val="20"/>
          <w:szCs w:val="20"/>
          <w:lang w:val="es-ES"/>
        </w:rPr>
        <w:t xml:space="preserve"> </w:t>
      </w:r>
      <w:r w:rsidRPr="00AF1610">
        <w:rPr>
          <w:rFonts w:ascii="Verdana" w:hAnsi="Verdana" w:cs="Verdana"/>
          <w:sz w:val="20"/>
          <w:szCs w:val="20"/>
          <w:lang w:val="es-ES"/>
        </w:rPr>
        <w:t>Sulni Madeli Pérez Álvarez, José Oswaldo Pérez Álvarez, Jacobo Álvarez, José Pioquinto</w:t>
      </w:r>
      <w:r>
        <w:rPr>
          <w:rFonts w:ascii="Verdana" w:hAnsi="Verdana" w:cs="Verdana"/>
          <w:sz w:val="20"/>
          <w:szCs w:val="20"/>
          <w:lang w:val="es-ES"/>
        </w:rPr>
        <w:t xml:space="preserve"> </w:t>
      </w:r>
      <w:r w:rsidRPr="00AF1610">
        <w:rPr>
          <w:rFonts w:ascii="Verdana" w:hAnsi="Verdana" w:cs="Verdana"/>
          <w:sz w:val="20"/>
          <w:szCs w:val="20"/>
          <w:lang w:val="es-ES"/>
        </w:rPr>
        <w:t>Álvarez, Alez Javier Álvarez, Germán Aníbal de la Roca Mendoza, Kevin Otoniel de la</w:t>
      </w:r>
      <w:r>
        <w:rPr>
          <w:rFonts w:ascii="Verdana" w:hAnsi="Verdana" w:cs="Verdana"/>
          <w:sz w:val="20"/>
          <w:szCs w:val="20"/>
          <w:lang w:val="es-ES"/>
        </w:rPr>
        <w:t xml:space="preserve"> </w:t>
      </w:r>
      <w:r w:rsidRPr="00AF1610">
        <w:rPr>
          <w:rFonts w:ascii="Verdana" w:hAnsi="Verdana" w:cs="Verdana"/>
          <w:sz w:val="20"/>
          <w:szCs w:val="20"/>
          <w:lang w:val="es-ES"/>
        </w:rPr>
        <w:t>Roca Mendoza, Blanca Noelia Meléndez, Aron Álvarez Mendoza y su familia y demás</w:t>
      </w:r>
      <w:r>
        <w:rPr>
          <w:rFonts w:ascii="Verdana" w:hAnsi="Verdana" w:cs="Verdana"/>
          <w:sz w:val="20"/>
          <w:szCs w:val="20"/>
          <w:lang w:val="es-ES"/>
        </w:rPr>
        <w:t xml:space="preserve"> </w:t>
      </w:r>
      <w:r w:rsidRPr="00AF1610">
        <w:rPr>
          <w:rFonts w:ascii="Verdana" w:hAnsi="Verdana" w:cs="Verdana"/>
          <w:sz w:val="20"/>
          <w:szCs w:val="20"/>
          <w:lang w:val="es-ES"/>
        </w:rPr>
        <w:t>miembros de la familia del señor Otoniel de la Roca Mendoza que residan</w:t>
      </w:r>
      <w:r>
        <w:rPr>
          <w:rFonts w:ascii="Verdana" w:hAnsi="Verdana" w:cs="Verdana"/>
          <w:sz w:val="20"/>
          <w:szCs w:val="20"/>
          <w:lang w:val="es-ES"/>
        </w:rPr>
        <w:t xml:space="preserve"> </w:t>
      </w:r>
      <w:r w:rsidRPr="00AF1610">
        <w:rPr>
          <w:rFonts w:ascii="Verdana" w:hAnsi="Verdana" w:cs="Verdana"/>
          <w:sz w:val="20"/>
          <w:szCs w:val="20"/>
          <w:lang w:val="es-ES"/>
        </w:rPr>
        <w:t>permanentemente en Guatemala</w:t>
      </w:r>
      <w:r>
        <w:rPr>
          <w:rStyle w:val="FootnoteReference"/>
          <w:rFonts w:ascii="Verdana" w:hAnsi="Verdana" w:cs="Verdana"/>
          <w:sz w:val="20"/>
          <w:szCs w:val="20"/>
          <w:lang w:val="es-ES"/>
        </w:rPr>
        <w:footnoteReference w:id="2"/>
      </w:r>
      <w:r w:rsidRPr="00AF1610">
        <w:rPr>
          <w:rFonts w:ascii="Verdana" w:hAnsi="Verdana" w:cs="Verdana"/>
          <w:sz w:val="20"/>
          <w:szCs w:val="20"/>
          <w:lang w:val="es-ES"/>
        </w:rPr>
        <w:t>.</w:t>
      </w:r>
    </w:p>
    <w:p w:rsidR="003F627B" w:rsidRPr="0083354F" w:rsidRDefault="003F627B" w:rsidP="003F627B">
      <w:pPr>
        <w:pStyle w:val="ListParagraph"/>
        <w:spacing w:after="0" w:line="240" w:lineRule="auto"/>
        <w:ind w:left="0"/>
        <w:jc w:val="both"/>
        <w:rPr>
          <w:rFonts w:ascii="Verdana" w:hAnsi="Verdana" w:cs="Verdana"/>
          <w:sz w:val="20"/>
          <w:szCs w:val="20"/>
          <w:lang w:val="es-ES"/>
        </w:rPr>
      </w:pPr>
    </w:p>
    <w:p w:rsidR="003F627B" w:rsidRPr="001C414E" w:rsidRDefault="003F627B" w:rsidP="000D3C49">
      <w:pPr>
        <w:pStyle w:val="ListParagraph"/>
        <w:numPr>
          <w:ilvl w:val="2"/>
          <w:numId w:val="3"/>
        </w:numPr>
        <w:tabs>
          <w:tab w:val="left" w:pos="1170"/>
        </w:tabs>
        <w:autoSpaceDE w:val="0"/>
        <w:autoSpaceDN w:val="0"/>
        <w:adjustRightInd w:val="0"/>
        <w:spacing w:after="0" w:line="240" w:lineRule="auto"/>
        <w:ind w:left="567" w:firstLine="0"/>
        <w:jc w:val="both"/>
        <w:rPr>
          <w:rFonts w:ascii="Verdana" w:hAnsi="Verdana" w:cs="Verdana"/>
          <w:b/>
          <w:i/>
          <w:sz w:val="20"/>
          <w:szCs w:val="20"/>
          <w:lang w:val="es-ES"/>
        </w:rPr>
      </w:pPr>
      <w:r w:rsidRPr="001C414E">
        <w:rPr>
          <w:rFonts w:ascii="Verdana" w:hAnsi="Verdana"/>
          <w:b/>
          <w:i/>
          <w:sz w:val="20"/>
          <w:szCs w:val="20"/>
          <w:lang w:val="es-ES"/>
        </w:rPr>
        <w:t xml:space="preserve">Respecto a </w:t>
      </w:r>
      <w:r w:rsidRPr="001C414E">
        <w:rPr>
          <w:rFonts w:ascii="Verdana" w:hAnsi="Verdana" w:cs="Verdana"/>
          <w:b/>
          <w:i/>
          <w:sz w:val="20"/>
          <w:szCs w:val="20"/>
          <w:lang w:val="es-ES"/>
        </w:rPr>
        <w:t>Santiago Cabrera López y su</w:t>
      </w:r>
      <w:r>
        <w:rPr>
          <w:rFonts w:ascii="Verdana" w:hAnsi="Verdana" w:cs="Verdana"/>
          <w:b/>
          <w:i/>
          <w:sz w:val="20"/>
          <w:szCs w:val="20"/>
          <w:lang w:val="es-ES"/>
        </w:rPr>
        <w:t>s</w:t>
      </w:r>
      <w:r w:rsidRPr="001C414E">
        <w:rPr>
          <w:rFonts w:ascii="Verdana" w:hAnsi="Verdana" w:cs="Verdana"/>
          <w:b/>
          <w:i/>
          <w:sz w:val="20"/>
          <w:szCs w:val="20"/>
          <w:lang w:val="es-ES"/>
        </w:rPr>
        <w:t xml:space="preserve"> familia</w:t>
      </w:r>
      <w:r>
        <w:rPr>
          <w:rFonts w:ascii="Verdana" w:hAnsi="Verdana" w:cs="Verdana"/>
          <w:b/>
          <w:i/>
          <w:sz w:val="20"/>
          <w:szCs w:val="20"/>
          <w:lang w:val="es-ES"/>
        </w:rPr>
        <w:t>res</w:t>
      </w:r>
    </w:p>
    <w:p w:rsidR="003F627B" w:rsidRPr="001C414E" w:rsidRDefault="003F627B" w:rsidP="003F627B">
      <w:pPr>
        <w:pStyle w:val="ListParagraph"/>
        <w:autoSpaceDE w:val="0"/>
        <w:autoSpaceDN w:val="0"/>
        <w:adjustRightInd w:val="0"/>
        <w:spacing w:after="0" w:line="240" w:lineRule="auto"/>
        <w:ind w:left="0"/>
        <w:jc w:val="both"/>
        <w:rPr>
          <w:rFonts w:ascii="Verdana" w:hAnsi="Verdana" w:cs="Verdana"/>
          <w:sz w:val="20"/>
          <w:szCs w:val="20"/>
          <w:lang w:val="es-ES"/>
        </w:rPr>
      </w:pPr>
    </w:p>
    <w:p w:rsidR="003F627B" w:rsidRPr="005E63C3" w:rsidRDefault="00313699" w:rsidP="003F627B">
      <w:pPr>
        <w:pStyle w:val="ListParagraph"/>
        <w:numPr>
          <w:ilvl w:val="0"/>
          <w:numId w:val="29"/>
        </w:numPr>
        <w:autoSpaceDE w:val="0"/>
        <w:autoSpaceDN w:val="0"/>
        <w:adjustRightInd w:val="0"/>
        <w:spacing w:after="0" w:line="240" w:lineRule="auto"/>
        <w:ind w:left="0" w:firstLine="0"/>
        <w:jc w:val="both"/>
        <w:rPr>
          <w:rFonts w:ascii="Verdana" w:hAnsi="Verdana" w:cstheme="minorHAnsi"/>
          <w:sz w:val="20"/>
          <w:szCs w:val="20"/>
          <w:lang w:val="es-ES"/>
        </w:rPr>
      </w:pPr>
      <w:r w:rsidRPr="005E63C3">
        <w:rPr>
          <w:rFonts w:ascii="Verdana" w:hAnsi="Verdana" w:cstheme="minorHAnsi"/>
          <w:sz w:val="20"/>
          <w:szCs w:val="20"/>
          <w:lang w:val="es-ES"/>
        </w:rPr>
        <w:t xml:space="preserve">El </w:t>
      </w:r>
      <w:r w:rsidRPr="005E63C3">
        <w:rPr>
          <w:rFonts w:ascii="Verdana" w:hAnsi="Verdana" w:cstheme="minorHAnsi"/>
          <w:b/>
          <w:i/>
          <w:sz w:val="20"/>
          <w:szCs w:val="20"/>
          <w:lang w:val="es-ES"/>
        </w:rPr>
        <w:t>Estado</w:t>
      </w:r>
      <w:r w:rsidRPr="005E63C3">
        <w:rPr>
          <w:rFonts w:ascii="Verdana" w:hAnsi="Verdana" w:cstheme="minorHAnsi"/>
          <w:sz w:val="20"/>
          <w:szCs w:val="20"/>
          <w:lang w:val="es-ES"/>
        </w:rPr>
        <w:t xml:space="preserve"> e</w:t>
      </w:r>
      <w:r w:rsidR="00D81474" w:rsidRPr="005E63C3">
        <w:rPr>
          <w:rFonts w:ascii="Verdana" w:hAnsi="Verdana" w:cstheme="minorHAnsi"/>
          <w:sz w:val="20"/>
          <w:szCs w:val="20"/>
          <w:lang w:val="es-ES"/>
        </w:rPr>
        <w:t>fectuó señalamientos e</w:t>
      </w:r>
      <w:r w:rsidR="003F627B" w:rsidRPr="005E63C3">
        <w:rPr>
          <w:rFonts w:ascii="Verdana" w:hAnsi="Verdana" w:cstheme="minorHAnsi"/>
          <w:sz w:val="20"/>
          <w:szCs w:val="20"/>
          <w:lang w:val="es-ES"/>
        </w:rPr>
        <w:t>n cuanto a la implementación</w:t>
      </w:r>
      <w:r w:rsidR="00D81474" w:rsidRPr="005E63C3">
        <w:rPr>
          <w:rFonts w:ascii="Verdana" w:hAnsi="Verdana" w:cstheme="minorHAnsi"/>
          <w:sz w:val="20"/>
          <w:szCs w:val="20"/>
          <w:lang w:val="es-ES"/>
        </w:rPr>
        <w:t>, durante 2009 y con posterioridad,</w:t>
      </w:r>
      <w:r w:rsidR="003F627B" w:rsidRPr="005E63C3">
        <w:rPr>
          <w:rFonts w:ascii="Verdana" w:hAnsi="Verdana" w:cstheme="minorHAnsi"/>
          <w:sz w:val="20"/>
          <w:szCs w:val="20"/>
          <w:lang w:val="es-ES"/>
        </w:rPr>
        <w:t xml:space="preserve"> de las medidas provisionales</w:t>
      </w:r>
      <w:r w:rsidRPr="005E63C3">
        <w:rPr>
          <w:rFonts w:ascii="Verdana" w:hAnsi="Verdana" w:cstheme="minorHAnsi"/>
          <w:sz w:val="20"/>
          <w:szCs w:val="20"/>
          <w:lang w:val="es-ES"/>
        </w:rPr>
        <w:t xml:space="preserve"> en beneficio de Santiago Cabrera López (en adelante también “el señor Cabrera”) y sus familiares</w:t>
      </w:r>
      <w:r w:rsidR="00D81474" w:rsidRPr="005E63C3">
        <w:rPr>
          <w:rFonts w:ascii="Verdana" w:hAnsi="Verdana" w:cstheme="minorHAnsi"/>
          <w:sz w:val="20"/>
          <w:szCs w:val="20"/>
          <w:lang w:val="es-ES"/>
        </w:rPr>
        <w:t>. En lo que resulta actual</w:t>
      </w:r>
      <w:r w:rsidR="003F627B" w:rsidRPr="005E63C3">
        <w:rPr>
          <w:rFonts w:ascii="Verdana" w:hAnsi="Verdana" w:cstheme="minorHAnsi"/>
          <w:sz w:val="20"/>
          <w:szCs w:val="20"/>
          <w:lang w:val="es-ES"/>
        </w:rPr>
        <w:t>,</w:t>
      </w:r>
      <w:r w:rsidRPr="005E63C3">
        <w:rPr>
          <w:rFonts w:ascii="Verdana" w:hAnsi="Verdana" w:cstheme="minorHAnsi"/>
          <w:sz w:val="20"/>
          <w:szCs w:val="20"/>
          <w:lang w:val="es-ES"/>
        </w:rPr>
        <w:t xml:space="preserve"> señaló:</w:t>
      </w:r>
      <w:r w:rsidR="003F627B" w:rsidRPr="005E63C3">
        <w:rPr>
          <w:rFonts w:ascii="Verdana" w:hAnsi="Verdana" w:cstheme="minorHAnsi"/>
          <w:sz w:val="20"/>
          <w:szCs w:val="20"/>
          <w:lang w:val="es-ES"/>
        </w:rPr>
        <w:t xml:space="preserve"> </w:t>
      </w:r>
    </w:p>
    <w:p w:rsidR="003F627B" w:rsidRPr="005E63C3" w:rsidRDefault="003F627B" w:rsidP="003F627B">
      <w:pPr>
        <w:pStyle w:val="ListParagraph"/>
        <w:autoSpaceDE w:val="0"/>
        <w:autoSpaceDN w:val="0"/>
        <w:adjustRightInd w:val="0"/>
        <w:spacing w:after="0" w:line="240" w:lineRule="auto"/>
        <w:ind w:left="0"/>
        <w:jc w:val="both"/>
        <w:rPr>
          <w:rFonts w:ascii="Verdana" w:hAnsi="Verdana" w:cstheme="minorHAnsi"/>
          <w:strike/>
          <w:sz w:val="20"/>
          <w:szCs w:val="20"/>
          <w:lang w:val="es-ES"/>
        </w:rPr>
      </w:pPr>
    </w:p>
    <w:p w:rsidR="003F627B" w:rsidRPr="005E63C3" w:rsidRDefault="00A96506" w:rsidP="003F627B">
      <w:pPr>
        <w:pStyle w:val="ListParagraph"/>
        <w:numPr>
          <w:ilvl w:val="0"/>
          <w:numId w:val="4"/>
        </w:numPr>
        <w:autoSpaceDE w:val="0"/>
        <w:autoSpaceDN w:val="0"/>
        <w:adjustRightInd w:val="0"/>
        <w:spacing w:after="0" w:line="240" w:lineRule="auto"/>
        <w:ind w:firstLine="0"/>
        <w:jc w:val="both"/>
        <w:rPr>
          <w:rFonts w:ascii="Verdana" w:hAnsi="Verdana" w:cstheme="minorHAnsi"/>
          <w:sz w:val="20"/>
          <w:szCs w:val="20"/>
          <w:lang w:val="es-ES"/>
        </w:rPr>
      </w:pPr>
      <w:r w:rsidRPr="005E63C3">
        <w:rPr>
          <w:rFonts w:ascii="Verdana" w:hAnsi="Verdana" w:cs="Verdana"/>
          <w:sz w:val="20"/>
          <w:szCs w:val="20"/>
          <w:lang w:val="es-ES"/>
        </w:rPr>
        <w:t xml:space="preserve">el </w:t>
      </w:r>
      <w:r w:rsidR="003F627B" w:rsidRPr="005E63C3">
        <w:rPr>
          <w:rFonts w:ascii="Verdana" w:hAnsi="Verdana" w:cs="Verdana"/>
          <w:sz w:val="20"/>
          <w:szCs w:val="20"/>
          <w:lang w:val="es-ES"/>
        </w:rPr>
        <w:t>26 de abril de 2016, que el 24 de enero de 2015 se hizo una visita al domicilio del señor Cabrera, con la finalidad de realizar una entrevista para determinar el grado de riesgo de los beneficiarios (</w:t>
      </w:r>
      <w:r w:rsidR="003F627B" w:rsidRPr="005E63C3">
        <w:rPr>
          <w:rFonts w:ascii="Verdana" w:hAnsi="Verdana" w:cs="Verdana"/>
          <w:i/>
          <w:sz w:val="20"/>
          <w:szCs w:val="20"/>
          <w:lang w:val="es-ES"/>
        </w:rPr>
        <w:t>infra</w:t>
      </w:r>
      <w:r w:rsidR="003F627B" w:rsidRPr="005E63C3">
        <w:rPr>
          <w:rFonts w:ascii="Verdana" w:hAnsi="Verdana" w:cs="Verdana"/>
          <w:sz w:val="20"/>
          <w:szCs w:val="20"/>
          <w:lang w:val="es-ES"/>
        </w:rPr>
        <w:t xml:space="preserve"> Considerando </w:t>
      </w:r>
      <w:r w:rsidR="00615CD7" w:rsidRPr="005E63C3">
        <w:rPr>
          <w:rFonts w:ascii="Verdana" w:hAnsi="Verdana" w:cs="Verdana"/>
          <w:sz w:val="20"/>
          <w:szCs w:val="20"/>
          <w:lang w:val="es-ES"/>
        </w:rPr>
        <w:t>6)</w:t>
      </w:r>
      <w:r w:rsidR="00F90E4B" w:rsidRPr="005E63C3">
        <w:rPr>
          <w:rFonts w:ascii="Verdana" w:hAnsi="Verdana" w:cs="Verdana"/>
          <w:sz w:val="20"/>
          <w:szCs w:val="20"/>
          <w:lang w:val="es-ES"/>
        </w:rPr>
        <w:t>, y que</w:t>
      </w:r>
      <w:r w:rsidR="003F627B" w:rsidRPr="005E63C3">
        <w:rPr>
          <w:rFonts w:ascii="Verdana" w:hAnsi="Verdana" w:cs="Verdana"/>
          <w:sz w:val="20"/>
          <w:szCs w:val="20"/>
          <w:lang w:val="es-ES"/>
        </w:rPr>
        <w:t xml:space="preserve"> el</w:t>
      </w:r>
      <w:r w:rsidR="003F627B" w:rsidRPr="005E63C3">
        <w:rPr>
          <w:rFonts w:ascii="Verdana" w:hAnsi="Verdana" w:cs="Verdana"/>
          <w:b/>
          <w:sz w:val="20"/>
          <w:szCs w:val="20"/>
          <w:lang w:val="es-ES"/>
        </w:rPr>
        <w:t xml:space="preserve"> </w:t>
      </w:r>
      <w:r w:rsidR="003F627B" w:rsidRPr="005E63C3">
        <w:rPr>
          <w:rFonts w:ascii="Verdana" w:hAnsi="Verdana" w:cs="Verdana"/>
          <w:sz w:val="20"/>
          <w:szCs w:val="20"/>
          <w:lang w:val="es-ES"/>
        </w:rPr>
        <w:t>28 de marzo de 2016 el señor Cabrera reportó que el agente que le prestaba seguridad iba a jubilarse, por lo que el Estado manifestó que se encontraba gestionando la implementación de un “esquema de seguridad adecuado al nivel de riesgo del beneficiario”</w:t>
      </w:r>
      <w:r w:rsidR="00756188" w:rsidRPr="005E63C3">
        <w:rPr>
          <w:rFonts w:ascii="Verdana" w:hAnsi="Verdana" w:cs="Verdana"/>
          <w:sz w:val="20"/>
          <w:szCs w:val="20"/>
          <w:lang w:val="es-ES"/>
        </w:rPr>
        <w:t>, y</w:t>
      </w:r>
      <w:r w:rsidR="003F627B" w:rsidRPr="005E63C3">
        <w:rPr>
          <w:rFonts w:ascii="Verdana" w:hAnsi="Verdana" w:cs="Verdana"/>
          <w:sz w:val="20"/>
          <w:szCs w:val="20"/>
          <w:lang w:val="es-ES"/>
        </w:rPr>
        <w:t xml:space="preserve">  </w:t>
      </w:r>
    </w:p>
    <w:p w:rsidR="00186996" w:rsidRPr="005E63C3" w:rsidRDefault="00186996" w:rsidP="003F627B">
      <w:pPr>
        <w:pStyle w:val="ListParagraph"/>
        <w:numPr>
          <w:ilvl w:val="0"/>
          <w:numId w:val="4"/>
        </w:numPr>
        <w:autoSpaceDE w:val="0"/>
        <w:autoSpaceDN w:val="0"/>
        <w:adjustRightInd w:val="0"/>
        <w:spacing w:after="0" w:line="240" w:lineRule="auto"/>
        <w:ind w:firstLine="0"/>
        <w:jc w:val="both"/>
        <w:rPr>
          <w:rFonts w:ascii="Verdana" w:hAnsi="Verdana" w:cstheme="minorHAnsi"/>
          <w:b/>
          <w:sz w:val="20"/>
          <w:szCs w:val="20"/>
          <w:lang w:val="es-ES"/>
        </w:rPr>
      </w:pPr>
      <w:r w:rsidRPr="005E63C3">
        <w:rPr>
          <w:rFonts w:ascii="Verdana" w:hAnsi="Verdana" w:cs="Verdana"/>
          <w:sz w:val="20"/>
          <w:szCs w:val="20"/>
          <w:lang w:val="es-ES"/>
        </w:rPr>
        <w:lastRenderedPageBreak/>
        <w:t>el 12 de agosto de 2016</w:t>
      </w:r>
      <w:r w:rsidR="00BC23B4" w:rsidRPr="005E63C3">
        <w:rPr>
          <w:rFonts w:ascii="Verdana" w:hAnsi="Verdana" w:cs="Verdana"/>
          <w:sz w:val="20"/>
          <w:szCs w:val="20"/>
          <w:lang w:val="es-ES"/>
        </w:rPr>
        <w:t>,</w:t>
      </w:r>
      <w:r w:rsidRPr="005E63C3">
        <w:rPr>
          <w:rFonts w:ascii="Verdana" w:hAnsi="Verdana" w:cs="Verdana"/>
          <w:sz w:val="20"/>
          <w:szCs w:val="20"/>
          <w:lang w:val="es-ES"/>
        </w:rPr>
        <w:t xml:space="preserve"> que luego de realizar el análisis de riesgo al señor Cabrera y familia, “se implementó un esquema de seguridad personal a través de 2 agentes [policiales]”.</w:t>
      </w:r>
    </w:p>
    <w:p w:rsidR="003F627B" w:rsidRPr="005E63C3" w:rsidRDefault="003F627B" w:rsidP="003F627B">
      <w:pPr>
        <w:autoSpaceDE w:val="0"/>
        <w:autoSpaceDN w:val="0"/>
        <w:adjustRightInd w:val="0"/>
        <w:spacing w:after="0" w:line="240" w:lineRule="auto"/>
        <w:jc w:val="both"/>
        <w:rPr>
          <w:rFonts w:ascii="Verdana" w:hAnsi="Verdana" w:cstheme="minorHAnsi"/>
          <w:sz w:val="20"/>
          <w:szCs w:val="20"/>
          <w:lang w:val="es-ES"/>
        </w:rPr>
      </w:pPr>
    </w:p>
    <w:p w:rsidR="003F627B" w:rsidRPr="005E63C3" w:rsidRDefault="003F627B" w:rsidP="003F627B">
      <w:pPr>
        <w:pStyle w:val="ListParagraph"/>
        <w:numPr>
          <w:ilvl w:val="0"/>
          <w:numId w:val="29"/>
        </w:numPr>
        <w:autoSpaceDE w:val="0"/>
        <w:autoSpaceDN w:val="0"/>
        <w:adjustRightInd w:val="0"/>
        <w:spacing w:after="0" w:line="240" w:lineRule="auto"/>
        <w:ind w:left="0" w:firstLine="0"/>
        <w:jc w:val="both"/>
        <w:rPr>
          <w:rFonts w:ascii="Verdana" w:hAnsi="Verdana" w:cstheme="minorHAnsi"/>
          <w:sz w:val="20"/>
          <w:szCs w:val="20"/>
          <w:lang w:val="es-ES"/>
        </w:rPr>
      </w:pPr>
      <w:r w:rsidRPr="005E63C3">
        <w:rPr>
          <w:rFonts w:ascii="Verdana" w:hAnsi="Verdana" w:cstheme="minorHAnsi"/>
          <w:sz w:val="20"/>
          <w:szCs w:val="20"/>
          <w:lang w:val="es-ES"/>
        </w:rPr>
        <w:t xml:space="preserve">Por su parte, en referencia a la implementación de las medidas, los </w:t>
      </w:r>
      <w:r w:rsidRPr="005E63C3">
        <w:rPr>
          <w:rFonts w:ascii="Verdana" w:hAnsi="Verdana" w:cstheme="minorHAnsi"/>
          <w:b/>
          <w:i/>
          <w:sz w:val="20"/>
          <w:szCs w:val="20"/>
          <w:lang w:val="es-ES"/>
        </w:rPr>
        <w:t>representantes</w:t>
      </w:r>
      <w:r w:rsidR="00FC1DE2" w:rsidRPr="005E63C3">
        <w:rPr>
          <w:rFonts w:ascii="Verdana" w:hAnsi="Verdana" w:cstheme="minorHAnsi"/>
          <w:sz w:val="20"/>
          <w:szCs w:val="20"/>
          <w:lang w:val="es-ES"/>
        </w:rPr>
        <w:t>, en lo que tiene relevancia actual,</w:t>
      </w:r>
      <w:r w:rsidRPr="005E63C3">
        <w:rPr>
          <w:rFonts w:ascii="Verdana" w:hAnsi="Verdana" w:cstheme="minorHAnsi"/>
          <w:sz w:val="20"/>
          <w:szCs w:val="20"/>
          <w:lang w:val="es-ES"/>
        </w:rPr>
        <w:t xml:space="preserve"> señalaron: </w:t>
      </w:r>
    </w:p>
    <w:p w:rsidR="003F627B" w:rsidRPr="005E63C3" w:rsidRDefault="003F627B" w:rsidP="003F627B">
      <w:pPr>
        <w:pStyle w:val="ListParagraph"/>
        <w:autoSpaceDE w:val="0"/>
        <w:autoSpaceDN w:val="0"/>
        <w:adjustRightInd w:val="0"/>
        <w:spacing w:after="0" w:line="240" w:lineRule="auto"/>
        <w:ind w:left="1080"/>
        <w:jc w:val="both"/>
        <w:rPr>
          <w:rFonts w:ascii="Verdana" w:hAnsi="Verdana" w:cs="Verdana"/>
          <w:sz w:val="20"/>
          <w:szCs w:val="20"/>
          <w:lang w:val="es-ES"/>
        </w:rPr>
      </w:pPr>
    </w:p>
    <w:p w:rsidR="003F627B" w:rsidRPr="005E63C3" w:rsidRDefault="003F627B" w:rsidP="003F627B">
      <w:pPr>
        <w:pStyle w:val="ListParagraph"/>
        <w:numPr>
          <w:ilvl w:val="0"/>
          <w:numId w:val="5"/>
        </w:numPr>
        <w:autoSpaceDE w:val="0"/>
        <w:autoSpaceDN w:val="0"/>
        <w:adjustRightInd w:val="0"/>
        <w:spacing w:after="0" w:line="240" w:lineRule="auto"/>
        <w:ind w:left="720" w:firstLine="0"/>
        <w:jc w:val="both"/>
        <w:rPr>
          <w:rFonts w:ascii="Verdana" w:hAnsi="Verdana" w:cs="Verdana"/>
          <w:sz w:val="20"/>
          <w:szCs w:val="20"/>
          <w:lang w:val="es-ES"/>
        </w:rPr>
      </w:pPr>
      <w:r w:rsidRPr="005E63C3">
        <w:rPr>
          <w:rFonts w:ascii="Verdana" w:hAnsi="Verdana" w:cs="Verdana"/>
          <w:sz w:val="20"/>
          <w:szCs w:val="20"/>
          <w:lang w:val="es-ES"/>
        </w:rPr>
        <w:t>el 2 de junio de 2016</w:t>
      </w:r>
      <w:r w:rsidR="005B080E" w:rsidRPr="005E63C3">
        <w:rPr>
          <w:rFonts w:ascii="Verdana" w:hAnsi="Verdana" w:cs="Verdana"/>
          <w:sz w:val="20"/>
          <w:szCs w:val="20"/>
          <w:lang w:val="es-ES"/>
        </w:rPr>
        <w:t>,</w:t>
      </w:r>
      <w:r w:rsidRPr="005E63C3">
        <w:rPr>
          <w:rFonts w:ascii="Verdana" w:hAnsi="Verdana" w:cs="Verdana"/>
          <w:sz w:val="20"/>
          <w:szCs w:val="20"/>
          <w:lang w:val="es-ES"/>
        </w:rPr>
        <w:t xml:space="preserve"> que </w:t>
      </w:r>
      <w:r w:rsidR="00FC1DE2" w:rsidRPr="005E63C3">
        <w:rPr>
          <w:rFonts w:ascii="Verdana" w:hAnsi="Verdana" w:cs="Verdana"/>
          <w:sz w:val="20"/>
          <w:szCs w:val="20"/>
          <w:lang w:val="es-ES"/>
        </w:rPr>
        <w:t xml:space="preserve">el 24 de enero de 2015 se había llevado a cabo una </w:t>
      </w:r>
      <w:r w:rsidRPr="005E63C3">
        <w:rPr>
          <w:rFonts w:ascii="Verdana" w:hAnsi="Verdana" w:cs="Verdana"/>
          <w:sz w:val="20"/>
          <w:szCs w:val="20"/>
          <w:lang w:val="es-ES"/>
        </w:rPr>
        <w:t xml:space="preserve">entrevista </w:t>
      </w:r>
      <w:r w:rsidR="00FC1DE2" w:rsidRPr="005E63C3">
        <w:rPr>
          <w:rFonts w:ascii="Verdana" w:hAnsi="Verdana" w:cs="Verdana"/>
          <w:sz w:val="20"/>
          <w:szCs w:val="20"/>
          <w:lang w:val="es-ES"/>
        </w:rPr>
        <w:t>(</w:t>
      </w:r>
      <w:r w:rsidR="00FC1DE2" w:rsidRPr="005E63C3">
        <w:rPr>
          <w:rFonts w:ascii="Verdana" w:hAnsi="Verdana" w:cs="Verdana"/>
          <w:i/>
          <w:sz w:val="20"/>
          <w:szCs w:val="20"/>
          <w:lang w:val="es-ES"/>
        </w:rPr>
        <w:t>supra</w:t>
      </w:r>
      <w:r w:rsidR="00FC1DE2" w:rsidRPr="005E63C3">
        <w:rPr>
          <w:rFonts w:ascii="Verdana" w:hAnsi="Verdana" w:cs="Verdana"/>
          <w:sz w:val="20"/>
          <w:szCs w:val="20"/>
          <w:lang w:val="es-ES"/>
        </w:rPr>
        <w:t xml:space="preserve"> Considerando 5) </w:t>
      </w:r>
      <w:r w:rsidRPr="005E63C3">
        <w:rPr>
          <w:rFonts w:ascii="Verdana" w:hAnsi="Verdana" w:cs="Verdana"/>
          <w:sz w:val="20"/>
          <w:szCs w:val="20"/>
          <w:lang w:val="es-ES"/>
        </w:rPr>
        <w:t xml:space="preserve">realizada por agentes del Estado </w:t>
      </w:r>
      <w:r w:rsidRPr="005E63C3">
        <w:rPr>
          <w:rFonts w:ascii="Verdana" w:hAnsi="Verdana"/>
          <w:sz w:val="20"/>
          <w:szCs w:val="20"/>
          <w:lang w:val="es-MX"/>
        </w:rPr>
        <w:t>sin “coordinación previa” y “sin que los funcionarios […] conocieran el motivo [de] las medidas y los detalles de su implementación”</w:t>
      </w:r>
      <w:r w:rsidR="00771BC0" w:rsidRPr="005E63C3">
        <w:rPr>
          <w:rFonts w:ascii="Verdana" w:hAnsi="Verdana"/>
          <w:sz w:val="20"/>
          <w:szCs w:val="20"/>
          <w:lang w:val="es-MX"/>
        </w:rPr>
        <w:t>; a</w:t>
      </w:r>
      <w:r w:rsidRPr="005E63C3">
        <w:rPr>
          <w:rFonts w:ascii="Verdana" w:hAnsi="Verdana"/>
          <w:sz w:val="20"/>
          <w:szCs w:val="20"/>
          <w:lang w:val="es-MX"/>
        </w:rPr>
        <w:t xml:space="preserve">demás, que el estudio de análisis de riesgo no </w:t>
      </w:r>
      <w:r w:rsidR="00771BC0" w:rsidRPr="005E63C3">
        <w:rPr>
          <w:rFonts w:ascii="Verdana" w:hAnsi="Verdana"/>
          <w:sz w:val="20"/>
          <w:szCs w:val="20"/>
          <w:lang w:val="es-MX"/>
        </w:rPr>
        <w:t>había sido</w:t>
      </w:r>
      <w:r w:rsidRPr="005E63C3">
        <w:rPr>
          <w:rFonts w:ascii="Verdana" w:hAnsi="Verdana"/>
          <w:sz w:val="20"/>
          <w:szCs w:val="20"/>
          <w:lang w:val="es-MX"/>
        </w:rPr>
        <w:t xml:space="preserve"> trasladado a los beneficiarios ni a los representantes, por lo que no podían “valorar la idoneidad de los métodos” del mismo. </w:t>
      </w:r>
      <w:r w:rsidR="00771BC0" w:rsidRPr="005E63C3">
        <w:rPr>
          <w:rFonts w:ascii="Verdana" w:hAnsi="Verdana"/>
          <w:sz w:val="20"/>
          <w:szCs w:val="20"/>
          <w:lang w:val="es-MX"/>
        </w:rPr>
        <w:t>Por otra parte, expresaron</w:t>
      </w:r>
      <w:r w:rsidRPr="005E63C3">
        <w:rPr>
          <w:rFonts w:ascii="Verdana" w:hAnsi="Verdana"/>
          <w:sz w:val="20"/>
          <w:szCs w:val="20"/>
          <w:lang w:val="es-MX"/>
        </w:rPr>
        <w:t xml:space="preserve"> que el 8 de abril de 2016 se habían reemplazado los dos agentes de la PNC que brindaban seguridad</w:t>
      </w:r>
      <w:r w:rsidR="00771BC0" w:rsidRPr="005E63C3">
        <w:rPr>
          <w:rFonts w:ascii="Verdana" w:hAnsi="Verdana"/>
          <w:sz w:val="20"/>
          <w:szCs w:val="20"/>
          <w:lang w:val="es-MX"/>
        </w:rPr>
        <w:t xml:space="preserve"> al señor Cabrera</w:t>
      </w:r>
      <w:r w:rsidRPr="005E63C3">
        <w:rPr>
          <w:rFonts w:ascii="Verdana" w:hAnsi="Verdana"/>
          <w:sz w:val="20"/>
          <w:szCs w:val="20"/>
          <w:lang w:val="es-MX"/>
        </w:rPr>
        <w:t>,</w:t>
      </w:r>
      <w:r w:rsidR="00B7667F" w:rsidRPr="005E63C3">
        <w:rPr>
          <w:rFonts w:ascii="Verdana" w:hAnsi="Verdana"/>
          <w:sz w:val="20"/>
          <w:szCs w:val="20"/>
          <w:lang w:val="es-MX"/>
        </w:rPr>
        <w:t xml:space="preserve"> tanto en su domicilio particular</w:t>
      </w:r>
      <w:r w:rsidR="00093196" w:rsidRPr="005E63C3">
        <w:rPr>
          <w:rFonts w:ascii="Verdana" w:hAnsi="Verdana"/>
          <w:sz w:val="20"/>
          <w:szCs w:val="20"/>
          <w:lang w:val="es-MX"/>
        </w:rPr>
        <w:t xml:space="preserve"> como en su lugar</w:t>
      </w:r>
      <w:r w:rsidR="00B7667F" w:rsidRPr="005E63C3">
        <w:rPr>
          <w:rFonts w:ascii="Verdana" w:hAnsi="Verdana"/>
          <w:sz w:val="20"/>
          <w:szCs w:val="20"/>
          <w:lang w:val="es-MX"/>
        </w:rPr>
        <w:t xml:space="preserve"> de trabajo,</w:t>
      </w:r>
      <w:r w:rsidRPr="005E63C3">
        <w:rPr>
          <w:rFonts w:ascii="Verdana" w:hAnsi="Verdana"/>
          <w:sz w:val="20"/>
          <w:szCs w:val="20"/>
          <w:lang w:val="es-MX"/>
        </w:rPr>
        <w:t xml:space="preserve"> por lo que </w:t>
      </w:r>
      <w:r w:rsidR="00771BC0" w:rsidRPr="005E63C3">
        <w:rPr>
          <w:rFonts w:ascii="Verdana" w:hAnsi="Verdana"/>
          <w:sz w:val="20"/>
          <w:szCs w:val="20"/>
          <w:lang w:val="es-MX"/>
        </w:rPr>
        <w:t>é</w:t>
      </w:r>
      <w:r w:rsidRPr="005E63C3">
        <w:rPr>
          <w:rFonts w:ascii="Verdana" w:hAnsi="Verdana"/>
          <w:sz w:val="20"/>
          <w:szCs w:val="20"/>
          <w:lang w:val="es-MX"/>
        </w:rPr>
        <w:t xml:space="preserve">l </w:t>
      </w:r>
      <w:r w:rsidR="00B7667F" w:rsidRPr="005E63C3">
        <w:rPr>
          <w:rFonts w:ascii="Verdana" w:hAnsi="Verdana"/>
          <w:sz w:val="20"/>
          <w:szCs w:val="20"/>
          <w:lang w:val="es-MX"/>
        </w:rPr>
        <w:t xml:space="preserve">informó </w:t>
      </w:r>
      <w:r w:rsidR="00E5695F" w:rsidRPr="005E63C3">
        <w:rPr>
          <w:rFonts w:ascii="Verdana" w:hAnsi="Verdana"/>
          <w:sz w:val="20"/>
          <w:szCs w:val="20"/>
          <w:lang w:val="es-MX"/>
        </w:rPr>
        <w:t>que</w:t>
      </w:r>
      <w:r w:rsidR="00B7667F" w:rsidRPr="005E63C3">
        <w:rPr>
          <w:rFonts w:ascii="Verdana" w:hAnsi="Verdana"/>
          <w:sz w:val="20"/>
          <w:szCs w:val="20"/>
          <w:lang w:val="es-MX"/>
        </w:rPr>
        <w:t xml:space="preserve"> </w:t>
      </w:r>
      <w:r w:rsidR="00E5695F" w:rsidRPr="005E63C3">
        <w:rPr>
          <w:rFonts w:ascii="Verdana" w:hAnsi="Verdana"/>
          <w:sz w:val="20"/>
          <w:szCs w:val="20"/>
          <w:lang w:val="es-MX"/>
        </w:rPr>
        <w:t>“se en[</w:t>
      </w:r>
      <w:r w:rsidR="00600AB9" w:rsidRPr="005E63C3">
        <w:rPr>
          <w:rFonts w:ascii="Verdana" w:hAnsi="Verdana"/>
          <w:sz w:val="20"/>
          <w:szCs w:val="20"/>
          <w:lang w:val="es-MX"/>
        </w:rPr>
        <w:t>c</w:t>
      </w:r>
      <w:r w:rsidR="00E5695F" w:rsidRPr="005E63C3">
        <w:rPr>
          <w:rFonts w:ascii="Verdana" w:hAnsi="Verdana"/>
          <w:sz w:val="20"/>
          <w:szCs w:val="20"/>
          <w:lang w:val="es-MX"/>
        </w:rPr>
        <w:t>ontraba]</w:t>
      </w:r>
      <w:r w:rsidR="00B7667F" w:rsidRPr="005E63C3">
        <w:rPr>
          <w:rFonts w:ascii="Verdana" w:hAnsi="Verdana"/>
          <w:sz w:val="20"/>
          <w:szCs w:val="20"/>
          <w:lang w:val="es-MX"/>
        </w:rPr>
        <w:t xml:space="preserve"> satisfecho con la labor de ambos agentes </w:t>
      </w:r>
      <w:r w:rsidR="00F96416" w:rsidRPr="005E63C3">
        <w:rPr>
          <w:rFonts w:ascii="Verdana" w:hAnsi="Verdana"/>
          <w:sz w:val="20"/>
          <w:szCs w:val="20"/>
          <w:lang w:val="es-MX"/>
        </w:rPr>
        <w:t xml:space="preserve">[…], </w:t>
      </w:r>
      <w:r w:rsidR="00B7667F" w:rsidRPr="005E63C3">
        <w:rPr>
          <w:rFonts w:ascii="Verdana" w:hAnsi="Verdana"/>
          <w:sz w:val="20"/>
          <w:szCs w:val="20"/>
          <w:lang w:val="es-MX"/>
        </w:rPr>
        <w:t xml:space="preserve">confirmando que recientemente no ha sido víctima de </w:t>
      </w:r>
      <w:r w:rsidR="00F96416" w:rsidRPr="005E63C3">
        <w:rPr>
          <w:rFonts w:ascii="Verdana" w:hAnsi="Verdana"/>
          <w:sz w:val="20"/>
          <w:szCs w:val="20"/>
          <w:lang w:val="es-MX"/>
        </w:rPr>
        <w:t>[al]</w:t>
      </w:r>
      <w:r w:rsidR="00B7667F" w:rsidRPr="005E63C3">
        <w:rPr>
          <w:rFonts w:ascii="Verdana" w:hAnsi="Verdana"/>
          <w:sz w:val="20"/>
          <w:szCs w:val="20"/>
          <w:lang w:val="es-MX"/>
        </w:rPr>
        <w:t>gún atentad</w:t>
      </w:r>
      <w:r w:rsidR="00F96416" w:rsidRPr="005E63C3">
        <w:rPr>
          <w:rFonts w:ascii="Verdana" w:hAnsi="Verdana"/>
          <w:sz w:val="20"/>
          <w:szCs w:val="20"/>
          <w:lang w:val="es-MX"/>
        </w:rPr>
        <w:t>o</w:t>
      </w:r>
      <w:r w:rsidR="0016190F" w:rsidRPr="005E63C3">
        <w:rPr>
          <w:rFonts w:ascii="Verdana" w:hAnsi="Verdana"/>
          <w:sz w:val="20"/>
          <w:szCs w:val="20"/>
          <w:lang w:val="es-MX"/>
        </w:rPr>
        <w:t>, amenaza o agresión”, y</w:t>
      </w:r>
    </w:p>
    <w:p w:rsidR="008A065C" w:rsidRPr="005E63C3" w:rsidRDefault="00FC1DE2" w:rsidP="00E5695F">
      <w:pPr>
        <w:pStyle w:val="ListParagraph"/>
        <w:numPr>
          <w:ilvl w:val="0"/>
          <w:numId w:val="5"/>
        </w:numPr>
        <w:autoSpaceDE w:val="0"/>
        <w:autoSpaceDN w:val="0"/>
        <w:adjustRightInd w:val="0"/>
        <w:spacing w:after="0" w:line="240" w:lineRule="auto"/>
        <w:ind w:left="720" w:firstLine="0"/>
        <w:jc w:val="both"/>
        <w:rPr>
          <w:rFonts w:ascii="Verdana" w:hAnsi="Verdana" w:cs="Verdana"/>
          <w:sz w:val="20"/>
          <w:szCs w:val="20"/>
          <w:lang w:val="es-ES"/>
        </w:rPr>
      </w:pPr>
      <w:r w:rsidRPr="005E63C3">
        <w:rPr>
          <w:rFonts w:ascii="Verdana" w:hAnsi="Verdana"/>
          <w:sz w:val="20"/>
          <w:szCs w:val="20"/>
          <w:lang w:val="es-MX"/>
        </w:rPr>
        <w:t>E</w:t>
      </w:r>
      <w:r w:rsidR="008A065C" w:rsidRPr="005E63C3">
        <w:rPr>
          <w:rFonts w:ascii="Verdana" w:hAnsi="Verdana"/>
          <w:sz w:val="20"/>
          <w:szCs w:val="20"/>
          <w:lang w:val="es-MX"/>
        </w:rPr>
        <w:t>l 11 de agosto de 2016</w:t>
      </w:r>
      <w:r w:rsidR="00771BC0" w:rsidRPr="005E63C3">
        <w:rPr>
          <w:rFonts w:ascii="Verdana" w:hAnsi="Verdana"/>
          <w:sz w:val="20"/>
          <w:szCs w:val="20"/>
          <w:lang w:val="es-MX"/>
        </w:rPr>
        <w:t>,</w:t>
      </w:r>
      <w:r w:rsidR="00F96416" w:rsidRPr="005E63C3">
        <w:rPr>
          <w:rFonts w:ascii="Verdana" w:hAnsi="Verdana"/>
          <w:sz w:val="20"/>
          <w:szCs w:val="20"/>
          <w:lang w:val="es-MX"/>
        </w:rPr>
        <w:t xml:space="preserve"> </w:t>
      </w:r>
      <w:r w:rsidR="00B7667F" w:rsidRPr="005E63C3">
        <w:rPr>
          <w:rFonts w:ascii="Verdana" w:hAnsi="Verdana"/>
          <w:sz w:val="20"/>
          <w:szCs w:val="20"/>
          <w:lang w:val="es-MX"/>
        </w:rPr>
        <w:t>que</w:t>
      </w:r>
      <w:r w:rsidR="003C2C0C" w:rsidRPr="005E63C3">
        <w:rPr>
          <w:rFonts w:ascii="Verdana" w:hAnsi="Verdana"/>
          <w:sz w:val="20"/>
          <w:szCs w:val="20"/>
          <w:lang w:val="es-MX"/>
        </w:rPr>
        <w:t xml:space="preserve"> </w:t>
      </w:r>
      <w:r w:rsidR="00771BC0" w:rsidRPr="005E63C3">
        <w:rPr>
          <w:rFonts w:ascii="Verdana" w:hAnsi="Verdana"/>
          <w:sz w:val="20"/>
          <w:szCs w:val="20"/>
          <w:lang w:val="es-MX"/>
        </w:rPr>
        <w:t xml:space="preserve">reiteraban que </w:t>
      </w:r>
      <w:r w:rsidR="003C2C0C" w:rsidRPr="005E63C3">
        <w:rPr>
          <w:rFonts w:ascii="Verdana" w:hAnsi="Verdana"/>
          <w:sz w:val="20"/>
          <w:szCs w:val="20"/>
          <w:lang w:val="es-MX"/>
        </w:rPr>
        <w:t>el Estado estaba implementando las medidas acordadas para reducir el riesgo del señor Santiago Cabrera</w:t>
      </w:r>
      <w:r w:rsidR="00E5695F" w:rsidRPr="005E63C3">
        <w:rPr>
          <w:rFonts w:ascii="Verdana" w:hAnsi="Verdana"/>
          <w:sz w:val="20"/>
          <w:szCs w:val="20"/>
          <w:lang w:val="es-MX"/>
        </w:rPr>
        <w:t>,</w:t>
      </w:r>
      <w:r w:rsidR="00B7667F" w:rsidRPr="005E63C3">
        <w:rPr>
          <w:rFonts w:ascii="Verdana" w:hAnsi="Verdana"/>
          <w:sz w:val="20"/>
          <w:szCs w:val="20"/>
          <w:lang w:val="es-MX"/>
        </w:rPr>
        <w:t xml:space="preserve"> </w:t>
      </w:r>
      <w:r w:rsidR="00E5695F" w:rsidRPr="005E63C3">
        <w:rPr>
          <w:rFonts w:ascii="Verdana" w:hAnsi="Verdana"/>
          <w:sz w:val="20"/>
          <w:szCs w:val="20"/>
          <w:lang w:val="es-MX"/>
        </w:rPr>
        <w:t>las cuales consistían</w:t>
      </w:r>
      <w:r w:rsidR="00B7667F" w:rsidRPr="005E63C3">
        <w:rPr>
          <w:rFonts w:ascii="Verdana" w:hAnsi="Verdana"/>
          <w:sz w:val="20"/>
          <w:szCs w:val="20"/>
          <w:lang w:val="es-MX"/>
        </w:rPr>
        <w:t xml:space="preserve"> en la protección personal </w:t>
      </w:r>
      <w:r w:rsidR="008419D8" w:rsidRPr="005E63C3">
        <w:rPr>
          <w:rFonts w:ascii="Verdana" w:hAnsi="Verdana"/>
          <w:sz w:val="20"/>
          <w:szCs w:val="20"/>
          <w:lang w:val="es-MX"/>
        </w:rPr>
        <w:t xml:space="preserve">anteriormente </w:t>
      </w:r>
      <w:r w:rsidR="00B7667F" w:rsidRPr="005E63C3">
        <w:rPr>
          <w:rFonts w:ascii="Verdana" w:hAnsi="Verdana"/>
          <w:sz w:val="20"/>
          <w:szCs w:val="20"/>
          <w:lang w:val="es-MX"/>
        </w:rPr>
        <w:t>descrita</w:t>
      </w:r>
      <w:r w:rsidR="00E5695F" w:rsidRPr="005E63C3">
        <w:rPr>
          <w:rFonts w:ascii="Verdana" w:hAnsi="Verdana"/>
          <w:sz w:val="20"/>
          <w:szCs w:val="20"/>
          <w:lang w:val="es-MX"/>
        </w:rPr>
        <w:t>.</w:t>
      </w:r>
      <w:r w:rsidR="00B7667F" w:rsidRPr="005E63C3">
        <w:rPr>
          <w:rFonts w:ascii="Verdana" w:hAnsi="Verdana"/>
          <w:sz w:val="20"/>
          <w:szCs w:val="20"/>
          <w:lang w:val="es-MX"/>
        </w:rPr>
        <w:t xml:space="preserve"> </w:t>
      </w:r>
    </w:p>
    <w:p w:rsidR="003F627B" w:rsidRPr="005E63C3" w:rsidRDefault="003F627B" w:rsidP="00756188">
      <w:pPr>
        <w:autoSpaceDE w:val="0"/>
        <w:autoSpaceDN w:val="0"/>
        <w:adjustRightInd w:val="0"/>
        <w:spacing w:after="0" w:line="240" w:lineRule="auto"/>
        <w:jc w:val="both"/>
        <w:rPr>
          <w:rFonts w:ascii="Verdana" w:hAnsi="Verdana" w:cs="Verdana"/>
          <w:sz w:val="20"/>
          <w:szCs w:val="20"/>
          <w:lang w:val="es-ES"/>
        </w:rPr>
      </w:pPr>
    </w:p>
    <w:p w:rsidR="00756188" w:rsidRPr="005E63C3" w:rsidRDefault="00756188" w:rsidP="003F627B">
      <w:pPr>
        <w:pStyle w:val="ListParagraph"/>
        <w:numPr>
          <w:ilvl w:val="0"/>
          <w:numId w:val="29"/>
        </w:numPr>
        <w:autoSpaceDE w:val="0"/>
        <w:autoSpaceDN w:val="0"/>
        <w:adjustRightInd w:val="0"/>
        <w:spacing w:after="0" w:line="240" w:lineRule="auto"/>
        <w:ind w:left="90" w:firstLine="0"/>
        <w:jc w:val="both"/>
        <w:rPr>
          <w:rFonts w:ascii="Verdana" w:hAnsi="Verdana" w:cs="Verdana"/>
          <w:sz w:val="20"/>
          <w:szCs w:val="20"/>
          <w:lang w:val="es-ES"/>
        </w:rPr>
      </w:pPr>
      <w:r w:rsidRPr="005E63C3">
        <w:rPr>
          <w:rFonts w:ascii="Verdana" w:hAnsi="Verdana" w:cs="Verdana"/>
          <w:sz w:val="20"/>
          <w:szCs w:val="20"/>
          <w:lang w:val="es-ES"/>
        </w:rPr>
        <w:t>Respecto a la implementación de las medidas,</w:t>
      </w:r>
      <w:r w:rsidR="00FC1DE2" w:rsidRPr="005E63C3">
        <w:rPr>
          <w:rFonts w:ascii="Verdana" w:hAnsi="Verdana" w:cs="Verdana"/>
          <w:sz w:val="20"/>
          <w:szCs w:val="20"/>
          <w:lang w:val="es-ES"/>
        </w:rPr>
        <w:t xml:space="preserve"> en lo pertinente </w:t>
      </w:r>
      <w:r w:rsidR="004A4B08" w:rsidRPr="005E63C3">
        <w:rPr>
          <w:rFonts w:ascii="Verdana" w:hAnsi="Verdana" w:cs="Verdana"/>
          <w:sz w:val="20"/>
          <w:szCs w:val="20"/>
          <w:lang w:val="es-ES"/>
        </w:rPr>
        <w:t>en forma actual,</w:t>
      </w:r>
      <w:r w:rsidRPr="005E63C3">
        <w:rPr>
          <w:rFonts w:ascii="Verdana" w:hAnsi="Verdana" w:cs="Verdana"/>
          <w:sz w:val="20"/>
          <w:szCs w:val="20"/>
          <w:lang w:val="es-ES"/>
        </w:rPr>
        <w:t xml:space="preserve"> la </w:t>
      </w:r>
      <w:r w:rsidRPr="005E63C3">
        <w:rPr>
          <w:rFonts w:ascii="Verdana" w:hAnsi="Verdana" w:cs="Verdana"/>
          <w:b/>
          <w:i/>
          <w:sz w:val="20"/>
          <w:szCs w:val="20"/>
          <w:lang w:val="es-ES"/>
        </w:rPr>
        <w:t xml:space="preserve">Comisión </w:t>
      </w:r>
      <w:r w:rsidRPr="005E63C3">
        <w:rPr>
          <w:rFonts w:ascii="Verdana" w:hAnsi="Verdana" w:cs="Verdana"/>
          <w:sz w:val="20"/>
          <w:szCs w:val="20"/>
          <w:lang w:val="es-ES"/>
        </w:rPr>
        <w:t>señaló</w:t>
      </w:r>
      <w:r w:rsidR="00110072" w:rsidRPr="005E63C3">
        <w:rPr>
          <w:rFonts w:ascii="Verdana" w:hAnsi="Verdana" w:cs="Verdana"/>
          <w:sz w:val="20"/>
          <w:szCs w:val="20"/>
          <w:lang w:val="es-ES"/>
        </w:rPr>
        <w:t>:</w:t>
      </w:r>
    </w:p>
    <w:p w:rsidR="00110072" w:rsidRPr="005E63C3" w:rsidRDefault="00110072" w:rsidP="00110072">
      <w:pPr>
        <w:pStyle w:val="ListParagraph"/>
        <w:autoSpaceDE w:val="0"/>
        <w:autoSpaceDN w:val="0"/>
        <w:adjustRightInd w:val="0"/>
        <w:spacing w:after="0" w:line="240" w:lineRule="auto"/>
        <w:ind w:left="90"/>
        <w:jc w:val="both"/>
        <w:rPr>
          <w:rFonts w:ascii="Verdana" w:hAnsi="Verdana" w:cs="Verdana"/>
          <w:sz w:val="20"/>
          <w:szCs w:val="20"/>
          <w:lang w:val="es-ES"/>
        </w:rPr>
      </w:pPr>
    </w:p>
    <w:p w:rsidR="00756188" w:rsidRPr="005E63C3" w:rsidRDefault="003D05BB" w:rsidP="00756188">
      <w:pPr>
        <w:pStyle w:val="ListParagraph"/>
        <w:spacing w:line="240" w:lineRule="auto"/>
        <w:jc w:val="both"/>
        <w:rPr>
          <w:rFonts w:ascii="Verdana" w:hAnsi="Verdana"/>
          <w:b/>
          <w:sz w:val="20"/>
          <w:szCs w:val="20"/>
          <w:lang w:val="es-MX"/>
        </w:rPr>
      </w:pPr>
      <w:r w:rsidRPr="005E63C3">
        <w:rPr>
          <w:rFonts w:ascii="Verdana" w:hAnsi="Verdana"/>
          <w:sz w:val="20"/>
          <w:szCs w:val="20"/>
          <w:lang w:val="es-MX"/>
        </w:rPr>
        <w:t>a</w:t>
      </w:r>
      <w:r w:rsidR="00B33AB5" w:rsidRPr="005E63C3">
        <w:rPr>
          <w:rFonts w:ascii="Verdana" w:hAnsi="Verdana"/>
          <w:sz w:val="20"/>
          <w:szCs w:val="20"/>
          <w:lang w:val="es-MX"/>
        </w:rPr>
        <w:t>)</w:t>
      </w:r>
      <w:r w:rsidR="00B33AB5" w:rsidRPr="005E63C3">
        <w:rPr>
          <w:rFonts w:ascii="Verdana" w:hAnsi="Verdana"/>
          <w:sz w:val="20"/>
          <w:szCs w:val="20"/>
          <w:lang w:val="es-MX"/>
        </w:rPr>
        <w:tab/>
      </w:r>
      <w:r w:rsidR="003F627B" w:rsidRPr="005E63C3">
        <w:rPr>
          <w:rFonts w:ascii="Verdana" w:hAnsi="Verdana"/>
          <w:sz w:val="20"/>
          <w:szCs w:val="20"/>
          <w:lang w:val="es-MX"/>
        </w:rPr>
        <w:t xml:space="preserve">el 4 de agosto de 2015, en referencia a los análisis de riesgo de los beneficiarios, </w:t>
      </w:r>
      <w:r w:rsidR="00600AB9" w:rsidRPr="005E63C3">
        <w:rPr>
          <w:rFonts w:ascii="Verdana" w:hAnsi="Verdana"/>
          <w:sz w:val="20"/>
          <w:szCs w:val="20"/>
          <w:lang w:val="es-MX"/>
        </w:rPr>
        <w:t>que e</w:t>
      </w:r>
      <w:r w:rsidR="003F627B" w:rsidRPr="005E63C3">
        <w:rPr>
          <w:rFonts w:ascii="Verdana" w:hAnsi="Verdana"/>
          <w:sz w:val="20"/>
          <w:szCs w:val="20"/>
          <w:lang w:val="es-MX"/>
        </w:rPr>
        <w:t>nfa</w:t>
      </w:r>
      <w:r w:rsidR="00600AB9" w:rsidRPr="005E63C3">
        <w:rPr>
          <w:rFonts w:ascii="Verdana" w:hAnsi="Verdana"/>
          <w:sz w:val="20"/>
          <w:szCs w:val="20"/>
          <w:lang w:val="es-MX"/>
        </w:rPr>
        <w:t>tizaba</w:t>
      </w:r>
      <w:r w:rsidR="003F627B" w:rsidRPr="005E63C3">
        <w:rPr>
          <w:rFonts w:ascii="Verdana" w:hAnsi="Verdana"/>
          <w:sz w:val="20"/>
          <w:szCs w:val="20"/>
          <w:lang w:val="es-MX"/>
        </w:rPr>
        <w:t xml:space="preserve"> “la importancia de que el Estado presente el respaldo probatorio sobre tal información” y que el Estado “no precisa[ba] de qué manera […] se enc[ontraba] implementando las medidas”</w:t>
      </w:r>
      <w:r w:rsidR="00110072" w:rsidRPr="005E63C3">
        <w:rPr>
          <w:rFonts w:ascii="Verdana" w:hAnsi="Verdana"/>
          <w:sz w:val="20"/>
          <w:szCs w:val="20"/>
          <w:lang w:val="es-MX"/>
        </w:rPr>
        <w:t>, y</w:t>
      </w:r>
      <w:r w:rsidR="003F627B" w:rsidRPr="005E63C3">
        <w:rPr>
          <w:rFonts w:ascii="Verdana" w:hAnsi="Verdana"/>
          <w:sz w:val="20"/>
          <w:szCs w:val="20"/>
          <w:lang w:val="es-MX"/>
        </w:rPr>
        <w:t xml:space="preserve"> </w:t>
      </w:r>
    </w:p>
    <w:p w:rsidR="003F627B" w:rsidRPr="001A4806" w:rsidRDefault="003D05BB" w:rsidP="00756188">
      <w:pPr>
        <w:pStyle w:val="ListParagraph"/>
        <w:spacing w:line="240" w:lineRule="auto"/>
        <w:jc w:val="both"/>
        <w:rPr>
          <w:rFonts w:ascii="Verdana" w:hAnsi="Verdana"/>
          <w:sz w:val="20"/>
          <w:szCs w:val="20"/>
          <w:lang w:val="es-MX"/>
        </w:rPr>
      </w:pPr>
      <w:r w:rsidRPr="005E63C3">
        <w:rPr>
          <w:rFonts w:ascii="Verdana" w:hAnsi="Verdana"/>
          <w:sz w:val="20"/>
          <w:szCs w:val="20"/>
          <w:lang w:val="es-MX"/>
        </w:rPr>
        <w:t>b</w:t>
      </w:r>
      <w:r w:rsidR="00B33AB5" w:rsidRPr="005E63C3">
        <w:rPr>
          <w:rFonts w:ascii="Verdana" w:hAnsi="Verdana"/>
          <w:sz w:val="20"/>
          <w:szCs w:val="20"/>
          <w:lang w:val="es-MX"/>
        </w:rPr>
        <w:t>)</w:t>
      </w:r>
      <w:r w:rsidR="00B33AB5" w:rsidRPr="005E63C3">
        <w:rPr>
          <w:rFonts w:ascii="Verdana" w:hAnsi="Verdana"/>
          <w:b/>
          <w:sz w:val="20"/>
          <w:szCs w:val="20"/>
          <w:lang w:val="es-MX"/>
        </w:rPr>
        <w:tab/>
      </w:r>
      <w:r w:rsidR="00B33AB5" w:rsidRPr="005E63C3">
        <w:rPr>
          <w:rFonts w:ascii="Verdana" w:hAnsi="Verdana"/>
          <w:sz w:val="20"/>
          <w:szCs w:val="20"/>
          <w:lang w:val="es-MX"/>
        </w:rPr>
        <w:t xml:space="preserve">el </w:t>
      </w:r>
      <w:r w:rsidR="005B080E" w:rsidRPr="005E63C3">
        <w:rPr>
          <w:rFonts w:ascii="Verdana" w:hAnsi="Verdana"/>
          <w:sz w:val="20"/>
          <w:szCs w:val="20"/>
          <w:lang w:val="es-MX"/>
        </w:rPr>
        <w:t>7 de junio de 2016</w:t>
      </w:r>
      <w:r w:rsidR="00600AB9" w:rsidRPr="005E63C3">
        <w:rPr>
          <w:rFonts w:ascii="Verdana" w:hAnsi="Verdana"/>
          <w:sz w:val="20"/>
          <w:szCs w:val="20"/>
          <w:lang w:val="es-MX"/>
        </w:rPr>
        <w:t>, que resultaba de</w:t>
      </w:r>
      <w:r w:rsidR="003F627B" w:rsidRPr="005E63C3">
        <w:rPr>
          <w:rFonts w:ascii="Verdana" w:hAnsi="Verdana"/>
          <w:sz w:val="20"/>
          <w:szCs w:val="20"/>
          <w:lang w:val="es-MX"/>
        </w:rPr>
        <w:t xml:space="preserve"> “importancia de que los representantes present[aran] información actualizada sobre la situación en que se enc[ontraban] los  beneficiarios”. Sobre los análisis de riesgo informados por el Estado, consideró que “no c[ontaba] con información sobre la metodología utilizada”</w:t>
      </w:r>
      <w:r w:rsidR="00B33AB5" w:rsidRPr="005E63C3">
        <w:rPr>
          <w:rFonts w:ascii="Verdana" w:hAnsi="Verdana"/>
          <w:sz w:val="20"/>
          <w:szCs w:val="20"/>
          <w:lang w:val="es-MX"/>
        </w:rPr>
        <w:t>. R</w:t>
      </w:r>
      <w:r w:rsidR="003F627B" w:rsidRPr="005E63C3">
        <w:rPr>
          <w:rFonts w:ascii="Verdana" w:hAnsi="Verdana"/>
          <w:sz w:val="20"/>
          <w:szCs w:val="20"/>
          <w:lang w:val="es-MX"/>
        </w:rPr>
        <w:t>eiteró que “los resultados de los análisis de riesgo en sí mismos y sin mayor explicación o respaldo probatorio no son suficientes para determinar que las personas beneficiarias […] no están en una situación de riesgo”. Asimismo, expresó que “el informe estatal no precisa de qué manera el Estado se encuentra implementando las medidas provisionales respecto de la totalidad de los beneficiarios”.</w:t>
      </w:r>
      <w:r w:rsidR="003F627B" w:rsidRPr="001C414E">
        <w:rPr>
          <w:rFonts w:ascii="Verdana" w:hAnsi="Verdana"/>
          <w:sz w:val="20"/>
          <w:szCs w:val="20"/>
          <w:lang w:val="es-MX"/>
        </w:rPr>
        <w:t xml:space="preserve"> </w:t>
      </w:r>
    </w:p>
    <w:p w:rsidR="003F627B" w:rsidRPr="001C414E" w:rsidRDefault="003F627B" w:rsidP="003F627B">
      <w:pPr>
        <w:pStyle w:val="ListParagraph"/>
        <w:spacing w:line="240" w:lineRule="auto"/>
        <w:ind w:left="360"/>
        <w:jc w:val="both"/>
        <w:rPr>
          <w:rFonts w:ascii="Verdana" w:hAnsi="Verdana"/>
          <w:sz w:val="20"/>
          <w:szCs w:val="20"/>
          <w:lang w:val="es-MX"/>
        </w:rPr>
      </w:pPr>
    </w:p>
    <w:p w:rsidR="003F627B" w:rsidRDefault="003F627B" w:rsidP="003F627B">
      <w:pPr>
        <w:pStyle w:val="ListParagraph"/>
        <w:numPr>
          <w:ilvl w:val="0"/>
          <w:numId w:val="29"/>
        </w:numPr>
        <w:autoSpaceDE w:val="0"/>
        <w:autoSpaceDN w:val="0"/>
        <w:adjustRightInd w:val="0"/>
        <w:spacing w:after="0" w:line="240" w:lineRule="auto"/>
        <w:ind w:left="0" w:firstLine="0"/>
        <w:jc w:val="both"/>
        <w:rPr>
          <w:rFonts w:ascii="Verdana" w:hAnsi="Verdana" w:cstheme="minorHAnsi"/>
          <w:sz w:val="20"/>
          <w:szCs w:val="20"/>
          <w:lang w:val="es-ES"/>
        </w:rPr>
      </w:pPr>
      <w:r w:rsidRPr="001C414E">
        <w:rPr>
          <w:rFonts w:ascii="Verdana" w:hAnsi="Verdana" w:cstheme="minorHAnsi"/>
          <w:sz w:val="20"/>
          <w:szCs w:val="20"/>
          <w:lang w:val="es-ES"/>
        </w:rPr>
        <w:t xml:space="preserve">En relación con </w:t>
      </w:r>
      <w:r>
        <w:rPr>
          <w:rFonts w:ascii="Verdana" w:hAnsi="Verdana" w:cstheme="minorHAnsi"/>
          <w:sz w:val="20"/>
          <w:szCs w:val="20"/>
          <w:lang w:val="es-ES"/>
        </w:rPr>
        <w:t xml:space="preserve">la situación del </w:t>
      </w:r>
      <w:r w:rsidRPr="001C414E">
        <w:rPr>
          <w:rFonts w:ascii="Verdana" w:hAnsi="Verdana" w:cstheme="minorHAnsi"/>
          <w:sz w:val="20"/>
          <w:szCs w:val="20"/>
          <w:lang w:val="es-ES"/>
        </w:rPr>
        <w:t xml:space="preserve">señor </w:t>
      </w:r>
      <w:r>
        <w:rPr>
          <w:rFonts w:ascii="Verdana" w:hAnsi="Verdana" w:cstheme="minorHAnsi"/>
          <w:sz w:val="20"/>
          <w:szCs w:val="20"/>
          <w:lang w:val="es-ES"/>
        </w:rPr>
        <w:t xml:space="preserve">Santiago </w:t>
      </w:r>
      <w:r w:rsidRPr="001C414E">
        <w:rPr>
          <w:rFonts w:ascii="Verdana" w:hAnsi="Verdana" w:cstheme="minorHAnsi"/>
          <w:sz w:val="20"/>
          <w:szCs w:val="20"/>
          <w:lang w:val="es-ES"/>
        </w:rPr>
        <w:t xml:space="preserve">Cabrera </w:t>
      </w:r>
      <w:r>
        <w:rPr>
          <w:rFonts w:ascii="Verdana" w:hAnsi="Verdana" w:cstheme="minorHAnsi"/>
          <w:sz w:val="20"/>
          <w:szCs w:val="20"/>
          <w:lang w:val="es-ES"/>
        </w:rPr>
        <w:t xml:space="preserve">López </w:t>
      </w:r>
      <w:r w:rsidRPr="001C414E">
        <w:rPr>
          <w:rFonts w:ascii="Verdana" w:hAnsi="Verdana" w:cstheme="minorHAnsi"/>
          <w:sz w:val="20"/>
          <w:szCs w:val="20"/>
          <w:lang w:val="es-ES"/>
        </w:rPr>
        <w:t xml:space="preserve">y su familia, el </w:t>
      </w:r>
      <w:r w:rsidRPr="001C414E">
        <w:rPr>
          <w:rFonts w:ascii="Verdana" w:hAnsi="Verdana" w:cstheme="minorHAnsi"/>
          <w:b/>
          <w:i/>
          <w:sz w:val="20"/>
          <w:szCs w:val="20"/>
          <w:lang w:val="es-ES"/>
        </w:rPr>
        <w:t>Estado</w:t>
      </w:r>
      <w:r w:rsidR="00E54F43">
        <w:rPr>
          <w:rFonts w:ascii="Verdana" w:hAnsi="Verdana" w:cstheme="minorHAnsi"/>
          <w:sz w:val="20"/>
          <w:szCs w:val="20"/>
          <w:lang w:val="es-ES"/>
        </w:rPr>
        <w:t xml:space="preserve"> </w:t>
      </w:r>
      <w:r w:rsidRPr="001C414E">
        <w:rPr>
          <w:rFonts w:ascii="Verdana" w:hAnsi="Verdana" w:cstheme="minorHAnsi"/>
          <w:sz w:val="20"/>
          <w:szCs w:val="20"/>
          <w:lang w:val="es-ES"/>
        </w:rPr>
        <w:t>informó</w:t>
      </w:r>
      <w:r>
        <w:rPr>
          <w:rFonts w:ascii="Verdana" w:hAnsi="Verdana" w:cstheme="minorHAnsi"/>
          <w:sz w:val="20"/>
          <w:szCs w:val="20"/>
          <w:lang w:val="es-ES"/>
        </w:rPr>
        <w:t>:</w:t>
      </w:r>
    </w:p>
    <w:p w:rsidR="00A96506" w:rsidRPr="00F51AFB" w:rsidRDefault="00A96506" w:rsidP="00A96506">
      <w:pPr>
        <w:pStyle w:val="ListParagraph"/>
        <w:autoSpaceDE w:val="0"/>
        <w:autoSpaceDN w:val="0"/>
        <w:adjustRightInd w:val="0"/>
        <w:spacing w:after="0" w:line="240" w:lineRule="auto"/>
        <w:ind w:left="0"/>
        <w:jc w:val="both"/>
        <w:rPr>
          <w:rFonts w:ascii="Verdana" w:hAnsi="Verdana" w:cstheme="minorHAnsi"/>
          <w:sz w:val="20"/>
          <w:szCs w:val="20"/>
          <w:lang w:val="es-ES"/>
        </w:rPr>
      </w:pPr>
    </w:p>
    <w:p w:rsidR="003F627B" w:rsidRPr="00286BA2" w:rsidRDefault="00E54F43" w:rsidP="003F627B">
      <w:pPr>
        <w:pStyle w:val="ListParagraph"/>
        <w:numPr>
          <w:ilvl w:val="0"/>
          <w:numId w:val="25"/>
        </w:numPr>
        <w:spacing w:line="240" w:lineRule="auto"/>
        <w:ind w:firstLine="0"/>
        <w:jc w:val="both"/>
        <w:rPr>
          <w:rFonts w:ascii="Verdana" w:hAnsi="Verdana"/>
          <w:sz w:val="20"/>
          <w:szCs w:val="20"/>
          <w:lang w:val="es-MX"/>
        </w:rPr>
      </w:pPr>
      <w:r>
        <w:rPr>
          <w:rFonts w:ascii="Verdana" w:hAnsi="Verdana"/>
          <w:sz w:val="20"/>
          <w:szCs w:val="20"/>
          <w:lang w:val="es-ES"/>
        </w:rPr>
        <w:t>los días</w:t>
      </w:r>
      <w:r w:rsidR="003F627B" w:rsidRPr="00286BA2">
        <w:rPr>
          <w:rFonts w:ascii="Verdana" w:hAnsi="Verdana"/>
          <w:sz w:val="20"/>
          <w:szCs w:val="20"/>
          <w:lang w:val="es-MX"/>
        </w:rPr>
        <w:t xml:space="preserve"> 7 de enero de 2011 y 9 de enero de 2013, que </w:t>
      </w:r>
      <w:r w:rsidR="003F627B">
        <w:rPr>
          <w:rFonts w:ascii="Verdana" w:hAnsi="Verdana"/>
          <w:sz w:val="20"/>
          <w:szCs w:val="20"/>
          <w:lang w:val="es-MX"/>
        </w:rPr>
        <w:t>el señor Cabrera declaró</w:t>
      </w:r>
      <w:r w:rsidR="003F627B" w:rsidRPr="00286BA2">
        <w:rPr>
          <w:rFonts w:ascii="Verdana" w:hAnsi="Verdana"/>
          <w:sz w:val="20"/>
          <w:szCs w:val="20"/>
          <w:lang w:val="es-MX"/>
        </w:rPr>
        <w:t xml:space="preserve"> que “hasta el momento, no había[n] ocurrido sucesos que les pusieran en riesgo” y que no habían “existido hechos intimidatorios en su contra”</w:t>
      </w:r>
      <w:r w:rsidR="00A96506">
        <w:rPr>
          <w:rFonts w:ascii="Verdana" w:hAnsi="Verdana"/>
          <w:sz w:val="20"/>
          <w:szCs w:val="20"/>
          <w:lang w:val="es-MX"/>
        </w:rPr>
        <w:t xml:space="preserve">; </w:t>
      </w:r>
    </w:p>
    <w:p w:rsidR="00DB5414" w:rsidRDefault="00DB5414" w:rsidP="003F627B">
      <w:pPr>
        <w:pStyle w:val="ListParagraph"/>
        <w:numPr>
          <w:ilvl w:val="0"/>
          <w:numId w:val="25"/>
        </w:numPr>
        <w:autoSpaceDE w:val="0"/>
        <w:autoSpaceDN w:val="0"/>
        <w:adjustRightInd w:val="0"/>
        <w:spacing w:after="0" w:line="240" w:lineRule="auto"/>
        <w:ind w:firstLine="0"/>
        <w:jc w:val="both"/>
        <w:rPr>
          <w:rFonts w:ascii="Verdana" w:hAnsi="Verdana" w:cstheme="minorHAnsi"/>
          <w:sz w:val="20"/>
          <w:szCs w:val="20"/>
          <w:lang w:val="es-ES"/>
        </w:rPr>
      </w:pPr>
      <w:r w:rsidRPr="001C414E">
        <w:rPr>
          <w:rFonts w:ascii="Verdana" w:hAnsi="Verdana" w:cstheme="minorHAnsi"/>
          <w:sz w:val="20"/>
          <w:szCs w:val="20"/>
          <w:lang w:val="es-ES"/>
        </w:rPr>
        <w:t>el 19 de diciembre de 2014</w:t>
      </w:r>
      <w:r>
        <w:rPr>
          <w:rFonts w:ascii="Verdana" w:hAnsi="Verdana" w:cstheme="minorHAnsi"/>
          <w:sz w:val="20"/>
          <w:szCs w:val="20"/>
          <w:lang w:val="es-ES"/>
        </w:rPr>
        <w:t>,</w:t>
      </w:r>
      <w:r w:rsidRPr="001C414E">
        <w:rPr>
          <w:rFonts w:ascii="Verdana" w:hAnsi="Verdana" w:cstheme="minorHAnsi"/>
          <w:sz w:val="20"/>
          <w:szCs w:val="20"/>
          <w:lang w:val="es-ES"/>
        </w:rPr>
        <w:t xml:space="preserve"> que </w:t>
      </w:r>
      <w:r w:rsidRPr="001C414E">
        <w:rPr>
          <w:rFonts w:ascii="Verdana" w:hAnsi="Verdana" w:cs="Verdana"/>
          <w:sz w:val="20"/>
          <w:szCs w:val="20"/>
          <w:lang w:val="es-ES"/>
        </w:rPr>
        <w:t xml:space="preserve">había realizado entrevistas a miembros de la familia del señor Cabrera, específicamente a María Victoria López Cabrera, Pedro Alfonso Cabrera Viagres y Olga Maldonado Domingo, quiénes </w:t>
      </w:r>
      <w:r>
        <w:rPr>
          <w:rFonts w:ascii="Verdana" w:hAnsi="Verdana" w:cs="Verdana"/>
          <w:sz w:val="20"/>
          <w:szCs w:val="20"/>
          <w:lang w:val="es-ES"/>
        </w:rPr>
        <w:t xml:space="preserve">respondieron negativamente </w:t>
      </w:r>
      <w:r w:rsidRPr="001C414E">
        <w:rPr>
          <w:rFonts w:ascii="Verdana" w:hAnsi="Verdana" w:cs="Verdana"/>
          <w:sz w:val="20"/>
          <w:szCs w:val="20"/>
          <w:lang w:val="es-ES"/>
        </w:rPr>
        <w:t xml:space="preserve">al ser cuestionados sobre la existencia de “hechos concretos que supu[sieran] una situación de riesgo” y que solamente había habido un incidente de intento de robo que había sido evitado por un agente de la </w:t>
      </w:r>
      <w:r>
        <w:rPr>
          <w:rFonts w:ascii="Verdana" w:hAnsi="Verdana" w:cs="Verdana"/>
          <w:sz w:val="20"/>
          <w:szCs w:val="20"/>
          <w:lang w:val="es-ES"/>
        </w:rPr>
        <w:t>PNC</w:t>
      </w:r>
      <w:r w:rsidRPr="001C414E">
        <w:rPr>
          <w:rFonts w:ascii="Verdana" w:hAnsi="Verdana" w:cs="Verdana"/>
          <w:sz w:val="20"/>
          <w:szCs w:val="20"/>
          <w:lang w:val="es-ES"/>
        </w:rPr>
        <w:t>, quién brindaba seguridad al señor Cabrera</w:t>
      </w:r>
      <w:r>
        <w:rPr>
          <w:rFonts w:ascii="Verdana" w:hAnsi="Verdana" w:cs="Verdana"/>
          <w:sz w:val="20"/>
          <w:szCs w:val="20"/>
          <w:lang w:val="es-ES"/>
        </w:rPr>
        <w:t>;</w:t>
      </w:r>
    </w:p>
    <w:p w:rsidR="003F627B" w:rsidRDefault="003F627B" w:rsidP="003F627B">
      <w:pPr>
        <w:pStyle w:val="ListParagraph"/>
        <w:numPr>
          <w:ilvl w:val="0"/>
          <w:numId w:val="25"/>
        </w:numPr>
        <w:autoSpaceDE w:val="0"/>
        <w:autoSpaceDN w:val="0"/>
        <w:adjustRightInd w:val="0"/>
        <w:spacing w:after="0" w:line="240" w:lineRule="auto"/>
        <w:ind w:firstLine="0"/>
        <w:jc w:val="both"/>
        <w:rPr>
          <w:rFonts w:ascii="Verdana" w:hAnsi="Verdana" w:cstheme="minorHAnsi"/>
          <w:sz w:val="20"/>
          <w:szCs w:val="20"/>
          <w:lang w:val="es-ES"/>
        </w:rPr>
      </w:pPr>
      <w:r>
        <w:rPr>
          <w:rFonts w:ascii="Verdana" w:hAnsi="Verdana" w:cstheme="minorHAnsi"/>
          <w:sz w:val="20"/>
          <w:szCs w:val="20"/>
          <w:lang w:val="es-ES"/>
        </w:rPr>
        <w:t xml:space="preserve">el 26 de abril de 2016, </w:t>
      </w:r>
      <w:r w:rsidRPr="001C414E">
        <w:rPr>
          <w:rFonts w:ascii="Verdana" w:hAnsi="Verdana" w:cstheme="minorHAnsi"/>
          <w:sz w:val="20"/>
          <w:szCs w:val="20"/>
          <w:lang w:val="es-ES"/>
        </w:rPr>
        <w:t>que a la luz del estudio de riesgo realizado el 24 de enero de 2015</w:t>
      </w:r>
      <w:r>
        <w:rPr>
          <w:rFonts w:ascii="Verdana" w:hAnsi="Verdana" w:cstheme="minorHAnsi"/>
          <w:sz w:val="20"/>
          <w:szCs w:val="20"/>
          <w:lang w:val="es-ES"/>
        </w:rPr>
        <w:t xml:space="preserve"> (</w:t>
      </w:r>
      <w:r w:rsidRPr="00613718">
        <w:rPr>
          <w:rFonts w:ascii="Verdana" w:hAnsi="Verdana" w:cstheme="minorHAnsi"/>
          <w:i/>
          <w:sz w:val="20"/>
          <w:szCs w:val="20"/>
          <w:lang w:val="es-ES"/>
        </w:rPr>
        <w:t>supra</w:t>
      </w:r>
      <w:r>
        <w:rPr>
          <w:rFonts w:ascii="Verdana" w:hAnsi="Verdana" w:cstheme="minorHAnsi"/>
          <w:sz w:val="20"/>
          <w:szCs w:val="20"/>
          <w:lang w:val="es-ES"/>
        </w:rPr>
        <w:t xml:space="preserve"> Considerando </w:t>
      </w:r>
      <w:r w:rsidR="00E54F43">
        <w:rPr>
          <w:rFonts w:ascii="Verdana" w:hAnsi="Verdana" w:cs="Verdana"/>
          <w:sz w:val="20"/>
          <w:szCs w:val="20"/>
          <w:lang w:val="es-ES"/>
        </w:rPr>
        <w:t>5</w:t>
      </w:r>
      <w:r w:rsidR="0087456D">
        <w:rPr>
          <w:rFonts w:ascii="Verdana" w:hAnsi="Verdana" w:cs="Verdana"/>
          <w:sz w:val="20"/>
          <w:szCs w:val="20"/>
          <w:lang w:val="es-ES"/>
        </w:rPr>
        <w:t>)</w:t>
      </w:r>
      <w:r w:rsidRPr="001C414E">
        <w:rPr>
          <w:rFonts w:ascii="Verdana" w:hAnsi="Verdana" w:cstheme="minorHAnsi"/>
          <w:sz w:val="20"/>
          <w:szCs w:val="20"/>
          <w:lang w:val="es-ES"/>
        </w:rPr>
        <w:t xml:space="preserve">, </w:t>
      </w:r>
      <w:r w:rsidRPr="001C414E">
        <w:rPr>
          <w:rFonts w:ascii="Verdana" w:hAnsi="Verdana" w:cs="Verdana"/>
          <w:sz w:val="20"/>
          <w:szCs w:val="20"/>
          <w:lang w:val="es-ES"/>
        </w:rPr>
        <w:t xml:space="preserve">se había concluido que se encontraban en un nivel de riesgo “medio” debido a que se continuaba investigando la desaparición del señor Bámaca, por lo </w:t>
      </w:r>
      <w:r w:rsidRPr="001C414E">
        <w:rPr>
          <w:rFonts w:ascii="Verdana" w:hAnsi="Verdana" w:cs="Verdana"/>
          <w:sz w:val="20"/>
          <w:szCs w:val="20"/>
          <w:lang w:val="es-ES"/>
        </w:rPr>
        <w:lastRenderedPageBreak/>
        <w:t xml:space="preserve">que ofreció llevar a cabo las “gestiones pertinentes” para “dar continuidad </w:t>
      </w:r>
      <w:r w:rsidRPr="001C414E">
        <w:rPr>
          <w:rFonts w:ascii="Verdana" w:hAnsi="Verdana" w:cstheme="minorHAnsi"/>
          <w:sz w:val="20"/>
          <w:szCs w:val="20"/>
          <w:lang w:val="es-ES"/>
        </w:rPr>
        <w:t>a las medidas de protección personal a favor de</w:t>
      </w:r>
      <w:r w:rsidR="00A96506">
        <w:rPr>
          <w:rFonts w:ascii="Verdana" w:hAnsi="Verdana" w:cstheme="minorHAnsi"/>
          <w:sz w:val="20"/>
          <w:szCs w:val="20"/>
          <w:lang w:val="es-ES"/>
        </w:rPr>
        <w:t>l señor Santiago Cabrera López”, y</w:t>
      </w:r>
    </w:p>
    <w:p w:rsidR="00277DD6" w:rsidRPr="00277DD6" w:rsidRDefault="00277DD6" w:rsidP="003F627B">
      <w:pPr>
        <w:pStyle w:val="ListParagraph"/>
        <w:numPr>
          <w:ilvl w:val="0"/>
          <w:numId w:val="25"/>
        </w:numPr>
        <w:autoSpaceDE w:val="0"/>
        <w:autoSpaceDN w:val="0"/>
        <w:adjustRightInd w:val="0"/>
        <w:spacing w:after="0" w:line="240" w:lineRule="auto"/>
        <w:ind w:firstLine="0"/>
        <w:jc w:val="both"/>
        <w:rPr>
          <w:rFonts w:ascii="Verdana" w:hAnsi="Verdana" w:cstheme="minorHAnsi"/>
          <w:b/>
          <w:sz w:val="20"/>
          <w:szCs w:val="20"/>
          <w:lang w:val="es-ES"/>
        </w:rPr>
      </w:pPr>
      <w:r w:rsidRPr="000D3C49">
        <w:rPr>
          <w:rFonts w:ascii="Verdana" w:hAnsi="Verdana" w:cstheme="minorHAnsi"/>
          <w:sz w:val="20"/>
          <w:szCs w:val="20"/>
          <w:lang w:val="es-ES"/>
        </w:rPr>
        <w:t>el 12 de agosto de 2016, qu</w:t>
      </w:r>
      <w:r w:rsidR="00C93CA7" w:rsidRPr="000D3C49">
        <w:rPr>
          <w:rFonts w:ascii="Verdana" w:hAnsi="Verdana" w:cstheme="minorHAnsi"/>
          <w:sz w:val="20"/>
          <w:szCs w:val="20"/>
          <w:lang w:val="es-ES"/>
        </w:rPr>
        <w:t>e el señor Cabrera y su familia</w:t>
      </w:r>
      <w:r w:rsidRPr="000D3C49">
        <w:rPr>
          <w:rFonts w:ascii="Verdana" w:hAnsi="Verdana" w:cstheme="minorHAnsi"/>
          <w:sz w:val="20"/>
          <w:szCs w:val="20"/>
          <w:lang w:val="es-ES"/>
        </w:rPr>
        <w:t xml:space="preserve"> presentaban un “riesgo medio”, de conformidad al análisis de riesgo realizado (</w:t>
      </w:r>
      <w:r w:rsidRPr="000D3C49">
        <w:rPr>
          <w:rFonts w:ascii="Verdana" w:hAnsi="Verdana" w:cstheme="minorHAnsi"/>
          <w:i/>
          <w:sz w:val="20"/>
          <w:szCs w:val="20"/>
          <w:lang w:val="es-ES"/>
        </w:rPr>
        <w:t>supra</w:t>
      </w:r>
      <w:r w:rsidR="0003786D" w:rsidRPr="000D3C49">
        <w:rPr>
          <w:rFonts w:ascii="Verdana" w:hAnsi="Verdana" w:cstheme="minorHAnsi"/>
          <w:sz w:val="20"/>
          <w:szCs w:val="20"/>
          <w:lang w:val="es-ES"/>
        </w:rPr>
        <w:t xml:space="preserve"> Considerando </w:t>
      </w:r>
      <w:r w:rsidR="0087456D" w:rsidRPr="000D3C49">
        <w:rPr>
          <w:rFonts w:ascii="Verdana" w:hAnsi="Verdana" w:cstheme="minorHAnsi"/>
          <w:sz w:val="20"/>
          <w:szCs w:val="20"/>
          <w:lang w:val="es-ES"/>
        </w:rPr>
        <w:t>5)</w:t>
      </w:r>
      <w:r w:rsidR="00E54F43">
        <w:rPr>
          <w:rFonts w:ascii="Verdana" w:hAnsi="Verdana" w:cstheme="minorHAnsi"/>
          <w:sz w:val="20"/>
          <w:szCs w:val="20"/>
          <w:lang w:val="es-ES"/>
        </w:rPr>
        <w:t>.</w:t>
      </w:r>
    </w:p>
    <w:p w:rsidR="001C53E6" w:rsidRPr="001C414E" w:rsidRDefault="001C53E6" w:rsidP="003F627B">
      <w:pPr>
        <w:autoSpaceDE w:val="0"/>
        <w:autoSpaceDN w:val="0"/>
        <w:adjustRightInd w:val="0"/>
        <w:spacing w:after="0" w:line="240" w:lineRule="auto"/>
        <w:jc w:val="both"/>
        <w:rPr>
          <w:rFonts w:ascii="Verdana" w:hAnsi="Verdana" w:cs="Verdana"/>
          <w:sz w:val="20"/>
          <w:szCs w:val="20"/>
          <w:lang w:val="es-ES"/>
        </w:rPr>
      </w:pPr>
    </w:p>
    <w:p w:rsidR="003F627B" w:rsidRDefault="00E54F43" w:rsidP="003F627B">
      <w:pPr>
        <w:pStyle w:val="ListParagraph"/>
        <w:numPr>
          <w:ilvl w:val="0"/>
          <w:numId w:val="29"/>
        </w:numPr>
        <w:spacing w:after="0" w:line="240" w:lineRule="auto"/>
        <w:ind w:left="0" w:firstLine="0"/>
        <w:jc w:val="both"/>
        <w:rPr>
          <w:rFonts w:ascii="Verdana" w:hAnsi="Verdana"/>
          <w:sz w:val="20"/>
          <w:szCs w:val="20"/>
          <w:lang w:val="es-MX"/>
        </w:rPr>
      </w:pPr>
      <w:r>
        <w:rPr>
          <w:rFonts w:ascii="Verdana" w:hAnsi="Verdana" w:cs="Verdana"/>
          <w:sz w:val="20"/>
          <w:szCs w:val="20"/>
          <w:lang w:val="es-ES"/>
        </w:rPr>
        <w:t xml:space="preserve">Por su parte, los </w:t>
      </w:r>
      <w:r w:rsidRPr="000D3C49">
        <w:rPr>
          <w:rFonts w:ascii="Verdana" w:hAnsi="Verdana" w:cs="Verdana"/>
          <w:b/>
          <w:i/>
          <w:sz w:val="20"/>
          <w:szCs w:val="20"/>
          <w:lang w:val="es-ES"/>
        </w:rPr>
        <w:t>representantes</w:t>
      </w:r>
      <w:r w:rsidR="00712B65" w:rsidRPr="000D3C49">
        <w:rPr>
          <w:rFonts w:ascii="Verdana" w:hAnsi="Verdana" w:cs="Verdana"/>
          <w:sz w:val="20"/>
          <w:szCs w:val="20"/>
          <w:lang w:val="es-ES"/>
        </w:rPr>
        <w:t>,</w:t>
      </w:r>
      <w:r w:rsidR="00712B65">
        <w:rPr>
          <w:rFonts w:ascii="Verdana" w:hAnsi="Verdana" w:cs="Verdana"/>
          <w:sz w:val="20"/>
          <w:szCs w:val="20"/>
          <w:lang w:val="es-ES"/>
        </w:rPr>
        <w:t xml:space="preserve"> en</w:t>
      </w:r>
      <w:r w:rsidR="003F627B">
        <w:rPr>
          <w:rFonts w:ascii="Verdana" w:hAnsi="Verdana" w:cs="Verdana"/>
          <w:sz w:val="20"/>
          <w:szCs w:val="20"/>
          <w:lang w:val="es-ES"/>
        </w:rPr>
        <w:t xml:space="preserve"> sus observaciones </w:t>
      </w:r>
      <w:r w:rsidR="00C93CA7">
        <w:rPr>
          <w:rFonts w:ascii="Verdana" w:hAnsi="Verdana" w:cs="Verdana"/>
          <w:sz w:val="20"/>
          <w:szCs w:val="20"/>
          <w:lang w:val="es-ES"/>
        </w:rPr>
        <w:t xml:space="preserve">de </w:t>
      </w:r>
      <w:r w:rsidR="003F627B">
        <w:rPr>
          <w:rFonts w:ascii="Verdana" w:hAnsi="Verdana" w:cs="Verdana"/>
          <w:sz w:val="20"/>
          <w:szCs w:val="20"/>
          <w:lang w:val="es-ES"/>
        </w:rPr>
        <w:t xml:space="preserve">8 de septiembre de 2015, </w:t>
      </w:r>
      <w:r w:rsidR="003F627B" w:rsidRPr="001C414E">
        <w:rPr>
          <w:rFonts w:ascii="Verdana" w:hAnsi="Verdana" w:cs="Verdana"/>
          <w:sz w:val="20"/>
          <w:szCs w:val="20"/>
          <w:lang w:val="es-ES"/>
        </w:rPr>
        <w:t>indicaron que el 2 de septiembre de 2015 un desconocido visitó el lugar de trabajo d</w:t>
      </w:r>
      <w:r w:rsidR="003F627B" w:rsidRPr="000D3C49">
        <w:rPr>
          <w:rFonts w:ascii="Verdana" w:hAnsi="Verdana" w:cs="Verdana"/>
          <w:sz w:val="20"/>
          <w:szCs w:val="20"/>
          <w:lang w:val="es-ES"/>
        </w:rPr>
        <w:t>el</w:t>
      </w:r>
      <w:r w:rsidRPr="000D3C49">
        <w:rPr>
          <w:rFonts w:ascii="Verdana" w:hAnsi="Verdana" w:cs="Verdana"/>
          <w:sz w:val="20"/>
          <w:szCs w:val="20"/>
          <w:lang w:val="es-ES"/>
        </w:rPr>
        <w:t xml:space="preserve"> señor Cabrera</w:t>
      </w:r>
      <w:r w:rsidR="003F627B" w:rsidRPr="000D3C49">
        <w:rPr>
          <w:rFonts w:ascii="Verdana" w:hAnsi="Verdana" w:cs="Verdana"/>
          <w:sz w:val="20"/>
          <w:szCs w:val="20"/>
          <w:lang w:val="es-ES"/>
        </w:rPr>
        <w:t xml:space="preserve">. Esta persona, de acuerdo al señor Cabrera, era ex militar y </w:t>
      </w:r>
      <w:r w:rsidR="00600AB9" w:rsidRPr="000D3C49">
        <w:rPr>
          <w:rFonts w:ascii="Verdana" w:hAnsi="Verdana" w:cs="Verdana"/>
          <w:sz w:val="20"/>
          <w:szCs w:val="20"/>
          <w:lang w:val="es-ES"/>
        </w:rPr>
        <w:t>afirmó que</w:t>
      </w:r>
      <w:r w:rsidR="003B7208" w:rsidRPr="000D3C49">
        <w:rPr>
          <w:rFonts w:ascii="Verdana" w:hAnsi="Verdana" w:cs="Verdana"/>
          <w:sz w:val="20"/>
          <w:szCs w:val="20"/>
          <w:lang w:val="es-ES"/>
        </w:rPr>
        <w:t xml:space="preserve"> había sido</w:t>
      </w:r>
      <w:r w:rsidR="003F627B" w:rsidRPr="000D3C49">
        <w:rPr>
          <w:rFonts w:ascii="Verdana" w:hAnsi="Verdana" w:cs="Verdana"/>
          <w:sz w:val="20"/>
          <w:szCs w:val="20"/>
          <w:lang w:val="es-ES"/>
        </w:rPr>
        <w:t xml:space="preserve"> guerrillero, lo cual fue desacreditado por el señor Cabrera después de </w:t>
      </w:r>
      <w:r w:rsidR="00600AB9" w:rsidRPr="000D3C49">
        <w:rPr>
          <w:rFonts w:ascii="Verdana" w:hAnsi="Verdana" w:cs="Verdana"/>
          <w:sz w:val="20"/>
          <w:szCs w:val="20"/>
          <w:lang w:val="es-ES"/>
        </w:rPr>
        <w:t>que</w:t>
      </w:r>
      <w:r w:rsidR="003B7208" w:rsidRPr="000D3C49">
        <w:rPr>
          <w:rFonts w:ascii="Verdana" w:hAnsi="Verdana" w:cs="Verdana"/>
          <w:sz w:val="20"/>
          <w:szCs w:val="20"/>
          <w:lang w:val="es-ES"/>
        </w:rPr>
        <w:t xml:space="preserve"> le hiciera al </w:t>
      </w:r>
      <w:r w:rsidR="00600AB9" w:rsidRPr="000D3C49">
        <w:rPr>
          <w:rFonts w:ascii="Verdana" w:hAnsi="Verdana" w:cs="Verdana"/>
          <w:sz w:val="20"/>
          <w:szCs w:val="20"/>
          <w:lang w:val="es-ES"/>
        </w:rPr>
        <w:t>desconocido</w:t>
      </w:r>
      <w:r w:rsidR="003F627B" w:rsidRPr="000D3C49">
        <w:rPr>
          <w:rFonts w:ascii="Verdana" w:hAnsi="Verdana" w:cs="Verdana"/>
          <w:sz w:val="20"/>
          <w:szCs w:val="20"/>
          <w:lang w:val="es-ES"/>
        </w:rPr>
        <w:t xml:space="preserve"> una serie de preguntas</w:t>
      </w:r>
      <w:r w:rsidR="003B7208" w:rsidRPr="000D3C49">
        <w:rPr>
          <w:rFonts w:ascii="Verdana" w:hAnsi="Verdana" w:cs="Verdana"/>
          <w:sz w:val="20"/>
          <w:szCs w:val="20"/>
          <w:lang w:val="es-ES"/>
        </w:rPr>
        <w:t xml:space="preserve"> sobre la historia de la guerrilla que fueron respondidas erróneamente</w:t>
      </w:r>
      <w:r w:rsidR="003F627B" w:rsidRPr="001C414E">
        <w:rPr>
          <w:rFonts w:ascii="Verdana" w:hAnsi="Verdana" w:cs="Verdana"/>
          <w:sz w:val="20"/>
          <w:szCs w:val="20"/>
          <w:lang w:val="es-ES"/>
        </w:rPr>
        <w:t>.</w:t>
      </w:r>
      <w:r w:rsidR="003B7208">
        <w:rPr>
          <w:rFonts w:ascii="Verdana" w:hAnsi="Verdana" w:cs="Verdana"/>
          <w:sz w:val="20"/>
          <w:szCs w:val="20"/>
          <w:lang w:val="es-ES"/>
        </w:rPr>
        <w:t xml:space="preserve"> Además, éste manifestó que se estaba preparando para una “nueva guerra” y que solicitaba la ayuda del beneficiario para hacer propaganda y sacar al gobierno actual.</w:t>
      </w:r>
      <w:r w:rsidR="003F627B" w:rsidRPr="001C414E">
        <w:rPr>
          <w:rFonts w:ascii="Verdana" w:hAnsi="Verdana" w:cs="Verdana"/>
          <w:sz w:val="20"/>
          <w:szCs w:val="20"/>
          <w:lang w:val="es-ES"/>
        </w:rPr>
        <w:t xml:space="preserve"> A raíz de ello, los representantes expresaron su preocupación por esta situación “sospechos[a]”, sumada a la falta de seguridad y protección del señor Cabrera</w:t>
      </w:r>
      <w:r w:rsidR="003F627B">
        <w:rPr>
          <w:rFonts w:ascii="Verdana" w:hAnsi="Verdana" w:cs="Verdana"/>
          <w:sz w:val="20"/>
          <w:szCs w:val="20"/>
          <w:lang w:val="es-ES"/>
        </w:rPr>
        <w:t>. En sus observaciones de</w:t>
      </w:r>
      <w:r w:rsidR="003F627B" w:rsidRPr="001C414E">
        <w:rPr>
          <w:rFonts w:ascii="Verdana" w:hAnsi="Verdana" w:cs="Verdana"/>
          <w:sz w:val="20"/>
          <w:szCs w:val="20"/>
          <w:lang w:val="es-ES"/>
        </w:rPr>
        <w:t xml:space="preserve"> 2 de junio de 2016, señalaron que el señor Cabrera </w:t>
      </w:r>
      <w:r w:rsidR="003F627B" w:rsidRPr="001C414E">
        <w:rPr>
          <w:rFonts w:ascii="Verdana" w:hAnsi="Verdana"/>
          <w:sz w:val="20"/>
          <w:szCs w:val="20"/>
          <w:lang w:val="es-MX"/>
        </w:rPr>
        <w:t>confirmaba que</w:t>
      </w:r>
      <w:r w:rsidR="003F627B">
        <w:rPr>
          <w:rFonts w:ascii="Verdana" w:hAnsi="Verdana"/>
          <w:sz w:val="20"/>
          <w:szCs w:val="20"/>
          <w:lang w:val="es-MX"/>
        </w:rPr>
        <w:t xml:space="preserve"> “recientemente”</w:t>
      </w:r>
      <w:r w:rsidR="003F627B" w:rsidRPr="001C414E">
        <w:rPr>
          <w:rFonts w:ascii="Verdana" w:hAnsi="Verdana"/>
          <w:sz w:val="20"/>
          <w:szCs w:val="20"/>
          <w:lang w:val="es-MX"/>
        </w:rPr>
        <w:t>,</w:t>
      </w:r>
      <w:r w:rsidR="003F627B">
        <w:rPr>
          <w:rFonts w:ascii="Verdana" w:hAnsi="Verdana"/>
          <w:sz w:val="20"/>
          <w:szCs w:val="20"/>
          <w:lang w:val="es-MX"/>
        </w:rPr>
        <w:t xml:space="preserve"> con</w:t>
      </w:r>
      <w:r w:rsidR="003F627B" w:rsidRPr="001C414E">
        <w:rPr>
          <w:rFonts w:ascii="Verdana" w:hAnsi="Verdana"/>
          <w:sz w:val="20"/>
          <w:szCs w:val="20"/>
          <w:lang w:val="es-MX"/>
        </w:rPr>
        <w:t xml:space="preserve"> posterior</w:t>
      </w:r>
      <w:r w:rsidR="003F627B">
        <w:rPr>
          <w:rFonts w:ascii="Verdana" w:hAnsi="Verdana"/>
          <w:sz w:val="20"/>
          <w:szCs w:val="20"/>
          <w:lang w:val="es-MX"/>
        </w:rPr>
        <w:t>idad</w:t>
      </w:r>
      <w:r w:rsidR="003F627B" w:rsidRPr="001C414E">
        <w:rPr>
          <w:rFonts w:ascii="Verdana" w:hAnsi="Verdana"/>
          <w:sz w:val="20"/>
          <w:szCs w:val="20"/>
          <w:lang w:val="es-MX"/>
        </w:rPr>
        <w:t xml:space="preserve"> a la reinstalación de la seguridad a su favor, “no ha[bía] sido víctima de ningún atentado, amenaza o agresión”. </w:t>
      </w:r>
    </w:p>
    <w:p w:rsidR="00AA3571" w:rsidRDefault="00AA3571" w:rsidP="00AA3571">
      <w:pPr>
        <w:pStyle w:val="ListParagraph"/>
        <w:spacing w:after="0" w:line="240" w:lineRule="auto"/>
        <w:ind w:left="0"/>
        <w:jc w:val="both"/>
        <w:rPr>
          <w:rFonts w:ascii="Verdana" w:hAnsi="Verdana"/>
          <w:sz w:val="20"/>
          <w:szCs w:val="20"/>
          <w:lang w:val="es-MX"/>
        </w:rPr>
      </w:pPr>
    </w:p>
    <w:p w:rsidR="003F627B" w:rsidRPr="00C93CA7" w:rsidRDefault="003F627B" w:rsidP="00AA3571">
      <w:pPr>
        <w:pStyle w:val="ListParagraph"/>
        <w:numPr>
          <w:ilvl w:val="0"/>
          <w:numId w:val="29"/>
        </w:numPr>
        <w:spacing w:after="0" w:line="240" w:lineRule="auto"/>
        <w:ind w:left="0" w:firstLine="0"/>
        <w:jc w:val="both"/>
        <w:rPr>
          <w:rFonts w:ascii="Verdana" w:hAnsi="Verdana"/>
          <w:b/>
          <w:sz w:val="20"/>
          <w:szCs w:val="20"/>
          <w:lang w:val="es-MX"/>
        </w:rPr>
      </w:pPr>
      <w:r w:rsidRPr="00AA3571">
        <w:rPr>
          <w:rFonts w:ascii="Verdana" w:hAnsi="Verdana" w:cstheme="minorHAnsi"/>
          <w:sz w:val="20"/>
          <w:szCs w:val="20"/>
          <w:lang w:val="es-ES"/>
        </w:rPr>
        <w:t xml:space="preserve">En referencia a todos los beneficiarios de las medidas, la </w:t>
      </w:r>
      <w:r w:rsidRPr="00AA3571">
        <w:rPr>
          <w:rFonts w:ascii="Verdana" w:hAnsi="Verdana" w:cstheme="minorHAnsi"/>
          <w:b/>
          <w:i/>
          <w:sz w:val="20"/>
          <w:szCs w:val="20"/>
          <w:lang w:val="es-ES"/>
        </w:rPr>
        <w:t>Comisión</w:t>
      </w:r>
      <w:r w:rsidRPr="00AA3571">
        <w:rPr>
          <w:rFonts w:ascii="Verdana" w:hAnsi="Verdana" w:cstheme="minorHAnsi"/>
          <w:sz w:val="20"/>
          <w:szCs w:val="20"/>
          <w:lang w:val="es-ES"/>
        </w:rPr>
        <w:t xml:space="preserve"> manifestó el 14 de julio de 2009, que la protección de </w:t>
      </w:r>
      <w:r w:rsidR="003B7208">
        <w:rPr>
          <w:rFonts w:ascii="Verdana" w:hAnsi="Verdana" w:cstheme="minorHAnsi"/>
          <w:sz w:val="20"/>
          <w:szCs w:val="20"/>
          <w:lang w:val="es-ES"/>
        </w:rPr>
        <w:t>dichas personas</w:t>
      </w:r>
      <w:r w:rsidRPr="00AA3571">
        <w:rPr>
          <w:rFonts w:ascii="Verdana" w:hAnsi="Verdana" w:cstheme="minorHAnsi"/>
          <w:sz w:val="20"/>
          <w:szCs w:val="20"/>
          <w:lang w:val="es-ES"/>
        </w:rPr>
        <w:t xml:space="preserve"> debía “extremarse” y que la “reactivación de la investigación” </w:t>
      </w:r>
      <w:r w:rsidR="003B7208">
        <w:rPr>
          <w:rFonts w:ascii="Verdana" w:hAnsi="Verdana" w:cstheme="minorHAnsi"/>
          <w:sz w:val="20"/>
          <w:szCs w:val="20"/>
          <w:lang w:val="es-ES"/>
        </w:rPr>
        <w:t xml:space="preserve">los </w:t>
      </w:r>
      <w:r w:rsidRPr="00AA3571">
        <w:rPr>
          <w:rFonts w:ascii="Verdana" w:hAnsi="Verdana" w:cstheme="minorHAnsi"/>
          <w:sz w:val="20"/>
          <w:szCs w:val="20"/>
          <w:lang w:val="es-ES"/>
        </w:rPr>
        <w:t xml:space="preserve">ponía en “una situación de alto riesgo”. El 17 de mayo de 2011 expresó que el Estado “ha[bía] reconocido sostenidamente la existencia de una situación de vulnerabilidad que genera temor en los beneficiarios” y que “exist[ía] una continuidad del riesgo para” </w:t>
      </w:r>
      <w:r w:rsidR="003B7208">
        <w:rPr>
          <w:rFonts w:ascii="Verdana" w:hAnsi="Verdana" w:cstheme="minorHAnsi"/>
          <w:sz w:val="20"/>
          <w:szCs w:val="20"/>
          <w:lang w:val="es-ES"/>
        </w:rPr>
        <w:t>é</w:t>
      </w:r>
      <w:r w:rsidRPr="00AA3571">
        <w:rPr>
          <w:rFonts w:ascii="Verdana" w:hAnsi="Verdana" w:cstheme="minorHAnsi"/>
          <w:sz w:val="20"/>
          <w:szCs w:val="20"/>
          <w:lang w:val="es-ES"/>
        </w:rPr>
        <w:t>stos</w:t>
      </w:r>
      <w:r w:rsidR="00C16679" w:rsidRPr="00E5695F">
        <w:rPr>
          <w:rFonts w:ascii="Verdana" w:hAnsi="Verdana" w:cstheme="minorHAnsi"/>
          <w:sz w:val="20"/>
          <w:szCs w:val="20"/>
          <w:lang w:val="es-ES"/>
        </w:rPr>
        <w:t xml:space="preserve">. </w:t>
      </w:r>
    </w:p>
    <w:p w:rsidR="003F627B" w:rsidRPr="00E5695F" w:rsidRDefault="003F627B" w:rsidP="003F627B">
      <w:pPr>
        <w:pStyle w:val="ListParagraph"/>
        <w:autoSpaceDE w:val="0"/>
        <w:autoSpaceDN w:val="0"/>
        <w:adjustRightInd w:val="0"/>
        <w:spacing w:after="0" w:line="240" w:lineRule="auto"/>
        <w:ind w:left="360"/>
        <w:jc w:val="both"/>
        <w:rPr>
          <w:rFonts w:ascii="Verdana" w:hAnsi="Verdana" w:cstheme="minorHAnsi"/>
          <w:sz w:val="20"/>
          <w:szCs w:val="20"/>
          <w:lang w:val="es-MX"/>
        </w:rPr>
      </w:pPr>
    </w:p>
    <w:p w:rsidR="003F627B" w:rsidRDefault="003B7208" w:rsidP="003F627B">
      <w:pPr>
        <w:pStyle w:val="ListParagraph"/>
        <w:numPr>
          <w:ilvl w:val="0"/>
          <w:numId w:val="29"/>
        </w:numPr>
        <w:spacing w:after="0" w:line="240" w:lineRule="auto"/>
        <w:ind w:left="0" w:firstLine="0"/>
        <w:jc w:val="both"/>
        <w:rPr>
          <w:rFonts w:ascii="Verdana" w:hAnsi="Verdana" w:cstheme="minorHAnsi"/>
          <w:sz w:val="20"/>
          <w:szCs w:val="20"/>
          <w:lang w:val="es-ES"/>
        </w:rPr>
      </w:pPr>
      <w:r>
        <w:rPr>
          <w:rFonts w:ascii="Verdana" w:hAnsi="Verdana" w:cstheme="minorHAnsi"/>
          <w:sz w:val="20"/>
          <w:szCs w:val="20"/>
          <w:lang w:val="es-ES"/>
        </w:rPr>
        <w:t xml:space="preserve">La </w:t>
      </w:r>
      <w:r w:rsidRPr="000D3C49">
        <w:rPr>
          <w:rFonts w:ascii="Verdana" w:hAnsi="Verdana" w:cstheme="minorHAnsi"/>
          <w:b/>
          <w:i/>
          <w:sz w:val="20"/>
          <w:szCs w:val="20"/>
          <w:lang w:val="es-ES"/>
        </w:rPr>
        <w:t>Corte</w:t>
      </w:r>
      <w:r w:rsidR="003F627B" w:rsidRPr="00E26DD7">
        <w:rPr>
          <w:rFonts w:ascii="Verdana" w:hAnsi="Verdana" w:cstheme="minorHAnsi"/>
          <w:i/>
          <w:sz w:val="20"/>
          <w:szCs w:val="20"/>
          <w:lang w:val="es-ES"/>
        </w:rPr>
        <w:t xml:space="preserve"> </w:t>
      </w:r>
      <w:r w:rsidR="003F627B">
        <w:rPr>
          <w:rFonts w:ascii="Verdana" w:hAnsi="Verdana" w:cstheme="minorHAnsi"/>
          <w:sz w:val="20"/>
          <w:szCs w:val="20"/>
          <w:lang w:val="es-ES"/>
        </w:rPr>
        <w:t xml:space="preserve">nota que </w:t>
      </w:r>
      <w:r w:rsidR="003F627B" w:rsidRPr="001C414E">
        <w:rPr>
          <w:rFonts w:ascii="Verdana" w:hAnsi="Verdana" w:cstheme="minorHAnsi"/>
          <w:sz w:val="20"/>
          <w:szCs w:val="20"/>
          <w:lang w:val="es-ES"/>
        </w:rPr>
        <w:t xml:space="preserve">los representantes informaron sobre un incidente sufrido por el señor Cabrera el 2 de septiembre de 2015, en el cual una persona desconocida y “sospechosa”, que se decía </w:t>
      </w:r>
      <w:r w:rsidR="00785B58">
        <w:rPr>
          <w:rFonts w:ascii="Verdana" w:hAnsi="Verdana" w:cstheme="minorHAnsi"/>
          <w:sz w:val="20"/>
          <w:szCs w:val="20"/>
          <w:lang w:val="es-ES"/>
        </w:rPr>
        <w:t xml:space="preserve">haber sido </w:t>
      </w:r>
      <w:r w:rsidR="003F627B" w:rsidRPr="001C414E">
        <w:rPr>
          <w:rFonts w:ascii="Verdana" w:hAnsi="Verdana" w:cstheme="minorHAnsi"/>
          <w:sz w:val="20"/>
          <w:szCs w:val="20"/>
          <w:lang w:val="es-ES"/>
        </w:rPr>
        <w:t xml:space="preserve">guerrillero </w:t>
      </w:r>
      <w:r w:rsidR="00785B58">
        <w:rPr>
          <w:rFonts w:ascii="Verdana" w:hAnsi="Verdana" w:cstheme="minorHAnsi"/>
          <w:sz w:val="20"/>
          <w:szCs w:val="20"/>
          <w:lang w:val="es-ES"/>
        </w:rPr>
        <w:t>(</w:t>
      </w:r>
      <w:r w:rsidR="003F627B" w:rsidRPr="001C414E">
        <w:rPr>
          <w:rFonts w:ascii="Verdana" w:hAnsi="Verdana" w:cstheme="minorHAnsi"/>
          <w:sz w:val="20"/>
          <w:szCs w:val="20"/>
          <w:lang w:val="es-ES"/>
        </w:rPr>
        <w:t>de manera aparentemente falsa</w:t>
      </w:r>
      <w:r w:rsidR="00785B58">
        <w:rPr>
          <w:rFonts w:ascii="Verdana" w:hAnsi="Verdana" w:cstheme="minorHAnsi"/>
          <w:sz w:val="20"/>
          <w:szCs w:val="20"/>
          <w:lang w:val="es-ES"/>
        </w:rPr>
        <w:t>)</w:t>
      </w:r>
      <w:r w:rsidR="003F627B" w:rsidRPr="001C414E">
        <w:rPr>
          <w:rFonts w:ascii="Verdana" w:hAnsi="Verdana" w:cstheme="minorHAnsi"/>
          <w:sz w:val="20"/>
          <w:szCs w:val="20"/>
          <w:lang w:val="es-ES"/>
        </w:rPr>
        <w:t xml:space="preserve">, fue a su centro de trabajo y le realizó </w:t>
      </w:r>
      <w:r w:rsidR="003F627B">
        <w:rPr>
          <w:rFonts w:ascii="Verdana" w:hAnsi="Verdana" w:cstheme="minorHAnsi"/>
          <w:sz w:val="20"/>
          <w:szCs w:val="20"/>
          <w:lang w:val="es-ES"/>
        </w:rPr>
        <w:t>diversas manifestaciones</w:t>
      </w:r>
      <w:r w:rsidR="003F627B" w:rsidRPr="001C414E">
        <w:rPr>
          <w:rFonts w:ascii="Verdana" w:hAnsi="Verdana" w:cstheme="minorHAnsi"/>
          <w:sz w:val="20"/>
          <w:szCs w:val="20"/>
          <w:lang w:val="es-ES"/>
        </w:rPr>
        <w:t xml:space="preserve"> y preguntas relacionadas con la guerrilla.</w:t>
      </w:r>
      <w:r w:rsidR="003F627B">
        <w:rPr>
          <w:rFonts w:ascii="Verdana" w:hAnsi="Verdana" w:cstheme="minorHAnsi"/>
          <w:sz w:val="20"/>
          <w:szCs w:val="20"/>
          <w:lang w:val="es-ES"/>
        </w:rPr>
        <w:t xml:space="preserve"> </w:t>
      </w:r>
    </w:p>
    <w:p w:rsidR="003F627B" w:rsidRPr="006816D6" w:rsidRDefault="003F627B" w:rsidP="003F627B">
      <w:pPr>
        <w:pStyle w:val="ListParagraph"/>
        <w:spacing w:after="0" w:line="240" w:lineRule="auto"/>
        <w:ind w:left="0"/>
        <w:jc w:val="both"/>
        <w:rPr>
          <w:rFonts w:ascii="Verdana" w:hAnsi="Verdana" w:cstheme="minorHAnsi"/>
          <w:sz w:val="20"/>
          <w:szCs w:val="20"/>
          <w:lang w:val="es-ES"/>
        </w:rPr>
      </w:pPr>
    </w:p>
    <w:p w:rsidR="003F627B" w:rsidRDefault="003F627B" w:rsidP="003F627B">
      <w:pPr>
        <w:pStyle w:val="ListParagraph"/>
        <w:numPr>
          <w:ilvl w:val="0"/>
          <w:numId w:val="29"/>
        </w:numPr>
        <w:spacing w:after="0" w:line="240" w:lineRule="auto"/>
        <w:ind w:left="0" w:firstLine="0"/>
        <w:jc w:val="both"/>
        <w:rPr>
          <w:rFonts w:ascii="Verdana" w:hAnsi="Verdana" w:cstheme="minorHAnsi"/>
          <w:sz w:val="20"/>
          <w:szCs w:val="20"/>
          <w:lang w:val="es-ES"/>
        </w:rPr>
      </w:pPr>
      <w:r w:rsidRPr="001C414E">
        <w:rPr>
          <w:rFonts w:ascii="Verdana" w:hAnsi="Verdana" w:cstheme="minorHAnsi"/>
          <w:sz w:val="20"/>
          <w:szCs w:val="20"/>
          <w:lang w:val="es-ES"/>
        </w:rPr>
        <w:t xml:space="preserve">Por otra parte, la Corte </w:t>
      </w:r>
      <w:r w:rsidR="00785B58">
        <w:rPr>
          <w:rFonts w:ascii="Verdana" w:hAnsi="Verdana" w:cstheme="minorHAnsi"/>
          <w:sz w:val="20"/>
          <w:szCs w:val="20"/>
          <w:lang w:val="es-ES"/>
        </w:rPr>
        <w:t xml:space="preserve">advierte y </w:t>
      </w:r>
      <w:r w:rsidRPr="001C414E">
        <w:rPr>
          <w:rFonts w:ascii="Verdana" w:hAnsi="Verdana" w:cstheme="minorHAnsi"/>
          <w:sz w:val="20"/>
          <w:szCs w:val="20"/>
          <w:lang w:val="es-ES"/>
        </w:rPr>
        <w:t>valora que el mismo Estado determinó el nivel de riesgo de</w:t>
      </w:r>
      <w:r>
        <w:rPr>
          <w:rFonts w:ascii="Verdana" w:hAnsi="Verdana" w:cstheme="minorHAnsi"/>
          <w:sz w:val="20"/>
          <w:szCs w:val="20"/>
          <w:lang w:val="es-ES"/>
        </w:rPr>
        <w:t>l señor Cabrera y su familia</w:t>
      </w:r>
      <w:r w:rsidRPr="001C414E">
        <w:rPr>
          <w:rFonts w:ascii="Verdana" w:hAnsi="Verdana" w:cstheme="minorHAnsi"/>
          <w:sz w:val="20"/>
          <w:szCs w:val="20"/>
          <w:lang w:val="es-ES"/>
        </w:rPr>
        <w:t xml:space="preserve"> como “medio”</w:t>
      </w:r>
      <w:r>
        <w:rPr>
          <w:rFonts w:ascii="Verdana" w:hAnsi="Verdana" w:cstheme="minorHAnsi"/>
          <w:sz w:val="20"/>
          <w:szCs w:val="20"/>
          <w:lang w:val="es-ES"/>
        </w:rPr>
        <w:t>,</w:t>
      </w:r>
      <w:r w:rsidRPr="001C414E">
        <w:rPr>
          <w:rFonts w:ascii="Verdana" w:hAnsi="Verdana" w:cstheme="minorHAnsi"/>
          <w:sz w:val="20"/>
          <w:szCs w:val="20"/>
          <w:lang w:val="es-ES"/>
        </w:rPr>
        <w:t xml:space="preserve"> y se ofreció a continuar brinda</w:t>
      </w:r>
      <w:r w:rsidR="005B080E">
        <w:rPr>
          <w:rFonts w:ascii="Verdana" w:hAnsi="Verdana" w:cstheme="minorHAnsi"/>
          <w:sz w:val="20"/>
          <w:szCs w:val="20"/>
          <w:lang w:val="es-ES"/>
        </w:rPr>
        <w:t>n</w:t>
      </w:r>
      <w:r w:rsidRPr="001C414E">
        <w:rPr>
          <w:rFonts w:ascii="Verdana" w:hAnsi="Verdana" w:cstheme="minorHAnsi"/>
          <w:sz w:val="20"/>
          <w:szCs w:val="20"/>
          <w:lang w:val="es-ES"/>
        </w:rPr>
        <w:t xml:space="preserve">do las medidas de protección a su favor.  </w:t>
      </w:r>
    </w:p>
    <w:p w:rsidR="003F627B" w:rsidRPr="006816D6" w:rsidRDefault="003F627B" w:rsidP="003F627B">
      <w:pPr>
        <w:pStyle w:val="ListParagraph"/>
        <w:spacing w:after="0" w:line="240" w:lineRule="auto"/>
        <w:ind w:left="0"/>
        <w:jc w:val="both"/>
        <w:rPr>
          <w:rFonts w:ascii="Verdana" w:hAnsi="Verdana" w:cstheme="minorHAnsi"/>
          <w:sz w:val="20"/>
          <w:szCs w:val="20"/>
          <w:lang w:val="es-ES"/>
        </w:rPr>
      </w:pPr>
    </w:p>
    <w:p w:rsidR="003F627B" w:rsidRDefault="00785B58" w:rsidP="00C93CA7">
      <w:pPr>
        <w:pStyle w:val="ListParagraph"/>
        <w:numPr>
          <w:ilvl w:val="0"/>
          <w:numId w:val="29"/>
        </w:numPr>
        <w:spacing w:after="0" w:line="240" w:lineRule="auto"/>
        <w:ind w:left="0" w:firstLine="0"/>
        <w:jc w:val="both"/>
        <w:rPr>
          <w:rFonts w:ascii="Verdana" w:hAnsi="Verdana" w:cstheme="minorHAnsi"/>
          <w:sz w:val="20"/>
          <w:szCs w:val="20"/>
          <w:lang w:val="es-ES"/>
        </w:rPr>
      </w:pPr>
      <w:r>
        <w:rPr>
          <w:rFonts w:ascii="Verdana" w:hAnsi="Verdana" w:cstheme="minorHAnsi"/>
          <w:sz w:val="20"/>
          <w:szCs w:val="20"/>
          <w:lang w:val="es-ES"/>
        </w:rPr>
        <w:t>Aunado a lo anterior, e</w:t>
      </w:r>
      <w:r w:rsidR="003F627B">
        <w:rPr>
          <w:rFonts w:ascii="Verdana" w:hAnsi="Verdana" w:cstheme="minorHAnsi"/>
          <w:sz w:val="20"/>
          <w:szCs w:val="20"/>
          <w:lang w:val="es-ES"/>
        </w:rPr>
        <w:t>ste Tribunal considera que el incidente sufrido por el señor Cabrera podría relacionarse con las circunstancias que dieron origen al otorgamiento de las presentes medidas</w:t>
      </w:r>
      <w:r w:rsidR="003F627B" w:rsidRPr="00D60BF1">
        <w:rPr>
          <w:rFonts w:ascii="Verdana" w:hAnsi="Verdana" w:cstheme="minorHAnsi"/>
          <w:i/>
          <w:sz w:val="20"/>
          <w:szCs w:val="20"/>
          <w:lang w:val="es-ES"/>
        </w:rPr>
        <w:t>.</w:t>
      </w:r>
      <w:r w:rsidR="003F627B">
        <w:rPr>
          <w:rFonts w:ascii="Verdana" w:hAnsi="Verdana" w:cstheme="minorHAnsi"/>
          <w:sz w:val="20"/>
          <w:szCs w:val="20"/>
          <w:lang w:val="es-ES"/>
        </w:rPr>
        <w:t xml:space="preserve"> En consecuencia</w:t>
      </w:r>
      <w:r w:rsidR="003F627B" w:rsidRPr="00E26DD7">
        <w:rPr>
          <w:rFonts w:ascii="Verdana" w:hAnsi="Verdana" w:cstheme="minorHAnsi"/>
          <w:sz w:val="20"/>
          <w:szCs w:val="20"/>
          <w:lang w:val="es-ES"/>
        </w:rPr>
        <w:t xml:space="preserve">, la Corte estima que </w:t>
      </w:r>
      <w:r w:rsidR="003F627B">
        <w:rPr>
          <w:rFonts w:ascii="Verdana" w:hAnsi="Verdana" w:cstheme="minorHAnsi"/>
          <w:sz w:val="20"/>
          <w:szCs w:val="20"/>
          <w:lang w:val="es-ES"/>
        </w:rPr>
        <w:t>la situación del referido beneficiario</w:t>
      </w:r>
      <w:r w:rsidR="003F627B" w:rsidRPr="00E26DD7">
        <w:rPr>
          <w:rFonts w:ascii="Verdana" w:hAnsi="Verdana" w:cstheme="minorHAnsi"/>
          <w:sz w:val="20"/>
          <w:szCs w:val="20"/>
          <w:lang w:val="es-ES"/>
        </w:rPr>
        <w:t xml:space="preserve"> aún se enmarca en los supuestos del artículo 63.2 de la Convención, por lo que es procedente que se mantenga la vigencia de las medidas provisionales a favor del señor Santiago Cabrera </w:t>
      </w:r>
      <w:r w:rsidR="003F627B">
        <w:rPr>
          <w:rFonts w:ascii="Verdana" w:hAnsi="Verdana" w:cstheme="minorHAnsi"/>
          <w:sz w:val="20"/>
          <w:szCs w:val="20"/>
          <w:lang w:val="es-ES"/>
        </w:rPr>
        <w:t xml:space="preserve">López </w:t>
      </w:r>
      <w:r w:rsidR="003F627B" w:rsidRPr="00E26DD7">
        <w:rPr>
          <w:rFonts w:ascii="Verdana" w:hAnsi="Verdana" w:cstheme="minorHAnsi"/>
          <w:sz w:val="20"/>
          <w:szCs w:val="20"/>
          <w:lang w:val="es-ES"/>
        </w:rPr>
        <w:t>y sus familiares.</w:t>
      </w:r>
    </w:p>
    <w:p w:rsidR="00BE05E4" w:rsidRPr="00C93CA7" w:rsidRDefault="00BE05E4" w:rsidP="000D3C49">
      <w:pPr>
        <w:pStyle w:val="ListParagraph"/>
        <w:spacing w:after="0" w:line="240" w:lineRule="auto"/>
        <w:ind w:left="0"/>
        <w:jc w:val="both"/>
        <w:rPr>
          <w:rFonts w:ascii="Verdana" w:hAnsi="Verdana" w:cstheme="minorHAnsi"/>
          <w:sz w:val="20"/>
          <w:szCs w:val="20"/>
          <w:lang w:val="es-ES"/>
        </w:rPr>
      </w:pPr>
    </w:p>
    <w:p w:rsidR="003F627B" w:rsidRPr="00E400FA" w:rsidRDefault="00075F94" w:rsidP="007D2294">
      <w:pPr>
        <w:pStyle w:val="ListParagraph"/>
        <w:numPr>
          <w:ilvl w:val="0"/>
          <w:numId w:val="29"/>
        </w:numPr>
        <w:spacing w:after="0" w:line="240" w:lineRule="auto"/>
        <w:ind w:left="0" w:firstLine="0"/>
        <w:jc w:val="both"/>
        <w:rPr>
          <w:rFonts w:ascii="Verdana" w:hAnsi="Verdana" w:cstheme="minorHAnsi"/>
          <w:sz w:val="20"/>
          <w:szCs w:val="20"/>
          <w:lang w:val="es-ES"/>
        </w:rPr>
      </w:pPr>
      <w:r w:rsidRPr="000D3C49">
        <w:rPr>
          <w:rFonts w:ascii="Verdana" w:hAnsi="Verdana" w:cstheme="minorHAnsi"/>
          <w:sz w:val="20"/>
          <w:szCs w:val="20"/>
          <w:lang w:val="es-ES"/>
        </w:rPr>
        <w:t>De igual manera</w:t>
      </w:r>
      <w:r w:rsidR="003F627B" w:rsidRPr="000D3C49">
        <w:rPr>
          <w:rFonts w:ascii="Verdana" w:hAnsi="Verdana" w:cstheme="minorHAnsi"/>
          <w:sz w:val="20"/>
          <w:szCs w:val="20"/>
          <w:lang w:val="es-ES"/>
        </w:rPr>
        <w:t>,</w:t>
      </w:r>
      <w:r w:rsidR="003F627B">
        <w:rPr>
          <w:rFonts w:ascii="Verdana" w:hAnsi="Verdana" w:cstheme="minorHAnsi"/>
          <w:sz w:val="20"/>
          <w:szCs w:val="20"/>
          <w:lang w:val="es-ES"/>
        </w:rPr>
        <w:t xml:space="preserve"> </w:t>
      </w:r>
      <w:r w:rsidR="00785B58">
        <w:rPr>
          <w:rFonts w:ascii="Verdana" w:hAnsi="Verdana" w:cstheme="minorHAnsi"/>
          <w:sz w:val="20"/>
          <w:szCs w:val="20"/>
          <w:lang w:val="es-ES"/>
        </w:rPr>
        <w:t xml:space="preserve">la </w:t>
      </w:r>
      <w:r w:rsidR="00785B58" w:rsidRPr="000D3C49">
        <w:rPr>
          <w:rFonts w:ascii="Verdana" w:hAnsi="Verdana" w:cstheme="minorHAnsi"/>
          <w:sz w:val="20"/>
          <w:szCs w:val="20"/>
          <w:lang w:val="es-ES"/>
        </w:rPr>
        <w:t>Corte</w:t>
      </w:r>
      <w:r w:rsidR="003F627B" w:rsidRPr="00037973">
        <w:rPr>
          <w:rFonts w:ascii="Verdana" w:hAnsi="Verdana"/>
          <w:sz w:val="20"/>
          <w:lang w:val="es-ES_tradnl"/>
        </w:rPr>
        <w:t xml:space="preserve"> estima necesario </w:t>
      </w:r>
      <w:r w:rsidR="003F627B">
        <w:rPr>
          <w:rFonts w:ascii="Verdana" w:hAnsi="Verdana"/>
          <w:sz w:val="20"/>
          <w:lang w:val="es-ES_tradnl"/>
        </w:rPr>
        <w:t>para evaluar opor</w:t>
      </w:r>
      <w:r w:rsidR="007D2294">
        <w:rPr>
          <w:rFonts w:ascii="Verdana" w:hAnsi="Verdana"/>
          <w:sz w:val="20"/>
          <w:lang w:val="es-ES_tradnl"/>
        </w:rPr>
        <w:t xml:space="preserve">tunamente el mantenimiento </w:t>
      </w:r>
      <w:r w:rsidR="003F627B">
        <w:rPr>
          <w:rFonts w:ascii="Verdana" w:hAnsi="Verdana"/>
          <w:sz w:val="20"/>
          <w:lang w:val="es-ES_tradnl"/>
        </w:rPr>
        <w:t xml:space="preserve">de </w:t>
      </w:r>
      <w:r w:rsidR="007D2294">
        <w:rPr>
          <w:rFonts w:ascii="Verdana" w:hAnsi="Verdana"/>
          <w:sz w:val="20"/>
          <w:lang w:val="es-ES_tradnl"/>
        </w:rPr>
        <w:t xml:space="preserve">las </w:t>
      </w:r>
      <w:r w:rsidR="003F627B">
        <w:rPr>
          <w:rFonts w:ascii="Verdana" w:hAnsi="Verdana"/>
          <w:sz w:val="20"/>
          <w:lang w:val="es-ES_tradnl"/>
        </w:rPr>
        <w:t>medidas provisionales a favor de dichas personas,</w:t>
      </w:r>
      <w:r w:rsidR="000D3C49">
        <w:rPr>
          <w:rFonts w:ascii="Verdana" w:hAnsi="Verdana"/>
          <w:sz w:val="20"/>
          <w:lang w:val="es-ES_tradnl"/>
        </w:rPr>
        <w:t xml:space="preserve"> </w:t>
      </w:r>
      <w:r w:rsidR="003F627B" w:rsidRPr="00037973">
        <w:rPr>
          <w:rFonts w:ascii="Verdana" w:hAnsi="Verdana"/>
          <w:sz w:val="20"/>
          <w:lang w:val="es-ES_tradnl"/>
        </w:rPr>
        <w:t xml:space="preserve">que el Estado </w:t>
      </w:r>
      <w:r w:rsidR="003F627B">
        <w:rPr>
          <w:rFonts w:ascii="Verdana" w:hAnsi="Verdana"/>
          <w:sz w:val="20"/>
          <w:lang w:val="es-ES_tradnl"/>
        </w:rPr>
        <w:t xml:space="preserve">en su próximo informe se refiera </w:t>
      </w:r>
      <w:r w:rsidR="003F627B" w:rsidRPr="00037973">
        <w:rPr>
          <w:rFonts w:ascii="Verdana" w:hAnsi="Verdana"/>
          <w:sz w:val="20"/>
          <w:lang w:val="es-ES_tradnl"/>
        </w:rPr>
        <w:t xml:space="preserve">en forma detallada y completa, sobre </w:t>
      </w:r>
      <w:r w:rsidR="003F627B">
        <w:rPr>
          <w:rFonts w:ascii="Verdana" w:hAnsi="Verdana"/>
          <w:sz w:val="20"/>
          <w:lang w:val="es-ES_tradnl"/>
        </w:rPr>
        <w:t xml:space="preserve">la situación actual de </w:t>
      </w:r>
      <w:r w:rsidR="007D2294" w:rsidRPr="00E26DD7">
        <w:rPr>
          <w:rFonts w:ascii="Verdana" w:hAnsi="Verdana" w:cstheme="minorHAnsi"/>
          <w:sz w:val="20"/>
          <w:szCs w:val="20"/>
          <w:lang w:val="es-ES"/>
        </w:rPr>
        <w:t xml:space="preserve">del señor Santiago Cabrera </w:t>
      </w:r>
      <w:r w:rsidR="007D2294">
        <w:rPr>
          <w:rFonts w:ascii="Verdana" w:hAnsi="Verdana" w:cstheme="minorHAnsi"/>
          <w:sz w:val="20"/>
          <w:szCs w:val="20"/>
          <w:lang w:val="es-ES"/>
        </w:rPr>
        <w:t xml:space="preserve">López y sus familiares </w:t>
      </w:r>
      <w:r w:rsidR="003F627B">
        <w:rPr>
          <w:rFonts w:ascii="Verdana" w:hAnsi="Verdana"/>
          <w:sz w:val="20"/>
          <w:lang w:val="es-ES_tradnl"/>
        </w:rPr>
        <w:t xml:space="preserve">y </w:t>
      </w:r>
      <w:r w:rsidR="003F627B" w:rsidRPr="00037973">
        <w:rPr>
          <w:rFonts w:ascii="Verdana" w:hAnsi="Verdana"/>
          <w:sz w:val="20"/>
          <w:lang w:val="es-ES_tradnl"/>
        </w:rPr>
        <w:t xml:space="preserve">las medidas </w:t>
      </w:r>
      <w:r w:rsidR="003F627B">
        <w:rPr>
          <w:rFonts w:ascii="Verdana" w:hAnsi="Verdana"/>
          <w:sz w:val="20"/>
          <w:lang w:val="es-ES_tradnl"/>
        </w:rPr>
        <w:t xml:space="preserve">de protección </w:t>
      </w:r>
      <w:r w:rsidR="003F627B" w:rsidRPr="00037973">
        <w:rPr>
          <w:rFonts w:ascii="Verdana" w:hAnsi="Verdana"/>
          <w:sz w:val="20"/>
          <w:lang w:val="es-ES_tradnl"/>
        </w:rPr>
        <w:t>que hubiera adoptado o ad</w:t>
      </w:r>
      <w:r w:rsidR="003F627B">
        <w:rPr>
          <w:rFonts w:ascii="Verdana" w:hAnsi="Verdana"/>
          <w:sz w:val="20"/>
          <w:lang w:val="es-ES_tradnl"/>
        </w:rPr>
        <w:t>opte</w:t>
      </w:r>
      <w:r w:rsidR="003F627B">
        <w:rPr>
          <w:rFonts w:ascii="Verdana" w:hAnsi="Verdana" w:cstheme="minorHAnsi"/>
          <w:sz w:val="20"/>
          <w:szCs w:val="20"/>
          <w:lang w:val="es-ES"/>
        </w:rPr>
        <w:t>. Igualmente, la Corte solicita a los representantes y a la Comisión que, en sus próximas observaciones, se refieran de forma precisa a cada uno de los beneficiarios,</w:t>
      </w:r>
      <w:r w:rsidR="003F627B" w:rsidRPr="00C53673">
        <w:rPr>
          <w:rFonts w:ascii="Verdana" w:hAnsi="Verdana"/>
          <w:sz w:val="20"/>
          <w:lang w:val="es-MX"/>
        </w:rPr>
        <w:t xml:space="preserve"> </w:t>
      </w:r>
      <w:r w:rsidR="00785B58">
        <w:rPr>
          <w:rFonts w:ascii="Verdana" w:hAnsi="Verdana"/>
          <w:sz w:val="20"/>
          <w:lang w:val="es-MX"/>
        </w:rPr>
        <w:t xml:space="preserve">respecto de la </w:t>
      </w:r>
      <w:r w:rsidR="003F627B" w:rsidRPr="00E012A6">
        <w:rPr>
          <w:rFonts w:ascii="Verdana" w:hAnsi="Verdana"/>
          <w:sz w:val="20"/>
          <w:lang w:val="es-MX"/>
        </w:rPr>
        <w:t xml:space="preserve">situación actual de extrema gravedad y urgencia </w:t>
      </w:r>
      <w:r w:rsidR="00785B58">
        <w:rPr>
          <w:rFonts w:ascii="Verdana" w:hAnsi="Verdana"/>
          <w:sz w:val="20"/>
          <w:lang w:val="es-MX"/>
        </w:rPr>
        <w:t xml:space="preserve">referida a la posibilidad de </w:t>
      </w:r>
      <w:r w:rsidR="003F627B" w:rsidRPr="00E012A6">
        <w:rPr>
          <w:rFonts w:ascii="Verdana" w:hAnsi="Verdana"/>
          <w:sz w:val="20"/>
          <w:lang w:val="es-ES"/>
        </w:rPr>
        <w:t xml:space="preserve">daños irreparables </w:t>
      </w:r>
      <w:r w:rsidR="00785B58">
        <w:rPr>
          <w:rFonts w:ascii="Verdana" w:hAnsi="Verdana"/>
          <w:sz w:val="20"/>
          <w:lang w:val="es-ES"/>
        </w:rPr>
        <w:t xml:space="preserve">en perjuicio </w:t>
      </w:r>
      <w:r w:rsidR="003F627B" w:rsidRPr="00E012A6">
        <w:rPr>
          <w:rFonts w:ascii="Verdana" w:hAnsi="Verdana"/>
          <w:sz w:val="20"/>
          <w:lang w:val="es-ES"/>
        </w:rPr>
        <w:t xml:space="preserve">de </w:t>
      </w:r>
      <w:r w:rsidR="003F627B" w:rsidRPr="00E012A6">
        <w:rPr>
          <w:rFonts w:ascii="Verdana" w:hAnsi="Verdana"/>
          <w:sz w:val="20"/>
          <w:lang w:val="es-MX"/>
        </w:rPr>
        <w:t>cada uno de</w:t>
      </w:r>
      <w:r w:rsidR="003F627B">
        <w:rPr>
          <w:rFonts w:ascii="Verdana" w:hAnsi="Verdana"/>
          <w:sz w:val="20"/>
          <w:lang w:val="es-MX"/>
        </w:rPr>
        <w:t xml:space="preserve"> ellos,</w:t>
      </w:r>
      <w:r w:rsidR="003F627B" w:rsidRPr="00E012A6">
        <w:rPr>
          <w:rFonts w:ascii="Verdana" w:hAnsi="Verdana"/>
          <w:sz w:val="20"/>
          <w:lang w:val="es-MX"/>
        </w:rPr>
        <w:t xml:space="preserve"> en relación con el </w:t>
      </w:r>
      <w:r w:rsidR="00785B58">
        <w:rPr>
          <w:rFonts w:ascii="Verdana" w:hAnsi="Verdana"/>
          <w:sz w:val="20"/>
          <w:lang w:val="es-MX"/>
        </w:rPr>
        <w:t>motivo</w:t>
      </w:r>
      <w:r w:rsidR="003F627B" w:rsidRPr="00E012A6">
        <w:rPr>
          <w:rFonts w:ascii="Verdana" w:hAnsi="Verdana"/>
          <w:sz w:val="20"/>
          <w:lang w:val="es-MX"/>
        </w:rPr>
        <w:t xml:space="preserve"> p</w:t>
      </w:r>
      <w:r w:rsidR="00785B58">
        <w:rPr>
          <w:rFonts w:ascii="Verdana" w:hAnsi="Verdana"/>
          <w:sz w:val="20"/>
          <w:lang w:val="es-MX"/>
        </w:rPr>
        <w:t>o</w:t>
      </w:r>
      <w:r w:rsidR="003F627B" w:rsidRPr="00E012A6">
        <w:rPr>
          <w:rFonts w:ascii="Verdana" w:hAnsi="Verdana"/>
          <w:sz w:val="20"/>
          <w:lang w:val="es-MX"/>
        </w:rPr>
        <w:t>r el cual fueron adoptadas las presentes medidas, y en su caso, fundamenten l</w:t>
      </w:r>
      <w:r w:rsidR="00785B58">
        <w:rPr>
          <w:rFonts w:ascii="Verdana" w:hAnsi="Verdana"/>
          <w:sz w:val="20"/>
          <w:lang w:val="es-MX"/>
        </w:rPr>
        <w:t>a</w:t>
      </w:r>
      <w:r w:rsidR="003F627B" w:rsidRPr="00E012A6">
        <w:rPr>
          <w:rFonts w:ascii="Verdana" w:hAnsi="Verdana"/>
          <w:sz w:val="20"/>
          <w:lang w:val="es-MX"/>
        </w:rPr>
        <w:t xml:space="preserve">s </w:t>
      </w:r>
      <w:r w:rsidR="00785B58">
        <w:rPr>
          <w:rFonts w:ascii="Verdana" w:hAnsi="Verdana"/>
          <w:sz w:val="20"/>
          <w:lang w:val="es-MX"/>
        </w:rPr>
        <w:t>razones</w:t>
      </w:r>
      <w:r w:rsidR="003F627B" w:rsidRPr="00E012A6">
        <w:rPr>
          <w:rFonts w:ascii="Verdana" w:hAnsi="Verdana"/>
          <w:sz w:val="20"/>
          <w:lang w:val="es-MX"/>
        </w:rPr>
        <w:t xml:space="preserve"> para </w:t>
      </w:r>
      <w:r w:rsidR="00785B58">
        <w:rPr>
          <w:rFonts w:ascii="Verdana" w:hAnsi="Verdana"/>
          <w:sz w:val="20"/>
          <w:lang w:val="es-MX"/>
        </w:rPr>
        <w:t xml:space="preserve">continuar </w:t>
      </w:r>
      <w:r w:rsidR="003F627B" w:rsidRPr="00E012A6">
        <w:rPr>
          <w:rFonts w:ascii="Verdana" w:hAnsi="Verdana"/>
          <w:sz w:val="20"/>
          <w:lang w:val="es-MX"/>
        </w:rPr>
        <w:t>manten</w:t>
      </w:r>
      <w:r w:rsidR="00785B58">
        <w:rPr>
          <w:rFonts w:ascii="Verdana" w:hAnsi="Verdana"/>
          <w:sz w:val="20"/>
          <w:lang w:val="es-MX"/>
        </w:rPr>
        <w:t>iéndolas</w:t>
      </w:r>
      <w:r w:rsidR="003F627B">
        <w:rPr>
          <w:rFonts w:ascii="Verdana" w:hAnsi="Verdana" w:cstheme="minorHAnsi"/>
          <w:sz w:val="20"/>
          <w:szCs w:val="20"/>
          <w:lang w:val="es-ES"/>
        </w:rPr>
        <w:t xml:space="preserve"> </w:t>
      </w:r>
      <w:r w:rsidR="00785B58">
        <w:rPr>
          <w:rFonts w:ascii="Verdana" w:hAnsi="Verdana" w:cstheme="minorHAnsi"/>
          <w:sz w:val="20"/>
          <w:szCs w:val="20"/>
          <w:lang w:val="es-ES"/>
        </w:rPr>
        <w:t xml:space="preserve">vigentes </w:t>
      </w:r>
      <w:r w:rsidR="003F627B">
        <w:rPr>
          <w:rFonts w:ascii="Verdana" w:hAnsi="Verdana" w:cstheme="minorHAnsi"/>
          <w:sz w:val="20"/>
          <w:szCs w:val="20"/>
          <w:lang w:val="es-ES"/>
        </w:rPr>
        <w:t xml:space="preserve">a favor de </w:t>
      </w:r>
      <w:r w:rsidR="003F627B" w:rsidRPr="00AF1610">
        <w:rPr>
          <w:rFonts w:ascii="Verdana" w:hAnsi="Verdana" w:cs="Verdana"/>
          <w:sz w:val="20"/>
          <w:szCs w:val="20"/>
          <w:lang w:val="es-ES"/>
        </w:rPr>
        <w:t>Santiago Cabrera López,</w:t>
      </w:r>
      <w:r w:rsidR="003F627B">
        <w:rPr>
          <w:rFonts w:ascii="Verdana" w:hAnsi="Verdana" w:cs="Verdana"/>
          <w:sz w:val="20"/>
          <w:szCs w:val="20"/>
          <w:lang w:val="es-ES"/>
        </w:rPr>
        <w:t xml:space="preserve"> y sus familiares</w:t>
      </w:r>
      <w:r w:rsidR="00600AB9">
        <w:rPr>
          <w:rFonts w:ascii="Verdana" w:hAnsi="Verdana" w:cs="Verdana"/>
          <w:sz w:val="20"/>
          <w:szCs w:val="20"/>
          <w:lang w:val="es-ES"/>
        </w:rPr>
        <w:t>:</w:t>
      </w:r>
      <w:r w:rsidR="003F627B" w:rsidRPr="00AF1610">
        <w:rPr>
          <w:rFonts w:ascii="Verdana" w:hAnsi="Verdana" w:cs="Verdana"/>
          <w:sz w:val="20"/>
          <w:szCs w:val="20"/>
          <w:lang w:val="es-ES"/>
        </w:rPr>
        <w:t xml:space="preserve"> Alfonso</w:t>
      </w:r>
      <w:r w:rsidR="003F627B">
        <w:rPr>
          <w:rFonts w:ascii="Verdana" w:hAnsi="Verdana" w:cs="Verdana"/>
          <w:sz w:val="20"/>
          <w:szCs w:val="20"/>
          <w:lang w:val="es-ES"/>
        </w:rPr>
        <w:t xml:space="preserve"> Cabrera Viagres, </w:t>
      </w:r>
      <w:r w:rsidR="003F627B" w:rsidRPr="00AF1610">
        <w:rPr>
          <w:rFonts w:ascii="Verdana" w:hAnsi="Verdana" w:cs="Verdana"/>
          <w:sz w:val="20"/>
          <w:szCs w:val="20"/>
          <w:lang w:val="es-ES"/>
        </w:rPr>
        <w:t>María Victoria López, Blanc</w:t>
      </w:r>
      <w:r w:rsidR="003F627B">
        <w:rPr>
          <w:rFonts w:ascii="Verdana" w:hAnsi="Verdana" w:cs="Verdana"/>
          <w:sz w:val="20"/>
          <w:szCs w:val="20"/>
          <w:lang w:val="es-ES"/>
        </w:rPr>
        <w:t xml:space="preserve">a Cabrera, Carmenlinda Cabrera, </w:t>
      </w:r>
      <w:r w:rsidR="003F627B" w:rsidRPr="00AF1610">
        <w:rPr>
          <w:rFonts w:ascii="Verdana" w:hAnsi="Verdana" w:cs="Verdana"/>
          <w:sz w:val="20"/>
          <w:szCs w:val="20"/>
          <w:lang w:val="es-ES"/>
        </w:rPr>
        <w:t>Teresa</w:t>
      </w:r>
      <w:r w:rsidR="003F627B">
        <w:rPr>
          <w:rFonts w:ascii="Verdana" w:hAnsi="Verdana" w:cs="Verdana"/>
          <w:sz w:val="20"/>
          <w:szCs w:val="20"/>
          <w:lang w:val="es-ES"/>
        </w:rPr>
        <w:t xml:space="preserve"> </w:t>
      </w:r>
      <w:r w:rsidR="003F627B" w:rsidRPr="00AF1610">
        <w:rPr>
          <w:rFonts w:ascii="Verdana" w:hAnsi="Verdana" w:cs="Verdana"/>
          <w:sz w:val="20"/>
          <w:szCs w:val="20"/>
          <w:lang w:val="es-ES"/>
        </w:rPr>
        <w:t>Aguilar Cabrera, Olga Maldonado, Carlos Alfonso Cabrera</w:t>
      </w:r>
      <w:r w:rsidR="003F627B">
        <w:rPr>
          <w:rFonts w:ascii="Verdana" w:hAnsi="Verdana" w:cstheme="minorHAnsi"/>
          <w:sz w:val="20"/>
          <w:szCs w:val="20"/>
          <w:lang w:val="es-ES"/>
        </w:rPr>
        <w:t xml:space="preserve">. </w:t>
      </w:r>
      <w:r w:rsidR="000D3C49">
        <w:rPr>
          <w:rFonts w:ascii="Verdana" w:hAnsi="Verdana" w:cstheme="minorHAnsi"/>
          <w:sz w:val="20"/>
          <w:szCs w:val="20"/>
          <w:lang w:val="es-ES"/>
        </w:rPr>
        <w:t>Este Tribunal advierte que información y observaciones de la misma índole relativa a todas las personas beneficiarias (</w:t>
      </w:r>
      <w:r w:rsidR="000D3C49" w:rsidRPr="000D3C49">
        <w:rPr>
          <w:rFonts w:ascii="Verdana" w:hAnsi="Verdana" w:cstheme="minorHAnsi"/>
          <w:i/>
          <w:sz w:val="20"/>
          <w:szCs w:val="20"/>
          <w:lang w:val="es-ES"/>
        </w:rPr>
        <w:t>infra</w:t>
      </w:r>
      <w:r w:rsidR="000D3C49">
        <w:rPr>
          <w:rFonts w:ascii="Verdana" w:hAnsi="Verdana" w:cstheme="minorHAnsi"/>
          <w:sz w:val="20"/>
          <w:szCs w:val="20"/>
          <w:lang w:val="es-ES"/>
        </w:rPr>
        <w:t xml:space="preserve">, punto Resolutivo </w:t>
      </w:r>
      <w:r w:rsidR="00355D43">
        <w:rPr>
          <w:rFonts w:ascii="Verdana" w:hAnsi="Verdana" w:cstheme="minorHAnsi"/>
          <w:sz w:val="20"/>
          <w:szCs w:val="20"/>
          <w:lang w:val="es-ES"/>
        </w:rPr>
        <w:t xml:space="preserve">3) </w:t>
      </w:r>
      <w:r w:rsidR="000D3C49" w:rsidRPr="000D3C49">
        <w:rPr>
          <w:rFonts w:ascii="Verdana" w:hAnsi="Verdana" w:cstheme="minorHAnsi"/>
          <w:sz w:val="20"/>
          <w:szCs w:val="20"/>
          <w:lang w:val="es-ES"/>
        </w:rPr>
        <w:t>deberá</w:t>
      </w:r>
      <w:r w:rsidR="000D3C49">
        <w:rPr>
          <w:rFonts w:ascii="Verdana" w:hAnsi="Verdana" w:cstheme="minorHAnsi"/>
          <w:sz w:val="20"/>
          <w:szCs w:val="20"/>
          <w:lang w:val="es-ES"/>
        </w:rPr>
        <w:t xml:space="preserve"> ser presentada por el Estado, los </w:t>
      </w:r>
      <w:r w:rsidR="000D3C49">
        <w:rPr>
          <w:rFonts w:ascii="Verdana" w:hAnsi="Verdana" w:cstheme="minorHAnsi"/>
          <w:sz w:val="20"/>
          <w:szCs w:val="20"/>
          <w:lang w:val="es-ES"/>
        </w:rPr>
        <w:lastRenderedPageBreak/>
        <w:t xml:space="preserve">representantes y la Comisión a fin de evaluar oportunamente el mantenimiento de las medidas provisionales. </w:t>
      </w:r>
    </w:p>
    <w:p w:rsidR="003F627B" w:rsidRPr="00101AFE" w:rsidRDefault="003F627B" w:rsidP="007D2294">
      <w:pPr>
        <w:autoSpaceDE w:val="0"/>
        <w:autoSpaceDN w:val="0"/>
        <w:adjustRightInd w:val="0"/>
        <w:spacing w:after="0" w:line="240" w:lineRule="auto"/>
        <w:jc w:val="both"/>
        <w:rPr>
          <w:rFonts w:ascii="Verdana" w:hAnsi="Verdana" w:cstheme="minorHAnsi"/>
          <w:i/>
          <w:sz w:val="16"/>
          <w:szCs w:val="16"/>
          <w:lang w:val="es-ES"/>
        </w:rPr>
      </w:pPr>
    </w:p>
    <w:p w:rsidR="003F627B" w:rsidRPr="005E63C3" w:rsidRDefault="003F627B" w:rsidP="007D2294">
      <w:pPr>
        <w:pStyle w:val="ListParagraph"/>
        <w:numPr>
          <w:ilvl w:val="2"/>
          <w:numId w:val="3"/>
        </w:numPr>
        <w:tabs>
          <w:tab w:val="left" w:pos="900"/>
        </w:tabs>
        <w:autoSpaceDE w:val="0"/>
        <w:autoSpaceDN w:val="0"/>
        <w:adjustRightInd w:val="0"/>
        <w:spacing w:after="0" w:line="240" w:lineRule="auto"/>
        <w:ind w:left="540" w:firstLine="0"/>
        <w:rPr>
          <w:rFonts w:ascii="Verdana" w:hAnsi="Verdana" w:cs="Verdana"/>
          <w:b/>
          <w:i/>
          <w:sz w:val="20"/>
          <w:szCs w:val="20"/>
          <w:lang w:val="es-ES"/>
        </w:rPr>
      </w:pPr>
      <w:r w:rsidRPr="005E63C3">
        <w:rPr>
          <w:rFonts w:ascii="Verdana" w:hAnsi="Verdana"/>
          <w:b/>
          <w:i/>
          <w:sz w:val="20"/>
          <w:szCs w:val="20"/>
          <w:lang w:val="es-ES"/>
        </w:rPr>
        <w:t xml:space="preserve">Respecto a </w:t>
      </w:r>
      <w:r w:rsidRPr="005E63C3">
        <w:rPr>
          <w:rFonts w:ascii="Verdana" w:hAnsi="Verdana" w:cs="Verdana"/>
          <w:b/>
          <w:i/>
          <w:sz w:val="20"/>
          <w:szCs w:val="20"/>
          <w:lang w:val="es-ES"/>
        </w:rPr>
        <w:t>la familia Bámaca</w:t>
      </w:r>
      <w:r w:rsidRPr="005E63C3">
        <w:rPr>
          <w:rStyle w:val="FootnoteReference"/>
          <w:rFonts w:ascii="Verdana" w:hAnsi="Verdana" w:cs="Verdana"/>
          <w:sz w:val="20"/>
          <w:szCs w:val="20"/>
          <w:lang w:val="es-ES"/>
        </w:rPr>
        <w:footnoteReference w:id="3"/>
      </w:r>
    </w:p>
    <w:p w:rsidR="003F627B" w:rsidRPr="005E63C3" w:rsidRDefault="003F627B" w:rsidP="003F627B">
      <w:pPr>
        <w:pStyle w:val="ListParagraph"/>
        <w:autoSpaceDE w:val="0"/>
        <w:autoSpaceDN w:val="0"/>
        <w:adjustRightInd w:val="0"/>
        <w:spacing w:after="0" w:line="240" w:lineRule="auto"/>
        <w:ind w:left="0"/>
        <w:jc w:val="both"/>
        <w:rPr>
          <w:rFonts w:ascii="Verdana" w:hAnsi="Verdana" w:cs="Verdana"/>
          <w:i/>
          <w:sz w:val="20"/>
          <w:szCs w:val="20"/>
          <w:lang w:val="es-ES"/>
        </w:rPr>
      </w:pPr>
    </w:p>
    <w:p w:rsidR="003F627B" w:rsidRPr="005E63C3" w:rsidRDefault="003F627B" w:rsidP="003F627B">
      <w:pPr>
        <w:pStyle w:val="ListParagraph"/>
        <w:numPr>
          <w:ilvl w:val="0"/>
          <w:numId w:val="29"/>
        </w:numPr>
        <w:spacing w:after="0" w:line="240" w:lineRule="auto"/>
        <w:ind w:left="0" w:firstLine="0"/>
        <w:jc w:val="both"/>
        <w:rPr>
          <w:rFonts w:ascii="Verdana" w:hAnsi="Verdana" w:cstheme="minorHAnsi"/>
          <w:sz w:val="20"/>
          <w:szCs w:val="20"/>
          <w:lang w:val="es-ES"/>
        </w:rPr>
      </w:pPr>
      <w:r w:rsidRPr="005E63C3">
        <w:rPr>
          <w:rFonts w:ascii="Verdana" w:hAnsi="Verdana" w:cstheme="minorHAnsi"/>
          <w:sz w:val="20"/>
          <w:szCs w:val="20"/>
          <w:lang w:val="es-ES"/>
        </w:rPr>
        <w:t>E</w:t>
      </w:r>
      <w:r w:rsidR="004A4B08" w:rsidRPr="005E63C3">
        <w:rPr>
          <w:rFonts w:ascii="Verdana" w:hAnsi="Verdana" w:cstheme="minorHAnsi"/>
          <w:sz w:val="20"/>
          <w:szCs w:val="20"/>
          <w:lang w:val="es-ES"/>
        </w:rPr>
        <w:t xml:space="preserve">l </w:t>
      </w:r>
      <w:r w:rsidR="004A4B08" w:rsidRPr="005E63C3">
        <w:rPr>
          <w:rFonts w:ascii="Verdana" w:hAnsi="Verdana" w:cstheme="minorHAnsi"/>
          <w:b/>
          <w:i/>
          <w:sz w:val="20"/>
          <w:szCs w:val="20"/>
          <w:lang w:val="es-ES"/>
        </w:rPr>
        <w:t>Estado</w:t>
      </w:r>
      <w:r w:rsidR="004A4B08" w:rsidRPr="005E63C3">
        <w:rPr>
          <w:rFonts w:ascii="Verdana" w:hAnsi="Verdana" w:cstheme="minorHAnsi"/>
          <w:sz w:val="20"/>
          <w:szCs w:val="20"/>
          <w:lang w:val="es-ES"/>
        </w:rPr>
        <w:t xml:space="preserve"> presentó información sobre la</w:t>
      </w:r>
      <w:r w:rsidRPr="005E63C3">
        <w:rPr>
          <w:rFonts w:ascii="Verdana" w:hAnsi="Verdana" w:cstheme="minorHAnsi"/>
          <w:sz w:val="20"/>
          <w:szCs w:val="20"/>
          <w:lang w:val="es-ES"/>
        </w:rPr>
        <w:t xml:space="preserve"> implementación de las medidas provisionales</w:t>
      </w:r>
      <w:r w:rsidR="00785B58" w:rsidRPr="005E63C3">
        <w:rPr>
          <w:rFonts w:ascii="Verdana" w:hAnsi="Verdana" w:cstheme="minorHAnsi"/>
          <w:sz w:val="20"/>
          <w:szCs w:val="20"/>
          <w:lang w:val="es-ES"/>
        </w:rPr>
        <w:t xml:space="preserve"> en relación con las personas beneficiarias pertenecientes a la familia Bámaca</w:t>
      </w:r>
      <w:r w:rsidR="004A4B08" w:rsidRPr="005E63C3">
        <w:rPr>
          <w:rFonts w:ascii="Verdana" w:hAnsi="Verdana" w:cstheme="minorHAnsi"/>
          <w:sz w:val="20"/>
          <w:szCs w:val="20"/>
          <w:lang w:val="es-ES"/>
        </w:rPr>
        <w:t>. Entre dicha información, hizo las siguientes referencias que resultan pertinentes de modo actual:</w:t>
      </w:r>
      <w:r w:rsidRPr="005E63C3">
        <w:rPr>
          <w:rFonts w:ascii="Verdana" w:hAnsi="Verdana" w:cstheme="minorHAnsi"/>
          <w:sz w:val="20"/>
          <w:szCs w:val="20"/>
          <w:lang w:val="es-ES"/>
        </w:rPr>
        <w:t xml:space="preserve"> </w:t>
      </w:r>
    </w:p>
    <w:p w:rsidR="003F627B" w:rsidRPr="005E63C3" w:rsidRDefault="003F627B" w:rsidP="003F627B">
      <w:pPr>
        <w:pStyle w:val="ListParagraph"/>
        <w:spacing w:after="0" w:line="240" w:lineRule="auto"/>
        <w:ind w:left="450"/>
        <w:jc w:val="both"/>
        <w:rPr>
          <w:rFonts w:ascii="Verdana" w:hAnsi="Verdana" w:cstheme="minorHAnsi"/>
          <w:sz w:val="20"/>
          <w:szCs w:val="20"/>
          <w:lang w:val="es-ES"/>
        </w:rPr>
      </w:pPr>
    </w:p>
    <w:p w:rsidR="003F627B" w:rsidRPr="005E63C3" w:rsidRDefault="003F627B" w:rsidP="003F627B">
      <w:pPr>
        <w:pStyle w:val="ListParagraph"/>
        <w:numPr>
          <w:ilvl w:val="0"/>
          <w:numId w:val="6"/>
        </w:numPr>
        <w:tabs>
          <w:tab w:val="left" w:pos="630"/>
        </w:tabs>
        <w:spacing w:after="0" w:line="240" w:lineRule="auto"/>
        <w:ind w:firstLine="0"/>
        <w:jc w:val="both"/>
        <w:rPr>
          <w:rFonts w:ascii="Verdana" w:hAnsi="Verdana" w:cstheme="minorHAnsi"/>
          <w:sz w:val="20"/>
          <w:szCs w:val="20"/>
          <w:lang w:val="es-ES"/>
        </w:rPr>
      </w:pPr>
      <w:r w:rsidRPr="005E63C3">
        <w:rPr>
          <w:rFonts w:ascii="Verdana" w:hAnsi="Verdana" w:cstheme="minorHAnsi"/>
          <w:sz w:val="20"/>
          <w:szCs w:val="20"/>
          <w:lang w:val="es-ES"/>
        </w:rPr>
        <w:t xml:space="preserve">el 19 de diciembre de 2014 </w:t>
      </w:r>
      <w:r w:rsidR="003D05BB" w:rsidRPr="005E63C3">
        <w:rPr>
          <w:rFonts w:ascii="Verdana" w:hAnsi="Verdana" w:cstheme="minorHAnsi"/>
          <w:sz w:val="20"/>
          <w:szCs w:val="20"/>
          <w:lang w:val="es-ES"/>
        </w:rPr>
        <w:t xml:space="preserve">indicó </w:t>
      </w:r>
      <w:r w:rsidRPr="005E63C3">
        <w:rPr>
          <w:rFonts w:ascii="Verdana" w:hAnsi="Verdana" w:cstheme="minorHAnsi"/>
          <w:sz w:val="20"/>
          <w:szCs w:val="20"/>
          <w:lang w:val="es-ES"/>
        </w:rPr>
        <w:t>que el 24 de septiembre de 2013 se había realizado un estudio de riesgo a la familia Bámaca, particularmente a Alberta Velásquez, Luis Federico López Godínez y a Oscar Rolando López Velásquez, donde se confirmó que contaban con seguridad perimetral en sus domicilios las 24 horas del día. Dicho estudio, que no fue acompañado por el Estado, concluyó un nivel de riesgo “bajo”, y</w:t>
      </w:r>
    </w:p>
    <w:p w:rsidR="003F627B" w:rsidRPr="005E63C3" w:rsidRDefault="003F627B" w:rsidP="003F627B">
      <w:pPr>
        <w:pStyle w:val="ListParagraph"/>
        <w:numPr>
          <w:ilvl w:val="0"/>
          <w:numId w:val="6"/>
        </w:numPr>
        <w:tabs>
          <w:tab w:val="left" w:pos="630"/>
        </w:tabs>
        <w:spacing w:after="0" w:line="240" w:lineRule="auto"/>
        <w:ind w:firstLine="0"/>
        <w:jc w:val="both"/>
        <w:rPr>
          <w:rFonts w:ascii="Verdana" w:hAnsi="Verdana" w:cstheme="minorHAnsi"/>
          <w:sz w:val="20"/>
          <w:szCs w:val="20"/>
          <w:lang w:val="es-ES"/>
        </w:rPr>
      </w:pPr>
      <w:r w:rsidRPr="005E63C3">
        <w:rPr>
          <w:rFonts w:ascii="Verdana" w:hAnsi="Verdana" w:cstheme="minorHAnsi"/>
          <w:sz w:val="20"/>
          <w:szCs w:val="20"/>
          <w:lang w:val="es-ES"/>
        </w:rPr>
        <w:t xml:space="preserve">el 26 de abril de 2016 </w:t>
      </w:r>
      <w:r w:rsidR="003D05BB" w:rsidRPr="005E63C3">
        <w:rPr>
          <w:rFonts w:ascii="Verdana" w:hAnsi="Verdana" w:cstheme="minorHAnsi"/>
          <w:sz w:val="20"/>
          <w:szCs w:val="20"/>
          <w:lang w:val="es-ES"/>
        </w:rPr>
        <w:t xml:space="preserve">manifestó </w:t>
      </w:r>
      <w:r w:rsidR="00141ED2" w:rsidRPr="005E63C3">
        <w:rPr>
          <w:rFonts w:ascii="Verdana" w:hAnsi="Verdana" w:cstheme="minorHAnsi"/>
          <w:sz w:val="20"/>
          <w:szCs w:val="20"/>
          <w:lang w:val="es-ES"/>
        </w:rPr>
        <w:t>que el 25 de enero de 2015 se había realizado una visita al domicilio de</w:t>
      </w:r>
      <w:r w:rsidRPr="005E63C3">
        <w:rPr>
          <w:rFonts w:ascii="Verdana" w:hAnsi="Verdana" w:cstheme="minorHAnsi"/>
          <w:sz w:val="20"/>
          <w:szCs w:val="20"/>
          <w:lang w:val="es-ES"/>
        </w:rPr>
        <w:t xml:space="preserve"> la señora Egidia Gebia Bámaca Velásquez </w:t>
      </w:r>
      <w:r w:rsidR="005B080E" w:rsidRPr="005E63C3">
        <w:rPr>
          <w:rFonts w:ascii="Verdana" w:hAnsi="Verdana" w:cstheme="minorHAnsi"/>
          <w:sz w:val="20"/>
          <w:szCs w:val="20"/>
          <w:lang w:val="es-ES"/>
        </w:rPr>
        <w:t>y al de</w:t>
      </w:r>
      <w:r w:rsidRPr="005E63C3">
        <w:rPr>
          <w:rFonts w:ascii="Verdana" w:hAnsi="Verdana" w:cstheme="minorHAnsi"/>
          <w:sz w:val="20"/>
          <w:szCs w:val="20"/>
          <w:lang w:val="es-ES"/>
        </w:rPr>
        <w:t xml:space="preserve"> José León Bámaca Hernández. </w:t>
      </w:r>
      <w:r w:rsidR="00141ED2" w:rsidRPr="005E63C3">
        <w:rPr>
          <w:rFonts w:ascii="Verdana" w:hAnsi="Verdana" w:cstheme="minorHAnsi"/>
          <w:sz w:val="20"/>
          <w:szCs w:val="20"/>
          <w:lang w:val="es-ES"/>
        </w:rPr>
        <w:t>Si bien no presentó el informe de riesgo realizado, el Estado expresó que l</w:t>
      </w:r>
      <w:r w:rsidRPr="005E63C3">
        <w:rPr>
          <w:rFonts w:ascii="Verdana" w:hAnsi="Verdana" w:cstheme="minorHAnsi"/>
          <w:sz w:val="20"/>
          <w:szCs w:val="20"/>
          <w:lang w:val="es-ES"/>
        </w:rPr>
        <w:t>os agentes concluyeron que la señora Egidia Bámaca se encontraba en un nivel de riesgo “bajo”</w:t>
      </w:r>
      <w:r w:rsidR="00141ED2" w:rsidRPr="005E63C3">
        <w:rPr>
          <w:rFonts w:ascii="Verdana" w:hAnsi="Verdana" w:cstheme="minorHAnsi"/>
          <w:sz w:val="20"/>
          <w:szCs w:val="20"/>
          <w:lang w:val="es-ES"/>
        </w:rPr>
        <w:t>,</w:t>
      </w:r>
      <w:r w:rsidRPr="005E63C3">
        <w:rPr>
          <w:rFonts w:ascii="Verdana" w:hAnsi="Verdana" w:cstheme="minorHAnsi"/>
          <w:sz w:val="20"/>
          <w:szCs w:val="20"/>
          <w:lang w:val="es-ES"/>
        </w:rPr>
        <w:t xml:space="preserve"> y la consiguiente falta de necesidad de un esquema de seguridad. Sumado a ello, el Estado destacó que ese mismo día, se acudió al domicilio de Josefina Bámaca Velásquez, quien dijo que no “atendería a los analistas” y “tampoco hablaría de su situación con ellos”, por</w:t>
      </w:r>
      <w:r w:rsidR="00141ED2" w:rsidRPr="005E63C3">
        <w:rPr>
          <w:rFonts w:ascii="Verdana" w:hAnsi="Verdana" w:cstheme="minorHAnsi"/>
          <w:sz w:val="20"/>
          <w:szCs w:val="20"/>
          <w:lang w:val="es-ES"/>
        </w:rPr>
        <w:t xml:space="preserve"> lo que</w:t>
      </w:r>
      <w:r w:rsidRPr="005E63C3">
        <w:rPr>
          <w:rFonts w:ascii="Verdana" w:hAnsi="Verdana" w:cstheme="minorHAnsi"/>
          <w:sz w:val="20"/>
          <w:szCs w:val="20"/>
          <w:lang w:val="es-ES"/>
        </w:rPr>
        <w:t xml:space="preserve"> el Estado </w:t>
      </w:r>
      <w:r w:rsidR="00141ED2" w:rsidRPr="005E63C3">
        <w:rPr>
          <w:rFonts w:ascii="Verdana" w:hAnsi="Verdana" w:cstheme="minorHAnsi"/>
          <w:sz w:val="20"/>
          <w:szCs w:val="20"/>
          <w:lang w:val="es-ES"/>
        </w:rPr>
        <w:t>manifestó</w:t>
      </w:r>
      <w:r w:rsidRPr="005E63C3">
        <w:rPr>
          <w:rFonts w:ascii="Verdana" w:hAnsi="Verdana" w:cstheme="minorHAnsi"/>
          <w:sz w:val="20"/>
          <w:szCs w:val="20"/>
          <w:lang w:val="es-ES"/>
        </w:rPr>
        <w:t xml:space="preserve"> desconocer la situación de la señora Josefina Bámaca. En el informe de la misma fecha, </w:t>
      </w:r>
      <w:r w:rsidR="00141ED2" w:rsidRPr="005E63C3">
        <w:rPr>
          <w:rFonts w:ascii="Verdana" w:hAnsi="Verdana" w:cstheme="minorHAnsi"/>
          <w:sz w:val="20"/>
          <w:szCs w:val="20"/>
          <w:lang w:val="es-ES"/>
        </w:rPr>
        <w:t>Guatemala indicó que</w:t>
      </w:r>
      <w:r w:rsidRPr="005E63C3">
        <w:rPr>
          <w:rFonts w:ascii="Verdana" w:hAnsi="Verdana" w:cstheme="minorHAnsi"/>
          <w:sz w:val="20"/>
          <w:szCs w:val="20"/>
          <w:lang w:val="es-ES"/>
        </w:rPr>
        <w:t xml:space="preserve"> </w:t>
      </w:r>
      <w:r w:rsidRPr="005E63C3">
        <w:rPr>
          <w:rFonts w:ascii="Verdana" w:hAnsi="Verdana" w:cs="Verdana"/>
          <w:sz w:val="20"/>
          <w:szCs w:val="20"/>
          <w:lang w:val="es-ES"/>
        </w:rPr>
        <w:t>el 23 de enero de 2015 se realizó una visita al domicilio de Alberta Velásquez y Rudy López</w:t>
      </w:r>
      <w:r w:rsidR="00141ED2" w:rsidRPr="005E63C3">
        <w:rPr>
          <w:rFonts w:ascii="Verdana" w:hAnsi="Verdana" w:cs="Verdana"/>
          <w:sz w:val="20"/>
          <w:szCs w:val="20"/>
          <w:lang w:val="es-ES"/>
        </w:rPr>
        <w:t xml:space="preserve">, quienes contaban con medidas de seguridad perimetral “las veinticuatro horas del día”, </w:t>
      </w:r>
      <w:r w:rsidRPr="005E63C3">
        <w:rPr>
          <w:rFonts w:ascii="Verdana" w:hAnsi="Verdana" w:cs="Verdana"/>
          <w:sz w:val="20"/>
          <w:szCs w:val="20"/>
          <w:lang w:val="es-ES"/>
        </w:rPr>
        <w:t>para llevar a cabo un estudio de riesgo</w:t>
      </w:r>
      <w:r w:rsidR="00141ED2" w:rsidRPr="005E63C3">
        <w:rPr>
          <w:rFonts w:ascii="Verdana" w:hAnsi="Verdana" w:cs="Verdana"/>
          <w:sz w:val="20"/>
          <w:szCs w:val="20"/>
          <w:lang w:val="es-ES"/>
        </w:rPr>
        <w:t>, que</w:t>
      </w:r>
      <w:r w:rsidRPr="005E63C3">
        <w:rPr>
          <w:rFonts w:ascii="Verdana" w:hAnsi="Verdana" w:cs="Verdana"/>
          <w:sz w:val="20"/>
          <w:szCs w:val="20"/>
          <w:lang w:val="es-ES"/>
        </w:rPr>
        <w:t xml:space="preserve"> determinó su nivel de riesgo como “bajo”. </w:t>
      </w:r>
    </w:p>
    <w:p w:rsidR="003F627B" w:rsidRPr="005E63C3" w:rsidRDefault="003F627B" w:rsidP="003F627B">
      <w:pPr>
        <w:spacing w:after="0" w:line="240" w:lineRule="auto"/>
        <w:ind w:left="1080"/>
        <w:jc w:val="both"/>
        <w:rPr>
          <w:rFonts w:ascii="Verdana" w:hAnsi="Verdana" w:cstheme="minorHAnsi"/>
          <w:sz w:val="20"/>
          <w:szCs w:val="20"/>
          <w:lang w:val="es-ES"/>
        </w:rPr>
      </w:pPr>
    </w:p>
    <w:p w:rsidR="003F627B" w:rsidRPr="005E63C3" w:rsidRDefault="003F627B" w:rsidP="003F627B">
      <w:pPr>
        <w:pStyle w:val="ListParagraph"/>
        <w:numPr>
          <w:ilvl w:val="0"/>
          <w:numId w:val="29"/>
        </w:numPr>
        <w:spacing w:after="0" w:line="240" w:lineRule="auto"/>
        <w:ind w:left="540"/>
        <w:jc w:val="both"/>
        <w:rPr>
          <w:rFonts w:ascii="Verdana" w:hAnsi="Verdana" w:cstheme="minorHAnsi"/>
          <w:sz w:val="20"/>
          <w:szCs w:val="20"/>
          <w:lang w:val="es-ES"/>
        </w:rPr>
      </w:pPr>
      <w:r w:rsidRPr="005E63C3">
        <w:rPr>
          <w:rFonts w:ascii="Verdana" w:hAnsi="Verdana" w:cstheme="minorHAnsi"/>
          <w:sz w:val="20"/>
          <w:szCs w:val="20"/>
          <w:lang w:val="es-ES"/>
        </w:rPr>
        <w:t xml:space="preserve"> </w:t>
      </w:r>
      <w:r w:rsidRPr="005E63C3">
        <w:rPr>
          <w:rFonts w:ascii="Verdana" w:hAnsi="Verdana" w:cstheme="minorHAnsi"/>
          <w:sz w:val="20"/>
          <w:szCs w:val="20"/>
          <w:lang w:val="es-ES"/>
        </w:rPr>
        <w:tab/>
        <w:t>Por su parte</w:t>
      </w:r>
      <w:r w:rsidR="000E1BC8" w:rsidRPr="005E63C3">
        <w:rPr>
          <w:rFonts w:ascii="Verdana" w:hAnsi="Verdana" w:cstheme="minorHAnsi"/>
          <w:sz w:val="20"/>
          <w:szCs w:val="20"/>
          <w:lang w:val="es-ES"/>
        </w:rPr>
        <w:t xml:space="preserve"> los </w:t>
      </w:r>
      <w:r w:rsidR="000E1BC8" w:rsidRPr="005E63C3">
        <w:rPr>
          <w:rFonts w:ascii="Verdana" w:hAnsi="Verdana" w:cstheme="minorHAnsi"/>
          <w:b/>
          <w:i/>
          <w:sz w:val="20"/>
          <w:szCs w:val="20"/>
          <w:lang w:val="es-ES"/>
        </w:rPr>
        <w:t>representantes</w:t>
      </w:r>
      <w:r w:rsidR="000E1BC8" w:rsidRPr="005E63C3">
        <w:rPr>
          <w:rFonts w:ascii="Verdana" w:hAnsi="Verdana" w:cstheme="minorHAnsi"/>
          <w:sz w:val="20"/>
          <w:szCs w:val="20"/>
          <w:lang w:val="es-ES"/>
        </w:rPr>
        <w:t xml:space="preserve"> hicieron</w:t>
      </w:r>
      <w:r w:rsidRPr="005E63C3">
        <w:rPr>
          <w:rFonts w:ascii="Verdana" w:hAnsi="Verdana" w:cstheme="minorHAnsi"/>
          <w:sz w:val="20"/>
          <w:szCs w:val="20"/>
          <w:lang w:val="es-ES"/>
        </w:rPr>
        <w:t xml:space="preserve"> observaciones</w:t>
      </w:r>
      <w:r w:rsidR="000E1BC8" w:rsidRPr="005E63C3">
        <w:rPr>
          <w:rFonts w:ascii="Verdana" w:hAnsi="Verdana" w:cstheme="minorHAnsi"/>
          <w:sz w:val="20"/>
          <w:szCs w:val="20"/>
          <w:lang w:val="es-ES"/>
        </w:rPr>
        <w:t>, siendo las siguientes relevantes en cuanto al estado actual de la implementación de las medidas provisionales</w:t>
      </w:r>
      <w:r w:rsidRPr="005E63C3">
        <w:rPr>
          <w:rFonts w:ascii="Verdana" w:hAnsi="Verdana" w:cstheme="minorHAnsi"/>
          <w:sz w:val="20"/>
          <w:szCs w:val="20"/>
          <w:lang w:val="es-ES"/>
        </w:rPr>
        <w:t xml:space="preserve">: </w:t>
      </w:r>
    </w:p>
    <w:p w:rsidR="003F627B" w:rsidRPr="005E63C3" w:rsidRDefault="003F627B" w:rsidP="003F627B">
      <w:pPr>
        <w:spacing w:after="0" w:line="240" w:lineRule="auto"/>
        <w:ind w:left="90"/>
        <w:jc w:val="both"/>
        <w:rPr>
          <w:rFonts w:ascii="Verdana" w:hAnsi="Verdana" w:cstheme="minorHAnsi"/>
          <w:sz w:val="20"/>
          <w:szCs w:val="20"/>
          <w:lang w:val="es-ES"/>
        </w:rPr>
      </w:pPr>
    </w:p>
    <w:p w:rsidR="003F627B" w:rsidRPr="005E63C3" w:rsidRDefault="003F627B" w:rsidP="003F627B">
      <w:pPr>
        <w:pStyle w:val="ListParagraph"/>
        <w:numPr>
          <w:ilvl w:val="0"/>
          <w:numId w:val="10"/>
        </w:numPr>
        <w:spacing w:line="240" w:lineRule="auto"/>
        <w:ind w:left="720" w:firstLine="0"/>
        <w:jc w:val="both"/>
        <w:rPr>
          <w:rFonts w:ascii="Verdana" w:hAnsi="Verdana" w:cs="Verdana"/>
          <w:sz w:val="20"/>
          <w:szCs w:val="20"/>
          <w:lang w:val="es-ES"/>
        </w:rPr>
      </w:pPr>
      <w:r w:rsidRPr="005E63C3">
        <w:rPr>
          <w:rFonts w:ascii="Verdana" w:hAnsi="Verdana"/>
          <w:sz w:val="20"/>
          <w:szCs w:val="20"/>
          <w:lang w:val="es-MX"/>
        </w:rPr>
        <w:t>el 27 de mayo de 2015</w:t>
      </w:r>
      <w:r w:rsidR="003D05BB" w:rsidRPr="005E63C3">
        <w:rPr>
          <w:rFonts w:ascii="Verdana" w:hAnsi="Verdana"/>
          <w:sz w:val="20"/>
          <w:szCs w:val="20"/>
          <w:lang w:val="es-MX"/>
        </w:rPr>
        <w:t xml:space="preserve"> señalaron</w:t>
      </w:r>
      <w:r w:rsidRPr="005E63C3">
        <w:rPr>
          <w:rFonts w:ascii="Verdana" w:hAnsi="Verdana"/>
          <w:sz w:val="20"/>
          <w:szCs w:val="20"/>
          <w:lang w:val="es-MX"/>
        </w:rPr>
        <w:t xml:space="preserve"> que la señora Egidia Bámaca informó que “las medidas de protección acordadas continu[aban] implementándose de forma muy irregular y deficiente” y que la seguridad perimetral se “brindó una sola vez”, sin tener contacto, a la fecha</w:t>
      </w:r>
      <w:r w:rsidR="002E0DFF" w:rsidRPr="005E63C3">
        <w:rPr>
          <w:rFonts w:ascii="Verdana" w:hAnsi="Verdana"/>
          <w:sz w:val="20"/>
          <w:szCs w:val="20"/>
          <w:lang w:val="es-MX"/>
        </w:rPr>
        <w:t xml:space="preserve"> indicada</w:t>
      </w:r>
      <w:r w:rsidRPr="005E63C3">
        <w:rPr>
          <w:rFonts w:ascii="Verdana" w:hAnsi="Verdana"/>
          <w:sz w:val="20"/>
          <w:szCs w:val="20"/>
          <w:lang w:val="es-MX"/>
        </w:rPr>
        <w:t xml:space="preserve">, con agentes de la COPREDEH. </w:t>
      </w:r>
      <w:r w:rsidR="00CC15B9" w:rsidRPr="005E63C3">
        <w:rPr>
          <w:rFonts w:ascii="Verdana" w:hAnsi="Verdana"/>
          <w:sz w:val="20"/>
          <w:szCs w:val="20"/>
          <w:lang w:val="es-MX"/>
        </w:rPr>
        <w:t>En cuanto a l</w:t>
      </w:r>
      <w:r w:rsidRPr="005E63C3">
        <w:rPr>
          <w:rFonts w:ascii="Verdana" w:hAnsi="Verdana"/>
          <w:sz w:val="20"/>
          <w:szCs w:val="20"/>
          <w:lang w:val="es-MX"/>
        </w:rPr>
        <w:t>a señora Josefina Bámaca</w:t>
      </w:r>
      <w:r w:rsidR="00CC15B9" w:rsidRPr="005E63C3">
        <w:rPr>
          <w:rFonts w:ascii="Verdana" w:hAnsi="Verdana"/>
          <w:sz w:val="20"/>
          <w:szCs w:val="20"/>
          <w:lang w:val="es-MX"/>
        </w:rPr>
        <w:t>, que ella</w:t>
      </w:r>
      <w:r w:rsidRPr="005E63C3">
        <w:rPr>
          <w:rFonts w:ascii="Verdana" w:hAnsi="Verdana"/>
          <w:sz w:val="20"/>
          <w:szCs w:val="20"/>
          <w:lang w:val="es-MX"/>
        </w:rPr>
        <w:t xml:space="preserve"> señaló que la PNC había “estado proporcionando seguridad perimetral en su casa, al menos cada 15 días” y que se encontraba “satisfecha” con dicho esquema de seguridad, aunque también recalcó que tenía “más de un año que la COPREDEH no se ha[bía] comunicado con ella”. Asimismo, que el señor Amín López había </w:t>
      </w:r>
      <w:r w:rsidR="00CC15B9" w:rsidRPr="005E63C3">
        <w:rPr>
          <w:rFonts w:ascii="Verdana" w:hAnsi="Verdana"/>
          <w:sz w:val="20"/>
          <w:szCs w:val="20"/>
          <w:lang w:val="es-MX"/>
        </w:rPr>
        <w:t>manifestado</w:t>
      </w:r>
      <w:r w:rsidRPr="005E63C3">
        <w:rPr>
          <w:rFonts w:ascii="Verdana" w:hAnsi="Verdana"/>
          <w:sz w:val="20"/>
          <w:szCs w:val="20"/>
          <w:lang w:val="es-MX"/>
        </w:rPr>
        <w:t xml:space="preserve"> que no tenía “certeza sobre la efectiva implementación de la [seguridad]”. En cuanto al estudio de riesgo realizado por el Estado, los representantes consideraron que este se había “realizado hac[ía] casi dos años, por lo que las conclusiones o resultados […] est[aban] plenamente desactualizados”. Consideraron que el Estado “continu[aba] siendo omiso en la obligación determinada por la Corte […] relativa a remitir una evaluación sobre la situación de extrema gravedad y urgencia con relación a cada uno de los beneficiarios […] analizando la […] situación de riesgo de cada beneficiario”, y</w:t>
      </w:r>
    </w:p>
    <w:p w:rsidR="003F627B" w:rsidRPr="005E63C3" w:rsidRDefault="003F627B" w:rsidP="002102B7">
      <w:pPr>
        <w:pStyle w:val="ListParagraph"/>
        <w:numPr>
          <w:ilvl w:val="0"/>
          <w:numId w:val="10"/>
        </w:numPr>
        <w:spacing w:after="0" w:line="240" w:lineRule="auto"/>
        <w:ind w:left="709" w:firstLine="0"/>
        <w:jc w:val="both"/>
        <w:rPr>
          <w:rFonts w:ascii="Verdana" w:hAnsi="Verdana"/>
          <w:sz w:val="20"/>
          <w:szCs w:val="20"/>
          <w:lang w:val="es-MX"/>
        </w:rPr>
      </w:pPr>
      <w:r w:rsidRPr="005E63C3">
        <w:rPr>
          <w:rFonts w:ascii="Verdana" w:hAnsi="Verdana"/>
          <w:sz w:val="20"/>
          <w:szCs w:val="20"/>
          <w:lang w:val="es-MX"/>
        </w:rPr>
        <w:t>el 2 de junio de 2016</w:t>
      </w:r>
      <w:r w:rsidR="002102B7" w:rsidRPr="005E63C3">
        <w:rPr>
          <w:rFonts w:ascii="Verdana" w:hAnsi="Verdana"/>
          <w:sz w:val="20"/>
          <w:szCs w:val="20"/>
          <w:lang w:val="es-MX"/>
        </w:rPr>
        <w:t xml:space="preserve"> expresaron</w:t>
      </w:r>
      <w:r w:rsidRPr="005E63C3">
        <w:rPr>
          <w:rFonts w:ascii="Verdana" w:hAnsi="Verdana"/>
          <w:sz w:val="20"/>
          <w:szCs w:val="20"/>
          <w:lang w:val="es-MX"/>
        </w:rPr>
        <w:t xml:space="preserve"> que Luis Federico López, Silvia, Augusto y Luis, todos de apellido Álvarez, así como Mónica Obregón López, todos familiares de Efraín Bámaca, residían en el mismo domicilio. Expresaron que dichas personas tenían “interés en que el Estado retom[ara] contacto con ellas, a efectos de que se subsa[naran] las irregularidades […] de las medidas de protección”. Adicionalmente, manifestaron que </w:t>
      </w:r>
      <w:r w:rsidRPr="005E63C3">
        <w:rPr>
          <w:rFonts w:ascii="Verdana" w:hAnsi="Verdana"/>
          <w:sz w:val="20"/>
          <w:szCs w:val="20"/>
          <w:lang w:val="es-MX"/>
        </w:rPr>
        <w:lastRenderedPageBreak/>
        <w:t>Marvin Roberto Nolasco Bámaca, hijo de Egidia Bámaca, había informado que los patrullajes perimetrales no se habían estado implementando desde hacía aproximadamente tres años, por lo que ellos habían adoptado “medidas comunitarias” por su cuenta. Igualmente,</w:t>
      </w:r>
      <w:r w:rsidR="00CC15B9" w:rsidRPr="005E63C3">
        <w:rPr>
          <w:rFonts w:ascii="Verdana" w:hAnsi="Verdana"/>
          <w:sz w:val="20"/>
          <w:szCs w:val="20"/>
          <w:lang w:val="es-MX"/>
        </w:rPr>
        <w:t xml:space="preserve"> señalaron que</w:t>
      </w:r>
      <w:r w:rsidRPr="005E63C3">
        <w:rPr>
          <w:rFonts w:ascii="Verdana" w:hAnsi="Verdana"/>
          <w:sz w:val="20"/>
          <w:szCs w:val="20"/>
          <w:lang w:val="es-MX"/>
        </w:rPr>
        <w:t xml:space="preserve"> Marvin Roberto Nolasco Bámaca destacó que hacía ocho meses que no tenían protección perimetral. </w:t>
      </w:r>
      <w:r w:rsidR="00CC15B9" w:rsidRPr="005E63C3">
        <w:rPr>
          <w:rFonts w:ascii="Verdana" w:hAnsi="Verdana"/>
          <w:sz w:val="20"/>
          <w:szCs w:val="20"/>
          <w:lang w:val="es-MX"/>
        </w:rPr>
        <w:t xml:space="preserve">También manifestaron </w:t>
      </w:r>
      <w:r w:rsidRPr="005E63C3">
        <w:rPr>
          <w:rFonts w:ascii="Verdana" w:hAnsi="Verdana"/>
          <w:sz w:val="20"/>
          <w:szCs w:val="20"/>
          <w:lang w:val="es-MX"/>
        </w:rPr>
        <w:t>que la señora Josefina Bámaca no había atendido a los agentes estatales el 25 de enero de 2015 debido a “miedo y desconfianza”</w:t>
      </w:r>
      <w:r w:rsidR="00CC15B9" w:rsidRPr="005E63C3">
        <w:rPr>
          <w:rFonts w:ascii="Verdana" w:hAnsi="Verdana"/>
          <w:sz w:val="20"/>
          <w:szCs w:val="20"/>
          <w:lang w:val="es-MX"/>
        </w:rPr>
        <w:t xml:space="preserve"> y d</w:t>
      </w:r>
      <w:r w:rsidRPr="005E63C3">
        <w:rPr>
          <w:rFonts w:ascii="Verdana" w:hAnsi="Verdana"/>
          <w:sz w:val="20"/>
          <w:szCs w:val="20"/>
          <w:lang w:val="es-MX"/>
        </w:rPr>
        <w:t>estacaron que el Estado no había hecho nada por retomar dicha visita</w:t>
      </w:r>
      <w:r w:rsidR="00CC15B9" w:rsidRPr="005E63C3">
        <w:rPr>
          <w:rFonts w:ascii="Verdana" w:hAnsi="Verdana"/>
          <w:sz w:val="20"/>
          <w:szCs w:val="20"/>
          <w:lang w:val="es-MX"/>
        </w:rPr>
        <w:t>.</w:t>
      </w:r>
      <w:r w:rsidRPr="005E63C3">
        <w:rPr>
          <w:rFonts w:ascii="Verdana" w:hAnsi="Verdana"/>
          <w:sz w:val="20"/>
          <w:szCs w:val="20"/>
          <w:lang w:val="es-MX"/>
        </w:rPr>
        <w:t xml:space="preserve"> </w:t>
      </w:r>
      <w:r w:rsidR="003625B8" w:rsidRPr="005E63C3">
        <w:rPr>
          <w:rFonts w:ascii="Verdana" w:hAnsi="Verdana"/>
          <w:sz w:val="20"/>
          <w:szCs w:val="20"/>
          <w:lang w:val="es-MX"/>
        </w:rPr>
        <w:t>Asimis</w:t>
      </w:r>
      <w:r w:rsidR="00CC15B9" w:rsidRPr="005E63C3">
        <w:rPr>
          <w:rFonts w:ascii="Verdana" w:hAnsi="Verdana"/>
          <w:sz w:val="20"/>
          <w:szCs w:val="20"/>
          <w:lang w:val="es-MX"/>
        </w:rPr>
        <w:t>mo</w:t>
      </w:r>
      <w:r w:rsidRPr="005E63C3">
        <w:rPr>
          <w:rFonts w:ascii="Verdana" w:hAnsi="Verdana"/>
          <w:sz w:val="20"/>
          <w:szCs w:val="20"/>
          <w:lang w:val="es-MX"/>
        </w:rPr>
        <w:t xml:space="preserve">, recalcaron que </w:t>
      </w:r>
      <w:r w:rsidR="003625B8" w:rsidRPr="005E63C3">
        <w:rPr>
          <w:rFonts w:ascii="Verdana" w:hAnsi="Verdana"/>
          <w:sz w:val="20"/>
          <w:szCs w:val="20"/>
          <w:lang w:val="es-MX"/>
        </w:rPr>
        <w:t xml:space="preserve">en </w:t>
      </w:r>
      <w:r w:rsidRPr="005E63C3">
        <w:rPr>
          <w:rFonts w:ascii="Verdana" w:hAnsi="Verdana"/>
          <w:sz w:val="20"/>
          <w:szCs w:val="20"/>
          <w:lang w:val="es-MX"/>
        </w:rPr>
        <w:t xml:space="preserve">relación con la señora Alberta Velásquez y su hijo, Rudy López, el Estado no presentó los estudios de riesgo a los que hizo referencia en su informe de 26 de abril de 2016. Adujeron que Amín López había manifestado que no tenía “certeza sobre la efectiva implementación de la seguridad perimetral en su domicilio”, ya que había una estación policial a 500 metros del mismo, lo cual le impedía identificar si dichas patrullas eran parte de sus medidas de protección. </w:t>
      </w:r>
    </w:p>
    <w:p w:rsidR="003F627B" w:rsidRPr="005E63C3" w:rsidRDefault="003F627B" w:rsidP="003F627B">
      <w:pPr>
        <w:pStyle w:val="ListParagraph"/>
        <w:autoSpaceDE w:val="0"/>
        <w:autoSpaceDN w:val="0"/>
        <w:adjustRightInd w:val="0"/>
        <w:spacing w:after="0" w:line="240" w:lineRule="auto"/>
        <w:ind w:left="0"/>
        <w:jc w:val="both"/>
        <w:rPr>
          <w:rFonts w:ascii="Verdana" w:hAnsi="Verdana" w:cstheme="minorHAnsi"/>
          <w:sz w:val="20"/>
          <w:szCs w:val="20"/>
          <w:highlight w:val="yellow"/>
          <w:lang w:val="es-ES"/>
        </w:rPr>
      </w:pPr>
    </w:p>
    <w:p w:rsidR="003F627B" w:rsidRPr="005E63C3" w:rsidRDefault="000E1BC8" w:rsidP="003F627B">
      <w:pPr>
        <w:pStyle w:val="ListParagraph"/>
        <w:numPr>
          <w:ilvl w:val="0"/>
          <w:numId w:val="29"/>
        </w:numPr>
        <w:autoSpaceDE w:val="0"/>
        <w:autoSpaceDN w:val="0"/>
        <w:adjustRightInd w:val="0"/>
        <w:spacing w:after="0" w:line="240" w:lineRule="auto"/>
        <w:ind w:left="0" w:firstLine="0"/>
        <w:jc w:val="both"/>
        <w:rPr>
          <w:rFonts w:ascii="Verdana" w:hAnsi="Verdana" w:cstheme="minorHAnsi"/>
          <w:sz w:val="20"/>
          <w:szCs w:val="20"/>
          <w:lang w:val="es-ES"/>
        </w:rPr>
      </w:pPr>
      <w:r w:rsidRPr="005E63C3">
        <w:rPr>
          <w:rFonts w:ascii="Verdana" w:hAnsi="Verdana" w:cstheme="minorHAnsi"/>
          <w:sz w:val="20"/>
          <w:szCs w:val="20"/>
          <w:lang w:val="es-ES"/>
        </w:rPr>
        <w:t xml:space="preserve">La </w:t>
      </w:r>
      <w:r w:rsidRPr="005E63C3">
        <w:rPr>
          <w:rFonts w:ascii="Verdana" w:hAnsi="Verdana" w:cstheme="minorHAnsi"/>
          <w:b/>
          <w:i/>
          <w:sz w:val="20"/>
          <w:szCs w:val="20"/>
          <w:lang w:val="es-ES"/>
        </w:rPr>
        <w:t>Comisión</w:t>
      </w:r>
      <w:r w:rsidRPr="005E63C3">
        <w:rPr>
          <w:rFonts w:ascii="Verdana" w:hAnsi="Verdana" w:cstheme="minorHAnsi"/>
          <w:sz w:val="20"/>
          <w:szCs w:val="20"/>
          <w:lang w:val="es-ES"/>
        </w:rPr>
        <w:t>, por su parte, en cuanto a aspectos específicos relacionados con la implementación de las medidas provisionales respecto de personas beneficiarias pertenecientes a la familia Bámaca, no hizo señalamientos puntuales atinentes al estado actual</w:t>
      </w:r>
      <w:r w:rsidRPr="005E63C3">
        <w:rPr>
          <w:rStyle w:val="FootnoteReference"/>
          <w:rFonts w:ascii="Verdana" w:hAnsi="Verdana" w:cstheme="minorHAnsi"/>
          <w:sz w:val="20"/>
          <w:szCs w:val="20"/>
          <w:lang w:val="es-ES"/>
        </w:rPr>
        <w:footnoteReference w:id="4"/>
      </w:r>
      <w:r w:rsidRPr="005E63C3">
        <w:rPr>
          <w:rFonts w:ascii="Verdana" w:hAnsi="Verdana" w:cstheme="minorHAnsi"/>
          <w:sz w:val="20"/>
          <w:szCs w:val="20"/>
          <w:lang w:val="es-ES"/>
        </w:rPr>
        <w:t xml:space="preserve">. </w:t>
      </w:r>
    </w:p>
    <w:p w:rsidR="003F627B" w:rsidRPr="001C414E" w:rsidRDefault="003F627B" w:rsidP="003F627B">
      <w:pPr>
        <w:autoSpaceDE w:val="0"/>
        <w:autoSpaceDN w:val="0"/>
        <w:adjustRightInd w:val="0"/>
        <w:spacing w:after="0" w:line="240" w:lineRule="auto"/>
        <w:jc w:val="both"/>
        <w:rPr>
          <w:rFonts w:ascii="Verdana" w:hAnsi="Verdana" w:cstheme="minorHAnsi"/>
          <w:sz w:val="20"/>
          <w:szCs w:val="20"/>
          <w:lang w:val="es-ES"/>
        </w:rPr>
      </w:pPr>
    </w:p>
    <w:p w:rsidR="003F627B" w:rsidRPr="001C414E" w:rsidRDefault="003F627B" w:rsidP="003F627B">
      <w:pPr>
        <w:pStyle w:val="ListParagraph"/>
        <w:numPr>
          <w:ilvl w:val="0"/>
          <w:numId w:val="29"/>
        </w:numPr>
        <w:autoSpaceDE w:val="0"/>
        <w:autoSpaceDN w:val="0"/>
        <w:adjustRightInd w:val="0"/>
        <w:spacing w:after="0" w:line="240" w:lineRule="auto"/>
        <w:ind w:left="0" w:firstLine="0"/>
        <w:jc w:val="both"/>
        <w:rPr>
          <w:rFonts w:ascii="Verdana" w:hAnsi="Verdana" w:cstheme="minorHAnsi"/>
          <w:sz w:val="20"/>
          <w:szCs w:val="20"/>
          <w:lang w:val="es-ES"/>
        </w:rPr>
      </w:pPr>
      <w:r>
        <w:rPr>
          <w:rFonts w:ascii="Verdana" w:hAnsi="Verdana" w:cstheme="minorHAnsi"/>
          <w:sz w:val="20"/>
          <w:szCs w:val="20"/>
          <w:lang w:val="es-ES"/>
        </w:rPr>
        <w:t xml:space="preserve"> En referencia</w:t>
      </w:r>
      <w:r w:rsidRPr="001C414E">
        <w:rPr>
          <w:rFonts w:ascii="Verdana" w:hAnsi="Verdana" w:cstheme="minorHAnsi"/>
          <w:sz w:val="20"/>
          <w:szCs w:val="20"/>
          <w:lang w:val="es-ES"/>
        </w:rPr>
        <w:t xml:space="preserve"> a </w:t>
      </w:r>
      <w:r>
        <w:rPr>
          <w:rFonts w:ascii="Verdana" w:hAnsi="Verdana" w:cstheme="minorHAnsi"/>
          <w:sz w:val="20"/>
          <w:szCs w:val="20"/>
          <w:lang w:val="es-ES"/>
        </w:rPr>
        <w:t xml:space="preserve">la situación de </w:t>
      </w:r>
      <w:r w:rsidRPr="001C414E">
        <w:rPr>
          <w:rFonts w:ascii="Verdana" w:hAnsi="Verdana" w:cstheme="minorHAnsi"/>
          <w:sz w:val="20"/>
          <w:szCs w:val="20"/>
          <w:lang w:val="es-ES"/>
        </w:rPr>
        <w:t xml:space="preserve">los beneficiarios, el </w:t>
      </w:r>
      <w:r w:rsidRPr="001C414E">
        <w:rPr>
          <w:rFonts w:ascii="Verdana" w:hAnsi="Verdana" w:cstheme="minorHAnsi"/>
          <w:b/>
          <w:i/>
          <w:sz w:val="20"/>
          <w:szCs w:val="20"/>
          <w:lang w:val="es-ES"/>
        </w:rPr>
        <w:t>Estado</w:t>
      </w:r>
      <w:r w:rsidRPr="001C414E">
        <w:rPr>
          <w:rFonts w:ascii="Verdana" w:hAnsi="Verdana" w:cstheme="minorHAnsi"/>
          <w:sz w:val="20"/>
          <w:szCs w:val="20"/>
          <w:lang w:val="es-ES"/>
        </w:rPr>
        <w:t xml:space="preserve"> informó: </w:t>
      </w:r>
    </w:p>
    <w:p w:rsidR="003F627B" w:rsidRPr="001C414E" w:rsidRDefault="003F627B" w:rsidP="003F627B">
      <w:pPr>
        <w:pStyle w:val="ListParagraph"/>
        <w:spacing w:line="240" w:lineRule="auto"/>
        <w:rPr>
          <w:rFonts w:ascii="Verdana" w:hAnsi="Verdana" w:cstheme="minorHAnsi"/>
          <w:sz w:val="20"/>
          <w:szCs w:val="20"/>
          <w:lang w:val="es-ES"/>
        </w:rPr>
      </w:pPr>
    </w:p>
    <w:p w:rsidR="003F627B" w:rsidRPr="002260BB" w:rsidRDefault="003F627B" w:rsidP="003F627B">
      <w:pPr>
        <w:pStyle w:val="ListParagraph"/>
        <w:numPr>
          <w:ilvl w:val="0"/>
          <w:numId w:val="9"/>
        </w:numPr>
        <w:spacing w:line="240" w:lineRule="auto"/>
        <w:ind w:left="720" w:firstLine="0"/>
        <w:jc w:val="both"/>
        <w:rPr>
          <w:rFonts w:ascii="Verdana" w:hAnsi="Verdana" w:cs="Verdana"/>
          <w:sz w:val="20"/>
          <w:szCs w:val="20"/>
          <w:lang w:val="es-ES"/>
        </w:rPr>
      </w:pPr>
      <w:r w:rsidRPr="001C414E">
        <w:rPr>
          <w:rFonts w:ascii="Verdana" w:hAnsi="Verdana" w:cs="Verdana"/>
          <w:sz w:val="20"/>
          <w:szCs w:val="20"/>
          <w:lang w:val="es-ES"/>
        </w:rPr>
        <w:t>el 20 de febrero de 2012, que “en cuanto a las situaciones denunciadas por</w:t>
      </w:r>
      <w:r w:rsidRPr="001C414E">
        <w:rPr>
          <w:rFonts w:ascii="Verdana" w:hAnsi="Verdana" w:cs="Verdana"/>
          <w:b/>
          <w:sz w:val="20"/>
          <w:szCs w:val="20"/>
          <w:lang w:val="es-ES"/>
        </w:rPr>
        <w:t xml:space="preserve"> </w:t>
      </w:r>
      <w:r w:rsidRPr="001C414E">
        <w:rPr>
          <w:rFonts w:ascii="Verdana" w:hAnsi="Verdana" w:cs="Verdana"/>
          <w:sz w:val="20"/>
          <w:szCs w:val="20"/>
          <w:lang w:val="es-ES"/>
        </w:rPr>
        <w:t xml:space="preserve">Oscar Rolando López, el Ministerio Público informó que para determinar al responsable de las </w:t>
      </w:r>
      <w:r w:rsidRPr="005E5148">
        <w:rPr>
          <w:rFonts w:ascii="Verdana" w:hAnsi="Verdana" w:cs="Verdana"/>
          <w:sz w:val="20"/>
          <w:szCs w:val="20"/>
          <w:lang w:val="es-ES"/>
        </w:rPr>
        <w:t>llamadas</w:t>
      </w:r>
      <w:r w:rsidRPr="001C414E">
        <w:rPr>
          <w:rFonts w:ascii="Verdana" w:hAnsi="Verdana" w:cs="Verdana"/>
          <w:sz w:val="20"/>
          <w:szCs w:val="20"/>
          <w:lang w:val="es-ES"/>
        </w:rPr>
        <w:t xml:space="preserve"> que recibió, se solicitó autorización judicial para lograr el desplegado de llamadas entrantes y salientes del número que poseía el señor López</w:t>
      </w:r>
      <w:r w:rsidR="000317E2">
        <w:rPr>
          <w:rFonts w:ascii="Verdana" w:hAnsi="Verdana" w:cs="Verdana"/>
          <w:sz w:val="20"/>
          <w:szCs w:val="20"/>
          <w:lang w:val="es-ES"/>
        </w:rPr>
        <w:t>[; a]</w:t>
      </w:r>
      <w:r w:rsidRPr="001C414E">
        <w:rPr>
          <w:rFonts w:ascii="Verdana" w:hAnsi="Verdana" w:cs="Verdana"/>
          <w:sz w:val="20"/>
          <w:szCs w:val="20"/>
          <w:lang w:val="es-ES"/>
        </w:rPr>
        <w:t>ctualmente</w:t>
      </w:r>
      <w:r>
        <w:rPr>
          <w:rFonts w:ascii="Verdana" w:hAnsi="Verdana" w:cs="Verdana"/>
          <w:sz w:val="20"/>
          <w:szCs w:val="20"/>
          <w:lang w:val="es-ES"/>
        </w:rPr>
        <w:t xml:space="preserve"> se encuentra en investigación”;</w:t>
      </w:r>
    </w:p>
    <w:p w:rsidR="003F627B" w:rsidRPr="002260BB" w:rsidRDefault="003F627B" w:rsidP="003F627B">
      <w:pPr>
        <w:pStyle w:val="ListParagraph"/>
        <w:numPr>
          <w:ilvl w:val="0"/>
          <w:numId w:val="9"/>
        </w:numPr>
        <w:spacing w:line="240" w:lineRule="auto"/>
        <w:ind w:left="720" w:firstLine="0"/>
        <w:jc w:val="both"/>
        <w:rPr>
          <w:rFonts w:ascii="Verdana" w:hAnsi="Verdana" w:cs="Verdana"/>
          <w:sz w:val="20"/>
          <w:szCs w:val="20"/>
          <w:lang w:val="es-ES"/>
        </w:rPr>
      </w:pPr>
      <w:r w:rsidRPr="001C414E">
        <w:rPr>
          <w:rFonts w:ascii="Verdana" w:hAnsi="Verdana" w:cs="Verdana"/>
          <w:sz w:val="20"/>
          <w:szCs w:val="20"/>
          <w:lang w:val="es-ES"/>
        </w:rPr>
        <w:t>el 10 de mayo de 2013, que “las acciones estatales ha[bían] sido efectivas, eficac</w:t>
      </w:r>
      <w:r>
        <w:rPr>
          <w:rFonts w:ascii="Verdana" w:hAnsi="Verdana" w:cs="Verdana"/>
          <w:sz w:val="20"/>
          <w:szCs w:val="20"/>
          <w:lang w:val="es-ES"/>
        </w:rPr>
        <w:t xml:space="preserve">es y útiles para contrarrestar </w:t>
      </w:r>
      <w:r w:rsidRPr="001C414E">
        <w:rPr>
          <w:rFonts w:ascii="Verdana" w:hAnsi="Verdana" w:cs="Verdana"/>
          <w:sz w:val="20"/>
          <w:szCs w:val="20"/>
          <w:lang w:val="es-ES"/>
        </w:rPr>
        <w:t xml:space="preserve">los elementos de extrema gravedad y urgencia, por lo que </w:t>
      </w:r>
      <w:r w:rsidR="000317E2">
        <w:rPr>
          <w:rFonts w:ascii="Verdana" w:hAnsi="Verdana" w:cs="Verdana"/>
          <w:sz w:val="20"/>
          <w:szCs w:val="20"/>
          <w:lang w:val="es-ES"/>
        </w:rPr>
        <w:t xml:space="preserve">[los beneficiarios] </w:t>
      </w:r>
      <w:r w:rsidRPr="001C414E">
        <w:rPr>
          <w:rFonts w:ascii="Verdana" w:hAnsi="Verdana" w:cs="Verdana"/>
          <w:sz w:val="20"/>
          <w:szCs w:val="20"/>
          <w:lang w:val="es-ES"/>
        </w:rPr>
        <w:t xml:space="preserve">ya no se encuentran en situación de “riesgo latente”, </w:t>
      </w:r>
      <w:r w:rsidR="000317E2">
        <w:rPr>
          <w:rFonts w:ascii="Verdana" w:hAnsi="Verdana" w:cs="Verdana"/>
          <w:sz w:val="20"/>
          <w:szCs w:val="20"/>
          <w:lang w:val="es-ES"/>
        </w:rPr>
        <w:t>y que</w:t>
      </w:r>
      <w:r w:rsidRPr="001C414E">
        <w:rPr>
          <w:rFonts w:ascii="Verdana" w:hAnsi="Verdana" w:cs="Verdana"/>
          <w:sz w:val="20"/>
          <w:szCs w:val="20"/>
          <w:lang w:val="es-ES"/>
        </w:rPr>
        <w:t xml:space="preserve"> los familiares de Efraín Bámaca Velázquez no ha</w:t>
      </w:r>
      <w:r w:rsidR="000317E2">
        <w:rPr>
          <w:rFonts w:ascii="Verdana" w:hAnsi="Verdana" w:cs="Verdana"/>
          <w:sz w:val="20"/>
          <w:szCs w:val="20"/>
          <w:lang w:val="es-ES"/>
        </w:rPr>
        <w:t>bían</w:t>
      </w:r>
      <w:r w:rsidRPr="001C414E">
        <w:rPr>
          <w:rFonts w:ascii="Verdana" w:hAnsi="Verdana" w:cs="Verdana"/>
          <w:sz w:val="20"/>
          <w:szCs w:val="20"/>
          <w:lang w:val="es-ES"/>
        </w:rPr>
        <w:t xml:space="preserve"> indicado durante el tiempo de vigencia de las medidas provisionales, situaciones o circunstancias que hagan suponer una situación de extrema gravedad y urgencia, con temor a un daño irreparable</w:t>
      </w:r>
      <w:r>
        <w:rPr>
          <w:rFonts w:ascii="Verdana" w:hAnsi="Verdana" w:cs="Verdana"/>
          <w:sz w:val="20"/>
          <w:szCs w:val="20"/>
          <w:lang w:val="es-ES"/>
        </w:rPr>
        <w:t>;</w:t>
      </w:r>
    </w:p>
    <w:p w:rsidR="00A92133" w:rsidRPr="000D3C49" w:rsidRDefault="003F627B" w:rsidP="000D3C49">
      <w:pPr>
        <w:pStyle w:val="ListParagraph"/>
        <w:numPr>
          <w:ilvl w:val="0"/>
          <w:numId w:val="9"/>
        </w:numPr>
        <w:spacing w:after="0" w:line="240" w:lineRule="auto"/>
        <w:ind w:left="720" w:firstLine="0"/>
        <w:jc w:val="both"/>
        <w:rPr>
          <w:rFonts w:ascii="Verdana" w:hAnsi="Verdana"/>
          <w:b/>
          <w:sz w:val="20"/>
          <w:szCs w:val="20"/>
          <w:lang w:val="es-ES"/>
        </w:rPr>
      </w:pPr>
      <w:r w:rsidRPr="000D3C49">
        <w:rPr>
          <w:rFonts w:ascii="Verdana" w:hAnsi="Verdana" w:cstheme="minorHAnsi"/>
          <w:sz w:val="20"/>
          <w:szCs w:val="20"/>
          <w:lang w:val="es-ES"/>
        </w:rPr>
        <w:t>el 19 de diciembre de 2014, que durante el estudio realizado el 24 de septiembre de 2013 a Alberta Velásquez, Luis Federico López Godínez y Oscar Rolando López Velásquez, que la familia Bámaca Velásquez “no había tenido ningún inconveniente o situación que compromet[iera] su seguridad”</w:t>
      </w:r>
      <w:r w:rsidR="003625B8">
        <w:rPr>
          <w:rFonts w:ascii="Verdana" w:hAnsi="Verdana" w:cstheme="minorHAnsi"/>
          <w:sz w:val="20"/>
          <w:szCs w:val="20"/>
          <w:lang w:val="es-ES"/>
        </w:rPr>
        <w:t>. L</w:t>
      </w:r>
      <w:r w:rsidRPr="000D3C49">
        <w:rPr>
          <w:rFonts w:ascii="Verdana" w:hAnsi="Verdana" w:cstheme="minorHAnsi"/>
          <w:sz w:val="20"/>
          <w:szCs w:val="20"/>
          <w:lang w:val="es-ES"/>
        </w:rPr>
        <w:t xml:space="preserve">a señora Velásquez manifestó a los agentes estatales que no había recibido ningún tipo de </w:t>
      </w:r>
      <w:r w:rsidR="007D2294" w:rsidRPr="000D3C49">
        <w:rPr>
          <w:rFonts w:ascii="Verdana" w:hAnsi="Verdana" w:cstheme="minorHAnsi"/>
          <w:sz w:val="20"/>
          <w:szCs w:val="20"/>
          <w:lang w:val="es-ES"/>
        </w:rPr>
        <w:t>am</w:t>
      </w:r>
      <w:r w:rsidRPr="000D3C49">
        <w:rPr>
          <w:rFonts w:ascii="Verdana" w:hAnsi="Verdana" w:cstheme="minorHAnsi"/>
          <w:sz w:val="20"/>
          <w:szCs w:val="20"/>
          <w:lang w:val="es-ES"/>
        </w:rPr>
        <w:t>enaza y que “viv[ía] con tranquilidad”</w:t>
      </w:r>
      <w:r w:rsidR="00440773" w:rsidRPr="000D3C49">
        <w:rPr>
          <w:rFonts w:ascii="Verdana" w:hAnsi="Verdana" w:cstheme="minorHAnsi"/>
          <w:sz w:val="20"/>
          <w:szCs w:val="20"/>
          <w:lang w:val="es-ES"/>
        </w:rPr>
        <w:t xml:space="preserve"> y</w:t>
      </w:r>
      <w:r w:rsidRPr="000D3C49">
        <w:rPr>
          <w:rFonts w:ascii="Verdana" w:hAnsi="Verdana" w:cstheme="minorHAnsi"/>
          <w:sz w:val="20"/>
          <w:szCs w:val="20"/>
          <w:lang w:val="es-ES"/>
        </w:rPr>
        <w:t xml:space="preserve"> el señor López Godínez expresó a los agentes estatales que</w:t>
      </w:r>
      <w:r w:rsidR="00440773" w:rsidRPr="000D3C49">
        <w:rPr>
          <w:rFonts w:ascii="Verdana" w:hAnsi="Verdana" w:cstheme="minorHAnsi"/>
          <w:sz w:val="20"/>
          <w:szCs w:val="20"/>
          <w:lang w:val="es-ES"/>
        </w:rPr>
        <w:t>,</w:t>
      </w:r>
      <w:r w:rsidRPr="000D3C49">
        <w:rPr>
          <w:rFonts w:ascii="Verdana" w:hAnsi="Verdana" w:cstheme="minorHAnsi"/>
          <w:sz w:val="20"/>
          <w:szCs w:val="20"/>
          <w:lang w:val="es-ES"/>
        </w:rPr>
        <w:t xml:space="preserve"> desde que tenía seguridad, no había recibido ningún tipo de amenaza más que una llamada que recibió el 14 de abril de 2011 donde le dijeron que “tenían localizada a su familia y a él”</w:t>
      </w:r>
      <w:r w:rsidR="00440773" w:rsidRPr="000D3C49">
        <w:rPr>
          <w:rFonts w:ascii="Verdana" w:hAnsi="Verdana" w:cstheme="minorHAnsi"/>
          <w:sz w:val="20"/>
          <w:szCs w:val="20"/>
          <w:lang w:val="es-ES"/>
        </w:rPr>
        <w:t>;</w:t>
      </w:r>
      <w:r w:rsidR="00440773" w:rsidRPr="000D3C49" w:rsidDel="00440773">
        <w:rPr>
          <w:rFonts w:ascii="Verdana" w:hAnsi="Verdana" w:cstheme="minorHAnsi"/>
          <w:sz w:val="20"/>
          <w:szCs w:val="20"/>
          <w:lang w:val="es-ES"/>
        </w:rPr>
        <w:t xml:space="preserve"> </w:t>
      </w:r>
      <w:r w:rsidR="00440773" w:rsidRPr="000D3C49">
        <w:rPr>
          <w:rFonts w:ascii="Verdana" w:hAnsi="Verdana" w:cstheme="minorHAnsi"/>
          <w:sz w:val="20"/>
          <w:szCs w:val="20"/>
          <w:lang w:val="es-ES"/>
        </w:rPr>
        <w:t>s</w:t>
      </w:r>
      <w:r w:rsidRPr="000D3C49">
        <w:rPr>
          <w:rFonts w:ascii="Verdana" w:hAnsi="Verdana" w:cstheme="minorHAnsi"/>
          <w:sz w:val="20"/>
          <w:szCs w:val="20"/>
          <w:lang w:val="es-ES"/>
        </w:rPr>
        <w:t>in embargo, declaró a los agentes que no había sid</w:t>
      </w:r>
      <w:r w:rsidR="005B080E" w:rsidRPr="000D3C49">
        <w:rPr>
          <w:rFonts w:ascii="Verdana" w:hAnsi="Verdana" w:cstheme="minorHAnsi"/>
          <w:sz w:val="20"/>
          <w:szCs w:val="20"/>
          <w:lang w:val="es-ES"/>
        </w:rPr>
        <w:t>o víctima de atentados ni de al</w:t>
      </w:r>
      <w:r w:rsidRPr="000D3C49">
        <w:rPr>
          <w:rFonts w:ascii="Verdana" w:hAnsi="Verdana" w:cstheme="minorHAnsi"/>
          <w:sz w:val="20"/>
          <w:szCs w:val="20"/>
          <w:lang w:val="es-ES"/>
        </w:rPr>
        <w:t xml:space="preserve">gún hecho de trascendencia que pusiera en riesgo su vida; </w:t>
      </w:r>
    </w:p>
    <w:p w:rsidR="003F627B" w:rsidRDefault="003F627B" w:rsidP="000D3C49">
      <w:pPr>
        <w:pStyle w:val="ListParagraph"/>
        <w:numPr>
          <w:ilvl w:val="0"/>
          <w:numId w:val="9"/>
        </w:numPr>
        <w:spacing w:after="0" w:line="240" w:lineRule="auto"/>
        <w:ind w:left="720" w:firstLine="0"/>
        <w:jc w:val="both"/>
        <w:rPr>
          <w:rFonts w:ascii="Verdana" w:hAnsi="Verdana" w:cstheme="minorHAnsi"/>
          <w:sz w:val="20"/>
          <w:szCs w:val="20"/>
          <w:lang w:val="es-ES"/>
        </w:rPr>
      </w:pPr>
      <w:r w:rsidRPr="000D3C49">
        <w:rPr>
          <w:rFonts w:ascii="Verdana" w:hAnsi="Verdana" w:cstheme="minorHAnsi"/>
          <w:sz w:val="20"/>
          <w:szCs w:val="20"/>
          <w:lang w:val="es-ES"/>
        </w:rPr>
        <w:t>el 26 de abril de 2016, que en l</w:t>
      </w:r>
      <w:r w:rsidR="00A92133" w:rsidRPr="000D3C49">
        <w:rPr>
          <w:rFonts w:ascii="Verdana" w:hAnsi="Verdana" w:cstheme="minorHAnsi"/>
          <w:sz w:val="20"/>
          <w:szCs w:val="20"/>
          <w:lang w:val="es-ES"/>
        </w:rPr>
        <w:t>os</w:t>
      </w:r>
      <w:r w:rsidRPr="000D3C49">
        <w:rPr>
          <w:rFonts w:ascii="Verdana" w:hAnsi="Verdana" w:cstheme="minorHAnsi"/>
          <w:sz w:val="20"/>
          <w:szCs w:val="20"/>
          <w:lang w:val="es-ES"/>
        </w:rPr>
        <w:t xml:space="preserve"> estudio</w:t>
      </w:r>
      <w:r w:rsidR="00A92133" w:rsidRPr="000D3C49">
        <w:rPr>
          <w:rFonts w:ascii="Verdana" w:hAnsi="Verdana" w:cstheme="minorHAnsi"/>
          <w:sz w:val="20"/>
          <w:szCs w:val="20"/>
          <w:lang w:val="es-ES"/>
        </w:rPr>
        <w:t>s</w:t>
      </w:r>
      <w:r w:rsidRPr="000D3C49">
        <w:rPr>
          <w:rFonts w:ascii="Verdana" w:hAnsi="Verdana" w:cstheme="minorHAnsi"/>
          <w:sz w:val="20"/>
          <w:szCs w:val="20"/>
          <w:lang w:val="es-ES"/>
        </w:rPr>
        <w:t xml:space="preserve"> </w:t>
      </w:r>
      <w:r w:rsidR="00A92133" w:rsidRPr="000D3C49">
        <w:rPr>
          <w:rFonts w:ascii="Verdana" w:hAnsi="Verdana" w:cstheme="minorHAnsi"/>
          <w:sz w:val="20"/>
          <w:szCs w:val="20"/>
          <w:lang w:val="es-ES"/>
        </w:rPr>
        <w:t xml:space="preserve">de riesgo </w:t>
      </w:r>
      <w:r w:rsidRPr="000D3C49">
        <w:rPr>
          <w:rFonts w:ascii="Verdana" w:hAnsi="Verdana" w:cstheme="minorHAnsi"/>
          <w:sz w:val="20"/>
          <w:szCs w:val="20"/>
          <w:lang w:val="es-ES"/>
        </w:rPr>
        <w:t>realizado</w:t>
      </w:r>
      <w:r w:rsidR="00A92133" w:rsidRPr="000D3C49">
        <w:rPr>
          <w:rFonts w:ascii="Verdana" w:hAnsi="Verdana" w:cstheme="minorHAnsi"/>
          <w:sz w:val="20"/>
          <w:szCs w:val="20"/>
          <w:lang w:val="es-ES"/>
        </w:rPr>
        <w:t xml:space="preserve">s respectivamente los días 23 y </w:t>
      </w:r>
      <w:r w:rsidRPr="000D3C49">
        <w:rPr>
          <w:rFonts w:ascii="Verdana" w:hAnsi="Verdana" w:cstheme="minorHAnsi"/>
          <w:sz w:val="20"/>
          <w:szCs w:val="20"/>
          <w:lang w:val="es-ES"/>
        </w:rPr>
        <w:t>25 de enero de 2015</w:t>
      </w:r>
      <w:r w:rsidR="00A92133">
        <w:rPr>
          <w:rFonts w:ascii="Verdana" w:hAnsi="Verdana" w:cstheme="minorHAnsi"/>
          <w:sz w:val="20"/>
          <w:szCs w:val="20"/>
          <w:lang w:val="es-ES"/>
        </w:rPr>
        <w:t xml:space="preserve"> (</w:t>
      </w:r>
      <w:r w:rsidR="00A92133">
        <w:rPr>
          <w:rFonts w:ascii="Verdana" w:hAnsi="Verdana" w:cstheme="minorHAnsi"/>
          <w:i/>
          <w:sz w:val="20"/>
          <w:szCs w:val="20"/>
          <w:lang w:val="es-ES"/>
        </w:rPr>
        <w:t>supra</w:t>
      </w:r>
      <w:r w:rsidR="00A92133">
        <w:rPr>
          <w:rFonts w:ascii="Verdana" w:hAnsi="Verdana" w:cstheme="minorHAnsi"/>
          <w:sz w:val="20"/>
          <w:szCs w:val="20"/>
          <w:lang w:val="es-ES"/>
        </w:rPr>
        <w:t xml:space="preserve"> Considerando 15)</w:t>
      </w:r>
      <w:r w:rsidR="00A92133" w:rsidRPr="000D3C49">
        <w:rPr>
          <w:rFonts w:ascii="Verdana" w:hAnsi="Verdana" w:cstheme="minorHAnsi"/>
          <w:sz w:val="20"/>
          <w:szCs w:val="20"/>
          <w:lang w:val="es-ES"/>
        </w:rPr>
        <w:t>,</w:t>
      </w:r>
      <w:r w:rsidRPr="000D3C49">
        <w:rPr>
          <w:rFonts w:ascii="Verdana" w:hAnsi="Verdana" w:cstheme="minorHAnsi"/>
          <w:sz w:val="20"/>
          <w:szCs w:val="20"/>
          <w:lang w:val="es-ES"/>
        </w:rPr>
        <w:t xml:space="preserve"> </w:t>
      </w:r>
      <w:r w:rsidR="00A92133" w:rsidRPr="000D3C49">
        <w:rPr>
          <w:rFonts w:ascii="Verdana" w:hAnsi="Verdana" w:cstheme="minorHAnsi"/>
          <w:sz w:val="20"/>
          <w:szCs w:val="20"/>
          <w:lang w:val="es-ES"/>
        </w:rPr>
        <w:t xml:space="preserve">la señora Alberta Velásquez, quien dijo que “actuaría en nombre propio y en representación de su hijo, Rudy López”, manifestó que en “los últimos 12 meses no ha[bía] sido objeto de [al]gún tipo de amenaza </w:t>
      </w:r>
      <w:r w:rsidR="00A92133" w:rsidRPr="000D3C49">
        <w:rPr>
          <w:rFonts w:ascii="Verdana" w:hAnsi="Verdana" w:cstheme="minorHAnsi"/>
          <w:sz w:val="20"/>
          <w:szCs w:val="20"/>
          <w:lang w:val="es-ES"/>
        </w:rPr>
        <w:lastRenderedPageBreak/>
        <w:t xml:space="preserve">que [pusiera] en riesgo su vida y la de su hijo”; y que </w:t>
      </w:r>
      <w:r w:rsidRPr="000D3C49">
        <w:rPr>
          <w:rFonts w:ascii="Verdana" w:hAnsi="Verdana" w:cstheme="minorHAnsi"/>
          <w:sz w:val="20"/>
          <w:szCs w:val="20"/>
          <w:lang w:val="es-ES"/>
        </w:rPr>
        <w:t>la señora Egidia Gebia Bámaca Velásquez</w:t>
      </w:r>
      <w:r w:rsidR="00A92133">
        <w:rPr>
          <w:rFonts w:ascii="Verdana" w:hAnsi="Verdana" w:cstheme="minorHAnsi"/>
          <w:sz w:val="20"/>
          <w:szCs w:val="20"/>
          <w:lang w:val="es-ES"/>
        </w:rPr>
        <w:t xml:space="preserve"> </w:t>
      </w:r>
      <w:r w:rsidRPr="000D3C49">
        <w:rPr>
          <w:rFonts w:ascii="Verdana" w:hAnsi="Verdana" w:cstheme="minorHAnsi"/>
          <w:sz w:val="20"/>
          <w:szCs w:val="20"/>
          <w:lang w:val="es-ES"/>
        </w:rPr>
        <w:t>expresó a los agentes estatales que la visitaron que ni ella ni alguno de los miembros de su familia había sido víctima de ninguna amenaza</w:t>
      </w:r>
      <w:r w:rsidR="00A92133">
        <w:rPr>
          <w:rFonts w:ascii="Verdana" w:hAnsi="Verdana" w:cstheme="minorHAnsi"/>
          <w:sz w:val="20"/>
          <w:szCs w:val="20"/>
          <w:lang w:val="es-ES"/>
        </w:rPr>
        <w:t>,</w:t>
      </w:r>
      <w:r w:rsidRPr="000D3C49">
        <w:rPr>
          <w:rFonts w:ascii="Verdana" w:hAnsi="Verdana" w:cstheme="minorHAnsi"/>
          <w:sz w:val="20"/>
          <w:szCs w:val="20"/>
          <w:lang w:val="es-ES"/>
        </w:rPr>
        <w:t xml:space="preserve"> en los últimos 12 meses, que pusiera en riesgo su vida o integridad física</w:t>
      </w:r>
      <w:r w:rsidR="00A92133">
        <w:rPr>
          <w:rFonts w:ascii="Verdana" w:hAnsi="Verdana" w:cstheme="minorHAnsi"/>
          <w:sz w:val="20"/>
          <w:szCs w:val="20"/>
          <w:lang w:val="es-ES"/>
        </w:rPr>
        <w:t>.</w:t>
      </w:r>
      <w:r w:rsidRPr="000D3C49">
        <w:rPr>
          <w:rFonts w:ascii="Verdana" w:hAnsi="Verdana" w:cstheme="minorHAnsi"/>
          <w:sz w:val="20"/>
          <w:szCs w:val="20"/>
          <w:lang w:val="es-ES"/>
        </w:rPr>
        <w:t xml:space="preserve"> </w:t>
      </w:r>
    </w:p>
    <w:p w:rsidR="00A92133" w:rsidRPr="000D3C49" w:rsidRDefault="00A92133" w:rsidP="000D3C49">
      <w:pPr>
        <w:pStyle w:val="ListParagraph"/>
        <w:spacing w:after="0" w:line="240" w:lineRule="auto"/>
        <w:jc w:val="both"/>
        <w:rPr>
          <w:rFonts w:ascii="Verdana" w:hAnsi="Verdana" w:cstheme="minorHAnsi"/>
          <w:sz w:val="20"/>
          <w:szCs w:val="20"/>
          <w:lang w:val="es-ES"/>
        </w:rPr>
      </w:pPr>
    </w:p>
    <w:p w:rsidR="00C93CA7" w:rsidRDefault="008E3EE3" w:rsidP="00C93CA7">
      <w:pPr>
        <w:spacing w:after="0" w:line="240" w:lineRule="auto"/>
        <w:jc w:val="both"/>
        <w:rPr>
          <w:rFonts w:ascii="Verdana" w:hAnsi="Verdana" w:cs="Verdana"/>
          <w:b/>
          <w:sz w:val="20"/>
          <w:szCs w:val="20"/>
          <w:lang w:val="es-ES"/>
        </w:rPr>
      </w:pPr>
      <w:r>
        <w:rPr>
          <w:rFonts w:ascii="Verdana" w:hAnsi="Verdana" w:cstheme="minorHAnsi"/>
          <w:sz w:val="20"/>
          <w:szCs w:val="20"/>
          <w:lang w:val="es-ES"/>
        </w:rPr>
        <w:t>19</w:t>
      </w:r>
      <w:r w:rsidR="007D2294">
        <w:rPr>
          <w:rFonts w:ascii="Verdana" w:hAnsi="Verdana" w:cstheme="minorHAnsi"/>
          <w:sz w:val="20"/>
          <w:szCs w:val="20"/>
          <w:lang w:val="es-ES"/>
        </w:rPr>
        <w:t>.</w:t>
      </w:r>
      <w:r w:rsidR="007D2294">
        <w:rPr>
          <w:rFonts w:ascii="Verdana" w:hAnsi="Verdana" w:cstheme="minorHAnsi"/>
          <w:sz w:val="20"/>
          <w:szCs w:val="20"/>
          <w:lang w:val="es-ES"/>
        </w:rPr>
        <w:tab/>
      </w:r>
      <w:r w:rsidR="005A050C" w:rsidRPr="000D3C49">
        <w:rPr>
          <w:rFonts w:ascii="Verdana" w:hAnsi="Verdana" w:cstheme="minorHAnsi"/>
          <w:sz w:val="20"/>
          <w:szCs w:val="20"/>
          <w:lang w:val="es-ES"/>
        </w:rPr>
        <w:t>E</w:t>
      </w:r>
      <w:r w:rsidR="007D2294" w:rsidRPr="000D3C49">
        <w:rPr>
          <w:rFonts w:ascii="Verdana" w:hAnsi="Verdana" w:cstheme="minorHAnsi"/>
          <w:sz w:val="20"/>
          <w:szCs w:val="20"/>
          <w:lang w:val="es-ES"/>
        </w:rPr>
        <w:t>l</w:t>
      </w:r>
      <w:r w:rsidR="003F627B" w:rsidRPr="002164DF">
        <w:rPr>
          <w:rFonts w:ascii="Verdana" w:hAnsi="Verdana" w:cstheme="minorHAnsi"/>
          <w:sz w:val="20"/>
          <w:szCs w:val="20"/>
          <w:lang w:val="es-ES"/>
        </w:rPr>
        <w:t xml:space="preserve"> 16 de febrero de 2011 </w:t>
      </w:r>
      <w:r w:rsidR="003F627B">
        <w:rPr>
          <w:rFonts w:ascii="Verdana" w:hAnsi="Verdana" w:cstheme="minorHAnsi"/>
          <w:sz w:val="20"/>
          <w:szCs w:val="20"/>
          <w:lang w:val="es-ES"/>
        </w:rPr>
        <w:t>l</w:t>
      </w:r>
      <w:r w:rsidR="003F627B" w:rsidRPr="002164DF">
        <w:rPr>
          <w:rFonts w:ascii="Verdana" w:hAnsi="Verdana" w:cs="Verdana"/>
          <w:sz w:val="20"/>
          <w:szCs w:val="20"/>
          <w:lang w:val="es-ES"/>
        </w:rPr>
        <w:t xml:space="preserve">os </w:t>
      </w:r>
      <w:r w:rsidR="003F627B" w:rsidRPr="002164DF">
        <w:rPr>
          <w:rFonts w:ascii="Verdana" w:hAnsi="Verdana" w:cs="Verdana"/>
          <w:b/>
          <w:i/>
          <w:sz w:val="20"/>
          <w:szCs w:val="20"/>
          <w:lang w:val="es-ES"/>
        </w:rPr>
        <w:t>representantes</w:t>
      </w:r>
      <w:r w:rsidR="003F627B" w:rsidRPr="002164DF">
        <w:rPr>
          <w:rFonts w:ascii="Verdana" w:hAnsi="Verdana" w:cs="Verdana"/>
          <w:sz w:val="20"/>
          <w:szCs w:val="20"/>
          <w:lang w:val="es-ES"/>
        </w:rPr>
        <w:t xml:space="preserve"> señalaron </w:t>
      </w:r>
      <w:r w:rsidR="003F627B">
        <w:rPr>
          <w:rFonts w:ascii="Verdana" w:hAnsi="Verdana" w:cstheme="minorHAnsi"/>
          <w:sz w:val="20"/>
          <w:szCs w:val="20"/>
          <w:lang w:val="es-ES"/>
        </w:rPr>
        <w:t xml:space="preserve">que había ocurrido un incidente </w:t>
      </w:r>
      <w:r w:rsidR="003F627B" w:rsidRPr="002164DF">
        <w:rPr>
          <w:rFonts w:ascii="Verdana" w:hAnsi="Verdana" w:cstheme="minorHAnsi"/>
          <w:sz w:val="20"/>
          <w:szCs w:val="20"/>
          <w:lang w:val="es-ES"/>
        </w:rPr>
        <w:t>en</w:t>
      </w:r>
      <w:r w:rsidR="003F627B">
        <w:rPr>
          <w:rFonts w:ascii="Verdana" w:hAnsi="Verdana" w:cstheme="minorHAnsi"/>
          <w:sz w:val="20"/>
          <w:szCs w:val="20"/>
          <w:lang w:val="es-ES"/>
        </w:rPr>
        <w:t xml:space="preserve"> perjuicio del señor Rudy López</w:t>
      </w:r>
      <w:r w:rsidR="003F627B" w:rsidRPr="002164DF">
        <w:rPr>
          <w:rFonts w:ascii="Verdana" w:hAnsi="Verdana" w:cstheme="minorHAnsi"/>
          <w:sz w:val="20"/>
          <w:szCs w:val="20"/>
          <w:lang w:val="es-ES"/>
        </w:rPr>
        <w:t xml:space="preserve"> en </w:t>
      </w:r>
      <w:r w:rsidR="007921ED">
        <w:rPr>
          <w:rFonts w:ascii="Verdana" w:hAnsi="Verdana" w:cstheme="minorHAnsi"/>
          <w:sz w:val="20"/>
          <w:szCs w:val="20"/>
          <w:lang w:val="es-ES"/>
        </w:rPr>
        <w:t xml:space="preserve">octubre de </w:t>
      </w:r>
      <w:r w:rsidR="003F627B" w:rsidRPr="002164DF">
        <w:rPr>
          <w:rFonts w:ascii="Verdana" w:hAnsi="Verdana" w:cstheme="minorHAnsi"/>
          <w:sz w:val="20"/>
          <w:szCs w:val="20"/>
          <w:lang w:val="es-ES"/>
        </w:rPr>
        <w:t xml:space="preserve">2010, cuando “una bala entró a su casa”. </w:t>
      </w:r>
      <w:r w:rsidR="003F627B" w:rsidRPr="003D2421">
        <w:rPr>
          <w:rFonts w:ascii="Verdana" w:hAnsi="Verdana" w:cstheme="minorHAnsi"/>
          <w:sz w:val="20"/>
          <w:szCs w:val="20"/>
          <w:lang w:val="es-ES"/>
        </w:rPr>
        <w:t>Asimism</w:t>
      </w:r>
      <w:r w:rsidR="003F627B">
        <w:rPr>
          <w:rFonts w:ascii="Verdana" w:hAnsi="Verdana" w:cstheme="minorHAnsi"/>
          <w:sz w:val="20"/>
          <w:szCs w:val="20"/>
          <w:lang w:val="es-ES"/>
        </w:rPr>
        <w:t xml:space="preserve">o, </w:t>
      </w:r>
      <w:r w:rsidR="003F627B" w:rsidRPr="003D2421">
        <w:rPr>
          <w:rFonts w:ascii="Verdana" w:hAnsi="Verdana" w:cs="Verdana"/>
          <w:sz w:val="20"/>
          <w:szCs w:val="20"/>
          <w:lang w:val="es-ES"/>
        </w:rPr>
        <w:t>el 15 de abril de 2011</w:t>
      </w:r>
      <w:r w:rsidR="003F627B">
        <w:rPr>
          <w:rFonts w:ascii="Verdana" w:hAnsi="Verdana" w:cs="Verdana"/>
          <w:sz w:val="20"/>
          <w:szCs w:val="20"/>
          <w:lang w:val="es-ES"/>
        </w:rPr>
        <w:t>,</w:t>
      </w:r>
      <w:r w:rsidR="003F627B" w:rsidRPr="00E400FA">
        <w:rPr>
          <w:rFonts w:ascii="Verdana" w:hAnsi="Verdana" w:cstheme="minorHAnsi"/>
          <w:sz w:val="20"/>
          <w:szCs w:val="20"/>
          <w:lang w:val="es-ES"/>
        </w:rPr>
        <w:t xml:space="preserve"> </w:t>
      </w:r>
      <w:r w:rsidR="003F627B">
        <w:rPr>
          <w:rFonts w:ascii="Verdana" w:hAnsi="Verdana" w:cstheme="minorHAnsi"/>
          <w:sz w:val="20"/>
          <w:szCs w:val="20"/>
          <w:lang w:val="es-ES"/>
        </w:rPr>
        <w:t>los representantes indicaron</w:t>
      </w:r>
      <w:r w:rsidR="003F627B" w:rsidRPr="003D2421">
        <w:rPr>
          <w:rFonts w:ascii="Verdana" w:hAnsi="Verdana" w:cs="Verdana"/>
          <w:sz w:val="20"/>
          <w:szCs w:val="20"/>
          <w:lang w:val="es-ES"/>
        </w:rPr>
        <w:t xml:space="preserve"> que Amín López había notado que “varios vehículos sospechosos se ha[bían] acercado y permanecido en las cercanías de su residencia” y</w:t>
      </w:r>
      <w:r w:rsidR="00FF2873">
        <w:rPr>
          <w:rFonts w:ascii="Verdana" w:hAnsi="Verdana" w:cs="Verdana"/>
          <w:sz w:val="20"/>
          <w:szCs w:val="20"/>
          <w:lang w:val="es-ES"/>
        </w:rPr>
        <w:t xml:space="preserve"> que el 14 de abril de 2009</w:t>
      </w:r>
      <w:r w:rsidR="003F627B" w:rsidRPr="005E5148">
        <w:rPr>
          <w:rFonts w:ascii="Verdana" w:hAnsi="Verdana" w:cs="Verdana"/>
          <w:sz w:val="20"/>
          <w:szCs w:val="20"/>
          <w:lang w:val="es-ES"/>
        </w:rPr>
        <w:t xml:space="preserve"> Oscar Rolando López recibió una llamada telefónica en la que le dijeron que “por algo que sucedió en el pasado” iban a “matar a él y a su familia”.</w:t>
      </w:r>
      <w:r w:rsidR="003F627B">
        <w:rPr>
          <w:rFonts w:ascii="Verdana" w:hAnsi="Verdana" w:cs="Verdana"/>
          <w:sz w:val="20"/>
          <w:szCs w:val="20"/>
          <w:lang w:val="es-ES"/>
        </w:rPr>
        <w:t xml:space="preserve"> </w:t>
      </w:r>
    </w:p>
    <w:p w:rsidR="00F96416" w:rsidRPr="00326776" w:rsidRDefault="00F96416" w:rsidP="00C93CA7">
      <w:pPr>
        <w:spacing w:after="0" w:line="240" w:lineRule="auto"/>
        <w:jc w:val="both"/>
        <w:rPr>
          <w:rFonts w:ascii="Verdana" w:hAnsi="Verdana" w:cstheme="minorHAnsi"/>
          <w:sz w:val="20"/>
          <w:szCs w:val="20"/>
          <w:lang w:val="es-ES"/>
        </w:rPr>
      </w:pPr>
    </w:p>
    <w:p w:rsidR="003F627B" w:rsidRPr="00C93CA7" w:rsidRDefault="00F96416" w:rsidP="00C93CA7">
      <w:pPr>
        <w:pStyle w:val="ListParagraph"/>
        <w:numPr>
          <w:ilvl w:val="0"/>
          <w:numId w:val="34"/>
        </w:numPr>
        <w:autoSpaceDE w:val="0"/>
        <w:autoSpaceDN w:val="0"/>
        <w:adjustRightInd w:val="0"/>
        <w:spacing w:after="0" w:line="240" w:lineRule="auto"/>
        <w:ind w:left="0" w:firstLine="0"/>
        <w:jc w:val="both"/>
        <w:rPr>
          <w:rFonts w:ascii="Verdana" w:hAnsi="Verdana"/>
          <w:sz w:val="20"/>
          <w:szCs w:val="20"/>
          <w:lang w:val="es-ES"/>
        </w:rPr>
      </w:pPr>
      <w:r w:rsidRPr="000D3C49">
        <w:rPr>
          <w:rFonts w:ascii="Verdana" w:hAnsi="Verdana" w:cs="Verdana"/>
          <w:sz w:val="20"/>
          <w:szCs w:val="20"/>
          <w:lang w:val="es-ES"/>
        </w:rPr>
        <w:t>El 26 de j</w:t>
      </w:r>
      <w:r w:rsidR="00C93CA7" w:rsidRPr="000D3C49">
        <w:rPr>
          <w:rFonts w:ascii="Verdana" w:hAnsi="Verdana" w:cs="Verdana"/>
          <w:sz w:val="20"/>
          <w:szCs w:val="20"/>
          <w:lang w:val="es-ES"/>
        </w:rPr>
        <w:t>ulio de 2013</w:t>
      </w:r>
      <w:r w:rsidRPr="000D3C49">
        <w:rPr>
          <w:rFonts w:ascii="Verdana" w:hAnsi="Verdana" w:cs="Verdana"/>
          <w:sz w:val="20"/>
          <w:szCs w:val="20"/>
          <w:lang w:val="es-ES"/>
        </w:rPr>
        <w:t xml:space="preserve"> la Comisión señaló que la situación de riesgo de los beneficiarios se veía reforzada por el nulo avance de las investigaciones y refirió de manera genérica la existencia de </w:t>
      </w:r>
      <w:r w:rsidR="00C93CA7" w:rsidRPr="000D3C49">
        <w:rPr>
          <w:rFonts w:ascii="Verdana" w:hAnsi="Verdana" w:cs="Verdana"/>
          <w:sz w:val="20"/>
          <w:szCs w:val="20"/>
          <w:lang w:val="es-ES"/>
        </w:rPr>
        <w:t>“</w:t>
      </w:r>
      <w:r w:rsidRPr="000D3C49">
        <w:rPr>
          <w:rFonts w:ascii="Verdana" w:hAnsi="Verdana" w:cs="Verdana"/>
          <w:sz w:val="20"/>
          <w:szCs w:val="20"/>
          <w:lang w:val="es-ES"/>
        </w:rPr>
        <w:t>otros hechos graves que habrían sufrido las beneficiarias” sin especificar los mismos.</w:t>
      </w:r>
      <w:r w:rsidRPr="00C93CA7">
        <w:rPr>
          <w:rFonts w:ascii="Verdana" w:hAnsi="Verdana" w:cs="Verdana"/>
          <w:sz w:val="20"/>
          <w:szCs w:val="20"/>
          <w:lang w:val="es-ES"/>
        </w:rPr>
        <w:t xml:space="preserve"> </w:t>
      </w:r>
    </w:p>
    <w:p w:rsidR="00C93CA7" w:rsidRPr="00C93CA7" w:rsidRDefault="00C93CA7" w:rsidP="00C93CA7">
      <w:pPr>
        <w:pStyle w:val="ListParagraph"/>
        <w:autoSpaceDE w:val="0"/>
        <w:autoSpaceDN w:val="0"/>
        <w:adjustRightInd w:val="0"/>
        <w:spacing w:after="0" w:line="240" w:lineRule="auto"/>
        <w:ind w:left="0"/>
        <w:jc w:val="both"/>
        <w:rPr>
          <w:rFonts w:ascii="Verdana" w:hAnsi="Verdana"/>
          <w:sz w:val="20"/>
          <w:szCs w:val="20"/>
          <w:lang w:val="es-ES"/>
        </w:rPr>
      </w:pPr>
    </w:p>
    <w:p w:rsidR="003F627B" w:rsidRPr="00E5695F" w:rsidRDefault="003F627B" w:rsidP="00E5695F">
      <w:pPr>
        <w:pStyle w:val="ListParagraph"/>
        <w:numPr>
          <w:ilvl w:val="0"/>
          <w:numId w:val="34"/>
        </w:numPr>
        <w:autoSpaceDE w:val="0"/>
        <w:autoSpaceDN w:val="0"/>
        <w:adjustRightInd w:val="0"/>
        <w:spacing w:after="0" w:line="240" w:lineRule="auto"/>
        <w:ind w:left="0" w:firstLine="0"/>
        <w:jc w:val="both"/>
        <w:rPr>
          <w:rFonts w:ascii="Verdana" w:hAnsi="Verdana" w:cstheme="minorHAnsi"/>
          <w:sz w:val="20"/>
          <w:szCs w:val="20"/>
          <w:lang w:val="es-ES"/>
        </w:rPr>
      </w:pPr>
      <w:r w:rsidRPr="00E5695F">
        <w:rPr>
          <w:rFonts w:ascii="Verdana" w:hAnsi="Verdana" w:cstheme="minorHAnsi"/>
          <w:sz w:val="20"/>
          <w:szCs w:val="20"/>
          <w:lang w:val="es-ES"/>
        </w:rPr>
        <w:t xml:space="preserve">La </w:t>
      </w:r>
      <w:r w:rsidRPr="00E5695F">
        <w:rPr>
          <w:rFonts w:ascii="Verdana" w:hAnsi="Verdana" w:cstheme="minorHAnsi"/>
          <w:b/>
          <w:i/>
          <w:sz w:val="20"/>
          <w:szCs w:val="20"/>
          <w:lang w:val="es-ES"/>
        </w:rPr>
        <w:t>Corte</w:t>
      </w:r>
      <w:r w:rsidRPr="00E5695F">
        <w:rPr>
          <w:rFonts w:ascii="Verdana" w:hAnsi="Verdana" w:cstheme="minorHAnsi"/>
          <w:sz w:val="20"/>
          <w:szCs w:val="20"/>
          <w:lang w:val="es-ES"/>
        </w:rPr>
        <w:t xml:space="preserve"> nota dificultades en la implementación de las medidas a favor de estos beneficiarios, sin embargo considera que de la información presentada ante este Tribunal, se desprende que ni el Estado ni los representantes han aportado información sobre hechos, agresiones, amenazas u hostigamientos contra ellos </w:t>
      </w:r>
      <w:r w:rsidR="007921ED">
        <w:rPr>
          <w:rFonts w:ascii="Verdana" w:hAnsi="Verdana" w:cstheme="minorHAnsi"/>
          <w:sz w:val="20"/>
          <w:szCs w:val="20"/>
          <w:lang w:val="es-ES"/>
        </w:rPr>
        <w:t xml:space="preserve">sucedidos </w:t>
      </w:r>
      <w:r w:rsidRPr="00E5695F">
        <w:rPr>
          <w:rFonts w:ascii="Verdana" w:hAnsi="Verdana" w:cstheme="minorHAnsi"/>
          <w:sz w:val="20"/>
          <w:szCs w:val="20"/>
          <w:lang w:val="es-ES"/>
        </w:rPr>
        <w:t>desde</w:t>
      </w:r>
      <w:r w:rsidR="007921ED">
        <w:rPr>
          <w:rFonts w:ascii="Verdana" w:hAnsi="Verdana" w:cstheme="minorHAnsi"/>
          <w:sz w:val="20"/>
          <w:szCs w:val="20"/>
          <w:lang w:val="es-ES"/>
        </w:rPr>
        <w:t xml:space="preserve"> después de</w:t>
      </w:r>
      <w:r w:rsidRPr="00E5695F">
        <w:rPr>
          <w:rFonts w:ascii="Verdana" w:hAnsi="Verdana" w:cstheme="minorHAnsi"/>
          <w:sz w:val="20"/>
          <w:szCs w:val="20"/>
          <w:lang w:val="es-ES"/>
        </w:rPr>
        <w:t xml:space="preserve"> 2010. Es decir, la Corte no tiene información que indique hechos que denotaran un riesgo en perjuicio de estos beneficiarios, en un período </w:t>
      </w:r>
      <w:r w:rsidR="007921ED">
        <w:rPr>
          <w:rFonts w:ascii="Verdana" w:hAnsi="Verdana" w:cstheme="minorHAnsi"/>
          <w:sz w:val="20"/>
          <w:szCs w:val="20"/>
          <w:lang w:val="es-ES"/>
        </w:rPr>
        <w:t xml:space="preserve">próximo a los </w:t>
      </w:r>
      <w:r w:rsidRPr="00E5695F">
        <w:rPr>
          <w:rFonts w:ascii="Verdana" w:hAnsi="Verdana" w:cstheme="minorHAnsi"/>
          <w:sz w:val="20"/>
          <w:szCs w:val="20"/>
          <w:lang w:val="es-ES"/>
        </w:rPr>
        <w:t>seis años.</w:t>
      </w:r>
    </w:p>
    <w:p w:rsidR="003F627B" w:rsidRPr="001C414E" w:rsidRDefault="003F627B" w:rsidP="00F0759D">
      <w:pPr>
        <w:autoSpaceDE w:val="0"/>
        <w:autoSpaceDN w:val="0"/>
        <w:adjustRightInd w:val="0"/>
        <w:spacing w:after="0" w:line="240" w:lineRule="auto"/>
        <w:jc w:val="both"/>
        <w:rPr>
          <w:rFonts w:ascii="Verdana" w:hAnsi="Verdana" w:cstheme="minorHAnsi"/>
          <w:sz w:val="20"/>
          <w:szCs w:val="20"/>
          <w:lang w:val="es-ES"/>
        </w:rPr>
      </w:pPr>
    </w:p>
    <w:p w:rsidR="003F627B" w:rsidRPr="001C414E" w:rsidRDefault="003F627B" w:rsidP="00E5695F">
      <w:pPr>
        <w:pStyle w:val="ListParagraph"/>
        <w:numPr>
          <w:ilvl w:val="0"/>
          <w:numId w:val="34"/>
        </w:numPr>
        <w:autoSpaceDE w:val="0"/>
        <w:autoSpaceDN w:val="0"/>
        <w:adjustRightInd w:val="0"/>
        <w:spacing w:after="0" w:line="240" w:lineRule="auto"/>
        <w:ind w:left="0" w:firstLine="0"/>
        <w:jc w:val="both"/>
        <w:rPr>
          <w:rFonts w:ascii="Verdana" w:hAnsi="Verdana" w:cstheme="minorHAnsi"/>
          <w:sz w:val="20"/>
          <w:szCs w:val="20"/>
          <w:lang w:val="es-ES"/>
        </w:rPr>
      </w:pPr>
      <w:r>
        <w:rPr>
          <w:rFonts w:ascii="Verdana" w:hAnsi="Verdana" w:cstheme="minorHAnsi"/>
          <w:sz w:val="20"/>
          <w:szCs w:val="20"/>
          <w:lang w:val="es-ES"/>
        </w:rPr>
        <w:t xml:space="preserve">Además, el Tribunal estima que a pesar de que el Estado no acompañó los estudios de riesgo realizados a los miembros de la familia Bámaca Velásquez, </w:t>
      </w:r>
      <w:r w:rsidR="007921ED">
        <w:rPr>
          <w:rFonts w:ascii="Verdana" w:hAnsi="Verdana" w:cstheme="minorHAnsi"/>
          <w:sz w:val="20"/>
          <w:szCs w:val="20"/>
          <w:lang w:val="es-ES"/>
        </w:rPr>
        <w:t>indicó que los mismos</w:t>
      </w:r>
      <w:r>
        <w:rPr>
          <w:rFonts w:ascii="Verdana" w:hAnsi="Verdana" w:cstheme="minorHAnsi"/>
          <w:sz w:val="20"/>
          <w:szCs w:val="20"/>
          <w:lang w:val="es-ES"/>
        </w:rPr>
        <w:t xml:space="preserve"> determinaron su nivel de riesgo como “bajo”, </w:t>
      </w:r>
      <w:r w:rsidR="007921ED">
        <w:rPr>
          <w:rFonts w:ascii="Verdana" w:hAnsi="Verdana" w:cstheme="minorHAnsi"/>
          <w:sz w:val="20"/>
          <w:szCs w:val="20"/>
          <w:lang w:val="es-ES"/>
        </w:rPr>
        <w:t xml:space="preserve">y </w:t>
      </w:r>
      <w:r>
        <w:rPr>
          <w:rFonts w:ascii="Verdana" w:hAnsi="Verdana" w:cstheme="minorHAnsi"/>
          <w:sz w:val="20"/>
          <w:szCs w:val="20"/>
          <w:lang w:val="es-ES"/>
        </w:rPr>
        <w:t>los representantes no desvirtuaron esta información al no presentar nuevos hechos, agresiones, amenazas u hostigamientos contra estos beneficiarios</w:t>
      </w:r>
      <w:r w:rsidRPr="001C414E">
        <w:rPr>
          <w:rFonts w:ascii="Verdana" w:hAnsi="Verdana" w:cstheme="minorHAnsi"/>
          <w:sz w:val="20"/>
          <w:szCs w:val="20"/>
          <w:lang w:val="es-ES"/>
        </w:rPr>
        <w:t xml:space="preserve">. </w:t>
      </w:r>
    </w:p>
    <w:p w:rsidR="003F627B" w:rsidRPr="006B10D1" w:rsidRDefault="003F627B" w:rsidP="00E5695F">
      <w:pPr>
        <w:pStyle w:val="ListParagraph"/>
        <w:spacing w:line="240" w:lineRule="auto"/>
        <w:ind w:left="0"/>
        <w:rPr>
          <w:rFonts w:ascii="Verdana" w:hAnsi="Verdana" w:cstheme="minorHAnsi"/>
          <w:sz w:val="20"/>
          <w:szCs w:val="20"/>
          <w:lang w:val="es-ES"/>
        </w:rPr>
      </w:pPr>
    </w:p>
    <w:p w:rsidR="00FF2873" w:rsidRPr="005B080E" w:rsidRDefault="003F627B" w:rsidP="00E5695F">
      <w:pPr>
        <w:pStyle w:val="ListParagraph"/>
        <w:numPr>
          <w:ilvl w:val="0"/>
          <w:numId w:val="34"/>
        </w:numPr>
        <w:autoSpaceDE w:val="0"/>
        <w:autoSpaceDN w:val="0"/>
        <w:adjustRightInd w:val="0"/>
        <w:spacing w:after="0" w:line="240" w:lineRule="auto"/>
        <w:ind w:left="0" w:firstLine="0"/>
        <w:jc w:val="both"/>
        <w:rPr>
          <w:lang w:val="es-ES"/>
        </w:rPr>
      </w:pPr>
      <w:r w:rsidRPr="006B10D1">
        <w:rPr>
          <w:rFonts w:ascii="Verdana" w:hAnsi="Verdana" w:cstheme="minorHAnsi"/>
          <w:sz w:val="20"/>
          <w:szCs w:val="20"/>
          <w:lang w:val="es-ES"/>
        </w:rPr>
        <w:t xml:space="preserve">La Corte reitera que la falta de amenazas no necesariamente implica que </w:t>
      </w:r>
      <w:r>
        <w:rPr>
          <w:rFonts w:ascii="Verdana" w:hAnsi="Verdana" w:cstheme="minorHAnsi"/>
          <w:sz w:val="20"/>
          <w:szCs w:val="20"/>
          <w:lang w:val="es-ES"/>
        </w:rPr>
        <w:t>no haya riesgo para una persona</w:t>
      </w:r>
      <w:r>
        <w:rPr>
          <w:rStyle w:val="FootnoteReference"/>
          <w:rFonts w:ascii="Verdana" w:hAnsi="Verdana" w:cstheme="minorHAnsi"/>
          <w:sz w:val="20"/>
          <w:szCs w:val="20"/>
          <w:lang w:val="es-ES"/>
        </w:rPr>
        <w:footnoteReference w:id="5"/>
      </w:r>
      <w:r>
        <w:rPr>
          <w:rFonts w:ascii="Verdana" w:hAnsi="Verdana" w:cstheme="minorHAnsi"/>
          <w:sz w:val="20"/>
          <w:szCs w:val="20"/>
          <w:lang w:val="es-ES"/>
        </w:rPr>
        <w:t>. S</w:t>
      </w:r>
      <w:r w:rsidRPr="006B10D1">
        <w:rPr>
          <w:rFonts w:ascii="Verdana" w:hAnsi="Verdana" w:cstheme="minorHAnsi"/>
          <w:sz w:val="20"/>
          <w:szCs w:val="20"/>
          <w:lang w:val="es-ES"/>
        </w:rPr>
        <w:t>in embargo, en cuanto a estos beneficiarios y de acuerdo con la información proporcionada, la Corte encuentra que su situación ya no cumple con los requisitos contenidos en el artículo 63.2 de la Convención</w:t>
      </w:r>
      <w:r>
        <w:rPr>
          <w:rFonts w:ascii="Verdana" w:hAnsi="Verdana" w:cstheme="minorHAnsi"/>
          <w:sz w:val="20"/>
          <w:szCs w:val="20"/>
          <w:lang w:val="es-ES"/>
        </w:rPr>
        <w:t xml:space="preserve"> Americana</w:t>
      </w:r>
      <w:r w:rsidRPr="006B10D1">
        <w:rPr>
          <w:rFonts w:ascii="Verdana" w:hAnsi="Verdana" w:cstheme="minorHAnsi"/>
          <w:sz w:val="20"/>
          <w:szCs w:val="20"/>
          <w:lang w:val="es-ES"/>
        </w:rPr>
        <w:t xml:space="preserve">, por lo que estima pertinente levantar las medidas provisionales </w:t>
      </w:r>
      <w:r>
        <w:rPr>
          <w:rFonts w:ascii="Verdana" w:hAnsi="Verdana" w:cstheme="minorHAnsi"/>
          <w:sz w:val="20"/>
          <w:szCs w:val="20"/>
          <w:lang w:val="es-ES"/>
        </w:rPr>
        <w:t xml:space="preserve">a favor </w:t>
      </w:r>
      <w:r w:rsidRPr="006B10D1">
        <w:rPr>
          <w:rFonts w:ascii="Verdana" w:hAnsi="Verdana" w:cstheme="minorHAnsi"/>
          <w:sz w:val="20"/>
          <w:szCs w:val="20"/>
          <w:lang w:val="es-ES"/>
        </w:rPr>
        <w:t xml:space="preserve">de </w:t>
      </w:r>
      <w:r>
        <w:rPr>
          <w:rFonts w:ascii="Verdana" w:hAnsi="Verdana" w:cstheme="minorHAnsi"/>
          <w:sz w:val="20"/>
          <w:szCs w:val="20"/>
          <w:lang w:val="es-ES"/>
        </w:rPr>
        <w:t xml:space="preserve">Egidia Gebia Bámaca Velásquez, Josefina Bámaca Velásquez, Alberta Velásquez, Rudy López, </w:t>
      </w:r>
      <w:r w:rsidRPr="001C414E">
        <w:rPr>
          <w:rFonts w:ascii="Verdana" w:hAnsi="Verdana" w:cstheme="minorHAnsi"/>
          <w:sz w:val="20"/>
          <w:szCs w:val="20"/>
          <w:lang w:val="es-ES"/>
        </w:rPr>
        <w:t>Luis Federico López Godínez</w:t>
      </w:r>
      <w:r>
        <w:rPr>
          <w:rFonts w:ascii="Verdana" w:hAnsi="Verdana" w:cstheme="minorHAnsi"/>
          <w:sz w:val="20"/>
          <w:szCs w:val="20"/>
          <w:lang w:val="es-ES"/>
        </w:rPr>
        <w:t xml:space="preserve">, Amín López y Oscar Rolando López y sus familiares. </w:t>
      </w:r>
    </w:p>
    <w:p w:rsidR="00FF2873" w:rsidRPr="003B6F9D" w:rsidRDefault="00FF2873" w:rsidP="003F627B">
      <w:pPr>
        <w:pStyle w:val="ListParagraph"/>
        <w:autoSpaceDE w:val="0"/>
        <w:autoSpaceDN w:val="0"/>
        <w:adjustRightInd w:val="0"/>
        <w:spacing w:after="0" w:line="240" w:lineRule="auto"/>
        <w:ind w:left="0"/>
        <w:jc w:val="both"/>
        <w:rPr>
          <w:lang w:val="es-ES"/>
        </w:rPr>
      </w:pPr>
    </w:p>
    <w:p w:rsidR="003F627B" w:rsidRPr="001C414E" w:rsidRDefault="003F627B" w:rsidP="003F627B">
      <w:pPr>
        <w:spacing w:after="0" w:line="240" w:lineRule="auto"/>
        <w:ind w:left="540"/>
        <w:jc w:val="both"/>
        <w:rPr>
          <w:rFonts w:ascii="Verdana" w:hAnsi="Verdana" w:cs="Verdana"/>
          <w:b/>
          <w:color w:val="7030A0"/>
          <w:sz w:val="20"/>
          <w:szCs w:val="20"/>
          <w:lang w:val="es-ES"/>
        </w:rPr>
      </w:pPr>
      <w:r>
        <w:rPr>
          <w:rFonts w:ascii="Verdana" w:hAnsi="Verdana"/>
          <w:b/>
          <w:i/>
          <w:sz w:val="20"/>
          <w:szCs w:val="20"/>
          <w:lang w:val="es-ES"/>
        </w:rPr>
        <w:t xml:space="preserve">C. </w:t>
      </w:r>
      <w:r w:rsidRPr="001C414E">
        <w:rPr>
          <w:rFonts w:ascii="Verdana" w:hAnsi="Verdana"/>
          <w:b/>
          <w:i/>
          <w:sz w:val="20"/>
          <w:szCs w:val="20"/>
          <w:lang w:val="es-ES"/>
        </w:rPr>
        <w:t xml:space="preserve">Respecto al señor </w:t>
      </w:r>
      <w:r>
        <w:rPr>
          <w:rFonts w:ascii="Verdana" w:hAnsi="Verdana" w:cs="Verdana"/>
          <w:b/>
          <w:i/>
          <w:sz w:val="20"/>
          <w:szCs w:val="20"/>
          <w:lang w:val="es-ES"/>
        </w:rPr>
        <w:t>Otoniel de la Roca y su</w:t>
      </w:r>
      <w:r w:rsidRPr="001C414E">
        <w:rPr>
          <w:rFonts w:ascii="Verdana" w:hAnsi="Verdana" w:cs="Verdana"/>
          <w:b/>
          <w:i/>
          <w:sz w:val="20"/>
          <w:szCs w:val="20"/>
          <w:lang w:val="es-ES"/>
        </w:rPr>
        <w:t xml:space="preserve"> familia</w:t>
      </w:r>
      <w:r w:rsidRPr="000D3C49">
        <w:rPr>
          <w:rStyle w:val="FootnoteReference"/>
          <w:rFonts w:ascii="Verdana" w:hAnsi="Verdana" w:cs="Verdana"/>
          <w:sz w:val="20"/>
          <w:szCs w:val="20"/>
          <w:lang w:val="es-ES"/>
        </w:rPr>
        <w:footnoteReference w:id="6"/>
      </w:r>
    </w:p>
    <w:p w:rsidR="003F627B" w:rsidRPr="001C414E" w:rsidRDefault="003F627B" w:rsidP="003F627B">
      <w:pPr>
        <w:autoSpaceDE w:val="0"/>
        <w:autoSpaceDN w:val="0"/>
        <w:adjustRightInd w:val="0"/>
        <w:spacing w:after="0" w:line="240" w:lineRule="auto"/>
        <w:jc w:val="both"/>
        <w:rPr>
          <w:rFonts w:ascii="Verdana" w:hAnsi="Verdana" w:cs="Verdana"/>
          <w:sz w:val="20"/>
          <w:szCs w:val="20"/>
          <w:lang w:val="es-ES"/>
        </w:rPr>
      </w:pPr>
    </w:p>
    <w:p w:rsidR="003F627B" w:rsidRPr="007E5691" w:rsidRDefault="003F627B" w:rsidP="00E5695F">
      <w:pPr>
        <w:pStyle w:val="ListParagraph"/>
        <w:numPr>
          <w:ilvl w:val="0"/>
          <w:numId w:val="34"/>
        </w:numPr>
        <w:tabs>
          <w:tab w:val="left" w:pos="90"/>
          <w:tab w:val="left" w:pos="180"/>
        </w:tabs>
        <w:spacing w:after="0" w:line="240" w:lineRule="auto"/>
        <w:ind w:left="0" w:firstLine="0"/>
        <w:jc w:val="both"/>
        <w:rPr>
          <w:rFonts w:ascii="Verdana" w:hAnsi="Verdana" w:cs="Verdana"/>
          <w:sz w:val="20"/>
          <w:szCs w:val="20"/>
          <w:lang w:val="es-ES"/>
        </w:rPr>
      </w:pPr>
      <w:r w:rsidRPr="007E5691">
        <w:rPr>
          <w:rFonts w:ascii="Verdana" w:hAnsi="Verdana" w:cs="Verdana"/>
          <w:sz w:val="20"/>
          <w:szCs w:val="20"/>
          <w:lang w:val="es-ES"/>
        </w:rPr>
        <w:t xml:space="preserve">En lo referente a la implementación de las medidas provisionales, </w:t>
      </w:r>
      <w:r w:rsidR="00356385" w:rsidRPr="007E5691">
        <w:rPr>
          <w:rFonts w:ascii="Verdana" w:hAnsi="Verdana" w:cs="Verdana"/>
          <w:sz w:val="20"/>
          <w:szCs w:val="20"/>
          <w:lang w:val="es-ES"/>
        </w:rPr>
        <w:t xml:space="preserve">en lo que es relevante, </w:t>
      </w:r>
      <w:r w:rsidRPr="007E5691">
        <w:rPr>
          <w:rFonts w:ascii="Verdana" w:hAnsi="Verdana" w:cs="Verdana"/>
          <w:sz w:val="20"/>
          <w:szCs w:val="20"/>
          <w:lang w:val="es-ES"/>
        </w:rPr>
        <w:t xml:space="preserve">el </w:t>
      </w:r>
      <w:r w:rsidRPr="007E5691">
        <w:rPr>
          <w:rFonts w:ascii="Verdana" w:hAnsi="Verdana" w:cs="Verdana"/>
          <w:b/>
          <w:i/>
          <w:sz w:val="20"/>
          <w:szCs w:val="20"/>
          <w:lang w:val="es-ES"/>
        </w:rPr>
        <w:t>Estado</w:t>
      </w:r>
      <w:r w:rsidRPr="007E5691">
        <w:rPr>
          <w:rFonts w:ascii="Verdana" w:hAnsi="Verdana" w:cs="Verdana"/>
          <w:sz w:val="20"/>
          <w:szCs w:val="20"/>
          <w:lang w:val="es-ES"/>
        </w:rPr>
        <w:t xml:space="preserve"> informó:</w:t>
      </w:r>
    </w:p>
    <w:p w:rsidR="003F627B" w:rsidRPr="007E5691" w:rsidRDefault="003F627B" w:rsidP="003F627B">
      <w:pPr>
        <w:pStyle w:val="ListParagraph"/>
        <w:tabs>
          <w:tab w:val="left" w:pos="90"/>
          <w:tab w:val="left" w:pos="180"/>
        </w:tabs>
        <w:spacing w:after="0" w:line="240" w:lineRule="auto"/>
        <w:jc w:val="both"/>
        <w:rPr>
          <w:rFonts w:ascii="Verdana" w:hAnsi="Verdana" w:cs="Verdana"/>
          <w:sz w:val="20"/>
          <w:szCs w:val="20"/>
          <w:lang w:val="es-ES"/>
        </w:rPr>
      </w:pPr>
    </w:p>
    <w:p w:rsidR="003F627B" w:rsidRPr="007E5691" w:rsidRDefault="003F627B" w:rsidP="003F627B">
      <w:pPr>
        <w:pStyle w:val="ListParagraph"/>
        <w:numPr>
          <w:ilvl w:val="0"/>
          <w:numId w:val="11"/>
        </w:numPr>
        <w:tabs>
          <w:tab w:val="left" w:pos="90"/>
          <w:tab w:val="left" w:pos="180"/>
        </w:tabs>
        <w:spacing w:after="0" w:line="240" w:lineRule="auto"/>
        <w:ind w:firstLine="0"/>
        <w:jc w:val="both"/>
        <w:rPr>
          <w:rFonts w:ascii="Verdana" w:hAnsi="Verdana" w:cs="Verdana"/>
          <w:sz w:val="20"/>
          <w:szCs w:val="20"/>
          <w:lang w:val="es-ES"/>
        </w:rPr>
      </w:pPr>
      <w:r w:rsidRPr="007E5691">
        <w:rPr>
          <w:rFonts w:ascii="Verdana" w:hAnsi="Verdana" w:cs="Verdana"/>
          <w:sz w:val="20"/>
          <w:szCs w:val="20"/>
          <w:lang w:val="es-ES"/>
        </w:rPr>
        <w:t xml:space="preserve">el 10 de febrero de 2012, que la familia de la Roca contaba con seguridad perimetral y números telefónicos de sede policial más cercana; </w:t>
      </w:r>
    </w:p>
    <w:p w:rsidR="003F627B" w:rsidRPr="007E5691" w:rsidRDefault="003F627B" w:rsidP="003F627B">
      <w:pPr>
        <w:pStyle w:val="ListParagraph"/>
        <w:numPr>
          <w:ilvl w:val="0"/>
          <w:numId w:val="11"/>
        </w:numPr>
        <w:tabs>
          <w:tab w:val="left" w:pos="90"/>
          <w:tab w:val="left" w:pos="180"/>
        </w:tabs>
        <w:spacing w:after="0" w:line="240" w:lineRule="auto"/>
        <w:ind w:firstLine="0"/>
        <w:jc w:val="both"/>
        <w:rPr>
          <w:rFonts w:ascii="Verdana" w:hAnsi="Verdana" w:cs="Verdana"/>
          <w:sz w:val="20"/>
          <w:szCs w:val="20"/>
          <w:lang w:val="es-ES"/>
        </w:rPr>
      </w:pPr>
      <w:r w:rsidRPr="007E5691">
        <w:rPr>
          <w:rFonts w:ascii="Verdana" w:hAnsi="Verdana" w:cs="Verdana"/>
          <w:sz w:val="20"/>
          <w:szCs w:val="20"/>
          <w:lang w:val="es-ES"/>
        </w:rPr>
        <w:t xml:space="preserve">el </w:t>
      </w:r>
      <w:r w:rsidRPr="007E5691">
        <w:rPr>
          <w:rFonts w:ascii="Verdana" w:hAnsi="Verdana"/>
          <w:sz w:val="20"/>
          <w:szCs w:val="20"/>
        </w:rPr>
        <w:t>26 de abril de 2016, que el 21 de enero de 2015, se realizó un estudio de riesgo a la familia de Otoniel de la Roca</w:t>
      </w:r>
      <w:r w:rsidR="00961024" w:rsidRPr="007E5691">
        <w:rPr>
          <w:rFonts w:ascii="Verdana" w:hAnsi="Verdana"/>
          <w:sz w:val="20"/>
          <w:szCs w:val="20"/>
        </w:rPr>
        <w:t xml:space="preserve">, y que </w:t>
      </w:r>
      <w:r w:rsidRPr="007E5691">
        <w:rPr>
          <w:rFonts w:ascii="Verdana" w:hAnsi="Verdana"/>
          <w:sz w:val="20"/>
          <w:szCs w:val="20"/>
        </w:rPr>
        <w:t>de acuerdo al mismo,</w:t>
      </w:r>
      <w:r w:rsidR="00961024" w:rsidRPr="007E5691">
        <w:rPr>
          <w:rFonts w:ascii="Verdana" w:hAnsi="Verdana"/>
          <w:sz w:val="20"/>
          <w:szCs w:val="20"/>
        </w:rPr>
        <w:t xml:space="preserve"> que no fue presentado a la Corte,</w:t>
      </w:r>
      <w:r w:rsidRPr="007E5691">
        <w:rPr>
          <w:rFonts w:ascii="Verdana" w:hAnsi="Verdana"/>
          <w:sz w:val="20"/>
          <w:szCs w:val="20"/>
        </w:rPr>
        <w:t xml:space="preserve"> la señora Lilian Amparo de la Roca Meléndez le había informado a los agentes </w:t>
      </w:r>
      <w:r w:rsidRPr="007E5691">
        <w:rPr>
          <w:rFonts w:ascii="Verdana" w:hAnsi="Verdana"/>
          <w:sz w:val="20"/>
          <w:szCs w:val="20"/>
        </w:rPr>
        <w:lastRenderedPageBreak/>
        <w:t xml:space="preserve">estatales que </w:t>
      </w:r>
      <w:r w:rsidR="007A7949" w:rsidRPr="007E5691">
        <w:rPr>
          <w:rFonts w:ascii="Verdana" w:hAnsi="Verdana"/>
          <w:sz w:val="20"/>
          <w:szCs w:val="20"/>
        </w:rPr>
        <w:t xml:space="preserve">Otoniel </w:t>
      </w:r>
      <w:r w:rsidRPr="007E5691">
        <w:rPr>
          <w:rFonts w:ascii="Verdana" w:hAnsi="Verdana"/>
          <w:sz w:val="20"/>
          <w:szCs w:val="20"/>
        </w:rPr>
        <w:t xml:space="preserve">de la Roca y Noelia Meléndez, sus padres, así como sus hermanos Aníbal y Kevin de la Roca, residían en Estados Unidos de América; </w:t>
      </w:r>
    </w:p>
    <w:p w:rsidR="003F627B" w:rsidRPr="007E5691" w:rsidRDefault="003F627B" w:rsidP="003F627B">
      <w:pPr>
        <w:pStyle w:val="ListParagraph"/>
        <w:numPr>
          <w:ilvl w:val="0"/>
          <w:numId w:val="11"/>
        </w:numPr>
        <w:spacing w:line="240" w:lineRule="auto"/>
        <w:ind w:firstLine="0"/>
        <w:jc w:val="both"/>
        <w:rPr>
          <w:rFonts w:ascii="Verdana" w:hAnsi="Verdana" w:cs="Verdana"/>
          <w:sz w:val="20"/>
          <w:szCs w:val="20"/>
          <w:lang w:val="es-ES"/>
        </w:rPr>
      </w:pPr>
      <w:r w:rsidRPr="007E5691">
        <w:rPr>
          <w:rFonts w:ascii="Verdana" w:hAnsi="Verdana"/>
          <w:sz w:val="20"/>
          <w:szCs w:val="20"/>
        </w:rPr>
        <w:t xml:space="preserve">el mismo 26 de abril de 2016, que el </w:t>
      </w:r>
      <w:r w:rsidRPr="007E5691">
        <w:rPr>
          <w:rFonts w:ascii="Verdana" w:hAnsi="Verdana" w:cs="Verdana"/>
          <w:sz w:val="20"/>
          <w:szCs w:val="20"/>
          <w:lang w:val="es-ES"/>
        </w:rPr>
        <w:t>22 de enero de 2015 se realizó una visita al domicilio de los beneficiarios José Pioquinto y Alex Javier, ambos de apellidos Álvarez Nájera, con la finalidad de realizar un estudio de riesgo</w:t>
      </w:r>
      <w:r w:rsidR="00961024" w:rsidRPr="007E5691">
        <w:rPr>
          <w:rFonts w:ascii="Verdana" w:hAnsi="Verdana" w:cs="Verdana"/>
          <w:sz w:val="20"/>
          <w:szCs w:val="20"/>
          <w:lang w:val="es-ES"/>
        </w:rPr>
        <w:t>, que no fue presentado a la Corte, y que los beneficiarios nombrados</w:t>
      </w:r>
      <w:r w:rsidRPr="007E5691">
        <w:rPr>
          <w:rFonts w:ascii="Verdana" w:hAnsi="Verdana" w:cs="Verdana"/>
          <w:sz w:val="20"/>
          <w:szCs w:val="20"/>
          <w:lang w:val="es-ES"/>
        </w:rPr>
        <w:t xml:space="preserve"> informa</w:t>
      </w:r>
      <w:r w:rsidR="00961024" w:rsidRPr="007E5691">
        <w:rPr>
          <w:rFonts w:ascii="Verdana" w:hAnsi="Verdana" w:cs="Verdana"/>
          <w:sz w:val="20"/>
          <w:szCs w:val="20"/>
          <w:lang w:val="es-ES"/>
        </w:rPr>
        <w:t>ron</w:t>
      </w:r>
      <w:r w:rsidRPr="007E5691">
        <w:rPr>
          <w:rFonts w:ascii="Verdana" w:hAnsi="Verdana" w:cs="Verdana"/>
          <w:sz w:val="20"/>
          <w:szCs w:val="20"/>
          <w:lang w:val="es-ES"/>
        </w:rPr>
        <w:t xml:space="preserve"> que Linda, Jacobo y Óscar Álvarez Nájera se encontraban residiendo en Estados Unidos de América</w:t>
      </w:r>
      <w:r w:rsidR="00961024" w:rsidRPr="007E5691">
        <w:rPr>
          <w:rFonts w:ascii="Verdana" w:hAnsi="Verdana" w:cs="Verdana"/>
          <w:sz w:val="20"/>
          <w:szCs w:val="20"/>
          <w:lang w:val="es-ES"/>
        </w:rPr>
        <w:t>,</w:t>
      </w:r>
      <w:r w:rsidRPr="007E5691">
        <w:rPr>
          <w:rFonts w:ascii="Verdana" w:hAnsi="Verdana" w:cs="Verdana"/>
          <w:sz w:val="20"/>
          <w:szCs w:val="20"/>
          <w:lang w:val="es-ES"/>
        </w:rPr>
        <w:t xml:space="preserve"> que Aracely Álvarez Nájera residía en El Salvador y que sus sobrinos, Wendy, Sulni Madeli y José Oswaldo Pérez Álvarez se encontraban viviendo en Estados Unidos de América. El Estado solicitó que la Corte tomara “las medidas que consider[ara] pertinentes” debido a la “imposibilidad material del Estado de implementar medidas de seguridad” con respecto a los beneficiarios que se residen fuera de Guatemala</w:t>
      </w:r>
      <w:r w:rsidR="005B080E" w:rsidRPr="007E5691">
        <w:rPr>
          <w:rStyle w:val="FootnoteReference"/>
          <w:rFonts w:ascii="Verdana" w:hAnsi="Verdana" w:cs="Verdana"/>
          <w:sz w:val="20"/>
          <w:szCs w:val="20"/>
          <w:lang w:val="es-ES"/>
        </w:rPr>
        <w:footnoteReference w:id="7"/>
      </w:r>
      <w:r w:rsidR="002102B7" w:rsidRPr="007E5691">
        <w:rPr>
          <w:rFonts w:ascii="Verdana" w:hAnsi="Verdana" w:cs="Verdana"/>
          <w:sz w:val="20"/>
          <w:szCs w:val="20"/>
          <w:lang w:val="es-ES"/>
        </w:rPr>
        <w:t>.</w:t>
      </w:r>
    </w:p>
    <w:p w:rsidR="003F627B" w:rsidRPr="005E63C3" w:rsidRDefault="003F627B" w:rsidP="003F627B">
      <w:pPr>
        <w:pStyle w:val="ListParagraph"/>
        <w:spacing w:line="240" w:lineRule="auto"/>
        <w:rPr>
          <w:rFonts w:ascii="Verdana" w:hAnsi="Verdana" w:cs="Verdana"/>
          <w:sz w:val="20"/>
          <w:szCs w:val="20"/>
          <w:lang w:val="es-ES"/>
        </w:rPr>
      </w:pPr>
    </w:p>
    <w:p w:rsidR="003F627B" w:rsidRPr="005E63C3" w:rsidRDefault="003F627B" w:rsidP="00E5695F">
      <w:pPr>
        <w:pStyle w:val="ListParagraph"/>
        <w:numPr>
          <w:ilvl w:val="0"/>
          <w:numId w:val="34"/>
        </w:numPr>
        <w:tabs>
          <w:tab w:val="left" w:pos="90"/>
          <w:tab w:val="left" w:pos="180"/>
        </w:tabs>
        <w:spacing w:after="0" w:line="240" w:lineRule="auto"/>
        <w:ind w:left="0" w:firstLine="0"/>
        <w:jc w:val="both"/>
        <w:rPr>
          <w:rFonts w:ascii="Verdana" w:hAnsi="Verdana" w:cs="Verdana"/>
          <w:sz w:val="20"/>
          <w:szCs w:val="20"/>
          <w:lang w:val="es-ES"/>
        </w:rPr>
      </w:pPr>
      <w:r w:rsidRPr="005E63C3">
        <w:rPr>
          <w:rFonts w:ascii="Verdana" w:hAnsi="Verdana" w:cs="Verdana"/>
          <w:sz w:val="20"/>
          <w:szCs w:val="20"/>
          <w:lang w:val="es-ES"/>
        </w:rPr>
        <w:t xml:space="preserve">Los </w:t>
      </w:r>
      <w:r w:rsidRPr="005E63C3">
        <w:rPr>
          <w:rFonts w:ascii="Verdana" w:hAnsi="Verdana" w:cs="Verdana"/>
          <w:b/>
          <w:i/>
          <w:sz w:val="20"/>
          <w:szCs w:val="20"/>
          <w:lang w:val="es-ES"/>
        </w:rPr>
        <w:t>representantes</w:t>
      </w:r>
      <w:r w:rsidRPr="005E63C3">
        <w:rPr>
          <w:rFonts w:ascii="Verdana" w:hAnsi="Verdana" w:cs="Verdana"/>
          <w:sz w:val="20"/>
          <w:szCs w:val="20"/>
          <w:lang w:val="es-ES"/>
        </w:rPr>
        <w:t xml:space="preserve"> indicaron, </w:t>
      </w:r>
      <w:r w:rsidR="00FF2873" w:rsidRPr="005E63C3">
        <w:rPr>
          <w:rFonts w:ascii="Verdana" w:hAnsi="Verdana" w:cstheme="minorHAnsi"/>
          <w:sz w:val="20"/>
          <w:szCs w:val="20"/>
          <w:lang w:val="es-ES"/>
        </w:rPr>
        <w:t>entre otros</w:t>
      </w:r>
      <w:r w:rsidR="002102B7" w:rsidRPr="005E63C3">
        <w:rPr>
          <w:rFonts w:ascii="Verdana" w:hAnsi="Verdana" w:cstheme="minorHAnsi"/>
          <w:sz w:val="20"/>
          <w:szCs w:val="20"/>
          <w:lang w:val="es-ES"/>
        </w:rPr>
        <w:t xml:space="preserve"> señalamientos</w:t>
      </w:r>
      <w:r w:rsidRPr="005E63C3">
        <w:rPr>
          <w:rFonts w:ascii="Verdana" w:hAnsi="Verdana" w:cs="Verdana"/>
          <w:sz w:val="20"/>
          <w:szCs w:val="20"/>
          <w:lang w:val="es-ES"/>
        </w:rPr>
        <w:t xml:space="preserve">: </w:t>
      </w:r>
    </w:p>
    <w:p w:rsidR="003F627B" w:rsidRPr="005E63C3" w:rsidRDefault="003F627B" w:rsidP="003F627B">
      <w:pPr>
        <w:pStyle w:val="ListParagraph"/>
        <w:spacing w:after="0" w:line="240" w:lineRule="auto"/>
        <w:ind w:left="0"/>
        <w:jc w:val="both"/>
        <w:rPr>
          <w:rFonts w:ascii="Verdana" w:hAnsi="Verdana" w:cstheme="minorHAnsi"/>
          <w:sz w:val="20"/>
          <w:szCs w:val="20"/>
          <w:lang w:val="es-ES"/>
        </w:rPr>
      </w:pPr>
    </w:p>
    <w:p w:rsidR="003F627B" w:rsidRPr="005E63C3" w:rsidRDefault="003F627B" w:rsidP="003F627B">
      <w:pPr>
        <w:pStyle w:val="ListParagraph"/>
        <w:numPr>
          <w:ilvl w:val="0"/>
          <w:numId w:val="12"/>
        </w:numPr>
        <w:spacing w:after="0" w:line="240" w:lineRule="auto"/>
        <w:ind w:firstLine="0"/>
        <w:jc w:val="both"/>
        <w:rPr>
          <w:rFonts w:ascii="Verdana" w:hAnsi="Verdana" w:cstheme="minorHAnsi"/>
          <w:sz w:val="20"/>
          <w:szCs w:val="20"/>
          <w:lang w:val="es-ES"/>
        </w:rPr>
      </w:pPr>
      <w:r w:rsidRPr="005E63C3">
        <w:rPr>
          <w:rFonts w:ascii="Verdana" w:hAnsi="Verdana"/>
          <w:sz w:val="20"/>
          <w:szCs w:val="20"/>
        </w:rPr>
        <w:t>el 27 de mayo de 2015, que la señora Blanca Noelia Meléndez informaba que había “constatado que los patrullajes perimetrales no se cumpl[ían] en absoluto”;</w:t>
      </w:r>
    </w:p>
    <w:p w:rsidR="003F627B" w:rsidRPr="005E63C3" w:rsidRDefault="003F627B" w:rsidP="000D3C49">
      <w:pPr>
        <w:pStyle w:val="ListParagraph"/>
        <w:numPr>
          <w:ilvl w:val="0"/>
          <w:numId w:val="12"/>
        </w:numPr>
        <w:spacing w:after="0" w:line="240" w:lineRule="auto"/>
        <w:ind w:firstLine="0"/>
        <w:jc w:val="both"/>
        <w:rPr>
          <w:rFonts w:ascii="Verdana" w:hAnsi="Verdana"/>
          <w:b/>
          <w:sz w:val="20"/>
          <w:szCs w:val="20"/>
        </w:rPr>
      </w:pPr>
      <w:r w:rsidRPr="005E63C3">
        <w:rPr>
          <w:rFonts w:ascii="Verdana" w:hAnsi="Verdana"/>
          <w:sz w:val="20"/>
          <w:szCs w:val="20"/>
        </w:rPr>
        <w:t>el 2 de junio de 2016, que se contactaron con Lilian Amparo de la Roca Meléndez, hija de Blanca Noelia, quien manifestó que no sabían si había seguridad perimetral en su domicilio, que comp</w:t>
      </w:r>
      <w:r w:rsidR="00A719FF" w:rsidRPr="005E63C3">
        <w:rPr>
          <w:rFonts w:ascii="Verdana" w:hAnsi="Verdana"/>
          <w:sz w:val="20"/>
          <w:szCs w:val="20"/>
        </w:rPr>
        <w:t>ar</w:t>
      </w:r>
      <w:r w:rsidRPr="005E63C3">
        <w:rPr>
          <w:rFonts w:ascii="Verdana" w:hAnsi="Verdana"/>
          <w:sz w:val="20"/>
          <w:szCs w:val="20"/>
        </w:rPr>
        <w:t>tía con su madre, pues las patrullas no se identificaban. Además, destacó que hacía más de un año que la COPREDEH no las contactaba</w:t>
      </w:r>
      <w:r w:rsidR="003C3FAB" w:rsidRPr="005E63C3">
        <w:rPr>
          <w:rFonts w:ascii="Verdana" w:hAnsi="Verdana" w:cs="Verdana"/>
          <w:sz w:val="20"/>
          <w:szCs w:val="20"/>
          <w:lang w:val="es-ES"/>
        </w:rPr>
        <w:t>. Asimismo, confirmaron que</w:t>
      </w:r>
      <w:r w:rsidRPr="005E63C3">
        <w:rPr>
          <w:rFonts w:ascii="Verdana" w:hAnsi="Verdana" w:cs="Verdana"/>
          <w:sz w:val="20"/>
          <w:szCs w:val="20"/>
          <w:lang w:val="es-ES"/>
        </w:rPr>
        <w:t xml:space="preserve"> Wendy, Sulni Madeli, José Oswaldo todos de apellido Pérez Álvarez, así como Linda, Jacobo y Óscar</w:t>
      </w:r>
      <w:r w:rsidR="003C3FAB" w:rsidRPr="005E63C3">
        <w:rPr>
          <w:rFonts w:ascii="Verdana" w:hAnsi="Verdana" w:cs="Verdana"/>
          <w:sz w:val="20"/>
          <w:szCs w:val="20"/>
          <w:lang w:val="es-ES"/>
        </w:rPr>
        <w:t>,</w:t>
      </w:r>
      <w:r w:rsidRPr="005E63C3">
        <w:rPr>
          <w:rFonts w:ascii="Verdana" w:hAnsi="Verdana" w:cs="Verdana"/>
          <w:sz w:val="20"/>
          <w:szCs w:val="20"/>
          <w:lang w:val="es-ES"/>
        </w:rPr>
        <w:t xml:space="preserve"> de apellido Álvarez, y el señor Otoniel de la Roca y sus hijos German Aníbal y Kevin Otoniel, se encontraban fuera de Guatemala. También informaron que según el señor Otoniel de la Roca, dichas personas habían salido “debido al riesgo al que se expondrían al regresar a su país” y que</w:t>
      </w:r>
      <w:r w:rsidRPr="005E63C3">
        <w:rPr>
          <w:rFonts w:ascii="Verdana" w:hAnsi="Verdana" w:cs="Verdana"/>
          <w:b/>
          <w:sz w:val="20"/>
          <w:szCs w:val="20"/>
          <w:lang w:val="es-ES"/>
        </w:rPr>
        <w:t xml:space="preserve"> </w:t>
      </w:r>
      <w:r w:rsidRPr="005E63C3">
        <w:rPr>
          <w:rFonts w:ascii="Verdana" w:hAnsi="Verdana" w:cs="Verdana"/>
          <w:sz w:val="20"/>
          <w:szCs w:val="20"/>
          <w:lang w:val="es-ES"/>
        </w:rPr>
        <w:t>la señora Blanca Noelia Meléndez permanecía en Guatemala.</w:t>
      </w:r>
    </w:p>
    <w:p w:rsidR="003F627B" w:rsidRPr="005E63C3" w:rsidRDefault="003F627B" w:rsidP="003F627B">
      <w:pPr>
        <w:pStyle w:val="ListParagraph"/>
        <w:spacing w:after="0" w:line="240" w:lineRule="auto"/>
        <w:ind w:left="450"/>
        <w:jc w:val="both"/>
        <w:rPr>
          <w:rFonts w:ascii="Verdana" w:hAnsi="Verdana" w:cstheme="minorHAnsi"/>
          <w:sz w:val="20"/>
          <w:szCs w:val="20"/>
          <w:lang w:val="es-ES"/>
        </w:rPr>
      </w:pPr>
    </w:p>
    <w:p w:rsidR="003F627B" w:rsidRPr="005E63C3" w:rsidRDefault="003F627B" w:rsidP="00E5695F">
      <w:pPr>
        <w:pStyle w:val="ListParagraph"/>
        <w:numPr>
          <w:ilvl w:val="0"/>
          <w:numId w:val="34"/>
        </w:numPr>
        <w:autoSpaceDE w:val="0"/>
        <w:autoSpaceDN w:val="0"/>
        <w:adjustRightInd w:val="0"/>
        <w:spacing w:after="0" w:line="240" w:lineRule="auto"/>
        <w:ind w:left="0" w:firstLine="0"/>
        <w:jc w:val="both"/>
        <w:rPr>
          <w:rFonts w:ascii="Verdana" w:hAnsi="Verdana" w:cstheme="minorHAnsi"/>
          <w:sz w:val="20"/>
          <w:szCs w:val="20"/>
        </w:rPr>
      </w:pPr>
      <w:r w:rsidRPr="005E63C3">
        <w:rPr>
          <w:rFonts w:ascii="Verdana" w:hAnsi="Verdana" w:cstheme="minorHAnsi"/>
          <w:sz w:val="20"/>
          <w:szCs w:val="20"/>
          <w:lang w:val="es-ES"/>
        </w:rPr>
        <w:t xml:space="preserve">En sus observaciones de 23 de abril de 2009, la </w:t>
      </w:r>
      <w:r w:rsidRPr="005E63C3">
        <w:rPr>
          <w:rFonts w:ascii="Verdana" w:hAnsi="Verdana" w:cstheme="minorHAnsi"/>
          <w:b/>
          <w:i/>
          <w:sz w:val="20"/>
          <w:szCs w:val="20"/>
          <w:lang w:val="es-ES"/>
        </w:rPr>
        <w:t>Comisión</w:t>
      </w:r>
      <w:r w:rsidRPr="005E63C3">
        <w:rPr>
          <w:rFonts w:ascii="Verdana" w:hAnsi="Verdana" w:cstheme="minorHAnsi"/>
          <w:sz w:val="20"/>
          <w:szCs w:val="20"/>
          <w:lang w:val="es-ES"/>
        </w:rPr>
        <w:t xml:space="preserve"> indicó que valoraba la “disposición de coordinar la implementación de las medidas” con los beneficiarios, sin embargo, consideró que “estas no se ha[bían] implementado con cabalidad”</w:t>
      </w:r>
      <w:r w:rsidRPr="005E63C3">
        <w:rPr>
          <w:rFonts w:ascii="Verdana" w:hAnsi="Verdana" w:cs="Verdana"/>
          <w:sz w:val="20"/>
          <w:szCs w:val="20"/>
          <w:lang w:val="es-ES"/>
        </w:rPr>
        <w:t xml:space="preserve">. </w:t>
      </w:r>
      <w:r w:rsidRPr="005E63C3">
        <w:rPr>
          <w:rFonts w:ascii="Verdana" w:hAnsi="Verdana" w:cstheme="minorHAnsi"/>
          <w:sz w:val="20"/>
          <w:szCs w:val="20"/>
        </w:rPr>
        <w:t>La Comisión hizo referencia a los beneficiarios de forma general (</w:t>
      </w:r>
      <w:r w:rsidRPr="005E63C3">
        <w:rPr>
          <w:rFonts w:ascii="Verdana" w:hAnsi="Verdana" w:cstheme="minorHAnsi"/>
          <w:i/>
          <w:sz w:val="20"/>
          <w:szCs w:val="20"/>
        </w:rPr>
        <w:t>supra</w:t>
      </w:r>
      <w:r w:rsidRPr="005E63C3">
        <w:rPr>
          <w:rFonts w:ascii="Verdana" w:hAnsi="Verdana" w:cstheme="minorHAnsi"/>
          <w:sz w:val="20"/>
          <w:szCs w:val="20"/>
        </w:rPr>
        <w:t xml:space="preserve"> </w:t>
      </w:r>
      <w:r w:rsidR="00691DE2" w:rsidRPr="005E63C3">
        <w:rPr>
          <w:rFonts w:ascii="Verdana" w:hAnsi="Verdana" w:cstheme="minorHAnsi"/>
          <w:sz w:val="20"/>
          <w:szCs w:val="20"/>
        </w:rPr>
        <w:t>nota a pie de página 4</w:t>
      </w:r>
      <w:r w:rsidR="00F5010A" w:rsidRPr="005E63C3">
        <w:rPr>
          <w:rFonts w:ascii="Verdana" w:hAnsi="Verdana" w:cstheme="minorHAnsi"/>
          <w:sz w:val="20"/>
          <w:szCs w:val="20"/>
        </w:rPr>
        <w:t>).</w:t>
      </w:r>
    </w:p>
    <w:p w:rsidR="003F627B" w:rsidRPr="001C414E" w:rsidRDefault="003F627B" w:rsidP="00F0759D">
      <w:pPr>
        <w:spacing w:after="0" w:line="240" w:lineRule="auto"/>
        <w:jc w:val="both"/>
        <w:rPr>
          <w:rFonts w:ascii="Verdana" w:hAnsi="Verdana" w:cstheme="minorHAnsi"/>
          <w:sz w:val="20"/>
          <w:szCs w:val="20"/>
          <w:lang w:val="es-ES"/>
        </w:rPr>
      </w:pPr>
    </w:p>
    <w:p w:rsidR="003F627B" w:rsidRPr="004E2D81" w:rsidRDefault="003F627B" w:rsidP="00E5695F">
      <w:pPr>
        <w:pStyle w:val="ListParagraph"/>
        <w:numPr>
          <w:ilvl w:val="0"/>
          <w:numId w:val="34"/>
        </w:numPr>
        <w:spacing w:after="0" w:line="240" w:lineRule="auto"/>
        <w:ind w:left="0" w:firstLine="0"/>
        <w:jc w:val="both"/>
        <w:rPr>
          <w:rFonts w:ascii="Verdana" w:hAnsi="Verdana" w:cs="Verdana"/>
          <w:sz w:val="20"/>
          <w:szCs w:val="20"/>
          <w:lang w:val="es-ES"/>
        </w:rPr>
      </w:pPr>
      <w:r w:rsidRPr="0084658A">
        <w:rPr>
          <w:rFonts w:ascii="Verdana" w:hAnsi="Verdana" w:cstheme="minorHAnsi"/>
          <w:sz w:val="20"/>
          <w:szCs w:val="20"/>
          <w:lang w:val="es-ES"/>
        </w:rPr>
        <w:t xml:space="preserve">En cuanto a </w:t>
      </w:r>
      <w:r>
        <w:rPr>
          <w:rFonts w:ascii="Verdana" w:hAnsi="Verdana" w:cstheme="minorHAnsi"/>
          <w:sz w:val="20"/>
          <w:szCs w:val="20"/>
          <w:lang w:val="es-ES"/>
        </w:rPr>
        <w:t>la situación</w:t>
      </w:r>
      <w:r w:rsidRPr="0084658A">
        <w:rPr>
          <w:rFonts w:ascii="Verdana" w:hAnsi="Verdana" w:cstheme="minorHAnsi"/>
          <w:sz w:val="20"/>
          <w:szCs w:val="20"/>
          <w:lang w:val="es-ES"/>
        </w:rPr>
        <w:t xml:space="preserve"> de dichos beneficiarios, el </w:t>
      </w:r>
      <w:r w:rsidRPr="0084658A">
        <w:rPr>
          <w:rFonts w:ascii="Verdana" w:hAnsi="Verdana" w:cstheme="minorHAnsi"/>
          <w:b/>
          <w:i/>
          <w:sz w:val="20"/>
          <w:szCs w:val="20"/>
          <w:lang w:val="es-ES"/>
        </w:rPr>
        <w:t xml:space="preserve">Estado </w:t>
      </w:r>
      <w:r w:rsidRPr="0084658A">
        <w:rPr>
          <w:rFonts w:ascii="Verdana" w:hAnsi="Verdana" w:cstheme="minorHAnsi"/>
          <w:sz w:val="20"/>
          <w:szCs w:val="20"/>
          <w:lang w:val="es-ES"/>
        </w:rPr>
        <w:t xml:space="preserve">informó, </w:t>
      </w:r>
      <w:r w:rsidR="00A719FF">
        <w:rPr>
          <w:rFonts w:ascii="Verdana" w:hAnsi="Verdana" w:cstheme="minorHAnsi"/>
          <w:sz w:val="20"/>
          <w:szCs w:val="20"/>
          <w:lang w:val="es-ES"/>
        </w:rPr>
        <w:t>entre otros</w:t>
      </w:r>
      <w:r>
        <w:rPr>
          <w:rFonts w:ascii="Verdana" w:hAnsi="Verdana" w:cstheme="minorHAnsi"/>
          <w:sz w:val="20"/>
          <w:szCs w:val="20"/>
          <w:lang w:val="es-ES"/>
        </w:rPr>
        <w:t>:</w:t>
      </w:r>
      <w:r w:rsidRPr="0084658A">
        <w:rPr>
          <w:rFonts w:ascii="Verdana" w:hAnsi="Verdana" w:cstheme="minorHAnsi"/>
          <w:sz w:val="20"/>
          <w:szCs w:val="20"/>
          <w:lang w:val="es-ES"/>
        </w:rPr>
        <w:t xml:space="preserve"> </w:t>
      </w:r>
    </w:p>
    <w:p w:rsidR="003F627B" w:rsidRPr="004E2D81" w:rsidRDefault="003F627B" w:rsidP="00E5695F">
      <w:pPr>
        <w:pStyle w:val="ListParagraph"/>
        <w:spacing w:line="240" w:lineRule="auto"/>
        <w:ind w:left="0"/>
        <w:rPr>
          <w:rFonts w:ascii="Verdana" w:hAnsi="Verdana"/>
          <w:sz w:val="20"/>
          <w:szCs w:val="20"/>
          <w:lang w:val="es-ES"/>
        </w:rPr>
      </w:pPr>
    </w:p>
    <w:p w:rsidR="003F627B" w:rsidRPr="000D3C49" w:rsidRDefault="003F627B" w:rsidP="0003786D">
      <w:pPr>
        <w:pStyle w:val="ListParagraph"/>
        <w:numPr>
          <w:ilvl w:val="0"/>
          <w:numId w:val="24"/>
        </w:numPr>
        <w:spacing w:after="0" w:line="240" w:lineRule="auto"/>
        <w:ind w:firstLine="0"/>
        <w:jc w:val="both"/>
        <w:rPr>
          <w:rFonts w:ascii="Verdana" w:hAnsi="Verdana" w:cs="Verdana"/>
          <w:sz w:val="20"/>
          <w:szCs w:val="20"/>
          <w:lang w:val="es-ES"/>
        </w:rPr>
      </w:pPr>
      <w:r w:rsidRPr="000D3C49">
        <w:rPr>
          <w:rFonts w:ascii="Verdana" w:hAnsi="Verdana" w:cs="Verdana"/>
          <w:sz w:val="20"/>
          <w:szCs w:val="20"/>
          <w:lang w:val="es-ES"/>
        </w:rPr>
        <w:t>el 18 de septiembre de 2009, que el 13 de julio de 2009 Germán Aníbal de la Roca había reportado que ocho meses antes, había sido embestido por un vehículo, y</w:t>
      </w:r>
    </w:p>
    <w:p w:rsidR="003F627B" w:rsidRPr="001C414E" w:rsidRDefault="003F627B" w:rsidP="000D3C49">
      <w:pPr>
        <w:pStyle w:val="ListParagraph"/>
        <w:numPr>
          <w:ilvl w:val="0"/>
          <w:numId w:val="24"/>
        </w:numPr>
        <w:spacing w:after="0" w:line="240" w:lineRule="auto"/>
        <w:ind w:hanging="11"/>
        <w:jc w:val="both"/>
        <w:rPr>
          <w:rFonts w:ascii="Verdana" w:hAnsi="Verdana" w:cs="Verdana"/>
          <w:sz w:val="20"/>
          <w:szCs w:val="20"/>
          <w:lang w:val="es-ES"/>
        </w:rPr>
      </w:pPr>
      <w:r w:rsidRPr="0084658A">
        <w:rPr>
          <w:rFonts w:ascii="Verdana" w:hAnsi="Verdana"/>
          <w:sz w:val="20"/>
          <w:szCs w:val="20"/>
        </w:rPr>
        <w:t xml:space="preserve">el 26 de abril de 2016, </w:t>
      </w:r>
      <w:r w:rsidRPr="0084658A">
        <w:rPr>
          <w:rFonts w:ascii="Verdana" w:hAnsi="Verdana" w:cs="Verdana"/>
          <w:sz w:val="20"/>
          <w:szCs w:val="20"/>
          <w:lang w:val="es-ES"/>
        </w:rPr>
        <w:t xml:space="preserve">que durante el estudio de riesgo realizado a Alex Javier y José Pioquinto, ambos expresaron que no habían sido víctimas de amenazas en los últimos 12 meses, por lo que el estudio concluyó su nivel de riesgo como “bajo”. </w:t>
      </w:r>
      <w:r w:rsidR="004B36BD">
        <w:rPr>
          <w:rFonts w:ascii="Verdana" w:hAnsi="Verdana" w:cs="Verdana"/>
          <w:sz w:val="20"/>
          <w:szCs w:val="20"/>
          <w:lang w:val="es-ES"/>
        </w:rPr>
        <w:t xml:space="preserve">Asimismo, </w:t>
      </w:r>
      <w:r w:rsidR="004B36BD" w:rsidRPr="004B36BD">
        <w:rPr>
          <w:rFonts w:ascii="Verdana" w:hAnsi="Verdana" w:cs="Verdana"/>
          <w:sz w:val="20"/>
          <w:szCs w:val="20"/>
          <w:lang w:val="es-ES"/>
        </w:rPr>
        <w:t xml:space="preserve">que el 21 de enero de 2015 agentes </w:t>
      </w:r>
      <w:r w:rsidR="004B36BD">
        <w:rPr>
          <w:rFonts w:ascii="Verdana" w:hAnsi="Verdana" w:cs="Verdana"/>
          <w:sz w:val="20"/>
          <w:szCs w:val="20"/>
          <w:lang w:val="es-ES"/>
        </w:rPr>
        <w:t>estatales</w:t>
      </w:r>
      <w:r w:rsidR="004B36BD" w:rsidRPr="004B36BD">
        <w:rPr>
          <w:rFonts w:ascii="Verdana" w:hAnsi="Verdana" w:cs="Verdana"/>
          <w:sz w:val="20"/>
          <w:szCs w:val="20"/>
          <w:lang w:val="es-ES"/>
        </w:rPr>
        <w:t xml:space="preserve"> se presentaron en la vivienda del señor </w:t>
      </w:r>
      <w:r w:rsidR="004B36BD">
        <w:rPr>
          <w:rFonts w:ascii="Verdana" w:hAnsi="Verdana" w:cs="Verdana"/>
          <w:sz w:val="20"/>
          <w:szCs w:val="20"/>
          <w:lang w:val="es-ES"/>
        </w:rPr>
        <w:t xml:space="preserve">Germán </w:t>
      </w:r>
      <w:r w:rsidR="004B36BD" w:rsidRPr="004B36BD">
        <w:rPr>
          <w:rFonts w:ascii="Verdana" w:hAnsi="Verdana" w:cs="Verdana"/>
          <w:sz w:val="20"/>
          <w:szCs w:val="20"/>
          <w:lang w:val="es-ES"/>
        </w:rPr>
        <w:t xml:space="preserve">Aníbal </w:t>
      </w:r>
      <w:r w:rsidR="004B36BD">
        <w:rPr>
          <w:rFonts w:ascii="Verdana" w:hAnsi="Verdana" w:cs="Verdana"/>
          <w:sz w:val="20"/>
          <w:szCs w:val="20"/>
          <w:lang w:val="es-ES"/>
        </w:rPr>
        <w:t xml:space="preserve">de la Roca, </w:t>
      </w:r>
      <w:r w:rsidR="004B36BD" w:rsidRPr="004B36BD">
        <w:rPr>
          <w:rFonts w:ascii="Verdana" w:hAnsi="Verdana" w:cs="Verdana"/>
          <w:sz w:val="20"/>
          <w:szCs w:val="20"/>
          <w:lang w:val="es-ES"/>
        </w:rPr>
        <w:t>para realizar una entrevista a él y sus familiares</w:t>
      </w:r>
      <w:r w:rsidR="004B36BD">
        <w:rPr>
          <w:rFonts w:ascii="Verdana" w:hAnsi="Verdana" w:cs="Verdana"/>
          <w:sz w:val="20"/>
          <w:szCs w:val="20"/>
          <w:lang w:val="es-ES"/>
        </w:rPr>
        <w:t>,</w:t>
      </w:r>
      <w:r w:rsidR="004B36BD" w:rsidRPr="004B36BD">
        <w:rPr>
          <w:rFonts w:ascii="Verdana" w:hAnsi="Verdana" w:cs="Verdana"/>
          <w:sz w:val="20"/>
          <w:szCs w:val="20"/>
          <w:lang w:val="es-ES"/>
        </w:rPr>
        <w:t xml:space="preserve"> necesaria para el análisis de riesgo</w:t>
      </w:r>
      <w:r w:rsidR="004B36BD">
        <w:rPr>
          <w:rFonts w:ascii="Verdana" w:hAnsi="Verdana" w:cs="Verdana"/>
          <w:sz w:val="20"/>
          <w:szCs w:val="20"/>
          <w:lang w:val="es-ES"/>
        </w:rPr>
        <w:t>, y que</w:t>
      </w:r>
      <w:r w:rsidR="004B36BD" w:rsidRPr="004B36BD">
        <w:rPr>
          <w:rFonts w:ascii="Verdana" w:hAnsi="Verdana" w:cs="Verdana"/>
          <w:sz w:val="20"/>
          <w:szCs w:val="20"/>
          <w:lang w:val="es-ES"/>
        </w:rPr>
        <w:t xml:space="preserve"> fueron atendidos por </w:t>
      </w:r>
      <w:r w:rsidR="004B36BD">
        <w:rPr>
          <w:rFonts w:ascii="Verdana" w:hAnsi="Verdana" w:cs="Verdana"/>
          <w:sz w:val="20"/>
          <w:szCs w:val="20"/>
          <w:lang w:val="es-ES"/>
        </w:rPr>
        <w:t>su</w:t>
      </w:r>
      <w:r w:rsidR="004B36BD" w:rsidRPr="004B36BD">
        <w:rPr>
          <w:rFonts w:ascii="Verdana" w:hAnsi="Verdana" w:cs="Verdana"/>
          <w:sz w:val="20"/>
          <w:szCs w:val="20"/>
          <w:lang w:val="es-ES"/>
        </w:rPr>
        <w:t xml:space="preserve"> hermana y </w:t>
      </w:r>
      <w:r w:rsidR="004B36BD">
        <w:rPr>
          <w:rFonts w:ascii="Verdana" w:hAnsi="Verdana" w:cs="Verdana"/>
          <w:sz w:val="20"/>
          <w:szCs w:val="20"/>
          <w:lang w:val="es-ES"/>
        </w:rPr>
        <w:t>su</w:t>
      </w:r>
      <w:r w:rsidR="004B36BD" w:rsidRPr="004B36BD">
        <w:rPr>
          <w:rFonts w:ascii="Verdana" w:hAnsi="Verdana" w:cs="Verdana"/>
          <w:sz w:val="20"/>
          <w:szCs w:val="20"/>
          <w:lang w:val="es-ES"/>
        </w:rPr>
        <w:t xml:space="preserve"> hija, quienes indicaron que sus padres y hermanos se encontraban en los Estados Unidos de América </w:t>
      </w:r>
    </w:p>
    <w:p w:rsidR="003F627B" w:rsidRDefault="003F627B" w:rsidP="00E5695F">
      <w:pPr>
        <w:pStyle w:val="ListParagraph"/>
        <w:tabs>
          <w:tab w:val="left" w:pos="90"/>
          <w:tab w:val="left" w:pos="180"/>
        </w:tabs>
        <w:spacing w:after="0" w:line="240" w:lineRule="auto"/>
        <w:ind w:left="0"/>
        <w:jc w:val="both"/>
        <w:rPr>
          <w:rFonts w:ascii="Verdana" w:hAnsi="Verdana" w:cs="Verdana"/>
          <w:sz w:val="20"/>
          <w:szCs w:val="20"/>
          <w:lang w:val="es-ES"/>
        </w:rPr>
      </w:pPr>
    </w:p>
    <w:p w:rsidR="003F627B" w:rsidRPr="000D3C49" w:rsidRDefault="003F627B" w:rsidP="00E5695F">
      <w:pPr>
        <w:pStyle w:val="ListParagraph"/>
        <w:numPr>
          <w:ilvl w:val="0"/>
          <w:numId w:val="34"/>
        </w:numPr>
        <w:tabs>
          <w:tab w:val="left" w:pos="90"/>
          <w:tab w:val="left" w:pos="180"/>
        </w:tabs>
        <w:spacing w:after="0" w:line="240" w:lineRule="auto"/>
        <w:ind w:left="0" w:firstLine="0"/>
        <w:jc w:val="both"/>
        <w:rPr>
          <w:rFonts w:ascii="Verdana" w:hAnsi="Verdana" w:cs="Verdana"/>
          <w:sz w:val="20"/>
          <w:szCs w:val="20"/>
          <w:lang w:val="es-ES"/>
        </w:rPr>
      </w:pPr>
      <w:r w:rsidRPr="001C414E">
        <w:rPr>
          <w:rFonts w:ascii="Verdana" w:hAnsi="Verdana" w:cs="Verdana"/>
          <w:sz w:val="20"/>
          <w:szCs w:val="20"/>
          <w:lang w:val="es-ES"/>
        </w:rPr>
        <w:t xml:space="preserve">Al respecto, los </w:t>
      </w:r>
      <w:r w:rsidRPr="005A050C">
        <w:rPr>
          <w:rFonts w:ascii="Verdana" w:hAnsi="Verdana" w:cs="Verdana"/>
          <w:b/>
          <w:i/>
          <w:sz w:val="20"/>
          <w:szCs w:val="20"/>
          <w:lang w:val="es-ES"/>
        </w:rPr>
        <w:t>representantes</w:t>
      </w:r>
      <w:r w:rsidR="00E9481F" w:rsidRPr="005A050C">
        <w:rPr>
          <w:rFonts w:ascii="Verdana" w:hAnsi="Verdana" w:cs="Verdana"/>
          <w:b/>
          <w:sz w:val="20"/>
          <w:szCs w:val="20"/>
          <w:lang w:val="es-ES"/>
        </w:rPr>
        <w:t xml:space="preserve">, </w:t>
      </w:r>
      <w:r w:rsidRPr="000D3C49">
        <w:rPr>
          <w:rFonts w:ascii="Verdana" w:hAnsi="Verdana" w:cs="Verdana"/>
          <w:sz w:val="20"/>
          <w:szCs w:val="20"/>
          <w:lang w:val="es-ES"/>
        </w:rPr>
        <w:t xml:space="preserve">señalaron, </w:t>
      </w:r>
      <w:r w:rsidR="00FF2873" w:rsidRPr="000D3C49">
        <w:rPr>
          <w:rFonts w:ascii="Verdana" w:hAnsi="Verdana" w:cstheme="minorHAnsi"/>
          <w:sz w:val="20"/>
          <w:szCs w:val="20"/>
          <w:lang w:val="es-ES"/>
        </w:rPr>
        <w:t>entre otros</w:t>
      </w:r>
      <w:r w:rsidRPr="000D3C49">
        <w:rPr>
          <w:rFonts w:ascii="Verdana" w:hAnsi="Verdana" w:cs="Verdana"/>
          <w:sz w:val="20"/>
          <w:szCs w:val="20"/>
          <w:lang w:val="es-ES"/>
        </w:rPr>
        <w:t xml:space="preserve">: </w:t>
      </w:r>
    </w:p>
    <w:p w:rsidR="003F627B" w:rsidRPr="001C414E" w:rsidRDefault="003F627B" w:rsidP="00E5695F">
      <w:pPr>
        <w:tabs>
          <w:tab w:val="left" w:pos="90"/>
          <w:tab w:val="left" w:pos="180"/>
        </w:tabs>
        <w:spacing w:after="0" w:line="240" w:lineRule="auto"/>
        <w:jc w:val="both"/>
        <w:rPr>
          <w:rFonts w:ascii="Verdana" w:hAnsi="Verdana" w:cs="Verdana"/>
          <w:sz w:val="20"/>
          <w:szCs w:val="20"/>
          <w:lang w:val="es-ES"/>
        </w:rPr>
      </w:pPr>
    </w:p>
    <w:p w:rsidR="003F627B" w:rsidRDefault="003F627B" w:rsidP="003F627B">
      <w:pPr>
        <w:pStyle w:val="ListParagraph"/>
        <w:numPr>
          <w:ilvl w:val="0"/>
          <w:numId w:val="14"/>
        </w:numPr>
        <w:tabs>
          <w:tab w:val="left" w:pos="90"/>
          <w:tab w:val="left" w:pos="180"/>
        </w:tabs>
        <w:spacing w:after="0" w:line="240" w:lineRule="auto"/>
        <w:ind w:firstLine="0"/>
        <w:jc w:val="both"/>
        <w:rPr>
          <w:rFonts w:ascii="Verdana" w:hAnsi="Verdana" w:cs="Verdana"/>
          <w:sz w:val="20"/>
          <w:szCs w:val="20"/>
          <w:lang w:val="es-ES"/>
        </w:rPr>
      </w:pPr>
      <w:r>
        <w:rPr>
          <w:rFonts w:ascii="Verdana" w:hAnsi="Verdana" w:cs="Verdana"/>
          <w:sz w:val="20"/>
          <w:szCs w:val="20"/>
          <w:lang w:val="es-ES"/>
        </w:rPr>
        <w:t xml:space="preserve">el 11 de junio de 2010, que Kevin de la Roca Meléndez y Germán Aníbal de la Roca habían salido de Guatemala de manera temporal, “para garantizar su seguridad”; </w:t>
      </w:r>
    </w:p>
    <w:p w:rsidR="003F627B" w:rsidRPr="00593704" w:rsidRDefault="003F627B" w:rsidP="003F627B">
      <w:pPr>
        <w:pStyle w:val="ListParagraph"/>
        <w:numPr>
          <w:ilvl w:val="0"/>
          <w:numId w:val="14"/>
        </w:numPr>
        <w:tabs>
          <w:tab w:val="left" w:pos="90"/>
          <w:tab w:val="left" w:pos="180"/>
        </w:tabs>
        <w:spacing w:after="0" w:line="240" w:lineRule="auto"/>
        <w:ind w:firstLine="0"/>
        <w:jc w:val="both"/>
        <w:rPr>
          <w:rFonts w:ascii="Verdana" w:hAnsi="Verdana" w:cs="Verdana"/>
          <w:sz w:val="20"/>
          <w:szCs w:val="20"/>
          <w:lang w:val="es-ES"/>
        </w:rPr>
      </w:pPr>
      <w:r w:rsidRPr="001C414E">
        <w:rPr>
          <w:rFonts w:ascii="Verdana" w:hAnsi="Verdana" w:cs="Verdana"/>
          <w:sz w:val="20"/>
          <w:szCs w:val="20"/>
          <w:lang w:val="es-ES"/>
        </w:rPr>
        <w:lastRenderedPageBreak/>
        <w:t>el 16 de febrero de 2011, que ese mismo año, “[la señora Meléndez] fue atacada un mes antes por unos jóvenes quienes le lanzaron cohetes, quemándola gravemente en los pies”</w:t>
      </w:r>
      <w:r>
        <w:rPr>
          <w:rFonts w:ascii="Verdana" w:hAnsi="Verdana" w:cs="Verdana"/>
          <w:sz w:val="20"/>
          <w:szCs w:val="20"/>
          <w:lang w:val="es-ES"/>
        </w:rPr>
        <w:t>;</w:t>
      </w:r>
    </w:p>
    <w:p w:rsidR="003F627B" w:rsidRPr="00593704" w:rsidRDefault="003F627B" w:rsidP="003F627B">
      <w:pPr>
        <w:pStyle w:val="ListParagraph"/>
        <w:numPr>
          <w:ilvl w:val="0"/>
          <w:numId w:val="14"/>
        </w:numPr>
        <w:spacing w:after="0" w:line="240" w:lineRule="auto"/>
        <w:ind w:firstLine="0"/>
        <w:jc w:val="both"/>
        <w:rPr>
          <w:rFonts w:ascii="Verdana" w:hAnsi="Verdana" w:cstheme="minorHAnsi"/>
          <w:sz w:val="20"/>
          <w:szCs w:val="20"/>
          <w:lang w:val="es-ES"/>
        </w:rPr>
      </w:pPr>
      <w:r w:rsidRPr="001C414E">
        <w:rPr>
          <w:rFonts w:ascii="Verdana" w:hAnsi="Verdana" w:cs="Verdana"/>
          <w:sz w:val="20"/>
          <w:szCs w:val="20"/>
          <w:lang w:val="es-ES"/>
        </w:rPr>
        <w:t xml:space="preserve">el 27 de marzo de 2012, </w:t>
      </w:r>
      <w:r w:rsidRPr="001C414E">
        <w:rPr>
          <w:rFonts w:ascii="Verdana" w:hAnsi="Verdana" w:cstheme="minorHAnsi"/>
          <w:sz w:val="20"/>
          <w:szCs w:val="20"/>
          <w:lang w:val="es-ES"/>
        </w:rPr>
        <w:t>que desde que el señor Otoniel de la Roca declaró ante la Corte Interamericana, ejecutaron a cinco de sus familiares, en tanto que la investigación de los hechos que generaron las medidas deben ser investigadas y el Estado no avanzó en ello, por lo que la situación de gravedad y urgencia persistía</w:t>
      </w:r>
      <w:r w:rsidRPr="001C414E">
        <w:rPr>
          <w:rStyle w:val="FootnoteReference"/>
          <w:rFonts w:ascii="Verdana" w:hAnsi="Verdana" w:cstheme="minorHAnsi"/>
          <w:sz w:val="20"/>
          <w:szCs w:val="20"/>
          <w:lang w:val="es-ES"/>
        </w:rPr>
        <w:footnoteReference w:id="8"/>
      </w:r>
      <w:r>
        <w:rPr>
          <w:rFonts w:ascii="Verdana" w:hAnsi="Verdana" w:cstheme="minorHAnsi"/>
          <w:sz w:val="20"/>
          <w:szCs w:val="20"/>
          <w:lang w:val="es-ES"/>
        </w:rPr>
        <w:t>, y</w:t>
      </w:r>
      <w:r w:rsidRPr="001C414E">
        <w:rPr>
          <w:rFonts w:ascii="Verdana" w:hAnsi="Verdana" w:cstheme="minorHAnsi"/>
          <w:sz w:val="20"/>
          <w:szCs w:val="20"/>
          <w:lang w:val="es-ES"/>
        </w:rPr>
        <w:t xml:space="preserve"> </w:t>
      </w:r>
    </w:p>
    <w:p w:rsidR="003F627B" w:rsidRPr="001C414E" w:rsidRDefault="003F627B" w:rsidP="003F627B">
      <w:pPr>
        <w:pStyle w:val="ListParagraph"/>
        <w:numPr>
          <w:ilvl w:val="0"/>
          <w:numId w:val="14"/>
        </w:numPr>
        <w:spacing w:line="240" w:lineRule="auto"/>
        <w:ind w:firstLine="0"/>
        <w:jc w:val="both"/>
        <w:rPr>
          <w:rFonts w:ascii="Verdana" w:hAnsi="Verdana" w:cs="Verdana"/>
          <w:sz w:val="20"/>
          <w:szCs w:val="20"/>
          <w:lang w:val="es-ES"/>
        </w:rPr>
      </w:pPr>
      <w:r w:rsidRPr="001C414E">
        <w:rPr>
          <w:rFonts w:ascii="Verdana" w:hAnsi="Verdana" w:cs="Verdana"/>
          <w:sz w:val="20"/>
          <w:szCs w:val="20"/>
          <w:lang w:val="es-ES"/>
        </w:rPr>
        <w:t xml:space="preserve">el 2 de junio de 2016, </w:t>
      </w:r>
      <w:r w:rsidR="003C3FAB">
        <w:rPr>
          <w:rFonts w:ascii="Verdana" w:hAnsi="Verdana" w:cs="Verdana"/>
          <w:sz w:val="20"/>
          <w:szCs w:val="20"/>
          <w:lang w:val="es-ES"/>
        </w:rPr>
        <w:t xml:space="preserve">que no pudieron contactarse con </w:t>
      </w:r>
      <w:r w:rsidR="003C3FAB" w:rsidRPr="001C414E">
        <w:rPr>
          <w:rFonts w:ascii="Verdana" w:hAnsi="Verdana" w:cs="Verdana"/>
          <w:sz w:val="20"/>
          <w:szCs w:val="20"/>
          <w:lang w:val="es-ES"/>
        </w:rPr>
        <w:t xml:space="preserve">José Pioquinto y Alex Javier, ambos de apellido Álvarez, </w:t>
      </w:r>
      <w:r w:rsidR="003C3FAB">
        <w:rPr>
          <w:rFonts w:ascii="Verdana" w:hAnsi="Verdana" w:cs="Verdana"/>
          <w:sz w:val="20"/>
          <w:szCs w:val="20"/>
          <w:lang w:val="es-ES"/>
        </w:rPr>
        <w:t xml:space="preserve">por lo que </w:t>
      </w:r>
      <w:r w:rsidR="003C3FAB" w:rsidRPr="001C414E">
        <w:rPr>
          <w:rFonts w:ascii="Verdana" w:hAnsi="Verdana" w:cs="Verdana"/>
          <w:sz w:val="20"/>
          <w:szCs w:val="20"/>
          <w:lang w:val="es-ES"/>
        </w:rPr>
        <w:t>no tenían información para realizar observaciones sobre ambos</w:t>
      </w:r>
      <w:r w:rsidR="003C3FAB">
        <w:rPr>
          <w:rFonts w:ascii="Verdana" w:hAnsi="Verdana" w:cs="Verdana"/>
          <w:sz w:val="20"/>
          <w:szCs w:val="20"/>
          <w:lang w:val="es-ES"/>
        </w:rPr>
        <w:t xml:space="preserve">. </w:t>
      </w:r>
      <w:r w:rsidR="003C3FAB" w:rsidRPr="001C414E">
        <w:rPr>
          <w:rFonts w:ascii="Verdana" w:hAnsi="Verdana" w:cs="Verdana"/>
          <w:sz w:val="20"/>
          <w:szCs w:val="20"/>
          <w:lang w:val="es-ES"/>
        </w:rPr>
        <w:t>Agregaron que no se “contaba con el respaldo” sobre los análisis de riesgo realizados por el Estado el 22 de enero de 2015</w:t>
      </w:r>
      <w:r w:rsidR="003C3FAB">
        <w:rPr>
          <w:rFonts w:ascii="Verdana" w:hAnsi="Verdana" w:cs="Verdana"/>
          <w:sz w:val="20"/>
          <w:szCs w:val="20"/>
          <w:lang w:val="es-ES"/>
        </w:rPr>
        <w:t xml:space="preserve"> (</w:t>
      </w:r>
      <w:r w:rsidR="003C3FAB">
        <w:rPr>
          <w:rFonts w:ascii="Verdana" w:hAnsi="Verdana" w:cs="Verdana"/>
          <w:i/>
          <w:sz w:val="20"/>
          <w:szCs w:val="20"/>
          <w:lang w:val="es-ES"/>
        </w:rPr>
        <w:t>supra</w:t>
      </w:r>
      <w:r w:rsidR="003C3FAB">
        <w:rPr>
          <w:rFonts w:ascii="Verdana" w:hAnsi="Verdana" w:cs="Verdana"/>
          <w:sz w:val="20"/>
          <w:szCs w:val="20"/>
          <w:lang w:val="es-ES"/>
        </w:rPr>
        <w:t xml:space="preserve"> Considerando 24)</w:t>
      </w:r>
      <w:r w:rsidRPr="001C414E">
        <w:rPr>
          <w:rFonts w:ascii="Verdana" w:hAnsi="Verdana" w:cs="Verdana"/>
          <w:sz w:val="20"/>
          <w:szCs w:val="20"/>
          <w:lang w:val="es-ES"/>
        </w:rPr>
        <w:t>.</w:t>
      </w:r>
    </w:p>
    <w:p w:rsidR="003F627B" w:rsidRPr="001C414E" w:rsidRDefault="003F627B" w:rsidP="003F627B">
      <w:pPr>
        <w:pStyle w:val="ListParagraph"/>
        <w:spacing w:line="240" w:lineRule="auto"/>
        <w:rPr>
          <w:rFonts w:ascii="Verdana" w:hAnsi="Verdana" w:cs="Verdana"/>
          <w:sz w:val="20"/>
          <w:szCs w:val="20"/>
          <w:lang w:val="es-ES"/>
        </w:rPr>
      </w:pPr>
    </w:p>
    <w:p w:rsidR="0026102D" w:rsidRDefault="003F627B" w:rsidP="00E5695F">
      <w:pPr>
        <w:pStyle w:val="ListParagraph"/>
        <w:numPr>
          <w:ilvl w:val="0"/>
          <w:numId w:val="34"/>
        </w:numPr>
        <w:tabs>
          <w:tab w:val="left" w:pos="90"/>
          <w:tab w:val="left" w:pos="180"/>
        </w:tabs>
        <w:spacing w:after="0" w:line="240" w:lineRule="auto"/>
        <w:ind w:left="0" w:firstLine="0"/>
        <w:jc w:val="both"/>
        <w:rPr>
          <w:rFonts w:ascii="Verdana" w:hAnsi="Verdana" w:cs="Verdana"/>
          <w:sz w:val="20"/>
          <w:szCs w:val="20"/>
          <w:lang w:val="es-ES"/>
        </w:rPr>
      </w:pPr>
      <w:r>
        <w:rPr>
          <w:rFonts w:ascii="Verdana" w:hAnsi="Verdana" w:cs="Verdana"/>
          <w:sz w:val="20"/>
          <w:szCs w:val="20"/>
          <w:lang w:val="es-ES"/>
        </w:rPr>
        <w:t>L</w:t>
      </w:r>
      <w:r w:rsidRPr="001C414E">
        <w:rPr>
          <w:rFonts w:ascii="Verdana" w:hAnsi="Verdana" w:cs="Verdana"/>
          <w:sz w:val="20"/>
          <w:szCs w:val="20"/>
          <w:lang w:val="es-ES"/>
        </w:rPr>
        <w:t xml:space="preserve">a </w:t>
      </w:r>
      <w:r w:rsidRPr="001C414E">
        <w:rPr>
          <w:rFonts w:ascii="Verdana" w:hAnsi="Verdana" w:cs="Verdana"/>
          <w:b/>
          <w:i/>
          <w:sz w:val="20"/>
          <w:szCs w:val="20"/>
          <w:lang w:val="es-ES"/>
        </w:rPr>
        <w:t>Comisión</w:t>
      </w:r>
      <w:r w:rsidRPr="001C414E">
        <w:rPr>
          <w:rFonts w:ascii="Verdana" w:hAnsi="Verdana" w:cs="Verdana"/>
          <w:sz w:val="20"/>
          <w:szCs w:val="20"/>
          <w:lang w:val="es-ES"/>
        </w:rPr>
        <w:t xml:space="preserve"> no </w:t>
      </w:r>
      <w:r>
        <w:rPr>
          <w:rFonts w:ascii="Verdana" w:hAnsi="Verdana" w:cs="Verdana"/>
          <w:sz w:val="20"/>
          <w:szCs w:val="20"/>
          <w:lang w:val="es-ES"/>
        </w:rPr>
        <w:t xml:space="preserve">presentó </w:t>
      </w:r>
      <w:r w:rsidRPr="001C414E">
        <w:rPr>
          <w:rFonts w:ascii="Verdana" w:hAnsi="Verdana" w:cs="Verdana"/>
          <w:sz w:val="20"/>
          <w:szCs w:val="20"/>
          <w:lang w:val="es-ES"/>
        </w:rPr>
        <w:t>observaciones concretas sobre estos beneficiarios</w:t>
      </w:r>
      <w:r>
        <w:rPr>
          <w:rFonts w:ascii="Verdana" w:hAnsi="Verdana" w:cs="Verdana"/>
          <w:sz w:val="20"/>
          <w:szCs w:val="20"/>
          <w:lang w:val="es-ES"/>
        </w:rPr>
        <w:t>, sino</w:t>
      </w:r>
      <w:r w:rsidRPr="00990366">
        <w:rPr>
          <w:rFonts w:ascii="Verdana" w:hAnsi="Verdana" w:cs="Verdana"/>
          <w:sz w:val="20"/>
          <w:szCs w:val="20"/>
          <w:lang w:val="es-ES"/>
        </w:rPr>
        <w:t xml:space="preserve"> </w:t>
      </w:r>
      <w:r w:rsidR="003C3FAB">
        <w:rPr>
          <w:rFonts w:ascii="Verdana" w:hAnsi="Verdana" w:cs="Verdana"/>
          <w:sz w:val="20"/>
          <w:szCs w:val="20"/>
          <w:lang w:val="es-ES"/>
        </w:rPr>
        <w:t xml:space="preserve">que </w:t>
      </w:r>
      <w:r w:rsidRPr="001C414E">
        <w:rPr>
          <w:rFonts w:ascii="Verdana" w:hAnsi="Verdana" w:cs="Verdana"/>
          <w:sz w:val="20"/>
          <w:szCs w:val="20"/>
          <w:lang w:val="es-ES"/>
        </w:rPr>
        <w:t>se manifestó en términos generales (</w:t>
      </w:r>
      <w:r w:rsidRPr="001C414E">
        <w:rPr>
          <w:rFonts w:ascii="Verdana" w:hAnsi="Verdana" w:cs="Verdana"/>
          <w:i/>
          <w:sz w:val="20"/>
          <w:szCs w:val="20"/>
          <w:lang w:val="es-ES"/>
        </w:rPr>
        <w:t>supra</w:t>
      </w:r>
      <w:r>
        <w:rPr>
          <w:rFonts w:ascii="Verdana" w:hAnsi="Verdana" w:cs="Verdana"/>
          <w:sz w:val="20"/>
          <w:szCs w:val="20"/>
          <w:lang w:val="es-ES"/>
        </w:rPr>
        <w:t xml:space="preserve"> </w:t>
      </w:r>
      <w:r w:rsidR="00464CD5">
        <w:rPr>
          <w:rFonts w:ascii="Verdana" w:hAnsi="Verdana" w:cs="Verdana"/>
          <w:sz w:val="20"/>
          <w:szCs w:val="20"/>
          <w:lang w:val="es-ES"/>
        </w:rPr>
        <w:t>Considerando 26)</w:t>
      </w:r>
      <w:r w:rsidR="00464CD5" w:rsidRPr="001C414E">
        <w:rPr>
          <w:rFonts w:ascii="Verdana" w:hAnsi="Verdana" w:cs="Verdana"/>
          <w:sz w:val="20"/>
          <w:szCs w:val="20"/>
          <w:lang w:val="es-ES"/>
        </w:rPr>
        <w:t xml:space="preserve">. </w:t>
      </w:r>
    </w:p>
    <w:p w:rsidR="003F627B" w:rsidRPr="001C414E" w:rsidRDefault="003F627B" w:rsidP="00F0759D">
      <w:pPr>
        <w:autoSpaceDE w:val="0"/>
        <w:autoSpaceDN w:val="0"/>
        <w:adjustRightInd w:val="0"/>
        <w:spacing w:after="0" w:line="240" w:lineRule="auto"/>
        <w:jc w:val="both"/>
        <w:rPr>
          <w:rFonts w:ascii="Verdana" w:hAnsi="Verdana" w:cstheme="minorHAnsi"/>
          <w:sz w:val="20"/>
          <w:szCs w:val="20"/>
        </w:rPr>
      </w:pPr>
    </w:p>
    <w:p w:rsidR="003F627B" w:rsidRPr="00B3712F" w:rsidRDefault="005A050C" w:rsidP="00E5695F">
      <w:pPr>
        <w:pStyle w:val="ListParagraph"/>
        <w:numPr>
          <w:ilvl w:val="0"/>
          <w:numId w:val="34"/>
        </w:numPr>
        <w:autoSpaceDE w:val="0"/>
        <w:autoSpaceDN w:val="0"/>
        <w:adjustRightInd w:val="0"/>
        <w:spacing w:after="0" w:line="240" w:lineRule="auto"/>
        <w:ind w:left="0" w:firstLine="0"/>
        <w:jc w:val="both"/>
        <w:rPr>
          <w:rFonts w:ascii="Verdana" w:hAnsi="Verdana" w:cstheme="minorHAnsi"/>
          <w:sz w:val="20"/>
          <w:szCs w:val="20"/>
          <w:lang w:val="es-ES"/>
        </w:rPr>
      </w:pPr>
      <w:r>
        <w:rPr>
          <w:rFonts w:ascii="Verdana" w:hAnsi="Verdana"/>
          <w:sz w:val="20"/>
          <w:szCs w:val="20"/>
        </w:rPr>
        <w:t xml:space="preserve">La </w:t>
      </w:r>
      <w:r w:rsidRPr="000D3C49">
        <w:rPr>
          <w:rFonts w:ascii="Verdana" w:hAnsi="Verdana"/>
          <w:b/>
          <w:i/>
          <w:sz w:val="20"/>
          <w:szCs w:val="20"/>
        </w:rPr>
        <w:t>Corte,</w:t>
      </w:r>
      <w:r>
        <w:rPr>
          <w:rFonts w:ascii="Verdana" w:hAnsi="Verdana"/>
          <w:sz w:val="20"/>
          <w:szCs w:val="20"/>
        </w:rPr>
        <w:t xml:space="preserve"> e</w:t>
      </w:r>
      <w:r w:rsidR="003F627B" w:rsidRPr="00B3712F">
        <w:rPr>
          <w:rFonts w:ascii="Verdana" w:hAnsi="Verdana"/>
          <w:sz w:val="20"/>
          <w:szCs w:val="20"/>
        </w:rPr>
        <w:t xml:space="preserve">n cuanto a José Pioquinto y Alex Javier, ambos de apellidos </w:t>
      </w:r>
      <w:r w:rsidR="003F627B">
        <w:rPr>
          <w:rFonts w:ascii="Verdana" w:hAnsi="Verdana"/>
          <w:sz w:val="20"/>
          <w:szCs w:val="20"/>
        </w:rPr>
        <w:t>Álvarez Nájera, nota</w:t>
      </w:r>
      <w:r w:rsidR="003F627B" w:rsidRPr="00B3712F">
        <w:rPr>
          <w:rFonts w:ascii="Verdana" w:hAnsi="Verdana"/>
          <w:sz w:val="20"/>
          <w:szCs w:val="20"/>
        </w:rPr>
        <w:t xml:space="preserve"> que </w:t>
      </w:r>
      <w:r w:rsidR="00B01A90">
        <w:rPr>
          <w:rFonts w:ascii="Verdana" w:hAnsi="Verdana"/>
          <w:sz w:val="20"/>
          <w:szCs w:val="20"/>
        </w:rPr>
        <w:t xml:space="preserve">el </w:t>
      </w:r>
      <w:r w:rsidR="00B01A90" w:rsidRPr="005A050C">
        <w:rPr>
          <w:rFonts w:ascii="Verdana" w:hAnsi="Verdana"/>
          <w:sz w:val="20"/>
          <w:szCs w:val="20"/>
        </w:rPr>
        <w:t>Estado</w:t>
      </w:r>
      <w:r w:rsidR="00B01A90">
        <w:rPr>
          <w:rFonts w:ascii="Verdana" w:hAnsi="Verdana"/>
          <w:sz w:val="20"/>
          <w:szCs w:val="20"/>
        </w:rPr>
        <w:t xml:space="preserve"> indicó en su informe de 26 de abril de 2016 que </w:t>
      </w:r>
      <w:r w:rsidR="003F627B">
        <w:rPr>
          <w:rFonts w:ascii="Verdana" w:hAnsi="Verdana" w:cstheme="minorHAnsi"/>
          <w:sz w:val="20"/>
          <w:szCs w:val="20"/>
          <w:lang w:val="es-MX"/>
        </w:rPr>
        <w:t>ellos</w:t>
      </w:r>
      <w:r w:rsidR="003F627B" w:rsidRPr="00B3712F">
        <w:rPr>
          <w:rFonts w:ascii="Verdana" w:hAnsi="Verdana" w:cstheme="minorHAnsi"/>
          <w:sz w:val="20"/>
          <w:szCs w:val="20"/>
          <w:lang w:val="es-MX"/>
        </w:rPr>
        <w:t xml:space="preserve"> expresaron en el año 2015 que no habían sido víctimas de amenazas en los 12 meses previos al estudio de riesgo realizado por el Estado. </w:t>
      </w:r>
      <w:r>
        <w:rPr>
          <w:rFonts w:ascii="Verdana" w:hAnsi="Verdana" w:cstheme="minorHAnsi"/>
          <w:sz w:val="20"/>
          <w:szCs w:val="20"/>
          <w:lang w:val="es-MX"/>
        </w:rPr>
        <w:t>Los representantes hicieron notar que el Estado no presentó dicho estudio</w:t>
      </w:r>
      <w:r w:rsidR="003625B8">
        <w:rPr>
          <w:rFonts w:ascii="Verdana" w:hAnsi="Verdana" w:cstheme="minorHAnsi"/>
          <w:sz w:val="20"/>
          <w:szCs w:val="20"/>
          <w:lang w:val="es-MX"/>
        </w:rPr>
        <w:t>, pero</w:t>
      </w:r>
      <w:r>
        <w:rPr>
          <w:rFonts w:ascii="Verdana" w:hAnsi="Verdana" w:cstheme="minorHAnsi"/>
          <w:sz w:val="20"/>
          <w:szCs w:val="20"/>
          <w:lang w:val="es-MX"/>
        </w:rPr>
        <w:t xml:space="preserve"> </w:t>
      </w:r>
      <w:r w:rsidR="009612B8">
        <w:rPr>
          <w:rFonts w:ascii="Verdana" w:hAnsi="Verdana" w:cstheme="minorHAnsi"/>
          <w:sz w:val="20"/>
          <w:szCs w:val="20"/>
          <w:lang w:val="es-MX"/>
        </w:rPr>
        <w:t xml:space="preserve">no </w:t>
      </w:r>
      <w:r w:rsidR="003F627B" w:rsidRPr="00B3712F">
        <w:rPr>
          <w:rFonts w:ascii="Verdana" w:hAnsi="Verdana" w:cstheme="minorHAnsi"/>
          <w:sz w:val="20"/>
          <w:szCs w:val="20"/>
          <w:lang w:val="es-ES"/>
        </w:rPr>
        <w:t>han aporta</w:t>
      </w:r>
      <w:r w:rsidR="009612B8">
        <w:rPr>
          <w:rFonts w:ascii="Verdana" w:hAnsi="Verdana" w:cstheme="minorHAnsi"/>
          <w:sz w:val="20"/>
          <w:szCs w:val="20"/>
          <w:lang w:val="es-ES"/>
        </w:rPr>
        <w:t>ron</w:t>
      </w:r>
      <w:r w:rsidR="003F627B" w:rsidRPr="00B3712F">
        <w:rPr>
          <w:rFonts w:ascii="Verdana" w:hAnsi="Verdana" w:cstheme="minorHAnsi"/>
          <w:sz w:val="20"/>
          <w:szCs w:val="20"/>
          <w:lang w:val="es-ES"/>
        </w:rPr>
        <w:t xml:space="preserve"> información sobre nuevos hechos, agresiones, amenazas u hostigamientos contra estos beneficiarios</w:t>
      </w:r>
      <w:r w:rsidR="00B01A90">
        <w:rPr>
          <w:rFonts w:ascii="Verdana" w:hAnsi="Verdana" w:cstheme="minorHAnsi"/>
          <w:sz w:val="20"/>
          <w:szCs w:val="20"/>
          <w:lang w:val="es-ES"/>
        </w:rPr>
        <w:t>, ya que en su</w:t>
      </w:r>
      <w:r w:rsidR="009612B8">
        <w:rPr>
          <w:rFonts w:ascii="Verdana" w:hAnsi="Verdana" w:cstheme="minorHAnsi"/>
          <w:sz w:val="20"/>
          <w:szCs w:val="20"/>
          <w:lang w:val="es-ES"/>
        </w:rPr>
        <w:t xml:space="preserve">s observaciones </w:t>
      </w:r>
      <w:r w:rsidR="00B01A90">
        <w:rPr>
          <w:rFonts w:ascii="Verdana" w:hAnsi="Verdana" w:cstheme="minorHAnsi"/>
          <w:sz w:val="20"/>
          <w:szCs w:val="20"/>
          <w:lang w:val="es-ES"/>
        </w:rPr>
        <w:t xml:space="preserve">de 2 de junio de 2016, señalaron no tener contacto con </w:t>
      </w:r>
      <w:r w:rsidR="009612B8">
        <w:rPr>
          <w:rFonts w:ascii="Verdana" w:hAnsi="Verdana" w:cstheme="minorHAnsi"/>
          <w:sz w:val="20"/>
          <w:szCs w:val="20"/>
          <w:lang w:val="es-ES"/>
        </w:rPr>
        <w:t>el</w:t>
      </w:r>
      <w:r w:rsidR="00B01A90">
        <w:rPr>
          <w:rFonts w:ascii="Verdana" w:hAnsi="Verdana" w:cstheme="minorHAnsi"/>
          <w:sz w:val="20"/>
          <w:szCs w:val="20"/>
          <w:lang w:val="es-ES"/>
        </w:rPr>
        <w:t>los</w:t>
      </w:r>
      <w:r w:rsidR="009612B8">
        <w:rPr>
          <w:rFonts w:ascii="Verdana" w:hAnsi="Verdana" w:cstheme="minorHAnsi"/>
          <w:sz w:val="20"/>
          <w:szCs w:val="20"/>
          <w:lang w:val="es-ES"/>
        </w:rPr>
        <w:t>.</w:t>
      </w:r>
      <w:r w:rsidR="003F627B" w:rsidRPr="00B3712F">
        <w:rPr>
          <w:rFonts w:ascii="Verdana" w:hAnsi="Verdana" w:cstheme="minorHAnsi"/>
          <w:sz w:val="20"/>
          <w:szCs w:val="20"/>
          <w:lang w:val="es-ES"/>
        </w:rPr>
        <w:t xml:space="preserve"> </w:t>
      </w:r>
    </w:p>
    <w:p w:rsidR="003F627B" w:rsidRDefault="003F627B" w:rsidP="00F0759D">
      <w:pPr>
        <w:pStyle w:val="ListParagraph"/>
        <w:autoSpaceDE w:val="0"/>
        <w:autoSpaceDN w:val="0"/>
        <w:adjustRightInd w:val="0"/>
        <w:spacing w:after="0" w:line="240" w:lineRule="auto"/>
        <w:ind w:left="0"/>
        <w:jc w:val="both"/>
        <w:rPr>
          <w:rFonts w:ascii="Verdana" w:hAnsi="Verdana" w:cstheme="minorHAnsi"/>
          <w:sz w:val="20"/>
          <w:szCs w:val="20"/>
          <w:lang w:val="es-ES"/>
        </w:rPr>
      </w:pPr>
    </w:p>
    <w:p w:rsidR="003F627B" w:rsidRPr="00C93CA7" w:rsidRDefault="003F627B" w:rsidP="00E5695F">
      <w:pPr>
        <w:pStyle w:val="ListParagraph"/>
        <w:numPr>
          <w:ilvl w:val="0"/>
          <w:numId w:val="34"/>
        </w:numPr>
        <w:autoSpaceDE w:val="0"/>
        <w:autoSpaceDN w:val="0"/>
        <w:adjustRightInd w:val="0"/>
        <w:spacing w:after="0" w:line="240" w:lineRule="auto"/>
        <w:ind w:left="0" w:firstLine="0"/>
        <w:jc w:val="both"/>
        <w:rPr>
          <w:rFonts w:ascii="Verdana" w:hAnsi="Verdana" w:cstheme="minorHAnsi"/>
          <w:sz w:val="20"/>
          <w:szCs w:val="20"/>
          <w:lang w:val="es-ES"/>
        </w:rPr>
      </w:pPr>
      <w:r w:rsidRPr="00C93CA7">
        <w:rPr>
          <w:rFonts w:ascii="Verdana" w:hAnsi="Verdana" w:cstheme="minorHAnsi"/>
          <w:sz w:val="20"/>
          <w:szCs w:val="20"/>
          <w:lang w:val="es-ES"/>
        </w:rPr>
        <w:t xml:space="preserve">En lo que respecta a la señora Blanca Noelia Meléndez, de la información presentada ante la Corte, se desprende que ni el Estado ni los representantes han aportado información sobre nuevos hechos, agresiones, amenazas u hostigamientos contra ella </w:t>
      </w:r>
      <w:r w:rsidR="00052873">
        <w:rPr>
          <w:rFonts w:ascii="Verdana" w:hAnsi="Verdana" w:cstheme="minorHAnsi"/>
          <w:sz w:val="20"/>
          <w:szCs w:val="20"/>
          <w:lang w:val="es-ES"/>
        </w:rPr>
        <w:t xml:space="preserve">con posterioridad a enero de </w:t>
      </w:r>
      <w:r w:rsidRPr="00C93CA7">
        <w:rPr>
          <w:rFonts w:ascii="Verdana" w:hAnsi="Verdana" w:cstheme="minorHAnsi"/>
          <w:sz w:val="20"/>
          <w:szCs w:val="20"/>
          <w:lang w:val="es-ES"/>
        </w:rPr>
        <w:t>2011. Es decir, este Tribunal no tiene información que indique hechos que denotaran un riesgo en perjuicio de est</w:t>
      </w:r>
      <w:r w:rsidR="009D3286">
        <w:rPr>
          <w:rFonts w:ascii="Verdana" w:hAnsi="Verdana" w:cstheme="minorHAnsi"/>
          <w:sz w:val="20"/>
          <w:szCs w:val="20"/>
          <w:lang w:val="es-ES"/>
        </w:rPr>
        <w:t>a</w:t>
      </w:r>
      <w:r w:rsidRPr="00C93CA7">
        <w:rPr>
          <w:rFonts w:ascii="Verdana" w:hAnsi="Verdana" w:cstheme="minorHAnsi"/>
          <w:sz w:val="20"/>
          <w:szCs w:val="20"/>
          <w:lang w:val="es-ES"/>
        </w:rPr>
        <w:t xml:space="preserve"> </w:t>
      </w:r>
      <w:r w:rsidR="009D3286" w:rsidRPr="00C93CA7">
        <w:rPr>
          <w:rFonts w:ascii="Verdana" w:hAnsi="Verdana" w:cstheme="minorHAnsi"/>
          <w:sz w:val="20"/>
          <w:szCs w:val="20"/>
          <w:lang w:val="es-ES"/>
        </w:rPr>
        <w:t>beneficiari</w:t>
      </w:r>
      <w:r w:rsidR="009D3286">
        <w:rPr>
          <w:rFonts w:ascii="Verdana" w:hAnsi="Verdana" w:cstheme="minorHAnsi"/>
          <w:sz w:val="20"/>
          <w:szCs w:val="20"/>
          <w:lang w:val="es-ES"/>
        </w:rPr>
        <w:t>a</w:t>
      </w:r>
      <w:r w:rsidRPr="00C93CA7">
        <w:rPr>
          <w:rFonts w:ascii="Verdana" w:hAnsi="Verdana" w:cstheme="minorHAnsi"/>
          <w:sz w:val="20"/>
          <w:szCs w:val="20"/>
          <w:lang w:val="es-ES"/>
        </w:rPr>
        <w:t xml:space="preserve">, en un período mayor a </w:t>
      </w:r>
      <w:r w:rsidR="00052873">
        <w:rPr>
          <w:rFonts w:ascii="Verdana" w:hAnsi="Verdana" w:cstheme="minorHAnsi"/>
          <w:sz w:val="20"/>
          <w:szCs w:val="20"/>
          <w:lang w:val="es-ES"/>
        </w:rPr>
        <w:t>cinco años y medio</w:t>
      </w:r>
      <w:r w:rsidRPr="00C93CA7">
        <w:rPr>
          <w:rFonts w:ascii="Verdana" w:hAnsi="Verdana" w:cstheme="minorHAnsi"/>
          <w:sz w:val="20"/>
          <w:szCs w:val="20"/>
          <w:lang w:val="es-ES"/>
        </w:rPr>
        <w:t>.</w:t>
      </w:r>
      <w:r w:rsidR="009D3286">
        <w:rPr>
          <w:rFonts w:ascii="Verdana" w:hAnsi="Verdana" w:cstheme="minorHAnsi"/>
          <w:sz w:val="20"/>
          <w:szCs w:val="20"/>
          <w:lang w:val="es-ES"/>
        </w:rPr>
        <w:t xml:space="preserve"> </w:t>
      </w:r>
    </w:p>
    <w:p w:rsidR="003F627B" w:rsidRPr="00C93CA7" w:rsidRDefault="003F627B" w:rsidP="00F0759D">
      <w:pPr>
        <w:pStyle w:val="ListParagraph"/>
        <w:autoSpaceDE w:val="0"/>
        <w:autoSpaceDN w:val="0"/>
        <w:adjustRightInd w:val="0"/>
        <w:spacing w:after="0" w:line="240" w:lineRule="auto"/>
        <w:ind w:left="0"/>
        <w:jc w:val="both"/>
        <w:rPr>
          <w:rFonts w:ascii="Verdana" w:hAnsi="Verdana" w:cstheme="minorHAnsi"/>
          <w:sz w:val="20"/>
          <w:szCs w:val="20"/>
          <w:lang w:val="es-ES"/>
        </w:rPr>
      </w:pPr>
    </w:p>
    <w:p w:rsidR="009E5443" w:rsidRPr="00E76FDB" w:rsidRDefault="003F627B" w:rsidP="00E5695F">
      <w:pPr>
        <w:pStyle w:val="ListParagraph"/>
        <w:numPr>
          <w:ilvl w:val="0"/>
          <w:numId w:val="34"/>
        </w:numPr>
        <w:autoSpaceDE w:val="0"/>
        <w:autoSpaceDN w:val="0"/>
        <w:adjustRightInd w:val="0"/>
        <w:spacing w:after="0" w:line="240" w:lineRule="auto"/>
        <w:ind w:left="0" w:firstLine="0"/>
        <w:jc w:val="both"/>
        <w:rPr>
          <w:lang w:val="es-ES"/>
        </w:rPr>
      </w:pPr>
      <w:r w:rsidRPr="00C93CA7">
        <w:rPr>
          <w:rFonts w:ascii="Verdana" w:hAnsi="Verdana" w:cstheme="minorHAnsi"/>
          <w:sz w:val="20"/>
          <w:szCs w:val="20"/>
          <w:lang w:val="es-ES"/>
        </w:rPr>
        <w:t xml:space="preserve">La Corte reitera que la falta de amenazas no necesariamente implica que </w:t>
      </w:r>
      <w:r w:rsidR="0026102D" w:rsidRPr="000D3C49">
        <w:rPr>
          <w:rFonts w:ascii="Verdana" w:hAnsi="Verdana" w:cstheme="minorHAnsi"/>
          <w:sz w:val="20"/>
          <w:szCs w:val="20"/>
          <w:lang w:val="es-ES"/>
        </w:rPr>
        <w:t>ya no exista un riesgo</w:t>
      </w:r>
      <w:r w:rsidRPr="00C93CA7">
        <w:rPr>
          <w:rFonts w:ascii="Verdana" w:hAnsi="Verdana" w:cstheme="minorHAnsi"/>
          <w:b/>
          <w:sz w:val="20"/>
          <w:szCs w:val="20"/>
          <w:lang w:val="es-ES"/>
        </w:rPr>
        <w:t xml:space="preserve"> </w:t>
      </w:r>
      <w:r w:rsidRPr="00C93CA7">
        <w:rPr>
          <w:rFonts w:ascii="Verdana" w:hAnsi="Verdana" w:cstheme="minorHAnsi"/>
          <w:sz w:val="20"/>
          <w:szCs w:val="20"/>
          <w:lang w:val="es-ES"/>
        </w:rPr>
        <w:t>para una persona</w:t>
      </w:r>
      <w:r w:rsidR="00043404">
        <w:rPr>
          <w:rFonts w:ascii="Verdana" w:hAnsi="Verdana" w:cstheme="minorHAnsi"/>
          <w:sz w:val="20"/>
          <w:szCs w:val="20"/>
          <w:lang w:val="es-ES"/>
        </w:rPr>
        <w:t xml:space="preserve"> (</w:t>
      </w:r>
      <w:r w:rsidR="00043404">
        <w:rPr>
          <w:rFonts w:ascii="Verdana" w:hAnsi="Verdana" w:cstheme="minorHAnsi"/>
          <w:i/>
          <w:sz w:val="20"/>
          <w:szCs w:val="20"/>
          <w:lang w:val="es-ES"/>
        </w:rPr>
        <w:t>supra</w:t>
      </w:r>
      <w:r w:rsidR="00043404">
        <w:rPr>
          <w:rFonts w:ascii="Verdana" w:hAnsi="Verdana" w:cstheme="minorHAnsi"/>
          <w:sz w:val="20"/>
          <w:szCs w:val="20"/>
          <w:lang w:val="es-ES"/>
        </w:rPr>
        <w:t xml:space="preserve"> Considerando 23)</w:t>
      </w:r>
      <w:r w:rsidRPr="00C93CA7">
        <w:rPr>
          <w:rFonts w:ascii="Verdana" w:hAnsi="Verdana" w:cstheme="minorHAnsi"/>
          <w:sz w:val="20"/>
          <w:szCs w:val="20"/>
          <w:lang w:val="es-ES"/>
        </w:rPr>
        <w:t>. No obstante, sobre estos beneficiarios y de acuerdo con la información proporcionada, este Tribunal considera razonable presumir que su situación ya no se enmarca dentro de los presupuestos señalados por el artículo 63.2 de la Convención, por lo que estima pertinente levantar las medidas provisionales a favor de Blanca Noelia Meléndez</w:t>
      </w:r>
      <w:r w:rsidR="00CC3E86">
        <w:rPr>
          <w:rFonts w:ascii="Verdana" w:hAnsi="Verdana" w:cstheme="minorHAnsi"/>
          <w:sz w:val="20"/>
          <w:szCs w:val="20"/>
          <w:lang w:val="es-ES"/>
        </w:rPr>
        <w:t>,</w:t>
      </w:r>
      <w:r w:rsidR="0052200C" w:rsidRPr="00C93CA7">
        <w:rPr>
          <w:rFonts w:ascii="Verdana" w:hAnsi="Verdana" w:cstheme="minorHAnsi"/>
          <w:sz w:val="20"/>
          <w:szCs w:val="20"/>
          <w:lang w:val="es-ES"/>
        </w:rPr>
        <w:t xml:space="preserve"> </w:t>
      </w:r>
      <w:r w:rsidR="0052200C" w:rsidRPr="00C93CA7">
        <w:rPr>
          <w:rFonts w:ascii="Verdana" w:hAnsi="Verdana" w:cs="Verdana"/>
          <w:sz w:val="20"/>
          <w:szCs w:val="20"/>
          <w:lang w:val="es-ES"/>
        </w:rPr>
        <w:t xml:space="preserve">José Pioquinto Álvarez Nájera y Alex Javier Álvarez Nájera. </w:t>
      </w:r>
    </w:p>
    <w:p w:rsidR="00E76FDB" w:rsidRPr="00C93CA7" w:rsidRDefault="00E76FDB" w:rsidP="00E76FDB">
      <w:pPr>
        <w:pStyle w:val="ListParagraph"/>
        <w:autoSpaceDE w:val="0"/>
        <w:autoSpaceDN w:val="0"/>
        <w:adjustRightInd w:val="0"/>
        <w:spacing w:after="0" w:line="240" w:lineRule="auto"/>
        <w:ind w:left="0"/>
        <w:jc w:val="both"/>
        <w:rPr>
          <w:lang w:val="es-ES"/>
        </w:rPr>
      </w:pPr>
    </w:p>
    <w:p w:rsidR="00E76FDB" w:rsidRPr="004D1A4F" w:rsidRDefault="00E76FDB" w:rsidP="00E76FDB">
      <w:pPr>
        <w:pStyle w:val="ListParagraph"/>
        <w:numPr>
          <w:ilvl w:val="0"/>
          <w:numId w:val="34"/>
        </w:numPr>
        <w:autoSpaceDE w:val="0"/>
        <w:autoSpaceDN w:val="0"/>
        <w:adjustRightInd w:val="0"/>
        <w:spacing w:after="0" w:line="240" w:lineRule="auto"/>
        <w:ind w:left="0" w:firstLine="0"/>
        <w:jc w:val="both"/>
        <w:rPr>
          <w:rFonts w:ascii="Verdana" w:hAnsi="Verdana" w:cs="Verdana"/>
          <w:sz w:val="20"/>
          <w:szCs w:val="20"/>
          <w:lang w:val="es-ES"/>
        </w:rPr>
      </w:pPr>
      <w:r w:rsidRPr="000D3C49">
        <w:rPr>
          <w:rFonts w:ascii="Verdana" w:hAnsi="Verdana" w:cs="Verdana"/>
          <w:sz w:val="20"/>
          <w:szCs w:val="20"/>
          <w:lang w:val="es-ES"/>
        </w:rPr>
        <w:t>Por otra parte, esta Corte nota que de acuerdo a la información brindada por las partes, algunos de los beneficiarios se encuentran fuera de Guatemala, y que el Estado argumentó la “imposibilidad material” de cumplir con las medidas mencionadas para dichas personas.</w:t>
      </w:r>
      <w:r>
        <w:rPr>
          <w:rFonts w:ascii="Verdana" w:hAnsi="Verdana" w:cs="Verdana"/>
          <w:sz w:val="20"/>
          <w:szCs w:val="20"/>
          <w:lang w:val="es-ES"/>
        </w:rPr>
        <w:t xml:space="preserve"> De acuerdo a lo señalado, en efecto, </w:t>
      </w:r>
      <w:r w:rsidRPr="00391254">
        <w:rPr>
          <w:rFonts w:ascii="Verdana" w:hAnsi="Verdana" w:cs="Verdana"/>
          <w:sz w:val="20"/>
          <w:szCs w:val="20"/>
          <w:lang w:val="es-ES"/>
        </w:rPr>
        <w:t xml:space="preserve">el señor Otoniel de la Roca y sus familiares han salido de Guatemala para su resguardo y seguridad, </w:t>
      </w:r>
      <w:r>
        <w:rPr>
          <w:rFonts w:ascii="Verdana" w:hAnsi="Verdana" w:cs="Verdana"/>
          <w:sz w:val="20"/>
          <w:szCs w:val="20"/>
          <w:lang w:val="es-ES"/>
        </w:rPr>
        <w:t>as</w:t>
      </w:r>
      <w:r w:rsidRPr="004D1A4F">
        <w:rPr>
          <w:rFonts w:ascii="Verdana" w:hAnsi="Verdana" w:cs="Verdana"/>
          <w:sz w:val="20"/>
          <w:szCs w:val="20"/>
          <w:lang w:val="es-ES"/>
        </w:rPr>
        <w:t>í como por</w:t>
      </w:r>
      <w:r>
        <w:rPr>
          <w:rFonts w:ascii="Verdana" w:hAnsi="Verdana" w:cs="Verdana"/>
          <w:sz w:val="20"/>
          <w:szCs w:val="20"/>
          <w:lang w:val="es-ES"/>
        </w:rPr>
        <w:t xml:space="preserve"> el temor de regresar a Guatemala debido al riesgo que enfrentarían ante la posibilidad de </w:t>
      </w:r>
      <w:r w:rsidRPr="000D3C49">
        <w:rPr>
          <w:rFonts w:ascii="Verdana" w:hAnsi="Verdana" w:cs="Verdana"/>
          <w:sz w:val="20"/>
          <w:szCs w:val="20"/>
          <w:lang w:val="es-ES"/>
        </w:rPr>
        <w:t>nuevos hechos de agresiones, hostigamientos o amenazas</w:t>
      </w:r>
      <w:r>
        <w:rPr>
          <w:rFonts w:ascii="Verdana" w:hAnsi="Verdana" w:cs="Verdana"/>
          <w:sz w:val="20"/>
          <w:szCs w:val="20"/>
          <w:lang w:val="es-ES"/>
        </w:rPr>
        <w:t>. Dada la ausencia de algunos de los beneficiarios en Guatemala el Estado no tiene posibilidad de implementar las medidas en tanto que carece de jurisdicción fuera de su territorio</w:t>
      </w:r>
      <w:r w:rsidRPr="004D1A4F">
        <w:rPr>
          <w:vertAlign w:val="superscript"/>
        </w:rPr>
        <w:footnoteReference w:id="9"/>
      </w:r>
      <w:r w:rsidR="00B96A32">
        <w:rPr>
          <w:rFonts w:ascii="Verdana" w:hAnsi="Verdana" w:cs="Verdana"/>
          <w:sz w:val="20"/>
          <w:szCs w:val="20"/>
          <w:lang w:val="es-ES"/>
        </w:rPr>
        <w:t>.</w:t>
      </w:r>
      <w:r>
        <w:rPr>
          <w:rFonts w:ascii="Verdana" w:hAnsi="Verdana" w:cs="Verdana"/>
          <w:sz w:val="20"/>
          <w:szCs w:val="20"/>
          <w:lang w:val="es-ES"/>
        </w:rPr>
        <w:t xml:space="preserve"> Debido lo expuesto</w:t>
      </w:r>
      <w:r w:rsidRPr="001C414E">
        <w:rPr>
          <w:rFonts w:ascii="Verdana" w:hAnsi="Verdana" w:cs="Verdana"/>
          <w:sz w:val="20"/>
          <w:szCs w:val="20"/>
          <w:lang w:val="es-ES"/>
        </w:rPr>
        <w:t xml:space="preserve">, este Tribunal considera pertinente el </w:t>
      </w:r>
      <w:r>
        <w:rPr>
          <w:rFonts w:ascii="Verdana" w:hAnsi="Verdana" w:cs="Verdana"/>
          <w:sz w:val="20"/>
          <w:szCs w:val="20"/>
          <w:lang w:val="es-ES"/>
        </w:rPr>
        <w:t xml:space="preserve">levantamiento </w:t>
      </w:r>
      <w:r w:rsidRPr="001C414E">
        <w:rPr>
          <w:rFonts w:ascii="Verdana" w:hAnsi="Verdana" w:cs="Verdana"/>
          <w:sz w:val="20"/>
          <w:szCs w:val="20"/>
          <w:lang w:val="es-ES"/>
        </w:rPr>
        <w:t>de las medidas</w:t>
      </w:r>
      <w:r>
        <w:rPr>
          <w:rFonts w:ascii="Verdana" w:hAnsi="Verdana" w:cs="Verdana"/>
          <w:sz w:val="20"/>
          <w:szCs w:val="20"/>
          <w:lang w:val="es-ES"/>
        </w:rPr>
        <w:t xml:space="preserve"> provisionales a favor de </w:t>
      </w:r>
      <w:r w:rsidRPr="001C414E">
        <w:rPr>
          <w:rFonts w:ascii="Verdana" w:hAnsi="Verdana" w:cs="Verdana"/>
          <w:sz w:val="20"/>
          <w:szCs w:val="20"/>
          <w:lang w:val="es-ES"/>
        </w:rPr>
        <w:t xml:space="preserve">Germán Aníbal de la Roca Mendoza, Kevin Otoniel de la Roca Mendoza, </w:t>
      </w:r>
      <w:r w:rsidRPr="001C414E">
        <w:rPr>
          <w:rFonts w:ascii="Verdana" w:hAnsi="Verdana" w:cs="Verdana"/>
          <w:sz w:val="20"/>
          <w:szCs w:val="20"/>
          <w:lang w:val="es-ES"/>
        </w:rPr>
        <w:lastRenderedPageBreak/>
        <w:t>Linda, Jacobo y Óscar Álvarez Nájera, Aracely Álvarez Nájera, Wendy, Sulni Madeli, José Oswaldo Pérez Álvarez y Otoniel de la Roca</w:t>
      </w:r>
      <w:r>
        <w:rPr>
          <w:rFonts w:ascii="Verdana" w:hAnsi="Verdana" w:cs="Verdana"/>
          <w:sz w:val="20"/>
          <w:szCs w:val="20"/>
          <w:lang w:val="es-ES"/>
        </w:rPr>
        <w:t>.</w:t>
      </w:r>
    </w:p>
    <w:p w:rsidR="00E76FDB" w:rsidRPr="00A86E1F" w:rsidRDefault="00E76FDB" w:rsidP="00E76FDB">
      <w:pPr>
        <w:pStyle w:val="ListParagraph"/>
        <w:rPr>
          <w:rFonts w:ascii="Verdana" w:hAnsi="Verdana" w:cs="Verdana"/>
          <w:sz w:val="20"/>
          <w:szCs w:val="20"/>
          <w:lang w:val="es-ES"/>
        </w:rPr>
      </w:pPr>
    </w:p>
    <w:p w:rsidR="00937497" w:rsidRPr="00E76FDB" w:rsidRDefault="00E76FDB" w:rsidP="00E76FDB">
      <w:pPr>
        <w:pStyle w:val="ListParagraph"/>
        <w:numPr>
          <w:ilvl w:val="0"/>
          <w:numId w:val="34"/>
        </w:numPr>
        <w:autoSpaceDE w:val="0"/>
        <w:autoSpaceDN w:val="0"/>
        <w:adjustRightInd w:val="0"/>
        <w:spacing w:after="0" w:line="240" w:lineRule="auto"/>
        <w:ind w:left="0" w:firstLine="0"/>
        <w:jc w:val="both"/>
        <w:rPr>
          <w:rFonts w:ascii="Verdana" w:hAnsi="Verdana" w:cstheme="minorHAnsi"/>
          <w:sz w:val="20"/>
          <w:szCs w:val="20"/>
        </w:rPr>
      </w:pPr>
      <w:r w:rsidRPr="00A86E1F">
        <w:rPr>
          <w:rFonts w:ascii="Verdana" w:hAnsi="Verdana" w:cs="Verdana"/>
          <w:sz w:val="20"/>
          <w:szCs w:val="20"/>
          <w:lang w:val="es-ES"/>
        </w:rPr>
        <w:t xml:space="preserve"> </w:t>
      </w:r>
      <w:r w:rsidRPr="000D3C49">
        <w:rPr>
          <w:rFonts w:ascii="Verdana" w:hAnsi="Verdana" w:cs="Verdana"/>
          <w:sz w:val="20"/>
          <w:szCs w:val="20"/>
          <w:lang w:val="es-ES"/>
        </w:rPr>
        <w:t>No obstante</w:t>
      </w:r>
      <w:r>
        <w:rPr>
          <w:rFonts w:ascii="Verdana" w:hAnsi="Verdana" w:cs="Verdana"/>
          <w:sz w:val="20"/>
          <w:szCs w:val="20"/>
          <w:lang w:val="es-ES"/>
        </w:rPr>
        <w:t xml:space="preserve"> lo anterior, en el caso que el señor Otoniel de la Roca o alguno de sus familiares nombrados en el párrafo </w:t>
      </w:r>
      <w:r w:rsidR="00044E4C">
        <w:rPr>
          <w:rFonts w:ascii="Verdana" w:hAnsi="Verdana" w:cs="Verdana"/>
          <w:sz w:val="20"/>
          <w:szCs w:val="20"/>
          <w:lang w:val="es-ES"/>
        </w:rPr>
        <w:t>precedente</w:t>
      </w:r>
      <w:r>
        <w:rPr>
          <w:rFonts w:ascii="Verdana" w:hAnsi="Verdana" w:cs="Verdana"/>
          <w:sz w:val="20"/>
          <w:szCs w:val="20"/>
          <w:lang w:val="es-ES"/>
        </w:rPr>
        <w:t xml:space="preserve"> regresen a Guatemala,</w:t>
      </w:r>
      <w:r w:rsidR="00044E4C">
        <w:rPr>
          <w:rFonts w:ascii="Verdana" w:hAnsi="Verdana" w:cs="Verdana"/>
          <w:sz w:val="20"/>
          <w:szCs w:val="20"/>
          <w:lang w:val="es-ES"/>
        </w:rPr>
        <w:t xml:space="preserve"> e</w:t>
      </w:r>
      <w:r w:rsidR="00AF422C">
        <w:rPr>
          <w:rFonts w:ascii="Verdana" w:hAnsi="Verdana" w:cs="Verdana"/>
          <w:sz w:val="20"/>
          <w:szCs w:val="20"/>
          <w:lang w:val="es-ES"/>
        </w:rPr>
        <w:t xml:space="preserve"> informar</w:t>
      </w:r>
      <w:r w:rsidR="00044E4C">
        <w:rPr>
          <w:rFonts w:ascii="Verdana" w:hAnsi="Verdana" w:cs="Verdana"/>
          <w:sz w:val="20"/>
          <w:szCs w:val="20"/>
          <w:lang w:val="es-ES"/>
        </w:rPr>
        <w:t>e</w:t>
      </w:r>
      <w:r w:rsidR="00AF422C">
        <w:rPr>
          <w:rFonts w:ascii="Verdana" w:hAnsi="Verdana" w:cs="Verdana"/>
          <w:sz w:val="20"/>
          <w:szCs w:val="20"/>
          <w:lang w:val="es-ES"/>
        </w:rPr>
        <w:t>n</w:t>
      </w:r>
      <w:r w:rsidRPr="001C414E">
        <w:rPr>
          <w:rFonts w:ascii="Verdana" w:hAnsi="Verdana" w:cs="Verdana"/>
          <w:sz w:val="20"/>
          <w:szCs w:val="20"/>
          <w:lang w:val="es-ES"/>
        </w:rPr>
        <w:t xml:space="preserve">, por si mismos o a través de los representantes, </w:t>
      </w:r>
      <w:r w:rsidR="00AF422C">
        <w:rPr>
          <w:rFonts w:ascii="Verdana" w:hAnsi="Verdana" w:cs="Verdana"/>
          <w:sz w:val="20"/>
          <w:szCs w:val="20"/>
          <w:lang w:val="es-ES"/>
        </w:rPr>
        <w:t xml:space="preserve">al Estado </w:t>
      </w:r>
      <w:r w:rsidRPr="001C414E">
        <w:rPr>
          <w:rFonts w:ascii="Verdana" w:hAnsi="Verdana" w:cs="Verdana"/>
          <w:sz w:val="20"/>
          <w:szCs w:val="20"/>
          <w:lang w:val="es-ES"/>
        </w:rPr>
        <w:t>sobre su estadía o permanencia en el territorio guatemalteco</w:t>
      </w:r>
      <w:r>
        <w:rPr>
          <w:rFonts w:ascii="Verdana" w:hAnsi="Verdana" w:cs="Verdana"/>
          <w:sz w:val="20"/>
          <w:szCs w:val="20"/>
          <w:lang w:val="es-ES"/>
        </w:rPr>
        <w:t xml:space="preserve">, </w:t>
      </w:r>
      <w:r w:rsidR="00044E4C">
        <w:rPr>
          <w:rFonts w:ascii="Verdana" w:hAnsi="Verdana" w:cs="Verdana"/>
          <w:sz w:val="20"/>
          <w:szCs w:val="20"/>
          <w:lang w:val="es-ES"/>
        </w:rPr>
        <w:t>el Estado</w:t>
      </w:r>
      <w:r>
        <w:rPr>
          <w:rFonts w:ascii="Verdana" w:hAnsi="Verdana" w:cs="Verdana"/>
          <w:sz w:val="20"/>
          <w:szCs w:val="20"/>
          <w:lang w:val="es-ES"/>
        </w:rPr>
        <w:t xml:space="preserve"> </w:t>
      </w:r>
      <w:r w:rsidR="00044E4C">
        <w:rPr>
          <w:rFonts w:ascii="Verdana" w:hAnsi="Verdana" w:cs="Verdana"/>
          <w:sz w:val="20"/>
          <w:szCs w:val="20"/>
          <w:lang w:val="es-ES"/>
        </w:rPr>
        <w:t xml:space="preserve">deberá </w:t>
      </w:r>
      <w:r>
        <w:rPr>
          <w:rFonts w:ascii="Verdana" w:hAnsi="Verdana" w:cs="Verdana"/>
          <w:sz w:val="20"/>
          <w:szCs w:val="20"/>
          <w:lang w:val="es-ES"/>
        </w:rPr>
        <w:t>adopt</w:t>
      </w:r>
      <w:r w:rsidR="00044E4C">
        <w:rPr>
          <w:rFonts w:ascii="Verdana" w:hAnsi="Verdana" w:cs="Verdana"/>
          <w:sz w:val="20"/>
          <w:szCs w:val="20"/>
          <w:lang w:val="es-ES"/>
        </w:rPr>
        <w:t>ar</w:t>
      </w:r>
      <w:r>
        <w:rPr>
          <w:rFonts w:ascii="Verdana" w:hAnsi="Verdana" w:cs="Verdana"/>
          <w:sz w:val="20"/>
          <w:szCs w:val="20"/>
          <w:lang w:val="es-ES"/>
        </w:rPr>
        <w:t xml:space="preserve"> las medidas </w:t>
      </w:r>
      <w:r w:rsidR="00044E4C">
        <w:rPr>
          <w:rFonts w:ascii="Verdana" w:hAnsi="Verdana" w:cs="Verdana"/>
          <w:sz w:val="20"/>
          <w:szCs w:val="20"/>
          <w:lang w:val="es-ES"/>
        </w:rPr>
        <w:t xml:space="preserve">que pudieren resultar </w:t>
      </w:r>
      <w:r>
        <w:rPr>
          <w:rFonts w:ascii="Verdana" w:hAnsi="Verdana" w:cs="Verdana"/>
          <w:sz w:val="20"/>
          <w:szCs w:val="20"/>
          <w:lang w:val="es-ES"/>
        </w:rPr>
        <w:t>necesarias para darles la debida protección.</w:t>
      </w:r>
      <w:r w:rsidRPr="001C414E">
        <w:rPr>
          <w:rFonts w:ascii="Verdana" w:hAnsi="Verdana" w:cs="Verdana"/>
          <w:sz w:val="20"/>
          <w:szCs w:val="20"/>
          <w:lang w:val="es-ES"/>
        </w:rPr>
        <w:t xml:space="preserve"> </w:t>
      </w:r>
      <w:r>
        <w:rPr>
          <w:rFonts w:ascii="Verdana" w:hAnsi="Verdana" w:cs="Verdana"/>
          <w:sz w:val="20"/>
          <w:szCs w:val="20"/>
          <w:lang w:val="es-ES"/>
        </w:rPr>
        <w:t>En tanto lo anterior no suceda, el Estado no está en la obligación de adoptar medidas a favor de las personas nombradas.</w:t>
      </w:r>
    </w:p>
    <w:p w:rsidR="003F627B" w:rsidRPr="001C414E" w:rsidRDefault="003F627B" w:rsidP="003F627B">
      <w:pPr>
        <w:pStyle w:val="ListParagraph"/>
        <w:spacing w:after="0" w:line="240" w:lineRule="auto"/>
        <w:ind w:left="0"/>
        <w:jc w:val="both"/>
        <w:rPr>
          <w:rFonts w:ascii="Verdana" w:hAnsi="Verdana" w:cs="Verdana"/>
          <w:i/>
          <w:sz w:val="20"/>
          <w:szCs w:val="20"/>
          <w:lang w:val="es-ES"/>
        </w:rPr>
      </w:pPr>
    </w:p>
    <w:p w:rsidR="003F627B" w:rsidRPr="001B5104" w:rsidRDefault="003F627B" w:rsidP="000D3C49">
      <w:pPr>
        <w:pStyle w:val="ListParagraph"/>
        <w:spacing w:after="0" w:line="240" w:lineRule="auto"/>
        <w:ind w:left="567"/>
        <w:jc w:val="both"/>
        <w:rPr>
          <w:rFonts w:ascii="Verdana" w:hAnsi="Verdana"/>
          <w:b/>
          <w:i/>
          <w:sz w:val="20"/>
          <w:szCs w:val="20"/>
        </w:rPr>
      </w:pPr>
      <w:r w:rsidRPr="001B5104">
        <w:rPr>
          <w:rFonts w:ascii="Verdana" w:hAnsi="Verdana" w:cs="Verdana"/>
          <w:b/>
          <w:sz w:val="20"/>
          <w:szCs w:val="20"/>
          <w:lang w:val="es-ES"/>
        </w:rPr>
        <w:t>D.</w:t>
      </w:r>
      <w:r w:rsidRPr="001B5104">
        <w:rPr>
          <w:rFonts w:ascii="Verdana" w:hAnsi="Verdana" w:cs="Verdana"/>
          <w:b/>
          <w:i/>
          <w:sz w:val="20"/>
          <w:szCs w:val="20"/>
          <w:lang w:val="es-ES"/>
        </w:rPr>
        <w:t xml:space="preserve"> Respecto a Aron Álvarez</w:t>
      </w:r>
      <w:r w:rsidR="00B07342">
        <w:rPr>
          <w:rFonts w:ascii="Verdana" w:hAnsi="Verdana" w:cs="Verdana"/>
          <w:b/>
          <w:i/>
          <w:sz w:val="20"/>
          <w:szCs w:val="20"/>
          <w:lang w:val="es-ES"/>
        </w:rPr>
        <w:t xml:space="preserve"> </w:t>
      </w:r>
      <w:r w:rsidRPr="001B5104">
        <w:rPr>
          <w:rFonts w:ascii="Verdana" w:hAnsi="Verdana"/>
          <w:b/>
          <w:i/>
          <w:sz w:val="20"/>
          <w:szCs w:val="20"/>
        </w:rPr>
        <w:t xml:space="preserve">y </w:t>
      </w:r>
      <w:r w:rsidR="00864EF3">
        <w:rPr>
          <w:rFonts w:ascii="Verdana" w:hAnsi="Verdana"/>
          <w:b/>
          <w:i/>
          <w:sz w:val="20"/>
          <w:szCs w:val="20"/>
        </w:rPr>
        <w:t>su familia</w:t>
      </w:r>
    </w:p>
    <w:p w:rsidR="00057267" w:rsidRDefault="00057267" w:rsidP="00057267">
      <w:pPr>
        <w:pStyle w:val="ListParagraph"/>
        <w:spacing w:after="0" w:line="240" w:lineRule="auto"/>
        <w:ind w:left="0" w:right="540"/>
        <w:jc w:val="right"/>
        <w:rPr>
          <w:rFonts w:ascii="Verdana" w:hAnsi="Verdana" w:cstheme="minorHAnsi"/>
          <w:i/>
          <w:sz w:val="20"/>
          <w:szCs w:val="20"/>
          <w:lang w:val="es-ES"/>
        </w:rPr>
      </w:pPr>
    </w:p>
    <w:p w:rsidR="00057267" w:rsidRDefault="00057267" w:rsidP="000D3C49">
      <w:pPr>
        <w:pStyle w:val="ListParagraph"/>
        <w:spacing w:after="0" w:line="240" w:lineRule="auto"/>
        <w:ind w:left="993" w:right="540"/>
        <w:jc w:val="both"/>
        <w:rPr>
          <w:rFonts w:ascii="Verdana" w:hAnsi="Verdana" w:cstheme="minorHAnsi"/>
          <w:i/>
          <w:sz w:val="20"/>
          <w:szCs w:val="20"/>
          <w:lang w:val="es-ES"/>
        </w:rPr>
      </w:pPr>
      <w:r>
        <w:rPr>
          <w:rFonts w:ascii="Verdana" w:hAnsi="Verdana" w:cstheme="minorHAnsi"/>
          <w:i/>
          <w:sz w:val="20"/>
          <w:szCs w:val="20"/>
          <w:lang w:val="es-ES"/>
        </w:rPr>
        <w:t>D.1.</w:t>
      </w:r>
      <w:r w:rsidRPr="001C414E">
        <w:rPr>
          <w:rFonts w:ascii="Verdana" w:hAnsi="Verdana" w:cstheme="minorHAnsi"/>
          <w:i/>
          <w:sz w:val="20"/>
          <w:szCs w:val="20"/>
          <w:lang w:val="es-ES"/>
        </w:rPr>
        <w:t xml:space="preserve"> Sobre </w:t>
      </w:r>
      <w:r w:rsidR="00DB0C6F">
        <w:rPr>
          <w:rFonts w:ascii="Verdana" w:hAnsi="Verdana" w:cstheme="minorHAnsi"/>
          <w:i/>
          <w:sz w:val="20"/>
          <w:szCs w:val="20"/>
          <w:lang w:val="es-ES"/>
        </w:rPr>
        <w:t>la implementación de las medidas provisionales</w:t>
      </w:r>
      <w:r w:rsidRPr="001C414E">
        <w:rPr>
          <w:rFonts w:ascii="Verdana" w:hAnsi="Verdana" w:cstheme="minorHAnsi"/>
          <w:i/>
          <w:sz w:val="20"/>
          <w:szCs w:val="20"/>
          <w:lang w:val="es-ES"/>
        </w:rPr>
        <w:t xml:space="preserve"> </w:t>
      </w:r>
    </w:p>
    <w:p w:rsidR="003F627B" w:rsidRPr="000D3C49" w:rsidRDefault="003F627B" w:rsidP="003F627B">
      <w:pPr>
        <w:pStyle w:val="ListParagraph"/>
        <w:spacing w:after="0" w:line="240" w:lineRule="auto"/>
        <w:ind w:left="1080"/>
        <w:jc w:val="both"/>
        <w:rPr>
          <w:rFonts w:ascii="Verdana" w:hAnsi="Verdana"/>
          <w:i/>
          <w:sz w:val="20"/>
          <w:szCs w:val="20"/>
          <w:lang w:val="es-ES"/>
        </w:rPr>
      </w:pPr>
    </w:p>
    <w:p w:rsidR="003F627B" w:rsidRPr="00210597" w:rsidRDefault="003F627B" w:rsidP="00E5695F">
      <w:pPr>
        <w:pStyle w:val="ListParagraph"/>
        <w:numPr>
          <w:ilvl w:val="0"/>
          <w:numId w:val="34"/>
        </w:numPr>
        <w:spacing w:after="0" w:line="240" w:lineRule="auto"/>
        <w:ind w:left="0" w:firstLine="0"/>
        <w:jc w:val="both"/>
        <w:rPr>
          <w:rFonts w:ascii="Verdana" w:hAnsi="Verdana" w:cstheme="minorHAnsi"/>
          <w:sz w:val="20"/>
          <w:szCs w:val="20"/>
          <w:lang w:val="es-ES"/>
        </w:rPr>
      </w:pPr>
      <w:r w:rsidRPr="001C414E">
        <w:rPr>
          <w:rFonts w:ascii="Verdana" w:hAnsi="Verdana" w:cstheme="minorHAnsi"/>
          <w:sz w:val="20"/>
          <w:szCs w:val="20"/>
          <w:lang w:val="es-ES"/>
        </w:rPr>
        <w:t>En cuanto a la implementación de las medidas provisionales</w:t>
      </w:r>
      <w:r w:rsidR="00F8448A">
        <w:rPr>
          <w:rFonts w:ascii="Verdana" w:hAnsi="Verdana" w:cstheme="minorHAnsi"/>
          <w:sz w:val="20"/>
          <w:szCs w:val="20"/>
          <w:lang w:val="es-ES"/>
        </w:rPr>
        <w:t xml:space="preserve"> respecto a Aron Álvarez y Morelia Lili Paz</w:t>
      </w:r>
      <w:r w:rsidRPr="001C414E">
        <w:rPr>
          <w:rFonts w:ascii="Verdana" w:hAnsi="Verdana" w:cstheme="minorHAnsi"/>
          <w:sz w:val="20"/>
          <w:szCs w:val="20"/>
          <w:lang w:val="es-ES"/>
        </w:rPr>
        <w:t xml:space="preserve">, el </w:t>
      </w:r>
      <w:r w:rsidRPr="001C414E">
        <w:rPr>
          <w:rFonts w:ascii="Verdana" w:hAnsi="Verdana" w:cstheme="minorHAnsi"/>
          <w:b/>
          <w:i/>
          <w:sz w:val="20"/>
          <w:szCs w:val="20"/>
          <w:lang w:val="es-ES"/>
        </w:rPr>
        <w:t>Estado</w:t>
      </w:r>
      <w:r w:rsidRPr="001C414E">
        <w:rPr>
          <w:rFonts w:ascii="Verdana" w:hAnsi="Verdana" w:cstheme="minorHAnsi"/>
          <w:sz w:val="20"/>
          <w:szCs w:val="20"/>
          <w:lang w:val="es-ES"/>
        </w:rPr>
        <w:t xml:space="preserve"> informó</w:t>
      </w:r>
      <w:r w:rsidR="00210597" w:rsidRPr="00210597">
        <w:rPr>
          <w:rFonts w:ascii="Verdana" w:hAnsi="Verdana" w:cstheme="minorHAnsi"/>
          <w:sz w:val="20"/>
          <w:szCs w:val="20"/>
          <w:lang w:val="es-ES"/>
        </w:rPr>
        <w:t xml:space="preserve"> otros</w:t>
      </w:r>
      <w:r w:rsidRPr="00210597">
        <w:rPr>
          <w:rFonts w:ascii="Verdana" w:hAnsi="Verdana" w:cstheme="minorHAnsi"/>
          <w:sz w:val="20"/>
          <w:szCs w:val="20"/>
          <w:lang w:val="es-ES"/>
        </w:rPr>
        <w:t>:</w:t>
      </w:r>
    </w:p>
    <w:p w:rsidR="003F627B" w:rsidRDefault="003F627B" w:rsidP="003F627B">
      <w:pPr>
        <w:pStyle w:val="ListParagraph"/>
        <w:spacing w:after="0" w:line="240" w:lineRule="auto"/>
        <w:ind w:left="0"/>
        <w:jc w:val="both"/>
        <w:rPr>
          <w:rFonts w:ascii="Verdana" w:hAnsi="Verdana" w:cstheme="minorHAnsi"/>
          <w:sz w:val="20"/>
          <w:szCs w:val="20"/>
          <w:lang w:val="es-ES"/>
        </w:rPr>
      </w:pPr>
    </w:p>
    <w:p w:rsidR="003F627B" w:rsidRPr="00A570EA" w:rsidRDefault="003F627B" w:rsidP="00DB5056">
      <w:pPr>
        <w:pStyle w:val="ListParagraph"/>
        <w:numPr>
          <w:ilvl w:val="0"/>
          <w:numId w:val="40"/>
        </w:numPr>
        <w:spacing w:after="0" w:line="240" w:lineRule="auto"/>
        <w:ind w:firstLine="0"/>
        <w:jc w:val="both"/>
        <w:rPr>
          <w:rFonts w:ascii="Verdana" w:hAnsi="Verdana" w:cstheme="minorHAnsi"/>
          <w:sz w:val="20"/>
          <w:szCs w:val="20"/>
          <w:lang w:val="es-ES"/>
        </w:rPr>
      </w:pPr>
      <w:r>
        <w:rPr>
          <w:rFonts w:ascii="Verdana" w:hAnsi="Verdana" w:cstheme="minorHAnsi"/>
          <w:sz w:val="20"/>
          <w:szCs w:val="20"/>
          <w:lang w:val="es-ES"/>
        </w:rPr>
        <w:t xml:space="preserve">el 21 de septiembre de 2009, que el señor Álvarez había manifestado que “no le prestaban ningún tipo de seguridad ni a él ni a su familia, en relación a su seguridad personal, </w:t>
      </w:r>
      <w:r w:rsidR="00F8448A">
        <w:rPr>
          <w:rFonts w:ascii="Verdana" w:hAnsi="Verdana" w:cstheme="minorHAnsi"/>
          <w:sz w:val="20"/>
          <w:szCs w:val="20"/>
          <w:lang w:val="es-ES"/>
        </w:rPr>
        <w:t xml:space="preserve">[que] </w:t>
      </w:r>
      <w:r>
        <w:rPr>
          <w:rFonts w:ascii="Verdana" w:hAnsi="Verdana" w:cstheme="minorHAnsi"/>
          <w:sz w:val="20"/>
          <w:szCs w:val="20"/>
          <w:lang w:val="es-ES"/>
        </w:rPr>
        <w:t xml:space="preserve">no contaba con tal seguridad ya que era una persona de escasos recursos económicos”; </w:t>
      </w:r>
    </w:p>
    <w:p w:rsidR="003F627B" w:rsidRDefault="003F627B" w:rsidP="00DB5056">
      <w:pPr>
        <w:pStyle w:val="ListParagraph"/>
        <w:numPr>
          <w:ilvl w:val="0"/>
          <w:numId w:val="40"/>
        </w:numPr>
        <w:spacing w:after="0" w:line="240" w:lineRule="auto"/>
        <w:ind w:firstLine="0"/>
        <w:jc w:val="both"/>
        <w:rPr>
          <w:rFonts w:ascii="Verdana" w:hAnsi="Verdana" w:cstheme="minorHAnsi"/>
          <w:sz w:val="20"/>
          <w:szCs w:val="20"/>
          <w:lang w:val="es-ES"/>
        </w:rPr>
      </w:pPr>
      <w:r>
        <w:rPr>
          <w:rFonts w:ascii="Verdana" w:hAnsi="Verdana" w:cstheme="minorHAnsi"/>
          <w:sz w:val="20"/>
          <w:szCs w:val="20"/>
          <w:lang w:val="es-ES"/>
        </w:rPr>
        <w:t xml:space="preserve">el 7 de enero de 2011, que al realizarle un estudio de riesgo, se determinó que </w:t>
      </w:r>
      <w:r w:rsidR="00F8448A">
        <w:rPr>
          <w:rFonts w:ascii="Verdana" w:hAnsi="Verdana" w:cstheme="minorHAnsi"/>
          <w:sz w:val="20"/>
          <w:szCs w:val="20"/>
          <w:lang w:val="es-ES"/>
        </w:rPr>
        <w:t xml:space="preserve">se </w:t>
      </w:r>
      <w:r>
        <w:rPr>
          <w:rFonts w:ascii="Verdana" w:hAnsi="Verdana" w:cstheme="minorHAnsi"/>
          <w:sz w:val="20"/>
          <w:szCs w:val="20"/>
          <w:lang w:val="es-ES"/>
        </w:rPr>
        <w:t>requería un esquema de protección perimetral, y posterior al estudio, el señor Álvarez expuso “irregularidades en la seguridad</w:t>
      </w:r>
      <w:r w:rsidR="00A719FF">
        <w:rPr>
          <w:rFonts w:ascii="Verdana" w:hAnsi="Verdana" w:cstheme="minorHAnsi"/>
          <w:sz w:val="20"/>
          <w:szCs w:val="20"/>
          <w:lang w:val="es-ES"/>
        </w:rPr>
        <w:t>[,]</w:t>
      </w:r>
      <w:r>
        <w:rPr>
          <w:rFonts w:ascii="Verdana" w:hAnsi="Verdana" w:cstheme="minorHAnsi"/>
          <w:sz w:val="20"/>
          <w:szCs w:val="20"/>
          <w:lang w:val="es-ES"/>
        </w:rPr>
        <w:t xml:space="preserve">” por lo que el Estado había solicitado al “órgano responsable hacer efectiva la protección”; </w:t>
      </w:r>
    </w:p>
    <w:p w:rsidR="00FD760D" w:rsidRPr="000D3C49" w:rsidRDefault="00DB5056" w:rsidP="00DB5056">
      <w:pPr>
        <w:pStyle w:val="ListParagraph"/>
        <w:numPr>
          <w:ilvl w:val="0"/>
          <w:numId w:val="40"/>
        </w:numPr>
        <w:spacing w:after="0" w:line="240" w:lineRule="auto"/>
        <w:ind w:firstLine="0"/>
        <w:jc w:val="both"/>
        <w:rPr>
          <w:rFonts w:ascii="Verdana" w:hAnsi="Verdana" w:cs="Verdana"/>
          <w:sz w:val="20"/>
          <w:szCs w:val="20"/>
          <w:lang w:val="es-ES"/>
        </w:rPr>
      </w:pPr>
      <w:r w:rsidRPr="000D3C49">
        <w:rPr>
          <w:rFonts w:ascii="Verdana" w:hAnsi="Verdana" w:cstheme="minorHAnsi"/>
          <w:sz w:val="20"/>
          <w:szCs w:val="20"/>
          <w:lang w:val="es-ES"/>
        </w:rPr>
        <w:t>e</w:t>
      </w:r>
      <w:r w:rsidR="00FD760D" w:rsidRPr="000D3C49">
        <w:rPr>
          <w:rFonts w:ascii="Verdana" w:hAnsi="Verdana" w:cstheme="minorHAnsi"/>
          <w:sz w:val="20"/>
          <w:szCs w:val="20"/>
          <w:lang w:val="es-ES"/>
        </w:rPr>
        <w:t>l 12 de agosto de 2016</w:t>
      </w:r>
      <w:r w:rsidR="00F8448A" w:rsidRPr="000D3C49">
        <w:rPr>
          <w:rFonts w:ascii="Verdana" w:hAnsi="Verdana" w:cstheme="minorHAnsi"/>
          <w:sz w:val="20"/>
          <w:szCs w:val="20"/>
          <w:lang w:val="es-ES"/>
        </w:rPr>
        <w:t>,</w:t>
      </w:r>
      <w:r w:rsidR="00FD760D" w:rsidRPr="000D3C49">
        <w:rPr>
          <w:rFonts w:ascii="Verdana" w:hAnsi="Verdana" w:cstheme="minorHAnsi"/>
          <w:sz w:val="20"/>
          <w:szCs w:val="20"/>
          <w:lang w:val="es-ES"/>
        </w:rPr>
        <w:t xml:space="preserve"> </w:t>
      </w:r>
      <w:r w:rsidR="00F8448A" w:rsidRPr="000D3C49">
        <w:rPr>
          <w:rFonts w:ascii="Verdana" w:hAnsi="Verdana" w:cstheme="minorHAnsi"/>
          <w:sz w:val="20"/>
          <w:szCs w:val="20"/>
          <w:lang w:val="es-ES"/>
        </w:rPr>
        <w:t>q</w:t>
      </w:r>
      <w:r w:rsidR="00FD760D" w:rsidRPr="000D3C49">
        <w:rPr>
          <w:rFonts w:ascii="Verdana" w:hAnsi="Verdana" w:cstheme="minorHAnsi"/>
          <w:sz w:val="20"/>
          <w:szCs w:val="20"/>
          <w:lang w:val="es-ES"/>
        </w:rPr>
        <w:t>ue el 3 de abril de ese año “analistas de la División de Protección a Personas y Seguridad de la Policía Nacional Civil, evaluaron la situación de riesgo del señor Arón Álvarez Mendoza y familia, determinándose que se encuentran en una situación de riesgo medio”.</w:t>
      </w:r>
      <w:r w:rsidR="00F07A12" w:rsidRPr="000D3C49">
        <w:rPr>
          <w:rFonts w:ascii="Verdana" w:hAnsi="Verdana" w:cstheme="minorHAnsi"/>
          <w:sz w:val="20"/>
          <w:szCs w:val="20"/>
          <w:lang w:val="es-ES"/>
        </w:rPr>
        <w:t xml:space="preserve"> </w:t>
      </w:r>
      <w:r w:rsidR="00D719EB" w:rsidRPr="000D3C49">
        <w:rPr>
          <w:rFonts w:ascii="Verdana" w:hAnsi="Verdana" w:cstheme="minorHAnsi"/>
          <w:sz w:val="20"/>
          <w:szCs w:val="20"/>
          <w:lang w:val="es-ES"/>
        </w:rPr>
        <w:t>Agregó que “se implementó un esquema de seguridad perimetral con la modalidad de recorridos perimetrales periódicos, estacionándose [una] patrulla […] cerca de la residencia”, y “se proporcionaron números telefónicos a los que [ellos] pueden llamar en caso de emergencia”.</w:t>
      </w:r>
    </w:p>
    <w:p w:rsidR="003F627B" w:rsidRPr="001C414E" w:rsidRDefault="003F627B" w:rsidP="003F627B">
      <w:pPr>
        <w:spacing w:after="0" w:line="240" w:lineRule="auto"/>
        <w:jc w:val="both"/>
        <w:rPr>
          <w:rFonts w:ascii="Verdana" w:hAnsi="Verdana" w:cstheme="minorHAnsi"/>
          <w:sz w:val="20"/>
          <w:szCs w:val="20"/>
          <w:lang w:val="es-ES"/>
        </w:rPr>
      </w:pPr>
    </w:p>
    <w:p w:rsidR="003F627B" w:rsidRDefault="003F627B" w:rsidP="00E5695F">
      <w:pPr>
        <w:pStyle w:val="ListParagraph"/>
        <w:numPr>
          <w:ilvl w:val="0"/>
          <w:numId w:val="34"/>
        </w:numPr>
        <w:spacing w:after="0" w:line="240" w:lineRule="auto"/>
        <w:ind w:left="0" w:firstLine="0"/>
        <w:jc w:val="both"/>
        <w:rPr>
          <w:rFonts w:ascii="Verdana" w:hAnsi="Verdana" w:cstheme="minorHAnsi"/>
          <w:sz w:val="20"/>
          <w:szCs w:val="20"/>
          <w:lang w:val="es-ES"/>
        </w:rPr>
      </w:pPr>
      <w:r w:rsidRPr="001C414E">
        <w:rPr>
          <w:rFonts w:ascii="Verdana" w:hAnsi="Verdana" w:cstheme="minorHAnsi"/>
          <w:sz w:val="20"/>
          <w:szCs w:val="20"/>
          <w:lang w:val="es-ES"/>
        </w:rPr>
        <w:t xml:space="preserve">Al respecto, los </w:t>
      </w:r>
      <w:r w:rsidRPr="001C414E">
        <w:rPr>
          <w:rFonts w:ascii="Verdana" w:hAnsi="Verdana" w:cstheme="minorHAnsi"/>
          <w:b/>
          <w:i/>
          <w:sz w:val="20"/>
          <w:szCs w:val="20"/>
          <w:lang w:val="es-ES"/>
        </w:rPr>
        <w:t>representantes</w:t>
      </w:r>
      <w:r w:rsidRPr="001C414E">
        <w:rPr>
          <w:rFonts w:ascii="Verdana" w:hAnsi="Verdana" w:cstheme="minorHAnsi"/>
          <w:sz w:val="20"/>
          <w:szCs w:val="20"/>
          <w:lang w:val="es-ES"/>
        </w:rPr>
        <w:t xml:space="preserve"> </w:t>
      </w:r>
      <w:r w:rsidR="00AA4F6E" w:rsidRPr="000D3C49">
        <w:rPr>
          <w:rFonts w:ascii="Verdana" w:hAnsi="Verdana" w:cstheme="minorHAnsi"/>
          <w:sz w:val="20"/>
          <w:szCs w:val="20"/>
          <w:lang w:val="es-ES"/>
        </w:rPr>
        <w:t>en sus observaciones</w:t>
      </w:r>
      <w:r w:rsidR="00AA4F6E">
        <w:rPr>
          <w:rFonts w:ascii="Verdana" w:hAnsi="Verdana" w:cstheme="minorHAnsi"/>
          <w:sz w:val="20"/>
          <w:szCs w:val="20"/>
          <w:lang w:val="es-ES"/>
        </w:rPr>
        <w:t xml:space="preserve"> </w:t>
      </w:r>
      <w:r w:rsidRPr="001C414E">
        <w:rPr>
          <w:rFonts w:ascii="Verdana" w:hAnsi="Verdana" w:cstheme="minorHAnsi"/>
          <w:sz w:val="20"/>
          <w:szCs w:val="20"/>
          <w:lang w:val="es-ES"/>
        </w:rPr>
        <w:t xml:space="preserve">adujeron: </w:t>
      </w:r>
    </w:p>
    <w:p w:rsidR="00A81FDA" w:rsidRPr="0016190F" w:rsidRDefault="00A81FDA" w:rsidP="0016190F">
      <w:pPr>
        <w:spacing w:after="0" w:line="240" w:lineRule="auto"/>
        <w:jc w:val="both"/>
        <w:rPr>
          <w:rFonts w:ascii="Verdana" w:hAnsi="Verdana" w:cs="Verdana"/>
          <w:sz w:val="20"/>
          <w:szCs w:val="20"/>
          <w:lang w:val="es-ES"/>
        </w:rPr>
      </w:pPr>
    </w:p>
    <w:p w:rsidR="00A81FDA" w:rsidRPr="001C414E" w:rsidRDefault="00A81FDA" w:rsidP="00A81FDA">
      <w:pPr>
        <w:pStyle w:val="ListParagraph"/>
        <w:numPr>
          <w:ilvl w:val="0"/>
          <w:numId w:val="15"/>
        </w:numPr>
        <w:spacing w:line="240" w:lineRule="auto"/>
        <w:ind w:firstLine="0"/>
        <w:jc w:val="both"/>
        <w:rPr>
          <w:rFonts w:ascii="Verdana" w:hAnsi="Verdana" w:cstheme="minorHAnsi"/>
          <w:sz w:val="20"/>
          <w:szCs w:val="20"/>
          <w:lang w:val="es-ES"/>
        </w:rPr>
      </w:pPr>
      <w:r w:rsidRPr="001C414E">
        <w:rPr>
          <w:rFonts w:ascii="Verdana" w:hAnsi="Verdana" w:cs="Verdana"/>
          <w:sz w:val="20"/>
          <w:szCs w:val="20"/>
          <w:lang w:val="es-ES"/>
        </w:rPr>
        <w:t>el 27 de mayo de 2015, que el señor Aron Álvarez había manifestado que desde mayo de 2014, no había “observado los patrullajes policiales perimetrales cerca de su domicilio” y que además, “la última visita rutinaria de la PN</w:t>
      </w:r>
      <w:r>
        <w:rPr>
          <w:rFonts w:ascii="Verdana" w:hAnsi="Verdana" w:cs="Verdana"/>
          <w:sz w:val="20"/>
          <w:szCs w:val="20"/>
          <w:lang w:val="es-ES"/>
        </w:rPr>
        <w:t xml:space="preserve">C se </w:t>
      </w:r>
      <w:r w:rsidR="00F8448A">
        <w:rPr>
          <w:rFonts w:ascii="Verdana" w:hAnsi="Verdana" w:cs="Verdana"/>
          <w:sz w:val="20"/>
          <w:szCs w:val="20"/>
          <w:lang w:val="es-ES"/>
        </w:rPr>
        <w:t xml:space="preserve">[había] </w:t>
      </w:r>
      <w:r>
        <w:rPr>
          <w:rFonts w:ascii="Verdana" w:hAnsi="Verdana" w:cs="Verdana"/>
          <w:sz w:val="20"/>
          <w:szCs w:val="20"/>
          <w:lang w:val="es-ES"/>
        </w:rPr>
        <w:t>produ</w:t>
      </w:r>
      <w:r w:rsidR="00F8448A">
        <w:rPr>
          <w:rFonts w:ascii="Verdana" w:hAnsi="Verdana" w:cs="Verdana"/>
          <w:sz w:val="20"/>
          <w:szCs w:val="20"/>
          <w:lang w:val="es-ES"/>
        </w:rPr>
        <w:t>[cido]</w:t>
      </w:r>
      <w:r>
        <w:rPr>
          <w:rFonts w:ascii="Verdana" w:hAnsi="Verdana" w:cs="Verdana"/>
          <w:sz w:val="20"/>
          <w:szCs w:val="20"/>
          <w:lang w:val="es-ES"/>
        </w:rPr>
        <w:t xml:space="preserve"> hac[ía] dos meses”;</w:t>
      </w:r>
    </w:p>
    <w:p w:rsidR="00A81FDA" w:rsidRDefault="00A81FDA" w:rsidP="00A81FDA">
      <w:pPr>
        <w:pStyle w:val="ListParagraph"/>
        <w:numPr>
          <w:ilvl w:val="0"/>
          <w:numId w:val="15"/>
        </w:numPr>
        <w:spacing w:after="0" w:line="240" w:lineRule="auto"/>
        <w:ind w:firstLine="0"/>
        <w:jc w:val="both"/>
        <w:rPr>
          <w:rFonts w:ascii="Verdana" w:hAnsi="Verdana" w:cstheme="minorHAnsi"/>
          <w:sz w:val="20"/>
          <w:szCs w:val="20"/>
          <w:lang w:val="es-ES"/>
        </w:rPr>
      </w:pPr>
      <w:r w:rsidRPr="001C414E">
        <w:rPr>
          <w:rFonts w:ascii="Verdana" w:hAnsi="Verdana" w:cstheme="minorHAnsi"/>
          <w:sz w:val="20"/>
          <w:szCs w:val="20"/>
          <w:lang w:val="es-ES"/>
        </w:rPr>
        <w:t xml:space="preserve">el 1 de abril de 2016, que los “patrullajes domiciliares” tampoco se llevaron a cabo y que el señor Álvarez se separó temporalmente de su familia “para no exponerles a sufrir ningún daño”. Los representantes expresaron que el mismo día del envío del informe, se habían comunicado con las oficinas de la COPREDEH, quienes les informaron que estaban realizando las gestiones pertinentes para “resguardar la integridad” del beneficiario y su familia a la mayor brevedad posible. Sumado a lo anterior, reiteraron que los patrullajes policiales diarios cerca del domicilio del señor Álvarez, habían dejado de implementarse en mayo de 2014, y no se habían reanudado. Además, destacaron que la última visita rutinaria de la PNC se había dado en febrero de 2015. </w:t>
      </w:r>
      <w:r w:rsidRPr="000D3C49">
        <w:rPr>
          <w:rFonts w:ascii="Verdana" w:hAnsi="Verdana" w:cstheme="minorHAnsi"/>
          <w:sz w:val="20"/>
          <w:szCs w:val="20"/>
          <w:lang w:val="es-ES"/>
        </w:rPr>
        <w:t>S</w:t>
      </w:r>
      <w:r w:rsidRPr="001C414E">
        <w:rPr>
          <w:rFonts w:ascii="Verdana" w:hAnsi="Verdana" w:cstheme="minorHAnsi"/>
          <w:sz w:val="20"/>
          <w:szCs w:val="20"/>
          <w:lang w:val="es-ES"/>
        </w:rPr>
        <w:t>olicitaron que la Corte requiriera al Estado para que adoptara las “acciones pertinentes para la inmediata y adecuada reinstalación e implementación de la protección”</w:t>
      </w:r>
      <w:r>
        <w:rPr>
          <w:rFonts w:ascii="Verdana" w:hAnsi="Verdana" w:cstheme="minorHAnsi"/>
          <w:sz w:val="20"/>
          <w:szCs w:val="20"/>
          <w:lang w:val="es-ES"/>
        </w:rPr>
        <w:t>, y</w:t>
      </w:r>
      <w:r w:rsidRPr="001C414E">
        <w:rPr>
          <w:rFonts w:ascii="Verdana" w:hAnsi="Verdana" w:cstheme="minorHAnsi"/>
          <w:sz w:val="20"/>
          <w:szCs w:val="20"/>
          <w:lang w:val="es-ES"/>
        </w:rPr>
        <w:t xml:space="preserve"> </w:t>
      </w:r>
    </w:p>
    <w:p w:rsidR="00A81FDA" w:rsidRPr="000D3C49" w:rsidRDefault="00A81FDA" w:rsidP="00A81FDA">
      <w:pPr>
        <w:pStyle w:val="ListParagraph"/>
        <w:numPr>
          <w:ilvl w:val="0"/>
          <w:numId w:val="15"/>
        </w:numPr>
        <w:spacing w:after="0" w:line="240" w:lineRule="auto"/>
        <w:ind w:firstLine="0"/>
        <w:jc w:val="both"/>
        <w:rPr>
          <w:rFonts w:ascii="Verdana" w:hAnsi="Verdana" w:cstheme="minorHAnsi"/>
          <w:sz w:val="20"/>
          <w:szCs w:val="20"/>
          <w:lang w:val="es-ES"/>
        </w:rPr>
      </w:pPr>
      <w:r w:rsidRPr="000D3C49">
        <w:rPr>
          <w:rFonts w:ascii="Verdana" w:hAnsi="Verdana" w:cstheme="minorHAnsi"/>
          <w:sz w:val="20"/>
          <w:szCs w:val="20"/>
          <w:lang w:val="es-ES"/>
        </w:rPr>
        <w:t>el 11 de agosto de 2016, que pese a nuevos hechos contra el señor Álvarez y Morelia Lili Paz (</w:t>
      </w:r>
      <w:r w:rsidRPr="000D3C49">
        <w:rPr>
          <w:rFonts w:ascii="Verdana" w:hAnsi="Verdana" w:cstheme="minorHAnsi"/>
          <w:i/>
          <w:sz w:val="20"/>
          <w:szCs w:val="20"/>
          <w:lang w:val="es-ES"/>
        </w:rPr>
        <w:t xml:space="preserve">infra </w:t>
      </w:r>
      <w:r w:rsidRPr="000D3C49">
        <w:rPr>
          <w:rFonts w:ascii="Verdana" w:hAnsi="Verdana" w:cstheme="minorHAnsi"/>
          <w:sz w:val="20"/>
          <w:szCs w:val="20"/>
          <w:lang w:val="es-ES"/>
        </w:rPr>
        <w:t>Considerando</w:t>
      </w:r>
      <w:r w:rsidR="0063186B" w:rsidRPr="000D3C49">
        <w:rPr>
          <w:rFonts w:ascii="Verdana" w:hAnsi="Verdana" w:cstheme="minorHAnsi"/>
          <w:sz w:val="20"/>
          <w:szCs w:val="20"/>
          <w:lang w:val="es-ES"/>
        </w:rPr>
        <w:t>s</w:t>
      </w:r>
      <w:r w:rsidRPr="000D3C49">
        <w:rPr>
          <w:rFonts w:ascii="Verdana" w:hAnsi="Verdana" w:cstheme="minorHAnsi"/>
          <w:sz w:val="20"/>
          <w:szCs w:val="20"/>
          <w:lang w:val="es-ES"/>
        </w:rPr>
        <w:t xml:space="preserve"> </w:t>
      </w:r>
      <w:r w:rsidR="0063186B" w:rsidRPr="000D3C49">
        <w:rPr>
          <w:rFonts w:ascii="Verdana" w:hAnsi="Verdana" w:cstheme="minorHAnsi"/>
          <w:sz w:val="20"/>
          <w:szCs w:val="20"/>
          <w:lang w:val="es-ES"/>
        </w:rPr>
        <w:t xml:space="preserve">41, 42 </w:t>
      </w:r>
      <w:r w:rsidR="00BF6299">
        <w:rPr>
          <w:rFonts w:ascii="Verdana" w:hAnsi="Verdana" w:cstheme="minorHAnsi"/>
          <w:sz w:val="20"/>
          <w:szCs w:val="20"/>
          <w:lang w:val="es-ES"/>
        </w:rPr>
        <w:t xml:space="preserve">y </w:t>
      </w:r>
      <w:r w:rsidR="0063186B" w:rsidRPr="000D3C49">
        <w:rPr>
          <w:rFonts w:ascii="Verdana" w:hAnsi="Verdana" w:cstheme="minorHAnsi"/>
          <w:sz w:val="20"/>
          <w:szCs w:val="20"/>
          <w:lang w:val="es-ES"/>
        </w:rPr>
        <w:t>43</w:t>
      </w:r>
      <w:r w:rsidRPr="000D3C49">
        <w:rPr>
          <w:rFonts w:ascii="Verdana" w:hAnsi="Verdana" w:cstheme="minorHAnsi"/>
          <w:sz w:val="20"/>
          <w:szCs w:val="20"/>
          <w:lang w:val="es-ES"/>
        </w:rPr>
        <w:t xml:space="preserve">), “no fue sino hasta el […] 16 de julio de [2016] que las personas beneficiarias comenzaron a observar durante algunas semanas </w:t>
      </w:r>
      <w:r w:rsidRPr="000D3C49">
        <w:rPr>
          <w:rFonts w:ascii="Verdana" w:hAnsi="Verdana" w:cstheme="minorHAnsi"/>
          <w:sz w:val="20"/>
          <w:szCs w:val="20"/>
          <w:lang w:val="es-ES"/>
        </w:rPr>
        <w:lastRenderedPageBreak/>
        <w:t xml:space="preserve">que una patrulla policial pasa irregularmente por los alrededores de su domicilio”. Agregaron que el 24 de mayo de 2016 se dirigieron a las autoridades </w:t>
      </w:r>
      <w:r w:rsidR="00F8448A" w:rsidRPr="000D3C49">
        <w:rPr>
          <w:rFonts w:ascii="Verdana" w:hAnsi="Verdana" w:cstheme="minorHAnsi"/>
          <w:sz w:val="20"/>
          <w:szCs w:val="20"/>
          <w:lang w:val="es-ES"/>
        </w:rPr>
        <w:t>e</w:t>
      </w:r>
      <w:r w:rsidRPr="000D3C49">
        <w:rPr>
          <w:rFonts w:ascii="Verdana" w:hAnsi="Verdana" w:cstheme="minorHAnsi"/>
          <w:sz w:val="20"/>
          <w:szCs w:val="20"/>
          <w:lang w:val="es-ES"/>
        </w:rPr>
        <w:t>stales pertinentes para solicitar información sobre la reinstauración de los patrullajes en el domicilio de las personas beneficiarias, sin que obtuvieran respuesta</w:t>
      </w:r>
      <w:r w:rsidR="00D719EB" w:rsidRPr="000D3C49">
        <w:rPr>
          <w:rFonts w:ascii="Verdana" w:hAnsi="Verdana" w:cstheme="minorHAnsi"/>
          <w:sz w:val="20"/>
          <w:szCs w:val="20"/>
          <w:lang w:val="es-ES"/>
        </w:rPr>
        <w:t xml:space="preserve"> (</w:t>
      </w:r>
      <w:r w:rsidR="00D719EB" w:rsidRPr="000D3C49">
        <w:rPr>
          <w:rFonts w:ascii="Verdana" w:hAnsi="Verdana" w:cstheme="minorHAnsi"/>
          <w:i/>
          <w:sz w:val="20"/>
          <w:szCs w:val="20"/>
          <w:lang w:val="es-ES"/>
        </w:rPr>
        <w:t>infra</w:t>
      </w:r>
      <w:r w:rsidR="00F8448A" w:rsidRPr="000D3C49">
        <w:rPr>
          <w:rFonts w:ascii="Verdana" w:hAnsi="Verdana" w:cstheme="minorHAnsi"/>
          <w:i/>
          <w:sz w:val="20"/>
          <w:szCs w:val="20"/>
          <w:lang w:val="es-ES"/>
        </w:rPr>
        <w:t xml:space="preserve"> </w:t>
      </w:r>
      <w:r w:rsidR="003D1A61" w:rsidRPr="000D3C49">
        <w:rPr>
          <w:rFonts w:ascii="Verdana" w:hAnsi="Verdana" w:cstheme="minorHAnsi"/>
          <w:sz w:val="20"/>
          <w:szCs w:val="20"/>
          <w:lang w:val="es-ES"/>
        </w:rPr>
        <w:t>Considerando 42</w:t>
      </w:r>
      <w:r w:rsidR="00D719EB" w:rsidRPr="000D3C49">
        <w:rPr>
          <w:rFonts w:ascii="Verdana" w:hAnsi="Verdana" w:cstheme="minorHAnsi"/>
          <w:sz w:val="20"/>
          <w:szCs w:val="20"/>
          <w:lang w:val="es-ES"/>
        </w:rPr>
        <w:t>)</w:t>
      </w:r>
      <w:r w:rsidRPr="000D3C49">
        <w:rPr>
          <w:rFonts w:ascii="Verdana" w:hAnsi="Verdana" w:cstheme="minorHAnsi"/>
          <w:sz w:val="20"/>
          <w:szCs w:val="20"/>
          <w:lang w:val="es-ES"/>
        </w:rPr>
        <w:t>.</w:t>
      </w:r>
    </w:p>
    <w:p w:rsidR="00A81FDA" w:rsidRPr="001C414E" w:rsidRDefault="00A81FDA" w:rsidP="00A81FDA">
      <w:pPr>
        <w:spacing w:after="0" w:line="240" w:lineRule="auto"/>
        <w:jc w:val="both"/>
        <w:rPr>
          <w:rFonts w:ascii="Verdana" w:hAnsi="Verdana" w:cstheme="minorHAnsi"/>
          <w:sz w:val="20"/>
          <w:szCs w:val="20"/>
          <w:lang w:val="es-ES"/>
        </w:rPr>
      </w:pPr>
    </w:p>
    <w:p w:rsidR="00A81FDA" w:rsidRPr="004A5B9D" w:rsidRDefault="00A81FDA" w:rsidP="004A5B9D">
      <w:pPr>
        <w:pStyle w:val="ListParagraph"/>
        <w:numPr>
          <w:ilvl w:val="0"/>
          <w:numId w:val="34"/>
        </w:numPr>
        <w:spacing w:after="0" w:line="240" w:lineRule="auto"/>
        <w:ind w:left="0" w:firstLine="0"/>
        <w:jc w:val="both"/>
        <w:rPr>
          <w:rFonts w:ascii="Verdana" w:hAnsi="Verdana" w:cstheme="minorHAnsi"/>
          <w:sz w:val="20"/>
          <w:szCs w:val="20"/>
          <w:lang w:val="es-ES"/>
        </w:rPr>
      </w:pPr>
      <w:r w:rsidRPr="004A5B9D">
        <w:rPr>
          <w:rFonts w:ascii="Verdana" w:hAnsi="Verdana" w:cstheme="minorHAnsi"/>
          <w:sz w:val="20"/>
          <w:szCs w:val="20"/>
          <w:lang w:val="es-ES"/>
        </w:rPr>
        <w:t xml:space="preserve">Por su parte, la </w:t>
      </w:r>
      <w:r w:rsidRPr="004A5B9D">
        <w:rPr>
          <w:rFonts w:ascii="Verdana" w:hAnsi="Verdana" w:cstheme="minorHAnsi"/>
          <w:b/>
          <w:i/>
          <w:sz w:val="20"/>
          <w:szCs w:val="20"/>
          <w:lang w:val="es-ES"/>
        </w:rPr>
        <w:t>Comisión</w:t>
      </w:r>
      <w:r w:rsidRPr="004A5B9D">
        <w:rPr>
          <w:rFonts w:ascii="Verdana" w:hAnsi="Verdana" w:cstheme="minorHAnsi"/>
          <w:sz w:val="20"/>
          <w:szCs w:val="20"/>
          <w:lang w:val="es-ES"/>
        </w:rPr>
        <w:t xml:space="preserve"> no hizo señalamientos en concreto, sin embargo, reiteró lo indicado respecto a todos los beneficiarios (</w:t>
      </w:r>
      <w:r w:rsidRPr="004A5B9D">
        <w:rPr>
          <w:rFonts w:ascii="Verdana" w:hAnsi="Verdana" w:cstheme="minorHAnsi"/>
          <w:i/>
          <w:sz w:val="20"/>
          <w:szCs w:val="20"/>
          <w:lang w:val="es-ES"/>
        </w:rPr>
        <w:t>supra</w:t>
      </w:r>
      <w:r w:rsidRPr="004A5B9D">
        <w:rPr>
          <w:rFonts w:ascii="Verdana" w:hAnsi="Verdana" w:cstheme="minorHAnsi"/>
          <w:sz w:val="20"/>
          <w:szCs w:val="20"/>
          <w:lang w:val="es-ES"/>
        </w:rPr>
        <w:t xml:space="preserve"> </w:t>
      </w:r>
      <w:r w:rsidR="003C1B51">
        <w:rPr>
          <w:rFonts w:ascii="Verdana" w:hAnsi="Verdana" w:cstheme="minorHAnsi"/>
          <w:sz w:val="20"/>
          <w:szCs w:val="20"/>
          <w:lang w:val="es-ES"/>
        </w:rPr>
        <w:t>Considerando 26</w:t>
      </w:r>
      <w:r w:rsidR="003C1B51" w:rsidRPr="004A5B9D">
        <w:rPr>
          <w:rFonts w:ascii="Verdana" w:hAnsi="Verdana" w:cstheme="minorHAnsi"/>
          <w:sz w:val="20"/>
          <w:szCs w:val="20"/>
          <w:lang w:val="es-ES"/>
        </w:rPr>
        <w:t>).</w:t>
      </w:r>
    </w:p>
    <w:p w:rsidR="00A81FDA" w:rsidRDefault="00A81FDA" w:rsidP="004A5B9D">
      <w:pPr>
        <w:spacing w:after="0" w:line="240" w:lineRule="auto"/>
        <w:jc w:val="both"/>
        <w:rPr>
          <w:rFonts w:ascii="Verdana" w:hAnsi="Verdana" w:cs="Verdana"/>
          <w:b/>
          <w:sz w:val="20"/>
          <w:szCs w:val="20"/>
          <w:lang w:val="es-ES"/>
        </w:rPr>
      </w:pPr>
    </w:p>
    <w:p w:rsidR="00DB0C6F" w:rsidRDefault="00DB0C6F" w:rsidP="000D3C49">
      <w:pPr>
        <w:pStyle w:val="ListParagraph"/>
        <w:spacing w:after="0" w:line="240" w:lineRule="auto"/>
        <w:ind w:left="709" w:right="540"/>
        <w:jc w:val="both"/>
        <w:rPr>
          <w:rFonts w:ascii="Verdana" w:hAnsi="Verdana" w:cstheme="minorHAnsi"/>
          <w:i/>
          <w:sz w:val="20"/>
          <w:szCs w:val="20"/>
          <w:lang w:val="es-ES"/>
        </w:rPr>
      </w:pPr>
      <w:r>
        <w:rPr>
          <w:rFonts w:ascii="Verdana" w:hAnsi="Verdana" w:cstheme="minorHAnsi"/>
          <w:i/>
          <w:sz w:val="20"/>
          <w:szCs w:val="20"/>
          <w:lang w:val="es-ES"/>
        </w:rPr>
        <w:t>D.2.</w:t>
      </w:r>
      <w:r w:rsidRPr="001C414E">
        <w:rPr>
          <w:rFonts w:ascii="Verdana" w:hAnsi="Verdana" w:cstheme="minorHAnsi"/>
          <w:i/>
          <w:sz w:val="20"/>
          <w:szCs w:val="20"/>
          <w:lang w:val="es-ES"/>
        </w:rPr>
        <w:t xml:space="preserve"> Sobre </w:t>
      </w:r>
      <w:r>
        <w:rPr>
          <w:rFonts w:ascii="Verdana" w:hAnsi="Verdana" w:cstheme="minorHAnsi"/>
          <w:i/>
          <w:sz w:val="20"/>
          <w:szCs w:val="20"/>
          <w:lang w:val="es-ES"/>
        </w:rPr>
        <w:t>la situación anterior a 2016</w:t>
      </w:r>
      <w:r w:rsidRPr="001C414E">
        <w:rPr>
          <w:rFonts w:ascii="Verdana" w:hAnsi="Verdana" w:cstheme="minorHAnsi"/>
          <w:i/>
          <w:sz w:val="20"/>
          <w:szCs w:val="20"/>
          <w:lang w:val="es-ES"/>
        </w:rPr>
        <w:t xml:space="preserve"> </w:t>
      </w:r>
    </w:p>
    <w:p w:rsidR="00DB0C6F" w:rsidRPr="001C414E" w:rsidRDefault="00DB0C6F" w:rsidP="004A5B9D">
      <w:pPr>
        <w:spacing w:after="0" w:line="240" w:lineRule="auto"/>
        <w:jc w:val="both"/>
        <w:rPr>
          <w:rFonts w:ascii="Verdana" w:hAnsi="Verdana" w:cs="Verdana"/>
          <w:b/>
          <w:sz w:val="20"/>
          <w:szCs w:val="20"/>
          <w:lang w:val="es-ES"/>
        </w:rPr>
      </w:pPr>
    </w:p>
    <w:p w:rsidR="00A81FDA" w:rsidRPr="004A5B9D" w:rsidRDefault="00A81FDA" w:rsidP="004A5B9D">
      <w:pPr>
        <w:pStyle w:val="ListParagraph"/>
        <w:numPr>
          <w:ilvl w:val="0"/>
          <w:numId w:val="34"/>
        </w:numPr>
        <w:spacing w:after="0" w:line="240" w:lineRule="auto"/>
        <w:ind w:left="0" w:firstLine="0"/>
        <w:jc w:val="both"/>
        <w:rPr>
          <w:rFonts w:ascii="Verdana" w:hAnsi="Verdana" w:cs="Verdana"/>
          <w:sz w:val="20"/>
          <w:szCs w:val="20"/>
          <w:lang w:val="es-ES"/>
        </w:rPr>
      </w:pPr>
      <w:r w:rsidRPr="004A5B9D">
        <w:rPr>
          <w:rFonts w:ascii="Verdana" w:hAnsi="Verdana" w:cs="Verdana"/>
          <w:sz w:val="20"/>
          <w:szCs w:val="20"/>
          <w:lang w:val="es-ES"/>
        </w:rPr>
        <w:t xml:space="preserve">En cuanto a la situación de riesgo de los beneficiarios, </w:t>
      </w:r>
      <w:r w:rsidRPr="000D3C49">
        <w:rPr>
          <w:rFonts w:ascii="Verdana" w:hAnsi="Verdana" w:cs="Verdana"/>
          <w:sz w:val="20"/>
          <w:szCs w:val="20"/>
          <w:lang w:val="es-ES"/>
        </w:rPr>
        <w:t>el</w:t>
      </w:r>
      <w:r w:rsidRPr="004A5B9D">
        <w:rPr>
          <w:rFonts w:ascii="Verdana" w:hAnsi="Verdana" w:cs="Verdana"/>
          <w:b/>
          <w:sz w:val="20"/>
          <w:szCs w:val="20"/>
          <w:lang w:val="es-ES"/>
        </w:rPr>
        <w:t xml:space="preserve"> </w:t>
      </w:r>
      <w:r w:rsidRPr="004A5B9D">
        <w:rPr>
          <w:rFonts w:ascii="Verdana" w:hAnsi="Verdana" w:cs="Verdana"/>
          <w:b/>
          <w:i/>
          <w:sz w:val="20"/>
          <w:szCs w:val="20"/>
          <w:lang w:val="es-ES"/>
        </w:rPr>
        <w:t>Estado</w:t>
      </w:r>
      <w:r w:rsidRPr="004A5B9D">
        <w:rPr>
          <w:rFonts w:ascii="Verdana" w:hAnsi="Verdana" w:cs="Verdana"/>
          <w:b/>
          <w:sz w:val="20"/>
          <w:szCs w:val="20"/>
          <w:lang w:val="es-ES"/>
        </w:rPr>
        <w:t xml:space="preserve"> </w:t>
      </w:r>
      <w:r w:rsidRPr="004A5B9D">
        <w:rPr>
          <w:rFonts w:ascii="Verdana" w:hAnsi="Verdana" w:cs="Verdana"/>
          <w:sz w:val="20"/>
          <w:szCs w:val="20"/>
          <w:lang w:val="es-ES"/>
        </w:rPr>
        <w:t>informó</w:t>
      </w:r>
      <w:r w:rsidR="004A5B9D">
        <w:rPr>
          <w:rFonts w:ascii="Verdana" w:hAnsi="Verdana" w:cs="Verdana"/>
          <w:sz w:val="20"/>
          <w:szCs w:val="20"/>
          <w:lang w:val="es-ES"/>
        </w:rPr>
        <w:t xml:space="preserve"> </w:t>
      </w:r>
      <w:r w:rsidRPr="004A5B9D">
        <w:rPr>
          <w:rFonts w:ascii="Verdana" w:hAnsi="Verdana" w:cs="Verdana"/>
          <w:sz w:val="20"/>
          <w:szCs w:val="20"/>
          <w:lang w:val="es-ES"/>
        </w:rPr>
        <w:t>el 7 de enero de 2011, que el señor Álvarez no había denunciado las “supuestas amenazas” que había recibido</w:t>
      </w:r>
      <w:r w:rsidR="0063186B">
        <w:rPr>
          <w:rFonts w:ascii="Verdana" w:hAnsi="Verdana" w:cs="Verdana"/>
          <w:sz w:val="20"/>
          <w:szCs w:val="20"/>
          <w:lang w:val="es-ES"/>
        </w:rPr>
        <w:t xml:space="preserve"> (</w:t>
      </w:r>
      <w:r w:rsidR="0063186B">
        <w:rPr>
          <w:rFonts w:ascii="Verdana" w:hAnsi="Verdana" w:cs="Verdana"/>
          <w:i/>
          <w:sz w:val="20"/>
          <w:szCs w:val="20"/>
          <w:lang w:val="es-ES"/>
        </w:rPr>
        <w:t>infra</w:t>
      </w:r>
      <w:r w:rsidR="0063186B">
        <w:rPr>
          <w:rFonts w:ascii="Verdana" w:hAnsi="Verdana" w:cs="Verdana"/>
          <w:sz w:val="20"/>
          <w:szCs w:val="20"/>
          <w:lang w:val="es-ES"/>
        </w:rPr>
        <w:t xml:space="preserve"> Considerando 39)</w:t>
      </w:r>
      <w:r w:rsidRPr="004A5B9D">
        <w:rPr>
          <w:rFonts w:ascii="Verdana" w:hAnsi="Verdana" w:cstheme="minorHAnsi"/>
          <w:sz w:val="20"/>
          <w:szCs w:val="20"/>
          <w:lang w:val="es-ES"/>
        </w:rPr>
        <w:t xml:space="preserve">. </w:t>
      </w:r>
    </w:p>
    <w:p w:rsidR="00A81FDA" w:rsidRPr="004A5B9D" w:rsidRDefault="00A81FDA" w:rsidP="004A5B9D">
      <w:pPr>
        <w:pStyle w:val="ListParagraph"/>
        <w:spacing w:after="0" w:line="240" w:lineRule="auto"/>
        <w:ind w:left="0"/>
        <w:jc w:val="both"/>
        <w:rPr>
          <w:rFonts w:ascii="Verdana" w:hAnsi="Verdana" w:cs="Verdana"/>
          <w:sz w:val="20"/>
          <w:szCs w:val="20"/>
          <w:lang w:val="es-ES"/>
        </w:rPr>
      </w:pPr>
    </w:p>
    <w:p w:rsidR="00A81FDA" w:rsidRPr="001C414E" w:rsidRDefault="00A81FDA" w:rsidP="004A5B9D">
      <w:pPr>
        <w:pStyle w:val="ListParagraph"/>
        <w:numPr>
          <w:ilvl w:val="0"/>
          <w:numId w:val="34"/>
        </w:numPr>
        <w:spacing w:after="0" w:line="240" w:lineRule="auto"/>
        <w:ind w:left="0" w:firstLine="0"/>
        <w:jc w:val="both"/>
        <w:rPr>
          <w:rFonts w:ascii="Verdana" w:hAnsi="Verdana" w:cs="Verdana"/>
          <w:b/>
          <w:sz w:val="20"/>
          <w:szCs w:val="20"/>
          <w:lang w:val="es-ES"/>
        </w:rPr>
      </w:pPr>
      <w:r w:rsidRPr="000D3C49">
        <w:rPr>
          <w:rFonts w:ascii="Verdana" w:hAnsi="Verdana" w:cs="Verdana"/>
          <w:sz w:val="20"/>
          <w:szCs w:val="20"/>
          <w:lang w:val="es-ES"/>
        </w:rPr>
        <w:t xml:space="preserve">Los </w:t>
      </w:r>
      <w:r w:rsidRPr="000D3C49">
        <w:rPr>
          <w:rFonts w:ascii="Verdana" w:hAnsi="Verdana" w:cs="Verdana"/>
          <w:b/>
          <w:i/>
          <w:sz w:val="20"/>
          <w:szCs w:val="20"/>
          <w:lang w:val="es-ES"/>
        </w:rPr>
        <w:t>representantes</w:t>
      </w:r>
      <w:r w:rsidRPr="000D3C49">
        <w:rPr>
          <w:rFonts w:ascii="Verdana" w:hAnsi="Verdana" w:cs="Verdana"/>
          <w:sz w:val="20"/>
          <w:szCs w:val="20"/>
          <w:lang w:val="es-ES"/>
        </w:rPr>
        <w:t xml:space="preserve"> </w:t>
      </w:r>
      <w:r w:rsidRPr="00E9481F">
        <w:rPr>
          <w:rFonts w:ascii="Verdana" w:hAnsi="Verdana" w:cs="Verdana"/>
          <w:sz w:val="20"/>
          <w:szCs w:val="20"/>
          <w:lang w:val="es-ES"/>
        </w:rPr>
        <w:t>señalaron</w:t>
      </w:r>
      <w:r w:rsidRPr="001C414E">
        <w:rPr>
          <w:rFonts w:ascii="Verdana" w:hAnsi="Verdana" w:cs="Verdana"/>
          <w:sz w:val="20"/>
          <w:szCs w:val="20"/>
          <w:lang w:val="es-ES"/>
        </w:rPr>
        <w:t xml:space="preserve">: </w:t>
      </w:r>
    </w:p>
    <w:p w:rsidR="00A81FDA" w:rsidRPr="001C414E" w:rsidRDefault="00A81FDA" w:rsidP="00A81FDA">
      <w:pPr>
        <w:spacing w:after="0" w:line="240" w:lineRule="auto"/>
        <w:ind w:left="90"/>
        <w:jc w:val="both"/>
        <w:rPr>
          <w:rFonts w:ascii="Verdana" w:hAnsi="Verdana" w:cs="Verdana"/>
          <w:b/>
          <w:sz w:val="20"/>
          <w:szCs w:val="20"/>
          <w:lang w:val="es-ES"/>
        </w:rPr>
      </w:pPr>
    </w:p>
    <w:p w:rsidR="0016190F" w:rsidRPr="00D719EB" w:rsidRDefault="00A81FDA" w:rsidP="00A81FDA">
      <w:pPr>
        <w:pStyle w:val="ListParagraph"/>
        <w:numPr>
          <w:ilvl w:val="0"/>
          <w:numId w:val="41"/>
        </w:numPr>
        <w:spacing w:after="0" w:line="240" w:lineRule="auto"/>
        <w:ind w:firstLine="0"/>
        <w:jc w:val="both"/>
        <w:rPr>
          <w:rFonts w:ascii="Verdana" w:hAnsi="Verdana" w:cstheme="minorHAnsi"/>
          <w:sz w:val="20"/>
          <w:szCs w:val="20"/>
          <w:lang w:val="es-ES"/>
        </w:rPr>
      </w:pPr>
      <w:r w:rsidRPr="00D719EB">
        <w:rPr>
          <w:rFonts w:ascii="Verdana" w:hAnsi="Verdana" w:cs="Verdana"/>
          <w:sz w:val="20"/>
          <w:szCs w:val="20"/>
          <w:lang w:val="es-ES"/>
        </w:rPr>
        <w:t>el 30 de octubre de 2009, que el señor Aron Álvarez había recibido llamadas telefónicas con amenazas de muerte, las cuales habrían sido denunciadas el 21 de octubre de 2009 ante la COPREDEH. El señor Álvarez expresó su preocupación, ya que “miembros de su familia recibieron llamadas similar</w:t>
      </w:r>
      <w:r w:rsidR="0016190F" w:rsidRPr="00D719EB">
        <w:rPr>
          <w:rFonts w:ascii="Verdana" w:hAnsi="Verdana" w:cs="Verdana"/>
          <w:sz w:val="20"/>
          <w:szCs w:val="20"/>
          <w:lang w:val="es-ES"/>
        </w:rPr>
        <w:t>es […] antes de ser asesinados”;</w:t>
      </w:r>
      <w:r w:rsidRPr="00D719EB">
        <w:rPr>
          <w:rFonts w:ascii="Verdana" w:hAnsi="Verdana" w:cs="Verdana"/>
          <w:sz w:val="20"/>
          <w:szCs w:val="20"/>
          <w:lang w:val="es-ES"/>
        </w:rPr>
        <w:t xml:space="preserve"> </w:t>
      </w:r>
    </w:p>
    <w:p w:rsidR="0016190F" w:rsidRPr="00D719EB" w:rsidRDefault="0016190F" w:rsidP="00A81FDA">
      <w:pPr>
        <w:pStyle w:val="ListParagraph"/>
        <w:numPr>
          <w:ilvl w:val="0"/>
          <w:numId w:val="41"/>
        </w:numPr>
        <w:spacing w:after="0" w:line="240" w:lineRule="auto"/>
        <w:ind w:firstLine="0"/>
        <w:jc w:val="both"/>
        <w:rPr>
          <w:rFonts w:ascii="Verdana" w:hAnsi="Verdana" w:cstheme="minorHAnsi"/>
          <w:sz w:val="20"/>
          <w:szCs w:val="20"/>
          <w:lang w:val="es-ES"/>
        </w:rPr>
      </w:pPr>
      <w:r w:rsidRPr="00D719EB">
        <w:rPr>
          <w:rFonts w:ascii="Verdana" w:hAnsi="Verdana" w:cs="Verdana"/>
          <w:sz w:val="20"/>
          <w:szCs w:val="20"/>
          <w:lang w:val="es-ES"/>
        </w:rPr>
        <w:t>e</w:t>
      </w:r>
      <w:r w:rsidR="00A81FDA" w:rsidRPr="00D719EB">
        <w:rPr>
          <w:rFonts w:ascii="Verdana" w:hAnsi="Verdana" w:cs="Verdana"/>
          <w:sz w:val="20"/>
          <w:szCs w:val="20"/>
          <w:lang w:val="es-ES"/>
        </w:rPr>
        <w:t>l 20 de octubre de 2010</w:t>
      </w:r>
      <w:r w:rsidR="0063186B">
        <w:rPr>
          <w:rFonts w:ascii="Verdana" w:hAnsi="Verdana" w:cs="Verdana"/>
          <w:sz w:val="20"/>
          <w:szCs w:val="20"/>
          <w:lang w:val="es-ES"/>
        </w:rPr>
        <w:t>, que</w:t>
      </w:r>
      <w:r w:rsidR="00A81FDA" w:rsidRPr="00D719EB">
        <w:rPr>
          <w:rFonts w:ascii="Verdana" w:hAnsi="Verdana" w:cs="Verdana"/>
          <w:sz w:val="20"/>
          <w:szCs w:val="20"/>
          <w:lang w:val="es-ES"/>
        </w:rPr>
        <w:t xml:space="preserve"> el señor Álvarez había informado que el 15 de octubre de 2010</w:t>
      </w:r>
      <w:r w:rsidR="0063186B">
        <w:rPr>
          <w:rFonts w:ascii="Verdana" w:hAnsi="Verdana" w:cs="Verdana"/>
          <w:sz w:val="20"/>
          <w:szCs w:val="20"/>
          <w:lang w:val="es-ES"/>
        </w:rPr>
        <w:t xml:space="preserve"> </w:t>
      </w:r>
      <w:r w:rsidR="00A81FDA" w:rsidRPr="00D719EB">
        <w:rPr>
          <w:rFonts w:ascii="Verdana" w:hAnsi="Verdana" w:cs="Verdana"/>
          <w:sz w:val="20"/>
          <w:szCs w:val="20"/>
          <w:lang w:val="es-ES"/>
        </w:rPr>
        <w:t>“se encontraba caminando cuando un carro con varios hombres desconocidos y armados se detuvo a su altura[</w:t>
      </w:r>
      <w:r w:rsidR="0063186B">
        <w:rPr>
          <w:rFonts w:ascii="Verdana" w:hAnsi="Verdana" w:cs="Verdana"/>
          <w:sz w:val="20"/>
          <w:szCs w:val="20"/>
          <w:lang w:val="es-ES"/>
        </w:rPr>
        <w:t>,</w:t>
      </w:r>
      <w:r w:rsidR="00A81FDA" w:rsidRPr="00D719EB">
        <w:rPr>
          <w:rFonts w:ascii="Verdana" w:hAnsi="Verdana" w:cs="Verdana"/>
          <w:sz w:val="20"/>
          <w:szCs w:val="20"/>
          <w:lang w:val="es-ES"/>
        </w:rPr>
        <w:t>] uno de ellos se bajó del vehículo y le</w:t>
      </w:r>
      <w:r w:rsidRPr="00D719EB">
        <w:rPr>
          <w:rFonts w:ascii="Verdana" w:hAnsi="Verdana" w:cs="Verdana"/>
          <w:sz w:val="20"/>
          <w:szCs w:val="20"/>
          <w:lang w:val="es-ES"/>
        </w:rPr>
        <w:t xml:space="preserve"> amenazó de muerte verbalmente”, y</w:t>
      </w:r>
      <w:r w:rsidR="00A81FDA" w:rsidRPr="00D719EB">
        <w:rPr>
          <w:rFonts w:ascii="Verdana" w:hAnsi="Verdana" w:cs="Verdana"/>
          <w:sz w:val="20"/>
          <w:szCs w:val="20"/>
          <w:lang w:val="es-ES"/>
        </w:rPr>
        <w:t xml:space="preserve"> </w:t>
      </w:r>
    </w:p>
    <w:p w:rsidR="00BE5B77" w:rsidRDefault="0016190F" w:rsidP="00A81FDA">
      <w:pPr>
        <w:pStyle w:val="ListParagraph"/>
        <w:numPr>
          <w:ilvl w:val="0"/>
          <w:numId w:val="41"/>
        </w:numPr>
        <w:spacing w:after="0" w:line="240" w:lineRule="auto"/>
        <w:ind w:firstLine="0"/>
        <w:jc w:val="both"/>
        <w:rPr>
          <w:rFonts w:ascii="Verdana" w:hAnsi="Verdana" w:cstheme="minorHAnsi"/>
          <w:sz w:val="20"/>
          <w:szCs w:val="20"/>
          <w:lang w:val="es-ES"/>
        </w:rPr>
      </w:pPr>
      <w:r w:rsidRPr="00D719EB">
        <w:rPr>
          <w:rFonts w:ascii="Verdana" w:hAnsi="Verdana" w:cs="Verdana"/>
          <w:sz w:val="20"/>
          <w:szCs w:val="20"/>
          <w:lang w:val="es-ES"/>
        </w:rPr>
        <w:t>e</w:t>
      </w:r>
      <w:r w:rsidR="00A81FDA" w:rsidRPr="00D719EB">
        <w:rPr>
          <w:rFonts w:ascii="Verdana" w:hAnsi="Verdana" w:cs="Verdana"/>
          <w:sz w:val="20"/>
          <w:szCs w:val="20"/>
          <w:lang w:val="es-ES"/>
        </w:rPr>
        <w:t>l 19 de septiembre de 2013,</w:t>
      </w:r>
      <w:r w:rsidR="00A81FDA" w:rsidRPr="00D719EB">
        <w:rPr>
          <w:rFonts w:ascii="Verdana" w:hAnsi="Verdana" w:cs="Verdana"/>
          <w:b/>
          <w:sz w:val="20"/>
          <w:szCs w:val="20"/>
          <w:lang w:val="es-ES"/>
        </w:rPr>
        <w:t xml:space="preserve"> </w:t>
      </w:r>
      <w:r w:rsidR="00A81FDA" w:rsidRPr="00D719EB">
        <w:rPr>
          <w:rFonts w:ascii="Verdana" w:hAnsi="Verdana" w:cstheme="minorHAnsi"/>
          <w:sz w:val="20"/>
          <w:szCs w:val="20"/>
          <w:lang w:val="es-ES"/>
        </w:rPr>
        <w:t>que el señor Álvarez observó en el mes de mayo de 2013 aproximadamente en 6 u 8 oportunidades una camioneta oscura con vidrios polarizados que se estacionaba a media cuadra de su casa y que permanecía por el término de media hora en el lugar, el beneficiario entendió eso como un ac</w:t>
      </w:r>
      <w:r w:rsidRPr="00D719EB">
        <w:rPr>
          <w:rFonts w:ascii="Verdana" w:hAnsi="Verdana" w:cstheme="minorHAnsi"/>
          <w:sz w:val="20"/>
          <w:szCs w:val="20"/>
          <w:lang w:val="es-ES"/>
        </w:rPr>
        <w:t>to de intimidación en su contra.</w:t>
      </w:r>
    </w:p>
    <w:p w:rsidR="00AA74EC" w:rsidRPr="00D719EB" w:rsidRDefault="00AA74EC" w:rsidP="00AA74EC">
      <w:pPr>
        <w:pStyle w:val="ListParagraph"/>
        <w:spacing w:after="0" w:line="240" w:lineRule="auto"/>
        <w:jc w:val="both"/>
        <w:rPr>
          <w:rFonts w:ascii="Verdana" w:hAnsi="Verdana" w:cstheme="minorHAnsi"/>
          <w:sz w:val="20"/>
          <w:szCs w:val="20"/>
          <w:lang w:val="es-ES"/>
        </w:rPr>
      </w:pPr>
    </w:p>
    <w:p w:rsidR="0016190F" w:rsidRPr="0003786D" w:rsidRDefault="00AA74EC" w:rsidP="004A5B9D">
      <w:pPr>
        <w:pStyle w:val="ListParagraph"/>
        <w:numPr>
          <w:ilvl w:val="0"/>
          <w:numId w:val="34"/>
        </w:numPr>
        <w:spacing w:after="0" w:line="240" w:lineRule="auto"/>
        <w:ind w:left="0" w:firstLine="0"/>
        <w:jc w:val="both"/>
        <w:rPr>
          <w:rFonts w:ascii="Verdana" w:hAnsi="Verdana" w:cstheme="minorHAnsi"/>
          <w:sz w:val="20"/>
          <w:szCs w:val="20"/>
          <w:u w:val="single"/>
          <w:lang w:val="es-ES"/>
        </w:rPr>
      </w:pPr>
      <w:r w:rsidRPr="0003786D">
        <w:rPr>
          <w:rFonts w:ascii="Verdana" w:hAnsi="Verdana" w:cstheme="minorHAnsi"/>
          <w:sz w:val="20"/>
          <w:szCs w:val="20"/>
          <w:lang w:val="es-ES"/>
        </w:rPr>
        <w:tab/>
        <w:t xml:space="preserve">Por su parte, </w:t>
      </w:r>
      <w:r w:rsidR="009612B8">
        <w:rPr>
          <w:rFonts w:ascii="Verdana" w:hAnsi="Verdana" w:cstheme="minorHAnsi"/>
          <w:sz w:val="20"/>
          <w:szCs w:val="20"/>
          <w:lang w:val="es-ES"/>
        </w:rPr>
        <w:t xml:space="preserve">en su escrito de </w:t>
      </w:r>
      <w:r w:rsidRPr="0003786D">
        <w:rPr>
          <w:rFonts w:ascii="Verdana" w:hAnsi="Verdana" w:cstheme="minorHAnsi"/>
          <w:sz w:val="20"/>
          <w:szCs w:val="20"/>
          <w:lang w:val="es-ES"/>
        </w:rPr>
        <w:t>26 de julio de 2013</w:t>
      </w:r>
      <w:r w:rsidR="009612B8">
        <w:rPr>
          <w:rFonts w:ascii="Verdana" w:hAnsi="Verdana" w:cstheme="minorHAnsi"/>
          <w:sz w:val="20"/>
          <w:szCs w:val="20"/>
          <w:lang w:val="es-ES"/>
        </w:rPr>
        <w:t xml:space="preserve"> la </w:t>
      </w:r>
      <w:r w:rsidR="009612B8" w:rsidRPr="000D3C49">
        <w:rPr>
          <w:rFonts w:ascii="Verdana" w:hAnsi="Verdana" w:cstheme="minorHAnsi"/>
          <w:b/>
          <w:i/>
          <w:sz w:val="20"/>
          <w:szCs w:val="20"/>
          <w:lang w:val="es-ES"/>
        </w:rPr>
        <w:t>Comisión</w:t>
      </w:r>
      <w:r w:rsidRPr="0003786D">
        <w:rPr>
          <w:rFonts w:ascii="Verdana" w:hAnsi="Verdana" w:cstheme="minorHAnsi"/>
          <w:sz w:val="20"/>
          <w:szCs w:val="20"/>
          <w:lang w:val="es-ES"/>
        </w:rPr>
        <w:t xml:space="preserve"> consideró que se seguían “denunciando hechos que pondrían en grave riesgo a las personas beneficiarias, […] como el intento de secuestro del señor Álvarez [y] las amenazas de muerte verbales y por vía telefónica”. La Comisión no realizó más observaciones concretas al respecto y se refirió a los beneficiarios en términos generales (</w:t>
      </w:r>
      <w:r w:rsidRPr="0003786D">
        <w:rPr>
          <w:rFonts w:ascii="Verdana" w:hAnsi="Verdana" w:cstheme="minorHAnsi"/>
          <w:i/>
          <w:sz w:val="20"/>
          <w:szCs w:val="20"/>
          <w:lang w:val="es-ES"/>
        </w:rPr>
        <w:t>supra</w:t>
      </w:r>
      <w:r w:rsidRPr="0003786D">
        <w:rPr>
          <w:rFonts w:ascii="Verdana" w:hAnsi="Verdana" w:cstheme="minorHAnsi"/>
          <w:sz w:val="20"/>
          <w:szCs w:val="20"/>
          <w:lang w:val="es-ES"/>
        </w:rPr>
        <w:t xml:space="preserve"> </w:t>
      </w:r>
      <w:r w:rsidR="002C723D">
        <w:rPr>
          <w:rFonts w:ascii="Verdana" w:hAnsi="Verdana" w:cstheme="minorHAnsi"/>
          <w:sz w:val="20"/>
          <w:szCs w:val="20"/>
          <w:lang w:val="es-ES"/>
        </w:rPr>
        <w:t>Considerando 26</w:t>
      </w:r>
      <w:r w:rsidRPr="0003786D">
        <w:rPr>
          <w:rFonts w:ascii="Verdana" w:hAnsi="Verdana" w:cstheme="minorHAnsi"/>
          <w:sz w:val="20"/>
          <w:szCs w:val="20"/>
          <w:lang w:val="es-ES"/>
        </w:rPr>
        <w:t>).</w:t>
      </w:r>
    </w:p>
    <w:p w:rsidR="0016190F" w:rsidRDefault="0016190F" w:rsidP="0016190F">
      <w:pPr>
        <w:spacing w:after="0" w:line="240" w:lineRule="auto"/>
        <w:jc w:val="both"/>
        <w:rPr>
          <w:rFonts w:ascii="Verdana" w:hAnsi="Verdana" w:cstheme="minorHAnsi"/>
          <w:sz w:val="20"/>
          <w:szCs w:val="20"/>
          <w:u w:val="single"/>
          <w:lang w:val="es-ES"/>
        </w:rPr>
      </w:pPr>
    </w:p>
    <w:p w:rsidR="00B0303A" w:rsidRDefault="00B0303A" w:rsidP="000D3C49">
      <w:pPr>
        <w:pStyle w:val="ListParagraph"/>
        <w:spacing w:after="0" w:line="240" w:lineRule="auto"/>
        <w:ind w:left="709" w:right="540"/>
        <w:jc w:val="both"/>
        <w:rPr>
          <w:rFonts w:ascii="Verdana" w:hAnsi="Verdana" w:cstheme="minorHAnsi"/>
          <w:i/>
          <w:sz w:val="20"/>
          <w:szCs w:val="20"/>
          <w:lang w:val="es-ES"/>
        </w:rPr>
      </w:pPr>
      <w:r>
        <w:rPr>
          <w:rFonts w:ascii="Verdana" w:hAnsi="Verdana" w:cstheme="minorHAnsi"/>
          <w:i/>
          <w:sz w:val="20"/>
          <w:szCs w:val="20"/>
          <w:lang w:val="es-ES"/>
        </w:rPr>
        <w:t>D.</w:t>
      </w:r>
      <w:r w:rsidR="00864EF3">
        <w:rPr>
          <w:rFonts w:ascii="Verdana" w:hAnsi="Verdana" w:cstheme="minorHAnsi"/>
          <w:i/>
          <w:sz w:val="20"/>
          <w:szCs w:val="20"/>
          <w:lang w:val="es-ES"/>
        </w:rPr>
        <w:t>3</w:t>
      </w:r>
      <w:r>
        <w:rPr>
          <w:rFonts w:ascii="Verdana" w:hAnsi="Verdana" w:cstheme="minorHAnsi"/>
          <w:i/>
          <w:sz w:val="20"/>
          <w:szCs w:val="20"/>
          <w:lang w:val="es-ES"/>
        </w:rPr>
        <w:t>.</w:t>
      </w:r>
      <w:r w:rsidRPr="001C414E">
        <w:rPr>
          <w:rFonts w:ascii="Verdana" w:hAnsi="Verdana" w:cstheme="minorHAnsi"/>
          <w:i/>
          <w:sz w:val="20"/>
          <w:szCs w:val="20"/>
          <w:lang w:val="es-ES"/>
        </w:rPr>
        <w:t xml:space="preserve"> Sobre hechos</w:t>
      </w:r>
      <w:r w:rsidR="008E43CC">
        <w:rPr>
          <w:rFonts w:ascii="Verdana" w:hAnsi="Verdana" w:cstheme="minorHAnsi"/>
          <w:i/>
          <w:sz w:val="20"/>
          <w:szCs w:val="20"/>
          <w:lang w:val="es-ES"/>
        </w:rPr>
        <w:t xml:space="preserve"> recientes</w:t>
      </w:r>
      <w:r w:rsidR="00DB0C6F">
        <w:rPr>
          <w:rFonts w:ascii="Verdana" w:hAnsi="Verdana" w:cstheme="minorHAnsi"/>
          <w:i/>
          <w:sz w:val="20"/>
          <w:szCs w:val="20"/>
          <w:lang w:val="es-ES"/>
        </w:rPr>
        <w:t xml:space="preserve"> y acciones relativas a los mismos</w:t>
      </w:r>
      <w:r w:rsidRPr="001C414E">
        <w:rPr>
          <w:rFonts w:ascii="Verdana" w:hAnsi="Verdana" w:cstheme="minorHAnsi"/>
          <w:i/>
          <w:sz w:val="20"/>
          <w:szCs w:val="20"/>
          <w:lang w:val="es-ES"/>
        </w:rPr>
        <w:t xml:space="preserve"> </w:t>
      </w:r>
    </w:p>
    <w:p w:rsidR="007B6D1B" w:rsidRPr="001C414E" w:rsidRDefault="007B6D1B" w:rsidP="00B0303A">
      <w:pPr>
        <w:pStyle w:val="ListParagraph"/>
        <w:spacing w:after="0" w:line="240" w:lineRule="auto"/>
        <w:ind w:left="0" w:right="540"/>
        <w:jc w:val="right"/>
        <w:rPr>
          <w:rFonts w:ascii="Verdana" w:hAnsi="Verdana" w:cstheme="minorHAnsi"/>
          <w:i/>
          <w:sz w:val="20"/>
          <w:szCs w:val="20"/>
          <w:lang w:val="es-ES"/>
        </w:rPr>
      </w:pPr>
    </w:p>
    <w:p w:rsidR="007B6D1B" w:rsidRDefault="007B6D1B" w:rsidP="004A5B9D">
      <w:pPr>
        <w:pStyle w:val="ListParagraph"/>
        <w:numPr>
          <w:ilvl w:val="0"/>
          <w:numId w:val="34"/>
        </w:numPr>
        <w:tabs>
          <w:tab w:val="left" w:pos="0"/>
        </w:tabs>
        <w:spacing w:after="0" w:line="240" w:lineRule="auto"/>
        <w:ind w:left="0" w:firstLine="0"/>
        <w:jc w:val="both"/>
        <w:rPr>
          <w:rFonts w:ascii="Verdana" w:hAnsi="Verdana" w:cstheme="minorHAnsi"/>
          <w:sz w:val="20"/>
          <w:szCs w:val="20"/>
          <w:lang w:val="es-ES"/>
        </w:rPr>
      </w:pPr>
      <w:r w:rsidRPr="001C414E">
        <w:rPr>
          <w:rFonts w:ascii="Verdana" w:hAnsi="Verdana" w:cstheme="minorHAnsi"/>
          <w:sz w:val="20"/>
          <w:szCs w:val="20"/>
          <w:lang w:val="es-ES"/>
        </w:rPr>
        <w:t xml:space="preserve">En sus observaciones de 1 de abril de 2016, los </w:t>
      </w:r>
      <w:r w:rsidRPr="001C414E">
        <w:rPr>
          <w:rFonts w:ascii="Verdana" w:hAnsi="Verdana" w:cstheme="minorHAnsi"/>
          <w:b/>
          <w:i/>
          <w:sz w:val="20"/>
          <w:szCs w:val="20"/>
          <w:lang w:val="es-ES"/>
        </w:rPr>
        <w:t xml:space="preserve">representantes </w:t>
      </w:r>
      <w:r w:rsidRPr="001C414E">
        <w:rPr>
          <w:rFonts w:ascii="Verdana" w:hAnsi="Verdana" w:cstheme="minorHAnsi"/>
          <w:sz w:val="20"/>
          <w:szCs w:val="20"/>
          <w:lang w:val="es-ES"/>
        </w:rPr>
        <w:t xml:space="preserve">señalaron que el 25 de marzo de 2016 el señor Álvarez se encontraba durmiendo en su casa cuando esta fue impactada por cuatro balas, sin herirlo. Una patrulla acudió al lugar, lo inspeccionó, retiró </w:t>
      </w:r>
      <w:r>
        <w:rPr>
          <w:rFonts w:ascii="Verdana" w:hAnsi="Verdana" w:cstheme="minorHAnsi"/>
          <w:sz w:val="20"/>
          <w:szCs w:val="20"/>
          <w:lang w:val="es-ES"/>
        </w:rPr>
        <w:t xml:space="preserve">los </w:t>
      </w:r>
      <w:r w:rsidRPr="001C414E">
        <w:rPr>
          <w:rFonts w:ascii="Verdana" w:hAnsi="Verdana" w:cstheme="minorHAnsi"/>
          <w:sz w:val="20"/>
          <w:szCs w:val="20"/>
          <w:lang w:val="es-ES"/>
        </w:rPr>
        <w:t>cuatro proyectiles y le pidió al señor Álvarez que se presentara en las oficinas del Ministerio Público al día siguiente. Sin embargo, el señor Álvarez acudió en dos ocasiones al Ministerio Público sin que fuera atendido. Por ello, el 29 de marz</w:t>
      </w:r>
      <w:r>
        <w:rPr>
          <w:rFonts w:ascii="Verdana" w:hAnsi="Verdana" w:cstheme="minorHAnsi"/>
          <w:sz w:val="20"/>
          <w:szCs w:val="20"/>
          <w:lang w:val="es-ES"/>
        </w:rPr>
        <w:t xml:space="preserve">o de 2016 el señor Álvarez visitó </w:t>
      </w:r>
      <w:r w:rsidRPr="001C414E">
        <w:rPr>
          <w:rFonts w:ascii="Verdana" w:hAnsi="Verdana" w:cstheme="minorHAnsi"/>
          <w:sz w:val="20"/>
          <w:szCs w:val="20"/>
          <w:lang w:val="es-ES"/>
        </w:rPr>
        <w:t>la COPREDEH para solicita</w:t>
      </w:r>
      <w:r w:rsidR="004A5B9D">
        <w:rPr>
          <w:rFonts w:ascii="Verdana" w:hAnsi="Verdana" w:cstheme="minorHAnsi"/>
          <w:sz w:val="20"/>
          <w:szCs w:val="20"/>
          <w:lang w:val="es-ES"/>
        </w:rPr>
        <w:t>r protección. En dicha oficina</w:t>
      </w:r>
      <w:r w:rsidRPr="001C414E">
        <w:rPr>
          <w:rFonts w:ascii="Verdana" w:hAnsi="Verdana" w:cstheme="minorHAnsi"/>
          <w:sz w:val="20"/>
          <w:szCs w:val="20"/>
          <w:lang w:val="es-ES"/>
        </w:rPr>
        <w:t>, le dijeron que se comenzaría a brindar protección policial perimetral en su</w:t>
      </w:r>
      <w:r>
        <w:rPr>
          <w:rFonts w:ascii="Verdana" w:hAnsi="Verdana" w:cstheme="minorHAnsi"/>
          <w:sz w:val="20"/>
          <w:szCs w:val="20"/>
          <w:lang w:val="es-ES"/>
        </w:rPr>
        <w:t xml:space="preserve"> domicilio familiar y que el</w:t>
      </w:r>
      <w:r w:rsidRPr="001C414E">
        <w:rPr>
          <w:rFonts w:ascii="Verdana" w:hAnsi="Verdana" w:cstheme="minorHAnsi"/>
          <w:sz w:val="20"/>
          <w:szCs w:val="20"/>
          <w:lang w:val="es-ES"/>
        </w:rPr>
        <w:t xml:space="preserve"> 1 de abril de 2016, una patrulla lo ac</w:t>
      </w:r>
      <w:r w:rsidR="004A5B9D">
        <w:rPr>
          <w:rFonts w:ascii="Verdana" w:hAnsi="Verdana" w:cstheme="minorHAnsi"/>
          <w:sz w:val="20"/>
          <w:szCs w:val="20"/>
          <w:lang w:val="es-ES"/>
        </w:rPr>
        <w:t xml:space="preserve">ompañaría a desmontar su casa. </w:t>
      </w:r>
      <w:r w:rsidRPr="001C414E">
        <w:rPr>
          <w:rFonts w:ascii="Verdana" w:hAnsi="Verdana" w:cstheme="minorHAnsi"/>
          <w:sz w:val="20"/>
          <w:szCs w:val="20"/>
          <w:lang w:val="es-ES"/>
        </w:rPr>
        <w:t xml:space="preserve">No obstante, en la fecha convenida no se presentaron para escoltar al señor Álvarez, quien desmontó su casa sin protección. </w:t>
      </w:r>
    </w:p>
    <w:p w:rsidR="004A5B9D" w:rsidRDefault="004A5B9D" w:rsidP="004A5B9D">
      <w:pPr>
        <w:pStyle w:val="ListParagraph"/>
        <w:tabs>
          <w:tab w:val="left" w:pos="0"/>
        </w:tabs>
        <w:spacing w:after="0" w:line="240" w:lineRule="auto"/>
        <w:ind w:left="0"/>
        <w:jc w:val="both"/>
        <w:rPr>
          <w:rFonts w:ascii="Verdana" w:hAnsi="Verdana" w:cstheme="minorHAnsi"/>
          <w:sz w:val="20"/>
          <w:szCs w:val="20"/>
          <w:lang w:val="es-ES"/>
        </w:rPr>
      </w:pPr>
    </w:p>
    <w:p w:rsidR="007B6D1B" w:rsidRDefault="007B6D1B" w:rsidP="004A5B9D">
      <w:pPr>
        <w:pStyle w:val="ListParagraph"/>
        <w:numPr>
          <w:ilvl w:val="0"/>
          <w:numId w:val="34"/>
        </w:numPr>
        <w:tabs>
          <w:tab w:val="left" w:pos="0"/>
        </w:tabs>
        <w:spacing w:after="0" w:line="240" w:lineRule="auto"/>
        <w:ind w:left="0" w:firstLine="0"/>
        <w:jc w:val="both"/>
        <w:rPr>
          <w:rFonts w:ascii="Verdana" w:hAnsi="Verdana" w:cstheme="minorHAnsi"/>
          <w:sz w:val="20"/>
          <w:szCs w:val="20"/>
          <w:lang w:val="es-ES"/>
        </w:rPr>
      </w:pPr>
      <w:r w:rsidRPr="004A5B9D">
        <w:rPr>
          <w:rFonts w:ascii="Verdana" w:hAnsi="Verdana" w:cstheme="minorHAnsi"/>
          <w:sz w:val="20"/>
          <w:szCs w:val="20"/>
          <w:lang w:val="es-ES"/>
        </w:rPr>
        <w:t>El 2 de junio de 2016, los representantes</w:t>
      </w:r>
      <w:r w:rsidRPr="004A5B9D">
        <w:rPr>
          <w:rFonts w:ascii="Verdana" w:hAnsi="Verdana" w:cstheme="minorHAnsi"/>
          <w:b/>
          <w:i/>
          <w:sz w:val="20"/>
          <w:szCs w:val="20"/>
          <w:lang w:val="es-ES"/>
        </w:rPr>
        <w:t xml:space="preserve"> </w:t>
      </w:r>
      <w:r w:rsidRPr="004A5B9D">
        <w:rPr>
          <w:rFonts w:ascii="Verdana" w:hAnsi="Verdana" w:cstheme="minorHAnsi"/>
          <w:sz w:val="20"/>
          <w:szCs w:val="20"/>
          <w:lang w:val="es-ES"/>
        </w:rPr>
        <w:t xml:space="preserve">manifestaron que </w:t>
      </w:r>
      <w:r w:rsidRPr="000D3C49">
        <w:rPr>
          <w:rFonts w:ascii="Verdana" w:hAnsi="Verdana" w:cstheme="minorHAnsi"/>
          <w:sz w:val="20"/>
          <w:szCs w:val="20"/>
          <w:lang w:val="es-ES"/>
        </w:rPr>
        <w:t>se realizó una</w:t>
      </w:r>
      <w:r w:rsidR="004A5B9D">
        <w:rPr>
          <w:rFonts w:ascii="Verdana" w:hAnsi="Verdana" w:cstheme="minorHAnsi"/>
          <w:sz w:val="20"/>
          <w:szCs w:val="20"/>
          <w:lang w:val="es-ES"/>
        </w:rPr>
        <w:t xml:space="preserve"> reunión el</w:t>
      </w:r>
      <w:r w:rsidRPr="004A5B9D">
        <w:rPr>
          <w:rFonts w:ascii="Verdana" w:hAnsi="Verdana" w:cstheme="minorHAnsi"/>
          <w:sz w:val="20"/>
          <w:szCs w:val="20"/>
          <w:lang w:val="es-ES"/>
        </w:rPr>
        <w:t xml:space="preserve"> 3 de abril de 2016 entre la PNC, la COPREDEH y el señor Álvarez, y otra el 6 de abril de 2016, posterior a una llamada amenazante recibida por el señor Álvarez. Los representantes indicaron que el 24 de mayo de 2016 se habían contactado con la COPREDEH para solicitar información sobre los </w:t>
      </w:r>
      <w:r w:rsidRPr="004A5B9D">
        <w:rPr>
          <w:rFonts w:ascii="Verdana" w:hAnsi="Verdana" w:cstheme="minorHAnsi"/>
          <w:sz w:val="20"/>
          <w:szCs w:val="20"/>
          <w:lang w:val="es-ES"/>
        </w:rPr>
        <w:lastRenderedPageBreak/>
        <w:t>avances de la “reinstauración de los patrullajes en el domicilio familiar de l[o]s benefici</w:t>
      </w:r>
      <w:r w:rsidR="004A5B9D">
        <w:rPr>
          <w:rFonts w:ascii="Verdana" w:hAnsi="Verdana" w:cstheme="minorHAnsi"/>
          <w:sz w:val="20"/>
          <w:szCs w:val="20"/>
          <w:lang w:val="es-ES"/>
        </w:rPr>
        <w:t xml:space="preserve">ar[o]s”, no obstante, </w:t>
      </w:r>
      <w:r w:rsidR="004A5B9D" w:rsidRPr="000D3C49">
        <w:rPr>
          <w:rFonts w:ascii="Verdana" w:hAnsi="Verdana" w:cstheme="minorHAnsi"/>
          <w:sz w:val="20"/>
          <w:szCs w:val="20"/>
          <w:lang w:val="es-ES"/>
        </w:rPr>
        <w:t>afirmaron</w:t>
      </w:r>
      <w:r w:rsidRPr="000D3C49">
        <w:rPr>
          <w:rFonts w:ascii="Verdana" w:hAnsi="Verdana" w:cstheme="minorHAnsi"/>
          <w:sz w:val="20"/>
          <w:szCs w:val="20"/>
          <w:lang w:val="es-ES"/>
        </w:rPr>
        <w:t xml:space="preserve"> </w:t>
      </w:r>
      <w:r w:rsidRPr="004A5B9D">
        <w:rPr>
          <w:rFonts w:ascii="Verdana" w:hAnsi="Verdana" w:cstheme="minorHAnsi"/>
          <w:sz w:val="20"/>
          <w:szCs w:val="20"/>
          <w:lang w:val="es-ES"/>
        </w:rPr>
        <w:t>que no habían recibido respuesta alguna. Además,</w:t>
      </w:r>
      <w:r w:rsidR="004A5B9D">
        <w:rPr>
          <w:rFonts w:ascii="Verdana" w:hAnsi="Verdana" w:cstheme="minorHAnsi"/>
          <w:sz w:val="20"/>
          <w:szCs w:val="20"/>
          <w:lang w:val="es-ES"/>
        </w:rPr>
        <w:t xml:space="preserve"> </w:t>
      </w:r>
      <w:r w:rsidR="004A5B9D" w:rsidRPr="000D3C49">
        <w:rPr>
          <w:rFonts w:ascii="Verdana" w:hAnsi="Verdana" w:cstheme="minorHAnsi"/>
          <w:sz w:val="20"/>
          <w:szCs w:val="20"/>
          <w:lang w:val="es-ES"/>
        </w:rPr>
        <w:t>manifestaron</w:t>
      </w:r>
      <w:r w:rsidRPr="000D3C49">
        <w:rPr>
          <w:rFonts w:ascii="Verdana" w:hAnsi="Verdana" w:cstheme="minorHAnsi"/>
          <w:sz w:val="20"/>
          <w:szCs w:val="20"/>
          <w:lang w:val="es-ES"/>
        </w:rPr>
        <w:t xml:space="preserve"> </w:t>
      </w:r>
      <w:r w:rsidRPr="004A5B9D">
        <w:rPr>
          <w:rFonts w:ascii="Verdana" w:hAnsi="Verdana" w:cstheme="minorHAnsi"/>
          <w:sz w:val="20"/>
          <w:szCs w:val="20"/>
          <w:lang w:val="es-ES"/>
        </w:rPr>
        <w:t>que el señor Álvarez les había reportado que el 5 de mayo de 2016 recibió una llamada de un desconocido</w:t>
      </w:r>
      <w:r w:rsidR="004A5B9D">
        <w:rPr>
          <w:rFonts w:ascii="Verdana" w:hAnsi="Verdana" w:cstheme="minorHAnsi"/>
          <w:sz w:val="20"/>
          <w:szCs w:val="20"/>
          <w:lang w:val="es-ES"/>
        </w:rPr>
        <w:t xml:space="preserve">, </w:t>
      </w:r>
      <w:r w:rsidR="004A5B9D" w:rsidRPr="000D3C49">
        <w:rPr>
          <w:rFonts w:ascii="Verdana" w:hAnsi="Verdana" w:cstheme="minorHAnsi"/>
          <w:sz w:val="20"/>
          <w:szCs w:val="20"/>
          <w:lang w:val="es-ES"/>
        </w:rPr>
        <w:t>quién l</w:t>
      </w:r>
      <w:r w:rsidR="004A5B9D">
        <w:rPr>
          <w:rFonts w:ascii="Verdana" w:hAnsi="Verdana" w:cstheme="minorHAnsi"/>
          <w:sz w:val="20"/>
          <w:szCs w:val="20"/>
          <w:lang w:val="es-ES"/>
        </w:rPr>
        <w:t>e dijo “no importa dónde andes</w:t>
      </w:r>
      <w:r w:rsidRPr="004A5B9D">
        <w:rPr>
          <w:rFonts w:ascii="Verdana" w:hAnsi="Verdana" w:cstheme="minorHAnsi"/>
          <w:sz w:val="20"/>
          <w:szCs w:val="20"/>
          <w:lang w:val="es-ES"/>
        </w:rPr>
        <w:t xml:space="preserve">, en el mar o dónde estés te toca, no te vas a escapar, te vamos a encontrar”, la cual no reportó por “falta de confianza” y de “voluntad política” del Estado. </w:t>
      </w:r>
    </w:p>
    <w:p w:rsidR="004A5B9D" w:rsidRPr="004A5B9D" w:rsidRDefault="004A5B9D" w:rsidP="004A5B9D">
      <w:pPr>
        <w:pStyle w:val="ListParagraph"/>
        <w:ind w:left="0"/>
        <w:rPr>
          <w:rFonts w:ascii="Verdana" w:hAnsi="Verdana" w:cstheme="minorHAnsi"/>
          <w:sz w:val="20"/>
          <w:szCs w:val="20"/>
          <w:lang w:val="es-ES"/>
        </w:rPr>
      </w:pPr>
    </w:p>
    <w:p w:rsidR="007B6D1B" w:rsidRDefault="007B6D1B" w:rsidP="004A5B9D">
      <w:pPr>
        <w:pStyle w:val="ListParagraph"/>
        <w:numPr>
          <w:ilvl w:val="0"/>
          <w:numId w:val="34"/>
        </w:numPr>
        <w:tabs>
          <w:tab w:val="left" w:pos="0"/>
        </w:tabs>
        <w:spacing w:after="0" w:line="240" w:lineRule="auto"/>
        <w:ind w:left="0" w:firstLine="0"/>
        <w:jc w:val="both"/>
        <w:rPr>
          <w:rFonts w:ascii="Verdana" w:hAnsi="Verdana" w:cstheme="minorHAnsi"/>
          <w:sz w:val="20"/>
          <w:szCs w:val="20"/>
          <w:lang w:val="es-ES"/>
        </w:rPr>
      </w:pPr>
      <w:r w:rsidRPr="004A5B9D">
        <w:rPr>
          <w:rFonts w:ascii="Verdana" w:hAnsi="Verdana" w:cstheme="minorHAnsi"/>
          <w:sz w:val="20"/>
          <w:szCs w:val="20"/>
          <w:lang w:val="es-ES"/>
        </w:rPr>
        <w:t>El 15 de abril de 2016 los represe</w:t>
      </w:r>
      <w:r w:rsidR="004A5B9D">
        <w:rPr>
          <w:rFonts w:ascii="Verdana" w:hAnsi="Verdana" w:cstheme="minorHAnsi"/>
          <w:sz w:val="20"/>
          <w:szCs w:val="20"/>
          <w:lang w:val="es-ES"/>
        </w:rPr>
        <w:t xml:space="preserve">ntantes presentaron </w:t>
      </w:r>
      <w:r w:rsidR="004A5B9D" w:rsidRPr="000D3C49">
        <w:rPr>
          <w:rFonts w:ascii="Verdana" w:hAnsi="Verdana" w:cstheme="minorHAnsi"/>
          <w:sz w:val="20"/>
          <w:szCs w:val="20"/>
          <w:lang w:val="es-ES"/>
        </w:rPr>
        <w:t xml:space="preserve">observaciones </w:t>
      </w:r>
      <w:r w:rsidRPr="000D3C49">
        <w:rPr>
          <w:rFonts w:ascii="Verdana" w:hAnsi="Verdana" w:cstheme="minorHAnsi"/>
          <w:sz w:val="20"/>
          <w:szCs w:val="20"/>
          <w:lang w:val="es-ES"/>
        </w:rPr>
        <w:t>adicional</w:t>
      </w:r>
      <w:r w:rsidR="004A5B9D" w:rsidRPr="000D3C49">
        <w:rPr>
          <w:rFonts w:ascii="Verdana" w:hAnsi="Verdana" w:cstheme="minorHAnsi"/>
          <w:sz w:val="20"/>
          <w:szCs w:val="20"/>
          <w:lang w:val="es-ES"/>
        </w:rPr>
        <w:t>es</w:t>
      </w:r>
      <w:r w:rsidRPr="000D3C49">
        <w:rPr>
          <w:rFonts w:ascii="Verdana" w:hAnsi="Verdana" w:cstheme="minorHAnsi"/>
          <w:sz w:val="20"/>
          <w:szCs w:val="20"/>
          <w:lang w:val="es-ES"/>
        </w:rPr>
        <w:t xml:space="preserve"> a </w:t>
      </w:r>
      <w:r w:rsidR="004A5B9D" w:rsidRPr="000D3C49">
        <w:rPr>
          <w:rFonts w:ascii="Verdana" w:hAnsi="Verdana" w:cstheme="minorHAnsi"/>
          <w:sz w:val="20"/>
          <w:szCs w:val="20"/>
          <w:lang w:val="es-ES"/>
        </w:rPr>
        <w:t xml:space="preserve">las </w:t>
      </w:r>
      <w:r w:rsidRPr="000D3C49">
        <w:rPr>
          <w:rFonts w:ascii="Verdana" w:hAnsi="Verdana" w:cstheme="minorHAnsi"/>
          <w:sz w:val="20"/>
          <w:szCs w:val="20"/>
          <w:lang w:val="es-ES"/>
        </w:rPr>
        <w:t xml:space="preserve">de </w:t>
      </w:r>
      <w:r w:rsidR="004A5B9D" w:rsidRPr="000D3C49">
        <w:rPr>
          <w:rFonts w:ascii="Verdana" w:hAnsi="Verdana" w:cstheme="minorHAnsi"/>
          <w:sz w:val="20"/>
          <w:szCs w:val="20"/>
          <w:lang w:val="es-ES"/>
        </w:rPr>
        <w:t>1 de abril de 2016, en las cuales</w:t>
      </w:r>
      <w:r w:rsidR="004A5B9D">
        <w:rPr>
          <w:rFonts w:ascii="Verdana" w:hAnsi="Verdana" w:cstheme="minorHAnsi"/>
          <w:sz w:val="20"/>
          <w:szCs w:val="20"/>
          <w:lang w:val="es-ES"/>
        </w:rPr>
        <w:t xml:space="preserve"> i</w:t>
      </w:r>
      <w:r w:rsidRPr="004A5B9D">
        <w:rPr>
          <w:rFonts w:ascii="Verdana" w:hAnsi="Verdana" w:cstheme="minorHAnsi"/>
          <w:sz w:val="20"/>
          <w:szCs w:val="20"/>
          <w:lang w:val="es-ES"/>
        </w:rPr>
        <w:t xml:space="preserve">ndicaron que la señora Morelia Lili Paz, pareja del señor Álvarez, les informó que el 10 de abril de 2016 se encontraba en el domicilio familiar con sus hijas y nietos cuando “a pocos metros del lugar, personas desconocidas realizaron entre 6 y 8 disparos”. Los representantes destacaron su “preocupación” debido a que este hecho se produjo “apenas dos semanas después del grave atentado en contra de la vida del señor Aron Álvarez” y que “este incidente tuvo lugar […] a un kilómetro de distancia del domicilio familiar”. Subrayaron que a pesar de distintas gestiones, </w:t>
      </w:r>
      <w:r w:rsidR="0043068E">
        <w:rPr>
          <w:rFonts w:ascii="Verdana" w:hAnsi="Verdana" w:cstheme="minorHAnsi"/>
          <w:sz w:val="20"/>
          <w:szCs w:val="20"/>
          <w:lang w:val="es-ES"/>
        </w:rPr>
        <w:t xml:space="preserve">la señora Paz manifestó que </w:t>
      </w:r>
      <w:r w:rsidRPr="004A5B9D">
        <w:rPr>
          <w:rFonts w:ascii="Verdana" w:hAnsi="Verdana" w:cstheme="minorHAnsi"/>
          <w:sz w:val="20"/>
          <w:szCs w:val="20"/>
          <w:lang w:val="es-ES"/>
        </w:rPr>
        <w:t>no se había implementado ninguna medida de protección a su favor y que ella y su familia se encontraban “desprotegidos ante cualquier ataque”. Reiteraron que desde mayo de 2014 se había</w:t>
      </w:r>
      <w:r w:rsidR="0043068E">
        <w:rPr>
          <w:rFonts w:ascii="Verdana" w:hAnsi="Verdana" w:cstheme="minorHAnsi"/>
          <w:sz w:val="20"/>
          <w:szCs w:val="20"/>
          <w:lang w:val="es-ES"/>
        </w:rPr>
        <w:t>n</w:t>
      </w:r>
      <w:r w:rsidRPr="004A5B9D">
        <w:rPr>
          <w:rFonts w:ascii="Verdana" w:hAnsi="Verdana" w:cstheme="minorHAnsi"/>
          <w:sz w:val="20"/>
          <w:szCs w:val="20"/>
          <w:lang w:val="es-ES"/>
        </w:rPr>
        <w:t xml:space="preserve"> dejado de implementar los patrullajes policiales diarios, y que la última visita de la PNC </w:t>
      </w:r>
      <w:r w:rsidR="009612B8">
        <w:rPr>
          <w:rFonts w:ascii="Verdana" w:hAnsi="Verdana" w:cstheme="minorHAnsi"/>
          <w:sz w:val="20"/>
          <w:szCs w:val="20"/>
          <w:lang w:val="es-ES"/>
        </w:rPr>
        <w:t>se efectuó</w:t>
      </w:r>
      <w:r w:rsidRPr="004A5B9D">
        <w:rPr>
          <w:rFonts w:ascii="Verdana" w:hAnsi="Verdana" w:cstheme="minorHAnsi"/>
          <w:sz w:val="20"/>
          <w:szCs w:val="20"/>
          <w:lang w:val="es-ES"/>
        </w:rPr>
        <w:t xml:space="preserve"> en febrero de 2015. </w:t>
      </w:r>
    </w:p>
    <w:p w:rsidR="004A5B9D" w:rsidRPr="004A5B9D" w:rsidRDefault="004A5B9D" w:rsidP="004A5B9D">
      <w:pPr>
        <w:pStyle w:val="ListParagraph"/>
        <w:ind w:left="0"/>
        <w:rPr>
          <w:rFonts w:ascii="Verdana" w:hAnsi="Verdana" w:cstheme="minorHAnsi"/>
          <w:sz w:val="20"/>
          <w:szCs w:val="20"/>
          <w:lang w:val="es-ES"/>
        </w:rPr>
      </w:pPr>
    </w:p>
    <w:p w:rsidR="007B6D1B" w:rsidRDefault="007B6D1B" w:rsidP="004A5B9D">
      <w:pPr>
        <w:pStyle w:val="ListParagraph"/>
        <w:numPr>
          <w:ilvl w:val="0"/>
          <w:numId w:val="34"/>
        </w:numPr>
        <w:tabs>
          <w:tab w:val="left" w:pos="0"/>
        </w:tabs>
        <w:spacing w:after="0" w:line="240" w:lineRule="auto"/>
        <w:ind w:left="0" w:firstLine="0"/>
        <w:jc w:val="both"/>
        <w:rPr>
          <w:rFonts w:ascii="Verdana" w:hAnsi="Verdana" w:cstheme="minorHAnsi"/>
          <w:sz w:val="20"/>
          <w:szCs w:val="20"/>
          <w:lang w:val="es-ES"/>
        </w:rPr>
      </w:pPr>
      <w:r w:rsidRPr="004A5B9D">
        <w:rPr>
          <w:rFonts w:ascii="Verdana" w:hAnsi="Verdana" w:cstheme="minorHAnsi"/>
          <w:sz w:val="20"/>
          <w:szCs w:val="20"/>
          <w:lang w:val="es-ES"/>
        </w:rPr>
        <w:t>Además, los representantes</w:t>
      </w:r>
      <w:r w:rsidR="004A5B9D" w:rsidRPr="000D3C49">
        <w:rPr>
          <w:rFonts w:ascii="Verdana" w:hAnsi="Verdana" w:cstheme="minorHAnsi"/>
          <w:sz w:val="20"/>
          <w:szCs w:val="20"/>
          <w:lang w:val="es-ES"/>
        </w:rPr>
        <w:t xml:space="preserve"> </w:t>
      </w:r>
      <w:r w:rsidR="000128FB" w:rsidRPr="000D3C49">
        <w:rPr>
          <w:rFonts w:ascii="Verdana" w:hAnsi="Verdana" w:cstheme="minorHAnsi"/>
          <w:sz w:val="20"/>
          <w:szCs w:val="20"/>
          <w:lang w:val="es-ES"/>
        </w:rPr>
        <w:t>expresaron</w:t>
      </w:r>
      <w:r w:rsidR="000128FB">
        <w:rPr>
          <w:rFonts w:ascii="Verdana" w:hAnsi="Verdana" w:cstheme="minorHAnsi"/>
          <w:b/>
          <w:sz w:val="20"/>
          <w:szCs w:val="20"/>
          <w:lang w:val="es-ES"/>
        </w:rPr>
        <w:t xml:space="preserve"> </w:t>
      </w:r>
      <w:r w:rsidRPr="004A5B9D">
        <w:rPr>
          <w:rFonts w:ascii="Verdana" w:hAnsi="Verdana" w:cstheme="minorHAnsi"/>
          <w:sz w:val="20"/>
          <w:szCs w:val="20"/>
          <w:lang w:val="es-ES"/>
        </w:rPr>
        <w:t>que el 3 de abril de 2016, agentes de la PNC y la COPREDEH acudieron a</w:t>
      </w:r>
      <w:r w:rsidR="0043068E">
        <w:rPr>
          <w:rFonts w:ascii="Verdana" w:hAnsi="Verdana" w:cstheme="minorHAnsi"/>
          <w:sz w:val="20"/>
          <w:szCs w:val="20"/>
          <w:lang w:val="es-ES"/>
        </w:rPr>
        <w:t xml:space="preserve">l </w:t>
      </w:r>
      <w:r w:rsidRPr="004A5B9D">
        <w:rPr>
          <w:rFonts w:ascii="Verdana" w:hAnsi="Verdana" w:cstheme="minorHAnsi"/>
          <w:sz w:val="20"/>
          <w:szCs w:val="20"/>
          <w:lang w:val="es-ES"/>
        </w:rPr>
        <w:t>domicilio</w:t>
      </w:r>
      <w:r w:rsidR="0043068E">
        <w:rPr>
          <w:rFonts w:ascii="Verdana" w:hAnsi="Verdana" w:cstheme="minorHAnsi"/>
          <w:sz w:val="20"/>
          <w:szCs w:val="20"/>
          <w:lang w:val="es-ES"/>
        </w:rPr>
        <w:t xml:space="preserve"> del señor Álvarez</w:t>
      </w:r>
      <w:r w:rsidRPr="004A5B9D">
        <w:rPr>
          <w:rFonts w:ascii="Verdana" w:hAnsi="Verdana" w:cstheme="minorHAnsi"/>
          <w:sz w:val="20"/>
          <w:szCs w:val="20"/>
          <w:lang w:val="es-ES"/>
        </w:rPr>
        <w:t xml:space="preserve"> y le preguntaron por el incidente ocurrido el 25 de marzo de 2016</w:t>
      </w:r>
      <w:r w:rsidR="0043068E">
        <w:rPr>
          <w:rFonts w:ascii="Verdana" w:hAnsi="Verdana" w:cstheme="minorHAnsi"/>
          <w:sz w:val="20"/>
          <w:szCs w:val="20"/>
          <w:lang w:val="es-ES"/>
        </w:rPr>
        <w:t xml:space="preserve"> (</w:t>
      </w:r>
      <w:r w:rsidR="0043068E" w:rsidRPr="000D3C49">
        <w:rPr>
          <w:rFonts w:ascii="Verdana" w:hAnsi="Verdana" w:cstheme="minorHAnsi"/>
          <w:i/>
          <w:sz w:val="20"/>
          <w:szCs w:val="20"/>
          <w:lang w:val="es-ES"/>
        </w:rPr>
        <w:t>supra</w:t>
      </w:r>
      <w:r w:rsidR="0043068E">
        <w:rPr>
          <w:rFonts w:ascii="Verdana" w:hAnsi="Verdana" w:cstheme="minorHAnsi"/>
          <w:i/>
          <w:sz w:val="20"/>
          <w:szCs w:val="20"/>
          <w:lang w:val="es-ES"/>
        </w:rPr>
        <w:t xml:space="preserve"> </w:t>
      </w:r>
      <w:r w:rsidR="0043068E" w:rsidRPr="000D3C49">
        <w:rPr>
          <w:rFonts w:ascii="Verdana" w:hAnsi="Verdana" w:cstheme="minorHAnsi"/>
          <w:sz w:val="20"/>
          <w:szCs w:val="20"/>
          <w:lang w:val="es-ES"/>
        </w:rPr>
        <w:t>Considerando 41</w:t>
      </w:r>
      <w:r w:rsidR="0043068E">
        <w:rPr>
          <w:rFonts w:ascii="Verdana" w:hAnsi="Verdana" w:cstheme="minorHAnsi"/>
          <w:i/>
          <w:sz w:val="20"/>
          <w:szCs w:val="20"/>
          <w:lang w:val="es-ES"/>
        </w:rPr>
        <w:t>)</w:t>
      </w:r>
      <w:r w:rsidRPr="004A5B9D">
        <w:rPr>
          <w:rFonts w:ascii="Verdana" w:hAnsi="Verdana" w:cstheme="minorHAnsi"/>
          <w:sz w:val="20"/>
          <w:szCs w:val="20"/>
          <w:lang w:val="es-ES"/>
        </w:rPr>
        <w:t>, tomaron fotografías y lo acompañaron a la “posta” policial de Palín, para manifestar la necesidad de patrullajes policiales perimetrales diariamente en el domicilio del señor Álvarez. Ese mismo día, lo contactó un agente policial y lo citó a una reunión con la COPREDEH, que se celebraría el 5 de abril de 2016. El señor Álvarez acudió a la reunión, donde le tomaron sus datos y le comentaron que tenían conocimiento del incidente ocurrido. Sin embargo, los patrullajes perimetrales no fueron implementados.</w:t>
      </w:r>
    </w:p>
    <w:p w:rsidR="004A5B9D" w:rsidRPr="004A5B9D" w:rsidRDefault="004A5B9D" w:rsidP="004A5B9D">
      <w:pPr>
        <w:pStyle w:val="ListParagraph"/>
        <w:ind w:left="0"/>
        <w:rPr>
          <w:rFonts w:ascii="Verdana" w:hAnsi="Verdana" w:cstheme="minorHAnsi"/>
          <w:sz w:val="20"/>
          <w:szCs w:val="20"/>
          <w:lang w:val="es-ES"/>
        </w:rPr>
      </w:pPr>
    </w:p>
    <w:p w:rsidR="007B6D1B" w:rsidRDefault="007B6D1B" w:rsidP="004A5B9D">
      <w:pPr>
        <w:pStyle w:val="ListParagraph"/>
        <w:numPr>
          <w:ilvl w:val="0"/>
          <w:numId w:val="34"/>
        </w:numPr>
        <w:tabs>
          <w:tab w:val="left" w:pos="0"/>
        </w:tabs>
        <w:spacing w:after="0" w:line="240" w:lineRule="auto"/>
        <w:ind w:left="0" w:firstLine="0"/>
        <w:jc w:val="both"/>
        <w:rPr>
          <w:rFonts w:ascii="Verdana" w:hAnsi="Verdana" w:cstheme="minorHAnsi"/>
          <w:sz w:val="20"/>
          <w:szCs w:val="20"/>
          <w:lang w:val="es-ES"/>
        </w:rPr>
      </w:pPr>
      <w:r w:rsidRPr="004A5B9D">
        <w:rPr>
          <w:rFonts w:ascii="Verdana" w:hAnsi="Verdana" w:cstheme="minorHAnsi"/>
          <w:sz w:val="20"/>
          <w:szCs w:val="20"/>
          <w:lang w:val="es-ES"/>
        </w:rPr>
        <w:t>En cuanto a la señora Paz, los representantes indicaron haber realizado algunas gestiones para lograr la implemen</w:t>
      </w:r>
      <w:r w:rsidR="000128FB">
        <w:rPr>
          <w:rFonts w:ascii="Verdana" w:hAnsi="Verdana" w:cstheme="minorHAnsi"/>
          <w:sz w:val="20"/>
          <w:szCs w:val="20"/>
          <w:lang w:val="es-ES"/>
        </w:rPr>
        <w:t xml:space="preserve">tación de patrullajes </w:t>
      </w:r>
      <w:r w:rsidR="000128FB" w:rsidRPr="000D3C49">
        <w:rPr>
          <w:rFonts w:ascii="Verdana" w:hAnsi="Verdana" w:cstheme="minorHAnsi"/>
          <w:sz w:val="20"/>
          <w:szCs w:val="20"/>
          <w:lang w:val="es-ES"/>
        </w:rPr>
        <w:t>para ella</w:t>
      </w:r>
      <w:r w:rsidRPr="004A5B9D">
        <w:rPr>
          <w:rFonts w:ascii="Verdana" w:hAnsi="Verdana" w:cstheme="minorHAnsi"/>
          <w:sz w:val="20"/>
          <w:szCs w:val="20"/>
          <w:lang w:val="es-ES"/>
        </w:rPr>
        <w:t xml:space="preserve">. No obstante, también </w:t>
      </w:r>
      <w:r w:rsidR="000128FB" w:rsidRPr="000D3C49">
        <w:rPr>
          <w:rFonts w:ascii="Verdana" w:hAnsi="Verdana" w:cstheme="minorHAnsi"/>
          <w:sz w:val="20"/>
          <w:szCs w:val="20"/>
          <w:lang w:val="es-ES"/>
        </w:rPr>
        <w:t>señalaron</w:t>
      </w:r>
      <w:r w:rsidR="000128FB">
        <w:rPr>
          <w:rFonts w:ascii="Verdana" w:hAnsi="Verdana" w:cstheme="minorHAnsi"/>
          <w:sz w:val="20"/>
          <w:szCs w:val="20"/>
          <w:lang w:val="es-ES"/>
        </w:rPr>
        <w:t xml:space="preserve"> </w:t>
      </w:r>
      <w:r w:rsidRPr="004A5B9D">
        <w:rPr>
          <w:rFonts w:ascii="Verdana" w:hAnsi="Verdana" w:cstheme="minorHAnsi"/>
          <w:sz w:val="20"/>
          <w:szCs w:val="20"/>
          <w:lang w:val="es-ES"/>
        </w:rPr>
        <w:t xml:space="preserve">que la señora Paz les había informado el 14 de abril de 2016, que seguían en “situación de absoluta indefensión”, por lo que los representantes volvieron a comunicarse con una agente de la COPREDEH.  Dicha agente les informó que: i) </w:t>
      </w:r>
      <w:r w:rsidR="00E608F0">
        <w:rPr>
          <w:rFonts w:ascii="Verdana" w:hAnsi="Verdana" w:cstheme="minorHAnsi"/>
          <w:sz w:val="20"/>
          <w:szCs w:val="20"/>
          <w:lang w:val="es-ES"/>
        </w:rPr>
        <w:t>“</w:t>
      </w:r>
      <w:r w:rsidRPr="004A5B9D">
        <w:rPr>
          <w:rFonts w:ascii="Verdana" w:hAnsi="Verdana" w:cstheme="minorHAnsi"/>
          <w:sz w:val="20"/>
          <w:szCs w:val="20"/>
          <w:lang w:val="es-ES"/>
        </w:rPr>
        <w:t>en la reunión con el beneficiario se acordó gestionar la implementación de un esquema de seguridad para su núcleo familiar</w:t>
      </w:r>
      <w:r w:rsidR="00E608F0">
        <w:rPr>
          <w:rFonts w:ascii="Verdana" w:hAnsi="Verdana" w:cstheme="minorHAnsi"/>
          <w:sz w:val="20"/>
          <w:szCs w:val="20"/>
          <w:lang w:val="es-ES"/>
        </w:rPr>
        <w:t>”</w:t>
      </w:r>
      <w:r w:rsidRPr="004A5B9D">
        <w:rPr>
          <w:rFonts w:ascii="Verdana" w:hAnsi="Verdana" w:cstheme="minorHAnsi"/>
          <w:sz w:val="20"/>
          <w:szCs w:val="20"/>
          <w:lang w:val="es-ES"/>
        </w:rPr>
        <w:t xml:space="preserve">; ii) </w:t>
      </w:r>
      <w:r w:rsidR="00E608F0">
        <w:rPr>
          <w:rFonts w:ascii="Verdana" w:hAnsi="Verdana" w:cstheme="minorHAnsi"/>
          <w:sz w:val="20"/>
          <w:szCs w:val="20"/>
          <w:lang w:val="es-ES"/>
        </w:rPr>
        <w:t>“</w:t>
      </w:r>
      <w:r w:rsidRPr="004A5B9D">
        <w:rPr>
          <w:rFonts w:ascii="Verdana" w:hAnsi="Verdana" w:cstheme="minorHAnsi"/>
          <w:sz w:val="20"/>
          <w:szCs w:val="20"/>
          <w:lang w:val="es-ES"/>
        </w:rPr>
        <w:t>un análisis de riesgo habría determinado que el señor Álvarez y su familia se encuentran en un nivel de [riesgo medio], debido a que aún se encuentra en curso la investigación por la desaparición forzada del señor Bámaca Velásquez […] y por el reciente ataque armado que sufrió el señor Álvarez”; iii) se recomendó implementar medidas de seguridad perimetral en la residencia familiar del señor Álvarez</w:t>
      </w:r>
      <w:r w:rsidR="00E608F0">
        <w:rPr>
          <w:rFonts w:ascii="Verdana" w:hAnsi="Verdana" w:cstheme="minorHAnsi"/>
          <w:sz w:val="20"/>
          <w:szCs w:val="20"/>
          <w:lang w:val="es-ES"/>
        </w:rPr>
        <w:t>,</w:t>
      </w:r>
      <w:r w:rsidRPr="004A5B9D">
        <w:rPr>
          <w:rFonts w:ascii="Verdana" w:hAnsi="Verdana" w:cstheme="minorHAnsi"/>
          <w:sz w:val="20"/>
          <w:szCs w:val="20"/>
          <w:lang w:val="es-ES"/>
        </w:rPr>
        <w:t xml:space="preserve"> y iv) que se encuentran a la espera de recibir “información actualizada […] sobre la implementación del esquema de seguridad”, por parte del Viceministro de Gobernación y de la Policía Nacional Civil. </w:t>
      </w:r>
    </w:p>
    <w:p w:rsidR="000128FB" w:rsidRDefault="000128FB" w:rsidP="000128FB">
      <w:pPr>
        <w:pStyle w:val="ListParagraph"/>
        <w:tabs>
          <w:tab w:val="left" w:pos="0"/>
        </w:tabs>
        <w:spacing w:after="0" w:line="240" w:lineRule="auto"/>
        <w:ind w:left="0"/>
        <w:jc w:val="both"/>
        <w:rPr>
          <w:rFonts w:ascii="Verdana" w:hAnsi="Verdana" w:cstheme="minorHAnsi"/>
          <w:sz w:val="20"/>
          <w:szCs w:val="20"/>
          <w:lang w:val="es-ES"/>
        </w:rPr>
      </w:pPr>
    </w:p>
    <w:p w:rsidR="007B6D1B" w:rsidRPr="000128FB" w:rsidRDefault="007B6D1B" w:rsidP="004A5B9D">
      <w:pPr>
        <w:pStyle w:val="ListParagraph"/>
        <w:numPr>
          <w:ilvl w:val="0"/>
          <w:numId w:val="34"/>
        </w:numPr>
        <w:tabs>
          <w:tab w:val="left" w:pos="0"/>
        </w:tabs>
        <w:spacing w:after="0" w:line="240" w:lineRule="auto"/>
        <w:ind w:left="0" w:firstLine="0"/>
        <w:jc w:val="both"/>
        <w:rPr>
          <w:rFonts w:ascii="Verdana" w:hAnsi="Verdana" w:cstheme="minorHAnsi"/>
          <w:sz w:val="20"/>
          <w:szCs w:val="20"/>
          <w:lang w:val="es-ES"/>
        </w:rPr>
      </w:pPr>
      <w:r w:rsidRPr="004A5B9D">
        <w:rPr>
          <w:rFonts w:ascii="Verdana" w:hAnsi="Verdana" w:cstheme="minorHAnsi"/>
          <w:sz w:val="20"/>
          <w:szCs w:val="20"/>
          <w:lang w:val="es-ES"/>
        </w:rPr>
        <w:t xml:space="preserve">Los representantes expresaron </w:t>
      </w:r>
      <w:r w:rsidR="00E608F0">
        <w:rPr>
          <w:rFonts w:ascii="Verdana" w:hAnsi="Verdana" w:cstheme="minorHAnsi"/>
          <w:sz w:val="20"/>
          <w:szCs w:val="20"/>
          <w:lang w:val="es-ES"/>
        </w:rPr>
        <w:t xml:space="preserve">el 15 de abril de 2016 </w:t>
      </w:r>
      <w:r w:rsidRPr="004A5B9D">
        <w:rPr>
          <w:rFonts w:ascii="Verdana" w:hAnsi="Verdana" w:cstheme="minorHAnsi"/>
          <w:sz w:val="20"/>
          <w:szCs w:val="20"/>
          <w:lang w:val="es-ES"/>
        </w:rPr>
        <w:t xml:space="preserve">que “a más de tres semanas del ataque sufrido por el señor Álvarez […] no se ha comenzado a brindar protección alguna, […] además se ha producido un nuevo incidente de riesgo en las proximidades del domicilio familiar, estando ellos totalmente desprotegidos”. Mencionaron que el señor Álvarez se encontraba separado de su familia, por “motivos de seguridad”. Por ello, solicitaron a este Tribunal que “inste al Estado de Guatemala a que emprenda, a la mayor brevedad, todas las acciones necesarias para evitar que se produzca algún daño en la vida e integridad del señor Aron Álvarez Mendoza y su familia”. En su </w:t>
      </w:r>
      <w:r w:rsidR="003625B8">
        <w:rPr>
          <w:rFonts w:ascii="Verdana" w:hAnsi="Verdana" w:cstheme="minorHAnsi"/>
          <w:sz w:val="20"/>
          <w:szCs w:val="20"/>
          <w:lang w:val="es-ES"/>
        </w:rPr>
        <w:t>escrito de 11 de agosto de 2016</w:t>
      </w:r>
      <w:r w:rsidRPr="004A5B9D">
        <w:rPr>
          <w:rFonts w:ascii="Verdana" w:hAnsi="Verdana" w:cstheme="minorHAnsi"/>
          <w:sz w:val="20"/>
          <w:szCs w:val="20"/>
          <w:lang w:val="es-ES"/>
        </w:rPr>
        <w:t xml:space="preserve"> señalaron que es necesario que los patrullajes se implementen a diario, pues sólo se observa la existe</w:t>
      </w:r>
      <w:r w:rsidR="003625B8">
        <w:rPr>
          <w:rFonts w:ascii="Verdana" w:hAnsi="Verdana" w:cstheme="minorHAnsi"/>
          <w:sz w:val="20"/>
          <w:szCs w:val="20"/>
          <w:lang w:val="es-ES"/>
        </w:rPr>
        <w:t>ncia de un patrullaje irregular;</w:t>
      </w:r>
      <w:r w:rsidRPr="004A5B9D">
        <w:rPr>
          <w:rFonts w:ascii="Verdana" w:hAnsi="Verdana" w:cstheme="minorHAnsi"/>
          <w:sz w:val="20"/>
          <w:szCs w:val="20"/>
          <w:lang w:val="es-ES"/>
        </w:rPr>
        <w:t xml:space="preserve"> reiterando que el 24 de mayo de 2016 las representantes solicitaron a la COPREDEH la reinstauración de los patrullajes, y precisando que la señora Morelia Lili Paz ha manifestado su deseo de “no salir de su </w:t>
      </w:r>
      <w:r w:rsidRPr="004A5B9D">
        <w:rPr>
          <w:rFonts w:ascii="Verdana" w:hAnsi="Verdana" w:cstheme="minorHAnsi"/>
          <w:sz w:val="20"/>
          <w:szCs w:val="20"/>
          <w:lang w:val="es-ES"/>
        </w:rPr>
        <w:lastRenderedPageBreak/>
        <w:t>domicilio salvo en casos de emergencia para evitar que ocurra algún menoscabo en su integridad personal en caso de concretarse un nuevo atentado en su contra”</w:t>
      </w:r>
      <w:r w:rsidR="00E608F0">
        <w:rPr>
          <w:rFonts w:ascii="Verdana" w:hAnsi="Verdana" w:cstheme="minorHAnsi"/>
          <w:sz w:val="20"/>
          <w:szCs w:val="20"/>
          <w:lang w:val="es-ES"/>
        </w:rPr>
        <w:t>.</w:t>
      </w:r>
    </w:p>
    <w:p w:rsidR="000128FB" w:rsidRPr="000128FB" w:rsidRDefault="000128FB" w:rsidP="000128FB">
      <w:pPr>
        <w:pStyle w:val="ListParagraph"/>
        <w:tabs>
          <w:tab w:val="left" w:pos="0"/>
        </w:tabs>
        <w:spacing w:after="0" w:line="240" w:lineRule="auto"/>
        <w:ind w:left="0"/>
        <w:jc w:val="both"/>
        <w:rPr>
          <w:rFonts w:ascii="Verdana" w:hAnsi="Verdana" w:cstheme="minorHAnsi"/>
          <w:b/>
          <w:sz w:val="20"/>
          <w:szCs w:val="20"/>
          <w:lang w:val="es-ES"/>
        </w:rPr>
      </w:pPr>
    </w:p>
    <w:p w:rsidR="007B6D1B" w:rsidRPr="000128FB" w:rsidRDefault="000128FB" w:rsidP="004A5B9D">
      <w:pPr>
        <w:pStyle w:val="ListParagraph"/>
        <w:numPr>
          <w:ilvl w:val="0"/>
          <w:numId w:val="34"/>
        </w:numPr>
        <w:tabs>
          <w:tab w:val="left" w:pos="0"/>
        </w:tabs>
        <w:spacing w:after="0" w:line="240" w:lineRule="auto"/>
        <w:ind w:left="0" w:firstLine="0"/>
        <w:jc w:val="both"/>
        <w:rPr>
          <w:rFonts w:ascii="Verdana" w:hAnsi="Verdana" w:cstheme="minorHAnsi"/>
          <w:sz w:val="20"/>
          <w:szCs w:val="20"/>
          <w:lang w:val="es-ES"/>
        </w:rPr>
      </w:pPr>
      <w:r w:rsidRPr="000D3C49">
        <w:rPr>
          <w:rFonts w:ascii="Verdana" w:hAnsi="Verdana" w:cstheme="minorHAnsi"/>
          <w:sz w:val="20"/>
          <w:szCs w:val="20"/>
          <w:lang w:val="es-ES"/>
        </w:rPr>
        <w:t>Por su parte</w:t>
      </w:r>
      <w:r w:rsidR="007B6D1B" w:rsidRPr="004A5B9D">
        <w:rPr>
          <w:rFonts w:ascii="Verdana" w:hAnsi="Verdana" w:cstheme="minorHAnsi"/>
          <w:sz w:val="20"/>
          <w:szCs w:val="20"/>
          <w:lang w:val="es-ES"/>
        </w:rPr>
        <w:t xml:space="preserve">, el </w:t>
      </w:r>
      <w:r w:rsidR="007B6D1B" w:rsidRPr="000D3C49">
        <w:rPr>
          <w:rFonts w:ascii="Verdana" w:hAnsi="Verdana" w:cstheme="minorHAnsi"/>
          <w:b/>
          <w:i/>
          <w:sz w:val="20"/>
          <w:szCs w:val="20"/>
          <w:lang w:val="es-ES"/>
        </w:rPr>
        <w:t>Estado</w:t>
      </w:r>
      <w:r w:rsidR="007B6D1B" w:rsidRPr="004A5B9D">
        <w:rPr>
          <w:rFonts w:ascii="Verdana" w:hAnsi="Verdana" w:cstheme="minorHAnsi"/>
          <w:sz w:val="20"/>
          <w:szCs w:val="20"/>
          <w:lang w:val="es-ES"/>
        </w:rPr>
        <w:t xml:space="preserve"> en su informe de 26 de abril de 2016 </w:t>
      </w:r>
      <w:r w:rsidR="007B6D1B" w:rsidRPr="004A5B9D">
        <w:rPr>
          <w:rFonts w:ascii="Verdana" w:hAnsi="Verdana" w:cs="Verdana"/>
          <w:sz w:val="20"/>
          <w:szCs w:val="20"/>
          <w:lang w:val="es-ES"/>
        </w:rPr>
        <w:t>manifestó que a raíz del incidente sufrido por el señor Álvarez, este se había presentado ante la COPREDEH para denunci</w:t>
      </w:r>
      <w:r w:rsidR="003625B8">
        <w:rPr>
          <w:rFonts w:ascii="Verdana" w:hAnsi="Verdana" w:cs="Verdana"/>
          <w:sz w:val="20"/>
          <w:szCs w:val="20"/>
          <w:lang w:val="es-ES"/>
        </w:rPr>
        <w:t>ar los hechos. En dicha reunión</w:t>
      </w:r>
      <w:r w:rsidR="007B6D1B" w:rsidRPr="004A5B9D">
        <w:rPr>
          <w:rFonts w:ascii="Verdana" w:hAnsi="Verdana" w:cs="Verdana"/>
          <w:sz w:val="20"/>
          <w:szCs w:val="20"/>
          <w:lang w:val="es-ES"/>
        </w:rPr>
        <w:t xml:space="preserve"> se acordó que se “gestionaría la realización de un análisis de riesgo y la implementación de un esquema de seguridad”. De acuerdo al Estado, </w:t>
      </w:r>
      <w:r w:rsidR="007B6D1B" w:rsidRPr="004A5B9D">
        <w:rPr>
          <w:rFonts w:ascii="Verdana" w:hAnsi="Verdana" w:cstheme="minorHAnsi"/>
          <w:sz w:val="20"/>
          <w:szCs w:val="20"/>
          <w:lang w:val="es-ES"/>
        </w:rPr>
        <w:t>el 5 de abril de 2016, se llevó a cabo el análisis de riesgo, en el cual se concluyó su nivel de riesgo y el de su núcleo familiar como “medio”, en razón de que “aún se encuentra en curso la investigación por la desaparición forzada del señor Bámaca Velásquez y por el reciente ataque armado que sufrió el señor Álvarez”. A raíz de ello, se recomendó que se brindaran medidas de seguridad perimetral en el domicilio del núcleo familiar del señor Álvarez.</w:t>
      </w:r>
    </w:p>
    <w:p w:rsidR="000128FB" w:rsidRPr="004A5B9D" w:rsidRDefault="000128FB" w:rsidP="000128FB">
      <w:pPr>
        <w:pStyle w:val="ListParagraph"/>
        <w:tabs>
          <w:tab w:val="left" w:pos="0"/>
        </w:tabs>
        <w:spacing w:after="0" w:line="240" w:lineRule="auto"/>
        <w:ind w:left="0"/>
        <w:jc w:val="both"/>
        <w:rPr>
          <w:rFonts w:ascii="Verdana" w:hAnsi="Verdana" w:cstheme="minorHAnsi"/>
          <w:sz w:val="20"/>
          <w:szCs w:val="20"/>
          <w:lang w:val="es-ES"/>
        </w:rPr>
      </w:pPr>
    </w:p>
    <w:p w:rsidR="007B6D1B" w:rsidRPr="000128FB" w:rsidRDefault="007B6D1B" w:rsidP="004A5B9D">
      <w:pPr>
        <w:pStyle w:val="ListParagraph"/>
        <w:numPr>
          <w:ilvl w:val="0"/>
          <w:numId w:val="34"/>
        </w:numPr>
        <w:tabs>
          <w:tab w:val="left" w:pos="0"/>
        </w:tabs>
        <w:spacing w:after="0" w:line="240" w:lineRule="auto"/>
        <w:ind w:left="0" w:firstLine="0"/>
        <w:jc w:val="both"/>
        <w:rPr>
          <w:rFonts w:ascii="Verdana" w:hAnsi="Verdana" w:cstheme="minorHAnsi"/>
          <w:sz w:val="20"/>
          <w:szCs w:val="20"/>
          <w:lang w:val="es-ES"/>
        </w:rPr>
      </w:pPr>
      <w:r w:rsidRPr="004A5B9D">
        <w:rPr>
          <w:rFonts w:ascii="Verdana" w:hAnsi="Verdana" w:cstheme="minorHAnsi"/>
          <w:sz w:val="20"/>
          <w:szCs w:val="20"/>
          <w:lang w:val="es-ES"/>
        </w:rPr>
        <w:t xml:space="preserve">En el mismo informe, el Estado expresó que se llevó a cabo una reunión con el señor Álvarez el 6 de abril de 2016 para informarle de los resultados del estudio de riesgo. El Estado destacó que el señor Álvarez declaró que el 5 de abril de 2016 había recibido una llamada telefónica “en la que lo amenazaron de muerte”. </w:t>
      </w:r>
      <w:r w:rsidR="009612B8">
        <w:rPr>
          <w:rFonts w:ascii="Verdana" w:hAnsi="Verdana" w:cstheme="minorHAnsi"/>
          <w:sz w:val="20"/>
          <w:szCs w:val="20"/>
          <w:lang w:val="es-ES"/>
        </w:rPr>
        <w:t>El Estado o</w:t>
      </w:r>
      <w:r w:rsidRPr="004A5B9D">
        <w:rPr>
          <w:rFonts w:ascii="Verdana" w:hAnsi="Verdana" w:cstheme="minorHAnsi"/>
          <w:sz w:val="20"/>
          <w:szCs w:val="20"/>
          <w:lang w:val="es-ES"/>
        </w:rPr>
        <w:t>freció “realizar las gestiones correspondientes con el fin de dar continuidad [… a la] seguridad perimetral a favor del señor Aron Álvarez Mendoza y su núcleo familiar”</w:t>
      </w:r>
      <w:r w:rsidR="00E608F0">
        <w:rPr>
          <w:rFonts w:ascii="Verdana" w:hAnsi="Verdana" w:cstheme="minorHAnsi"/>
          <w:sz w:val="20"/>
          <w:szCs w:val="20"/>
          <w:lang w:val="es-ES"/>
        </w:rPr>
        <w:t>.</w:t>
      </w:r>
    </w:p>
    <w:p w:rsidR="000128FB" w:rsidRPr="004A5B9D" w:rsidRDefault="000128FB" w:rsidP="000128FB">
      <w:pPr>
        <w:pStyle w:val="ListParagraph"/>
        <w:tabs>
          <w:tab w:val="left" w:pos="0"/>
        </w:tabs>
        <w:spacing w:after="0" w:line="240" w:lineRule="auto"/>
        <w:ind w:left="0"/>
        <w:jc w:val="both"/>
        <w:rPr>
          <w:rFonts w:ascii="Verdana" w:hAnsi="Verdana" w:cstheme="minorHAnsi"/>
          <w:sz w:val="20"/>
          <w:szCs w:val="20"/>
          <w:lang w:val="es-ES"/>
        </w:rPr>
      </w:pPr>
    </w:p>
    <w:p w:rsidR="00300F9F" w:rsidRDefault="00E608F0" w:rsidP="004A5B9D">
      <w:pPr>
        <w:pStyle w:val="ListParagraph"/>
        <w:numPr>
          <w:ilvl w:val="0"/>
          <w:numId w:val="34"/>
        </w:numPr>
        <w:tabs>
          <w:tab w:val="left" w:pos="0"/>
        </w:tabs>
        <w:spacing w:after="0" w:line="240" w:lineRule="auto"/>
        <w:ind w:left="0" w:firstLine="0"/>
        <w:jc w:val="both"/>
        <w:rPr>
          <w:rFonts w:ascii="Verdana" w:hAnsi="Verdana" w:cstheme="minorHAnsi"/>
          <w:sz w:val="20"/>
          <w:szCs w:val="20"/>
          <w:lang w:val="es-ES"/>
        </w:rPr>
      </w:pPr>
      <w:r>
        <w:rPr>
          <w:rFonts w:ascii="Verdana" w:hAnsi="Verdana" w:cstheme="minorHAnsi"/>
          <w:sz w:val="20"/>
          <w:szCs w:val="20"/>
          <w:lang w:val="es-ES"/>
        </w:rPr>
        <w:t xml:space="preserve">En cuanto a </w:t>
      </w:r>
      <w:r w:rsidR="00B0303A" w:rsidRPr="004A5B9D">
        <w:rPr>
          <w:rFonts w:ascii="Verdana" w:hAnsi="Verdana" w:cstheme="minorHAnsi"/>
          <w:sz w:val="20"/>
          <w:szCs w:val="20"/>
          <w:lang w:val="es-ES"/>
        </w:rPr>
        <w:t>l</w:t>
      </w:r>
      <w:r w:rsidR="003B232C" w:rsidRPr="004A5B9D">
        <w:rPr>
          <w:rFonts w:ascii="Verdana" w:hAnsi="Verdana" w:cstheme="minorHAnsi"/>
          <w:sz w:val="20"/>
          <w:szCs w:val="20"/>
          <w:lang w:val="es-ES"/>
        </w:rPr>
        <w:t xml:space="preserve">a </w:t>
      </w:r>
      <w:r w:rsidR="003B232C" w:rsidRPr="000D3C49">
        <w:rPr>
          <w:rFonts w:ascii="Verdana" w:hAnsi="Verdana" w:cstheme="minorHAnsi"/>
          <w:b/>
          <w:i/>
          <w:sz w:val="20"/>
          <w:szCs w:val="20"/>
          <w:lang w:val="es-ES"/>
        </w:rPr>
        <w:t>Comisión</w:t>
      </w:r>
      <w:r>
        <w:rPr>
          <w:rFonts w:ascii="Verdana" w:hAnsi="Verdana" w:cstheme="minorHAnsi"/>
          <w:sz w:val="20"/>
          <w:szCs w:val="20"/>
          <w:lang w:val="es-ES"/>
        </w:rPr>
        <w:t>,</w:t>
      </w:r>
      <w:r w:rsidR="003B232C" w:rsidRPr="004A5B9D">
        <w:rPr>
          <w:rFonts w:ascii="Verdana" w:hAnsi="Verdana" w:cstheme="minorHAnsi"/>
          <w:sz w:val="20"/>
          <w:szCs w:val="20"/>
          <w:lang w:val="es-ES"/>
        </w:rPr>
        <w:t xml:space="preserve"> no realizó observaciones concretas respecto</w:t>
      </w:r>
      <w:r w:rsidR="00057267">
        <w:rPr>
          <w:rFonts w:ascii="Verdana" w:hAnsi="Verdana" w:cstheme="minorHAnsi"/>
          <w:sz w:val="20"/>
          <w:szCs w:val="20"/>
          <w:lang w:val="es-ES"/>
        </w:rPr>
        <w:t xml:space="preserve"> a la información aludida en los párrafos precedentes</w:t>
      </w:r>
      <w:r w:rsidR="004A5B9D">
        <w:rPr>
          <w:rFonts w:ascii="Verdana" w:hAnsi="Verdana" w:cstheme="minorHAnsi"/>
          <w:sz w:val="20"/>
          <w:szCs w:val="20"/>
          <w:lang w:val="es-ES"/>
        </w:rPr>
        <w:t>.</w:t>
      </w:r>
    </w:p>
    <w:p w:rsidR="00864EF3" w:rsidRDefault="00864EF3" w:rsidP="00864EF3">
      <w:pPr>
        <w:spacing w:after="0" w:line="240" w:lineRule="auto"/>
        <w:jc w:val="both"/>
        <w:rPr>
          <w:rFonts w:ascii="Verdana" w:hAnsi="Verdana" w:cstheme="minorHAnsi"/>
          <w:sz w:val="20"/>
          <w:szCs w:val="20"/>
          <w:u w:val="single"/>
          <w:lang w:val="es-ES"/>
        </w:rPr>
      </w:pPr>
    </w:p>
    <w:p w:rsidR="00864EF3" w:rsidRDefault="00864EF3" w:rsidP="000D3C49">
      <w:pPr>
        <w:pStyle w:val="ListParagraph"/>
        <w:spacing w:after="0" w:line="240" w:lineRule="auto"/>
        <w:ind w:left="709" w:right="540"/>
        <w:jc w:val="both"/>
        <w:rPr>
          <w:rFonts w:ascii="Verdana" w:hAnsi="Verdana" w:cstheme="minorHAnsi"/>
          <w:i/>
          <w:sz w:val="20"/>
          <w:szCs w:val="20"/>
          <w:lang w:val="es-ES"/>
        </w:rPr>
      </w:pPr>
      <w:r>
        <w:rPr>
          <w:rFonts w:ascii="Verdana" w:hAnsi="Verdana" w:cstheme="minorHAnsi"/>
          <w:i/>
          <w:sz w:val="20"/>
          <w:szCs w:val="20"/>
          <w:lang w:val="es-ES"/>
        </w:rPr>
        <w:t>D.4.</w:t>
      </w:r>
      <w:r w:rsidRPr="001C414E">
        <w:rPr>
          <w:rFonts w:ascii="Verdana" w:hAnsi="Verdana" w:cstheme="minorHAnsi"/>
          <w:i/>
          <w:sz w:val="20"/>
          <w:szCs w:val="20"/>
          <w:lang w:val="es-ES"/>
        </w:rPr>
        <w:t xml:space="preserve"> </w:t>
      </w:r>
      <w:r>
        <w:rPr>
          <w:rFonts w:ascii="Verdana" w:hAnsi="Verdana" w:cstheme="minorHAnsi"/>
          <w:i/>
          <w:sz w:val="20"/>
          <w:szCs w:val="20"/>
          <w:lang w:val="es-ES"/>
        </w:rPr>
        <w:t>Consideraciones de la Corte</w:t>
      </w:r>
      <w:r w:rsidRPr="001C414E">
        <w:rPr>
          <w:rFonts w:ascii="Verdana" w:hAnsi="Verdana" w:cstheme="minorHAnsi"/>
          <w:i/>
          <w:sz w:val="20"/>
          <w:szCs w:val="20"/>
          <w:lang w:val="es-ES"/>
        </w:rPr>
        <w:t xml:space="preserve"> </w:t>
      </w:r>
    </w:p>
    <w:p w:rsidR="00864EF3" w:rsidRDefault="00864EF3" w:rsidP="000128FB">
      <w:pPr>
        <w:pStyle w:val="ListParagraph"/>
        <w:tabs>
          <w:tab w:val="left" w:pos="0"/>
        </w:tabs>
        <w:spacing w:after="0" w:line="240" w:lineRule="auto"/>
        <w:ind w:left="0"/>
        <w:jc w:val="both"/>
        <w:rPr>
          <w:rFonts w:ascii="Verdana" w:hAnsi="Verdana" w:cstheme="minorHAnsi"/>
          <w:sz w:val="20"/>
          <w:szCs w:val="20"/>
          <w:lang w:val="es-ES"/>
        </w:rPr>
      </w:pPr>
    </w:p>
    <w:p w:rsidR="003F627B" w:rsidRDefault="00864EF3" w:rsidP="004A5B9D">
      <w:pPr>
        <w:pStyle w:val="ListParagraph"/>
        <w:numPr>
          <w:ilvl w:val="0"/>
          <w:numId w:val="34"/>
        </w:numPr>
        <w:tabs>
          <w:tab w:val="left" w:pos="0"/>
        </w:tabs>
        <w:spacing w:after="0" w:line="240" w:lineRule="auto"/>
        <w:ind w:left="0" w:firstLine="0"/>
        <w:jc w:val="both"/>
        <w:rPr>
          <w:rFonts w:ascii="Verdana" w:hAnsi="Verdana" w:cstheme="minorHAnsi"/>
          <w:sz w:val="20"/>
          <w:szCs w:val="20"/>
          <w:lang w:val="es-ES"/>
        </w:rPr>
      </w:pPr>
      <w:r>
        <w:rPr>
          <w:rFonts w:ascii="Verdana" w:hAnsi="Verdana" w:cstheme="minorHAnsi"/>
          <w:sz w:val="20"/>
          <w:szCs w:val="20"/>
          <w:lang w:val="es-ES"/>
        </w:rPr>
        <w:t xml:space="preserve">La </w:t>
      </w:r>
      <w:r w:rsidRPr="000D3C49">
        <w:rPr>
          <w:rFonts w:ascii="Verdana" w:hAnsi="Verdana" w:cstheme="minorHAnsi"/>
          <w:b/>
          <w:i/>
          <w:sz w:val="20"/>
          <w:szCs w:val="20"/>
          <w:lang w:val="es-ES"/>
        </w:rPr>
        <w:t xml:space="preserve">Corte </w:t>
      </w:r>
      <w:r w:rsidR="003F627B" w:rsidRPr="004A5B9D">
        <w:rPr>
          <w:rFonts w:ascii="Verdana" w:hAnsi="Verdana" w:cstheme="minorHAnsi"/>
          <w:sz w:val="20"/>
          <w:szCs w:val="20"/>
          <w:lang w:val="es-ES"/>
        </w:rPr>
        <w:t xml:space="preserve">entiende que el 25 de marzo de 2016 la casa del señor Aron Álvarez fue impactada por proyectiles de bala y que </w:t>
      </w:r>
      <w:r w:rsidR="003625B8">
        <w:rPr>
          <w:rFonts w:ascii="Verdana" w:hAnsi="Verdana" w:cstheme="minorHAnsi"/>
          <w:sz w:val="20"/>
          <w:szCs w:val="20"/>
          <w:lang w:val="es-ES"/>
        </w:rPr>
        <w:t>do</w:t>
      </w:r>
      <w:r w:rsidR="003F627B" w:rsidRPr="004A5B9D">
        <w:rPr>
          <w:rFonts w:ascii="Verdana" w:hAnsi="Verdana" w:cstheme="minorHAnsi"/>
          <w:sz w:val="20"/>
          <w:szCs w:val="20"/>
          <w:lang w:val="es-ES"/>
        </w:rPr>
        <w:t>s semanas después la señora Morelia Lili Paz, p</w:t>
      </w:r>
      <w:r w:rsidR="00F245CE" w:rsidRPr="004A5B9D">
        <w:rPr>
          <w:rFonts w:ascii="Verdana" w:hAnsi="Verdana" w:cstheme="minorHAnsi"/>
          <w:sz w:val="20"/>
          <w:szCs w:val="20"/>
          <w:lang w:val="es-ES"/>
        </w:rPr>
        <w:t>areja del señor Álvarez, escuchó</w:t>
      </w:r>
      <w:r w:rsidR="003F627B" w:rsidRPr="004A5B9D">
        <w:rPr>
          <w:rFonts w:ascii="Verdana" w:hAnsi="Verdana" w:cstheme="minorHAnsi"/>
          <w:sz w:val="20"/>
          <w:szCs w:val="20"/>
          <w:lang w:val="es-ES"/>
        </w:rPr>
        <w:t xml:space="preserve"> a desconocidos</w:t>
      </w:r>
      <w:r w:rsidR="003625B8">
        <w:rPr>
          <w:rFonts w:ascii="Verdana" w:hAnsi="Verdana" w:cstheme="minorHAnsi"/>
          <w:sz w:val="20"/>
          <w:szCs w:val="20"/>
          <w:lang w:val="es-ES"/>
        </w:rPr>
        <w:t xml:space="preserve"> hacer disparos cerca de su domicilio</w:t>
      </w:r>
      <w:r w:rsidR="003F627B" w:rsidRPr="004A5B9D">
        <w:rPr>
          <w:rFonts w:ascii="Verdana" w:hAnsi="Verdana" w:cstheme="minorHAnsi"/>
          <w:sz w:val="20"/>
          <w:szCs w:val="20"/>
          <w:lang w:val="es-ES"/>
        </w:rPr>
        <w:t>. Sumado a ello, la Corte nota que el señor Álvarez denunció que el 5 de mayo de 2016 recibió una llamada telefónica amenazante y manifestó que se encontraba separado de su familia por motivos de seguridad.</w:t>
      </w:r>
    </w:p>
    <w:p w:rsidR="000128FB" w:rsidRDefault="000128FB" w:rsidP="000128FB">
      <w:pPr>
        <w:pStyle w:val="ListParagraph"/>
        <w:tabs>
          <w:tab w:val="left" w:pos="0"/>
        </w:tabs>
        <w:spacing w:after="0" w:line="240" w:lineRule="auto"/>
        <w:ind w:left="0"/>
        <w:jc w:val="both"/>
        <w:rPr>
          <w:rFonts w:ascii="Verdana" w:hAnsi="Verdana" w:cstheme="minorHAnsi"/>
          <w:sz w:val="20"/>
          <w:szCs w:val="20"/>
          <w:lang w:val="es-ES"/>
        </w:rPr>
      </w:pPr>
    </w:p>
    <w:p w:rsidR="004A5B9D" w:rsidRDefault="00864EF3" w:rsidP="004A5B9D">
      <w:pPr>
        <w:pStyle w:val="ListParagraph"/>
        <w:numPr>
          <w:ilvl w:val="0"/>
          <w:numId w:val="34"/>
        </w:numPr>
        <w:tabs>
          <w:tab w:val="left" w:pos="0"/>
        </w:tabs>
        <w:spacing w:after="0" w:line="240" w:lineRule="auto"/>
        <w:ind w:left="0" w:firstLine="0"/>
        <w:jc w:val="both"/>
        <w:rPr>
          <w:rFonts w:ascii="Verdana" w:hAnsi="Verdana" w:cstheme="minorHAnsi"/>
          <w:sz w:val="20"/>
          <w:szCs w:val="20"/>
          <w:lang w:val="es-ES"/>
        </w:rPr>
      </w:pPr>
      <w:r>
        <w:rPr>
          <w:rFonts w:ascii="Verdana" w:hAnsi="Verdana" w:cstheme="minorHAnsi"/>
          <w:sz w:val="20"/>
          <w:szCs w:val="20"/>
          <w:lang w:val="es-ES"/>
        </w:rPr>
        <w:t>Este Tribunal</w:t>
      </w:r>
      <w:r w:rsidR="003F627B" w:rsidRPr="004A5B9D">
        <w:rPr>
          <w:rFonts w:ascii="Verdana" w:hAnsi="Verdana" w:cstheme="minorHAnsi"/>
          <w:sz w:val="20"/>
          <w:szCs w:val="20"/>
          <w:lang w:val="es-ES"/>
        </w:rPr>
        <w:t xml:space="preserve"> valora las acciones emprendidas por el Estado en relación con dichos hechos, sin embargo, los representantes manifestaron el incumplimiento de algunas de ellas, como el acompañami</w:t>
      </w:r>
      <w:r w:rsidR="003625B8">
        <w:rPr>
          <w:rFonts w:ascii="Verdana" w:hAnsi="Verdana" w:cstheme="minorHAnsi"/>
          <w:sz w:val="20"/>
          <w:szCs w:val="20"/>
          <w:lang w:val="es-ES"/>
        </w:rPr>
        <w:t>ento al señor Álvarez a desmontar</w:t>
      </w:r>
      <w:r w:rsidR="003F627B" w:rsidRPr="004A5B9D">
        <w:rPr>
          <w:rFonts w:ascii="Verdana" w:hAnsi="Verdana" w:cstheme="minorHAnsi"/>
          <w:sz w:val="20"/>
          <w:szCs w:val="20"/>
          <w:lang w:val="es-ES"/>
        </w:rPr>
        <w:t xml:space="preserve"> su casa, la falta de patrullajes perimetrales, y que a pesar de varias gestiones, se encontraban “totalmente desprotegidos”. </w:t>
      </w:r>
    </w:p>
    <w:p w:rsidR="000128FB" w:rsidRDefault="000128FB" w:rsidP="000128FB">
      <w:pPr>
        <w:pStyle w:val="ListParagraph"/>
        <w:tabs>
          <w:tab w:val="left" w:pos="0"/>
        </w:tabs>
        <w:spacing w:after="0" w:line="240" w:lineRule="auto"/>
        <w:ind w:left="0"/>
        <w:jc w:val="both"/>
        <w:rPr>
          <w:rFonts w:ascii="Verdana" w:hAnsi="Verdana" w:cstheme="minorHAnsi"/>
          <w:sz w:val="20"/>
          <w:szCs w:val="20"/>
          <w:lang w:val="es-ES"/>
        </w:rPr>
      </w:pPr>
    </w:p>
    <w:p w:rsidR="003F627B" w:rsidRDefault="003F627B" w:rsidP="004A5B9D">
      <w:pPr>
        <w:pStyle w:val="ListParagraph"/>
        <w:numPr>
          <w:ilvl w:val="0"/>
          <w:numId w:val="34"/>
        </w:numPr>
        <w:tabs>
          <w:tab w:val="left" w:pos="0"/>
        </w:tabs>
        <w:spacing w:after="0" w:line="240" w:lineRule="auto"/>
        <w:ind w:left="0" w:firstLine="0"/>
        <w:jc w:val="both"/>
        <w:rPr>
          <w:rFonts w:ascii="Verdana" w:hAnsi="Verdana" w:cstheme="minorHAnsi"/>
          <w:sz w:val="20"/>
          <w:szCs w:val="20"/>
          <w:lang w:val="es-ES"/>
        </w:rPr>
      </w:pPr>
      <w:r>
        <w:rPr>
          <w:rFonts w:ascii="Verdana" w:hAnsi="Verdana" w:cstheme="minorHAnsi"/>
          <w:sz w:val="20"/>
          <w:szCs w:val="20"/>
          <w:lang w:val="es-ES"/>
        </w:rPr>
        <w:t xml:space="preserve">A la luz de los nuevos hechos informados, </w:t>
      </w:r>
      <w:r w:rsidR="00864EF3">
        <w:rPr>
          <w:rFonts w:ascii="Verdana" w:hAnsi="Verdana" w:cstheme="minorHAnsi"/>
          <w:sz w:val="20"/>
          <w:szCs w:val="20"/>
          <w:lang w:val="es-ES"/>
        </w:rPr>
        <w:t>la Corte</w:t>
      </w:r>
      <w:r>
        <w:rPr>
          <w:rFonts w:ascii="Verdana" w:hAnsi="Verdana" w:cstheme="minorHAnsi"/>
          <w:sz w:val="20"/>
          <w:szCs w:val="20"/>
          <w:lang w:val="es-ES"/>
        </w:rPr>
        <w:t xml:space="preserve"> considera que </w:t>
      </w:r>
      <w:r w:rsidR="009612B8">
        <w:rPr>
          <w:rFonts w:ascii="Verdana" w:hAnsi="Verdana" w:cstheme="minorHAnsi"/>
          <w:sz w:val="20"/>
          <w:szCs w:val="20"/>
          <w:lang w:val="es-ES"/>
        </w:rPr>
        <w:t xml:space="preserve">de acuerdo a los mismos, a la fecha la situación </w:t>
      </w:r>
      <w:r>
        <w:rPr>
          <w:rFonts w:ascii="Verdana" w:hAnsi="Verdana" w:cstheme="minorHAnsi"/>
          <w:sz w:val="20"/>
          <w:szCs w:val="20"/>
          <w:lang w:val="es-ES"/>
        </w:rPr>
        <w:t xml:space="preserve">reviste aún </w:t>
      </w:r>
      <w:r w:rsidR="009612B8">
        <w:rPr>
          <w:rFonts w:ascii="Verdana" w:hAnsi="Verdana" w:cstheme="minorHAnsi"/>
          <w:sz w:val="20"/>
          <w:szCs w:val="20"/>
          <w:lang w:val="es-ES"/>
        </w:rPr>
        <w:t>características</w:t>
      </w:r>
      <w:r>
        <w:rPr>
          <w:rFonts w:ascii="Verdana" w:hAnsi="Verdana" w:cstheme="minorHAnsi"/>
          <w:sz w:val="20"/>
          <w:szCs w:val="20"/>
          <w:lang w:val="es-ES"/>
        </w:rPr>
        <w:t xml:space="preserve"> de extrema gravedad y urgencia</w:t>
      </w:r>
      <w:r w:rsidR="009612B8">
        <w:rPr>
          <w:rFonts w:ascii="Verdana" w:hAnsi="Verdana" w:cstheme="minorHAnsi"/>
          <w:sz w:val="20"/>
          <w:szCs w:val="20"/>
          <w:lang w:val="es-ES"/>
        </w:rPr>
        <w:t xml:space="preserve"> en relación con el</w:t>
      </w:r>
      <w:r>
        <w:rPr>
          <w:rFonts w:ascii="Verdana" w:hAnsi="Verdana" w:cstheme="minorHAnsi"/>
          <w:sz w:val="20"/>
          <w:szCs w:val="20"/>
          <w:lang w:val="es-ES"/>
        </w:rPr>
        <w:t xml:space="preserve"> riesgo de </w:t>
      </w:r>
      <w:r w:rsidR="009612B8">
        <w:rPr>
          <w:rFonts w:ascii="Verdana" w:hAnsi="Verdana" w:cstheme="minorHAnsi"/>
          <w:sz w:val="20"/>
          <w:szCs w:val="20"/>
          <w:lang w:val="es-ES"/>
        </w:rPr>
        <w:t xml:space="preserve">un </w:t>
      </w:r>
      <w:r>
        <w:rPr>
          <w:rFonts w:ascii="Verdana" w:hAnsi="Verdana" w:cstheme="minorHAnsi"/>
          <w:sz w:val="20"/>
          <w:szCs w:val="20"/>
          <w:lang w:val="es-ES"/>
        </w:rPr>
        <w:t xml:space="preserve">daño irreparable, por lo que resulta necesario mantener vigentes las presentes medidas a favor del señor Aron Álvarez y su familia.   </w:t>
      </w:r>
    </w:p>
    <w:p w:rsidR="002A2C6E" w:rsidRDefault="002A2C6E" w:rsidP="00F0759D">
      <w:pPr>
        <w:pStyle w:val="ListParagraph"/>
        <w:spacing w:after="0" w:line="240" w:lineRule="auto"/>
        <w:ind w:left="0"/>
        <w:jc w:val="both"/>
        <w:rPr>
          <w:rFonts w:ascii="Verdana" w:hAnsi="Verdana" w:cstheme="minorHAnsi"/>
          <w:sz w:val="20"/>
          <w:szCs w:val="20"/>
          <w:lang w:val="es-ES"/>
        </w:rPr>
      </w:pPr>
    </w:p>
    <w:p w:rsidR="002A2C6E" w:rsidRDefault="002A2C6E" w:rsidP="007B6D1B">
      <w:pPr>
        <w:pStyle w:val="Heading1"/>
        <w:spacing w:before="0"/>
        <w:ind w:left="720"/>
        <w:rPr>
          <w:i/>
          <w:szCs w:val="20"/>
          <w:lang w:val="es-CR"/>
        </w:rPr>
      </w:pPr>
      <w:r>
        <w:rPr>
          <w:i/>
          <w:szCs w:val="20"/>
          <w:lang w:val="es-ES"/>
        </w:rPr>
        <w:t>E</w:t>
      </w:r>
      <w:r w:rsidRPr="002623CB">
        <w:rPr>
          <w:i/>
          <w:szCs w:val="20"/>
          <w:lang w:val="es-ES"/>
        </w:rPr>
        <w:t xml:space="preserve">. </w:t>
      </w:r>
      <w:r w:rsidRPr="00CB3A58">
        <w:rPr>
          <w:i/>
          <w:szCs w:val="20"/>
          <w:lang w:val="es-CR"/>
        </w:rPr>
        <w:t xml:space="preserve">Consideraciones </w:t>
      </w:r>
      <w:r>
        <w:rPr>
          <w:i/>
          <w:szCs w:val="20"/>
          <w:lang w:val="es-CR"/>
        </w:rPr>
        <w:t xml:space="preserve">en relación a la situación contextual de violencia existente en Guatemala </w:t>
      </w:r>
      <w:r w:rsidR="008E43CC">
        <w:rPr>
          <w:i/>
          <w:szCs w:val="20"/>
          <w:lang w:val="es-CR"/>
        </w:rPr>
        <w:t xml:space="preserve">y </w:t>
      </w:r>
      <w:r>
        <w:rPr>
          <w:i/>
          <w:szCs w:val="20"/>
          <w:lang w:val="es-CR"/>
        </w:rPr>
        <w:t xml:space="preserve">el cumplimiento de la </w:t>
      </w:r>
      <w:r w:rsidR="008E43CC">
        <w:rPr>
          <w:i/>
          <w:szCs w:val="20"/>
          <w:lang w:val="es-CR"/>
        </w:rPr>
        <w:t>S</w:t>
      </w:r>
      <w:r>
        <w:rPr>
          <w:i/>
          <w:szCs w:val="20"/>
          <w:lang w:val="es-CR"/>
        </w:rPr>
        <w:t>entencia</w:t>
      </w:r>
    </w:p>
    <w:p w:rsidR="002A2C6E" w:rsidRPr="007F1564" w:rsidRDefault="002A2C6E" w:rsidP="00E5695F">
      <w:pPr>
        <w:spacing w:after="0" w:line="240" w:lineRule="auto"/>
        <w:rPr>
          <w:lang w:val="es-CR" w:eastAsia="en-US"/>
        </w:rPr>
      </w:pPr>
    </w:p>
    <w:p w:rsidR="006F1B72" w:rsidRDefault="00B41BB0" w:rsidP="006F1B72">
      <w:pPr>
        <w:pStyle w:val="ListParagraph"/>
        <w:numPr>
          <w:ilvl w:val="0"/>
          <w:numId w:val="34"/>
        </w:numPr>
        <w:spacing w:after="0" w:line="240" w:lineRule="auto"/>
        <w:ind w:left="0" w:firstLine="0"/>
        <w:jc w:val="both"/>
        <w:rPr>
          <w:rFonts w:ascii="Verdana" w:hAnsi="Verdana" w:cs="Verdana"/>
          <w:sz w:val="20"/>
          <w:szCs w:val="20"/>
          <w:lang w:val="es-ES"/>
        </w:rPr>
      </w:pPr>
      <w:r w:rsidRPr="000D3C49">
        <w:rPr>
          <w:rFonts w:ascii="Verdana" w:hAnsi="Verdana"/>
          <w:sz w:val="20"/>
          <w:szCs w:val="20"/>
          <w:lang w:val="es-MX"/>
        </w:rPr>
        <w:t>En sus observaciones de 11 de agosto de 2016,</w:t>
      </w:r>
      <w:r w:rsidR="002A2C6E" w:rsidRPr="000D3C49">
        <w:rPr>
          <w:rFonts w:ascii="Verdana" w:hAnsi="Verdana"/>
          <w:sz w:val="20"/>
          <w:szCs w:val="20"/>
          <w:lang w:val="es-MX"/>
        </w:rPr>
        <w:t xml:space="preserve"> l</w:t>
      </w:r>
      <w:r w:rsidRPr="000D3C49">
        <w:rPr>
          <w:rFonts w:ascii="Verdana" w:hAnsi="Verdana"/>
          <w:sz w:val="20"/>
          <w:szCs w:val="20"/>
          <w:lang w:val="es-MX"/>
        </w:rPr>
        <w:t>os</w:t>
      </w:r>
      <w:r w:rsidR="002A2C6E" w:rsidRPr="000D3C49">
        <w:rPr>
          <w:rFonts w:ascii="Verdana" w:hAnsi="Verdana"/>
          <w:sz w:val="20"/>
          <w:szCs w:val="20"/>
          <w:lang w:val="es-MX"/>
        </w:rPr>
        <w:t xml:space="preserve"> </w:t>
      </w:r>
      <w:r w:rsidR="002A2C6E" w:rsidRPr="000D3C49">
        <w:rPr>
          <w:rFonts w:ascii="Verdana" w:hAnsi="Verdana"/>
          <w:b/>
          <w:i/>
          <w:sz w:val="20"/>
          <w:szCs w:val="20"/>
          <w:lang w:val="es-MX"/>
        </w:rPr>
        <w:t>representante</w:t>
      </w:r>
      <w:r w:rsidR="008E3EE3" w:rsidRPr="000D3C49">
        <w:rPr>
          <w:rFonts w:ascii="Verdana" w:hAnsi="Verdana"/>
          <w:b/>
          <w:i/>
          <w:sz w:val="20"/>
          <w:szCs w:val="20"/>
          <w:lang w:val="es-MX"/>
        </w:rPr>
        <w:t>s</w:t>
      </w:r>
      <w:r w:rsidR="002A2C6E" w:rsidRPr="000D3C49">
        <w:rPr>
          <w:rFonts w:ascii="Verdana" w:hAnsi="Verdana"/>
          <w:sz w:val="20"/>
          <w:szCs w:val="20"/>
          <w:lang w:val="es-MX"/>
        </w:rPr>
        <w:t xml:space="preserve"> </w:t>
      </w:r>
      <w:r w:rsidRPr="000D3C49">
        <w:rPr>
          <w:rFonts w:ascii="Verdana" w:hAnsi="Verdana"/>
          <w:sz w:val="20"/>
          <w:szCs w:val="20"/>
          <w:lang w:val="es-MX"/>
        </w:rPr>
        <w:t xml:space="preserve">se refirieron al </w:t>
      </w:r>
      <w:r w:rsidR="002A2C6E" w:rsidRPr="000D3C49">
        <w:rPr>
          <w:rFonts w:ascii="Verdana" w:hAnsi="Verdana"/>
          <w:sz w:val="20"/>
          <w:szCs w:val="20"/>
          <w:lang w:val="es-MX"/>
        </w:rPr>
        <w:t>contexto político en Guatemala,</w:t>
      </w:r>
      <w:r w:rsidRPr="000D3C49">
        <w:rPr>
          <w:rFonts w:ascii="Verdana" w:hAnsi="Verdana"/>
          <w:sz w:val="20"/>
          <w:szCs w:val="20"/>
          <w:lang w:val="es-MX"/>
        </w:rPr>
        <w:t xml:space="preserve"> y señalaron que</w:t>
      </w:r>
      <w:r w:rsidR="002A2C6E" w:rsidRPr="000D3C49">
        <w:rPr>
          <w:rFonts w:ascii="Verdana" w:hAnsi="Verdana"/>
          <w:sz w:val="20"/>
          <w:szCs w:val="20"/>
          <w:lang w:val="es-MX"/>
        </w:rPr>
        <w:t xml:space="preserve"> </w:t>
      </w:r>
      <w:r w:rsidR="002A2C6E" w:rsidRPr="000D3C49">
        <w:rPr>
          <w:rFonts w:ascii="Verdana" w:hAnsi="Verdana" w:cs="Verdana"/>
          <w:sz w:val="20"/>
          <w:szCs w:val="20"/>
          <w:lang w:val="es-ES"/>
        </w:rPr>
        <w:t>“es necesario considerar el difícil contexto en que se encuentran las personas vinculadas con los procesos que buscan esclarecer la verdad en los crímenes cometidos en el pasado”. Lo anterior dado que los beneficiarios son “familiares y testigos de uno de los casos de mayor perfil ocurridos durante el [conflicto armado interno,] a la luz de las personas presuntamente involucradas en la desaparición forzada del señor Bámaca”.</w:t>
      </w:r>
      <w:r w:rsidR="002A2C6E" w:rsidRPr="000D3C49">
        <w:rPr>
          <w:rFonts w:ascii="Verdana" w:hAnsi="Verdana"/>
          <w:sz w:val="20"/>
          <w:szCs w:val="20"/>
          <w:lang w:val="es-MX"/>
        </w:rPr>
        <w:t xml:space="preserve"> Agrega</w:t>
      </w:r>
      <w:r w:rsidRPr="000D3C49">
        <w:rPr>
          <w:rFonts w:ascii="Verdana" w:hAnsi="Verdana"/>
          <w:sz w:val="20"/>
          <w:szCs w:val="20"/>
          <w:lang w:val="es-MX"/>
        </w:rPr>
        <w:t>ron</w:t>
      </w:r>
      <w:r w:rsidR="002A2C6E" w:rsidRPr="000D3C49">
        <w:rPr>
          <w:rFonts w:ascii="Verdana" w:hAnsi="Verdana"/>
          <w:sz w:val="20"/>
          <w:szCs w:val="20"/>
          <w:lang w:val="es-MX"/>
        </w:rPr>
        <w:t xml:space="preserve"> </w:t>
      </w:r>
      <w:r w:rsidR="002A2C6E" w:rsidRPr="000D3C49">
        <w:rPr>
          <w:rFonts w:ascii="Verdana" w:hAnsi="Verdana" w:cs="Verdana"/>
          <w:sz w:val="20"/>
          <w:szCs w:val="20"/>
          <w:lang w:val="es-ES"/>
        </w:rPr>
        <w:t xml:space="preserve">que “entre enero de 2000 </w:t>
      </w:r>
      <w:r w:rsidR="00F245CE" w:rsidRPr="000D3C49">
        <w:rPr>
          <w:rFonts w:ascii="Verdana" w:hAnsi="Verdana" w:cs="Verdana"/>
          <w:sz w:val="20"/>
          <w:szCs w:val="20"/>
          <w:lang w:val="es-ES"/>
        </w:rPr>
        <w:t>y julio de 2015 “se han produci</w:t>
      </w:r>
      <w:r w:rsidR="002A2C6E" w:rsidRPr="000D3C49">
        <w:rPr>
          <w:rFonts w:ascii="Verdana" w:hAnsi="Verdana" w:cs="Verdana"/>
          <w:sz w:val="20"/>
          <w:szCs w:val="20"/>
          <w:lang w:val="es-ES"/>
        </w:rPr>
        <w:t xml:space="preserve">do 4[,]485 agresiones a defensoras y defensores de derechos humanos, de acuerdo a datos de la Unidad de Protección a Defensoras y Defensores de Derechos Humanos en Guatemala (UDEFEGUA). </w:t>
      </w:r>
      <w:r w:rsidRPr="000D3C49">
        <w:rPr>
          <w:rFonts w:ascii="Verdana" w:hAnsi="Verdana" w:cs="Verdana"/>
          <w:sz w:val="20"/>
          <w:szCs w:val="20"/>
          <w:lang w:val="es-ES"/>
        </w:rPr>
        <w:t>E</w:t>
      </w:r>
      <w:r w:rsidR="002A2C6E" w:rsidRPr="000D3C49">
        <w:rPr>
          <w:rFonts w:ascii="Verdana" w:hAnsi="Verdana" w:cs="Verdana"/>
          <w:sz w:val="20"/>
          <w:szCs w:val="20"/>
          <w:lang w:val="es-ES"/>
        </w:rPr>
        <w:t xml:space="preserve">sa entidad ha documentado que, </w:t>
      </w:r>
      <w:r w:rsidR="002A2C6E" w:rsidRPr="000D3C49">
        <w:rPr>
          <w:rFonts w:ascii="Verdana" w:hAnsi="Verdana" w:cs="Verdana"/>
          <w:sz w:val="20"/>
          <w:szCs w:val="20"/>
          <w:lang w:val="es-ES"/>
        </w:rPr>
        <w:lastRenderedPageBreak/>
        <w:t>en palabras de los representantes, “cuando existen avances en los procesos relativos a crímenes del pasado, se observa un incremento en los ataques ejecutados en contra de las personas relacionadas con los citados procesos, defensores y defensoras de los derechos humanos, y operadores de justicia involucrados en los mismos</w:t>
      </w:r>
      <w:r w:rsidR="007B5CFE" w:rsidRPr="000D3C49">
        <w:rPr>
          <w:rFonts w:ascii="Verdana" w:hAnsi="Verdana" w:cs="Verdana"/>
          <w:sz w:val="20"/>
          <w:szCs w:val="20"/>
          <w:lang w:val="es-CR"/>
        </w:rPr>
        <w:t>”.</w:t>
      </w:r>
      <w:r w:rsidR="002A2C6E" w:rsidRPr="000D3C49">
        <w:rPr>
          <w:rFonts w:ascii="Verdana" w:hAnsi="Verdana" w:cs="Verdana"/>
          <w:sz w:val="20"/>
          <w:szCs w:val="20"/>
          <w:lang w:val="es-ES"/>
        </w:rPr>
        <w:t xml:space="preserve"> </w:t>
      </w:r>
      <w:r w:rsidR="008E3EE3" w:rsidRPr="000D3C49">
        <w:rPr>
          <w:rFonts w:ascii="Verdana" w:hAnsi="Verdana" w:cs="Verdana"/>
          <w:sz w:val="20"/>
          <w:szCs w:val="20"/>
          <w:lang w:val="es-ES"/>
        </w:rPr>
        <w:t>Al respecto</w:t>
      </w:r>
      <w:r w:rsidR="002A2C6E" w:rsidRPr="000D3C49">
        <w:rPr>
          <w:rFonts w:ascii="Verdana" w:hAnsi="Verdana" w:cs="Verdana"/>
          <w:sz w:val="20"/>
          <w:szCs w:val="20"/>
          <w:lang w:val="es-ES"/>
        </w:rPr>
        <w:t xml:space="preserve">, los representantes argumentaron que la vigencia de las medidas provisionales “se encuentra plenamente justificada” en virtud de, </w:t>
      </w:r>
      <w:r w:rsidR="008E3EE3" w:rsidRPr="000D3C49">
        <w:rPr>
          <w:rFonts w:ascii="Verdana" w:hAnsi="Verdana" w:cs="Verdana"/>
          <w:sz w:val="20"/>
          <w:szCs w:val="20"/>
          <w:lang w:val="es-ES"/>
        </w:rPr>
        <w:t>entre otros</w:t>
      </w:r>
      <w:r w:rsidR="002A2C6E" w:rsidRPr="000D3C49">
        <w:rPr>
          <w:rFonts w:ascii="Verdana" w:hAnsi="Verdana" w:cs="Verdana"/>
          <w:sz w:val="20"/>
          <w:szCs w:val="20"/>
          <w:lang w:val="es-ES"/>
        </w:rPr>
        <w:t xml:space="preserve">, </w:t>
      </w:r>
      <w:r w:rsidR="008E3EE3" w:rsidRPr="000D3C49">
        <w:rPr>
          <w:rFonts w:ascii="Verdana" w:hAnsi="Verdana" w:cs="Verdana"/>
          <w:sz w:val="20"/>
          <w:szCs w:val="20"/>
          <w:lang w:val="es-ES"/>
        </w:rPr>
        <w:t xml:space="preserve">de </w:t>
      </w:r>
      <w:r w:rsidR="002A2C6E" w:rsidRPr="000D3C49">
        <w:rPr>
          <w:rFonts w:ascii="Verdana" w:hAnsi="Verdana" w:cs="Verdana"/>
          <w:sz w:val="20"/>
          <w:szCs w:val="20"/>
          <w:lang w:val="es-ES"/>
        </w:rPr>
        <w:t>“la continuidad de las investigaciones relativas a la desaparición del señor Efraín Bámaca, cuyo caso ha tenido movimientos recientes</w:t>
      </w:r>
      <w:r w:rsidR="00864EF3">
        <w:rPr>
          <w:rFonts w:ascii="Verdana" w:hAnsi="Verdana" w:cs="Verdana"/>
          <w:sz w:val="20"/>
          <w:szCs w:val="20"/>
          <w:lang w:val="es-ES"/>
        </w:rPr>
        <w:t>”</w:t>
      </w:r>
      <w:r w:rsidR="002A2C6E" w:rsidRPr="000D3C49">
        <w:rPr>
          <w:rStyle w:val="FootnoteReference"/>
          <w:rFonts w:ascii="Verdana" w:hAnsi="Verdana" w:cs="Verdana"/>
          <w:sz w:val="20"/>
          <w:szCs w:val="20"/>
          <w:lang w:val="es-ES"/>
        </w:rPr>
        <w:footnoteReference w:id="10"/>
      </w:r>
      <w:r w:rsidR="002A2C6E" w:rsidRPr="000D3C49">
        <w:rPr>
          <w:rFonts w:ascii="Verdana" w:hAnsi="Verdana" w:cs="Verdana"/>
          <w:sz w:val="20"/>
          <w:szCs w:val="20"/>
          <w:lang w:val="es-ES"/>
        </w:rPr>
        <w:t xml:space="preserve">.  </w:t>
      </w:r>
    </w:p>
    <w:p w:rsidR="006F1B72" w:rsidRDefault="006F1B72" w:rsidP="006F1B72">
      <w:pPr>
        <w:pStyle w:val="ListParagraph"/>
        <w:spacing w:after="0" w:line="240" w:lineRule="auto"/>
        <w:ind w:left="0"/>
        <w:jc w:val="both"/>
        <w:rPr>
          <w:rFonts w:ascii="Verdana" w:hAnsi="Verdana" w:cs="Verdana"/>
          <w:sz w:val="20"/>
          <w:szCs w:val="20"/>
          <w:lang w:val="es-ES"/>
        </w:rPr>
      </w:pPr>
    </w:p>
    <w:p w:rsidR="000D3C49" w:rsidRPr="009554A3" w:rsidRDefault="008E3EE3" w:rsidP="006F1B72">
      <w:pPr>
        <w:pStyle w:val="ListParagraph"/>
        <w:numPr>
          <w:ilvl w:val="0"/>
          <w:numId w:val="34"/>
        </w:numPr>
        <w:spacing w:after="0" w:line="240" w:lineRule="auto"/>
        <w:ind w:left="0" w:firstLine="0"/>
        <w:jc w:val="both"/>
        <w:rPr>
          <w:rFonts w:ascii="Verdana" w:hAnsi="Verdana" w:cs="Verdana"/>
          <w:sz w:val="20"/>
          <w:szCs w:val="20"/>
          <w:lang w:val="es-ES"/>
        </w:rPr>
      </w:pPr>
      <w:r w:rsidRPr="006F1B72">
        <w:rPr>
          <w:rFonts w:ascii="Verdana" w:hAnsi="Verdana"/>
          <w:sz w:val="20"/>
          <w:szCs w:val="20"/>
          <w:lang w:val="es-MX"/>
        </w:rPr>
        <w:t xml:space="preserve">Respecto de lo anterior, esta </w:t>
      </w:r>
      <w:r w:rsidRPr="006F1B72">
        <w:rPr>
          <w:rFonts w:ascii="Verdana" w:hAnsi="Verdana"/>
          <w:b/>
          <w:i/>
          <w:sz w:val="20"/>
          <w:szCs w:val="20"/>
        </w:rPr>
        <w:t>Corte</w:t>
      </w:r>
      <w:r w:rsidRPr="006F1B72">
        <w:rPr>
          <w:rFonts w:ascii="Verdana" w:hAnsi="Verdana"/>
          <w:sz w:val="20"/>
          <w:szCs w:val="20"/>
        </w:rPr>
        <w:t xml:space="preserve"> advierte</w:t>
      </w:r>
      <w:r w:rsidR="002A2C6E" w:rsidRPr="006F1B72">
        <w:rPr>
          <w:rFonts w:ascii="Verdana" w:hAnsi="Verdana"/>
          <w:sz w:val="20"/>
          <w:szCs w:val="20"/>
        </w:rPr>
        <w:t xml:space="preserve"> que, aun cuando para determinar si existe una situación de extrema gravedad y urgencia de evitar daños irreparables, puede valorar elementos contextuales, únicamente ciertas situaciones extremas y urgentes pueden ser cubiertas mediante medidas provisionales con base meramente en una situación contextual</w:t>
      </w:r>
      <w:r w:rsidR="002A2C6E" w:rsidRPr="000D3C49">
        <w:rPr>
          <w:rStyle w:val="FootnoteReference"/>
        </w:rPr>
        <w:footnoteReference w:id="11"/>
      </w:r>
      <w:r w:rsidR="002A2C6E" w:rsidRPr="006F1B72">
        <w:rPr>
          <w:rFonts w:ascii="Verdana" w:hAnsi="Verdana"/>
          <w:sz w:val="20"/>
          <w:szCs w:val="20"/>
          <w:lang w:val="es-MX"/>
        </w:rPr>
        <w:t xml:space="preserve">. </w:t>
      </w:r>
      <w:r w:rsidR="002A2C6E" w:rsidRPr="006F1B72">
        <w:rPr>
          <w:rFonts w:ascii="Verdana" w:hAnsi="Verdana"/>
          <w:sz w:val="20"/>
          <w:szCs w:val="20"/>
        </w:rPr>
        <w:t>Solo en situaciones extremas, tales como una serie de graves ataques contra el grupo al que pertenece una</w:t>
      </w:r>
      <w:r w:rsidR="00864EF3" w:rsidRPr="006F1B72">
        <w:rPr>
          <w:rFonts w:ascii="Verdana" w:hAnsi="Verdana"/>
          <w:sz w:val="20"/>
          <w:szCs w:val="20"/>
        </w:rPr>
        <w:t xml:space="preserve"> persona</w:t>
      </w:r>
      <w:r w:rsidR="002A2C6E" w:rsidRPr="006F1B72">
        <w:rPr>
          <w:rFonts w:ascii="Verdana" w:hAnsi="Verdana"/>
          <w:sz w:val="20"/>
          <w:szCs w:val="20"/>
        </w:rPr>
        <w:t xml:space="preserve">, se puede justificar la concesión o mantenimiento </w:t>
      </w:r>
      <w:r w:rsidR="00864EF3" w:rsidRPr="006F1B72">
        <w:rPr>
          <w:rFonts w:ascii="Verdana" w:hAnsi="Verdana"/>
          <w:sz w:val="20"/>
          <w:szCs w:val="20"/>
        </w:rPr>
        <w:t xml:space="preserve">a su favor </w:t>
      </w:r>
      <w:r w:rsidR="002A2C6E" w:rsidRPr="006F1B72">
        <w:rPr>
          <w:rFonts w:ascii="Verdana" w:hAnsi="Verdana"/>
          <w:sz w:val="20"/>
          <w:szCs w:val="20"/>
        </w:rPr>
        <w:t xml:space="preserve">de medidas provisionales sin amenazas directas, en tanto se pueda inferir razonablemente que </w:t>
      </w:r>
      <w:r w:rsidR="00864EF3" w:rsidRPr="006F1B72">
        <w:rPr>
          <w:rFonts w:ascii="Verdana" w:hAnsi="Verdana"/>
          <w:sz w:val="20"/>
          <w:szCs w:val="20"/>
        </w:rPr>
        <w:t>tal persona</w:t>
      </w:r>
      <w:r w:rsidR="002A2C6E" w:rsidRPr="006F1B72">
        <w:rPr>
          <w:rFonts w:ascii="Verdana" w:hAnsi="Verdana"/>
          <w:sz w:val="20"/>
          <w:szCs w:val="20"/>
        </w:rPr>
        <w:t xml:space="preserve"> también será atacada</w:t>
      </w:r>
      <w:r w:rsidR="002A2C6E" w:rsidRPr="000D3C49">
        <w:rPr>
          <w:rStyle w:val="FootnoteReference"/>
        </w:rPr>
        <w:footnoteReference w:id="12"/>
      </w:r>
      <w:r w:rsidR="002A2C6E" w:rsidRPr="006F1B72">
        <w:rPr>
          <w:rFonts w:ascii="Verdana" w:hAnsi="Verdana"/>
          <w:sz w:val="20"/>
          <w:szCs w:val="20"/>
        </w:rPr>
        <w:t>. No obstante, la Corte ha señalado que no todas las situaciones contextuales son de tal carácter. En la mayoría de los casos, el contexto únicamente servirá para apreciar la amenaza concreta que se haya presentado contra un</w:t>
      </w:r>
      <w:r w:rsidR="00864EF3" w:rsidRPr="006F1B72">
        <w:rPr>
          <w:rFonts w:ascii="Verdana" w:hAnsi="Verdana"/>
          <w:sz w:val="20"/>
          <w:szCs w:val="20"/>
        </w:rPr>
        <w:t>a persona</w:t>
      </w:r>
      <w:r w:rsidR="002A2C6E" w:rsidRPr="006F1B72">
        <w:rPr>
          <w:rFonts w:ascii="Verdana" w:hAnsi="Verdana"/>
          <w:sz w:val="20"/>
          <w:szCs w:val="20"/>
        </w:rPr>
        <w:t>, pero no podrá justificar en sí mismo la concesión o el mantenimiento de las medidas provisionales</w:t>
      </w:r>
      <w:r w:rsidR="002A2C6E" w:rsidRPr="000D3C49">
        <w:rPr>
          <w:rStyle w:val="FootnoteReference"/>
        </w:rPr>
        <w:footnoteReference w:id="13"/>
      </w:r>
      <w:r w:rsidR="002A2C6E" w:rsidRPr="006F1B72">
        <w:rPr>
          <w:rFonts w:ascii="Verdana" w:hAnsi="Verdana"/>
          <w:sz w:val="20"/>
          <w:szCs w:val="20"/>
        </w:rPr>
        <w:t>.</w:t>
      </w:r>
    </w:p>
    <w:p w:rsidR="009554A3" w:rsidRPr="006F1B72" w:rsidRDefault="009554A3" w:rsidP="009554A3">
      <w:pPr>
        <w:pStyle w:val="ListParagraph"/>
        <w:spacing w:after="0" w:line="240" w:lineRule="auto"/>
        <w:ind w:left="0"/>
        <w:jc w:val="both"/>
        <w:rPr>
          <w:rFonts w:ascii="Verdana" w:hAnsi="Verdana" w:cs="Verdana"/>
          <w:sz w:val="20"/>
          <w:szCs w:val="20"/>
          <w:lang w:val="es-ES"/>
        </w:rPr>
      </w:pPr>
    </w:p>
    <w:p w:rsidR="00DF7459" w:rsidRPr="00085735" w:rsidRDefault="00085735" w:rsidP="00085735">
      <w:pPr>
        <w:pStyle w:val="ListParagraph"/>
        <w:spacing w:after="0" w:line="240" w:lineRule="auto"/>
        <w:ind w:left="0"/>
        <w:jc w:val="both"/>
        <w:rPr>
          <w:rFonts w:ascii="Verdana" w:hAnsi="Verdana"/>
          <w:sz w:val="20"/>
          <w:szCs w:val="20"/>
          <w:highlight w:val="lightGray"/>
          <w:lang w:val="es-MX"/>
        </w:rPr>
      </w:pPr>
      <w:r>
        <w:rPr>
          <w:rFonts w:ascii="Verdana" w:hAnsi="Verdana"/>
          <w:sz w:val="20"/>
          <w:szCs w:val="20"/>
        </w:rPr>
        <w:t xml:space="preserve">55. </w:t>
      </w:r>
      <w:r>
        <w:rPr>
          <w:rFonts w:ascii="Verdana" w:hAnsi="Verdana"/>
          <w:sz w:val="20"/>
          <w:szCs w:val="20"/>
        </w:rPr>
        <w:tab/>
      </w:r>
      <w:r w:rsidR="002A2C6E" w:rsidRPr="00085735">
        <w:rPr>
          <w:rFonts w:ascii="Verdana" w:hAnsi="Verdana"/>
          <w:sz w:val="20"/>
          <w:szCs w:val="20"/>
        </w:rPr>
        <w:t>En la presente resolución se han anal</w:t>
      </w:r>
      <w:r w:rsidR="008E3EE3" w:rsidRPr="00085735">
        <w:rPr>
          <w:rFonts w:ascii="Verdana" w:hAnsi="Verdana"/>
          <w:sz w:val="20"/>
          <w:szCs w:val="20"/>
        </w:rPr>
        <w:t xml:space="preserve">izado los hechos </w:t>
      </w:r>
      <w:r w:rsidR="003625B8" w:rsidRPr="00085735">
        <w:rPr>
          <w:rFonts w:ascii="Verdana" w:hAnsi="Verdana"/>
          <w:sz w:val="20"/>
          <w:szCs w:val="20"/>
        </w:rPr>
        <w:t xml:space="preserve">indicados </w:t>
      </w:r>
      <w:r w:rsidR="008E3EE3" w:rsidRPr="00085735">
        <w:rPr>
          <w:rFonts w:ascii="Verdana" w:hAnsi="Verdana"/>
          <w:sz w:val="20"/>
          <w:szCs w:val="20"/>
        </w:rPr>
        <w:t>por los representantes respecto</w:t>
      </w:r>
      <w:r w:rsidR="002A2C6E" w:rsidRPr="00085735">
        <w:rPr>
          <w:rFonts w:ascii="Verdana" w:hAnsi="Verdana"/>
          <w:sz w:val="20"/>
          <w:szCs w:val="20"/>
        </w:rPr>
        <w:t xml:space="preserve"> de los beneficiarios. Sin embargo, no ha</w:t>
      </w:r>
      <w:r w:rsidR="003625B8" w:rsidRPr="00085735">
        <w:rPr>
          <w:rFonts w:ascii="Verdana" w:hAnsi="Verdana"/>
          <w:sz w:val="20"/>
          <w:szCs w:val="20"/>
        </w:rPr>
        <w:t>n</w:t>
      </w:r>
      <w:r w:rsidR="002A2C6E" w:rsidRPr="00085735">
        <w:rPr>
          <w:rFonts w:ascii="Verdana" w:hAnsi="Verdana"/>
          <w:sz w:val="20"/>
          <w:szCs w:val="20"/>
        </w:rPr>
        <w:t xml:space="preserve"> presentado hechos específicos y recientes que permitan conclusiones consistentes sobre los aludidos efectos del contexto </w:t>
      </w:r>
      <w:r w:rsidR="008E3EE3" w:rsidRPr="00085735">
        <w:rPr>
          <w:rFonts w:ascii="Verdana" w:hAnsi="Verdana"/>
          <w:sz w:val="20"/>
          <w:szCs w:val="20"/>
        </w:rPr>
        <w:t>sobre cada uno de lo</w:t>
      </w:r>
      <w:r w:rsidR="002A2C6E" w:rsidRPr="00085735">
        <w:rPr>
          <w:rFonts w:ascii="Verdana" w:hAnsi="Verdana"/>
          <w:sz w:val="20"/>
          <w:szCs w:val="20"/>
        </w:rPr>
        <w:t>s</w:t>
      </w:r>
      <w:r w:rsidR="008E3EE3" w:rsidRPr="00085735">
        <w:rPr>
          <w:rFonts w:ascii="Verdana" w:hAnsi="Verdana"/>
          <w:sz w:val="20"/>
          <w:szCs w:val="20"/>
        </w:rPr>
        <w:t xml:space="preserve"> beneficiario</w:t>
      </w:r>
      <w:r w:rsidR="002A2C6E" w:rsidRPr="00085735">
        <w:rPr>
          <w:rFonts w:ascii="Verdana" w:hAnsi="Verdana"/>
          <w:sz w:val="20"/>
          <w:szCs w:val="20"/>
        </w:rPr>
        <w:t>s</w:t>
      </w:r>
      <w:r w:rsidR="00BA6564" w:rsidRPr="00085735">
        <w:rPr>
          <w:rFonts w:ascii="Verdana" w:hAnsi="Verdana"/>
          <w:sz w:val="20"/>
          <w:szCs w:val="20"/>
        </w:rPr>
        <w:t>. Al respecto, cabe señalar que</w:t>
      </w:r>
      <w:r w:rsidR="00F23A66" w:rsidRPr="00085735">
        <w:rPr>
          <w:rFonts w:ascii="Verdana" w:hAnsi="Verdana"/>
          <w:sz w:val="20"/>
          <w:szCs w:val="20"/>
        </w:rPr>
        <w:t xml:space="preserve"> </w:t>
      </w:r>
      <w:r w:rsidR="00DF7459" w:rsidRPr="00085735">
        <w:rPr>
          <w:rFonts w:ascii="Verdana" w:hAnsi="Verdana"/>
          <w:sz w:val="20"/>
          <w:szCs w:val="20"/>
        </w:rPr>
        <w:t xml:space="preserve">un alegado contexto no es suficiente para </w:t>
      </w:r>
      <w:r w:rsidR="00BA6564" w:rsidRPr="00085735">
        <w:rPr>
          <w:rFonts w:ascii="Verdana" w:hAnsi="Verdana"/>
          <w:sz w:val="20"/>
          <w:szCs w:val="20"/>
        </w:rPr>
        <w:t xml:space="preserve">el mantenimiento de las </w:t>
      </w:r>
      <w:r w:rsidR="00DF7459" w:rsidRPr="00085735">
        <w:rPr>
          <w:rFonts w:ascii="Verdana" w:hAnsi="Verdana"/>
          <w:sz w:val="20"/>
          <w:szCs w:val="20"/>
        </w:rPr>
        <w:t>medidas provisionales si no existen hechos concretos que permitieran conclusiones consistentes sobre los aludidos efectos de dicho contexto en el asunto concreto</w:t>
      </w:r>
      <w:r w:rsidR="006153BD">
        <w:rPr>
          <w:rStyle w:val="FootnoteReference"/>
          <w:rFonts w:ascii="Verdana" w:hAnsi="Verdana"/>
          <w:sz w:val="20"/>
          <w:szCs w:val="20"/>
        </w:rPr>
        <w:footnoteReference w:id="14"/>
      </w:r>
      <w:r w:rsidR="00DF7459" w:rsidRPr="00085735">
        <w:rPr>
          <w:rFonts w:ascii="Verdana" w:hAnsi="Verdana"/>
          <w:sz w:val="20"/>
          <w:szCs w:val="20"/>
        </w:rPr>
        <w:t>.</w:t>
      </w:r>
      <w:r w:rsidR="00B16FAE" w:rsidRPr="00085735">
        <w:rPr>
          <w:rFonts w:ascii="Verdana" w:hAnsi="Verdana"/>
          <w:sz w:val="20"/>
          <w:szCs w:val="20"/>
        </w:rPr>
        <w:t xml:space="preserve"> </w:t>
      </w:r>
    </w:p>
    <w:p w:rsidR="00B41BB0" w:rsidRPr="00B41BB0" w:rsidRDefault="00B41BB0" w:rsidP="000D3C49">
      <w:pPr>
        <w:pStyle w:val="ListParagraph"/>
        <w:spacing w:after="0" w:line="240" w:lineRule="auto"/>
        <w:ind w:left="0"/>
        <w:jc w:val="both"/>
        <w:rPr>
          <w:rFonts w:ascii="Verdana" w:hAnsi="Verdana"/>
          <w:sz w:val="20"/>
          <w:szCs w:val="20"/>
        </w:rPr>
      </w:pPr>
    </w:p>
    <w:p w:rsidR="002A2C6E" w:rsidRPr="00B41BB0" w:rsidRDefault="006153BD" w:rsidP="00085735">
      <w:pPr>
        <w:pStyle w:val="ListParagraph"/>
        <w:numPr>
          <w:ilvl w:val="0"/>
          <w:numId w:val="43"/>
        </w:numPr>
        <w:spacing w:after="0" w:line="240" w:lineRule="auto"/>
        <w:ind w:left="0" w:firstLine="0"/>
        <w:jc w:val="both"/>
        <w:rPr>
          <w:rFonts w:ascii="Verdana" w:hAnsi="Verdana"/>
          <w:sz w:val="20"/>
          <w:szCs w:val="20"/>
          <w:lang w:val="es-MX"/>
        </w:rPr>
      </w:pPr>
      <w:r>
        <w:rPr>
          <w:rFonts w:ascii="Verdana" w:hAnsi="Verdana"/>
          <w:sz w:val="20"/>
          <w:szCs w:val="20"/>
        </w:rPr>
        <w:t>Por otra parte, l</w:t>
      </w:r>
      <w:r w:rsidR="002A2C6E" w:rsidRPr="00B41BB0">
        <w:rPr>
          <w:rFonts w:ascii="Verdana" w:hAnsi="Verdana"/>
          <w:sz w:val="20"/>
          <w:szCs w:val="20"/>
        </w:rPr>
        <w:t xml:space="preserve">a Corte </w:t>
      </w:r>
      <w:r>
        <w:rPr>
          <w:rFonts w:ascii="Verdana" w:hAnsi="Verdana"/>
          <w:sz w:val="20"/>
          <w:szCs w:val="20"/>
        </w:rPr>
        <w:t>considera pertinente aclarar que la</w:t>
      </w:r>
      <w:r w:rsidR="002A2C6E" w:rsidRPr="00B41BB0">
        <w:rPr>
          <w:rFonts w:ascii="Verdana" w:hAnsi="Verdana"/>
          <w:sz w:val="20"/>
          <w:szCs w:val="20"/>
        </w:rPr>
        <w:t xml:space="preserve"> situación atinente a la investigación es analizada en el marco de la supervisión de la Sentencia dictada por este Tribunal y no es materia de las medidas provisionales. El mecanismo de medidas provisionales requiere que se demuestren los requisitos convencionales de extrema gravedad, urgencia e irreparabilidad del daño que están establecidos en el artículo 63.2 de la Convención respecto de las personas a favor de quienes se pretenden las medidas. Los procedimientos de medidas provisionales y supervisión de cumplimiento de las sentencias de esta Corte son dos procesos separados en la Convención y en el Reglamento y sus objetos no deben confundirse</w:t>
      </w:r>
      <w:r w:rsidR="002A2C6E" w:rsidRPr="009170C8">
        <w:rPr>
          <w:rStyle w:val="FootnoteReference"/>
        </w:rPr>
        <w:footnoteReference w:id="15"/>
      </w:r>
      <w:r w:rsidR="002A2C6E" w:rsidRPr="00B41BB0">
        <w:rPr>
          <w:rFonts w:ascii="Verdana" w:hAnsi="Verdana"/>
          <w:sz w:val="20"/>
          <w:szCs w:val="20"/>
        </w:rPr>
        <w:t xml:space="preserve">. En caso de presentarse problemas en el futuro en el marco del cumplimiento de las medidas de reparación en la Sentencia, las beneficiarias o sus representantes pueden informar a la Corte de los mismos en el marco de la supervisión de cumplimiento de la Sentencia. </w:t>
      </w:r>
    </w:p>
    <w:p w:rsidR="003F627B" w:rsidRDefault="003F627B" w:rsidP="00E5695F">
      <w:pPr>
        <w:tabs>
          <w:tab w:val="left" w:pos="360"/>
        </w:tabs>
        <w:spacing w:after="0" w:line="240" w:lineRule="auto"/>
        <w:jc w:val="both"/>
        <w:rPr>
          <w:rFonts w:ascii="Verdana" w:hAnsi="Verdana"/>
          <w:b/>
          <w:i/>
          <w:sz w:val="20"/>
          <w:szCs w:val="20"/>
          <w:lang w:val="es-ES"/>
        </w:rPr>
      </w:pPr>
    </w:p>
    <w:p w:rsidR="003F627B" w:rsidRPr="002623CB" w:rsidRDefault="002A2C6E" w:rsidP="003F627B">
      <w:pPr>
        <w:tabs>
          <w:tab w:val="left" w:pos="360"/>
        </w:tabs>
        <w:spacing w:after="0" w:line="240" w:lineRule="auto"/>
        <w:ind w:left="720" w:right="-90"/>
        <w:jc w:val="both"/>
        <w:rPr>
          <w:rFonts w:ascii="Verdana" w:hAnsi="Verdana"/>
          <w:b/>
          <w:i/>
          <w:sz w:val="20"/>
          <w:szCs w:val="20"/>
          <w:lang w:val="es-ES"/>
        </w:rPr>
      </w:pPr>
      <w:r>
        <w:rPr>
          <w:rFonts w:ascii="Verdana" w:hAnsi="Verdana"/>
          <w:b/>
          <w:i/>
          <w:sz w:val="20"/>
          <w:szCs w:val="20"/>
          <w:lang w:val="es-ES"/>
        </w:rPr>
        <w:lastRenderedPageBreak/>
        <w:t>F</w:t>
      </w:r>
      <w:r w:rsidR="003F627B" w:rsidRPr="002623CB">
        <w:rPr>
          <w:rFonts w:ascii="Verdana" w:hAnsi="Verdana"/>
          <w:b/>
          <w:i/>
          <w:sz w:val="20"/>
          <w:szCs w:val="20"/>
          <w:lang w:val="es-ES"/>
        </w:rPr>
        <w:t xml:space="preserve">. </w:t>
      </w:r>
      <w:r w:rsidR="003F627B">
        <w:rPr>
          <w:rFonts w:ascii="Verdana" w:hAnsi="Verdana"/>
          <w:b/>
          <w:i/>
          <w:sz w:val="20"/>
          <w:szCs w:val="20"/>
          <w:lang w:val="es-ES"/>
        </w:rPr>
        <w:t xml:space="preserve">Fallecimiento de José León Bámaca, Emérita Mendoza y José Ernesto Álvarez Paz </w:t>
      </w:r>
    </w:p>
    <w:p w:rsidR="003F627B" w:rsidRDefault="003F627B" w:rsidP="003F627B">
      <w:pPr>
        <w:spacing w:after="0" w:line="240" w:lineRule="auto"/>
        <w:ind w:left="-90" w:right="-90"/>
        <w:jc w:val="both"/>
        <w:rPr>
          <w:rFonts w:ascii="Verdana" w:hAnsi="Verdana"/>
          <w:sz w:val="20"/>
          <w:szCs w:val="20"/>
          <w:lang w:val="es-ES"/>
        </w:rPr>
      </w:pPr>
    </w:p>
    <w:p w:rsidR="003F627B" w:rsidRPr="00210597" w:rsidRDefault="009D56A5" w:rsidP="00210597">
      <w:pPr>
        <w:spacing w:after="0" w:line="240" w:lineRule="auto"/>
        <w:jc w:val="both"/>
        <w:rPr>
          <w:rFonts w:ascii="Verdana" w:hAnsi="Verdana"/>
          <w:sz w:val="20"/>
          <w:szCs w:val="20"/>
          <w:lang w:val="es-ES"/>
        </w:rPr>
      </w:pPr>
      <w:r>
        <w:rPr>
          <w:rFonts w:ascii="Verdana" w:hAnsi="Verdana"/>
          <w:sz w:val="20"/>
          <w:szCs w:val="20"/>
          <w:lang w:val="es-ES"/>
        </w:rPr>
        <w:t>5</w:t>
      </w:r>
      <w:r w:rsidR="000D3C49">
        <w:rPr>
          <w:rFonts w:ascii="Verdana" w:hAnsi="Verdana"/>
          <w:sz w:val="20"/>
          <w:szCs w:val="20"/>
          <w:lang w:val="es-ES"/>
        </w:rPr>
        <w:t>7</w:t>
      </w:r>
      <w:r w:rsidR="002A2C6E">
        <w:rPr>
          <w:rFonts w:ascii="Verdana" w:hAnsi="Verdana"/>
          <w:sz w:val="20"/>
          <w:szCs w:val="20"/>
          <w:lang w:val="es-ES"/>
        </w:rPr>
        <w:t>.</w:t>
      </w:r>
      <w:r>
        <w:rPr>
          <w:rFonts w:ascii="Verdana" w:hAnsi="Verdana"/>
          <w:sz w:val="20"/>
          <w:szCs w:val="20"/>
          <w:lang w:val="es-ES"/>
        </w:rPr>
        <w:tab/>
      </w:r>
      <w:r w:rsidR="002A2C6E">
        <w:rPr>
          <w:rFonts w:ascii="Verdana" w:hAnsi="Verdana"/>
          <w:sz w:val="20"/>
          <w:szCs w:val="20"/>
          <w:lang w:val="es-ES"/>
        </w:rPr>
        <w:t xml:space="preserve"> </w:t>
      </w:r>
      <w:r w:rsidR="003F627B" w:rsidRPr="00AA3571">
        <w:rPr>
          <w:rFonts w:ascii="Verdana" w:hAnsi="Verdana"/>
          <w:sz w:val="20"/>
          <w:szCs w:val="20"/>
          <w:lang w:val="es-ES"/>
        </w:rPr>
        <w:t xml:space="preserve">De acuerdo al </w:t>
      </w:r>
      <w:r w:rsidR="003F627B" w:rsidRPr="00AA3571">
        <w:rPr>
          <w:rFonts w:ascii="Verdana" w:hAnsi="Verdana"/>
          <w:b/>
          <w:i/>
          <w:sz w:val="20"/>
          <w:szCs w:val="20"/>
          <w:lang w:val="es-ES"/>
        </w:rPr>
        <w:t>Estado</w:t>
      </w:r>
      <w:r w:rsidR="003F627B" w:rsidRPr="00AA3571">
        <w:rPr>
          <w:rFonts w:ascii="Verdana" w:hAnsi="Verdana"/>
          <w:sz w:val="20"/>
          <w:szCs w:val="20"/>
          <w:lang w:val="es-ES"/>
        </w:rPr>
        <w:t xml:space="preserve"> en su informe presentado </w:t>
      </w:r>
      <w:r w:rsidR="003F627B" w:rsidRPr="000D3C49">
        <w:rPr>
          <w:rFonts w:ascii="Verdana" w:hAnsi="Verdana"/>
          <w:sz w:val="20"/>
          <w:szCs w:val="20"/>
          <w:lang w:val="es-ES"/>
        </w:rPr>
        <w:t>el 26 de abril de 2016, en la visita realizada al domicilio de Egidia Gebia Bámaca Velásquez el 25 de enero de 2015, la señora Bámaca Velásquez informó que su padre</w:t>
      </w:r>
      <w:r w:rsidR="003F627B" w:rsidRPr="00F53314">
        <w:rPr>
          <w:rFonts w:ascii="Verdana" w:hAnsi="Verdana"/>
          <w:sz w:val="20"/>
          <w:szCs w:val="20"/>
          <w:lang w:val="es-ES"/>
        </w:rPr>
        <w:t>, José León Bámaca</w:t>
      </w:r>
      <w:r w:rsidR="00F53314" w:rsidRPr="00F53314">
        <w:rPr>
          <w:rFonts w:ascii="Verdana" w:hAnsi="Verdana"/>
          <w:sz w:val="20"/>
          <w:szCs w:val="20"/>
          <w:lang w:val="es-ES"/>
        </w:rPr>
        <w:t xml:space="preserve"> Hernández</w:t>
      </w:r>
      <w:r w:rsidR="003F627B" w:rsidRPr="00F53314">
        <w:rPr>
          <w:rFonts w:ascii="Verdana" w:hAnsi="Verdana"/>
          <w:sz w:val="20"/>
          <w:szCs w:val="20"/>
          <w:lang w:val="es-ES"/>
        </w:rPr>
        <w:t xml:space="preserve"> había fallecido varios años atrás y que el señor Aron Álvarez, había informado que la señora Emérita Mendoza, había fallecido. En el mismo informe, el Estado</w:t>
      </w:r>
      <w:r w:rsidR="00036C3D" w:rsidRPr="00F53314">
        <w:rPr>
          <w:rFonts w:ascii="Verdana" w:hAnsi="Verdana"/>
          <w:sz w:val="20"/>
          <w:szCs w:val="20"/>
          <w:lang w:val="es-ES"/>
        </w:rPr>
        <w:t xml:space="preserve"> notó que José Ernesto Álvarez Paz</w:t>
      </w:r>
      <w:r w:rsidR="00036C3D">
        <w:rPr>
          <w:rFonts w:ascii="Verdana" w:hAnsi="Verdana"/>
          <w:sz w:val="20"/>
          <w:szCs w:val="20"/>
          <w:lang w:val="es-ES"/>
        </w:rPr>
        <w:t xml:space="preserve"> había fallecido.</w:t>
      </w:r>
      <w:r w:rsidR="003F627B" w:rsidRPr="00210597">
        <w:rPr>
          <w:rFonts w:ascii="Verdana" w:hAnsi="Verdana"/>
          <w:sz w:val="20"/>
          <w:szCs w:val="20"/>
          <w:lang w:val="es-ES"/>
        </w:rPr>
        <w:t xml:space="preserve"> </w:t>
      </w:r>
      <w:r w:rsidR="00036C3D">
        <w:rPr>
          <w:rFonts w:ascii="Verdana" w:hAnsi="Verdana" w:cstheme="minorHAnsi"/>
          <w:sz w:val="20"/>
          <w:szCs w:val="20"/>
          <w:lang w:val="es-ES"/>
        </w:rPr>
        <w:t>S</w:t>
      </w:r>
      <w:r w:rsidR="003F627B" w:rsidRPr="00210597">
        <w:rPr>
          <w:rFonts w:ascii="Verdana" w:hAnsi="Verdana" w:cstheme="minorHAnsi"/>
          <w:sz w:val="20"/>
          <w:szCs w:val="20"/>
          <w:lang w:val="es-ES"/>
        </w:rPr>
        <w:t>olicitó a la Corte que “adopt[ara] las medidas que considere pertinentes ante la imposibilidad material del Estado de implementar medidas de seguridad” a favor de las personas fallecid</w:t>
      </w:r>
      <w:r w:rsidR="00036C3D">
        <w:rPr>
          <w:rFonts w:ascii="Verdana" w:hAnsi="Verdana" w:cstheme="minorHAnsi"/>
          <w:sz w:val="20"/>
          <w:szCs w:val="20"/>
          <w:lang w:val="es-ES"/>
        </w:rPr>
        <w:t>as</w:t>
      </w:r>
      <w:r w:rsidR="003F627B" w:rsidRPr="00210597">
        <w:rPr>
          <w:rFonts w:ascii="Verdana" w:hAnsi="Verdana" w:cstheme="minorHAnsi"/>
          <w:sz w:val="20"/>
          <w:szCs w:val="20"/>
          <w:lang w:val="es-ES"/>
        </w:rPr>
        <w:t xml:space="preserve">. </w:t>
      </w:r>
    </w:p>
    <w:p w:rsidR="003F627B" w:rsidRPr="007418EA" w:rsidRDefault="003F627B" w:rsidP="003F627B">
      <w:pPr>
        <w:pStyle w:val="ListParagraph"/>
        <w:spacing w:after="0" w:line="240" w:lineRule="auto"/>
        <w:ind w:left="0"/>
        <w:jc w:val="both"/>
        <w:rPr>
          <w:rFonts w:ascii="Verdana" w:hAnsi="Verdana"/>
          <w:sz w:val="20"/>
          <w:szCs w:val="20"/>
          <w:lang w:val="es-ES"/>
        </w:rPr>
      </w:pPr>
    </w:p>
    <w:p w:rsidR="00227784" w:rsidRPr="00B41BB0" w:rsidRDefault="00BE05E4" w:rsidP="00227784">
      <w:pPr>
        <w:pStyle w:val="ListParagraph"/>
        <w:spacing w:after="0" w:line="240" w:lineRule="auto"/>
        <w:ind w:left="0"/>
        <w:jc w:val="both"/>
        <w:rPr>
          <w:rFonts w:ascii="Verdana" w:hAnsi="Verdana"/>
          <w:sz w:val="20"/>
          <w:szCs w:val="20"/>
          <w:lang w:val="es-MX"/>
        </w:rPr>
      </w:pPr>
      <w:r>
        <w:rPr>
          <w:rFonts w:ascii="Verdana" w:hAnsi="Verdana"/>
          <w:sz w:val="20"/>
          <w:szCs w:val="20"/>
          <w:lang w:val="es-ES"/>
        </w:rPr>
        <w:t>5</w:t>
      </w:r>
      <w:r w:rsidR="000D3C49">
        <w:rPr>
          <w:rFonts w:ascii="Verdana" w:hAnsi="Verdana"/>
          <w:sz w:val="20"/>
          <w:szCs w:val="20"/>
          <w:lang w:val="es-ES"/>
        </w:rPr>
        <w:t>8</w:t>
      </w:r>
      <w:r w:rsidR="002A2C6E">
        <w:rPr>
          <w:rFonts w:ascii="Verdana" w:hAnsi="Verdana"/>
          <w:sz w:val="20"/>
          <w:szCs w:val="20"/>
          <w:lang w:val="es-ES"/>
        </w:rPr>
        <w:t>.</w:t>
      </w:r>
      <w:r w:rsidR="009D56A5">
        <w:rPr>
          <w:rFonts w:ascii="Verdana" w:hAnsi="Verdana"/>
          <w:sz w:val="20"/>
          <w:szCs w:val="20"/>
          <w:lang w:val="es-ES"/>
        </w:rPr>
        <w:tab/>
      </w:r>
      <w:r w:rsidR="002A2C6E">
        <w:rPr>
          <w:rFonts w:ascii="Verdana" w:hAnsi="Verdana"/>
          <w:sz w:val="20"/>
          <w:szCs w:val="20"/>
          <w:lang w:val="es-ES"/>
        </w:rPr>
        <w:t xml:space="preserve"> </w:t>
      </w:r>
      <w:r w:rsidR="003F627B" w:rsidRPr="00210597">
        <w:rPr>
          <w:rFonts w:ascii="Verdana" w:hAnsi="Verdana"/>
          <w:sz w:val="20"/>
          <w:szCs w:val="20"/>
          <w:lang w:val="es-ES"/>
        </w:rPr>
        <w:t xml:space="preserve">En esta misma línea, los </w:t>
      </w:r>
      <w:r w:rsidR="003F627B" w:rsidRPr="00210597">
        <w:rPr>
          <w:rFonts w:ascii="Verdana" w:hAnsi="Verdana"/>
          <w:b/>
          <w:i/>
          <w:sz w:val="20"/>
          <w:szCs w:val="20"/>
          <w:lang w:val="es-ES"/>
        </w:rPr>
        <w:t>representantes</w:t>
      </w:r>
      <w:r w:rsidR="003625B8">
        <w:rPr>
          <w:rFonts w:ascii="Verdana" w:hAnsi="Verdana"/>
          <w:sz w:val="20"/>
          <w:szCs w:val="20"/>
          <w:lang w:val="es-ES"/>
        </w:rPr>
        <w:t xml:space="preserve"> </w:t>
      </w:r>
      <w:r w:rsidR="00036C3D">
        <w:rPr>
          <w:rFonts w:ascii="Verdana" w:hAnsi="Verdana"/>
          <w:sz w:val="20"/>
          <w:szCs w:val="20"/>
          <w:lang w:val="es-ES"/>
        </w:rPr>
        <w:t xml:space="preserve">corroboraron la información estatal, puntualizando </w:t>
      </w:r>
      <w:r w:rsidR="003F627B" w:rsidRPr="00210597">
        <w:rPr>
          <w:rFonts w:ascii="Verdana" w:hAnsi="Verdana"/>
          <w:sz w:val="20"/>
          <w:szCs w:val="20"/>
          <w:lang w:val="es-ES"/>
        </w:rPr>
        <w:t>en sus observaciones de 2 de junio de 2016 que el señor José León Bámaca había fallecido y que el señor Aron Álvarez les había informado del fallecimiento de la señora Emérita Mendoza</w:t>
      </w:r>
      <w:r w:rsidR="00036C3D" w:rsidRPr="000D3C49">
        <w:rPr>
          <w:rFonts w:ascii="Verdana" w:hAnsi="Verdana"/>
          <w:sz w:val="18"/>
          <w:szCs w:val="18"/>
        </w:rPr>
        <w:t>.</w:t>
      </w:r>
    </w:p>
    <w:p w:rsidR="003F627B" w:rsidRPr="00A2241B" w:rsidRDefault="003F627B" w:rsidP="003F627B">
      <w:pPr>
        <w:pStyle w:val="ListParagraph"/>
        <w:spacing w:after="0" w:line="240" w:lineRule="auto"/>
        <w:ind w:left="0"/>
        <w:jc w:val="both"/>
        <w:rPr>
          <w:rFonts w:ascii="Verdana" w:hAnsi="Verdana"/>
          <w:sz w:val="20"/>
          <w:szCs w:val="20"/>
          <w:lang w:val="es-ES"/>
        </w:rPr>
      </w:pPr>
    </w:p>
    <w:p w:rsidR="003F627B" w:rsidRPr="00210597" w:rsidRDefault="000D3C49" w:rsidP="00210597">
      <w:pPr>
        <w:spacing w:after="0" w:line="240" w:lineRule="auto"/>
        <w:jc w:val="both"/>
        <w:rPr>
          <w:rFonts w:ascii="Verdana" w:hAnsi="Verdana"/>
          <w:sz w:val="20"/>
          <w:szCs w:val="20"/>
          <w:lang w:val="es-ES"/>
        </w:rPr>
      </w:pPr>
      <w:r>
        <w:rPr>
          <w:rFonts w:ascii="Verdana" w:hAnsi="Verdana"/>
          <w:sz w:val="20"/>
          <w:szCs w:val="20"/>
          <w:lang w:val="es-ES"/>
        </w:rPr>
        <w:t>59</w:t>
      </w:r>
      <w:r w:rsidR="002A2C6E">
        <w:rPr>
          <w:rFonts w:ascii="Verdana" w:hAnsi="Verdana"/>
          <w:sz w:val="20"/>
          <w:szCs w:val="20"/>
          <w:lang w:val="es-ES"/>
        </w:rPr>
        <w:t xml:space="preserve">. </w:t>
      </w:r>
      <w:r w:rsidR="002A2C6E">
        <w:rPr>
          <w:rFonts w:ascii="Verdana" w:hAnsi="Verdana"/>
          <w:sz w:val="20"/>
          <w:szCs w:val="20"/>
          <w:lang w:val="es-ES"/>
        </w:rPr>
        <w:tab/>
      </w:r>
      <w:r w:rsidR="003F627B" w:rsidRPr="00210597">
        <w:rPr>
          <w:rFonts w:ascii="Verdana" w:hAnsi="Verdana"/>
          <w:sz w:val="20"/>
          <w:szCs w:val="20"/>
          <w:lang w:val="es-ES"/>
        </w:rPr>
        <w:t xml:space="preserve">A la luz de lo anterior, </w:t>
      </w:r>
      <w:r w:rsidR="00036C3D">
        <w:rPr>
          <w:rFonts w:ascii="Verdana" w:hAnsi="Verdana"/>
          <w:sz w:val="20"/>
          <w:szCs w:val="20"/>
          <w:lang w:val="es-ES"/>
        </w:rPr>
        <w:t xml:space="preserve">la </w:t>
      </w:r>
      <w:r w:rsidR="00036C3D" w:rsidRPr="000D3C49">
        <w:rPr>
          <w:rFonts w:ascii="Verdana" w:hAnsi="Verdana"/>
          <w:b/>
          <w:i/>
          <w:sz w:val="20"/>
          <w:szCs w:val="20"/>
          <w:lang w:val="es-ES"/>
        </w:rPr>
        <w:t>Corte</w:t>
      </w:r>
      <w:r w:rsidR="003F627B" w:rsidRPr="00210597">
        <w:rPr>
          <w:rFonts w:ascii="Verdana" w:hAnsi="Verdana"/>
          <w:sz w:val="20"/>
          <w:szCs w:val="20"/>
          <w:lang w:val="es-ES"/>
        </w:rPr>
        <w:t xml:space="preserve"> </w:t>
      </w:r>
      <w:r w:rsidR="003F627B" w:rsidRPr="00210597">
        <w:rPr>
          <w:rFonts w:ascii="Verdana" w:hAnsi="Verdana" w:cstheme="minorHAnsi"/>
          <w:sz w:val="20"/>
          <w:szCs w:val="20"/>
          <w:lang w:val="es-ES"/>
        </w:rPr>
        <w:t xml:space="preserve">resuelve que las medidas provisionales a favor de </w:t>
      </w:r>
      <w:r w:rsidR="00F53314" w:rsidRPr="00B24F05">
        <w:rPr>
          <w:rFonts w:ascii="Verdana" w:hAnsi="Verdana" w:cs="Verdana"/>
          <w:sz w:val="20"/>
          <w:szCs w:val="20"/>
          <w:lang w:val="es-ES"/>
        </w:rPr>
        <w:t xml:space="preserve">José León Bámaca Hernández, </w:t>
      </w:r>
      <w:r w:rsidR="00F53314" w:rsidRPr="00B24F05">
        <w:rPr>
          <w:rFonts w:ascii="Verdana" w:hAnsi="Verdana" w:cstheme="minorHAnsi"/>
          <w:sz w:val="20"/>
          <w:szCs w:val="20"/>
          <w:lang w:val="es-ES"/>
        </w:rPr>
        <w:t>José Ernesto Álvarez Paz</w:t>
      </w:r>
      <w:r w:rsidR="00F53314" w:rsidRPr="00B24F05">
        <w:rPr>
          <w:rFonts w:ascii="Verdana" w:hAnsi="Verdana" w:cs="Verdana"/>
          <w:sz w:val="20"/>
          <w:szCs w:val="20"/>
          <w:lang w:val="es-ES"/>
        </w:rPr>
        <w:t xml:space="preserve"> y </w:t>
      </w:r>
      <w:r w:rsidR="00F53314" w:rsidRPr="00B24F05">
        <w:rPr>
          <w:rFonts w:ascii="Verdana" w:hAnsi="Verdana" w:cstheme="minorHAnsi"/>
          <w:sz w:val="20"/>
          <w:szCs w:val="20"/>
          <w:lang w:val="es-ES"/>
        </w:rPr>
        <w:t>Emérita Mendoza</w:t>
      </w:r>
      <w:r w:rsidR="00F53314" w:rsidRPr="00210597">
        <w:rPr>
          <w:rFonts w:ascii="Verdana" w:hAnsi="Verdana" w:cstheme="minorHAnsi"/>
          <w:sz w:val="20"/>
          <w:szCs w:val="20"/>
          <w:lang w:val="es-ES"/>
        </w:rPr>
        <w:t xml:space="preserve"> </w:t>
      </w:r>
      <w:r w:rsidR="003F627B" w:rsidRPr="00210597">
        <w:rPr>
          <w:rFonts w:ascii="Verdana" w:hAnsi="Verdana" w:cstheme="minorHAnsi"/>
          <w:sz w:val="20"/>
          <w:szCs w:val="20"/>
          <w:lang w:val="es-ES"/>
        </w:rPr>
        <w:t xml:space="preserve">quedan sin efecto. </w:t>
      </w:r>
    </w:p>
    <w:p w:rsidR="003F627B" w:rsidRDefault="003F627B" w:rsidP="003F627B">
      <w:pPr>
        <w:pStyle w:val="ListParagraph"/>
        <w:spacing w:after="0" w:line="240" w:lineRule="auto"/>
        <w:ind w:left="0" w:right="-90"/>
        <w:jc w:val="both"/>
        <w:rPr>
          <w:rFonts w:ascii="Verdana" w:hAnsi="Verdana"/>
          <w:sz w:val="20"/>
          <w:szCs w:val="20"/>
          <w:lang w:val="es-ES"/>
        </w:rPr>
      </w:pPr>
    </w:p>
    <w:p w:rsidR="003F627B" w:rsidRPr="00CB3A58" w:rsidRDefault="005E63C3" w:rsidP="003F627B">
      <w:pPr>
        <w:pStyle w:val="Heading1"/>
        <w:spacing w:before="0"/>
        <w:ind w:left="720" w:right="-90"/>
        <w:rPr>
          <w:i/>
          <w:szCs w:val="20"/>
          <w:lang w:val="es-CR"/>
        </w:rPr>
      </w:pPr>
      <w:r>
        <w:rPr>
          <w:i/>
          <w:szCs w:val="20"/>
          <w:lang w:val="es-ES"/>
        </w:rPr>
        <w:t>G</w:t>
      </w:r>
      <w:r w:rsidR="003F627B" w:rsidRPr="002623CB">
        <w:rPr>
          <w:i/>
          <w:szCs w:val="20"/>
          <w:lang w:val="es-ES"/>
        </w:rPr>
        <w:t xml:space="preserve">. </w:t>
      </w:r>
      <w:r w:rsidR="003F627B" w:rsidRPr="00CB3A58">
        <w:rPr>
          <w:i/>
          <w:szCs w:val="20"/>
          <w:lang w:val="es-CR"/>
        </w:rPr>
        <w:t xml:space="preserve">Consideraciones sobre la implementación de las medidas y </w:t>
      </w:r>
      <w:r w:rsidR="003F627B">
        <w:rPr>
          <w:i/>
          <w:szCs w:val="20"/>
          <w:lang w:val="es-CR"/>
        </w:rPr>
        <w:t>sobre el</w:t>
      </w:r>
      <w:r w:rsidR="003F627B" w:rsidRPr="00CB3A58">
        <w:rPr>
          <w:i/>
          <w:szCs w:val="20"/>
          <w:lang w:val="es-CR"/>
        </w:rPr>
        <w:t xml:space="preserve"> deber de informar</w:t>
      </w:r>
    </w:p>
    <w:p w:rsidR="003F627B" w:rsidRDefault="003F627B" w:rsidP="003F627B">
      <w:pPr>
        <w:tabs>
          <w:tab w:val="left" w:pos="0"/>
        </w:tabs>
        <w:spacing w:after="0" w:line="240" w:lineRule="auto"/>
        <w:jc w:val="both"/>
        <w:rPr>
          <w:rFonts w:ascii="Verdana" w:hAnsi="Verdana"/>
          <w:sz w:val="20"/>
          <w:szCs w:val="20"/>
          <w:lang w:val="es-ES_tradnl"/>
        </w:rPr>
      </w:pPr>
    </w:p>
    <w:p w:rsidR="003F627B" w:rsidRPr="002A2C6E" w:rsidRDefault="00BE05E4" w:rsidP="00F245CE">
      <w:pPr>
        <w:spacing w:after="0" w:line="240" w:lineRule="auto"/>
        <w:jc w:val="both"/>
        <w:rPr>
          <w:lang w:val="es-MX"/>
        </w:rPr>
      </w:pPr>
      <w:r>
        <w:rPr>
          <w:rFonts w:ascii="Verdana" w:hAnsi="Verdana"/>
          <w:sz w:val="20"/>
          <w:szCs w:val="20"/>
          <w:lang w:val="es-ES_tradnl"/>
        </w:rPr>
        <w:t>6</w:t>
      </w:r>
      <w:r w:rsidR="000D3C49">
        <w:rPr>
          <w:rFonts w:ascii="Verdana" w:hAnsi="Verdana"/>
          <w:sz w:val="20"/>
          <w:szCs w:val="20"/>
          <w:lang w:val="es-ES_tradnl"/>
        </w:rPr>
        <w:t>0</w:t>
      </w:r>
      <w:r w:rsidR="002A2C6E">
        <w:rPr>
          <w:rFonts w:ascii="Verdana" w:hAnsi="Verdana"/>
          <w:sz w:val="20"/>
          <w:szCs w:val="20"/>
          <w:lang w:val="es-ES_tradnl"/>
        </w:rPr>
        <w:t>.</w:t>
      </w:r>
      <w:r w:rsidR="002A2C6E">
        <w:rPr>
          <w:rFonts w:ascii="Verdana" w:hAnsi="Verdana"/>
          <w:sz w:val="20"/>
          <w:szCs w:val="20"/>
          <w:lang w:val="es-ES_tradnl"/>
        </w:rPr>
        <w:tab/>
      </w:r>
      <w:r w:rsidR="003F627B" w:rsidRPr="00210597">
        <w:rPr>
          <w:rFonts w:ascii="Verdana" w:hAnsi="Verdana"/>
          <w:sz w:val="20"/>
          <w:szCs w:val="20"/>
          <w:lang w:val="es-ES_tradnl"/>
        </w:rPr>
        <w:t>La Corte valora los esfuerzos del Estado para implementar las medidas, sin embargo nota que se han p</w:t>
      </w:r>
      <w:r w:rsidR="003625B8">
        <w:rPr>
          <w:rFonts w:ascii="Verdana" w:hAnsi="Verdana"/>
          <w:sz w:val="20"/>
          <w:szCs w:val="20"/>
          <w:lang w:val="es-ES_tradnl"/>
        </w:rPr>
        <w:t xml:space="preserve">resentado diversos problemas </w:t>
      </w:r>
      <w:r w:rsidR="003F627B" w:rsidRPr="00210597">
        <w:rPr>
          <w:rFonts w:ascii="Verdana" w:hAnsi="Verdana"/>
          <w:sz w:val="20"/>
          <w:szCs w:val="20"/>
          <w:lang w:val="es-ES_tradnl"/>
        </w:rPr>
        <w:t>respecto a las visitas por parte de agentes de la PNC o de la COPREDEH, al incumplimiento de las rondas de seguridad perimetral, escasez de recursos para dar cumplimiento a las medidas y a la falta de</w:t>
      </w:r>
      <w:r w:rsidR="003625B8">
        <w:rPr>
          <w:rFonts w:ascii="Verdana" w:hAnsi="Verdana"/>
          <w:sz w:val="20"/>
          <w:szCs w:val="20"/>
          <w:lang w:val="es-ES_tradnl"/>
        </w:rPr>
        <w:t xml:space="preserve"> actualización</w:t>
      </w:r>
      <w:r w:rsidR="003F627B" w:rsidRPr="00210597">
        <w:rPr>
          <w:rFonts w:ascii="Verdana" w:hAnsi="Verdana"/>
          <w:sz w:val="20"/>
          <w:szCs w:val="20"/>
          <w:lang w:val="es-ES_tradnl"/>
        </w:rPr>
        <w:t xml:space="preserve"> </w:t>
      </w:r>
      <w:r w:rsidR="003625B8">
        <w:rPr>
          <w:rFonts w:ascii="Verdana" w:hAnsi="Verdana"/>
          <w:sz w:val="20"/>
          <w:szCs w:val="20"/>
          <w:lang w:val="es-ES_tradnl"/>
        </w:rPr>
        <w:t>de números telefónicos para los beneficiarios</w:t>
      </w:r>
      <w:r w:rsidR="002C723D" w:rsidRPr="00210597">
        <w:rPr>
          <w:rFonts w:ascii="Verdana" w:hAnsi="Verdana"/>
          <w:sz w:val="20"/>
          <w:szCs w:val="20"/>
          <w:lang w:val="es-ES_tradnl"/>
        </w:rPr>
        <w:t xml:space="preserve">. </w:t>
      </w:r>
      <w:r w:rsidR="003F627B" w:rsidRPr="00210597">
        <w:rPr>
          <w:rFonts w:ascii="Verdana" w:hAnsi="Verdana"/>
          <w:sz w:val="20"/>
          <w:szCs w:val="20"/>
          <w:lang w:val="es-ES_tradnl"/>
        </w:rPr>
        <w:t>Por su parte, la Comisión se expresó en similar sentido, haciendo énfasis en que el Estado no había implementado con “cabalidad” las medidas (</w:t>
      </w:r>
      <w:r w:rsidR="003F627B" w:rsidRPr="00210597">
        <w:rPr>
          <w:rFonts w:ascii="Verdana" w:hAnsi="Verdana"/>
          <w:i/>
          <w:sz w:val="20"/>
          <w:szCs w:val="20"/>
          <w:lang w:val="es-ES_tradnl"/>
        </w:rPr>
        <w:t>supra.</w:t>
      </w:r>
      <w:r w:rsidR="003F627B" w:rsidRPr="00210597">
        <w:rPr>
          <w:rFonts w:ascii="Verdana" w:hAnsi="Verdana"/>
          <w:sz w:val="20"/>
          <w:szCs w:val="20"/>
          <w:lang w:val="es-ES_tradnl"/>
        </w:rPr>
        <w:t xml:space="preserve"> </w:t>
      </w:r>
      <w:r w:rsidR="002C723D">
        <w:rPr>
          <w:rFonts w:ascii="Verdana" w:hAnsi="Verdana"/>
          <w:sz w:val="20"/>
          <w:szCs w:val="20"/>
          <w:lang w:val="es-ES_tradnl"/>
        </w:rPr>
        <w:t>Considerando 26</w:t>
      </w:r>
      <w:r w:rsidR="003F627B" w:rsidRPr="00210597">
        <w:rPr>
          <w:rFonts w:ascii="Verdana" w:hAnsi="Verdana"/>
          <w:sz w:val="20"/>
          <w:szCs w:val="20"/>
          <w:lang w:val="es-ES_tradnl"/>
        </w:rPr>
        <w:t xml:space="preserve">). Dichos problemas han generado, que, por distintos períodos, las medidas no hayan sido implementadas de manera efectiva. </w:t>
      </w:r>
      <w:r w:rsidR="003F627B" w:rsidRPr="00210597">
        <w:rPr>
          <w:rFonts w:ascii="Verdana" w:hAnsi="Verdana"/>
          <w:sz w:val="20"/>
          <w:szCs w:val="20"/>
          <w:lang w:val="es-MX"/>
        </w:rPr>
        <w:t>La Corte recuerda que los beneficiarios de medidas provisionales deben gozar de las medidas de protección de manera efectiva, continua e ininterrumpida mientras se encuentre vigente la situación de extrema gravedad y urgencia que dio origen a las mismas, de forma tal que cese el riesgo para las personas cuya protección se pretende</w:t>
      </w:r>
      <w:r w:rsidR="003F627B" w:rsidRPr="002308A9">
        <w:rPr>
          <w:rStyle w:val="FootnoteReference"/>
          <w:rFonts w:ascii="Verdana" w:hAnsi="Verdana"/>
          <w:sz w:val="20"/>
          <w:szCs w:val="20"/>
          <w:lang w:val="es-MX"/>
        </w:rPr>
        <w:footnoteReference w:id="16"/>
      </w:r>
      <w:r w:rsidR="003F627B" w:rsidRPr="00210597">
        <w:rPr>
          <w:rFonts w:ascii="Verdana" w:hAnsi="Verdana"/>
          <w:sz w:val="20"/>
          <w:szCs w:val="20"/>
          <w:lang w:val="es-MX"/>
        </w:rPr>
        <w:t>.</w:t>
      </w:r>
    </w:p>
    <w:p w:rsidR="003F627B" w:rsidRDefault="003F627B" w:rsidP="00F245CE">
      <w:pPr>
        <w:pStyle w:val="ListParagraph"/>
        <w:tabs>
          <w:tab w:val="left" w:pos="0"/>
        </w:tabs>
        <w:spacing w:after="0" w:line="240" w:lineRule="auto"/>
        <w:ind w:left="0"/>
        <w:jc w:val="both"/>
        <w:rPr>
          <w:rFonts w:ascii="Verdana" w:hAnsi="Verdana"/>
          <w:sz w:val="20"/>
          <w:szCs w:val="20"/>
          <w:lang w:val="es-ES_tradnl"/>
        </w:rPr>
      </w:pPr>
    </w:p>
    <w:p w:rsidR="003F627B" w:rsidRPr="00210597" w:rsidRDefault="00BE05E4" w:rsidP="00F245CE">
      <w:pPr>
        <w:tabs>
          <w:tab w:val="left" w:pos="0"/>
        </w:tabs>
        <w:spacing w:after="0" w:line="240" w:lineRule="auto"/>
        <w:jc w:val="both"/>
        <w:rPr>
          <w:rFonts w:ascii="Verdana" w:hAnsi="Verdana"/>
          <w:sz w:val="20"/>
          <w:szCs w:val="20"/>
          <w:lang w:val="es-ES_tradnl"/>
        </w:rPr>
      </w:pPr>
      <w:r>
        <w:rPr>
          <w:rFonts w:ascii="Verdana" w:hAnsi="Verdana"/>
          <w:sz w:val="20"/>
          <w:szCs w:val="20"/>
          <w:lang w:val="es-ES_tradnl"/>
        </w:rPr>
        <w:t>6</w:t>
      </w:r>
      <w:r w:rsidR="000D3C49">
        <w:rPr>
          <w:rFonts w:ascii="Verdana" w:hAnsi="Verdana"/>
          <w:sz w:val="20"/>
          <w:szCs w:val="20"/>
          <w:lang w:val="es-ES_tradnl"/>
        </w:rPr>
        <w:t>1</w:t>
      </w:r>
      <w:r w:rsidR="002A2C6E">
        <w:rPr>
          <w:rFonts w:ascii="Verdana" w:hAnsi="Verdana"/>
          <w:sz w:val="20"/>
          <w:szCs w:val="20"/>
          <w:lang w:val="es-ES_tradnl"/>
        </w:rPr>
        <w:t>.</w:t>
      </w:r>
      <w:r w:rsidR="002A2C6E">
        <w:rPr>
          <w:rFonts w:ascii="Verdana" w:hAnsi="Verdana"/>
          <w:sz w:val="20"/>
          <w:szCs w:val="20"/>
          <w:lang w:val="es-ES_tradnl"/>
        </w:rPr>
        <w:tab/>
      </w:r>
      <w:r w:rsidR="003F627B" w:rsidRPr="00210597">
        <w:rPr>
          <w:rFonts w:ascii="Verdana" w:hAnsi="Verdana"/>
          <w:sz w:val="20"/>
          <w:szCs w:val="20"/>
          <w:lang w:val="es-ES_tradnl"/>
        </w:rPr>
        <w:t>Por otra parte, este Tribunal considera que tanto el Estado como los representantes, no presentaron informes ni observaciones, respectivamente, de forma detallada en los cuales hicieran referencia a cada uno de los beneficiarios. Al respecto, la Corte estima necesario que el Estado y los representantes presenten dicha información, con la finalidad de que este Tribunal pueda evaluar adecuadamente la implementación de las medidas provisionales ordenadas</w:t>
      </w:r>
      <w:r w:rsidR="00B22309">
        <w:rPr>
          <w:rStyle w:val="FootnoteReference"/>
          <w:rFonts w:ascii="Verdana" w:hAnsi="Verdana"/>
          <w:sz w:val="20"/>
          <w:szCs w:val="20"/>
          <w:lang w:val="es-ES_tradnl"/>
        </w:rPr>
        <w:footnoteReference w:id="17"/>
      </w:r>
      <w:r w:rsidR="003F627B" w:rsidRPr="00210597">
        <w:rPr>
          <w:rFonts w:ascii="Verdana" w:hAnsi="Verdana"/>
          <w:sz w:val="20"/>
          <w:szCs w:val="20"/>
          <w:lang w:val="es-ES_tradnl"/>
        </w:rPr>
        <w:t xml:space="preserve">. </w:t>
      </w:r>
    </w:p>
    <w:p w:rsidR="003F627B" w:rsidRPr="00613718" w:rsidRDefault="003F627B" w:rsidP="003F627B">
      <w:pPr>
        <w:pStyle w:val="ListParagraph"/>
        <w:spacing w:after="0" w:line="240" w:lineRule="auto"/>
        <w:ind w:left="0"/>
        <w:jc w:val="both"/>
        <w:rPr>
          <w:rFonts w:ascii="Verdana" w:hAnsi="Verdana"/>
          <w:lang w:val="es-MX"/>
        </w:rPr>
      </w:pPr>
    </w:p>
    <w:p w:rsidR="003F627B" w:rsidRDefault="005E63C3" w:rsidP="003F627B">
      <w:pPr>
        <w:pStyle w:val="ListParagraph"/>
        <w:spacing w:after="0" w:line="240" w:lineRule="auto"/>
        <w:ind w:left="0" w:firstLine="720"/>
        <w:jc w:val="both"/>
        <w:rPr>
          <w:rFonts w:ascii="Verdana" w:hAnsi="Verdana"/>
          <w:b/>
          <w:bCs/>
          <w:i/>
          <w:sz w:val="20"/>
          <w:szCs w:val="20"/>
          <w:lang w:val="es-CO"/>
        </w:rPr>
      </w:pPr>
      <w:r>
        <w:rPr>
          <w:rFonts w:ascii="Verdana" w:hAnsi="Verdana"/>
          <w:b/>
          <w:bCs/>
          <w:i/>
          <w:sz w:val="20"/>
          <w:szCs w:val="20"/>
          <w:lang w:val="es-CO"/>
        </w:rPr>
        <w:t>H</w:t>
      </w:r>
      <w:r w:rsidR="003F627B">
        <w:rPr>
          <w:rFonts w:ascii="Verdana" w:hAnsi="Verdana"/>
          <w:bCs/>
          <w:sz w:val="20"/>
          <w:szCs w:val="20"/>
          <w:lang w:val="es-CO"/>
        </w:rPr>
        <w:t xml:space="preserve">. </w:t>
      </w:r>
      <w:r w:rsidR="008E43CC">
        <w:rPr>
          <w:rFonts w:ascii="Verdana" w:hAnsi="Verdana"/>
          <w:b/>
          <w:bCs/>
          <w:i/>
          <w:sz w:val="20"/>
          <w:szCs w:val="20"/>
          <w:lang w:val="es-CO"/>
        </w:rPr>
        <w:t>Consideraciones sobre el d</w:t>
      </w:r>
      <w:r w:rsidR="003F627B" w:rsidRPr="00613718">
        <w:rPr>
          <w:rFonts w:ascii="Verdana" w:hAnsi="Verdana"/>
          <w:b/>
          <w:bCs/>
          <w:i/>
          <w:sz w:val="20"/>
          <w:szCs w:val="20"/>
          <w:lang w:val="es-CO"/>
        </w:rPr>
        <w:t>eber estatal de garantía</w:t>
      </w:r>
    </w:p>
    <w:p w:rsidR="003F627B" w:rsidRPr="00613718" w:rsidRDefault="003F627B" w:rsidP="003F627B">
      <w:pPr>
        <w:pStyle w:val="ListParagraph"/>
        <w:spacing w:after="0" w:line="240" w:lineRule="auto"/>
        <w:ind w:left="0"/>
        <w:jc w:val="both"/>
        <w:rPr>
          <w:rFonts w:ascii="Verdana" w:hAnsi="Verdana"/>
          <w:lang w:val="es-MX"/>
        </w:rPr>
      </w:pPr>
    </w:p>
    <w:p w:rsidR="003F627B" w:rsidRDefault="000D3C49" w:rsidP="00210597">
      <w:pPr>
        <w:tabs>
          <w:tab w:val="left" w:pos="0"/>
        </w:tabs>
        <w:spacing w:after="0" w:line="240" w:lineRule="auto"/>
        <w:jc w:val="both"/>
        <w:rPr>
          <w:rFonts w:ascii="Verdana" w:hAnsi="Verdana"/>
          <w:sz w:val="20"/>
          <w:szCs w:val="20"/>
          <w:lang w:val="es-ES_tradnl"/>
        </w:rPr>
      </w:pPr>
      <w:r>
        <w:rPr>
          <w:rFonts w:ascii="Verdana" w:hAnsi="Verdana"/>
          <w:bCs/>
          <w:sz w:val="20"/>
          <w:szCs w:val="20"/>
          <w:lang w:val="es-CO"/>
        </w:rPr>
        <w:t>62</w:t>
      </w:r>
      <w:r w:rsidR="002A2C6E">
        <w:rPr>
          <w:rFonts w:ascii="Verdana" w:hAnsi="Verdana"/>
          <w:bCs/>
          <w:sz w:val="20"/>
          <w:szCs w:val="20"/>
          <w:lang w:val="es-CO"/>
        </w:rPr>
        <w:t>.</w:t>
      </w:r>
      <w:r w:rsidR="002A2C6E">
        <w:rPr>
          <w:rFonts w:ascii="Verdana" w:hAnsi="Verdana"/>
          <w:bCs/>
          <w:sz w:val="20"/>
          <w:szCs w:val="20"/>
          <w:lang w:val="es-CO"/>
        </w:rPr>
        <w:tab/>
      </w:r>
      <w:r w:rsidR="003F627B" w:rsidRPr="00210597">
        <w:rPr>
          <w:rFonts w:ascii="Verdana" w:hAnsi="Verdana"/>
          <w:bCs/>
          <w:sz w:val="20"/>
          <w:szCs w:val="20"/>
          <w:lang w:val="es-CO"/>
        </w:rPr>
        <w:t>Por último, habiéndose determinado el</w:t>
      </w:r>
      <w:r w:rsidR="003F627B" w:rsidRPr="00210597" w:rsidDel="001B5104">
        <w:rPr>
          <w:rFonts w:ascii="Verdana" w:eastAsia="Calibri" w:hAnsi="Verdana" w:cs="Verdana"/>
          <w:color w:val="000000"/>
          <w:sz w:val="20"/>
          <w:szCs w:val="20"/>
          <w:lang w:val="es-CR"/>
        </w:rPr>
        <w:t xml:space="preserve"> levantamiento</w:t>
      </w:r>
      <w:r w:rsidR="003F627B" w:rsidRPr="00210597">
        <w:rPr>
          <w:rFonts w:ascii="Verdana" w:eastAsia="Calibri" w:hAnsi="Verdana" w:cs="Verdana"/>
          <w:color w:val="000000"/>
          <w:sz w:val="20"/>
          <w:szCs w:val="20"/>
          <w:lang w:val="es-CR"/>
        </w:rPr>
        <w:t xml:space="preserve"> parcial de las medidas provisionales (</w:t>
      </w:r>
      <w:r w:rsidR="003F627B" w:rsidRPr="00210597">
        <w:rPr>
          <w:rFonts w:ascii="Verdana" w:eastAsia="Calibri" w:hAnsi="Verdana" w:cs="Verdana"/>
          <w:i/>
          <w:color w:val="000000"/>
          <w:sz w:val="20"/>
          <w:szCs w:val="20"/>
          <w:lang w:val="es-CR"/>
        </w:rPr>
        <w:t>supra</w:t>
      </w:r>
      <w:r w:rsidR="003F627B" w:rsidRPr="00210597">
        <w:rPr>
          <w:rFonts w:ascii="Verdana" w:eastAsia="Calibri" w:hAnsi="Verdana" w:cs="Verdana"/>
          <w:color w:val="000000"/>
          <w:sz w:val="20"/>
          <w:szCs w:val="20"/>
          <w:lang w:val="es-CR"/>
        </w:rPr>
        <w:t xml:space="preserve"> Considerando</w:t>
      </w:r>
      <w:r w:rsidR="00B96A32">
        <w:rPr>
          <w:rFonts w:ascii="Verdana" w:eastAsia="Calibri" w:hAnsi="Verdana" w:cs="Verdana"/>
          <w:color w:val="000000"/>
          <w:sz w:val="20"/>
          <w:szCs w:val="20"/>
          <w:lang w:val="es-CR"/>
        </w:rPr>
        <w:t>s</w:t>
      </w:r>
      <w:r w:rsidR="003F627B" w:rsidRPr="00210597">
        <w:rPr>
          <w:rFonts w:ascii="Verdana" w:eastAsia="Calibri" w:hAnsi="Verdana" w:cs="Verdana"/>
          <w:color w:val="000000"/>
          <w:sz w:val="20"/>
          <w:szCs w:val="20"/>
          <w:lang w:val="es-CR"/>
        </w:rPr>
        <w:t xml:space="preserve"> </w:t>
      </w:r>
      <w:r w:rsidR="002C723D">
        <w:rPr>
          <w:rFonts w:ascii="Verdana" w:eastAsia="Calibri" w:hAnsi="Verdana" w:cs="Verdana"/>
          <w:color w:val="000000"/>
          <w:sz w:val="20"/>
          <w:szCs w:val="20"/>
          <w:lang w:val="es-CR"/>
        </w:rPr>
        <w:t>23</w:t>
      </w:r>
      <w:r w:rsidR="00B96A32">
        <w:rPr>
          <w:rFonts w:ascii="Verdana" w:eastAsia="Calibri" w:hAnsi="Verdana" w:cs="Verdana"/>
          <w:color w:val="000000"/>
          <w:sz w:val="20"/>
          <w:szCs w:val="20"/>
          <w:lang w:val="es-CR"/>
        </w:rPr>
        <w:t>,</w:t>
      </w:r>
      <w:r w:rsidR="002C723D" w:rsidRPr="003625B8">
        <w:rPr>
          <w:rFonts w:ascii="Verdana" w:eastAsia="Calibri" w:hAnsi="Verdana" w:cs="Verdana"/>
          <w:color w:val="000000"/>
          <w:sz w:val="20"/>
          <w:szCs w:val="20"/>
          <w:lang w:val="es-CR"/>
        </w:rPr>
        <w:t xml:space="preserve"> </w:t>
      </w:r>
      <w:r w:rsidR="002C723D" w:rsidRPr="00B96A32">
        <w:rPr>
          <w:rFonts w:ascii="Verdana" w:eastAsia="Calibri" w:hAnsi="Verdana" w:cs="Verdana"/>
          <w:color w:val="000000"/>
          <w:sz w:val="20"/>
          <w:szCs w:val="20"/>
          <w:lang w:val="es-CR"/>
        </w:rPr>
        <w:t>32</w:t>
      </w:r>
      <w:r w:rsidR="00B96A32" w:rsidRPr="00B96A32">
        <w:rPr>
          <w:rFonts w:ascii="Verdana" w:eastAsia="Calibri" w:hAnsi="Verdana" w:cs="Verdana"/>
          <w:color w:val="000000"/>
          <w:sz w:val="20"/>
          <w:szCs w:val="20"/>
          <w:lang w:val="es-CR"/>
        </w:rPr>
        <w:t xml:space="preserve"> y 33</w:t>
      </w:r>
      <w:r w:rsidR="002C723D" w:rsidRPr="00B96A32">
        <w:rPr>
          <w:rFonts w:ascii="Verdana" w:eastAsia="Calibri" w:hAnsi="Verdana" w:cs="Verdana"/>
          <w:color w:val="000000"/>
          <w:sz w:val="20"/>
          <w:szCs w:val="20"/>
          <w:lang w:val="es-CR"/>
        </w:rPr>
        <w:t>),</w:t>
      </w:r>
      <w:r w:rsidR="002C723D" w:rsidRPr="00210597">
        <w:rPr>
          <w:rFonts w:ascii="Verdana" w:eastAsia="Calibri" w:hAnsi="Verdana" w:cs="Verdana"/>
          <w:color w:val="000000"/>
          <w:sz w:val="20"/>
          <w:szCs w:val="20"/>
          <w:lang w:val="es-CR"/>
        </w:rPr>
        <w:t xml:space="preserve"> </w:t>
      </w:r>
      <w:r w:rsidR="003F627B" w:rsidRPr="00210597">
        <w:rPr>
          <w:rFonts w:ascii="Verdana" w:eastAsia="Calibri" w:hAnsi="Verdana" w:cs="Verdana"/>
          <w:color w:val="000000"/>
          <w:sz w:val="20"/>
          <w:szCs w:val="20"/>
          <w:lang w:val="es-CR"/>
        </w:rPr>
        <w:t xml:space="preserve">la Corte estima necesario recordar que ello </w:t>
      </w:r>
      <w:r w:rsidR="003F627B" w:rsidRPr="00210597" w:rsidDel="001B5104">
        <w:rPr>
          <w:rFonts w:ascii="Verdana" w:eastAsia="Calibri" w:hAnsi="Verdana" w:cs="Verdana"/>
          <w:color w:val="000000"/>
          <w:sz w:val="20"/>
          <w:szCs w:val="20"/>
          <w:lang w:val="es-CR"/>
        </w:rPr>
        <w:t xml:space="preserve">no implica </w:t>
      </w:r>
      <w:r w:rsidR="003F627B" w:rsidRPr="00210597" w:rsidDel="001B5104">
        <w:rPr>
          <w:rFonts w:ascii="Verdana" w:hAnsi="Verdana"/>
          <w:sz w:val="20"/>
          <w:szCs w:val="20"/>
          <w:lang w:val="es-CR"/>
        </w:rPr>
        <w:t xml:space="preserve">que el Estado quede relevado de sus obligaciones generales de protección, contenidas en el artículo 1.1 de la Convención, en el marco de las cuales el Estado se encuentra </w:t>
      </w:r>
      <w:r w:rsidR="003F627B" w:rsidRPr="00210597" w:rsidDel="001B5104">
        <w:rPr>
          <w:rFonts w:ascii="Verdana" w:eastAsia="Calibri" w:hAnsi="Verdana" w:cs="Verdana"/>
          <w:sz w:val="20"/>
          <w:szCs w:val="20"/>
          <w:lang w:val="es-CR"/>
        </w:rPr>
        <w:t xml:space="preserve">especialmente obligado a garantizar los derechos de las personas en situación de riesgo y debe impulsar las investigaciones </w:t>
      </w:r>
      <w:r w:rsidR="003F627B" w:rsidRPr="00210597" w:rsidDel="001B5104">
        <w:rPr>
          <w:rFonts w:ascii="Verdana" w:eastAsia="Calibri" w:hAnsi="Verdana" w:cs="Verdana"/>
          <w:sz w:val="20"/>
          <w:szCs w:val="20"/>
          <w:lang w:val="es-CR"/>
        </w:rPr>
        <w:lastRenderedPageBreak/>
        <w:t>necesarias para esclarecer los hechos, seguidas de las consecuencias que la legislación pertinente establezca</w:t>
      </w:r>
      <w:r w:rsidR="003F627B">
        <w:rPr>
          <w:rStyle w:val="FootnoteReference"/>
          <w:rFonts w:ascii="Verdana" w:eastAsia="Calibri" w:hAnsi="Verdana" w:cs="Verdana"/>
          <w:sz w:val="20"/>
          <w:szCs w:val="20"/>
          <w:lang w:val="es-CR"/>
        </w:rPr>
        <w:footnoteReference w:id="18"/>
      </w:r>
      <w:r w:rsidR="003F627B" w:rsidRPr="00210597" w:rsidDel="001B5104">
        <w:rPr>
          <w:rFonts w:ascii="Verdana" w:eastAsia="Calibri" w:hAnsi="Verdana" w:cs="Verdana"/>
          <w:sz w:val="20"/>
          <w:szCs w:val="20"/>
          <w:lang w:val="es-CR"/>
        </w:rPr>
        <w:t xml:space="preserve">. </w:t>
      </w:r>
    </w:p>
    <w:p w:rsidR="00210597" w:rsidRPr="00210597" w:rsidRDefault="00210597" w:rsidP="00210597">
      <w:pPr>
        <w:tabs>
          <w:tab w:val="left" w:pos="0"/>
        </w:tabs>
        <w:spacing w:after="0" w:line="240" w:lineRule="auto"/>
        <w:jc w:val="both"/>
        <w:rPr>
          <w:rFonts w:ascii="Verdana" w:hAnsi="Verdana"/>
          <w:sz w:val="20"/>
          <w:szCs w:val="20"/>
          <w:lang w:val="es-ES_tradnl"/>
        </w:rPr>
      </w:pPr>
    </w:p>
    <w:p w:rsidR="003F627B" w:rsidRPr="00AF1610" w:rsidRDefault="003F627B" w:rsidP="003F627B">
      <w:pPr>
        <w:autoSpaceDE w:val="0"/>
        <w:autoSpaceDN w:val="0"/>
        <w:adjustRightInd w:val="0"/>
        <w:spacing w:after="0" w:line="240" w:lineRule="auto"/>
        <w:jc w:val="both"/>
        <w:rPr>
          <w:rFonts w:ascii="Verdana" w:hAnsi="Verdana" w:cs="Verdana"/>
          <w:b/>
          <w:bCs/>
          <w:sz w:val="20"/>
          <w:szCs w:val="20"/>
          <w:lang w:val="es-ES"/>
        </w:rPr>
      </w:pPr>
      <w:r w:rsidRPr="00AF1610">
        <w:rPr>
          <w:rFonts w:ascii="Verdana" w:hAnsi="Verdana" w:cs="Verdana"/>
          <w:b/>
          <w:bCs/>
          <w:sz w:val="20"/>
          <w:szCs w:val="20"/>
          <w:lang w:val="es-ES"/>
        </w:rPr>
        <w:t>POR TANTO:</w:t>
      </w:r>
    </w:p>
    <w:p w:rsidR="003F627B" w:rsidRPr="00AF1610" w:rsidRDefault="003F627B" w:rsidP="003F627B">
      <w:pPr>
        <w:autoSpaceDE w:val="0"/>
        <w:autoSpaceDN w:val="0"/>
        <w:adjustRightInd w:val="0"/>
        <w:spacing w:after="0" w:line="240" w:lineRule="auto"/>
        <w:jc w:val="both"/>
        <w:rPr>
          <w:rFonts w:ascii="Verdana" w:hAnsi="Verdana" w:cs="Verdana"/>
          <w:b/>
          <w:bCs/>
          <w:sz w:val="20"/>
          <w:szCs w:val="20"/>
          <w:lang w:val="es-ES"/>
        </w:rPr>
      </w:pPr>
    </w:p>
    <w:p w:rsidR="003F627B" w:rsidRPr="00AF1610" w:rsidRDefault="003F627B" w:rsidP="003F627B">
      <w:pPr>
        <w:autoSpaceDE w:val="0"/>
        <w:autoSpaceDN w:val="0"/>
        <w:adjustRightInd w:val="0"/>
        <w:spacing w:after="0" w:line="240" w:lineRule="auto"/>
        <w:jc w:val="both"/>
        <w:rPr>
          <w:rFonts w:ascii="Verdana" w:hAnsi="Verdana" w:cs="Verdana"/>
          <w:b/>
          <w:bCs/>
          <w:sz w:val="20"/>
          <w:szCs w:val="20"/>
          <w:lang w:val="es-ES"/>
        </w:rPr>
      </w:pPr>
      <w:r w:rsidRPr="00AF1610">
        <w:rPr>
          <w:rFonts w:ascii="Verdana" w:hAnsi="Verdana" w:cs="Verdana"/>
          <w:b/>
          <w:bCs/>
          <w:sz w:val="20"/>
          <w:szCs w:val="20"/>
          <w:lang w:val="es-ES"/>
        </w:rPr>
        <w:t>LA CORTE INTERAMERICANA DE DERECHOS HUMANOS,</w:t>
      </w:r>
    </w:p>
    <w:p w:rsidR="003F627B" w:rsidRPr="00AF1610" w:rsidRDefault="003F627B" w:rsidP="003F627B">
      <w:pPr>
        <w:autoSpaceDE w:val="0"/>
        <w:autoSpaceDN w:val="0"/>
        <w:adjustRightInd w:val="0"/>
        <w:spacing w:after="0" w:line="240" w:lineRule="auto"/>
        <w:jc w:val="both"/>
        <w:rPr>
          <w:rFonts w:ascii="Verdana" w:hAnsi="Verdana" w:cs="Verdana"/>
          <w:b/>
          <w:bCs/>
          <w:sz w:val="20"/>
          <w:szCs w:val="20"/>
          <w:lang w:val="es-ES"/>
        </w:rPr>
      </w:pPr>
    </w:p>
    <w:p w:rsidR="003F627B" w:rsidRPr="00AF1610" w:rsidRDefault="003F627B" w:rsidP="003F627B">
      <w:pPr>
        <w:autoSpaceDE w:val="0"/>
        <w:autoSpaceDN w:val="0"/>
        <w:adjustRightInd w:val="0"/>
        <w:spacing w:after="0" w:line="240" w:lineRule="auto"/>
        <w:jc w:val="both"/>
        <w:rPr>
          <w:rFonts w:ascii="Verdana" w:hAnsi="Verdana" w:cs="Verdana"/>
          <w:sz w:val="20"/>
          <w:szCs w:val="20"/>
          <w:lang w:val="es-ES"/>
        </w:rPr>
      </w:pPr>
      <w:r w:rsidRPr="00AF1610">
        <w:rPr>
          <w:rFonts w:ascii="Verdana" w:hAnsi="Verdana" w:cs="Verdana"/>
          <w:sz w:val="20"/>
          <w:szCs w:val="20"/>
          <w:lang w:val="es-ES"/>
        </w:rPr>
        <w:t>en ejercicio de sus atribuciones de</w:t>
      </w:r>
      <w:r>
        <w:rPr>
          <w:rFonts w:ascii="Verdana" w:hAnsi="Verdana" w:cs="Verdana"/>
          <w:sz w:val="20"/>
          <w:szCs w:val="20"/>
          <w:lang w:val="es-ES"/>
        </w:rPr>
        <w:t xml:space="preserve"> </w:t>
      </w:r>
      <w:r w:rsidRPr="00AF1610">
        <w:rPr>
          <w:rFonts w:ascii="Verdana" w:hAnsi="Verdana" w:cs="Verdana"/>
          <w:sz w:val="20"/>
          <w:szCs w:val="20"/>
          <w:lang w:val="es-ES"/>
        </w:rPr>
        <w:t xml:space="preserve">conformidad con los </w:t>
      </w:r>
      <w:r>
        <w:rPr>
          <w:rFonts w:ascii="Verdana" w:hAnsi="Verdana" w:cs="Verdana"/>
          <w:sz w:val="20"/>
          <w:szCs w:val="20"/>
          <w:lang w:val="es-ES"/>
        </w:rPr>
        <w:t>artículos 63.2</w:t>
      </w:r>
      <w:r w:rsidRPr="00AF1610">
        <w:rPr>
          <w:rFonts w:ascii="Verdana" w:hAnsi="Verdana" w:cs="Verdana"/>
          <w:sz w:val="20"/>
          <w:szCs w:val="20"/>
          <w:lang w:val="es-ES"/>
        </w:rPr>
        <w:t xml:space="preserve"> de la Convención Americana,</w:t>
      </w:r>
      <w:r>
        <w:rPr>
          <w:rFonts w:ascii="Verdana" w:hAnsi="Verdana" w:cs="Verdana"/>
          <w:sz w:val="20"/>
          <w:szCs w:val="20"/>
          <w:lang w:val="es-ES"/>
        </w:rPr>
        <w:t xml:space="preserve"> 25.2 de su Estatuto y 29</w:t>
      </w:r>
      <w:r w:rsidRPr="00AF1610">
        <w:rPr>
          <w:rFonts w:ascii="Verdana" w:hAnsi="Verdana" w:cs="Verdana"/>
          <w:sz w:val="20"/>
          <w:szCs w:val="20"/>
          <w:lang w:val="es-ES"/>
        </w:rPr>
        <w:t xml:space="preserve"> de su Reglamento,</w:t>
      </w:r>
    </w:p>
    <w:p w:rsidR="003F627B" w:rsidRPr="00AF1610" w:rsidRDefault="003F627B" w:rsidP="003F627B">
      <w:pPr>
        <w:autoSpaceDE w:val="0"/>
        <w:autoSpaceDN w:val="0"/>
        <w:adjustRightInd w:val="0"/>
        <w:spacing w:after="0" w:line="240" w:lineRule="auto"/>
        <w:jc w:val="both"/>
        <w:rPr>
          <w:rFonts w:ascii="Verdana" w:hAnsi="Verdana" w:cs="Verdana"/>
          <w:color w:val="7030A0"/>
          <w:sz w:val="20"/>
          <w:szCs w:val="20"/>
          <w:lang w:val="es-ES"/>
        </w:rPr>
      </w:pPr>
    </w:p>
    <w:p w:rsidR="003F627B" w:rsidRPr="001740F7" w:rsidRDefault="003F627B" w:rsidP="003F627B">
      <w:pPr>
        <w:autoSpaceDE w:val="0"/>
        <w:autoSpaceDN w:val="0"/>
        <w:adjustRightInd w:val="0"/>
        <w:spacing w:after="0" w:line="240" w:lineRule="auto"/>
        <w:jc w:val="both"/>
        <w:rPr>
          <w:rFonts w:ascii="Verdana" w:hAnsi="Verdana" w:cs="Verdana"/>
          <w:b/>
          <w:bCs/>
          <w:sz w:val="20"/>
          <w:szCs w:val="20"/>
          <w:lang w:val="es-ES"/>
        </w:rPr>
      </w:pPr>
      <w:r w:rsidRPr="001740F7">
        <w:rPr>
          <w:rFonts w:ascii="Verdana" w:hAnsi="Verdana" w:cs="Verdana"/>
          <w:b/>
          <w:bCs/>
          <w:sz w:val="20"/>
          <w:szCs w:val="20"/>
          <w:lang w:val="es-ES"/>
        </w:rPr>
        <w:t>RESUELVE:</w:t>
      </w:r>
    </w:p>
    <w:p w:rsidR="006E51DE" w:rsidRPr="00AF1610" w:rsidRDefault="006E51DE" w:rsidP="003F627B">
      <w:pPr>
        <w:autoSpaceDE w:val="0"/>
        <w:autoSpaceDN w:val="0"/>
        <w:adjustRightInd w:val="0"/>
        <w:spacing w:after="0" w:line="240" w:lineRule="auto"/>
        <w:jc w:val="both"/>
        <w:rPr>
          <w:rFonts w:ascii="Verdana" w:hAnsi="Verdana" w:cs="Verdana"/>
          <w:color w:val="7030A0"/>
          <w:sz w:val="20"/>
          <w:szCs w:val="20"/>
          <w:lang w:val="es-ES"/>
        </w:rPr>
      </w:pPr>
    </w:p>
    <w:p w:rsidR="00A86E1F" w:rsidRDefault="003F627B" w:rsidP="00E76FDB">
      <w:pPr>
        <w:pStyle w:val="ListParagraph"/>
        <w:numPr>
          <w:ilvl w:val="0"/>
          <w:numId w:val="42"/>
        </w:numPr>
        <w:spacing w:after="0" w:line="240" w:lineRule="auto"/>
        <w:ind w:left="0" w:firstLine="0"/>
        <w:jc w:val="both"/>
        <w:rPr>
          <w:rFonts w:ascii="Verdana" w:hAnsi="Verdana"/>
          <w:sz w:val="20"/>
          <w:szCs w:val="20"/>
        </w:rPr>
      </w:pPr>
      <w:r w:rsidRPr="00566E5B">
        <w:rPr>
          <w:rFonts w:ascii="Verdana" w:hAnsi="Verdana" w:cs="Verdana"/>
          <w:sz w:val="20"/>
          <w:szCs w:val="20"/>
          <w:lang w:val="es-ES"/>
        </w:rPr>
        <w:t xml:space="preserve">Levantar las medidas provisionales ordenadas a favor de </w:t>
      </w:r>
      <w:r w:rsidRPr="00566E5B">
        <w:rPr>
          <w:rFonts w:ascii="Verdana" w:hAnsi="Verdana" w:cstheme="minorHAnsi"/>
          <w:sz w:val="20"/>
          <w:szCs w:val="20"/>
          <w:lang w:val="es-ES"/>
        </w:rPr>
        <w:t>Alberta Velásquez, Luis Federico López Godínez, Oscar Rolando López Velásquez, Egidia Gebia Bámaca Velásquez, Josefina Bámaca Velásquez, Rudy López, Amín López</w:t>
      </w:r>
      <w:r w:rsidR="00566E5B" w:rsidRPr="00566E5B">
        <w:rPr>
          <w:rFonts w:ascii="Verdana" w:hAnsi="Verdana" w:cstheme="minorHAnsi"/>
          <w:sz w:val="20"/>
          <w:szCs w:val="20"/>
          <w:lang w:val="es-ES"/>
        </w:rPr>
        <w:t xml:space="preserve"> y sus familiares, en los términos del Considerando 23 de la presente Resolución; así como de </w:t>
      </w:r>
      <w:r w:rsidRPr="00566E5B">
        <w:rPr>
          <w:rFonts w:ascii="Verdana" w:hAnsi="Verdana" w:cs="Verdana"/>
          <w:sz w:val="20"/>
          <w:szCs w:val="20"/>
          <w:lang w:val="es-ES"/>
        </w:rPr>
        <w:t>Blanca Noelia Meléndez,</w:t>
      </w:r>
      <w:r w:rsidR="00A86E1F" w:rsidRPr="00566E5B">
        <w:rPr>
          <w:rFonts w:ascii="Verdana" w:hAnsi="Verdana" w:cs="Verdana"/>
          <w:sz w:val="20"/>
          <w:szCs w:val="20"/>
          <w:lang w:val="es-ES"/>
        </w:rPr>
        <w:t xml:space="preserve"> José Pioquinto Álvarez Nájera,</w:t>
      </w:r>
      <w:r w:rsidRPr="00566E5B">
        <w:rPr>
          <w:rFonts w:ascii="Verdana" w:hAnsi="Verdana" w:cs="Verdana"/>
          <w:sz w:val="20"/>
          <w:szCs w:val="20"/>
          <w:lang w:val="es-ES"/>
        </w:rPr>
        <w:t xml:space="preserve"> Alex Javier Álvarez Nájera</w:t>
      </w:r>
      <w:r w:rsidR="00C73170" w:rsidRPr="00566E5B">
        <w:rPr>
          <w:rFonts w:ascii="Verdana" w:hAnsi="Verdana" w:cs="Verdana"/>
          <w:sz w:val="20"/>
          <w:szCs w:val="20"/>
          <w:lang w:val="es-ES"/>
        </w:rPr>
        <w:t>,</w:t>
      </w:r>
      <w:r w:rsidR="00A86E1F" w:rsidRPr="00566E5B">
        <w:rPr>
          <w:rFonts w:ascii="Verdana" w:hAnsi="Verdana" w:cs="Verdana"/>
          <w:sz w:val="20"/>
          <w:szCs w:val="20"/>
          <w:lang w:val="es-ES"/>
        </w:rPr>
        <w:t xml:space="preserve"> Germán Aníbal de la Roca Mendoza, Kevin Otoniel de la Roca Mendoza, Linda</w:t>
      </w:r>
      <w:r w:rsidR="006E51DE" w:rsidRPr="00566E5B">
        <w:rPr>
          <w:rFonts w:ascii="Verdana" w:hAnsi="Verdana" w:cs="Verdana"/>
          <w:sz w:val="20"/>
          <w:szCs w:val="20"/>
          <w:lang w:val="es-ES"/>
        </w:rPr>
        <w:t xml:space="preserve"> Álvarez Nájera</w:t>
      </w:r>
      <w:r w:rsidR="00A86E1F" w:rsidRPr="00566E5B">
        <w:rPr>
          <w:rFonts w:ascii="Verdana" w:hAnsi="Verdana" w:cs="Verdana"/>
          <w:sz w:val="20"/>
          <w:szCs w:val="20"/>
          <w:lang w:val="es-ES"/>
        </w:rPr>
        <w:t>, Jacobo</w:t>
      </w:r>
      <w:r w:rsidR="006E51DE" w:rsidRPr="00566E5B">
        <w:rPr>
          <w:rFonts w:ascii="Verdana" w:hAnsi="Verdana" w:cs="Verdana"/>
          <w:sz w:val="20"/>
          <w:szCs w:val="20"/>
          <w:lang w:val="es-ES"/>
        </w:rPr>
        <w:t xml:space="preserve"> Álvarez Nájera,</w:t>
      </w:r>
      <w:r w:rsidR="00A86E1F" w:rsidRPr="00566E5B">
        <w:rPr>
          <w:rFonts w:ascii="Verdana" w:hAnsi="Verdana" w:cs="Verdana"/>
          <w:sz w:val="20"/>
          <w:szCs w:val="20"/>
          <w:lang w:val="es-ES"/>
        </w:rPr>
        <w:t xml:space="preserve"> Óscar Álvarez Nájera, Aracely Álvarez Nájera,</w:t>
      </w:r>
      <w:r w:rsidR="00A86E1F" w:rsidRPr="00B24F05">
        <w:rPr>
          <w:rFonts w:ascii="Verdana" w:hAnsi="Verdana" w:cs="Verdana"/>
          <w:sz w:val="20"/>
          <w:szCs w:val="20"/>
          <w:lang w:val="es-ES"/>
        </w:rPr>
        <w:t xml:space="preserve"> Wendy</w:t>
      </w:r>
      <w:r w:rsidR="006E51DE" w:rsidRPr="006E51DE">
        <w:rPr>
          <w:rFonts w:ascii="Verdana" w:hAnsi="Verdana" w:cs="Verdana"/>
          <w:sz w:val="20"/>
          <w:szCs w:val="20"/>
          <w:lang w:val="es-ES"/>
        </w:rPr>
        <w:t xml:space="preserve"> </w:t>
      </w:r>
      <w:r w:rsidR="006E51DE" w:rsidRPr="001C414E">
        <w:rPr>
          <w:rFonts w:ascii="Verdana" w:hAnsi="Verdana" w:cs="Verdana"/>
          <w:sz w:val="20"/>
          <w:szCs w:val="20"/>
          <w:lang w:val="es-ES"/>
        </w:rPr>
        <w:t>Pérez Álvarez</w:t>
      </w:r>
      <w:r w:rsidR="00A86E1F" w:rsidRPr="00B24F05">
        <w:rPr>
          <w:rFonts w:ascii="Verdana" w:hAnsi="Verdana" w:cs="Verdana"/>
          <w:sz w:val="20"/>
          <w:szCs w:val="20"/>
          <w:lang w:val="es-ES"/>
        </w:rPr>
        <w:t>, Sulni Madeli</w:t>
      </w:r>
      <w:r w:rsidR="006E51DE" w:rsidRPr="006E51DE">
        <w:rPr>
          <w:rFonts w:ascii="Verdana" w:hAnsi="Verdana" w:cs="Verdana"/>
          <w:sz w:val="20"/>
          <w:szCs w:val="20"/>
          <w:lang w:val="es-ES"/>
        </w:rPr>
        <w:t xml:space="preserve"> </w:t>
      </w:r>
      <w:r w:rsidR="006E51DE" w:rsidRPr="001C414E">
        <w:rPr>
          <w:rFonts w:ascii="Verdana" w:hAnsi="Verdana" w:cs="Verdana"/>
          <w:sz w:val="20"/>
          <w:szCs w:val="20"/>
          <w:lang w:val="es-ES"/>
        </w:rPr>
        <w:t>Pérez Álvarez</w:t>
      </w:r>
      <w:r w:rsidR="00566E5B">
        <w:rPr>
          <w:rFonts w:ascii="Verdana" w:hAnsi="Verdana" w:cs="Verdana"/>
          <w:sz w:val="20"/>
          <w:szCs w:val="20"/>
          <w:lang w:val="es-ES"/>
        </w:rPr>
        <w:t>,</w:t>
      </w:r>
      <w:r w:rsidR="00A86E1F" w:rsidRPr="00B24F05">
        <w:rPr>
          <w:rFonts w:ascii="Verdana" w:hAnsi="Verdana" w:cs="Verdana"/>
          <w:sz w:val="20"/>
          <w:szCs w:val="20"/>
          <w:lang w:val="es-ES"/>
        </w:rPr>
        <w:t xml:space="preserve"> José Oswaldo Pérez Álvarez</w:t>
      </w:r>
      <w:r w:rsidR="00A86E1F">
        <w:rPr>
          <w:rFonts w:ascii="Verdana" w:hAnsi="Verdana"/>
          <w:sz w:val="20"/>
          <w:szCs w:val="20"/>
        </w:rPr>
        <w:t xml:space="preserve"> y Otoniel de la Roca</w:t>
      </w:r>
      <w:r w:rsidR="00566E5B">
        <w:rPr>
          <w:rFonts w:ascii="Verdana" w:hAnsi="Verdana"/>
          <w:sz w:val="20"/>
          <w:szCs w:val="20"/>
        </w:rPr>
        <w:t>, en los términos de los Considerandos 32 y 33 de la presente Resolución</w:t>
      </w:r>
      <w:r w:rsidR="00A86E1F">
        <w:rPr>
          <w:rFonts w:ascii="Verdana" w:hAnsi="Verdana"/>
          <w:sz w:val="20"/>
          <w:szCs w:val="20"/>
        </w:rPr>
        <w:t>.</w:t>
      </w:r>
      <w:r w:rsidR="00A86E1F" w:rsidRPr="00B24F05">
        <w:rPr>
          <w:rFonts w:ascii="Verdana" w:hAnsi="Verdana"/>
          <w:sz w:val="20"/>
          <w:szCs w:val="20"/>
        </w:rPr>
        <w:t>.</w:t>
      </w:r>
    </w:p>
    <w:p w:rsidR="003F627B" w:rsidRPr="00A86E1F" w:rsidRDefault="003F627B" w:rsidP="003F627B">
      <w:pPr>
        <w:spacing w:after="0" w:line="240" w:lineRule="auto"/>
        <w:jc w:val="both"/>
        <w:rPr>
          <w:rFonts w:ascii="Verdana" w:hAnsi="Verdana" w:cstheme="minorHAnsi"/>
          <w:sz w:val="20"/>
          <w:szCs w:val="20"/>
          <w:lang w:val="es-ES"/>
        </w:rPr>
      </w:pPr>
    </w:p>
    <w:p w:rsidR="003F627B" w:rsidRPr="004D251A" w:rsidRDefault="003F627B" w:rsidP="00E76FDB">
      <w:pPr>
        <w:pStyle w:val="ListParagraph"/>
        <w:numPr>
          <w:ilvl w:val="0"/>
          <w:numId w:val="42"/>
        </w:numPr>
        <w:spacing w:after="0" w:line="240" w:lineRule="auto"/>
        <w:ind w:left="0" w:firstLine="0"/>
        <w:jc w:val="both"/>
        <w:rPr>
          <w:lang w:val="es-MX"/>
        </w:rPr>
      </w:pPr>
      <w:r w:rsidRPr="00B24F05">
        <w:rPr>
          <w:rFonts w:ascii="Verdana" w:hAnsi="Verdana" w:cs="Verdana"/>
          <w:sz w:val="20"/>
          <w:szCs w:val="20"/>
          <w:lang w:val="es-ES"/>
        </w:rPr>
        <w:t xml:space="preserve">Declarar que las medidas provisionales otorgadas a favor de José León Bámaca Hernández, </w:t>
      </w:r>
      <w:r w:rsidRPr="00B24F05">
        <w:rPr>
          <w:rFonts w:ascii="Verdana" w:hAnsi="Verdana" w:cstheme="minorHAnsi"/>
          <w:sz w:val="20"/>
          <w:szCs w:val="20"/>
          <w:lang w:val="es-ES"/>
        </w:rPr>
        <w:t>José Ernesto Álvarez Paz</w:t>
      </w:r>
      <w:r w:rsidRPr="00B24F05">
        <w:rPr>
          <w:rFonts w:ascii="Verdana" w:hAnsi="Verdana" w:cs="Verdana"/>
          <w:sz w:val="20"/>
          <w:szCs w:val="20"/>
          <w:lang w:val="es-ES"/>
        </w:rPr>
        <w:t xml:space="preserve"> y </w:t>
      </w:r>
      <w:r w:rsidRPr="00B24F05">
        <w:rPr>
          <w:rFonts w:ascii="Verdana" w:hAnsi="Verdana" w:cstheme="minorHAnsi"/>
          <w:sz w:val="20"/>
          <w:szCs w:val="20"/>
          <w:lang w:val="es-ES"/>
        </w:rPr>
        <w:t xml:space="preserve">Emérita Mendoza, han quedado sin efecto, de conformidad con el Considerando </w:t>
      </w:r>
      <w:r w:rsidR="000D3C49">
        <w:rPr>
          <w:rFonts w:ascii="Verdana" w:hAnsi="Verdana" w:cstheme="minorHAnsi"/>
          <w:sz w:val="20"/>
          <w:szCs w:val="20"/>
          <w:lang w:val="es-ES"/>
        </w:rPr>
        <w:t>59 de la presente Resolución</w:t>
      </w:r>
      <w:r w:rsidR="00031919" w:rsidRPr="00B24F05">
        <w:rPr>
          <w:rFonts w:ascii="Verdana" w:hAnsi="Verdana" w:cstheme="minorHAnsi"/>
          <w:sz w:val="20"/>
          <w:szCs w:val="20"/>
          <w:lang w:val="es-ES"/>
        </w:rPr>
        <w:t>.</w:t>
      </w:r>
    </w:p>
    <w:p w:rsidR="003F627B" w:rsidRPr="00B24F05" w:rsidRDefault="003F627B" w:rsidP="003F627B">
      <w:pPr>
        <w:pStyle w:val="ListParagraph"/>
        <w:spacing w:after="0" w:line="240" w:lineRule="auto"/>
        <w:ind w:left="0"/>
        <w:jc w:val="both"/>
        <w:rPr>
          <w:lang w:val="es-MX"/>
        </w:rPr>
      </w:pPr>
    </w:p>
    <w:p w:rsidR="003F627B" w:rsidRPr="004D251A" w:rsidRDefault="003F627B" w:rsidP="00E76FDB">
      <w:pPr>
        <w:pStyle w:val="ListParagraph"/>
        <w:numPr>
          <w:ilvl w:val="0"/>
          <w:numId w:val="42"/>
        </w:numPr>
        <w:spacing w:after="0" w:line="240" w:lineRule="auto"/>
        <w:ind w:left="0" w:firstLine="0"/>
        <w:jc w:val="both"/>
        <w:rPr>
          <w:lang w:val="es-MX"/>
        </w:rPr>
      </w:pPr>
      <w:r w:rsidRPr="00B24F05">
        <w:rPr>
          <w:rFonts w:ascii="Verdana" w:hAnsi="Verdana" w:cs="Verdana"/>
          <w:sz w:val="20"/>
          <w:szCs w:val="20"/>
          <w:lang w:val="es-ES"/>
        </w:rPr>
        <w:t xml:space="preserve">Mantener las medidas provisionales a favor del señor Santiago Cabrera </w:t>
      </w:r>
      <w:r>
        <w:rPr>
          <w:rFonts w:ascii="Verdana" w:hAnsi="Verdana" w:cs="Verdana"/>
          <w:sz w:val="20"/>
          <w:szCs w:val="20"/>
          <w:lang w:val="es-ES"/>
        </w:rPr>
        <w:t xml:space="preserve">López </w:t>
      </w:r>
      <w:r w:rsidRPr="00B24F05">
        <w:rPr>
          <w:rFonts w:ascii="Verdana" w:hAnsi="Verdana" w:cs="Verdana"/>
          <w:sz w:val="20"/>
          <w:szCs w:val="20"/>
          <w:lang w:val="es-ES"/>
        </w:rPr>
        <w:t>y sus familiares</w:t>
      </w:r>
      <w:r w:rsidR="00036C3D">
        <w:rPr>
          <w:rFonts w:ascii="Verdana" w:hAnsi="Verdana" w:cs="Verdana"/>
          <w:sz w:val="20"/>
          <w:szCs w:val="20"/>
          <w:lang w:val="es-ES"/>
        </w:rPr>
        <w:t xml:space="preserve"> y del señor Aron Álvarez y sus familiares</w:t>
      </w:r>
      <w:r>
        <w:rPr>
          <w:rFonts w:ascii="Verdana" w:hAnsi="Verdana" w:cs="Verdana"/>
          <w:sz w:val="20"/>
          <w:szCs w:val="20"/>
          <w:lang w:val="es-ES"/>
        </w:rPr>
        <w:t>,</w:t>
      </w:r>
      <w:r w:rsidRPr="00B24F05">
        <w:rPr>
          <w:rFonts w:ascii="Verdana" w:hAnsi="Verdana" w:cs="Verdana"/>
          <w:sz w:val="20"/>
          <w:szCs w:val="20"/>
          <w:lang w:val="es-ES"/>
        </w:rPr>
        <w:t xml:space="preserve"> de conformidad con l</w:t>
      </w:r>
      <w:r w:rsidR="00036C3D">
        <w:rPr>
          <w:rFonts w:ascii="Verdana" w:hAnsi="Verdana" w:cs="Verdana"/>
          <w:sz w:val="20"/>
          <w:szCs w:val="20"/>
          <w:lang w:val="es-ES"/>
        </w:rPr>
        <w:t>os</w:t>
      </w:r>
      <w:r w:rsidRPr="00B24F05">
        <w:rPr>
          <w:rFonts w:ascii="Verdana" w:hAnsi="Verdana" w:cs="Verdana"/>
          <w:sz w:val="20"/>
          <w:szCs w:val="20"/>
          <w:lang w:val="es-ES"/>
        </w:rPr>
        <w:t xml:space="preserve"> Considerando</w:t>
      </w:r>
      <w:r w:rsidR="00036C3D">
        <w:rPr>
          <w:rFonts w:ascii="Verdana" w:hAnsi="Verdana" w:cs="Verdana"/>
          <w:sz w:val="20"/>
          <w:szCs w:val="20"/>
          <w:lang w:val="es-ES"/>
        </w:rPr>
        <w:t>s</w:t>
      </w:r>
      <w:r w:rsidRPr="00B24F05">
        <w:rPr>
          <w:rFonts w:ascii="Verdana" w:hAnsi="Verdana" w:cs="Verdana"/>
          <w:sz w:val="20"/>
          <w:szCs w:val="20"/>
          <w:lang w:val="es-ES"/>
        </w:rPr>
        <w:t xml:space="preserve"> </w:t>
      </w:r>
      <w:r w:rsidR="00233879">
        <w:rPr>
          <w:rFonts w:ascii="Verdana" w:hAnsi="Verdana" w:cs="Verdana"/>
          <w:sz w:val="20"/>
          <w:szCs w:val="20"/>
          <w:lang w:val="es-ES"/>
        </w:rPr>
        <w:t>13</w:t>
      </w:r>
      <w:r w:rsidR="00036C3D">
        <w:rPr>
          <w:rFonts w:ascii="Verdana" w:hAnsi="Verdana" w:cs="Verdana"/>
          <w:sz w:val="20"/>
          <w:szCs w:val="20"/>
          <w:lang w:val="es-ES"/>
        </w:rPr>
        <w:t xml:space="preserve"> y 52 de la presente Resolución</w:t>
      </w:r>
      <w:r w:rsidRPr="00B24F05">
        <w:rPr>
          <w:rFonts w:ascii="Verdana" w:hAnsi="Verdana" w:cs="Verdana"/>
          <w:sz w:val="20"/>
          <w:szCs w:val="20"/>
          <w:lang w:val="es-ES"/>
        </w:rPr>
        <w:t>.</w:t>
      </w:r>
    </w:p>
    <w:p w:rsidR="003F627B" w:rsidRPr="00B24F05" w:rsidRDefault="003F627B" w:rsidP="003F627B">
      <w:pPr>
        <w:pStyle w:val="ListParagraph"/>
        <w:spacing w:after="0" w:line="240" w:lineRule="auto"/>
        <w:ind w:left="0"/>
        <w:jc w:val="both"/>
        <w:rPr>
          <w:lang w:val="es-MX"/>
        </w:rPr>
      </w:pPr>
    </w:p>
    <w:p w:rsidR="003F627B" w:rsidRPr="00B24F05" w:rsidRDefault="003F627B" w:rsidP="00E76FDB">
      <w:pPr>
        <w:pStyle w:val="ListParagraph"/>
        <w:numPr>
          <w:ilvl w:val="0"/>
          <w:numId w:val="42"/>
        </w:numPr>
        <w:spacing w:after="0" w:line="240" w:lineRule="auto"/>
        <w:ind w:left="0" w:firstLine="0"/>
        <w:jc w:val="both"/>
        <w:rPr>
          <w:lang w:val="es-MX"/>
        </w:rPr>
      </w:pPr>
      <w:r w:rsidRPr="00B24F05">
        <w:rPr>
          <w:rFonts w:ascii="Verdana" w:hAnsi="Verdana"/>
          <w:spacing w:val="-4"/>
          <w:sz w:val="20"/>
          <w:szCs w:val="20"/>
          <w:lang w:val="es-ES"/>
        </w:rPr>
        <w:t xml:space="preserve"> </w:t>
      </w:r>
      <w:r w:rsidRPr="00B24F05">
        <w:rPr>
          <w:rFonts w:ascii="Verdana" w:hAnsi="Verdana"/>
          <w:spacing w:val="-4"/>
          <w:sz w:val="20"/>
          <w:szCs w:val="20"/>
          <w:lang w:val="es-MX"/>
        </w:rPr>
        <w:t>Reiterar al Estado que realice todas las gestiones pertinentes para que las medidas ordenadas en esta Resolución se planifiquen e implementen con la participación de los beneficiarios o sus representantes y que, en general, les mantenga informados sobre el avance de su ejecución.</w:t>
      </w:r>
    </w:p>
    <w:p w:rsidR="003F627B" w:rsidRPr="00B24F05" w:rsidRDefault="003F627B" w:rsidP="003F627B">
      <w:pPr>
        <w:pStyle w:val="ListParagraph"/>
        <w:spacing w:after="0" w:line="240" w:lineRule="auto"/>
        <w:ind w:left="0"/>
        <w:jc w:val="both"/>
        <w:rPr>
          <w:lang w:val="es-MX"/>
        </w:rPr>
      </w:pPr>
    </w:p>
    <w:p w:rsidR="003F627B" w:rsidRPr="00B24F05" w:rsidRDefault="003F627B" w:rsidP="00E76FDB">
      <w:pPr>
        <w:pStyle w:val="ListParagraph"/>
        <w:numPr>
          <w:ilvl w:val="0"/>
          <w:numId w:val="42"/>
        </w:numPr>
        <w:spacing w:after="0" w:line="240" w:lineRule="auto"/>
        <w:ind w:left="0" w:firstLine="0"/>
        <w:jc w:val="both"/>
        <w:rPr>
          <w:lang w:val="es-MX"/>
        </w:rPr>
      </w:pPr>
      <w:r w:rsidRPr="00B24F05">
        <w:rPr>
          <w:rFonts w:ascii="Verdana" w:hAnsi="Verdana"/>
          <w:spacing w:val="-4"/>
          <w:sz w:val="20"/>
          <w:szCs w:val="20"/>
          <w:lang w:val="es-MX"/>
        </w:rPr>
        <w:t xml:space="preserve">Requerir al Estado que </w:t>
      </w:r>
      <w:r w:rsidRPr="00B24F05">
        <w:rPr>
          <w:rFonts w:ascii="Verdana" w:hAnsi="Verdana"/>
          <w:spacing w:val="-4"/>
          <w:sz w:val="20"/>
          <w:szCs w:val="20"/>
          <w:lang w:val="es-CR"/>
        </w:rPr>
        <w:t xml:space="preserve">presente informes detallados sobre la situación actual de los beneficiarios y sobre las medidas provisionales adoptadas de conformidad con esta decisión, </w:t>
      </w:r>
      <w:r w:rsidR="00355D43">
        <w:rPr>
          <w:rFonts w:ascii="Verdana" w:hAnsi="Verdana"/>
          <w:spacing w:val="-4"/>
          <w:sz w:val="20"/>
          <w:szCs w:val="20"/>
          <w:lang w:val="es-CR"/>
        </w:rPr>
        <w:t xml:space="preserve">en los términos del Considerando 14 de la presente Resolución, </w:t>
      </w:r>
      <w:r w:rsidRPr="00B24F05">
        <w:rPr>
          <w:rFonts w:ascii="Verdana" w:hAnsi="Verdana"/>
          <w:spacing w:val="-4"/>
          <w:sz w:val="20"/>
          <w:szCs w:val="20"/>
          <w:lang w:val="es-CR"/>
        </w:rPr>
        <w:t>cada c</w:t>
      </w:r>
      <w:r w:rsidR="008C62C2">
        <w:rPr>
          <w:rFonts w:ascii="Verdana" w:hAnsi="Verdana"/>
          <w:spacing w:val="-4"/>
          <w:sz w:val="20"/>
          <w:szCs w:val="20"/>
          <w:lang w:val="es-CR"/>
        </w:rPr>
        <w:t>uatro meses</w:t>
      </w:r>
      <w:r w:rsidRPr="00B24F05">
        <w:rPr>
          <w:rFonts w:ascii="Verdana" w:hAnsi="Verdana"/>
          <w:spacing w:val="-4"/>
          <w:sz w:val="20"/>
          <w:szCs w:val="20"/>
          <w:lang w:val="es-MX"/>
        </w:rPr>
        <w:t>.</w:t>
      </w:r>
    </w:p>
    <w:p w:rsidR="003F627B" w:rsidRPr="00B24F05" w:rsidRDefault="003F627B" w:rsidP="003F627B">
      <w:pPr>
        <w:pStyle w:val="ListParagraph"/>
        <w:spacing w:after="0" w:line="240" w:lineRule="auto"/>
        <w:ind w:left="0"/>
        <w:jc w:val="both"/>
        <w:rPr>
          <w:lang w:val="es-MX"/>
        </w:rPr>
      </w:pPr>
    </w:p>
    <w:p w:rsidR="003F627B" w:rsidRPr="00B24F05" w:rsidRDefault="003F627B" w:rsidP="00E76FDB">
      <w:pPr>
        <w:pStyle w:val="ListParagraph"/>
        <w:numPr>
          <w:ilvl w:val="0"/>
          <w:numId w:val="42"/>
        </w:numPr>
        <w:spacing w:after="0" w:line="240" w:lineRule="auto"/>
        <w:ind w:left="0" w:firstLine="0"/>
        <w:jc w:val="both"/>
        <w:rPr>
          <w:lang w:val="es-MX"/>
        </w:rPr>
      </w:pPr>
      <w:r w:rsidRPr="00B24F05">
        <w:rPr>
          <w:rFonts w:ascii="Verdana" w:eastAsia="Batang" w:hAnsi="Verdana"/>
          <w:spacing w:val="-4"/>
          <w:sz w:val="20"/>
          <w:szCs w:val="20"/>
          <w:lang w:val="es-CR"/>
        </w:rPr>
        <w:t>Requerir a los representantes de los beneficiarios que, en un plazo de cuatro semanas, contado a partir de la recepción de los informes estatales, presenten sus observaciones a lo</w:t>
      </w:r>
      <w:r w:rsidR="008C62C2">
        <w:rPr>
          <w:rFonts w:ascii="Verdana" w:eastAsia="Batang" w:hAnsi="Verdana"/>
          <w:spacing w:val="-4"/>
          <w:sz w:val="20"/>
          <w:szCs w:val="20"/>
          <w:lang w:val="es-CR"/>
        </w:rPr>
        <w:t>s mismos</w:t>
      </w:r>
      <w:r w:rsidR="00355D43">
        <w:rPr>
          <w:rFonts w:ascii="Verdana" w:eastAsia="Batang" w:hAnsi="Verdana"/>
          <w:spacing w:val="-4"/>
          <w:sz w:val="20"/>
          <w:szCs w:val="20"/>
          <w:lang w:val="es-CR"/>
        </w:rPr>
        <w:t>, en los términos del Considerando 14 de la presente Resolución</w:t>
      </w:r>
      <w:r w:rsidR="00233879" w:rsidRPr="00B24F05">
        <w:rPr>
          <w:rFonts w:ascii="Verdana" w:eastAsia="Batang" w:hAnsi="Verdana"/>
          <w:spacing w:val="-4"/>
          <w:sz w:val="20"/>
          <w:szCs w:val="20"/>
          <w:lang w:val="es-CR"/>
        </w:rPr>
        <w:t>.</w:t>
      </w:r>
    </w:p>
    <w:p w:rsidR="003F627B" w:rsidRPr="00B24F05" w:rsidRDefault="003F627B" w:rsidP="003F627B">
      <w:pPr>
        <w:pStyle w:val="ListParagraph"/>
        <w:spacing w:after="0" w:line="240" w:lineRule="auto"/>
        <w:ind w:left="0"/>
        <w:jc w:val="both"/>
        <w:rPr>
          <w:lang w:val="es-MX"/>
        </w:rPr>
      </w:pPr>
    </w:p>
    <w:p w:rsidR="003F627B" w:rsidRPr="00B24F05" w:rsidRDefault="003F627B" w:rsidP="00E76FDB">
      <w:pPr>
        <w:pStyle w:val="ListParagraph"/>
        <w:numPr>
          <w:ilvl w:val="0"/>
          <w:numId w:val="42"/>
        </w:numPr>
        <w:spacing w:after="0" w:line="240" w:lineRule="auto"/>
        <w:ind w:left="0" w:firstLine="0"/>
        <w:jc w:val="both"/>
        <w:rPr>
          <w:lang w:val="es-MX"/>
        </w:rPr>
      </w:pPr>
      <w:r w:rsidRPr="00B24F05">
        <w:rPr>
          <w:rFonts w:ascii="Verdana" w:hAnsi="Verdana"/>
          <w:spacing w:val="-4"/>
          <w:sz w:val="20"/>
          <w:szCs w:val="20"/>
        </w:rPr>
        <w:t>Requerir a la Comisión Interamericana de Derechos Humanos que presente las observaciones que estime pertinentes a los informes e</w:t>
      </w:r>
      <w:r w:rsidR="00355D43">
        <w:rPr>
          <w:rFonts w:ascii="Verdana" w:hAnsi="Verdana"/>
          <w:spacing w:val="-4"/>
          <w:sz w:val="20"/>
          <w:szCs w:val="20"/>
        </w:rPr>
        <w:t>statales, en los términos del Considerando 14 de la presente Resolución,</w:t>
      </w:r>
      <w:r>
        <w:rPr>
          <w:rFonts w:ascii="Verdana" w:hAnsi="Verdana"/>
          <w:spacing w:val="-4"/>
          <w:sz w:val="20"/>
          <w:szCs w:val="20"/>
        </w:rPr>
        <w:t xml:space="preserve"> dentro de un plazo de </w:t>
      </w:r>
      <w:r w:rsidRPr="00B24F05">
        <w:rPr>
          <w:rFonts w:ascii="Verdana" w:hAnsi="Verdana"/>
          <w:spacing w:val="-4"/>
          <w:sz w:val="20"/>
          <w:szCs w:val="20"/>
        </w:rPr>
        <w:t>seis semanas, contado a partir de la recepción de dichos informes</w:t>
      </w:r>
      <w:r w:rsidR="00233879" w:rsidRPr="00B24F05">
        <w:rPr>
          <w:rFonts w:ascii="Verdana" w:hAnsi="Verdana"/>
          <w:spacing w:val="-4"/>
          <w:sz w:val="20"/>
          <w:szCs w:val="20"/>
        </w:rPr>
        <w:t xml:space="preserve">. </w:t>
      </w:r>
    </w:p>
    <w:p w:rsidR="003F627B" w:rsidRPr="00B24F05" w:rsidRDefault="003F627B" w:rsidP="003F627B">
      <w:pPr>
        <w:pStyle w:val="ListParagraph"/>
        <w:spacing w:after="0" w:line="240" w:lineRule="auto"/>
        <w:ind w:left="0"/>
        <w:jc w:val="both"/>
        <w:rPr>
          <w:lang w:val="es-MX"/>
        </w:rPr>
      </w:pPr>
    </w:p>
    <w:p w:rsidR="003F627B" w:rsidRPr="00B24F05" w:rsidRDefault="004347A7" w:rsidP="00E76FDB">
      <w:pPr>
        <w:pStyle w:val="ListParagraph"/>
        <w:numPr>
          <w:ilvl w:val="0"/>
          <w:numId w:val="42"/>
        </w:numPr>
        <w:spacing w:after="0" w:line="240" w:lineRule="auto"/>
        <w:ind w:left="0" w:firstLine="0"/>
        <w:jc w:val="both"/>
        <w:rPr>
          <w:lang w:val="es-MX"/>
        </w:rPr>
      </w:pPr>
      <w:r>
        <w:rPr>
          <w:rFonts w:ascii="Verdana" w:hAnsi="Verdana" w:cs="Verdana"/>
          <w:sz w:val="20"/>
          <w:szCs w:val="20"/>
          <w:lang w:val="es-MX"/>
        </w:rPr>
        <w:t xml:space="preserve">Que </w:t>
      </w:r>
      <w:r w:rsidR="003F627B" w:rsidRPr="00B24F05">
        <w:rPr>
          <w:rFonts w:ascii="Verdana" w:hAnsi="Verdana" w:cs="Verdana"/>
          <w:sz w:val="20"/>
          <w:szCs w:val="20"/>
          <w:lang w:val="es-ES"/>
        </w:rPr>
        <w:t>la Secretaría de la Corte que notifique la presente Resolución al Estado</w:t>
      </w:r>
      <w:r w:rsidR="003F627B">
        <w:rPr>
          <w:rFonts w:ascii="Verdana" w:hAnsi="Verdana" w:cs="Verdana"/>
          <w:sz w:val="20"/>
          <w:szCs w:val="20"/>
          <w:lang w:val="es-ES"/>
        </w:rPr>
        <w:t xml:space="preserve"> de Guatemala</w:t>
      </w:r>
      <w:r w:rsidR="003F627B" w:rsidRPr="00B24F05">
        <w:rPr>
          <w:rFonts w:ascii="Verdana" w:hAnsi="Verdana" w:cs="Verdana"/>
          <w:sz w:val="20"/>
          <w:szCs w:val="20"/>
          <w:lang w:val="es-ES"/>
        </w:rPr>
        <w:t>, a la Comisión Interamericana de Derechos Humanos y a los representantes de los beneficiarios.</w:t>
      </w:r>
    </w:p>
    <w:p w:rsidR="007E31A7" w:rsidRDefault="007E31A7" w:rsidP="003F627B">
      <w:pPr>
        <w:autoSpaceDE w:val="0"/>
        <w:autoSpaceDN w:val="0"/>
        <w:adjustRightInd w:val="0"/>
        <w:spacing w:after="0" w:line="240" w:lineRule="auto"/>
        <w:rPr>
          <w:rFonts w:ascii="Verdana" w:hAnsi="Verdana" w:cs="Verdana"/>
          <w:sz w:val="20"/>
          <w:szCs w:val="20"/>
          <w:lang w:val="es-ES"/>
        </w:rPr>
      </w:pPr>
    </w:p>
    <w:p w:rsidR="00885FDF" w:rsidRDefault="00256CF4" w:rsidP="000D3C49">
      <w:pPr>
        <w:jc w:val="both"/>
        <w:rPr>
          <w:rFonts w:ascii="Verdana" w:hAnsi="Verdana"/>
          <w:sz w:val="20"/>
          <w:szCs w:val="20"/>
        </w:rPr>
      </w:pPr>
      <w:r w:rsidRPr="00566E5B">
        <w:rPr>
          <w:rFonts w:ascii="Verdana" w:hAnsi="Verdana"/>
          <w:sz w:val="20"/>
          <w:szCs w:val="20"/>
        </w:rPr>
        <w:t xml:space="preserve">El Juez Vio Grossi </w:t>
      </w:r>
      <w:r w:rsidR="003625B8" w:rsidRPr="00566E5B">
        <w:rPr>
          <w:rFonts w:ascii="Verdana" w:hAnsi="Verdana"/>
          <w:sz w:val="20"/>
          <w:szCs w:val="20"/>
        </w:rPr>
        <w:t>hizo conocer a la Corte su voto individual c</w:t>
      </w:r>
      <w:r w:rsidRPr="00566E5B">
        <w:rPr>
          <w:rFonts w:ascii="Verdana" w:hAnsi="Verdana"/>
          <w:sz w:val="20"/>
          <w:szCs w:val="20"/>
        </w:rPr>
        <w:t>oncurrente</w:t>
      </w:r>
      <w:r w:rsidR="003625B8" w:rsidRPr="00566E5B">
        <w:rPr>
          <w:rFonts w:ascii="Verdana" w:hAnsi="Verdana"/>
          <w:sz w:val="20"/>
          <w:szCs w:val="20"/>
        </w:rPr>
        <w:t>.</w:t>
      </w:r>
    </w:p>
    <w:p w:rsidR="002B768C" w:rsidRDefault="002B768C" w:rsidP="002B768C">
      <w:pPr>
        <w:spacing w:after="0"/>
        <w:jc w:val="both"/>
        <w:rPr>
          <w:rFonts w:ascii="Verdana" w:hAnsi="Verdana"/>
          <w:sz w:val="20"/>
          <w:lang w:val="es-CR"/>
        </w:rPr>
      </w:pPr>
      <w:r>
        <w:rPr>
          <w:rFonts w:ascii="Verdana" w:hAnsi="Verdana"/>
          <w:sz w:val="20"/>
          <w:lang w:val="es-CR"/>
        </w:rPr>
        <w:lastRenderedPageBreak/>
        <w:t>Resolución de la Corte Interamericana de Derechos Humanos, Medidas provisionales respecto de Guatemala, Caso Bámaca Velásquez.</w:t>
      </w:r>
    </w:p>
    <w:p w:rsidR="002B768C" w:rsidRDefault="002B768C" w:rsidP="002B768C">
      <w:pPr>
        <w:spacing w:after="0"/>
        <w:jc w:val="both"/>
        <w:rPr>
          <w:rFonts w:ascii="Verdana" w:hAnsi="Verdana"/>
          <w:sz w:val="20"/>
          <w:lang w:val="es-CR"/>
        </w:rPr>
      </w:pPr>
    </w:p>
    <w:p w:rsidR="002B768C" w:rsidRDefault="002B768C" w:rsidP="002B768C">
      <w:pPr>
        <w:spacing w:after="0"/>
        <w:jc w:val="both"/>
        <w:rPr>
          <w:rFonts w:ascii="Verdana" w:hAnsi="Verdana"/>
          <w:sz w:val="20"/>
          <w:lang w:val="es-CR"/>
        </w:rPr>
      </w:pPr>
    </w:p>
    <w:p w:rsidR="002B768C" w:rsidRDefault="002B768C" w:rsidP="002B768C">
      <w:pPr>
        <w:spacing w:after="0"/>
        <w:jc w:val="both"/>
        <w:rPr>
          <w:rFonts w:ascii="Verdana" w:hAnsi="Verdana"/>
          <w:sz w:val="20"/>
          <w:lang w:val="es-CR"/>
        </w:rPr>
      </w:pPr>
    </w:p>
    <w:p w:rsidR="002B768C" w:rsidRPr="004B7A1D" w:rsidRDefault="002B768C" w:rsidP="002B768C">
      <w:pPr>
        <w:spacing w:after="0"/>
        <w:jc w:val="center"/>
        <w:rPr>
          <w:rFonts w:ascii="Verdana" w:hAnsi="Verdana"/>
          <w:sz w:val="20"/>
          <w:lang w:val="es-ES"/>
        </w:rPr>
      </w:pPr>
      <w:r>
        <w:rPr>
          <w:rFonts w:ascii="Verdana" w:hAnsi="Verdana"/>
          <w:sz w:val="20"/>
          <w:lang w:val="es-ES"/>
        </w:rPr>
        <w:t>Roberto F. Caldas</w:t>
      </w:r>
    </w:p>
    <w:p w:rsidR="002B768C" w:rsidRPr="004B7A1D" w:rsidRDefault="002B768C" w:rsidP="002B768C">
      <w:pPr>
        <w:spacing w:after="0"/>
        <w:jc w:val="center"/>
        <w:rPr>
          <w:rFonts w:ascii="Verdana" w:hAnsi="Verdana"/>
          <w:sz w:val="20"/>
          <w:lang w:val="es-ES"/>
        </w:rPr>
      </w:pPr>
      <w:r w:rsidRPr="004B7A1D">
        <w:rPr>
          <w:rFonts w:ascii="Verdana" w:hAnsi="Verdana"/>
          <w:sz w:val="20"/>
          <w:lang w:val="es-ES"/>
        </w:rPr>
        <w:t xml:space="preserve">Presidente </w:t>
      </w:r>
    </w:p>
    <w:p w:rsidR="002B768C" w:rsidRPr="004B7A1D" w:rsidRDefault="002B768C" w:rsidP="002B768C">
      <w:pPr>
        <w:spacing w:after="0"/>
        <w:jc w:val="both"/>
        <w:rPr>
          <w:rFonts w:ascii="Verdana" w:hAnsi="Verdana"/>
          <w:sz w:val="20"/>
          <w:lang w:val="es-ES"/>
        </w:rPr>
      </w:pPr>
    </w:p>
    <w:p w:rsidR="002B768C" w:rsidRPr="004B7A1D" w:rsidRDefault="002B768C" w:rsidP="00093D94">
      <w:pPr>
        <w:tabs>
          <w:tab w:val="left" w:pos="1485"/>
        </w:tabs>
        <w:spacing w:after="0"/>
        <w:jc w:val="both"/>
        <w:rPr>
          <w:rFonts w:ascii="Verdana" w:hAnsi="Verdana"/>
          <w:sz w:val="20"/>
          <w:lang w:val="es-ES"/>
        </w:rPr>
      </w:pPr>
      <w:r>
        <w:rPr>
          <w:rFonts w:ascii="Verdana" w:hAnsi="Verdana"/>
          <w:sz w:val="20"/>
          <w:lang w:val="es-ES"/>
        </w:rPr>
        <w:tab/>
      </w: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ES"/>
        </w:rPr>
      </w:pPr>
      <w:r>
        <w:rPr>
          <w:rFonts w:ascii="Verdana" w:hAnsi="Verdana"/>
          <w:sz w:val="20"/>
          <w:lang w:val="es-ES"/>
        </w:rPr>
        <w:t>Eduardo Ferrer Mac-Gregor Poisot</w:t>
      </w:r>
      <w:r w:rsidRPr="004B7A1D">
        <w:rPr>
          <w:rFonts w:ascii="Verdana" w:hAnsi="Verdana"/>
          <w:sz w:val="20"/>
          <w:lang w:val="es-ES"/>
        </w:rPr>
        <w:tab/>
      </w:r>
      <w:r w:rsidRPr="004B7A1D">
        <w:rPr>
          <w:rFonts w:ascii="Verdana" w:hAnsi="Verdana"/>
          <w:sz w:val="20"/>
          <w:lang w:val="es-ES"/>
        </w:rPr>
        <w:tab/>
      </w:r>
      <w:r w:rsidRPr="004B7A1D">
        <w:rPr>
          <w:rFonts w:ascii="Verdana" w:hAnsi="Verdana"/>
          <w:sz w:val="20"/>
          <w:lang w:val="es-ES"/>
        </w:rPr>
        <w:tab/>
      </w:r>
      <w:r w:rsidRPr="004B7A1D">
        <w:rPr>
          <w:rFonts w:ascii="Verdana" w:hAnsi="Verdana"/>
          <w:sz w:val="20"/>
          <w:lang w:val="es-ES"/>
        </w:rPr>
        <w:tab/>
      </w:r>
      <w:r w:rsidRPr="004B7A1D">
        <w:rPr>
          <w:rFonts w:ascii="Verdana" w:hAnsi="Verdana"/>
          <w:sz w:val="20"/>
          <w:lang w:val="es-ES"/>
        </w:rPr>
        <w:tab/>
      </w:r>
      <w:r>
        <w:rPr>
          <w:rFonts w:ascii="Verdana" w:hAnsi="Verdana"/>
          <w:sz w:val="20"/>
          <w:lang w:val="es-ES"/>
        </w:rPr>
        <w:t xml:space="preserve">            Eduardo Vio Grossi</w:t>
      </w: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ES"/>
        </w:rPr>
      </w:pPr>
      <w:r>
        <w:rPr>
          <w:rFonts w:ascii="Verdana" w:hAnsi="Verdana"/>
          <w:sz w:val="20"/>
          <w:lang w:val="es-ES"/>
        </w:rPr>
        <w:t>Humberto Antonio Sierra Porto</w:t>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t xml:space="preserve">         Elizabeth Odio Benito</w:t>
      </w:r>
      <w:r w:rsidRPr="004B7A1D">
        <w:rPr>
          <w:rFonts w:ascii="Verdana" w:hAnsi="Verdana"/>
          <w:sz w:val="20"/>
          <w:lang w:val="es-ES"/>
        </w:rPr>
        <w:t xml:space="preserve"> </w:t>
      </w: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rPr>
          <w:rFonts w:ascii="Verdana" w:hAnsi="Verdana"/>
          <w:sz w:val="20"/>
          <w:lang w:val="es-ES"/>
        </w:rPr>
      </w:pPr>
      <w:r>
        <w:rPr>
          <w:rFonts w:ascii="Verdana" w:hAnsi="Verdana"/>
          <w:sz w:val="20"/>
          <w:lang w:val="es-ES"/>
        </w:rPr>
        <w:t>Eugenio Raúl Zaffaroni</w:t>
      </w:r>
      <w:r w:rsidRPr="004B7A1D">
        <w:rPr>
          <w:rFonts w:ascii="Verdana" w:hAnsi="Verdana"/>
          <w:sz w:val="20"/>
          <w:lang w:val="es-ES"/>
        </w:rPr>
        <w:t xml:space="preserve"> </w:t>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t xml:space="preserve">              L. Patricio Pazmiño Freire</w:t>
      </w: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CR"/>
        </w:rPr>
      </w:pP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center"/>
        <w:rPr>
          <w:rFonts w:ascii="Verdana" w:hAnsi="Verdana"/>
          <w:sz w:val="20"/>
          <w:lang w:val="es-ES"/>
        </w:rPr>
      </w:pPr>
      <w:r w:rsidRPr="004B7A1D">
        <w:rPr>
          <w:rFonts w:ascii="Verdana" w:hAnsi="Verdana"/>
          <w:sz w:val="20"/>
          <w:lang w:val="es-ES"/>
        </w:rPr>
        <w:t>Pablo Saavedra Alessandri</w:t>
      </w:r>
    </w:p>
    <w:p w:rsidR="002B768C" w:rsidRPr="004B7A1D" w:rsidRDefault="002B768C" w:rsidP="002B768C">
      <w:pPr>
        <w:spacing w:after="0"/>
        <w:jc w:val="center"/>
        <w:rPr>
          <w:rFonts w:ascii="Verdana" w:hAnsi="Verdana"/>
          <w:sz w:val="20"/>
          <w:lang w:val="es-ES"/>
        </w:rPr>
      </w:pPr>
      <w:r w:rsidRPr="004B7A1D">
        <w:rPr>
          <w:rFonts w:ascii="Verdana" w:hAnsi="Verdana"/>
          <w:sz w:val="20"/>
          <w:lang w:val="es-ES"/>
        </w:rPr>
        <w:t>Secretario</w:t>
      </w:r>
    </w:p>
    <w:p w:rsidR="002B768C" w:rsidRPr="004B7A1D" w:rsidRDefault="002B768C" w:rsidP="002B768C">
      <w:pPr>
        <w:spacing w:after="0"/>
        <w:rPr>
          <w:rFonts w:ascii="Verdana" w:hAnsi="Verdana"/>
          <w:sz w:val="20"/>
          <w:lang w:val="es-ES"/>
        </w:rPr>
      </w:pPr>
    </w:p>
    <w:p w:rsidR="002B768C" w:rsidRPr="004B7A1D" w:rsidRDefault="002B768C" w:rsidP="002B768C">
      <w:pPr>
        <w:pStyle w:val="FootnoteText"/>
        <w:rPr>
          <w:rFonts w:ascii="Verdana" w:hAnsi="Verdana"/>
          <w:lang w:val="es-ES"/>
        </w:rPr>
      </w:pPr>
    </w:p>
    <w:p w:rsidR="002B768C" w:rsidRPr="004B7A1D" w:rsidRDefault="002B768C" w:rsidP="002B768C">
      <w:pPr>
        <w:pStyle w:val="FootnoteText"/>
        <w:rPr>
          <w:rFonts w:ascii="Verdana" w:hAnsi="Verdana"/>
          <w:lang w:val="es-ES"/>
        </w:rPr>
      </w:pPr>
    </w:p>
    <w:p w:rsidR="002B768C" w:rsidRPr="004B7A1D" w:rsidRDefault="002B768C" w:rsidP="002B768C">
      <w:pPr>
        <w:pStyle w:val="FootnoteText"/>
        <w:rPr>
          <w:rFonts w:ascii="Verdana" w:hAnsi="Verdana"/>
          <w:lang w:val="es-ES"/>
        </w:rPr>
      </w:pPr>
    </w:p>
    <w:p w:rsidR="002B768C" w:rsidRPr="004B7A1D" w:rsidRDefault="002B768C" w:rsidP="002B768C">
      <w:pPr>
        <w:spacing w:after="0"/>
        <w:jc w:val="both"/>
        <w:rPr>
          <w:rFonts w:ascii="Verdana" w:hAnsi="Verdana"/>
          <w:sz w:val="20"/>
          <w:lang w:val="es-ES"/>
        </w:rPr>
      </w:pPr>
      <w:r w:rsidRPr="004B7A1D">
        <w:rPr>
          <w:rFonts w:ascii="Verdana" w:hAnsi="Verdana"/>
          <w:sz w:val="20"/>
          <w:lang w:val="es-ES"/>
        </w:rPr>
        <w:t>Comuníquese y ejecútese,</w:t>
      </w: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ind w:left="4956" w:firstLine="708"/>
        <w:jc w:val="center"/>
        <w:rPr>
          <w:rFonts w:ascii="Verdana" w:hAnsi="Verdana"/>
          <w:sz w:val="20"/>
          <w:lang w:val="es-ES"/>
        </w:rPr>
      </w:pPr>
      <w:r>
        <w:rPr>
          <w:rFonts w:ascii="Verdana" w:hAnsi="Verdana"/>
          <w:sz w:val="20"/>
          <w:lang w:val="es-ES"/>
        </w:rPr>
        <w:t>Roberto F. Caldas</w:t>
      </w:r>
    </w:p>
    <w:p w:rsidR="002B768C" w:rsidRPr="004B7A1D" w:rsidRDefault="002B768C" w:rsidP="002B768C">
      <w:pPr>
        <w:spacing w:after="0"/>
        <w:ind w:left="4956" w:firstLine="708"/>
        <w:jc w:val="center"/>
        <w:rPr>
          <w:rFonts w:ascii="Verdana" w:hAnsi="Verdana"/>
          <w:sz w:val="20"/>
          <w:lang w:val="es-ES"/>
        </w:rPr>
      </w:pPr>
      <w:r w:rsidRPr="004B7A1D">
        <w:rPr>
          <w:rFonts w:ascii="Verdana" w:hAnsi="Verdana"/>
          <w:sz w:val="20"/>
          <w:lang w:val="es-ES"/>
        </w:rPr>
        <w:t xml:space="preserve">Presidente </w:t>
      </w:r>
    </w:p>
    <w:p w:rsidR="002B768C"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ES"/>
        </w:rPr>
      </w:pPr>
    </w:p>
    <w:p w:rsidR="002B768C" w:rsidRPr="004B7A1D" w:rsidRDefault="002B768C" w:rsidP="002B768C">
      <w:pPr>
        <w:spacing w:after="0"/>
        <w:jc w:val="both"/>
        <w:rPr>
          <w:rFonts w:ascii="Verdana" w:hAnsi="Verdana"/>
          <w:sz w:val="20"/>
          <w:lang w:val="es-ES"/>
        </w:rPr>
      </w:pPr>
      <w:r w:rsidRPr="004B7A1D">
        <w:rPr>
          <w:rFonts w:ascii="Verdana" w:hAnsi="Verdana"/>
          <w:sz w:val="20"/>
          <w:lang w:val="es-ES"/>
        </w:rPr>
        <w:t>Pablo Saavedra Alessandri</w:t>
      </w:r>
    </w:p>
    <w:p w:rsidR="009C70D9" w:rsidRDefault="002B768C" w:rsidP="009C70D9">
      <w:pPr>
        <w:spacing w:after="0"/>
        <w:rPr>
          <w:rFonts w:ascii="Verdana" w:hAnsi="Verdana"/>
          <w:sz w:val="20"/>
          <w:lang w:val="es-CR"/>
        </w:rPr>
        <w:sectPr w:rsidR="009C70D9" w:rsidSect="009C70D9">
          <w:headerReference w:type="default" r:id="rId9"/>
          <w:pgSz w:w="12240" w:h="15840"/>
          <w:pgMar w:top="1440" w:right="1134" w:bottom="1440" w:left="1134" w:header="720" w:footer="720" w:gutter="0"/>
          <w:cols w:space="720"/>
          <w:titlePg/>
          <w:docGrid w:linePitch="360"/>
        </w:sectPr>
      </w:pPr>
      <w:r w:rsidRPr="004B7A1D">
        <w:rPr>
          <w:rFonts w:ascii="Verdana" w:hAnsi="Verdana"/>
          <w:sz w:val="20"/>
          <w:lang w:val="es-ES"/>
        </w:rPr>
        <w:tab/>
      </w:r>
      <w:r w:rsidRPr="004B7A1D">
        <w:rPr>
          <w:rFonts w:ascii="Verdana" w:hAnsi="Verdana"/>
          <w:sz w:val="20"/>
          <w:lang w:val="es-CR"/>
        </w:rPr>
        <w:t>Secretario</w:t>
      </w:r>
    </w:p>
    <w:p w:rsidR="009C70D9" w:rsidRDefault="009C70D9" w:rsidP="009C70D9">
      <w:pPr>
        <w:spacing w:after="0"/>
        <w:jc w:val="center"/>
        <w:rPr>
          <w:b/>
          <w:bCs/>
          <w:lang w:val="es-ES"/>
        </w:rPr>
      </w:pPr>
    </w:p>
    <w:p w:rsidR="009C70D9" w:rsidRDefault="009C70D9" w:rsidP="009C70D9">
      <w:pPr>
        <w:spacing w:after="0"/>
        <w:jc w:val="center"/>
        <w:rPr>
          <w:b/>
          <w:bCs/>
          <w:lang w:val="es-ES"/>
        </w:rPr>
      </w:pPr>
    </w:p>
    <w:p w:rsidR="009C70D9" w:rsidRDefault="009C70D9" w:rsidP="009C70D9">
      <w:pPr>
        <w:spacing w:after="0"/>
        <w:jc w:val="center"/>
        <w:rPr>
          <w:b/>
          <w:bCs/>
          <w:lang w:val="es-ES"/>
        </w:rPr>
      </w:pPr>
    </w:p>
    <w:p w:rsidR="009C70D9" w:rsidRDefault="009C70D9" w:rsidP="009C70D9">
      <w:pPr>
        <w:spacing w:after="0"/>
        <w:jc w:val="center"/>
        <w:rPr>
          <w:b/>
          <w:bCs/>
          <w:lang w:val="es-ES"/>
        </w:rPr>
      </w:pPr>
    </w:p>
    <w:p w:rsidR="009C70D9" w:rsidRDefault="009C70D9" w:rsidP="009C70D9">
      <w:pPr>
        <w:spacing w:after="0"/>
        <w:jc w:val="center"/>
        <w:rPr>
          <w:b/>
          <w:bCs/>
          <w:lang w:val="es-ES"/>
        </w:rPr>
      </w:pPr>
    </w:p>
    <w:p w:rsidR="009C70D9" w:rsidRDefault="009C70D9" w:rsidP="009C70D9">
      <w:pPr>
        <w:spacing w:after="0"/>
        <w:jc w:val="center"/>
        <w:rPr>
          <w:b/>
          <w:bCs/>
          <w:lang w:val="es-ES"/>
        </w:rPr>
      </w:pPr>
    </w:p>
    <w:p w:rsidR="009C70D9" w:rsidRDefault="009C70D9" w:rsidP="009C70D9">
      <w:pPr>
        <w:spacing w:after="0"/>
        <w:jc w:val="center"/>
        <w:rPr>
          <w:b/>
          <w:bCs/>
          <w:lang w:val="es-ES"/>
        </w:rPr>
      </w:pPr>
      <w:r>
        <w:rPr>
          <w:b/>
          <w:bCs/>
          <w:lang w:val="es-ES"/>
        </w:rPr>
        <w:t>VOTO CONCURRENTE DEL JUEZ EDUARDO VIO GROSSI,</w:t>
      </w:r>
    </w:p>
    <w:p w:rsidR="009C70D9" w:rsidRPr="000A27C7" w:rsidRDefault="009C70D9" w:rsidP="009C70D9">
      <w:pPr>
        <w:spacing w:after="0"/>
        <w:jc w:val="center"/>
        <w:rPr>
          <w:b/>
          <w:bCs/>
          <w:lang w:val="es-ES"/>
        </w:rPr>
      </w:pPr>
      <w:r w:rsidRPr="000A27C7">
        <w:rPr>
          <w:b/>
          <w:bCs/>
          <w:lang w:val="es-ES"/>
        </w:rPr>
        <w:t>RESOLUCIÓN DE LA</w:t>
      </w:r>
      <w:r>
        <w:rPr>
          <w:b/>
          <w:bCs/>
          <w:lang w:val="es-ES"/>
        </w:rPr>
        <w:t xml:space="preserve"> </w:t>
      </w:r>
      <w:r w:rsidRPr="000A27C7">
        <w:rPr>
          <w:b/>
          <w:bCs/>
          <w:lang w:val="es-ES"/>
        </w:rPr>
        <w:t>CORTE INTERAMERICANA DE DERECHOS HUMANOS</w:t>
      </w:r>
    </w:p>
    <w:p w:rsidR="009C70D9" w:rsidRDefault="009C70D9" w:rsidP="009C70D9">
      <w:pPr>
        <w:spacing w:after="0"/>
        <w:jc w:val="center"/>
        <w:rPr>
          <w:b/>
          <w:bCs/>
          <w:lang w:val="es-ES"/>
        </w:rPr>
      </w:pPr>
      <w:r w:rsidRPr="000A27C7">
        <w:rPr>
          <w:b/>
          <w:bCs/>
          <w:lang w:val="es-ES"/>
        </w:rPr>
        <w:t>DE 31 DE AGOSTO DE 2016</w:t>
      </w:r>
      <w:r>
        <w:rPr>
          <w:b/>
          <w:bCs/>
          <w:lang w:val="es-ES"/>
        </w:rPr>
        <w:t xml:space="preserve">, </w:t>
      </w:r>
      <w:r w:rsidRPr="000A27C7">
        <w:rPr>
          <w:b/>
          <w:bCs/>
          <w:lang w:val="es-ES"/>
        </w:rPr>
        <w:t xml:space="preserve">BÁMACA VELÁSQUEZ </w:t>
      </w:r>
      <w:r w:rsidRPr="000A27C7">
        <w:rPr>
          <w:b/>
          <w:bCs/>
          <w:iCs/>
          <w:lang w:val="es-ES"/>
        </w:rPr>
        <w:t>VS</w:t>
      </w:r>
      <w:r w:rsidRPr="000A27C7">
        <w:rPr>
          <w:b/>
          <w:bCs/>
          <w:i/>
          <w:iCs/>
          <w:lang w:val="es-ES"/>
        </w:rPr>
        <w:t xml:space="preserve">. </w:t>
      </w:r>
      <w:r w:rsidRPr="000A27C7">
        <w:rPr>
          <w:b/>
          <w:bCs/>
          <w:lang w:val="es-ES"/>
        </w:rPr>
        <w:t>GUATEMALA</w:t>
      </w:r>
      <w:r>
        <w:rPr>
          <w:b/>
          <w:bCs/>
          <w:lang w:val="es-ES"/>
        </w:rPr>
        <w:t>,</w:t>
      </w:r>
    </w:p>
    <w:p w:rsidR="009C70D9" w:rsidRPr="000A27C7" w:rsidRDefault="009C70D9" w:rsidP="009C70D9">
      <w:pPr>
        <w:spacing w:after="0"/>
        <w:jc w:val="center"/>
        <w:rPr>
          <w:b/>
          <w:bCs/>
          <w:lang w:val="es-ES"/>
        </w:rPr>
      </w:pPr>
      <w:r w:rsidRPr="000A27C7">
        <w:rPr>
          <w:b/>
          <w:bCs/>
          <w:lang w:val="es-ES"/>
        </w:rPr>
        <w:t>MEDIDAS PROVISIONALES</w:t>
      </w:r>
    </w:p>
    <w:p w:rsidR="009C70D9" w:rsidRDefault="009C70D9" w:rsidP="009C70D9">
      <w:pPr>
        <w:rPr>
          <w:lang w:val="es-ES"/>
        </w:rPr>
      </w:pPr>
    </w:p>
    <w:p w:rsidR="009C70D9" w:rsidRDefault="009C70D9" w:rsidP="009C70D9">
      <w:pPr>
        <w:jc w:val="both"/>
        <w:rPr>
          <w:lang w:val="es-ES"/>
        </w:rPr>
      </w:pPr>
      <w:r>
        <w:rPr>
          <w:lang w:val="es-ES"/>
        </w:rPr>
        <w:t>El suscrito concurre con su voto a la aprobación de la Resolución del epígrafe no obstante de que, en su Punto Resolutivo Nº 3 y tratándose de un caso respecto del que en el año 2002 se dictó Sentencia</w:t>
      </w:r>
      <w:r>
        <w:rPr>
          <w:rStyle w:val="FootnoteReference"/>
          <w:lang w:val="es-ES"/>
        </w:rPr>
        <w:footnoteReference w:id="19"/>
      </w:r>
      <w:r>
        <w:rPr>
          <w:lang w:val="es-ES"/>
        </w:rPr>
        <w:t>, se mantienen</w:t>
      </w:r>
      <w:r w:rsidRPr="000A27C7">
        <w:rPr>
          <w:lang w:val="es-ES"/>
        </w:rPr>
        <w:t xml:space="preserve"> las medidas provisionales a favor del señor Santiago Cabrera López y sus familiares y del señor Aron Álvarez y sus familiares, de conformidad con los Cons</w:t>
      </w:r>
      <w:r>
        <w:rPr>
          <w:lang w:val="es-ES"/>
        </w:rPr>
        <w:t>iderandos 13 y 52 de dicha Resolución, lo que se sería contrario a lo que ha sostenido reiteradamente en otros votos.</w:t>
      </w:r>
      <w:r>
        <w:rPr>
          <w:rStyle w:val="FootnoteReference"/>
          <w:lang w:val="es-ES"/>
        </w:rPr>
        <w:footnoteReference w:id="20"/>
      </w:r>
    </w:p>
    <w:p w:rsidR="009C70D9" w:rsidRPr="0008042B" w:rsidRDefault="009C70D9" w:rsidP="009C70D9">
      <w:pPr>
        <w:jc w:val="both"/>
        <w:rPr>
          <w:lang w:val="es-ES"/>
        </w:rPr>
      </w:pPr>
      <w:r w:rsidRPr="0008042B">
        <w:rPr>
          <w:lang w:val="es-ES"/>
        </w:rPr>
        <w:t xml:space="preserve">Quién suscribe </w:t>
      </w:r>
      <w:r>
        <w:rPr>
          <w:lang w:val="es-ES"/>
        </w:rPr>
        <w:t xml:space="preserve">ha dejado </w:t>
      </w:r>
      <w:r w:rsidRPr="0008042B">
        <w:rPr>
          <w:lang w:val="es-ES"/>
        </w:rPr>
        <w:t xml:space="preserve">constancia </w:t>
      </w:r>
      <w:r>
        <w:rPr>
          <w:lang w:val="es-ES"/>
        </w:rPr>
        <w:t xml:space="preserve">en esos otros votos, </w:t>
      </w:r>
      <w:r w:rsidRPr="0008042B">
        <w:rPr>
          <w:lang w:val="es-ES"/>
        </w:rPr>
        <w:t>de que, en atención a que,</w:t>
      </w:r>
      <w:r>
        <w:rPr>
          <w:lang w:val="es-ES"/>
        </w:rPr>
        <w:t xml:space="preserve"> habiéndose dictado </w:t>
      </w:r>
      <w:r w:rsidRPr="0008042B">
        <w:rPr>
          <w:lang w:val="es-ES"/>
        </w:rPr>
        <w:t>“fallo definitivo e inapelable”</w:t>
      </w:r>
      <w:r>
        <w:rPr>
          <w:rStyle w:val="FootnoteReference"/>
          <w:lang w:val="es-ES"/>
        </w:rPr>
        <w:footnoteReference w:id="21"/>
      </w:r>
      <w:r w:rsidRPr="0008042B">
        <w:rPr>
          <w:lang w:val="es-ES"/>
        </w:rPr>
        <w:t xml:space="preserve"> que ha puesto efectivo térm</w:t>
      </w:r>
      <w:r>
        <w:rPr>
          <w:lang w:val="es-ES"/>
        </w:rPr>
        <w:t xml:space="preserve">ino al caso en el que </w:t>
      </w:r>
      <w:r w:rsidRPr="0008042B">
        <w:rPr>
          <w:lang w:val="es-ES"/>
        </w:rPr>
        <w:t>la Corte Interamericana de Derechos Humanos</w:t>
      </w:r>
      <w:r>
        <w:rPr>
          <w:rStyle w:val="FootnoteReference"/>
          <w:lang w:val="es-ES"/>
        </w:rPr>
        <w:footnoteReference w:id="22"/>
      </w:r>
      <w:r>
        <w:rPr>
          <w:lang w:val="es-ES"/>
        </w:rPr>
        <w:t xml:space="preserve"> dictó medidas provisionales mientras </w:t>
      </w:r>
      <w:r w:rsidRPr="0008042B">
        <w:rPr>
          <w:lang w:val="es-ES"/>
        </w:rPr>
        <w:t>lo estuvo “conociendo”</w:t>
      </w:r>
      <w:r>
        <w:rPr>
          <w:rStyle w:val="FootnoteReference"/>
          <w:lang w:val="es-ES"/>
        </w:rPr>
        <w:footnoteReference w:id="23"/>
      </w:r>
      <w:r>
        <w:rPr>
          <w:lang w:val="es-ES"/>
        </w:rPr>
        <w:t xml:space="preserve">, su </w:t>
      </w:r>
      <w:r w:rsidRPr="0008042B">
        <w:rPr>
          <w:lang w:val="es-ES"/>
        </w:rPr>
        <w:t>compet</w:t>
      </w:r>
      <w:r>
        <w:rPr>
          <w:lang w:val="es-ES"/>
        </w:rPr>
        <w:t xml:space="preserve">encia para disponer otras </w:t>
      </w:r>
      <w:r>
        <w:rPr>
          <w:lang w:val="es-ES"/>
        </w:rPr>
        <w:lastRenderedPageBreak/>
        <w:t xml:space="preserve">o prorrogar las antes decretadas, </w:t>
      </w:r>
      <w:r w:rsidRPr="0008042B">
        <w:rPr>
          <w:lang w:val="es-ES"/>
        </w:rPr>
        <w:t>ha pre</w:t>
      </w:r>
      <w:r>
        <w:rPr>
          <w:lang w:val="es-ES"/>
        </w:rPr>
        <w:t xml:space="preserve">cluido, </w:t>
      </w:r>
      <w:r w:rsidRPr="0008042B">
        <w:rPr>
          <w:lang w:val="es-ES"/>
        </w:rPr>
        <w:t>puesto que</w:t>
      </w:r>
      <w:r>
        <w:rPr>
          <w:lang w:val="es-ES"/>
        </w:rPr>
        <w:t>, se reitera,</w:t>
      </w:r>
      <w:r w:rsidRPr="0008042B">
        <w:rPr>
          <w:lang w:val="es-ES"/>
        </w:rPr>
        <w:t xml:space="preserve"> ya no está “conociendo” de dicho caso contencioso, es decir, ya lo ha “juzgado”. </w:t>
      </w:r>
    </w:p>
    <w:p w:rsidR="009C70D9" w:rsidRDefault="009C70D9" w:rsidP="009C70D9">
      <w:pPr>
        <w:jc w:val="both"/>
        <w:rPr>
          <w:lang w:val="es-ES"/>
        </w:rPr>
      </w:pPr>
      <w:r w:rsidRPr="0008042B">
        <w:rPr>
          <w:lang w:val="es-ES"/>
        </w:rPr>
        <w:t>A mayor ab</w:t>
      </w:r>
      <w:r>
        <w:rPr>
          <w:lang w:val="es-ES"/>
        </w:rPr>
        <w:t xml:space="preserve">undamiento, recordó </w:t>
      </w:r>
      <w:r w:rsidRPr="0008042B">
        <w:rPr>
          <w:lang w:val="es-ES"/>
        </w:rPr>
        <w:t>que, una vez dictada una sentencia, a la Corte únicamente le corresponde dictar</w:t>
      </w:r>
      <w:r>
        <w:rPr>
          <w:lang w:val="es-ES"/>
        </w:rPr>
        <w:t>, siempre que no lo haya ya hecho,</w:t>
      </w:r>
      <w:r w:rsidRPr="0008042B">
        <w:rPr>
          <w:lang w:val="es-ES"/>
        </w:rPr>
        <w:t xml:space="preserve"> la sentencia de reparación y costa</w:t>
      </w:r>
      <w:r>
        <w:rPr>
          <w:lang w:val="es-ES"/>
        </w:rPr>
        <w:t>s</w:t>
      </w:r>
      <w:r>
        <w:rPr>
          <w:rStyle w:val="FootnoteReference"/>
          <w:lang w:val="es-ES"/>
        </w:rPr>
        <w:footnoteReference w:id="24"/>
      </w:r>
      <w:r w:rsidRPr="0008042B">
        <w:rPr>
          <w:lang w:val="es-ES"/>
        </w:rPr>
        <w:t xml:space="preserve">, interpretar </w:t>
      </w:r>
      <w:r>
        <w:rPr>
          <w:lang w:val="es-ES"/>
        </w:rPr>
        <w:t>ambos fallos</w:t>
      </w:r>
      <w:r>
        <w:rPr>
          <w:rStyle w:val="FootnoteReference"/>
          <w:lang w:val="es-ES"/>
        </w:rPr>
        <w:footnoteReference w:id="25"/>
      </w:r>
      <w:r w:rsidRPr="0008042B">
        <w:rPr>
          <w:lang w:val="es-ES"/>
        </w:rPr>
        <w:t>, enmendar los errores de edición o de</w:t>
      </w:r>
      <w:r>
        <w:rPr>
          <w:lang w:val="es-ES"/>
        </w:rPr>
        <w:t xml:space="preserve"> cálculo en que hayan incurrido</w:t>
      </w:r>
      <w:r>
        <w:rPr>
          <w:rStyle w:val="FootnoteReference"/>
          <w:lang w:val="es-ES"/>
        </w:rPr>
        <w:footnoteReference w:id="26"/>
      </w:r>
      <w:r w:rsidRPr="0008042B">
        <w:rPr>
          <w:lang w:val="es-ES"/>
        </w:rPr>
        <w:t>, supervisar su cumplimiento</w:t>
      </w:r>
      <w:r>
        <w:rPr>
          <w:rStyle w:val="FootnoteReference"/>
          <w:lang w:val="es-ES"/>
        </w:rPr>
        <w:footnoteReference w:id="27"/>
      </w:r>
      <w:r w:rsidRPr="0008042B">
        <w:rPr>
          <w:lang w:val="es-ES"/>
        </w:rPr>
        <w:t xml:space="preserve">  e informar </w:t>
      </w:r>
      <w:r w:rsidRPr="0008042B">
        <w:rPr>
          <w:lang w:val="es-ES"/>
        </w:rPr>
        <w:lastRenderedPageBreak/>
        <w:t>a la Asamblea General</w:t>
      </w:r>
      <w:r>
        <w:rPr>
          <w:lang w:val="es-ES"/>
        </w:rPr>
        <w:t xml:space="preserve"> de la OEA de su eventual incumplimiento</w:t>
      </w:r>
      <w:r>
        <w:rPr>
          <w:rStyle w:val="FootnoteReference"/>
          <w:lang w:val="es-ES"/>
        </w:rPr>
        <w:footnoteReference w:id="28"/>
      </w:r>
      <w:r w:rsidRPr="0008042B">
        <w:rPr>
          <w:lang w:val="es-ES"/>
        </w:rPr>
        <w:t>. A la Corte no se le ha conferido</w:t>
      </w:r>
      <w:r>
        <w:rPr>
          <w:lang w:val="es-ES"/>
        </w:rPr>
        <w:t xml:space="preserve"> ni se ha concedido</w:t>
      </w:r>
      <w:r w:rsidRPr="0008042B">
        <w:rPr>
          <w:lang w:val="es-ES"/>
        </w:rPr>
        <w:t>, pues, la facultad de disponer de nuevas medidas provisiona</w:t>
      </w:r>
      <w:r>
        <w:rPr>
          <w:lang w:val="es-ES"/>
        </w:rPr>
        <w:t>les</w:t>
      </w:r>
      <w:r w:rsidRPr="0008042B">
        <w:rPr>
          <w:lang w:val="es-ES"/>
        </w:rPr>
        <w:t xml:space="preserve">. </w:t>
      </w:r>
    </w:p>
    <w:p w:rsidR="009C70D9" w:rsidRPr="0008042B" w:rsidRDefault="009C70D9" w:rsidP="009C70D9">
      <w:pPr>
        <w:jc w:val="both"/>
        <w:rPr>
          <w:lang w:val="es-ES"/>
        </w:rPr>
      </w:pPr>
      <w:r w:rsidRPr="0008042B">
        <w:rPr>
          <w:lang w:val="es-ES"/>
        </w:rPr>
        <w:t>En mérito d</w:t>
      </w:r>
      <w:r>
        <w:rPr>
          <w:lang w:val="es-ES"/>
        </w:rPr>
        <w:t>e lo expuesto, el infrascrito considera que lógicamente las</w:t>
      </w:r>
      <w:r w:rsidRPr="0008042B">
        <w:rPr>
          <w:lang w:val="es-ES"/>
        </w:rPr>
        <w:t xml:space="preserve"> medidas</w:t>
      </w:r>
      <w:r>
        <w:rPr>
          <w:lang w:val="es-ES"/>
        </w:rPr>
        <w:t xml:space="preserve"> provisionales dictadas en autos deberían haberlo sido </w:t>
      </w:r>
      <w:r w:rsidRPr="0008042B">
        <w:rPr>
          <w:lang w:val="es-ES"/>
        </w:rPr>
        <w:t>como parte del “fallo definitivo e inapelable” que resolvió, con valor de cosa juzgada, el caso conte</w:t>
      </w:r>
      <w:r>
        <w:rPr>
          <w:lang w:val="es-ES"/>
        </w:rPr>
        <w:t>ncioso y que, por ende, deberían haber integrado</w:t>
      </w:r>
      <w:r w:rsidRPr="0008042B">
        <w:rPr>
          <w:lang w:val="es-ES"/>
        </w:rPr>
        <w:t xml:space="preserve"> las obligaciones del Estado concernido y no de la Corte, derivadas de la dictación del mismo, de garantizar “al lesionado en el goce de su d</w:t>
      </w:r>
      <w:r>
        <w:rPr>
          <w:lang w:val="es-ES"/>
        </w:rPr>
        <w:t xml:space="preserve">erecho o libertad conculcados” </w:t>
      </w:r>
      <w:r w:rsidRPr="0008042B">
        <w:rPr>
          <w:lang w:val="es-ES"/>
        </w:rPr>
        <w:t>y de adoptar las medidas pertinentes a fin de “evitar daño</w:t>
      </w:r>
      <w:r>
        <w:rPr>
          <w:lang w:val="es-ES"/>
        </w:rPr>
        <w:t xml:space="preserve">s irreparables a las personas” </w:t>
      </w:r>
      <w:r w:rsidRPr="0008042B">
        <w:rPr>
          <w:lang w:val="es-ES"/>
        </w:rPr>
        <w:t>a que el mismo se re</w:t>
      </w:r>
      <w:r>
        <w:rPr>
          <w:lang w:val="es-ES"/>
        </w:rPr>
        <w:t xml:space="preserve">fiere. </w:t>
      </w:r>
      <w:r w:rsidRPr="0008042B">
        <w:rPr>
          <w:lang w:val="es-ES"/>
        </w:rPr>
        <w:t>Por lo tanto, el cumplimiento de esas m</w:t>
      </w:r>
      <w:r>
        <w:rPr>
          <w:lang w:val="es-ES"/>
        </w:rPr>
        <w:t>edidas deberían haber sido supervisadas como parte</w:t>
      </w:r>
      <w:r w:rsidRPr="0008042B">
        <w:rPr>
          <w:lang w:val="es-ES"/>
        </w:rPr>
        <w:t xml:space="preserve"> de la sentencia en comento y no como si se tratare de un proceso diferente y aún autónomo en el que, además, se podrían disponer de nuevas medidas provisionales, prologando así, en la práctica, el proceso.</w:t>
      </w:r>
    </w:p>
    <w:p w:rsidR="009C70D9" w:rsidRDefault="009C70D9" w:rsidP="009C70D9">
      <w:pPr>
        <w:jc w:val="both"/>
        <w:rPr>
          <w:lang w:val="es-ES"/>
        </w:rPr>
      </w:pPr>
      <w:r w:rsidRPr="0008042B">
        <w:rPr>
          <w:lang w:val="es-ES"/>
        </w:rPr>
        <w:t xml:space="preserve">En definitiva, el suscrito es del parecer que la Resolución a la que concurre con el presente voto, debería </w:t>
      </w:r>
      <w:r>
        <w:rPr>
          <w:lang w:val="es-ES"/>
        </w:rPr>
        <w:t xml:space="preserve">haberse entendido </w:t>
      </w:r>
      <w:r w:rsidRPr="0008042B">
        <w:rPr>
          <w:lang w:val="es-ES"/>
        </w:rPr>
        <w:t xml:space="preserve">como parte de la supervisión del cumplimiento de la antes indicada Sentencia, la que, a su turno, debería haber incluido expresamente la obligación del Estado de cumplir las medidas provisionales decretadas en autos, las que se entenderían levantadas y, por tanto, ejecutado, en ese aspecto, el fallo, una vez que hayan desaparecido la “extrema gravedad y urgencia” y el riesgo de “daños irreparables a las personas” que justificaron, en su momento, su adopción. De esa forma, no habría quedado margen alguno a la duda o </w:t>
      </w:r>
      <w:r>
        <w:rPr>
          <w:lang w:val="es-ES"/>
        </w:rPr>
        <w:t>incertidumbre al respecto.</w:t>
      </w:r>
    </w:p>
    <w:p w:rsidR="009C70D9" w:rsidRDefault="009C70D9" w:rsidP="009C70D9">
      <w:pPr>
        <w:jc w:val="both"/>
        <w:rPr>
          <w:lang w:val="es-ES"/>
        </w:rPr>
      </w:pPr>
      <w:r>
        <w:rPr>
          <w:lang w:val="es-ES"/>
        </w:rPr>
        <w:t xml:space="preserve">Ahora bien, </w:t>
      </w:r>
      <w:r w:rsidRPr="00F928E1">
        <w:rPr>
          <w:lang w:val="es-ES"/>
        </w:rPr>
        <w:t>en mérito de que todas las medidas provisionales dictadas en autos lo fueron</w:t>
      </w:r>
      <w:r w:rsidRPr="00DD381C">
        <w:rPr>
          <w:lang w:val="es-ES"/>
        </w:rPr>
        <w:t xml:space="preserve">, o fueron </w:t>
      </w:r>
      <w:r>
        <w:rPr>
          <w:lang w:val="es-ES"/>
        </w:rPr>
        <w:t>mantenidas o ampliadas</w:t>
      </w:r>
      <w:r w:rsidRPr="00DD381C">
        <w:rPr>
          <w:lang w:val="es-ES"/>
        </w:rPr>
        <w:t>,</w:t>
      </w:r>
      <w:r w:rsidRPr="00F928E1">
        <w:rPr>
          <w:lang w:val="es-ES"/>
        </w:rPr>
        <w:t xml:space="preserve"> cuando la Corte conocía del caso ya fallado</w:t>
      </w:r>
      <w:r>
        <w:rPr>
          <w:lang w:val="es-ES"/>
        </w:rPr>
        <w:t xml:space="preserve"> y habida cuenta, además, que todas ellas,</w:t>
      </w:r>
      <w:r w:rsidRPr="00E62513">
        <w:rPr>
          <w:lang w:val="es-ES"/>
        </w:rPr>
        <w:t xml:space="preserve"> salvo las indicadas en el aludido Punto</w:t>
      </w:r>
      <w:r>
        <w:rPr>
          <w:lang w:val="es-ES"/>
        </w:rPr>
        <w:t xml:space="preserve"> Resolutivo Nº 3 de la </w:t>
      </w:r>
      <w:r w:rsidRPr="00DD381C">
        <w:rPr>
          <w:lang w:val="es-ES"/>
        </w:rPr>
        <w:t>Resolución</w:t>
      </w:r>
      <w:r w:rsidRPr="007B0D55">
        <w:rPr>
          <w:lang w:val="es-ES"/>
        </w:rPr>
        <w:t>,</w:t>
      </w:r>
      <w:r>
        <w:rPr>
          <w:lang w:val="es-ES"/>
        </w:rPr>
        <w:t xml:space="preserve"> han sido levantadas o dejadas sin efecto, a quién suscribe le parece aconsejable y práctico, en mérito del principio de economía procesal, concurrir a aprobar la Resolución en cuestión, dejando, empero, constancia, una vez más, de su parecer, como lo hace en este escrito. </w:t>
      </w:r>
    </w:p>
    <w:p w:rsidR="009C70D9" w:rsidRDefault="009C70D9" w:rsidP="009C70D9">
      <w:pPr>
        <w:jc w:val="both"/>
        <w:rPr>
          <w:lang w:val="es-ES"/>
        </w:rPr>
      </w:pPr>
    </w:p>
    <w:p w:rsidR="009C70D9" w:rsidRDefault="009C70D9" w:rsidP="009C70D9">
      <w:pPr>
        <w:spacing w:after="0"/>
        <w:jc w:val="both"/>
        <w:rPr>
          <w:lang w:val="es-ES"/>
        </w:rPr>
      </w:pPr>
    </w:p>
    <w:p w:rsidR="009C70D9" w:rsidRPr="00BE5379" w:rsidRDefault="009C70D9" w:rsidP="009C70D9">
      <w:pPr>
        <w:spacing w:after="0"/>
        <w:jc w:val="both"/>
        <w:rPr>
          <w:lang w:val="es-ES"/>
        </w:rPr>
      </w:pPr>
    </w:p>
    <w:p w:rsidR="009C70D9" w:rsidRDefault="009C70D9" w:rsidP="009C70D9">
      <w:pPr>
        <w:spacing w:after="0"/>
        <w:jc w:val="both"/>
        <w:rPr>
          <w:lang w:val="es-ES"/>
        </w:rPr>
      </w:pPr>
    </w:p>
    <w:p w:rsidR="009C70D9" w:rsidRDefault="009C70D9" w:rsidP="009C70D9">
      <w:pPr>
        <w:spacing w:after="0"/>
        <w:jc w:val="both"/>
        <w:rPr>
          <w:lang w:val="es-ES"/>
        </w:rPr>
      </w:pPr>
    </w:p>
    <w:p w:rsidR="009C70D9" w:rsidRDefault="009C70D9" w:rsidP="009C70D9">
      <w:pPr>
        <w:spacing w:after="0"/>
        <w:ind w:left="5040" w:firstLine="720"/>
        <w:jc w:val="center"/>
        <w:rPr>
          <w:lang w:val="es-ES"/>
        </w:rPr>
      </w:pPr>
      <w:r>
        <w:rPr>
          <w:lang w:val="es-ES"/>
        </w:rPr>
        <w:t>Eduardo Vio Grossi</w:t>
      </w:r>
    </w:p>
    <w:p w:rsidR="009C70D9" w:rsidRDefault="009C70D9" w:rsidP="009C70D9">
      <w:pPr>
        <w:spacing w:after="0"/>
        <w:ind w:left="5040" w:firstLine="720"/>
        <w:jc w:val="center"/>
        <w:rPr>
          <w:lang w:val="es-ES"/>
        </w:rPr>
      </w:pPr>
      <w:r>
        <w:rPr>
          <w:lang w:val="es-ES"/>
        </w:rPr>
        <w:t>Juez</w:t>
      </w:r>
    </w:p>
    <w:p w:rsidR="009C70D9" w:rsidRDefault="009C70D9" w:rsidP="009C70D9">
      <w:pPr>
        <w:spacing w:after="0"/>
        <w:ind w:left="5040" w:firstLine="720"/>
        <w:jc w:val="center"/>
        <w:rPr>
          <w:lang w:val="es-ES"/>
        </w:rPr>
      </w:pPr>
    </w:p>
    <w:p w:rsidR="009C70D9" w:rsidRDefault="009C70D9" w:rsidP="009C70D9">
      <w:pPr>
        <w:spacing w:after="0"/>
        <w:ind w:left="5040" w:firstLine="720"/>
        <w:jc w:val="center"/>
        <w:rPr>
          <w:lang w:val="es-ES"/>
        </w:rPr>
      </w:pPr>
    </w:p>
    <w:p w:rsidR="009C70D9" w:rsidRDefault="009C70D9" w:rsidP="009C70D9">
      <w:pPr>
        <w:spacing w:after="0"/>
        <w:ind w:left="5040" w:firstLine="720"/>
        <w:jc w:val="center"/>
        <w:rPr>
          <w:lang w:val="es-ES"/>
        </w:rPr>
      </w:pPr>
    </w:p>
    <w:p w:rsidR="009C70D9" w:rsidRDefault="009C70D9" w:rsidP="009C70D9">
      <w:pPr>
        <w:spacing w:after="0"/>
        <w:ind w:left="5040" w:firstLine="720"/>
        <w:jc w:val="center"/>
        <w:rPr>
          <w:lang w:val="es-ES"/>
        </w:rPr>
      </w:pPr>
    </w:p>
    <w:p w:rsidR="009C70D9" w:rsidRPr="000A27C7" w:rsidRDefault="009C70D9" w:rsidP="009C70D9">
      <w:pPr>
        <w:spacing w:after="0"/>
        <w:ind w:left="5040" w:firstLine="720"/>
        <w:jc w:val="center"/>
        <w:rPr>
          <w:lang w:val="es-ES"/>
        </w:rPr>
      </w:pPr>
    </w:p>
    <w:p w:rsidR="009C70D9" w:rsidRDefault="009C70D9" w:rsidP="009C70D9">
      <w:pPr>
        <w:spacing w:after="0"/>
        <w:jc w:val="both"/>
        <w:rPr>
          <w:lang w:val="es-ES"/>
        </w:rPr>
      </w:pPr>
      <w:r>
        <w:rPr>
          <w:lang w:val="es-ES"/>
        </w:rPr>
        <w:t>Pablo Saavedra Alessandri</w:t>
      </w:r>
    </w:p>
    <w:p w:rsidR="009C70D9" w:rsidRPr="000A27C7" w:rsidRDefault="009C70D9" w:rsidP="009C70D9">
      <w:pPr>
        <w:spacing w:after="0"/>
        <w:jc w:val="both"/>
        <w:rPr>
          <w:lang w:val="es-ES"/>
        </w:rPr>
      </w:pPr>
      <w:r>
        <w:rPr>
          <w:lang w:val="es-ES"/>
        </w:rPr>
        <w:t xml:space="preserve">           Secretario </w:t>
      </w:r>
    </w:p>
    <w:p w:rsidR="009C70D9" w:rsidRPr="009C70D9" w:rsidRDefault="009C70D9" w:rsidP="009C70D9">
      <w:pPr>
        <w:spacing w:after="0"/>
        <w:rPr>
          <w:rFonts w:ascii="Verdana" w:hAnsi="Verdana"/>
          <w:sz w:val="20"/>
          <w:lang w:val="es-CR"/>
        </w:rPr>
        <w:sectPr w:rsidR="009C70D9" w:rsidRPr="009C70D9" w:rsidSect="009C70D9">
          <w:footnotePr>
            <w:numRestart w:val="eachSect"/>
          </w:footnotePr>
          <w:pgSz w:w="12240" w:h="15840"/>
          <w:pgMar w:top="1440" w:right="1134" w:bottom="1440" w:left="1134" w:header="720" w:footer="720" w:gutter="0"/>
          <w:pgNumType w:start="1"/>
          <w:cols w:space="720"/>
          <w:titlePg/>
          <w:docGrid w:linePitch="360"/>
        </w:sectPr>
      </w:pPr>
    </w:p>
    <w:p w:rsidR="002B768C" w:rsidRPr="000D3C49" w:rsidRDefault="002B768C" w:rsidP="009C70D9">
      <w:pPr>
        <w:rPr>
          <w:rFonts w:ascii="Verdana" w:hAnsi="Verdana"/>
          <w:sz w:val="20"/>
          <w:szCs w:val="20"/>
        </w:rPr>
      </w:pPr>
    </w:p>
    <w:sectPr w:rsidR="002B768C" w:rsidRPr="000D3C49" w:rsidSect="009C70D9">
      <w:type w:val="continuous"/>
      <w:pgSz w:w="12240" w:h="15840"/>
      <w:pgMar w:top="1440" w:right="1134" w:bottom="1440" w:left="1134"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BCA4C9" w15:done="0"/>
  <w15:commentEx w15:paraId="0355B531" w15:done="0"/>
  <w15:commentEx w15:paraId="4443E6C1" w15:done="0"/>
  <w15:commentEx w15:paraId="253C824B" w15:done="0"/>
  <w15:commentEx w15:paraId="71EDDBAD" w15:done="0"/>
  <w15:commentEx w15:paraId="4C559C32" w15:done="0"/>
  <w15:commentEx w15:paraId="6B3A5C8E" w15:done="0"/>
  <w15:commentEx w15:paraId="2FC17FD8" w15:done="0"/>
  <w15:commentEx w15:paraId="690E0B84" w15:done="0"/>
  <w15:commentEx w15:paraId="088F1055" w15:paraIdParent="690E0B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8D1" w:rsidRDefault="00E018D1" w:rsidP="003F627B">
      <w:pPr>
        <w:spacing w:after="0" w:line="240" w:lineRule="auto"/>
      </w:pPr>
      <w:r>
        <w:separator/>
      </w:r>
    </w:p>
  </w:endnote>
  <w:endnote w:type="continuationSeparator" w:id="0">
    <w:p w:rsidR="00E018D1" w:rsidRDefault="00E018D1" w:rsidP="003F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MT">
    <w:charset w:val="00"/>
    <w:family w:val="auto"/>
    <w:pitch w:val="variable"/>
    <w:sig w:usb0="E0002AFF" w:usb1="C0007843" w:usb2="00000009" w:usb3="00000000" w:csb0="000001FF"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8D1" w:rsidRDefault="00E018D1" w:rsidP="003F627B">
      <w:pPr>
        <w:spacing w:after="0" w:line="240" w:lineRule="auto"/>
      </w:pPr>
      <w:r>
        <w:separator/>
      </w:r>
    </w:p>
  </w:footnote>
  <w:footnote w:type="continuationSeparator" w:id="0">
    <w:p w:rsidR="00E018D1" w:rsidRDefault="00E018D1" w:rsidP="003F627B">
      <w:pPr>
        <w:spacing w:after="0" w:line="240" w:lineRule="auto"/>
      </w:pPr>
      <w:r>
        <w:continuationSeparator/>
      </w:r>
    </w:p>
  </w:footnote>
  <w:footnote w:id="1">
    <w:p w:rsidR="000D3C49" w:rsidRPr="00902126" w:rsidRDefault="000D3C49" w:rsidP="003F627B">
      <w:pPr>
        <w:pStyle w:val="FootnoteText"/>
        <w:jc w:val="both"/>
        <w:rPr>
          <w:rFonts w:ascii="Verdana" w:hAnsi="Verdana"/>
          <w:sz w:val="16"/>
          <w:szCs w:val="16"/>
        </w:rPr>
      </w:pPr>
      <w:r w:rsidRPr="002478D7">
        <w:rPr>
          <w:rStyle w:val="FootnoteReference"/>
          <w:rFonts w:ascii="Verdana" w:hAnsi="Verdana"/>
          <w:sz w:val="16"/>
          <w:szCs w:val="16"/>
        </w:rPr>
        <w:footnoteRef/>
      </w:r>
      <w:r w:rsidRPr="00902126">
        <w:rPr>
          <w:rFonts w:ascii="Verdana" w:hAnsi="Verdana"/>
          <w:sz w:val="16"/>
          <w:szCs w:val="16"/>
        </w:rPr>
        <w:t xml:space="preserve"> </w:t>
      </w:r>
      <w:r w:rsidRPr="00902126">
        <w:rPr>
          <w:rFonts w:ascii="Verdana" w:hAnsi="Verdana"/>
          <w:sz w:val="16"/>
          <w:szCs w:val="16"/>
        </w:rPr>
        <w:tab/>
      </w:r>
      <w:r w:rsidRPr="00902126">
        <w:rPr>
          <w:rFonts w:ascii="Verdana" w:hAnsi="Verdana"/>
          <w:i/>
          <w:sz w:val="16"/>
          <w:szCs w:val="16"/>
        </w:rPr>
        <w:t xml:space="preserve">Cfr. </w:t>
      </w:r>
      <w:r w:rsidRPr="00902126">
        <w:rPr>
          <w:rFonts w:ascii="Verdana" w:hAnsi="Verdana" w:cs="Times-Roman"/>
          <w:i/>
          <w:sz w:val="16"/>
          <w:szCs w:val="16"/>
          <w:lang w:val="es-CR" w:bidi="en-US"/>
        </w:rPr>
        <w:t>Caso Carpio Nicolle.</w:t>
      </w:r>
      <w:r w:rsidRPr="00902126">
        <w:rPr>
          <w:rFonts w:ascii="Verdana" w:hAnsi="Verdana" w:cs="Times-Roman"/>
          <w:sz w:val="16"/>
          <w:szCs w:val="16"/>
          <w:lang w:val="es-CR" w:bidi="en-US"/>
        </w:rPr>
        <w:t xml:space="preserve"> Medidas Provisionales respecto de Guatemala. Resolución de l</w:t>
      </w:r>
      <w:r>
        <w:rPr>
          <w:rFonts w:ascii="Verdana" w:hAnsi="Verdana" w:cs="Times-Roman"/>
          <w:sz w:val="16"/>
          <w:szCs w:val="16"/>
          <w:lang w:val="es-CR" w:bidi="en-US"/>
        </w:rPr>
        <w:t>a Corte de 6 de julio de 2009, C</w:t>
      </w:r>
      <w:r w:rsidR="003625B8">
        <w:rPr>
          <w:rFonts w:ascii="Verdana" w:hAnsi="Verdana" w:cs="Times-Roman"/>
          <w:sz w:val="16"/>
          <w:szCs w:val="16"/>
          <w:lang w:val="es-CR" w:bidi="en-US"/>
        </w:rPr>
        <w:t>onsiderando</w:t>
      </w:r>
      <w:r w:rsidR="00BB70C7">
        <w:rPr>
          <w:rFonts w:ascii="Verdana" w:hAnsi="Verdana" w:cs="Times-Roman"/>
          <w:sz w:val="16"/>
          <w:szCs w:val="16"/>
          <w:lang w:val="es-CR" w:bidi="en-US"/>
        </w:rPr>
        <w:t xml:space="preserve"> </w:t>
      </w:r>
      <w:r w:rsidR="003625B8">
        <w:rPr>
          <w:rFonts w:ascii="Verdana" w:hAnsi="Verdana" w:cs="Times-Roman"/>
          <w:sz w:val="16"/>
          <w:szCs w:val="16"/>
          <w:lang w:val="es-CR" w:bidi="en-US"/>
        </w:rPr>
        <w:t>24</w:t>
      </w:r>
      <w:r w:rsidRPr="00902126">
        <w:rPr>
          <w:rFonts w:ascii="Verdana" w:hAnsi="Verdana" w:cs="Times-Roman"/>
          <w:sz w:val="16"/>
          <w:szCs w:val="16"/>
          <w:lang w:val="es-CR" w:bidi="en-US"/>
        </w:rPr>
        <w:t>.</w:t>
      </w:r>
    </w:p>
  </w:footnote>
  <w:footnote w:id="2">
    <w:p w:rsidR="000D3C49" w:rsidRPr="00B15BA4" w:rsidRDefault="000D3C49" w:rsidP="003F627B">
      <w:pPr>
        <w:autoSpaceDE w:val="0"/>
        <w:autoSpaceDN w:val="0"/>
        <w:adjustRightInd w:val="0"/>
        <w:spacing w:after="0" w:line="240" w:lineRule="auto"/>
        <w:jc w:val="both"/>
        <w:rPr>
          <w:rFonts w:ascii="Verdana" w:hAnsi="Verdana" w:cs="Verdana"/>
          <w:sz w:val="16"/>
          <w:szCs w:val="16"/>
          <w:lang w:val="es-ES"/>
        </w:rPr>
      </w:pPr>
      <w:r w:rsidRPr="00902126">
        <w:rPr>
          <w:rStyle w:val="FootnoteReference"/>
          <w:rFonts w:ascii="Verdana" w:hAnsi="Verdana"/>
          <w:sz w:val="16"/>
          <w:szCs w:val="16"/>
        </w:rPr>
        <w:footnoteRef/>
      </w:r>
      <w:r w:rsidRPr="00902126">
        <w:rPr>
          <w:rFonts w:ascii="Verdana" w:hAnsi="Verdana"/>
          <w:sz w:val="16"/>
          <w:szCs w:val="16"/>
        </w:rPr>
        <w:t xml:space="preserve"> </w:t>
      </w:r>
      <w:r w:rsidRPr="00902126">
        <w:rPr>
          <w:rFonts w:ascii="Verdana" w:hAnsi="Verdana"/>
          <w:sz w:val="16"/>
          <w:szCs w:val="16"/>
        </w:rPr>
        <w:tab/>
      </w:r>
      <w:r w:rsidRPr="00902126">
        <w:rPr>
          <w:rFonts w:ascii="Verdana" w:hAnsi="Verdana" w:cs="Verdana"/>
          <w:i/>
          <w:iCs/>
          <w:sz w:val="16"/>
          <w:szCs w:val="16"/>
          <w:lang w:val="es-ES"/>
        </w:rPr>
        <w:t xml:space="preserve">Cfr. Caso Bámaca Velásquez </w:t>
      </w:r>
      <w:r w:rsidRPr="00A96B23">
        <w:rPr>
          <w:rFonts w:ascii="Verdana" w:hAnsi="Verdana" w:cs="Verdana"/>
          <w:i/>
          <w:iCs/>
          <w:sz w:val="16"/>
          <w:szCs w:val="16"/>
          <w:lang w:val="es-ES"/>
        </w:rPr>
        <w:t>y otros Vs. Guatemala.</w:t>
      </w:r>
      <w:r w:rsidRPr="00A96B23">
        <w:rPr>
          <w:rFonts w:ascii="Verdana" w:hAnsi="Verdana" w:cs="Verdana"/>
          <w:sz w:val="16"/>
          <w:szCs w:val="16"/>
          <w:lang w:val="es-ES"/>
        </w:rPr>
        <w:t xml:space="preserve"> Medidas Provisionales. Resolución de la Corte de</w:t>
      </w:r>
      <w:r w:rsidRPr="00A96B23">
        <w:rPr>
          <w:rFonts w:ascii="Verdana" w:hAnsi="Verdana"/>
          <w:sz w:val="16"/>
          <w:szCs w:val="16"/>
        </w:rPr>
        <w:t xml:space="preserve"> 27 de enero de 2009,</w:t>
      </w:r>
      <w:r w:rsidRPr="00A96B23">
        <w:rPr>
          <w:rFonts w:ascii="Verdana" w:hAnsi="Verdana" w:cs="Verdana"/>
          <w:sz w:val="16"/>
          <w:szCs w:val="16"/>
          <w:lang w:val="es-ES"/>
        </w:rPr>
        <w:t xml:space="preserve"> Considerando 47.</w:t>
      </w:r>
    </w:p>
  </w:footnote>
  <w:footnote w:id="3">
    <w:p w:rsidR="000D3C49" w:rsidRPr="00902126" w:rsidRDefault="000D3C49" w:rsidP="003F627B">
      <w:pPr>
        <w:pStyle w:val="FootnoteText"/>
        <w:rPr>
          <w:rFonts w:ascii="Verdana" w:hAnsi="Verdana"/>
          <w:sz w:val="16"/>
          <w:szCs w:val="16"/>
        </w:rPr>
      </w:pPr>
      <w:r w:rsidRPr="00902126">
        <w:rPr>
          <w:rStyle w:val="FootnoteReference"/>
          <w:rFonts w:ascii="Verdana" w:hAnsi="Verdana"/>
          <w:sz w:val="16"/>
          <w:szCs w:val="16"/>
        </w:rPr>
        <w:footnoteRef/>
      </w:r>
      <w:r w:rsidRPr="00902126">
        <w:rPr>
          <w:rFonts w:ascii="Verdana" w:hAnsi="Verdana"/>
          <w:sz w:val="16"/>
          <w:szCs w:val="16"/>
        </w:rPr>
        <w:t xml:space="preserve"> </w:t>
      </w:r>
      <w:r>
        <w:rPr>
          <w:rFonts w:ascii="Verdana" w:hAnsi="Verdana"/>
          <w:sz w:val="16"/>
          <w:szCs w:val="16"/>
        </w:rPr>
        <w:tab/>
      </w:r>
      <w:r w:rsidRPr="00902126">
        <w:rPr>
          <w:rFonts w:ascii="Verdana" w:hAnsi="Verdana"/>
          <w:sz w:val="16"/>
          <w:szCs w:val="16"/>
        </w:rPr>
        <w:t xml:space="preserve">A saber: </w:t>
      </w:r>
      <w:r w:rsidRPr="00902126">
        <w:rPr>
          <w:rFonts w:ascii="Verdana" w:hAnsi="Verdana" w:cs="Verdana"/>
          <w:sz w:val="16"/>
          <w:szCs w:val="16"/>
          <w:lang w:val="es-ES"/>
        </w:rPr>
        <w:t>Egidia Gebia Bámaca Velásquez, Josefina Bámaca Velásquez, Alberta Velásquez, Rudy López Velásquez, Amín López, Oscar Rolando López y los demás miembros de la familia Bámaca Velásquez.</w:t>
      </w:r>
    </w:p>
  </w:footnote>
  <w:footnote w:id="4">
    <w:p w:rsidR="000E1BC8" w:rsidRPr="000E1BC8" w:rsidRDefault="000E1BC8" w:rsidP="000E1BC8">
      <w:pPr>
        <w:pStyle w:val="FootnoteText"/>
        <w:jc w:val="both"/>
        <w:rPr>
          <w:rFonts w:ascii="Verdana" w:hAnsi="Verdana"/>
          <w:sz w:val="16"/>
          <w:szCs w:val="16"/>
        </w:rPr>
      </w:pPr>
      <w:r w:rsidRPr="005E63C3">
        <w:rPr>
          <w:rStyle w:val="FootnoteReference"/>
          <w:rFonts w:ascii="Verdana" w:hAnsi="Verdana"/>
          <w:sz w:val="16"/>
          <w:szCs w:val="16"/>
        </w:rPr>
        <w:footnoteRef/>
      </w:r>
      <w:r w:rsidRPr="005E63C3">
        <w:rPr>
          <w:rFonts w:ascii="Verdana" w:hAnsi="Verdana"/>
          <w:sz w:val="16"/>
          <w:szCs w:val="16"/>
        </w:rPr>
        <w:t xml:space="preserve"> </w:t>
      </w:r>
      <w:r w:rsidRPr="005E63C3">
        <w:rPr>
          <w:rFonts w:ascii="Verdana" w:hAnsi="Verdana"/>
          <w:sz w:val="16"/>
          <w:szCs w:val="16"/>
        </w:rPr>
        <w:tab/>
      </w:r>
      <w:r w:rsidRPr="005E63C3">
        <w:rPr>
          <w:rFonts w:ascii="Verdana" w:hAnsi="Verdana" w:cstheme="minorHAnsi"/>
          <w:sz w:val="16"/>
          <w:szCs w:val="16"/>
          <w:lang w:val="es-ES"/>
        </w:rPr>
        <w:t xml:space="preserve">Sin perjuicio de ello, en sus observaciones de 23 de abril de 2009, la Comisión había señalado que valoraba “positivamente la coordinación de la implementación de las medidas” y consideró que la “reactivación de la investigación podría implicar una situación de grave riesgo” para los beneficiarios. Sin embargo, no realizó otras observaciones en concreto y en una consideración general, atinente a todos los beneficiarios, expresó que </w:t>
      </w:r>
      <w:r w:rsidRPr="005E63C3">
        <w:rPr>
          <w:rFonts w:ascii="Verdana" w:hAnsi="Verdana"/>
          <w:sz w:val="16"/>
          <w:szCs w:val="16"/>
          <w:lang w:val="es-MX"/>
        </w:rPr>
        <w:t>“valora[ba] la actitud constructiva del Estado” aunque este “no ha[bía] implementado a cabalidad las medidas”</w:t>
      </w:r>
      <w:r w:rsidRPr="005E63C3">
        <w:rPr>
          <w:rFonts w:ascii="Verdana" w:hAnsi="Verdana" w:cstheme="minorHAnsi"/>
          <w:sz w:val="16"/>
          <w:szCs w:val="16"/>
          <w:lang w:val="es-ES"/>
        </w:rPr>
        <w:t xml:space="preserve">. </w:t>
      </w:r>
      <w:r w:rsidRPr="005E63C3">
        <w:rPr>
          <w:rFonts w:ascii="Verdana" w:hAnsi="Verdana" w:cs="Verdana"/>
          <w:sz w:val="16"/>
          <w:szCs w:val="16"/>
          <w:lang w:val="es-ES"/>
        </w:rPr>
        <w:t>El 20 de agosto de 2012, la Comisión expresó que los representantes refirieron que Egidia Bámaca y sus familiares no tenían constancia respecto de que se les estuviera efectivamente brindando las medidas de protección acordadas, y que Josefina Bámaca había solicitado las medidas se implementaran de forma más discreta. La Comisión indicó que el Estado había brindado sólo información genérica respecto a la de los representantes, por tanto no le era posible contrastarla con el dicho de éstos.</w:t>
      </w:r>
    </w:p>
  </w:footnote>
  <w:footnote w:id="5">
    <w:p w:rsidR="000D3C49" w:rsidRPr="00902126" w:rsidRDefault="000D3C49" w:rsidP="003F627B">
      <w:pPr>
        <w:pStyle w:val="FootnoteText"/>
        <w:jc w:val="both"/>
        <w:rPr>
          <w:rFonts w:ascii="Verdana" w:hAnsi="Verdana"/>
          <w:sz w:val="16"/>
          <w:szCs w:val="16"/>
        </w:rPr>
      </w:pPr>
      <w:r w:rsidRPr="00902126">
        <w:rPr>
          <w:rStyle w:val="FootnoteReference"/>
          <w:rFonts w:ascii="Verdana" w:hAnsi="Verdana"/>
          <w:sz w:val="16"/>
          <w:szCs w:val="16"/>
        </w:rPr>
        <w:footnoteRef/>
      </w:r>
      <w:r w:rsidRPr="00902126">
        <w:rPr>
          <w:rFonts w:ascii="Verdana" w:hAnsi="Verdana"/>
          <w:sz w:val="16"/>
          <w:szCs w:val="16"/>
        </w:rPr>
        <w:t xml:space="preserve"> </w:t>
      </w:r>
      <w:r>
        <w:rPr>
          <w:rFonts w:ascii="Verdana" w:hAnsi="Verdana"/>
          <w:sz w:val="16"/>
          <w:szCs w:val="16"/>
        </w:rPr>
        <w:tab/>
      </w:r>
      <w:r w:rsidRPr="00902126">
        <w:rPr>
          <w:rFonts w:ascii="Verdana" w:hAnsi="Verdana"/>
          <w:i/>
          <w:sz w:val="16"/>
          <w:szCs w:val="16"/>
        </w:rPr>
        <w:t>Cfr.</w:t>
      </w:r>
      <w:r w:rsidRPr="00902126">
        <w:rPr>
          <w:rFonts w:ascii="Verdana" w:hAnsi="Verdana"/>
          <w:b/>
          <w:sz w:val="16"/>
          <w:szCs w:val="16"/>
        </w:rPr>
        <w:t xml:space="preserve"> </w:t>
      </w:r>
      <w:r w:rsidRPr="00902126">
        <w:rPr>
          <w:rStyle w:val="Strong"/>
          <w:rFonts w:ascii="Verdana" w:hAnsi="Verdana"/>
          <w:b w:val="0"/>
          <w:i/>
          <w:color w:val="000000"/>
          <w:sz w:val="16"/>
          <w:szCs w:val="16"/>
          <w:shd w:val="clear" w:color="auto" w:fill="FFFFFF"/>
          <w:lang w:val="es-MX"/>
        </w:rPr>
        <w:t>Caso García Prieto y otros Vs. El Salvador</w:t>
      </w:r>
      <w:r w:rsidRPr="00902126">
        <w:rPr>
          <w:rStyle w:val="Strong"/>
          <w:rFonts w:ascii="Verdana" w:hAnsi="Verdana"/>
          <w:b w:val="0"/>
          <w:color w:val="000000"/>
          <w:sz w:val="16"/>
          <w:szCs w:val="16"/>
          <w:shd w:val="clear" w:color="auto" w:fill="FFFFFF"/>
          <w:lang w:val="es-MX"/>
        </w:rPr>
        <w:t xml:space="preserve">. Medidas Provisionales. Resolución de la Corte </w:t>
      </w:r>
      <w:r>
        <w:rPr>
          <w:rStyle w:val="Strong"/>
          <w:rFonts w:ascii="Verdana" w:hAnsi="Verdana"/>
          <w:b w:val="0"/>
          <w:color w:val="000000"/>
          <w:sz w:val="16"/>
          <w:szCs w:val="16"/>
          <w:shd w:val="clear" w:color="auto" w:fill="FFFFFF"/>
          <w:lang w:val="es-MX"/>
        </w:rPr>
        <w:t>de 20 de noviembre de 2015, C</w:t>
      </w:r>
      <w:r w:rsidRPr="00902126">
        <w:rPr>
          <w:rStyle w:val="Strong"/>
          <w:rFonts w:ascii="Verdana" w:hAnsi="Verdana"/>
          <w:b w:val="0"/>
          <w:color w:val="000000"/>
          <w:sz w:val="16"/>
          <w:szCs w:val="16"/>
          <w:shd w:val="clear" w:color="auto" w:fill="FFFFFF"/>
          <w:lang w:val="es-MX"/>
        </w:rPr>
        <w:t>onsiderando 26.</w:t>
      </w:r>
    </w:p>
  </w:footnote>
  <w:footnote w:id="6">
    <w:p w:rsidR="000D3C49" w:rsidRPr="00902126" w:rsidRDefault="000D3C49" w:rsidP="003F627B">
      <w:pPr>
        <w:pStyle w:val="FootnoteText"/>
        <w:rPr>
          <w:rFonts w:ascii="Verdana" w:hAnsi="Verdana"/>
          <w:sz w:val="16"/>
          <w:szCs w:val="16"/>
        </w:rPr>
      </w:pPr>
      <w:r w:rsidRPr="00902126">
        <w:rPr>
          <w:rStyle w:val="FootnoteReference"/>
          <w:rFonts w:ascii="Verdana" w:hAnsi="Verdana"/>
          <w:sz w:val="16"/>
          <w:szCs w:val="16"/>
        </w:rPr>
        <w:footnoteRef/>
      </w:r>
      <w:r>
        <w:rPr>
          <w:rFonts w:ascii="Verdana" w:hAnsi="Verdana" w:cs="Verdana"/>
          <w:sz w:val="16"/>
          <w:szCs w:val="16"/>
          <w:lang w:val="es-ES"/>
        </w:rPr>
        <w:t xml:space="preserve"> </w:t>
      </w:r>
      <w:r>
        <w:rPr>
          <w:rFonts w:ascii="Verdana" w:hAnsi="Verdana" w:cs="Verdana"/>
          <w:sz w:val="16"/>
          <w:szCs w:val="16"/>
          <w:lang w:val="es-ES"/>
        </w:rPr>
        <w:tab/>
      </w:r>
      <w:r w:rsidRPr="00902126">
        <w:rPr>
          <w:rFonts w:ascii="Verdana" w:hAnsi="Verdana" w:cs="Verdana"/>
          <w:sz w:val="16"/>
          <w:szCs w:val="16"/>
          <w:lang w:val="es-ES"/>
        </w:rPr>
        <w:t>Otoniel de la Roca, Wendy Pérez Álvarez, Sulni Madeli Pérez Álvarez, José Oswaldo Pérez Álvarez, Jacobo Álvarez, José Pioquinto Álvarez, Alex Javier Álvarez, Germán Aníbal de la Roca Mendoza, Kevin Otoniel de la Roca Mendoza, y Blanca Noelia Meléndez.</w:t>
      </w:r>
    </w:p>
  </w:footnote>
  <w:footnote w:id="7">
    <w:p w:rsidR="000D3C49" w:rsidRPr="00E9481F" w:rsidRDefault="000D3C49" w:rsidP="005B080E">
      <w:pPr>
        <w:pStyle w:val="FootnoteText"/>
        <w:jc w:val="both"/>
        <w:rPr>
          <w:rFonts w:ascii="Verdana" w:hAnsi="Verdana"/>
          <w:b/>
          <w:sz w:val="16"/>
          <w:szCs w:val="16"/>
        </w:rPr>
      </w:pPr>
      <w:r w:rsidRPr="00BF6299">
        <w:rPr>
          <w:rStyle w:val="FootnoteReference"/>
          <w:rFonts w:ascii="Verdana" w:hAnsi="Verdana"/>
          <w:sz w:val="16"/>
          <w:szCs w:val="16"/>
        </w:rPr>
        <w:footnoteRef/>
      </w:r>
      <w:r>
        <w:rPr>
          <w:rFonts w:ascii="Verdana" w:hAnsi="Verdana"/>
          <w:b/>
          <w:sz w:val="16"/>
          <w:szCs w:val="16"/>
        </w:rPr>
        <w:tab/>
      </w:r>
      <w:r w:rsidRPr="000D3C49">
        <w:rPr>
          <w:rFonts w:ascii="Verdana" w:hAnsi="Verdana"/>
          <w:sz w:val="16"/>
          <w:szCs w:val="16"/>
        </w:rPr>
        <w:t>En términos similares, el 12 de agosto de 2016 el Estado reiteró que “se encuentra imposibilitado de conocer la situación de riesgo de [personas que están fuera del país] y en consecuencia, es materialmente imposible la implementación de ls[s] medida[s] provisional[es]”, por lo que “deja a consideración de la Corte […] dicha situación para que se tomen las medidas correspondientes”.</w:t>
      </w:r>
      <w:r w:rsidRPr="00E9481F">
        <w:rPr>
          <w:rFonts w:ascii="Verdana" w:hAnsi="Verdana"/>
          <w:b/>
          <w:sz w:val="16"/>
          <w:szCs w:val="16"/>
        </w:rPr>
        <w:t xml:space="preserve"> </w:t>
      </w:r>
    </w:p>
  </w:footnote>
  <w:footnote w:id="8">
    <w:p w:rsidR="000D3C49" w:rsidRPr="00902126" w:rsidRDefault="000D3C49" w:rsidP="003F627B">
      <w:pPr>
        <w:pStyle w:val="FootnoteText"/>
        <w:jc w:val="both"/>
        <w:rPr>
          <w:rFonts w:ascii="Verdana" w:hAnsi="Verdana"/>
          <w:sz w:val="16"/>
          <w:szCs w:val="16"/>
          <w:lang w:val="es-CR"/>
        </w:rPr>
      </w:pPr>
      <w:r w:rsidRPr="00902126">
        <w:rPr>
          <w:rStyle w:val="FootnoteReference"/>
          <w:rFonts w:ascii="Verdana" w:hAnsi="Verdana"/>
          <w:sz w:val="16"/>
          <w:szCs w:val="16"/>
        </w:rPr>
        <w:footnoteRef/>
      </w:r>
      <w:r w:rsidRPr="00902126">
        <w:rPr>
          <w:rFonts w:ascii="Verdana" w:hAnsi="Verdana"/>
          <w:sz w:val="16"/>
          <w:szCs w:val="16"/>
        </w:rPr>
        <w:t xml:space="preserve"> </w:t>
      </w:r>
      <w:r w:rsidRPr="00902126">
        <w:rPr>
          <w:rFonts w:ascii="Verdana" w:hAnsi="Verdana"/>
          <w:sz w:val="16"/>
          <w:szCs w:val="16"/>
        </w:rPr>
        <w:tab/>
      </w:r>
      <w:r w:rsidRPr="00902126">
        <w:rPr>
          <w:rFonts w:ascii="Verdana" w:hAnsi="Verdana"/>
          <w:sz w:val="16"/>
          <w:szCs w:val="16"/>
          <w:lang w:val="es-CR"/>
        </w:rPr>
        <w:t>Tal como lo informaron</w:t>
      </w:r>
      <w:r>
        <w:rPr>
          <w:rFonts w:ascii="Verdana" w:hAnsi="Verdana"/>
          <w:sz w:val="16"/>
          <w:szCs w:val="16"/>
          <w:lang w:val="es-CR"/>
        </w:rPr>
        <w:t xml:space="preserve"> los beneficiarios en sus observaciones de 19 de septiembre de 2013,</w:t>
      </w:r>
      <w:r w:rsidRPr="00902126">
        <w:rPr>
          <w:rFonts w:ascii="Verdana" w:hAnsi="Verdana"/>
          <w:sz w:val="16"/>
          <w:szCs w:val="16"/>
          <w:lang w:val="es-CR"/>
        </w:rPr>
        <w:t xml:space="preserve"> los cinco familiares d</w:t>
      </w:r>
      <w:r>
        <w:rPr>
          <w:rFonts w:ascii="Verdana" w:hAnsi="Verdana"/>
          <w:sz w:val="16"/>
          <w:szCs w:val="16"/>
          <w:lang w:val="es-CR"/>
        </w:rPr>
        <w:t>el señor Otoniel de la Roca que fueron asesinados después de</w:t>
      </w:r>
      <w:r w:rsidRPr="00902126">
        <w:rPr>
          <w:rFonts w:ascii="Verdana" w:hAnsi="Verdana"/>
          <w:sz w:val="16"/>
          <w:szCs w:val="16"/>
          <w:lang w:val="es-CR"/>
        </w:rPr>
        <w:t xml:space="preserve"> su declaración en el presente caso fueron: J</w:t>
      </w:r>
      <w:r>
        <w:rPr>
          <w:rFonts w:ascii="Verdana" w:hAnsi="Verdana"/>
          <w:sz w:val="16"/>
          <w:szCs w:val="16"/>
          <w:lang w:val="es-CR"/>
        </w:rPr>
        <w:t>osé Álvarez Mendoza asesinado</w:t>
      </w:r>
      <w:r w:rsidRPr="00902126">
        <w:rPr>
          <w:rFonts w:ascii="Verdana" w:hAnsi="Verdana"/>
          <w:sz w:val="16"/>
          <w:szCs w:val="16"/>
          <w:lang w:val="es-CR"/>
        </w:rPr>
        <w:t xml:space="preserve"> en </w:t>
      </w:r>
      <w:r>
        <w:rPr>
          <w:rFonts w:ascii="Verdana" w:hAnsi="Verdana"/>
          <w:sz w:val="16"/>
          <w:szCs w:val="16"/>
          <w:lang w:val="es-CR"/>
        </w:rPr>
        <w:t>el 2000, Byron Mendoza asesinado en el</w:t>
      </w:r>
      <w:r w:rsidRPr="00902126">
        <w:rPr>
          <w:rFonts w:ascii="Verdana" w:hAnsi="Verdana"/>
          <w:sz w:val="16"/>
          <w:szCs w:val="16"/>
          <w:lang w:val="es-CR"/>
        </w:rPr>
        <w:t xml:space="preserve"> 2002, Galindo Álvarez M</w:t>
      </w:r>
      <w:r>
        <w:rPr>
          <w:rFonts w:ascii="Verdana" w:hAnsi="Verdana"/>
          <w:sz w:val="16"/>
          <w:szCs w:val="16"/>
          <w:lang w:val="es-CR"/>
        </w:rPr>
        <w:t>endoza asesinado en el</w:t>
      </w:r>
      <w:r w:rsidRPr="00902126">
        <w:rPr>
          <w:rFonts w:ascii="Verdana" w:hAnsi="Verdana"/>
          <w:sz w:val="16"/>
          <w:szCs w:val="16"/>
          <w:lang w:val="es-CR"/>
        </w:rPr>
        <w:t xml:space="preserve"> 200</w:t>
      </w:r>
      <w:r>
        <w:rPr>
          <w:rFonts w:ascii="Verdana" w:hAnsi="Verdana"/>
          <w:sz w:val="16"/>
          <w:szCs w:val="16"/>
          <w:lang w:val="es-CR"/>
        </w:rPr>
        <w:t>3, Jesús Mendoza asesinado en el</w:t>
      </w:r>
      <w:r w:rsidRPr="00902126">
        <w:rPr>
          <w:rFonts w:ascii="Verdana" w:hAnsi="Verdana"/>
          <w:sz w:val="16"/>
          <w:szCs w:val="16"/>
          <w:lang w:val="es-CR"/>
        </w:rPr>
        <w:t xml:space="preserve"> 2004</w:t>
      </w:r>
      <w:r>
        <w:rPr>
          <w:rFonts w:ascii="Verdana" w:hAnsi="Verdana"/>
          <w:sz w:val="16"/>
          <w:szCs w:val="16"/>
          <w:lang w:val="es-CR"/>
        </w:rPr>
        <w:t>,</w:t>
      </w:r>
      <w:r w:rsidRPr="00902126">
        <w:rPr>
          <w:rFonts w:ascii="Verdana" w:hAnsi="Verdana"/>
          <w:sz w:val="16"/>
          <w:szCs w:val="16"/>
          <w:lang w:val="es-CR"/>
        </w:rPr>
        <w:t xml:space="preserve"> y Silvestre Alvarado asesinado en diciembre de 2010</w:t>
      </w:r>
      <w:r w:rsidRPr="000D3C49">
        <w:rPr>
          <w:rFonts w:ascii="Verdana" w:hAnsi="Verdana"/>
          <w:sz w:val="16"/>
          <w:szCs w:val="16"/>
          <w:lang w:val="es-CR"/>
        </w:rPr>
        <w:t>.</w:t>
      </w:r>
    </w:p>
  </w:footnote>
  <w:footnote w:id="9">
    <w:p w:rsidR="00E76FDB" w:rsidRPr="009A5D5D" w:rsidRDefault="00E76FDB" w:rsidP="00E76FDB">
      <w:pPr>
        <w:pStyle w:val="FootnoteText"/>
        <w:rPr>
          <w:rFonts w:ascii="Verdana" w:hAnsi="Verdana"/>
          <w:sz w:val="16"/>
          <w:szCs w:val="16"/>
        </w:rPr>
      </w:pPr>
      <w:r w:rsidRPr="009A5D5D">
        <w:rPr>
          <w:rStyle w:val="FootnoteReference"/>
          <w:rFonts w:ascii="Verdana" w:hAnsi="Verdana"/>
          <w:sz w:val="16"/>
          <w:szCs w:val="16"/>
        </w:rPr>
        <w:footnoteRef/>
      </w:r>
      <w:r w:rsidRPr="009A5D5D">
        <w:rPr>
          <w:rFonts w:ascii="Verdana" w:hAnsi="Verdana"/>
          <w:sz w:val="16"/>
          <w:szCs w:val="16"/>
        </w:rPr>
        <w:t xml:space="preserve"> </w:t>
      </w:r>
      <w:r w:rsidRPr="009A5D5D">
        <w:rPr>
          <w:rFonts w:ascii="Verdana" w:hAnsi="Verdana"/>
          <w:sz w:val="16"/>
          <w:szCs w:val="16"/>
        </w:rPr>
        <w:tab/>
      </w:r>
      <w:r w:rsidRPr="009A5D5D">
        <w:rPr>
          <w:rFonts w:ascii="Verdana" w:hAnsi="Verdana"/>
          <w:i/>
          <w:sz w:val="16"/>
          <w:szCs w:val="16"/>
        </w:rPr>
        <w:t>Asunto Haitianos y Dominicanos de origen haitiano en la República Dominicana</w:t>
      </w:r>
      <w:r w:rsidRPr="009A5D5D">
        <w:rPr>
          <w:rFonts w:ascii="Verdana" w:hAnsi="Verdana"/>
          <w:sz w:val="16"/>
          <w:szCs w:val="16"/>
        </w:rPr>
        <w:t>. Medidas Provisionales respecto República Dominicana. R</w:t>
      </w:r>
      <w:r w:rsidRPr="009A5D5D">
        <w:rPr>
          <w:rFonts w:ascii="Verdana" w:hAnsi="Verdana" w:cs="Times-Roman"/>
          <w:sz w:val="16"/>
          <w:szCs w:val="16"/>
          <w:lang w:val="es-CR" w:bidi="en-US"/>
        </w:rPr>
        <w:t>esolución de la Corte de 6 de julio de 2009,</w:t>
      </w:r>
      <w:r w:rsidRPr="009A5D5D">
        <w:rPr>
          <w:rFonts w:ascii="Verdana" w:hAnsi="Verdana"/>
          <w:sz w:val="16"/>
          <w:szCs w:val="16"/>
        </w:rPr>
        <w:t xml:space="preserve"> Considerando 31.</w:t>
      </w:r>
    </w:p>
  </w:footnote>
  <w:footnote w:id="10">
    <w:p w:rsidR="000D3C49" w:rsidRPr="00F97624" w:rsidRDefault="000D3C49" w:rsidP="002A2C6E">
      <w:pPr>
        <w:pStyle w:val="FootnoteText"/>
        <w:jc w:val="both"/>
        <w:rPr>
          <w:rFonts w:ascii="Verdana" w:hAnsi="Verdana"/>
          <w:b/>
          <w:sz w:val="16"/>
          <w:szCs w:val="16"/>
        </w:rPr>
      </w:pPr>
      <w:r w:rsidRPr="003625B8">
        <w:rPr>
          <w:rStyle w:val="FootnoteReference"/>
          <w:rFonts w:ascii="Verdana" w:hAnsi="Verdana"/>
          <w:sz w:val="16"/>
          <w:szCs w:val="16"/>
        </w:rPr>
        <w:footnoteRef/>
      </w:r>
      <w:r w:rsidRPr="003625B8">
        <w:rPr>
          <w:rFonts w:ascii="Verdana" w:hAnsi="Verdana"/>
          <w:sz w:val="16"/>
          <w:szCs w:val="16"/>
        </w:rPr>
        <w:t xml:space="preserve"> </w:t>
      </w:r>
      <w:r>
        <w:rPr>
          <w:rFonts w:ascii="Verdana" w:hAnsi="Verdana"/>
          <w:b/>
          <w:sz w:val="16"/>
          <w:szCs w:val="16"/>
        </w:rPr>
        <w:tab/>
      </w:r>
      <w:r w:rsidRPr="000D3C49">
        <w:rPr>
          <w:rFonts w:ascii="Verdana" w:hAnsi="Verdana"/>
          <w:sz w:val="16"/>
          <w:szCs w:val="16"/>
        </w:rPr>
        <w:t>Al respecto, señalaron que el proceso judicial estuvo paralizado entre abril de 2011 y noviembre de 2015, pero que actualmente se encuentra pendiente una audiencia ordenada por la Corte de Constitucionalidad guatemalteca para escuchar argumentos de las partes en relación con la autoejecutabilidad de diversas decisiones dictadas por la Corte Interamericana, entre las que figura la sentencia vinculada a la desaparición de Efraín Bámaca.</w:t>
      </w:r>
      <w:r w:rsidRPr="00F97624">
        <w:rPr>
          <w:rFonts w:ascii="Verdana" w:hAnsi="Verdana"/>
          <w:b/>
          <w:sz w:val="16"/>
          <w:szCs w:val="16"/>
        </w:rPr>
        <w:t xml:space="preserve"> </w:t>
      </w:r>
    </w:p>
  </w:footnote>
  <w:footnote w:id="11">
    <w:p w:rsidR="000D3C49" w:rsidRPr="00F97624" w:rsidRDefault="000D3C49" w:rsidP="003625B8">
      <w:pPr>
        <w:pStyle w:val="FootnoteText"/>
        <w:jc w:val="both"/>
        <w:rPr>
          <w:rFonts w:ascii="Verdana" w:hAnsi="Verdana"/>
          <w:sz w:val="16"/>
          <w:szCs w:val="16"/>
          <w:lang w:val="es-MX"/>
        </w:rPr>
      </w:pPr>
      <w:r w:rsidRPr="00F97624">
        <w:rPr>
          <w:rStyle w:val="FootnoteReference"/>
          <w:rFonts w:ascii="Verdana" w:hAnsi="Verdana"/>
          <w:sz w:val="16"/>
          <w:szCs w:val="16"/>
        </w:rPr>
        <w:footnoteRef/>
      </w:r>
      <w:r w:rsidRPr="00F97624">
        <w:rPr>
          <w:rFonts w:ascii="Verdana" w:hAnsi="Verdana"/>
          <w:sz w:val="16"/>
          <w:szCs w:val="16"/>
        </w:rPr>
        <w:t xml:space="preserve"> </w:t>
      </w:r>
      <w:r w:rsidRPr="00F97624">
        <w:rPr>
          <w:rFonts w:ascii="Verdana" w:hAnsi="Verdana"/>
          <w:sz w:val="16"/>
          <w:szCs w:val="16"/>
        </w:rPr>
        <w:tab/>
      </w:r>
      <w:r w:rsidRPr="00F97624">
        <w:rPr>
          <w:rFonts w:ascii="Verdana" w:hAnsi="Verdana"/>
          <w:i/>
          <w:sz w:val="16"/>
          <w:szCs w:val="16"/>
        </w:rPr>
        <w:t>Cfr. Asunto Liliana Ortega y otras</w:t>
      </w:r>
      <w:r w:rsidRPr="00F97624">
        <w:rPr>
          <w:rFonts w:ascii="Verdana" w:hAnsi="Verdana"/>
          <w:sz w:val="16"/>
          <w:szCs w:val="16"/>
        </w:rPr>
        <w:t>. Medidas Provisionales respecto de Venezuela. Resolución de la Corte de 9 de ju</w:t>
      </w:r>
      <w:r w:rsidR="003625B8">
        <w:rPr>
          <w:rFonts w:ascii="Verdana" w:hAnsi="Verdana"/>
          <w:sz w:val="16"/>
          <w:szCs w:val="16"/>
        </w:rPr>
        <w:t>lio de 2009, Considerando 22, y</w:t>
      </w:r>
      <w:r w:rsidRPr="00F97624">
        <w:rPr>
          <w:rFonts w:ascii="Verdana" w:hAnsi="Verdana"/>
          <w:i/>
          <w:sz w:val="16"/>
          <w:szCs w:val="16"/>
        </w:rPr>
        <w:t xml:space="preserve"> Asunto Rosendo Cantú y otra.</w:t>
      </w:r>
      <w:r w:rsidRPr="00F97624">
        <w:rPr>
          <w:rFonts w:ascii="Verdana" w:hAnsi="Verdana"/>
          <w:sz w:val="16"/>
          <w:szCs w:val="16"/>
        </w:rPr>
        <w:t xml:space="preserve"> Medidas provisionales respecto de México. Resolución de la Corte de 23 de febrero de 2016, Considerando 19. </w:t>
      </w:r>
    </w:p>
  </w:footnote>
  <w:footnote w:id="12">
    <w:p w:rsidR="000D3C49" w:rsidRPr="00F97624" w:rsidRDefault="000D3C49" w:rsidP="003625B8">
      <w:pPr>
        <w:pStyle w:val="FootnoteText"/>
        <w:jc w:val="both"/>
        <w:rPr>
          <w:rFonts w:ascii="Verdana" w:hAnsi="Verdana"/>
          <w:sz w:val="16"/>
          <w:szCs w:val="16"/>
          <w:lang w:val="es-MX"/>
        </w:rPr>
      </w:pPr>
      <w:r w:rsidRPr="006F1B72">
        <w:rPr>
          <w:rStyle w:val="FootnoteReference"/>
          <w:rFonts w:ascii="Verdana" w:hAnsi="Verdana"/>
          <w:sz w:val="16"/>
          <w:szCs w:val="16"/>
        </w:rPr>
        <w:footnoteRef/>
      </w:r>
      <w:r w:rsidRPr="006F1B72">
        <w:rPr>
          <w:rFonts w:ascii="Verdana" w:hAnsi="Verdana"/>
          <w:sz w:val="16"/>
          <w:szCs w:val="16"/>
        </w:rPr>
        <w:t xml:space="preserve"> </w:t>
      </w:r>
      <w:r w:rsidRPr="00F97624">
        <w:rPr>
          <w:rFonts w:ascii="Verdana" w:hAnsi="Verdana"/>
          <w:sz w:val="16"/>
          <w:szCs w:val="16"/>
        </w:rPr>
        <w:tab/>
      </w:r>
      <w:r w:rsidRPr="00F97624">
        <w:rPr>
          <w:rFonts w:ascii="Verdana" w:hAnsi="Verdana"/>
          <w:i/>
          <w:sz w:val="16"/>
          <w:szCs w:val="16"/>
        </w:rPr>
        <w:t>Cfr. Asunto Liliana Ortega y otras</w:t>
      </w:r>
      <w:r>
        <w:rPr>
          <w:rFonts w:ascii="Verdana" w:hAnsi="Verdana"/>
          <w:i/>
          <w:sz w:val="16"/>
          <w:szCs w:val="16"/>
        </w:rPr>
        <w:t>, supra</w:t>
      </w:r>
      <w:r w:rsidRPr="00F97624">
        <w:rPr>
          <w:rFonts w:ascii="Verdana" w:hAnsi="Verdana"/>
          <w:sz w:val="16"/>
          <w:szCs w:val="16"/>
        </w:rPr>
        <w:t xml:space="preserve">, Considerando 23, y </w:t>
      </w:r>
      <w:r w:rsidRPr="00F97624">
        <w:rPr>
          <w:rFonts w:ascii="Verdana" w:hAnsi="Verdana"/>
          <w:i/>
          <w:sz w:val="16"/>
          <w:szCs w:val="16"/>
        </w:rPr>
        <w:t>Asunto Rosendo Cantú y otra</w:t>
      </w:r>
      <w:r>
        <w:rPr>
          <w:rFonts w:ascii="Verdana" w:hAnsi="Verdana"/>
          <w:i/>
          <w:sz w:val="16"/>
          <w:szCs w:val="16"/>
        </w:rPr>
        <w:t>, supra</w:t>
      </w:r>
      <w:r w:rsidRPr="00F97624">
        <w:rPr>
          <w:rFonts w:ascii="Verdana" w:hAnsi="Verdana"/>
          <w:sz w:val="16"/>
          <w:szCs w:val="16"/>
        </w:rPr>
        <w:t>, Considerando 19.</w:t>
      </w:r>
    </w:p>
  </w:footnote>
  <w:footnote w:id="13">
    <w:p w:rsidR="000D3C49" w:rsidRPr="00F97624" w:rsidRDefault="000D3C49" w:rsidP="002A2C6E">
      <w:pPr>
        <w:pStyle w:val="FootnoteText"/>
        <w:rPr>
          <w:rFonts w:ascii="Verdana" w:hAnsi="Verdana"/>
          <w:sz w:val="16"/>
          <w:szCs w:val="16"/>
          <w:lang w:val="es-MX"/>
        </w:rPr>
      </w:pPr>
      <w:r w:rsidRPr="00F97624">
        <w:rPr>
          <w:rStyle w:val="FootnoteReference"/>
          <w:rFonts w:ascii="Verdana" w:hAnsi="Verdana"/>
          <w:sz w:val="16"/>
          <w:szCs w:val="16"/>
        </w:rPr>
        <w:footnoteRef/>
      </w:r>
      <w:r w:rsidRPr="00F97624">
        <w:rPr>
          <w:rFonts w:ascii="Verdana" w:hAnsi="Verdana"/>
          <w:sz w:val="16"/>
          <w:szCs w:val="16"/>
        </w:rPr>
        <w:t xml:space="preserve"> </w:t>
      </w:r>
      <w:r w:rsidRPr="00F97624">
        <w:rPr>
          <w:rFonts w:ascii="Verdana" w:hAnsi="Verdana"/>
          <w:sz w:val="16"/>
          <w:szCs w:val="16"/>
        </w:rPr>
        <w:tab/>
      </w:r>
      <w:r w:rsidRPr="00F97624">
        <w:rPr>
          <w:rFonts w:ascii="Verdana" w:hAnsi="Verdana"/>
          <w:i/>
          <w:sz w:val="16"/>
          <w:szCs w:val="16"/>
        </w:rPr>
        <w:t>Cfr. Asunto Carlos Nieto y otros</w:t>
      </w:r>
      <w:r w:rsidRPr="00F97624">
        <w:rPr>
          <w:rFonts w:ascii="Verdana" w:hAnsi="Verdana"/>
          <w:sz w:val="16"/>
          <w:szCs w:val="16"/>
        </w:rPr>
        <w:t xml:space="preserve">. Medidas Provisionales respecto de Venezuela. Resolución de la Corte de 26 de enero de 2009, Considerando 19, y </w:t>
      </w:r>
      <w:r w:rsidRPr="00F97624">
        <w:rPr>
          <w:rFonts w:ascii="Verdana" w:hAnsi="Verdana"/>
          <w:i/>
          <w:sz w:val="16"/>
          <w:szCs w:val="16"/>
        </w:rPr>
        <w:t>Asunto Rosendo Cantú y otra</w:t>
      </w:r>
      <w:r>
        <w:rPr>
          <w:rFonts w:ascii="Verdana" w:hAnsi="Verdana"/>
          <w:i/>
          <w:sz w:val="16"/>
          <w:szCs w:val="16"/>
        </w:rPr>
        <w:t>, supra</w:t>
      </w:r>
      <w:r w:rsidRPr="00F97624">
        <w:rPr>
          <w:rFonts w:ascii="Verdana" w:hAnsi="Verdana"/>
          <w:sz w:val="16"/>
          <w:szCs w:val="16"/>
        </w:rPr>
        <w:t>, Considerando 19.</w:t>
      </w:r>
    </w:p>
  </w:footnote>
  <w:footnote w:id="14">
    <w:p w:rsidR="000D3C49" w:rsidRPr="000D3C49" w:rsidRDefault="000D3C49">
      <w:pPr>
        <w:pStyle w:val="FootnoteText"/>
        <w:rPr>
          <w:lang w:val="es-MX"/>
        </w:rPr>
      </w:pPr>
      <w:r>
        <w:rPr>
          <w:rStyle w:val="FootnoteReference"/>
        </w:rPr>
        <w:footnoteRef/>
      </w:r>
      <w:r>
        <w:t xml:space="preserve"> </w:t>
      </w:r>
      <w:r>
        <w:tab/>
      </w:r>
      <w:r>
        <w:rPr>
          <w:rFonts w:ascii="Verdana" w:hAnsi="Verdana"/>
          <w:i/>
          <w:iCs/>
          <w:sz w:val="16"/>
          <w:szCs w:val="16"/>
        </w:rPr>
        <w:t>Cfr. Asunto Liliana Ortega y otras, supra</w:t>
      </w:r>
      <w:r>
        <w:rPr>
          <w:rFonts w:ascii="Verdana" w:hAnsi="Verdana"/>
          <w:sz w:val="16"/>
          <w:szCs w:val="16"/>
        </w:rPr>
        <w:t xml:space="preserve">, Considerandos 21 a 23, y </w:t>
      </w:r>
      <w:r>
        <w:rPr>
          <w:rFonts w:ascii="Verdana" w:hAnsi="Verdana"/>
          <w:i/>
          <w:iCs/>
          <w:sz w:val="16"/>
          <w:szCs w:val="16"/>
        </w:rPr>
        <w:t>Asunto Rosendo Cantú y otra, supra</w:t>
      </w:r>
      <w:r>
        <w:rPr>
          <w:rFonts w:ascii="Verdana" w:hAnsi="Verdana"/>
          <w:sz w:val="16"/>
          <w:szCs w:val="16"/>
        </w:rPr>
        <w:t>, Considerandos 19 y 20.</w:t>
      </w:r>
    </w:p>
  </w:footnote>
  <w:footnote w:id="15">
    <w:p w:rsidR="000D3C49" w:rsidRPr="00654879" w:rsidRDefault="000D3C49" w:rsidP="002A2C6E">
      <w:pPr>
        <w:pStyle w:val="FootnoteText"/>
        <w:rPr>
          <w:lang w:val="es-MX"/>
        </w:rPr>
      </w:pPr>
      <w:r w:rsidRPr="00F97624">
        <w:rPr>
          <w:rStyle w:val="FootnoteReference"/>
          <w:rFonts w:ascii="Verdana" w:hAnsi="Verdana"/>
          <w:sz w:val="16"/>
          <w:szCs w:val="16"/>
        </w:rPr>
        <w:footnoteRef/>
      </w:r>
      <w:r w:rsidRPr="00F97624">
        <w:rPr>
          <w:rFonts w:ascii="Verdana" w:hAnsi="Verdana"/>
          <w:sz w:val="16"/>
          <w:szCs w:val="16"/>
        </w:rPr>
        <w:t xml:space="preserve"> </w:t>
      </w:r>
      <w:r w:rsidRPr="00F97624">
        <w:rPr>
          <w:rFonts w:ascii="Verdana" w:hAnsi="Verdana"/>
          <w:sz w:val="16"/>
          <w:szCs w:val="16"/>
        </w:rPr>
        <w:tab/>
      </w:r>
      <w:r w:rsidRPr="00F97624">
        <w:rPr>
          <w:rFonts w:ascii="Verdana" w:hAnsi="Verdana"/>
          <w:i/>
          <w:sz w:val="16"/>
          <w:szCs w:val="16"/>
        </w:rPr>
        <w:t>Cfr. Asunto Rosendo Cantú y otra</w:t>
      </w:r>
      <w:r>
        <w:rPr>
          <w:rFonts w:ascii="Verdana" w:hAnsi="Verdana"/>
          <w:i/>
          <w:sz w:val="16"/>
          <w:szCs w:val="16"/>
        </w:rPr>
        <w:t>, supra</w:t>
      </w:r>
      <w:r w:rsidRPr="00F97624">
        <w:rPr>
          <w:rFonts w:ascii="Verdana" w:hAnsi="Verdana"/>
          <w:sz w:val="16"/>
          <w:szCs w:val="16"/>
        </w:rPr>
        <w:t>, Considerando 23.</w:t>
      </w:r>
    </w:p>
  </w:footnote>
  <w:footnote w:id="16">
    <w:p w:rsidR="000D3C49" w:rsidRPr="009A5D5D" w:rsidRDefault="000D3C49" w:rsidP="003F627B">
      <w:pPr>
        <w:pStyle w:val="FootnoteText"/>
        <w:jc w:val="both"/>
        <w:rPr>
          <w:rFonts w:ascii="Verdana" w:hAnsi="Verdana"/>
          <w:sz w:val="16"/>
          <w:szCs w:val="16"/>
          <w:lang w:val="es-MX"/>
        </w:rPr>
      </w:pPr>
      <w:r w:rsidRPr="00902126">
        <w:rPr>
          <w:rStyle w:val="FootnoteReference"/>
          <w:rFonts w:ascii="Verdana" w:hAnsi="Verdana"/>
          <w:sz w:val="16"/>
          <w:szCs w:val="16"/>
        </w:rPr>
        <w:footnoteRef/>
      </w:r>
      <w:r w:rsidRPr="00902126">
        <w:rPr>
          <w:rFonts w:ascii="Verdana" w:hAnsi="Verdana"/>
          <w:sz w:val="16"/>
          <w:szCs w:val="16"/>
          <w:lang w:val="es-MX"/>
        </w:rPr>
        <w:t xml:space="preserve"> </w:t>
      </w:r>
      <w:r w:rsidRPr="00902126">
        <w:rPr>
          <w:rFonts w:ascii="Verdana" w:hAnsi="Verdana"/>
          <w:sz w:val="16"/>
          <w:szCs w:val="16"/>
          <w:lang w:val="es-MX"/>
        </w:rPr>
        <w:tab/>
      </w:r>
      <w:r w:rsidRPr="00902126">
        <w:rPr>
          <w:rFonts w:ascii="Verdana" w:hAnsi="Verdana"/>
          <w:i/>
          <w:sz w:val="16"/>
          <w:szCs w:val="16"/>
          <w:lang w:val="es-MX"/>
        </w:rPr>
        <w:t xml:space="preserve">Cfr. </w:t>
      </w:r>
      <w:r w:rsidR="009A5D5D" w:rsidRPr="009A5D5D">
        <w:rPr>
          <w:rFonts w:ascii="Verdana" w:hAnsi="Verdana"/>
          <w:i/>
          <w:sz w:val="16"/>
          <w:szCs w:val="16"/>
          <w:lang w:val="es-MX"/>
        </w:rPr>
        <w:t xml:space="preserve">Asunto Juan Almonte Herrera y otros. </w:t>
      </w:r>
      <w:r w:rsidR="009A5D5D" w:rsidRPr="009A5D5D">
        <w:rPr>
          <w:rFonts w:ascii="Verdana" w:hAnsi="Verdana"/>
          <w:sz w:val="16"/>
          <w:szCs w:val="16"/>
          <w:lang w:val="es-MX"/>
        </w:rPr>
        <w:t>Medidas Provisionales respecto de República Dominicana. Resolución del Presidente de la Corte de 24 de marzo de 2010, Considerando 16</w:t>
      </w:r>
      <w:r w:rsidRPr="009A5D5D">
        <w:rPr>
          <w:rFonts w:ascii="Verdana" w:hAnsi="Verdana"/>
          <w:sz w:val="16"/>
          <w:szCs w:val="16"/>
          <w:lang w:val="es-MX"/>
        </w:rPr>
        <w:t>, y</w:t>
      </w:r>
      <w:r w:rsidRPr="00570413">
        <w:rPr>
          <w:rFonts w:ascii="Verdana" w:hAnsi="Verdana"/>
          <w:i/>
          <w:sz w:val="16"/>
          <w:szCs w:val="16"/>
        </w:rPr>
        <w:t xml:space="preserve"> </w:t>
      </w:r>
      <w:r w:rsidR="009A5D5D" w:rsidRPr="009A5D5D">
        <w:rPr>
          <w:rFonts w:ascii="Verdana" w:hAnsi="Verdana"/>
          <w:i/>
          <w:sz w:val="16"/>
          <w:szCs w:val="16"/>
        </w:rPr>
        <w:t xml:space="preserve">Caso Fernández Ortega y otros Vs. México. </w:t>
      </w:r>
      <w:r w:rsidR="009A5D5D" w:rsidRPr="009A5D5D">
        <w:rPr>
          <w:rFonts w:ascii="Verdana" w:hAnsi="Verdana"/>
          <w:sz w:val="16"/>
          <w:szCs w:val="16"/>
        </w:rPr>
        <w:t>Medidas Provisionales. Resolución de la Corte de 23 de febrero de 2016</w:t>
      </w:r>
      <w:r w:rsidRPr="009A5D5D">
        <w:rPr>
          <w:rFonts w:ascii="Verdana" w:hAnsi="Verdana"/>
          <w:sz w:val="16"/>
          <w:szCs w:val="16"/>
        </w:rPr>
        <w:t>, Considerando 18.</w:t>
      </w:r>
    </w:p>
  </w:footnote>
  <w:footnote w:id="17">
    <w:p w:rsidR="000D3C49" w:rsidRPr="009A5D5D" w:rsidRDefault="000D3C49" w:rsidP="000D3C49">
      <w:pPr>
        <w:pStyle w:val="FootnoteText"/>
        <w:jc w:val="both"/>
        <w:rPr>
          <w:rFonts w:ascii="Verdana" w:hAnsi="Verdana"/>
          <w:sz w:val="16"/>
          <w:szCs w:val="16"/>
        </w:rPr>
      </w:pPr>
      <w:r>
        <w:rPr>
          <w:rStyle w:val="FootnoteReference"/>
        </w:rPr>
        <w:footnoteRef/>
      </w:r>
      <w:r>
        <w:t xml:space="preserve">  </w:t>
      </w:r>
      <w:r>
        <w:tab/>
      </w:r>
      <w:r w:rsidRPr="009A5D5D">
        <w:rPr>
          <w:rFonts w:ascii="Verdana" w:hAnsi="Verdana"/>
          <w:i/>
          <w:sz w:val="16"/>
          <w:szCs w:val="16"/>
        </w:rPr>
        <w:t>Cfr.</w:t>
      </w:r>
      <w:r w:rsidRPr="009A5D5D">
        <w:rPr>
          <w:rFonts w:ascii="Verdana" w:hAnsi="Verdana"/>
          <w:sz w:val="16"/>
          <w:szCs w:val="16"/>
        </w:rPr>
        <w:t xml:space="preserve"> </w:t>
      </w:r>
      <w:r w:rsidRPr="009A5D5D">
        <w:rPr>
          <w:rStyle w:val="Strong"/>
          <w:rFonts w:ascii="Verdana" w:hAnsi="Verdana"/>
          <w:b w:val="0"/>
          <w:i/>
          <w:color w:val="000000"/>
          <w:sz w:val="16"/>
          <w:szCs w:val="16"/>
          <w:shd w:val="clear" w:color="auto" w:fill="FFFFFF"/>
        </w:rPr>
        <w:t xml:space="preserve">Asunto de la Emisora de Televisión "Globovisión" respecto de la República Bolivariana de Venezuela. </w:t>
      </w:r>
      <w:r w:rsidRPr="009A5D5D">
        <w:rPr>
          <w:rStyle w:val="Strong"/>
          <w:rFonts w:ascii="Verdana" w:hAnsi="Verdana"/>
          <w:b w:val="0"/>
          <w:color w:val="000000"/>
          <w:sz w:val="16"/>
          <w:szCs w:val="16"/>
          <w:shd w:val="clear" w:color="auto" w:fill="FFFFFF"/>
        </w:rPr>
        <w:t>Medidas Provisionales. Resolución de la Corte de 13 de noviembre de 2015, Considerando</w:t>
      </w:r>
      <w:r w:rsidR="003625B8" w:rsidRPr="009A5D5D">
        <w:rPr>
          <w:rStyle w:val="Strong"/>
          <w:rFonts w:ascii="Verdana" w:hAnsi="Verdana"/>
          <w:b w:val="0"/>
          <w:color w:val="000000"/>
          <w:sz w:val="16"/>
          <w:szCs w:val="16"/>
          <w:shd w:val="clear" w:color="auto" w:fill="FFFFFF"/>
        </w:rPr>
        <w:t xml:space="preserve"> 2.</w:t>
      </w:r>
    </w:p>
  </w:footnote>
  <w:footnote w:id="18">
    <w:p w:rsidR="000D3C49" w:rsidRPr="00902126" w:rsidRDefault="000D3C49" w:rsidP="003F627B">
      <w:pPr>
        <w:pStyle w:val="FootnoteText"/>
        <w:jc w:val="both"/>
        <w:rPr>
          <w:lang w:val="es-CR"/>
        </w:rPr>
      </w:pPr>
      <w:r w:rsidRPr="009A5D5D">
        <w:rPr>
          <w:rStyle w:val="FootnoteReference"/>
          <w:rFonts w:ascii="Verdana" w:hAnsi="Verdana"/>
          <w:sz w:val="16"/>
          <w:szCs w:val="16"/>
        </w:rPr>
        <w:footnoteRef/>
      </w:r>
      <w:r w:rsidRPr="009A5D5D">
        <w:rPr>
          <w:rFonts w:ascii="Verdana" w:hAnsi="Verdana"/>
          <w:sz w:val="16"/>
          <w:szCs w:val="16"/>
        </w:rPr>
        <w:t xml:space="preserve"> </w:t>
      </w:r>
      <w:r w:rsidRPr="009A5D5D">
        <w:rPr>
          <w:rFonts w:ascii="Verdana" w:hAnsi="Verdana"/>
          <w:sz w:val="16"/>
          <w:szCs w:val="16"/>
        </w:rPr>
        <w:tab/>
      </w:r>
      <w:r w:rsidRPr="009A5D5D">
        <w:rPr>
          <w:rFonts w:ascii="Verdana" w:hAnsi="Verdana"/>
          <w:i/>
          <w:sz w:val="16"/>
          <w:szCs w:val="16"/>
        </w:rPr>
        <w:t>Cfr. Caso Velásquez Rodríguez</w:t>
      </w:r>
      <w:r w:rsidR="003625B8" w:rsidRPr="009A5D5D">
        <w:rPr>
          <w:rFonts w:ascii="Verdana" w:hAnsi="Verdana"/>
          <w:i/>
          <w:sz w:val="16"/>
          <w:szCs w:val="16"/>
        </w:rPr>
        <w:t>.</w:t>
      </w:r>
      <w:r w:rsidRPr="009A5D5D">
        <w:rPr>
          <w:rFonts w:ascii="Verdana" w:hAnsi="Verdana"/>
          <w:i/>
          <w:sz w:val="16"/>
          <w:szCs w:val="16"/>
        </w:rPr>
        <w:t xml:space="preserve"> </w:t>
      </w:r>
      <w:r w:rsidRPr="009A5D5D">
        <w:rPr>
          <w:rFonts w:ascii="Verdana" w:hAnsi="Verdana"/>
          <w:sz w:val="16"/>
          <w:szCs w:val="16"/>
        </w:rPr>
        <w:t xml:space="preserve">Medidas Provisionales respecto de Honduras. Resolución de la Corte de 15 de enero de 1988, Considerando 3, y </w:t>
      </w:r>
      <w:r w:rsidRPr="009A5D5D">
        <w:rPr>
          <w:rStyle w:val="Strong"/>
          <w:rFonts w:ascii="Verdana" w:hAnsi="Verdana"/>
          <w:b w:val="0"/>
          <w:i/>
          <w:color w:val="000000"/>
          <w:sz w:val="16"/>
          <w:szCs w:val="16"/>
          <w:shd w:val="clear" w:color="auto" w:fill="FFFFFF"/>
        </w:rPr>
        <w:t>Caso Rosendo Cantú y otra, supra</w:t>
      </w:r>
      <w:r w:rsidRPr="009A5D5D">
        <w:rPr>
          <w:rStyle w:val="Strong"/>
          <w:rFonts w:ascii="Verdana" w:hAnsi="Verdana"/>
          <w:b w:val="0"/>
          <w:color w:val="000000"/>
          <w:sz w:val="16"/>
          <w:szCs w:val="16"/>
          <w:shd w:val="clear" w:color="auto" w:fill="FFFFFF"/>
        </w:rPr>
        <w:t>, Considerando 26.</w:t>
      </w:r>
    </w:p>
  </w:footnote>
  <w:footnote w:id="19">
    <w:p w:rsidR="009C70D9" w:rsidRPr="00A8586E" w:rsidRDefault="009C70D9" w:rsidP="009C70D9">
      <w:pPr>
        <w:pStyle w:val="FootnoteText"/>
        <w:jc w:val="both"/>
        <w:rPr>
          <w:lang w:val="es-ES"/>
        </w:rPr>
      </w:pPr>
      <w:r>
        <w:rPr>
          <w:rStyle w:val="FootnoteReference"/>
        </w:rPr>
        <w:footnoteRef/>
      </w:r>
      <w:r w:rsidRPr="00A8586E">
        <w:rPr>
          <w:lang w:val="es-ES"/>
        </w:rPr>
        <w:t xml:space="preserve"> Caso Bámaca Velásquez Vs. Guatemala. Reparaciones y Costas. Sentencia de 22 de febrero de 2002. </w:t>
      </w:r>
      <w:r w:rsidRPr="00C17990">
        <w:rPr>
          <w:lang w:val="es-ES"/>
        </w:rPr>
        <w:t>Serie C No. 91</w:t>
      </w:r>
    </w:p>
  </w:footnote>
  <w:footnote w:id="20">
    <w:p w:rsidR="009C70D9" w:rsidRPr="00A8586E" w:rsidRDefault="009C70D9" w:rsidP="009C70D9">
      <w:pPr>
        <w:pStyle w:val="FootnoteText"/>
        <w:jc w:val="both"/>
        <w:rPr>
          <w:lang w:val="es-ES"/>
        </w:rPr>
      </w:pPr>
      <w:r>
        <w:rPr>
          <w:rStyle w:val="FootnoteReference"/>
        </w:rPr>
        <w:footnoteRef/>
      </w:r>
      <w:r w:rsidRPr="00A8586E">
        <w:rPr>
          <w:lang w:val="es-ES"/>
        </w:rPr>
        <w:t xml:space="preserve"> Especi</w:t>
      </w:r>
      <w:r>
        <w:rPr>
          <w:lang w:val="es-ES"/>
        </w:rPr>
        <w:t xml:space="preserve">almente en los Votos </w:t>
      </w:r>
      <w:r w:rsidRPr="00A8586E">
        <w:rPr>
          <w:lang w:val="es-ES"/>
        </w:rPr>
        <w:t xml:space="preserve">relativos a  “Medidas Provisionales respecto de la República de Colombia, Caso Gutiérrez Soler Vs. Colombia”, de 30 de junio de 2011; “Medidas Provisionales respecto de los Estados Unidos Mexicanos, Caso Rosendo Cantú y otra Vs. México”, de 1 de julio de 2011, “Medidas Provisionales respecto de la República de Honduras, Caso Kawas Fernández Vs. Honduras”, de 5 de julio de 2011, </w:t>
      </w:r>
      <w:r>
        <w:rPr>
          <w:lang w:val="es-ES"/>
        </w:rPr>
        <w:t>“</w:t>
      </w:r>
      <w:r w:rsidRPr="00A8586E">
        <w:rPr>
          <w:lang w:val="es-ES"/>
        </w:rPr>
        <w:t>Caso Pacheco Teruel y otros respecto de Honduras</w:t>
      </w:r>
      <w:r>
        <w:rPr>
          <w:lang w:val="es-ES"/>
        </w:rPr>
        <w:t>”, de 13 de febrero de 2013; “</w:t>
      </w:r>
      <w:r w:rsidRPr="00A8586E">
        <w:rPr>
          <w:lang w:val="es-ES"/>
        </w:rPr>
        <w:t>Caso Familia Barrios respecto de Venezuela</w:t>
      </w:r>
      <w:r>
        <w:rPr>
          <w:lang w:val="es-ES"/>
        </w:rPr>
        <w:t>”, de 13 de febrero de 2013; “</w:t>
      </w:r>
      <w:r w:rsidRPr="00A8586E">
        <w:rPr>
          <w:lang w:val="es-ES"/>
        </w:rPr>
        <w:t>Asunto Millacura Llaipén y otros respecto de Argentina</w:t>
      </w:r>
      <w:r>
        <w:rPr>
          <w:lang w:val="es-ES"/>
        </w:rPr>
        <w:t>”, de 13 de febrero de 2013; “</w:t>
      </w:r>
      <w:r w:rsidRPr="00A8586E">
        <w:rPr>
          <w:lang w:val="es-ES"/>
        </w:rPr>
        <w:t>Caso Familia Barrios respecto de Venezuela</w:t>
      </w:r>
      <w:r>
        <w:rPr>
          <w:lang w:val="es-ES"/>
        </w:rPr>
        <w:t>”, de 30 de mayo de 2013; “</w:t>
      </w:r>
      <w:r w:rsidRPr="00A8586E">
        <w:rPr>
          <w:lang w:val="es-ES"/>
        </w:rPr>
        <w:t>Caso Artavia Murillo y otros ("Fecundación in vitro") Vs. Costa Rica</w:t>
      </w:r>
      <w:r>
        <w:rPr>
          <w:lang w:val="es-ES"/>
        </w:rPr>
        <w:t>”, de 31 de marzo de 2014</w:t>
      </w:r>
      <w:r w:rsidRPr="00A8586E">
        <w:rPr>
          <w:lang w:val="es-ES"/>
        </w:rPr>
        <w:t xml:space="preserve">, </w:t>
      </w:r>
      <w:r>
        <w:rPr>
          <w:lang w:val="es-ES"/>
        </w:rPr>
        <w:t>“</w:t>
      </w:r>
      <w:r w:rsidRPr="00A8586E">
        <w:rPr>
          <w:lang w:val="es-ES"/>
        </w:rPr>
        <w:t>Medidas Provisionales respecto de El Salvador, Caso García Prieto y otros</w:t>
      </w:r>
      <w:r>
        <w:rPr>
          <w:lang w:val="es-ES"/>
        </w:rPr>
        <w:t xml:space="preserve">”, de 26 enero de 2015 y </w:t>
      </w:r>
      <w:r w:rsidRPr="00FC7B58">
        <w:rPr>
          <w:lang w:val="es-ES"/>
        </w:rPr>
        <w:t>en el escrito de “Constancia de Queja” que, relacionado con las primeras Resoluciones mencionadas, presentó ante la Corte el 17 de agosto de 2011.</w:t>
      </w:r>
    </w:p>
  </w:footnote>
  <w:footnote w:id="21">
    <w:p w:rsidR="009C70D9" w:rsidRPr="00A376C7" w:rsidRDefault="009C70D9" w:rsidP="009C70D9">
      <w:pPr>
        <w:pStyle w:val="FootnoteText"/>
        <w:jc w:val="both"/>
        <w:rPr>
          <w:lang w:val="es-ES"/>
        </w:rPr>
      </w:pPr>
      <w:r>
        <w:rPr>
          <w:rStyle w:val="FootnoteReference"/>
        </w:rPr>
        <w:footnoteRef/>
      </w:r>
      <w:r w:rsidRPr="00A376C7">
        <w:rPr>
          <w:lang w:val="es-ES"/>
        </w:rPr>
        <w:t xml:space="preserve"> </w:t>
      </w:r>
      <w:r>
        <w:rPr>
          <w:lang w:val="es-ES"/>
        </w:rPr>
        <w:t xml:space="preserve">Art.67 </w:t>
      </w:r>
      <w:r w:rsidRPr="00A376C7">
        <w:rPr>
          <w:lang w:val="es-ES"/>
        </w:rPr>
        <w:t>de la Convención Americana sobre Derechos Humanos</w:t>
      </w:r>
      <w:r>
        <w:rPr>
          <w:lang w:val="es-ES"/>
        </w:rPr>
        <w:t>, en adelante, la Convención: “</w:t>
      </w:r>
      <w:r w:rsidRPr="00A376C7">
        <w:rPr>
          <w:lang w:val="es-ES"/>
        </w:rPr>
        <w:t>El fallo de la Corte será definitivo e inapelable. En caso de desacuerdo sobre el sentido o alcance del fallo, la Corte lo interpretará a solicitud de cualquiera de las partes, siempre que dicha solicitud se presente dentro de los noventa días a partir de la fecha de la notificación del fallo.</w:t>
      </w:r>
      <w:r>
        <w:rPr>
          <w:lang w:val="es-ES"/>
        </w:rPr>
        <w:t>”</w:t>
      </w:r>
    </w:p>
  </w:footnote>
  <w:footnote w:id="22">
    <w:p w:rsidR="009C70D9" w:rsidRPr="00470117" w:rsidRDefault="009C70D9" w:rsidP="009C70D9">
      <w:pPr>
        <w:pStyle w:val="FootnoteText"/>
        <w:jc w:val="both"/>
        <w:rPr>
          <w:lang w:val="es-ES"/>
        </w:rPr>
      </w:pPr>
      <w:r>
        <w:rPr>
          <w:rStyle w:val="FootnoteReference"/>
        </w:rPr>
        <w:footnoteRef/>
      </w:r>
      <w:r w:rsidRPr="00470117">
        <w:rPr>
          <w:lang w:val="es-ES"/>
        </w:rPr>
        <w:t xml:space="preserve"> </w:t>
      </w:r>
      <w:r>
        <w:rPr>
          <w:lang w:val="es-ES"/>
        </w:rPr>
        <w:t>En adelante la Corte.</w:t>
      </w:r>
    </w:p>
  </w:footnote>
  <w:footnote w:id="23">
    <w:p w:rsidR="009C70D9" w:rsidRDefault="009C70D9" w:rsidP="009C70D9">
      <w:pPr>
        <w:pStyle w:val="FootnoteText"/>
        <w:jc w:val="both"/>
        <w:rPr>
          <w:lang w:val="es-ES"/>
        </w:rPr>
      </w:pPr>
      <w:r>
        <w:rPr>
          <w:rStyle w:val="FootnoteReference"/>
        </w:rPr>
        <w:footnoteRef/>
      </w:r>
      <w:r w:rsidRPr="00A376C7">
        <w:rPr>
          <w:lang w:val="es-ES"/>
        </w:rPr>
        <w:t xml:space="preserve"> </w:t>
      </w:r>
      <w:r>
        <w:rPr>
          <w:lang w:val="es-ES"/>
        </w:rPr>
        <w:t>Art.63.2 de la Convención: “</w:t>
      </w:r>
      <w:r w:rsidRPr="00A376C7">
        <w:rPr>
          <w:lang w:val="es-ES"/>
        </w:rPr>
        <w:t>En casos de extrema gravedad y urgencia, y cuando se haga necesario evitar daños irreparables a las personas, la Corte, en los asuntos que esté conociendo, podrá tomar las medidas provisionales que considere pertinentes. Si se tratare de asuntos que aún no estén sometidos a su conocimiento, podrá actuar a solicitud de la Comisión.</w:t>
      </w:r>
      <w:r>
        <w:rPr>
          <w:lang w:val="es-ES"/>
        </w:rPr>
        <w:t>”</w:t>
      </w:r>
    </w:p>
    <w:p w:rsidR="009C70D9" w:rsidRPr="000344FD" w:rsidRDefault="009C70D9" w:rsidP="009C70D9">
      <w:pPr>
        <w:pStyle w:val="FootnoteText"/>
        <w:jc w:val="both"/>
        <w:rPr>
          <w:lang w:val="es-ES"/>
        </w:rPr>
      </w:pPr>
      <w:r>
        <w:rPr>
          <w:lang w:val="es-ES"/>
        </w:rPr>
        <w:t>Art.27 del Reglamento de la Corte, en adelante “el Reglamento”: “</w:t>
      </w:r>
      <w:r w:rsidRPr="000344FD">
        <w:rPr>
          <w:lang w:val="es-ES"/>
        </w:rPr>
        <w:t>1. En cualquier estado del procedimiento, s</w:t>
      </w:r>
      <w:r>
        <w:rPr>
          <w:lang w:val="es-ES"/>
        </w:rPr>
        <w:t xml:space="preserve">iempre que se trate de casos de </w:t>
      </w:r>
      <w:r w:rsidRPr="000344FD">
        <w:rPr>
          <w:lang w:val="es-ES"/>
        </w:rPr>
        <w:t>extrema gravedad y urgencia y cuando sea necesario</w:t>
      </w:r>
      <w:r>
        <w:rPr>
          <w:lang w:val="es-ES"/>
        </w:rPr>
        <w:t xml:space="preserve"> para evitar daños irreparables </w:t>
      </w:r>
      <w:r w:rsidRPr="000344FD">
        <w:rPr>
          <w:lang w:val="es-ES"/>
        </w:rPr>
        <w:t>a las personas, la Corte, de oficio, podrá ordena</w:t>
      </w:r>
      <w:r>
        <w:rPr>
          <w:lang w:val="es-ES"/>
        </w:rPr>
        <w:t xml:space="preserve">r las medidas provisionales que </w:t>
      </w:r>
      <w:r w:rsidRPr="000344FD">
        <w:rPr>
          <w:lang w:val="es-ES"/>
        </w:rPr>
        <w:t>considere pertinentes, en los términos del artículo 63.2 de la Convención.</w:t>
      </w:r>
    </w:p>
    <w:p w:rsidR="009C70D9" w:rsidRPr="000344FD" w:rsidRDefault="009C70D9" w:rsidP="009C70D9">
      <w:pPr>
        <w:pStyle w:val="FootnoteText"/>
        <w:jc w:val="both"/>
        <w:rPr>
          <w:lang w:val="es-ES"/>
        </w:rPr>
      </w:pPr>
      <w:r w:rsidRPr="000344FD">
        <w:rPr>
          <w:lang w:val="es-ES"/>
        </w:rPr>
        <w:t>2. Si se tratare de asuntos aún no sometidos a su conoci</w:t>
      </w:r>
      <w:r>
        <w:rPr>
          <w:lang w:val="es-ES"/>
        </w:rPr>
        <w:t xml:space="preserve">miento, la Corte podrá </w:t>
      </w:r>
      <w:r w:rsidRPr="000344FD">
        <w:rPr>
          <w:lang w:val="es-ES"/>
        </w:rPr>
        <w:t>actuar a solicitud de la Comisión.</w:t>
      </w:r>
    </w:p>
    <w:p w:rsidR="009C70D9" w:rsidRPr="000344FD" w:rsidRDefault="009C70D9" w:rsidP="009C70D9">
      <w:pPr>
        <w:pStyle w:val="FootnoteText"/>
        <w:jc w:val="both"/>
        <w:rPr>
          <w:lang w:val="es-ES"/>
        </w:rPr>
      </w:pPr>
      <w:r w:rsidRPr="000344FD">
        <w:rPr>
          <w:lang w:val="es-ES"/>
        </w:rPr>
        <w:t>3. En los casos contenciosos que se encuentren e</w:t>
      </w:r>
      <w:r>
        <w:rPr>
          <w:lang w:val="es-ES"/>
        </w:rPr>
        <w:t xml:space="preserve">n conocimiento de la Corte, las </w:t>
      </w:r>
      <w:r w:rsidRPr="000344FD">
        <w:rPr>
          <w:lang w:val="es-ES"/>
        </w:rPr>
        <w:t>víctimas o las presuntas víctimas, o sus r</w:t>
      </w:r>
      <w:r>
        <w:rPr>
          <w:lang w:val="es-ES"/>
        </w:rPr>
        <w:t xml:space="preserve">epresentantes, podrán presentar </w:t>
      </w:r>
      <w:r w:rsidRPr="000344FD">
        <w:rPr>
          <w:lang w:val="es-ES"/>
        </w:rPr>
        <w:t>directamente a ésta una solicitud de medidas provi</w:t>
      </w:r>
      <w:r>
        <w:rPr>
          <w:lang w:val="es-ES"/>
        </w:rPr>
        <w:t xml:space="preserve">sionales, las que deberán tener </w:t>
      </w:r>
      <w:r w:rsidRPr="000344FD">
        <w:rPr>
          <w:lang w:val="es-ES"/>
        </w:rPr>
        <w:t>relación con el objeto del caso.</w:t>
      </w:r>
    </w:p>
    <w:p w:rsidR="009C70D9" w:rsidRPr="000344FD" w:rsidRDefault="009C70D9" w:rsidP="009C70D9">
      <w:pPr>
        <w:pStyle w:val="FootnoteText"/>
        <w:jc w:val="both"/>
        <w:rPr>
          <w:lang w:val="es-ES"/>
        </w:rPr>
      </w:pPr>
      <w:r w:rsidRPr="000344FD">
        <w:rPr>
          <w:lang w:val="es-ES"/>
        </w:rPr>
        <w:t>4. La solicitud puede ser presentada a la Presiden</w:t>
      </w:r>
      <w:r>
        <w:rPr>
          <w:lang w:val="es-ES"/>
        </w:rPr>
        <w:t xml:space="preserve">cia, a cualquiera de los Jueces </w:t>
      </w:r>
      <w:r w:rsidRPr="000344FD">
        <w:rPr>
          <w:lang w:val="es-ES"/>
        </w:rPr>
        <w:t>o a la Secretaría, por cualquier medio de comunicación</w:t>
      </w:r>
      <w:r>
        <w:rPr>
          <w:lang w:val="es-ES"/>
        </w:rPr>
        <w:t xml:space="preserve">. En todo caso, quien reciba la </w:t>
      </w:r>
      <w:r w:rsidRPr="000344FD">
        <w:rPr>
          <w:lang w:val="es-ES"/>
        </w:rPr>
        <w:t>solicitud la pondrá de inmediato en conocimiento de la Presidencia.</w:t>
      </w:r>
    </w:p>
    <w:p w:rsidR="009C70D9" w:rsidRPr="000344FD" w:rsidRDefault="009C70D9" w:rsidP="009C70D9">
      <w:pPr>
        <w:pStyle w:val="FootnoteText"/>
        <w:jc w:val="both"/>
        <w:rPr>
          <w:lang w:val="es-ES"/>
        </w:rPr>
      </w:pPr>
      <w:r w:rsidRPr="000344FD">
        <w:rPr>
          <w:lang w:val="es-ES"/>
        </w:rPr>
        <w:t>5. La Corte o, si ésta no estuviere reunida, la</w:t>
      </w:r>
      <w:r>
        <w:rPr>
          <w:lang w:val="es-ES"/>
        </w:rPr>
        <w:t xml:space="preserve"> Presidencia, podrá requerir al </w:t>
      </w:r>
      <w:r w:rsidRPr="000344FD">
        <w:rPr>
          <w:lang w:val="es-ES"/>
        </w:rPr>
        <w:t>Estado, a la Comisión o a los representantes de los ben</w:t>
      </w:r>
      <w:r>
        <w:rPr>
          <w:lang w:val="es-ES"/>
        </w:rPr>
        <w:t xml:space="preserve">eficiarios, cuando lo considere </w:t>
      </w:r>
      <w:r w:rsidRPr="000344FD">
        <w:rPr>
          <w:lang w:val="es-ES"/>
        </w:rPr>
        <w:t>posible e indispensable, la presentación de inf</w:t>
      </w:r>
      <w:r>
        <w:rPr>
          <w:lang w:val="es-ES"/>
        </w:rPr>
        <w:t xml:space="preserve">ormación sobre una solicitud de </w:t>
      </w:r>
      <w:r w:rsidRPr="000344FD">
        <w:rPr>
          <w:lang w:val="es-ES"/>
        </w:rPr>
        <w:t>medidas provisionales, antes de resolver sobre la medida solicitada.</w:t>
      </w:r>
    </w:p>
    <w:p w:rsidR="009C70D9" w:rsidRPr="000344FD" w:rsidRDefault="009C70D9" w:rsidP="009C70D9">
      <w:pPr>
        <w:pStyle w:val="FootnoteText"/>
        <w:jc w:val="both"/>
        <w:rPr>
          <w:lang w:val="es-ES"/>
        </w:rPr>
      </w:pPr>
      <w:r w:rsidRPr="000344FD">
        <w:rPr>
          <w:lang w:val="es-ES"/>
        </w:rPr>
        <w:t>6. Si la Corte no estuviere reunida, la Presidenc</w:t>
      </w:r>
      <w:r>
        <w:rPr>
          <w:lang w:val="es-ES"/>
        </w:rPr>
        <w:t xml:space="preserve">ia, en consulta con la Comisión </w:t>
      </w:r>
      <w:r w:rsidRPr="000344FD">
        <w:rPr>
          <w:lang w:val="es-ES"/>
        </w:rPr>
        <w:t xml:space="preserve">Permanente y, de ser posible, con los demás Jueces, </w:t>
      </w:r>
      <w:r>
        <w:rPr>
          <w:lang w:val="es-ES"/>
        </w:rPr>
        <w:t xml:space="preserve">requerirá del Estado respectivo </w:t>
      </w:r>
      <w:r w:rsidRPr="000344FD">
        <w:rPr>
          <w:lang w:val="es-ES"/>
        </w:rPr>
        <w:t>que dicte las providencias urgentes necesarias a fin</w:t>
      </w:r>
      <w:r>
        <w:rPr>
          <w:lang w:val="es-ES"/>
        </w:rPr>
        <w:t xml:space="preserve"> de asegurar la eficacia de las </w:t>
      </w:r>
      <w:r w:rsidRPr="000344FD">
        <w:rPr>
          <w:lang w:val="es-ES"/>
        </w:rPr>
        <w:t>medidas provisionales que después pueda tomar la</w:t>
      </w:r>
      <w:r>
        <w:rPr>
          <w:lang w:val="es-ES"/>
        </w:rPr>
        <w:t xml:space="preserve"> Corte en su próximo período de </w:t>
      </w:r>
      <w:r w:rsidRPr="000344FD">
        <w:rPr>
          <w:lang w:val="es-ES"/>
        </w:rPr>
        <w:t>sesiones.</w:t>
      </w:r>
    </w:p>
    <w:p w:rsidR="009C70D9" w:rsidRPr="000344FD" w:rsidRDefault="009C70D9" w:rsidP="009C70D9">
      <w:pPr>
        <w:pStyle w:val="FootnoteText"/>
        <w:jc w:val="both"/>
        <w:rPr>
          <w:lang w:val="es-ES"/>
        </w:rPr>
      </w:pPr>
      <w:r w:rsidRPr="000344FD">
        <w:rPr>
          <w:lang w:val="es-ES"/>
        </w:rPr>
        <w:t>7. La supervisión de las medidas urgentes o provi</w:t>
      </w:r>
      <w:r>
        <w:rPr>
          <w:lang w:val="es-ES"/>
        </w:rPr>
        <w:t xml:space="preserve">sionales ordenadas se realizará </w:t>
      </w:r>
      <w:r w:rsidRPr="000344FD">
        <w:rPr>
          <w:lang w:val="es-ES"/>
        </w:rPr>
        <w:t>mediante la presentación de informes esta</w:t>
      </w:r>
      <w:r>
        <w:rPr>
          <w:lang w:val="es-ES"/>
        </w:rPr>
        <w:t xml:space="preserve">tales y de las correspondientes </w:t>
      </w:r>
      <w:r w:rsidRPr="000344FD">
        <w:rPr>
          <w:lang w:val="es-ES"/>
        </w:rPr>
        <w:t>observaciones a dichos informes por parte de los be</w:t>
      </w:r>
      <w:r>
        <w:rPr>
          <w:lang w:val="es-ES"/>
        </w:rPr>
        <w:t xml:space="preserve">neficiarios de dichas medidas o </w:t>
      </w:r>
      <w:r w:rsidRPr="000344FD">
        <w:rPr>
          <w:lang w:val="es-ES"/>
        </w:rPr>
        <w:t>sus representantes. La Comisión deberá present</w:t>
      </w:r>
      <w:r>
        <w:rPr>
          <w:lang w:val="es-ES"/>
        </w:rPr>
        <w:t xml:space="preserve">ar observaciones al informe del </w:t>
      </w:r>
      <w:r w:rsidRPr="000344FD">
        <w:rPr>
          <w:lang w:val="es-ES"/>
        </w:rPr>
        <w:t>Estado y a las observaciones de los beneficiarios de las medidas o sus</w:t>
      </w:r>
    </w:p>
    <w:p w:rsidR="009C70D9" w:rsidRPr="000344FD" w:rsidRDefault="009C70D9" w:rsidP="009C70D9">
      <w:pPr>
        <w:pStyle w:val="FootnoteText"/>
        <w:jc w:val="both"/>
        <w:rPr>
          <w:lang w:val="es-ES"/>
        </w:rPr>
      </w:pPr>
      <w:r w:rsidRPr="000344FD">
        <w:rPr>
          <w:lang w:val="es-ES"/>
        </w:rPr>
        <w:t>representantes.</w:t>
      </w:r>
    </w:p>
    <w:p w:rsidR="009C70D9" w:rsidRPr="000344FD" w:rsidRDefault="009C70D9" w:rsidP="009C70D9">
      <w:pPr>
        <w:pStyle w:val="FootnoteText"/>
        <w:jc w:val="both"/>
        <w:rPr>
          <w:lang w:val="es-ES"/>
        </w:rPr>
      </w:pPr>
      <w:r w:rsidRPr="000344FD">
        <w:rPr>
          <w:lang w:val="es-ES"/>
        </w:rPr>
        <w:t>8. En las circunstancias que estime pertinente, l</w:t>
      </w:r>
      <w:r>
        <w:rPr>
          <w:lang w:val="es-ES"/>
        </w:rPr>
        <w:t xml:space="preserve">a Corte podrá requerir de otras </w:t>
      </w:r>
      <w:r w:rsidRPr="000344FD">
        <w:rPr>
          <w:lang w:val="es-ES"/>
        </w:rPr>
        <w:t>fuentes de información datos relevantes sobre el as</w:t>
      </w:r>
      <w:r>
        <w:rPr>
          <w:lang w:val="es-ES"/>
        </w:rPr>
        <w:t xml:space="preserve">unto, que permitan apreciar la </w:t>
      </w:r>
      <w:r w:rsidRPr="000344FD">
        <w:rPr>
          <w:lang w:val="es-ES"/>
        </w:rPr>
        <w:t xml:space="preserve">gravedad y urgencia de la situación y la eficacia </w:t>
      </w:r>
      <w:r>
        <w:rPr>
          <w:lang w:val="es-ES"/>
        </w:rPr>
        <w:t xml:space="preserve">de las medidas. Para los mismos </w:t>
      </w:r>
      <w:r w:rsidRPr="000344FD">
        <w:rPr>
          <w:lang w:val="es-ES"/>
        </w:rPr>
        <w:t>efectos, podrá también requerir los peritajes e informes que considere oportunos.</w:t>
      </w:r>
    </w:p>
    <w:p w:rsidR="009C70D9" w:rsidRPr="000344FD" w:rsidRDefault="009C70D9" w:rsidP="009C70D9">
      <w:pPr>
        <w:pStyle w:val="FootnoteText"/>
        <w:jc w:val="both"/>
        <w:rPr>
          <w:lang w:val="es-ES"/>
        </w:rPr>
      </w:pPr>
      <w:r w:rsidRPr="000344FD">
        <w:rPr>
          <w:lang w:val="es-ES"/>
        </w:rPr>
        <w:t>9. La Corte, o su Presidencia si ésta no estuviere reunida, p</w:t>
      </w:r>
      <w:r>
        <w:rPr>
          <w:lang w:val="es-ES"/>
        </w:rPr>
        <w:t xml:space="preserve">odrá convocar a la </w:t>
      </w:r>
      <w:r w:rsidRPr="000344FD">
        <w:rPr>
          <w:lang w:val="es-ES"/>
        </w:rPr>
        <w:t>Comisión, a los beneficiarios de las medidas, o sus re</w:t>
      </w:r>
      <w:r>
        <w:rPr>
          <w:lang w:val="es-ES"/>
        </w:rPr>
        <w:t xml:space="preserve">presentantes, y al Estado a una </w:t>
      </w:r>
      <w:r w:rsidRPr="000344FD">
        <w:rPr>
          <w:lang w:val="es-ES"/>
        </w:rPr>
        <w:t>audiencia pública o privada sobre las medidas provisionales.</w:t>
      </w:r>
    </w:p>
    <w:p w:rsidR="009C70D9" w:rsidRPr="00A376C7" w:rsidRDefault="009C70D9" w:rsidP="009C70D9">
      <w:pPr>
        <w:pStyle w:val="FootnoteText"/>
        <w:jc w:val="both"/>
        <w:rPr>
          <w:lang w:val="es-ES"/>
        </w:rPr>
      </w:pPr>
      <w:r w:rsidRPr="000344FD">
        <w:rPr>
          <w:lang w:val="es-ES"/>
        </w:rPr>
        <w:t>10. La Corte incluirá en su informe anual a la A</w:t>
      </w:r>
      <w:r>
        <w:rPr>
          <w:lang w:val="es-ES"/>
        </w:rPr>
        <w:t xml:space="preserve">samblea General una relación de </w:t>
      </w:r>
      <w:r w:rsidRPr="000344FD">
        <w:rPr>
          <w:lang w:val="es-ES"/>
        </w:rPr>
        <w:t>las medidas provisionales que haya ordenado en e</w:t>
      </w:r>
      <w:r>
        <w:rPr>
          <w:lang w:val="es-ES"/>
        </w:rPr>
        <w:t xml:space="preserve">l período del informe y, cuando </w:t>
      </w:r>
      <w:r w:rsidRPr="000344FD">
        <w:rPr>
          <w:lang w:val="es-ES"/>
        </w:rPr>
        <w:t>dichas medidas no hayan sido debida</w:t>
      </w:r>
      <w:r>
        <w:rPr>
          <w:lang w:val="es-ES"/>
        </w:rPr>
        <w:t xml:space="preserve">mente ejecutadas, formulará las </w:t>
      </w:r>
      <w:r w:rsidRPr="000344FD">
        <w:rPr>
          <w:lang w:val="es-ES"/>
        </w:rPr>
        <w:t>recomendaciones que estime pertinentes.</w:t>
      </w:r>
      <w:r>
        <w:rPr>
          <w:lang w:val="es-ES"/>
        </w:rPr>
        <w:t>”</w:t>
      </w:r>
    </w:p>
  </w:footnote>
  <w:footnote w:id="24">
    <w:p w:rsidR="009C70D9" w:rsidRPr="00470117" w:rsidRDefault="009C70D9" w:rsidP="009C70D9">
      <w:pPr>
        <w:pStyle w:val="FootnoteText"/>
        <w:jc w:val="both"/>
        <w:rPr>
          <w:lang w:val="es-ES"/>
        </w:rPr>
      </w:pPr>
      <w:r>
        <w:rPr>
          <w:rStyle w:val="FootnoteReference"/>
        </w:rPr>
        <w:footnoteRef/>
      </w:r>
      <w:r w:rsidRPr="00470117">
        <w:rPr>
          <w:lang w:val="es-ES"/>
        </w:rPr>
        <w:t xml:space="preserve"> Art. </w:t>
      </w:r>
      <w:r>
        <w:rPr>
          <w:lang w:val="es-ES"/>
        </w:rPr>
        <w:t>6</w:t>
      </w:r>
      <w:r w:rsidRPr="00470117">
        <w:rPr>
          <w:lang w:val="es-ES"/>
        </w:rPr>
        <w:t>6</w:t>
      </w:r>
      <w:r>
        <w:rPr>
          <w:lang w:val="es-ES"/>
        </w:rPr>
        <w:t>.1</w:t>
      </w:r>
      <w:r w:rsidRPr="00470117">
        <w:rPr>
          <w:lang w:val="es-ES"/>
        </w:rPr>
        <w:t xml:space="preserve"> del Reglamento de la Corte: “Cuando en la sentencia de fondo no se h</w:t>
      </w:r>
      <w:r>
        <w:rPr>
          <w:lang w:val="es-ES"/>
        </w:rPr>
        <w:t xml:space="preserve">ubiere decidido específicamente </w:t>
      </w:r>
      <w:r w:rsidRPr="00470117">
        <w:rPr>
          <w:lang w:val="es-ES"/>
        </w:rPr>
        <w:t>sobre reparaciones y costas, la Corte fijará la oportunidad para su posterior decisión</w:t>
      </w:r>
      <w:r>
        <w:rPr>
          <w:lang w:val="es-ES"/>
        </w:rPr>
        <w:t xml:space="preserve"> y determinará el procedimiento.”</w:t>
      </w:r>
    </w:p>
  </w:footnote>
  <w:footnote w:id="25">
    <w:p w:rsidR="009C70D9" w:rsidRDefault="009C70D9" w:rsidP="009C70D9">
      <w:pPr>
        <w:pStyle w:val="FootnoteText"/>
        <w:jc w:val="both"/>
        <w:rPr>
          <w:lang w:val="es-ES"/>
        </w:rPr>
      </w:pPr>
      <w:r>
        <w:rPr>
          <w:rStyle w:val="FootnoteReference"/>
        </w:rPr>
        <w:footnoteRef/>
      </w:r>
      <w:r w:rsidRPr="00FC08B9">
        <w:rPr>
          <w:lang w:val="es-ES"/>
        </w:rPr>
        <w:t xml:space="preserve"> </w:t>
      </w:r>
      <w:r>
        <w:rPr>
          <w:lang w:val="es-ES"/>
        </w:rPr>
        <w:t>Art.67, segunda frase, de la Convención (</w:t>
      </w:r>
      <w:r>
        <w:rPr>
          <w:i/>
          <w:lang w:val="es-ES"/>
        </w:rPr>
        <w:t>supra</w:t>
      </w:r>
      <w:r>
        <w:rPr>
          <w:lang w:val="es-ES"/>
        </w:rPr>
        <w:t xml:space="preserve"> nota a pie de página 3)</w:t>
      </w:r>
    </w:p>
    <w:p w:rsidR="009C70D9" w:rsidRPr="00FC08B9" w:rsidRDefault="009C70D9" w:rsidP="009C70D9">
      <w:pPr>
        <w:pStyle w:val="FootnoteText"/>
        <w:jc w:val="both"/>
        <w:rPr>
          <w:lang w:val="es-ES"/>
        </w:rPr>
      </w:pPr>
      <w:r>
        <w:rPr>
          <w:lang w:val="es-ES"/>
        </w:rPr>
        <w:t>Art.68 del Reglamento de la Corte, en adelante el Reglamento: “</w:t>
      </w:r>
      <w:r w:rsidRPr="00FC08B9">
        <w:rPr>
          <w:lang w:val="es-ES"/>
        </w:rPr>
        <w:t xml:space="preserve">1. La solicitud de interpretación a que se refiere el artículo </w:t>
      </w:r>
      <w:r>
        <w:rPr>
          <w:lang w:val="es-ES"/>
        </w:rPr>
        <w:t xml:space="preserve">67 de la Convención </w:t>
      </w:r>
      <w:r w:rsidRPr="00FC08B9">
        <w:rPr>
          <w:lang w:val="es-ES"/>
        </w:rPr>
        <w:t xml:space="preserve">podrá promoverse en relación con las sentencias de </w:t>
      </w:r>
      <w:r>
        <w:rPr>
          <w:lang w:val="es-ES"/>
        </w:rPr>
        <w:t xml:space="preserve">excepciones preliminares, fondo </w:t>
      </w:r>
      <w:r w:rsidRPr="00FC08B9">
        <w:rPr>
          <w:lang w:val="es-ES"/>
        </w:rPr>
        <w:t>o reparaciones y costas y se presentará en la Secret</w:t>
      </w:r>
      <w:r>
        <w:rPr>
          <w:lang w:val="es-ES"/>
        </w:rPr>
        <w:t xml:space="preserve">aría de la Corte indicándose en </w:t>
      </w:r>
      <w:r w:rsidRPr="00FC08B9">
        <w:rPr>
          <w:lang w:val="es-ES"/>
        </w:rPr>
        <w:t>ella, con precisión, las cuestiones relativas al sentido o alcance de</w:t>
      </w:r>
      <w:r>
        <w:rPr>
          <w:lang w:val="es-ES"/>
        </w:rPr>
        <w:t xml:space="preserve"> la sentencia cuya </w:t>
      </w:r>
      <w:r w:rsidRPr="00FC08B9">
        <w:rPr>
          <w:lang w:val="es-ES"/>
        </w:rPr>
        <w:t>interpretación se pida.</w:t>
      </w:r>
    </w:p>
    <w:p w:rsidR="009C70D9" w:rsidRPr="00FC08B9" w:rsidRDefault="009C70D9" w:rsidP="009C70D9">
      <w:pPr>
        <w:pStyle w:val="FootnoteText"/>
        <w:jc w:val="both"/>
        <w:rPr>
          <w:lang w:val="es-ES"/>
        </w:rPr>
      </w:pPr>
      <w:r w:rsidRPr="00FC08B9">
        <w:rPr>
          <w:lang w:val="es-ES"/>
        </w:rPr>
        <w:t>2. El Secretario comunicará la solicitu</w:t>
      </w:r>
      <w:r>
        <w:rPr>
          <w:lang w:val="es-ES"/>
        </w:rPr>
        <w:t xml:space="preserve">d de interpretación a los demás </w:t>
      </w:r>
      <w:r w:rsidRPr="00FC08B9">
        <w:rPr>
          <w:lang w:val="es-ES"/>
        </w:rPr>
        <w:t>intervinientes en el caso, y les invitará a present</w:t>
      </w:r>
      <w:r>
        <w:rPr>
          <w:lang w:val="es-ES"/>
        </w:rPr>
        <w:t xml:space="preserve">ar las alegaciones escritas que </w:t>
      </w:r>
      <w:r w:rsidRPr="00FC08B9">
        <w:rPr>
          <w:lang w:val="es-ES"/>
        </w:rPr>
        <w:t>estimen pertinentes dentro del plazo fijado por la Presidencia.</w:t>
      </w:r>
    </w:p>
    <w:p w:rsidR="009C70D9" w:rsidRPr="00FC08B9" w:rsidRDefault="009C70D9" w:rsidP="009C70D9">
      <w:pPr>
        <w:pStyle w:val="FootnoteText"/>
        <w:jc w:val="both"/>
        <w:rPr>
          <w:lang w:val="es-ES"/>
        </w:rPr>
      </w:pPr>
      <w:r w:rsidRPr="00FC08B9">
        <w:rPr>
          <w:lang w:val="es-ES"/>
        </w:rPr>
        <w:t>3. Para el examen de la solicitud de interpreta</w:t>
      </w:r>
      <w:r>
        <w:rPr>
          <w:lang w:val="es-ES"/>
        </w:rPr>
        <w:t xml:space="preserve">ción la Corte se reunirá, si es </w:t>
      </w:r>
      <w:r w:rsidRPr="00FC08B9">
        <w:rPr>
          <w:lang w:val="es-ES"/>
        </w:rPr>
        <w:t>posible, con la composición que tenía al dictar la sen</w:t>
      </w:r>
      <w:r>
        <w:rPr>
          <w:lang w:val="es-ES"/>
        </w:rPr>
        <w:t xml:space="preserve">tencia respectiva. Sin embargo, </w:t>
      </w:r>
      <w:r w:rsidRPr="00FC08B9">
        <w:rPr>
          <w:lang w:val="es-ES"/>
        </w:rPr>
        <w:t>en caso de fallecimiento, renuncia, impedimen</w:t>
      </w:r>
      <w:r>
        <w:rPr>
          <w:lang w:val="es-ES"/>
        </w:rPr>
        <w:t xml:space="preserve">to, excusa o inhabilitación, se </w:t>
      </w:r>
      <w:r w:rsidRPr="00FC08B9">
        <w:rPr>
          <w:lang w:val="es-ES"/>
        </w:rPr>
        <w:t>sustituirá al Juez de que se trate según el artículo 17 de este Reglamento.</w:t>
      </w:r>
    </w:p>
    <w:p w:rsidR="009C70D9" w:rsidRPr="00FC08B9" w:rsidRDefault="009C70D9" w:rsidP="009C70D9">
      <w:pPr>
        <w:pStyle w:val="FootnoteText"/>
        <w:jc w:val="both"/>
        <w:rPr>
          <w:lang w:val="es-ES"/>
        </w:rPr>
      </w:pPr>
      <w:r w:rsidRPr="00FC08B9">
        <w:rPr>
          <w:lang w:val="es-ES"/>
        </w:rPr>
        <w:t>4. La solicitud de interpretación no suspenderá la ejecución de la sentencia.</w:t>
      </w:r>
    </w:p>
    <w:p w:rsidR="009C70D9" w:rsidRPr="00470117" w:rsidRDefault="009C70D9" w:rsidP="009C70D9">
      <w:pPr>
        <w:pStyle w:val="FootnoteText"/>
        <w:jc w:val="both"/>
        <w:rPr>
          <w:lang w:val="es-ES"/>
        </w:rPr>
      </w:pPr>
      <w:r w:rsidRPr="00FC08B9">
        <w:rPr>
          <w:lang w:val="es-ES"/>
        </w:rPr>
        <w:t xml:space="preserve">5. La Corte determinará el procedimiento que </w:t>
      </w:r>
      <w:r>
        <w:rPr>
          <w:lang w:val="es-ES"/>
        </w:rPr>
        <w:t xml:space="preserve">se seguirá y resolverá mediante </w:t>
      </w:r>
      <w:r w:rsidRPr="00FC08B9">
        <w:rPr>
          <w:lang w:val="es-ES"/>
        </w:rPr>
        <w:t>una sentencia.</w:t>
      </w:r>
      <w:r>
        <w:rPr>
          <w:lang w:val="es-ES"/>
        </w:rPr>
        <w:t>”</w:t>
      </w:r>
    </w:p>
  </w:footnote>
  <w:footnote w:id="26">
    <w:p w:rsidR="009C70D9" w:rsidRPr="00FC08B9" w:rsidRDefault="009C70D9" w:rsidP="009C70D9">
      <w:pPr>
        <w:pStyle w:val="FootnoteText"/>
        <w:jc w:val="both"/>
        <w:rPr>
          <w:lang w:val="es-ES"/>
        </w:rPr>
      </w:pPr>
      <w:r>
        <w:rPr>
          <w:rStyle w:val="FootnoteReference"/>
        </w:rPr>
        <w:footnoteRef/>
      </w:r>
      <w:r w:rsidRPr="00FC08B9">
        <w:rPr>
          <w:lang w:val="es-ES"/>
        </w:rPr>
        <w:t xml:space="preserve"> </w:t>
      </w:r>
      <w:r>
        <w:rPr>
          <w:lang w:val="es-ES"/>
        </w:rPr>
        <w:t>Art. 76 del Reglamento de la Corte: “</w:t>
      </w:r>
      <w:r w:rsidRPr="00FC08B9">
        <w:rPr>
          <w:lang w:val="es-ES"/>
        </w:rPr>
        <w:t>La Corte podrá, a iniciativa propia o a solicitud de p</w:t>
      </w:r>
      <w:r>
        <w:rPr>
          <w:lang w:val="es-ES"/>
        </w:rPr>
        <w:t xml:space="preserve">arte, presentada dentro del mes </w:t>
      </w:r>
      <w:r w:rsidRPr="00FC08B9">
        <w:rPr>
          <w:lang w:val="es-ES"/>
        </w:rPr>
        <w:t xml:space="preserve">siguiente a la notificación de la sentencia o resolución </w:t>
      </w:r>
      <w:r>
        <w:rPr>
          <w:lang w:val="es-ES"/>
        </w:rPr>
        <w:t xml:space="preserve">de que se trate, rectificar errores </w:t>
      </w:r>
      <w:r w:rsidRPr="00FC08B9">
        <w:rPr>
          <w:lang w:val="es-ES"/>
        </w:rPr>
        <w:t>notorios, de edición o de cálculo. De efectuars</w:t>
      </w:r>
      <w:r>
        <w:rPr>
          <w:lang w:val="es-ES"/>
        </w:rPr>
        <w:t xml:space="preserve">e alguna rectificación la Corte </w:t>
      </w:r>
      <w:r w:rsidRPr="00FC08B9">
        <w:rPr>
          <w:lang w:val="es-ES"/>
        </w:rPr>
        <w:t>la notificará a la Comisión, a las víctimas o sus repr</w:t>
      </w:r>
      <w:r>
        <w:rPr>
          <w:lang w:val="es-ES"/>
        </w:rPr>
        <w:t xml:space="preserve">esentantes, al Estado demandado </w:t>
      </w:r>
      <w:r w:rsidRPr="00FC08B9">
        <w:rPr>
          <w:lang w:val="es-ES"/>
        </w:rPr>
        <w:t>y, en su caso, al Estado demandante.</w:t>
      </w:r>
      <w:r>
        <w:rPr>
          <w:lang w:val="es-ES"/>
        </w:rPr>
        <w:t>”</w:t>
      </w:r>
    </w:p>
  </w:footnote>
  <w:footnote w:id="27">
    <w:p w:rsidR="009C70D9" w:rsidRPr="00FC08B9" w:rsidRDefault="009C70D9" w:rsidP="009C70D9">
      <w:pPr>
        <w:pStyle w:val="FootnoteText"/>
        <w:jc w:val="both"/>
        <w:rPr>
          <w:lang w:val="es-ES"/>
        </w:rPr>
      </w:pPr>
      <w:r>
        <w:rPr>
          <w:rStyle w:val="FootnoteReference"/>
        </w:rPr>
        <w:footnoteRef/>
      </w:r>
      <w:r w:rsidRPr="00FC08B9">
        <w:rPr>
          <w:lang w:val="es-ES"/>
        </w:rPr>
        <w:t xml:space="preserve"> </w:t>
      </w:r>
      <w:r>
        <w:rPr>
          <w:lang w:val="es-ES"/>
        </w:rPr>
        <w:t>Art.69 del Reglamento:  “</w:t>
      </w:r>
      <w:r w:rsidRPr="00FC08B9">
        <w:rPr>
          <w:lang w:val="es-ES"/>
        </w:rPr>
        <w:t>1. La supervisión de las sentencias y demás decisiones de la Corte se realizará</w:t>
      </w:r>
    </w:p>
    <w:p w:rsidR="009C70D9" w:rsidRPr="00FC08B9" w:rsidRDefault="009C70D9" w:rsidP="009C70D9">
      <w:pPr>
        <w:pStyle w:val="FootnoteText"/>
        <w:jc w:val="both"/>
        <w:rPr>
          <w:lang w:val="es-ES"/>
        </w:rPr>
      </w:pPr>
      <w:r w:rsidRPr="00FC08B9">
        <w:rPr>
          <w:lang w:val="es-ES"/>
        </w:rPr>
        <w:t>mediante la presentación de informes esta</w:t>
      </w:r>
      <w:r>
        <w:rPr>
          <w:lang w:val="es-ES"/>
        </w:rPr>
        <w:t xml:space="preserve">tales y de las correspondientes </w:t>
      </w:r>
      <w:r w:rsidRPr="00FC08B9">
        <w:rPr>
          <w:lang w:val="es-ES"/>
        </w:rPr>
        <w:t>observaciones a dichos informes por parte de las ví</w:t>
      </w:r>
      <w:r>
        <w:rPr>
          <w:lang w:val="es-ES"/>
        </w:rPr>
        <w:t xml:space="preserve">ctimas o sus representantes. La </w:t>
      </w:r>
      <w:r w:rsidRPr="00FC08B9">
        <w:rPr>
          <w:lang w:val="es-ES"/>
        </w:rPr>
        <w:t>Comisión deberá presentar observaciones al informe d</w:t>
      </w:r>
      <w:r>
        <w:rPr>
          <w:lang w:val="es-ES"/>
        </w:rPr>
        <w:t xml:space="preserve">el Estado y a las observaciones </w:t>
      </w:r>
      <w:r w:rsidRPr="00FC08B9">
        <w:rPr>
          <w:lang w:val="es-ES"/>
        </w:rPr>
        <w:t>de las víctimas o sus representantes.</w:t>
      </w:r>
    </w:p>
    <w:p w:rsidR="009C70D9" w:rsidRPr="00FC08B9" w:rsidRDefault="009C70D9" w:rsidP="009C70D9">
      <w:pPr>
        <w:pStyle w:val="FootnoteText"/>
        <w:jc w:val="both"/>
        <w:rPr>
          <w:lang w:val="es-ES"/>
        </w:rPr>
      </w:pPr>
      <w:r w:rsidRPr="00FC08B9">
        <w:rPr>
          <w:lang w:val="es-ES"/>
        </w:rPr>
        <w:t>2. La Corte podrá requerir a otras fuentes de inf</w:t>
      </w:r>
      <w:r>
        <w:rPr>
          <w:lang w:val="es-ES"/>
        </w:rPr>
        <w:t xml:space="preserve">ormación datos relevantes sobre </w:t>
      </w:r>
      <w:r w:rsidRPr="00FC08B9">
        <w:rPr>
          <w:lang w:val="es-ES"/>
        </w:rPr>
        <w:t xml:space="preserve">el caso, que permitan apreciar el cumplimiento. Para </w:t>
      </w:r>
      <w:r>
        <w:rPr>
          <w:lang w:val="es-ES"/>
        </w:rPr>
        <w:t xml:space="preserve">los mismos efectos podrá </w:t>
      </w:r>
      <w:r w:rsidRPr="00FC08B9">
        <w:rPr>
          <w:lang w:val="es-ES"/>
        </w:rPr>
        <w:t>también requerir los peritajes e informes que considere oportunos.</w:t>
      </w:r>
    </w:p>
    <w:p w:rsidR="009C70D9" w:rsidRPr="00FC08B9" w:rsidRDefault="009C70D9" w:rsidP="009C70D9">
      <w:pPr>
        <w:pStyle w:val="FootnoteText"/>
        <w:jc w:val="both"/>
        <w:rPr>
          <w:lang w:val="es-ES"/>
        </w:rPr>
      </w:pPr>
      <w:r w:rsidRPr="00FC08B9">
        <w:rPr>
          <w:lang w:val="es-ES"/>
        </w:rPr>
        <w:t>3. Cuando lo considere pertinente, el Tribunal p</w:t>
      </w:r>
      <w:r>
        <w:rPr>
          <w:lang w:val="es-ES"/>
        </w:rPr>
        <w:t xml:space="preserve">odrá convocar al Estado y a los </w:t>
      </w:r>
      <w:r w:rsidRPr="00FC08B9">
        <w:rPr>
          <w:lang w:val="es-ES"/>
        </w:rPr>
        <w:t>representantes de las víctimas a una audiencia par</w:t>
      </w:r>
      <w:r>
        <w:rPr>
          <w:lang w:val="es-ES"/>
        </w:rPr>
        <w:t xml:space="preserve">a supervisar el cumplimiento de </w:t>
      </w:r>
      <w:r w:rsidRPr="00FC08B9">
        <w:rPr>
          <w:lang w:val="es-ES"/>
        </w:rPr>
        <w:t>sus decisiones, y en ésta escuchará el parecer de la Comisión.</w:t>
      </w:r>
    </w:p>
    <w:p w:rsidR="009C70D9" w:rsidRPr="00FC08B9" w:rsidRDefault="009C70D9" w:rsidP="009C70D9">
      <w:pPr>
        <w:pStyle w:val="FootnoteText"/>
        <w:jc w:val="both"/>
        <w:rPr>
          <w:lang w:val="es-ES"/>
        </w:rPr>
      </w:pPr>
      <w:r w:rsidRPr="00FC08B9">
        <w:rPr>
          <w:lang w:val="es-ES"/>
        </w:rPr>
        <w:t>4. Una vez que el Tribunal cuente con la informa</w:t>
      </w:r>
      <w:r>
        <w:rPr>
          <w:lang w:val="es-ES"/>
        </w:rPr>
        <w:t xml:space="preserve">ción pertinente, determinará el </w:t>
      </w:r>
      <w:r w:rsidRPr="00FC08B9">
        <w:rPr>
          <w:lang w:val="es-ES"/>
        </w:rPr>
        <w:t>estado del cumplimiento de lo resuelto y emit</w:t>
      </w:r>
      <w:r>
        <w:rPr>
          <w:lang w:val="es-ES"/>
        </w:rPr>
        <w:t xml:space="preserve">irá las resoluciones que estime </w:t>
      </w:r>
      <w:r w:rsidRPr="00FC08B9">
        <w:rPr>
          <w:lang w:val="es-ES"/>
        </w:rPr>
        <w:t>pertinentes.</w:t>
      </w:r>
    </w:p>
    <w:p w:rsidR="009C70D9" w:rsidRPr="00FC08B9" w:rsidRDefault="009C70D9" w:rsidP="009C70D9">
      <w:pPr>
        <w:pStyle w:val="FootnoteText"/>
        <w:jc w:val="both"/>
        <w:rPr>
          <w:lang w:val="es-ES"/>
        </w:rPr>
      </w:pPr>
      <w:r w:rsidRPr="00FC08B9">
        <w:rPr>
          <w:lang w:val="es-ES"/>
        </w:rPr>
        <w:t>5. Estas disposiciones se aplican también</w:t>
      </w:r>
      <w:r>
        <w:rPr>
          <w:lang w:val="es-ES"/>
        </w:rPr>
        <w:t xml:space="preserve"> para casos no sometidos por la </w:t>
      </w:r>
      <w:r w:rsidRPr="00FC08B9">
        <w:rPr>
          <w:lang w:val="es-ES"/>
        </w:rPr>
        <w:t>Comisión.</w:t>
      </w:r>
      <w:r>
        <w:rPr>
          <w:lang w:val="es-ES"/>
        </w:rPr>
        <w:t>”</w:t>
      </w:r>
    </w:p>
  </w:footnote>
  <w:footnote w:id="28">
    <w:p w:rsidR="009C70D9" w:rsidRDefault="009C70D9" w:rsidP="009C70D9">
      <w:pPr>
        <w:pStyle w:val="FootnoteText"/>
        <w:jc w:val="both"/>
        <w:rPr>
          <w:lang w:val="es-ES"/>
        </w:rPr>
      </w:pPr>
      <w:r>
        <w:rPr>
          <w:rStyle w:val="FootnoteReference"/>
        </w:rPr>
        <w:footnoteRef/>
      </w:r>
      <w:r w:rsidRPr="000344FD">
        <w:rPr>
          <w:lang w:val="es-ES"/>
        </w:rPr>
        <w:t xml:space="preserve"> Art.65 de la Convención: “La Corte someterá a la consideración de la Asamblea General de la Organización en cada período ordinario de sesiones un informe sobre su labor en el año anterior. De manera especial y con las recomendaciones pertinentes, señalará los casos en que un Estado no haya dado cumplimiento a sus fallos.</w:t>
      </w:r>
      <w:r>
        <w:rPr>
          <w:lang w:val="es-ES"/>
        </w:rPr>
        <w:t>”</w:t>
      </w:r>
    </w:p>
    <w:p w:rsidR="009C70D9" w:rsidRPr="000344FD" w:rsidRDefault="009C70D9" w:rsidP="009C70D9">
      <w:pPr>
        <w:pStyle w:val="FootnoteText"/>
        <w:jc w:val="both"/>
        <w:rPr>
          <w:lang w:val="es-ES"/>
        </w:rPr>
      </w:pPr>
      <w:r>
        <w:rPr>
          <w:lang w:val="es-ES"/>
        </w:rPr>
        <w:t>Art.30 del Estatuto de la Corte: “</w:t>
      </w:r>
      <w:r w:rsidRPr="00F045C0">
        <w:rPr>
          <w:lang w:val="es-ES"/>
        </w:rPr>
        <w:t>La Corte someterá a la Asamblea General de la OEA, en cada período ordinario de sesiones, un informe de su labor en el año anterior. Señalará los casos en que un Estado no haya dado cumplimiento a sus fallos. Podrá también someter a la Asamblea General de la OEA proposiciones o recomendaciones para el mejoramiento del sistema interamericano de derechos humanos, en lo relacionado con el trabajo de la Corte.</w:t>
      </w:r>
      <w:r>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276411"/>
      <w:docPartObj>
        <w:docPartGallery w:val="Page Numbers (Top of Page)"/>
        <w:docPartUnique/>
      </w:docPartObj>
    </w:sdtPr>
    <w:sdtEndPr>
      <w:rPr>
        <w:noProof/>
      </w:rPr>
    </w:sdtEndPr>
    <w:sdtContent>
      <w:p w:rsidR="000D3C49" w:rsidRDefault="000D3C49">
        <w:pPr>
          <w:pStyle w:val="Header"/>
          <w:jc w:val="center"/>
        </w:pPr>
        <w:r>
          <w:fldChar w:fldCharType="begin"/>
        </w:r>
        <w:r>
          <w:instrText xml:space="preserve"> PAGE   \* MERGEFORMAT </w:instrText>
        </w:r>
        <w:r>
          <w:fldChar w:fldCharType="separate"/>
        </w:r>
        <w:r w:rsidR="00830C35">
          <w:rPr>
            <w:noProof/>
          </w:rPr>
          <w:t>4</w:t>
        </w:r>
        <w:r>
          <w:rPr>
            <w:noProof/>
          </w:rPr>
          <w:fldChar w:fldCharType="end"/>
        </w:r>
      </w:p>
    </w:sdtContent>
  </w:sdt>
  <w:p w:rsidR="000D3C49" w:rsidRDefault="000D3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069"/>
    <w:multiLevelType w:val="hybridMultilevel"/>
    <w:tmpl w:val="F32C71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522D6"/>
    <w:multiLevelType w:val="hybridMultilevel"/>
    <w:tmpl w:val="6BE0E14E"/>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EBC76E8"/>
    <w:multiLevelType w:val="hybridMultilevel"/>
    <w:tmpl w:val="E8A46442"/>
    <w:lvl w:ilvl="0" w:tplc="AFCCB602">
      <w:start w:val="57"/>
      <w:numFmt w:val="decimal"/>
      <w:lvlText w:val="%1."/>
      <w:lvlJc w:val="left"/>
      <w:pPr>
        <w:ind w:left="360" w:hanging="360"/>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92FCF"/>
    <w:multiLevelType w:val="hybridMultilevel"/>
    <w:tmpl w:val="CD9A2742"/>
    <w:lvl w:ilvl="0" w:tplc="7AD0E85E">
      <w:start w:val="1"/>
      <w:numFmt w:val="decimal"/>
      <w:lvlText w:val="%1."/>
      <w:lvlJc w:val="left"/>
      <w:pPr>
        <w:ind w:left="720" w:hanging="360"/>
      </w:pPr>
      <w:rPr>
        <w:rFonts w:ascii="Verdana" w:hAnsi="Verdana" w:hint="default"/>
        <w:sz w:val="20"/>
        <w:szCs w:val="20"/>
        <w:lang w:val="es-ES"/>
      </w:rPr>
    </w:lvl>
    <w:lvl w:ilvl="1" w:tplc="04090019">
      <w:start w:val="1"/>
      <w:numFmt w:val="lowerLetter"/>
      <w:lvlText w:val="%2."/>
      <w:lvlJc w:val="left"/>
      <w:pPr>
        <w:ind w:left="1440" w:hanging="360"/>
      </w:pPr>
    </w:lvl>
    <w:lvl w:ilvl="2" w:tplc="04090015">
      <w:start w:val="1"/>
      <w:numFmt w:val="upperLetter"/>
      <w:lvlText w:val="%3."/>
      <w:lvlJc w:val="left"/>
      <w:pPr>
        <w:ind w:left="1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81E0F"/>
    <w:multiLevelType w:val="hybridMultilevel"/>
    <w:tmpl w:val="A560DA98"/>
    <w:lvl w:ilvl="0" w:tplc="962EEF5C">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2F44555"/>
    <w:multiLevelType w:val="hybridMultilevel"/>
    <w:tmpl w:val="E74AB472"/>
    <w:lvl w:ilvl="0" w:tplc="E7E84FD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50DF7"/>
    <w:multiLevelType w:val="hybridMultilevel"/>
    <w:tmpl w:val="164EFFBA"/>
    <w:lvl w:ilvl="0" w:tplc="062E7FD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93F49"/>
    <w:multiLevelType w:val="hybridMultilevel"/>
    <w:tmpl w:val="B0BEED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143EA"/>
    <w:multiLevelType w:val="hybridMultilevel"/>
    <w:tmpl w:val="550E6C5C"/>
    <w:lvl w:ilvl="0" w:tplc="A73EAA20">
      <w:start w:val="44"/>
      <w:numFmt w:val="decimal"/>
      <w:lvlText w:val="%1."/>
      <w:lvlJc w:val="left"/>
      <w:pPr>
        <w:ind w:left="360" w:hanging="360"/>
      </w:pPr>
      <w:rPr>
        <w:rFonts w:ascii="Verdana" w:hAnsi="Verdana" w:hint="default"/>
        <w:b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1AC83235"/>
    <w:multiLevelType w:val="hybridMultilevel"/>
    <w:tmpl w:val="97C61B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BB4CEF"/>
    <w:multiLevelType w:val="hybridMultilevel"/>
    <w:tmpl w:val="7C903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DB67A5"/>
    <w:multiLevelType w:val="hybridMultilevel"/>
    <w:tmpl w:val="FF1EA5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A63B7"/>
    <w:multiLevelType w:val="hybridMultilevel"/>
    <w:tmpl w:val="A4D4F190"/>
    <w:lvl w:ilvl="0" w:tplc="A4281E8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0379A7"/>
    <w:multiLevelType w:val="hybridMultilevel"/>
    <w:tmpl w:val="B5563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49017B"/>
    <w:multiLevelType w:val="hybridMultilevel"/>
    <w:tmpl w:val="4920D6AE"/>
    <w:lvl w:ilvl="0" w:tplc="3718EE76">
      <w:start w:val="20"/>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47699"/>
    <w:multiLevelType w:val="hybridMultilevel"/>
    <w:tmpl w:val="87BCCD52"/>
    <w:lvl w:ilvl="0" w:tplc="81947E6C">
      <w:start w:val="3"/>
      <w:numFmt w:val="decimal"/>
      <w:lvlText w:val="%1."/>
      <w:lvlJc w:val="left"/>
      <w:pPr>
        <w:ind w:left="360" w:hanging="360"/>
      </w:pPr>
      <w:rPr>
        <w:rFonts w:ascii="Verdana" w:hAnsi="Verdana" w:hint="default"/>
        <w:b w:val="0"/>
        <w:sz w:val="20"/>
        <w:szCs w:val="20"/>
        <w:lang w:val="es-ES"/>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3E4F1D0B"/>
    <w:multiLevelType w:val="hybridMultilevel"/>
    <w:tmpl w:val="538A4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C22F0C"/>
    <w:multiLevelType w:val="hybridMultilevel"/>
    <w:tmpl w:val="BA665974"/>
    <w:lvl w:ilvl="0" w:tplc="26AE6A8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F262A9"/>
    <w:multiLevelType w:val="hybridMultilevel"/>
    <w:tmpl w:val="FB3A6274"/>
    <w:lvl w:ilvl="0" w:tplc="6C1AB31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6D528C"/>
    <w:multiLevelType w:val="hybridMultilevel"/>
    <w:tmpl w:val="AE6E3932"/>
    <w:lvl w:ilvl="0" w:tplc="8520BE1A">
      <w:start w:val="1"/>
      <w:numFmt w:val="decimal"/>
      <w:lvlText w:val="%1."/>
      <w:lvlJc w:val="left"/>
      <w:pPr>
        <w:ind w:left="720" w:hanging="360"/>
      </w:pPr>
      <w:rPr>
        <w:rFonts w:hint="default"/>
        <w:lang w:val="es-ES"/>
      </w:rPr>
    </w:lvl>
    <w:lvl w:ilvl="1" w:tplc="04090019">
      <w:start w:val="1"/>
      <w:numFmt w:val="lowerLetter"/>
      <w:lvlText w:val="%2."/>
      <w:lvlJc w:val="left"/>
      <w:pPr>
        <w:ind w:left="1440" w:hanging="360"/>
      </w:pPr>
    </w:lvl>
    <w:lvl w:ilvl="2" w:tplc="04090015">
      <w:start w:val="1"/>
      <w:numFmt w:val="upperLetter"/>
      <w:lvlText w:val="%3."/>
      <w:lvlJc w:val="left"/>
      <w:pPr>
        <w:ind w:left="1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EC6DA6"/>
    <w:multiLevelType w:val="hybridMultilevel"/>
    <w:tmpl w:val="B35A347E"/>
    <w:lvl w:ilvl="0" w:tplc="CD164E98">
      <w:start w:val="56"/>
      <w:numFmt w:val="decimal"/>
      <w:lvlText w:val="%1."/>
      <w:lvlJc w:val="left"/>
      <w:pPr>
        <w:ind w:left="644" w:hanging="360"/>
      </w:pPr>
      <w:rPr>
        <w:rFonts w:hint="default"/>
        <w:b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413134C2"/>
    <w:multiLevelType w:val="hybridMultilevel"/>
    <w:tmpl w:val="56AA4D9A"/>
    <w:lvl w:ilvl="0" w:tplc="416074F0">
      <w:start w:val="58"/>
      <w:numFmt w:val="decimal"/>
      <w:lvlText w:val="%1."/>
      <w:lvlJc w:val="left"/>
      <w:pPr>
        <w:ind w:left="5580" w:hanging="360"/>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A80BB0"/>
    <w:multiLevelType w:val="hybridMultilevel"/>
    <w:tmpl w:val="269A31EC"/>
    <w:lvl w:ilvl="0" w:tplc="72D48D34">
      <w:start w:val="22"/>
      <w:numFmt w:val="decimal"/>
      <w:lvlText w:val="%1."/>
      <w:lvlJc w:val="left"/>
      <w:pPr>
        <w:ind w:left="360" w:hanging="360"/>
      </w:pPr>
      <w:rPr>
        <w:rFonts w:ascii="Verdana" w:hAnsi="Verdana" w:hint="default"/>
        <w:b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42382FCD"/>
    <w:multiLevelType w:val="hybridMultilevel"/>
    <w:tmpl w:val="F3DE145A"/>
    <w:lvl w:ilvl="0" w:tplc="3DF2BC76">
      <w:start w:val="53"/>
      <w:numFmt w:val="decimal"/>
      <w:lvlText w:val="%1."/>
      <w:lvlJc w:val="left"/>
      <w:pPr>
        <w:ind w:left="360" w:hanging="360"/>
      </w:pPr>
      <w:rPr>
        <w:rFonts w:ascii="Verdana" w:hAnsi="Verdana" w:hint="default"/>
        <w:b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2614CB4"/>
    <w:multiLevelType w:val="hybridMultilevel"/>
    <w:tmpl w:val="C998871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44B646B8"/>
    <w:multiLevelType w:val="hybridMultilevel"/>
    <w:tmpl w:val="7F6CF1E0"/>
    <w:lvl w:ilvl="0" w:tplc="96C80A9E">
      <w:start w:val="49"/>
      <w:numFmt w:val="decimal"/>
      <w:lvlText w:val="%1."/>
      <w:lvlJc w:val="left"/>
      <w:pPr>
        <w:ind w:left="360" w:hanging="360"/>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24DA7"/>
    <w:multiLevelType w:val="hybridMultilevel"/>
    <w:tmpl w:val="7CE4DE54"/>
    <w:lvl w:ilvl="0" w:tplc="5498D776">
      <w:start w:val="4"/>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7">
    <w:nsid w:val="5581091D"/>
    <w:multiLevelType w:val="hybridMultilevel"/>
    <w:tmpl w:val="BA665974"/>
    <w:lvl w:ilvl="0" w:tplc="26AE6A8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9A1463"/>
    <w:multiLevelType w:val="hybridMultilevel"/>
    <w:tmpl w:val="ACE8D2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313565"/>
    <w:multiLevelType w:val="hybridMultilevel"/>
    <w:tmpl w:val="4A88AAA8"/>
    <w:lvl w:ilvl="0" w:tplc="6F30F108">
      <w:start w:val="20"/>
      <w:numFmt w:val="decimal"/>
      <w:lvlText w:val="%1."/>
      <w:lvlJc w:val="left"/>
      <w:pPr>
        <w:ind w:left="644" w:hanging="360"/>
      </w:pPr>
      <w:rPr>
        <w:rFonts w:ascii="Verdana" w:hAnsi="Verdan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D82B4E"/>
    <w:multiLevelType w:val="hybridMultilevel"/>
    <w:tmpl w:val="B0BEED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CD3C1B"/>
    <w:multiLevelType w:val="hybridMultilevel"/>
    <w:tmpl w:val="34A4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146AEE"/>
    <w:multiLevelType w:val="hybridMultilevel"/>
    <w:tmpl w:val="E848CB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202B96"/>
    <w:multiLevelType w:val="hybridMultilevel"/>
    <w:tmpl w:val="B0BEED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0D0138"/>
    <w:multiLevelType w:val="hybridMultilevel"/>
    <w:tmpl w:val="9C8AEFA8"/>
    <w:lvl w:ilvl="0" w:tplc="838046A4">
      <w:start w:val="1"/>
      <w:numFmt w:val="decimal"/>
      <w:lvlText w:val="%1."/>
      <w:lvlJc w:val="left"/>
      <w:pPr>
        <w:tabs>
          <w:tab w:val="num" w:pos="644"/>
        </w:tabs>
        <w:ind w:left="644" w:hanging="360"/>
      </w:pPr>
      <w:rPr>
        <w:rFonts w:ascii="Verdana" w:hAnsi="Verdana" w:hint="default"/>
        <w:b w:val="0"/>
        <w:i w:val="0"/>
        <w:color w:val="auto"/>
        <w:sz w:val="20"/>
        <w:szCs w:val="20"/>
        <w:lang w:val="es-ES_tradnl"/>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6A5C0A65"/>
    <w:multiLevelType w:val="hybridMultilevel"/>
    <w:tmpl w:val="E458AF7E"/>
    <w:lvl w:ilvl="0" w:tplc="3392F5CA">
      <w:start w:val="1"/>
      <w:numFmt w:val="decimal"/>
      <w:lvlText w:val="%1."/>
      <w:lvlJc w:val="left"/>
      <w:pPr>
        <w:ind w:left="360" w:hanging="360"/>
      </w:pPr>
      <w:rPr>
        <w:rFonts w:ascii="Verdana" w:hAnsi="Verdana" w:hint="default"/>
        <w:b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6A923AE9"/>
    <w:multiLevelType w:val="hybridMultilevel"/>
    <w:tmpl w:val="591857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835703"/>
    <w:multiLevelType w:val="hybridMultilevel"/>
    <w:tmpl w:val="8F80C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BD3831"/>
    <w:multiLevelType w:val="hybridMultilevel"/>
    <w:tmpl w:val="C7048B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112B77"/>
    <w:multiLevelType w:val="hybridMultilevel"/>
    <w:tmpl w:val="6668379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7A9615E8"/>
    <w:multiLevelType w:val="hybridMultilevel"/>
    <w:tmpl w:val="20DE3B5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B250BD7"/>
    <w:multiLevelType w:val="hybridMultilevel"/>
    <w:tmpl w:val="E9C85C1E"/>
    <w:lvl w:ilvl="0" w:tplc="14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28756C"/>
    <w:multiLevelType w:val="hybridMultilevel"/>
    <w:tmpl w:val="88DE2114"/>
    <w:lvl w:ilvl="0" w:tplc="0772156E">
      <w:start w:val="1"/>
      <w:numFmt w:val="decimal"/>
      <w:lvlText w:val="%1."/>
      <w:lvlJc w:val="left"/>
      <w:pPr>
        <w:tabs>
          <w:tab w:val="num" w:pos="540"/>
        </w:tabs>
        <w:ind w:left="540" w:hanging="360"/>
      </w:pPr>
      <w:rPr>
        <w:b w:val="0"/>
        <w:color w:val="auto"/>
        <w:lang w:val="es-ES"/>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num w:numId="1">
    <w:abstractNumId w:val="16"/>
  </w:num>
  <w:num w:numId="2">
    <w:abstractNumId w:val="15"/>
  </w:num>
  <w:num w:numId="3">
    <w:abstractNumId w:val="19"/>
  </w:num>
  <w:num w:numId="4">
    <w:abstractNumId w:val="12"/>
  </w:num>
  <w:num w:numId="5">
    <w:abstractNumId w:val="36"/>
  </w:num>
  <w:num w:numId="6">
    <w:abstractNumId w:val="10"/>
  </w:num>
  <w:num w:numId="7">
    <w:abstractNumId w:val="24"/>
  </w:num>
  <w:num w:numId="8">
    <w:abstractNumId w:val="37"/>
  </w:num>
  <w:num w:numId="9">
    <w:abstractNumId w:val="4"/>
  </w:num>
  <w:num w:numId="10">
    <w:abstractNumId w:val="40"/>
  </w:num>
  <w:num w:numId="11">
    <w:abstractNumId w:val="11"/>
  </w:num>
  <w:num w:numId="12">
    <w:abstractNumId w:val="5"/>
  </w:num>
  <w:num w:numId="13">
    <w:abstractNumId w:val="1"/>
  </w:num>
  <w:num w:numId="14">
    <w:abstractNumId w:val="13"/>
  </w:num>
  <w:num w:numId="15">
    <w:abstractNumId w:val="30"/>
  </w:num>
  <w:num w:numId="16">
    <w:abstractNumId w:val="27"/>
  </w:num>
  <w:num w:numId="17">
    <w:abstractNumId w:val="17"/>
  </w:num>
  <w:num w:numId="18">
    <w:abstractNumId w:val="39"/>
  </w:num>
  <w:num w:numId="19">
    <w:abstractNumId w:val="42"/>
  </w:num>
  <w:num w:numId="20">
    <w:abstractNumId w:val="18"/>
  </w:num>
  <w:num w:numId="21">
    <w:abstractNumId w:val="2"/>
  </w:num>
  <w:num w:numId="22">
    <w:abstractNumId w:val="25"/>
  </w:num>
  <w:num w:numId="23">
    <w:abstractNumId w:val="21"/>
  </w:num>
  <w:num w:numId="24">
    <w:abstractNumId w:val="0"/>
  </w:num>
  <w:num w:numId="25">
    <w:abstractNumId w:val="6"/>
  </w:num>
  <w:num w:numId="26">
    <w:abstractNumId w:val="28"/>
  </w:num>
  <w:num w:numId="27">
    <w:abstractNumId w:val="38"/>
  </w:num>
  <w:num w:numId="28">
    <w:abstractNumId w:val="26"/>
  </w:num>
  <w:num w:numId="29">
    <w:abstractNumId w:val="35"/>
  </w:num>
  <w:num w:numId="30">
    <w:abstractNumId w:val="22"/>
  </w:num>
  <w:num w:numId="31">
    <w:abstractNumId w:val="8"/>
  </w:num>
  <w:num w:numId="32">
    <w:abstractNumId w:val="23"/>
  </w:num>
  <w:num w:numId="33">
    <w:abstractNumId w:val="34"/>
  </w:num>
  <w:num w:numId="34">
    <w:abstractNumId w:val="29"/>
  </w:num>
  <w:num w:numId="35">
    <w:abstractNumId w:val="33"/>
  </w:num>
  <w:num w:numId="36">
    <w:abstractNumId w:val="7"/>
  </w:num>
  <w:num w:numId="37">
    <w:abstractNumId w:val="14"/>
  </w:num>
  <w:num w:numId="38">
    <w:abstractNumId w:val="31"/>
  </w:num>
  <w:num w:numId="39">
    <w:abstractNumId w:val="41"/>
  </w:num>
  <w:num w:numId="40">
    <w:abstractNumId w:val="9"/>
  </w:num>
  <w:num w:numId="41">
    <w:abstractNumId w:val="32"/>
  </w:num>
  <w:num w:numId="42">
    <w:abstractNumId w:val="3"/>
  </w:num>
  <w:num w:numId="43">
    <w:abstractNumId w:val="2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a claus caramelo">
    <w15:presenceInfo w15:providerId="Windows Live" w15:userId="03ed61dece718d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7B"/>
    <w:rsid w:val="000023F8"/>
    <w:rsid w:val="00004298"/>
    <w:rsid w:val="00010E17"/>
    <w:rsid w:val="00011994"/>
    <w:rsid w:val="000128FB"/>
    <w:rsid w:val="000317E2"/>
    <w:rsid w:val="00031919"/>
    <w:rsid w:val="00031BD8"/>
    <w:rsid w:val="00036C3D"/>
    <w:rsid w:val="00037399"/>
    <w:rsid w:val="0003786D"/>
    <w:rsid w:val="00041B09"/>
    <w:rsid w:val="00043404"/>
    <w:rsid w:val="00044545"/>
    <w:rsid w:val="00044E4C"/>
    <w:rsid w:val="0005185C"/>
    <w:rsid w:val="00052873"/>
    <w:rsid w:val="000563CA"/>
    <w:rsid w:val="00057267"/>
    <w:rsid w:val="00075F94"/>
    <w:rsid w:val="00085735"/>
    <w:rsid w:val="00093196"/>
    <w:rsid w:val="00093D94"/>
    <w:rsid w:val="000B5521"/>
    <w:rsid w:val="000C6EC2"/>
    <w:rsid w:val="000D25F6"/>
    <w:rsid w:val="000D3C49"/>
    <w:rsid w:val="000E1BC8"/>
    <w:rsid w:val="000F3073"/>
    <w:rsid w:val="000F50F8"/>
    <w:rsid w:val="00101680"/>
    <w:rsid w:val="00110072"/>
    <w:rsid w:val="00115BB5"/>
    <w:rsid w:val="001258DF"/>
    <w:rsid w:val="00131FDD"/>
    <w:rsid w:val="00141ED2"/>
    <w:rsid w:val="001466B8"/>
    <w:rsid w:val="0015277A"/>
    <w:rsid w:val="0016190F"/>
    <w:rsid w:val="0016468E"/>
    <w:rsid w:val="001675EE"/>
    <w:rsid w:val="00173398"/>
    <w:rsid w:val="0018584A"/>
    <w:rsid w:val="00186996"/>
    <w:rsid w:val="00191CA8"/>
    <w:rsid w:val="001945AA"/>
    <w:rsid w:val="00195857"/>
    <w:rsid w:val="001C33BE"/>
    <w:rsid w:val="001C34CD"/>
    <w:rsid w:val="001C53E6"/>
    <w:rsid w:val="001D0484"/>
    <w:rsid w:val="001D5765"/>
    <w:rsid w:val="001D6DE0"/>
    <w:rsid w:val="002072E7"/>
    <w:rsid w:val="002101F4"/>
    <w:rsid w:val="002102B7"/>
    <w:rsid w:val="00210597"/>
    <w:rsid w:val="002173E6"/>
    <w:rsid w:val="00227784"/>
    <w:rsid w:val="00233879"/>
    <w:rsid w:val="00256CF4"/>
    <w:rsid w:val="0026102D"/>
    <w:rsid w:val="002706AC"/>
    <w:rsid w:val="00274848"/>
    <w:rsid w:val="00277DD6"/>
    <w:rsid w:val="002A2C6E"/>
    <w:rsid w:val="002A7B14"/>
    <w:rsid w:val="002B3CE3"/>
    <w:rsid w:val="002B6BDD"/>
    <w:rsid w:val="002B768C"/>
    <w:rsid w:val="002C723D"/>
    <w:rsid w:val="002E0CC8"/>
    <w:rsid w:val="002E0DFF"/>
    <w:rsid w:val="002F3E32"/>
    <w:rsid w:val="00300F9F"/>
    <w:rsid w:val="00313699"/>
    <w:rsid w:val="00324CF1"/>
    <w:rsid w:val="0034262C"/>
    <w:rsid w:val="00355D43"/>
    <w:rsid w:val="00356385"/>
    <w:rsid w:val="00362288"/>
    <w:rsid w:val="003625B8"/>
    <w:rsid w:val="0036301B"/>
    <w:rsid w:val="0036638A"/>
    <w:rsid w:val="00380FB4"/>
    <w:rsid w:val="003925A1"/>
    <w:rsid w:val="003A4ADB"/>
    <w:rsid w:val="003B232C"/>
    <w:rsid w:val="003B5948"/>
    <w:rsid w:val="003B7208"/>
    <w:rsid w:val="003C1B51"/>
    <w:rsid w:val="003C2C0C"/>
    <w:rsid w:val="003C3FAB"/>
    <w:rsid w:val="003D05BB"/>
    <w:rsid w:val="003D1A61"/>
    <w:rsid w:val="003F250B"/>
    <w:rsid w:val="003F627B"/>
    <w:rsid w:val="00414E9F"/>
    <w:rsid w:val="00424DA8"/>
    <w:rsid w:val="0043068E"/>
    <w:rsid w:val="00431CE8"/>
    <w:rsid w:val="004347A7"/>
    <w:rsid w:val="00436E0C"/>
    <w:rsid w:val="00440773"/>
    <w:rsid w:val="00440F54"/>
    <w:rsid w:val="004416C6"/>
    <w:rsid w:val="00446A3F"/>
    <w:rsid w:val="00447167"/>
    <w:rsid w:val="00462F09"/>
    <w:rsid w:val="00464CD5"/>
    <w:rsid w:val="0047098C"/>
    <w:rsid w:val="00486466"/>
    <w:rsid w:val="004A4A7E"/>
    <w:rsid w:val="004A4B08"/>
    <w:rsid w:val="004A4C5A"/>
    <w:rsid w:val="004A5B9D"/>
    <w:rsid w:val="004B021C"/>
    <w:rsid w:val="004B0D12"/>
    <w:rsid w:val="004B36BD"/>
    <w:rsid w:val="004C57FE"/>
    <w:rsid w:val="004D1087"/>
    <w:rsid w:val="004D38EB"/>
    <w:rsid w:val="00504B58"/>
    <w:rsid w:val="0052200C"/>
    <w:rsid w:val="00531DC8"/>
    <w:rsid w:val="005336B1"/>
    <w:rsid w:val="00566E5B"/>
    <w:rsid w:val="00577E46"/>
    <w:rsid w:val="005967E6"/>
    <w:rsid w:val="00597A44"/>
    <w:rsid w:val="005A050C"/>
    <w:rsid w:val="005B080E"/>
    <w:rsid w:val="005C5E4F"/>
    <w:rsid w:val="005D1634"/>
    <w:rsid w:val="005D5378"/>
    <w:rsid w:val="005E63C3"/>
    <w:rsid w:val="005E72A5"/>
    <w:rsid w:val="005F2E30"/>
    <w:rsid w:val="005F70A7"/>
    <w:rsid w:val="00600AB9"/>
    <w:rsid w:val="006153BD"/>
    <w:rsid w:val="00615585"/>
    <w:rsid w:val="00615CD7"/>
    <w:rsid w:val="00621FE5"/>
    <w:rsid w:val="00622A5C"/>
    <w:rsid w:val="0062739F"/>
    <w:rsid w:val="0063186B"/>
    <w:rsid w:val="00633565"/>
    <w:rsid w:val="00640FFD"/>
    <w:rsid w:val="00650BB1"/>
    <w:rsid w:val="00680D26"/>
    <w:rsid w:val="00680D84"/>
    <w:rsid w:val="00691DE2"/>
    <w:rsid w:val="00693229"/>
    <w:rsid w:val="006C13E2"/>
    <w:rsid w:val="006E51DE"/>
    <w:rsid w:val="006F1B72"/>
    <w:rsid w:val="006F4484"/>
    <w:rsid w:val="00712B65"/>
    <w:rsid w:val="00722717"/>
    <w:rsid w:val="007356EE"/>
    <w:rsid w:val="00743B65"/>
    <w:rsid w:val="00756188"/>
    <w:rsid w:val="00771BC0"/>
    <w:rsid w:val="00783B96"/>
    <w:rsid w:val="00785B58"/>
    <w:rsid w:val="007921ED"/>
    <w:rsid w:val="00793113"/>
    <w:rsid w:val="00794F52"/>
    <w:rsid w:val="007971EA"/>
    <w:rsid w:val="007A7949"/>
    <w:rsid w:val="007B5127"/>
    <w:rsid w:val="007B5CFE"/>
    <w:rsid w:val="007B6D1B"/>
    <w:rsid w:val="007D2294"/>
    <w:rsid w:val="007E31A7"/>
    <w:rsid w:val="007E5691"/>
    <w:rsid w:val="007F3C2B"/>
    <w:rsid w:val="00814F11"/>
    <w:rsid w:val="00830C35"/>
    <w:rsid w:val="008419D8"/>
    <w:rsid w:val="00842492"/>
    <w:rsid w:val="00864EF3"/>
    <w:rsid w:val="00867ED0"/>
    <w:rsid w:val="0087456D"/>
    <w:rsid w:val="008818F8"/>
    <w:rsid w:val="00885E03"/>
    <w:rsid w:val="00885FDF"/>
    <w:rsid w:val="008867A8"/>
    <w:rsid w:val="008933F1"/>
    <w:rsid w:val="008A065C"/>
    <w:rsid w:val="008A5395"/>
    <w:rsid w:val="008B079C"/>
    <w:rsid w:val="008B3D63"/>
    <w:rsid w:val="008C4979"/>
    <w:rsid w:val="008C62C2"/>
    <w:rsid w:val="008C6587"/>
    <w:rsid w:val="008D3B6B"/>
    <w:rsid w:val="008D7E1B"/>
    <w:rsid w:val="008E3EE3"/>
    <w:rsid w:val="008E43CC"/>
    <w:rsid w:val="008F2C0C"/>
    <w:rsid w:val="008F5BFC"/>
    <w:rsid w:val="0090272D"/>
    <w:rsid w:val="00903567"/>
    <w:rsid w:val="00905D28"/>
    <w:rsid w:val="00937497"/>
    <w:rsid w:val="009554A3"/>
    <w:rsid w:val="00961024"/>
    <w:rsid w:val="009612B8"/>
    <w:rsid w:val="00963288"/>
    <w:rsid w:val="0096335F"/>
    <w:rsid w:val="00966699"/>
    <w:rsid w:val="009742F6"/>
    <w:rsid w:val="009746C5"/>
    <w:rsid w:val="00991CB4"/>
    <w:rsid w:val="009A0F95"/>
    <w:rsid w:val="009A16E6"/>
    <w:rsid w:val="009A5D5D"/>
    <w:rsid w:val="009C401A"/>
    <w:rsid w:val="009C6D56"/>
    <w:rsid w:val="009C70D9"/>
    <w:rsid w:val="009D3286"/>
    <w:rsid w:val="009D56A5"/>
    <w:rsid w:val="009E36A8"/>
    <w:rsid w:val="009E5443"/>
    <w:rsid w:val="009E6E0E"/>
    <w:rsid w:val="009F4D69"/>
    <w:rsid w:val="00A12418"/>
    <w:rsid w:val="00A26EED"/>
    <w:rsid w:val="00A274B3"/>
    <w:rsid w:val="00A33882"/>
    <w:rsid w:val="00A40F88"/>
    <w:rsid w:val="00A52E5A"/>
    <w:rsid w:val="00A52EA4"/>
    <w:rsid w:val="00A55533"/>
    <w:rsid w:val="00A55A66"/>
    <w:rsid w:val="00A6770A"/>
    <w:rsid w:val="00A719FF"/>
    <w:rsid w:val="00A77D7C"/>
    <w:rsid w:val="00A81FDA"/>
    <w:rsid w:val="00A86E1F"/>
    <w:rsid w:val="00A9199A"/>
    <w:rsid w:val="00A92133"/>
    <w:rsid w:val="00A96506"/>
    <w:rsid w:val="00AA3571"/>
    <w:rsid w:val="00AA4F6E"/>
    <w:rsid w:val="00AA74EC"/>
    <w:rsid w:val="00AB2D55"/>
    <w:rsid w:val="00AD08C8"/>
    <w:rsid w:val="00AD3289"/>
    <w:rsid w:val="00AE109E"/>
    <w:rsid w:val="00AF2628"/>
    <w:rsid w:val="00AF422C"/>
    <w:rsid w:val="00B01A90"/>
    <w:rsid w:val="00B0303A"/>
    <w:rsid w:val="00B05E4B"/>
    <w:rsid w:val="00B07342"/>
    <w:rsid w:val="00B07B96"/>
    <w:rsid w:val="00B16999"/>
    <w:rsid w:val="00B16FAE"/>
    <w:rsid w:val="00B22309"/>
    <w:rsid w:val="00B23A0D"/>
    <w:rsid w:val="00B31691"/>
    <w:rsid w:val="00B33AB5"/>
    <w:rsid w:val="00B41BB0"/>
    <w:rsid w:val="00B4533E"/>
    <w:rsid w:val="00B46402"/>
    <w:rsid w:val="00B7667F"/>
    <w:rsid w:val="00B96A32"/>
    <w:rsid w:val="00BA6564"/>
    <w:rsid w:val="00BB68BB"/>
    <w:rsid w:val="00BB6B8B"/>
    <w:rsid w:val="00BB70C7"/>
    <w:rsid w:val="00BC23B4"/>
    <w:rsid w:val="00BC61DC"/>
    <w:rsid w:val="00BD1B54"/>
    <w:rsid w:val="00BE05E4"/>
    <w:rsid w:val="00BE5B77"/>
    <w:rsid w:val="00BF42C2"/>
    <w:rsid w:val="00BF6299"/>
    <w:rsid w:val="00BF7CD2"/>
    <w:rsid w:val="00C007E7"/>
    <w:rsid w:val="00C114B4"/>
    <w:rsid w:val="00C143C9"/>
    <w:rsid w:val="00C153B0"/>
    <w:rsid w:val="00C16679"/>
    <w:rsid w:val="00C338D0"/>
    <w:rsid w:val="00C55ADA"/>
    <w:rsid w:val="00C73170"/>
    <w:rsid w:val="00C77CB1"/>
    <w:rsid w:val="00C8242A"/>
    <w:rsid w:val="00C85180"/>
    <w:rsid w:val="00C916AC"/>
    <w:rsid w:val="00C93CA7"/>
    <w:rsid w:val="00CA5B58"/>
    <w:rsid w:val="00CC15B9"/>
    <w:rsid w:val="00CC3E86"/>
    <w:rsid w:val="00CD28DD"/>
    <w:rsid w:val="00CD48AC"/>
    <w:rsid w:val="00CF03C0"/>
    <w:rsid w:val="00D23C83"/>
    <w:rsid w:val="00D43DAE"/>
    <w:rsid w:val="00D445A9"/>
    <w:rsid w:val="00D44D0C"/>
    <w:rsid w:val="00D51BDA"/>
    <w:rsid w:val="00D719EB"/>
    <w:rsid w:val="00D81474"/>
    <w:rsid w:val="00D84A03"/>
    <w:rsid w:val="00D91C22"/>
    <w:rsid w:val="00DA1943"/>
    <w:rsid w:val="00DA5433"/>
    <w:rsid w:val="00DA6F52"/>
    <w:rsid w:val="00DB0C6F"/>
    <w:rsid w:val="00DB5056"/>
    <w:rsid w:val="00DB5414"/>
    <w:rsid w:val="00DC6860"/>
    <w:rsid w:val="00DC74F1"/>
    <w:rsid w:val="00DE7413"/>
    <w:rsid w:val="00DF7459"/>
    <w:rsid w:val="00E018D1"/>
    <w:rsid w:val="00E106CA"/>
    <w:rsid w:val="00E13FFB"/>
    <w:rsid w:val="00E17A81"/>
    <w:rsid w:val="00E223FC"/>
    <w:rsid w:val="00E22BB7"/>
    <w:rsid w:val="00E36695"/>
    <w:rsid w:val="00E431AB"/>
    <w:rsid w:val="00E54F43"/>
    <w:rsid w:val="00E5695F"/>
    <w:rsid w:val="00E608F0"/>
    <w:rsid w:val="00E630BC"/>
    <w:rsid w:val="00E66C47"/>
    <w:rsid w:val="00E752CD"/>
    <w:rsid w:val="00E76D59"/>
    <w:rsid w:val="00E76FDB"/>
    <w:rsid w:val="00E9481F"/>
    <w:rsid w:val="00EA26D5"/>
    <w:rsid w:val="00EA65B2"/>
    <w:rsid w:val="00ED0800"/>
    <w:rsid w:val="00ED68E9"/>
    <w:rsid w:val="00EE50B4"/>
    <w:rsid w:val="00EE615F"/>
    <w:rsid w:val="00F0759D"/>
    <w:rsid w:val="00F07A12"/>
    <w:rsid w:val="00F15930"/>
    <w:rsid w:val="00F23A66"/>
    <w:rsid w:val="00F245CE"/>
    <w:rsid w:val="00F43249"/>
    <w:rsid w:val="00F5010A"/>
    <w:rsid w:val="00F53314"/>
    <w:rsid w:val="00F555AE"/>
    <w:rsid w:val="00F56C94"/>
    <w:rsid w:val="00F66350"/>
    <w:rsid w:val="00F71199"/>
    <w:rsid w:val="00F729DF"/>
    <w:rsid w:val="00F8448A"/>
    <w:rsid w:val="00F90E4B"/>
    <w:rsid w:val="00F962DD"/>
    <w:rsid w:val="00F96416"/>
    <w:rsid w:val="00F975C2"/>
    <w:rsid w:val="00F97624"/>
    <w:rsid w:val="00FA027D"/>
    <w:rsid w:val="00FC07AA"/>
    <w:rsid w:val="00FC0B18"/>
    <w:rsid w:val="00FC1DE2"/>
    <w:rsid w:val="00FD760D"/>
    <w:rsid w:val="00FE1A45"/>
    <w:rsid w:val="00FF2873"/>
    <w:rsid w:val="00FF4B39"/>
    <w:rsid w:val="00FF5C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27B"/>
    <w:rPr>
      <w:rFonts w:eastAsiaTheme="minorEastAsia"/>
      <w:lang w:val="es-AR" w:eastAsia="es-AR"/>
    </w:rPr>
  </w:style>
  <w:style w:type="paragraph" w:styleId="Heading1">
    <w:name w:val="heading 1"/>
    <w:basedOn w:val="Normal"/>
    <w:next w:val="Normal"/>
    <w:link w:val="Heading1Char"/>
    <w:qFormat/>
    <w:rsid w:val="003F627B"/>
    <w:pPr>
      <w:keepNext/>
      <w:keepLines/>
      <w:spacing w:before="120" w:after="0" w:line="240" w:lineRule="auto"/>
      <w:jc w:val="both"/>
      <w:outlineLvl w:val="0"/>
    </w:pPr>
    <w:rPr>
      <w:rFonts w:ascii="Verdana" w:eastAsia="Times New Roman" w:hAnsi="Verdana" w:cs="Times New Roman"/>
      <w:b/>
      <w:bCs/>
      <w:sz w:val="20"/>
      <w:szCs w:val="28"/>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27B"/>
    <w:rPr>
      <w:rFonts w:ascii="Verdana" w:eastAsia="Times New Roman" w:hAnsi="Verdana" w:cs="Times New Roman"/>
      <w:b/>
      <w:bCs/>
      <w:sz w:val="20"/>
      <w:szCs w:val="28"/>
      <w:lang w:val="es-ES_tradnl"/>
    </w:rPr>
  </w:style>
  <w:style w:type="paragraph" w:styleId="ListParagraph">
    <w:name w:val="List Paragraph"/>
    <w:aliases w:val="Colorful List - Accent 11,Footnote"/>
    <w:basedOn w:val="Normal"/>
    <w:link w:val="ListParagraphChar"/>
    <w:uiPriority w:val="34"/>
    <w:qFormat/>
    <w:rsid w:val="003F627B"/>
    <w:pPr>
      <w:ind w:left="720"/>
      <w:contextualSpacing/>
    </w:pPr>
  </w:style>
  <w:style w:type="paragraph" w:styleId="FootnoteText">
    <w:name w:val="footnote text"/>
    <w:aliases w:val="FA Fu,Footnote Text Char Char Char Char Char,Footnote Text Char Char Char Char,Footnote reference,Footnote Text Char Char Char,Footnote Text Cha,FA Fußnotentext,FA Fuﬂnotentext,Texto nota pie Car,Footnote Text Char Char,FA Fu Car,Ca,ft,C"/>
    <w:basedOn w:val="Normal"/>
    <w:link w:val="FootnoteTextChar"/>
    <w:uiPriority w:val="99"/>
    <w:unhideWhenUsed/>
    <w:qFormat/>
    <w:rsid w:val="003F627B"/>
    <w:pPr>
      <w:spacing w:after="0" w:line="240" w:lineRule="auto"/>
    </w:pPr>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Footnote Text Cha Char,FA Fußnotentext Char,FA Fuﬂnotentext Char,FA Fu Car Char"/>
    <w:basedOn w:val="DefaultParagraphFont"/>
    <w:link w:val="FootnoteText"/>
    <w:uiPriority w:val="99"/>
    <w:rsid w:val="003F627B"/>
    <w:rPr>
      <w:rFonts w:eastAsiaTheme="minorEastAsia"/>
      <w:sz w:val="20"/>
      <w:szCs w:val="20"/>
      <w:lang w:val="es-AR" w:eastAsia="es-AR"/>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basedOn w:val="DefaultParagraphFont"/>
    <w:uiPriority w:val="99"/>
    <w:unhideWhenUsed/>
    <w:qFormat/>
    <w:rsid w:val="003F627B"/>
    <w:rPr>
      <w:vertAlign w:val="superscript"/>
    </w:rPr>
  </w:style>
  <w:style w:type="character" w:styleId="CommentReference">
    <w:name w:val="annotation reference"/>
    <w:basedOn w:val="DefaultParagraphFont"/>
    <w:uiPriority w:val="99"/>
    <w:semiHidden/>
    <w:unhideWhenUsed/>
    <w:rsid w:val="003F627B"/>
    <w:rPr>
      <w:sz w:val="16"/>
      <w:szCs w:val="16"/>
    </w:rPr>
  </w:style>
  <w:style w:type="paragraph" w:styleId="CommentText">
    <w:name w:val="annotation text"/>
    <w:basedOn w:val="Normal"/>
    <w:link w:val="CommentTextChar"/>
    <w:uiPriority w:val="99"/>
    <w:unhideWhenUsed/>
    <w:rsid w:val="003F627B"/>
    <w:pPr>
      <w:spacing w:line="240" w:lineRule="auto"/>
    </w:pPr>
    <w:rPr>
      <w:sz w:val="20"/>
      <w:szCs w:val="20"/>
    </w:rPr>
  </w:style>
  <w:style w:type="character" w:customStyle="1" w:styleId="CommentTextChar">
    <w:name w:val="Comment Text Char"/>
    <w:basedOn w:val="DefaultParagraphFont"/>
    <w:link w:val="CommentText"/>
    <w:uiPriority w:val="99"/>
    <w:rsid w:val="003F627B"/>
    <w:rPr>
      <w:rFonts w:eastAsiaTheme="minorEastAsia"/>
      <w:sz w:val="20"/>
      <w:szCs w:val="20"/>
      <w:lang w:val="es-AR" w:eastAsia="es-AR"/>
    </w:rPr>
  </w:style>
  <w:style w:type="character" w:customStyle="1" w:styleId="ListParagraphChar">
    <w:name w:val="List Paragraph Char"/>
    <w:aliases w:val="Colorful List - Accent 11 Char,Footnote Char"/>
    <w:link w:val="ListParagraph"/>
    <w:uiPriority w:val="34"/>
    <w:locked/>
    <w:rsid w:val="003F627B"/>
    <w:rPr>
      <w:rFonts w:eastAsiaTheme="minorEastAsia"/>
      <w:lang w:val="es-AR" w:eastAsia="es-AR"/>
    </w:rPr>
  </w:style>
  <w:style w:type="paragraph" w:styleId="BalloonText">
    <w:name w:val="Balloon Text"/>
    <w:basedOn w:val="Normal"/>
    <w:link w:val="BalloonTextChar"/>
    <w:uiPriority w:val="99"/>
    <w:semiHidden/>
    <w:unhideWhenUsed/>
    <w:rsid w:val="003F6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27B"/>
    <w:rPr>
      <w:rFonts w:ascii="Tahoma" w:eastAsiaTheme="minorEastAsia" w:hAnsi="Tahoma" w:cs="Tahoma"/>
      <w:sz w:val="16"/>
      <w:szCs w:val="16"/>
      <w:lang w:val="es-AR" w:eastAsia="es-AR"/>
    </w:rPr>
  </w:style>
  <w:style w:type="paragraph" w:customStyle="1" w:styleId="ParaAttribute3">
    <w:name w:val="ParaAttribute3"/>
    <w:rsid w:val="003F627B"/>
    <w:pPr>
      <w:widowControl w:val="0"/>
      <w:wordWrap w:val="0"/>
      <w:spacing w:after="0" w:line="240" w:lineRule="auto"/>
      <w:jc w:val="both"/>
    </w:pPr>
    <w:rPr>
      <w:rFonts w:ascii="Times New Roman" w:eastAsia="Batang"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F627B"/>
    <w:rPr>
      <w:b/>
      <w:bCs/>
    </w:rPr>
  </w:style>
  <w:style w:type="character" w:customStyle="1" w:styleId="CommentSubjectChar">
    <w:name w:val="Comment Subject Char"/>
    <w:basedOn w:val="CommentTextChar"/>
    <w:link w:val="CommentSubject"/>
    <w:uiPriority w:val="99"/>
    <w:semiHidden/>
    <w:rsid w:val="003F627B"/>
    <w:rPr>
      <w:rFonts w:eastAsiaTheme="minorEastAsia"/>
      <w:b/>
      <w:bCs/>
      <w:sz w:val="20"/>
      <w:szCs w:val="20"/>
      <w:lang w:val="es-AR" w:eastAsia="es-AR"/>
    </w:rPr>
  </w:style>
  <w:style w:type="character" w:styleId="Strong">
    <w:name w:val="Strong"/>
    <w:basedOn w:val="DefaultParagraphFont"/>
    <w:uiPriority w:val="22"/>
    <w:qFormat/>
    <w:rsid w:val="003F627B"/>
    <w:rPr>
      <w:b/>
      <w:bCs/>
    </w:rPr>
  </w:style>
  <w:style w:type="paragraph" w:styleId="Header">
    <w:name w:val="header"/>
    <w:basedOn w:val="Normal"/>
    <w:link w:val="HeaderChar"/>
    <w:uiPriority w:val="99"/>
    <w:unhideWhenUsed/>
    <w:rsid w:val="003F6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27B"/>
    <w:rPr>
      <w:rFonts w:eastAsiaTheme="minorEastAsia"/>
      <w:lang w:val="es-AR" w:eastAsia="es-AR"/>
    </w:rPr>
  </w:style>
  <w:style w:type="paragraph" w:styleId="Footer">
    <w:name w:val="footer"/>
    <w:basedOn w:val="Normal"/>
    <w:link w:val="FooterChar"/>
    <w:uiPriority w:val="99"/>
    <w:unhideWhenUsed/>
    <w:rsid w:val="003F6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27B"/>
    <w:rPr>
      <w:rFonts w:eastAsiaTheme="minorEastAsia"/>
      <w:lang w:val="es-AR" w:eastAsia="es-AR"/>
    </w:rPr>
  </w:style>
  <w:style w:type="character" w:styleId="LineNumber">
    <w:name w:val="line number"/>
    <w:basedOn w:val="DefaultParagraphFont"/>
    <w:uiPriority w:val="99"/>
    <w:semiHidden/>
    <w:unhideWhenUsed/>
    <w:rsid w:val="003F627B"/>
  </w:style>
  <w:style w:type="paragraph" w:styleId="Revision">
    <w:name w:val="Revision"/>
    <w:hidden/>
    <w:uiPriority w:val="99"/>
    <w:semiHidden/>
    <w:rsid w:val="00DC74F1"/>
    <w:pPr>
      <w:spacing w:after="0" w:line="240" w:lineRule="auto"/>
    </w:pPr>
    <w:rPr>
      <w:rFonts w:eastAsiaTheme="minorEastAsia"/>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27B"/>
    <w:rPr>
      <w:rFonts w:eastAsiaTheme="minorEastAsia"/>
      <w:lang w:val="es-AR" w:eastAsia="es-AR"/>
    </w:rPr>
  </w:style>
  <w:style w:type="paragraph" w:styleId="Heading1">
    <w:name w:val="heading 1"/>
    <w:basedOn w:val="Normal"/>
    <w:next w:val="Normal"/>
    <w:link w:val="Heading1Char"/>
    <w:qFormat/>
    <w:rsid w:val="003F627B"/>
    <w:pPr>
      <w:keepNext/>
      <w:keepLines/>
      <w:spacing w:before="120" w:after="0" w:line="240" w:lineRule="auto"/>
      <w:jc w:val="both"/>
      <w:outlineLvl w:val="0"/>
    </w:pPr>
    <w:rPr>
      <w:rFonts w:ascii="Verdana" w:eastAsia="Times New Roman" w:hAnsi="Verdana" w:cs="Times New Roman"/>
      <w:b/>
      <w:bCs/>
      <w:sz w:val="20"/>
      <w:szCs w:val="28"/>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27B"/>
    <w:rPr>
      <w:rFonts w:ascii="Verdana" w:eastAsia="Times New Roman" w:hAnsi="Verdana" w:cs="Times New Roman"/>
      <w:b/>
      <w:bCs/>
      <w:sz w:val="20"/>
      <w:szCs w:val="28"/>
      <w:lang w:val="es-ES_tradnl"/>
    </w:rPr>
  </w:style>
  <w:style w:type="paragraph" w:styleId="ListParagraph">
    <w:name w:val="List Paragraph"/>
    <w:aliases w:val="Colorful List - Accent 11,Footnote"/>
    <w:basedOn w:val="Normal"/>
    <w:link w:val="ListParagraphChar"/>
    <w:uiPriority w:val="34"/>
    <w:qFormat/>
    <w:rsid w:val="003F627B"/>
    <w:pPr>
      <w:ind w:left="720"/>
      <w:contextualSpacing/>
    </w:pPr>
  </w:style>
  <w:style w:type="paragraph" w:styleId="FootnoteText">
    <w:name w:val="footnote text"/>
    <w:aliases w:val="FA Fu,Footnote Text Char Char Char Char Char,Footnote Text Char Char Char Char,Footnote reference,Footnote Text Char Char Char,Footnote Text Cha,FA Fußnotentext,FA Fuﬂnotentext,Texto nota pie Car,Footnote Text Char Char,FA Fu Car,Ca,ft,C"/>
    <w:basedOn w:val="Normal"/>
    <w:link w:val="FootnoteTextChar"/>
    <w:uiPriority w:val="99"/>
    <w:unhideWhenUsed/>
    <w:qFormat/>
    <w:rsid w:val="003F627B"/>
    <w:pPr>
      <w:spacing w:after="0" w:line="240" w:lineRule="auto"/>
    </w:pPr>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Footnote Text Cha Char,FA Fußnotentext Char,FA Fuﬂnotentext Char,FA Fu Car Char"/>
    <w:basedOn w:val="DefaultParagraphFont"/>
    <w:link w:val="FootnoteText"/>
    <w:uiPriority w:val="99"/>
    <w:rsid w:val="003F627B"/>
    <w:rPr>
      <w:rFonts w:eastAsiaTheme="minorEastAsia"/>
      <w:sz w:val="20"/>
      <w:szCs w:val="20"/>
      <w:lang w:val="es-AR" w:eastAsia="es-AR"/>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basedOn w:val="DefaultParagraphFont"/>
    <w:uiPriority w:val="99"/>
    <w:unhideWhenUsed/>
    <w:qFormat/>
    <w:rsid w:val="003F627B"/>
    <w:rPr>
      <w:vertAlign w:val="superscript"/>
    </w:rPr>
  </w:style>
  <w:style w:type="character" w:styleId="CommentReference">
    <w:name w:val="annotation reference"/>
    <w:basedOn w:val="DefaultParagraphFont"/>
    <w:uiPriority w:val="99"/>
    <w:semiHidden/>
    <w:unhideWhenUsed/>
    <w:rsid w:val="003F627B"/>
    <w:rPr>
      <w:sz w:val="16"/>
      <w:szCs w:val="16"/>
    </w:rPr>
  </w:style>
  <w:style w:type="paragraph" w:styleId="CommentText">
    <w:name w:val="annotation text"/>
    <w:basedOn w:val="Normal"/>
    <w:link w:val="CommentTextChar"/>
    <w:uiPriority w:val="99"/>
    <w:unhideWhenUsed/>
    <w:rsid w:val="003F627B"/>
    <w:pPr>
      <w:spacing w:line="240" w:lineRule="auto"/>
    </w:pPr>
    <w:rPr>
      <w:sz w:val="20"/>
      <w:szCs w:val="20"/>
    </w:rPr>
  </w:style>
  <w:style w:type="character" w:customStyle="1" w:styleId="CommentTextChar">
    <w:name w:val="Comment Text Char"/>
    <w:basedOn w:val="DefaultParagraphFont"/>
    <w:link w:val="CommentText"/>
    <w:uiPriority w:val="99"/>
    <w:rsid w:val="003F627B"/>
    <w:rPr>
      <w:rFonts w:eastAsiaTheme="minorEastAsia"/>
      <w:sz w:val="20"/>
      <w:szCs w:val="20"/>
      <w:lang w:val="es-AR" w:eastAsia="es-AR"/>
    </w:rPr>
  </w:style>
  <w:style w:type="character" w:customStyle="1" w:styleId="ListParagraphChar">
    <w:name w:val="List Paragraph Char"/>
    <w:aliases w:val="Colorful List - Accent 11 Char,Footnote Char"/>
    <w:link w:val="ListParagraph"/>
    <w:uiPriority w:val="34"/>
    <w:locked/>
    <w:rsid w:val="003F627B"/>
    <w:rPr>
      <w:rFonts w:eastAsiaTheme="minorEastAsia"/>
      <w:lang w:val="es-AR" w:eastAsia="es-AR"/>
    </w:rPr>
  </w:style>
  <w:style w:type="paragraph" w:styleId="BalloonText">
    <w:name w:val="Balloon Text"/>
    <w:basedOn w:val="Normal"/>
    <w:link w:val="BalloonTextChar"/>
    <w:uiPriority w:val="99"/>
    <w:semiHidden/>
    <w:unhideWhenUsed/>
    <w:rsid w:val="003F6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27B"/>
    <w:rPr>
      <w:rFonts w:ascii="Tahoma" w:eastAsiaTheme="minorEastAsia" w:hAnsi="Tahoma" w:cs="Tahoma"/>
      <w:sz w:val="16"/>
      <w:szCs w:val="16"/>
      <w:lang w:val="es-AR" w:eastAsia="es-AR"/>
    </w:rPr>
  </w:style>
  <w:style w:type="paragraph" w:customStyle="1" w:styleId="ParaAttribute3">
    <w:name w:val="ParaAttribute3"/>
    <w:rsid w:val="003F627B"/>
    <w:pPr>
      <w:widowControl w:val="0"/>
      <w:wordWrap w:val="0"/>
      <w:spacing w:after="0" w:line="240" w:lineRule="auto"/>
      <w:jc w:val="both"/>
    </w:pPr>
    <w:rPr>
      <w:rFonts w:ascii="Times New Roman" w:eastAsia="Batang"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F627B"/>
    <w:rPr>
      <w:b/>
      <w:bCs/>
    </w:rPr>
  </w:style>
  <w:style w:type="character" w:customStyle="1" w:styleId="CommentSubjectChar">
    <w:name w:val="Comment Subject Char"/>
    <w:basedOn w:val="CommentTextChar"/>
    <w:link w:val="CommentSubject"/>
    <w:uiPriority w:val="99"/>
    <w:semiHidden/>
    <w:rsid w:val="003F627B"/>
    <w:rPr>
      <w:rFonts w:eastAsiaTheme="minorEastAsia"/>
      <w:b/>
      <w:bCs/>
      <w:sz w:val="20"/>
      <w:szCs w:val="20"/>
      <w:lang w:val="es-AR" w:eastAsia="es-AR"/>
    </w:rPr>
  </w:style>
  <w:style w:type="character" w:styleId="Strong">
    <w:name w:val="Strong"/>
    <w:basedOn w:val="DefaultParagraphFont"/>
    <w:uiPriority w:val="22"/>
    <w:qFormat/>
    <w:rsid w:val="003F627B"/>
    <w:rPr>
      <w:b/>
      <w:bCs/>
    </w:rPr>
  </w:style>
  <w:style w:type="paragraph" w:styleId="Header">
    <w:name w:val="header"/>
    <w:basedOn w:val="Normal"/>
    <w:link w:val="HeaderChar"/>
    <w:uiPriority w:val="99"/>
    <w:unhideWhenUsed/>
    <w:rsid w:val="003F6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27B"/>
    <w:rPr>
      <w:rFonts w:eastAsiaTheme="minorEastAsia"/>
      <w:lang w:val="es-AR" w:eastAsia="es-AR"/>
    </w:rPr>
  </w:style>
  <w:style w:type="paragraph" w:styleId="Footer">
    <w:name w:val="footer"/>
    <w:basedOn w:val="Normal"/>
    <w:link w:val="FooterChar"/>
    <w:uiPriority w:val="99"/>
    <w:unhideWhenUsed/>
    <w:rsid w:val="003F6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27B"/>
    <w:rPr>
      <w:rFonts w:eastAsiaTheme="minorEastAsia"/>
      <w:lang w:val="es-AR" w:eastAsia="es-AR"/>
    </w:rPr>
  </w:style>
  <w:style w:type="character" w:styleId="LineNumber">
    <w:name w:val="line number"/>
    <w:basedOn w:val="DefaultParagraphFont"/>
    <w:uiPriority w:val="99"/>
    <w:semiHidden/>
    <w:unhideWhenUsed/>
    <w:rsid w:val="003F627B"/>
  </w:style>
  <w:style w:type="paragraph" w:styleId="Revision">
    <w:name w:val="Revision"/>
    <w:hidden/>
    <w:uiPriority w:val="99"/>
    <w:semiHidden/>
    <w:rsid w:val="00DC74F1"/>
    <w:pPr>
      <w:spacing w:after="0" w:line="240" w:lineRule="auto"/>
    </w:pPr>
    <w:rPr>
      <w:rFonts w:eastAsiaTheme="minorEastAsia"/>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4480">
      <w:bodyDiv w:val="1"/>
      <w:marLeft w:val="0"/>
      <w:marRight w:val="0"/>
      <w:marTop w:val="0"/>
      <w:marBottom w:val="0"/>
      <w:divBdr>
        <w:top w:val="none" w:sz="0" w:space="0" w:color="auto"/>
        <w:left w:val="none" w:sz="0" w:space="0" w:color="auto"/>
        <w:bottom w:val="none" w:sz="0" w:space="0" w:color="auto"/>
        <w:right w:val="none" w:sz="0" w:space="0" w:color="auto"/>
      </w:divBdr>
    </w:div>
    <w:div w:id="232084091">
      <w:bodyDiv w:val="1"/>
      <w:marLeft w:val="0"/>
      <w:marRight w:val="0"/>
      <w:marTop w:val="0"/>
      <w:marBottom w:val="0"/>
      <w:divBdr>
        <w:top w:val="none" w:sz="0" w:space="0" w:color="auto"/>
        <w:left w:val="none" w:sz="0" w:space="0" w:color="auto"/>
        <w:bottom w:val="none" w:sz="0" w:space="0" w:color="auto"/>
        <w:right w:val="none" w:sz="0" w:space="0" w:color="auto"/>
      </w:divBdr>
    </w:div>
    <w:div w:id="234318871">
      <w:bodyDiv w:val="1"/>
      <w:marLeft w:val="0"/>
      <w:marRight w:val="0"/>
      <w:marTop w:val="0"/>
      <w:marBottom w:val="0"/>
      <w:divBdr>
        <w:top w:val="none" w:sz="0" w:space="0" w:color="auto"/>
        <w:left w:val="none" w:sz="0" w:space="0" w:color="auto"/>
        <w:bottom w:val="none" w:sz="0" w:space="0" w:color="auto"/>
        <w:right w:val="none" w:sz="0" w:space="0" w:color="auto"/>
      </w:divBdr>
    </w:div>
    <w:div w:id="7919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F791D-8F51-46DE-8D0B-6908914E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9211</Words>
  <Characters>50664</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Corteidh</dc:creator>
  <cp:lastModifiedBy>Julliana Saborio</cp:lastModifiedBy>
  <cp:revision>2</cp:revision>
  <cp:lastPrinted>2016-10-31T22:17:00Z</cp:lastPrinted>
  <dcterms:created xsi:type="dcterms:W3CDTF">2016-10-31T22:40:00Z</dcterms:created>
  <dcterms:modified xsi:type="dcterms:W3CDTF">2016-10-31T22:40:00Z</dcterms:modified>
</cp:coreProperties>
</file>