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8C" w:rsidRDefault="002B768C" w:rsidP="00AF2628">
      <w:pPr>
        <w:autoSpaceDE w:val="0"/>
        <w:autoSpaceDN w:val="0"/>
        <w:adjustRightInd w:val="0"/>
        <w:spacing w:after="0" w:line="240" w:lineRule="auto"/>
        <w:jc w:val="center"/>
        <w:rPr>
          <w:rFonts w:ascii="Verdana" w:hAnsi="Verdana" w:cs="Verdana"/>
          <w:b/>
          <w:bCs/>
          <w:sz w:val="16"/>
          <w:szCs w:val="16"/>
          <w:lang w:val="es-ES"/>
        </w:rPr>
      </w:pPr>
      <w:bookmarkStart w:id="0" w:name="_GoBack"/>
      <w:bookmarkEnd w:id="0"/>
    </w:p>
    <w:p w:rsidR="002B768C"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2B768C" w:rsidRPr="0043015F"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2B768C" w:rsidRPr="0043015F"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2B768C" w:rsidRPr="0043015F"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2B768C" w:rsidRPr="0043015F"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3F627B" w:rsidRPr="0043015F" w:rsidRDefault="003F627B" w:rsidP="00AF2628">
      <w:pPr>
        <w:autoSpaceDE w:val="0"/>
        <w:autoSpaceDN w:val="0"/>
        <w:adjustRightInd w:val="0"/>
        <w:spacing w:after="0" w:line="240" w:lineRule="auto"/>
        <w:jc w:val="center"/>
        <w:rPr>
          <w:rFonts w:ascii="Verdana" w:hAnsi="Verdana" w:cs="Verdana"/>
          <w:b/>
          <w:bCs/>
          <w:sz w:val="20"/>
          <w:szCs w:val="20"/>
          <w:lang w:val="es-ES"/>
        </w:rPr>
      </w:pPr>
      <w:r w:rsidRPr="0043015F">
        <w:rPr>
          <w:rFonts w:ascii="Verdana" w:hAnsi="Verdana" w:cs="Verdana"/>
          <w:b/>
          <w:bCs/>
          <w:sz w:val="20"/>
          <w:szCs w:val="20"/>
          <w:lang w:val="es-ES"/>
        </w:rPr>
        <w:t>RESOLUCIÓN DE LA</w:t>
      </w:r>
    </w:p>
    <w:p w:rsidR="003F627B" w:rsidRPr="001B63D5" w:rsidRDefault="003F627B" w:rsidP="00AF2628">
      <w:pPr>
        <w:spacing w:after="0"/>
        <w:ind w:hanging="11"/>
        <w:jc w:val="center"/>
        <w:rPr>
          <w:rFonts w:ascii="Verdana" w:eastAsiaTheme="minorHAnsi" w:hAnsi="Verdana"/>
          <w:sz w:val="20"/>
          <w:szCs w:val="20"/>
          <w:lang w:val="es-ES"/>
        </w:rPr>
      </w:pPr>
      <w:r w:rsidRPr="0043015F">
        <w:rPr>
          <w:rFonts w:ascii="Verdana" w:hAnsi="Verdana" w:cs="Verdana"/>
          <w:b/>
          <w:bCs/>
          <w:sz w:val="20"/>
          <w:szCs w:val="20"/>
          <w:lang w:val="es-ES"/>
        </w:rPr>
        <w:t>CORTE INTERAMERICANA DE DERECHOS HUMANOS</w:t>
      </w:r>
      <w:r w:rsidR="001B63D5" w:rsidRPr="002B3320">
        <w:rPr>
          <w:rStyle w:val="FootnoteReference"/>
          <w:b/>
          <w:smallCaps/>
        </w:rPr>
        <w:footnoteReference w:id="1"/>
      </w:r>
      <w:r w:rsidR="001B63D5" w:rsidRPr="002B3320">
        <w:rPr>
          <w:rStyle w:val="FootnoteReference"/>
          <w:b/>
          <w:smallCaps/>
        </w:rPr>
        <w:sym w:font="Symbol" w:char="F02A"/>
      </w:r>
    </w:p>
    <w:p w:rsidR="003F627B" w:rsidRPr="0043015F" w:rsidRDefault="003F627B" w:rsidP="00AF2628">
      <w:pPr>
        <w:autoSpaceDE w:val="0"/>
        <w:autoSpaceDN w:val="0"/>
        <w:adjustRightInd w:val="0"/>
        <w:spacing w:after="0" w:line="240" w:lineRule="auto"/>
        <w:jc w:val="center"/>
        <w:rPr>
          <w:rFonts w:ascii="Verdana" w:hAnsi="Verdana" w:cs="Verdana"/>
          <w:b/>
          <w:bCs/>
          <w:sz w:val="20"/>
          <w:szCs w:val="20"/>
          <w:lang w:val="es-CR"/>
        </w:rPr>
      </w:pPr>
    </w:p>
    <w:p w:rsidR="003F627B" w:rsidRPr="0043015F" w:rsidRDefault="00D6366F" w:rsidP="00AF2628">
      <w:pPr>
        <w:autoSpaceDE w:val="0"/>
        <w:autoSpaceDN w:val="0"/>
        <w:adjustRightInd w:val="0"/>
        <w:spacing w:after="0" w:line="240" w:lineRule="auto"/>
        <w:jc w:val="center"/>
        <w:rPr>
          <w:rFonts w:ascii="Verdana" w:hAnsi="Verdana" w:cs="Verdana"/>
          <w:b/>
          <w:bCs/>
          <w:sz w:val="20"/>
          <w:szCs w:val="20"/>
          <w:lang w:val="es-ES"/>
        </w:rPr>
      </w:pPr>
      <w:r>
        <w:rPr>
          <w:rFonts w:ascii="Verdana" w:hAnsi="Verdana" w:cs="Verdana"/>
          <w:b/>
          <w:bCs/>
          <w:sz w:val="20"/>
          <w:szCs w:val="20"/>
          <w:lang w:val="es-ES"/>
        </w:rPr>
        <w:t xml:space="preserve">DE </w:t>
      </w:r>
      <w:r w:rsidRPr="008004FE">
        <w:rPr>
          <w:rFonts w:ascii="Verdana" w:hAnsi="Verdana" w:cs="Verdana"/>
          <w:b/>
          <w:bCs/>
          <w:sz w:val="20"/>
          <w:szCs w:val="20"/>
          <w:lang w:val="es-ES"/>
        </w:rPr>
        <w:t>22</w:t>
      </w:r>
      <w:r>
        <w:rPr>
          <w:rFonts w:ascii="Verdana" w:hAnsi="Verdana" w:cs="Verdana"/>
          <w:b/>
          <w:bCs/>
          <w:sz w:val="20"/>
          <w:szCs w:val="20"/>
          <w:lang w:val="es-ES"/>
        </w:rPr>
        <w:t xml:space="preserve"> </w:t>
      </w:r>
      <w:r w:rsidR="00710ADF">
        <w:rPr>
          <w:rFonts w:ascii="Verdana" w:hAnsi="Verdana" w:cs="Verdana"/>
          <w:b/>
          <w:bCs/>
          <w:sz w:val="20"/>
          <w:szCs w:val="20"/>
          <w:lang w:val="es-ES"/>
        </w:rPr>
        <w:t>DE NOVIEMBRE</w:t>
      </w:r>
      <w:r w:rsidR="00374477">
        <w:rPr>
          <w:rFonts w:ascii="Verdana" w:hAnsi="Verdana" w:cs="Verdana"/>
          <w:b/>
          <w:bCs/>
          <w:sz w:val="20"/>
          <w:szCs w:val="20"/>
          <w:lang w:val="es-ES"/>
        </w:rPr>
        <w:t xml:space="preserve"> DE </w:t>
      </w:r>
      <w:r w:rsidR="003F627B" w:rsidRPr="0043015F">
        <w:rPr>
          <w:rFonts w:ascii="Verdana" w:hAnsi="Verdana" w:cs="Verdana"/>
          <w:b/>
          <w:bCs/>
          <w:sz w:val="20"/>
          <w:szCs w:val="20"/>
          <w:lang w:val="es-ES"/>
        </w:rPr>
        <w:t>201</w:t>
      </w:r>
      <w:r w:rsidR="00D90AEB" w:rsidRPr="0043015F">
        <w:rPr>
          <w:rFonts w:ascii="Verdana" w:hAnsi="Verdana" w:cs="Verdana"/>
          <w:b/>
          <w:bCs/>
          <w:sz w:val="20"/>
          <w:szCs w:val="20"/>
          <w:lang w:val="es-ES"/>
        </w:rPr>
        <w:t>8</w:t>
      </w:r>
    </w:p>
    <w:p w:rsidR="003F627B" w:rsidRPr="0043015F" w:rsidRDefault="003F627B" w:rsidP="00AF2628">
      <w:pPr>
        <w:autoSpaceDE w:val="0"/>
        <w:autoSpaceDN w:val="0"/>
        <w:adjustRightInd w:val="0"/>
        <w:spacing w:after="0" w:line="240" w:lineRule="auto"/>
        <w:jc w:val="center"/>
        <w:rPr>
          <w:rFonts w:ascii="Verdana" w:hAnsi="Verdana" w:cs="Verdana"/>
          <w:b/>
          <w:bCs/>
          <w:sz w:val="20"/>
          <w:szCs w:val="20"/>
          <w:lang w:val="es-ES"/>
        </w:rPr>
      </w:pPr>
    </w:p>
    <w:p w:rsidR="003F627B" w:rsidRPr="0043015F" w:rsidRDefault="003F627B" w:rsidP="00AF2628">
      <w:pPr>
        <w:autoSpaceDE w:val="0"/>
        <w:autoSpaceDN w:val="0"/>
        <w:adjustRightInd w:val="0"/>
        <w:spacing w:after="0" w:line="240" w:lineRule="auto"/>
        <w:jc w:val="center"/>
        <w:rPr>
          <w:rFonts w:ascii="Verdana" w:hAnsi="Verdana" w:cs="Verdana"/>
          <w:b/>
          <w:bCs/>
          <w:sz w:val="20"/>
          <w:szCs w:val="20"/>
          <w:lang w:val="es-ES"/>
        </w:rPr>
      </w:pPr>
      <w:r w:rsidRPr="0043015F">
        <w:rPr>
          <w:rFonts w:ascii="Verdana" w:hAnsi="Verdana" w:cs="Verdana"/>
          <w:b/>
          <w:bCs/>
          <w:sz w:val="20"/>
          <w:szCs w:val="20"/>
          <w:lang w:val="es-ES"/>
        </w:rPr>
        <w:t xml:space="preserve">CASO BÁMACA VELÁSQUEZ </w:t>
      </w:r>
      <w:r w:rsidRPr="0043015F">
        <w:rPr>
          <w:rFonts w:ascii="Verdana" w:hAnsi="Verdana" w:cs="Verdana"/>
          <w:b/>
          <w:bCs/>
          <w:iCs/>
          <w:sz w:val="20"/>
          <w:szCs w:val="20"/>
          <w:lang w:val="es-ES"/>
        </w:rPr>
        <w:t>VS</w:t>
      </w:r>
      <w:r w:rsidRPr="0043015F">
        <w:rPr>
          <w:rFonts w:ascii="Verdana" w:hAnsi="Verdana" w:cs="Verdana"/>
          <w:b/>
          <w:bCs/>
          <w:i/>
          <w:iCs/>
          <w:sz w:val="20"/>
          <w:szCs w:val="20"/>
          <w:lang w:val="es-ES"/>
        </w:rPr>
        <w:t xml:space="preserve">. </w:t>
      </w:r>
      <w:r w:rsidRPr="0043015F">
        <w:rPr>
          <w:rFonts w:ascii="Verdana" w:hAnsi="Verdana" w:cs="Verdana"/>
          <w:b/>
          <w:bCs/>
          <w:sz w:val="20"/>
          <w:szCs w:val="20"/>
          <w:lang w:val="es-ES"/>
        </w:rPr>
        <w:t>GUATEMALA</w:t>
      </w:r>
    </w:p>
    <w:p w:rsidR="003F627B" w:rsidRPr="0043015F" w:rsidRDefault="003F627B" w:rsidP="00AF2628">
      <w:pPr>
        <w:autoSpaceDE w:val="0"/>
        <w:autoSpaceDN w:val="0"/>
        <w:adjustRightInd w:val="0"/>
        <w:spacing w:after="0" w:line="240" w:lineRule="auto"/>
        <w:jc w:val="center"/>
        <w:rPr>
          <w:rFonts w:ascii="Verdana" w:hAnsi="Verdana" w:cs="Verdana"/>
          <w:b/>
          <w:bCs/>
          <w:sz w:val="20"/>
          <w:szCs w:val="20"/>
          <w:lang w:val="es-ES"/>
        </w:rPr>
      </w:pPr>
    </w:p>
    <w:p w:rsidR="003F627B" w:rsidRPr="0043015F" w:rsidRDefault="003F627B" w:rsidP="00AF2628">
      <w:pPr>
        <w:spacing w:after="0" w:line="240" w:lineRule="auto"/>
        <w:jc w:val="center"/>
        <w:rPr>
          <w:rFonts w:ascii="Verdana" w:hAnsi="Verdana" w:cstheme="minorHAnsi"/>
          <w:b/>
          <w:sz w:val="20"/>
          <w:szCs w:val="20"/>
          <w:lang w:val="es-ES"/>
        </w:rPr>
      </w:pPr>
      <w:r w:rsidRPr="0043015F">
        <w:rPr>
          <w:rFonts w:ascii="Verdana" w:hAnsi="Verdana" w:cs="Verdana"/>
          <w:b/>
          <w:bCs/>
          <w:sz w:val="20"/>
          <w:szCs w:val="20"/>
          <w:lang w:val="es-ES"/>
        </w:rPr>
        <w:t>MEDIDAS PROVISIONALES</w:t>
      </w:r>
    </w:p>
    <w:p w:rsidR="003F627B" w:rsidRPr="0043015F" w:rsidRDefault="003F627B" w:rsidP="000D3C49">
      <w:pPr>
        <w:spacing w:after="0" w:line="240" w:lineRule="auto"/>
        <w:jc w:val="center"/>
        <w:rPr>
          <w:rFonts w:ascii="Verdana" w:hAnsi="Verdana" w:cstheme="minorHAnsi"/>
          <w:sz w:val="20"/>
          <w:szCs w:val="20"/>
          <w:lang w:val="es-ES"/>
        </w:rPr>
      </w:pPr>
    </w:p>
    <w:p w:rsidR="002B768C" w:rsidRPr="0043015F" w:rsidRDefault="002B768C" w:rsidP="000D3C49">
      <w:pPr>
        <w:spacing w:after="0" w:line="240" w:lineRule="auto"/>
        <w:jc w:val="center"/>
        <w:rPr>
          <w:rFonts w:ascii="Verdana" w:hAnsi="Verdana" w:cstheme="minorHAnsi"/>
          <w:sz w:val="20"/>
          <w:szCs w:val="20"/>
          <w:lang w:val="es-ES"/>
        </w:rPr>
      </w:pPr>
    </w:p>
    <w:p w:rsidR="002B768C" w:rsidRPr="0043015F" w:rsidRDefault="002B768C" w:rsidP="000D3C49">
      <w:pPr>
        <w:spacing w:after="0" w:line="240" w:lineRule="auto"/>
        <w:jc w:val="center"/>
        <w:rPr>
          <w:rFonts w:ascii="Verdana" w:hAnsi="Verdana" w:cstheme="minorHAnsi"/>
          <w:sz w:val="20"/>
          <w:szCs w:val="20"/>
          <w:lang w:val="es-ES"/>
        </w:rPr>
      </w:pPr>
    </w:p>
    <w:p w:rsidR="003F627B" w:rsidRPr="0043015F" w:rsidRDefault="003F627B" w:rsidP="000D3C49">
      <w:pPr>
        <w:spacing w:after="0" w:line="240" w:lineRule="auto"/>
        <w:ind w:right="-8"/>
        <w:rPr>
          <w:rFonts w:ascii="Verdana" w:hAnsi="Verdana"/>
          <w:b/>
          <w:sz w:val="20"/>
          <w:szCs w:val="20"/>
          <w:lang w:val="es-ES"/>
        </w:rPr>
      </w:pPr>
      <w:r w:rsidRPr="0043015F">
        <w:rPr>
          <w:rFonts w:ascii="Verdana" w:hAnsi="Verdana"/>
          <w:b/>
          <w:sz w:val="20"/>
          <w:szCs w:val="20"/>
          <w:lang w:val="es-ES"/>
        </w:rPr>
        <w:t>VISTO:</w:t>
      </w:r>
      <w:r w:rsidRPr="0043015F">
        <w:rPr>
          <w:rFonts w:ascii="Verdana" w:hAnsi="Verdana"/>
          <w:b/>
          <w:sz w:val="20"/>
          <w:szCs w:val="20"/>
          <w:lang w:val="es-ES"/>
        </w:rPr>
        <w:br/>
      </w:r>
    </w:p>
    <w:p w:rsidR="003F627B" w:rsidRPr="0043015F" w:rsidRDefault="003F627B" w:rsidP="000D3C49">
      <w:pPr>
        <w:pStyle w:val="ListParagraph"/>
        <w:numPr>
          <w:ilvl w:val="0"/>
          <w:numId w:val="1"/>
        </w:numPr>
        <w:autoSpaceDE w:val="0"/>
        <w:autoSpaceDN w:val="0"/>
        <w:adjustRightInd w:val="0"/>
        <w:spacing w:after="0" w:line="240" w:lineRule="auto"/>
        <w:ind w:left="0" w:firstLine="0"/>
        <w:jc w:val="both"/>
        <w:rPr>
          <w:rFonts w:ascii="Verdana" w:hAnsi="Verdana" w:cs="Verdana"/>
          <w:sz w:val="20"/>
          <w:szCs w:val="20"/>
          <w:lang w:val="es-ES"/>
        </w:rPr>
      </w:pPr>
      <w:r w:rsidRPr="0043015F">
        <w:rPr>
          <w:rFonts w:ascii="Verdana" w:hAnsi="Verdana" w:cs="Verdana"/>
          <w:sz w:val="20"/>
          <w:szCs w:val="20"/>
          <w:lang w:val="es-ES"/>
        </w:rPr>
        <w:t xml:space="preserve">Las Resoluciones del </w:t>
      </w:r>
      <w:r w:rsidRPr="004B283B">
        <w:rPr>
          <w:rFonts w:ascii="Verdana" w:hAnsi="Verdana" w:cs="Verdana"/>
          <w:sz w:val="20"/>
          <w:szCs w:val="20"/>
          <w:lang w:val="es-ES"/>
        </w:rPr>
        <w:t>Presidente de la</w:t>
      </w:r>
      <w:r w:rsidRPr="0043015F">
        <w:rPr>
          <w:rFonts w:ascii="Verdana" w:hAnsi="Verdana" w:cs="Verdana"/>
          <w:sz w:val="20"/>
          <w:szCs w:val="20"/>
          <w:lang w:val="es-ES"/>
        </w:rPr>
        <w:t xml:space="preserve"> Corte Interamericana de Derechos Humanos (en adelante también “la Corte Interamericana”, “la Corte” o “este Tribunal”) de 30 de junio de 1998, 20 de diciembre de 2002, 26 de septiembre de 2003 y 11 de noviembre de 2008</w:t>
      </w:r>
      <w:r w:rsidR="007B5127" w:rsidRPr="0043015F">
        <w:rPr>
          <w:rFonts w:ascii="Verdana" w:hAnsi="Verdana" w:cs="Verdana"/>
          <w:sz w:val="20"/>
          <w:szCs w:val="20"/>
          <w:lang w:val="es-ES"/>
        </w:rPr>
        <w:t>,</w:t>
      </w:r>
      <w:r w:rsidRPr="0043015F">
        <w:rPr>
          <w:rFonts w:ascii="Verdana" w:hAnsi="Verdana" w:cs="Verdana"/>
          <w:sz w:val="20"/>
          <w:szCs w:val="20"/>
          <w:lang w:val="es-ES"/>
        </w:rPr>
        <w:t xml:space="preserve"> y las Resoluciones de la Corte de 29 de agosto de 1998, 5 de septiembre de 2001, 21 de febrero</w:t>
      </w:r>
      <w:r w:rsidR="00504B58" w:rsidRPr="0043015F">
        <w:rPr>
          <w:rFonts w:ascii="Verdana" w:hAnsi="Verdana" w:cs="Verdana"/>
          <w:sz w:val="20"/>
          <w:szCs w:val="20"/>
          <w:lang w:val="es-ES"/>
        </w:rPr>
        <w:t xml:space="preserve"> </w:t>
      </w:r>
      <w:r w:rsidR="00F96416" w:rsidRPr="0043015F">
        <w:rPr>
          <w:rFonts w:ascii="Verdana" w:hAnsi="Verdana" w:cs="Verdana"/>
          <w:sz w:val="20"/>
          <w:szCs w:val="20"/>
          <w:lang w:val="es-ES"/>
        </w:rPr>
        <w:t xml:space="preserve">y </w:t>
      </w:r>
      <w:r w:rsidRPr="0043015F">
        <w:rPr>
          <w:rFonts w:ascii="Verdana" w:hAnsi="Verdana" w:cs="Verdana"/>
          <w:sz w:val="20"/>
          <w:szCs w:val="20"/>
          <w:lang w:val="es-ES"/>
        </w:rPr>
        <w:t>20 de noviembre de 2003, 11 de marzo de 2005</w:t>
      </w:r>
      <w:r w:rsidR="00D90AEB" w:rsidRPr="0043015F">
        <w:rPr>
          <w:rFonts w:ascii="Verdana" w:hAnsi="Verdana" w:cs="Verdana"/>
          <w:sz w:val="20"/>
          <w:szCs w:val="20"/>
          <w:lang w:val="es-ES"/>
        </w:rPr>
        <w:t>,</w:t>
      </w:r>
      <w:r w:rsidRPr="0043015F">
        <w:rPr>
          <w:rFonts w:ascii="Verdana" w:hAnsi="Verdana" w:cs="Verdana"/>
          <w:sz w:val="20"/>
          <w:szCs w:val="20"/>
          <w:lang w:val="es-ES"/>
        </w:rPr>
        <w:t xml:space="preserve"> 27 de enero de 2009</w:t>
      </w:r>
      <w:r w:rsidR="00D90AEB" w:rsidRPr="0043015F">
        <w:rPr>
          <w:rFonts w:ascii="Verdana" w:hAnsi="Verdana" w:cs="Verdana"/>
          <w:sz w:val="20"/>
          <w:szCs w:val="20"/>
          <w:lang w:val="es-ES"/>
        </w:rPr>
        <w:t xml:space="preserve"> y 31 de agosto de 2016</w:t>
      </w:r>
      <w:r w:rsidRPr="0043015F">
        <w:rPr>
          <w:rFonts w:ascii="Verdana" w:hAnsi="Verdana" w:cs="Verdana"/>
          <w:sz w:val="20"/>
          <w:szCs w:val="20"/>
          <w:lang w:val="es-ES"/>
        </w:rPr>
        <w:t xml:space="preserve">. En </w:t>
      </w:r>
      <w:r w:rsidR="007D3DF3">
        <w:rPr>
          <w:rFonts w:ascii="Verdana" w:hAnsi="Verdana" w:cs="Verdana"/>
          <w:sz w:val="20"/>
          <w:szCs w:val="20"/>
          <w:lang w:val="es-ES"/>
        </w:rPr>
        <w:t xml:space="preserve">el marco de </w:t>
      </w:r>
      <w:r w:rsidRPr="0043015F">
        <w:rPr>
          <w:rFonts w:ascii="Verdana" w:hAnsi="Verdana" w:cs="Verdana"/>
          <w:sz w:val="20"/>
          <w:szCs w:val="20"/>
          <w:lang w:val="es-ES"/>
        </w:rPr>
        <w:t xml:space="preserve">esta última resolución la Corte resolvió, </w:t>
      </w:r>
      <w:r w:rsidR="005B080E" w:rsidRPr="0043015F">
        <w:rPr>
          <w:rFonts w:ascii="Verdana" w:hAnsi="Verdana" w:cs="Verdana"/>
          <w:sz w:val="20"/>
          <w:szCs w:val="20"/>
          <w:lang w:val="es-ES"/>
        </w:rPr>
        <w:t>entre otros</w:t>
      </w:r>
      <w:r w:rsidRPr="0043015F">
        <w:rPr>
          <w:rFonts w:ascii="Verdana" w:hAnsi="Verdana" w:cs="Verdana"/>
          <w:sz w:val="20"/>
          <w:szCs w:val="20"/>
          <w:lang w:val="es-ES"/>
        </w:rPr>
        <w:t>:</w:t>
      </w:r>
    </w:p>
    <w:p w:rsidR="003F627B" w:rsidRPr="004B283B" w:rsidRDefault="003F627B" w:rsidP="00860215">
      <w:pPr>
        <w:autoSpaceDE w:val="0"/>
        <w:autoSpaceDN w:val="0"/>
        <w:adjustRightInd w:val="0"/>
        <w:spacing w:after="0" w:line="240" w:lineRule="auto"/>
        <w:jc w:val="both"/>
        <w:rPr>
          <w:rFonts w:ascii="Verdana" w:hAnsi="Verdana" w:cs="Verdana"/>
          <w:sz w:val="16"/>
          <w:szCs w:val="16"/>
          <w:lang w:val="es-ES"/>
        </w:rPr>
      </w:pPr>
    </w:p>
    <w:p w:rsidR="00860215" w:rsidRPr="004B283B" w:rsidRDefault="00860215" w:rsidP="00B87303">
      <w:pPr>
        <w:pStyle w:val="ListParagraph"/>
        <w:numPr>
          <w:ilvl w:val="0"/>
          <w:numId w:val="5"/>
        </w:numPr>
        <w:spacing w:after="0" w:line="240" w:lineRule="auto"/>
        <w:ind w:left="720" w:right="855" w:firstLine="0"/>
        <w:jc w:val="both"/>
        <w:rPr>
          <w:rFonts w:ascii="Verdana" w:hAnsi="Verdana"/>
          <w:sz w:val="16"/>
          <w:szCs w:val="16"/>
          <w:lang w:val="es-ES_tradnl"/>
        </w:rPr>
      </w:pPr>
      <w:r w:rsidRPr="004B283B">
        <w:rPr>
          <w:rFonts w:ascii="Verdana" w:hAnsi="Verdana"/>
          <w:sz w:val="16"/>
          <w:szCs w:val="16"/>
          <w:lang w:val="es-ES_tradnl"/>
        </w:rPr>
        <w:t xml:space="preserve">Levantar las medidas provisionales ordenadas a favor de Alberta Velásquez, Luis Federico López Godínez, Oscar Rolando López Velásquez, </w:t>
      </w:r>
      <w:proofErr w:type="spellStart"/>
      <w:r w:rsidRPr="004B283B">
        <w:rPr>
          <w:rFonts w:ascii="Verdana" w:hAnsi="Verdana"/>
          <w:sz w:val="16"/>
          <w:szCs w:val="16"/>
          <w:lang w:val="es-ES_tradnl"/>
        </w:rPr>
        <w:t>Egidia</w:t>
      </w:r>
      <w:proofErr w:type="spellEnd"/>
      <w:r w:rsidRPr="004B283B">
        <w:rPr>
          <w:rFonts w:ascii="Verdana" w:hAnsi="Verdana"/>
          <w:sz w:val="16"/>
          <w:szCs w:val="16"/>
          <w:lang w:val="es-ES_tradnl"/>
        </w:rPr>
        <w:t xml:space="preserve"> </w:t>
      </w:r>
      <w:proofErr w:type="spellStart"/>
      <w:r w:rsidRPr="004B283B">
        <w:rPr>
          <w:rFonts w:ascii="Verdana" w:hAnsi="Verdana"/>
          <w:sz w:val="16"/>
          <w:szCs w:val="16"/>
          <w:lang w:val="es-ES_tradnl"/>
        </w:rPr>
        <w:t>Gebia</w:t>
      </w:r>
      <w:proofErr w:type="spellEnd"/>
      <w:r w:rsidRPr="004B283B">
        <w:rPr>
          <w:rFonts w:ascii="Verdana" w:hAnsi="Verdana"/>
          <w:sz w:val="16"/>
          <w:szCs w:val="16"/>
          <w:lang w:val="es-ES_tradnl"/>
        </w:rPr>
        <w:t xml:space="preserve"> </w:t>
      </w:r>
      <w:proofErr w:type="spellStart"/>
      <w:r w:rsidRPr="004B283B">
        <w:rPr>
          <w:rFonts w:ascii="Verdana" w:hAnsi="Verdana"/>
          <w:sz w:val="16"/>
          <w:szCs w:val="16"/>
          <w:lang w:val="es-ES_tradnl"/>
        </w:rPr>
        <w:t>Bámaca</w:t>
      </w:r>
      <w:proofErr w:type="spellEnd"/>
      <w:r w:rsidRPr="004B283B">
        <w:rPr>
          <w:rFonts w:ascii="Verdana" w:hAnsi="Verdana"/>
          <w:sz w:val="16"/>
          <w:szCs w:val="16"/>
          <w:lang w:val="es-ES_tradnl"/>
        </w:rPr>
        <w:t xml:space="preserve"> Velásquez, Josefina </w:t>
      </w:r>
      <w:proofErr w:type="spellStart"/>
      <w:r w:rsidRPr="004B283B">
        <w:rPr>
          <w:rFonts w:ascii="Verdana" w:hAnsi="Verdana"/>
          <w:sz w:val="16"/>
          <w:szCs w:val="16"/>
          <w:lang w:val="es-ES_tradnl"/>
        </w:rPr>
        <w:t>Bámaca</w:t>
      </w:r>
      <w:proofErr w:type="spellEnd"/>
      <w:r w:rsidRPr="004B283B">
        <w:rPr>
          <w:rFonts w:ascii="Verdana" w:hAnsi="Verdana"/>
          <w:sz w:val="16"/>
          <w:szCs w:val="16"/>
          <w:lang w:val="es-ES_tradnl"/>
        </w:rPr>
        <w:t xml:space="preserve"> Velásquez, Rudy López, Amín López y sus familiares, en los términos del Considerando 23 de la presente Resolución; así como de Blanca Noelia Meléndez, José </w:t>
      </w:r>
      <w:proofErr w:type="spellStart"/>
      <w:r w:rsidRPr="004B283B">
        <w:rPr>
          <w:rFonts w:ascii="Verdana" w:hAnsi="Verdana"/>
          <w:sz w:val="16"/>
          <w:szCs w:val="16"/>
          <w:lang w:val="es-ES_tradnl"/>
        </w:rPr>
        <w:t>Pioquinto</w:t>
      </w:r>
      <w:proofErr w:type="spellEnd"/>
      <w:r w:rsidRPr="004B283B">
        <w:rPr>
          <w:rFonts w:ascii="Verdana" w:hAnsi="Verdana"/>
          <w:sz w:val="16"/>
          <w:szCs w:val="16"/>
          <w:lang w:val="es-ES_tradnl"/>
        </w:rPr>
        <w:t xml:space="preserve"> Álvarez Nájera, Alex Javier Álvarez Nájera, Germán Aníbal de la Roca Mendoza, Kevin Otoniel de la Roca Mendoza, Linda Álvarez Nájera, Jacobo Álvarez Nájera, Óscar Álvarez Nájera, Aracely Álvarez Nájera, Wendy Pérez Álvarez, </w:t>
      </w:r>
      <w:proofErr w:type="spellStart"/>
      <w:r w:rsidRPr="004B283B">
        <w:rPr>
          <w:rFonts w:ascii="Verdana" w:hAnsi="Verdana"/>
          <w:sz w:val="16"/>
          <w:szCs w:val="16"/>
          <w:lang w:val="es-ES_tradnl"/>
        </w:rPr>
        <w:t>Sulni</w:t>
      </w:r>
      <w:proofErr w:type="spellEnd"/>
      <w:r w:rsidRPr="004B283B">
        <w:rPr>
          <w:rFonts w:ascii="Verdana" w:hAnsi="Verdana"/>
          <w:sz w:val="16"/>
          <w:szCs w:val="16"/>
          <w:lang w:val="es-ES_tradnl"/>
        </w:rPr>
        <w:t xml:space="preserve"> </w:t>
      </w:r>
      <w:proofErr w:type="spellStart"/>
      <w:r w:rsidRPr="004B283B">
        <w:rPr>
          <w:rFonts w:ascii="Verdana" w:hAnsi="Verdana"/>
          <w:sz w:val="16"/>
          <w:szCs w:val="16"/>
          <w:lang w:val="es-ES_tradnl"/>
        </w:rPr>
        <w:t>Madeli</w:t>
      </w:r>
      <w:proofErr w:type="spellEnd"/>
      <w:r w:rsidRPr="004B283B">
        <w:rPr>
          <w:rFonts w:ascii="Verdana" w:hAnsi="Verdana"/>
          <w:sz w:val="16"/>
          <w:szCs w:val="16"/>
          <w:lang w:val="es-ES_tradnl"/>
        </w:rPr>
        <w:t xml:space="preserve"> Pérez Álvarez, José Oswaldo Pérez Álvarez y Otoniel de la Roca, en los términos de los Considerandos 32 y 33 de la </w:t>
      </w:r>
      <w:r w:rsidR="00D96211" w:rsidRPr="004B283B">
        <w:rPr>
          <w:rFonts w:ascii="Verdana" w:hAnsi="Verdana"/>
          <w:sz w:val="16"/>
          <w:szCs w:val="16"/>
          <w:lang w:val="es-ES_tradnl"/>
        </w:rPr>
        <w:t>[…]</w:t>
      </w:r>
      <w:r w:rsidR="00886A6E" w:rsidRPr="004B283B">
        <w:rPr>
          <w:rFonts w:ascii="Verdana" w:hAnsi="Verdana"/>
          <w:sz w:val="16"/>
          <w:szCs w:val="16"/>
          <w:lang w:val="es-ES_tradnl"/>
        </w:rPr>
        <w:t xml:space="preserve"> Resolución.</w:t>
      </w:r>
    </w:p>
    <w:p w:rsidR="00860215" w:rsidRPr="004B283B" w:rsidRDefault="00860215" w:rsidP="00B87303">
      <w:pPr>
        <w:pStyle w:val="ListParagraph"/>
        <w:spacing w:after="0" w:line="240" w:lineRule="auto"/>
        <w:ind w:right="855"/>
        <w:jc w:val="both"/>
        <w:rPr>
          <w:rFonts w:ascii="Verdana" w:hAnsi="Verdana"/>
          <w:sz w:val="16"/>
          <w:szCs w:val="16"/>
          <w:lang w:val="es-ES_tradnl"/>
        </w:rPr>
      </w:pPr>
    </w:p>
    <w:p w:rsidR="00860215" w:rsidRPr="004B283B" w:rsidRDefault="00860215" w:rsidP="00B87303">
      <w:pPr>
        <w:pStyle w:val="ListParagraph"/>
        <w:numPr>
          <w:ilvl w:val="0"/>
          <w:numId w:val="5"/>
        </w:numPr>
        <w:spacing w:after="0" w:line="240" w:lineRule="auto"/>
        <w:ind w:left="720" w:right="855" w:firstLine="0"/>
        <w:jc w:val="both"/>
        <w:rPr>
          <w:rFonts w:ascii="Verdana" w:hAnsi="Verdana"/>
          <w:sz w:val="16"/>
          <w:szCs w:val="16"/>
          <w:lang w:val="es-ES_tradnl"/>
        </w:rPr>
      </w:pPr>
      <w:r w:rsidRPr="004B283B">
        <w:rPr>
          <w:rFonts w:ascii="Verdana" w:hAnsi="Verdana"/>
          <w:sz w:val="16"/>
          <w:szCs w:val="16"/>
          <w:lang w:val="es-ES_tradnl"/>
        </w:rPr>
        <w:t xml:space="preserve">Declarar que las medidas provisionales otorgadas a favor de José León </w:t>
      </w:r>
      <w:proofErr w:type="spellStart"/>
      <w:r w:rsidRPr="004B283B">
        <w:rPr>
          <w:rFonts w:ascii="Verdana" w:hAnsi="Verdana"/>
          <w:sz w:val="16"/>
          <w:szCs w:val="16"/>
          <w:lang w:val="es-ES_tradnl"/>
        </w:rPr>
        <w:t>Bámaca</w:t>
      </w:r>
      <w:proofErr w:type="spellEnd"/>
      <w:r w:rsidRPr="004B283B">
        <w:rPr>
          <w:rFonts w:ascii="Verdana" w:hAnsi="Verdana"/>
          <w:sz w:val="16"/>
          <w:szCs w:val="16"/>
          <w:lang w:val="es-ES_tradnl"/>
        </w:rPr>
        <w:t xml:space="preserve"> Hernández, José Ernesto Álvarez Paz y Emérita Mendoza, han quedado sin efecto, de conformidad con el Considerando 59 de la </w:t>
      </w:r>
      <w:r w:rsidR="00D96211" w:rsidRPr="004B283B">
        <w:rPr>
          <w:rFonts w:ascii="Verdana" w:hAnsi="Verdana"/>
          <w:sz w:val="16"/>
          <w:szCs w:val="16"/>
          <w:lang w:val="es-ES_tradnl"/>
        </w:rPr>
        <w:t>[…]</w:t>
      </w:r>
      <w:r w:rsidRPr="004B283B">
        <w:rPr>
          <w:rFonts w:ascii="Verdana" w:hAnsi="Verdana"/>
          <w:sz w:val="16"/>
          <w:szCs w:val="16"/>
          <w:lang w:val="es-ES_tradnl"/>
        </w:rPr>
        <w:t xml:space="preserve"> Resolución.</w:t>
      </w:r>
    </w:p>
    <w:p w:rsidR="00860215" w:rsidRPr="004B283B" w:rsidRDefault="00860215" w:rsidP="00B87303">
      <w:pPr>
        <w:pStyle w:val="ListParagraph"/>
        <w:spacing w:after="0" w:line="240" w:lineRule="auto"/>
        <w:ind w:right="855"/>
        <w:jc w:val="both"/>
        <w:rPr>
          <w:rFonts w:ascii="Verdana" w:hAnsi="Verdana"/>
          <w:sz w:val="16"/>
          <w:szCs w:val="16"/>
          <w:lang w:val="es-ES_tradnl"/>
        </w:rPr>
      </w:pPr>
    </w:p>
    <w:p w:rsidR="00860215" w:rsidRPr="004B283B" w:rsidRDefault="00860215" w:rsidP="00B87303">
      <w:pPr>
        <w:pStyle w:val="ListParagraph"/>
        <w:numPr>
          <w:ilvl w:val="0"/>
          <w:numId w:val="5"/>
        </w:numPr>
        <w:spacing w:after="0" w:line="240" w:lineRule="auto"/>
        <w:ind w:left="720" w:right="855" w:firstLine="0"/>
        <w:jc w:val="both"/>
        <w:rPr>
          <w:rFonts w:ascii="Verdana" w:hAnsi="Verdana"/>
          <w:sz w:val="16"/>
          <w:szCs w:val="16"/>
          <w:lang w:val="es-ES_tradnl"/>
        </w:rPr>
      </w:pPr>
      <w:r w:rsidRPr="004B283B">
        <w:rPr>
          <w:rFonts w:ascii="Verdana" w:hAnsi="Verdana"/>
          <w:sz w:val="16"/>
          <w:szCs w:val="16"/>
          <w:lang w:val="es-ES_tradnl"/>
        </w:rPr>
        <w:t xml:space="preserve">Mantener las medidas provisionales a favor del señor Santiago Cabrera López y sus familiares y del señor Aron Álvarez y sus familiares, de conformidad con los Considerandos 13 y 52 de la </w:t>
      </w:r>
      <w:r w:rsidR="00D96211" w:rsidRPr="004B283B">
        <w:rPr>
          <w:rFonts w:ascii="Verdana" w:hAnsi="Verdana"/>
          <w:sz w:val="16"/>
          <w:szCs w:val="16"/>
          <w:lang w:val="es-ES_tradnl"/>
        </w:rPr>
        <w:t>[…]</w:t>
      </w:r>
      <w:r w:rsidRPr="004B283B">
        <w:rPr>
          <w:rFonts w:ascii="Verdana" w:hAnsi="Verdana"/>
          <w:sz w:val="16"/>
          <w:szCs w:val="16"/>
          <w:lang w:val="es-ES_tradnl"/>
        </w:rPr>
        <w:t xml:space="preserve"> Resolución.</w:t>
      </w:r>
    </w:p>
    <w:p w:rsidR="00DF7BEC" w:rsidRPr="004B283B" w:rsidRDefault="00DF7BEC" w:rsidP="00DF7BEC">
      <w:pPr>
        <w:pStyle w:val="ListParagraph"/>
        <w:rPr>
          <w:rFonts w:ascii="Verdana" w:hAnsi="Verdana"/>
          <w:sz w:val="16"/>
          <w:szCs w:val="16"/>
          <w:lang w:val="es-ES_tradnl"/>
        </w:rPr>
      </w:pPr>
    </w:p>
    <w:p w:rsidR="00DF7BEC" w:rsidRPr="004B283B" w:rsidRDefault="00DF7BEC" w:rsidP="00DF7BEC">
      <w:pPr>
        <w:pStyle w:val="ListParagraph"/>
        <w:spacing w:after="0" w:line="240" w:lineRule="auto"/>
        <w:ind w:right="855"/>
        <w:jc w:val="both"/>
        <w:rPr>
          <w:rFonts w:ascii="Verdana" w:hAnsi="Verdana"/>
          <w:sz w:val="16"/>
          <w:szCs w:val="16"/>
          <w:lang w:val="es-ES_tradnl"/>
        </w:rPr>
      </w:pPr>
      <w:r w:rsidRPr="004B283B">
        <w:rPr>
          <w:rFonts w:ascii="Verdana" w:hAnsi="Verdana"/>
          <w:sz w:val="16"/>
          <w:szCs w:val="16"/>
          <w:lang w:val="es-ES_tradnl"/>
        </w:rPr>
        <w:t>[…]</w:t>
      </w:r>
    </w:p>
    <w:p w:rsidR="003F627B" w:rsidRPr="0043015F" w:rsidRDefault="003F627B" w:rsidP="00860215">
      <w:pPr>
        <w:spacing w:after="0" w:line="240" w:lineRule="auto"/>
        <w:jc w:val="both"/>
        <w:rPr>
          <w:rFonts w:ascii="Verdana" w:hAnsi="Verdana"/>
          <w:sz w:val="20"/>
          <w:szCs w:val="20"/>
          <w:lang w:val="es-ES_tradnl"/>
        </w:rPr>
      </w:pPr>
    </w:p>
    <w:p w:rsidR="003F627B" w:rsidRPr="0043015F" w:rsidRDefault="003F627B" w:rsidP="003F627B">
      <w:pPr>
        <w:spacing w:line="240" w:lineRule="auto"/>
        <w:jc w:val="both"/>
        <w:rPr>
          <w:rFonts w:ascii="Verdana" w:hAnsi="Verdana" w:cs="Verdana"/>
          <w:sz w:val="20"/>
          <w:szCs w:val="20"/>
          <w:lang w:val="es-ES"/>
        </w:rPr>
      </w:pPr>
      <w:r w:rsidRPr="0043015F">
        <w:rPr>
          <w:rFonts w:ascii="Verdana" w:hAnsi="Verdana" w:cs="Verdana"/>
          <w:sz w:val="20"/>
          <w:szCs w:val="20"/>
          <w:lang w:val="es-ES"/>
        </w:rPr>
        <w:t>2</w:t>
      </w:r>
      <w:r w:rsidR="00AA3571" w:rsidRPr="0043015F">
        <w:rPr>
          <w:rFonts w:ascii="Verdana" w:hAnsi="Verdana" w:cs="Verdana"/>
          <w:sz w:val="20"/>
          <w:szCs w:val="20"/>
          <w:lang w:val="es-ES"/>
        </w:rPr>
        <w:t>.</w:t>
      </w:r>
      <w:r w:rsidRPr="0043015F">
        <w:rPr>
          <w:rFonts w:ascii="Verdana" w:hAnsi="Verdana" w:cs="Verdana"/>
          <w:sz w:val="20"/>
          <w:szCs w:val="20"/>
          <w:lang w:val="es-ES"/>
        </w:rPr>
        <w:tab/>
        <w:t>Los escritos presentados por la República de Guatemala (en adelante también “el Estado” o “Guatemala”)</w:t>
      </w:r>
      <w:r w:rsidR="002A7B14" w:rsidRPr="0043015F">
        <w:rPr>
          <w:rFonts w:ascii="Verdana" w:hAnsi="Verdana" w:cs="Verdana"/>
          <w:sz w:val="20"/>
          <w:szCs w:val="20"/>
          <w:lang w:val="es-ES"/>
        </w:rPr>
        <w:t xml:space="preserve"> de</w:t>
      </w:r>
      <w:r w:rsidRPr="0043015F">
        <w:rPr>
          <w:rFonts w:ascii="Verdana" w:hAnsi="Verdana" w:cs="Verdana"/>
          <w:sz w:val="20"/>
          <w:szCs w:val="20"/>
          <w:lang w:val="es-ES"/>
        </w:rPr>
        <w:t xml:space="preserve"> </w:t>
      </w:r>
      <w:r w:rsidR="00923417" w:rsidRPr="0043015F">
        <w:rPr>
          <w:rFonts w:ascii="Verdana" w:hAnsi="Verdana" w:cs="Verdana"/>
          <w:sz w:val="20"/>
          <w:szCs w:val="20"/>
          <w:lang w:val="es-ES"/>
        </w:rPr>
        <w:t>16 de junio de 2017</w:t>
      </w:r>
      <w:r w:rsidR="00E712AB">
        <w:rPr>
          <w:rFonts w:ascii="Verdana" w:hAnsi="Verdana" w:cs="Verdana"/>
          <w:sz w:val="20"/>
          <w:szCs w:val="20"/>
          <w:lang w:val="es-ES"/>
        </w:rPr>
        <w:t xml:space="preserve"> </w:t>
      </w:r>
      <w:r w:rsidR="00923417" w:rsidRPr="0043015F">
        <w:rPr>
          <w:rFonts w:ascii="Verdana" w:hAnsi="Verdana" w:cs="Verdana"/>
          <w:sz w:val="20"/>
          <w:szCs w:val="20"/>
          <w:lang w:val="es-ES"/>
        </w:rPr>
        <w:t>y 9 de febrero de 2018</w:t>
      </w:r>
      <w:r w:rsidRPr="0043015F">
        <w:rPr>
          <w:rFonts w:ascii="Verdana" w:hAnsi="Verdana" w:cs="Verdana"/>
          <w:sz w:val="20"/>
          <w:szCs w:val="20"/>
          <w:lang w:val="es-ES"/>
        </w:rPr>
        <w:t xml:space="preserve"> </w:t>
      </w:r>
      <w:r w:rsidR="00423306" w:rsidRPr="00423306">
        <w:rPr>
          <w:rFonts w:ascii="Verdana" w:hAnsi="Verdana" w:cs="Verdana"/>
          <w:sz w:val="20"/>
          <w:szCs w:val="20"/>
          <w:lang w:val="es-ES"/>
        </w:rPr>
        <w:t>y 5</w:t>
      </w:r>
      <w:r w:rsidR="00423306">
        <w:rPr>
          <w:rFonts w:ascii="Verdana" w:hAnsi="Verdana" w:cs="Verdana"/>
          <w:b/>
          <w:sz w:val="16"/>
          <w:szCs w:val="16"/>
          <w:lang w:val="es-ES"/>
        </w:rPr>
        <w:t xml:space="preserve"> </w:t>
      </w:r>
      <w:r w:rsidR="00423306">
        <w:rPr>
          <w:rFonts w:ascii="Verdana" w:hAnsi="Verdana" w:cs="Verdana"/>
          <w:sz w:val="20"/>
          <w:szCs w:val="20"/>
          <w:lang w:val="es-ES"/>
        </w:rPr>
        <w:t>de octubre de 2018, m</w:t>
      </w:r>
      <w:r w:rsidRPr="0043015F">
        <w:rPr>
          <w:rFonts w:ascii="Verdana" w:hAnsi="Verdana" w:cs="Verdana"/>
          <w:sz w:val="20"/>
          <w:szCs w:val="20"/>
          <w:lang w:val="es-ES"/>
        </w:rPr>
        <w:t xml:space="preserve">ediante los cuales </w:t>
      </w:r>
      <w:r w:rsidR="007B5127" w:rsidRPr="0043015F">
        <w:rPr>
          <w:rFonts w:ascii="Verdana" w:hAnsi="Verdana" w:cs="Verdana"/>
          <w:sz w:val="20"/>
          <w:szCs w:val="20"/>
          <w:lang w:val="es-ES"/>
        </w:rPr>
        <w:t xml:space="preserve">presentó </w:t>
      </w:r>
      <w:r w:rsidRPr="0043015F">
        <w:rPr>
          <w:rFonts w:ascii="Verdana" w:hAnsi="Verdana" w:cs="Verdana"/>
          <w:sz w:val="20"/>
          <w:szCs w:val="20"/>
          <w:lang w:val="es-ES"/>
        </w:rPr>
        <w:t>inform</w:t>
      </w:r>
      <w:r w:rsidR="007B5127" w:rsidRPr="0043015F">
        <w:rPr>
          <w:rFonts w:ascii="Verdana" w:hAnsi="Verdana" w:cs="Verdana"/>
          <w:sz w:val="20"/>
          <w:szCs w:val="20"/>
          <w:lang w:val="es-ES"/>
        </w:rPr>
        <w:t>ación</w:t>
      </w:r>
      <w:r w:rsidRPr="0043015F">
        <w:rPr>
          <w:rFonts w:ascii="Verdana" w:hAnsi="Verdana" w:cs="Verdana"/>
          <w:sz w:val="20"/>
          <w:szCs w:val="20"/>
          <w:lang w:val="es-ES"/>
        </w:rPr>
        <w:t xml:space="preserve"> relacionad</w:t>
      </w:r>
      <w:r w:rsidR="007B5127" w:rsidRPr="0043015F">
        <w:rPr>
          <w:rFonts w:ascii="Verdana" w:hAnsi="Verdana" w:cs="Verdana"/>
          <w:sz w:val="20"/>
          <w:szCs w:val="20"/>
          <w:lang w:val="es-ES"/>
        </w:rPr>
        <w:t>a</w:t>
      </w:r>
      <w:r w:rsidRPr="0043015F">
        <w:rPr>
          <w:rFonts w:ascii="Verdana" w:hAnsi="Verdana" w:cs="Verdana"/>
          <w:sz w:val="20"/>
          <w:szCs w:val="20"/>
          <w:lang w:val="es-ES"/>
        </w:rPr>
        <w:t xml:space="preserve"> con medidas provisionales.</w:t>
      </w:r>
    </w:p>
    <w:p w:rsidR="003F627B" w:rsidRDefault="003F627B" w:rsidP="003F627B">
      <w:pPr>
        <w:pStyle w:val="ListParagraph"/>
        <w:numPr>
          <w:ilvl w:val="0"/>
          <w:numId w:val="2"/>
        </w:numPr>
        <w:autoSpaceDE w:val="0"/>
        <w:autoSpaceDN w:val="0"/>
        <w:adjustRightInd w:val="0"/>
        <w:spacing w:after="0" w:line="240" w:lineRule="auto"/>
        <w:ind w:left="0" w:firstLine="0"/>
        <w:jc w:val="both"/>
        <w:rPr>
          <w:rFonts w:ascii="Verdana" w:hAnsi="Verdana" w:cs="Verdana"/>
          <w:sz w:val="20"/>
          <w:szCs w:val="20"/>
          <w:lang w:val="es-ES"/>
        </w:rPr>
      </w:pPr>
      <w:r w:rsidRPr="0043015F">
        <w:rPr>
          <w:rFonts w:ascii="Verdana" w:hAnsi="Verdana" w:cs="Verdana"/>
          <w:sz w:val="20"/>
          <w:szCs w:val="20"/>
          <w:lang w:val="es-ES"/>
        </w:rPr>
        <w:t>Los escritos presentados por l</w:t>
      </w:r>
      <w:r w:rsidR="00033BD2">
        <w:rPr>
          <w:rFonts w:ascii="Verdana" w:hAnsi="Verdana" w:cs="Verdana"/>
          <w:sz w:val="20"/>
          <w:szCs w:val="20"/>
          <w:lang w:val="es-ES"/>
        </w:rPr>
        <w:t>a</w:t>
      </w:r>
      <w:r w:rsidRPr="0043015F">
        <w:rPr>
          <w:rFonts w:ascii="Verdana" w:hAnsi="Verdana" w:cs="Verdana"/>
          <w:sz w:val="20"/>
          <w:szCs w:val="20"/>
          <w:lang w:val="es-ES"/>
        </w:rPr>
        <w:t>s representantes de los beneficiarios de las medidas provisionales (en adelante también “l</w:t>
      </w:r>
      <w:r w:rsidR="00033BD2">
        <w:rPr>
          <w:rFonts w:ascii="Verdana" w:hAnsi="Verdana" w:cs="Verdana"/>
          <w:sz w:val="20"/>
          <w:szCs w:val="20"/>
          <w:lang w:val="es-ES"/>
        </w:rPr>
        <w:t>a</w:t>
      </w:r>
      <w:r w:rsidRPr="0043015F">
        <w:rPr>
          <w:rFonts w:ascii="Verdana" w:hAnsi="Verdana" w:cs="Verdana"/>
          <w:sz w:val="20"/>
          <w:szCs w:val="20"/>
          <w:lang w:val="es-ES"/>
        </w:rPr>
        <w:t xml:space="preserve">s representantes”) de </w:t>
      </w:r>
      <w:r w:rsidR="00923417" w:rsidRPr="0043015F">
        <w:rPr>
          <w:rFonts w:ascii="Verdana" w:hAnsi="Verdana" w:cs="Verdana"/>
          <w:sz w:val="20"/>
          <w:szCs w:val="20"/>
          <w:lang w:val="es-ES"/>
        </w:rPr>
        <w:t>18 de julio de 2017</w:t>
      </w:r>
      <w:r w:rsidR="00E712AB">
        <w:rPr>
          <w:rFonts w:ascii="Verdana" w:hAnsi="Verdana" w:cs="Verdana"/>
          <w:sz w:val="20"/>
          <w:szCs w:val="20"/>
          <w:lang w:val="es-ES"/>
        </w:rPr>
        <w:t xml:space="preserve"> </w:t>
      </w:r>
      <w:r w:rsidR="00923417" w:rsidRPr="0043015F">
        <w:rPr>
          <w:rFonts w:ascii="Verdana" w:hAnsi="Verdana" w:cs="Verdana"/>
          <w:sz w:val="20"/>
          <w:szCs w:val="20"/>
          <w:lang w:val="es-ES"/>
        </w:rPr>
        <w:t>y 15 de marzo</w:t>
      </w:r>
      <w:r w:rsidR="00B731DA">
        <w:rPr>
          <w:rFonts w:ascii="Verdana" w:hAnsi="Verdana" w:cs="Verdana"/>
          <w:b/>
          <w:sz w:val="16"/>
          <w:szCs w:val="16"/>
          <w:lang w:val="es-ES"/>
        </w:rPr>
        <w:t xml:space="preserve"> </w:t>
      </w:r>
      <w:r w:rsidR="00B731DA">
        <w:rPr>
          <w:rFonts w:ascii="Verdana" w:hAnsi="Verdana" w:cs="Verdana"/>
          <w:sz w:val="20"/>
          <w:szCs w:val="20"/>
          <w:lang w:val="es-ES"/>
        </w:rPr>
        <w:t xml:space="preserve">y 15 de noviembre </w:t>
      </w:r>
      <w:r w:rsidR="00923417" w:rsidRPr="0043015F">
        <w:rPr>
          <w:rFonts w:ascii="Verdana" w:hAnsi="Verdana" w:cs="Verdana"/>
          <w:sz w:val="20"/>
          <w:szCs w:val="20"/>
          <w:lang w:val="es-ES"/>
        </w:rPr>
        <w:t>de 2018,</w:t>
      </w:r>
      <w:r w:rsidRPr="0043015F">
        <w:rPr>
          <w:rFonts w:ascii="Verdana" w:hAnsi="Verdana" w:cs="Verdana"/>
          <w:sz w:val="20"/>
          <w:szCs w:val="20"/>
          <w:lang w:val="es-ES"/>
        </w:rPr>
        <w:t xml:space="preserve"> mediante los cuales remitieron sus observaciones </w:t>
      </w:r>
      <w:r w:rsidR="006957BB">
        <w:rPr>
          <w:rFonts w:ascii="Verdana" w:hAnsi="Verdana" w:cs="Verdana"/>
          <w:sz w:val="20"/>
          <w:szCs w:val="20"/>
          <w:lang w:val="es-ES"/>
        </w:rPr>
        <w:t>a los</w:t>
      </w:r>
      <w:r w:rsidRPr="0043015F">
        <w:rPr>
          <w:rFonts w:ascii="Verdana" w:hAnsi="Verdana" w:cs="Verdana"/>
          <w:sz w:val="20"/>
          <w:szCs w:val="20"/>
          <w:lang w:val="es-ES"/>
        </w:rPr>
        <w:t xml:space="preserve"> informes del Estado.</w:t>
      </w:r>
    </w:p>
    <w:p w:rsidR="00DF7BEC" w:rsidRPr="00B87303" w:rsidRDefault="00DF7BEC" w:rsidP="00DF7BEC">
      <w:pPr>
        <w:pStyle w:val="ListParagraph"/>
        <w:autoSpaceDE w:val="0"/>
        <w:autoSpaceDN w:val="0"/>
        <w:adjustRightInd w:val="0"/>
        <w:spacing w:after="0" w:line="240" w:lineRule="auto"/>
        <w:ind w:left="0"/>
        <w:jc w:val="both"/>
        <w:rPr>
          <w:rFonts w:ascii="Verdana" w:hAnsi="Verdana" w:cs="Verdana"/>
          <w:sz w:val="20"/>
          <w:szCs w:val="20"/>
          <w:lang w:val="es-ES"/>
        </w:rPr>
      </w:pPr>
    </w:p>
    <w:p w:rsidR="003F627B" w:rsidRPr="0043015F" w:rsidRDefault="00E712AB" w:rsidP="003F627B">
      <w:pPr>
        <w:pStyle w:val="ListParagraph"/>
        <w:numPr>
          <w:ilvl w:val="0"/>
          <w:numId w:val="2"/>
        </w:numPr>
        <w:autoSpaceDE w:val="0"/>
        <w:autoSpaceDN w:val="0"/>
        <w:adjustRightInd w:val="0"/>
        <w:spacing w:after="0" w:line="240" w:lineRule="auto"/>
        <w:ind w:left="0" w:firstLine="0"/>
        <w:jc w:val="both"/>
        <w:rPr>
          <w:rFonts w:ascii="Verdana" w:hAnsi="Verdana" w:cs="Verdana"/>
          <w:sz w:val="20"/>
          <w:szCs w:val="20"/>
          <w:lang w:val="es-ES"/>
        </w:rPr>
      </w:pPr>
      <w:r>
        <w:rPr>
          <w:rFonts w:ascii="Verdana" w:hAnsi="Verdana" w:cs="Verdana"/>
          <w:sz w:val="20"/>
          <w:szCs w:val="20"/>
          <w:lang w:val="es-ES"/>
        </w:rPr>
        <w:lastRenderedPageBreak/>
        <w:t>El escrito presentado</w:t>
      </w:r>
      <w:r w:rsidR="003F627B" w:rsidRPr="0043015F">
        <w:rPr>
          <w:rFonts w:ascii="Verdana" w:hAnsi="Verdana" w:cs="Verdana"/>
          <w:sz w:val="20"/>
          <w:szCs w:val="20"/>
          <w:lang w:val="es-ES"/>
        </w:rPr>
        <w:t xml:space="preserve"> por la Comisión Interamericana de Derechos Humanos (en adelante también “la Comisión Interamericana” o “la Comisión”)</w:t>
      </w:r>
      <w:r w:rsidR="002A7B14" w:rsidRPr="0043015F">
        <w:rPr>
          <w:rFonts w:ascii="Verdana" w:hAnsi="Verdana" w:cs="Verdana"/>
          <w:sz w:val="20"/>
          <w:szCs w:val="20"/>
          <w:lang w:val="es-ES"/>
        </w:rPr>
        <w:t xml:space="preserve"> de</w:t>
      </w:r>
      <w:r w:rsidR="003625B8" w:rsidRPr="0043015F">
        <w:rPr>
          <w:rFonts w:ascii="Verdana" w:hAnsi="Verdana" w:cs="Verdana"/>
          <w:sz w:val="20"/>
          <w:szCs w:val="20"/>
          <w:lang w:val="es-ES"/>
        </w:rPr>
        <w:t xml:space="preserve"> </w:t>
      </w:r>
      <w:r w:rsidR="00923417" w:rsidRPr="0043015F">
        <w:rPr>
          <w:rFonts w:ascii="Verdana" w:hAnsi="Verdana"/>
          <w:sz w:val="20"/>
          <w:szCs w:val="20"/>
          <w:lang w:val="es-MX"/>
        </w:rPr>
        <w:t>3 de septiembre de 2017</w:t>
      </w:r>
      <w:r>
        <w:rPr>
          <w:rFonts w:ascii="Verdana" w:hAnsi="Verdana"/>
          <w:sz w:val="20"/>
          <w:szCs w:val="20"/>
          <w:lang w:val="es-MX"/>
        </w:rPr>
        <w:t xml:space="preserve"> </w:t>
      </w:r>
      <w:r w:rsidR="003F627B" w:rsidRPr="0043015F">
        <w:rPr>
          <w:rFonts w:ascii="Verdana" w:hAnsi="Verdana" w:cs="Verdana"/>
          <w:sz w:val="20"/>
          <w:szCs w:val="20"/>
          <w:lang w:val="es-ES"/>
        </w:rPr>
        <w:t xml:space="preserve">mediante </w:t>
      </w:r>
      <w:r w:rsidR="006957BB">
        <w:rPr>
          <w:rFonts w:ascii="Verdana" w:hAnsi="Verdana" w:cs="Verdana"/>
          <w:sz w:val="20"/>
          <w:szCs w:val="20"/>
          <w:lang w:val="es-ES"/>
        </w:rPr>
        <w:t>el cual</w:t>
      </w:r>
      <w:r w:rsidR="003F627B" w:rsidRPr="0043015F">
        <w:rPr>
          <w:rFonts w:ascii="Verdana" w:hAnsi="Verdana" w:cs="Verdana"/>
          <w:sz w:val="20"/>
          <w:szCs w:val="20"/>
          <w:lang w:val="es-ES"/>
        </w:rPr>
        <w:t xml:space="preserve"> remitió sus observaciones a la información brindada por el Estado</w:t>
      </w:r>
      <w:r w:rsidR="00F94918">
        <w:rPr>
          <w:rFonts w:ascii="Verdana" w:hAnsi="Verdana" w:cs="Verdana"/>
          <w:sz w:val="20"/>
          <w:szCs w:val="20"/>
          <w:lang w:val="es-ES"/>
        </w:rPr>
        <w:t xml:space="preserve"> y las representantes</w:t>
      </w:r>
      <w:r w:rsidR="00AE109E" w:rsidRPr="0043015F">
        <w:rPr>
          <w:rFonts w:ascii="Verdana" w:hAnsi="Verdana" w:cs="Verdana"/>
          <w:sz w:val="20"/>
          <w:szCs w:val="20"/>
          <w:lang w:val="es-ES"/>
        </w:rPr>
        <w:t>.</w:t>
      </w:r>
    </w:p>
    <w:p w:rsidR="003F627B" w:rsidRPr="0043015F" w:rsidRDefault="003F627B" w:rsidP="003F627B">
      <w:pPr>
        <w:pStyle w:val="ListParagraph"/>
        <w:autoSpaceDE w:val="0"/>
        <w:autoSpaceDN w:val="0"/>
        <w:adjustRightInd w:val="0"/>
        <w:spacing w:after="0" w:line="240" w:lineRule="auto"/>
        <w:ind w:left="0"/>
        <w:jc w:val="both"/>
        <w:rPr>
          <w:rFonts w:ascii="Verdana" w:hAnsi="Verdana" w:cs="Verdana"/>
          <w:b/>
          <w:sz w:val="20"/>
          <w:szCs w:val="20"/>
          <w:lang w:val="es-ES"/>
        </w:rPr>
      </w:pPr>
    </w:p>
    <w:p w:rsidR="003F627B" w:rsidRPr="0043015F" w:rsidRDefault="003F627B" w:rsidP="003F627B">
      <w:pPr>
        <w:pStyle w:val="ListParagraph"/>
        <w:autoSpaceDE w:val="0"/>
        <w:autoSpaceDN w:val="0"/>
        <w:adjustRightInd w:val="0"/>
        <w:spacing w:after="0" w:line="240" w:lineRule="auto"/>
        <w:ind w:left="0"/>
        <w:jc w:val="both"/>
        <w:rPr>
          <w:rFonts w:ascii="Verdana" w:hAnsi="Verdana" w:cs="Verdana"/>
          <w:b/>
          <w:sz w:val="20"/>
          <w:szCs w:val="20"/>
          <w:lang w:val="es-ES"/>
        </w:rPr>
      </w:pPr>
      <w:r w:rsidRPr="0043015F">
        <w:rPr>
          <w:rFonts w:ascii="Verdana" w:hAnsi="Verdana" w:cs="Verdana"/>
          <w:b/>
          <w:sz w:val="20"/>
          <w:szCs w:val="20"/>
          <w:lang w:val="es-ES"/>
        </w:rPr>
        <w:t xml:space="preserve">CONSIDERANDO QUE: </w:t>
      </w:r>
    </w:p>
    <w:p w:rsidR="003F627B" w:rsidRPr="0043015F" w:rsidRDefault="003F627B" w:rsidP="00C104C5">
      <w:pPr>
        <w:pStyle w:val="ListParagraph"/>
        <w:autoSpaceDE w:val="0"/>
        <w:autoSpaceDN w:val="0"/>
        <w:adjustRightInd w:val="0"/>
        <w:spacing w:after="0" w:line="240" w:lineRule="auto"/>
        <w:ind w:left="0"/>
        <w:jc w:val="both"/>
        <w:rPr>
          <w:rFonts w:ascii="Verdana" w:hAnsi="Verdana" w:cs="Verdana"/>
          <w:sz w:val="20"/>
          <w:szCs w:val="20"/>
          <w:lang w:val="es-ES"/>
        </w:rPr>
      </w:pPr>
    </w:p>
    <w:p w:rsidR="003F627B" w:rsidRDefault="003F627B" w:rsidP="00C104C5">
      <w:pPr>
        <w:pStyle w:val="ListParagraph"/>
        <w:numPr>
          <w:ilvl w:val="0"/>
          <w:numId w:val="6"/>
        </w:numPr>
        <w:autoSpaceDE w:val="0"/>
        <w:autoSpaceDN w:val="0"/>
        <w:adjustRightInd w:val="0"/>
        <w:spacing w:after="0" w:line="240" w:lineRule="auto"/>
        <w:ind w:left="0" w:firstLine="0"/>
        <w:jc w:val="both"/>
        <w:rPr>
          <w:rFonts w:ascii="Verdana" w:hAnsi="Verdana" w:cs="Verdana"/>
          <w:sz w:val="20"/>
          <w:szCs w:val="20"/>
          <w:lang w:val="es-ES"/>
        </w:rPr>
      </w:pPr>
      <w:r w:rsidRPr="0043015F">
        <w:rPr>
          <w:rFonts w:ascii="Verdana" w:hAnsi="Verdana" w:cs="Verdana"/>
          <w:sz w:val="20"/>
          <w:szCs w:val="20"/>
          <w:lang w:val="es-ES"/>
        </w:rPr>
        <w:t>Guatemala es Estado parte en la Convención Americana sobre Derechos Humanos (en adelante también “la Convención Americana” o “la Convención”) desde el 25 de mayo de 1978 y reconoció la competencia de la Corte el 9 de marzo de 1987.</w:t>
      </w:r>
    </w:p>
    <w:p w:rsidR="00C104C5" w:rsidRDefault="00C104C5" w:rsidP="00C104C5">
      <w:pPr>
        <w:pStyle w:val="ListParagraph"/>
        <w:autoSpaceDE w:val="0"/>
        <w:autoSpaceDN w:val="0"/>
        <w:adjustRightInd w:val="0"/>
        <w:spacing w:after="0" w:line="240" w:lineRule="auto"/>
        <w:ind w:left="0"/>
        <w:jc w:val="both"/>
        <w:rPr>
          <w:rFonts w:ascii="Verdana" w:hAnsi="Verdana" w:cs="Verdana"/>
          <w:sz w:val="20"/>
          <w:szCs w:val="20"/>
          <w:lang w:val="es-ES"/>
        </w:rPr>
      </w:pPr>
    </w:p>
    <w:p w:rsidR="00C104C5" w:rsidRPr="00C104C5" w:rsidRDefault="00C104C5" w:rsidP="00F44402">
      <w:pPr>
        <w:pStyle w:val="ListParagraph"/>
        <w:numPr>
          <w:ilvl w:val="0"/>
          <w:numId w:val="6"/>
        </w:numPr>
        <w:spacing w:after="0" w:line="240" w:lineRule="auto"/>
        <w:ind w:left="0" w:firstLine="0"/>
        <w:contextualSpacing w:val="0"/>
        <w:jc w:val="both"/>
        <w:rPr>
          <w:rFonts w:ascii="Verdana" w:eastAsia="MS Mincho" w:hAnsi="Verdana"/>
          <w:sz w:val="20"/>
          <w:szCs w:val="20"/>
          <w:lang w:val="es-ES_tradnl" w:eastAsia="es-ES"/>
        </w:rPr>
      </w:pPr>
      <w:r>
        <w:rPr>
          <w:rFonts w:ascii="Verdana" w:hAnsi="Verdana"/>
          <w:sz w:val="20"/>
          <w:szCs w:val="20"/>
        </w:rPr>
        <w:t>El artículo 63.2 de la Convención Americana dispone que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 Esta disposición está a su vez regulada en el artículo 27 del Reglamento de la Corte.</w:t>
      </w:r>
    </w:p>
    <w:p w:rsidR="00C104C5" w:rsidRPr="00AC5027" w:rsidRDefault="00C104C5" w:rsidP="00C104C5">
      <w:pPr>
        <w:pStyle w:val="ListParagraph"/>
        <w:jc w:val="both"/>
        <w:rPr>
          <w:rFonts w:ascii="Verdana" w:eastAsia="MS Mincho" w:hAnsi="Verdana"/>
          <w:sz w:val="20"/>
          <w:szCs w:val="20"/>
          <w:lang w:val="es-ES_tradnl" w:eastAsia="es-ES"/>
        </w:rPr>
      </w:pPr>
    </w:p>
    <w:p w:rsidR="00C104C5" w:rsidRPr="00AC5027" w:rsidRDefault="00C104C5" w:rsidP="00F44402">
      <w:pPr>
        <w:pStyle w:val="ListParagraph"/>
        <w:numPr>
          <w:ilvl w:val="0"/>
          <w:numId w:val="6"/>
        </w:numPr>
        <w:spacing w:after="0" w:line="240" w:lineRule="auto"/>
        <w:ind w:left="0" w:firstLine="0"/>
        <w:contextualSpacing w:val="0"/>
        <w:jc w:val="both"/>
        <w:rPr>
          <w:rFonts w:ascii="Verdana" w:eastAsia="MS Mincho" w:hAnsi="Verdana"/>
          <w:sz w:val="20"/>
          <w:szCs w:val="20"/>
          <w:lang w:val="es-ES_tradnl" w:eastAsia="es-ES"/>
        </w:rPr>
      </w:pPr>
      <w:r w:rsidRPr="00AC5027">
        <w:rPr>
          <w:rFonts w:ascii="Verdana" w:hAnsi="Verdana"/>
          <w:sz w:val="20"/>
          <w:szCs w:val="20"/>
        </w:rPr>
        <w:t>Las medidas provisionales tienen una naturaleza temporal y carácter excepcional, y son dictadas siempre y cuando se reúnan los requisitos básicos de extrema gravedad y urgencia, y necesidad de evitar daños irreparables a las personas. Estos tres requisitos son coexistentes y deben persistir para que la Corte mantenga la protección ordenada; si uno de ellos ha dejado de tener vigencia, corresponderá al Tribunal valorar la pertinencia de su continuación</w:t>
      </w:r>
      <w:r w:rsidRPr="00AC5027">
        <w:rPr>
          <w:rStyle w:val="FootnoteReference"/>
          <w:rFonts w:ascii="Verdana" w:hAnsi="Verdana"/>
          <w:sz w:val="20"/>
          <w:szCs w:val="20"/>
        </w:rPr>
        <w:footnoteReference w:id="2"/>
      </w:r>
      <w:r w:rsidRPr="00AC5027">
        <w:rPr>
          <w:rFonts w:ascii="Verdana" w:hAnsi="Verdana"/>
          <w:sz w:val="20"/>
          <w:szCs w:val="20"/>
        </w:rPr>
        <w:t>. Así, a efectos de decidir si se mantiene la vigencia de las medidas provisionales, el Tribunal debe analizar si persiste la situación que determinó su adopción, o bien si nuevas circunstancias igualmente graves y urgentes ameritan su mantenimiento</w:t>
      </w:r>
      <w:r w:rsidRPr="00AC5027">
        <w:rPr>
          <w:rStyle w:val="FootnoteReference"/>
          <w:rFonts w:ascii="Verdana" w:hAnsi="Verdana"/>
          <w:sz w:val="20"/>
          <w:szCs w:val="20"/>
        </w:rPr>
        <w:footnoteReference w:id="3"/>
      </w:r>
      <w:r w:rsidRPr="00AC5027">
        <w:rPr>
          <w:rFonts w:ascii="Verdana" w:hAnsi="Verdana"/>
          <w:sz w:val="20"/>
          <w:szCs w:val="20"/>
        </w:rPr>
        <w:t>.</w:t>
      </w:r>
    </w:p>
    <w:p w:rsidR="00F44402" w:rsidRPr="00AC5027" w:rsidRDefault="00F44402" w:rsidP="00F44402">
      <w:pPr>
        <w:pStyle w:val="ListParagraph"/>
        <w:rPr>
          <w:rFonts w:ascii="Verdana" w:eastAsia="MS Mincho" w:hAnsi="Verdana"/>
          <w:sz w:val="20"/>
          <w:szCs w:val="20"/>
          <w:lang w:val="es-ES_tradnl" w:eastAsia="es-ES"/>
        </w:rPr>
      </w:pPr>
    </w:p>
    <w:p w:rsidR="00F44402" w:rsidRPr="00EE5F4A" w:rsidRDefault="00F44402" w:rsidP="00F44402">
      <w:pPr>
        <w:pStyle w:val="ListParagraph"/>
        <w:numPr>
          <w:ilvl w:val="0"/>
          <w:numId w:val="6"/>
        </w:numPr>
        <w:spacing w:after="0" w:line="240" w:lineRule="auto"/>
        <w:ind w:left="0" w:firstLine="0"/>
        <w:contextualSpacing w:val="0"/>
        <w:jc w:val="both"/>
        <w:rPr>
          <w:rFonts w:ascii="Verdana" w:eastAsia="MS Mincho" w:hAnsi="Verdana"/>
          <w:sz w:val="20"/>
          <w:szCs w:val="20"/>
          <w:lang w:val="es-ES_tradnl" w:eastAsia="es-ES"/>
        </w:rPr>
      </w:pPr>
      <w:r w:rsidRPr="00AC5027">
        <w:rPr>
          <w:rFonts w:ascii="Verdana" w:hAnsi="Verdana"/>
          <w:sz w:val="20"/>
          <w:szCs w:val="20"/>
        </w:rPr>
        <w:t>Dadas las características de temporalidad y urgencia, la evaluación de la persistencia de la situación que dio origen a las medidas provisionales exige una evaluación cada vez más rigurosa por parte de la Corte a medida que se va prolongando el tiempo en que dichas medidas han permanecido vigentes</w:t>
      </w:r>
      <w:r w:rsidRPr="00AC5027">
        <w:rPr>
          <w:rStyle w:val="FootnoteReference"/>
          <w:rFonts w:ascii="Verdana" w:hAnsi="Verdana"/>
          <w:sz w:val="20"/>
          <w:szCs w:val="20"/>
        </w:rPr>
        <w:footnoteReference w:id="4"/>
      </w:r>
      <w:r w:rsidRPr="00AC5027">
        <w:rPr>
          <w:rFonts w:ascii="Verdana" w:hAnsi="Verdana"/>
          <w:sz w:val="20"/>
          <w:szCs w:val="20"/>
        </w:rPr>
        <w:t xml:space="preserve">. Este Tribunal ha señalado que, conforme a la Convención y al Reglamento, la carga procesal de demostrar </w:t>
      </w:r>
      <w:r w:rsidRPr="00AC5027">
        <w:rPr>
          <w:rFonts w:ascii="Verdana" w:hAnsi="Verdana"/>
          <w:i/>
          <w:sz w:val="20"/>
          <w:szCs w:val="20"/>
        </w:rPr>
        <w:t>prima facie</w:t>
      </w:r>
      <w:r w:rsidRPr="00AC5027">
        <w:rPr>
          <w:rFonts w:ascii="Verdana" w:hAnsi="Verdana"/>
          <w:sz w:val="20"/>
          <w:szCs w:val="20"/>
        </w:rPr>
        <w:t xml:space="preserve"> dichos requisitos recae en el solicitante</w:t>
      </w:r>
      <w:r w:rsidRPr="00AC5027">
        <w:rPr>
          <w:rStyle w:val="FootnoteReference"/>
          <w:rFonts w:ascii="Verdana" w:hAnsi="Verdana"/>
          <w:sz w:val="20"/>
          <w:szCs w:val="20"/>
        </w:rPr>
        <w:footnoteReference w:id="5"/>
      </w:r>
      <w:r w:rsidRPr="00AC5027">
        <w:rPr>
          <w:rFonts w:ascii="Verdana" w:hAnsi="Verdana"/>
          <w:sz w:val="20"/>
          <w:szCs w:val="20"/>
        </w:rPr>
        <w:t xml:space="preserve">. </w:t>
      </w:r>
    </w:p>
    <w:p w:rsidR="00FB4236" w:rsidRPr="008004FE" w:rsidRDefault="00FB4236" w:rsidP="008004FE">
      <w:pPr>
        <w:pStyle w:val="ListParagraph"/>
        <w:autoSpaceDE w:val="0"/>
        <w:autoSpaceDN w:val="0"/>
        <w:adjustRightInd w:val="0"/>
        <w:spacing w:after="0" w:line="240" w:lineRule="auto"/>
        <w:ind w:left="0"/>
        <w:jc w:val="both"/>
        <w:rPr>
          <w:rFonts w:ascii="Verdana" w:hAnsi="Verdana" w:cs="Verdana"/>
          <w:sz w:val="20"/>
          <w:szCs w:val="20"/>
          <w:lang w:val="es-ES"/>
        </w:rPr>
      </w:pPr>
    </w:p>
    <w:p w:rsidR="003F627B" w:rsidRPr="008004FE" w:rsidRDefault="00F44402" w:rsidP="008004FE">
      <w:pPr>
        <w:pStyle w:val="ListParagraph"/>
        <w:numPr>
          <w:ilvl w:val="0"/>
          <w:numId w:val="6"/>
        </w:numPr>
        <w:autoSpaceDE w:val="0"/>
        <w:autoSpaceDN w:val="0"/>
        <w:adjustRightInd w:val="0"/>
        <w:spacing w:after="0" w:line="240" w:lineRule="auto"/>
        <w:ind w:left="0" w:firstLine="0"/>
        <w:jc w:val="both"/>
        <w:rPr>
          <w:rFonts w:ascii="Verdana" w:hAnsi="Verdana" w:cs="Verdana"/>
          <w:sz w:val="20"/>
          <w:szCs w:val="20"/>
          <w:lang w:val="es-ES"/>
        </w:rPr>
      </w:pPr>
      <w:r w:rsidRPr="008004FE">
        <w:rPr>
          <w:rFonts w:ascii="Verdana" w:hAnsi="Verdana" w:cs="Verdana"/>
          <w:sz w:val="20"/>
          <w:szCs w:val="20"/>
          <w:lang w:val="es-ES"/>
        </w:rPr>
        <w:t>Si un Estado solicita el levantamiento o la modificación de las medidas provisionales ordenadas, deberá presentar la suficiente prueba y argumentación que permita al Tribunal apreciar que el riesgo o la amenaza ya no reúne los requisitos de extrema gravedad y urgencia de evitar daños irreparables. A su vez l</w:t>
      </w:r>
      <w:r w:rsidR="00033BD2">
        <w:rPr>
          <w:rFonts w:ascii="Verdana" w:hAnsi="Verdana" w:cs="Verdana"/>
          <w:sz w:val="20"/>
          <w:szCs w:val="20"/>
          <w:lang w:val="es-ES"/>
        </w:rPr>
        <w:t>a</w:t>
      </w:r>
      <w:r w:rsidRPr="008004FE">
        <w:rPr>
          <w:rFonts w:ascii="Verdana" w:hAnsi="Verdana" w:cs="Verdana"/>
          <w:sz w:val="20"/>
          <w:szCs w:val="20"/>
          <w:lang w:val="es-ES"/>
        </w:rPr>
        <w:t>s representantes de los beneficiarios que deseen que las medidas continúen, deberán presentar prueba de las razones para ello</w:t>
      </w:r>
      <w:r w:rsidRPr="00723EBF">
        <w:rPr>
          <w:rFonts w:ascii="Verdana" w:hAnsi="Verdana" w:cs="Verdana"/>
          <w:sz w:val="20"/>
          <w:szCs w:val="20"/>
          <w:vertAlign w:val="superscript"/>
          <w:lang w:val="es-ES"/>
        </w:rPr>
        <w:footnoteReference w:id="6"/>
      </w:r>
      <w:r w:rsidRPr="008004FE">
        <w:rPr>
          <w:rFonts w:ascii="Verdana" w:hAnsi="Verdana" w:cs="Verdana"/>
          <w:sz w:val="20"/>
          <w:szCs w:val="20"/>
          <w:lang w:val="es-ES"/>
        </w:rPr>
        <w:t xml:space="preserve">. </w:t>
      </w:r>
    </w:p>
    <w:p w:rsidR="002F19D7" w:rsidRPr="0043015F" w:rsidRDefault="002F19D7" w:rsidP="003F627B">
      <w:pPr>
        <w:pStyle w:val="ListParagraph"/>
        <w:autoSpaceDE w:val="0"/>
        <w:autoSpaceDN w:val="0"/>
        <w:adjustRightInd w:val="0"/>
        <w:spacing w:after="0" w:line="240" w:lineRule="auto"/>
        <w:ind w:left="0"/>
        <w:jc w:val="both"/>
        <w:rPr>
          <w:rFonts w:ascii="Verdana" w:hAnsi="Verdana" w:cs="Verdana"/>
          <w:sz w:val="20"/>
          <w:szCs w:val="20"/>
          <w:lang w:val="es-ES"/>
        </w:rPr>
      </w:pPr>
    </w:p>
    <w:p w:rsidR="00B34738" w:rsidRPr="00E35E34" w:rsidRDefault="003F627B" w:rsidP="00B34738">
      <w:pPr>
        <w:pStyle w:val="ListParagraph"/>
        <w:numPr>
          <w:ilvl w:val="0"/>
          <w:numId w:val="6"/>
        </w:numPr>
        <w:autoSpaceDE w:val="0"/>
        <w:autoSpaceDN w:val="0"/>
        <w:adjustRightInd w:val="0"/>
        <w:spacing w:after="0" w:line="240" w:lineRule="auto"/>
        <w:ind w:left="0" w:firstLine="0"/>
        <w:jc w:val="both"/>
        <w:rPr>
          <w:rFonts w:ascii="Verdana" w:hAnsi="Verdana" w:cs="Verdana"/>
          <w:sz w:val="20"/>
          <w:szCs w:val="20"/>
          <w:lang w:val="es-ES"/>
        </w:rPr>
      </w:pPr>
      <w:r w:rsidRPr="0043015F">
        <w:rPr>
          <w:rFonts w:ascii="Verdana" w:hAnsi="Verdana" w:cs="Verdana"/>
          <w:sz w:val="20"/>
          <w:szCs w:val="20"/>
          <w:lang w:val="es-ES"/>
        </w:rPr>
        <w:t xml:space="preserve">En su última Resolución emitida el </w:t>
      </w:r>
      <w:r w:rsidR="00A279D7" w:rsidRPr="0043015F">
        <w:rPr>
          <w:rFonts w:ascii="Verdana" w:hAnsi="Verdana" w:cs="Verdana"/>
          <w:sz w:val="20"/>
          <w:szCs w:val="20"/>
          <w:lang w:val="es-ES"/>
        </w:rPr>
        <w:t>31 de agosto de 2016</w:t>
      </w:r>
      <w:r w:rsidRPr="0043015F">
        <w:rPr>
          <w:rFonts w:ascii="Verdana" w:hAnsi="Verdana" w:cs="Verdana"/>
          <w:sz w:val="20"/>
          <w:szCs w:val="20"/>
          <w:lang w:val="es-ES"/>
        </w:rPr>
        <w:t xml:space="preserve"> (</w:t>
      </w:r>
      <w:r w:rsidRPr="0043015F">
        <w:rPr>
          <w:rFonts w:ascii="Verdana" w:hAnsi="Verdana" w:cs="Verdana"/>
          <w:i/>
          <w:sz w:val="20"/>
          <w:szCs w:val="20"/>
          <w:lang w:val="es-ES"/>
        </w:rPr>
        <w:t>supra</w:t>
      </w:r>
      <w:r w:rsidRPr="0043015F">
        <w:rPr>
          <w:rFonts w:ascii="Verdana" w:hAnsi="Verdana" w:cs="Verdana"/>
          <w:sz w:val="20"/>
          <w:szCs w:val="20"/>
          <w:lang w:val="es-ES"/>
        </w:rPr>
        <w:t xml:space="preserve"> Visto 1), la Corte analizó la información disponible </w:t>
      </w:r>
      <w:r w:rsidR="006D7112">
        <w:rPr>
          <w:rFonts w:ascii="Verdana" w:hAnsi="Verdana" w:cs="Verdana"/>
          <w:sz w:val="20"/>
          <w:szCs w:val="20"/>
          <w:lang w:val="es-ES"/>
        </w:rPr>
        <w:t>desde el</w:t>
      </w:r>
      <w:r w:rsidRPr="0043015F">
        <w:rPr>
          <w:rFonts w:ascii="Verdana" w:hAnsi="Verdana" w:cs="Verdana"/>
          <w:sz w:val="20"/>
          <w:szCs w:val="20"/>
          <w:lang w:val="es-ES"/>
        </w:rPr>
        <w:t xml:space="preserve"> año 200</w:t>
      </w:r>
      <w:r w:rsidR="00A279D7" w:rsidRPr="0043015F">
        <w:rPr>
          <w:rFonts w:ascii="Verdana" w:hAnsi="Verdana" w:cs="Verdana"/>
          <w:sz w:val="20"/>
          <w:szCs w:val="20"/>
          <w:lang w:val="es-ES"/>
        </w:rPr>
        <w:t xml:space="preserve">9 </w:t>
      </w:r>
      <w:r w:rsidR="006D7112">
        <w:rPr>
          <w:rFonts w:ascii="Verdana" w:hAnsi="Verdana" w:cs="Verdana"/>
          <w:sz w:val="20"/>
          <w:szCs w:val="20"/>
          <w:lang w:val="es-ES"/>
        </w:rPr>
        <w:t xml:space="preserve">hasta el año </w:t>
      </w:r>
      <w:r w:rsidR="00A279D7" w:rsidRPr="0043015F">
        <w:rPr>
          <w:rFonts w:ascii="Verdana" w:hAnsi="Verdana" w:cs="Verdana"/>
          <w:sz w:val="20"/>
          <w:szCs w:val="20"/>
          <w:lang w:val="es-ES"/>
        </w:rPr>
        <w:t xml:space="preserve">2016 y </w:t>
      </w:r>
      <w:r w:rsidRPr="0043015F">
        <w:rPr>
          <w:rFonts w:ascii="Verdana" w:hAnsi="Verdana" w:cs="Verdana"/>
          <w:sz w:val="20"/>
          <w:szCs w:val="20"/>
          <w:lang w:val="es-ES"/>
        </w:rPr>
        <w:t xml:space="preserve">requirió que las presentes medidas se mantuvieran con el mismo alcance </w:t>
      </w:r>
      <w:r w:rsidR="006D7112">
        <w:rPr>
          <w:rFonts w:ascii="Verdana" w:hAnsi="Verdana" w:cs="Verdana"/>
          <w:sz w:val="20"/>
          <w:szCs w:val="20"/>
          <w:lang w:val="es-ES"/>
        </w:rPr>
        <w:t xml:space="preserve">dado </w:t>
      </w:r>
      <w:r w:rsidRPr="0043015F">
        <w:rPr>
          <w:rFonts w:ascii="Verdana" w:hAnsi="Verdana" w:cs="Verdana"/>
          <w:sz w:val="20"/>
          <w:szCs w:val="20"/>
          <w:lang w:val="es-ES"/>
        </w:rPr>
        <w:t xml:space="preserve">en la Resolución de </w:t>
      </w:r>
      <w:r w:rsidR="00E712AB">
        <w:rPr>
          <w:rFonts w:ascii="Verdana" w:hAnsi="Verdana" w:cs="Verdana"/>
          <w:sz w:val="20"/>
          <w:szCs w:val="20"/>
          <w:lang w:val="es-ES"/>
        </w:rPr>
        <w:t>27 de enero</w:t>
      </w:r>
      <w:r w:rsidR="00A279D7" w:rsidRPr="0043015F">
        <w:rPr>
          <w:rFonts w:ascii="Verdana" w:hAnsi="Verdana" w:cs="Verdana"/>
          <w:sz w:val="20"/>
          <w:szCs w:val="20"/>
          <w:lang w:val="es-ES"/>
        </w:rPr>
        <w:t xml:space="preserve"> de 2009</w:t>
      </w:r>
      <w:r w:rsidR="008F20F3">
        <w:rPr>
          <w:rFonts w:ascii="Verdana" w:hAnsi="Verdana" w:cs="Verdana"/>
          <w:sz w:val="20"/>
          <w:szCs w:val="20"/>
          <w:lang w:val="es-ES"/>
        </w:rPr>
        <w:t xml:space="preserve">, ordenando mantener las medidas provisionales para </w:t>
      </w:r>
      <w:r w:rsidR="008F20F3" w:rsidRPr="0043015F">
        <w:rPr>
          <w:rFonts w:ascii="Verdana" w:hAnsi="Verdana" w:cs="Verdana"/>
          <w:sz w:val="20"/>
          <w:szCs w:val="20"/>
          <w:lang w:val="es-ES"/>
        </w:rPr>
        <w:t>Santiago Cabrera López</w:t>
      </w:r>
      <w:r w:rsidR="008F20F3">
        <w:rPr>
          <w:rFonts w:ascii="Verdana" w:hAnsi="Verdana" w:cs="Verdana"/>
          <w:sz w:val="20"/>
          <w:szCs w:val="20"/>
          <w:lang w:val="es-ES"/>
        </w:rPr>
        <w:t xml:space="preserve"> </w:t>
      </w:r>
      <w:r w:rsidR="008F20F3" w:rsidRPr="0043015F">
        <w:rPr>
          <w:rFonts w:ascii="Verdana" w:hAnsi="Verdana" w:cs="Verdana"/>
          <w:sz w:val="20"/>
          <w:szCs w:val="20"/>
          <w:lang w:val="es-ES"/>
        </w:rPr>
        <w:t>y sus familia</w:t>
      </w:r>
      <w:r w:rsidR="008F20F3">
        <w:rPr>
          <w:rFonts w:ascii="Verdana" w:hAnsi="Verdana" w:cs="Verdana"/>
          <w:sz w:val="20"/>
          <w:szCs w:val="20"/>
          <w:lang w:val="es-ES"/>
        </w:rPr>
        <w:t>res</w:t>
      </w:r>
      <w:r w:rsidR="008F20F3" w:rsidRPr="0043015F">
        <w:rPr>
          <w:rFonts w:ascii="Verdana" w:hAnsi="Verdana" w:cs="Verdana"/>
          <w:sz w:val="20"/>
          <w:szCs w:val="20"/>
          <w:lang w:val="es-ES"/>
        </w:rPr>
        <w:t>,</w:t>
      </w:r>
      <w:r w:rsidR="008F20F3">
        <w:rPr>
          <w:rFonts w:ascii="Verdana" w:hAnsi="Verdana" w:cs="Verdana"/>
          <w:sz w:val="20"/>
          <w:szCs w:val="20"/>
          <w:lang w:val="es-ES"/>
        </w:rPr>
        <w:t xml:space="preserve"> y</w:t>
      </w:r>
      <w:r w:rsidR="008F20F3" w:rsidRPr="0043015F">
        <w:rPr>
          <w:rFonts w:ascii="Verdana" w:hAnsi="Verdana" w:cs="Verdana"/>
          <w:sz w:val="20"/>
          <w:szCs w:val="20"/>
          <w:lang w:val="es-ES"/>
        </w:rPr>
        <w:t xml:space="preserve"> </w:t>
      </w:r>
      <w:r w:rsidR="008F20F3">
        <w:rPr>
          <w:rFonts w:ascii="Verdana" w:hAnsi="Verdana" w:cs="Verdana"/>
          <w:sz w:val="20"/>
          <w:szCs w:val="20"/>
          <w:lang w:val="es-ES"/>
        </w:rPr>
        <w:t xml:space="preserve">de </w:t>
      </w:r>
      <w:r w:rsidR="008F20F3" w:rsidRPr="0043015F">
        <w:rPr>
          <w:rFonts w:ascii="Verdana" w:hAnsi="Verdana" w:cs="Verdana"/>
          <w:sz w:val="20"/>
          <w:szCs w:val="20"/>
          <w:lang w:val="es-ES"/>
        </w:rPr>
        <w:t>Aron Álvarez Mendoza y sus familia</w:t>
      </w:r>
      <w:r w:rsidR="008F20F3">
        <w:rPr>
          <w:rFonts w:ascii="Verdana" w:hAnsi="Verdana" w:cs="Verdana"/>
          <w:sz w:val="20"/>
          <w:szCs w:val="20"/>
          <w:lang w:val="es-ES"/>
        </w:rPr>
        <w:t>res</w:t>
      </w:r>
      <w:r w:rsidR="008F20F3" w:rsidRPr="0043015F">
        <w:rPr>
          <w:rFonts w:ascii="Verdana" w:hAnsi="Verdana" w:cs="Verdana"/>
          <w:sz w:val="20"/>
          <w:szCs w:val="20"/>
          <w:lang w:val="es-ES"/>
        </w:rPr>
        <w:t>.</w:t>
      </w:r>
    </w:p>
    <w:p w:rsidR="003F627B" w:rsidRPr="004E1E5C" w:rsidRDefault="00951878" w:rsidP="000D3C49">
      <w:pPr>
        <w:pStyle w:val="ListParagraph"/>
        <w:numPr>
          <w:ilvl w:val="2"/>
          <w:numId w:val="3"/>
        </w:numPr>
        <w:tabs>
          <w:tab w:val="left" w:pos="1170"/>
        </w:tabs>
        <w:autoSpaceDE w:val="0"/>
        <w:autoSpaceDN w:val="0"/>
        <w:adjustRightInd w:val="0"/>
        <w:spacing w:after="0" w:line="240" w:lineRule="auto"/>
        <w:ind w:left="567" w:firstLine="0"/>
        <w:jc w:val="both"/>
        <w:rPr>
          <w:rFonts w:ascii="Verdana" w:hAnsi="Verdana" w:cs="Verdana"/>
          <w:b/>
          <w:i/>
          <w:sz w:val="20"/>
          <w:szCs w:val="20"/>
          <w:lang w:val="es-ES"/>
        </w:rPr>
      </w:pPr>
      <w:r>
        <w:rPr>
          <w:rFonts w:ascii="Verdana" w:hAnsi="Verdana"/>
          <w:b/>
          <w:i/>
          <w:sz w:val="20"/>
          <w:szCs w:val="20"/>
          <w:lang w:val="es-ES"/>
        </w:rPr>
        <w:lastRenderedPageBreak/>
        <w:t xml:space="preserve">Respecto a la situación actual de los beneficiarios </w:t>
      </w:r>
    </w:p>
    <w:p w:rsidR="004E1E5C" w:rsidRDefault="004E1E5C" w:rsidP="004E1E5C">
      <w:pPr>
        <w:pStyle w:val="ListParagraph"/>
        <w:tabs>
          <w:tab w:val="left" w:pos="1170"/>
        </w:tabs>
        <w:autoSpaceDE w:val="0"/>
        <w:autoSpaceDN w:val="0"/>
        <w:adjustRightInd w:val="0"/>
        <w:spacing w:after="0" w:line="240" w:lineRule="auto"/>
        <w:ind w:left="567"/>
        <w:jc w:val="both"/>
        <w:rPr>
          <w:rFonts w:ascii="Verdana" w:hAnsi="Verdana"/>
          <w:b/>
          <w:i/>
          <w:sz w:val="20"/>
          <w:szCs w:val="20"/>
          <w:lang w:val="es-ES"/>
        </w:rPr>
      </w:pPr>
    </w:p>
    <w:p w:rsidR="004E1E5C" w:rsidRPr="004E1E5C" w:rsidRDefault="001123D4" w:rsidP="00DF7BEC">
      <w:pPr>
        <w:pStyle w:val="ListParagraph"/>
        <w:tabs>
          <w:tab w:val="left" w:pos="1170"/>
        </w:tabs>
        <w:autoSpaceDE w:val="0"/>
        <w:autoSpaceDN w:val="0"/>
        <w:adjustRightInd w:val="0"/>
        <w:spacing w:after="0" w:line="240" w:lineRule="auto"/>
        <w:ind w:left="1620"/>
        <w:jc w:val="both"/>
        <w:rPr>
          <w:rFonts w:ascii="Verdana" w:hAnsi="Verdana" w:cs="Verdana"/>
          <w:b/>
          <w:i/>
          <w:sz w:val="20"/>
          <w:szCs w:val="20"/>
          <w:lang w:val="es-ES"/>
        </w:rPr>
      </w:pPr>
      <w:r>
        <w:rPr>
          <w:rFonts w:ascii="Verdana" w:hAnsi="Verdana" w:cs="Verdana"/>
          <w:b/>
          <w:i/>
          <w:sz w:val="20"/>
          <w:szCs w:val="20"/>
          <w:lang w:val="es-ES"/>
        </w:rPr>
        <w:t>A</w:t>
      </w:r>
      <w:r w:rsidR="00DF7BEC">
        <w:rPr>
          <w:rFonts w:ascii="Verdana" w:hAnsi="Verdana" w:cs="Verdana"/>
          <w:b/>
          <w:i/>
          <w:sz w:val="20"/>
          <w:szCs w:val="20"/>
          <w:lang w:val="es-ES"/>
        </w:rPr>
        <w:t xml:space="preserve">.1. </w:t>
      </w:r>
      <w:r w:rsidR="004E1E5C">
        <w:rPr>
          <w:rFonts w:ascii="Verdana" w:hAnsi="Verdana" w:cs="Verdana"/>
          <w:b/>
          <w:i/>
          <w:sz w:val="20"/>
          <w:szCs w:val="20"/>
          <w:lang w:val="es-ES"/>
        </w:rPr>
        <w:t>Santiago Cabrera</w:t>
      </w:r>
      <w:r w:rsidR="00A82BF1">
        <w:rPr>
          <w:rFonts w:ascii="Verdana" w:hAnsi="Verdana" w:cs="Verdana"/>
          <w:b/>
          <w:i/>
          <w:sz w:val="20"/>
          <w:szCs w:val="20"/>
          <w:lang w:val="es-ES"/>
        </w:rPr>
        <w:t xml:space="preserve"> López</w:t>
      </w:r>
      <w:r w:rsidR="004E1E5C">
        <w:rPr>
          <w:rFonts w:ascii="Verdana" w:hAnsi="Verdana" w:cs="Verdana"/>
          <w:b/>
          <w:i/>
          <w:sz w:val="20"/>
          <w:szCs w:val="20"/>
          <w:lang w:val="es-ES"/>
        </w:rPr>
        <w:t xml:space="preserve"> y sus familiares</w:t>
      </w:r>
    </w:p>
    <w:p w:rsidR="00C21EB7" w:rsidRPr="00352B47" w:rsidRDefault="00C21EB7" w:rsidP="00BE6E25">
      <w:pPr>
        <w:pStyle w:val="ListParagraph"/>
        <w:spacing w:after="0" w:line="240" w:lineRule="auto"/>
        <w:ind w:left="1080"/>
        <w:jc w:val="both"/>
        <w:rPr>
          <w:rFonts w:ascii="Verdana" w:hAnsi="Verdana" w:cs="Verdana"/>
          <w:sz w:val="20"/>
          <w:szCs w:val="20"/>
          <w:lang w:val="es-ES"/>
        </w:rPr>
      </w:pPr>
    </w:p>
    <w:p w:rsidR="00F65708" w:rsidRPr="002370C7" w:rsidRDefault="00386752" w:rsidP="0061458D">
      <w:pPr>
        <w:pStyle w:val="ListParagraph"/>
        <w:numPr>
          <w:ilvl w:val="0"/>
          <w:numId w:val="6"/>
        </w:numPr>
        <w:spacing w:after="0" w:line="240" w:lineRule="auto"/>
        <w:ind w:left="0" w:firstLine="0"/>
        <w:jc w:val="both"/>
        <w:rPr>
          <w:rFonts w:ascii="Verdana" w:hAnsi="Verdana" w:cs="Verdana"/>
          <w:sz w:val="20"/>
          <w:szCs w:val="20"/>
          <w:lang w:val="es-ES"/>
        </w:rPr>
      </w:pPr>
      <w:r>
        <w:rPr>
          <w:rFonts w:ascii="Verdana" w:hAnsi="Verdana" w:cs="Verdana"/>
          <w:sz w:val="20"/>
          <w:szCs w:val="20"/>
          <w:lang w:val="es-ES"/>
        </w:rPr>
        <w:t>E</w:t>
      </w:r>
      <w:r w:rsidR="00BE6E25" w:rsidRPr="00F65708">
        <w:rPr>
          <w:rFonts w:ascii="Verdana" w:hAnsi="Verdana" w:cs="Verdana"/>
          <w:sz w:val="20"/>
          <w:szCs w:val="20"/>
          <w:lang w:val="es-ES"/>
        </w:rPr>
        <w:t xml:space="preserve">l </w:t>
      </w:r>
      <w:r w:rsidR="00BE6E25" w:rsidRPr="00354B4C">
        <w:rPr>
          <w:rFonts w:ascii="Verdana" w:hAnsi="Verdana" w:cs="Verdana"/>
          <w:b/>
          <w:i/>
          <w:sz w:val="20"/>
          <w:szCs w:val="20"/>
          <w:lang w:val="es-ES"/>
        </w:rPr>
        <w:t>Estado</w:t>
      </w:r>
      <w:r w:rsidR="00BE6E25">
        <w:rPr>
          <w:rFonts w:ascii="Verdana" w:hAnsi="Verdana" w:cs="Verdana"/>
          <w:sz w:val="20"/>
          <w:szCs w:val="20"/>
          <w:lang w:val="es-ES"/>
        </w:rPr>
        <w:t xml:space="preserve"> </w:t>
      </w:r>
      <w:r>
        <w:rPr>
          <w:rFonts w:ascii="Verdana" w:hAnsi="Verdana" w:cs="Verdana"/>
          <w:sz w:val="20"/>
          <w:szCs w:val="20"/>
          <w:lang w:val="es-ES"/>
        </w:rPr>
        <w:t xml:space="preserve">en su informe de </w:t>
      </w:r>
      <w:r w:rsidRPr="00F65708">
        <w:rPr>
          <w:rFonts w:ascii="Verdana" w:hAnsi="Verdana" w:cs="Verdana"/>
          <w:sz w:val="20"/>
          <w:szCs w:val="20"/>
          <w:lang w:val="es-ES"/>
        </w:rPr>
        <w:t>16 de junio de 2017</w:t>
      </w:r>
      <w:r>
        <w:rPr>
          <w:rFonts w:ascii="Verdana" w:hAnsi="Verdana" w:cs="Verdana"/>
          <w:sz w:val="20"/>
          <w:szCs w:val="20"/>
          <w:lang w:val="es-ES"/>
        </w:rPr>
        <w:t xml:space="preserve"> indicó</w:t>
      </w:r>
      <w:r w:rsidR="00BE6E25">
        <w:rPr>
          <w:rFonts w:ascii="Verdana" w:hAnsi="Verdana" w:cs="Verdana"/>
          <w:sz w:val="20"/>
          <w:szCs w:val="20"/>
          <w:lang w:val="es-ES"/>
        </w:rPr>
        <w:t xml:space="preserve"> </w:t>
      </w:r>
      <w:r w:rsidR="00622F4A" w:rsidRPr="00F65708">
        <w:rPr>
          <w:rFonts w:ascii="Verdana" w:hAnsi="Verdana" w:cs="Verdana"/>
          <w:sz w:val="20"/>
          <w:szCs w:val="20"/>
          <w:lang w:val="es-ES"/>
        </w:rPr>
        <w:t>que</w:t>
      </w:r>
      <w:r w:rsidR="00886A6E">
        <w:rPr>
          <w:rFonts w:ascii="Verdana" w:hAnsi="Verdana" w:cs="Verdana"/>
          <w:sz w:val="20"/>
          <w:szCs w:val="20"/>
          <w:lang w:val="es-ES"/>
        </w:rPr>
        <w:t xml:space="preserve"> el señor </w:t>
      </w:r>
      <w:r w:rsidR="00FB43F5" w:rsidRPr="00352B47">
        <w:rPr>
          <w:rFonts w:ascii="Verdana" w:hAnsi="Verdana" w:cs="Verdana"/>
          <w:sz w:val="20"/>
          <w:szCs w:val="20"/>
          <w:lang w:val="es-ES"/>
        </w:rPr>
        <w:t>Santiago</w:t>
      </w:r>
      <w:r w:rsidR="00FB43F5">
        <w:rPr>
          <w:rFonts w:ascii="Verdana" w:hAnsi="Verdana" w:cs="Verdana"/>
          <w:sz w:val="20"/>
          <w:szCs w:val="20"/>
          <w:lang w:val="es-ES"/>
        </w:rPr>
        <w:t xml:space="preserve"> </w:t>
      </w:r>
      <w:r w:rsidR="00886A6E">
        <w:rPr>
          <w:rFonts w:ascii="Verdana" w:hAnsi="Verdana" w:cs="Verdana"/>
          <w:sz w:val="20"/>
          <w:szCs w:val="20"/>
          <w:lang w:val="es-ES"/>
        </w:rPr>
        <w:t>Cabrera</w:t>
      </w:r>
      <w:r w:rsidR="00622F4A" w:rsidRPr="00F65708">
        <w:rPr>
          <w:rFonts w:ascii="Verdana" w:hAnsi="Verdana" w:cs="Verdana"/>
          <w:sz w:val="20"/>
          <w:szCs w:val="20"/>
          <w:lang w:val="es-ES"/>
        </w:rPr>
        <w:t xml:space="preserve"> </w:t>
      </w:r>
      <w:r w:rsidR="00B43655">
        <w:rPr>
          <w:rFonts w:ascii="Verdana" w:hAnsi="Verdana" w:cs="Verdana"/>
          <w:sz w:val="20"/>
          <w:szCs w:val="20"/>
          <w:lang w:val="es-ES"/>
        </w:rPr>
        <w:t xml:space="preserve">López (en adelante también “señor Cabrera López”) </w:t>
      </w:r>
      <w:r w:rsidR="00622F4A" w:rsidRPr="00F65708">
        <w:rPr>
          <w:rFonts w:ascii="Verdana" w:hAnsi="Verdana" w:cs="Verdana"/>
          <w:sz w:val="20"/>
          <w:szCs w:val="20"/>
          <w:lang w:val="es-ES"/>
        </w:rPr>
        <w:t xml:space="preserve">continúa siendo protegido por un esquema de seguridad </w:t>
      </w:r>
      <w:r w:rsidR="00622F4A" w:rsidRPr="00423306">
        <w:rPr>
          <w:rFonts w:ascii="Verdana" w:hAnsi="Verdana" w:cs="Verdana"/>
          <w:sz w:val="20"/>
          <w:szCs w:val="20"/>
          <w:lang w:val="es-ES"/>
        </w:rPr>
        <w:t>personal compuesto por dos agentes de la Policía Nacional Civil</w:t>
      </w:r>
      <w:r w:rsidR="00B13388">
        <w:rPr>
          <w:rFonts w:ascii="Verdana" w:hAnsi="Verdana" w:cs="Verdana"/>
          <w:sz w:val="20"/>
          <w:szCs w:val="20"/>
          <w:lang w:val="es-ES"/>
        </w:rPr>
        <w:t xml:space="preserve">, </w:t>
      </w:r>
      <w:r>
        <w:rPr>
          <w:rFonts w:ascii="Verdana" w:hAnsi="Verdana" w:cs="Verdana"/>
          <w:sz w:val="20"/>
          <w:szCs w:val="20"/>
          <w:lang w:val="es-ES"/>
        </w:rPr>
        <w:t xml:space="preserve">agregando que este esquema </w:t>
      </w:r>
      <w:r w:rsidR="003F0CB5">
        <w:rPr>
          <w:rFonts w:ascii="Verdana" w:hAnsi="Verdana" w:cs="Verdana"/>
          <w:sz w:val="20"/>
          <w:szCs w:val="20"/>
          <w:lang w:val="es-ES"/>
        </w:rPr>
        <w:t>inclu</w:t>
      </w:r>
      <w:r>
        <w:rPr>
          <w:rFonts w:ascii="Verdana" w:hAnsi="Verdana" w:cs="Verdana"/>
          <w:sz w:val="20"/>
          <w:szCs w:val="20"/>
          <w:lang w:val="es-ES"/>
        </w:rPr>
        <w:t>ye a</w:t>
      </w:r>
      <w:r w:rsidR="00A82BF1">
        <w:rPr>
          <w:rFonts w:ascii="Verdana" w:hAnsi="Verdana" w:cs="Verdana"/>
          <w:sz w:val="20"/>
          <w:szCs w:val="20"/>
          <w:lang w:val="es-ES"/>
        </w:rPr>
        <w:t xml:space="preserve"> su núcleo familiar, Alfonso C</w:t>
      </w:r>
      <w:r w:rsidR="003F0CB5">
        <w:rPr>
          <w:rFonts w:ascii="Verdana" w:hAnsi="Verdana" w:cs="Verdana"/>
          <w:sz w:val="20"/>
          <w:szCs w:val="20"/>
          <w:lang w:val="es-ES"/>
        </w:rPr>
        <w:t xml:space="preserve">abrera </w:t>
      </w:r>
      <w:proofErr w:type="spellStart"/>
      <w:r w:rsidR="003F0CB5">
        <w:rPr>
          <w:rFonts w:ascii="Verdana" w:hAnsi="Verdana" w:cs="Verdana"/>
          <w:sz w:val="20"/>
          <w:szCs w:val="20"/>
          <w:lang w:val="es-ES"/>
        </w:rPr>
        <w:t>Viagres</w:t>
      </w:r>
      <w:proofErr w:type="spellEnd"/>
      <w:r w:rsidR="003F0CB5">
        <w:rPr>
          <w:rFonts w:ascii="Verdana" w:hAnsi="Verdana" w:cs="Verdana"/>
          <w:sz w:val="20"/>
          <w:szCs w:val="20"/>
          <w:lang w:val="es-ES"/>
        </w:rPr>
        <w:t>, María Victoria López, Blanca Cabrera, Carmelina Cabrera, Teresa Aguilar Cabrera, Olga Maldonado, Carlos Alfonso Cabrera, Osmar Rigoberto Cabrera y Paulo Aníbal Cabrera</w:t>
      </w:r>
      <w:r w:rsidR="00622F4A" w:rsidRPr="00423306">
        <w:rPr>
          <w:rFonts w:ascii="Verdana" w:hAnsi="Verdana" w:cs="Verdana"/>
          <w:sz w:val="20"/>
          <w:szCs w:val="20"/>
          <w:lang w:val="es-ES"/>
        </w:rPr>
        <w:t xml:space="preserve">. </w:t>
      </w:r>
      <w:r w:rsidR="002370C7">
        <w:rPr>
          <w:rFonts w:ascii="Verdana" w:hAnsi="Verdana" w:cs="Verdana"/>
          <w:sz w:val="20"/>
          <w:szCs w:val="20"/>
          <w:lang w:val="es-ES"/>
        </w:rPr>
        <w:t xml:space="preserve">Con respecto a su </w:t>
      </w:r>
      <w:r w:rsidRPr="0061458D">
        <w:rPr>
          <w:rFonts w:ascii="Verdana" w:hAnsi="Verdana" w:cs="Verdana"/>
          <w:sz w:val="20"/>
          <w:szCs w:val="20"/>
          <w:lang w:val="es-ES"/>
        </w:rPr>
        <w:t xml:space="preserve">informe </w:t>
      </w:r>
      <w:r w:rsidRPr="00033BD2">
        <w:rPr>
          <w:rFonts w:ascii="Verdana" w:hAnsi="Verdana" w:cs="Verdana"/>
          <w:sz w:val="20"/>
          <w:szCs w:val="20"/>
          <w:lang w:val="es-ES"/>
        </w:rPr>
        <w:t xml:space="preserve">de </w:t>
      </w:r>
      <w:r w:rsidR="001170BB" w:rsidRPr="002370C7">
        <w:rPr>
          <w:rFonts w:ascii="Verdana" w:hAnsi="Verdana" w:cs="Verdana"/>
          <w:sz w:val="20"/>
          <w:szCs w:val="20"/>
          <w:lang w:val="es-ES"/>
        </w:rPr>
        <w:t xml:space="preserve"> 5 de octubre de 2018</w:t>
      </w:r>
      <w:r w:rsidR="002370C7">
        <w:rPr>
          <w:rFonts w:ascii="Verdana" w:hAnsi="Verdana" w:cs="Verdana"/>
          <w:sz w:val="20"/>
          <w:szCs w:val="20"/>
          <w:lang w:val="es-ES"/>
        </w:rPr>
        <w:t>, el Estado</w:t>
      </w:r>
      <w:r w:rsidR="001170BB" w:rsidRPr="0061458D">
        <w:rPr>
          <w:rFonts w:ascii="Verdana" w:hAnsi="Verdana" w:cs="Verdana"/>
          <w:sz w:val="20"/>
          <w:szCs w:val="20"/>
          <w:lang w:val="es-ES"/>
        </w:rPr>
        <w:t xml:space="preserve"> señaló que </w:t>
      </w:r>
      <w:r w:rsidR="00885793" w:rsidRPr="0061458D">
        <w:rPr>
          <w:rFonts w:ascii="Verdana" w:hAnsi="Verdana" w:cs="Verdana"/>
          <w:sz w:val="20"/>
          <w:szCs w:val="20"/>
          <w:lang w:val="es-ES"/>
        </w:rPr>
        <w:t>“</w:t>
      </w:r>
      <w:r w:rsidR="001170BB" w:rsidRPr="0061458D">
        <w:rPr>
          <w:rFonts w:ascii="Verdana" w:hAnsi="Verdana" w:cs="Verdana"/>
          <w:sz w:val="20"/>
          <w:szCs w:val="20"/>
          <w:lang w:val="es-ES"/>
        </w:rPr>
        <w:t xml:space="preserve">el </w:t>
      </w:r>
      <w:r w:rsidR="003F0CB5" w:rsidRPr="00033BD2">
        <w:rPr>
          <w:rFonts w:ascii="Verdana" w:hAnsi="Verdana" w:cs="Verdana"/>
          <w:sz w:val="20"/>
          <w:szCs w:val="20"/>
          <w:lang w:val="es-ES"/>
        </w:rPr>
        <w:t>6 de abril de 2018 se realizó el análisis de riesgo correspondiente</w:t>
      </w:r>
      <w:r w:rsidR="00BF112B" w:rsidRPr="002370C7">
        <w:rPr>
          <w:rFonts w:ascii="Verdana" w:hAnsi="Verdana" w:cs="Verdana"/>
          <w:sz w:val="20"/>
          <w:szCs w:val="20"/>
          <w:lang w:val="es-ES"/>
        </w:rPr>
        <w:t xml:space="preserve"> </w:t>
      </w:r>
      <w:r w:rsidR="003F0CB5" w:rsidRPr="002370C7">
        <w:rPr>
          <w:rFonts w:ascii="Verdana" w:hAnsi="Verdana" w:cs="Verdana"/>
          <w:sz w:val="20"/>
          <w:szCs w:val="20"/>
          <w:lang w:val="es-ES"/>
        </w:rPr>
        <w:t>[, y se determinó] que se encontraban en un nivel de riesgo bajo, ya que desde septiembre de</w:t>
      </w:r>
      <w:r w:rsidR="00BF112B" w:rsidRPr="002370C7">
        <w:rPr>
          <w:rFonts w:ascii="Verdana" w:hAnsi="Verdana" w:cs="Verdana"/>
          <w:sz w:val="20"/>
          <w:szCs w:val="20"/>
          <w:lang w:val="es-ES"/>
        </w:rPr>
        <w:t xml:space="preserve"> </w:t>
      </w:r>
      <w:r w:rsidR="003F0CB5" w:rsidRPr="002370C7">
        <w:rPr>
          <w:rFonts w:ascii="Verdana" w:hAnsi="Verdana" w:cs="Verdana"/>
          <w:sz w:val="20"/>
          <w:szCs w:val="20"/>
          <w:lang w:val="es-ES"/>
        </w:rPr>
        <w:t xml:space="preserve">[…] 2015, no se han suscitado hechos que puedan vulnerar la vida o la integridad de los beneficiarios, por lo que se consideró en el estudio que el riesgo ha disminuido paulatinamente”. </w:t>
      </w:r>
      <w:r w:rsidR="001170BB" w:rsidRPr="002370C7">
        <w:rPr>
          <w:rFonts w:ascii="Verdana" w:hAnsi="Verdana" w:cs="Verdana"/>
          <w:sz w:val="20"/>
          <w:szCs w:val="20"/>
          <w:lang w:val="es-ES"/>
        </w:rPr>
        <w:t>Agregó que el</w:t>
      </w:r>
      <w:r w:rsidR="009E0B19" w:rsidRPr="002370C7">
        <w:rPr>
          <w:rFonts w:ascii="Verdana" w:hAnsi="Verdana" w:cs="Verdana"/>
          <w:sz w:val="20"/>
          <w:szCs w:val="20"/>
          <w:lang w:val="es-ES"/>
        </w:rPr>
        <w:t xml:space="preserve"> señor Santiago Cabrera</w:t>
      </w:r>
      <w:r w:rsidR="001A7170" w:rsidRPr="002370C7">
        <w:rPr>
          <w:rFonts w:ascii="Verdana" w:hAnsi="Verdana" w:cs="Verdana"/>
          <w:sz w:val="20"/>
          <w:szCs w:val="20"/>
          <w:lang w:val="es-ES"/>
        </w:rPr>
        <w:t xml:space="preserve"> López</w:t>
      </w:r>
      <w:r w:rsidR="009E0B19" w:rsidRPr="002370C7">
        <w:rPr>
          <w:rFonts w:ascii="Verdana" w:hAnsi="Verdana" w:cs="Verdana"/>
          <w:sz w:val="20"/>
          <w:szCs w:val="20"/>
          <w:lang w:val="es-ES"/>
        </w:rPr>
        <w:t xml:space="preserve"> reside cerca de la Subestación Policial 41-33 del Municipio de Concepción </w:t>
      </w:r>
      <w:proofErr w:type="spellStart"/>
      <w:r w:rsidR="009E0B19" w:rsidRPr="002370C7">
        <w:rPr>
          <w:rFonts w:ascii="Verdana" w:hAnsi="Verdana" w:cs="Verdana"/>
          <w:sz w:val="20"/>
          <w:szCs w:val="20"/>
          <w:lang w:val="es-ES"/>
        </w:rPr>
        <w:t>Chiquirichapa</w:t>
      </w:r>
      <w:proofErr w:type="spellEnd"/>
      <w:r w:rsidR="009E0B19" w:rsidRPr="002370C7">
        <w:rPr>
          <w:rFonts w:ascii="Verdana" w:hAnsi="Verdana" w:cs="Verdana"/>
          <w:sz w:val="20"/>
          <w:szCs w:val="20"/>
          <w:lang w:val="es-ES"/>
        </w:rPr>
        <w:t xml:space="preserve"> y su lugar de trabajo se ubica también </w:t>
      </w:r>
      <w:r w:rsidR="00A90692" w:rsidRPr="002370C7">
        <w:rPr>
          <w:rFonts w:ascii="Verdana" w:hAnsi="Verdana" w:cs="Verdana"/>
          <w:sz w:val="20"/>
          <w:szCs w:val="20"/>
          <w:lang w:val="es-ES"/>
        </w:rPr>
        <w:t>cerca de la Comis</w:t>
      </w:r>
      <w:r w:rsidR="009E0B19" w:rsidRPr="002370C7">
        <w:rPr>
          <w:rFonts w:ascii="Verdana" w:hAnsi="Verdana" w:cs="Verdana"/>
          <w:sz w:val="20"/>
          <w:szCs w:val="20"/>
          <w:lang w:val="es-ES"/>
        </w:rPr>
        <w:t xml:space="preserve">aría 41, por lo que se realizan patrullajes constantemente en ambos lugares. </w:t>
      </w:r>
      <w:r w:rsidR="000D7638" w:rsidRPr="002370C7">
        <w:rPr>
          <w:rFonts w:ascii="Verdana" w:hAnsi="Verdana" w:cs="Verdana"/>
          <w:sz w:val="20"/>
          <w:szCs w:val="20"/>
          <w:lang w:val="es-ES"/>
        </w:rPr>
        <w:t>Además, el encargado del análisis de riesgo recomendó la continuidad del esquema de seguridad tal como se está brindando. Por último, el Estado</w:t>
      </w:r>
      <w:r w:rsidR="00A82BF1" w:rsidRPr="002370C7">
        <w:rPr>
          <w:rFonts w:ascii="Verdana" w:hAnsi="Verdana" w:cs="Verdana"/>
          <w:sz w:val="20"/>
          <w:szCs w:val="20"/>
          <w:lang w:val="es-ES"/>
        </w:rPr>
        <w:t xml:space="preserve"> señaló que el señor Cabrera López manifestó que su núcleo familiar reside con él, pero que </w:t>
      </w:r>
      <w:r w:rsidR="001A7170" w:rsidRPr="002370C7">
        <w:rPr>
          <w:rFonts w:ascii="Verdana" w:hAnsi="Verdana" w:cs="Verdana"/>
          <w:sz w:val="20"/>
          <w:szCs w:val="20"/>
          <w:lang w:val="es-ES"/>
        </w:rPr>
        <w:t>dejó de convivir con</w:t>
      </w:r>
      <w:r w:rsidR="001170BB" w:rsidRPr="002370C7">
        <w:rPr>
          <w:rFonts w:ascii="Verdana" w:hAnsi="Verdana" w:cs="Verdana"/>
          <w:sz w:val="20"/>
          <w:szCs w:val="20"/>
          <w:lang w:val="es-ES"/>
        </w:rPr>
        <w:t xml:space="preserve"> </w:t>
      </w:r>
      <w:r w:rsidR="00A82BF1" w:rsidRPr="002370C7">
        <w:rPr>
          <w:rFonts w:ascii="Verdana" w:hAnsi="Verdana" w:cs="Verdana"/>
          <w:sz w:val="20"/>
          <w:szCs w:val="20"/>
          <w:lang w:val="es-ES"/>
        </w:rPr>
        <w:t xml:space="preserve">Olga Maldonado, quien se trasladó </w:t>
      </w:r>
      <w:r w:rsidR="001A7170" w:rsidRPr="002370C7">
        <w:rPr>
          <w:rFonts w:ascii="Verdana" w:hAnsi="Verdana" w:cs="Verdana"/>
          <w:sz w:val="20"/>
          <w:szCs w:val="20"/>
          <w:lang w:val="es-ES"/>
        </w:rPr>
        <w:t>junto</w:t>
      </w:r>
      <w:r w:rsidR="00A82BF1" w:rsidRPr="002370C7">
        <w:rPr>
          <w:rFonts w:ascii="Verdana" w:hAnsi="Verdana" w:cs="Verdana"/>
          <w:sz w:val="20"/>
          <w:szCs w:val="20"/>
          <w:lang w:val="es-ES"/>
        </w:rPr>
        <w:t xml:space="preserve"> </w:t>
      </w:r>
      <w:r w:rsidR="008004FE">
        <w:rPr>
          <w:rFonts w:ascii="Verdana" w:hAnsi="Verdana" w:cs="Verdana"/>
          <w:sz w:val="20"/>
          <w:szCs w:val="20"/>
          <w:lang w:val="es-ES"/>
        </w:rPr>
        <w:t xml:space="preserve">a </w:t>
      </w:r>
      <w:r w:rsidR="00A82BF1" w:rsidRPr="002370C7">
        <w:rPr>
          <w:rFonts w:ascii="Verdana" w:hAnsi="Verdana" w:cs="Verdana"/>
          <w:sz w:val="20"/>
          <w:szCs w:val="20"/>
          <w:lang w:val="es-ES"/>
        </w:rPr>
        <w:t xml:space="preserve">su hijo Osmar </w:t>
      </w:r>
      <w:r w:rsidR="007E40C8" w:rsidRPr="002370C7">
        <w:rPr>
          <w:rFonts w:ascii="Verdana" w:hAnsi="Verdana" w:cs="Verdana"/>
          <w:sz w:val="20"/>
          <w:szCs w:val="20"/>
          <w:lang w:val="es-ES"/>
        </w:rPr>
        <w:t xml:space="preserve">Rigoberto </w:t>
      </w:r>
      <w:r w:rsidR="00A82BF1" w:rsidRPr="002370C7">
        <w:rPr>
          <w:rFonts w:ascii="Verdana" w:hAnsi="Verdana" w:cs="Verdana"/>
          <w:sz w:val="20"/>
          <w:szCs w:val="20"/>
          <w:lang w:val="es-ES"/>
        </w:rPr>
        <w:t>Cabrera</w:t>
      </w:r>
      <w:r w:rsidR="007E40C8" w:rsidRPr="002370C7">
        <w:rPr>
          <w:rFonts w:ascii="Verdana" w:hAnsi="Verdana" w:cs="Verdana"/>
          <w:sz w:val="20"/>
          <w:szCs w:val="20"/>
          <w:lang w:val="es-ES"/>
        </w:rPr>
        <w:t xml:space="preserve"> Maldonado</w:t>
      </w:r>
      <w:r w:rsidR="009E0B19" w:rsidRPr="002370C7">
        <w:rPr>
          <w:rFonts w:ascii="Verdana" w:hAnsi="Verdana" w:cs="Verdana"/>
          <w:sz w:val="20"/>
          <w:szCs w:val="20"/>
          <w:lang w:val="es-ES"/>
        </w:rPr>
        <w:t>, qu</w:t>
      </w:r>
      <w:r w:rsidR="001A7170" w:rsidRPr="002370C7">
        <w:rPr>
          <w:rFonts w:ascii="Verdana" w:hAnsi="Verdana" w:cs="Verdana"/>
          <w:sz w:val="20"/>
          <w:szCs w:val="20"/>
          <w:lang w:val="es-ES"/>
        </w:rPr>
        <w:t>ien</w:t>
      </w:r>
      <w:r w:rsidR="007B5A05">
        <w:rPr>
          <w:rFonts w:ascii="Verdana" w:hAnsi="Verdana" w:cs="Verdana"/>
          <w:sz w:val="20"/>
          <w:szCs w:val="20"/>
          <w:lang w:val="es-ES"/>
        </w:rPr>
        <w:t>es</w:t>
      </w:r>
      <w:r w:rsidR="009E0B19" w:rsidRPr="002370C7">
        <w:rPr>
          <w:rFonts w:ascii="Verdana" w:hAnsi="Verdana" w:cs="Verdana"/>
          <w:sz w:val="20"/>
          <w:szCs w:val="20"/>
          <w:lang w:val="es-ES"/>
        </w:rPr>
        <w:t xml:space="preserve"> reside</w:t>
      </w:r>
      <w:r w:rsidR="007B5A05">
        <w:rPr>
          <w:rFonts w:ascii="Verdana" w:hAnsi="Verdana" w:cs="Verdana"/>
          <w:sz w:val="20"/>
          <w:szCs w:val="20"/>
          <w:lang w:val="es-ES"/>
        </w:rPr>
        <w:t>n</w:t>
      </w:r>
      <w:r w:rsidR="009E0B19" w:rsidRPr="002370C7">
        <w:rPr>
          <w:rFonts w:ascii="Verdana" w:hAnsi="Verdana" w:cs="Verdana"/>
          <w:sz w:val="20"/>
          <w:szCs w:val="20"/>
          <w:lang w:val="es-ES"/>
        </w:rPr>
        <w:t xml:space="preserve"> en </w:t>
      </w:r>
      <w:r w:rsidR="005828A9" w:rsidRPr="002370C7">
        <w:rPr>
          <w:rFonts w:ascii="Verdana" w:hAnsi="Verdana" w:cs="Verdana"/>
          <w:sz w:val="20"/>
          <w:szCs w:val="20"/>
          <w:lang w:val="es-ES"/>
        </w:rPr>
        <w:t xml:space="preserve">el </w:t>
      </w:r>
      <w:r w:rsidR="001A7170" w:rsidRPr="002370C7">
        <w:rPr>
          <w:rFonts w:ascii="Verdana" w:hAnsi="Verdana" w:cs="Verdana"/>
          <w:sz w:val="20"/>
          <w:szCs w:val="20"/>
          <w:lang w:val="es-ES"/>
        </w:rPr>
        <w:t xml:space="preserve">barrio San Marcos, Municipio de Concepción </w:t>
      </w:r>
      <w:proofErr w:type="spellStart"/>
      <w:r w:rsidR="001A7170" w:rsidRPr="002370C7">
        <w:rPr>
          <w:rFonts w:ascii="Verdana" w:hAnsi="Verdana" w:cs="Verdana"/>
          <w:sz w:val="20"/>
          <w:szCs w:val="20"/>
          <w:lang w:val="es-ES"/>
        </w:rPr>
        <w:t>Chiquirichapa</w:t>
      </w:r>
      <w:proofErr w:type="spellEnd"/>
      <w:r w:rsidR="001A7170" w:rsidRPr="002370C7">
        <w:rPr>
          <w:rFonts w:ascii="Verdana" w:hAnsi="Verdana" w:cs="Verdana"/>
          <w:sz w:val="20"/>
          <w:szCs w:val="20"/>
          <w:lang w:val="es-ES"/>
        </w:rPr>
        <w:t xml:space="preserve">. Por otra parte, expresó que su </w:t>
      </w:r>
      <w:r w:rsidR="00A82BF1" w:rsidRPr="002370C7">
        <w:rPr>
          <w:rFonts w:ascii="Verdana" w:hAnsi="Verdana" w:cs="Verdana"/>
          <w:sz w:val="20"/>
          <w:szCs w:val="20"/>
          <w:lang w:val="es-ES"/>
        </w:rPr>
        <w:t>sobrin</w:t>
      </w:r>
      <w:r w:rsidR="001A7170" w:rsidRPr="002370C7">
        <w:rPr>
          <w:rFonts w:ascii="Verdana" w:hAnsi="Verdana" w:cs="Verdana"/>
          <w:sz w:val="20"/>
          <w:szCs w:val="20"/>
          <w:lang w:val="es-ES"/>
        </w:rPr>
        <w:t>a</w:t>
      </w:r>
      <w:r w:rsidR="00A82BF1" w:rsidRPr="002370C7">
        <w:rPr>
          <w:rFonts w:ascii="Verdana" w:hAnsi="Verdana" w:cs="Verdana"/>
          <w:sz w:val="20"/>
          <w:szCs w:val="20"/>
          <w:lang w:val="es-ES"/>
        </w:rPr>
        <w:t xml:space="preserve"> </w:t>
      </w:r>
      <w:proofErr w:type="spellStart"/>
      <w:r w:rsidR="00A82BF1" w:rsidRPr="002370C7">
        <w:rPr>
          <w:rFonts w:ascii="Verdana" w:hAnsi="Verdana" w:cs="Verdana"/>
          <w:sz w:val="20"/>
          <w:szCs w:val="20"/>
          <w:lang w:val="es-ES"/>
        </w:rPr>
        <w:t>Carmelinda</w:t>
      </w:r>
      <w:proofErr w:type="spellEnd"/>
      <w:r w:rsidR="00A82BF1" w:rsidRPr="002370C7">
        <w:rPr>
          <w:rFonts w:ascii="Verdana" w:hAnsi="Verdana" w:cs="Verdana"/>
          <w:sz w:val="20"/>
          <w:szCs w:val="20"/>
          <w:lang w:val="es-ES"/>
        </w:rPr>
        <w:t xml:space="preserve"> Cabrera </w:t>
      </w:r>
      <w:r w:rsidR="001A7170" w:rsidRPr="002370C7">
        <w:rPr>
          <w:rFonts w:ascii="Verdana" w:hAnsi="Verdana" w:cs="Verdana"/>
          <w:sz w:val="20"/>
          <w:szCs w:val="20"/>
          <w:lang w:val="es-ES"/>
        </w:rPr>
        <w:t xml:space="preserve">reside en el Departamento de Totonicapán </w:t>
      </w:r>
      <w:r w:rsidR="00A82BF1" w:rsidRPr="002370C7">
        <w:rPr>
          <w:rFonts w:ascii="Verdana" w:hAnsi="Verdana" w:cs="Verdana"/>
          <w:sz w:val="20"/>
          <w:szCs w:val="20"/>
          <w:lang w:val="es-ES"/>
        </w:rPr>
        <w:t xml:space="preserve">y </w:t>
      </w:r>
      <w:r w:rsidR="001A7170" w:rsidRPr="002370C7">
        <w:rPr>
          <w:rFonts w:ascii="Verdana" w:hAnsi="Verdana" w:cs="Verdana"/>
          <w:sz w:val="20"/>
          <w:szCs w:val="20"/>
          <w:lang w:val="es-ES"/>
        </w:rPr>
        <w:t xml:space="preserve">que su sobrina </w:t>
      </w:r>
      <w:r w:rsidR="00A82BF1" w:rsidRPr="002370C7">
        <w:rPr>
          <w:rFonts w:ascii="Verdana" w:hAnsi="Verdana" w:cs="Verdana"/>
          <w:sz w:val="20"/>
          <w:szCs w:val="20"/>
          <w:lang w:val="es-ES"/>
        </w:rPr>
        <w:t xml:space="preserve">Teresa Aguilar Cabrera </w:t>
      </w:r>
      <w:r w:rsidR="001A7170" w:rsidRPr="002370C7">
        <w:rPr>
          <w:rFonts w:ascii="Verdana" w:hAnsi="Verdana" w:cs="Verdana"/>
          <w:sz w:val="20"/>
          <w:szCs w:val="20"/>
          <w:lang w:val="es-ES"/>
        </w:rPr>
        <w:t xml:space="preserve">reside en </w:t>
      </w:r>
      <w:r w:rsidR="00A82BF1" w:rsidRPr="002370C7">
        <w:rPr>
          <w:rFonts w:ascii="Verdana" w:hAnsi="Verdana" w:cs="Verdana"/>
          <w:sz w:val="20"/>
          <w:szCs w:val="20"/>
          <w:lang w:val="es-ES"/>
        </w:rPr>
        <w:t xml:space="preserve">el Municipio de San Juan </w:t>
      </w:r>
      <w:proofErr w:type="spellStart"/>
      <w:r w:rsidR="00A82BF1" w:rsidRPr="002370C7">
        <w:rPr>
          <w:rFonts w:ascii="Verdana" w:hAnsi="Verdana" w:cs="Verdana"/>
          <w:sz w:val="20"/>
          <w:szCs w:val="20"/>
          <w:lang w:val="es-ES"/>
        </w:rPr>
        <w:t>Ostuncalco</w:t>
      </w:r>
      <w:proofErr w:type="spellEnd"/>
      <w:r w:rsidR="001A7170" w:rsidRPr="002370C7">
        <w:rPr>
          <w:rFonts w:ascii="Verdana" w:hAnsi="Verdana" w:cs="Verdana"/>
          <w:sz w:val="20"/>
          <w:szCs w:val="20"/>
          <w:lang w:val="es-ES"/>
        </w:rPr>
        <w:t>, Departamento de Quetzaltenango, de quienes no proporcionó lugar exacto de residencia</w:t>
      </w:r>
      <w:r w:rsidR="00A82BF1" w:rsidRPr="002370C7">
        <w:rPr>
          <w:rFonts w:ascii="Verdana" w:hAnsi="Verdana" w:cs="Verdana"/>
          <w:sz w:val="20"/>
          <w:szCs w:val="20"/>
          <w:lang w:val="es-ES"/>
        </w:rPr>
        <w:t>.</w:t>
      </w:r>
      <w:r w:rsidR="000D7638" w:rsidRPr="002370C7">
        <w:rPr>
          <w:rFonts w:ascii="Verdana" w:hAnsi="Verdana" w:cs="Verdana"/>
          <w:sz w:val="20"/>
          <w:szCs w:val="20"/>
          <w:lang w:val="es-ES"/>
        </w:rPr>
        <w:t xml:space="preserve"> En razón </w:t>
      </w:r>
      <w:r w:rsidR="00766192" w:rsidRPr="002370C7">
        <w:rPr>
          <w:rFonts w:ascii="Verdana" w:hAnsi="Verdana" w:cs="Verdana"/>
          <w:sz w:val="20"/>
          <w:szCs w:val="20"/>
          <w:lang w:val="es-ES"/>
        </w:rPr>
        <w:t>a lo manifestado por el señor Cabrera López</w:t>
      </w:r>
      <w:r w:rsidR="005828A9" w:rsidRPr="002370C7">
        <w:rPr>
          <w:rFonts w:ascii="Verdana" w:hAnsi="Verdana" w:cs="Verdana"/>
          <w:sz w:val="20"/>
          <w:szCs w:val="20"/>
          <w:lang w:val="es-ES"/>
        </w:rPr>
        <w:t xml:space="preserve"> y</w:t>
      </w:r>
      <w:r w:rsidR="006B5732" w:rsidRPr="002370C7">
        <w:rPr>
          <w:rFonts w:ascii="Verdana" w:hAnsi="Verdana" w:cs="Verdana"/>
          <w:sz w:val="20"/>
          <w:szCs w:val="20"/>
          <w:lang w:val="es-ES"/>
        </w:rPr>
        <w:t xml:space="preserve"> del</w:t>
      </w:r>
      <w:r w:rsidR="00766192" w:rsidRPr="002370C7">
        <w:rPr>
          <w:rFonts w:ascii="Verdana" w:hAnsi="Verdana" w:cs="Verdana"/>
          <w:sz w:val="20"/>
          <w:szCs w:val="20"/>
          <w:lang w:val="es-ES"/>
        </w:rPr>
        <w:t xml:space="preserve"> resultado del análisis de riesgo</w:t>
      </w:r>
      <w:r w:rsidR="001170BB" w:rsidRPr="002370C7">
        <w:rPr>
          <w:rFonts w:ascii="Verdana" w:hAnsi="Verdana" w:cs="Verdana"/>
          <w:sz w:val="20"/>
          <w:szCs w:val="20"/>
          <w:lang w:val="es-ES"/>
        </w:rPr>
        <w:t>, el Estado</w:t>
      </w:r>
      <w:r w:rsidR="009E0B19" w:rsidRPr="002370C7">
        <w:rPr>
          <w:rFonts w:ascii="Verdana" w:hAnsi="Verdana" w:cs="Verdana"/>
          <w:sz w:val="20"/>
          <w:szCs w:val="20"/>
          <w:lang w:val="es-ES"/>
        </w:rPr>
        <w:t xml:space="preserve"> </w:t>
      </w:r>
      <w:r w:rsidR="000D7638" w:rsidRPr="002370C7">
        <w:rPr>
          <w:rFonts w:ascii="Verdana" w:hAnsi="Verdana" w:cs="Verdana"/>
          <w:sz w:val="20"/>
          <w:szCs w:val="20"/>
          <w:lang w:val="es-ES"/>
        </w:rPr>
        <w:t>solicitó que se levanten las medidas para</w:t>
      </w:r>
      <w:r w:rsidR="00EB7E7A" w:rsidRPr="002370C7">
        <w:rPr>
          <w:rFonts w:ascii="Verdana" w:hAnsi="Verdana" w:cs="Verdana"/>
          <w:sz w:val="20"/>
          <w:szCs w:val="20"/>
          <w:lang w:val="es-ES"/>
        </w:rPr>
        <w:t xml:space="preserve"> las familiares del señor Cabrera López debido a que ya no conviven con él</w:t>
      </w:r>
      <w:r w:rsidR="000D7638" w:rsidRPr="002370C7">
        <w:rPr>
          <w:rFonts w:ascii="Verdana" w:hAnsi="Verdana" w:cs="Verdana"/>
          <w:sz w:val="20"/>
          <w:szCs w:val="20"/>
          <w:lang w:val="es-ES"/>
        </w:rPr>
        <w:t>.</w:t>
      </w:r>
      <w:r w:rsidR="00766192" w:rsidRPr="002370C7">
        <w:rPr>
          <w:rFonts w:ascii="Verdana" w:hAnsi="Verdana" w:cs="Verdana"/>
          <w:sz w:val="20"/>
          <w:szCs w:val="20"/>
          <w:lang w:val="es-ES"/>
        </w:rPr>
        <w:t xml:space="preserve"> </w:t>
      </w:r>
    </w:p>
    <w:p w:rsidR="00F65708" w:rsidRPr="00352B47" w:rsidRDefault="00F65708" w:rsidP="00DF7BEC">
      <w:pPr>
        <w:pStyle w:val="ListParagraph"/>
        <w:spacing w:after="0" w:line="240" w:lineRule="auto"/>
        <w:ind w:left="0"/>
        <w:jc w:val="both"/>
        <w:rPr>
          <w:rFonts w:ascii="Verdana" w:hAnsi="Verdana" w:cs="Verdana"/>
          <w:sz w:val="20"/>
          <w:szCs w:val="20"/>
          <w:lang w:val="es-ES"/>
        </w:rPr>
      </w:pPr>
    </w:p>
    <w:p w:rsidR="00F54DEC" w:rsidRPr="007B5A05" w:rsidRDefault="00B731DA" w:rsidP="00F54DEC">
      <w:pPr>
        <w:pStyle w:val="ListParagraph"/>
        <w:numPr>
          <w:ilvl w:val="0"/>
          <w:numId w:val="6"/>
        </w:numPr>
        <w:spacing w:after="0" w:line="240" w:lineRule="auto"/>
        <w:ind w:left="0" w:firstLine="0"/>
        <w:jc w:val="both"/>
        <w:rPr>
          <w:rFonts w:ascii="Verdana" w:hAnsi="Verdana" w:cs="Verdana"/>
          <w:sz w:val="20"/>
          <w:szCs w:val="20"/>
          <w:lang w:val="es-ES"/>
        </w:rPr>
      </w:pPr>
      <w:r w:rsidRPr="00F54DEC">
        <w:rPr>
          <w:rFonts w:ascii="Verdana" w:hAnsi="Verdana" w:cs="Verdana"/>
          <w:sz w:val="20"/>
          <w:szCs w:val="20"/>
          <w:lang w:val="es-ES"/>
        </w:rPr>
        <w:t>L</w:t>
      </w:r>
      <w:r w:rsidR="00012F09">
        <w:rPr>
          <w:rFonts w:ascii="Verdana" w:hAnsi="Verdana" w:cs="Verdana"/>
          <w:sz w:val="20"/>
          <w:szCs w:val="20"/>
          <w:lang w:val="es-ES"/>
        </w:rPr>
        <w:t>a</w:t>
      </w:r>
      <w:r w:rsidRPr="00F54DEC">
        <w:rPr>
          <w:rFonts w:ascii="Verdana" w:hAnsi="Verdana" w:cs="Verdana"/>
          <w:sz w:val="20"/>
          <w:szCs w:val="20"/>
          <w:lang w:val="es-ES"/>
        </w:rPr>
        <w:t xml:space="preserve">s </w:t>
      </w:r>
      <w:r w:rsidRPr="00F54DEC">
        <w:rPr>
          <w:rFonts w:ascii="Verdana" w:hAnsi="Verdana" w:cs="Verdana"/>
          <w:b/>
          <w:i/>
          <w:sz w:val="20"/>
          <w:szCs w:val="20"/>
          <w:lang w:val="es-ES"/>
        </w:rPr>
        <w:t>representan</w:t>
      </w:r>
      <w:r w:rsidR="004263B0" w:rsidRPr="00F54DEC">
        <w:rPr>
          <w:rFonts w:ascii="Verdana" w:hAnsi="Verdana" w:cs="Verdana"/>
          <w:b/>
          <w:i/>
          <w:sz w:val="20"/>
          <w:szCs w:val="20"/>
          <w:lang w:val="es-ES"/>
        </w:rPr>
        <w:t>tes</w:t>
      </w:r>
      <w:r w:rsidR="004263B0" w:rsidRPr="00F54DEC">
        <w:rPr>
          <w:rFonts w:ascii="Verdana" w:hAnsi="Verdana" w:cs="Verdana"/>
          <w:sz w:val="20"/>
          <w:szCs w:val="20"/>
          <w:lang w:val="es-ES"/>
        </w:rPr>
        <w:t xml:space="preserve"> </w:t>
      </w:r>
      <w:r w:rsidR="002C7B90" w:rsidRPr="00F54DEC">
        <w:rPr>
          <w:rFonts w:ascii="Verdana" w:hAnsi="Verdana" w:cs="Verdana"/>
          <w:sz w:val="20"/>
          <w:szCs w:val="20"/>
          <w:lang w:val="es-ES"/>
        </w:rPr>
        <w:t xml:space="preserve">en sus observaciones de 15 de noviembre de 2018, </w:t>
      </w:r>
      <w:r w:rsidR="00003E7A" w:rsidRPr="00F54DEC">
        <w:rPr>
          <w:rFonts w:ascii="Verdana" w:hAnsi="Verdana" w:cs="Verdana"/>
          <w:sz w:val="20"/>
          <w:szCs w:val="20"/>
          <w:lang w:val="es-ES"/>
        </w:rPr>
        <w:t>manifestaron que</w:t>
      </w:r>
      <w:r w:rsidR="005828A9">
        <w:rPr>
          <w:rFonts w:ascii="Verdana" w:hAnsi="Verdana" w:cs="Verdana"/>
          <w:sz w:val="20"/>
          <w:szCs w:val="20"/>
          <w:lang w:val="es-ES"/>
        </w:rPr>
        <w:t xml:space="preserve"> el señor Cabrera López</w:t>
      </w:r>
      <w:r w:rsidR="00003E7A" w:rsidRPr="00F54DEC">
        <w:rPr>
          <w:rFonts w:ascii="Verdana" w:hAnsi="Verdana" w:cs="Verdana"/>
          <w:sz w:val="20"/>
          <w:szCs w:val="20"/>
          <w:lang w:val="es-ES"/>
        </w:rPr>
        <w:t xml:space="preserve"> cuenta con un agente que le brinda protección</w:t>
      </w:r>
      <w:r w:rsidR="006B5732">
        <w:rPr>
          <w:rFonts w:ascii="Verdana" w:hAnsi="Verdana" w:cs="Verdana"/>
          <w:sz w:val="20"/>
          <w:szCs w:val="20"/>
          <w:lang w:val="es-ES"/>
        </w:rPr>
        <w:t>, no obstante, esa medida no alcanza a implementarse en favor de sus familiares, por lo que ellos no estarían recibiendo ningún tipo de protección</w:t>
      </w:r>
      <w:r w:rsidR="00DB4B45" w:rsidRPr="00F54DEC">
        <w:rPr>
          <w:rFonts w:ascii="Verdana" w:hAnsi="Verdana" w:cs="Verdana"/>
          <w:sz w:val="20"/>
          <w:szCs w:val="20"/>
          <w:lang w:val="es-ES"/>
        </w:rPr>
        <w:t xml:space="preserve">. </w:t>
      </w:r>
      <w:r w:rsidR="008C393D" w:rsidRPr="00F54DEC">
        <w:rPr>
          <w:rFonts w:ascii="Verdana" w:hAnsi="Verdana" w:cs="Verdana"/>
          <w:sz w:val="20"/>
          <w:szCs w:val="20"/>
          <w:lang w:val="es-ES"/>
        </w:rPr>
        <w:t>A</w:t>
      </w:r>
      <w:r w:rsidR="008C393D">
        <w:rPr>
          <w:rFonts w:ascii="Verdana" w:hAnsi="Verdana" w:cs="Verdana"/>
          <w:sz w:val="20"/>
          <w:szCs w:val="20"/>
          <w:lang w:val="es-ES"/>
        </w:rPr>
        <w:t>demás, a</w:t>
      </w:r>
      <w:r w:rsidR="00DB4B45" w:rsidRPr="00F54DEC">
        <w:rPr>
          <w:rFonts w:ascii="Verdana" w:hAnsi="Verdana" w:cs="Verdana"/>
          <w:sz w:val="20"/>
          <w:szCs w:val="20"/>
          <w:lang w:val="es-ES"/>
        </w:rPr>
        <w:t xml:space="preserve">gregaron que </w:t>
      </w:r>
      <w:r w:rsidR="00DF4B1B">
        <w:rPr>
          <w:rFonts w:ascii="Verdana" w:hAnsi="Verdana" w:cs="Verdana"/>
          <w:sz w:val="20"/>
          <w:szCs w:val="20"/>
          <w:lang w:val="es-ES"/>
        </w:rPr>
        <w:t>“</w:t>
      </w:r>
      <w:r w:rsidR="00DB4B45" w:rsidRPr="00F54DEC">
        <w:rPr>
          <w:rFonts w:ascii="Verdana" w:hAnsi="Verdana" w:cs="Verdana"/>
          <w:sz w:val="20"/>
          <w:szCs w:val="20"/>
          <w:lang w:val="es-ES"/>
        </w:rPr>
        <w:t xml:space="preserve">la existencia de la </w:t>
      </w:r>
      <w:r w:rsidR="0076327B">
        <w:rPr>
          <w:rFonts w:ascii="Verdana" w:hAnsi="Verdana" w:cs="Verdana"/>
          <w:sz w:val="20"/>
          <w:szCs w:val="20"/>
          <w:lang w:val="es-ES"/>
        </w:rPr>
        <w:t>S</w:t>
      </w:r>
      <w:r w:rsidR="00DB4B45" w:rsidRPr="00F54DEC">
        <w:rPr>
          <w:rFonts w:ascii="Verdana" w:hAnsi="Verdana" w:cs="Verdana"/>
          <w:sz w:val="20"/>
          <w:szCs w:val="20"/>
          <w:lang w:val="es-ES"/>
        </w:rPr>
        <w:t xml:space="preserve">ubestación </w:t>
      </w:r>
      <w:r w:rsidR="0076327B">
        <w:rPr>
          <w:rFonts w:ascii="Verdana" w:hAnsi="Verdana" w:cs="Verdana"/>
          <w:sz w:val="20"/>
          <w:szCs w:val="20"/>
          <w:lang w:val="es-ES"/>
        </w:rPr>
        <w:t>P</w:t>
      </w:r>
      <w:r w:rsidR="00DB4B45" w:rsidRPr="00F54DEC">
        <w:rPr>
          <w:rFonts w:ascii="Verdana" w:hAnsi="Verdana" w:cs="Verdana"/>
          <w:sz w:val="20"/>
          <w:szCs w:val="20"/>
          <w:lang w:val="es-ES"/>
        </w:rPr>
        <w:t>olicial cerca de la residencia del señor Cabrera</w:t>
      </w:r>
      <w:r w:rsidR="008C393D">
        <w:rPr>
          <w:rFonts w:ascii="Verdana" w:hAnsi="Verdana" w:cs="Verdana"/>
          <w:sz w:val="20"/>
          <w:szCs w:val="20"/>
          <w:lang w:val="es-ES"/>
        </w:rPr>
        <w:t xml:space="preserve"> López</w:t>
      </w:r>
      <w:r w:rsidR="00DB4B45" w:rsidRPr="00F54DEC">
        <w:rPr>
          <w:rFonts w:ascii="Verdana" w:hAnsi="Verdana" w:cs="Verdana"/>
          <w:sz w:val="20"/>
          <w:szCs w:val="20"/>
          <w:lang w:val="es-ES"/>
        </w:rPr>
        <w:t>, no altera las condiciones de riesgo, pues esta no atiende las particulares necesidades de protección requeridas por la situaci</w:t>
      </w:r>
      <w:r w:rsidR="0059636C">
        <w:rPr>
          <w:rFonts w:ascii="Verdana" w:hAnsi="Verdana" w:cs="Verdana"/>
          <w:sz w:val="20"/>
          <w:szCs w:val="20"/>
          <w:lang w:val="es-ES"/>
        </w:rPr>
        <w:t>ón de riesgo del beneficiario</w:t>
      </w:r>
      <w:r w:rsidR="00DF4B1B">
        <w:rPr>
          <w:rFonts w:ascii="Verdana" w:hAnsi="Verdana" w:cs="Verdana"/>
          <w:sz w:val="20"/>
          <w:szCs w:val="20"/>
          <w:lang w:val="es-ES"/>
        </w:rPr>
        <w:t>”</w:t>
      </w:r>
      <w:r w:rsidR="0059636C">
        <w:rPr>
          <w:rFonts w:ascii="Verdana" w:hAnsi="Verdana" w:cs="Verdana"/>
          <w:sz w:val="20"/>
          <w:szCs w:val="20"/>
          <w:lang w:val="es-ES"/>
        </w:rPr>
        <w:t>.</w:t>
      </w:r>
      <w:r w:rsidR="00DB4B45" w:rsidRPr="00F54DEC">
        <w:rPr>
          <w:rFonts w:ascii="Verdana" w:hAnsi="Verdana" w:cs="Verdana"/>
          <w:sz w:val="20"/>
          <w:szCs w:val="20"/>
          <w:lang w:val="es-ES"/>
        </w:rPr>
        <w:t xml:space="preserve"> </w:t>
      </w:r>
      <w:r w:rsidR="0059636C">
        <w:rPr>
          <w:rFonts w:ascii="Verdana" w:hAnsi="Verdana" w:cs="Verdana"/>
          <w:sz w:val="20"/>
          <w:szCs w:val="20"/>
          <w:lang w:val="es-ES"/>
        </w:rPr>
        <w:t>A</w:t>
      </w:r>
      <w:r w:rsidR="00DB4B45" w:rsidRPr="00F54DEC">
        <w:rPr>
          <w:rFonts w:ascii="Verdana" w:hAnsi="Verdana" w:cs="Verdana"/>
          <w:sz w:val="20"/>
          <w:szCs w:val="20"/>
          <w:lang w:val="es-ES"/>
        </w:rPr>
        <w:t>demás según expresó el beneficiario “pese a la afirmación del Estado, […] no está recibiendo patrullajes en las inmediaciones de su trabajo</w:t>
      </w:r>
      <w:r w:rsidR="0059636C">
        <w:rPr>
          <w:rFonts w:ascii="Verdana" w:hAnsi="Verdana" w:cs="Verdana"/>
          <w:sz w:val="20"/>
          <w:szCs w:val="20"/>
          <w:lang w:val="es-ES"/>
        </w:rPr>
        <w:t>”</w:t>
      </w:r>
      <w:r w:rsidR="00DB4B45" w:rsidRPr="00F54DEC">
        <w:rPr>
          <w:rFonts w:ascii="Verdana" w:hAnsi="Verdana" w:cs="Verdana"/>
          <w:sz w:val="20"/>
          <w:szCs w:val="20"/>
          <w:lang w:val="es-ES"/>
        </w:rPr>
        <w:t xml:space="preserve">. </w:t>
      </w:r>
      <w:r w:rsidR="002370C7">
        <w:rPr>
          <w:rFonts w:ascii="Verdana" w:hAnsi="Verdana" w:cs="Verdana"/>
          <w:sz w:val="20"/>
          <w:szCs w:val="20"/>
          <w:lang w:val="es-ES"/>
        </w:rPr>
        <w:t xml:space="preserve">Con relación </w:t>
      </w:r>
      <w:r w:rsidR="008C393D">
        <w:rPr>
          <w:rFonts w:ascii="Verdana" w:hAnsi="Verdana" w:cs="Verdana"/>
          <w:sz w:val="20"/>
          <w:szCs w:val="20"/>
          <w:lang w:val="es-ES"/>
        </w:rPr>
        <w:t>a s</w:t>
      </w:r>
      <w:proofErr w:type="spellStart"/>
      <w:r w:rsidR="00BE6E25" w:rsidRPr="00F54DEC">
        <w:rPr>
          <w:rFonts w:ascii="Verdana" w:hAnsi="Verdana" w:cs="Verdana"/>
          <w:sz w:val="20"/>
          <w:szCs w:val="20"/>
          <w:lang w:val="es-MX"/>
        </w:rPr>
        <w:t>us</w:t>
      </w:r>
      <w:proofErr w:type="spellEnd"/>
      <w:r w:rsidR="002370C7">
        <w:rPr>
          <w:rFonts w:ascii="Verdana" w:hAnsi="Verdana" w:cs="Verdana"/>
          <w:sz w:val="20"/>
          <w:szCs w:val="20"/>
          <w:lang w:val="es-MX"/>
        </w:rPr>
        <w:t xml:space="preserve"> escritos de</w:t>
      </w:r>
      <w:r w:rsidR="00BE6E25" w:rsidRPr="00F54DEC">
        <w:rPr>
          <w:rFonts w:ascii="Verdana" w:hAnsi="Verdana" w:cs="Verdana"/>
          <w:sz w:val="20"/>
          <w:szCs w:val="20"/>
          <w:lang w:val="es-MX"/>
        </w:rPr>
        <w:t xml:space="preserve"> observaciones de</w:t>
      </w:r>
      <w:r w:rsidR="00012F09">
        <w:rPr>
          <w:rFonts w:ascii="Verdana" w:hAnsi="Verdana" w:cs="Verdana"/>
          <w:sz w:val="20"/>
          <w:szCs w:val="20"/>
          <w:lang w:val="es-MX"/>
        </w:rPr>
        <w:t xml:space="preserve"> </w:t>
      </w:r>
      <w:r w:rsidR="00BE6E25" w:rsidRPr="00F54DEC">
        <w:rPr>
          <w:rFonts w:ascii="Verdana" w:hAnsi="Verdana" w:cs="Verdana"/>
          <w:sz w:val="20"/>
          <w:szCs w:val="20"/>
          <w:lang w:val="es-MX"/>
        </w:rPr>
        <w:t>15 de marzo de 2018</w:t>
      </w:r>
      <w:r w:rsidR="00E86D8D">
        <w:rPr>
          <w:rFonts w:ascii="Verdana" w:hAnsi="Verdana" w:cs="Verdana"/>
          <w:sz w:val="20"/>
          <w:szCs w:val="20"/>
          <w:lang w:val="es-MX"/>
        </w:rPr>
        <w:t xml:space="preserve"> y 18 de julio de 2017</w:t>
      </w:r>
      <w:r w:rsidR="00BE6E25" w:rsidRPr="00F54DEC">
        <w:rPr>
          <w:rFonts w:ascii="Verdana" w:hAnsi="Verdana" w:cs="Verdana"/>
          <w:sz w:val="20"/>
          <w:szCs w:val="20"/>
          <w:lang w:val="es-MX"/>
        </w:rPr>
        <w:t>, l</w:t>
      </w:r>
      <w:r w:rsidR="00012F09">
        <w:rPr>
          <w:rFonts w:ascii="Verdana" w:hAnsi="Verdana" w:cs="Verdana"/>
          <w:sz w:val="20"/>
          <w:szCs w:val="20"/>
          <w:lang w:val="es-MX"/>
        </w:rPr>
        <w:t>a</w:t>
      </w:r>
      <w:r w:rsidR="00BE6E25" w:rsidRPr="00F54DEC">
        <w:rPr>
          <w:rFonts w:ascii="Verdana" w:hAnsi="Verdana" w:cs="Verdana"/>
          <w:sz w:val="20"/>
          <w:szCs w:val="20"/>
          <w:lang w:val="es-MX"/>
        </w:rPr>
        <w:t xml:space="preserve">s representantes </w:t>
      </w:r>
      <w:r w:rsidR="008C393D">
        <w:rPr>
          <w:rFonts w:ascii="Verdana" w:hAnsi="Verdana" w:cs="Verdana"/>
          <w:sz w:val="20"/>
          <w:szCs w:val="20"/>
          <w:lang w:val="es-MX"/>
        </w:rPr>
        <w:t xml:space="preserve">indicaron </w:t>
      </w:r>
      <w:r w:rsidR="0059636C">
        <w:rPr>
          <w:rFonts w:ascii="Verdana" w:hAnsi="Verdana" w:cs="Verdana"/>
          <w:sz w:val="20"/>
          <w:szCs w:val="20"/>
          <w:lang w:val="es-ES"/>
        </w:rPr>
        <w:t xml:space="preserve">que </w:t>
      </w:r>
      <w:r w:rsidR="00886A6E" w:rsidRPr="00F54DEC">
        <w:rPr>
          <w:rFonts w:ascii="Verdana" w:hAnsi="Verdana" w:cs="Verdana"/>
          <w:sz w:val="20"/>
          <w:szCs w:val="20"/>
          <w:lang w:val="es-ES"/>
        </w:rPr>
        <w:t>el señor Cabrera</w:t>
      </w:r>
      <w:r w:rsidR="00B43655">
        <w:rPr>
          <w:rFonts w:ascii="Verdana" w:hAnsi="Verdana" w:cs="Verdana"/>
          <w:sz w:val="20"/>
          <w:szCs w:val="20"/>
          <w:lang w:val="es-ES"/>
        </w:rPr>
        <w:t xml:space="preserve"> López</w:t>
      </w:r>
      <w:r w:rsidR="00DB4B45" w:rsidRPr="00F54DEC">
        <w:rPr>
          <w:rFonts w:ascii="Verdana" w:hAnsi="Verdana" w:cs="Verdana"/>
          <w:sz w:val="20"/>
          <w:szCs w:val="20"/>
          <w:lang w:val="es-ES"/>
        </w:rPr>
        <w:t xml:space="preserve"> </w:t>
      </w:r>
      <w:r w:rsidR="00622F4A" w:rsidRPr="00F54DEC">
        <w:rPr>
          <w:rFonts w:ascii="Verdana" w:hAnsi="Verdana" w:cs="Verdana"/>
          <w:sz w:val="20"/>
          <w:szCs w:val="20"/>
          <w:lang w:val="es-ES"/>
        </w:rPr>
        <w:t>no ha sido víctima de alg</w:t>
      </w:r>
      <w:r w:rsidR="00886A6E" w:rsidRPr="00F54DEC">
        <w:rPr>
          <w:rFonts w:ascii="Verdana" w:hAnsi="Verdana" w:cs="Verdana"/>
          <w:sz w:val="20"/>
          <w:szCs w:val="20"/>
          <w:lang w:val="es-ES"/>
        </w:rPr>
        <w:t>ún</w:t>
      </w:r>
      <w:r w:rsidR="00EF30D4" w:rsidRPr="00F54DEC">
        <w:rPr>
          <w:rFonts w:ascii="Verdana" w:hAnsi="Verdana" w:cs="Verdana"/>
          <w:sz w:val="20"/>
          <w:szCs w:val="20"/>
          <w:lang w:val="es-ES"/>
        </w:rPr>
        <w:t xml:space="preserve"> atentado, amenaza o agresión</w:t>
      </w:r>
      <w:r w:rsidR="008C393D">
        <w:rPr>
          <w:rFonts w:ascii="Verdana" w:hAnsi="Verdana" w:cs="Verdana"/>
          <w:sz w:val="20"/>
          <w:szCs w:val="20"/>
          <w:lang w:val="es-ES"/>
        </w:rPr>
        <w:t xml:space="preserve"> </w:t>
      </w:r>
      <w:r w:rsidR="008C393D" w:rsidRPr="00F54DEC">
        <w:rPr>
          <w:rFonts w:ascii="Verdana" w:hAnsi="Verdana" w:cs="Verdana"/>
          <w:sz w:val="20"/>
          <w:szCs w:val="20"/>
          <w:lang w:val="es-ES"/>
        </w:rPr>
        <w:t>recientemente</w:t>
      </w:r>
      <w:r w:rsidR="00EF30D4" w:rsidRPr="00F54DEC">
        <w:rPr>
          <w:rFonts w:ascii="Verdana" w:hAnsi="Verdana" w:cs="Verdana"/>
          <w:sz w:val="20"/>
          <w:szCs w:val="20"/>
          <w:lang w:val="es-ES"/>
        </w:rPr>
        <w:t>, s</w:t>
      </w:r>
      <w:r w:rsidR="008A6B67" w:rsidRPr="00F54DEC">
        <w:rPr>
          <w:rFonts w:ascii="Verdana" w:hAnsi="Verdana" w:cs="Verdana"/>
          <w:sz w:val="20"/>
          <w:szCs w:val="20"/>
          <w:lang w:val="es-ES"/>
        </w:rPr>
        <w:t xml:space="preserve">in embargo, requiere </w:t>
      </w:r>
      <w:r w:rsidR="008C393D">
        <w:rPr>
          <w:rFonts w:ascii="Verdana" w:hAnsi="Verdana" w:cs="Verdana"/>
          <w:sz w:val="20"/>
          <w:szCs w:val="20"/>
          <w:lang w:val="es-ES"/>
        </w:rPr>
        <w:t xml:space="preserve">todavía </w:t>
      </w:r>
      <w:r w:rsidR="008A6B67" w:rsidRPr="00F54DEC">
        <w:rPr>
          <w:rFonts w:ascii="Verdana" w:hAnsi="Verdana" w:cs="Verdana"/>
          <w:sz w:val="20"/>
          <w:szCs w:val="20"/>
          <w:lang w:val="es-ES"/>
        </w:rPr>
        <w:t>que se mantengan dichas condiciones hasta que concluyan las investigaciones</w:t>
      </w:r>
      <w:r w:rsidR="00886A6E" w:rsidRPr="00F54DEC">
        <w:rPr>
          <w:rFonts w:ascii="Verdana" w:hAnsi="Verdana" w:cs="Verdana"/>
          <w:sz w:val="20"/>
          <w:szCs w:val="20"/>
          <w:lang w:val="es-ES"/>
        </w:rPr>
        <w:t>. Por otro lado</w:t>
      </w:r>
      <w:r w:rsidR="00D41517" w:rsidRPr="00F54DEC">
        <w:rPr>
          <w:rFonts w:ascii="Verdana" w:hAnsi="Verdana" w:cs="Verdana"/>
          <w:sz w:val="20"/>
          <w:szCs w:val="20"/>
          <w:lang w:val="es-ES"/>
        </w:rPr>
        <w:t>,</w:t>
      </w:r>
      <w:r w:rsidR="00886A6E" w:rsidRPr="00F54DEC">
        <w:rPr>
          <w:rFonts w:ascii="Verdana" w:hAnsi="Verdana" w:cs="Verdana"/>
          <w:sz w:val="20"/>
          <w:szCs w:val="20"/>
          <w:lang w:val="es-ES"/>
        </w:rPr>
        <w:t xml:space="preserve"> solicitaron</w:t>
      </w:r>
      <w:r w:rsidR="00622F4A" w:rsidRPr="00F54DEC">
        <w:rPr>
          <w:rFonts w:ascii="Verdana" w:hAnsi="Verdana" w:cs="Verdana"/>
          <w:sz w:val="20"/>
          <w:szCs w:val="20"/>
          <w:lang w:val="es-ES"/>
        </w:rPr>
        <w:t xml:space="preserve"> información sobre el procedimiento para determinar la situación de riesgo en la</w:t>
      </w:r>
      <w:r w:rsidR="00D41517" w:rsidRPr="00F54DEC">
        <w:rPr>
          <w:rFonts w:ascii="Verdana" w:hAnsi="Verdana" w:cs="Verdana"/>
          <w:sz w:val="20"/>
          <w:szCs w:val="20"/>
          <w:lang w:val="es-ES"/>
        </w:rPr>
        <w:t xml:space="preserve"> que se ubicó al señor Cabrera</w:t>
      </w:r>
      <w:r w:rsidR="008C393D">
        <w:rPr>
          <w:rFonts w:ascii="Verdana" w:hAnsi="Verdana" w:cs="Verdana"/>
          <w:sz w:val="20"/>
          <w:szCs w:val="20"/>
          <w:lang w:val="es-ES"/>
        </w:rPr>
        <w:t xml:space="preserve"> López</w:t>
      </w:r>
      <w:r w:rsidR="00D41517" w:rsidRPr="00F54DEC">
        <w:rPr>
          <w:rFonts w:ascii="Verdana" w:hAnsi="Verdana" w:cs="Verdana"/>
          <w:sz w:val="20"/>
          <w:szCs w:val="20"/>
          <w:lang w:val="es-ES"/>
        </w:rPr>
        <w:t>.</w:t>
      </w:r>
      <w:r w:rsidR="00A22940" w:rsidRPr="00F54DEC">
        <w:rPr>
          <w:rFonts w:ascii="Verdana" w:hAnsi="Verdana" w:cs="Verdana"/>
          <w:sz w:val="20"/>
          <w:szCs w:val="20"/>
          <w:lang w:val="es-ES"/>
        </w:rPr>
        <w:t xml:space="preserve"> </w:t>
      </w:r>
      <w:r w:rsidR="0059636C">
        <w:rPr>
          <w:rFonts w:ascii="Verdana" w:hAnsi="Verdana" w:cs="Verdana"/>
          <w:sz w:val="20"/>
          <w:szCs w:val="20"/>
          <w:lang w:val="es-ES"/>
        </w:rPr>
        <w:t xml:space="preserve">Además, </w:t>
      </w:r>
      <w:r w:rsidR="003059BC" w:rsidRPr="00F54DEC">
        <w:rPr>
          <w:rFonts w:ascii="Verdana" w:hAnsi="Verdana" w:cs="Verdana"/>
          <w:sz w:val="20"/>
          <w:szCs w:val="20"/>
          <w:lang w:val="es-ES"/>
        </w:rPr>
        <w:t>se refirieron a que</w:t>
      </w:r>
      <w:r w:rsidR="00A22940" w:rsidRPr="00F54DEC">
        <w:rPr>
          <w:rFonts w:ascii="Verdana" w:hAnsi="Verdana" w:cs="Verdana"/>
          <w:sz w:val="20"/>
          <w:szCs w:val="20"/>
          <w:lang w:val="es-ES"/>
        </w:rPr>
        <w:t xml:space="preserve"> el</w:t>
      </w:r>
      <w:r w:rsidR="00FB43F5" w:rsidRPr="00F54DEC">
        <w:rPr>
          <w:rFonts w:ascii="Verdana" w:hAnsi="Verdana" w:cs="Verdana"/>
          <w:sz w:val="20"/>
          <w:szCs w:val="20"/>
          <w:lang w:val="es-ES"/>
        </w:rPr>
        <w:t xml:space="preserve"> Estado en su informe</w:t>
      </w:r>
      <w:r w:rsidR="003059BC" w:rsidRPr="00F54DEC">
        <w:rPr>
          <w:rFonts w:ascii="Verdana" w:hAnsi="Verdana" w:cs="Verdana"/>
          <w:sz w:val="20"/>
          <w:szCs w:val="20"/>
          <w:lang w:val="es-ES"/>
        </w:rPr>
        <w:t xml:space="preserve"> de 9 de febrero de 2018 no</w:t>
      </w:r>
      <w:r w:rsidR="00A22940" w:rsidRPr="00F54DEC">
        <w:rPr>
          <w:rFonts w:ascii="Verdana" w:hAnsi="Verdana" w:cs="Verdana"/>
          <w:sz w:val="20"/>
          <w:szCs w:val="20"/>
          <w:lang w:val="es-ES"/>
        </w:rPr>
        <w:t xml:space="preserve"> hizo referencia a la situación actual de Santiago Cabrera</w:t>
      </w:r>
      <w:r w:rsidR="00B43655">
        <w:rPr>
          <w:rFonts w:ascii="Verdana" w:hAnsi="Verdana" w:cs="Verdana"/>
          <w:sz w:val="20"/>
          <w:szCs w:val="20"/>
          <w:lang w:val="es-ES"/>
        </w:rPr>
        <w:t xml:space="preserve"> López</w:t>
      </w:r>
      <w:r w:rsidR="00A22940" w:rsidRPr="00F54DEC">
        <w:rPr>
          <w:rFonts w:ascii="Verdana" w:hAnsi="Verdana" w:cs="Verdana"/>
          <w:sz w:val="20"/>
          <w:szCs w:val="20"/>
          <w:lang w:val="es-ES"/>
        </w:rPr>
        <w:t xml:space="preserve">, omitiendo </w:t>
      </w:r>
      <w:r w:rsidR="003059BC" w:rsidRPr="00F54DEC">
        <w:rPr>
          <w:rFonts w:ascii="Verdana" w:hAnsi="Verdana" w:cs="Verdana"/>
          <w:sz w:val="20"/>
          <w:szCs w:val="20"/>
          <w:lang w:val="es-ES"/>
        </w:rPr>
        <w:t>la</w:t>
      </w:r>
      <w:r w:rsidR="00A22940" w:rsidRPr="00F54DEC">
        <w:rPr>
          <w:rFonts w:ascii="Verdana" w:hAnsi="Verdana" w:cs="Verdana"/>
          <w:sz w:val="20"/>
          <w:szCs w:val="20"/>
          <w:lang w:val="es-ES"/>
        </w:rPr>
        <w:t xml:space="preserve"> obligación de presentar informes cada cuatro meses sobre la situación de los beneficiarios de las medidas</w:t>
      </w:r>
      <w:r w:rsidR="00FB43F5" w:rsidRPr="00F54DEC">
        <w:rPr>
          <w:rFonts w:ascii="Verdana" w:hAnsi="Verdana" w:cs="Verdana"/>
          <w:sz w:val="20"/>
          <w:szCs w:val="20"/>
          <w:lang w:val="es-ES"/>
        </w:rPr>
        <w:t>.</w:t>
      </w:r>
      <w:r w:rsidR="00F94918">
        <w:rPr>
          <w:rFonts w:ascii="Verdana" w:hAnsi="Verdana" w:cs="Verdana"/>
          <w:sz w:val="20"/>
          <w:szCs w:val="20"/>
          <w:lang w:val="es-ES"/>
        </w:rPr>
        <w:t xml:space="preserve"> </w:t>
      </w:r>
      <w:r w:rsidR="00DB3FFA" w:rsidRPr="00F54DEC">
        <w:rPr>
          <w:rFonts w:ascii="Verdana" w:hAnsi="Verdana" w:cs="Verdana"/>
          <w:sz w:val="20"/>
          <w:szCs w:val="20"/>
          <w:lang w:val="es-ES"/>
        </w:rPr>
        <w:t>Por último, l</w:t>
      </w:r>
      <w:r w:rsidR="00033BD2">
        <w:rPr>
          <w:rFonts w:ascii="Verdana" w:hAnsi="Verdana" w:cs="Verdana"/>
          <w:sz w:val="20"/>
          <w:szCs w:val="20"/>
          <w:lang w:val="es-ES"/>
        </w:rPr>
        <w:t>a</w:t>
      </w:r>
      <w:r w:rsidR="00DB3FFA" w:rsidRPr="00F54DEC">
        <w:rPr>
          <w:rFonts w:ascii="Verdana" w:hAnsi="Verdana" w:cs="Verdana"/>
          <w:sz w:val="20"/>
          <w:szCs w:val="20"/>
          <w:lang w:val="es-ES"/>
        </w:rPr>
        <w:t xml:space="preserve">s representantes señalaron su preocupación de que el Estado haya dejado de implementar medidas de protección a favor </w:t>
      </w:r>
      <w:r w:rsidR="00F54DEC" w:rsidRPr="00F54DEC">
        <w:rPr>
          <w:rFonts w:ascii="Verdana" w:hAnsi="Verdana" w:cs="Verdana"/>
          <w:sz w:val="20"/>
          <w:szCs w:val="20"/>
          <w:lang w:val="es-ES"/>
        </w:rPr>
        <w:t xml:space="preserve">de los familiares </w:t>
      </w:r>
      <w:r w:rsidR="00DB3FFA" w:rsidRPr="00F54DEC">
        <w:rPr>
          <w:rFonts w:ascii="Verdana" w:hAnsi="Verdana" w:cs="Verdana"/>
          <w:sz w:val="20"/>
          <w:szCs w:val="20"/>
          <w:lang w:val="es-ES"/>
        </w:rPr>
        <w:t>del señor Cabrera</w:t>
      </w:r>
      <w:r w:rsidR="00B43655">
        <w:rPr>
          <w:rFonts w:ascii="Verdana" w:hAnsi="Verdana" w:cs="Verdana"/>
          <w:sz w:val="20"/>
          <w:szCs w:val="20"/>
          <w:lang w:val="es-ES"/>
        </w:rPr>
        <w:t xml:space="preserve"> López mediante</w:t>
      </w:r>
      <w:r w:rsidR="00DB3FFA" w:rsidRPr="00F54DEC">
        <w:rPr>
          <w:rFonts w:ascii="Verdana" w:hAnsi="Verdana" w:cs="Verdana"/>
          <w:sz w:val="20"/>
          <w:szCs w:val="20"/>
          <w:lang w:val="es-ES"/>
        </w:rPr>
        <w:t xml:space="preserve"> una decisión unilateral justificada </w:t>
      </w:r>
      <w:r w:rsidR="00B43655">
        <w:rPr>
          <w:rFonts w:ascii="Verdana" w:hAnsi="Verdana" w:cs="Verdana"/>
          <w:sz w:val="20"/>
          <w:szCs w:val="20"/>
          <w:lang w:val="es-ES"/>
        </w:rPr>
        <w:t xml:space="preserve">basada </w:t>
      </w:r>
      <w:r w:rsidR="000056B8">
        <w:rPr>
          <w:rFonts w:ascii="Verdana" w:hAnsi="Verdana" w:cs="Verdana"/>
          <w:sz w:val="20"/>
          <w:szCs w:val="20"/>
          <w:lang w:val="es-ES"/>
        </w:rPr>
        <w:t xml:space="preserve">en que </w:t>
      </w:r>
      <w:r w:rsidR="00DB3FFA" w:rsidRPr="00F54DEC">
        <w:rPr>
          <w:rFonts w:ascii="Verdana" w:hAnsi="Verdana" w:cs="Verdana"/>
          <w:sz w:val="20"/>
          <w:szCs w:val="20"/>
          <w:lang w:val="es-ES"/>
        </w:rPr>
        <w:t xml:space="preserve">ya no viven con el señor </w:t>
      </w:r>
      <w:r w:rsidR="00F54DEC" w:rsidRPr="00F54DEC">
        <w:rPr>
          <w:rFonts w:ascii="Verdana" w:hAnsi="Verdana" w:cs="Verdana"/>
          <w:sz w:val="20"/>
          <w:szCs w:val="20"/>
          <w:lang w:val="es-ES"/>
        </w:rPr>
        <w:t xml:space="preserve">Cabrera </w:t>
      </w:r>
      <w:r w:rsidR="00B43655">
        <w:rPr>
          <w:rFonts w:ascii="Verdana" w:hAnsi="Verdana" w:cs="Verdana"/>
          <w:sz w:val="20"/>
          <w:szCs w:val="20"/>
          <w:lang w:val="es-ES"/>
        </w:rPr>
        <w:t xml:space="preserve">López </w:t>
      </w:r>
      <w:r w:rsidR="00F54DEC" w:rsidRPr="00F54DEC">
        <w:rPr>
          <w:rFonts w:ascii="Verdana" w:hAnsi="Verdana" w:cs="Verdana"/>
          <w:sz w:val="20"/>
          <w:szCs w:val="20"/>
          <w:lang w:val="es-ES"/>
        </w:rPr>
        <w:t xml:space="preserve">y </w:t>
      </w:r>
      <w:r w:rsidR="000056B8">
        <w:rPr>
          <w:rFonts w:ascii="Verdana" w:hAnsi="Verdana" w:cs="Verdana"/>
          <w:sz w:val="20"/>
          <w:szCs w:val="20"/>
          <w:lang w:val="es-ES"/>
        </w:rPr>
        <w:t>manifestaron que</w:t>
      </w:r>
      <w:r w:rsidR="00F54DEC" w:rsidRPr="00F54DEC">
        <w:rPr>
          <w:rFonts w:ascii="Verdana" w:hAnsi="Verdana" w:cs="Verdana"/>
          <w:sz w:val="20"/>
          <w:szCs w:val="20"/>
          <w:lang w:val="es-ES"/>
        </w:rPr>
        <w:t xml:space="preserve"> el Estado nunca ha </w:t>
      </w:r>
      <w:r w:rsidR="000056B8" w:rsidRPr="00F54DEC">
        <w:rPr>
          <w:rFonts w:ascii="Verdana" w:hAnsi="Verdana" w:cs="Verdana"/>
          <w:sz w:val="20"/>
          <w:szCs w:val="20"/>
          <w:lang w:val="es-ES"/>
        </w:rPr>
        <w:t>solicitado</w:t>
      </w:r>
      <w:r w:rsidR="00F54DEC" w:rsidRPr="00F54DEC">
        <w:rPr>
          <w:rFonts w:ascii="Verdana" w:hAnsi="Verdana" w:cs="Verdana"/>
          <w:sz w:val="20"/>
          <w:szCs w:val="20"/>
          <w:lang w:val="es-ES"/>
        </w:rPr>
        <w:t xml:space="preserve"> </w:t>
      </w:r>
      <w:r w:rsidR="00F855C6">
        <w:rPr>
          <w:rFonts w:ascii="Verdana" w:hAnsi="Verdana" w:cs="Verdana"/>
          <w:sz w:val="20"/>
          <w:szCs w:val="20"/>
          <w:lang w:val="es-ES"/>
        </w:rPr>
        <w:t xml:space="preserve">las </w:t>
      </w:r>
      <w:r w:rsidR="00F54DEC" w:rsidRPr="00F54DEC">
        <w:rPr>
          <w:rFonts w:ascii="Verdana" w:hAnsi="Verdana" w:cs="Verdana"/>
          <w:sz w:val="20"/>
          <w:szCs w:val="20"/>
          <w:lang w:val="es-ES"/>
        </w:rPr>
        <w:t>direcciones</w:t>
      </w:r>
      <w:r w:rsidR="00F855C6">
        <w:rPr>
          <w:rFonts w:ascii="Verdana" w:hAnsi="Verdana" w:cs="Verdana"/>
          <w:sz w:val="20"/>
          <w:szCs w:val="20"/>
          <w:lang w:val="es-ES"/>
        </w:rPr>
        <w:t xml:space="preserve"> </w:t>
      </w:r>
      <w:r w:rsidR="00F54DEC" w:rsidRPr="00F54DEC">
        <w:rPr>
          <w:rFonts w:ascii="Verdana" w:hAnsi="Verdana" w:cs="Verdana"/>
          <w:sz w:val="20"/>
          <w:szCs w:val="20"/>
          <w:lang w:val="es-ES"/>
        </w:rPr>
        <w:t xml:space="preserve"> de </w:t>
      </w:r>
      <w:r w:rsidR="000056B8">
        <w:rPr>
          <w:rFonts w:ascii="Verdana" w:hAnsi="Verdana" w:cs="Verdana"/>
          <w:sz w:val="20"/>
          <w:szCs w:val="20"/>
          <w:lang w:val="es-ES"/>
        </w:rPr>
        <w:t xml:space="preserve">sus respectivas </w:t>
      </w:r>
      <w:r w:rsidR="00F54DEC" w:rsidRPr="00F54DEC">
        <w:rPr>
          <w:rFonts w:ascii="Verdana" w:hAnsi="Verdana" w:cs="Verdana"/>
          <w:sz w:val="20"/>
          <w:szCs w:val="20"/>
          <w:lang w:val="es-ES"/>
        </w:rPr>
        <w:t>residencia</w:t>
      </w:r>
      <w:r w:rsidR="000056B8">
        <w:rPr>
          <w:rFonts w:ascii="Verdana" w:hAnsi="Verdana" w:cs="Verdana"/>
          <w:sz w:val="20"/>
          <w:szCs w:val="20"/>
          <w:lang w:val="es-ES"/>
        </w:rPr>
        <w:t>s</w:t>
      </w:r>
      <w:r w:rsidR="00F54DEC" w:rsidRPr="00F54DEC">
        <w:rPr>
          <w:rFonts w:ascii="Verdana" w:hAnsi="Verdana" w:cs="Verdana"/>
          <w:sz w:val="20"/>
          <w:szCs w:val="20"/>
          <w:lang w:val="es-ES"/>
        </w:rPr>
        <w:t xml:space="preserve">. </w:t>
      </w:r>
      <w:r w:rsidR="000056B8">
        <w:rPr>
          <w:rFonts w:ascii="Verdana" w:hAnsi="Verdana" w:cs="Verdana"/>
          <w:sz w:val="20"/>
          <w:szCs w:val="20"/>
          <w:lang w:val="es-ES"/>
        </w:rPr>
        <w:t xml:space="preserve">Además, indicaron </w:t>
      </w:r>
      <w:r w:rsidR="00F54DEC" w:rsidRPr="00F54DEC">
        <w:rPr>
          <w:rFonts w:ascii="Verdana" w:hAnsi="Verdana" w:cs="Verdana"/>
          <w:sz w:val="20"/>
          <w:szCs w:val="20"/>
          <w:lang w:val="es-ES"/>
        </w:rPr>
        <w:t>que su situación de riesgo deriva de la relación del parentesco con el señor Cabrera</w:t>
      </w:r>
      <w:r w:rsidR="000056B8">
        <w:rPr>
          <w:rFonts w:ascii="Verdana" w:hAnsi="Verdana" w:cs="Verdana"/>
          <w:sz w:val="20"/>
          <w:szCs w:val="20"/>
          <w:lang w:val="es-ES"/>
        </w:rPr>
        <w:t xml:space="preserve"> López</w:t>
      </w:r>
      <w:r w:rsidR="00F54DEC" w:rsidRPr="00F54DEC">
        <w:rPr>
          <w:rFonts w:ascii="Verdana" w:hAnsi="Verdana" w:cs="Verdana"/>
          <w:sz w:val="20"/>
          <w:szCs w:val="20"/>
          <w:lang w:val="es-ES"/>
        </w:rPr>
        <w:t xml:space="preserve">, por ser “testigo clave” en el caso, considerando que las investigaciones relacionadas </w:t>
      </w:r>
      <w:r w:rsidR="00F855C6">
        <w:rPr>
          <w:rFonts w:ascii="Verdana" w:hAnsi="Verdana" w:cs="Verdana"/>
          <w:sz w:val="20"/>
          <w:szCs w:val="20"/>
          <w:lang w:val="es-ES"/>
        </w:rPr>
        <w:t>dentro</w:t>
      </w:r>
      <w:r w:rsidR="00F54DEC" w:rsidRPr="00F54DEC">
        <w:rPr>
          <w:rFonts w:ascii="Verdana" w:hAnsi="Verdana" w:cs="Verdana"/>
          <w:sz w:val="20"/>
          <w:szCs w:val="20"/>
          <w:lang w:val="es-ES"/>
        </w:rPr>
        <w:t xml:space="preserve"> </w:t>
      </w:r>
      <w:r w:rsidR="00F855C6">
        <w:rPr>
          <w:rFonts w:ascii="Verdana" w:hAnsi="Verdana" w:cs="Verdana"/>
          <w:sz w:val="20"/>
          <w:szCs w:val="20"/>
          <w:lang w:val="es-ES"/>
        </w:rPr>
        <w:t>d</w:t>
      </w:r>
      <w:r w:rsidR="00F54DEC" w:rsidRPr="00F54DEC">
        <w:rPr>
          <w:rFonts w:ascii="Verdana" w:hAnsi="Verdana" w:cs="Verdana"/>
          <w:sz w:val="20"/>
          <w:szCs w:val="20"/>
          <w:lang w:val="es-ES"/>
        </w:rPr>
        <w:t xml:space="preserve">el caso de Efraín Bámaca se encuentran abiertas. Por lo que solicitaron mantener la vigencia de las medidas </w:t>
      </w:r>
      <w:r w:rsidR="00F855C6">
        <w:rPr>
          <w:rFonts w:ascii="Verdana" w:hAnsi="Verdana" w:cs="Verdana"/>
          <w:sz w:val="20"/>
          <w:szCs w:val="20"/>
          <w:lang w:val="es-ES"/>
        </w:rPr>
        <w:t xml:space="preserve">provisionales </w:t>
      </w:r>
      <w:r w:rsidR="00F54DEC" w:rsidRPr="00F54DEC">
        <w:rPr>
          <w:rFonts w:ascii="Verdana" w:hAnsi="Verdana" w:cs="Verdana"/>
          <w:sz w:val="20"/>
          <w:szCs w:val="20"/>
          <w:lang w:val="es-ES"/>
        </w:rPr>
        <w:t xml:space="preserve">para todos sus familiares </w:t>
      </w:r>
      <w:r w:rsidR="00F54DEC">
        <w:rPr>
          <w:rFonts w:ascii="Verdana" w:hAnsi="Verdana" w:cs="Verdana"/>
          <w:sz w:val="20"/>
          <w:szCs w:val="20"/>
          <w:lang w:val="es-ES"/>
        </w:rPr>
        <w:t>e implementar</w:t>
      </w:r>
      <w:r w:rsidR="00F855C6">
        <w:rPr>
          <w:rFonts w:ascii="Verdana" w:hAnsi="Verdana" w:cs="Verdana"/>
          <w:sz w:val="20"/>
          <w:szCs w:val="20"/>
          <w:lang w:val="es-ES"/>
        </w:rPr>
        <w:t>las</w:t>
      </w:r>
      <w:r w:rsidR="00F54DEC">
        <w:rPr>
          <w:rFonts w:ascii="Verdana" w:hAnsi="Verdana" w:cs="Verdana"/>
          <w:sz w:val="20"/>
          <w:szCs w:val="20"/>
          <w:lang w:val="es-ES"/>
        </w:rPr>
        <w:t xml:space="preserve"> de inmediato para garantizar </w:t>
      </w:r>
      <w:r w:rsidR="00F855C6">
        <w:rPr>
          <w:rFonts w:ascii="Verdana" w:hAnsi="Verdana" w:cs="Verdana"/>
          <w:sz w:val="20"/>
          <w:szCs w:val="20"/>
          <w:lang w:val="es-ES"/>
        </w:rPr>
        <w:t>la</w:t>
      </w:r>
      <w:r w:rsidR="00F54DEC">
        <w:rPr>
          <w:rFonts w:ascii="Verdana" w:hAnsi="Verdana" w:cs="Verdana"/>
          <w:sz w:val="20"/>
          <w:szCs w:val="20"/>
          <w:lang w:val="es-ES"/>
        </w:rPr>
        <w:t xml:space="preserve"> vida e integridad personal del señor Santiago Cabrera</w:t>
      </w:r>
      <w:r w:rsidR="000056B8">
        <w:rPr>
          <w:rFonts w:ascii="Verdana" w:hAnsi="Verdana" w:cs="Verdana"/>
          <w:sz w:val="20"/>
          <w:szCs w:val="20"/>
          <w:lang w:val="es-ES"/>
        </w:rPr>
        <w:t xml:space="preserve"> López</w:t>
      </w:r>
      <w:r w:rsidR="00F54DEC">
        <w:rPr>
          <w:rFonts w:ascii="Verdana" w:hAnsi="Verdana" w:cs="Verdana"/>
          <w:sz w:val="20"/>
          <w:szCs w:val="20"/>
          <w:lang w:val="es-ES"/>
        </w:rPr>
        <w:t xml:space="preserve"> y su familia.</w:t>
      </w:r>
    </w:p>
    <w:p w:rsidR="00C21EB7" w:rsidRDefault="00A22940" w:rsidP="00374477">
      <w:pPr>
        <w:pStyle w:val="ListParagraph"/>
        <w:numPr>
          <w:ilvl w:val="0"/>
          <w:numId w:val="6"/>
        </w:numPr>
        <w:spacing w:after="0" w:line="240" w:lineRule="auto"/>
        <w:ind w:left="0" w:firstLine="0"/>
        <w:jc w:val="both"/>
        <w:rPr>
          <w:rFonts w:ascii="Verdana" w:hAnsi="Verdana" w:cs="Verdana"/>
          <w:sz w:val="20"/>
          <w:szCs w:val="20"/>
          <w:lang w:val="es-ES"/>
        </w:rPr>
      </w:pPr>
      <w:r w:rsidRPr="0061458D">
        <w:rPr>
          <w:rFonts w:ascii="Verdana" w:hAnsi="Verdana" w:cs="Verdana"/>
          <w:sz w:val="20"/>
          <w:szCs w:val="20"/>
          <w:lang w:val="es-ES"/>
        </w:rPr>
        <w:lastRenderedPageBreak/>
        <w:t xml:space="preserve">La </w:t>
      </w:r>
      <w:r w:rsidRPr="0061458D">
        <w:rPr>
          <w:rFonts w:ascii="Verdana" w:hAnsi="Verdana" w:cs="Verdana"/>
          <w:b/>
          <w:i/>
          <w:sz w:val="20"/>
          <w:szCs w:val="20"/>
          <w:lang w:val="es-ES"/>
        </w:rPr>
        <w:t>Comisión</w:t>
      </w:r>
      <w:r w:rsidR="00FD27E5" w:rsidRPr="0061458D">
        <w:rPr>
          <w:rFonts w:ascii="Verdana" w:hAnsi="Verdana" w:cs="Verdana"/>
          <w:sz w:val="20"/>
          <w:szCs w:val="20"/>
          <w:lang w:val="es-ES"/>
        </w:rPr>
        <w:t xml:space="preserve"> en su </w:t>
      </w:r>
      <w:r w:rsidR="0059636C" w:rsidRPr="00033BD2">
        <w:rPr>
          <w:rFonts w:ascii="Verdana" w:hAnsi="Verdana" w:cs="Verdana"/>
          <w:sz w:val="20"/>
          <w:szCs w:val="20"/>
          <w:lang w:val="es-ES"/>
        </w:rPr>
        <w:t xml:space="preserve">última </w:t>
      </w:r>
      <w:r w:rsidR="00FD27E5" w:rsidRPr="00033BD2">
        <w:rPr>
          <w:rFonts w:ascii="Verdana" w:hAnsi="Verdana" w:cs="Verdana"/>
          <w:sz w:val="20"/>
          <w:szCs w:val="20"/>
          <w:lang w:val="es-ES"/>
        </w:rPr>
        <w:t xml:space="preserve">comunicación de </w:t>
      </w:r>
      <w:r w:rsidR="00717F5B" w:rsidRPr="00033BD2">
        <w:rPr>
          <w:rFonts w:ascii="Verdana" w:hAnsi="Verdana" w:cs="Verdana"/>
          <w:sz w:val="20"/>
          <w:szCs w:val="20"/>
          <w:lang w:val="es-ES"/>
        </w:rPr>
        <w:t>3</w:t>
      </w:r>
      <w:r w:rsidR="00FD27E5" w:rsidRPr="00274E7A">
        <w:rPr>
          <w:rFonts w:ascii="Verdana" w:hAnsi="Verdana" w:cs="Verdana"/>
          <w:sz w:val="20"/>
          <w:szCs w:val="20"/>
          <w:lang w:val="es-ES"/>
        </w:rPr>
        <w:t xml:space="preserve"> de septiembre de 2017</w:t>
      </w:r>
      <w:r w:rsidR="00274E7A" w:rsidRPr="00723EBF">
        <w:rPr>
          <w:rFonts w:ascii="Verdana" w:hAnsi="Verdana" w:cs="Verdana"/>
          <w:sz w:val="20"/>
          <w:szCs w:val="20"/>
          <w:lang w:val="es-ES"/>
        </w:rPr>
        <w:t xml:space="preserve"> solicitó a la Corte que atienda a los distintos planteamientos realizados por las representantes en su escrito respecto de la implementación de las medidas en general</w:t>
      </w:r>
      <w:r w:rsidR="00FD27E5" w:rsidRPr="00033BD2">
        <w:rPr>
          <w:rFonts w:ascii="Verdana" w:hAnsi="Verdana" w:cs="Verdana"/>
          <w:sz w:val="20"/>
          <w:szCs w:val="20"/>
          <w:lang w:val="es-ES"/>
        </w:rPr>
        <w:t>.</w:t>
      </w:r>
      <w:r w:rsidR="008E5A4D" w:rsidRPr="00274E7A">
        <w:rPr>
          <w:rFonts w:ascii="Verdana" w:hAnsi="Verdana" w:cs="Verdana"/>
          <w:sz w:val="20"/>
          <w:szCs w:val="20"/>
          <w:lang w:val="es-ES"/>
        </w:rPr>
        <w:t xml:space="preserve"> </w:t>
      </w:r>
    </w:p>
    <w:p w:rsidR="00374477" w:rsidRPr="00374477" w:rsidRDefault="00374477" w:rsidP="00374477">
      <w:pPr>
        <w:pStyle w:val="ListParagraph"/>
        <w:spacing w:after="0" w:line="240" w:lineRule="auto"/>
        <w:ind w:left="0"/>
        <w:jc w:val="both"/>
        <w:rPr>
          <w:rFonts w:ascii="Verdana" w:hAnsi="Verdana" w:cs="Verdana"/>
          <w:sz w:val="20"/>
          <w:szCs w:val="20"/>
          <w:lang w:val="es-ES"/>
        </w:rPr>
      </w:pPr>
    </w:p>
    <w:p w:rsidR="004A64F1" w:rsidRPr="00DF7BEC" w:rsidRDefault="001123D4" w:rsidP="00DF7BEC">
      <w:pPr>
        <w:tabs>
          <w:tab w:val="left" w:pos="1170"/>
        </w:tabs>
        <w:autoSpaceDE w:val="0"/>
        <w:autoSpaceDN w:val="0"/>
        <w:adjustRightInd w:val="0"/>
        <w:spacing w:after="0" w:line="240" w:lineRule="auto"/>
        <w:ind w:left="1260"/>
        <w:jc w:val="both"/>
        <w:rPr>
          <w:rFonts w:ascii="Verdana" w:hAnsi="Verdana" w:cs="Verdana"/>
          <w:b/>
          <w:i/>
          <w:sz w:val="20"/>
          <w:szCs w:val="20"/>
          <w:lang w:val="es-ES"/>
        </w:rPr>
      </w:pPr>
      <w:r>
        <w:rPr>
          <w:rFonts w:ascii="Verdana" w:hAnsi="Verdana" w:cs="Verdana"/>
          <w:b/>
          <w:i/>
          <w:sz w:val="20"/>
          <w:szCs w:val="20"/>
          <w:lang w:val="es-ES"/>
        </w:rPr>
        <w:t>A</w:t>
      </w:r>
      <w:r w:rsidR="00DF7BEC">
        <w:rPr>
          <w:rFonts w:ascii="Verdana" w:hAnsi="Verdana" w:cs="Verdana"/>
          <w:b/>
          <w:i/>
          <w:sz w:val="20"/>
          <w:szCs w:val="20"/>
          <w:lang w:val="es-ES"/>
        </w:rPr>
        <w:t xml:space="preserve">.2. </w:t>
      </w:r>
      <w:r w:rsidR="00C21EB7" w:rsidRPr="00DF7BEC">
        <w:rPr>
          <w:rFonts w:ascii="Verdana" w:hAnsi="Verdana" w:cs="Verdana"/>
          <w:b/>
          <w:i/>
          <w:sz w:val="20"/>
          <w:szCs w:val="20"/>
          <w:lang w:val="es-ES"/>
        </w:rPr>
        <w:t xml:space="preserve">Aron Álvarez </w:t>
      </w:r>
      <w:r w:rsidR="00A90692">
        <w:rPr>
          <w:rFonts w:ascii="Verdana" w:hAnsi="Verdana" w:cs="Verdana"/>
          <w:b/>
          <w:i/>
          <w:sz w:val="20"/>
          <w:szCs w:val="20"/>
          <w:lang w:val="es-ES"/>
        </w:rPr>
        <w:t xml:space="preserve">Mendoza </w:t>
      </w:r>
      <w:r w:rsidR="00C21EB7" w:rsidRPr="00DF7BEC">
        <w:rPr>
          <w:rFonts w:ascii="Verdana" w:hAnsi="Verdana" w:cs="Verdana"/>
          <w:b/>
          <w:i/>
          <w:sz w:val="20"/>
          <w:szCs w:val="20"/>
          <w:lang w:val="es-ES"/>
        </w:rPr>
        <w:t>y su</w:t>
      </w:r>
      <w:r w:rsidR="004E1E5C" w:rsidRPr="00DF7BEC">
        <w:rPr>
          <w:rFonts w:ascii="Verdana" w:hAnsi="Verdana" w:cs="Verdana"/>
          <w:b/>
          <w:i/>
          <w:sz w:val="20"/>
          <w:szCs w:val="20"/>
          <w:lang w:val="es-ES"/>
        </w:rPr>
        <w:t>s</w:t>
      </w:r>
      <w:r w:rsidR="00C21EB7" w:rsidRPr="00DF7BEC">
        <w:rPr>
          <w:rFonts w:ascii="Verdana" w:hAnsi="Verdana" w:cs="Verdana"/>
          <w:b/>
          <w:i/>
          <w:sz w:val="20"/>
          <w:szCs w:val="20"/>
          <w:lang w:val="es-ES"/>
        </w:rPr>
        <w:t xml:space="preserve"> familia</w:t>
      </w:r>
      <w:r w:rsidR="004E1E5C" w:rsidRPr="00DF7BEC">
        <w:rPr>
          <w:rFonts w:ascii="Verdana" w:hAnsi="Verdana" w:cs="Verdana"/>
          <w:b/>
          <w:i/>
          <w:sz w:val="20"/>
          <w:szCs w:val="20"/>
          <w:lang w:val="es-ES"/>
        </w:rPr>
        <w:t>res</w:t>
      </w:r>
    </w:p>
    <w:p w:rsidR="00C21EB7" w:rsidRPr="0043015F" w:rsidRDefault="00C21EB7" w:rsidP="004A64F1">
      <w:pPr>
        <w:spacing w:after="0" w:line="240" w:lineRule="auto"/>
        <w:ind w:right="540"/>
        <w:jc w:val="both"/>
        <w:rPr>
          <w:rFonts w:ascii="Verdana" w:hAnsi="Verdana" w:cstheme="minorHAnsi"/>
          <w:i/>
          <w:sz w:val="20"/>
          <w:szCs w:val="20"/>
          <w:lang w:val="es-ES"/>
        </w:rPr>
      </w:pPr>
    </w:p>
    <w:p w:rsidR="0089728A" w:rsidRDefault="00F855C6" w:rsidP="00DF7BEC">
      <w:pPr>
        <w:pStyle w:val="ListParagraph"/>
        <w:numPr>
          <w:ilvl w:val="0"/>
          <w:numId w:val="6"/>
        </w:numPr>
        <w:autoSpaceDE w:val="0"/>
        <w:autoSpaceDN w:val="0"/>
        <w:adjustRightInd w:val="0"/>
        <w:spacing w:after="0" w:line="240" w:lineRule="auto"/>
        <w:ind w:left="0" w:firstLine="0"/>
        <w:jc w:val="both"/>
        <w:rPr>
          <w:rFonts w:ascii="Verdana" w:hAnsi="Verdana" w:cs="Verdana"/>
          <w:sz w:val="20"/>
          <w:szCs w:val="20"/>
          <w:lang w:val="es-ES"/>
        </w:rPr>
      </w:pPr>
      <w:r>
        <w:rPr>
          <w:rFonts w:ascii="Verdana" w:hAnsi="Verdana" w:cs="Verdana"/>
          <w:sz w:val="20"/>
          <w:szCs w:val="20"/>
          <w:lang w:val="es-ES"/>
        </w:rPr>
        <w:t xml:space="preserve">El </w:t>
      </w:r>
      <w:r w:rsidRPr="00354B4C">
        <w:rPr>
          <w:rFonts w:ascii="Verdana" w:hAnsi="Verdana" w:cs="Verdana"/>
          <w:b/>
          <w:i/>
          <w:sz w:val="20"/>
          <w:szCs w:val="20"/>
          <w:lang w:val="es-ES"/>
        </w:rPr>
        <w:t>Estado</w:t>
      </w:r>
      <w:r>
        <w:rPr>
          <w:rFonts w:ascii="Verdana" w:hAnsi="Verdana" w:cs="Verdana"/>
          <w:b/>
          <w:i/>
          <w:sz w:val="20"/>
          <w:szCs w:val="20"/>
          <w:lang w:val="es-ES"/>
        </w:rPr>
        <w:t xml:space="preserve"> </w:t>
      </w:r>
      <w:r w:rsidRPr="00723EBF">
        <w:rPr>
          <w:rFonts w:ascii="Verdana" w:hAnsi="Verdana" w:cs="Verdana"/>
          <w:sz w:val="20"/>
          <w:szCs w:val="20"/>
          <w:lang w:val="es-ES"/>
        </w:rPr>
        <w:t>e</w:t>
      </w:r>
      <w:r w:rsidR="0089728A">
        <w:rPr>
          <w:rFonts w:ascii="Verdana" w:hAnsi="Verdana" w:cs="Verdana"/>
          <w:sz w:val="20"/>
          <w:szCs w:val="20"/>
          <w:lang w:val="es-ES"/>
        </w:rPr>
        <w:t xml:space="preserve">n su informe </w:t>
      </w:r>
      <w:r>
        <w:rPr>
          <w:rFonts w:ascii="Verdana" w:hAnsi="Verdana" w:cs="Verdana"/>
          <w:sz w:val="20"/>
          <w:szCs w:val="20"/>
          <w:lang w:val="es-ES"/>
        </w:rPr>
        <w:t xml:space="preserve">de </w:t>
      </w:r>
      <w:r w:rsidR="0089728A">
        <w:rPr>
          <w:rFonts w:ascii="Verdana" w:hAnsi="Verdana" w:cs="Verdana"/>
          <w:sz w:val="20"/>
          <w:szCs w:val="20"/>
          <w:lang w:val="es-ES"/>
        </w:rPr>
        <w:t>5 de octubre de 2018</w:t>
      </w:r>
      <w:r w:rsidR="00D41517">
        <w:rPr>
          <w:rFonts w:ascii="Verdana" w:hAnsi="Verdana" w:cs="Verdana"/>
          <w:sz w:val="20"/>
          <w:szCs w:val="20"/>
          <w:lang w:val="es-ES"/>
        </w:rPr>
        <w:t xml:space="preserve"> </w:t>
      </w:r>
      <w:r>
        <w:rPr>
          <w:rFonts w:ascii="Verdana" w:hAnsi="Verdana" w:cs="Verdana"/>
          <w:sz w:val="20"/>
          <w:szCs w:val="20"/>
          <w:lang w:val="es-ES"/>
        </w:rPr>
        <w:t>indicó</w:t>
      </w:r>
      <w:r w:rsidR="00FB43F5">
        <w:rPr>
          <w:rFonts w:ascii="Verdana" w:hAnsi="Verdana" w:cs="Verdana"/>
          <w:sz w:val="20"/>
          <w:szCs w:val="20"/>
          <w:lang w:val="es-ES"/>
        </w:rPr>
        <w:t xml:space="preserve"> que </w:t>
      </w:r>
      <w:r w:rsidR="0089728A">
        <w:rPr>
          <w:rFonts w:ascii="Verdana" w:hAnsi="Verdana" w:cs="Verdana"/>
          <w:sz w:val="20"/>
          <w:szCs w:val="20"/>
          <w:lang w:val="es-ES"/>
        </w:rPr>
        <w:t>el Ministerio de Gobernación</w:t>
      </w:r>
      <w:r w:rsidR="00DB5D21">
        <w:rPr>
          <w:rFonts w:ascii="Verdana" w:hAnsi="Verdana" w:cs="Verdana"/>
          <w:sz w:val="20"/>
          <w:szCs w:val="20"/>
          <w:lang w:val="es-ES"/>
        </w:rPr>
        <w:t xml:space="preserve"> informó</w:t>
      </w:r>
      <w:r w:rsidR="0089728A">
        <w:rPr>
          <w:rFonts w:ascii="Verdana" w:hAnsi="Verdana" w:cs="Verdana"/>
          <w:sz w:val="20"/>
          <w:szCs w:val="20"/>
          <w:lang w:val="es-ES"/>
        </w:rPr>
        <w:t xml:space="preserve"> </w:t>
      </w:r>
      <w:r w:rsidR="00D255F2">
        <w:rPr>
          <w:rFonts w:ascii="Verdana" w:hAnsi="Verdana" w:cs="Verdana"/>
          <w:sz w:val="20"/>
          <w:szCs w:val="20"/>
          <w:lang w:val="es-ES"/>
        </w:rPr>
        <w:t>“</w:t>
      </w:r>
      <w:r w:rsidR="00DB5D21">
        <w:rPr>
          <w:rFonts w:ascii="Verdana" w:hAnsi="Verdana" w:cs="Verdana"/>
          <w:sz w:val="20"/>
          <w:szCs w:val="20"/>
          <w:lang w:val="es-ES"/>
        </w:rPr>
        <w:t>que</w:t>
      </w:r>
      <w:r w:rsidR="0089728A">
        <w:rPr>
          <w:rFonts w:ascii="Verdana" w:hAnsi="Verdana" w:cs="Verdana"/>
          <w:sz w:val="20"/>
          <w:szCs w:val="20"/>
          <w:lang w:val="es-ES"/>
        </w:rPr>
        <w:t xml:space="preserve"> el señor Arón Álvarez </w:t>
      </w:r>
      <w:r w:rsidR="00A90692">
        <w:rPr>
          <w:rFonts w:ascii="Verdana" w:hAnsi="Verdana" w:cs="Verdana"/>
          <w:sz w:val="20"/>
          <w:szCs w:val="20"/>
          <w:lang w:val="es-ES"/>
        </w:rPr>
        <w:t>Mendoza</w:t>
      </w:r>
      <w:r w:rsidR="00092501">
        <w:rPr>
          <w:rFonts w:ascii="Verdana" w:hAnsi="Verdana" w:cs="Verdana"/>
          <w:sz w:val="20"/>
          <w:szCs w:val="20"/>
          <w:lang w:val="es-ES"/>
        </w:rPr>
        <w:t xml:space="preserve"> (en adelante también “señor </w:t>
      </w:r>
      <w:r w:rsidR="001F3CF8">
        <w:rPr>
          <w:rFonts w:ascii="Verdana" w:hAnsi="Verdana" w:cs="Verdana"/>
          <w:sz w:val="20"/>
          <w:szCs w:val="20"/>
          <w:lang w:val="es-ES"/>
        </w:rPr>
        <w:t>Álvarez Mendoza”)</w:t>
      </w:r>
      <w:r w:rsidR="00A90692">
        <w:rPr>
          <w:rFonts w:ascii="Verdana" w:hAnsi="Verdana" w:cs="Verdana"/>
          <w:sz w:val="20"/>
          <w:szCs w:val="20"/>
          <w:lang w:val="es-ES"/>
        </w:rPr>
        <w:t xml:space="preserve"> y su familia, gozan de continuidad en la medidas perimetrales y que la Divisi</w:t>
      </w:r>
      <w:r w:rsidR="00EF30D4">
        <w:rPr>
          <w:rFonts w:ascii="Verdana" w:hAnsi="Verdana" w:cs="Verdana"/>
          <w:sz w:val="20"/>
          <w:szCs w:val="20"/>
          <w:lang w:val="es-ES"/>
        </w:rPr>
        <w:t>ón de P</w:t>
      </w:r>
      <w:r w:rsidR="00A90692">
        <w:rPr>
          <w:rFonts w:ascii="Verdana" w:hAnsi="Verdana" w:cs="Verdana"/>
          <w:sz w:val="20"/>
          <w:szCs w:val="20"/>
          <w:lang w:val="es-ES"/>
        </w:rPr>
        <w:t>rotecci</w:t>
      </w:r>
      <w:r w:rsidR="00EF30D4">
        <w:rPr>
          <w:rFonts w:ascii="Verdana" w:hAnsi="Verdana" w:cs="Verdana"/>
          <w:sz w:val="20"/>
          <w:szCs w:val="20"/>
          <w:lang w:val="es-ES"/>
        </w:rPr>
        <w:t>ón en P</w:t>
      </w:r>
      <w:r w:rsidR="00A90692">
        <w:rPr>
          <w:rFonts w:ascii="Verdana" w:hAnsi="Verdana" w:cs="Verdana"/>
          <w:sz w:val="20"/>
          <w:szCs w:val="20"/>
          <w:lang w:val="es-ES"/>
        </w:rPr>
        <w:t>ersonas y Seguridad -DPPS-, de la Policía Nacional les proporcionó un número telefónico en caso de que requieran algún apoyo</w:t>
      </w:r>
      <w:r w:rsidR="00D255F2">
        <w:rPr>
          <w:rFonts w:ascii="Verdana" w:hAnsi="Verdana" w:cs="Verdana"/>
          <w:sz w:val="20"/>
          <w:szCs w:val="20"/>
          <w:lang w:val="es-ES"/>
        </w:rPr>
        <w:t>” y que ”</w:t>
      </w:r>
      <w:r w:rsidR="00A90692">
        <w:rPr>
          <w:rFonts w:ascii="Verdana" w:hAnsi="Verdana" w:cs="Verdana"/>
          <w:sz w:val="20"/>
          <w:szCs w:val="20"/>
          <w:lang w:val="es-ES"/>
        </w:rPr>
        <w:t>se realizó un análisis de riesgo el 29 de enero de 2018, posteriormente el 2 de febrero de 2018, la Policía Nacional Civil, por medio de la División de Protección de Personas y Seguridad –DPPS-</w:t>
      </w:r>
      <w:r w:rsidR="009558A5">
        <w:rPr>
          <w:rFonts w:ascii="Verdana" w:hAnsi="Verdana" w:cs="Verdana"/>
          <w:sz w:val="20"/>
          <w:szCs w:val="20"/>
          <w:lang w:val="es-ES"/>
        </w:rPr>
        <w:t xml:space="preserve"> informó que el señor Álvarez Mendoza presenta un nivel de riesgo medio, pues desde el año 2016, no ha sido víctima de ningún tipo de amenaza o riesgo para su vida e integridad física, por lo que recomendó las medidas de seguridad perimetral de su residencia</w:t>
      </w:r>
      <w:r w:rsidR="00D255F2">
        <w:rPr>
          <w:rFonts w:ascii="Verdana" w:hAnsi="Verdana" w:cs="Verdana"/>
          <w:sz w:val="20"/>
          <w:szCs w:val="20"/>
          <w:lang w:val="es-ES"/>
        </w:rPr>
        <w:t>”</w:t>
      </w:r>
      <w:r w:rsidR="009558A5">
        <w:rPr>
          <w:rStyle w:val="FootnoteReference"/>
          <w:rFonts w:ascii="Verdana" w:hAnsi="Verdana" w:cs="Verdana"/>
          <w:sz w:val="20"/>
          <w:szCs w:val="20"/>
          <w:lang w:val="es-ES"/>
        </w:rPr>
        <w:footnoteReference w:id="7"/>
      </w:r>
      <w:r w:rsidR="009558A5">
        <w:rPr>
          <w:rFonts w:ascii="Verdana" w:hAnsi="Verdana" w:cs="Verdana"/>
          <w:sz w:val="20"/>
          <w:szCs w:val="20"/>
          <w:lang w:val="es-ES"/>
        </w:rPr>
        <w:t xml:space="preserve">. </w:t>
      </w:r>
    </w:p>
    <w:p w:rsidR="00C619C1" w:rsidRPr="00C619C1" w:rsidRDefault="00C619C1" w:rsidP="00C619C1">
      <w:pPr>
        <w:pStyle w:val="ListParagraph"/>
        <w:autoSpaceDE w:val="0"/>
        <w:autoSpaceDN w:val="0"/>
        <w:adjustRightInd w:val="0"/>
        <w:spacing w:after="0" w:line="240" w:lineRule="auto"/>
        <w:ind w:left="0"/>
        <w:jc w:val="both"/>
        <w:rPr>
          <w:rFonts w:ascii="Verdana" w:hAnsi="Verdana" w:cs="Verdana"/>
          <w:sz w:val="20"/>
          <w:szCs w:val="20"/>
          <w:lang w:val="es-ES"/>
        </w:rPr>
      </w:pPr>
    </w:p>
    <w:p w:rsidR="003059BC" w:rsidRPr="00CE1385" w:rsidRDefault="00092501" w:rsidP="006A0F01">
      <w:pPr>
        <w:pStyle w:val="ListParagraph"/>
        <w:numPr>
          <w:ilvl w:val="0"/>
          <w:numId w:val="6"/>
        </w:numPr>
        <w:autoSpaceDE w:val="0"/>
        <w:autoSpaceDN w:val="0"/>
        <w:adjustRightInd w:val="0"/>
        <w:spacing w:after="0" w:line="240" w:lineRule="auto"/>
        <w:ind w:left="0" w:firstLine="0"/>
        <w:jc w:val="both"/>
        <w:rPr>
          <w:rFonts w:ascii="Verdana" w:hAnsi="Verdana" w:cstheme="minorHAnsi"/>
          <w:sz w:val="20"/>
          <w:szCs w:val="20"/>
          <w:lang w:val="es-ES"/>
        </w:rPr>
      </w:pPr>
      <w:r>
        <w:rPr>
          <w:rFonts w:ascii="Verdana" w:hAnsi="Verdana" w:cs="Verdana"/>
          <w:sz w:val="20"/>
          <w:szCs w:val="20"/>
          <w:lang w:val="es-ES"/>
        </w:rPr>
        <w:t>La</w:t>
      </w:r>
      <w:r w:rsidR="00354B4C" w:rsidRPr="007E241E">
        <w:rPr>
          <w:rFonts w:ascii="Verdana" w:hAnsi="Verdana" w:cs="Verdana"/>
          <w:sz w:val="20"/>
          <w:szCs w:val="20"/>
          <w:lang w:val="es-ES"/>
        </w:rPr>
        <w:t xml:space="preserve">s </w:t>
      </w:r>
      <w:r w:rsidR="00354B4C" w:rsidRPr="007E241E">
        <w:rPr>
          <w:rFonts w:ascii="Verdana" w:hAnsi="Verdana" w:cs="Verdana"/>
          <w:b/>
          <w:i/>
          <w:sz w:val="20"/>
          <w:szCs w:val="20"/>
          <w:lang w:val="es-ES"/>
        </w:rPr>
        <w:t>representantes</w:t>
      </w:r>
      <w:r w:rsidR="00354B4C" w:rsidRPr="007E241E">
        <w:rPr>
          <w:rFonts w:ascii="Verdana" w:hAnsi="Verdana" w:cs="Verdana"/>
          <w:sz w:val="20"/>
          <w:szCs w:val="20"/>
          <w:lang w:val="es-ES"/>
        </w:rPr>
        <w:t xml:space="preserve"> </w:t>
      </w:r>
      <w:r>
        <w:rPr>
          <w:rFonts w:ascii="Verdana" w:hAnsi="Verdana" w:cs="Verdana"/>
          <w:sz w:val="20"/>
          <w:szCs w:val="20"/>
          <w:lang w:val="es-ES"/>
        </w:rPr>
        <w:t>en su escrito de</w:t>
      </w:r>
      <w:r w:rsidR="002C6B6D">
        <w:rPr>
          <w:rFonts w:ascii="Verdana" w:hAnsi="Verdana" w:cs="Verdana"/>
          <w:sz w:val="20"/>
          <w:szCs w:val="20"/>
          <w:lang w:val="es-ES"/>
        </w:rPr>
        <w:t xml:space="preserve"> observaciones</w:t>
      </w:r>
      <w:r>
        <w:rPr>
          <w:rFonts w:ascii="Verdana" w:hAnsi="Verdana" w:cs="Verdana"/>
          <w:sz w:val="20"/>
          <w:szCs w:val="20"/>
          <w:lang w:val="es-ES"/>
        </w:rPr>
        <w:t xml:space="preserve"> de</w:t>
      </w:r>
      <w:r w:rsidR="002C6B6D">
        <w:rPr>
          <w:rFonts w:ascii="Verdana" w:hAnsi="Verdana" w:cs="Verdana"/>
          <w:sz w:val="20"/>
          <w:szCs w:val="20"/>
          <w:lang w:val="es-ES"/>
        </w:rPr>
        <w:t xml:space="preserve"> 15 de marzo 2018 señalaron que el Estado realizó el análisis de riesgo de forma unilateral y arbitraria, sin contar con la participación de las personas beneficiarias y sus representantes</w:t>
      </w:r>
      <w:r w:rsidR="00723EBF">
        <w:rPr>
          <w:rFonts w:ascii="Verdana" w:hAnsi="Verdana" w:cs="Verdana"/>
          <w:sz w:val="20"/>
          <w:szCs w:val="20"/>
          <w:lang w:val="es-ES"/>
        </w:rPr>
        <w:t>,</w:t>
      </w:r>
      <w:r w:rsidR="002C6B6D">
        <w:rPr>
          <w:rFonts w:ascii="Verdana" w:hAnsi="Verdana" w:cs="Verdana"/>
          <w:sz w:val="20"/>
          <w:szCs w:val="20"/>
          <w:lang w:val="es-ES"/>
        </w:rPr>
        <w:t xml:space="preserve"> y que no se les proporcion</w:t>
      </w:r>
      <w:r w:rsidR="00723EBF">
        <w:rPr>
          <w:rFonts w:ascii="Verdana" w:hAnsi="Verdana" w:cs="Verdana"/>
          <w:sz w:val="20"/>
          <w:szCs w:val="20"/>
          <w:lang w:val="es-ES"/>
        </w:rPr>
        <w:t>ó</w:t>
      </w:r>
      <w:r w:rsidR="002C6B6D">
        <w:rPr>
          <w:rFonts w:ascii="Verdana" w:hAnsi="Verdana" w:cs="Verdana"/>
          <w:sz w:val="20"/>
          <w:szCs w:val="20"/>
          <w:lang w:val="es-ES"/>
        </w:rPr>
        <w:t xml:space="preserve"> una copia del mismo, para que pudieran aportar sus respectivas observaciones sobre el contenido del mismo y de los criterios que fueron utilizados para valorar el peligro de los beneficiarios. Asimismo, en sus observaciones de</w:t>
      </w:r>
      <w:r>
        <w:rPr>
          <w:rFonts w:ascii="Verdana" w:hAnsi="Verdana" w:cs="Verdana"/>
          <w:sz w:val="20"/>
          <w:szCs w:val="20"/>
          <w:lang w:val="es-ES"/>
        </w:rPr>
        <w:t xml:space="preserve"> 15 de noviembre</w:t>
      </w:r>
      <w:r w:rsidR="00D255F2">
        <w:rPr>
          <w:rFonts w:ascii="Verdana" w:hAnsi="Verdana" w:cs="Verdana"/>
          <w:sz w:val="20"/>
          <w:szCs w:val="20"/>
          <w:lang w:val="es-ES"/>
        </w:rPr>
        <w:t xml:space="preserve"> de 2018</w:t>
      </w:r>
      <w:r>
        <w:rPr>
          <w:rFonts w:ascii="Verdana" w:hAnsi="Verdana" w:cs="Verdana"/>
          <w:sz w:val="20"/>
          <w:szCs w:val="20"/>
          <w:lang w:val="es-ES"/>
        </w:rPr>
        <w:t xml:space="preserve"> </w:t>
      </w:r>
      <w:r w:rsidR="002C7B90">
        <w:rPr>
          <w:rFonts w:ascii="Verdana" w:hAnsi="Verdana" w:cs="Verdana"/>
          <w:sz w:val="20"/>
          <w:szCs w:val="20"/>
          <w:lang w:val="es-ES"/>
        </w:rPr>
        <w:t>señalaron que según información brindada por el beneficiario, “no se le estaría implementando ninguna medida de protección”</w:t>
      </w:r>
      <w:r w:rsidR="0059636C">
        <w:rPr>
          <w:rFonts w:ascii="Verdana" w:hAnsi="Verdana" w:cs="Verdana"/>
          <w:sz w:val="20"/>
          <w:szCs w:val="20"/>
          <w:lang w:val="es-ES"/>
        </w:rPr>
        <w:t xml:space="preserve"> </w:t>
      </w:r>
      <w:r w:rsidR="002C7B90">
        <w:rPr>
          <w:rFonts w:ascii="Verdana" w:hAnsi="Verdana" w:cs="Verdana"/>
          <w:sz w:val="20"/>
          <w:szCs w:val="20"/>
          <w:lang w:val="es-ES"/>
        </w:rPr>
        <w:t xml:space="preserve">y que “desde hace aproximadamente 4 meses fue visitado por agentes de la PNC para verificar el estado de implementación de sus medidas” y pese </w:t>
      </w:r>
      <w:r w:rsidR="00D255F2">
        <w:rPr>
          <w:rFonts w:ascii="Verdana" w:hAnsi="Verdana" w:cs="Verdana"/>
          <w:sz w:val="20"/>
          <w:szCs w:val="20"/>
          <w:lang w:val="es-ES"/>
        </w:rPr>
        <w:t xml:space="preserve">a </w:t>
      </w:r>
      <w:r w:rsidR="002C7B90">
        <w:rPr>
          <w:rFonts w:ascii="Verdana" w:hAnsi="Verdana" w:cs="Verdana"/>
          <w:sz w:val="20"/>
          <w:szCs w:val="20"/>
          <w:lang w:val="es-ES"/>
        </w:rPr>
        <w:t>que el señor Álvarez</w:t>
      </w:r>
      <w:r>
        <w:rPr>
          <w:rFonts w:ascii="Verdana" w:hAnsi="Verdana" w:cs="Verdana"/>
          <w:sz w:val="20"/>
          <w:szCs w:val="20"/>
          <w:lang w:val="es-ES"/>
        </w:rPr>
        <w:t xml:space="preserve"> Mendoza</w:t>
      </w:r>
      <w:r w:rsidR="002C7B90">
        <w:rPr>
          <w:rFonts w:ascii="Verdana" w:hAnsi="Verdana" w:cs="Verdana"/>
          <w:sz w:val="20"/>
          <w:szCs w:val="20"/>
          <w:lang w:val="es-ES"/>
        </w:rPr>
        <w:t xml:space="preserve"> les expresó que las mismas no se estaban implementando, […] nunca se reanudaron”. Asimismo</w:t>
      </w:r>
      <w:r w:rsidR="0059636C">
        <w:rPr>
          <w:rFonts w:ascii="Verdana" w:hAnsi="Verdana" w:cs="Verdana"/>
          <w:sz w:val="20"/>
          <w:szCs w:val="20"/>
          <w:lang w:val="es-ES"/>
        </w:rPr>
        <w:t>,</w:t>
      </w:r>
      <w:r w:rsidR="002C7B90">
        <w:rPr>
          <w:rFonts w:ascii="Verdana" w:hAnsi="Verdana" w:cs="Verdana"/>
          <w:sz w:val="20"/>
          <w:szCs w:val="20"/>
          <w:lang w:val="es-ES"/>
        </w:rPr>
        <w:t xml:space="preserve"> l</w:t>
      </w:r>
      <w:r w:rsidR="00D255F2">
        <w:rPr>
          <w:rFonts w:ascii="Verdana" w:hAnsi="Verdana" w:cs="Verdana"/>
          <w:sz w:val="20"/>
          <w:szCs w:val="20"/>
          <w:lang w:val="es-ES"/>
        </w:rPr>
        <w:t>a</w:t>
      </w:r>
      <w:r w:rsidR="002C7B90">
        <w:rPr>
          <w:rFonts w:ascii="Verdana" w:hAnsi="Verdana" w:cs="Verdana"/>
          <w:sz w:val="20"/>
          <w:szCs w:val="20"/>
          <w:lang w:val="es-ES"/>
        </w:rPr>
        <w:t xml:space="preserve">s </w:t>
      </w:r>
      <w:r w:rsidR="00531D27" w:rsidRPr="007E241E">
        <w:rPr>
          <w:rFonts w:ascii="Verdana" w:hAnsi="Verdana" w:cs="Verdana"/>
          <w:sz w:val="20"/>
          <w:szCs w:val="20"/>
          <w:lang w:val="es-ES"/>
        </w:rPr>
        <w:t>representantes</w:t>
      </w:r>
      <w:r w:rsidR="002C7B90">
        <w:rPr>
          <w:rFonts w:ascii="Verdana" w:hAnsi="Verdana" w:cs="Verdana"/>
          <w:sz w:val="20"/>
          <w:szCs w:val="20"/>
          <w:lang w:val="es-ES"/>
        </w:rPr>
        <w:t xml:space="preserve"> </w:t>
      </w:r>
      <w:r w:rsidR="00CD473F">
        <w:rPr>
          <w:rFonts w:ascii="Verdana" w:hAnsi="Verdana" w:cs="Verdana"/>
          <w:sz w:val="20"/>
          <w:szCs w:val="20"/>
          <w:lang w:val="es-ES"/>
        </w:rPr>
        <w:t xml:space="preserve">insistieron en que </w:t>
      </w:r>
      <w:r w:rsidR="00363589">
        <w:rPr>
          <w:rFonts w:ascii="Verdana" w:hAnsi="Verdana" w:cs="Verdana"/>
          <w:sz w:val="20"/>
          <w:szCs w:val="20"/>
          <w:lang w:val="es-ES"/>
        </w:rPr>
        <w:t>“</w:t>
      </w:r>
      <w:r w:rsidR="00CD473F">
        <w:rPr>
          <w:rFonts w:ascii="Verdana" w:hAnsi="Verdana" w:cs="Verdana"/>
          <w:sz w:val="20"/>
          <w:szCs w:val="20"/>
          <w:lang w:val="es-ES"/>
        </w:rPr>
        <w:t>los</w:t>
      </w:r>
      <w:r w:rsidR="00531D27" w:rsidRPr="007E241E">
        <w:rPr>
          <w:rFonts w:ascii="Verdana" w:hAnsi="Verdana" w:cs="Verdana"/>
          <w:sz w:val="20"/>
          <w:szCs w:val="20"/>
          <w:lang w:val="es-ES"/>
        </w:rPr>
        <w:t xml:space="preserve"> análisis de riesgo</w:t>
      </w:r>
      <w:r w:rsidR="00CD473F">
        <w:rPr>
          <w:rFonts w:ascii="Verdana" w:hAnsi="Verdana" w:cs="Verdana"/>
          <w:sz w:val="20"/>
          <w:szCs w:val="20"/>
          <w:lang w:val="es-ES"/>
        </w:rPr>
        <w:t xml:space="preserve"> han sido realizados de forma</w:t>
      </w:r>
      <w:r w:rsidR="00531D27" w:rsidRPr="007E241E">
        <w:rPr>
          <w:rFonts w:ascii="Verdana" w:hAnsi="Verdana" w:cs="Verdana"/>
          <w:sz w:val="20"/>
          <w:szCs w:val="20"/>
          <w:lang w:val="es-ES"/>
        </w:rPr>
        <w:t xml:space="preserve"> unilateral</w:t>
      </w:r>
      <w:r w:rsidR="00363589">
        <w:rPr>
          <w:rFonts w:ascii="Verdana" w:hAnsi="Verdana" w:cs="Verdana"/>
          <w:sz w:val="20"/>
          <w:szCs w:val="20"/>
          <w:lang w:val="es-ES"/>
        </w:rPr>
        <w:t xml:space="preserve">, sin la participación de las personas beneficiarias y sus representantes, y considerando que como única fuente de información los insumos generados por la PNC”. </w:t>
      </w:r>
      <w:r w:rsidR="00A10AAD">
        <w:rPr>
          <w:rFonts w:ascii="Verdana" w:hAnsi="Verdana" w:cs="Verdana"/>
          <w:sz w:val="20"/>
          <w:szCs w:val="20"/>
          <w:lang w:val="es-ES"/>
        </w:rPr>
        <w:t>Además</w:t>
      </w:r>
      <w:r w:rsidR="00DA6422">
        <w:rPr>
          <w:rFonts w:ascii="Verdana" w:hAnsi="Verdana" w:cs="Verdana"/>
          <w:sz w:val="20"/>
          <w:szCs w:val="20"/>
          <w:lang w:val="es-ES"/>
        </w:rPr>
        <w:t xml:space="preserve">, indicaron que </w:t>
      </w:r>
      <w:r w:rsidR="00420403">
        <w:rPr>
          <w:rFonts w:ascii="Verdana" w:hAnsi="Verdana" w:cs="Verdana"/>
          <w:sz w:val="20"/>
          <w:szCs w:val="20"/>
          <w:lang w:val="es-ES"/>
        </w:rPr>
        <w:t xml:space="preserve">el Estado en sus análisis </w:t>
      </w:r>
      <w:r w:rsidR="00A10AAD">
        <w:rPr>
          <w:rFonts w:ascii="Verdana" w:hAnsi="Verdana" w:cs="Verdana"/>
          <w:sz w:val="20"/>
          <w:szCs w:val="20"/>
          <w:lang w:val="es-ES"/>
        </w:rPr>
        <w:t>“</w:t>
      </w:r>
      <w:r w:rsidR="00420403">
        <w:rPr>
          <w:rFonts w:ascii="Verdana" w:hAnsi="Verdana" w:cs="Verdana"/>
          <w:sz w:val="20"/>
          <w:szCs w:val="20"/>
          <w:lang w:val="es-ES"/>
        </w:rPr>
        <w:t>no consideran lo informado por el beneficiario a [l</w:t>
      </w:r>
      <w:r w:rsidR="00033BD2">
        <w:rPr>
          <w:rFonts w:ascii="Verdana" w:hAnsi="Verdana" w:cs="Verdana"/>
          <w:sz w:val="20"/>
          <w:szCs w:val="20"/>
          <w:lang w:val="es-ES"/>
        </w:rPr>
        <w:t>a</w:t>
      </w:r>
      <w:r w:rsidR="00420403">
        <w:rPr>
          <w:rFonts w:ascii="Verdana" w:hAnsi="Verdana" w:cs="Verdana"/>
          <w:sz w:val="20"/>
          <w:szCs w:val="20"/>
          <w:lang w:val="es-ES"/>
        </w:rPr>
        <w:t xml:space="preserve">s] representantes </w:t>
      </w:r>
      <w:r w:rsidR="007B0B07">
        <w:rPr>
          <w:rFonts w:ascii="Verdana" w:hAnsi="Verdana" w:cs="Verdana"/>
          <w:sz w:val="20"/>
          <w:szCs w:val="20"/>
          <w:lang w:val="es-ES"/>
        </w:rPr>
        <w:t>en cuanto a que el 20 de junio del presente año recibió una llamada telefónica, mediante</w:t>
      </w:r>
      <w:r w:rsidR="00A10AAD">
        <w:rPr>
          <w:rFonts w:ascii="Verdana" w:hAnsi="Verdana" w:cs="Verdana"/>
          <w:sz w:val="20"/>
          <w:szCs w:val="20"/>
          <w:lang w:val="es-ES"/>
        </w:rPr>
        <w:t xml:space="preserve"> la cual</w:t>
      </w:r>
      <w:r w:rsidR="007B0B07">
        <w:rPr>
          <w:rFonts w:ascii="Verdana" w:hAnsi="Verdana" w:cs="Verdana"/>
          <w:sz w:val="20"/>
          <w:szCs w:val="20"/>
          <w:lang w:val="es-ES"/>
        </w:rPr>
        <w:t xml:space="preserve"> una persona desconocida le indicó que ‘con o sin policías, sabrían </w:t>
      </w:r>
      <w:r w:rsidR="00A10AAD">
        <w:rPr>
          <w:rFonts w:ascii="Verdana" w:hAnsi="Verdana" w:cs="Verdana"/>
          <w:sz w:val="20"/>
          <w:szCs w:val="20"/>
          <w:lang w:val="es-ES"/>
        </w:rPr>
        <w:t xml:space="preserve">cómo </w:t>
      </w:r>
      <w:r w:rsidR="007B0B07">
        <w:rPr>
          <w:rFonts w:ascii="Verdana" w:hAnsi="Verdana" w:cs="Verdana"/>
          <w:sz w:val="20"/>
          <w:szCs w:val="20"/>
          <w:lang w:val="es-ES"/>
        </w:rPr>
        <w:t>hacerle daño’”</w:t>
      </w:r>
      <w:r w:rsidR="0059636C">
        <w:rPr>
          <w:rFonts w:ascii="Verdana" w:hAnsi="Verdana" w:cs="Verdana"/>
          <w:sz w:val="20"/>
          <w:szCs w:val="20"/>
          <w:lang w:val="es-ES"/>
        </w:rPr>
        <w:t>, por lo que tuvo que cambiar</w:t>
      </w:r>
      <w:r w:rsidR="007B0B07">
        <w:rPr>
          <w:rFonts w:ascii="Verdana" w:hAnsi="Verdana" w:cs="Verdana"/>
          <w:sz w:val="20"/>
          <w:szCs w:val="20"/>
          <w:lang w:val="es-ES"/>
        </w:rPr>
        <w:t xml:space="preserve"> su número de teléfono. El señor Álvarez </w:t>
      </w:r>
      <w:r w:rsidR="00A10AAD">
        <w:rPr>
          <w:rFonts w:ascii="Verdana" w:hAnsi="Verdana" w:cs="Verdana"/>
          <w:sz w:val="20"/>
          <w:szCs w:val="20"/>
          <w:lang w:val="es-ES"/>
        </w:rPr>
        <w:t xml:space="preserve">Mendoza </w:t>
      </w:r>
      <w:r w:rsidR="007B0B07">
        <w:rPr>
          <w:rFonts w:ascii="Verdana" w:hAnsi="Verdana" w:cs="Verdana"/>
          <w:sz w:val="20"/>
          <w:szCs w:val="20"/>
          <w:lang w:val="es-ES"/>
        </w:rPr>
        <w:t xml:space="preserve">según manifestó no presentó denuncia alguna por ese hecho, ya que “no confía en que las autoridades responsables investiguen los hechos”. </w:t>
      </w:r>
      <w:r w:rsidR="00A10AAD">
        <w:rPr>
          <w:rFonts w:ascii="Verdana" w:hAnsi="Verdana" w:cs="Verdana"/>
          <w:sz w:val="20"/>
          <w:szCs w:val="20"/>
          <w:lang w:val="es-ES"/>
        </w:rPr>
        <w:t>Las representantes c</w:t>
      </w:r>
      <w:r w:rsidR="007B0B07">
        <w:rPr>
          <w:rFonts w:ascii="Verdana" w:hAnsi="Verdana" w:cs="Verdana"/>
          <w:sz w:val="20"/>
          <w:szCs w:val="20"/>
          <w:lang w:val="es-ES"/>
        </w:rPr>
        <w:t>oncluyeron que la falta de implementación de las medidas por el Estado, así como la amenaza recibida vía telefónica, ponen en evidencia que el riesgo para el señor Álvarez</w:t>
      </w:r>
      <w:r w:rsidR="00A10AAD">
        <w:rPr>
          <w:rFonts w:ascii="Verdana" w:hAnsi="Verdana" w:cs="Verdana"/>
          <w:sz w:val="20"/>
          <w:szCs w:val="20"/>
          <w:lang w:val="es-ES"/>
        </w:rPr>
        <w:t xml:space="preserve"> Mendoza</w:t>
      </w:r>
      <w:r w:rsidR="007B0B07">
        <w:rPr>
          <w:rFonts w:ascii="Verdana" w:hAnsi="Verdana" w:cs="Verdana"/>
          <w:sz w:val="20"/>
          <w:szCs w:val="20"/>
          <w:lang w:val="es-ES"/>
        </w:rPr>
        <w:t xml:space="preserve"> y su familia persiste. En consecuencia, solicitaron que Guatemala efectivamente reanude la implementación de las medidas de protección para salvaguardar la vida e integridad de los beneficiarios.</w:t>
      </w:r>
      <w:r w:rsidR="00A10AAD">
        <w:rPr>
          <w:rFonts w:ascii="Verdana" w:hAnsi="Verdana" w:cs="Verdana"/>
          <w:sz w:val="20"/>
          <w:szCs w:val="20"/>
          <w:lang w:val="es-ES"/>
        </w:rPr>
        <w:t xml:space="preserve"> </w:t>
      </w:r>
    </w:p>
    <w:p w:rsidR="00CE1385" w:rsidRPr="00CE1385" w:rsidRDefault="00CE1385" w:rsidP="00CE1385">
      <w:pPr>
        <w:pStyle w:val="ListParagraph"/>
        <w:rPr>
          <w:rFonts w:ascii="Verdana" w:hAnsi="Verdana" w:cstheme="minorHAnsi"/>
          <w:sz w:val="20"/>
          <w:szCs w:val="20"/>
          <w:lang w:val="es-ES"/>
        </w:rPr>
      </w:pPr>
    </w:p>
    <w:p w:rsidR="0059636C" w:rsidRPr="0059636C" w:rsidRDefault="00CE1385" w:rsidP="00723EBF">
      <w:pPr>
        <w:pStyle w:val="ListParagraph"/>
        <w:numPr>
          <w:ilvl w:val="0"/>
          <w:numId w:val="6"/>
        </w:numPr>
        <w:autoSpaceDE w:val="0"/>
        <w:autoSpaceDN w:val="0"/>
        <w:adjustRightInd w:val="0"/>
        <w:spacing w:after="0" w:line="240" w:lineRule="auto"/>
        <w:ind w:left="0" w:firstLine="0"/>
        <w:jc w:val="both"/>
        <w:rPr>
          <w:rFonts w:ascii="Verdana" w:hAnsi="Verdana" w:cstheme="minorHAnsi"/>
          <w:sz w:val="20"/>
          <w:szCs w:val="20"/>
          <w:lang w:val="es-ES"/>
        </w:rPr>
      </w:pPr>
      <w:r>
        <w:rPr>
          <w:rFonts w:ascii="Verdana" w:hAnsi="Verdana" w:cstheme="minorHAnsi"/>
          <w:sz w:val="20"/>
          <w:szCs w:val="20"/>
          <w:lang w:val="es-ES"/>
        </w:rPr>
        <w:t xml:space="preserve">La </w:t>
      </w:r>
      <w:r>
        <w:rPr>
          <w:rFonts w:ascii="Verdana" w:hAnsi="Verdana" w:cstheme="minorHAnsi"/>
          <w:b/>
          <w:i/>
          <w:sz w:val="20"/>
          <w:szCs w:val="20"/>
          <w:lang w:val="es-ES"/>
        </w:rPr>
        <w:t>Comisión</w:t>
      </w:r>
      <w:r w:rsidR="00FD27E5">
        <w:rPr>
          <w:rFonts w:ascii="Verdana" w:hAnsi="Verdana" w:cstheme="minorHAnsi"/>
          <w:b/>
          <w:i/>
          <w:sz w:val="20"/>
          <w:szCs w:val="20"/>
          <w:lang w:val="es-ES"/>
        </w:rPr>
        <w:t xml:space="preserve"> </w:t>
      </w:r>
      <w:r w:rsidR="0059636C">
        <w:rPr>
          <w:rFonts w:ascii="Verdana" w:hAnsi="Verdana" w:cstheme="minorHAnsi"/>
          <w:sz w:val="20"/>
          <w:szCs w:val="20"/>
          <w:lang w:val="es-ES"/>
        </w:rPr>
        <w:t>en su comunicación de</w:t>
      </w:r>
      <w:r w:rsidR="00FD27E5">
        <w:rPr>
          <w:rFonts w:ascii="Verdana" w:hAnsi="Verdana" w:cstheme="minorHAnsi"/>
          <w:sz w:val="20"/>
          <w:szCs w:val="20"/>
          <w:lang w:val="es-ES"/>
        </w:rPr>
        <w:t xml:space="preserve"> 3 de septiembre de 2017</w:t>
      </w:r>
      <w:r w:rsidR="00717F5B">
        <w:rPr>
          <w:rFonts w:ascii="Verdana" w:hAnsi="Verdana" w:cstheme="minorHAnsi"/>
          <w:sz w:val="20"/>
          <w:szCs w:val="20"/>
          <w:lang w:val="es-ES"/>
        </w:rPr>
        <w:tab/>
      </w:r>
      <w:r>
        <w:rPr>
          <w:rFonts w:ascii="Verdana" w:hAnsi="Verdana" w:cstheme="minorHAnsi"/>
          <w:b/>
          <w:i/>
          <w:sz w:val="20"/>
          <w:szCs w:val="20"/>
          <w:lang w:val="es-ES"/>
        </w:rPr>
        <w:t xml:space="preserve"> </w:t>
      </w:r>
      <w:r w:rsidR="00BC4A2D">
        <w:rPr>
          <w:rFonts w:ascii="Verdana" w:hAnsi="Verdana" w:cstheme="minorHAnsi"/>
          <w:sz w:val="20"/>
          <w:szCs w:val="20"/>
          <w:lang w:val="es-ES"/>
        </w:rPr>
        <w:t>indicó</w:t>
      </w:r>
      <w:r w:rsidR="00A10AAD">
        <w:rPr>
          <w:rFonts w:ascii="Verdana" w:hAnsi="Verdana" w:cstheme="minorHAnsi"/>
          <w:sz w:val="20"/>
          <w:szCs w:val="20"/>
          <w:lang w:val="es-ES"/>
        </w:rPr>
        <w:t xml:space="preserve"> </w:t>
      </w:r>
      <w:r>
        <w:rPr>
          <w:rFonts w:ascii="Verdana" w:hAnsi="Verdana" w:cstheme="minorHAnsi"/>
          <w:sz w:val="20"/>
          <w:szCs w:val="20"/>
          <w:lang w:val="es-ES"/>
        </w:rPr>
        <w:t xml:space="preserve">que </w:t>
      </w:r>
      <w:r w:rsidR="00302504">
        <w:rPr>
          <w:rFonts w:ascii="Verdana" w:hAnsi="Verdana" w:cstheme="minorHAnsi"/>
          <w:sz w:val="20"/>
          <w:szCs w:val="20"/>
          <w:lang w:val="es-ES"/>
        </w:rPr>
        <w:t>“</w:t>
      </w:r>
      <w:r>
        <w:rPr>
          <w:rFonts w:ascii="Verdana" w:hAnsi="Verdana" w:cstheme="minorHAnsi"/>
          <w:sz w:val="20"/>
          <w:szCs w:val="20"/>
          <w:lang w:val="es-ES"/>
        </w:rPr>
        <w:t>observa con preocupación que el Estado no se refirió a la implementación de las medidas a favor del señor Aron Álvarez y sus familiares</w:t>
      </w:r>
      <w:r w:rsidR="00302504">
        <w:rPr>
          <w:rFonts w:ascii="Verdana" w:hAnsi="Verdana" w:cstheme="minorHAnsi"/>
          <w:sz w:val="20"/>
          <w:szCs w:val="20"/>
          <w:lang w:val="es-ES"/>
        </w:rPr>
        <w:t>” y solicitó a la Corte “que requiera información al Estado sobre este asunto y que atienda a los distintos planteamientos señalados por las representantes”</w:t>
      </w:r>
      <w:r w:rsidR="00BC4A2D">
        <w:rPr>
          <w:rFonts w:ascii="Verdana" w:hAnsi="Verdana" w:cstheme="minorHAnsi"/>
          <w:sz w:val="20"/>
          <w:szCs w:val="20"/>
          <w:lang w:val="es-ES"/>
        </w:rPr>
        <w:t>.</w:t>
      </w:r>
      <w:r>
        <w:rPr>
          <w:rFonts w:ascii="Verdana" w:hAnsi="Verdana" w:cstheme="minorHAnsi"/>
          <w:sz w:val="20"/>
          <w:szCs w:val="20"/>
          <w:lang w:val="es-ES"/>
        </w:rPr>
        <w:t xml:space="preserve"> </w:t>
      </w:r>
    </w:p>
    <w:p w:rsidR="00DB0969" w:rsidRDefault="00DB0969" w:rsidP="000D7638">
      <w:pPr>
        <w:pStyle w:val="ListParagraph"/>
        <w:autoSpaceDE w:val="0"/>
        <w:autoSpaceDN w:val="0"/>
        <w:adjustRightInd w:val="0"/>
        <w:spacing w:after="0" w:line="240" w:lineRule="auto"/>
        <w:ind w:left="0"/>
        <w:jc w:val="both"/>
        <w:rPr>
          <w:rFonts w:ascii="Verdana" w:hAnsi="Verdana" w:cstheme="minorHAnsi"/>
          <w:sz w:val="20"/>
          <w:szCs w:val="20"/>
          <w:lang w:val="es-ES"/>
        </w:rPr>
      </w:pPr>
    </w:p>
    <w:p w:rsidR="007B5A05" w:rsidRDefault="007B5A05" w:rsidP="000D7638">
      <w:pPr>
        <w:pStyle w:val="ListParagraph"/>
        <w:autoSpaceDE w:val="0"/>
        <w:autoSpaceDN w:val="0"/>
        <w:adjustRightInd w:val="0"/>
        <w:spacing w:after="0" w:line="240" w:lineRule="auto"/>
        <w:ind w:left="0"/>
        <w:jc w:val="both"/>
        <w:rPr>
          <w:rFonts w:ascii="Verdana" w:hAnsi="Verdana" w:cstheme="minorHAnsi"/>
          <w:sz w:val="20"/>
          <w:szCs w:val="20"/>
          <w:lang w:val="es-ES"/>
        </w:rPr>
      </w:pPr>
    </w:p>
    <w:p w:rsidR="007B5A05" w:rsidRPr="00374477" w:rsidRDefault="007B5A05" w:rsidP="000D7638">
      <w:pPr>
        <w:pStyle w:val="ListParagraph"/>
        <w:autoSpaceDE w:val="0"/>
        <w:autoSpaceDN w:val="0"/>
        <w:adjustRightInd w:val="0"/>
        <w:spacing w:after="0" w:line="240" w:lineRule="auto"/>
        <w:ind w:left="0"/>
        <w:jc w:val="both"/>
        <w:rPr>
          <w:rFonts w:ascii="Verdana" w:hAnsi="Verdana" w:cstheme="minorHAnsi"/>
          <w:sz w:val="20"/>
          <w:szCs w:val="20"/>
          <w:lang w:val="es-ES"/>
        </w:rPr>
      </w:pPr>
    </w:p>
    <w:p w:rsidR="007E241E" w:rsidRDefault="00BC4A2D" w:rsidP="00BC4A2D">
      <w:pPr>
        <w:pStyle w:val="ListParagraph"/>
        <w:tabs>
          <w:tab w:val="left" w:pos="1170"/>
        </w:tabs>
        <w:autoSpaceDE w:val="0"/>
        <w:autoSpaceDN w:val="0"/>
        <w:adjustRightInd w:val="0"/>
        <w:spacing w:after="0" w:line="240" w:lineRule="auto"/>
        <w:ind w:left="0"/>
        <w:jc w:val="both"/>
        <w:rPr>
          <w:rFonts w:ascii="Verdana" w:hAnsi="Verdana" w:cs="Verdana"/>
          <w:b/>
          <w:i/>
          <w:sz w:val="20"/>
          <w:szCs w:val="20"/>
          <w:lang w:val="es-ES"/>
        </w:rPr>
      </w:pPr>
      <w:r>
        <w:rPr>
          <w:rFonts w:ascii="Verdana" w:hAnsi="Verdana" w:cs="Verdana"/>
          <w:b/>
          <w:i/>
          <w:sz w:val="20"/>
          <w:szCs w:val="20"/>
          <w:lang w:val="es-ES"/>
        </w:rPr>
        <w:lastRenderedPageBreak/>
        <w:tab/>
      </w:r>
      <w:r w:rsidR="007E241E" w:rsidRPr="007E241E">
        <w:rPr>
          <w:rFonts w:ascii="Verdana" w:hAnsi="Verdana" w:cs="Verdana"/>
          <w:b/>
          <w:i/>
          <w:sz w:val="20"/>
          <w:szCs w:val="20"/>
          <w:lang w:val="es-ES"/>
        </w:rPr>
        <w:t>A</w:t>
      </w:r>
      <w:r w:rsidR="007E241E">
        <w:rPr>
          <w:rFonts w:ascii="Verdana" w:hAnsi="Verdana" w:cs="Verdana"/>
          <w:b/>
          <w:i/>
          <w:sz w:val="20"/>
          <w:szCs w:val="20"/>
          <w:lang w:val="es-ES"/>
        </w:rPr>
        <w:t>.3</w:t>
      </w:r>
      <w:r w:rsidR="007E241E" w:rsidRPr="007E241E">
        <w:rPr>
          <w:rFonts w:ascii="Verdana" w:hAnsi="Verdana" w:cs="Verdana"/>
          <w:b/>
          <w:i/>
          <w:sz w:val="20"/>
          <w:szCs w:val="20"/>
          <w:lang w:val="es-ES"/>
        </w:rPr>
        <w:t xml:space="preserve">. </w:t>
      </w:r>
      <w:r w:rsidR="007E241E">
        <w:rPr>
          <w:rFonts w:ascii="Verdana" w:hAnsi="Verdana" w:cs="Verdana"/>
          <w:b/>
          <w:i/>
          <w:sz w:val="20"/>
          <w:szCs w:val="20"/>
          <w:lang w:val="es-ES"/>
        </w:rPr>
        <w:t>Situación de riesgo para los beneficiar</w:t>
      </w:r>
      <w:r w:rsidR="007E40C8">
        <w:rPr>
          <w:rFonts w:ascii="Verdana" w:hAnsi="Verdana" w:cs="Verdana"/>
          <w:b/>
          <w:i/>
          <w:sz w:val="20"/>
          <w:szCs w:val="20"/>
          <w:lang w:val="es-ES"/>
        </w:rPr>
        <w:t>i</w:t>
      </w:r>
      <w:r w:rsidR="007E241E">
        <w:rPr>
          <w:rFonts w:ascii="Verdana" w:hAnsi="Verdana" w:cs="Verdana"/>
          <w:b/>
          <w:i/>
          <w:sz w:val="20"/>
          <w:szCs w:val="20"/>
          <w:lang w:val="es-ES"/>
        </w:rPr>
        <w:t>os.</w:t>
      </w:r>
    </w:p>
    <w:p w:rsidR="007E241E" w:rsidRPr="007E241E" w:rsidRDefault="007E241E" w:rsidP="007E241E">
      <w:pPr>
        <w:pStyle w:val="ListParagraph"/>
        <w:rPr>
          <w:rFonts w:ascii="Verdana" w:hAnsi="Verdana" w:cs="Verdana"/>
          <w:b/>
          <w:i/>
          <w:sz w:val="20"/>
          <w:szCs w:val="20"/>
          <w:lang w:val="es-ES"/>
        </w:rPr>
      </w:pPr>
    </w:p>
    <w:p w:rsidR="00274E7A" w:rsidRPr="00723EBF" w:rsidRDefault="006A0F01" w:rsidP="00033BD2">
      <w:pPr>
        <w:pStyle w:val="ListParagraph"/>
        <w:numPr>
          <w:ilvl w:val="0"/>
          <w:numId w:val="6"/>
        </w:numPr>
        <w:tabs>
          <w:tab w:val="left" w:pos="709"/>
        </w:tabs>
        <w:autoSpaceDE w:val="0"/>
        <w:autoSpaceDN w:val="0"/>
        <w:adjustRightInd w:val="0"/>
        <w:spacing w:after="0" w:line="240" w:lineRule="auto"/>
        <w:ind w:left="0" w:firstLine="0"/>
        <w:jc w:val="both"/>
        <w:rPr>
          <w:rFonts w:ascii="Verdana" w:hAnsi="Verdana" w:cs="Verdana"/>
          <w:b/>
          <w:i/>
          <w:sz w:val="20"/>
          <w:szCs w:val="20"/>
          <w:lang w:val="es-ES"/>
        </w:rPr>
      </w:pPr>
      <w:r>
        <w:rPr>
          <w:rFonts w:ascii="Verdana" w:hAnsi="Verdana" w:cs="Verdana"/>
          <w:sz w:val="20"/>
          <w:szCs w:val="20"/>
          <w:lang w:val="es-ES"/>
        </w:rPr>
        <w:t xml:space="preserve">El </w:t>
      </w:r>
      <w:r w:rsidRPr="00333997">
        <w:rPr>
          <w:rFonts w:ascii="Verdana" w:hAnsi="Verdana" w:cs="Verdana"/>
          <w:b/>
          <w:i/>
          <w:sz w:val="20"/>
          <w:szCs w:val="20"/>
          <w:lang w:val="es-ES"/>
        </w:rPr>
        <w:t>Estado</w:t>
      </w:r>
      <w:r>
        <w:rPr>
          <w:rFonts w:ascii="Verdana" w:hAnsi="Verdana" w:cs="Verdana"/>
          <w:sz w:val="20"/>
          <w:szCs w:val="20"/>
          <w:lang w:val="es-ES"/>
        </w:rPr>
        <w:t xml:space="preserve"> e</w:t>
      </w:r>
      <w:r w:rsidR="001170BB">
        <w:rPr>
          <w:rFonts w:ascii="Verdana" w:hAnsi="Verdana" w:cs="Verdana"/>
          <w:sz w:val="20"/>
          <w:szCs w:val="20"/>
          <w:lang w:val="es-ES"/>
        </w:rPr>
        <w:t>n su informe presentado el 5 de octubre de 2018</w:t>
      </w:r>
      <w:r>
        <w:rPr>
          <w:rFonts w:ascii="Verdana" w:hAnsi="Verdana" w:cs="Verdana"/>
          <w:sz w:val="20"/>
          <w:szCs w:val="20"/>
          <w:lang w:val="es-ES"/>
        </w:rPr>
        <w:t xml:space="preserve"> </w:t>
      </w:r>
      <w:r w:rsidR="003544E8">
        <w:rPr>
          <w:rFonts w:ascii="Verdana" w:hAnsi="Verdana" w:cs="Verdana"/>
          <w:sz w:val="20"/>
          <w:szCs w:val="20"/>
          <w:lang w:val="es-ES"/>
        </w:rPr>
        <w:t>señaló</w:t>
      </w:r>
      <w:r w:rsidR="00BD162A">
        <w:rPr>
          <w:rFonts w:ascii="Verdana" w:hAnsi="Verdana" w:cs="Verdana"/>
          <w:sz w:val="20"/>
          <w:szCs w:val="20"/>
          <w:lang w:val="es-ES"/>
        </w:rPr>
        <w:t xml:space="preserve"> varias </w:t>
      </w:r>
      <w:r w:rsidR="000D7638" w:rsidRPr="00BD162A">
        <w:rPr>
          <w:rFonts w:ascii="Verdana" w:hAnsi="Verdana" w:cs="Verdana"/>
          <w:sz w:val="20"/>
          <w:szCs w:val="20"/>
          <w:lang w:val="es-ES"/>
        </w:rPr>
        <w:t xml:space="preserve">actuaciones </w:t>
      </w:r>
      <w:r w:rsidR="00BD162A">
        <w:rPr>
          <w:rFonts w:ascii="Verdana" w:hAnsi="Verdana" w:cs="Verdana"/>
          <w:sz w:val="20"/>
          <w:szCs w:val="20"/>
          <w:lang w:val="es-ES"/>
        </w:rPr>
        <w:t xml:space="preserve">investigativas </w:t>
      </w:r>
      <w:r w:rsidR="003544E8">
        <w:rPr>
          <w:rFonts w:ascii="Verdana" w:hAnsi="Verdana" w:cs="Verdana"/>
          <w:sz w:val="20"/>
          <w:szCs w:val="20"/>
          <w:lang w:val="es-ES"/>
        </w:rPr>
        <w:t xml:space="preserve">llevadas </w:t>
      </w:r>
      <w:r w:rsidR="00BD162A">
        <w:rPr>
          <w:rFonts w:ascii="Verdana" w:hAnsi="Verdana" w:cs="Verdana"/>
          <w:sz w:val="20"/>
          <w:szCs w:val="20"/>
          <w:lang w:val="es-ES"/>
        </w:rPr>
        <w:t>a cabo en el marco del</w:t>
      </w:r>
      <w:r w:rsidR="000D7638" w:rsidRPr="00033BD2">
        <w:rPr>
          <w:rFonts w:ascii="Verdana" w:hAnsi="Verdana" w:cs="Verdana"/>
          <w:sz w:val="20"/>
          <w:szCs w:val="20"/>
          <w:lang w:val="es-ES"/>
        </w:rPr>
        <w:t xml:space="preserve"> </w:t>
      </w:r>
      <w:r w:rsidR="000D7638" w:rsidRPr="00723EBF">
        <w:rPr>
          <w:rFonts w:ascii="Verdana" w:hAnsi="Verdana" w:cs="Verdana"/>
          <w:i/>
          <w:sz w:val="20"/>
          <w:szCs w:val="20"/>
          <w:lang w:val="es-ES"/>
        </w:rPr>
        <w:t>caso Bámaca Velásquez</w:t>
      </w:r>
      <w:r w:rsidR="000D7638" w:rsidRPr="00033BD2">
        <w:rPr>
          <w:rFonts w:ascii="Verdana" w:hAnsi="Verdana" w:cs="Verdana"/>
          <w:sz w:val="20"/>
          <w:szCs w:val="20"/>
          <w:lang w:val="es-ES"/>
        </w:rPr>
        <w:t xml:space="preserve">. </w:t>
      </w:r>
    </w:p>
    <w:p w:rsidR="002C6B6D" w:rsidRPr="00723EBF" w:rsidRDefault="002C6B6D" w:rsidP="00723EBF">
      <w:pPr>
        <w:pStyle w:val="ListParagraph"/>
        <w:tabs>
          <w:tab w:val="left" w:pos="709"/>
        </w:tabs>
        <w:autoSpaceDE w:val="0"/>
        <w:autoSpaceDN w:val="0"/>
        <w:adjustRightInd w:val="0"/>
        <w:spacing w:after="0" w:line="240" w:lineRule="auto"/>
        <w:ind w:left="0"/>
        <w:jc w:val="both"/>
        <w:rPr>
          <w:rFonts w:ascii="Verdana" w:hAnsi="Verdana" w:cs="Verdana"/>
          <w:b/>
          <w:i/>
          <w:sz w:val="20"/>
          <w:szCs w:val="20"/>
          <w:lang w:val="es-ES"/>
        </w:rPr>
      </w:pPr>
    </w:p>
    <w:p w:rsidR="007E241E" w:rsidRPr="007E241E" w:rsidRDefault="007E241E" w:rsidP="007E241E">
      <w:pPr>
        <w:pStyle w:val="ListParagraph"/>
        <w:numPr>
          <w:ilvl w:val="0"/>
          <w:numId w:val="6"/>
        </w:numPr>
        <w:tabs>
          <w:tab w:val="left" w:pos="709"/>
        </w:tabs>
        <w:autoSpaceDE w:val="0"/>
        <w:autoSpaceDN w:val="0"/>
        <w:adjustRightInd w:val="0"/>
        <w:spacing w:after="0" w:line="240" w:lineRule="auto"/>
        <w:ind w:left="0" w:firstLine="0"/>
        <w:jc w:val="both"/>
        <w:rPr>
          <w:rFonts w:ascii="Verdana" w:hAnsi="Verdana" w:cs="Verdana"/>
          <w:b/>
          <w:i/>
          <w:sz w:val="20"/>
          <w:szCs w:val="20"/>
          <w:lang w:val="es-ES"/>
        </w:rPr>
      </w:pPr>
      <w:r w:rsidRPr="007E241E">
        <w:rPr>
          <w:rFonts w:ascii="Verdana" w:hAnsi="Verdana" w:cs="Verdana"/>
          <w:sz w:val="20"/>
          <w:szCs w:val="20"/>
          <w:lang w:val="es-ES"/>
        </w:rPr>
        <w:t>L</w:t>
      </w:r>
      <w:r w:rsidR="00274E7A">
        <w:rPr>
          <w:rFonts w:ascii="Verdana" w:hAnsi="Verdana" w:cs="Verdana"/>
          <w:sz w:val="20"/>
          <w:szCs w:val="20"/>
          <w:lang w:val="es-ES"/>
        </w:rPr>
        <w:t>a</w:t>
      </w:r>
      <w:r w:rsidRPr="007E241E">
        <w:rPr>
          <w:rFonts w:ascii="Verdana" w:hAnsi="Verdana" w:cs="Verdana"/>
          <w:sz w:val="20"/>
          <w:szCs w:val="20"/>
          <w:lang w:val="es-ES"/>
        </w:rPr>
        <w:t xml:space="preserve">s </w:t>
      </w:r>
      <w:r w:rsidRPr="00333997">
        <w:rPr>
          <w:rFonts w:ascii="Verdana" w:hAnsi="Verdana" w:cs="Verdana"/>
          <w:b/>
          <w:i/>
          <w:sz w:val="20"/>
          <w:szCs w:val="20"/>
          <w:lang w:val="es-ES"/>
        </w:rPr>
        <w:t>representantes</w:t>
      </w:r>
      <w:r w:rsidRPr="000D7638">
        <w:rPr>
          <w:rFonts w:ascii="Verdana" w:hAnsi="Verdana" w:cs="Verdana"/>
          <w:b/>
          <w:sz w:val="20"/>
          <w:szCs w:val="20"/>
          <w:lang w:val="es-ES"/>
        </w:rPr>
        <w:t xml:space="preserve"> </w:t>
      </w:r>
      <w:r w:rsidR="006A0F01" w:rsidRPr="00723EBF">
        <w:rPr>
          <w:rFonts w:ascii="Verdana" w:hAnsi="Verdana" w:cs="Verdana"/>
          <w:sz w:val="20"/>
          <w:szCs w:val="20"/>
          <w:lang w:val="es-ES"/>
        </w:rPr>
        <w:t>reiteraron</w:t>
      </w:r>
      <w:r w:rsidR="006A0F01">
        <w:rPr>
          <w:rFonts w:ascii="Verdana" w:hAnsi="Verdana" w:cs="Verdana"/>
          <w:b/>
          <w:sz w:val="20"/>
          <w:szCs w:val="20"/>
          <w:lang w:val="es-ES"/>
        </w:rPr>
        <w:t xml:space="preserve"> </w:t>
      </w:r>
      <w:r w:rsidR="006A0F01" w:rsidRPr="00723EBF">
        <w:rPr>
          <w:rFonts w:ascii="Verdana" w:hAnsi="Verdana" w:cs="Verdana"/>
          <w:sz w:val="20"/>
          <w:szCs w:val="20"/>
          <w:lang w:val="es-ES"/>
        </w:rPr>
        <w:t>en sus</w:t>
      </w:r>
      <w:r w:rsidR="006A0F01">
        <w:rPr>
          <w:rFonts w:ascii="Verdana" w:hAnsi="Verdana" w:cs="Verdana"/>
          <w:b/>
          <w:sz w:val="20"/>
          <w:szCs w:val="20"/>
          <w:lang w:val="es-ES"/>
        </w:rPr>
        <w:t xml:space="preserve"> </w:t>
      </w:r>
      <w:r w:rsidR="00BC4A2D">
        <w:rPr>
          <w:rFonts w:ascii="Verdana" w:hAnsi="Verdana" w:cs="Verdana"/>
          <w:sz w:val="20"/>
          <w:szCs w:val="20"/>
          <w:lang w:val="es-ES"/>
        </w:rPr>
        <w:t>observaciones de</w:t>
      </w:r>
      <w:r w:rsidR="006114DF">
        <w:rPr>
          <w:rFonts w:ascii="Verdana" w:hAnsi="Verdana" w:cs="Verdana"/>
          <w:sz w:val="20"/>
          <w:szCs w:val="20"/>
          <w:lang w:val="es-ES"/>
        </w:rPr>
        <w:t xml:space="preserve"> 15 de </w:t>
      </w:r>
      <w:r w:rsidR="00F706A4">
        <w:rPr>
          <w:rFonts w:ascii="Verdana" w:hAnsi="Verdana" w:cs="Verdana"/>
          <w:sz w:val="20"/>
          <w:szCs w:val="20"/>
          <w:lang w:val="es-ES"/>
        </w:rPr>
        <w:t xml:space="preserve">marzo y 15 de </w:t>
      </w:r>
      <w:r w:rsidR="006114DF">
        <w:rPr>
          <w:rFonts w:ascii="Verdana" w:hAnsi="Verdana" w:cs="Verdana"/>
          <w:sz w:val="20"/>
          <w:szCs w:val="20"/>
          <w:lang w:val="es-ES"/>
        </w:rPr>
        <w:t>noviembre</w:t>
      </w:r>
      <w:r>
        <w:rPr>
          <w:rFonts w:ascii="Verdana" w:hAnsi="Verdana" w:cs="Verdana"/>
          <w:sz w:val="20"/>
          <w:szCs w:val="20"/>
          <w:lang w:val="es-ES"/>
        </w:rPr>
        <w:t xml:space="preserve"> </w:t>
      </w:r>
      <w:r w:rsidR="006114DF">
        <w:rPr>
          <w:rFonts w:ascii="Verdana" w:hAnsi="Verdana" w:cs="Verdana"/>
          <w:sz w:val="20"/>
          <w:szCs w:val="20"/>
          <w:lang w:val="es-ES"/>
        </w:rPr>
        <w:t>de 2018,</w:t>
      </w:r>
      <w:r>
        <w:rPr>
          <w:rFonts w:ascii="Verdana" w:hAnsi="Verdana" w:cs="Verdana"/>
          <w:sz w:val="20"/>
          <w:szCs w:val="20"/>
          <w:lang w:val="es-ES"/>
        </w:rPr>
        <w:t xml:space="preserve"> </w:t>
      </w:r>
      <w:r w:rsidR="006A0F01">
        <w:rPr>
          <w:rFonts w:ascii="Verdana" w:hAnsi="Verdana" w:cs="Verdana"/>
          <w:sz w:val="20"/>
          <w:szCs w:val="20"/>
          <w:lang w:val="es-ES"/>
        </w:rPr>
        <w:t>“</w:t>
      </w:r>
      <w:r>
        <w:rPr>
          <w:rFonts w:ascii="Verdana" w:hAnsi="Verdana" w:cs="Verdana"/>
          <w:sz w:val="20"/>
          <w:szCs w:val="20"/>
          <w:lang w:val="es-ES"/>
        </w:rPr>
        <w:t xml:space="preserve">que si no se desarrolla una </w:t>
      </w:r>
      <w:r w:rsidR="00BC4A2D">
        <w:rPr>
          <w:rFonts w:ascii="Verdana" w:hAnsi="Verdana" w:cs="Verdana"/>
          <w:sz w:val="20"/>
          <w:szCs w:val="20"/>
          <w:lang w:val="es-ES"/>
        </w:rPr>
        <w:t xml:space="preserve">investigación pronta, a la luz </w:t>
      </w:r>
      <w:r>
        <w:rPr>
          <w:rFonts w:ascii="Verdana" w:hAnsi="Verdana" w:cs="Verdana"/>
          <w:sz w:val="20"/>
          <w:szCs w:val="20"/>
          <w:lang w:val="es-ES"/>
        </w:rPr>
        <w:t>de los estándares internacionales de debida diligencia, no se eliminaran por completo los elementos de riesgo que justifican la vigencia de las presentes med</w:t>
      </w:r>
      <w:r w:rsidR="00BC4A2D">
        <w:rPr>
          <w:rFonts w:ascii="Verdana" w:hAnsi="Verdana" w:cs="Verdana"/>
          <w:sz w:val="20"/>
          <w:szCs w:val="20"/>
          <w:lang w:val="es-ES"/>
        </w:rPr>
        <w:t>idas</w:t>
      </w:r>
      <w:r w:rsidR="006A0F01">
        <w:rPr>
          <w:rFonts w:ascii="Verdana" w:hAnsi="Verdana" w:cs="Verdana"/>
          <w:sz w:val="20"/>
          <w:szCs w:val="20"/>
          <w:lang w:val="es-ES"/>
        </w:rPr>
        <w:t>”</w:t>
      </w:r>
      <w:r w:rsidR="00BC4A2D">
        <w:rPr>
          <w:rFonts w:ascii="Verdana" w:hAnsi="Verdana" w:cs="Verdana"/>
          <w:sz w:val="20"/>
          <w:szCs w:val="20"/>
          <w:lang w:val="es-ES"/>
        </w:rPr>
        <w:t xml:space="preserve">. </w:t>
      </w:r>
      <w:r w:rsidR="006A0F01">
        <w:rPr>
          <w:rFonts w:ascii="Verdana" w:hAnsi="Verdana" w:cs="Verdana"/>
          <w:sz w:val="20"/>
          <w:szCs w:val="20"/>
          <w:lang w:val="es-ES"/>
        </w:rPr>
        <w:t>Además, las representantes indicaron</w:t>
      </w:r>
      <w:r w:rsidR="006114DF">
        <w:rPr>
          <w:rFonts w:ascii="Verdana" w:hAnsi="Verdana" w:cs="Verdana"/>
          <w:sz w:val="20"/>
          <w:szCs w:val="20"/>
          <w:lang w:val="es-ES"/>
        </w:rPr>
        <w:t xml:space="preserve"> </w:t>
      </w:r>
      <w:r w:rsidR="009A23BB">
        <w:rPr>
          <w:rFonts w:ascii="Verdana" w:hAnsi="Verdana" w:cs="Verdana"/>
          <w:sz w:val="20"/>
          <w:szCs w:val="20"/>
          <w:lang w:val="es-ES"/>
        </w:rPr>
        <w:t xml:space="preserve">que </w:t>
      </w:r>
      <w:r w:rsidR="006A0F01">
        <w:rPr>
          <w:rFonts w:ascii="Verdana" w:hAnsi="Verdana" w:cs="Verdana"/>
          <w:sz w:val="20"/>
          <w:szCs w:val="20"/>
          <w:lang w:val="es-ES"/>
        </w:rPr>
        <w:t xml:space="preserve">el </w:t>
      </w:r>
      <w:r w:rsidR="009A23BB">
        <w:rPr>
          <w:rFonts w:ascii="Verdana" w:hAnsi="Verdana" w:cs="Verdana"/>
          <w:sz w:val="20"/>
          <w:szCs w:val="20"/>
          <w:lang w:val="es-ES"/>
        </w:rPr>
        <w:t xml:space="preserve">Estado </w:t>
      </w:r>
      <w:r w:rsidR="006A0F01">
        <w:rPr>
          <w:rFonts w:ascii="Verdana" w:hAnsi="Verdana" w:cs="Verdana"/>
          <w:sz w:val="20"/>
          <w:szCs w:val="20"/>
          <w:lang w:val="es-ES"/>
        </w:rPr>
        <w:t>debe</w:t>
      </w:r>
      <w:r w:rsidR="009A23BB">
        <w:rPr>
          <w:rFonts w:ascii="Verdana" w:hAnsi="Verdana" w:cs="Verdana"/>
          <w:sz w:val="20"/>
          <w:szCs w:val="20"/>
          <w:lang w:val="es-ES"/>
        </w:rPr>
        <w:t xml:space="preserve"> informa</w:t>
      </w:r>
      <w:r w:rsidR="006A0F01">
        <w:rPr>
          <w:rFonts w:ascii="Verdana" w:hAnsi="Verdana" w:cs="Verdana"/>
          <w:sz w:val="20"/>
          <w:szCs w:val="20"/>
          <w:lang w:val="es-ES"/>
        </w:rPr>
        <w:t>r</w:t>
      </w:r>
      <w:r w:rsidR="009A23BB">
        <w:rPr>
          <w:rFonts w:ascii="Verdana" w:hAnsi="Verdana" w:cs="Verdana"/>
          <w:sz w:val="20"/>
          <w:szCs w:val="20"/>
          <w:lang w:val="es-ES"/>
        </w:rPr>
        <w:t xml:space="preserve"> con respecto al estado actual de las investigaciones</w:t>
      </w:r>
      <w:r w:rsidR="006114DF">
        <w:rPr>
          <w:rFonts w:ascii="Verdana" w:hAnsi="Verdana" w:cs="Verdana"/>
          <w:sz w:val="20"/>
          <w:szCs w:val="20"/>
          <w:lang w:val="es-ES"/>
        </w:rPr>
        <w:t xml:space="preserve"> </w:t>
      </w:r>
      <w:r w:rsidR="00BD162A">
        <w:rPr>
          <w:rFonts w:ascii="Verdana" w:hAnsi="Verdana" w:cs="Verdana"/>
          <w:sz w:val="20"/>
          <w:szCs w:val="20"/>
          <w:lang w:val="es-ES"/>
        </w:rPr>
        <w:t xml:space="preserve">de los hechos que originaron la necesidad de otorgar medidas a favor </w:t>
      </w:r>
      <w:r w:rsidR="009A23BB">
        <w:rPr>
          <w:rFonts w:ascii="Verdana" w:hAnsi="Verdana" w:cs="Verdana"/>
          <w:sz w:val="20"/>
          <w:szCs w:val="20"/>
          <w:lang w:val="es-ES"/>
        </w:rPr>
        <w:t>de Santiago Cabrera</w:t>
      </w:r>
      <w:r w:rsidR="00BD162A">
        <w:rPr>
          <w:rFonts w:ascii="Verdana" w:hAnsi="Verdana" w:cs="Verdana"/>
          <w:sz w:val="20"/>
          <w:szCs w:val="20"/>
          <w:lang w:val="es-ES"/>
        </w:rPr>
        <w:t xml:space="preserve"> López y sus familiares,</w:t>
      </w:r>
      <w:r w:rsidR="009A23BB">
        <w:rPr>
          <w:rFonts w:ascii="Verdana" w:hAnsi="Verdana" w:cs="Verdana"/>
          <w:sz w:val="20"/>
          <w:szCs w:val="20"/>
          <w:lang w:val="es-ES"/>
        </w:rPr>
        <w:t xml:space="preserve"> </w:t>
      </w:r>
      <w:r w:rsidR="00723EBF">
        <w:rPr>
          <w:rFonts w:ascii="Verdana" w:hAnsi="Verdana" w:cs="Verdana"/>
          <w:sz w:val="20"/>
          <w:szCs w:val="20"/>
          <w:lang w:val="es-ES"/>
        </w:rPr>
        <w:t xml:space="preserve">así </w:t>
      </w:r>
      <w:r w:rsidR="009A23BB">
        <w:rPr>
          <w:rFonts w:ascii="Verdana" w:hAnsi="Verdana" w:cs="Verdana"/>
          <w:sz w:val="20"/>
          <w:szCs w:val="20"/>
          <w:lang w:val="es-ES"/>
        </w:rPr>
        <w:t xml:space="preserve">como de Aron </w:t>
      </w:r>
      <w:r w:rsidR="00B04DF5">
        <w:rPr>
          <w:rFonts w:ascii="Verdana" w:hAnsi="Verdana" w:cs="Verdana"/>
          <w:sz w:val="20"/>
          <w:szCs w:val="20"/>
          <w:lang w:val="es-ES"/>
        </w:rPr>
        <w:t>Álvarez</w:t>
      </w:r>
      <w:r w:rsidR="00BD162A">
        <w:rPr>
          <w:rFonts w:ascii="Verdana" w:hAnsi="Verdana" w:cs="Verdana"/>
          <w:sz w:val="20"/>
          <w:szCs w:val="20"/>
          <w:lang w:val="es-ES"/>
        </w:rPr>
        <w:t xml:space="preserve"> Mendoza y sus familiares</w:t>
      </w:r>
      <w:r w:rsidR="00B04DF5">
        <w:rPr>
          <w:rFonts w:ascii="Verdana" w:hAnsi="Verdana" w:cs="Verdana"/>
          <w:sz w:val="20"/>
          <w:szCs w:val="20"/>
          <w:lang w:val="es-ES"/>
        </w:rPr>
        <w:t>, para poder garantizar que los hechos no se repitan y, así dar una garantía de seguridad a los beneficiarios</w:t>
      </w:r>
      <w:r w:rsidR="00BC4A2D">
        <w:rPr>
          <w:rFonts w:ascii="Verdana" w:hAnsi="Verdana" w:cs="Verdana"/>
          <w:sz w:val="20"/>
          <w:szCs w:val="20"/>
          <w:lang w:val="es-ES"/>
        </w:rPr>
        <w:t>.</w:t>
      </w:r>
      <w:r w:rsidR="00CE1385">
        <w:rPr>
          <w:rFonts w:ascii="Verdana" w:hAnsi="Verdana" w:cs="Verdana"/>
          <w:sz w:val="20"/>
          <w:szCs w:val="20"/>
          <w:lang w:val="es-ES"/>
        </w:rPr>
        <w:t xml:space="preserve"> </w:t>
      </w:r>
    </w:p>
    <w:p w:rsidR="007E241E" w:rsidRPr="007E241E" w:rsidRDefault="007E241E" w:rsidP="007E241E">
      <w:pPr>
        <w:pStyle w:val="ListParagraph"/>
        <w:autoSpaceDE w:val="0"/>
        <w:autoSpaceDN w:val="0"/>
        <w:adjustRightInd w:val="0"/>
        <w:spacing w:after="0" w:line="240" w:lineRule="auto"/>
        <w:ind w:left="0"/>
        <w:jc w:val="both"/>
        <w:rPr>
          <w:rFonts w:ascii="Verdana" w:hAnsi="Verdana" w:cstheme="minorHAnsi"/>
          <w:sz w:val="20"/>
          <w:szCs w:val="20"/>
          <w:lang w:val="es-ES"/>
        </w:rPr>
      </w:pPr>
    </w:p>
    <w:p w:rsidR="003F627B" w:rsidRPr="005676C4" w:rsidRDefault="003F627B" w:rsidP="005676C4">
      <w:pPr>
        <w:pStyle w:val="ListParagraph"/>
        <w:numPr>
          <w:ilvl w:val="2"/>
          <w:numId w:val="3"/>
        </w:numPr>
        <w:tabs>
          <w:tab w:val="left" w:pos="1170"/>
        </w:tabs>
        <w:autoSpaceDE w:val="0"/>
        <w:autoSpaceDN w:val="0"/>
        <w:adjustRightInd w:val="0"/>
        <w:spacing w:after="0" w:line="240" w:lineRule="auto"/>
        <w:ind w:left="567" w:firstLine="0"/>
        <w:jc w:val="both"/>
        <w:rPr>
          <w:rFonts w:ascii="Verdana" w:hAnsi="Verdana"/>
          <w:b/>
          <w:i/>
          <w:sz w:val="20"/>
          <w:szCs w:val="20"/>
          <w:lang w:val="es-ES"/>
        </w:rPr>
      </w:pPr>
      <w:r w:rsidRPr="005676C4">
        <w:rPr>
          <w:rFonts w:ascii="Verdana" w:hAnsi="Verdana"/>
          <w:b/>
          <w:i/>
          <w:sz w:val="20"/>
          <w:szCs w:val="20"/>
          <w:lang w:val="es-ES"/>
        </w:rPr>
        <w:t>Consideraciones</w:t>
      </w:r>
      <w:r w:rsidR="000F6220" w:rsidRPr="005676C4">
        <w:rPr>
          <w:rFonts w:ascii="Verdana" w:hAnsi="Verdana"/>
          <w:b/>
          <w:i/>
          <w:sz w:val="20"/>
          <w:szCs w:val="20"/>
          <w:lang w:val="es-ES"/>
        </w:rPr>
        <w:t xml:space="preserve"> de la Corte</w:t>
      </w:r>
      <w:r w:rsidRPr="005676C4">
        <w:rPr>
          <w:rFonts w:ascii="Verdana" w:hAnsi="Verdana"/>
          <w:b/>
          <w:i/>
          <w:sz w:val="20"/>
          <w:szCs w:val="20"/>
          <w:lang w:val="es-ES"/>
        </w:rPr>
        <w:t xml:space="preserve"> </w:t>
      </w:r>
    </w:p>
    <w:p w:rsidR="009759AD" w:rsidRPr="00AA37CE" w:rsidRDefault="009759AD" w:rsidP="00AA37CE">
      <w:pPr>
        <w:tabs>
          <w:tab w:val="left" w:pos="1170"/>
        </w:tabs>
        <w:autoSpaceDE w:val="0"/>
        <w:autoSpaceDN w:val="0"/>
        <w:adjustRightInd w:val="0"/>
        <w:spacing w:after="0" w:line="240" w:lineRule="auto"/>
        <w:jc w:val="both"/>
        <w:rPr>
          <w:rFonts w:ascii="Verdana" w:hAnsi="Verdana"/>
          <w:b/>
          <w:i/>
          <w:sz w:val="20"/>
          <w:szCs w:val="20"/>
          <w:lang w:val="es-ES"/>
        </w:rPr>
      </w:pPr>
    </w:p>
    <w:p w:rsidR="00743A2C" w:rsidRPr="00743A2C" w:rsidRDefault="00743A2C" w:rsidP="00743A2C">
      <w:pPr>
        <w:pStyle w:val="ListParagraph"/>
        <w:numPr>
          <w:ilvl w:val="0"/>
          <w:numId w:val="6"/>
        </w:numPr>
        <w:spacing w:after="0" w:line="240" w:lineRule="auto"/>
        <w:ind w:left="0" w:firstLine="0"/>
        <w:jc w:val="both"/>
        <w:rPr>
          <w:rFonts w:ascii="Verdana" w:hAnsi="Verdana"/>
          <w:sz w:val="20"/>
          <w:szCs w:val="20"/>
          <w:lang w:val="es-ES_tradnl"/>
        </w:rPr>
      </w:pPr>
      <w:r w:rsidRPr="00743A2C">
        <w:rPr>
          <w:rFonts w:ascii="Verdana" w:hAnsi="Verdana"/>
          <w:sz w:val="20"/>
          <w:szCs w:val="20"/>
        </w:rPr>
        <w:t xml:space="preserve">La Corte nota que </w:t>
      </w:r>
      <w:r w:rsidR="006114DF">
        <w:rPr>
          <w:rFonts w:ascii="Verdana" w:hAnsi="Verdana"/>
          <w:sz w:val="20"/>
          <w:szCs w:val="20"/>
        </w:rPr>
        <w:t xml:space="preserve">en general </w:t>
      </w:r>
      <w:r w:rsidRPr="00743A2C">
        <w:rPr>
          <w:rFonts w:ascii="Verdana" w:hAnsi="Verdana"/>
          <w:sz w:val="20"/>
          <w:szCs w:val="20"/>
        </w:rPr>
        <w:t>los últimos hechos concretos</w:t>
      </w:r>
      <w:r w:rsidR="003544E8">
        <w:rPr>
          <w:rFonts w:ascii="Verdana" w:hAnsi="Verdana"/>
          <w:sz w:val="20"/>
          <w:szCs w:val="20"/>
        </w:rPr>
        <w:t xml:space="preserve"> alegados</w:t>
      </w:r>
      <w:r w:rsidRPr="00743A2C">
        <w:rPr>
          <w:rFonts w:ascii="Verdana" w:hAnsi="Verdana"/>
          <w:sz w:val="20"/>
          <w:szCs w:val="20"/>
        </w:rPr>
        <w:t xml:space="preserve"> </w:t>
      </w:r>
      <w:r w:rsidR="003544E8">
        <w:rPr>
          <w:rFonts w:ascii="Verdana" w:hAnsi="Verdana"/>
          <w:sz w:val="20"/>
          <w:szCs w:val="20"/>
        </w:rPr>
        <w:t xml:space="preserve">que </w:t>
      </w:r>
      <w:r w:rsidRPr="00743A2C">
        <w:rPr>
          <w:rFonts w:ascii="Verdana" w:hAnsi="Verdana"/>
          <w:sz w:val="20"/>
          <w:szCs w:val="20"/>
        </w:rPr>
        <w:t xml:space="preserve">ponían en riesgo la vida e integridad de beneficiarios fueron informados </w:t>
      </w:r>
      <w:r>
        <w:rPr>
          <w:rFonts w:ascii="Verdana" w:hAnsi="Verdana"/>
          <w:sz w:val="20"/>
          <w:szCs w:val="20"/>
        </w:rPr>
        <w:t>con anterioridad a la última resolución de la Corte en el presente caso</w:t>
      </w:r>
      <w:r w:rsidR="00BC4A2D">
        <w:rPr>
          <w:rFonts w:ascii="Verdana" w:hAnsi="Verdana"/>
          <w:sz w:val="20"/>
          <w:szCs w:val="20"/>
        </w:rPr>
        <w:t>,</w:t>
      </w:r>
      <w:r>
        <w:rPr>
          <w:rFonts w:ascii="Verdana" w:hAnsi="Verdana"/>
          <w:sz w:val="20"/>
          <w:szCs w:val="20"/>
        </w:rPr>
        <w:t xml:space="preserve"> es deci</w:t>
      </w:r>
      <w:r w:rsidR="00BC4A2D">
        <w:rPr>
          <w:rFonts w:ascii="Verdana" w:hAnsi="Verdana"/>
          <w:sz w:val="20"/>
          <w:szCs w:val="20"/>
        </w:rPr>
        <w:t>r,</w:t>
      </w:r>
      <w:r>
        <w:rPr>
          <w:rFonts w:ascii="Verdana" w:hAnsi="Verdana"/>
          <w:sz w:val="20"/>
          <w:szCs w:val="20"/>
        </w:rPr>
        <w:t xml:space="preserve"> antes del 31 de agosto de 2016</w:t>
      </w:r>
      <w:r w:rsidRPr="00743A2C">
        <w:rPr>
          <w:rFonts w:ascii="Verdana" w:hAnsi="Verdana"/>
          <w:sz w:val="20"/>
          <w:szCs w:val="20"/>
        </w:rPr>
        <w:t xml:space="preserve">, </w:t>
      </w:r>
      <w:r>
        <w:rPr>
          <w:rFonts w:ascii="Verdana" w:hAnsi="Verdana"/>
          <w:sz w:val="20"/>
          <w:szCs w:val="20"/>
        </w:rPr>
        <w:t>hace más</w:t>
      </w:r>
      <w:r w:rsidRPr="00743A2C">
        <w:rPr>
          <w:rFonts w:ascii="Verdana" w:hAnsi="Verdana"/>
          <w:sz w:val="20"/>
          <w:szCs w:val="20"/>
        </w:rPr>
        <w:t xml:space="preserve"> </w:t>
      </w:r>
      <w:r>
        <w:rPr>
          <w:rFonts w:ascii="Verdana" w:hAnsi="Verdana"/>
          <w:sz w:val="20"/>
          <w:szCs w:val="20"/>
        </w:rPr>
        <w:t xml:space="preserve">de dos </w:t>
      </w:r>
      <w:r w:rsidR="00CE1385">
        <w:rPr>
          <w:rFonts w:ascii="Verdana" w:hAnsi="Verdana"/>
          <w:sz w:val="20"/>
          <w:szCs w:val="20"/>
        </w:rPr>
        <w:t>años.</w:t>
      </w:r>
      <w:r w:rsidR="006114DF">
        <w:rPr>
          <w:rFonts w:ascii="Verdana" w:hAnsi="Verdana"/>
          <w:sz w:val="20"/>
          <w:szCs w:val="20"/>
        </w:rPr>
        <w:t xml:space="preserve"> No obstante, </w:t>
      </w:r>
      <w:r w:rsidR="003544E8">
        <w:rPr>
          <w:rFonts w:ascii="Verdana" w:hAnsi="Verdana"/>
          <w:sz w:val="20"/>
          <w:szCs w:val="20"/>
        </w:rPr>
        <w:t xml:space="preserve">las representantes </w:t>
      </w:r>
      <w:r w:rsidR="0059636C">
        <w:rPr>
          <w:rFonts w:ascii="Verdana" w:hAnsi="Verdana"/>
          <w:sz w:val="20"/>
          <w:szCs w:val="20"/>
        </w:rPr>
        <w:t xml:space="preserve">en sus observaciones de 15 de noviembre de 2018 </w:t>
      </w:r>
      <w:r w:rsidR="006114DF">
        <w:rPr>
          <w:rFonts w:ascii="Verdana" w:hAnsi="Verdana"/>
          <w:sz w:val="20"/>
          <w:szCs w:val="20"/>
        </w:rPr>
        <w:t>señalaron que el 20 de junio de 2018 el señor Álvarez recibió una amenaza vía telefónica.</w:t>
      </w:r>
    </w:p>
    <w:p w:rsidR="00743A2C" w:rsidRPr="00743A2C" w:rsidRDefault="00743A2C" w:rsidP="00743A2C">
      <w:pPr>
        <w:pStyle w:val="ListParagraph"/>
        <w:spacing w:after="0" w:line="240" w:lineRule="auto"/>
        <w:ind w:left="0"/>
        <w:jc w:val="both"/>
        <w:rPr>
          <w:rFonts w:ascii="Verdana" w:hAnsi="Verdana"/>
          <w:sz w:val="20"/>
          <w:szCs w:val="20"/>
          <w:lang w:val="es-ES_tradnl"/>
        </w:rPr>
      </w:pPr>
    </w:p>
    <w:p w:rsidR="004F1670" w:rsidRPr="00723EBF" w:rsidRDefault="00743A2C" w:rsidP="00723EBF">
      <w:pPr>
        <w:pStyle w:val="ListParagraph"/>
        <w:numPr>
          <w:ilvl w:val="0"/>
          <w:numId w:val="6"/>
        </w:numPr>
        <w:spacing w:after="0" w:line="240" w:lineRule="auto"/>
        <w:ind w:left="0" w:firstLine="0"/>
        <w:jc w:val="both"/>
        <w:rPr>
          <w:rFonts w:ascii="Verdana" w:hAnsi="Verdana"/>
          <w:sz w:val="20"/>
          <w:szCs w:val="20"/>
          <w:lang w:val="es-ES_tradnl"/>
        </w:rPr>
      </w:pPr>
      <w:r w:rsidRPr="00743A2C">
        <w:rPr>
          <w:rFonts w:ascii="Verdana" w:hAnsi="Verdana"/>
          <w:sz w:val="20"/>
          <w:szCs w:val="20"/>
        </w:rPr>
        <w:t>Los argumentos expuestos por l</w:t>
      </w:r>
      <w:r w:rsidR="003544E8">
        <w:rPr>
          <w:rFonts w:ascii="Verdana" w:hAnsi="Verdana"/>
          <w:sz w:val="20"/>
          <w:szCs w:val="20"/>
        </w:rPr>
        <w:t>a</w:t>
      </w:r>
      <w:r w:rsidRPr="00743A2C">
        <w:rPr>
          <w:rFonts w:ascii="Verdana" w:hAnsi="Verdana"/>
          <w:sz w:val="20"/>
          <w:szCs w:val="20"/>
        </w:rPr>
        <w:t>s repr</w:t>
      </w:r>
      <w:r>
        <w:rPr>
          <w:rFonts w:ascii="Verdana" w:hAnsi="Verdana"/>
          <w:sz w:val="20"/>
          <w:szCs w:val="20"/>
        </w:rPr>
        <w:t>esentantes en sus escritos</w:t>
      </w:r>
      <w:r w:rsidR="00033BD2">
        <w:rPr>
          <w:rFonts w:ascii="Verdana" w:hAnsi="Verdana"/>
          <w:sz w:val="20"/>
          <w:szCs w:val="20"/>
        </w:rPr>
        <w:t xml:space="preserve"> de observaci</w:t>
      </w:r>
      <w:r w:rsidR="00723EBF">
        <w:rPr>
          <w:rFonts w:ascii="Verdana" w:hAnsi="Verdana"/>
          <w:sz w:val="20"/>
          <w:szCs w:val="20"/>
        </w:rPr>
        <w:t>ones</w:t>
      </w:r>
      <w:r>
        <w:rPr>
          <w:rFonts w:ascii="Verdana" w:hAnsi="Verdana"/>
          <w:sz w:val="20"/>
          <w:szCs w:val="20"/>
        </w:rPr>
        <w:t xml:space="preserve"> de 18</w:t>
      </w:r>
      <w:r w:rsidRPr="00743A2C">
        <w:rPr>
          <w:rFonts w:ascii="Verdana" w:hAnsi="Verdana"/>
          <w:sz w:val="20"/>
          <w:szCs w:val="20"/>
        </w:rPr>
        <w:t xml:space="preserve"> de </w:t>
      </w:r>
      <w:r w:rsidR="006114DF">
        <w:rPr>
          <w:rFonts w:ascii="Verdana" w:hAnsi="Verdana"/>
          <w:sz w:val="20"/>
          <w:szCs w:val="20"/>
        </w:rPr>
        <w:t>julio de 2017,</w:t>
      </w:r>
      <w:r>
        <w:rPr>
          <w:rFonts w:ascii="Verdana" w:hAnsi="Verdana"/>
          <w:sz w:val="20"/>
          <w:szCs w:val="20"/>
        </w:rPr>
        <w:t xml:space="preserve"> 15 de marzo</w:t>
      </w:r>
      <w:r w:rsidRPr="00743A2C">
        <w:rPr>
          <w:rFonts w:ascii="Verdana" w:hAnsi="Verdana"/>
          <w:sz w:val="20"/>
          <w:szCs w:val="20"/>
        </w:rPr>
        <w:t xml:space="preserve"> </w:t>
      </w:r>
      <w:r w:rsidR="006114DF">
        <w:rPr>
          <w:rFonts w:ascii="Verdana" w:hAnsi="Verdana"/>
          <w:sz w:val="20"/>
          <w:szCs w:val="20"/>
        </w:rPr>
        <w:t xml:space="preserve">y 15 de noviembre </w:t>
      </w:r>
      <w:r w:rsidRPr="00743A2C">
        <w:rPr>
          <w:rFonts w:ascii="Verdana" w:hAnsi="Verdana"/>
          <w:sz w:val="20"/>
          <w:szCs w:val="20"/>
        </w:rPr>
        <w:t xml:space="preserve">de 2018, relativos </w:t>
      </w:r>
      <w:r w:rsidR="0081126B">
        <w:rPr>
          <w:rFonts w:ascii="Verdana" w:hAnsi="Verdana"/>
          <w:sz w:val="20"/>
          <w:szCs w:val="20"/>
        </w:rPr>
        <w:t xml:space="preserve">a la falta de adopción de </w:t>
      </w:r>
      <w:r w:rsidRPr="00743A2C">
        <w:rPr>
          <w:rFonts w:ascii="Verdana" w:hAnsi="Verdana"/>
          <w:sz w:val="20"/>
          <w:szCs w:val="20"/>
        </w:rPr>
        <w:t xml:space="preserve">medidas </w:t>
      </w:r>
      <w:r w:rsidR="00033BD2">
        <w:rPr>
          <w:rFonts w:ascii="Verdana" w:hAnsi="Verdana"/>
          <w:sz w:val="20"/>
          <w:szCs w:val="20"/>
        </w:rPr>
        <w:t xml:space="preserve">por parte del Estado </w:t>
      </w:r>
      <w:r w:rsidRPr="00743A2C">
        <w:rPr>
          <w:rFonts w:ascii="Verdana" w:hAnsi="Verdana"/>
          <w:sz w:val="20"/>
          <w:szCs w:val="20"/>
        </w:rPr>
        <w:t xml:space="preserve">para proteger la vida e integridad personal de los beneficiarios </w:t>
      </w:r>
      <w:r w:rsidR="002B134C">
        <w:rPr>
          <w:rFonts w:ascii="Verdana" w:hAnsi="Verdana"/>
          <w:sz w:val="20"/>
          <w:szCs w:val="20"/>
        </w:rPr>
        <w:t xml:space="preserve">ante la </w:t>
      </w:r>
      <w:r w:rsidRPr="00743A2C">
        <w:rPr>
          <w:rFonts w:ascii="Verdana" w:hAnsi="Verdana"/>
          <w:sz w:val="20"/>
          <w:szCs w:val="20"/>
        </w:rPr>
        <w:t>persist</w:t>
      </w:r>
      <w:r w:rsidR="002B134C">
        <w:rPr>
          <w:rFonts w:ascii="Verdana" w:hAnsi="Verdana"/>
          <w:sz w:val="20"/>
          <w:szCs w:val="20"/>
        </w:rPr>
        <w:t>encia de</w:t>
      </w:r>
      <w:r w:rsidRPr="00743A2C">
        <w:rPr>
          <w:rFonts w:ascii="Verdana" w:hAnsi="Verdana"/>
          <w:sz w:val="20"/>
          <w:szCs w:val="20"/>
        </w:rPr>
        <w:t xml:space="preserve"> la situación de grave riesgo, así como a la falta de investigación de los actos de violencia que motivaron la adopción de las medidas, no constituyen por sí solos hechos de extrema gravedad y urgencia que ameriten su mantenimiento, ante la ausencia de nuevos hechos de</w:t>
      </w:r>
      <w:r>
        <w:rPr>
          <w:rFonts w:ascii="Verdana" w:hAnsi="Verdana"/>
          <w:sz w:val="20"/>
          <w:szCs w:val="20"/>
        </w:rPr>
        <w:t xml:space="preserve"> riesgo por un razonable lapso</w:t>
      </w:r>
      <w:r w:rsidR="00CE1385">
        <w:rPr>
          <w:rStyle w:val="FootnoteReference"/>
          <w:rFonts w:ascii="Verdana" w:hAnsi="Verdana"/>
          <w:sz w:val="20"/>
          <w:szCs w:val="20"/>
        </w:rPr>
        <w:footnoteReference w:id="8"/>
      </w:r>
      <w:r w:rsidRPr="00743A2C">
        <w:rPr>
          <w:rFonts w:ascii="Verdana" w:hAnsi="Verdana"/>
          <w:sz w:val="20"/>
          <w:szCs w:val="20"/>
        </w:rPr>
        <w:t>. En razón de su competencia, en el marco de medidas provisionales la Corte debe considerar únicamente aquellos argumentos que se relacionen estricta y directamente con la extrema gravedad, urgencia y necesidad de evitar daños irreparables a las personas</w:t>
      </w:r>
      <w:r w:rsidR="00C80138">
        <w:rPr>
          <w:rStyle w:val="FootnoteReference"/>
          <w:rFonts w:ascii="Verdana" w:hAnsi="Verdana"/>
          <w:sz w:val="20"/>
          <w:szCs w:val="20"/>
        </w:rPr>
        <w:footnoteReference w:id="9"/>
      </w:r>
      <w:r w:rsidRPr="00743A2C">
        <w:rPr>
          <w:rFonts w:ascii="Verdana" w:hAnsi="Verdana"/>
          <w:sz w:val="20"/>
          <w:szCs w:val="20"/>
        </w:rPr>
        <w:t>. Correspondería que los beneficiarios, sus representantes o la Comisión argumenten y demuestren que tal falta de investigación contribuye o es la causante de una situación concreta de extrema gravedad y urgencia de evitar daños irreparables, lo cual no ha sucedido en este caso</w:t>
      </w:r>
      <w:r w:rsidR="00967D28">
        <w:rPr>
          <w:rStyle w:val="FootnoteReference"/>
          <w:rFonts w:ascii="Verdana" w:hAnsi="Verdana"/>
          <w:sz w:val="20"/>
          <w:szCs w:val="20"/>
        </w:rPr>
        <w:footnoteReference w:id="10"/>
      </w:r>
      <w:r w:rsidR="006E0186">
        <w:rPr>
          <w:rFonts w:ascii="Verdana" w:hAnsi="Verdana"/>
          <w:sz w:val="20"/>
          <w:szCs w:val="20"/>
        </w:rPr>
        <w:t>.</w:t>
      </w:r>
      <w:r w:rsidR="004F1670">
        <w:rPr>
          <w:rFonts w:ascii="Verdana" w:hAnsi="Verdana"/>
          <w:sz w:val="20"/>
          <w:szCs w:val="20"/>
        </w:rPr>
        <w:t xml:space="preserve"> </w:t>
      </w:r>
    </w:p>
    <w:p w:rsidR="004F1670" w:rsidRPr="006E0186" w:rsidRDefault="004F1670" w:rsidP="00723EBF">
      <w:pPr>
        <w:pStyle w:val="ListParagraph"/>
        <w:spacing w:after="0" w:line="240" w:lineRule="auto"/>
        <w:ind w:left="0"/>
        <w:jc w:val="both"/>
        <w:rPr>
          <w:rFonts w:ascii="Verdana" w:hAnsi="Verdana"/>
          <w:sz w:val="20"/>
          <w:szCs w:val="20"/>
          <w:lang w:val="es-ES_tradnl"/>
        </w:rPr>
      </w:pPr>
    </w:p>
    <w:p w:rsidR="004F1670" w:rsidRPr="00470A1A" w:rsidRDefault="00333997" w:rsidP="00470A1A">
      <w:pPr>
        <w:pStyle w:val="ListParagraph"/>
        <w:numPr>
          <w:ilvl w:val="0"/>
          <w:numId w:val="6"/>
        </w:numPr>
        <w:spacing w:after="0" w:line="240" w:lineRule="auto"/>
        <w:ind w:left="0" w:firstLine="0"/>
        <w:jc w:val="both"/>
        <w:rPr>
          <w:rFonts w:ascii="Verdana" w:hAnsi="Verdana" w:cstheme="minorHAnsi"/>
          <w:sz w:val="20"/>
          <w:szCs w:val="20"/>
          <w:lang w:val="es-ES"/>
        </w:rPr>
      </w:pPr>
      <w:r>
        <w:rPr>
          <w:rFonts w:ascii="Verdana" w:hAnsi="Verdana"/>
          <w:sz w:val="20"/>
          <w:szCs w:val="20"/>
        </w:rPr>
        <w:t>E</w:t>
      </w:r>
      <w:r w:rsidR="00CF35F1" w:rsidRPr="00333997">
        <w:rPr>
          <w:rFonts w:ascii="Verdana" w:hAnsi="Verdana"/>
          <w:sz w:val="20"/>
          <w:szCs w:val="20"/>
        </w:rPr>
        <w:t>ste</w:t>
      </w:r>
      <w:r w:rsidR="000D7638" w:rsidRPr="00333997">
        <w:rPr>
          <w:rFonts w:ascii="Verdana" w:hAnsi="Verdana"/>
          <w:sz w:val="20"/>
          <w:szCs w:val="20"/>
        </w:rPr>
        <w:t xml:space="preserve"> Tribunal not</w:t>
      </w:r>
      <w:r w:rsidR="00743A2C" w:rsidRPr="00333997">
        <w:rPr>
          <w:rFonts w:ascii="Verdana" w:hAnsi="Verdana"/>
          <w:sz w:val="20"/>
          <w:szCs w:val="20"/>
        </w:rPr>
        <w:t>a que en los últimos</w:t>
      </w:r>
      <w:r w:rsidR="00082757" w:rsidRPr="00333997">
        <w:rPr>
          <w:rFonts w:ascii="Verdana" w:hAnsi="Verdana"/>
          <w:sz w:val="20"/>
          <w:szCs w:val="20"/>
        </w:rPr>
        <w:t xml:space="preserve"> dos</w:t>
      </w:r>
      <w:r w:rsidR="00743A2C" w:rsidRPr="00333997">
        <w:rPr>
          <w:rFonts w:ascii="Verdana" w:hAnsi="Verdana"/>
          <w:sz w:val="20"/>
          <w:szCs w:val="20"/>
        </w:rPr>
        <w:t xml:space="preserve"> años no se han informado situaciones particulares de riesgo en contra de la vida e integridad de los beneficiarios</w:t>
      </w:r>
      <w:r w:rsidR="006114DF">
        <w:rPr>
          <w:rFonts w:ascii="Verdana" w:hAnsi="Verdana"/>
          <w:sz w:val="20"/>
          <w:szCs w:val="20"/>
        </w:rPr>
        <w:t xml:space="preserve">, excepto el hecho recién señalado en el informe de </w:t>
      </w:r>
      <w:r w:rsidR="00C652F6">
        <w:rPr>
          <w:rFonts w:ascii="Verdana" w:hAnsi="Verdana"/>
          <w:sz w:val="20"/>
          <w:szCs w:val="20"/>
        </w:rPr>
        <w:t xml:space="preserve">las representantes de </w:t>
      </w:r>
      <w:r w:rsidR="006114DF">
        <w:rPr>
          <w:rFonts w:ascii="Verdana" w:hAnsi="Verdana"/>
          <w:sz w:val="20"/>
          <w:szCs w:val="20"/>
        </w:rPr>
        <w:t>15 de noviembre de 2018, el cual según se afirmó por el propio beneficiario no fue denunciado</w:t>
      </w:r>
      <w:r w:rsidR="006E0186" w:rsidRPr="00333997">
        <w:rPr>
          <w:rFonts w:ascii="Verdana" w:hAnsi="Verdana"/>
          <w:sz w:val="20"/>
          <w:szCs w:val="20"/>
        </w:rPr>
        <w:t xml:space="preserve">. No obstante, </w:t>
      </w:r>
      <w:r w:rsidR="00EF30D4" w:rsidRPr="00333997">
        <w:rPr>
          <w:rFonts w:ascii="Verdana" w:hAnsi="Verdana"/>
          <w:sz w:val="20"/>
          <w:szCs w:val="20"/>
        </w:rPr>
        <w:t xml:space="preserve">advierte que </w:t>
      </w:r>
      <w:r w:rsidR="006E0186" w:rsidRPr="00333997">
        <w:rPr>
          <w:rFonts w:ascii="Verdana" w:hAnsi="Verdana"/>
          <w:sz w:val="20"/>
          <w:szCs w:val="20"/>
        </w:rPr>
        <w:t xml:space="preserve">el Estado ha señalado </w:t>
      </w:r>
      <w:r w:rsidR="00EF30D4" w:rsidRPr="00333997">
        <w:rPr>
          <w:rFonts w:ascii="Verdana" w:hAnsi="Verdana"/>
          <w:sz w:val="20"/>
          <w:szCs w:val="20"/>
        </w:rPr>
        <w:t xml:space="preserve">que </w:t>
      </w:r>
      <w:r w:rsidR="00EF30D4" w:rsidRPr="00333997">
        <w:rPr>
          <w:rFonts w:ascii="Verdana" w:hAnsi="Verdana" w:cs="Verdana"/>
          <w:sz w:val="20"/>
          <w:szCs w:val="20"/>
          <w:lang w:val="es-ES"/>
        </w:rPr>
        <w:t xml:space="preserve">la Policía Nacional Civil, por medio de la División de Protección de Personas y Seguridad –DPPS- informó que el señor Álvarez Mendoza </w:t>
      </w:r>
      <w:r>
        <w:rPr>
          <w:rFonts w:ascii="Verdana" w:hAnsi="Verdana" w:cs="Verdana"/>
          <w:sz w:val="20"/>
          <w:szCs w:val="20"/>
          <w:lang w:val="es-ES"/>
        </w:rPr>
        <w:t xml:space="preserve">y su familia </w:t>
      </w:r>
      <w:r w:rsidR="00EF30D4" w:rsidRPr="00333997">
        <w:rPr>
          <w:rFonts w:ascii="Verdana" w:hAnsi="Verdana" w:cs="Verdana"/>
          <w:sz w:val="20"/>
          <w:szCs w:val="20"/>
          <w:lang w:val="es-ES"/>
        </w:rPr>
        <w:t>presenta</w:t>
      </w:r>
      <w:r>
        <w:rPr>
          <w:rFonts w:ascii="Verdana" w:hAnsi="Verdana" w:cs="Verdana"/>
          <w:sz w:val="20"/>
          <w:szCs w:val="20"/>
          <w:lang w:val="es-ES"/>
        </w:rPr>
        <w:t>n</w:t>
      </w:r>
      <w:r w:rsidR="00EF30D4" w:rsidRPr="00333997">
        <w:rPr>
          <w:rFonts w:ascii="Verdana" w:hAnsi="Verdana" w:cs="Verdana"/>
          <w:sz w:val="20"/>
          <w:szCs w:val="20"/>
          <w:lang w:val="es-ES"/>
        </w:rPr>
        <w:t xml:space="preserve"> un </w:t>
      </w:r>
      <w:r>
        <w:rPr>
          <w:rFonts w:ascii="Verdana" w:hAnsi="Verdana" w:cs="Verdana"/>
          <w:sz w:val="20"/>
          <w:szCs w:val="20"/>
          <w:lang w:val="es-ES"/>
        </w:rPr>
        <w:t>“</w:t>
      </w:r>
      <w:r w:rsidR="00EF30D4" w:rsidRPr="00333997">
        <w:rPr>
          <w:rFonts w:ascii="Verdana" w:hAnsi="Verdana" w:cs="Verdana"/>
          <w:sz w:val="20"/>
          <w:szCs w:val="20"/>
          <w:lang w:val="es-ES"/>
        </w:rPr>
        <w:t>nivel de riesgo medio</w:t>
      </w:r>
      <w:r>
        <w:rPr>
          <w:rFonts w:ascii="Verdana" w:hAnsi="Verdana" w:cs="Verdana"/>
          <w:sz w:val="20"/>
          <w:szCs w:val="20"/>
          <w:lang w:val="es-ES"/>
        </w:rPr>
        <w:t xml:space="preserve">”, </w:t>
      </w:r>
      <w:r w:rsidR="00EF30D4" w:rsidRPr="00333997">
        <w:rPr>
          <w:rFonts w:ascii="Verdana" w:hAnsi="Verdana" w:cs="Verdana"/>
          <w:sz w:val="20"/>
          <w:szCs w:val="20"/>
          <w:lang w:val="es-ES"/>
        </w:rPr>
        <w:t xml:space="preserve">y </w:t>
      </w:r>
      <w:r>
        <w:rPr>
          <w:rFonts w:ascii="Verdana" w:hAnsi="Verdana" w:cs="Verdana"/>
          <w:sz w:val="20"/>
          <w:szCs w:val="20"/>
          <w:lang w:val="es-ES"/>
        </w:rPr>
        <w:t xml:space="preserve">que </w:t>
      </w:r>
      <w:r w:rsidR="00EF30D4" w:rsidRPr="00333997">
        <w:rPr>
          <w:rFonts w:ascii="Verdana" w:hAnsi="Verdana" w:cs="Verdana"/>
          <w:sz w:val="20"/>
          <w:szCs w:val="20"/>
          <w:lang w:val="es-ES"/>
        </w:rPr>
        <w:t xml:space="preserve">el señor Cabrera López y sus familiares se encontraban en un </w:t>
      </w:r>
      <w:r>
        <w:rPr>
          <w:rFonts w:ascii="Verdana" w:hAnsi="Verdana" w:cs="Verdana"/>
          <w:sz w:val="20"/>
          <w:szCs w:val="20"/>
          <w:lang w:val="es-ES"/>
        </w:rPr>
        <w:t>“</w:t>
      </w:r>
      <w:r w:rsidR="00EF30D4" w:rsidRPr="00333997">
        <w:rPr>
          <w:rFonts w:ascii="Verdana" w:hAnsi="Verdana" w:cs="Verdana"/>
          <w:sz w:val="20"/>
          <w:szCs w:val="20"/>
          <w:lang w:val="es-ES"/>
        </w:rPr>
        <w:t>nivel de riesgo bajo</w:t>
      </w:r>
      <w:r>
        <w:rPr>
          <w:rFonts w:ascii="Verdana" w:hAnsi="Verdana" w:cs="Verdana"/>
          <w:sz w:val="20"/>
          <w:szCs w:val="20"/>
          <w:lang w:val="es-ES"/>
        </w:rPr>
        <w:t>”</w:t>
      </w:r>
      <w:r w:rsidR="00EF30D4" w:rsidRPr="00333997">
        <w:rPr>
          <w:rFonts w:ascii="Verdana" w:hAnsi="Verdana" w:cs="Verdana"/>
          <w:sz w:val="20"/>
          <w:szCs w:val="20"/>
          <w:lang w:val="es-ES"/>
        </w:rPr>
        <w:t>, y ofreció continuar con las medidas</w:t>
      </w:r>
      <w:r>
        <w:rPr>
          <w:rFonts w:ascii="Verdana" w:hAnsi="Verdana" w:cs="Verdana"/>
          <w:sz w:val="20"/>
          <w:szCs w:val="20"/>
          <w:lang w:val="es-ES"/>
        </w:rPr>
        <w:t xml:space="preserve"> correspondiente para cada grupo familiar</w:t>
      </w:r>
      <w:r w:rsidR="00EF30D4" w:rsidRPr="00333997">
        <w:rPr>
          <w:rFonts w:ascii="Verdana" w:hAnsi="Verdana" w:cs="Verdana"/>
          <w:sz w:val="20"/>
          <w:szCs w:val="20"/>
          <w:lang w:val="es-ES"/>
        </w:rPr>
        <w:t xml:space="preserve">. </w:t>
      </w:r>
      <w:r>
        <w:rPr>
          <w:rFonts w:ascii="Verdana" w:hAnsi="Verdana" w:cs="Verdana"/>
          <w:sz w:val="20"/>
          <w:szCs w:val="20"/>
          <w:lang w:val="es-ES"/>
        </w:rPr>
        <w:t xml:space="preserve">Sin perjuicio de lo anterior, </w:t>
      </w:r>
      <w:r w:rsidR="00EF30D4" w:rsidRPr="00333997">
        <w:rPr>
          <w:rFonts w:ascii="Verdana" w:hAnsi="Verdana" w:cs="Verdana"/>
          <w:sz w:val="20"/>
          <w:szCs w:val="20"/>
          <w:lang w:val="es-ES"/>
        </w:rPr>
        <w:t>en lo que respecta</w:t>
      </w:r>
      <w:r>
        <w:rPr>
          <w:rFonts w:ascii="Verdana" w:hAnsi="Verdana" w:cstheme="minorHAnsi"/>
          <w:sz w:val="20"/>
          <w:szCs w:val="20"/>
          <w:lang w:val="es-ES"/>
        </w:rPr>
        <w:t xml:space="preserve"> a</w:t>
      </w:r>
      <w:r w:rsidR="00EF30D4" w:rsidRPr="00333997">
        <w:rPr>
          <w:rFonts w:ascii="Verdana" w:hAnsi="Verdana" w:cstheme="minorHAnsi"/>
          <w:sz w:val="20"/>
          <w:szCs w:val="20"/>
          <w:lang w:val="es-ES"/>
        </w:rPr>
        <w:t xml:space="preserve"> </w:t>
      </w:r>
      <w:r w:rsidR="00EF30D4" w:rsidRPr="00333997">
        <w:rPr>
          <w:rFonts w:ascii="Verdana" w:hAnsi="Verdana" w:cs="Verdana"/>
          <w:sz w:val="20"/>
          <w:szCs w:val="20"/>
          <w:lang w:val="es-ES"/>
        </w:rPr>
        <w:t xml:space="preserve">Olga Maldonado, </w:t>
      </w:r>
      <w:proofErr w:type="spellStart"/>
      <w:r w:rsidR="00EF30D4" w:rsidRPr="00333997">
        <w:rPr>
          <w:rFonts w:ascii="Verdana" w:hAnsi="Verdana" w:cs="Verdana"/>
          <w:sz w:val="20"/>
          <w:szCs w:val="20"/>
          <w:lang w:val="es-ES"/>
        </w:rPr>
        <w:t>Ca</w:t>
      </w:r>
      <w:r w:rsidR="007E40C8">
        <w:rPr>
          <w:rFonts w:ascii="Verdana" w:hAnsi="Verdana" w:cs="Verdana"/>
          <w:sz w:val="20"/>
          <w:szCs w:val="20"/>
          <w:lang w:val="es-ES"/>
        </w:rPr>
        <w:t>rmelinda</w:t>
      </w:r>
      <w:proofErr w:type="spellEnd"/>
      <w:r w:rsidR="007E40C8">
        <w:rPr>
          <w:rFonts w:ascii="Verdana" w:hAnsi="Verdana" w:cs="Verdana"/>
          <w:sz w:val="20"/>
          <w:szCs w:val="20"/>
          <w:lang w:val="es-ES"/>
        </w:rPr>
        <w:t xml:space="preserve"> Cabrera, </w:t>
      </w:r>
      <w:r w:rsidR="00EF30D4" w:rsidRPr="00333997">
        <w:rPr>
          <w:rFonts w:ascii="Verdana" w:hAnsi="Verdana" w:cs="Verdana"/>
          <w:sz w:val="20"/>
          <w:szCs w:val="20"/>
          <w:lang w:val="es-ES"/>
        </w:rPr>
        <w:t xml:space="preserve">Teresa </w:t>
      </w:r>
      <w:r w:rsidR="00EF30D4" w:rsidRPr="00470A1A">
        <w:rPr>
          <w:rFonts w:ascii="Verdana" w:hAnsi="Verdana" w:cs="Verdana"/>
          <w:sz w:val="20"/>
          <w:szCs w:val="20"/>
          <w:lang w:val="es-ES"/>
        </w:rPr>
        <w:t>Aguilar Cabrera</w:t>
      </w:r>
      <w:r w:rsidR="007E40C8" w:rsidRPr="00470A1A">
        <w:rPr>
          <w:rFonts w:ascii="Verdana" w:hAnsi="Verdana" w:cs="Verdana"/>
          <w:sz w:val="20"/>
          <w:szCs w:val="20"/>
          <w:lang w:val="es-ES"/>
        </w:rPr>
        <w:t xml:space="preserve"> </w:t>
      </w:r>
      <w:r w:rsidR="007E40C8" w:rsidRPr="003F07E6">
        <w:rPr>
          <w:rFonts w:ascii="Verdana" w:hAnsi="Verdana" w:cs="Verdana"/>
          <w:sz w:val="20"/>
          <w:szCs w:val="20"/>
          <w:lang w:val="es-ES"/>
        </w:rPr>
        <w:t>y Osmar Rigoberto Cabrera Maldonado</w:t>
      </w:r>
      <w:r w:rsidR="007E40C8" w:rsidRPr="00333997">
        <w:rPr>
          <w:rFonts w:ascii="Verdana" w:hAnsi="Verdana" w:cstheme="minorHAnsi"/>
          <w:sz w:val="20"/>
          <w:szCs w:val="20"/>
          <w:lang w:val="es-ES"/>
        </w:rPr>
        <w:t xml:space="preserve"> </w:t>
      </w:r>
      <w:r w:rsidR="00EF30D4" w:rsidRPr="00333997">
        <w:rPr>
          <w:rFonts w:ascii="Verdana" w:hAnsi="Verdana" w:cstheme="minorHAnsi"/>
          <w:sz w:val="20"/>
          <w:szCs w:val="20"/>
          <w:lang w:val="es-ES"/>
        </w:rPr>
        <w:t xml:space="preserve">de la información presentada ante la Corte, se desprende que </w:t>
      </w:r>
      <w:r w:rsidRPr="00333997">
        <w:rPr>
          <w:rFonts w:ascii="Verdana" w:hAnsi="Verdana" w:cstheme="minorHAnsi"/>
          <w:sz w:val="20"/>
          <w:szCs w:val="20"/>
          <w:lang w:val="es-ES"/>
        </w:rPr>
        <w:t>actualmente</w:t>
      </w:r>
      <w:r w:rsidR="00EF30D4" w:rsidRPr="00333997">
        <w:rPr>
          <w:rFonts w:ascii="Verdana" w:hAnsi="Verdana" w:cstheme="minorHAnsi"/>
          <w:sz w:val="20"/>
          <w:szCs w:val="20"/>
          <w:lang w:val="es-ES"/>
        </w:rPr>
        <w:t xml:space="preserve"> no residen con el núcleo familiar del señor Cabrera López y no se </w:t>
      </w:r>
      <w:r w:rsidR="0059636C">
        <w:rPr>
          <w:rFonts w:ascii="Verdana" w:hAnsi="Verdana" w:cstheme="minorHAnsi"/>
          <w:sz w:val="20"/>
          <w:szCs w:val="20"/>
          <w:lang w:val="es-ES"/>
        </w:rPr>
        <w:t xml:space="preserve">ha </w:t>
      </w:r>
      <w:r w:rsidR="00EF30D4" w:rsidRPr="00333997">
        <w:rPr>
          <w:rFonts w:ascii="Verdana" w:hAnsi="Verdana" w:cstheme="minorHAnsi"/>
          <w:sz w:val="20"/>
          <w:szCs w:val="20"/>
          <w:lang w:val="es-ES"/>
        </w:rPr>
        <w:t>aportado información sobre nuevos hechos, agresiones, amena</w:t>
      </w:r>
      <w:r w:rsidRPr="00333997">
        <w:rPr>
          <w:rFonts w:ascii="Verdana" w:hAnsi="Verdana" w:cstheme="minorHAnsi"/>
          <w:sz w:val="20"/>
          <w:szCs w:val="20"/>
          <w:lang w:val="es-ES"/>
        </w:rPr>
        <w:t xml:space="preserve">zas u hostigamientos que denoten </w:t>
      </w:r>
      <w:r w:rsidRPr="00333997">
        <w:rPr>
          <w:rFonts w:ascii="Verdana" w:hAnsi="Verdana" w:cstheme="minorHAnsi"/>
          <w:sz w:val="20"/>
          <w:szCs w:val="20"/>
          <w:lang w:val="es-ES"/>
        </w:rPr>
        <w:lastRenderedPageBreak/>
        <w:t>un riesgo en perjuicio de dichos beneficiarios en los últimos dos años</w:t>
      </w:r>
      <w:r w:rsidR="00EC224E">
        <w:rPr>
          <w:rFonts w:ascii="Verdana" w:hAnsi="Verdana" w:cstheme="minorHAnsi"/>
          <w:sz w:val="20"/>
          <w:szCs w:val="20"/>
          <w:lang w:val="es-ES"/>
        </w:rPr>
        <w:t xml:space="preserve">. </w:t>
      </w:r>
      <w:r w:rsidR="00C007E9">
        <w:rPr>
          <w:rFonts w:ascii="Verdana" w:hAnsi="Verdana" w:cstheme="minorHAnsi"/>
          <w:sz w:val="20"/>
          <w:szCs w:val="20"/>
          <w:lang w:val="es-ES"/>
        </w:rPr>
        <w:t xml:space="preserve"> </w:t>
      </w:r>
      <w:r w:rsidR="00EC224E">
        <w:rPr>
          <w:rFonts w:ascii="Verdana" w:hAnsi="Verdana" w:cstheme="minorHAnsi"/>
          <w:sz w:val="20"/>
          <w:szCs w:val="20"/>
          <w:lang w:val="es-ES"/>
        </w:rPr>
        <w:t>Al respecto, l</w:t>
      </w:r>
      <w:r w:rsidR="00033BD2">
        <w:rPr>
          <w:rFonts w:ascii="Verdana" w:hAnsi="Verdana" w:cstheme="minorHAnsi"/>
          <w:sz w:val="20"/>
          <w:szCs w:val="20"/>
          <w:lang w:val="es-ES"/>
        </w:rPr>
        <w:t>a</w:t>
      </w:r>
      <w:r w:rsidR="00EC224E">
        <w:rPr>
          <w:rFonts w:ascii="Verdana" w:hAnsi="Verdana" w:cstheme="minorHAnsi"/>
          <w:sz w:val="20"/>
          <w:szCs w:val="20"/>
          <w:lang w:val="es-ES"/>
        </w:rPr>
        <w:t xml:space="preserve">s representantes señalaron que la falta de implementación de las medidas los coloca en una situación de mayor riesgo y </w:t>
      </w:r>
      <w:r w:rsidR="00C007E9">
        <w:rPr>
          <w:rFonts w:ascii="Verdana" w:hAnsi="Verdana" w:cstheme="minorHAnsi"/>
          <w:sz w:val="20"/>
          <w:szCs w:val="20"/>
          <w:lang w:val="es-ES"/>
        </w:rPr>
        <w:t>“</w:t>
      </w:r>
      <w:proofErr w:type="spellStart"/>
      <w:r w:rsidR="00EC224E">
        <w:rPr>
          <w:rFonts w:ascii="Verdana" w:hAnsi="Verdana" w:cstheme="minorHAnsi"/>
          <w:sz w:val="20"/>
          <w:szCs w:val="20"/>
          <w:lang w:val="es-ES"/>
        </w:rPr>
        <w:t>pued</w:t>
      </w:r>
      <w:proofErr w:type="spellEnd"/>
      <w:r w:rsidR="00EC224E">
        <w:rPr>
          <w:rFonts w:ascii="Verdana" w:hAnsi="Verdana" w:cstheme="minorHAnsi"/>
          <w:sz w:val="20"/>
          <w:szCs w:val="20"/>
          <w:lang w:val="es-ES"/>
        </w:rPr>
        <w:t>[e]</w:t>
      </w:r>
      <w:r w:rsidR="00C007E9">
        <w:rPr>
          <w:rFonts w:ascii="Verdana" w:hAnsi="Verdana" w:cstheme="minorHAnsi"/>
          <w:sz w:val="20"/>
          <w:szCs w:val="20"/>
          <w:lang w:val="es-ES"/>
        </w:rPr>
        <w:t xml:space="preserve">n sufrir nuevos incidentes de seguridad”, en particular, porque se encuentran abiertas las investigaciones sobre el caso de Efraín Bámaca </w:t>
      </w:r>
      <w:r w:rsidR="001D58AC">
        <w:rPr>
          <w:rFonts w:ascii="Verdana" w:hAnsi="Verdana" w:cstheme="minorHAnsi"/>
          <w:sz w:val="20"/>
          <w:szCs w:val="20"/>
          <w:lang w:val="es-ES"/>
        </w:rPr>
        <w:t>Velásquez</w:t>
      </w:r>
      <w:r w:rsidR="00EF30D4" w:rsidRPr="00333997">
        <w:rPr>
          <w:rFonts w:ascii="Verdana" w:hAnsi="Verdana" w:cstheme="minorHAnsi"/>
          <w:sz w:val="20"/>
          <w:szCs w:val="20"/>
          <w:lang w:val="es-ES"/>
        </w:rPr>
        <w:t>.</w:t>
      </w:r>
      <w:r w:rsidR="00EC224E">
        <w:rPr>
          <w:rFonts w:ascii="Verdana" w:hAnsi="Verdana" w:cstheme="minorHAnsi"/>
          <w:sz w:val="20"/>
          <w:szCs w:val="20"/>
          <w:lang w:val="es-ES"/>
        </w:rPr>
        <w:t xml:space="preserve"> Al respecto,</w:t>
      </w:r>
      <w:r w:rsidR="00C007E9" w:rsidRPr="00C007E9">
        <w:rPr>
          <w:rFonts w:ascii="Verdana" w:hAnsi="Verdana"/>
          <w:sz w:val="20"/>
          <w:szCs w:val="20"/>
        </w:rPr>
        <w:t xml:space="preserve"> </w:t>
      </w:r>
      <w:r w:rsidR="00EC224E">
        <w:rPr>
          <w:rFonts w:ascii="Verdana" w:hAnsi="Verdana"/>
          <w:sz w:val="20"/>
          <w:szCs w:val="20"/>
        </w:rPr>
        <w:t>l</w:t>
      </w:r>
      <w:r w:rsidR="00C007E9">
        <w:rPr>
          <w:rFonts w:ascii="Verdana" w:hAnsi="Verdana"/>
          <w:sz w:val="20"/>
          <w:szCs w:val="20"/>
        </w:rPr>
        <w:t>a Corte destaca</w:t>
      </w:r>
      <w:r w:rsidR="00EC224E">
        <w:rPr>
          <w:rFonts w:ascii="Verdana" w:hAnsi="Verdana"/>
          <w:sz w:val="20"/>
          <w:szCs w:val="20"/>
        </w:rPr>
        <w:t xml:space="preserve"> que tal situación </w:t>
      </w:r>
      <w:r w:rsidR="00C007E9">
        <w:rPr>
          <w:rFonts w:ascii="Verdana" w:hAnsi="Verdana"/>
          <w:sz w:val="20"/>
          <w:szCs w:val="20"/>
        </w:rPr>
        <w:t xml:space="preserve">no denota de forma directa o clara </w:t>
      </w:r>
      <w:r w:rsidR="00C007E9" w:rsidRPr="00143B39">
        <w:rPr>
          <w:rFonts w:ascii="Verdana" w:hAnsi="Verdana"/>
          <w:sz w:val="20"/>
          <w:szCs w:val="20"/>
        </w:rPr>
        <w:t>tal estado de riesgo; por el contrario, el riesgo se pretende vincular de modo meramente hipotético o conjetural</w:t>
      </w:r>
      <w:r w:rsidR="00C007E9">
        <w:rPr>
          <w:rFonts w:ascii="Verdana" w:hAnsi="Verdana" w:cstheme="minorHAnsi"/>
          <w:sz w:val="20"/>
          <w:szCs w:val="20"/>
          <w:lang w:val="es-ES"/>
        </w:rPr>
        <w:t>.</w:t>
      </w:r>
      <w:r>
        <w:rPr>
          <w:rFonts w:ascii="Verdana" w:hAnsi="Verdana" w:cstheme="minorHAnsi"/>
          <w:sz w:val="20"/>
          <w:szCs w:val="20"/>
          <w:lang w:val="es-ES"/>
        </w:rPr>
        <w:t xml:space="preserve"> </w:t>
      </w:r>
      <w:r w:rsidRPr="00333997">
        <w:rPr>
          <w:rFonts w:ascii="Verdana" w:hAnsi="Verdana" w:cstheme="minorHAnsi"/>
          <w:sz w:val="20"/>
          <w:szCs w:val="20"/>
          <w:lang w:val="es-ES"/>
        </w:rPr>
        <w:t>En consecuencia, si bien l</w:t>
      </w:r>
      <w:r w:rsidR="00EF30D4" w:rsidRPr="00333997">
        <w:rPr>
          <w:rFonts w:ascii="Verdana" w:hAnsi="Verdana" w:cstheme="minorHAnsi"/>
          <w:sz w:val="20"/>
          <w:szCs w:val="20"/>
          <w:lang w:val="es-ES"/>
        </w:rPr>
        <w:t>a Corte reitera que la falta de amenazas no necesariamente implica que ya no exista un riesgo</w:t>
      </w:r>
      <w:r w:rsidR="00EF30D4" w:rsidRPr="00333997">
        <w:rPr>
          <w:rFonts w:ascii="Verdana" w:hAnsi="Verdana" w:cstheme="minorHAnsi"/>
          <w:b/>
          <w:sz w:val="20"/>
          <w:szCs w:val="20"/>
          <w:lang w:val="es-ES"/>
        </w:rPr>
        <w:t xml:space="preserve"> </w:t>
      </w:r>
      <w:r w:rsidR="00EF30D4" w:rsidRPr="00333997">
        <w:rPr>
          <w:rFonts w:ascii="Verdana" w:hAnsi="Verdana" w:cstheme="minorHAnsi"/>
          <w:sz w:val="20"/>
          <w:szCs w:val="20"/>
          <w:lang w:val="es-ES"/>
        </w:rPr>
        <w:t>sobre estos beneficiarios</w:t>
      </w:r>
      <w:r w:rsidR="009C7A67">
        <w:rPr>
          <w:rFonts w:ascii="Verdana" w:hAnsi="Verdana" w:cstheme="minorHAnsi"/>
          <w:sz w:val="20"/>
          <w:szCs w:val="20"/>
          <w:lang w:val="es-ES"/>
        </w:rPr>
        <w:t>;</w:t>
      </w:r>
      <w:r w:rsidR="00EF30D4" w:rsidRPr="00333997">
        <w:rPr>
          <w:rFonts w:ascii="Verdana" w:hAnsi="Verdana" w:cstheme="minorHAnsi"/>
          <w:sz w:val="20"/>
          <w:szCs w:val="20"/>
          <w:lang w:val="es-ES"/>
        </w:rPr>
        <w:t xml:space="preserve"> de acuerdo con la información proporcionada, este Tribunal considera razonable presumir que su situación ya no se enmarca dentro de los presupuestos señalados por el artículo 63.2 de la Convención, por lo que estima pertinente levantar las medidas provisionales </w:t>
      </w:r>
      <w:r w:rsidR="001D58AC">
        <w:rPr>
          <w:rFonts w:ascii="Verdana" w:hAnsi="Verdana" w:cstheme="minorHAnsi"/>
          <w:sz w:val="20"/>
          <w:szCs w:val="20"/>
          <w:lang w:val="es-ES"/>
        </w:rPr>
        <w:t>en</w:t>
      </w:r>
      <w:r>
        <w:rPr>
          <w:rFonts w:ascii="Verdana" w:hAnsi="Verdana" w:cstheme="minorHAnsi"/>
          <w:sz w:val="20"/>
          <w:szCs w:val="20"/>
          <w:lang w:val="es-ES"/>
        </w:rPr>
        <w:t xml:space="preserve"> </w:t>
      </w:r>
      <w:r w:rsidR="00EF30D4" w:rsidRPr="00333997">
        <w:rPr>
          <w:rFonts w:ascii="Verdana" w:hAnsi="Verdana" w:cstheme="minorHAnsi"/>
          <w:sz w:val="20"/>
          <w:szCs w:val="20"/>
          <w:lang w:val="es-ES"/>
        </w:rPr>
        <w:t>favor</w:t>
      </w:r>
      <w:r w:rsidR="008B2BFF">
        <w:rPr>
          <w:rFonts w:ascii="Verdana" w:hAnsi="Verdana" w:cstheme="minorHAnsi"/>
          <w:sz w:val="20"/>
          <w:szCs w:val="20"/>
          <w:lang w:val="es-ES"/>
        </w:rPr>
        <w:t xml:space="preserve"> de </w:t>
      </w:r>
      <w:r w:rsidR="008B2BFF" w:rsidRPr="003F07E6">
        <w:rPr>
          <w:rFonts w:ascii="Verdana" w:hAnsi="Verdana" w:cs="Verdana"/>
          <w:sz w:val="20"/>
          <w:szCs w:val="20"/>
          <w:lang w:val="es-ES"/>
        </w:rPr>
        <w:t xml:space="preserve">Olga Maldonado, </w:t>
      </w:r>
      <w:proofErr w:type="spellStart"/>
      <w:r w:rsidR="008B2BFF" w:rsidRPr="003F07E6">
        <w:rPr>
          <w:rFonts w:ascii="Verdana" w:hAnsi="Verdana" w:cs="Verdana"/>
          <w:sz w:val="20"/>
          <w:szCs w:val="20"/>
          <w:lang w:val="es-ES"/>
        </w:rPr>
        <w:t>Carmelinda</w:t>
      </w:r>
      <w:proofErr w:type="spellEnd"/>
      <w:r w:rsidR="008B2BFF" w:rsidRPr="003F07E6">
        <w:rPr>
          <w:rFonts w:ascii="Verdana" w:hAnsi="Verdana" w:cs="Verdana"/>
          <w:sz w:val="20"/>
          <w:szCs w:val="20"/>
          <w:lang w:val="es-ES"/>
        </w:rPr>
        <w:t xml:space="preserve"> Cabrera</w:t>
      </w:r>
      <w:r w:rsidR="007D2612" w:rsidRPr="003F07E6">
        <w:rPr>
          <w:rFonts w:ascii="Verdana" w:hAnsi="Verdana" w:cs="Verdana"/>
          <w:sz w:val="20"/>
          <w:szCs w:val="20"/>
          <w:lang w:val="es-ES"/>
        </w:rPr>
        <w:t>,</w:t>
      </w:r>
      <w:r w:rsidR="008B2BFF" w:rsidRPr="003F07E6">
        <w:rPr>
          <w:rFonts w:ascii="Verdana" w:hAnsi="Verdana" w:cs="Verdana"/>
          <w:sz w:val="20"/>
          <w:szCs w:val="20"/>
          <w:lang w:val="es-ES"/>
        </w:rPr>
        <w:t xml:space="preserve"> Teresa Aguilar Cabrera</w:t>
      </w:r>
      <w:r w:rsidR="007D2612" w:rsidRPr="007D2612">
        <w:rPr>
          <w:rFonts w:ascii="Verdana" w:hAnsi="Verdana" w:cs="Verdana"/>
          <w:sz w:val="20"/>
          <w:szCs w:val="20"/>
          <w:lang w:val="es-ES"/>
        </w:rPr>
        <w:t xml:space="preserve"> y </w:t>
      </w:r>
      <w:r w:rsidR="007D2612" w:rsidRPr="003F07E6">
        <w:rPr>
          <w:rFonts w:ascii="Verdana" w:hAnsi="Verdana" w:cs="Verdana"/>
          <w:sz w:val="20"/>
          <w:szCs w:val="20"/>
          <w:lang w:val="es-ES"/>
        </w:rPr>
        <w:t>Osmar Rigoberto Cabrera Maldonado</w:t>
      </w:r>
      <w:r w:rsidRPr="007D2612">
        <w:rPr>
          <w:rStyle w:val="FootnoteReference"/>
          <w:rFonts w:ascii="Verdana" w:hAnsi="Verdana"/>
          <w:sz w:val="20"/>
          <w:szCs w:val="20"/>
        </w:rPr>
        <w:footnoteReference w:id="11"/>
      </w:r>
      <w:r w:rsidRPr="007D2612">
        <w:rPr>
          <w:rFonts w:ascii="Verdana" w:hAnsi="Verdana" w:cstheme="minorHAnsi"/>
          <w:sz w:val="20"/>
          <w:szCs w:val="20"/>
          <w:lang w:val="es-ES"/>
        </w:rPr>
        <w:t>.</w:t>
      </w:r>
      <w:r w:rsidR="00EF30D4" w:rsidRPr="00333997">
        <w:rPr>
          <w:rFonts w:ascii="Verdana" w:hAnsi="Verdana" w:cs="Verdana"/>
          <w:sz w:val="20"/>
          <w:szCs w:val="20"/>
          <w:lang w:val="es-ES"/>
        </w:rPr>
        <w:t xml:space="preserve"> </w:t>
      </w:r>
    </w:p>
    <w:p w:rsidR="00470A1A" w:rsidRDefault="00470A1A" w:rsidP="00470A1A">
      <w:pPr>
        <w:pStyle w:val="ListParagraph"/>
        <w:spacing w:after="0" w:line="240" w:lineRule="auto"/>
        <w:ind w:left="0"/>
        <w:jc w:val="both"/>
        <w:rPr>
          <w:rFonts w:ascii="Verdana" w:hAnsi="Verdana" w:cstheme="minorHAnsi"/>
          <w:sz w:val="20"/>
          <w:szCs w:val="20"/>
          <w:lang w:val="es-ES"/>
        </w:rPr>
      </w:pPr>
    </w:p>
    <w:p w:rsidR="001F4A58" w:rsidRPr="006B5458" w:rsidRDefault="001D58AC" w:rsidP="00470A1A">
      <w:pPr>
        <w:pStyle w:val="ListParagraph"/>
        <w:numPr>
          <w:ilvl w:val="0"/>
          <w:numId w:val="6"/>
        </w:numPr>
        <w:spacing w:after="0" w:line="240" w:lineRule="auto"/>
        <w:ind w:left="0" w:firstLine="0"/>
        <w:jc w:val="both"/>
        <w:rPr>
          <w:rFonts w:ascii="Verdana" w:hAnsi="Verdana"/>
          <w:sz w:val="20"/>
          <w:szCs w:val="20"/>
          <w:lang w:val="es-ES_tradnl"/>
        </w:rPr>
      </w:pPr>
      <w:r>
        <w:rPr>
          <w:rFonts w:ascii="Verdana" w:eastAsia="Times New Roman" w:hAnsi="Verdana" w:cs="Arial"/>
          <w:sz w:val="20"/>
          <w:lang w:val="es-ES"/>
        </w:rPr>
        <w:t>En razón de lo expuesto</w:t>
      </w:r>
      <w:r w:rsidR="006B5458" w:rsidRPr="006B5458">
        <w:rPr>
          <w:rFonts w:ascii="Verdana" w:eastAsia="Times New Roman" w:hAnsi="Verdana" w:cs="Arial"/>
          <w:sz w:val="20"/>
          <w:lang w:val="es-ES"/>
        </w:rPr>
        <w:t xml:space="preserve">, en vista de que el propio Estado ha informado sobre la situación de riesgo del señor </w:t>
      </w:r>
      <w:r w:rsidR="006E0186" w:rsidRPr="006B5458">
        <w:rPr>
          <w:rFonts w:ascii="Verdana" w:hAnsi="Verdana"/>
          <w:sz w:val="20"/>
          <w:szCs w:val="20"/>
          <w:lang w:val="es-MX"/>
        </w:rPr>
        <w:t xml:space="preserve">de </w:t>
      </w:r>
      <w:r w:rsidR="0059636C">
        <w:rPr>
          <w:rFonts w:ascii="Verdana" w:hAnsi="Verdana" w:cs="Verdana"/>
          <w:sz w:val="20"/>
          <w:szCs w:val="20"/>
          <w:lang w:val="es-ES"/>
        </w:rPr>
        <w:t>Santiago Cabrera López,</w:t>
      </w:r>
      <w:r w:rsidR="006B5458" w:rsidRPr="006B5458">
        <w:rPr>
          <w:rFonts w:ascii="Verdana" w:hAnsi="Verdana" w:cs="Verdana"/>
          <w:sz w:val="20"/>
          <w:szCs w:val="20"/>
          <w:lang w:val="es-ES"/>
        </w:rPr>
        <w:t xml:space="preserve"> del señor Aron Álvarez </w:t>
      </w:r>
      <w:r w:rsidR="008B2BFF">
        <w:rPr>
          <w:rFonts w:ascii="Verdana" w:hAnsi="Verdana" w:cs="Verdana"/>
          <w:sz w:val="20"/>
          <w:szCs w:val="20"/>
          <w:lang w:val="es-ES"/>
        </w:rPr>
        <w:t>M</w:t>
      </w:r>
      <w:r w:rsidR="00723EBF">
        <w:rPr>
          <w:rFonts w:ascii="Verdana" w:hAnsi="Verdana" w:cs="Verdana"/>
          <w:sz w:val="20"/>
          <w:szCs w:val="20"/>
          <w:lang w:val="es-ES"/>
        </w:rPr>
        <w:t>en</w:t>
      </w:r>
      <w:r w:rsidR="008B2BFF">
        <w:rPr>
          <w:rFonts w:ascii="Verdana" w:hAnsi="Verdana" w:cs="Verdana"/>
          <w:sz w:val="20"/>
          <w:szCs w:val="20"/>
          <w:lang w:val="es-ES"/>
        </w:rPr>
        <w:t xml:space="preserve">doza </w:t>
      </w:r>
      <w:r w:rsidR="006B5458" w:rsidRPr="006B5458">
        <w:rPr>
          <w:rFonts w:ascii="Verdana" w:hAnsi="Verdana" w:cs="Verdana"/>
          <w:sz w:val="20"/>
          <w:szCs w:val="20"/>
          <w:lang w:val="es-ES"/>
        </w:rPr>
        <w:t>y sus familiares</w:t>
      </w:r>
      <w:r w:rsidR="006E0186" w:rsidRPr="006B5458">
        <w:rPr>
          <w:rFonts w:ascii="Verdana" w:hAnsi="Verdana"/>
          <w:sz w:val="20"/>
          <w:szCs w:val="20"/>
        </w:rPr>
        <w:t>,</w:t>
      </w:r>
      <w:r w:rsidR="006B5458" w:rsidRPr="006B5458">
        <w:rPr>
          <w:rFonts w:ascii="Verdana" w:eastAsia="Times New Roman" w:hAnsi="Verdana" w:cs="Arial"/>
          <w:sz w:val="20"/>
        </w:rPr>
        <w:t xml:space="preserve"> </w:t>
      </w:r>
      <w:r w:rsidR="006B5458" w:rsidRPr="006B5458">
        <w:rPr>
          <w:rFonts w:ascii="Verdana" w:hAnsi="Verdana"/>
          <w:sz w:val="20"/>
          <w:szCs w:val="20"/>
        </w:rPr>
        <w:t xml:space="preserve">la Corte </w:t>
      </w:r>
      <w:r w:rsidR="006B5458" w:rsidRPr="006B5458">
        <w:rPr>
          <w:rFonts w:ascii="Verdana" w:eastAsia="Times New Roman" w:hAnsi="Verdana" w:cs="Arial"/>
          <w:sz w:val="20"/>
        </w:rPr>
        <w:t>considera necesario mantener las presentes medidas provisionales</w:t>
      </w:r>
      <w:r w:rsidR="006B5458" w:rsidRPr="006B5458">
        <w:rPr>
          <w:rFonts w:ascii="Verdana" w:hAnsi="Verdana"/>
          <w:sz w:val="20"/>
          <w:szCs w:val="20"/>
          <w:lang w:val="es-MX"/>
        </w:rPr>
        <w:t xml:space="preserve"> a su favor. </w:t>
      </w:r>
      <w:r w:rsidR="006B5458" w:rsidRPr="006B5458">
        <w:rPr>
          <w:rFonts w:ascii="Verdana" w:hAnsi="Verdana" w:cstheme="minorHAnsi"/>
          <w:sz w:val="20"/>
          <w:szCs w:val="20"/>
          <w:lang w:val="es-ES"/>
        </w:rPr>
        <w:t>En consecuencia, la Corte</w:t>
      </w:r>
      <w:r w:rsidR="006B5458" w:rsidRPr="006B5458">
        <w:rPr>
          <w:rFonts w:ascii="Verdana" w:hAnsi="Verdana"/>
          <w:sz w:val="20"/>
          <w:lang w:val="es-ES_tradnl"/>
        </w:rPr>
        <w:t xml:space="preserve"> estima necesario para evaluar oportunamente el mantenimiento de las medidas provisionales a favor de dichas personas, que el Estado en su próximo informe se refiera en forma detallada y compl</w:t>
      </w:r>
      <w:r w:rsidR="00E35E34">
        <w:rPr>
          <w:rFonts w:ascii="Verdana" w:hAnsi="Verdana"/>
          <w:sz w:val="20"/>
          <w:lang w:val="es-ES_tradnl"/>
        </w:rPr>
        <w:t xml:space="preserve">eta, sobre la situación actual </w:t>
      </w:r>
      <w:r w:rsidR="006B5458" w:rsidRPr="006B5458">
        <w:rPr>
          <w:rFonts w:ascii="Verdana" w:hAnsi="Verdana" w:cstheme="minorHAnsi"/>
          <w:sz w:val="20"/>
          <w:szCs w:val="20"/>
          <w:lang w:val="es-ES"/>
        </w:rPr>
        <w:t xml:space="preserve">del señor Santiago Cabrera López y sus familiares </w:t>
      </w:r>
      <w:r w:rsidR="006B5458" w:rsidRPr="006B5458">
        <w:rPr>
          <w:rFonts w:ascii="Verdana" w:hAnsi="Verdana"/>
          <w:sz w:val="20"/>
          <w:lang w:val="es-ES_tradnl"/>
        </w:rPr>
        <w:t xml:space="preserve">y del señor Arón Álvarez Mendoza y sus familiares y sobre </w:t>
      </w:r>
      <w:r w:rsidR="00C007E9">
        <w:rPr>
          <w:rFonts w:ascii="Verdana" w:hAnsi="Verdana"/>
          <w:sz w:val="20"/>
          <w:lang w:val="es-ES_tradnl"/>
        </w:rPr>
        <w:t xml:space="preserve">la implementación de </w:t>
      </w:r>
      <w:r w:rsidR="006B5458" w:rsidRPr="006B5458">
        <w:rPr>
          <w:rFonts w:ascii="Verdana" w:hAnsi="Verdana"/>
          <w:sz w:val="20"/>
          <w:lang w:val="es-ES_tradnl"/>
        </w:rPr>
        <w:t>las medidas de protección que hubiera adoptado o adopte</w:t>
      </w:r>
      <w:r w:rsidR="006B5458" w:rsidRPr="006B5458">
        <w:rPr>
          <w:rFonts w:ascii="Verdana" w:hAnsi="Verdana" w:cstheme="minorHAnsi"/>
          <w:sz w:val="20"/>
          <w:szCs w:val="20"/>
          <w:lang w:val="es-ES"/>
        </w:rPr>
        <w:t>. Igualmente, la Corte solicita a l</w:t>
      </w:r>
      <w:r w:rsidR="00033BD2">
        <w:rPr>
          <w:rFonts w:ascii="Verdana" w:hAnsi="Verdana" w:cstheme="minorHAnsi"/>
          <w:sz w:val="20"/>
          <w:szCs w:val="20"/>
          <w:lang w:val="es-ES"/>
        </w:rPr>
        <w:t>a</w:t>
      </w:r>
      <w:r w:rsidR="006B5458" w:rsidRPr="006B5458">
        <w:rPr>
          <w:rFonts w:ascii="Verdana" w:hAnsi="Verdana" w:cstheme="minorHAnsi"/>
          <w:sz w:val="20"/>
          <w:szCs w:val="20"/>
          <w:lang w:val="es-ES"/>
        </w:rPr>
        <w:t>s representantes y a la Comisión que, en sus próximas observaciones, se refieran de forma precisa a cada uno de los beneficiarios,</w:t>
      </w:r>
      <w:r w:rsidR="006B5458" w:rsidRPr="006B5458">
        <w:rPr>
          <w:rFonts w:ascii="Verdana" w:hAnsi="Verdana"/>
          <w:sz w:val="20"/>
          <w:lang w:val="es-MX"/>
        </w:rPr>
        <w:t xml:space="preserve"> respecto de la situación actual de extrema gravedad y urgencia referida a la posibilidad de </w:t>
      </w:r>
      <w:r w:rsidR="006B5458" w:rsidRPr="006B5458">
        <w:rPr>
          <w:rFonts w:ascii="Verdana" w:hAnsi="Verdana"/>
          <w:sz w:val="20"/>
          <w:lang w:val="es-ES"/>
        </w:rPr>
        <w:t xml:space="preserve">daños irreparables en perjuicio de </w:t>
      </w:r>
      <w:r w:rsidR="006B5458" w:rsidRPr="006B5458">
        <w:rPr>
          <w:rFonts w:ascii="Verdana" w:hAnsi="Verdana"/>
          <w:sz w:val="20"/>
          <w:lang w:val="es-MX"/>
        </w:rPr>
        <w:t>cada uno de ellos, en relación con el motivo por el cual fueron adoptadas las presentes medidas, y en su caso, fundamenten las razones para continuar manteniéndolas</w:t>
      </w:r>
      <w:r w:rsidR="006B5458" w:rsidRPr="006B5458">
        <w:rPr>
          <w:rFonts w:ascii="Verdana" w:hAnsi="Verdana" w:cstheme="minorHAnsi"/>
          <w:sz w:val="20"/>
          <w:szCs w:val="20"/>
          <w:lang w:val="es-ES"/>
        </w:rPr>
        <w:t xml:space="preserve"> vigentes</w:t>
      </w:r>
      <w:r w:rsidR="008B2BFF">
        <w:rPr>
          <w:rFonts w:ascii="Verdana" w:hAnsi="Verdana" w:cstheme="minorHAnsi"/>
          <w:sz w:val="20"/>
          <w:szCs w:val="20"/>
          <w:lang w:val="es-ES"/>
        </w:rPr>
        <w:t>.</w:t>
      </w:r>
    </w:p>
    <w:p w:rsidR="006B5458" w:rsidRDefault="006B5458" w:rsidP="006B5458">
      <w:pPr>
        <w:pStyle w:val="ListParagraph"/>
        <w:autoSpaceDE w:val="0"/>
        <w:autoSpaceDN w:val="0"/>
        <w:adjustRightInd w:val="0"/>
        <w:spacing w:after="0" w:line="240" w:lineRule="auto"/>
        <w:ind w:left="0"/>
        <w:jc w:val="both"/>
        <w:rPr>
          <w:rFonts w:ascii="Verdana" w:hAnsi="Verdana"/>
          <w:sz w:val="20"/>
          <w:szCs w:val="20"/>
          <w:lang w:val="es-ES_tradnl"/>
        </w:rPr>
      </w:pPr>
    </w:p>
    <w:p w:rsidR="001F4A58" w:rsidRPr="00C203A4" w:rsidRDefault="00082757" w:rsidP="001F4A58">
      <w:pPr>
        <w:pStyle w:val="ListParagraph"/>
        <w:numPr>
          <w:ilvl w:val="0"/>
          <w:numId w:val="6"/>
        </w:numPr>
        <w:spacing w:after="0" w:line="240" w:lineRule="auto"/>
        <w:ind w:left="0" w:firstLine="0"/>
        <w:jc w:val="both"/>
        <w:rPr>
          <w:rFonts w:ascii="Verdana" w:hAnsi="Verdana"/>
          <w:sz w:val="20"/>
          <w:szCs w:val="20"/>
          <w:lang w:val="es-ES_tradnl"/>
        </w:rPr>
      </w:pPr>
      <w:r w:rsidRPr="00082757">
        <w:rPr>
          <w:rFonts w:ascii="Verdana" w:hAnsi="Verdana"/>
          <w:sz w:val="20"/>
          <w:szCs w:val="20"/>
        </w:rPr>
        <w:t xml:space="preserve">Además, </w:t>
      </w:r>
      <w:r w:rsidR="00EB683B" w:rsidRPr="00210597">
        <w:rPr>
          <w:rFonts w:ascii="Verdana" w:hAnsi="Verdana"/>
          <w:bCs/>
          <w:sz w:val="20"/>
          <w:szCs w:val="20"/>
          <w:lang w:val="es-CO"/>
        </w:rPr>
        <w:t>habiéndose determinado el</w:t>
      </w:r>
      <w:r w:rsidR="00EB683B" w:rsidRPr="00210597" w:rsidDel="001B5104">
        <w:rPr>
          <w:rFonts w:ascii="Verdana" w:eastAsia="Calibri" w:hAnsi="Verdana" w:cs="Verdana"/>
          <w:color w:val="000000"/>
          <w:sz w:val="20"/>
          <w:szCs w:val="20"/>
          <w:lang w:val="es-CR"/>
        </w:rPr>
        <w:t xml:space="preserve"> levantamiento</w:t>
      </w:r>
      <w:r w:rsidR="00EB683B" w:rsidRPr="00210597">
        <w:rPr>
          <w:rFonts w:ascii="Verdana" w:eastAsia="Calibri" w:hAnsi="Verdana" w:cs="Verdana"/>
          <w:color w:val="000000"/>
          <w:sz w:val="20"/>
          <w:szCs w:val="20"/>
          <w:lang w:val="es-CR"/>
        </w:rPr>
        <w:t xml:space="preserve"> parcial de las medidas provisionales</w:t>
      </w:r>
      <w:r w:rsidR="00EB683B" w:rsidRPr="00082757">
        <w:rPr>
          <w:rFonts w:ascii="Verdana" w:hAnsi="Verdana"/>
          <w:sz w:val="20"/>
          <w:szCs w:val="20"/>
        </w:rPr>
        <w:t xml:space="preserve"> </w:t>
      </w:r>
      <w:r w:rsidR="0064189C">
        <w:rPr>
          <w:rFonts w:ascii="Verdana" w:hAnsi="Verdana"/>
          <w:sz w:val="20"/>
          <w:szCs w:val="20"/>
        </w:rPr>
        <w:t xml:space="preserve">eso </w:t>
      </w:r>
      <w:r w:rsidRPr="00082757">
        <w:rPr>
          <w:rFonts w:ascii="Verdana" w:hAnsi="Verdana"/>
          <w:sz w:val="20"/>
          <w:szCs w:val="20"/>
        </w:rPr>
        <w:t>no implica que el Estado quede relevado de sus obligaciones generales de protección, contenidas en el artículo 1.1 de la Convención, en el marco de las cuales se encuentra especialmente obligado a garantizar los derechos de las personas en situación de riesgo y, en su caso, a impulsar las investigaciones necesarias para establecer los hechos, seguidas de las consecuencias que la leg</w:t>
      </w:r>
      <w:r w:rsidR="00967D28">
        <w:rPr>
          <w:rFonts w:ascii="Verdana" w:hAnsi="Verdana"/>
          <w:sz w:val="20"/>
          <w:szCs w:val="20"/>
        </w:rPr>
        <w:t>islación pertinente establezca</w:t>
      </w:r>
      <w:r w:rsidR="00967D28">
        <w:rPr>
          <w:rStyle w:val="FootnoteReference"/>
          <w:rFonts w:ascii="Verdana" w:hAnsi="Verdana"/>
          <w:sz w:val="20"/>
          <w:szCs w:val="20"/>
        </w:rPr>
        <w:footnoteReference w:id="12"/>
      </w:r>
      <w:r w:rsidR="0078267E" w:rsidRPr="00082757">
        <w:rPr>
          <w:rFonts w:ascii="Verdana" w:hAnsi="Verdana"/>
          <w:sz w:val="20"/>
          <w:szCs w:val="20"/>
        </w:rPr>
        <w:t xml:space="preserve">. </w:t>
      </w:r>
    </w:p>
    <w:p w:rsidR="00C203A4" w:rsidRDefault="00C203A4" w:rsidP="00C203A4">
      <w:pPr>
        <w:pStyle w:val="ListParagraph"/>
        <w:rPr>
          <w:rFonts w:ascii="Verdana" w:hAnsi="Verdana"/>
          <w:sz w:val="20"/>
          <w:szCs w:val="20"/>
          <w:lang w:val="es-ES_tradnl"/>
        </w:rPr>
      </w:pPr>
    </w:p>
    <w:p w:rsidR="007B3738" w:rsidRPr="0059636C" w:rsidRDefault="00C203A4" w:rsidP="00B04DF5">
      <w:pPr>
        <w:pStyle w:val="ListParagraph"/>
        <w:numPr>
          <w:ilvl w:val="0"/>
          <w:numId w:val="6"/>
        </w:numPr>
        <w:spacing w:after="0" w:line="240" w:lineRule="auto"/>
        <w:ind w:left="0" w:firstLine="0"/>
        <w:jc w:val="both"/>
        <w:rPr>
          <w:rFonts w:ascii="Verdana" w:hAnsi="Verdana"/>
          <w:sz w:val="20"/>
          <w:szCs w:val="20"/>
          <w:lang w:val="es-ES_tradnl"/>
        </w:rPr>
      </w:pPr>
      <w:r w:rsidRPr="00C203A4">
        <w:rPr>
          <w:rFonts w:ascii="Verdana" w:hAnsi="Verdana"/>
          <w:sz w:val="20"/>
          <w:szCs w:val="20"/>
        </w:rPr>
        <w:t xml:space="preserve">Por otra parte, la Corte considera pertinente aclarar que la situación atinente a la investigación es analizada en el marco de la supervisión de la Sentencia dictada por este Tribunal y no es materia de las medidas provisionales. El mecanismo de medidas provisionales requiere que se demuestren los requisitos convencionales de extrema gravedad, urgencia e </w:t>
      </w:r>
      <w:proofErr w:type="spellStart"/>
      <w:r w:rsidRPr="00C203A4">
        <w:rPr>
          <w:rFonts w:ascii="Verdana" w:hAnsi="Verdana"/>
          <w:sz w:val="20"/>
          <w:szCs w:val="20"/>
        </w:rPr>
        <w:t>irreparabilidad</w:t>
      </w:r>
      <w:proofErr w:type="spellEnd"/>
      <w:r w:rsidRPr="00C203A4">
        <w:rPr>
          <w:rFonts w:ascii="Verdana" w:hAnsi="Verdana"/>
          <w:sz w:val="20"/>
          <w:szCs w:val="20"/>
        </w:rPr>
        <w:t xml:space="preserve"> del daño que están establecidos en el artículo 63.2 de la Convención respecto de las personas a favor de quienes se pretenden las medidas. Los procedimientos de medidas provisionales y supervisión de cumplimiento de las sentencias de esta Corte son dos procesos separados en la Convención y en el Reglamento y sus objetos no deben confundirse</w:t>
      </w:r>
      <w:r w:rsidRPr="00C203A4">
        <w:rPr>
          <w:rStyle w:val="FootnoteReference"/>
          <w:rFonts w:ascii="Verdana" w:hAnsi="Verdana"/>
          <w:sz w:val="20"/>
          <w:szCs w:val="20"/>
        </w:rPr>
        <w:footnoteReference w:id="13"/>
      </w:r>
      <w:r w:rsidRPr="00C203A4">
        <w:rPr>
          <w:rFonts w:ascii="Verdana" w:hAnsi="Verdana"/>
          <w:sz w:val="20"/>
          <w:szCs w:val="20"/>
        </w:rPr>
        <w:t>.</w:t>
      </w:r>
    </w:p>
    <w:p w:rsidR="007B3738" w:rsidRDefault="007B3738" w:rsidP="00B04DF5">
      <w:pPr>
        <w:pStyle w:val="ListParagraph"/>
        <w:spacing w:after="0" w:line="240" w:lineRule="auto"/>
        <w:ind w:left="0"/>
        <w:jc w:val="both"/>
        <w:rPr>
          <w:rFonts w:ascii="Verdana" w:hAnsi="Verdana"/>
          <w:sz w:val="20"/>
          <w:szCs w:val="20"/>
          <w:lang w:val="es-ES_tradnl"/>
        </w:rPr>
      </w:pPr>
    </w:p>
    <w:p w:rsidR="007B5A05" w:rsidRDefault="007B5A05" w:rsidP="00B04DF5">
      <w:pPr>
        <w:pStyle w:val="ListParagraph"/>
        <w:spacing w:after="0" w:line="240" w:lineRule="auto"/>
        <w:ind w:left="0"/>
        <w:jc w:val="both"/>
        <w:rPr>
          <w:rFonts w:ascii="Verdana" w:hAnsi="Verdana"/>
          <w:sz w:val="20"/>
          <w:szCs w:val="20"/>
          <w:lang w:val="es-ES_tradnl"/>
        </w:rPr>
      </w:pPr>
    </w:p>
    <w:p w:rsidR="008704C2" w:rsidRDefault="008704C2" w:rsidP="00B04DF5">
      <w:pPr>
        <w:pStyle w:val="ListParagraph"/>
        <w:spacing w:after="0" w:line="240" w:lineRule="auto"/>
        <w:ind w:left="0"/>
        <w:jc w:val="both"/>
        <w:rPr>
          <w:rFonts w:ascii="Verdana" w:hAnsi="Verdana"/>
          <w:sz w:val="20"/>
          <w:szCs w:val="20"/>
          <w:lang w:val="es-ES_tradnl"/>
        </w:rPr>
      </w:pPr>
    </w:p>
    <w:p w:rsidR="008704C2" w:rsidRDefault="008704C2" w:rsidP="00B04DF5">
      <w:pPr>
        <w:pStyle w:val="ListParagraph"/>
        <w:spacing w:after="0" w:line="240" w:lineRule="auto"/>
        <w:ind w:left="0"/>
        <w:jc w:val="both"/>
        <w:rPr>
          <w:rFonts w:ascii="Verdana" w:hAnsi="Verdana"/>
          <w:sz w:val="20"/>
          <w:szCs w:val="20"/>
          <w:lang w:val="es-ES_tradnl"/>
        </w:rPr>
      </w:pPr>
    </w:p>
    <w:p w:rsidR="008704C2" w:rsidRDefault="008704C2" w:rsidP="00B04DF5">
      <w:pPr>
        <w:pStyle w:val="ListParagraph"/>
        <w:spacing w:after="0" w:line="240" w:lineRule="auto"/>
        <w:ind w:left="0"/>
        <w:jc w:val="both"/>
        <w:rPr>
          <w:rFonts w:ascii="Verdana" w:hAnsi="Verdana"/>
          <w:sz w:val="20"/>
          <w:szCs w:val="20"/>
          <w:lang w:val="es-ES_tradnl"/>
        </w:rPr>
      </w:pPr>
    </w:p>
    <w:p w:rsidR="008704C2" w:rsidRPr="00DF7BEC" w:rsidRDefault="008704C2" w:rsidP="00B04DF5">
      <w:pPr>
        <w:pStyle w:val="ListParagraph"/>
        <w:spacing w:after="0" w:line="240" w:lineRule="auto"/>
        <w:ind w:left="0"/>
        <w:jc w:val="both"/>
        <w:rPr>
          <w:rFonts w:ascii="Verdana" w:hAnsi="Verdana"/>
          <w:sz w:val="20"/>
          <w:szCs w:val="20"/>
          <w:lang w:val="es-ES_tradnl"/>
        </w:rPr>
      </w:pPr>
    </w:p>
    <w:p w:rsidR="003F627B" w:rsidRPr="0043015F" w:rsidRDefault="003F627B" w:rsidP="003F627B">
      <w:pPr>
        <w:autoSpaceDE w:val="0"/>
        <w:autoSpaceDN w:val="0"/>
        <w:adjustRightInd w:val="0"/>
        <w:spacing w:after="0" w:line="240" w:lineRule="auto"/>
        <w:jc w:val="both"/>
        <w:rPr>
          <w:rFonts w:ascii="Verdana" w:hAnsi="Verdana" w:cs="Verdana"/>
          <w:b/>
          <w:bCs/>
          <w:sz w:val="20"/>
          <w:szCs w:val="20"/>
          <w:lang w:val="es-ES"/>
        </w:rPr>
      </w:pPr>
      <w:r w:rsidRPr="0043015F">
        <w:rPr>
          <w:rFonts w:ascii="Verdana" w:hAnsi="Verdana" w:cs="Verdana"/>
          <w:b/>
          <w:bCs/>
          <w:sz w:val="20"/>
          <w:szCs w:val="20"/>
          <w:lang w:val="es-ES"/>
        </w:rPr>
        <w:lastRenderedPageBreak/>
        <w:t>POR TANTO:</w:t>
      </w:r>
    </w:p>
    <w:p w:rsidR="003F627B" w:rsidRPr="0043015F" w:rsidRDefault="003F627B" w:rsidP="003F627B">
      <w:pPr>
        <w:autoSpaceDE w:val="0"/>
        <w:autoSpaceDN w:val="0"/>
        <w:adjustRightInd w:val="0"/>
        <w:spacing w:after="0" w:line="240" w:lineRule="auto"/>
        <w:jc w:val="both"/>
        <w:rPr>
          <w:rFonts w:ascii="Verdana" w:hAnsi="Verdana" w:cs="Verdana"/>
          <w:b/>
          <w:bCs/>
          <w:sz w:val="20"/>
          <w:szCs w:val="20"/>
          <w:lang w:val="es-ES"/>
        </w:rPr>
      </w:pPr>
    </w:p>
    <w:p w:rsidR="003F627B" w:rsidRPr="0043015F" w:rsidRDefault="003F627B" w:rsidP="003F627B">
      <w:pPr>
        <w:autoSpaceDE w:val="0"/>
        <w:autoSpaceDN w:val="0"/>
        <w:adjustRightInd w:val="0"/>
        <w:spacing w:after="0" w:line="240" w:lineRule="auto"/>
        <w:jc w:val="both"/>
        <w:rPr>
          <w:rFonts w:ascii="Verdana" w:hAnsi="Verdana" w:cs="Verdana"/>
          <w:b/>
          <w:bCs/>
          <w:sz w:val="20"/>
          <w:szCs w:val="20"/>
          <w:lang w:val="es-ES"/>
        </w:rPr>
      </w:pPr>
      <w:r w:rsidRPr="0043015F">
        <w:rPr>
          <w:rFonts w:ascii="Verdana" w:hAnsi="Verdana" w:cs="Verdana"/>
          <w:b/>
          <w:bCs/>
          <w:sz w:val="20"/>
          <w:szCs w:val="20"/>
          <w:lang w:val="es-ES"/>
        </w:rPr>
        <w:t>LA CORTE INTERAMERICANA DE DERECHOS HUMANOS,</w:t>
      </w:r>
    </w:p>
    <w:p w:rsidR="003F627B" w:rsidRPr="0043015F" w:rsidRDefault="003F627B" w:rsidP="003F627B">
      <w:pPr>
        <w:autoSpaceDE w:val="0"/>
        <w:autoSpaceDN w:val="0"/>
        <w:adjustRightInd w:val="0"/>
        <w:spacing w:after="0" w:line="240" w:lineRule="auto"/>
        <w:jc w:val="both"/>
        <w:rPr>
          <w:rFonts w:ascii="Verdana" w:hAnsi="Verdana" w:cs="Verdana"/>
          <w:b/>
          <w:bCs/>
          <w:sz w:val="20"/>
          <w:szCs w:val="20"/>
          <w:lang w:val="es-ES"/>
        </w:rPr>
      </w:pPr>
    </w:p>
    <w:p w:rsidR="003F627B" w:rsidRDefault="00082757" w:rsidP="003F627B">
      <w:pPr>
        <w:autoSpaceDE w:val="0"/>
        <w:autoSpaceDN w:val="0"/>
        <w:adjustRightInd w:val="0"/>
        <w:spacing w:after="0" w:line="240" w:lineRule="auto"/>
        <w:jc w:val="both"/>
        <w:rPr>
          <w:rFonts w:ascii="Verdana" w:hAnsi="Verdana" w:cs="Verdana"/>
          <w:sz w:val="20"/>
          <w:szCs w:val="20"/>
          <w:lang w:val="es-ES"/>
        </w:rPr>
      </w:pPr>
      <w:r w:rsidRPr="0043015F">
        <w:rPr>
          <w:rFonts w:ascii="Verdana" w:hAnsi="Verdana" w:cs="Verdana"/>
          <w:sz w:val="20"/>
          <w:szCs w:val="20"/>
          <w:lang w:val="es-ES"/>
        </w:rPr>
        <w:t>En</w:t>
      </w:r>
      <w:r w:rsidR="003F627B" w:rsidRPr="0043015F">
        <w:rPr>
          <w:rFonts w:ascii="Verdana" w:hAnsi="Verdana" w:cs="Verdana"/>
          <w:sz w:val="20"/>
          <w:szCs w:val="20"/>
          <w:lang w:val="es-ES"/>
        </w:rPr>
        <w:t xml:space="preserve"> ejercicio de sus atribuciones de conformidad con los artículos 63.2 de la Convención Americana</w:t>
      </w:r>
      <w:r w:rsidR="004F1670">
        <w:rPr>
          <w:rFonts w:ascii="Verdana" w:hAnsi="Verdana" w:cs="Verdana"/>
          <w:sz w:val="20"/>
          <w:szCs w:val="20"/>
          <w:lang w:val="es-ES"/>
        </w:rPr>
        <w:t xml:space="preserve">, </w:t>
      </w:r>
      <w:r w:rsidR="003F627B" w:rsidRPr="0043015F">
        <w:rPr>
          <w:rFonts w:ascii="Verdana" w:hAnsi="Verdana" w:cs="Verdana"/>
          <w:sz w:val="20"/>
          <w:szCs w:val="20"/>
          <w:lang w:val="es-ES"/>
        </w:rPr>
        <w:t xml:space="preserve">y </w:t>
      </w:r>
      <w:r w:rsidR="004F1670">
        <w:rPr>
          <w:rFonts w:ascii="Verdana" w:hAnsi="Verdana" w:cs="Verdana"/>
          <w:sz w:val="20"/>
          <w:szCs w:val="20"/>
          <w:lang w:val="es-ES"/>
        </w:rPr>
        <w:t xml:space="preserve">los artículos </w:t>
      </w:r>
      <w:r w:rsidR="003F627B" w:rsidRPr="0043015F">
        <w:rPr>
          <w:rFonts w:ascii="Verdana" w:hAnsi="Verdana" w:cs="Verdana"/>
          <w:sz w:val="20"/>
          <w:szCs w:val="20"/>
          <w:lang w:val="es-ES"/>
        </w:rPr>
        <w:t>2</w:t>
      </w:r>
      <w:r w:rsidR="008B2BFF">
        <w:rPr>
          <w:rFonts w:ascii="Verdana" w:hAnsi="Verdana" w:cs="Verdana"/>
          <w:sz w:val="20"/>
          <w:szCs w:val="20"/>
          <w:lang w:val="es-ES"/>
        </w:rPr>
        <w:t>7</w:t>
      </w:r>
      <w:r w:rsidR="003F627B" w:rsidRPr="0043015F">
        <w:rPr>
          <w:rFonts w:ascii="Verdana" w:hAnsi="Verdana" w:cs="Verdana"/>
          <w:sz w:val="20"/>
          <w:szCs w:val="20"/>
          <w:lang w:val="es-ES"/>
        </w:rPr>
        <w:t xml:space="preserve"> </w:t>
      </w:r>
      <w:r w:rsidR="004F1670">
        <w:rPr>
          <w:rFonts w:ascii="Verdana" w:hAnsi="Verdana" w:cs="Verdana"/>
          <w:sz w:val="20"/>
          <w:szCs w:val="20"/>
          <w:lang w:val="es-ES"/>
        </w:rPr>
        <w:t xml:space="preserve">y 31 </w:t>
      </w:r>
      <w:r w:rsidR="003F627B" w:rsidRPr="0043015F">
        <w:rPr>
          <w:rFonts w:ascii="Verdana" w:hAnsi="Verdana" w:cs="Verdana"/>
          <w:sz w:val="20"/>
          <w:szCs w:val="20"/>
          <w:lang w:val="es-ES"/>
        </w:rPr>
        <w:t>d</w:t>
      </w:r>
      <w:r w:rsidR="008B2BFF">
        <w:rPr>
          <w:rFonts w:ascii="Verdana" w:hAnsi="Verdana" w:cs="Verdana"/>
          <w:sz w:val="20"/>
          <w:szCs w:val="20"/>
          <w:lang w:val="es-ES"/>
        </w:rPr>
        <w:t>el</w:t>
      </w:r>
      <w:r w:rsidR="003F627B" w:rsidRPr="0043015F">
        <w:rPr>
          <w:rFonts w:ascii="Verdana" w:hAnsi="Verdana" w:cs="Verdana"/>
          <w:sz w:val="20"/>
          <w:szCs w:val="20"/>
          <w:lang w:val="es-ES"/>
        </w:rPr>
        <w:t xml:space="preserve"> Reglamento</w:t>
      </w:r>
      <w:r w:rsidR="007B5A05">
        <w:rPr>
          <w:rFonts w:ascii="Verdana" w:hAnsi="Verdana" w:cs="Verdana"/>
          <w:sz w:val="20"/>
          <w:szCs w:val="20"/>
          <w:lang w:val="es-ES"/>
        </w:rPr>
        <w:t xml:space="preserve"> del T</w:t>
      </w:r>
      <w:r w:rsidR="004F1670">
        <w:rPr>
          <w:rFonts w:ascii="Verdana" w:hAnsi="Verdana" w:cs="Verdana"/>
          <w:sz w:val="20"/>
          <w:szCs w:val="20"/>
          <w:lang w:val="es-ES"/>
        </w:rPr>
        <w:t>ribunal</w:t>
      </w:r>
      <w:r w:rsidR="003F627B" w:rsidRPr="0043015F">
        <w:rPr>
          <w:rFonts w:ascii="Verdana" w:hAnsi="Verdana" w:cs="Verdana"/>
          <w:sz w:val="20"/>
          <w:szCs w:val="20"/>
          <w:lang w:val="es-ES"/>
        </w:rPr>
        <w:t>,</w:t>
      </w:r>
      <w:r w:rsidR="004F1670">
        <w:rPr>
          <w:rFonts w:ascii="Verdana" w:hAnsi="Verdana" w:cs="Verdana"/>
          <w:sz w:val="20"/>
          <w:szCs w:val="20"/>
          <w:lang w:val="es-ES"/>
        </w:rPr>
        <w:t xml:space="preserve"> </w:t>
      </w:r>
    </w:p>
    <w:p w:rsidR="007B5A05" w:rsidRPr="0059636C" w:rsidRDefault="007B5A05" w:rsidP="003F627B">
      <w:pPr>
        <w:autoSpaceDE w:val="0"/>
        <w:autoSpaceDN w:val="0"/>
        <w:adjustRightInd w:val="0"/>
        <w:spacing w:after="0" w:line="240" w:lineRule="auto"/>
        <w:jc w:val="both"/>
        <w:rPr>
          <w:rFonts w:ascii="Verdana" w:hAnsi="Verdana" w:cs="Verdana"/>
          <w:sz w:val="20"/>
          <w:szCs w:val="20"/>
          <w:lang w:val="es-ES"/>
        </w:rPr>
      </w:pPr>
    </w:p>
    <w:p w:rsidR="003F627B" w:rsidRPr="0043015F" w:rsidRDefault="003F627B" w:rsidP="003F627B">
      <w:pPr>
        <w:autoSpaceDE w:val="0"/>
        <w:autoSpaceDN w:val="0"/>
        <w:adjustRightInd w:val="0"/>
        <w:spacing w:after="0" w:line="240" w:lineRule="auto"/>
        <w:jc w:val="both"/>
        <w:rPr>
          <w:rFonts w:ascii="Verdana" w:hAnsi="Verdana" w:cs="Verdana"/>
          <w:b/>
          <w:bCs/>
          <w:sz w:val="20"/>
          <w:szCs w:val="20"/>
          <w:lang w:val="es-ES"/>
        </w:rPr>
      </w:pPr>
      <w:r w:rsidRPr="0043015F">
        <w:rPr>
          <w:rFonts w:ascii="Verdana" w:hAnsi="Verdana" w:cs="Verdana"/>
          <w:b/>
          <w:bCs/>
          <w:sz w:val="20"/>
          <w:szCs w:val="20"/>
          <w:lang w:val="es-ES"/>
        </w:rPr>
        <w:t>RESUELVE:</w:t>
      </w:r>
    </w:p>
    <w:p w:rsidR="00A968A0" w:rsidRPr="00A968A0" w:rsidRDefault="00A968A0" w:rsidP="003F627B">
      <w:pPr>
        <w:pStyle w:val="ListParagraph"/>
        <w:spacing w:after="0" w:line="240" w:lineRule="auto"/>
        <w:ind w:left="0"/>
        <w:jc w:val="both"/>
        <w:rPr>
          <w:rFonts w:ascii="Verdana" w:hAnsi="Verdana"/>
          <w:b/>
          <w:sz w:val="20"/>
          <w:szCs w:val="20"/>
          <w:lang w:val="es-MX"/>
        </w:rPr>
      </w:pPr>
    </w:p>
    <w:p w:rsidR="0056170C" w:rsidRPr="0056170C" w:rsidRDefault="0056170C" w:rsidP="003B7D8E">
      <w:pPr>
        <w:pStyle w:val="ListParagraph"/>
        <w:numPr>
          <w:ilvl w:val="0"/>
          <w:numId w:val="7"/>
        </w:numPr>
        <w:spacing w:after="0" w:line="240" w:lineRule="auto"/>
        <w:ind w:left="0" w:firstLine="0"/>
        <w:jc w:val="both"/>
        <w:rPr>
          <w:rFonts w:ascii="Verdana" w:hAnsi="Verdana"/>
          <w:sz w:val="20"/>
          <w:szCs w:val="20"/>
          <w:lang w:val="es-MX"/>
        </w:rPr>
      </w:pPr>
      <w:r>
        <w:rPr>
          <w:rFonts w:ascii="Verdana" w:hAnsi="Verdana" w:cs="Verdana"/>
          <w:sz w:val="20"/>
          <w:szCs w:val="20"/>
          <w:lang w:val="es-ES"/>
        </w:rPr>
        <w:t>Levantar las medidas provisionales</w:t>
      </w:r>
      <w:r w:rsidR="00B235A1">
        <w:rPr>
          <w:rFonts w:ascii="Verdana" w:hAnsi="Verdana" w:cs="Verdana"/>
          <w:sz w:val="20"/>
          <w:szCs w:val="20"/>
          <w:lang w:val="es-ES"/>
        </w:rPr>
        <w:t xml:space="preserve"> ordenadas</w:t>
      </w:r>
      <w:r>
        <w:rPr>
          <w:rFonts w:ascii="Verdana" w:hAnsi="Verdana" w:cs="Verdana"/>
          <w:sz w:val="20"/>
          <w:szCs w:val="20"/>
          <w:lang w:val="es-ES"/>
        </w:rPr>
        <w:t xml:space="preserve"> a favor de Olga Maldonado, </w:t>
      </w:r>
      <w:proofErr w:type="spellStart"/>
      <w:r>
        <w:rPr>
          <w:rFonts w:ascii="Verdana" w:hAnsi="Verdana" w:cs="Verdana"/>
          <w:sz w:val="20"/>
          <w:szCs w:val="20"/>
          <w:lang w:val="es-ES"/>
        </w:rPr>
        <w:t>Ca</w:t>
      </w:r>
      <w:r w:rsidR="007E40C8">
        <w:rPr>
          <w:rFonts w:ascii="Verdana" w:hAnsi="Verdana" w:cs="Verdana"/>
          <w:sz w:val="20"/>
          <w:szCs w:val="20"/>
          <w:lang w:val="es-ES"/>
        </w:rPr>
        <w:t>rmelinda</w:t>
      </w:r>
      <w:proofErr w:type="spellEnd"/>
      <w:r w:rsidR="007E40C8">
        <w:rPr>
          <w:rFonts w:ascii="Verdana" w:hAnsi="Verdana" w:cs="Verdana"/>
          <w:sz w:val="20"/>
          <w:szCs w:val="20"/>
          <w:lang w:val="es-ES"/>
        </w:rPr>
        <w:t xml:space="preserve"> Cabrera,</w:t>
      </w:r>
      <w:r>
        <w:rPr>
          <w:rFonts w:ascii="Verdana" w:hAnsi="Verdana" w:cs="Verdana"/>
          <w:sz w:val="20"/>
          <w:szCs w:val="20"/>
          <w:lang w:val="es-ES"/>
        </w:rPr>
        <w:t xml:space="preserve"> Teresa Aguilar Cabrera</w:t>
      </w:r>
      <w:r w:rsidR="007E40C8">
        <w:rPr>
          <w:rFonts w:ascii="Verdana" w:hAnsi="Verdana" w:cs="Verdana"/>
          <w:sz w:val="20"/>
          <w:szCs w:val="20"/>
          <w:lang w:val="es-ES"/>
        </w:rPr>
        <w:t xml:space="preserve"> y </w:t>
      </w:r>
      <w:r w:rsidR="007E40C8" w:rsidRPr="007B5A05">
        <w:rPr>
          <w:rFonts w:ascii="Verdana" w:hAnsi="Verdana" w:cs="Verdana"/>
          <w:sz w:val="20"/>
          <w:szCs w:val="20"/>
          <w:lang w:val="es-ES"/>
        </w:rPr>
        <w:t>Osmar Rigoberto Cabrera Maldonado</w:t>
      </w:r>
      <w:r w:rsidRPr="007D2612">
        <w:rPr>
          <w:rFonts w:ascii="Verdana" w:hAnsi="Verdana" w:cs="Verdana"/>
          <w:sz w:val="20"/>
          <w:szCs w:val="20"/>
          <w:lang w:val="es-ES"/>
        </w:rPr>
        <w:t>,</w:t>
      </w:r>
      <w:r w:rsidRPr="001170BB">
        <w:rPr>
          <w:rFonts w:ascii="Verdana" w:hAnsi="Verdana" w:cs="Verdana"/>
          <w:sz w:val="20"/>
          <w:szCs w:val="20"/>
          <w:lang w:val="es-ES"/>
        </w:rPr>
        <w:t xml:space="preserve"> de</w:t>
      </w:r>
      <w:r w:rsidRPr="00967D28">
        <w:rPr>
          <w:rFonts w:ascii="Verdana" w:hAnsi="Verdana" w:cs="Verdana"/>
          <w:sz w:val="20"/>
          <w:szCs w:val="20"/>
          <w:lang w:val="es-ES"/>
        </w:rPr>
        <w:t xml:space="preserve"> conformidad con el Considerando </w:t>
      </w:r>
      <w:r w:rsidR="00AE6C40">
        <w:rPr>
          <w:rFonts w:ascii="Verdana" w:hAnsi="Verdana" w:cs="Verdana"/>
          <w:sz w:val="20"/>
          <w:szCs w:val="20"/>
          <w:lang w:val="es-ES"/>
        </w:rPr>
        <w:t>17</w:t>
      </w:r>
      <w:r>
        <w:rPr>
          <w:rFonts w:ascii="Verdana" w:hAnsi="Verdana" w:cs="Verdana"/>
          <w:sz w:val="20"/>
          <w:szCs w:val="20"/>
          <w:lang w:val="es-ES"/>
        </w:rPr>
        <w:t xml:space="preserve"> </w:t>
      </w:r>
      <w:r w:rsidRPr="00967D28">
        <w:rPr>
          <w:rFonts w:ascii="Verdana" w:hAnsi="Verdana" w:cs="Verdana"/>
          <w:sz w:val="20"/>
          <w:szCs w:val="20"/>
          <w:lang w:val="es-ES"/>
        </w:rPr>
        <w:t>de la presente Resolución</w:t>
      </w:r>
      <w:r>
        <w:rPr>
          <w:rFonts w:ascii="Verdana" w:hAnsi="Verdana" w:cs="Verdana"/>
          <w:sz w:val="20"/>
          <w:szCs w:val="20"/>
          <w:lang w:val="es-ES"/>
        </w:rPr>
        <w:t>.</w:t>
      </w:r>
    </w:p>
    <w:p w:rsidR="0056170C" w:rsidRPr="0056170C" w:rsidRDefault="0056170C" w:rsidP="0056170C">
      <w:pPr>
        <w:pStyle w:val="ListParagraph"/>
        <w:spacing w:after="0" w:line="240" w:lineRule="auto"/>
        <w:ind w:left="0"/>
        <w:jc w:val="both"/>
        <w:rPr>
          <w:rFonts w:ascii="Verdana" w:hAnsi="Verdana"/>
          <w:sz w:val="20"/>
          <w:szCs w:val="20"/>
          <w:lang w:val="es-MX"/>
        </w:rPr>
      </w:pPr>
    </w:p>
    <w:p w:rsidR="003F627B" w:rsidRPr="00967D28" w:rsidRDefault="0056170C" w:rsidP="003B7D8E">
      <w:pPr>
        <w:pStyle w:val="ListParagraph"/>
        <w:numPr>
          <w:ilvl w:val="0"/>
          <w:numId w:val="7"/>
        </w:numPr>
        <w:spacing w:after="0" w:line="240" w:lineRule="auto"/>
        <w:ind w:left="0" w:firstLine="0"/>
        <w:jc w:val="both"/>
        <w:rPr>
          <w:rFonts w:ascii="Verdana" w:hAnsi="Verdana"/>
          <w:sz w:val="20"/>
          <w:szCs w:val="20"/>
          <w:lang w:val="es-MX"/>
        </w:rPr>
      </w:pPr>
      <w:r>
        <w:rPr>
          <w:rFonts w:ascii="Verdana" w:hAnsi="Verdana" w:cs="Verdana"/>
          <w:sz w:val="20"/>
          <w:szCs w:val="20"/>
          <w:lang w:val="es-MX"/>
        </w:rPr>
        <w:t>Mantener</w:t>
      </w:r>
      <w:r w:rsidR="003F627B" w:rsidRPr="00967D28">
        <w:rPr>
          <w:rFonts w:ascii="Verdana" w:hAnsi="Verdana" w:cs="Verdana"/>
          <w:sz w:val="20"/>
          <w:szCs w:val="20"/>
          <w:lang w:val="es-ES"/>
        </w:rPr>
        <w:t xml:space="preserve"> las medidas provisionales a favor del señor Santiago Cabrera López y</w:t>
      </w:r>
      <w:r>
        <w:rPr>
          <w:rFonts w:ascii="Verdana" w:hAnsi="Verdana" w:cs="Verdana"/>
          <w:sz w:val="20"/>
          <w:szCs w:val="20"/>
          <w:lang w:val="es-ES"/>
        </w:rPr>
        <w:t xml:space="preserve"> el resto de </w:t>
      </w:r>
      <w:r w:rsidR="003F627B" w:rsidRPr="00967D28">
        <w:rPr>
          <w:rFonts w:ascii="Verdana" w:hAnsi="Verdana" w:cs="Verdana"/>
          <w:sz w:val="20"/>
          <w:szCs w:val="20"/>
          <w:lang w:val="es-ES"/>
        </w:rPr>
        <w:t xml:space="preserve"> sus familiares</w:t>
      </w:r>
      <w:r w:rsidR="00036C3D" w:rsidRPr="00967D28">
        <w:rPr>
          <w:rFonts w:ascii="Verdana" w:hAnsi="Verdana" w:cs="Verdana"/>
          <w:sz w:val="20"/>
          <w:szCs w:val="20"/>
          <w:lang w:val="es-ES"/>
        </w:rPr>
        <w:t xml:space="preserve"> y del señor Aron Álvarez y sus familiares</w:t>
      </w:r>
      <w:r w:rsidR="00967D28" w:rsidRPr="00967D28">
        <w:rPr>
          <w:rFonts w:ascii="Verdana" w:hAnsi="Verdana" w:cs="Verdana"/>
          <w:sz w:val="20"/>
          <w:szCs w:val="20"/>
          <w:lang w:val="es-ES"/>
        </w:rPr>
        <w:t>, de conformidad con el</w:t>
      </w:r>
      <w:r w:rsidR="003F627B" w:rsidRPr="00967D28">
        <w:rPr>
          <w:rFonts w:ascii="Verdana" w:hAnsi="Verdana" w:cs="Verdana"/>
          <w:sz w:val="20"/>
          <w:szCs w:val="20"/>
          <w:lang w:val="es-ES"/>
        </w:rPr>
        <w:t xml:space="preserve"> Considerando </w:t>
      </w:r>
      <w:r w:rsidR="00AE6C40">
        <w:rPr>
          <w:rFonts w:ascii="Verdana" w:hAnsi="Verdana" w:cs="Verdana"/>
          <w:sz w:val="20"/>
          <w:szCs w:val="20"/>
          <w:lang w:val="es-ES"/>
        </w:rPr>
        <w:t>18</w:t>
      </w:r>
      <w:r>
        <w:rPr>
          <w:rFonts w:ascii="Verdana" w:hAnsi="Verdana" w:cs="Verdana"/>
          <w:sz w:val="20"/>
          <w:szCs w:val="20"/>
          <w:lang w:val="es-ES"/>
        </w:rPr>
        <w:t xml:space="preserve"> </w:t>
      </w:r>
      <w:r w:rsidR="00036C3D" w:rsidRPr="00967D28">
        <w:rPr>
          <w:rFonts w:ascii="Verdana" w:hAnsi="Verdana" w:cs="Verdana"/>
          <w:sz w:val="20"/>
          <w:szCs w:val="20"/>
          <w:lang w:val="es-ES"/>
        </w:rPr>
        <w:t>de la presente Resolución</w:t>
      </w:r>
      <w:r w:rsidR="003F627B" w:rsidRPr="00967D28">
        <w:rPr>
          <w:rFonts w:ascii="Verdana" w:hAnsi="Verdana" w:cs="Verdana"/>
          <w:sz w:val="20"/>
          <w:szCs w:val="20"/>
          <w:lang w:val="es-ES"/>
        </w:rPr>
        <w:t>.</w:t>
      </w:r>
    </w:p>
    <w:p w:rsidR="00082757" w:rsidRPr="00967D28" w:rsidRDefault="00082757" w:rsidP="00082757">
      <w:pPr>
        <w:pStyle w:val="ListParagraph"/>
        <w:spacing w:after="0" w:line="240" w:lineRule="auto"/>
        <w:ind w:left="0"/>
        <w:jc w:val="both"/>
        <w:rPr>
          <w:rFonts w:ascii="Verdana" w:hAnsi="Verdana"/>
          <w:sz w:val="20"/>
          <w:szCs w:val="20"/>
          <w:lang w:val="es-MX"/>
        </w:rPr>
      </w:pPr>
    </w:p>
    <w:p w:rsidR="00082757" w:rsidRPr="00967D28" w:rsidRDefault="00082757" w:rsidP="003B7D8E">
      <w:pPr>
        <w:pStyle w:val="ListParagraph"/>
        <w:numPr>
          <w:ilvl w:val="0"/>
          <w:numId w:val="7"/>
        </w:numPr>
        <w:spacing w:after="0" w:line="240" w:lineRule="auto"/>
        <w:ind w:left="0" w:firstLine="0"/>
        <w:jc w:val="both"/>
        <w:rPr>
          <w:rFonts w:ascii="Verdana" w:hAnsi="Verdana"/>
          <w:sz w:val="20"/>
          <w:szCs w:val="20"/>
          <w:lang w:val="es-MX"/>
        </w:rPr>
      </w:pPr>
      <w:r w:rsidRPr="00967D28">
        <w:rPr>
          <w:rFonts w:ascii="Verdana" w:hAnsi="Verdana"/>
          <w:sz w:val="20"/>
          <w:szCs w:val="20"/>
        </w:rPr>
        <w:t>En los términos del artículo 1.1 de la Convención Americana</w:t>
      </w:r>
      <w:r w:rsidR="00CF35F1">
        <w:rPr>
          <w:rFonts w:ascii="Verdana" w:hAnsi="Verdana"/>
          <w:sz w:val="20"/>
          <w:szCs w:val="20"/>
        </w:rPr>
        <w:t xml:space="preserve"> sobre Derechos Humanos</w:t>
      </w:r>
      <w:r w:rsidRPr="00967D28">
        <w:rPr>
          <w:rFonts w:ascii="Verdana" w:hAnsi="Verdana"/>
          <w:sz w:val="20"/>
          <w:szCs w:val="20"/>
        </w:rPr>
        <w:t>, el levantamiento de las medidas provisionales en este caso no implica que el Estado quede relevado de sus obligaciones convencionales de protección, de co</w:t>
      </w:r>
      <w:r w:rsidR="00CF35F1">
        <w:rPr>
          <w:rFonts w:ascii="Verdana" w:hAnsi="Verdana"/>
          <w:sz w:val="20"/>
          <w:szCs w:val="20"/>
        </w:rPr>
        <w:t>nformidad con el Considerando 2</w:t>
      </w:r>
      <w:r w:rsidR="004F1670">
        <w:rPr>
          <w:rFonts w:ascii="Verdana" w:hAnsi="Verdana"/>
          <w:sz w:val="20"/>
          <w:szCs w:val="20"/>
        </w:rPr>
        <w:t>0</w:t>
      </w:r>
      <w:r w:rsidRPr="00967D28">
        <w:rPr>
          <w:rFonts w:ascii="Verdana" w:hAnsi="Verdana"/>
          <w:sz w:val="20"/>
          <w:szCs w:val="20"/>
        </w:rPr>
        <w:t xml:space="preserve"> de la presente Resolución.</w:t>
      </w:r>
    </w:p>
    <w:p w:rsidR="003F627B" w:rsidRPr="00967D28" w:rsidRDefault="003F627B" w:rsidP="00082757">
      <w:pPr>
        <w:spacing w:after="0" w:line="240" w:lineRule="auto"/>
        <w:jc w:val="both"/>
        <w:rPr>
          <w:rFonts w:ascii="Verdana" w:hAnsi="Verdana"/>
          <w:sz w:val="20"/>
          <w:szCs w:val="20"/>
          <w:lang w:val="es-MX"/>
        </w:rPr>
      </w:pPr>
    </w:p>
    <w:p w:rsidR="00B235A1" w:rsidRPr="00B24F05" w:rsidRDefault="00B235A1" w:rsidP="00B235A1">
      <w:pPr>
        <w:pStyle w:val="ListParagraph"/>
        <w:numPr>
          <w:ilvl w:val="0"/>
          <w:numId w:val="7"/>
        </w:numPr>
        <w:spacing w:after="0" w:line="240" w:lineRule="auto"/>
        <w:ind w:left="0" w:firstLine="0"/>
        <w:jc w:val="both"/>
        <w:rPr>
          <w:lang w:val="es-MX"/>
        </w:rPr>
      </w:pPr>
      <w:r w:rsidRPr="00B24F05">
        <w:rPr>
          <w:rFonts w:ascii="Verdana" w:hAnsi="Verdana"/>
          <w:spacing w:val="-4"/>
          <w:sz w:val="20"/>
          <w:szCs w:val="20"/>
          <w:lang w:val="es-MX"/>
        </w:rPr>
        <w:t>Reiterar al Estado que realice todas las gestiones pertinentes para que las medidas ordenadas en esta Resolución se planifiquen e implementen con la participación de los beneficiarios o sus representantes y que, en general, les mantenga informados sobre el avance de su ejecución.</w:t>
      </w:r>
    </w:p>
    <w:p w:rsidR="00B235A1" w:rsidRPr="00B24F05" w:rsidRDefault="00B235A1" w:rsidP="00B235A1">
      <w:pPr>
        <w:pStyle w:val="ListParagraph"/>
        <w:spacing w:after="0" w:line="240" w:lineRule="auto"/>
        <w:ind w:left="0"/>
        <w:jc w:val="both"/>
        <w:rPr>
          <w:lang w:val="es-MX"/>
        </w:rPr>
      </w:pPr>
    </w:p>
    <w:p w:rsidR="00B235A1" w:rsidRPr="00B24F05" w:rsidRDefault="00B235A1" w:rsidP="00B235A1">
      <w:pPr>
        <w:pStyle w:val="ListParagraph"/>
        <w:numPr>
          <w:ilvl w:val="0"/>
          <w:numId w:val="7"/>
        </w:numPr>
        <w:spacing w:after="0" w:line="240" w:lineRule="auto"/>
        <w:ind w:left="0" w:firstLine="0"/>
        <w:jc w:val="both"/>
        <w:rPr>
          <w:lang w:val="es-MX"/>
        </w:rPr>
      </w:pPr>
      <w:r w:rsidRPr="00B24F05">
        <w:rPr>
          <w:rFonts w:ascii="Verdana" w:hAnsi="Verdana"/>
          <w:spacing w:val="-4"/>
          <w:sz w:val="20"/>
          <w:szCs w:val="20"/>
          <w:lang w:val="es-MX"/>
        </w:rPr>
        <w:t xml:space="preserve">Requerir al Estado que </w:t>
      </w:r>
      <w:r w:rsidRPr="00B24F05">
        <w:rPr>
          <w:rFonts w:ascii="Verdana" w:hAnsi="Verdana"/>
          <w:spacing w:val="-4"/>
          <w:sz w:val="20"/>
          <w:szCs w:val="20"/>
          <w:lang w:val="es-CR"/>
        </w:rPr>
        <w:t xml:space="preserve">presente informes detallados sobre la situación actual de los beneficiarios y sobre las medidas provisionales adoptadas de conformidad con esta decisión, </w:t>
      </w:r>
      <w:r>
        <w:rPr>
          <w:rFonts w:ascii="Verdana" w:hAnsi="Verdana"/>
          <w:spacing w:val="-4"/>
          <w:sz w:val="20"/>
          <w:szCs w:val="20"/>
          <w:lang w:val="es-CR"/>
        </w:rPr>
        <w:t xml:space="preserve">en los términos del Considerando </w:t>
      </w:r>
      <w:r w:rsidR="004F1670">
        <w:rPr>
          <w:rFonts w:ascii="Verdana" w:hAnsi="Verdana"/>
          <w:spacing w:val="-4"/>
          <w:sz w:val="20"/>
          <w:szCs w:val="20"/>
          <w:lang w:val="es-CR"/>
        </w:rPr>
        <w:t>19</w:t>
      </w:r>
      <w:r>
        <w:rPr>
          <w:rFonts w:ascii="Verdana" w:hAnsi="Verdana"/>
          <w:spacing w:val="-4"/>
          <w:sz w:val="20"/>
          <w:szCs w:val="20"/>
          <w:lang w:val="es-CR"/>
        </w:rPr>
        <w:t xml:space="preserve"> de la presente Resolución, </w:t>
      </w:r>
      <w:r w:rsidRPr="00B24F05">
        <w:rPr>
          <w:rFonts w:ascii="Verdana" w:hAnsi="Verdana"/>
          <w:spacing w:val="-4"/>
          <w:sz w:val="20"/>
          <w:szCs w:val="20"/>
          <w:lang w:val="es-CR"/>
        </w:rPr>
        <w:t>cada c</w:t>
      </w:r>
      <w:r>
        <w:rPr>
          <w:rFonts w:ascii="Verdana" w:hAnsi="Verdana"/>
          <w:spacing w:val="-4"/>
          <w:sz w:val="20"/>
          <w:szCs w:val="20"/>
          <w:lang w:val="es-CR"/>
        </w:rPr>
        <w:t>uatro meses</w:t>
      </w:r>
      <w:r w:rsidRPr="00B24F05">
        <w:rPr>
          <w:rFonts w:ascii="Verdana" w:hAnsi="Verdana"/>
          <w:spacing w:val="-4"/>
          <w:sz w:val="20"/>
          <w:szCs w:val="20"/>
          <w:lang w:val="es-MX"/>
        </w:rPr>
        <w:t>.</w:t>
      </w:r>
    </w:p>
    <w:p w:rsidR="00B235A1" w:rsidRPr="00B24F05" w:rsidRDefault="00B235A1" w:rsidP="00B235A1">
      <w:pPr>
        <w:pStyle w:val="ListParagraph"/>
        <w:spacing w:after="0" w:line="240" w:lineRule="auto"/>
        <w:ind w:left="0"/>
        <w:jc w:val="both"/>
        <w:rPr>
          <w:lang w:val="es-MX"/>
        </w:rPr>
      </w:pPr>
    </w:p>
    <w:p w:rsidR="00B235A1" w:rsidRPr="00B24F05" w:rsidRDefault="00B235A1" w:rsidP="00B235A1">
      <w:pPr>
        <w:pStyle w:val="ListParagraph"/>
        <w:numPr>
          <w:ilvl w:val="0"/>
          <w:numId w:val="7"/>
        </w:numPr>
        <w:spacing w:after="0" w:line="240" w:lineRule="auto"/>
        <w:ind w:left="0" w:firstLine="0"/>
        <w:jc w:val="both"/>
        <w:rPr>
          <w:lang w:val="es-MX"/>
        </w:rPr>
      </w:pPr>
      <w:r w:rsidRPr="00B24F05">
        <w:rPr>
          <w:rFonts w:ascii="Verdana" w:eastAsia="Batang" w:hAnsi="Verdana"/>
          <w:spacing w:val="-4"/>
          <w:sz w:val="20"/>
          <w:szCs w:val="20"/>
          <w:lang w:val="es-CR"/>
        </w:rPr>
        <w:t>Requerir a l</w:t>
      </w:r>
      <w:r w:rsidR="00033BD2">
        <w:rPr>
          <w:rFonts w:ascii="Verdana" w:eastAsia="Batang" w:hAnsi="Verdana"/>
          <w:spacing w:val="-4"/>
          <w:sz w:val="20"/>
          <w:szCs w:val="20"/>
          <w:lang w:val="es-CR"/>
        </w:rPr>
        <w:t>a</w:t>
      </w:r>
      <w:r w:rsidRPr="00B24F05">
        <w:rPr>
          <w:rFonts w:ascii="Verdana" w:eastAsia="Batang" w:hAnsi="Verdana"/>
          <w:spacing w:val="-4"/>
          <w:sz w:val="20"/>
          <w:szCs w:val="20"/>
          <w:lang w:val="es-CR"/>
        </w:rPr>
        <w:t>s representantes de los beneficiarios que, en un plazo de cuatro semanas, contado a partir de la recepción de los informes estatales, presenten sus observaciones a lo</w:t>
      </w:r>
      <w:r>
        <w:rPr>
          <w:rFonts w:ascii="Verdana" w:eastAsia="Batang" w:hAnsi="Verdana"/>
          <w:spacing w:val="-4"/>
          <w:sz w:val="20"/>
          <w:szCs w:val="20"/>
          <w:lang w:val="es-CR"/>
        </w:rPr>
        <w:t xml:space="preserve">s mismos, en los términos del Considerando </w:t>
      </w:r>
      <w:r w:rsidR="00033BD2">
        <w:rPr>
          <w:rFonts w:ascii="Verdana" w:eastAsia="Batang" w:hAnsi="Verdana"/>
          <w:spacing w:val="-4"/>
          <w:sz w:val="20"/>
          <w:szCs w:val="20"/>
          <w:lang w:val="es-CR"/>
        </w:rPr>
        <w:t>19</w:t>
      </w:r>
      <w:r>
        <w:rPr>
          <w:rFonts w:ascii="Verdana" w:eastAsia="Batang" w:hAnsi="Verdana"/>
          <w:spacing w:val="-4"/>
          <w:sz w:val="20"/>
          <w:szCs w:val="20"/>
          <w:lang w:val="es-CR"/>
        </w:rPr>
        <w:t xml:space="preserve"> de la presente Resolución</w:t>
      </w:r>
      <w:r w:rsidRPr="00B24F05">
        <w:rPr>
          <w:rFonts w:ascii="Verdana" w:eastAsia="Batang" w:hAnsi="Verdana"/>
          <w:spacing w:val="-4"/>
          <w:sz w:val="20"/>
          <w:szCs w:val="20"/>
          <w:lang w:val="es-CR"/>
        </w:rPr>
        <w:t>.</w:t>
      </w:r>
    </w:p>
    <w:p w:rsidR="00B235A1" w:rsidRPr="00B24F05" w:rsidRDefault="00B235A1" w:rsidP="00B235A1">
      <w:pPr>
        <w:pStyle w:val="ListParagraph"/>
        <w:spacing w:after="0" w:line="240" w:lineRule="auto"/>
        <w:ind w:left="0"/>
        <w:jc w:val="both"/>
        <w:rPr>
          <w:lang w:val="es-MX"/>
        </w:rPr>
      </w:pPr>
    </w:p>
    <w:p w:rsidR="00B235A1" w:rsidRPr="00B235A1" w:rsidRDefault="00B235A1" w:rsidP="00B235A1">
      <w:pPr>
        <w:pStyle w:val="ListParagraph"/>
        <w:numPr>
          <w:ilvl w:val="0"/>
          <w:numId w:val="7"/>
        </w:numPr>
        <w:spacing w:after="0" w:line="240" w:lineRule="auto"/>
        <w:ind w:left="0" w:firstLine="0"/>
        <w:jc w:val="both"/>
        <w:rPr>
          <w:lang w:val="es-MX"/>
        </w:rPr>
      </w:pPr>
      <w:r w:rsidRPr="00B24F05">
        <w:rPr>
          <w:rFonts w:ascii="Verdana" w:hAnsi="Verdana"/>
          <w:spacing w:val="-4"/>
          <w:sz w:val="20"/>
          <w:szCs w:val="20"/>
        </w:rPr>
        <w:t>Requerir a la Comisión Interamericana de Derechos Humanos que presente las observaciones que estime pertinentes a los informes e</w:t>
      </w:r>
      <w:r>
        <w:rPr>
          <w:rFonts w:ascii="Verdana" w:hAnsi="Verdana"/>
          <w:spacing w:val="-4"/>
          <w:sz w:val="20"/>
          <w:szCs w:val="20"/>
        </w:rPr>
        <w:t xml:space="preserve">statales, en los términos del Considerando </w:t>
      </w:r>
      <w:r w:rsidR="00033BD2">
        <w:rPr>
          <w:rFonts w:ascii="Verdana" w:hAnsi="Verdana"/>
          <w:spacing w:val="-4"/>
          <w:sz w:val="20"/>
          <w:szCs w:val="20"/>
        </w:rPr>
        <w:t>19</w:t>
      </w:r>
      <w:r>
        <w:rPr>
          <w:rFonts w:ascii="Verdana" w:hAnsi="Verdana"/>
          <w:spacing w:val="-4"/>
          <w:sz w:val="20"/>
          <w:szCs w:val="20"/>
        </w:rPr>
        <w:t xml:space="preserve"> de la presente Resolución, dentro de un plazo de </w:t>
      </w:r>
      <w:r w:rsidRPr="00B24F05">
        <w:rPr>
          <w:rFonts w:ascii="Verdana" w:hAnsi="Verdana"/>
          <w:spacing w:val="-4"/>
          <w:sz w:val="20"/>
          <w:szCs w:val="20"/>
        </w:rPr>
        <w:t xml:space="preserve">seis semanas, contado a partir de la recepción de dichos informes. </w:t>
      </w:r>
    </w:p>
    <w:p w:rsidR="00B235A1" w:rsidRPr="00B235A1" w:rsidRDefault="00B235A1" w:rsidP="00B235A1">
      <w:pPr>
        <w:pStyle w:val="ListParagraph"/>
        <w:rPr>
          <w:rFonts w:ascii="Verdana" w:hAnsi="Verdana"/>
          <w:sz w:val="20"/>
          <w:szCs w:val="20"/>
        </w:rPr>
      </w:pPr>
    </w:p>
    <w:p w:rsidR="00374477" w:rsidRPr="001170BB" w:rsidRDefault="00082757" w:rsidP="001170BB">
      <w:pPr>
        <w:pStyle w:val="ListParagraph"/>
        <w:numPr>
          <w:ilvl w:val="0"/>
          <w:numId w:val="7"/>
        </w:numPr>
        <w:spacing w:after="0" w:line="240" w:lineRule="auto"/>
        <w:ind w:left="0" w:firstLine="0"/>
        <w:jc w:val="both"/>
        <w:rPr>
          <w:rFonts w:ascii="Verdana" w:hAnsi="Verdana"/>
          <w:sz w:val="20"/>
          <w:szCs w:val="20"/>
          <w:lang w:val="es-MX"/>
        </w:rPr>
      </w:pPr>
      <w:r w:rsidRPr="00967D28">
        <w:rPr>
          <w:rFonts w:ascii="Verdana" w:hAnsi="Verdana"/>
          <w:sz w:val="20"/>
          <w:szCs w:val="20"/>
        </w:rPr>
        <w:t>Disponer que la Secretaría de la Corte Interamericana de Derechos Humanos notifique la presente Resolución a</w:t>
      </w:r>
      <w:r w:rsidR="00CF35F1">
        <w:rPr>
          <w:rFonts w:ascii="Verdana" w:hAnsi="Verdana"/>
          <w:sz w:val="20"/>
          <w:szCs w:val="20"/>
        </w:rPr>
        <w:t xml:space="preserve"> Guatemala</w:t>
      </w:r>
      <w:r w:rsidRPr="00967D28">
        <w:rPr>
          <w:rFonts w:ascii="Verdana" w:hAnsi="Verdana"/>
          <w:sz w:val="20"/>
          <w:szCs w:val="20"/>
        </w:rPr>
        <w:t>, a la Comisión Interamericana de Derechos Humanos y a l</w:t>
      </w:r>
      <w:r w:rsidR="00033BD2">
        <w:rPr>
          <w:rFonts w:ascii="Verdana" w:hAnsi="Verdana"/>
          <w:sz w:val="20"/>
          <w:szCs w:val="20"/>
        </w:rPr>
        <w:t>a</w:t>
      </w:r>
      <w:r w:rsidRPr="00967D28">
        <w:rPr>
          <w:rFonts w:ascii="Verdana" w:hAnsi="Verdana"/>
          <w:sz w:val="20"/>
          <w:szCs w:val="20"/>
        </w:rPr>
        <w:t>s representantes.</w:t>
      </w:r>
    </w:p>
    <w:p w:rsidR="00374477" w:rsidRDefault="00374477" w:rsidP="003F627B">
      <w:pPr>
        <w:autoSpaceDE w:val="0"/>
        <w:autoSpaceDN w:val="0"/>
        <w:adjustRightInd w:val="0"/>
        <w:spacing w:after="0" w:line="240" w:lineRule="auto"/>
        <w:rPr>
          <w:rFonts w:ascii="Verdana" w:hAnsi="Verdana" w:cs="Verdana"/>
          <w:sz w:val="20"/>
          <w:szCs w:val="20"/>
          <w:lang w:val="es-ES"/>
        </w:rPr>
      </w:pPr>
    </w:p>
    <w:p w:rsidR="00071C95" w:rsidRDefault="00071C95" w:rsidP="00071C95">
      <w:pPr>
        <w:ind w:right="-90"/>
        <w:jc w:val="both"/>
        <w:rPr>
          <w:rFonts w:ascii="Verdana" w:hAnsi="Verdana"/>
          <w:sz w:val="20"/>
          <w:szCs w:val="20"/>
          <w:lang w:val="es-CR"/>
        </w:rPr>
      </w:pPr>
      <w:r w:rsidRPr="00B763E9">
        <w:rPr>
          <w:rFonts w:ascii="Verdana" w:hAnsi="Verdana"/>
          <w:sz w:val="20"/>
          <w:szCs w:val="20"/>
          <w:lang w:val="es-CR"/>
        </w:rPr>
        <w:t>El Juez Eduardo Vio Grossi hizo conocer a la Corte su voto Concurrente, el cual acompaña esta Resolución.</w:t>
      </w:r>
    </w:p>
    <w:p w:rsidR="00374477" w:rsidRPr="00071C95" w:rsidRDefault="00374477" w:rsidP="003F627B">
      <w:pPr>
        <w:autoSpaceDE w:val="0"/>
        <w:autoSpaceDN w:val="0"/>
        <w:adjustRightInd w:val="0"/>
        <w:spacing w:after="0" w:line="240" w:lineRule="auto"/>
        <w:rPr>
          <w:rFonts w:ascii="Verdana" w:hAnsi="Verdana" w:cs="Verdana"/>
          <w:sz w:val="20"/>
          <w:szCs w:val="20"/>
          <w:lang w:val="es-CR"/>
        </w:rPr>
      </w:pPr>
    </w:p>
    <w:p w:rsidR="00374477" w:rsidRDefault="00374477" w:rsidP="003F627B">
      <w:pPr>
        <w:autoSpaceDE w:val="0"/>
        <w:autoSpaceDN w:val="0"/>
        <w:adjustRightInd w:val="0"/>
        <w:spacing w:after="0" w:line="240" w:lineRule="auto"/>
        <w:rPr>
          <w:rFonts w:ascii="Verdana" w:hAnsi="Verdana" w:cs="Verdana"/>
          <w:sz w:val="20"/>
          <w:szCs w:val="20"/>
          <w:lang w:val="es-ES"/>
        </w:rPr>
      </w:pPr>
    </w:p>
    <w:p w:rsidR="00D67758" w:rsidRDefault="00D67758" w:rsidP="003F627B">
      <w:pPr>
        <w:autoSpaceDE w:val="0"/>
        <w:autoSpaceDN w:val="0"/>
        <w:adjustRightInd w:val="0"/>
        <w:spacing w:after="0" w:line="240" w:lineRule="auto"/>
        <w:rPr>
          <w:rFonts w:ascii="Verdana" w:hAnsi="Verdana" w:cs="Verdana"/>
          <w:sz w:val="20"/>
          <w:szCs w:val="20"/>
          <w:lang w:val="es-ES"/>
        </w:rPr>
      </w:pPr>
    </w:p>
    <w:p w:rsidR="00D67758" w:rsidRDefault="00D67758" w:rsidP="003F627B">
      <w:pPr>
        <w:autoSpaceDE w:val="0"/>
        <w:autoSpaceDN w:val="0"/>
        <w:adjustRightInd w:val="0"/>
        <w:spacing w:after="0" w:line="240" w:lineRule="auto"/>
        <w:rPr>
          <w:rFonts w:ascii="Verdana" w:hAnsi="Verdana" w:cs="Verdana"/>
          <w:sz w:val="20"/>
          <w:szCs w:val="20"/>
          <w:lang w:val="es-ES"/>
        </w:rPr>
      </w:pPr>
    </w:p>
    <w:p w:rsidR="00D67758" w:rsidRDefault="00D67758" w:rsidP="003F627B">
      <w:pPr>
        <w:autoSpaceDE w:val="0"/>
        <w:autoSpaceDN w:val="0"/>
        <w:adjustRightInd w:val="0"/>
        <w:spacing w:after="0" w:line="240" w:lineRule="auto"/>
        <w:rPr>
          <w:rFonts w:ascii="Verdana" w:hAnsi="Verdana" w:cs="Verdana"/>
          <w:sz w:val="20"/>
          <w:szCs w:val="20"/>
          <w:lang w:val="es-ES"/>
        </w:rPr>
      </w:pPr>
    </w:p>
    <w:p w:rsidR="00D67758" w:rsidRDefault="00D67758" w:rsidP="003F627B">
      <w:pPr>
        <w:autoSpaceDE w:val="0"/>
        <w:autoSpaceDN w:val="0"/>
        <w:adjustRightInd w:val="0"/>
        <w:spacing w:after="0" w:line="240" w:lineRule="auto"/>
        <w:rPr>
          <w:rFonts w:ascii="Verdana" w:hAnsi="Verdana" w:cs="Verdana"/>
          <w:sz w:val="20"/>
          <w:szCs w:val="20"/>
          <w:lang w:val="es-ES"/>
        </w:rPr>
      </w:pPr>
    </w:p>
    <w:p w:rsidR="00D40DA8" w:rsidRDefault="00D40DA8" w:rsidP="003F627B">
      <w:pPr>
        <w:autoSpaceDE w:val="0"/>
        <w:autoSpaceDN w:val="0"/>
        <w:adjustRightInd w:val="0"/>
        <w:spacing w:after="0" w:line="240" w:lineRule="auto"/>
        <w:rPr>
          <w:rFonts w:ascii="Verdana" w:hAnsi="Verdana" w:cs="Verdana"/>
          <w:sz w:val="20"/>
          <w:szCs w:val="20"/>
          <w:lang w:val="es-ES"/>
        </w:rPr>
      </w:pPr>
    </w:p>
    <w:p w:rsidR="00D40DA8" w:rsidRDefault="00D40DA8" w:rsidP="003F627B">
      <w:pPr>
        <w:autoSpaceDE w:val="0"/>
        <w:autoSpaceDN w:val="0"/>
        <w:adjustRightInd w:val="0"/>
        <w:spacing w:after="0" w:line="240" w:lineRule="auto"/>
        <w:rPr>
          <w:rFonts w:ascii="Verdana" w:hAnsi="Verdana" w:cs="Verdana"/>
          <w:sz w:val="20"/>
          <w:szCs w:val="20"/>
          <w:lang w:val="es-ES"/>
        </w:rPr>
      </w:pPr>
    </w:p>
    <w:p w:rsidR="00D40DA8" w:rsidRDefault="00D40DA8" w:rsidP="003F627B">
      <w:pPr>
        <w:autoSpaceDE w:val="0"/>
        <w:autoSpaceDN w:val="0"/>
        <w:adjustRightInd w:val="0"/>
        <w:spacing w:after="0" w:line="240" w:lineRule="auto"/>
        <w:rPr>
          <w:rFonts w:ascii="Verdana" w:hAnsi="Verdana" w:cs="Verdana"/>
          <w:sz w:val="20"/>
          <w:szCs w:val="20"/>
          <w:lang w:val="es-ES"/>
        </w:rPr>
      </w:pPr>
    </w:p>
    <w:p w:rsidR="00D67758" w:rsidRDefault="00D67758" w:rsidP="003F627B">
      <w:pPr>
        <w:autoSpaceDE w:val="0"/>
        <w:autoSpaceDN w:val="0"/>
        <w:adjustRightInd w:val="0"/>
        <w:spacing w:after="0" w:line="240" w:lineRule="auto"/>
        <w:rPr>
          <w:rFonts w:ascii="Verdana" w:hAnsi="Verdana" w:cs="Verdana"/>
          <w:sz w:val="20"/>
          <w:szCs w:val="20"/>
          <w:lang w:val="es-ES"/>
        </w:rPr>
      </w:pPr>
    </w:p>
    <w:p w:rsidR="002B768C" w:rsidRPr="0043015F" w:rsidRDefault="00085EC9" w:rsidP="002B768C">
      <w:pPr>
        <w:spacing w:after="0"/>
        <w:jc w:val="both"/>
        <w:rPr>
          <w:rFonts w:ascii="Verdana" w:hAnsi="Verdana"/>
          <w:sz w:val="20"/>
          <w:szCs w:val="20"/>
          <w:lang w:val="es-CR"/>
        </w:rPr>
      </w:pPr>
      <w:r w:rsidRPr="00D40DA8">
        <w:rPr>
          <w:rFonts w:ascii="Verdana" w:hAnsi="Verdana"/>
          <w:sz w:val="20"/>
        </w:rPr>
        <w:t xml:space="preserve">Corte IDH. </w:t>
      </w:r>
      <w:r w:rsidRPr="00D40DA8">
        <w:rPr>
          <w:rFonts w:ascii="Verdana" w:hAnsi="Verdana"/>
          <w:i/>
          <w:sz w:val="20"/>
          <w:szCs w:val="20"/>
          <w:lang w:val="es-CR"/>
        </w:rPr>
        <w:t xml:space="preserve">Caso </w:t>
      </w:r>
      <w:proofErr w:type="spellStart"/>
      <w:r w:rsidRPr="00D40DA8">
        <w:rPr>
          <w:rFonts w:ascii="Verdana" w:hAnsi="Verdana"/>
          <w:i/>
          <w:sz w:val="20"/>
          <w:szCs w:val="20"/>
          <w:lang w:val="es-CR"/>
        </w:rPr>
        <w:t>Bámaca</w:t>
      </w:r>
      <w:proofErr w:type="spellEnd"/>
      <w:r w:rsidRPr="00D40DA8">
        <w:rPr>
          <w:rFonts w:ascii="Verdana" w:hAnsi="Verdana"/>
          <w:i/>
          <w:sz w:val="20"/>
          <w:szCs w:val="20"/>
          <w:lang w:val="es-CR"/>
        </w:rPr>
        <w:t xml:space="preserve"> Velásquez Vs. Guatemala</w:t>
      </w:r>
      <w:r w:rsidRPr="00D40DA8">
        <w:rPr>
          <w:rFonts w:ascii="Verdana" w:hAnsi="Verdana"/>
          <w:sz w:val="20"/>
          <w:szCs w:val="20"/>
          <w:lang w:val="es-CR"/>
        </w:rPr>
        <w:t xml:space="preserve">. </w:t>
      </w:r>
      <w:r w:rsidR="00071C95" w:rsidRPr="00D40DA8">
        <w:rPr>
          <w:rFonts w:ascii="Verdana" w:hAnsi="Verdana"/>
          <w:sz w:val="20"/>
          <w:szCs w:val="20"/>
          <w:lang w:val="es-CR"/>
        </w:rPr>
        <w:t xml:space="preserve">Medidas Provisionales. </w:t>
      </w:r>
      <w:r w:rsidR="002B768C" w:rsidRPr="00D40DA8">
        <w:rPr>
          <w:rFonts w:ascii="Verdana" w:hAnsi="Verdana"/>
          <w:sz w:val="20"/>
          <w:szCs w:val="20"/>
          <w:lang w:val="es-CR"/>
        </w:rPr>
        <w:t>Resolución de la Corte Inte</w:t>
      </w:r>
      <w:r w:rsidR="00071C95" w:rsidRPr="00D40DA8">
        <w:rPr>
          <w:rFonts w:ascii="Verdana" w:hAnsi="Verdana"/>
          <w:sz w:val="20"/>
          <w:szCs w:val="20"/>
          <w:lang w:val="es-CR"/>
        </w:rPr>
        <w:t>ramericana de Derechos Humanos</w:t>
      </w:r>
      <w:r w:rsidR="002B768C" w:rsidRPr="00D40DA8">
        <w:rPr>
          <w:rFonts w:ascii="Verdana" w:hAnsi="Verdana"/>
          <w:sz w:val="20"/>
          <w:szCs w:val="20"/>
          <w:lang w:val="es-CR"/>
        </w:rPr>
        <w:t xml:space="preserve"> </w:t>
      </w:r>
      <w:r w:rsidRPr="00D40DA8">
        <w:rPr>
          <w:rFonts w:ascii="Verdana" w:hAnsi="Verdana"/>
          <w:sz w:val="20"/>
          <w:szCs w:val="20"/>
          <w:lang w:val="es-CR"/>
        </w:rPr>
        <w:t>de 22 de noviembre de 2018</w:t>
      </w:r>
      <w:r w:rsidR="002B768C" w:rsidRPr="00D40DA8">
        <w:rPr>
          <w:rFonts w:ascii="Verdana" w:hAnsi="Verdana"/>
          <w:sz w:val="20"/>
          <w:szCs w:val="20"/>
          <w:lang w:val="es-CR"/>
        </w:rPr>
        <w:t>.</w:t>
      </w:r>
    </w:p>
    <w:p w:rsidR="002B768C" w:rsidRDefault="002B768C" w:rsidP="00284422">
      <w:pPr>
        <w:spacing w:after="0"/>
        <w:rPr>
          <w:rFonts w:ascii="Verdana" w:hAnsi="Verdana"/>
          <w:sz w:val="20"/>
          <w:szCs w:val="20"/>
        </w:rPr>
      </w:pPr>
    </w:p>
    <w:p w:rsidR="00D40DA8" w:rsidRDefault="00D40DA8" w:rsidP="00D40DA8">
      <w:pPr>
        <w:spacing w:after="0"/>
        <w:jc w:val="center"/>
        <w:rPr>
          <w:rFonts w:ascii="Verdana" w:hAnsi="Verdana"/>
          <w:sz w:val="20"/>
          <w:lang w:val="pt-BR"/>
        </w:rPr>
      </w:pPr>
    </w:p>
    <w:p w:rsidR="00D40DA8" w:rsidRDefault="00D40DA8" w:rsidP="00D40DA8">
      <w:pPr>
        <w:spacing w:after="0"/>
        <w:jc w:val="center"/>
        <w:rPr>
          <w:rFonts w:ascii="Verdana" w:hAnsi="Verdana"/>
          <w:sz w:val="20"/>
          <w:lang w:val="pt-BR"/>
        </w:rPr>
      </w:pPr>
    </w:p>
    <w:p w:rsidR="00D40DA8" w:rsidRDefault="00D40DA8" w:rsidP="00D40DA8">
      <w:pPr>
        <w:spacing w:after="0"/>
        <w:jc w:val="center"/>
        <w:rPr>
          <w:rFonts w:ascii="Verdana" w:hAnsi="Verdana"/>
          <w:sz w:val="20"/>
          <w:lang w:val="pt-BR"/>
        </w:rPr>
      </w:pPr>
    </w:p>
    <w:p w:rsidR="00D40DA8" w:rsidRDefault="00D40DA8" w:rsidP="00D40DA8">
      <w:pPr>
        <w:spacing w:after="0"/>
        <w:jc w:val="center"/>
        <w:rPr>
          <w:rFonts w:ascii="Verdana" w:hAnsi="Verdana"/>
          <w:sz w:val="20"/>
          <w:lang w:val="pt-BR"/>
        </w:rPr>
      </w:pPr>
    </w:p>
    <w:p w:rsidR="00D40DA8" w:rsidRPr="0019261A" w:rsidRDefault="00D40DA8" w:rsidP="00D40DA8">
      <w:pPr>
        <w:spacing w:after="0"/>
        <w:jc w:val="center"/>
        <w:rPr>
          <w:rFonts w:ascii="Verdana" w:hAnsi="Verdana"/>
          <w:sz w:val="20"/>
          <w:lang w:val="pt-BR"/>
        </w:rPr>
      </w:pPr>
      <w:r w:rsidRPr="0019261A">
        <w:rPr>
          <w:rFonts w:ascii="Verdana" w:hAnsi="Verdana"/>
          <w:sz w:val="20"/>
          <w:lang w:val="pt-BR"/>
        </w:rPr>
        <w:t>Eduardo Ferrer Mac-Gregor Poisot</w:t>
      </w:r>
    </w:p>
    <w:p w:rsidR="00D40DA8" w:rsidRDefault="00D40DA8" w:rsidP="00D40DA8">
      <w:pPr>
        <w:spacing w:after="0"/>
        <w:jc w:val="center"/>
        <w:rPr>
          <w:rFonts w:ascii="Verdana" w:hAnsi="Verdana"/>
          <w:sz w:val="20"/>
          <w:lang w:val="pt-BR"/>
        </w:rPr>
      </w:pPr>
      <w:r w:rsidRPr="0019261A">
        <w:rPr>
          <w:rFonts w:ascii="Verdana" w:hAnsi="Verdana"/>
          <w:sz w:val="20"/>
          <w:lang w:val="pt-BR"/>
        </w:rPr>
        <w:t xml:space="preserve">Presidente </w:t>
      </w:r>
    </w:p>
    <w:p w:rsidR="00D40DA8" w:rsidRDefault="00D40DA8" w:rsidP="00D40DA8">
      <w:pPr>
        <w:spacing w:after="0"/>
        <w:jc w:val="center"/>
        <w:rPr>
          <w:rFonts w:ascii="Verdana" w:hAnsi="Verdana"/>
          <w:sz w:val="20"/>
          <w:lang w:val="pt-BR"/>
        </w:rPr>
      </w:pPr>
    </w:p>
    <w:p w:rsidR="00D40DA8" w:rsidRDefault="00D40DA8" w:rsidP="00D40DA8">
      <w:pPr>
        <w:spacing w:after="0"/>
        <w:jc w:val="center"/>
        <w:rPr>
          <w:rFonts w:ascii="Verdana" w:hAnsi="Verdana"/>
          <w:sz w:val="20"/>
          <w:lang w:val="pt-BR"/>
        </w:rPr>
      </w:pPr>
    </w:p>
    <w:p w:rsidR="00D40DA8" w:rsidRPr="0019261A" w:rsidRDefault="00D40DA8" w:rsidP="00D40DA8">
      <w:pPr>
        <w:spacing w:after="0"/>
        <w:jc w:val="center"/>
        <w:rPr>
          <w:rFonts w:ascii="Verdana" w:hAnsi="Verdana"/>
          <w:sz w:val="20"/>
          <w:lang w:val="pt-BR"/>
        </w:rPr>
      </w:pPr>
    </w:p>
    <w:p w:rsidR="00D40DA8" w:rsidRPr="0019261A" w:rsidRDefault="00D40DA8" w:rsidP="00D40DA8">
      <w:pPr>
        <w:spacing w:after="0"/>
        <w:rPr>
          <w:rFonts w:ascii="Verdana" w:hAnsi="Verdana"/>
          <w:sz w:val="20"/>
          <w:lang w:val="pt-BR"/>
        </w:rPr>
      </w:pPr>
    </w:p>
    <w:p w:rsidR="00D40DA8" w:rsidRDefault="00D40DA8" w:rsidP="00D40DA8">
      <w:pPr>
        <w:spacing w:after="0"/>
        <w:rPr>
          <w:rFonts w:ascii="Verdana" w:hAnsi="Verdana"/>
          <w:sz w:val="20"/>
          <w:lang w:val="pt-BR"/>
        </w:rPr>
      </w:pPr>
      <w:r w:rsidRPr="00DA00D0">
        <w:rPr>
          <w:rFonts w:ascii="Verdana" w:hAnsi="Verdana"/>
          <w:sz w:val="20"/>
          <w:lang w:val="pt-BR"/>
        </w:rPr>
        <w:t>E</w:t>
      </w:r>
      <w:r>
        <w:rPr>
          <w:rFonts w:ascii="Verdana" w:hAnsi="Verdana"/>
          <w:sz w:val="20"/>
          <w:lang w:val="pt-BR"/>
        </w:rPr>
        <w:t>duardo Vio Grossi</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Elizabeth Odio Benito</w:t>
      </w:r>
    </w:p>
    <w:p w:rsidR="00D40DA8" w:rsidRDefault="00D40DA8" w:rsidP="00D40DA8">
      <w:pPr>
        <w:spacing w:after="0"/>
        <w:rPr>
          <w:rFonts w:ascii="Verdana" w:hAnsi="Verdana"/>
          <w:sz w:val="20"/>
          <w:lang w:val="pt-BR"/>
        </w:rPr>
      </w:pPr>
    </w:p>
    <w:p w:rsidR="00D40DA8" w:rsidRDefault="00D40DA8" w:rsidP="00D40DA8">
      <w:pPr>
        <w:spacing w:after="0"/>
        <w:rPr>
          <w:rFonts w:ascii="Verdana" w:hAnsi="Verdana"/>
          <w:sz w:val="20"/>
          <w:lang w:val="pt-BR"/>
        </w:rPr>
      </w:pPr>
    </w:p>
    <w:p w:rsidR="00D40DA8" w:rsidRDefault="00D40DA8" w:rsidP="00D40DA8">
      <w:pPr>
        <w:spacing w:after="0"/>
        <w:rPr>
          <w:rFonts w:ascii="Verdana" w:hAnsi="Verdana"/>
          <w:sz w:val="20"/>
          <w:lang w:val="pt-BR"/>
        </w:rPr>
      </w:pPr>
    </w:p>
    <w:p w:rsidR="00D40DA8" w:rsidRDefault="00D40DA8" w:rsidP="00D40DA8">
      <w:pPr>
        <w:spacing w:after="0"/>
        <w:rPr>
          <w:rFonts w:ascii="Verdana" w:hAnsi="Verdana"/>
          <w:sz w:val="20"/>
          <w:lang w:val="pt-BR"/>
        </w:rPr>
      </w:pPr>
    </w:p>
    <w:p w:rsidR="00D40DA8" w:rsidRDefault="00D40DA8" w:rsidP="00D40DA8">
      <w:pPr>
        <w:spacing w:after="0"/>
        <w:rPr>
          <w:rFonts w:ascii="Verdana" w:hAnsi="Verdana"/>
          <w:sz w:val="20"/>
          <w:lang w:val="pt-BR"/>
        </w:rPr>
      </w:pPr>
    </w:p>
    <w:p w:rsidR="00D40DA8" w:rsidRPr="00DA00D0" w:rsidRDefault="00D40DA8" w:rsidP="00D40DA8">
      <w:pPr>
        <w:spacing w:after="0"/>
        <w:rPr>
          <w:rFonts w:ascii="Verdana" w:hAnsi="Verdana"/>
          <w:sz w:val="20"/>
          <w:lang w:val="pt-BR"/>
        </w:rPr>
      </w:pPr>
      <w:r w:rsidRPr="00DA00D0">
        <w:rPr>
          <w:rFonts w:ascii="Verdana" w:hAnsi="Verdana"/>
          <w:sz w:val="20"/>
          <w:lang w:val="pt-BR"/>
        </w:rPr>
        <w:t>Eugenio Raúl Zaffaroni</w:t>
      </w:r>
      <w:r w:rsidRPr="00C67360">
        <w:rPr>
          <w:rFonts w:ascii="Verdana" w:hAnsi="Verdana"/>
          <w:sz w:val="20"/>
          <w:lang w:val="pt-BR"/>
        </w:rPr>
        <w:t xml:space="preserve"> </w:t>
      </w:r>
      <w:r w:rsidRPr="00DA00D0">
        <w:rPr>
          <w:rFonts w:ascii="Verdana" w:hAnsi="Verdana"/>
          <w:sz w:val="20"/>
          <w:lang w:val="pt-BR"/>
        </w:rPr>
        <w:t xml:space="preserve"> </w:t>
      </w:r>
      <w:r>
        <w:rPr>
          <w:rFonts w:ascii="Verdana" w:hAnsi="Verdana"/>
          <w:sz w:val="20"/>
          <w:lang w:val="pt-BR"/>
        </w:rPr>
        <w:t xml:space="preserve">                                                              L. </w:t>
      </w:r>
      <w:r w:rsidRPr="00DA00D0">
        <w:rPr>
          <w:rFonts w:ascii="Verdana" w:hAnsi="Verdana"/>
          <w:sz w:val="20"/>
          <w:lang w:val="pt-BR"/>
        </w:rPr>
        <w:t>Patricio Pazmiño Fre</w:t>
      </w:r>
      <w:r>
        <w:rPr>
          <w:rFonts w:ascii="Verdana" w:hAnsi="Verdana"/>
          <w:sz w:val="20"/>
          <w:lang w:val="pt-BR"/>
        </w:rPr>
        <w:t>i</w:t>
      </w:r>
      <w:r w:rsidRPr="00DA00D0">
        <w:rPr>
          <w:rFonts w:ascii="Verdana" w:hAnsi="Verdana"/>
          <w:sz w:val="20"/>
          <w:lang w:val="pt-BR"/>
        </w:rPr>
        <w:t>re</w:t>
      </w:r>
    </w:p>
    <w:p w:rsidR="00D40DA8" w:rsidRDefault="00D40DA8" w:rsidP="00D40DA8">
      <w:pPr>
        <w:spacing w:after="0"/>
        <w:rPr>
          <w:rFonts w:ascii="Verdana" w:hAnsi="Verdana"/>
          <w:sz w:val="20"/>
          <w:lang w:val="pt-BR"/>
        </w:rPr>
      </w:pPr>
    </w:p>
    <w:p w:rsidR="00D40DA8" w:rsidRPr="0019261A" w:rsidRDefault="00D40DA8" w:rsidP="00D40DA8">
      <w:pPr>
        <w:spacing w:after="0"/>
        <w:jc w:val="both"/>
        <w:rPr>
          <w:rFonts w:ascii="Verdana" w:hAnsi="Verdana"/>
          <w:sz w:val="20"/>
          <w:lang w:val="pt-BR"/>
        </w:rPr>
      </w:pPr>
    </w:p>
    <w:p w:rsidR="00D40DA8" w:rsidRDefault="00D40DA8" w:rsidP="00D40DA8">
      <w:pPr>
        <w:spacing w:after="0"/>
        <w:jc w:val="both"/>
        <w:rPr>
          <w:rFonts w:ascii="Verdana" w:hAnsi="Verdana"/>
          <w:sz w:val="20"/>
          <w:lang w:val="pt-BR"/>
        </w:rPr>
      </w:pPr>
    </w:p>
    <w:p w:rsidR="00D40DA8" w:rsidRDefault="00D40DA8" w:rsidP="00D40DA8">
      <w:pPr>
        <w:spacing w:after="0"/>
        <w:jc w:val="both"/>
        <w:rPr>
          <w:rFonts w:ascii="Verdana" w:hAnsi="Verdana"/>
          <w:sz w:val="20"/>
          <w:lang w:val="pt-BR"/>
        </w:rPr>
      </w:pPr>
    </w:p>
    <w:p w:rsidR="00D40DA8" w:rsidRPr="0019261A" w:rsidRDefault="00D40DA8" w:rsidP="00D40DA8">
      <w:pPr>
        <w:spacing w:after="0"/>
        <w:jc w:val="both"/>
        <w:rPr>
          <w:rFonts w:ascii="Verdana" w:hAnsi="Verdana"/>
          <w:sz w:val="20"/>
          <w:lang w:val="pt-BR"/>
        </w:rPr>
      </w:pPr>
    </w:p>
    <w:p w:rsidR="00D40DA8" w:rsidRPr="00FC4051" w:rsidRDefault="00D40DA8" w:rsidP="00D40DA8">
      <w:pPr>
        <w:spacing w:after="0"/>
        <w:jc w:val="center"/>
        <w:rPr>
          <w:rFonts w:ascii="Verdana" w:hAnsi="Verdana"/>
          <w:sz w:val="20"/>
          <w:lang w:val="pt-BR"/>
        </w:rPr>
      </w:pPr>
      <w:r w:rsidRPr="00FC4051">
        <w:rPr>
          <w:rFonts w:ascii="Verdana" w:hAnsi="Verdana"/>
          <w:sz w:val="20"/>
          <w:lang w:val="pt-BR"/>
        </w:rPr>
        <w:t>Pablo Saavedra Alessandri</w:t>
      </w:r>
    </w:p>
    <w:p w:rsidR="00D40DA8" w:rsidRDefault="00D40DA8" w:rsidP="00D40DA8">
      <w:pPr>
        <w:spacing w:after="0"/>
        <w:jc w:val="center"/>
        <w:rPr>
          <w:rFonts w:ascii="Verdana" w:hAnsi="Verdana"/>
          <w:sz w:val="20"/>
          <w:lang w:val="pt-BR"/>
        </w:rPr>
      </w:pPr>
      <w:r w:rsidRPr="00FC4051">
        <w:rPr>
          <w:rFonts w:ascii="Verdana" w:hAnsi="Verdana"/>
          <w:sz w:val="20"/>
          <w:lang w:val="pt-BR"/>
        </w:rPr>
        <w:t>Secret</w:t>
      </w:r>
      <w:r>
        <w:rPr>
          <w:rFonts w:ascii="Verdana" w:hAnsi="Verdana"/>
          <w:sz w:val="20"/>
          <w:lang w:val="pt-BR"/>
        </w:rPr>
        <w:t>a</w:t>
      </w:r>
      <w:r w:rsidRPr="00FC4051">
        <w:rPr>
          <w:rFonts w:ascii="Verdana" w:hAnsi="Verdana"/>
          <w:sz w:val="20"/>
          <w:lang w:val="pt-BR"/>
        </w:rPr>
        <w:t>rio</w:t>
      </w:r>
    </w:p>
    <w:p w:rsidR="00D40DA8" w:rsidRDefault="00D40DA8" w:rsidP="00D40DA8">
      <w:pPr>
        <w:spacing w:after="0"/>
        <w:jc w:val="center"/>
        <w:rPr>
          <w:rFonts w:ascii="Verdana" w:hAnsi="Verdana"/>
          <w:sz w:val="20"/>
          <w:lang w:val="pt-BR"/>
        </w:rPr>
      </w:pPr>
    </w:p>
    <w:p w:rsidR="00D40DA8" w:rsidRPr="00FC4051" w:rsidRDefault="00D40DA8" w:rsidP="00D40DA8">
      <w:pPr>
        <w:pStyle w:val="FootnoteText"/>
        <w:rPr>
          <w:rFonts w:ascii="Verdana" w:hAnsi="Verdana"/>
          <w:lang w:val="pt-BR"/>
        </w:rPr>
      </w:pPr>
    </w:p>
    <w:p w:rsidR="00D40DA8" w:rsidRPr="00FC4051" w:rsidRDefault="00D40DA8" w:rsidP="00D40DA8">
      <w:pPr>
        <w:pStyle w:val="FootnoteText"/>
        <w:rPr>
          <w:rFonts w:ascii="Verdana" w:hAnsi="Verdana"/>
          <w:lang w:val="pt-BR"/>
        </w:rPr>
      </w:pPr>
    </w:p>
    <w:p w:rsidR="00D40DA8" w:rsidRPr="00FC4051" w:rsidRDefault="00D40DA8" w:rsidP="00D40DA8">
      <w:pPr>
        <w:spacing w:after="0"/>
        <w:jc w:val="both"/>
        <w:rPr>
          <w:rFonts w:ascii="Verdana" w:hAnsi="Verdana"/>
          <w:sz w:val="20"/>
          <w:lang w:val="pt-BR"/>
        </w:rPr>
      </w:pPr>
      <w:r>
        <w:rPr>
          <w:rFonts w:ascii="Verdana" w:hAnsi="Verdana"/>
          <w:sz w:val="20"/>
          <w:lang w:val="pt-BR"/>
        </w:rPr>
        <w:t>Comuníquese y ejecútese</w:t>
      </w:r>
      <w:r w:rsidRPr="00FC4051">
        <w:rPr>
          <w:rFonts w:ascii="Verdana" w:hAnsi="Verdana"/>
          <w:sz w:val="20"/>
          <w:lang w:val="pt-BR"/>
        </w:rPr>
        <w:t>,</w:t>
      </w:r>
    </w:p>
    <w:p w:rsidR="00D40DA8" w:rsidRPr="00FC4051" w:rsidRDefault="00D40DA8" w:rsidP="00D40DA8">
      <w:pPr>
        <w:spacing w:after="0"/>
        <w:rPr>
          <w:rFonts w:ascii="Verdana" w:hAnsi="Verdana"/>
          <w:sz w:val="20"/>
          <w:lang w:val="pt-BR"/>
        </w:rPr>
      </w:pPr>
    </w:p>
    <w:p w:rsidR="00D40DA8" w:rsidRDefault="00D40DA8" w:rsidP="00D40DA8">
      <w:pPr>
        <w:spacing w:after="0"/>
        <w:jc w:val="right"/>
        <w:rPr>
          <w:rFonts w:ascii="Verdana" w:hAnsi="Verdana"/>
          <w:sz w:val="20"/>
          <w:lang w:val="pt-BR"/>
        </w:rPr>
      </w:pPr>
    </w:p>
    <w:p w:rsidR="00D40DA8" w:rsidRDefault="00D40DA8" w:rsidP="00D40DA8">
      <w:pPr>
        <w:spacing w:after="0"/>
        <w:jc w:val="right"/>
        <w:rPr>
          <w:rFonts w:ascii="Verdana" w:hAnsi="Verdana"/>
          <w:sz w:val="20"/>
          <w:lang w:val="pt-BR"/>
        </w:rPr>
      </w:pPr>
    </w:p>
    <w:p w:rsidR="00D40DA8" w:rsidRPr="00FC4051" w:rsidRDefault="00D40DA8" w:rsidP="00D40DA8">
      <w:pPr>
        <w:spacing w:after="0"/>
        <w:jc w:val="right"/>
        <w:rPr>
          <w:rFonts w:ascii="Verdana" w:hAnsi="Verdana"/>
          <w:sz w:val="20"/>
          <w:lang w:val="pt-BR"/>
        </w:rPr>
      </w:pPr>
    </w:p>
    <w:p w:rsidR="00D40DA8" w:rsidRPr="00FC4051" w:rsidRDefault="00D40DA8" w:rsidP="00D40DA8">
      <w:pPr>
        <w:spacing w:after="0"/>
        <w:jc w:val="right"/>
        <w:rPr>
          <w:rFonts w:ascii="Verdana" w:hAnsi="Verdana"/>
          <w:sz w:val="20"/>
          <w:lang w:val="pt-BR"/>
        </w:rPr>
      </w:pPr>
    </w:p>
    <w:p w:rsidR="00D40DA8" w:rsidRPr="00FC4051" w:rsidRDefault="00D40DA8" w:rsidP="00D40DA8">
      <w:pPr>
        <w:spacing w:after="0"/>
        <w:jc w:val="center"/>
        <w:rPr>
          <w:rFonts w:ascii="Verdana" w:hAnsi="Verdana"/>
          <w:sz w:val="20"/>
          <w:lang w:val="pt-BR"/>
        </w:rPr>
      </w:pPr>
      <w:r>
        <w:rPr>
          <w:rFonts w:ascii="Verdana" w:hAnsi="Verdana"/>
          <w:sz w:val="20"/>
          <w:lang w:val="pt-BR"/>
        </w:rPr>
        <w:t xml:space="preserve">                                                                                   </w:t>
      </w:r>
      <w:r w:rsidRPr="0019261A">
        <w:rPr>
          <w:rFonts w:ascii="Verdana" w:hAnsi="Verdana"/>
          <w:sz w:val="20"/>
          <w:lang w:val="pt-BR"/>
        </w:rPr>
        <w:t>Eduardo Ferrer Mac-Gregor Poisot</w:t>
      </w:r>
    </w:p>
    <w:p w:rsidR="00D40DA8" w:rsidRDefault="00D40DA8" w:rsidP="00D40DA8">
      <w:pPr>
        <w:spacing w:after="0"/>
        <w:rPr>
          <w:rFonts w:ascii="Verdana" w:hAnsi="Verdana"/>
          <w:sz w:val="20"/>
          <w:lang w:val="pt-BR"/>
        </w:rPr>
      </w:pPr>
      <w:r>
        <w:rPr>
          <w:rFonts w:ascii="Verdana" w:hAnsi="Verdana"/>
          <w:sz w:val="20"/>
          <w:lang w:val="pt-BR"/>
        </w:rPr>
        <w:t xml:space="preserve">       </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sidRPr="0019261A">
        <w:rPr>
          <w:rFonts w:ascii="Verdana" w:hAnsi="Verdana"/>
          <w:sz w:val="20"/>
          <w:lang w:val="pt-BR"/>
        </w:rPr>
        <w:t xml:space="preserve">Presidente </w:t>
      </w:r>
    </w:p>
    <w:p w:rsidR="00D40DA8" w:rsidRDefault="00D40DA8" w:rsidP="00D40DA8">
      <w:pPr>
        <w:spacing w:after="0"/>
        <w:rPr>
          <w:rFonts w:ascii="Verdana" w:hAnsi="Verdana"/>
          <w:sz w:val="20"/>
          <w:lang w:val="pt-BR"/>
        </w:rPr>
      </w:pPr>
    </w:p>
    <w:p w:rsidR="00D40DA8" w:rsidRDefault="00D40DA8" w:rsidP="00D40DA8">
      <w:pPr>
        <w:spacing w:after="0"/>
        <w:rPr>
          <w:rFonts w:ascii="Verdana" w:hAnsi="Verdana"/>
          <w:sz w:val="20"/>
          <w:lang w:val="pt-BR"/>
        </w:rPr>
      </w:pPr>
    </w:p>
    <w:p w:rsidR="00D40DA8" w:rsidRPr="00FC4051" w:rsidRDefault="00D40DA8" w:rsidP="00D40DA8">
      <w:pPr>
        <w:spacing w:after="0"/>
        <w:jc w:val="both"/>
        <w:rPr>
          <w:rFonts w:ascii="Verdana" w:hAnsi="Verdana"/>
          <w:sz w:val="20"/>
          <w:lang w:val="pt-BR"/>
        </w:rPr>
      </w:pPr>
    </w:p>
    <w:p w:rsidR="00D40DA8" w:rsidRPr="00FC4051" w:rsidRDefault="00D40DA8" w:rsidP="00D40DA8">
      <w:pPr>
        <w:spacing w:after="0"/>
        <w:jc w:val="both"/>
        <w:rPr>
          <w:rFonts w:ascii="Verdana" w:hAnsi="Verdana"/>
          <w:sz w:val="20"/>
          <w:lang w:val="pt-BR"/>
        </w:rPr>
      </w:pPr>
    </w:p>
    <w:p w:rsidR="00D40DA8" w:rsidRPr="00FC4051" w:rsidRDefault="00D40DA8" w:rsidP="00D40DA8">
      <w:pPr>
        <w:spacing w:after="0"/>
        <w:jc w:val="both"/>
        <w:rPr>
          <w:rFonts w:ascii="Verdana" w:hAnsi="Verdana"/>
          <w:sz w:val="20"/>
          <w:lang w:val="pt-BR"/>
        </w:rPr>
      </w:pPr>
      <w:r w:rsidRPr="00FC4051">
        <w:rPr>
          <w:rFonts w:ascii="Verdana" w:hAnsi="Verdana"/>
          <w:sz w:val="20"/>
          <w:lang w:val="pt-BR"/>
        </w:rPr>
        <w:t>Pablo Saavedra Alessandri</w:t>
      </w:r>
    </w:p>
    <w:p w:rsidR="00F059CF" w:rsidRPr="00006005" w:rsidRDefault="00D40DA8" w:rsidP="00D40DA8">
      <w:pPr>
        <w:spacing w:after="0"/>
        <w:rPr>
          <w:rFonts w:ascii="Verdana" w:hAnsi="Verdana"/>
          <w:sz w:val="20"/>
          <w:szCs w:val="20"/>
          <w:lang w:val="es-ES"/>
        </w:rPr>
      </w:pPr>
      <w:r w:rsidRPr="00FC4051">
        <w:rPr>
          <w:rFonts w:ascii="Verdana" w:hAnsi="Verdana"/>
          <w:sz w:val="20"/>
          <w:lang w:val="pt-BR"/>
        </w:rPr>
        <w:tab/>
      </w:r>
      <w:r w:rsidRPr="0019261A">
        <w:rPr>
          <w:rFonts w:ascii="Verdana" w:hAnsi="Verdana"/>
          <w:sz w:val="20"/>
          <w:lang w:val="es-ES"/>
        </w:rPr>
        <w:t>Secret</w:t>
      </w:r>
      <w:r>
        <w:rPr>
          <w:rFonts w:ascii="Verdana" w:hAnsi="Verdana"/>
          <w:sz w:val="20"/>
          <w:lang w:val="es-ES"/>
        </w:rPr>
        <w:t>ario</w:t>
      </w:r>
    </w:p>
    <w:sectPr w:rsidR="00F059CF" w:rsidRPr="00006005" w:rsidSect="007B5A05">
      <w:headerReference w:type="default" r:id="rId9"/>
      <w:type w:val="continuous"/>
      <w:pgSz w:w="12240" w:h="15840"/>
      <w:pgMar w:top="1440" w:right="1134" w:bottom="144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C0" w:rsidRDefault="004B3AC0" w:rsidP="003F627B">
      <w:pPr>
        <w:spacing w:after="0" w:line="240" w:lineRule="auto"/>
      </w:pPr>
      <w:r>
        <w:separator/>
      </w:r>
    </w:p>
  </w:endnote>
  <w:endnote w:type="continuationSeparator" w:id="0">
    <w:p w:rsidR="004B3AC0" w:rsidRDefault="004B3AC0" w:rsidP="003F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C0" w:rsidRDefault="004B3AC0" w:rsidP="003F627B">
      <w:pPr>
        <w:spacing w:after="0" w:line="240" w:lineRule="auto"/>
      </w:pPr>
      <w:r>
        <w:separator/>
      </w:r>
    </w:p>
  </w:footnote>
  <w:footnote w:type="continuationSeparator" w:id="0">
    <w:p w:rsidR="004B3AC0" w:rsidRDefault="004B3AC0" w:rsidP="003F627B">
      <w:pPr>
        <w:spacing w:after="0" w:line="240" w:lineRule="auto"/>
      </w:pPr>
      <w:r>
        <w:continuationSeparator/>
      </w:r>
    </w:p>
  </w:footnote>
  <w:footnote w:id="1">
    <w:p w:rsidR="001B63D5" w:rsidRPr="002B3320" w:rsidRDefault="001B63D5" w:rsidP="001B63D5">
      <w:pPr>
        <w:pStyle w:val="FootnoteText"/>
        <w:rPr>
          <w:rFonts w:ascii="Verdana" w:hAnsi="Verdana"/>
          <w:sz w:val="16"/>
          <w:szCs w:val="16"/>
          <w:lang w:val="es-CR"/>
        </w:rPr>
      </w:pPr>
      <w:r w:rsidRPr="002B3320">
        <w:rPr>
          <w:rStyle w:val="FootnoteReference"/>
          <w:rFonts w:ascii="Verdana" w:hAnsi="Verdana"/>
        </w:rPr>
        <w:sym w:font="Symbol" w:char="F02A"/>
      </w:r>
      <w:r w:rsidRPr="002B3320">
        <w:rPr>
          <w:rFonts w:ascii="Verdana" w:hAnsi="Verdana"/>
          <w:sz w:val="16"/>
          <w:szCs w:val="16"/>
        </w:rPr>
        <w:tab/>
      </w:r>
      <w:r w:rsidRPr="002B3320">
        <w:rPr>
          <w:rFonts w:ascii="Verdana" w:hAnsi="Verdana" w:cs="Arial"/>
          <w:spacing w:val="-4"/>
          <w:sz w:val="16"/>
          <w:szCs w:val="16"/>
        </w:rPr>
        <w:t>El</w:t>
      </w:r>
      <w:r w:rsidRPr="002B3320">
        <w:rPr>
          <w:rFonts w:ascii="Verdana" w:hAnsi="Verdana" w:cs="Arial"/>
          <w:spacing w:val="-4"/>
          <w:sz w:val="16"/>
          <w:szCs w:val="16"/>
          <w:lang w:val="es-CR"/>
        </w:rPr>
        <w:t xml:space="preserve"> </w:t>
      </w:r>
      <w:r w:rsidRPr="002B3320">
        <w:rPr>
          <w:rFonts w:ascii="Verdana" w:hAnsi="Verdana"/>
          <w:sz w:val="16"/>
          <w:szCs w:val="16"/>
        </w:rPr>
        <w:t>Juez</w:t>
      </w:r>
      <w:r w:rsidRPr="002B3320">
        <w:rPr>
          <w:rFonts w:ascii="Verdana" w:hAnsi="Verdana" w:cs="Verdana"/>
          <w:spacing w:val="-4"/>
          <w:sz w:val="16"/>
          <w:szCs w:val="16"/>
          <w:lang w:val="es-CR"/>
        </w:rPr>
        <w:t xml:space="preserve"> Humberto </w:t>
      </w:r>
      <w:r>
        <w:rPr>
          <w:rFonts w:ascii="Verdana" w:hAnsi="Verdana" w:cs="Verdana"/>
          <w:spacing w:val="-4"/>
          <w:sz w:val="16"/>
          <w:szCs w:val="16"/>
          <w:lang w:val="es-CR"/>
        </w:rPr>
        <w:t xml:space="preserve">Antonio </w:t>
      </w:r>
      <w:r w:rsidRPr="002B3320">
        <w:rPr>
          <w:rFonts w:ascii="Verdana" w:hAnsi="Verdana" w:cs="Verdana"/>
          <w:spacing w:val="-4"/>
          <w:sz w:val="16"/>
          <w:szCs w:val="16"/>
          <w:lang w:val="es-CR"/>
        </w:rPr>
        <w:t>Sierra Porto</w:t>
      </w:r>
      <w:r w:rsidRPr="002B3320">
        <w:rPr>
          <w:rFonts w:ascii="Verdana" w:hAnsi="Verdana"/>
          <w:sz w:val="16"/>
          <w:szCs w:val="16"/>
        </w:rPr>
        <w:t>, por razones de fuerza mayor aceptadas por el Pleno del Tribunal, no participó en la deliberación y firma de la presente Resolución.</w:t>
      </w:r>
    </w:p>
  </w:footnote>
  <w:footnote w:id="2">
    <w:p w:rsidR="006A0F01" w:rsidRPr="008004FE" w:rsidRDefault="006A0F01" w:rsidP="004B283B">
      <w:pPr>
        <w:pStyle w:val="FootnoteText"/>
        <w:jc w:val="both"/>
        <w:rPr>
          <w:rFonts w:ascii="Verdana" w:hAnsi="Verdana"/>
          <w:sz w:val="16"/>
          <w:szCs w:val="16"/>
        </w:rPr>
      </w:pPr>
      <w:r w:rsidRPr="00374477">
        <w:rPr>
          <w:rStyle w:val="FootnoteReference"/>
          <w:rFonts w:ascii="Verdana" w:hAnsi="Verdana"/>
          <w:sz w:val="16"/>
          <w:szCs w:val="16"/>
        </w:rPr>
        <w:footnoteRef/>
      </w:r>
      <w:r w:rsidRPr="00374477">
        <w:rPr>
          <w:rFonts w:ascii="Verdana" w:hAnsi="Verdana"/>
          <w:sz w:val="16"/>
          <w:szCs w:val="16"/>
        </w:rPr>
        <w:t xml:space="preserve"> </w:t>
      </w:r>
      <w:r w:rsidRPr="00374477">
        <w:rPr>
          <w:rFonts w:ascii="Verdana" w:hAnsi="Verdana"/>
          <w:sz w:val="16"/>
          <w:szCs w:val="16"/>
        </w:rPr>
        <w:tab/>
      </w:r>
      <w:r w:rsidRPr="00374477">
        <w:rPr>
          <w:rFonts w:ascii="Verdana" w:hAnsi="Verdana"/>
          <w:i/>
          <w:sz w:val="16"/>
          <w:szCs w:val="16"/>
        </w:rPr>
        <w:t>Cfr. Asunto Álvarez y otros.</w:t>
      </w:r>
      <w:r w:rsidRPr="00374477">
        <w:rPr>
          <w:rFonts w:ascii="Verdana" w:hAnsi="Verdana"/>
          <w:sz w:val="16"/>
          <w:szCs w:val="16"/>
        </w:rPr>
        <w:t xml:space="preserve"> </w:t>
      </w:r>
      <w:r w:rsidRPr="007B5A05">
        <w:rPr>
          <w:rFonts w:ascii="Verdana" w:hAnsi="Verdana"/>
          <w:i/>
          <w:sz w:val="16"/>
          <w:szCs w:val="16"/>
        </w:rPr>
        <w:t>Medidas Provisionales respecto de Colombia</w:t>
      </w:r>
      <w:r w:rsidRPr="00374477">
        <w:rPr>
          <w:rFonts w:ascii="Verdana" w:hAnsi="Verdana"/>
          <w:sz w:val="16"/>
          <w:szCs w:val="16"/>
        </w:rPr>
        <w:t>. Resolución de la Corte de 22 de mayo de 2013, Considerando 2, y</w:t>
      </w:r>
      <w:r>
        <w:rPr>
          <w:rFonts w:ascii="Verdana" w:hAnsi="Verdana"/>
          <w:sz w:val="16"/>
          <w:szCs w:val="16"/>
        </w:rPr>
        <w:t xml:space="preserve"> </w:t>
      </w:r>
      <w:r w:rsidRPr="008004FE">
        <w:rPr>
          <w:rFonts w:ascii="Verdana" w:hAnsi="Verdana"/>
          <w:i/>
          <w:sz w:val="16"/>
          <w:szCs w:val="16"/>
        </w:rPr>
        <w:t>Asunto Meléndez Quijano y otros</w:t>
      </w:r>
      <w:r>
        <w:rPr>
          <w:rFonts w:ascii="Verdana" w:hAnsi="Verdana"/>
          <w:sz w:val="16"/>
          <w:szCs w:val="16"/>
        </w:rPr>
        <w:t xml:space="preserve">. </w:t>
      </w:r>
      <w:r w:rsidRPr="007B5A05">
        <w:rPr>
          <w:rFonts w:ascii="Verdana" w:hAnsi="Verdana"/>
          <w:i/>
          <w:sz w:val="16"/>
          <w:szCs w:val="16"/>
        </w:rPr>
        <w:t>Medidas Provisionales respecto de El Salvador</w:t>
      </w:r>
      <w:r w:rsidRPr="00D06B7D">
        <w:rPr>
          <w:rFonts w:ascii="Verdana" w:hAnsi="Verdana"/>
          <w:sz w:val="16"/>
          <w:szCs w:val="16"/>
        </w:rPr>
        <w:t xml:space="preserve">. Resolución de la Corte </w:t>
      </w:r>
      <w:r>
        <w:rPr>
          <w:rFonts w:ascii="Verdana" w:hAnsi="Verdana"/>
          <w:sz w:val="16"/>
          <w:szCs w:val="16"/>
        </w:rPr>
        <w:t>de 26 de septiembre de 2018</w:t>
      </w:r>
      <w:r w:rsidRPr="00374477">
        <w:rPr>
          <w:rFonts w:ascii="Verdana" w:hAnsi="Verdana"/>
          <w:sz w:val="16"/>
          <w:szCs w:val="16"/>
        </w:rPr>
        <w:t xml:space="preserve">, Considerando </w:t>
      </w:r>
      <w:r>
        <w:rPr>
          <w:rFonts w:ascii="Verdana" w:hAnsi="Verdana"/>
          <w:sz w:val="16"/>
          <w:szCs w:val="16"/>
        </w:rPr>
        <w:t>2</w:t>
      </w:r>
      <w:r w:rsidRPr="00374477">
        <w:rPr>
          <w:rFonts w:ascii="Verdana" w:hAnsi="Verdana"/>
          <w:sz w:val="16"/>
          <w:szCs w:val="16"/>
        </w:rPr>
        <w:t>.</w:t>
      </w:r>
    </w:p>
  </w:footnote>
  <w:footnote w:id="3">
    <w:p w:rsidR="006A0F01" w:rsidRPr="008004FE" w:rsidRDefault="006A0F01" w:rsidP="004B283B">
      <w:pPr>
        <w:pStyle w:val="FootnoteText"/>
        <w:jc w:val="both"/>
        <w:rPr>
          <w:rFonts w:ascii="Verdana" w:hAnsi="Verdana"/>
          <w:sz w:val="16"/>
          <w:szCs w:val="16"/>
        </w:rPr>
      </w:pPr>
      <w:r w:rsidRPr="00374477">
        <w:rPr>
          <w:rStyle w:val="FootnoteReference"/>
          <w:rFonts w:ascii="Verdana" w:hAnsi="Verdana"/>
          <w:sz w:val="16"/>
          <w:szCs w:val="16"/>
        </w:rPr>
        <w:footnoteRef/>
      </w:r>
      <w:r w:rsidRPr="00374477">
        <w:rPr>
          <w:rFonts w:ascii="Verdana" w:hAnsi="Verdana"/>
          <w:sz w:val="16"/>
          <w:szCs w:val="16"/>
        </w:rPr>
        <w:t xml:space="preserve"> </w:t>
      </w:r>
      <w:r w:rsidRPr="00374477">
        <w:rPr>
          <w:rFonts w:ascii="Verdana" w:hAnsi="Verdana"/>
          <w:sz w:val="16"/>
          <w:szCs w:val="16"/>
        </w:rPr>
        <w:tab/>
      </w:r>
      <w:r w:rsidRPr="00374477">
        <w:rPr>
          <w:rFonts w:ascii="Verdana" w:hAnsi="Verdana"/>
          <w:i/>
          <w:sz w:val="16"/>
          <w:szCs w:val="16"/>
        </w:rPr>
        <w:t>Cfr. Asunto Gladys Lanza Ochoa</w:t>
      </w:r>
      <w:r w:rsidRPr="00374477">
        <w:rPr>
          <w:rFonts w:ascii="Verdana" w:hAnsi="Verdana"/>
          <w:sz w:val="16"/>
          <w:szCs w:val="16"/>
        </w:rPr>
        <w:t xml:space="preserve">. </w:t>
      </w:r>
      <w:r w:rsidRPr="007B5A05">
        <w:rPr>
          <w:rFonts w:ascii="Verdana" w:hAnsi="Verdana"/>
          <w:i/>
          <w:sz w:val="16"/>
          <w:szCs w:val="16"/>
        </w:rPr>
        <w:t>Medidas Provisionales respecto de Honduras</w:t>
      </w:r>
      <w:r w:rsidRPr="00374477">
        <w:rPr>
          <w:rFonts w:ascii="Verdana" w:hAnsi="Verdana"/>
          <w:sz w:val="16"/>
          <w:szCs w:val="16"/>
        </w:rPr>
        <w:t xml:space="preserve">. Resolución de la Corte de 23 de noviembre de 2016, Considerando 3, y </w:t>
      </w:r>
      <w:r w:rsidRPr="00A87E99">
        <w:rPr>
          <w:rFonts w:ascii="Verdana" w:hAnsi="Verdana"/>
          <w:i/>
          <w:sz w:val="16"/>
          <w:szCs w:val="16"/>
        </w:rPr>
        <w:t>Asunto Meléndez Quijano y otros</w:t>
      </w:r>
      <w:r w:rsidRPr="00374477">
        <w:rPr>
          <w:rFonts w:ascii="Verdana" w:hAnsi="Verdana"/>
          <w:sz w:val="16"/>
          <w:szCs w:val="16"/>
        </w:rPr>
        <w:t xml:space="preserve">, </w:t>
      </w:r>
      <w:r w:rsidR="00962959" w:rsidRPr="00A87E99">
        <w:rPr>
          <w:rFonts w:ascii="Verdana" w:hAnsi="Verdana"/>
          <w:i/>
          <w:sz w:val="16"/>
          <w:szCs w:val="16"/>
        </w:rPr>
        <w:t>supra</w:t>
      </w:r>
      <w:r w:rsidR="00962959">
        <w:rPr>
          <w:rFonts w:ascii="Verdana" w:hAnsi="Verdana"/>
          <w:sz w:val="16"/>
          <w:szCs w:val="16"/>
        </w:rPr>
        <w:t xml:space="preserve">, </w:t>
      </w:r>
      <w:r w:rsidRPr="00374477">
        <w:rPr>
          <w:rFonts w:ascii="Verdana" w:hAnsi="Verdana"/>
          <w:sz w:val="16"/>
          <w:szCs w:val="16"/>
        </w:rPr>
        <w:t xml:space="preserve">Considerando </w:t>
      </w:r>
      <w:r>
        <w:rPr>
          <w:rFonts w:ascii="Verdana" w:hAnsi="Verdana"/>
          <w:sz w:val="16"/>
          <w:szCs w:val="16"/>
        </w:rPr>
        <w:t>2</w:t>
      </w:r>
      <w:r w:rsidRPr="00374477">
        <w:rPr>
          <w:rFonts w:ascii="Verdana" w:hAnsi="Verdana"/>
          <w:sz w:val="16"/>
          <w:szCs w:val="16"/>
        </w:rPr>
        <w:t>.</w:t>
      </w:r>
    </w:p>
  </w:footnote>
  <w:footnote w:id="4">
    <w:p w:rsidR="006A0F01" w:rsidRPr="00374477" w:rsidRDefault="006A0F01" w:rsidP="004B283B">
      <w:pPr>
        <w:pStyle w:val="FootnoteText"/>
        <w:jc w:val="both"/>
        <w:rPr>
          <w:rFonts w:ascii="Verdana" w:hAnsi="Verdana"/>
          <w:sz w:val="16"/>
          <w:szCs w:val="16"/>
          <w:lang w:val="es-ES" w:eastAsia="en-US"/>
        </w:rPr>
      </w:pPr>
      <w:r w:rsidRPr="00374477">
        <w:rPr>
          <w:rStyle w:val="FootnoteReference"/>
          <w:rFonts w:ascii="Verdana" w:hAnsi="Verdana"/>
          <w:sz w:val="16"/>
          <w:szCs w:val="16"/>
        </w:rPr>
        <w:footnoteRef/>
      </w:r>
      <w:r w:rsidRPr="00374477">
        <w:rPr>
          <w:rFonts w:ascii="Verdana" w:hAnsi="Verdana"/>
          <w:sz w:val="16"/>
          <w:szCs w:val="16"/>
        </w:rPr>
        <w:t xml:space="preserve"> </w:t>
      </w:r>
      <w:r w:rsidRPr="00374477">
        <w:rPr>
          <w:rFonts w:ascii="Verdana" w:hAnsi="Verdana"/>
          <w:sz w:val="16"/>
          <w:szCs w:val="16"/>
        </w:rPr>
        <w:tab/>
      </w:r>
      <w:r w:rsidRPr="00374477">
        <w:rPr>
          <w:rFonts w:ascii="Verdana" w:hAnsi="Verdana"/>
          <w:i/>
          <w:sz w:val="16"/>
          <w:szCs w:val="16"/>
        </w:rPr>
        <w:t>Cfr. Asunto James y Otros</w:t>
      </w:r>
      <w:r w:rsidRPr="00374477">
        <w:rPr>
          <w:rFonts w:ascii="Verdana" w:hAnsi="Verdana"/>
          <w:sz w:val="16"/>
          <w:szCs w:val="16"/>
        </w:rPr>
        <w:t xml:space="preserve">. </w:t>
      </w:r>
      <w:r w:rsidRPr="007B5A05">
        <w:rPr>
          <w:rFonts w:ascii="Verdana" w:hAnsi="Verdana"/>
          <w:i/>
          <w:sz w:val="16"/>
          <w:szCs w:val="16"/>
        </w:rPr>
        <w:t>Medidas Provisionales respecto de Trinidad y Tobago</w:t>
      </w:r>
      <w:r w:rsidRPr="00374477">
        <w:rPr>
          <w:rFonts w:ascii="Verdana" w:hAnsi="Verdana"/>
          <w:sz w:val="16"/>
          <w:szCs w:val="16"/>
        </w:rPr>
        <w:t xml:space="preserve">. Resolución de la Corte de 29 de agosto de 1998, Considerando 6, y </w:t>
      </w:r>
      <w:r w:rsidRPr="00A87E99">
        <w:rPr>
          <w:rFonts w:ascii="Verdana" w:hAnsi="Verdana"/>
          <w:i/>
          <w:sz w:val="16"/>
          <w:szCs w:val="16"/>
        </w:rPr>
        <w:t>Asunto Meléndez Quijano y otros</w:t>
      </w:r>
      <w:r w:rsidRPr="00374477">
        <w:rPr>
          <w:rFonts w:ascii="Verdana" w:hAnsi="Verdana"/>
          <w:sz w:val="16"/>
          <w:szCs w:val="16"/>
        </w:rPr>
        <w:t xml:space="preserve">, </w:t>
      </w:r>
      <w:r w:rsidR="00962959" w:rsidRPr="00A87E99">
        <w:rPr>
          <w:rFonts w:ascii="Verdana" w:hAnsi="Verdana"/>
          <w:i/>
          <w:sz w:val="16"/>
          <w:szCs w:val="16"/>
        </w:rPr>
        <w:t>supra</w:t>
      </w:r>
      <w:r w:rsidR="00962959">
        <w:rPr>
          <w:rFonts w:ascii="Verdana" w:hAnsi="Verdana"/>
          <w:sz w:val="16"/>
          <w:szCs w:val="16"/>
        </w:rPr>
        <w:t xml:space="preserve">, </w:t>
      </w:r>
      <w:r w:rsidRPr="00374477">
        <w:rPr>
          <w:rFonts w:ascii="Verdana" w:hAnsi="Verdana"/>
          <w:sz w:val="16"/>
          <w:szCs w:val="16"/>
        </w:rPr>
        <w:t xml:space="preserve">Considerando </w:t>
      </w:r>
      <w:r>
        <w:rPr>
          <w:rFonts w:ascii="Verdana" w:hAnsi="Verdana"/>
          <w:sz w:val="16"/>
          <w:szCs w:val="16"/>
        </w:rPr>
        <w:t>3</w:t>
      </w:r>
      <w:r w:rsidRPr="00374477">
        <w:rPr>
          <w:rFonts w:ascii="Verdana" w:hAnsi="Verdana"/>
          <w:sz w:val="16"/>
          <w:szCs w:val="16"/>
        </w:rPr>
        <w:t>.</w:t>
      </w:r>
    </w:p>
  </w:footnote>
  <w:footnote w:id="5">
    <w:p w:rsidR="006A0F01" w:rsidRPr="00374477" w:rsidRDefault="006A0F01" w:rsidP="004B283B">
      <w:pPr>
        <w:pStyle w:val="FootnoteText"/>
        <w:jc w:val="both"/>
        <w:rPr>
          <w:rFonts w:ascii="Verdana" w:hAnsi="Verdana"/>
          <w:sz w:val="16"/>
          <w:szCs w:val="16"/>
          <w:lang w:val="es-ES"/>
        </w:rPr>
      </w:pPr>
      <w:r w:rsidRPr="00374477">
        <w:rPr>
          <w:rStyle w:val="FootnoteReference"/>
          <w:rFonts w:ascii="Verdana" w:hAnsi="Verdana"/>
          <w:sz w:val="16"/>
          <w:szCs w:val="16"/>
        </w:rPr>
        <w:footnoteRef/>
      </w:r>
      <w:r w:rsidRPr="00374477">
        <w:rPr>
          <w:rFonts w:ascii="Verdana" w:hAnsi="Verdana"/>
          <w:sz w:val="16"/>
          <w:szCs w:val="16"/>
        </w:rPr>
        <w:t xml:space="preserve"> </w:t>
      </w:r>
      <w:r w:rsidRPr="00374477">
        <w:rPr>
          <w:rFonts w:ascii="Verdana" w:hAnsi="Verdana"/>
          <w:sz w:val="16"/>
          <w:szCs w:val="16"/>
        </w:rPr>
        <w:tab/>
      </w:r>
      <w:r w:rsidRPr="00374477">
        <w:rPr>
          <w:rFonts w:ascii="Verdana" w:hAnsi="Verdana"/>
          <w:i/>
          <w:sz w:val="16"/>
          <w:szCs w:val="16"/>
        </w:rPr>
        <w:t xml:space="preserve">Cfr. Asunto Belfort </w:t>
      </w:r>
      <w:proofErr w:type="spellStart"/>
      <w:r w:rsidRPr="00374477">
        <w:rPr>
          <w:rFonts w:ascii="Verdana" w:hAnsi="Verdana"/>
          <w:i/>
          <w:sz w:val="16"/>
          <w:szCs w:val="16"/>
        </w:rPr>
        <w:t>Istúriz</w:t>
      </w:r>
      <w:proofErr w:type="spellEnd"/>
      <w:r w:rsidRPr="00374477">
        <w:rPr>
          <w:rFonts w:ascii="Verdana" w:hAnsi="Verdana"/>
          <w:i/>
          <w:sz w:val="16"/>
          <w:szCs w:val="16"/>
        </w:rPr>
        <w:t xml:space="preserve"> y otros</w:t>
      </w:r>
      <w:r w:rsidRPr="007B5A05">
        <w:rPr>
          <w:rFonts w:ascii="Verdana" w:hAnsi="Verdana"/>
          <w:i/>
          <w:sz w:val="16"/>
          <w:szCs w:val="16"/>
        </w:rPr>
        <w:t>. Medidas Provisionales respecto de Venezuela</w:t>
      </w:r>
      <w:r w:rsidRPr="00374477">
        <w:rPr>
          <w:rFonts w:ascii="Verdana" w:hAnsi="Verdana"/>
          <w:sz w:val="16"/>
          <w:szCs w:val="16"/>
        </w:rPr>
        <w:t xml:space="preserve">. Resolución de la Corte de 15 de abril de 2010, Considerando 5, y </w:t>
      </w:r>
      <w:r w:rsidRPr="00A87E99">
        <w:rPr>
          <w:rFonts w:ascii="Verdana" w:hAnsi="Verdana"/>
          <w:i/>
          <w:sz w:val="16"/>
          <w:szCs w:val="16"/>
        </w:rPr>
        <w:t>Asunto Meléndez Quijano y otros</w:t>
      </w:r>
      <w:r w:rsidRPr="00374477">
        <w:rPr>
          <w:rFonts w:ascii="Verdana" w:hAnsi="Verdana"/>
          <w:sz w:val="16"/>
          <w:szCs w:val="16"/>
        </w:rPr>
        <w:t xml:space="preserve">, </w:t>
      </w:r>
      <w:r w:rsidR="00962959" w:rsidRPr="00A87E99">
        <w:rPr>
          <w:rFonts w:ascii="Verdana" w:hAnsi="Verdana"/>
          <w:i/>
          <w:sz w:val="16"/>
          <w:szCs w:val="16"/>
        </w:rPr>
        <w:t>supra</w:t>
      </w:r>
      <w:r w:rsidR="00962959">
        <w:rPr>
          <w:rFonts w:ascii="Verdana" w:hAnsi="Verdana"/>
          <w:sz w:val="16"/>
          <w:szCs w:val="16"/>
        </w:rPr>
        <w:t xml:space="preserve">, </w:t>
      </w:r>
      <w:r w:rsidRPr="00374477">
        <w:rPr>
          <w:rFonts w:ascii="Verdana" w:hAnsi="Verdana"/>
          <w:sz w:val="16"/>
          <w:szCs w:val="16"/>
        </w:rPr>
        <w:t xml:space="preserve">Considerando </w:t>
      </w:r>
      <w:r>
        <w:rPr>
          <w:rFonts w:ascii="Verdana" w:hAnsi="Verdana"/>
          <w:sz w:val="16"/>
          <w:szCs w:val="16"/>
        </w:rPr>
        <w:t>3</w:t>
      </w:r>
      <w:r w:rsidRPr="00374477">
        <w:rPr>
          <w:rFonts w:ascii="Verdana" w:hAnsi="Verdana"/>
          <w:sz w:val="16"/>
          <w:szCs w:val="16"/>
        </w:rPr>
        <w:t>.</w:t>
      </w:r>
    </w:p>
  </w:footnote>
  <w:footnote w:id="6">
    <w:p w:rsidR="006A0F01" w:rsidRPr="00374477" w:rsidRDefault="006A0F01" w:rsidP="004B283B">
      <w:pPr>
        <w:pStyle w:val="FootnoteText"/>
        <w:jc w:val="both"/>
        <w:rPr>
          <w:rFonts w:ascii="Verdana" w:hAnsi="Verdana"/>
          <w:sz w:val="16"/>
          <w:szCs w:val="16"/>
          <w:lang w:val="es-ES" w:eastAsia="en-US"/>
        </w:rPr>
      </w:pPr>
      <w:r w:rsidRPr="00374477">
        <w:rPr>
          <w:rStyle w:val="FootnoteReference"/>
          <w:rFonts w:ascii="Verdana" w:hAnsi="Verdana"/>
          <w:sz w:val="16"/>
          <w:szCs w:val="16"/>
        </w:rPr>
        <w:footnoteRef/>
      </w:r>
      <w:r w:rsidRPr="00374477">
        <w:rPr>
          <w:rFonts w:ascii="Verdana" w:hAnsi="Verdana"/>
          <w:sz w:val="16"/>
          <w:szCs w:val="16"/>
        </w:rPr>
        <w:t xml:space="preserve"> </w:t>
      </w:r>
      <w:r w:rsidRPr="00374477">
        <w:rPr>
          <w:rFonts w:ascii="Verdana" w:hAnsi="Verdana"/>
          <w:sz w:val="16"/>
          <w:szCs w:val="16"/>
        </w:rPr>
        <w:tab/>
      </w:r>
      <w:r w:rsidRPr="00374477">
        <w:rPr>
          <w:rFonts w:ascii="Verdana" w:hAnsi="Verdana"/>
          <w:i/>
          <w:sz w:val="16"/>
          <w:szCs w:val="16"/>
        </w:rPr>
        <w:t>Cfr. Caso Integrantes del Equipo de Estudios Comunitarios y Acción Psicosocial (ECAP)</w:t>
      </w:r>
      <w:r w:rsidRPr="00374477">
        <w:rPr>
          <w:rFonts w:ascii="Verdana" w:hAnsi="Verdana"/>
          <w:sz w:val="16"/>
          <w:szCs w:val="16"/>
        </w:rPr>
        <w:t xml:space="preserve">. </w:t>
      </w:r>
      <w:r w:rsidRPr="007B5A05">
        <w:rPr>
          <w:rFonts w:ascii="Verdana" w:hAnsi="Verdana"/>
          <w:i/>
          <w:sz w:val="16"/>
          <w:szCs w:val="16"/>
        </w:rPr>
        <w:t>Medidas Provisionales respecto de Guatemala</w:t>
      </w:r>
      <w:r w:rsidRPr="00374477">
        <w:rPr>
          <w:rFonts w:ascii="Verdana" w:hAnsi="Verdana"/>
          <w:sz w:val="16"/>
          <w:szCs w:val="16"/>
        </w:rPr>
        <w:t xml:space="preserve">. Resolución de la Corte de 8 de julio de 2009, Considerando 5, y </w:t>
      </w:r>
      <w:r w:rsidRPr="00A87E99">
        <w:rPr>
          <w:rFonts w:ascii="Verdana" w:hAnsi="Verdana"/>
          <w:i/>
          <w:sz w:val="16"/>
          <w:szCs w:val="16"/>
        </w:rPr>
        <w:t>Asunto Meléndez Quijano y otros</w:t>
      </w:r>
      <w:r w:rsidRPr="00374477">
        <w:rPr>
          <w:rFonts w:ascii="Verdana" w:hAnsi="Verdana"/>
          <w:sz w:val="16"/>
          <w:szCs w:val="16"/>
        </w:rPr>
        <w:t>,</w:t>
      </w:r>
      <w:r w:rsidR="00962959">
        <w:rPr>
          <w:rFonts w:ascii="Verdana" w:hAnsi="Verdana"/>
          <w:sz w:val="16"/>
          <w:szCs w:val="16"/>
        </w:rPr>
        <w:t xml:space="preserve"> </w:t>
      </w:r>
      <w:r w:rsidR="00962959" w:rsidRPr="00A87E99">
        <w:rPr>
          <w:rFonts w:ascii="Verdana" w:hAnsi="Verdana"/>
          <w:i/>
          <w:sz w:val="16"/>
          <w:szCs w:val="16"/>
        </w:rPr>
        <w:t>supra</w:t>
      </w:r>
      <w:r w:rsidR="00962959">
        <w:rPr>
          <w:rFonts w:ascii="Verdana" w:hAnsi="Verdana"/>
          <w:sz w:val="16"/>
          <w:szCs w:val="16"/>
        </w:rPr>
        <w:t xml:space="preserve">, </w:t>
      </w:r>
      <w:r w:rsidRPr="00374477">
        <w:rPr>
          <w:rFonts w:ascii="Verdana" w:hAnsi="Verdana"/>
          <w:sz w:val="16"/>
          <w:szCs w:val="16"/>
        </w:rPr>
        <w:t>Cons</w:t>
      </w:r>
      <w:r>
        <w:rPr>
          <w:rFonts w:ascii="Verdana" w:hAnsi="Verdana"/>
          <w:sz w:val="16"/>
          <w:szCs w:val="16"/>
        </w:rPr>
        <w:t>iderando 11</w:t>
      </w:r>
      <w:r w:rsidRPr="00374477">
        <w:rPr>
          <w:rFonts w:ascii="Verdana" w:hAnsi="Verdana"/>
          <w:sz w:val="16"/>
          <w:szCs w:val="16"/>
        </w:rPr>
        <w:t>.</w:t>
      </w:r>
    </w:p>
  </w:footnote>
  <w:footnote w:id="7">
    <w:p w:rsidR="006A0F01" w:rsidRPr="00A90692" w:rsidRDefault="006A0F01" w:rsidP="009558A5">
      <w:pPr>
        <w:pStyle w:val="ListParagraph"/>
        <w:autoSpaceDE w:val="0"/>
        <w:autoSpaceDN w:val="0"/>
        <w:adjustRightInd w:val="0"/>
        <w:spacing w:after="0" w:line="240" w:lineRule="auto"/>
        <w:ind w:left="0"/>
        <w:jc w:val="both"/>
        <w:rPr>
          <w:rFonts w:ascii="Verdana" w:hAnsi="Verdana" w:cs="Verdana"/>
          <w:sz w:val="16"/>
          <w:szCs w:val="16"/>
          <w:lang w:val="es-ES"/>
        </w:rPr>
      </w:pPr>
      <w:r w:rsidRPr="00A90692">
        <w:rPr>
          <w:rStyle w:val="FootnoteReference"/>
          <w:rFonts w:ascii="Verdana" w:hAnsi="Verdana"/>
          <w:sz w:val="16"/>
          <w:szCs w:val="16"/>
        </w:rPr>
        <w:footnoteRef/>
      </w:r>
      <w:r w:rsidRPr="00A90692">
        <w:rPr>
          <w:rFonts w:ascii="Verdana" w:hAnsi="Verdana" w:cs="Verdana"/>
          <w:sz w:val="16"/>
          <w:szCs w:val="16"/>
          <w:lang w:val="es-ES"/>
        </w:rPr>
        <w:t xml:space="preserve"> </w:t>
      </w:r>
      <w:r w:rsidRPr="00A90692">
        <w:rPr>
          <w:rFonts w:ascii="Verdana" w:hAnsi="Verdana" w:cs="Verdana"/>
          <w:sz w:val="16"/>
          <w:szCs w:val="16"/>
          <w:lang w:val="es-ES"/>
        </w:rPr>
        <w:tab/>
      </w:r>
      <w:r w:rsidRPr="00033BD2">
        <w:rPr>
          <w:rFonts w:ascii="Verdana" w:hAnsi="Verdana" w:cs="Verdana"/>
          <w:sz w:val="16"/>
          <w:szCs w:val="16"/>
          <w:lang w:val="es-ES"/>
        </w:rPr>
        <w:t xml:space="preserve">Al respecto, en otro informe, el Estado había señalado que después de analizar el riesgo el 2 de febrero de 2018, mediante oficio No. 329-2018, el Secretario Técnico de la Subdirección General de Operaciones del a Policía Nacional, concluyó que debía otorgarse seguridad perimetral en su residencia por seis meses. </w:t>
      </w:r>
    </w:p>
    <w:p w:rsidR="006A0F01" w:rsidRPr="00A90692" w:rsidRDefault="006A0F01" w:rsidP="009558A5">
      <w:pPr>
        <w:pStyle w:val="FootnoteText"/>
        <w:rPr>
          <w:lang w:val="es-CR"/>
        </w:rPr>
      </w:pPr>
    </w:p>
  </w:footnote>
  <w:footnote w:id="8">
    <w:p w:rsidR="006A0F01" w:rsidRPr="00C80138" w:rsidRDefault="006A0F01" w:rsidP="00BC4A2D">
      <w:pPr>
        <w:pStyle w:val="FootnoteText"/>
        <w:jc w:val="both"/>
        <w:rPr>
          <w:rFonts w:ascii="Verdana" w:hAnsi="Verdana"/>
          <w:sz w:val="16"/>
          <w:szCs w:val="16"/>
          <w:lang w:val="es-ES" w:eastAsia="en-US"/>
        </w:rPr>
      </w:pPr>
      <w:r w:rsidRPr="00374477">
        <w:rPr>
          <w:rStyle w:val="FootnoteReference"/>
          <w:rFonts w:ascii="Verdana" w:hAnsi="Verdana"/>
          <w:sz w:val="16"/>
          <w:szCs w:val="16"/>
        </w:rPr>
        <w:footnoteRef/>
      </w:r>
      <w:r w:rsidRPr="00374477">
        <w:rPr>
          <w:rFonts w:ascii="Verdana" w:hAnsi="Verdana"/>
          <w:sz w:val="16"/>
          <w:szCs w:val="16"/>
        </w:rPr>
        <w:t xml:space="preserve"> </w:t>
      </w:r>
      <w:r w:rsidR="00470A1A">
        <w:rPr>
          <w:rFonts w:ascii="Verdana" w:hAnsi="Verdana"/>
          <w:sz w:val="16"/>
          <w:szCs w:val="16"/>
          <w:lang w:val="es-ES"/>
        </w:rPr>
        <w:tab/>
      </w:r>
      <w:r w:rsidRPr="007B5A05">
        <w:rPr>
          <w:rFonts w:ascii="Verdana" w:hAnsi="Verdana"/>
          <w:i/>
          <w:sz w:val="16"/>
          <w:szCs w:val="16"/>
        </w:rPr>
        <w:t xml:space="preserve">Cfr. Caso Carpio </w:t>
      </w:r>
      <w:proofErr w:type="spellStart"/>
      <w:r w:rsidRPr="007B5A05">
        <w:rPr>
          <w:rFonts w:ascii="Verdana" w:hAnsi="Verdana"/>
          <w:i/>
          <w:sz w:val="16"/>
          <w:szCs w:val="16"/>
        </w:rPr>
        <w:t>Nicolle</w:t>
      </w:r>
      <w:proofErr w:type="spellEnd"/>
      <w:r w:rsidRPr="007B5A05">
        <w:rPr>
          <w:rFonts w:ascii="Verdana" w:hAnsi="Verdana"/>
          <w:i/>
          <w:sz w:val="16"/>
          <w:szCs w:val="16"/>
        </w:rPr>
        <w:t>.</w:t>
      </w:r>
      <w:r w:rsidRPr="007B5A05">
        <w:rPr>
          <w:rFonts w:ascii="Verdana" w:hAnsi="Verdana"/>
          <w:sz w:val="16"/>
          <w:szCs w:val="16"/>
        </w:rPr>
        <w:t xml:space="preserve"> </w:t>
      </w:r>
      <w:r w:rsidRPr="00C80185">
        <w:rPr>
          <w:rFonts w:ascii="Verdana" w:hAnsi="Verdana"/>
          <w:i/>
          <w:sz w:val="16"/>
          <w:szCs w:val="16"/>
        </w:rPr>
        <w:t>Medidas Provisionales respecto de Guatemala</w:t>
      </w:r>
      <w:r w:rsidR="00334CB0" w:rsidRPr="007B5A05">
        <w:rPr>
          <w:rFonts w:ascii="Verdana" w:hAnsi="Verdana"/>
          <w:sz w:val="16"/>
          <w:szCs w:val="16"/>
        </w:rPr>
        <w:t xml:space="preserve">. </w:t>
      </w:r>
      <w:r w:rsidR="00334CB0" w:rsidRPr="0074278F">
        <w:rPr>
          <w:rFonts w:ascii="Verdana" w:hAnsi="Verdana"/>
          <w:sz w:val="16"/>
          <w:szCs w:val="16"/>
        </w:rPr>
        <w:t>Resolución de la Corte de 25 de octubre</w:t>
      </w:r>
      <w:r w:rsidR="00334CB0" w:rsidRPr="00334CB0">
        <w:rPr>
          <w:rFonts w:ascii="Verdana" w:hAnsi="Verdana"/>
          <w:sz w:val="16"/>
          <w:szCs w:val="16"/>
        </w:rPr>
        <w:t xml:space="preserve"> de 2012,</w:t>
      </w:r>
      <w:r w:rsidRPr="007B5A05">
        <w:rPr>
          <w:rFonts w:ascii="Verdana" w:hAnsi="Verdana"/>
          <w:sz w:val="16"/>
          <w:szCs w:val="16"/>
        </w:rPr>
        <w:t xml:space="preserve"> considerando 24</w:t>
      </w:r>
      <w:r w:rsidRPr="0074278F">
        <w:rPr>
          <w:rFonts w:ascii="Verdana" w:hAnsi="Verdana"/>
          <w:sz w:val="16"/>
          <w:szCs w:val="16"/>
        </w:rPr>
        <w:t>,</w:t>
      </w:r>
      <w:r w:rsidRPr="00C80138">
        <w:rPr>
          <w:rFonts w:ascii="Verdana" w:hAnsi="Verdana"/>
          <w:sz w:val="16"/>
          <w:szCs w:val="16"/>
        </w:rPr>
        <w:t xml:space="preserve"> y </w:t>
      </w:r>
      <w:r w:rsidR="00C80138" w:rsidRPr="00C80138">
        <w:rPr>
          <w:rFonts w:ascii="Verdana" w:hAnsi="Verdana"/>
          <w:i/>
          <w:sz w:val="16"/>
          <w:szCs w:val="16"/>
        </w:rPr>
        <w:t>Asunto Meléndez Quijano y otros</w:t>
      </w:r>
      <w:r w:rsidR="00C80138" w:rsidRPr="00C80138">
        <w:rPr>
          <w:rFonts w:ascii="Verdana" w:hAnsi="Verdana"/>
          <w:sz w:val="16"/>
          <w:szCs w:val="16"/>
        </w:rPr>
        <w:t xml:space="preserve">, </w:t>
      </w:r>
      <w:r w:rsidR="00962959">
        <w:rPr>
          <w:rFonts w:ascii="Verdana" w:hAnsi="Verdana"/>
          <w:i/>
          <w:sz w:val="16"/>
          <w:szCs w:val="16"/>
        </w:rPr>
        <w:t xml:space="preserve">supra, </w:t>
      </w:r>
      <w:r w:rsidR="00C80138" w:rsidRPr="00C80138">
        <w:rPr>
          <w:rFonts w:ascii="Verdana" w:hAnsi="Verdana"/>
          <w:sz w:val="16"/>
          <w:szCs w:val="16"/>
        </w:rPr>
        <w:t>Considerando 15.</w:t>
      </w:r>
    </w:p>
  </w:footnote>
  <w:footnote w:id="9">
    <w:p w:rsidR="00C80138" w:rsidRPr="00723EBF" w:rsidRDefault="00C80138" w:rsidP="00723EBF">
      <w:pPr>
        <w:pStyle w:val="FootnoteText"/>
        <w:jc w:val="both"/>
        <w:rPr>
          <w:rFonts w:ascii="Verdana" w:hAnsi="Verdana"/>
          <w:sz w:val="16"/>
          <w:szCs w:val="16"/>
          <w:lang w:val="es-ES" w:eastAsia="en-US"/>
        </w:rPr>
      </w:pPr>
      <w:r w:rsidRPr="00723EBF">
        <w:rPr>
          <w:rStyle w:val="FootnoteReference"/>
          <w:rFonts w:ascii="Verdana" w:hAnsi="Verdana"/>
          <w:sz w:val="16"/>
          <w:szCs w:val="16"/>
        </w:rPr>
        <w:footnoteRef/>
      </w:r>
      <w:r w:rsidRPr="00723EBF">
        <w:rPr>
          <w:rFonts w:ascii="Verdana" w:hAnsi="Verdana"/>
          <w:sz w:val="16"/>
          <w:szCs w:val="16"/>
        </w:rPr>
        <w:t xml:space="preserve"> </w:t>
      </w:r>
      <w:r w:rsidR="00470A1A">
        <w:rPr>
          <w:rFonts w:ascii="Verdana" w:hAnsi="Verdana"/>
          <w:sz w:val="16"/>
          <w:szCs w:val="16"/>
        </w:rPr>
        <w:tab/>
      </w:r>
      <w:r w:rsidRPr="001443AE">
        <w:rPr>
          <w:rFonts w:ascii="Verdana" w:hAnsi="Verdana"/>
          <w:i/>
          <w:sz w:val="16"/>
          <w:szCs w:val="16"/>
        </w:rPr>
        <w:t>Cfr</w:t>
      </w:r>
      <w:r w:rsidRPr="00723EBF">
        <w:rPr>
          <w:rFonts w:ascii="Verdana" w:hAnsi="Verdana"/>
          <w:sz w:val="16"/>
          <w:szCs w:val="16"/>
        </w:rPr>
        <w:t xml:space="preserve">. </w:t>
      </w:r>
      <w:r w:rsidRPr="00723EBF">
        <w:rPr>
          <w:rFonts w:ascii="Verdana" w:hAnsi="Verdana"/>
          <w:i/>
          <w:sz w:val="16"/>
          <w:szCs w:val="16"/>
        </w:rPr>
        <w:t>Asunto James y Otros</w:t>
      </w:r>
      <w:r w:rsidRPr="00723EBF">
        <w:rPr>
          <w:rFonts w:ascii="Verdana" w:hAnsi="Verdana"/>
          <w:sz w:val="16"/>
          <w:szCs w:val="16"/>
        </w:rPr>
        <w:t xml:space="preserve">. </w:t>
      </w:r>
      <w:r w:rsidRPr="00C80185">
        <w:rPr>
          <w:rFonts w:ascii="Verdana" w:hAnsi="Verdana"/>
          <w:i/>
          <w:sz w:val="16"/>
          <w:szCs w:val="16"/>
        </w:rPr>
        <w:t>Medidas Provisionales respecto de Trinidad y Tobago</w:t>
      </w:r>
      <w:r w:rsidRPr="00723EBF">
        <w:rPr>
          <w:rFonts w:ascii="Verdana" w:hAnsi="Verdana"/>
          <w:sz w:val="16"/>
          <w:szCs w:val="16"/>
        </w:rPr>
        <w:t xml:space="preserve">. Resolución de la Corte de 29 de agosto de 1998, Considerando 6, y </w:t>
      </w:r>
      <w:r w:rsidRPr="00033BD2">
        <w:rPr>
          <w:rFonts w:ascii="Verdana" w:hAnsi="Verdana"/>
          <w:i/>
          <w:sz w:val="16"/>
          <w:szCs w:val="16"/>
        </w:rPr>
        <w:t>Asunto Meléndez Quijano y otros</w:t>
      </w:r>
      <w:r w:rsidRPr="00033BD2">
        <w:rPr>
          <w:rFonts w:ascii="Verdana" w:hAnsi="Verdana"/>
          <w:sz w:val="16"/>
          <w:szCs w:val="16"/>
        </w:rPr>
        <w:t xml:space="preserve">, </w:t>
      </w:r>
      <w:r w:rsidR="00962959" w:rsidRPr="007B5A05">
        <w:rPr>
          <w:rFonts w:ascii="Verdana" w:hAnsi="Verdana"/>
          <w:i/>
          <w:sz w:val="16"/>
          <w:szCs w:val="16"/>
        </w:rPr>
        <w:t>supra,</w:t>
      </w:r>
      <w:r w:rsidR="00962959">
        <w:rPr>
          <w:rFonts w:ascii="Verdana" w:hAnsi="Verdana"/>
          <w:sz w:val="16"/>
          <w:szCs w:val="16"/>
        </w:rPr>
        <w:t xml:space="preserve"> </w:t>
      </w:r>
      <w:r w:rsidRPr="00033BD2">
        <w:rPr>
          <w:rFonts w:ascii="Verdana" w:hAnsi="Verdana"/>
          <w:sz w:val="16"/>
          <w:szCs w:val="16"/>
        </w:rPr>
        <w:t xml:space="preserve">Considerando </w:t>
      </w:r>
      <w:r w:rsidRPr="00C80138">
        <w:rPr>
          <w:rFonts w:ascii="Verdana" w:hAnsi="Verdana"/>
          <w:sz w:val="16"/>
          <w:szCs w:val="16"/>
        </w:rPr>
        <w:t>5.</w:t>
      </w:r>
    </w:p>
  </w:footnote>
  <w:footnote w:id="10">
    <w:p w:rsidR="006A0F01" w:rsidRPr="00374477" w:rsidRDefault="006A0F01">
      <w:pPr>
        <w:pStyle w:val="FootnoteText"/>
        <w:rPr>
          <w:rFonts w:ascii="Verdana" w:hAnsi="Verdana"/>
          <w:sz w:val="16"/>
          <w:szCs w:val="16"/>
          <w:lang w:val="es-ES"/>
        </w:rPr>
      </w:pPr>
      <w:r w:rsidRPr="00033BD2">
        <w:rPr>
          <w:rStyle w:val="FootnoteReference"/>
          <w:rFonts w:ascii="Verdana" w:hAnsi="Verdana"/>
          <w:sz w:val="16"/>
          <w:szCs w:val="16"/>
        </w:rPr>
        <w:footnoteRef/>
      </w:r>
      <w:r w:rsidR="00470A1A">
        <w:rPr>
          <w:rFonts w:ascii="Verdana" w:hAnsi="Verdana"/>
          <w:sz w:val="16"/>
          <w:szCs w:val="16"/>
        </w:rPr>
        <w:t xml:space="preserve"> </w:t>
      </w:r>
      <w:r w:rsidR="00470A1A">
        <w:rPr>
          <w:rFonts w:ascii="Verdana" w:hAnsi="Verdana"/>
          <w:sz w:val="16"/>
          <w:szCs w:val="16"/>
        </w:rPr>
        <w:tab/>
      </w:r>
      <w:r w:rsidRPr="001443AE">
        <w:rPr>
          <w:rFonts w:ascii="Verdana" w:hAnsi="Verdana"/>
          <w:i/>
          <w:sz w:val="16"/>
          <w:szCs w:val="16"/>
        </w:rPr>
        <w:t>Cfr</w:t>
      </w:r>
      <w:r w:rsidRPr="00033BD2">
        <w:rPr>
          <w:rFonts w:ascii="Verdana" w:hAnsi="Verdana"/>
          <w:sz w:val="16"/>
          <w:szCs w:val="16"/>
        </w:rPr>
        <w:t xml:space="preserve">. </w:t>
      </w:r>
      <w:r w:rsidRPr="00723EBF">
        <w:rPr>
          <w:rFonts w:ascii="Verdana" w:hAnsi="Verdana"/>
          <w:i/>
          <w:sz w:val="16"/>
          <w:szCs w:val="16"/>
        </w:rPr>
        <w:t>Asunto Luisiana Ríos y otros</w:t>
      </w:r>
      <w:r w:rsidR="00C80185">
        <w:rPr>
          <w:rFonts w:ascii="Verdana" w:hAnsi="Verdana"/>
          <w:sz w:val="16"/>
          <w:szCs w:val="16"/>
        </w:rPr>
        <w:t xml:space="preserve">. </w:t>
      </w:r>
      <w:r w:rsidR="00C80185" w:rsidRPr="00C80185">
        <w:rPr>
          <w:rFonts w:ascii="Verdana" w:hAnsi="Verdana"/>
          <w:i/>
          <w:sz w:val="16"/>
          <w:szCs w:val="16"/>
        </w:rPr>
        <w:t>Medidas P</w:t>
      </w:r>
      <w:r w:rsidRPr="00C80185">
        <w:rPr>
          <w:rFonts w:ascii="Verdana" w:hAnsi="Verdana"/>
          <w:i/>
          <w:sz w:val="16"/>
          <w:szCs w:val="16"/>
        </w:rPr>
        <w:t>rov</w:t>
      </w:r>
      <w:r w:rsidR="00C80185" w:rsidRPr="00C80185">
        <w:rPr>
          <w:rFonts w:ascii="Verdana" w:hAnsi="Verdana"/>
          <w:i/>
          <w:sz w:val="16"/>
          <w:szCs w:val="16"/>
        </w:rPr>
        <w:t>isionales respecto de Venezuela.</w:t>
      </w:r>
      <w:r w:rsidRPr="00033BD2">
        <w:rPr>
          <w:rFonts w:ascii="Verdana" w:hAnsi="Verdana"/>
          <w:sz w:val="16"/>
          <w:szCs w:val="16"/>
        </w:rPr>
        <w:t xml:space="preserve"> Resolución de la </w:t>
      </w:r>
      <w:r w:rsidR="00C80185">
        <w:rPr>
          <w:rFonts w:ascii="Verdana" w:hAnsi="Verdana"/>
          <w:sz w:val="16"/>
          <w:szCs w:val="16"/>
        </w:rPr>
        <w:t>Corte de 22 de agosto de 2018, C</w:t>
      </w:r>
      <w:r w:rsidRPr="00033BD2">
        <w:rPr>
          <w:rFonts w:ascii="Verdana" w:hAnsi="Verdana"/>
          <w:sz w:val="16"/>
          <w:szCs w:val="16"/>
        </w:rPr>
        <w:t>onsiderando 10.</w:t>
      </w:r>
    </w:p>
  </w:footnote>
  <w:footnote w:id="11">
    <w:p w:rsidR="006A0F01" w:rsidRPr="00470A1A" w:rsidRDefault="006A0F01" w:rsidP="00333997">
      <w:pPr>
        <w:pStyle w:val="FootnoteText"/>
        <w:rPr>
          <w:i/>
          <w:lang w:val="es-ES"/>
        </w:rPr>
      </w:pPr>
      <w:r w:rsidRPr="00374477">
        <w:rPr>
          <w:rStyle w:val="FootnoteReference"/>
          <w:rFonts w:ascii="Verdana" w:hAnsi="Verdana"/>
          <w:sz w:val="16"/>
          <w:szCs w:val="16"/>
        </w:rPr>
        <w:footnoteRef/>
      </w:r>
      <w:r w:rsidRPr="00374477">
        <w:rPr>
          <w:rFonts w:ascii="Verdana" w:hAnsi="Verdana"/>
          <w:sz w:val="16"/>
          <w:szCs w:val="16"/>
        </w:rPr>
        <w:t xml:space="preserve"> </w:t>
      </w:r>
      <w:r w:rsidR="00470A1A">
        <w:rPr>
          <w:rFonts w:ascii="Verdana" w:hAnsi="Verdana"/>
          <w:sz w:val="16"/>
          <w:szCs w:val="16"/>
        </w:rPr>
        <w:tab/>
      </w:r>
      <w:r w:rsidRPr="00470A1A">
        <w:rPr>
          <w:rFonts w:ascii="Verdana" w:hAnsi="Verdana"/>
          <w:i/>
          <w:sz w:val="16"/>
          <w:szCs w:val="16"/>
        </w:rPr>
        <w:t>Cfr. Asunto Luisiana Ríos y otros</w:t>
      </w:r>
      <w:r w:rsidR="00334CB0">
        <w:rPr>
          <w:rFonts w:ascii="Verdana" w:hAnsi="Verdana"/>
          <w:i/>
          <w:sz w:val="16"/>
          <w:szCs w:val="16"/>
        </w:rPr>
        <w:t>, supra</w:t>
      </w:r>
      <w:r w:rsidRPr="00374477">
        <w:rPr>
          <w:rFonts w:ascii="Verdana" w:hAnsi="Verdana"/>
          <w:sz w:val="16"/>
          <w:szCs w:val="16"/>
        </w:rPr>
        <w:t xml:space="preserve">, </w:t>
      </w:r>
      <w:r w:rsidR="00C80185">
        <w:rPr>
          <w:rFonts w:ascii="Verdana" w:hAnsi="Verdana"/>
          <w:sz w:val="16"/>
          <w:szCs w:val="16"/>
        </w:rPr>
        <w:t>C</w:t>
      </w:r>
      <w:r w:rsidRPr="00374477">
        <w:rPr>
          <w:rFonts w:ascii="Verdana" w:hAnsi="Verdana"/>
          <w:sz w:val="16"/>
          <w:szCs w:val="16"/>
        </w:rPr>
        <w:t>onsiderando 12.</w:t>
      </w:r>
    </w:p>
  </w:footnote>
  <w:footnote w:id="12">
    <w:p w:rsidR="006A0F01" w:rsidRPr="00532A6F" w:rsidRDefault="006A0F01" w:rsidP="00532A6F">
      <w:pPr>
        <w:pStyle w:val="FootnoteText"/>
        <w:jc w:val="both"/>
        <w:rPr>
          <w:rFonts w:ascii="Verdana" w:hAnsi="Verdana"/>
          <w:sz w:val="16"/>
          <w:szCs w:val="16"/>
          <w:lang w:val="es-ES"/>
        </w:rPr>
      </w:pPr>
      <w:r w:rsidRPr="00470A1A">
        <w:rPr>
          <w:rStyle w:val="FootnoteReference"/>
          <w:rFonts w:ascii="Verdana" w:hAnsi="Verdana"/>
          <w:i/>
          <w:sz w:val="16"/>
          <w:szCs w:val="16"/>
        </w:rPr>
        <w:footnoteRef/>
      </w:r>
      <w:r w:rsidRPr="00470A1A">
        <w:rPr>
          <w:rFonts w:ascii="Verdana" w:hAnsi="Verdana"/>
          <w:i/>
          <w:sz w:val="16"/>
          <w:szCs w:val="16"/>
        </w:rPr>
        <w:t xml:space="preserve"> </w:t>
      </w:r>
      <w:r w:rsidR="00470A1A" w:rsidRPr="00470A1A">
        <w:rPr>
          <w:rFonts w:ascii="Verdana" w:hAnsi="Verdana"/>
          <w:i/>
          <w:sz w:val="16"/>
          <w:szCs w:val="16"/>
        </w:rPr>
        <w:tab/>
      </w:r>
      <w:r w:rsidRPr="00470A1A">
        <w:rPr>
          <w:rFonts w:ascii="Verdana" w:hAnsi="Verdana"/>
          <w:i/>
          <w:sz w:val="16"/>
          <w:szCs w:val="16"/>
        </w:rPr>
        <w:t>Cfr. Caso Velásquez Rodríguez. Medidas Provisionales respecto de Honduras.</w:t>
      </w:r>
      <w:r w:rsidRPr="00532A6F">
        <w:rPr>
          <w:rFonts w:ascii="Verdana" w:hAnsi="Verdana"/>
          <w:sz w:val="16"/>
          <w:szCs w:val="16"/>
        </w:rPr>
        <w:t xml:space="preserve"> Resolución de la Corte de 15 de e</w:t>
      </w:r>
      <w:r w:rsidR="00C80185">
        <w:rPr>
          <w:rFonts w:ascii="Verdana" w:hAnsi="Verdana"/>
          <w:sz w:val="16"/>
          <w:szCs w:val="16"/>
        </w:rPr>
        <w:t>nero de 1988, C</w:t>
      </w:r>
      <w:r>
        <w:rPr>
          <w:rFonts w:ascii="Verdana" w:hAnsi="Verdana"/>
          <w:sz w:val="16"/>
          <w:szCs w:val="16"/>
        </w:rPr>
        <w:t>onsiderando 3, y</w:t>
      </w:r>
      <w:r w:rsidRPr="00532A6F">
        <w:rPr>
          <w:rFonts w:ascii="Verdana" w:hAnsi="Verdana"/>
          <w:sz w:val="16"/>
          <w:szCs w:val="16"/>
        </w:rPr>
        <w:t xml:space="preserve"> </w:t>
      </w:r>
      <w:r w:rsidRPr="00532A6F">
        <w:rPr>
          <w:rFonts w:ascii="Verdana" w:hAnsi="Verdana"/>
          <w:i/>
          <w:sz w:val="16"/>
          <w:szCs w:val="16"/>
        </w:rPr>
        <w:t>Asunto Luisiana Ríos y otros</w:t>
      </w:r>
      <w:r w:rsidRPr="00532A6F">
        <w:rPr>
          <w:rFonts w:ascii="Verdana" w:hAnsi="Verdana"/>
          <w:sz w:val="16"/>
          <w:szCs w:val="16"/>
        </w:rPr>
        <w:t>,</w:t>
      </w:r>
      <w:r w:rsidR="00334CB0">
        <w:rPr>
          <w:rFonts w:ascii="Verdana" w:hAnsi="Verdana"/>
          <w:sz w:val="16"/>
          <w:szCs w:val="16"/>
        </w:rPr>
        <w:t xml:space="preserve"> </w:t>
      </w:r>
      <w:r w:rsidR="00334CB0" w:rsidRPr="007B5A05">
        <w:rPr>
          <w:rFonts w:ascii="Verdana" w:hAnsi="Verdana"/>
          <w:i/>
          <w:sz w:val="16"/>
          <w:szCs w:val="16"/>
        </w:rPr>
        <w:t>supra</w:t>
      </w:r>
      <w:r w:rsidR="00334CB0">
        <w:rPr>
          <w:rFonts w:ascii="Verdana" w:hAnsi="Verdana"/>
          <w:sz w:val="16"/>
          <w:szCs w:val="16"/>
        </w:rPr>
        <w:t>,</w:t>
      </w:r>
      <w:r w:rsidRPr="00532A6F">
        <w:rPr>
          <w:rFonts w:ascii="Verdana" w:hAnsi="Verdana"/>
          <w:sz w:val="16"/>
          <w:szCs w:val="16"/>
        </w:rPr>
        <w:t xml:space="preserve"> </w:t>
      </w:r>
      <w:r w:rsidR="00470A1A">
        <w:rPr>
          <w:rFonts w:ascii="Verdana" w:hAnsi="Verdana"/>
          <w:sz w:val="16"/>
          <w:szCs w:val="16"/>
        </w:rPr>
        <w:t>C</w:t>
      </w:r>
      <w:r w:rsidRPr="00532A6F">
        <w:rPr>
          <w:rFonts w:ascii="Verdana" w:hAnsi="Verdana"/>
          <w:sz w:val="16"/>
          <w:szCs w:val="16"/>
        </w:rPr>
        <w:t>onsiderando 14.</w:t>
      </w:r>
    </w:p>
  </w:footnote>
  <w:footnote w:id="13">
    <w:p w:rsidR="006A0F01" w:rsidRPr="00654879" w:rsidRDefault="006A0F01" w:rsidP="007B5A05">
      <w:pPr>
        <w:pStyle w:val="FootnoteText"/>
        <w:jc w:val="both"/>
        <w:rPr>
          <w:lang w:val="es-MX"/>
        </w:rPr>
      </w:pPr>
      <w:r w:rsidRPr="00F97624">
        <w:rPr>
          <w:rStyle w:val="FootnoteReference"/>
          <w:rFonts w:ascii="Verdana" w:hAnsi="Verdana"/>
          <w:sz w:val="16"/>
          <w:szCs w:val="16"/>
        </w:rPr>
        <w:footnoteRef/>
      </w:r>
      <w:r w:rsidRPr="00F97624">
        <w:rPr>
          <w:rFonts w:ascii="Verdana" w:hAnsi="Verdana"/>
          <w:sz w:val="16"/>
          <w:szCs w:val="16"/>
        </w:rPr>
        <w:t xml:space="preserve"> </w:t>
      </w:r>
      <w:r w:rsidRPr="00F97624">
        <w:rPr>
          <w:rFonts w:ascii="Verdana" w:hAnsi="Verdana"/>
          <w:sz w:val="16"/>
          <w:szCs w:val="16"/>
        </w:rPr>
        <w:tab/>
      </w:r>
      <w:r w:rsidRPr="00F97624">
        <w:rPr>
          <w:rFonts w:ascii="Verdana" w:hAnsi="Verdana"/>
          <w:i/>
          <w:sz w:val="16"/>
          <w:szCs w:val="16"/>
        </w:rPr>
        <w:t xml:space="preserve">Cfr. </w:t>
      </w:r>
      <w:r w:rsidR="00962959">
        <w:rPr>
          <w:rFonts w:ascii="Verdana" w:hAnsi="Verdana"/>
          <w:i/>
          <w:sz w:val="16"/>
          <w:szCs w:val="16"/>
        </w:rPr>
        <w:t xml:space="preserve">Caso </w:t>
      </w:r>
      <w:proofErr w:type="spellStart"/>
      <w:r w:rsidR="00962959">
        <w:rPr>
          <w:rFonts w:ascii="Verdana" w:hAnsi="Verdana"/>
          <w:i/>
          <w:sz w:val="16"/>
          <w:szCs w:val="16"/>
        </w:rPr>
        <w:t>Bámaca</w:t>
      </w:r>
      <w:proofErr w:type="spellEnd"/>
      <w:r w:rsidR="00962959">
        <w:rPr>
          <w:rFonts w:ascii="Verdana" w:hAnsi="Verdana"/>
          <w:i/>
          <w:sz w:val="16"/>
          <w:szCs w:val="16"/>
        </w:rPr>
        <w:t xml:space="preserve"> Velásquez. </w:t>
      </w:r>
      <w:r w:rsidR="00962959" w:rsidRPr="00C80185">
        <w:rPr>
          <w:rFonts w:ascii="Verdana" w:hAnsi="Verdana"/>
          <w:i/>
          <w:sz w:val="16"/>
          <w:szCs w:val="16"/>
        </w:rPr>
        <w:t>Medidas Provisionales respecto de Guatemala</w:t>
      </w:r>
      <w:r w:rsidR="00962959" w:rsidRPr="007B5A05">
        <w:rPr>
          <w:rFonts w:ascii="Verdana" w:hAnsi="Verdana"/>
          <w:sz w:val="16"/>
          <w:szCs w:val="16"/>
        </w:rPr>
        <w:t>. Resolución de la Corte de 31 de agosto de 2016</w:t>
      </w:r>
      <w:r w:rsidR="00962959">
        <w:rPr>
          <w:rFonts w:ascii="Verdana" w:hAnsi="Verdana"/>
          <w:sz w:val="16"/>
          <w:szCs w:val="16"/>
        </w:rPr>
        <w:t>, Considerando 56</w:t>
      </w:r>
      <w:r w:rsidR="00962959" w:rsidRPr="00532A6F">
        <w:rPr>
          <w:rFonts w:ascii="Verdana" w:hAnsi="Verdan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76411"/>
      <w:docPartObj>
        <w:docPartGallery w:val="Page Numbers (Top of Page)"/>
        <w:docPartUnique/>
      </w:docPartObj>
    </w:sdtPr>
    <w:sdtEndPr>
      <w:rPr>
        <w:noProof/>
      </w:rPr>
    </w:sdtEndPr>
    <w:sdtContent>
      <w:p w:rsidR="006A0F01" w:rsidRDefault="006A0F01">
        <w:pPr>
          <w:pStyle w:val="Header"/>
          <w:jc w:val="center"/>
        </w:pPr>
        <w:r>
          <w:fldChar w:fldCharType="begin"/>
        </w:r>
        <w:r>
          <w:instrText xml:space="preserve"> PAGE   \* MERGEFORMAT </w:instrText>
        </w:r>
        <w:r>
          <w:fldChar w:fldCharType="separate"/>
        </w:r>
        <w:r w:rsidR="00235F6D">
          <w:rPr>
            <w:noProof/>
          </w:rPr>
          <w:t>8</w:t>
        </w:r>
        <w:r>
          <w:rPr>
            <w:noProof/>
          </w:rPr>
          <w:fldChar w:fldCharType="end"/>
        </w:r>
      </w:p>
    </w:sdtContent>
  </w:sdt>
  <w:p w:rsidR="006A0F01" w:rsidRDefault="006A0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F9"/>
    <w:multiLevelType w:val="hybridMultilevel"/>
    <w:tmpl w:val="8FB826C0"/>
    <w:lvl w:ilvl="0" w:tplc="1A6E519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770AB0"/>
    <w:multiLevelType w:val="hybridMultilevel"/>
    <w:tmpl w:val="49C44C80"/>
    <w:lvl w:ilvl="0" w:tplc="EB222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E622D"/>
    <w:multiLevelType w:val="hybridMultilevel"/>
    <w:tmpl w:val="8FB826C0"/>
    <w:lvl w:ilvl="0" w:tplc="1A6E519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192FCF"/>
    <w:multiLevelType w:val="hybridMultilevel"/>
    <w:tmpl w:val="CD9A2742"/>
    <w:lvl w:ilvl="0" w:tplc="7AD0E85E">
      <w:start w:val="1"/>
      <w:numFmt w:val="decimal"/>
      <w:lvlText w:val="%1."/>
      <w:lvlJc w:val="left"/>
      <w:pPr>
        <w:ind w:left="360" w:hanging="360"/>
      </w:pPr>
      <w:rPr>
        <w:rFonts w:ascii="Verdana" w:hAnsi="Verdana" w:hint="default"/>
        <w:sz w:val="20"/>
        <w:szCs w:val="20"/>
        <w:lang w:val="es-ES"/>
      </w:rPr>
    </w:lvl>
    <w:lvl w:ilvl="1" w:tplc="04090019">
      <w:start w:val="1"/>
      <w:numFmt w:val="lowerLetter"/>
      <w:lvlText w:val="%2."/>
      <w:lvlJc w:val="left"/>
      <w:pPr>
        <w:ind w:left="1080" w:hanging="360"/>
      </w:pPr>
    </w:lvl>
    <w:lvl w:ilvl="2" w:tplc="04090015">
      <w:start w:val="1"/>
      <w:numFmt w:val="upperLetter"/>
      <w:lvlText w:val="%3."/>
      <w:lvlJc w:val="left"/>
      <w:pPr>
        <w:ind w:left="-18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AB5523"/>
    <w:multiLevelType w:val="hybridMultilevel"/>
    <w:tmpl w:val="E2E86BCC"/>
    <w:lvl w:ilvl="0" w:tplc="CC6A7E14">
      <w:start w:val="1"/>
      <w:numFmt w:val="upperLetter"/>
      <w:lvlText w:val="%1."/>
      <w:lvlJc w:val="left"/>
      <w:pPr>
        <w:ind w:left="18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47699"/>
    <w:multiLevelType w:val="hybridMultilevel"/>
    <w:tmpl w:val="87BCCD52"/>
    <w:lvl w:ilvl="0" w:tplc="81947E6C">
      <w:start w:val="3"/>
      <w:numFmt w:val="decimal"/>
      <w:lvlText w:val="%1."/>
      <w:lvlJc w:val="left"/>
      <w:pPr>
        <w:ind w:left="360" w:hanging="360"/>
      </w:pPr>
      <w:rPr>
        <w:rFonts w:ascii="Verdana" w:hAnsi="Verdana" w:hint="default"/>
        <w:b w:val="0"/>
        <w:sz w:val="20"/>
        <w:szCs w:val="20"/>
        <w:lang w:val="es-E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E4F1D0B"/>
    <w:multiLevelType w:val="hybridMultilevel"/>
    <w:tmpl w:val="538A4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35789"/>
    <w:multiLevelType w:val="hybridMultilevel"/>
    <w:tmpl w:val="6A501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406D528C"/>
    <w:multiLevelType w:val="hybridMultilevel"/>
    <w:tmpl w:val="26388312"/>
    <w:lvl w:ilvl="0" w:tplc="8520BE1A">
      <w:start w:val="1"/>
      <w:numFmt w:val="decimal"/>
      <w:lvlText w:val="%1."/>
      <w:lvlJc w:val="left"/>
      <w:pPr>
        <w:ind w:left="720" w:hanging="360"/>
      </w:pPr>
      <w:rPr>
        <w:rFonts w:hint="default"/>
        <w:lang w:val="es-ES"/>
      </w:rPr>
    </w:lvl>
    <w:lvl w:ilvl="1" w:tplc="04090019">
      <w:start w:val="1"/>
      <w:numFmt w:val="lowerLetter"/>
      <w:lvlText w:val="%2."/>
      <w:lvlJc w:val="left"/>
      <w:pPr>
        <w:ind w:left="1440" w:hanging="360"/>
      </w:pPr>
    </w:lvl>
    <w:lvl w:ilvl="2" w:tplc="CC6A7E14">
      <w:start w:val="1"/>
      <w:numFmt w:val="upperLetter"/>
      <w:lvlText w:val="%3."/>
      <w:lvlJc w:val="left"/>
      <w:pPr>
        <w:ind w:left="180" w:hanging="180"/>
      </w:pPr>
      <w:rPr>
        <w:b/>
      </w:r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6748E6A">
      <w:start w:val="1"/>
      <w:numFmt w:val="lowerLetter"/>
      <w:lvlText w:val="%7)"/>
      <w:lvlJc w:val="left"/>
      <w:pPr>
        <w:ind w:left="5040" w:hanging="360"/>
      </w:pPr>
      <w:rPr>
        <w:rFonts w:cs="Verdana"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B24DA7"/>
    <w:multiLevelType w:val="hybridMultilevel"/>
    <w:tmpl w:val="4B008B9A"/>
    <w:lvl w:ilvl="0" w:tplc="0409000F">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nsid w:val="5F313565"/>
    <w:multiLevelType w:val="hybridMultilevel"/>
    <w:tmpl w:val="4A88AAA8"/>
    <w:lvl w:ilvl="0" w:tplc="6F30F108">
      <w:start w:val="20"/>
      <w:numFmt w:val="decimal"/>
      <w:lvlText w:val="%1."/>
      <w:lvlJc w:val="left"/>
      <w:pPr>
        <w:ind w:left="644" w:hanging="360"/>
      </w:pPr>
      <w:rPr>
        <w:rFonts w:ascii="Verdana" w:hAnsi="Verdan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D0138"/>
    <w:multiLevelType w:val="hybridMultilevel"/>
    <w:tmpl w:val="0704A504"/>
    <w:lvl w:ilvl="0" w:tplc="838046A4">
      <w:start w:val="1"/>
      <w:numFmt w:val="decimal"/>
      <w:lvlText w:val="%1."/>
      <w:lvlJc w:val="left"/>
      <w:pPr>
        <w:tabs>
          <w:tab w:val="num" w:pos="644"/>
        </w:tabs>
        <w:ind w:left="644" w:hanging="360"/>
      </w:pPr>
      <w:rPr>
        <w:rFonts w:ascii="Verdana" w:hAnsi="Verdana" w:hint="default"/>
        <w:b w:val="0"/>
        <w:i w:val="0"/>
        <w:color w:val="auto"/>
        <w:sz w:val="20"/>
        <w:szCs w:val="20"/>
        <w:lang w:val="es-ES_tradnl"/>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6A5C0A65"/>
    <w:multiLevelType w:val="hybridMultilevel"/>
    <w:tmpl w:val="AF4C955C"/>
    <w:lvl w:ilvl="0" w:tplc="97C87ABE">
      <w:start w:val="1"/>
      <w:numFmt w:val="decimal"/>
      <w:lvlText w:val="%1."/>
      <w:lvlJc w:val="left"/>
      <w:pPr>
        <w:ind w:left="360" w:hanging="360"/>
      </w:pPr>
      <w:rPr>
        <w:rFonts w:ascii="Verdana" w:hAnsi="Verdana" w:hint="default"/>
        <w:b w:val="0"/>
        <w:i w:val="0"/>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6A923AE9"/>
    <w:multiLevelType w:val="hybridMultilevel"/>
    <w:tmpl w:val="8FB826C0"/>
    <w:lvl w:ilvl="0" w:tplc="1A6E519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4010E1"/>
    <w:multiLevelType w:val="hybridMultilevel"/>
    <w:tmpl w:val="FAECE968"/>
    <w:lvl w:ilvl="0" w:tplc="F172E020">
      <w:start w:val="1"/>
      <w:numFmt w:val="decimal"/>
      <w:lvlText w:val="%1."/>
      <w:lvlJc w:val="left"/>
      <w:pPr>
        <w:tabs>
          <w:tab w:val="num" w:pos="360"/>
        </w:tabs>
        <w:ind w:left="360" w:hanging="360"/>
      </w:pPr>
      <w:rPr>
        <w:rFonts w:ascii="Verdana" w:hAnsi="Verdana" w:hint="default"/>
        <w:b w:val="0"/>
        <w:sz w:val="20"/>
      </w:rPr>
    </w:lvl>
    <w:lvl w:ilvl="1" w:tplc="0409000F">
      <w:start w:val="1"/>
      <w:numFmt w:val="decimal"/>
      <w:lvlText w:val="%2."/>
      <w:lvlJc w:val="left"/>
      <w:pPr>
        <w:tabs>
          <w:tab w:val="num" w:pos="1440"/>
        </w:tabs>
        <w:ind w:left="1440" w:hanging="360"/>
      </w:pPr>
      <w:rPr>
        <w:rFonts w:hint="default"/>
        <w:b w:val="0"/>
      </w:rPr>
    </w:lvl>
    <w:lvl w:ilvl="2" w:tplc="92DEE256">
      <w:start w:val="1"/>
      <w:numFmt w:val="lowerLetter"/>
      <w:lvlText w:val="%3."/>
      <w:lvlJc w:val="left"/>
      <w:pPr>
        <w:tabs>
          <w:tab w:val="num" w:pos="2340"/>
        </w:tabs>
        <w:ind w:left="2340" w:hanging="360"/>
      </w:pPr>
      <w:rPr>
        <w:rFonts w:hint="default"/>
      </w:rPr>
    </w:lvl>
    <w:lvl w:ilvl="3" w:tplc="A9E0C762">
      <w:start w:val="1"/>
      <w:numFmt w:val="lowerLetter"/>
      <w:lvlText w:val="%4)"/>
      <w:lvlJc w:val="left"/>
      <w:pPr>
        <w:tabs>
          <w:tab w:val="num" w:pos="1440"/>
        </w:tabs>
        <w:ind w:left="144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8"/>
  </w:num>
  <w:num w:numId="4">
    <w:abstractNumId w:val="13"/>
  </w:num>
  <w:num w:numId="5">
    <w:abstractNumId w:val="9"/>
  </w:num>
  <w:num w:numId="6">
    <w:abstractNumId w:val="12"/>
  </w:num>
  <w:num w:numId="7">
    <w:abstractNumId w:val="3"/>
  </w:num>
  <w:num w:numId="8">
    <w:abstractNumId w:val="2"/>
  </w:num>
  <w:num w:numId="9">
    <w:abstractNumId w:val="1"/>
  </w:num>
  <w:num w:numId="10">
    <w:abstractNumId w:val="0"/>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7B"/>
    <w:rsid w:val="000023F8"/>
    <w:rsid w:val="00003E7A"/>
    <w:rsid w:val="00004298"/>
    <w:rsid w:val="000056B8"/>
    <w:rsid w:val="00005989"/>
    <w:rsid w:val="00006005"/>
    <w:rsid w:val="00010E17"/>
    <w:rsid w:val="00011994"/>
    <w:rsid w:val="000128FB"/>
    <w:rsid w:val="00012F09"/>
    <w:rsid w:val="00015BA5"/>
    <w:rsid w:val="000204D5"/>
    <w:rsid w:val="00025411"/>
    <w:rsid w:val="000317E2"/>
    <w:rsid w:val="00031919"/>
    <w:rsid w:val="00031BD8"/>
    <w:rsid w:val="00033BD2"/>
    <w:rsid w:val="00033EBF"/>
    <w:rsid w:val="00036C3D"/>
    <w:rsid w:val="00037399"/>
    <w:rsid w:val="0003786D"/>
    <w:rsid w:val="00041B09"/>
    <w:rsid w:val="00043404"/>
    <w:rsid w:val="00044545"/>
    <w:rsid w:val="00044E4C"/>
    <w:rsid w:val="00051714"/>
    <w:rsid w:val="0005185C"/>
    <w:rsid w:val="00052873"/>
    <w:rsid w:val="000563CA"/>
    <w:rsid w:val="00056EB5"/>
    <w:rsid w:val="00057267"/>
    <w:rsid w:val="000643EB"/>
    <w:rsid w:val="00065645"/>
    <w:rsid w:val="00071C95"/>
    <w:rsid w:val="00073BC0"/>
    <w:rsid w:val="00075F94"/>
    <w:rsid w:val="00082757"/>
    <w:rsid w:val="00085735"/>
    <w:rsid w:val="00085EC9"/>
    <w:rsid w:val="00092501"/>
    <w:rsid w:val="00093196"/>
    <w:rsid w:val="00093D94"/>
    <w:rsid w:val="000B24E6"/>
    <w:rsid w:val="000B5521"/>
    <w:rsid w:val="000C6EC2"/>
    <w:rsid w:val="000D25F6"/>
    <w:rsid w:val="000D3C49"/>
    <w:rsid w:val="000D7638"/>
    <w:rsid w:val="000E1BC8"/>
    <w:rsid w:val="000E2656"/>
    <w:rsid w:val="000F3073"/>
    <w:rsid w:val="000F47D9"/>
    <w:rsid w:val="000F50F8"/>
    <w:rsid w:val="000F6220"/>
    <w:rsid w:val="00101680"/>
    <w:rsid w:val="00103A40"/>
    <w:rsid w:val="00106488"/>
    <w:rsid w:val="00110072"/>
    <w:rsid w:val="001123D4"/>
    <w:rsid w:val="00112639"/>
    <w:rsid w:val="00115BB5"/>
    <w:rsid w:val="001170BB"/>
    <w:rsid w:val="001258DF"/>
    <w:rsid w:val="0012625F"/>
    <w:rsid w:val="00131A73"/>
    <w:rsid w:val="00131FDD"/>
    <w:rsid w:val="0014006C"/>
    <w:rsid w:val="00141ED2"/>
    <w:rsid w:val="001443AE"/>
    <w:rsid w:val="001466B8"/>
    <w:rsid w:val="0015277A"/>
    <w:rsid w:val="001579D2"/>
    <w:rsid w:val="0016190F"/>
    <w:rsid w:val="00162930"/>
    <w:rsid w:val="0016468E"/>
    <w:rsid w:val="001675EE"/>
    <w:rsid w:val="00173398"/>
    <w:rsid w:val="00183019"/>
    <w:rsid w:val="0018584A"/>
    <w:rsid w:val="00186996"/>
    <w:rsid w:val="00191CA8"/>
    <w:rsid w:val="001945AA"/>
    <w:rsid w:val="00195857"/>
    <w:rsid w:val="001A7170"/>
    <w:rsid w:val="001A7365"/>
    <w:rsid w:val="001B1F82"/>
    <w:rsid w:val="001B63D5"/>
    <w:rsid w:val="001C33BE"/>
    <w:rsid w:val="001C34CD"/>
    <w:rsid w:val="001C53E6"/>
    <w:rsid w:val="001D0484"/>
    <w:rsid w:val="001D1022"/>
    <w:rsid w:val="001D5765"/>
    <w:rsid w:val="001D58AC"/>
    <w:rsid w:val="001D6B31"/>
    <w:rsid w:val="001D6DE0"/>
    <w:rsid w:val="001E1F2D"/>
    <w:rsid w:val="001F3CF8"/>
    <w:rsid w:val="001F4A58"/>
    <w:rsid w:val="001F7D60"/>
    <w:rsid w:val="002072E7"/>
    <w:rsid w:val="002101F4"/>
    <w:rsid w:val="002102B7"/>
    <w:rsid w:val="00210597"/>
    <w:rsid w:val="002173E6"/>
    <w:rsid w:val="00227784"/>
    <w:rsid w:val="00227C92"/>
    <w:rsid w:val="00233879"/>
    <w:rsid w:val="00235F6D"/>
    <w:rsid w:val="002370C7"/>
    <w:rsid w:val="00256CF4"/>
    <w:rsid w:val="0026102D"/>
    <w:rsid w:val="00261E0C"/>
    <w:rsid w:val="002706AC"/>
    <w:rsid w:val="00274848"/>
    <w:rsid w:val="00274E7A"/>
    <w:rsid w:val="00277DD6"/>
    <w:rsid w:val="00284422"/>
    <w:rsid w:val="0028711F"/>
    <w:rsid w:val="002A2C6E"/>
    <w:rsid w:val="002A7B14"/>
    <w:rsid w:val="002B134C"/>
    <w:rsid w:val="002B3CE3"/>
    <w:rsid w:val="002B6BDD"/>
    <w:rsid w:val="002B768C"/>
    <w:rsid w:val="002C351B"/>
    <w:rsid w:val="002C6B6D"/>
    <w:rsid w:val="002C723D"/>
    <w:rsid w:val="002C7B90"/>
    <w:rsid w:val="002E0CC8"/>
    <w:rsid w:val="002E0DFF"/>
    <w:rsid w:val="002F19D7"/>
    <w:rsid w:val="002F2B70"/>
    <w:rsid w:val="002F3E32"/>
    <w:rsid w:val="00300F9F"/>
    <w:rsid w:val="00302504"/>
    <w:rsid w:val="003059BC"/>
    <w:rsid w:val="00313699"/>
    <w:rsid w:val="00324CF1"/>
    <w:rsid w:val="00333997"/>
    <w:rsid w:val="00334CB0"/>
    <w:rsid w:val="0034262C"/>
    <w:rsid w:val="00344FF4"/>
    <w:rsid w:val="00352B47"/>
    <w:rsid w:val="003544E8"/>
    <w:rsid w:val="00354B4C"/>
    <w:rsid w:val="00355D43"/>
    <w:rsid w:val="00356385"/>
    <w:rsid w:val="00362288"/>
    <w:rsid w:val="003625B8"/>
    <w:rsid w:val="0036301B"/>
    <w:rsid w:val="00363589"/>
    <w:rsid w:val="0036638A"/>
    <w:rsid w:val="00373240"/>
    <w:rsid w:val="00374477"/>
    <w:rsid w:val="00380FB4"/>
    <w:rsid w:val="003816B0"/>
    <w:rsid w:val="0038187B"/>
    <w:rsid w:val="00386752"/>
    <w:rsid w:val="003925A1"/>
    <w:rsid w:val="003A4ADB"/>
    <w:rsid w:val="003B232C"/>
    <w:rsid w:val="003B5948"/>
    <w:rsid w:val="003B7208"/>
    <w:rsid w:val="003B7D8E"/>
    <w:rsid w:val="003C1B51"/>
    <w:rsid w:val="003C2C0C"/>
    <w:rsid w:val="003C3FAB"/>
    <w:rsid w:val="003D05BB"/>
    <w:rsid w:val="003D1A61"/>
    <w:rsid w:val="003D22D3"/>
    <w:rsid w:val="003F07E6"/>
    <w:rsid w:val="003F0B9F"/>
    <w:rsid w:val="003F0CB5"/>
    <w:rsid w:val="003F250B"/>
    <w:rsid w:val="003F627B"/>
    <w:rsid w:val="00414E9F"/>
    <w:rsid w:val="00420403"/>
    <w:rsid w:val="00423306"/>
    <w:rsid w:val="00424DA8"/>
    <w:rsid w:val="004263B0"/>
    <w:rsid w:val="0043015F"/>
    <w:rsid w:val="0043068E"/>
    <w:rsid w:val="00431CE8"/>
    <w:rsid w:val="004347A7"/>
    <w:rsid w:val="00436E0C"/>
    <w:rsid w:val="00440773"/>
    <w:rsid w:val="00440F54"/>
    <w:rsid w:val="00441358"/>
    <w:rsid w:val="004416C6"/>
    <w:rsid w:val="00441B63"/>
    <w:rsid w:val="00446A3F"/>
    <w:rsid w:val="00447167"/>
    <w:rsid w:val="00451A20"/>
    <w:rsid w:val="00461AA6"/>
    <w:rsid w:val="00462F09"/>
    <w:rsid w:val="00464CD5"/>
    <w:rsid w:val="00470744"/>
    <w:rsid w:val="0047098C"/>
    <w:rsid w:val="00470A1A"/>
    <w:rsid w:val="00482823"/>
    <w:rsid w:val="00486466"/>
    <w:rsid w:val="00487F40"/>
    <w:rsid w:val="004A3D1D"/>
    <w:rsid w:val="004A4A7E"/>
    <w:rsid w:val="004A4B08"/>
    <w:rsid w:val="004A4C5A"/>
    <w:rsid w:val="004A5B9D"/>
    <w:rsid w:val="004A64F1"/>
    <w:rsid w:val="004B021C"/>
    <w:rsid w:val="004B0D12"/>
    <w:rsid w:val="004B283B"/>
    <w:rsid w:val="004B36BD"/>
    <w:rsid w:val="004B3AC0"/>
    <w:rsid w:val="004B59CA"/>
    <w:rsid w:val="004B5F97"/>
    <w:rsid w:val="004C57FE"/>
    <w:rsid w:val="004D1087"/>
    <w:rsid w:val="004D38EB"/>
    <w:rsid w:val="004D78E6"/>
    <w:rsid w:val="004E1E5C"/>
    <w:rsid w:val="004F1670"/>
    <w:rsid w:val="00504138"/>
    <w:rsid w:val="00504B58"/>
    <w:rsid w:val="0052200C"/>
    <w:rsid w:val="0052496C"/>
    <w:rsid w:val="005302BE"/>
    <w:rsid w:val="00531D27"/>
    <w:rsid w:val="00531DC8"/>
    <w:rsid w:val="00532A6F"/>
    <w:rsid w:val="005336B1"/>
    <w:rsid w:val="005362C9"/>
    <w:rsid w:val="00541D2F"/>
    <w:rsid w:val="0056170C"/>
    <w:rsid w:val="00566E5B"/>
    <w:rsid w:val="005676C4"/>
    <w:rsid w:val="00577E46"/>
    <w:rsid w:val="005828A9"/>
    <w:rsid w:val="005831EB"/>
    <w:rsid w:val="0059636C"/>
    <w:rsid w:val="005967E6"/>
    <w:rsid w:val="00597A44"/>
    <w:rsid w:val="005A050C"/>
    <w:rsid w:val="005B080E"/>
    <w:rsid w:val="005B2C53"/>
    <w:rsid w:val="005C056B"/>
    <w:rsid w:val="005C5E4F"/>
    <w:rsid w:val="005D1634"/>
    <w:rsid w:val="005D5378"/>
    <w:rsid w:val="005E63C3"/>
    <w:rsid w:val="005E72A5"/>
    <w:rsid w:val="005F2308"/>
    <w:rsid w:val="005F2E30"/>
    <w:rsid w:val="005F70A7"/>
    <w:rsid w:val="00600AB9"/>
    <w:rsid w:val="00604C91"/>
    <w:rsid w:val="006114DF"/>
    <w:rsid w:val="00612E4F"/>
    <w:rsid w:val="0061458D"/>
    <w:rsid w:val="006153BD"/>
    <w:rsid w:val="00615585"/>
    <w:rsid w:val="00615CD7"/>
    <w:rsid w:val="00621FE5"/>
    <w:rsid w:val="00622A5C"/>
    <w:rsid w:val="00622F4A"/>
    <w:rsid w:val="0062739F"/>
    <w:rsid w:val="0063186B"/>
    <w:rsid w:val="00633565"/>
    <w:rsid w:val="0064095E"/>
    <w:rsid w:val="00640FFD"/>
    <w:rsid w:val="0064189C"/>
    <w:rsid w:val="00644267"/>
    <w:rsid w:val="00650BB1"/>
    <w:rsid w:val="00680D26"/>
    <w:rsid w:val="00680D84"/>
    <w:rsid w:val="006871D7"/>
    <w:rsid w:val="00691DE2"/>
    <w:rsid w:val="00693229"/>
    <w:rsid w:val="006957BB"/>
    <w:rsid w:val="006A0F01"/>
    <w:rsid w:val="006A7785"/>
    <w:rsid w:val="006B5458"/>
    <w:rsid w:val="006B5732"/>
    <w:rsid w:val="006C13E2"/>
    <w:rsid w:val="006C39B9"/>
    <w:rsid w:val="006D7112"/>
    <w:rsid w:val="006E0186"/>
    <w:rsid w:val="006E51DE"/>
    <w:rsid w:val="006F1B72"/>
    <w:rsid w:val="006F4484"/>
    <w:rsid w:val="006F58FA"/>
    <w:rsid w:val="00710ADF"/>
    <w:rsid w:val="00712B65"/>
    <w:rsid w:val="00717F5B"/>
    <w:rsid w:val="00722717"/>
    <w:rsid w:val="00723EBF"/>
    <w:rsid w:val="007356EE"/>
    <w:rsid w:val="0074278F"/>
    <w:rsid w:val="00743A2C"/>
    <w:rsid w:val="00743B65"/>
    <w:rsid w:val="00756188"/>
    <w:rsid w:val="0076327B"/>
    <w:rsid w:val="0076609F"/>
    <w:rsid w:val="00766192"/>
    <w:rsid w:val="00767569"/>
    <w:rsid w:val="00771BC0"/>
    <w:rsid w:val="00780B4A"/>
    <w:rsid w:val="007810FB"/>
    <w:rsid w:val="0078267E"/>
    <w:rsid w:val="00783B96"/>
    <w:rsid w:val="00785B58"/>
    <w:rsid w:val="007921ED"/>
    <w:rsid w:val="00793113"/>
    <w:rsid w:val="00794F52"/>
    <w:rsid w:val="007971EA"/>
    <w:rsid w:val="007A2275"/>
    <w:rsid w:val="007A7949"/>
    <w:rsid w:val="007B0B07"/>
    <w:rsid w:val="007B3738"/>
    <w:rsid w:val="007B5127"/>
    <w:rsid w:val="007B5A05"/>
    <w:rsid w:val="007B5CFE"/>
    <w:rsid w:val="007B6D1B"/>
    <w:rsid w:val="007D2294"/>
    <w:rsid w:val="007D2612"/>
    <w:rsid w:val="007D3DF3"/>
    <w:rsid w:val="007E241E"/>
    <w:rsid w:val="007E31A7"/>
    <w:rsid w:val="007E40C8"/>
    <w:rsid w:val="007E5691"/>
    <w:rsid w:val="007F3C2B"/>
    <w:rsid w:val="008004FE"/>
    <w:rsid w:val="0081126B"/>
    <w:rsid w:val="00814F11"/>
    <w:rsid w:val="00820D83"/>
    <w:rsid w:val="00830C35"/>
    <w:rsid w:val="008419D8"/>
    <w:rsid w:val="00842492"/>
    <w:rsid w:val="0084761B"/>
    <w:rsid w:val="00857AE4"/>
    <w:rsid w:val="00860215"/>
    <w:rsid w:val="00864694"/>
    <w:rsid w:val="00864EF3"/>
    <w:rsid w:val="00867ED0"/>
    <w:rsid w:val="008704C2"/>
    <w:rsid w:val="0087456D"/>
    <w:rsid w:val="00877C0D"/>
    <w:rsid w:val="008818F8"/>
    <w:rsid w:val="00885793"/>
    <w:rsid w:val="00885E03"/>
    <w:rsid w:val="00885FDF"/>
    <w:rsid w:val="008867A8"/>
    <w:rsid w:val="00886A6E"/>
    <w:rsid w:val="008933F1"/>
    <w:rsid w:val="0089728A"/>
    <w:rsid w:val="008A065C"/>
    <w:rsid w:val="008A5395"/>
    <w:rsid w:val="008A6B67"/>
    <w:rsid w:val="008B079C"/>
    <w:rsid w:val="008B2BFF"/>
    <w:rsid w:val="008B3D63"/>
    <w:rsid w:val="008B3F3D"/>
    <w:rsid w:val="008B4051"/>
    <w:rsid w:val="008B506B"/>
    <w:rsid w:val="008C393D"/>
    <w:rsid w:val="008C4979"/>
    <w:rsid w:val="008C5E9D"/>
    <w:rsid w:val="008C62C2"/>
    <w:rsid w:val="008C6587"/>
    <w:rsid w:val="008D3B6B"/>
    <w:rsid w:val="008D7E1B"/>
    <w:rsid w:val="008E139D"/>
    <w:rsid w:val="008E3EE3"/>
    <w:rsid w:val="008E43CC"/>
    <w:rsid w:val="008E5A4D"/>
    <w:rsid w:val="008E7DAB"/>
    <w:rsid w:val="008F12B9"/>
    <w:rsid w:val="008F20F3"/>
    <w:rsid w:val="008F2C0C"/>
    <w:rsid w:val="008F5BFC"/>
    <w:rsid w:val="0090272D"/>
    <w:rsid w:val="00903567"/>
    <w:rsid w:val="00905D28"/>
    <w:rsid w:val="00923417"/>
    <w:rsid w:val="00937497"/>
    <w:rsid w:val="00951878"/>
    <w:rsid w:val="009554A3"/>
    <w:rsid w:val="009558A5"/>
    <w:rsid w:val="009608C6"/>
    <w:rsid w:val="00960AFC"/>
    <w:rsid w:val="00961024"/>
    <w:rsid w:val="009612B8"/>
    <w:rsid w:val="00962959"/>
    <w:rsid w:val="00963288"/>
    <w:rsid w:val="0096335F"/>
    <w:rsid w:val="00966699"/>
    <w:rsid w:val="00967D28"/>
    <w:rsid w:val="00972AF5"/>
    <w:rsid w:val="009742F6"/>
    <w:rsid w:val="009746C5"/>
    <w:rsid w:val="009759AD"/>
    <w:rsid w:val="00976C24"/>
    <w:rsid w:val="009826B7"/>
    <w:rsid w:val="00991CB4"/>
    <w:rsid w:val="009922EE"/>
    <w:rsid w:val="00995ABC"/>
    <w:rsid w:val="009A0F95"/>
    <w:rsid w:val="009A16E6"/>
    <w:rsid w:val="009A23BB"/>
    <w:rsid w:val="009A51DD"/>
    <w:rsid w:val="009A5D5D"/>
    <w:rsid w:val="009C401A"/>
    <w:rsid w:val="009C6D56"/>
    <w:rsid w:val="009C70D9"/>
    <w:rsid w:val="009C7A67"/>
    <w:rsid w:val="009D3286"/>
    <w:rsid w:val="009D56A5"/>
    <w:rsid w:val="009E0B19"/>
    <w:rsid w:val="009E0D81"/>
    <w:rsid w:val="009E36A8"/>
    <w:rsid w:val="009E3B1A"/>
    <w:rsid w:val="009E5443"/>
    <w:rsid w:val="009E6E0E"/>
    <w:rsid w:val="009F4D69"/>
    <w:rsid w:val="00A0779A"/>
    <w:rsid w:val="00A10AAD"/>
    <w:rsid w:val="00A12418"/>
    <w:rsid w:val="00A1711F"/>
    <w:rsid w:val="00A20DE7"/>
    <w:rsid w:val="00A219EF"/>
    <w:rsid w:val="00A226AF"/>
    <w:rsid w:val="00A22940"/>
    <w:rsid w:val="00A26EED"/>
    <w:rsid w:val="00A274B3"/>
    <w:rsid w:val="00A279D7"/>
    <w:rsid w:val="00A33882"/>
    <w:rsid w:val="00A40F88"/>
    <w:rsid w:val="00A41E0A"/>
    <w:rsid w:val="00A5120E"/>
    <w:rsid w:val="00A52E5A"/>
    <w:rsid w:val="00A52EA4"/>
    <w:rsid w:val="00A55488"/>
    <w:rsid w:val="00A55533"/>
    <w:rsid w:val="00A55A66"/>
    <w:rsid w:val="00A6754D"/>
    <w:rsid w:val="00A6770A"/>
    <w:rsid w:val="00A719FF"/>
    <w:rsid w:val="00A77D7C"/>
    <w:rsid w:val="00A81FDA"/>
    <w:rsid w:val="00A82BF1"/>
    <w:rsid w:val="00A862D7"/>
    <w:rsid w:val="00A86E1F"/>
    <w:rsid w:val="00A900BA"/>
    <w:rsid w:val="00A90692"/>
    <w:rsid w:val="00A9199A"/>
    <w:rsid w:val="00A91C89"/>
    <w:rsid w:val="00A92133"/>
    <w:rsid w:val="00A93C03"/>
    <w:rsid w:val="00A96506"/>
    <w:rsid w:val="00A968A0"/>
    <w:rsid w:val="00AA3571"/>
    <w:rsid w:val="00AA3634"/>
    <w:rsid w:val="00AA37CE"/>
    <w:rsid w:val="00AA4F6E"/>
    <w:rsid w:val="00AA74EC"/>
    <w:rsid w:val="00AB2D55"/>
    <w:rsid w:val="00AC5027"/>
    <w:rsid w:val="00AC59B2"/>
    <w:rsid w:val="00AD08C8"/>
    <w:rsid w:val="00AD3289"/>
    <w:rsid w:val="00AD4C9A"/>
    <w:rsid w:val="00AE109E"/>
    <w:rsid w:val="00AE2968"/>
    <w:rsid w:val="00AE6C40"/>
    <w:rsid w:val="00AF2628"/>
    <w:rsid w:val="00AF422C"/>
    <w:rsid w:val="00B01A90"/>
    <w:rsid w:val="00B0303A"/>
    <w:rsid w:val="00B04DF5"/>
    <w:rsid w:val="00B05E4B"/>
    <w:rsid w:val="00B0704B"/>
    <w:rsid w:val="00B07342"/>
    <w:rsid w:val="00B07B96"/>
    <w:rsid w:val="00B10C84"/>
    <w:rsid w:val="00B13388"/>
    <w:rsid w:val="00B16999"/>
    <w:rsid w:val="00B16FAE"/>
    <w:rsid w:val="00B22309"/>
    <w:rsid w:val="00B235A1"/>
    <w:rsid w:val="00B23A0D"/>
    <w:rsid w:val="00B31691"/>
    <w:rsid w:val="00B33AB5"/>
    <w:rsid w:val="00B34738"/>
    <w:rsid w:val="00B41BB0"/>
    <w:rsid w:val="00B43655"/>
    <w:rsid w:val="00B4533E"/>
    <w:rsid w:val="00B46402"/>
    <w:rsid w:val="00B50E1F"/>
    <w:rsid w:val="00B6017D"/>
    <w:rsid w:val="00B7162C"/>
    <w:rsid w:val="00B716C8"/>
    <w:rsid w:val="00B731DA"/>
    <w:rsid w:val="00B763E9"/>
    <w:rsid w:val="00B7641A"/>
    <w:rsid w:val="00B7667F"/>
    <w:rsid w:val="00B775B6"/>
    <w:rsid w:val="00B82217"/>
    <w:rsid w:val="00B87303"/>
    <w:rsid w:val="00B96A32"/>
    <w:rsid w:val="00BA5537"/>
    <w:rsid w:val="00BA6564"/>
    <w:rsid w:val="00BB22B8"/>
    <w:rsid w:val="00BB5ABD"/>
    <w:rsid w:val="00BB68BB"/>
    <w:rsid w:val="00BB6B8B"/>
    <w:rsid w:val="00BB70C7"/>
    <w:rsid w:val="00BB7ACD"/>
    <w:rsid w:val="00BC23B4"/>
    <w:rsid w:val="00BC4A2D"/>
    <w:rsid w:val="00BC61DC"/>
    <w:rsid w:val="00BD162A"/>
    <w:rsid w:val="00BD1B54"/>
    <w:rsid w:val="00BE05E4"/>
    <w:rsid w:val="00BE5B77"/>
    <w:rsid w:val="00BE6B46"/>
    <w:rsid w:val="00BE6E25"/>
    <w:rsid w:val="00BF112B"/>
    <w:rsid w:val="00BF42C2"/>
    <w:rsid w:val="00BF6299"/>
    <w:rsid w:val="00BF7CD2"/>
    <w:rsid w:val="00C007E7"/>
    <w:rsid w:val="00C007E9"/>
    <w:rsid w:val="00C104C5"/>
    <w:rsid w:val="00C114B4"/>
    <w:rsid w:val="00C143C9"/>
    <w:rsid w:val="00C153B0"/>
    <w:rsid w:val="00C16679"/>
    <w:rsid w:val="00C203A4"/>
    <w:rsid w:val="00C21EB7"/>
    <w:rsid w:val="00C338D0"/>
    <w:rsid w:val="00C47F87"/>
    <w:rsid w:val="00C55ADA"/>
    <w:rsid w:val="00C619C1"/>
    <w:rsid w:val="00C62CE3"/>
    <w:rsid w:val="00C652F6"/>
    <w:rsid w:val="00C73170"/>
    <w:rsid w:val="00C77CB1"/>
    <w:rsid w:val="00C80138"/>
    <w:rsid w:val="00C80185"/>
    <w:rsid w:val="00C8242A"/>
    <w:rsid w:val="00C85180"/>
    <w:rsid w:val="00C91558"/>
    <w:rsid w:val="00C916AC"/>
    <w:rsid w:val="00C93CA7"/>
    <w:rsid w:val="00CA5B58"/>
    <w:rsid w:val="00CC15B9"/>
    <w:rsid w:val="00CC3E86"/>
    <w:rsid w:val="00CD201B"/>
    <w:rsid w:val="00CD28DD"/>
    <w:rsid w:val="00CD473F"/>
    <w:rsid w:val="00CD48AC"/>
    <w:rsid w:val="00CD5E46"/>
    <w:rsid w:val="00CD7509"/>
    <w:rsid w:val="00CE1385"/>
    <w:rsid w:val="00CF03C0"/>
    <w:rsid w:val="00CF35F1"/>
    <w:rsid w:val="00D01E74"/>
    <w:rsid w:val="00D06B7D"/>
    <w:rsid w:val="00D21B3E"/>
    <w:rsid w:val="00D23C83"/>
    <w:rsid w:val="00D255F2"/>
    <w:rsid w:val="00D3103A"/>
    <w:rsid w:val="00D328D5"/>
    <w:rsid w:val="00D40DA8"/>
    <w:rsid w:val="00D41517"/>
    <w:rsid w:val="00D43DAE"/>
    <w:rsid w:val="00D445A9"/>
    <w:rsid w:val="00D44D0C"/>
    <w:rsid w:val="00D51BDA"/>
    <w:rsid w:val="00D54D38"/>
    <w:rsid w:val="00D6366F"/>
    <w:rsid w:val="00D66604"/>
    <w:rsid w:val="00D67758"/>
    <w:rsid w:val="00D719EB"/>
    <w:rsid w:val="00D81474"/>
    <w:rsid w:val="00D82673"/>
    <w:rsid w:val="00D84A03"/>
    <w:rsid w:val="00D90AEB"/>
    <w:rsid w:val="00D91C22"/>
    <w:rsid w:val="00D96211"/>
    <w:rsid w:val="00DA1943"/>
    <w:rsid w:val="00DA5433"/>
    <w:rsid w:val="00DA6422"/>
    <w:rsid w:val="00DA6F52"/>
    <w:rsid w:val="00DB0969"/>
    <w:rsid w:val="00DB0C6F"/>
    <w:rsid w:val="00DB1D43"/>
    <w:rsid w:val="00DB3FFA"/>
    <w:rsid w:val="00DB4B45"/>
    <w:rsid w:val="00DB5056"/>
    <w:rsid w:val="00DB5414"/>
    <w:rsid w:val="00DB5D21"/>
    <w:rsid w:val="00DB6172"/>
    <w:rsid w:val="00DC6860"/>
    <w:rsid w:val="00DC74F1"/>
    <w:rsid w:val="00DE7413"/>
    <w:rsid w:val="00DF4B1B"/>
    <w:rsid w:val="00DF7459"/>
    <w:rsid w:val="00DF7BEC"/>
    <w:rsid w:val="00E018D1"/>
    <w:rsid w:val="00E106CA"/>
    <w:rsid w:val="00E13FFB"/>
    <w:rsid w:val="00E17A81"/>
    <w:rsid w:val="00E223FC"/>
    <w:rsid w:val="00E22BB7"/>
    <w:rsid w:val="00E33464"/>
    <w:rsid w:val="00E35E34"/>
    <w:rsid w:val="00E36695"/>
    <w:rsid w:val="00E431AB"/>
    <w:rsid w:val="00E54F43"/>
    <w:rsid w:val="00E5695F"/>
    <w:rsid w:val="00E608F0"/>
    <w:rsid w:val="00E630BC"/>
    <w:rsid w:val="00E66C47"/>
    <w:rsid w:val="00E7067B"/>
    <w:rsid w:val="00E712AB"/>
    <w:rsid w:val="00E752CD"/>
    <w:rsid w:val="00E76D59"/>
    <w:rsid w:val="00E76FDB"/>
    <w:rsid w:val="00E77725"/>
    <w:rsid w:val="00E82A0F"/>
    <w:rsid w:val="00E86D8D"/>
    <w:rsid w:val="00E9481F"/>
    <w:rsid w:val="00EA26D5"/>
    <w:rsid w:val="00EA65B2"/>
    <w:rsid w:val="00EB683B"/>
    <w:rsid w:val="00EB7E7A"/>
    <w:rsid w:val="00EC09A4"/>
    <w:rsid w:val="00EC224E"/>
    <w:rsid w:val="00ED0800"/>
    <w:rsid w:val="00ED68E9"/>
    <w:rsid w:val="00EE4008"/>
    <w:rsid w:val="00EE50B4"/>
    <w:rsid w:val="00EE5F4A"/>
    <w:rsid w:val="00EE615F"/>
    <w:rsid w:val="00EF30D4"/>
    <w:rsid w:val="00EF59E7"/>
    <w:rsid w:val="00F059CF"/>
    <w:rsid w:val="00F0759D"/>
    <w:rsid w:val="00F07A12"/>
    <w:rsid w:val="00F15930"/>
    <w:rsid w:val="00F22BBF"/>
    <w:rsid w:val="00F23A66"/>
    <w:rsid w:val="00F245CE"/>
    <w:rsid w:val="00F43249"/>
    <w:rsid w:val="00F44402"/>
    <w:rsid w:val="00F5010A"/>
    <w:rsid w:val="00F53314"/>
    <w:rsid w:val="00F539B5"/>
    <w:rsid w:val="00F53E9C"/>
    <w:rsid w:val="00F54DEC"/>
    <w:rsid w:val="00F555AE"/>
    <w:rsid w:val="00F56C94"/>
    <w:rsid w:val="00F6306C"/>
    <w:rsid w:val="00F65708"/>
    <w:rsid w:val="00F66350"/>
    <w:rsid w:val="00F66F0F"/>
    <w:rsid w:val="00F706A4"/>
    <w:rsid w:val="00F71199"/>
    <w:rsid w:val="00F729DF"/>
    <w:rsid w:val="00F77BE9"/>
    <w:rsid w:val="00F8448A"/>
    <w:rsid w:val="00F855C6"/>
    <w:rsid w:val="00F86278"/>
    <w:rsid w:val="00F90E4B"/>
    <w:rsid w:val="00F93663"/>
    <w:rsid w:val="00F94918"/>
    <w:rsid w:val="00F962DD"/>
    <w:rsid w:val="00F96416"/>
    <w:rsid w:val="00F975C2"/>
    <w:rsid w:val="00F97624"/>
    <w:rsid w:val="00FA0089"/>
    <w:rsid w:val="00FA027D"/>
    <w:rsid w:val="00FA74F0"/>
    <w:rsid w:val="00FA7E07"/>
    <w:rsid w:val="00FB4236"/>
    <w:rsid w:val="00FB43F5"/>
    <w:rsid w:val="00FB650A"/>
    <w:rsid w:val="00FC07AA"/>
    <w:rsid w:val="00FC0B18"/>
    <w:rsid w:val="00FC1DE2"/>
    <w:rsid w:val="00FD27E5"/>
    <w:rsid w:val="00FD760D"/>
    <w:rsid w:val="00FE1A45"/>
    <w:rsid w:val="00FE7222"/>
    <w:rsid w:val="00FF2873"/>
    <w:rsid w:val="00FF4B39"/>
    <w:rsid w:val="00FF5C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7B"/>
    <w:rPr>
      <w:rFonts w:eastAsiaTheme="minorEastAsia"/>
      <w:lang w:val="es-AR" w:eastAsia="es-AR"/>
    </w:rPr>
  </w:style>
  <w:style w:type="paragraph" w:styleId="Heading1">
    <w:name w:val="heading 1"/>
    <w:basedOn w:val="Normal"/>
    <w:next w:val="Normal"/>
    <w:link w:val="Heading1Char"/>
    <w:qFormat/>
    <w:rsid w:val="003F627B"/>
    <w:pPr>
      <w:keepNext/>
      <w:keepLines/>
      <w:spacing w:before="120" w:after="0" w:line="240" w:lineRule="auto"/>
      <w:jc w:val="both"/>
      <w:outlineLvl w:val="0"/>
    </w:pPr>
    <w:rPr>
      <w:rFonts w:ascii="Verdana" w:eastAsia="Times New Roman" w:hAnsi="Verdana" w:cs="Times New Roman"/>
      <w:b/>
      <w:bCs/>
      <w:sz w:val="20"/>
      <w:szCs w:val="28"/>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27B"/>
    <w:rPr>
      <w:rFonts w:ascii="Verdana" w:eastAsia="Times New Roman" w:hAnsi="Verdana" w:cs="Times New Roman"/>
      <w:b/>
      <w:bCs/>
      <w:sz w:val="20"/>
      <w:szCs w:val="28"/>
      <w:lang w:val="es-ES_tradnl"/>
    </w:rPr>
  </w:style>
  <w:style w:type="paragraph" w:styleId="ListParagraph">
    <w:name w:val="List Paragraph"/>
    <w:aliases w:val="Colorful List - Accent 11,Footnote,Párrafo de lista1"/>
    <w:basedOn w:val="Normal"/>
    <w:link w:val="ListParagraphChar"/>
    <w:qFormat/>
    <w:rsid w:val="003F627B"/>
    <w:pPr>
      <w:ind w:left="720"/>
      <w:contextualSpacing/>
    </w:pPr>
  </w:style>
  <w:style w:type="paragraph" w:styleId="FootnoteText">
    <w:name w:val="footnote text"/>
    <w:aliases w:val="FA Fu,Footnote Text Char Char Char Char Char,Footnote Text Char Char Char Char,Footnote reference,Footnote Text Char Char Char,Footnote Text Cha,FA Fußnotentext,FA Fuﬂnotentext,Texto nota pie Car,Footnote Text Char Char,FA Fu Car,Ca,ft,C"/>
    <w:basedOn w:val="Normal"/>
    <w:link w:val="FootnoteTextChar"/>
    <w:unhideWhenUsed/>
    <w:qFormat/>
    <w:rsid w:val="003F627B"/>
    <w:pPr>
      <w:spacing w:after="0" w:line="240" w:lineRule="auto"/>
    </w:pPr>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basedOn w:val="DefaultParagraphFont"/>
    <w:link w:val="FootnoteText"/>
    <w:qFormat/>
    <w:rsid w:val="003F627B"/>
    <w:rPr>
      <w:rFonts w:eastAsiaTheme="minorEastAsia"/>
      <w:sz w:val="20"/>
      <w:szCs w:val="20"/>
      <w:lang w:val="es-AR" w:eastAsia="es-AR"/>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link w:val="4GChar"/>
    <w:uiPriority w:val="99"/>
    <w:unhideWhenUsed/>
    <w:qFormat/>
    <w:rsid w:val="003F627B"/>
    <w:rPr>
      <w:vertAlign w:val="superscript"/>
    </w:rPr>
  </w:style>
  <w:style w:type="character" w:styleId="CommentReference">
    <w:name w:val="annotation reference"/>
    <w:basedOn w:val="DefaultParagraphFont"/>
    <w:uiPriority w:val="99"/>
    <w:semiHidden/>
    <w:unhideWhenUsed/>
    <w:rsid w:val="003F627B"/>
    <w:rPr>
      <w:sz w:val="16"/>
      <w:szCs w:val="16"/>
    </w:rPr>
  </w:style>
  <w:style w:type="paragraph" w:styleId="CommentText">
    <w:name w:val="annotation text"/>
    <w:basedOn w:val="Normal"/>
    <w:link w:val="CommentTextChar"/>
    <w:uiPriority w:val="99"/>
    <w:unhideWhenUsed/>
    <w:rsid w:val="003F627B"/>
    <w:pPr>
      <w:spacing w:line="240" w:lineRule="auto"/>
    </w:pPr>
    <w:rPr>
      <w:sz w:val="20"/>
      <w:szCs w:val="20"/>
    </w:rPr>
  </w:style>
  <w:style w:type="character" w:customStyle="1" w:styleId="CommentTextChar">
    <w:name w:val="Comment Text Char"/>
    <w:basedOn w:val="DefaultParagraphFont"/>
    <w:link w:val="CommentText"/>
    <w:uiPriority w:val="99"/>
    <w:rsid w:val="003F627B"/>
    <w:rPr>
      <w:rFonts w:eastAsiaTheme="minorEastAsia"/>
      <w:sz w:val="20"/>
      <w:szCs w:val="20"/>
      <w:lang w:val="es-AR" w:eastAsia="es-AR"/>
    </w:rPr>
  </w:style>
  <w:style w:type="character" w:customStyle="1" w:styleId="ListParagraphChar">
    <w:name w:val="List Paragraph Char"/>
    <w:aliases w:val="Colorful List - Accent 11 Char,Footnote Char,Párrafo de lista1 Char"/>
    <w:link w:val="ListParagraph"/>
    <w:locked/>
    <w:rsid w:val="003F627B"/>
    <w:rPr>
      <w:rFonts w:eastAsiaTheme="minorEastAsia"/>
      <w:lang w:val="es-AR" w:eastAsia="es-AR"/>
    </w:rPr>
  </w:style>
  <w:style w:type="paragraph" w:styleId="BalloonText">
    <w:name w:val="Balloon Text"/>
    <w:basedOn w:val="Normal"/>
    <w:link w:val="BalloonTextChar"/>
    <w:uiPriority w:val="99"/>
    <w:semiHidden/>
    <w:unhideWhenUsed/>
    <w:rsid w:val="003F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27B"/>
    <w:rPr>
      <w:rFonts w:ascii="Tahoma" w:eastAsiaTheme="minorEastAsia" w:hAnsi="Tahoma" w:cs="Tahoma"/>
      <w:sz w:val="16"/>
      <w:szCs w:val="16"/>
      <w:lang w:val="es-AR" w:eastAsia="es-AR"/>
    </w:rPr>
  </w:style>
  <w:style w:type="paragraph" w:customStyle="1" w:styleId="ParaAttribute3">
    <w:name w:val="ParaAttribute3"/>
    <w:rsid w:val="003F627B"/>
    <w:pPr>
      <w:widowControl w:val="0"/>
      <w:wordWrap w:val="0"/>
      <w:spacing w:after="0" w:line="240" w:lineRule="auto"/>
      <w:jc w:val="both"/>
    </w:pPr>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627B"/>
    <w:rPr>
      <w:b/>
      <w:bCs/>
    </w:rPr>
  </w:style>
  <w:style w:type="character" w:customStyle="1" w:styleId="CommentSubjectChar">
    <w:name w:val="Comment Subject Char"/>
    <w:basedOn w:val="CommentTextChar"/>
    <w:link w:val="CommentSubject"/>
    <w:uiPriority w:val="99"/>
    <w:semiHidden/>
    <w:rsid w:val="003F627B"/>
    <w:rPr>
      <w:rFonts w:eastAsiaTheme="minorEastAsia"/>
      <w:b/>
      <w:bCs/>
      <w:sz w:val="20"/>
      <w:szCs w:val="20"/>
      <w:lang w:val="es-AR" w:eastAsia="es-AR"/>
    </w:rPr>
  </w:style>
  <w:style w:type="character" w:styleId="Strong">
    <w:name w:val="Strong"/>
    <w:basedOn w:val="DefaultParagraphFont"/>
    <w:uiPriority w:val="22"/>
    <w:qFormat/>
    <w:rsid w:val="003F627B"/>
    <w:rPr>
      <w:b/>
      <w:bCs/>
    </w:rPr>
  </w:style>
  <w:style w:type="paragraph" w:styleId="Header">
    <w:name w:val="header"/>
    <w:basedOn w:val="Normal"/>
    <w:link w:val="HeaderChar"/>
    <w:uiPriority w:val="99"/>
    <w:unhideWhenUsed/>
    <w:rsid w:val="003F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7B"/>
    <w:rPr>
      <w:rFonts w:eastAsiaTheme="minorEastAsia"/>
      <w:lang w:val="es-AR" w:eastAsia="es-AR"/>
    </w:rPr>
  </w:style>
  <w:style w:type="paragraph" w:styleId="Footer">
    <w:name w:val="footer"/>
    <w:basedOn w:val="Normal"/>
    <w:link w:val="FooterChar"/>
    <w:uiPriority w:val="99"/>
    <w:unhideWhenUsed/>
    <w:rsid w:val="003F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7B"/>
    <w:rPr>
      <w:rFonts w:eastAsiaTheme="minorEastAsia"/>
      <w:lang w:val="es-AR" w:eastAsia="es-AR"/>
    </w:rPr>
  </w:style>
  <w:style w:type="character" w:styleId="LineNumber">
    <w:name w:val="line number"/>
    <w:basedOn w:val="DefaultParagraphFont"/>
    <w:uiPriority w:val="99"/>
    <w:semiHidden/>
    <w:unhideWhenUsed/>
    <w:rsid w:val="003F627B"/>
  </w:style>
  <w:style w:type="paragraph" w:styleId="Revision">
    <w:name w:val="Revision"/>
    <w:hidden/>
    <w:uiPriority w:val="99"/>
    <w:semiHidden/>
    <w:rsid w:val="00DC74F1"/>
    <w:pPr>
      <w:spacing w:after="0" w:line="240" w:lineRule="auto"/>
    </w:pPr>
    <w:rPr>
      <w:rFonts w:eastAsiaTheme="minorEastAsia"/>
      <w:lang w:val="es-AR" w:eastAsia="es-A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482823"/>
    <w:pPr>
      <w:spacing w:after="0" w:line="240" w:lineRule="auto"/>
      <w:jc w:val="both"/>
    </w:pPr>
    <w:rPr>
      <w:rFonts w:eastAsiaTheme="minorHAnsi"/>
      <w:vertAlign w:val="superscript"/>
      <w:lang w:val="es-C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7B"/>
    <w:rPr>
      <w:rFonts w:eastAsiaTheme="minorEastAsia"/>
      <w:lang w:val="es-AR" w:eastAsia="es-AR"/>
    </w:rPr>
  </w:style>
  <w:style w:type="paragraph" w:styleId="Heading1">
    <w:name w:val="heading 1"/>
    <w:basedOn w:val="Normal"/>
    <w:next w:val="Normal"/>
    <w:link w:val="Heading1Char"/>
    <w:qFormat/>
    <w:rsid w:val="003F627B"/>
    <w:pPr>
      <w:keepNext/>
      <w:keepLines/>
      <w:spacing w:before="120" w:after="0" w:line="240" w:lineRule="auto"/>
      <w:jc w:val="both"/>
      <w:outlineLvl w:val="0"/>
    </w:pPr>
    <w:rPr>
      <w:rFonts w:ascii="Verdana" w:eastAsia="Times New Roman" w:hAnsi="Verdana" w:cs="Times New Roman"/>
      <w:b/>
      <w:bCs/>
      <w:sz w:val="20"/>
      <w:szCs w:val="28"/>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27B"/>
    <w:rPr>
      <w:rFonts w:ascii="Verdana" w:eastAsia="Times New Roman" w:hAnsi="Verdana" w:cs="Times New Roman"/>
      <w:b/>
      <w:bCs/>
      <w:sz w:val="20"/>
      <w:szCs w:val="28"/>
      <w:lang w:val="es-ES_tradnl"/>
    </w:rPr>
  </w:style>
  <w:style w:type="paragraph" w:styleId="ListParagraph">
    <w:name w:val="List Paragraph"/>
    <w:aliases w:val="Colorful List - Accent 11,Footnote,Párrafo de lista1"/>
    <w:basedOn w:val="Normal"/>
    <w:link w:val="ListParagraphChar"/>
    <w:qFormat/>
    <w:rsid w:val="003F627B"/>
    <w:pPr>
      <w:ind w:left="720"/>
      <w:contextualSpacing/>
    </w:pPr>
  </w:style>
  <w:style w:type="paragraph" w:styleId="FootnoteText">
    <w:name w:val="footnote text"/>
    <w:aliases w:val="FA Fu,Footnote Text Char Char Char Char Char,Footnote Text Char Char Char Char,Footnote reference,Footnote Text Char Char Char,Footnote Text Cha,FA Fußnotentext,FA Fuﬂnotentext,Texto nota pie Car,Footnote Text Char Char,FA Fu Car,Ca,ft,C"/>
    <w:basedOn w:val="Normal"/>
    <w:link w:val="FootnoteTextChar"/>
    <w:unhideWhenUsed/>
    <w:qFormat/>
    <w:rsid w:val="003F627B"/>
    <w:pPr>
      <w:spacing w:after="0" w:line="240" w:lineRule="auto"/>
    </w:pPr>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basedOn w:val="DefaultParagraphFont"/>
    <w:link w:val="FootnoteText"/>
    <w:qFormat/>
    <w:rsid w:val="003F627B"/>
    <w:rPr>
      <w:rFonts w:eastAsiaTheme="minorEastAsia"/>
      <w:sz w:val="20"/>
      <w:szCs w:val="20"/>
      <w:lang w:val="es-AR" w:eastAsia="es-AR"/>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link w:val="4GChar"/>
    <w:uiPriority w:val="99"/>
    <w:unhideWhenUsed/>
    <w:qFormat/>
    <w:rsid w:val="003F627B"/>
    <w:rPr>
      <w:vertAlign w:val="superscript"/>
    </w:rPr>
  </w:style>
  <w:style w:type="character" w:styleId="CommentReference">
    <w:name w:val="annotation reference"/>
    <w:basedOn w:val="DefaultParagraphFont"/>
    <w:uiPriority w:val="99"/>
    <w:semiHidden/>
    <w:unhideWhenUsed/>
    <w:rsid w:val="003F627B"/>
    <w:rPr>
      <w:sz w:val="16"/>
      <w:szCs w:val="16"/>
    </w:rPr>
  </w:style>
  <w:style w:type="paragraph" w:styleId="CommentText">
    <w:name w:val="annotation text"/>
    <w:basedOn w:val="Normal"/>
    <w:link w:val="CommentTextChar"/>
    <w:uiPriority w:val="99"/>
    <w:unhideWhenUsed/>
    <w:rsid w:val="003F627B"/>
    <w:pPr>
      <w:spacing w:line="240" w:lineRule="auto"/>
    </w:pPr>
    <w:rPr>
      <w:sz w:val="20"/>
      <w:szCs w:val="20"/>
    </w:rPr>
  </w:style>
  <w:style w:type="character" w:customStyle="1" w:styleId="CommentTextChar">
    <w:name w:val="Comment Text Char"/>
    <w:basedOn w:val="DefaultParagraphFont"/>
    <w:link w:val="CommentText"/>
    <w:uiPriority w:val="99"/>
    <w:rsid w:val="003F627B"/>
    <w:rPr>
      <w:rFonts w:eastAsiaTheme="minorEastAsia"/>
      <w:sz w:val="20"/>
      <w:szCs w:val="20"/>
      <w:lang w:val="es-AR" w:eastAsia="es-AR"/>
    </w:rPr>
  </w:style>
  <w:style w:type="character" w:customStyle="1" w:styleId="ListParagraphChar">
    <w:name w:val="List Paragraph Char"/>
    <w:aliases w:val="Colorful List - Accent 11 Char,Footnote Char,Párrafo de lista1 Char"/>
    <w:link w:val="ListParagraph"/>
    <w:locked/>
    <w:rsid w:val="003F627B"/>
    <w:rPr>
      <w:rFonts w:eastAsiaTheme="minorEastAsia"/>
      <w:lang w:val="es-AR" w:eastAsia="es-AR"/>
    </w:rPr>
  </w:style>
  <w:style w:type="paragraph" w:styleId="BalloonText">
    <w:name w:val="Balloon Text"/>
    <w:basedOn w:val="Normal"/>
    <w:link w:val="BalloonTextChar"/>
    <w:uiPriority w:val="99"/>
    <w:semiHidden/>
    <w:unhideWhenUsed/>
    <w:rsid w:val="003F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27B"/>
    <w:rPr>
      <w:rFonts w:ascii="Tahoma" w:eastAsiaTheme="minorEastAsia" w:hAnsi="Tahoma" w:cs="Tahoma"/>
      <w:sz w:val="16"/>
      <w:szCs w:val="16"/>
      <w:lang w:val="es-AR" w:eastAsia="es-AR"/>
    </w:rPr>
  </w:style>
  <w:style w:type="paragraph" w:customStyle="1" w:styleId="ParaAttribute3">
    <w:name w:val="ParaAttribute3"/>
    <w:rsid w:val="003F627B"/>
    <w:pPr>
      <w:widowControl w:val="0"/>
      <w:wordWrap w:val="0"/>
      <w:spacing w:after="0" w:line="240" w:lineRule="auto"/>
      <w:jc w:val="both"/>
    </w:pPr>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627B"/>
    <w:rPr>
      <w:b/>
      <w:bCs/>
    </w:rPr>
  </w:style>
  <w:style w:type="character" w:customStyle="1" w:styleId="CommentSubjectChar">
    <w:name w:val="Comment Subject Char"/>
    <w:basedOn w:val="CommentTextChar"/>
    <w:link w:val="CommentSubject"/>
    <w:uiPriority w:val="99"/>
    <w:semiHidden/>
    <w:rsid w:val="003F627B"/>
    <w:rPr>
      <w:rFonts w:eastAsiaTheme="minorEastAsia"/>
      <w:b/>
      <w:bCs/>
      <w:sz w:val="20"/>
      <w:szCs w:val="20"/>
      <w:lang w:val="es-AR" w:eastAsia="es-AR"/>
    </w:rPr>
  </w:style>
  <w:style w:type="character" w:styleId="Strong">
    <w:name w:val="Strong"/>
    <w:basedOn w:val="DefaultParagraphFont"/>
    <w:uiPriority w:val="22"/>
    <w:qFormat/>
    <w:rsid w:val="003F627B"/>
    <w:rPr>
      <w:b/>
      <w:bCs/>
    </w:rPr>
  </w:style>
  <w:style w:type="paragraph" w:styleId="Header">
    <w:name w:val="header"/>
    <w:basedOn w:val="Normal"/>
    <w:link w:val="HeaderChar"/>
    <w:uiPriority w:val="99"/>
    <w:unhideWhenUsed/>
    <w:rsid w:val="003F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7B"/>
    <w:rPr>
      <w:rFonts w:eastAsiaTheme="minorEastAsia"/>
      <w:lang w:val="es-AR" w:eastAsia="es-AR"/>
    </w:rPr>
  </w:style>
  <w:style w:type="paragraph" w:styleId="Footer">
    <w:name w:val="footer"/>
    <w:basedOn w:val="Normal"/>
    <w:link w:val="FooterChar"/>
    <w:uiPriority w:val="99"/>
    <w:unhideWhenUsed/>
    <w:rsid w:val="003F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7B"/>
    <w:rPr>
      <w:rFonts w:eastAsiaTheme="minorEastAsia"/>
      <w:lang w:val="es-AR" w:eastAsia="es-AR"/>
    </w:rPr>
  </w:style>
  <w:style w:type="character" w:styleId="LineNumber">
    <w:name w:val="line number"/>
    <w:basedOn w:val="DefaultParagraphFont"/>
    <w:uiPriority w:val="99"/>
    <w:semiHidden/>
    <w:unhideWhenUsed/>
    <w:rsid w:val="003F627B"/>
  </w:style>
  <w:style w:type="paragraph" w:styleId="Revision">
    <w:name w:val="Revision"/>
    <w:hidden/>
    <w:uiPriority w:val="99"/>
    <w:semiHidden/>
    <w:rsid w:val="00DC74F1"/>
    <w:pPr>
      <w:spacing w:after="0" w:line="240" w:lineRule="auto"/>
    </w:pPr>
    <w:rPr>
      <w:rFonts w:eastAsiaTheme="minorEastAsia"/>
      <w:lang w:val="es-AR" w:eastAsia="es-A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482823"/>
    <w:pPr>
      <w:spacing w:after="0" w:line="240" w:lineRule="auto"/>
      <w:jc w:val="both"/>
    </w:pPr>
    <w:rPr>
      <w:rFonts w:eastAsiaTheme="minorHAnsi"/>
      <w:vertAlign w:val="superscript"/>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486">
      <w:bodyDiv w:val="1"/>
      <w:marLeft w:val="0"/>
      <w:marRight w:val="0"/>
      <w:marTop w:val="0"/>
      <w:marBottom w:val="0"/>
      <w:divBdr>
        <w:top w:val="none" w:sz="0" w:space="0" w:color="auto"/>
        <w:left w:val="none" w:sz="0" w:space="0" w:color="auto"/>
        <w:bottom w:val="none" w:sz="0" w:space="0" w:color="auto"/>
        <w:right w:val="none" w:sz="0" w:space="0" w:color="auto"/>
      </w:divBdr>
    </w:div>
    <w:div w:id="150214480">
      <w:bodyDiv w:val="1"/>
      <w:marLeft w:val="0"/>
      <w:marRight w:val="0"/>
      <w:marTop w:val="0"/>
      <w:marBottom w:val="0"/>
      <w:divBdr>
        <w:top w:val="none" w:sz="0" w:space="0" w:color="auto"/>
        <w:left w:val="none" w:sz="0" w:space="0" w:color="auto"/>
        <w:bottom w:val="none" w:sz="0" w:space="0" w:color="auto"/>
        <w:right w:val="none" w:sz="0" w:space="0" w:color="auto"/>
      </w:divBdr>
    </w:div>
    <w:div w:id="232084091">
      <w:bodyDiv w:val="1"/>
      <w:marLeft w:val="0"/>
      <w:marRight w:val="0"/>
      <w:marTop w:val="0"/>
      <w:marBottom w:val="0"/>
      <w:divBdr>
        <w:top w:val="none" w:sz="0" w:space="0" w:color="auto"/>
        <w:left w:val="none" w:sz="0" w:space="0" w:color="auto"/>
        <w:bottom w:val="none" w:sz="0" w:space="0" w:color="auto"/>
        <w:right w:val="none" w:sz="0" w:space="0" w:color="auto"/>
      </w:divBdr>
    </w:div>
    <w:div w:id="234318871">
      <w:bodyDiv w:val="1"/>
      <w:marLeft w:val="0"/>
      <w:marRight w:val="0"/>
      <w:marTop w:val="0"/>
      <w:marBottom w:val="0"/>
      <w:divBdr>
        <w:top w:val="none" w:sz="0" w:space="0" w:color="auto"/>
        <w:left w:val="none" w:sz="0" w:space="0" w:color="auto"/>
        <w:bottom w:val="none" w:sz="0" w:space="0" w:color="auto"/>
        <w:right w:val="none" w:sz="0" w:space="0" w:color="auto"/>
      </w:divBdr>
    </w:div>
    <w:div w:id="295529500">
      <w:bodyDiv w:val="1"/>
      <w:marLeft w:val="0"/>
      <w:marRight w:val="0"/>
      <w:marTop w:val="0"/>
      <w:marBottom w:val="0"/>
      <w:divBdr>
        <w:top w:val="none" w:sz="0" w:space="0" w:color="auto"/>
        <w:left w:val="none" w:sz="0" w:space="0" w:color="auto"/>
        <w:bottom w:val="none" w:sz="0" w:space="0" w:color="auto"/>
        <w:right w:val="none" w:sz="0" w:space="0" w:color="auto"/>
      </w:divBdr>
    </w:div>
    <w:div w:id="586304386">
      <w:bodyDiv w:val="1"/>
      <w:marLeft w:val="0"/>
      <w:marRight w:val="0"/>
      <w:marTop w:val="0"/>
      <w:marBottom w:val="0"/>
      <w:divBdr>
        <w:top w:val="none" w:sz="0" w:space="0" w:color="auto"/>
        <w:left w:val="none" w:sz="0" w:space="0" w:color="auto"/>
        <w:bottom w:val="none" w:sz="0" w:space="0" w:color="auto"/>
        <w:right w:val="none" w:sz="0" w:space="0" w:color="auto"/>
      </w:divBdr>
    </w:div>
    <w:div w:id="683827285">
      <w:bodyDiv w:val="1"/>
      <w:marLeft w:val="0"/>
      <w:marRight w:val="0"/>
      <w:marTop w:val="0"/>
      <w:marBottom w:val="0"/>
      <w:divBdr>
        <w:top w:val="none" w:sz="0" w:space="0" w:color="auto"/>
        <w:left w:val="none" w:sz="0" w:space="0" w:color="auto"/>
        <w:bottom w:val="none" w:sz="0" w:space="0" w:color="auto"/>
        <w:right w:val="none" w:sz="0" w:space="0" w:color="auto"/>
      </w:divBdr>
    </w:div>
    <w:div w:id="791941199">
      <w:bodyDiv w:val="1"/>
      <w:marLeft w:val="0"/>
      <w:marRight w:val="0"/>
      <w:marTop w:val="0"/>
      <w:marBottom w:val="0"/>
      <w:divBdr>
        <w:top w:val="none" w:sz="0" w:space="0" w:color="auto"/>
        <w:left w:val="none" w:sz="0" w:space="0" w:color="auto"/>
        <w:bottom w:val="none" w:sz="0" w:space="0" w:color="auto"/>
        <w:right w:val="none" w:sz="0" w:space="0" w:color="auto"/>
      </w:divBdr>
    </w:div>
    <w:div w:id="900335816">
      <w:bodyDiv w:val="1"/>
      <w:marLeft w:val="0"/>
      <w:marRight w:val="0"/>
      <w:marTop w:val="0"/>
      <w:marBottom w:val="0"/>
      <w:divBdr>
        <w:top w:val="none" w:sz="0" w:space="0" w:color="auto"/>
        <w:left w:val="none" w:sz="0" w:space="0" w:color="auto"/>
        <w:bottom w:val="none" w:sz="0" w:space="0" w:color="auto"/>
        <w:right w:val="none" w:sz="0" w:space="0" w:color="auto"/>
      </w:divBdr>
    </w:div>
    <w:div w:id="1113130975">
      <w:bodyDiv w:val="1"/>
      <w:marLeft w:val="0"/>
      <w:marRight w:val="0"/>
      <w:marTop w:val="0"/>
      <w:marBottom w:val="0"/>
      <w:divBdr>
        <w:top w:val="none" w:sz="0" w:space="0" w:color="auto"/>
        <w:left w:val="none" w:sz="0" w:space="0" w:color="auto"/>
        <w:bottom w:val="none" w:sz="0" w:space="0" w:color="auto"/>
        <w:right w:val="none" w:sz="0" w:space="0" w:color="auto"/>
      </w:divBdr>
    </w:div>
    <w:div w:id="16384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0E6A-4F3D-4622-98AD-038B0A7B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3635</Words>
  <Characters>19995</Characters>
  <Application>Microsoft Office Word</Application>
  <DocSecurity>4</DocSecurity>
  <Lines>166</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2018-12-06T21:09:00Z</cp:lastPrinted>
  <dcterms:created xsi:type="dcterms:W3CDTF">2018-12-06T21:12:00Z</dcterms:created>
  <dcterms:modified xsi:type="dcterms:W3CDTF">2018-12-06T21:12:00Z</dcterms:modified>
</cp:coreProperties>
</file>