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327C" w14:textId="626F5D34" w:rsidR="00557680" w:rsidRPr="00521AEC" w:rsidRDefault="00557680" w:rsidP="0030110F">
      <w:pPr>
        <w:tabs>
          <w:tab w:val="left" w:pos="720"/>
        </w:tabs>
        <w:jc w:val="center"/>
        <w:rPr>
          <w:rFonts w:ascii="Verdana" w:hAnsi="Verdana"/>
          <w:b/>
          <w:bCs/>
          <w:spacing w:val="-4"/>
          <w:sz w:val="20"/>
          <w:szCs w:val="20"/>
          <w:lang w:val="es-ES"/>
        </w:rPr>
      </w:pPr>
    </w:p>
    <w:p w14:paraId="5814764E" w14:textId="77777777" w:rsidR="0003373E" w:rsidRPr="00521AEC" w:rsidRDefault="0003373E" w:rsidP="0030110F">
      <w:pPr>
        <w:tabs>
          <w:tab w:val="left" w:pos="720"/>
        </w:tabs>
        <w:jc w:val="center"/>
        <w:rPr>
          <w:rFonts w:ascii="Verdana" w:hAnsi="Verdana"/>
          <w:b/>
          <w:bCs/>
          <w:spacing w:val="-4"/>
          <w:sz w:val="20"/>
          <w:szCs w:val="20"/>
          <w:lang w:val="es-ES"/>
        </w:rPr>
      </w:pPr>
    </w:p>
    <w:p w14:paraId="57DAA516" w14:textId="77777777" w:rsidR="0003373E" w:rsidRPr="00521AEC" w:rsidRDefault="0003373E" w:rsidP="0030110F">
      <w:pPr>
        <w:tabs>
          <w:tab w:val="left" w:pos="720"/>
        </w:tabs>
        <w:jc w:val="center"/>
        <w:rPr>
          <w:rFonts w:ascii="Verdana" w:hAnsi="Verdana"/>
          <w:b/>
          <w:bCs/>
          <w:spacing w:val="-4"/>
          <w:sz w:val="20"/>
          <w:szCs w:val="20"/>
          <w:lang w:val="es-ES"/>
        </w:rPr>
      </w:pPr>
    </w:p>
    <w:p w14:paraId="35AE7D07" w14:textId="77777777" w:rsidR="0003373E" w:rsidRPr="00521AEC" w:rsidRDefault="0003373E" w:rsidP="0030110F">
      <w:pPr>
        <w:tabs>
          <w:tab w:val="left" w:pos="720"/>
        </w:tabs>
        <w:jc w:val="center"/>
        <w:rPr>
          <w:rFonts w:ascii="Verdana" w:hAnsi="Verdana"/>
          <w:b/>
          <w:bCs/>
          <w:spacing w:val="-4"/>
          <w:sz w:val="20"/>
          <w:szCs w:val="20"/>
          <w:lang w:val="es-ES"/>
        </w:rPr>
      </w:pPr>
    </w:p>
    <w:p w14:paraId="77874B77" w14:textId="77777777" w:rsidR="0003373E" w:rsidRPr="00521AEC" w:rsidRDefault="0003373E" w:rsidP="0030110F">
      <w:pPr>
        <w:tabs>
          <w:tab w:val="left" w:pos="720"/>
        </w:tabs>
        <w:jc w:val="center"/>
        <w:rPr>
          <w:rFonts w:ascii="Verdana" w:hAnsi="Verdana"/>
          <w:b/>
          <w:bCs/>
          <w:spacing w:val="-4"/>
          <w:sz w:val="20"/>
          <w:szCs w:val="20"/>
          <w:lang w:val="es-ES"/>
        </w:rPr>
      </w:pPr>
    </w:p>
    <w:p w14:paraId="6794F48C" w14:textId="77777777" w:rsidR="006B013B" w:rsidRPr="00521AEC" w:rsidRDefault="006B013B" w:rsidP="009849CC">
      <w:pPr>
        <w:autoSpaceDE w:val="0"/>
        <w:autoSpaceDN w:val="0"/>
        <w:adjustRightInd w:val="0"/>
        <w:jc w:val="center"/>
        <w:rPr>
          <w:rFonts w:ascii="Verdana" w:hAnsi="Verdana" w:cs="Arial"/>
          <w:b/>
          <w:bCs/>
          <w:color w:val="000000"/>
          <w:spacing w:val="-4"/>
          <w:sz w:val="20"/>
          <w:szCs w:val="20"/>
          <w:lang w:val="es-CR"/>
        </w:rPr>
      </w:pPr>
    </w:p>
    <w:p w14:paraId="40132F00" w14:textId="77777777" w:rsidR="00640948" w:rsidRPr="00395069" w:rsidRDefault="00640948" w:rsidP="00640948">
      <w:pPr>
        <w:autoSpaceDE w:val="0"/>
        <w:autoSpaceDN w:val="0"/>
        <w:adjustRightInd w:val="0"/>
        <w:jc w:val="center"/>
        <w:rPr>
          <w:rFonts w:ascii="Verdana" w:hAnsi="Verdana" w:cs="Arial"/>
          <w:b/>
          <w:bCs/>
          <w:color w:val="000000"/>
          <w:spacing w:val="-4"/>
          <w:sz w:val="20"/>
          <w:szCs w:val="20"/>
          <w:lang w:val="es-CR"/>
        </w:rPr>
      </w:pPr>
      <w:r w:rsidRPr="00395069">
        <w:rPr>
          <w:rFonts w:ascii="Verdana" w:hAnsi="Verdana" w:cs="Arial"/>
          <w:b/>
          <w:bCs/>
          <w:color w:val="000000"/>
          <w:spacing w:val="-4"/>
          <w:sz w:val="20"/>
          <w:szCs w:val="20"/>
          <w:lang w:val="es-CR"/>
        </w:rPr>
        <w:t xml:space="preserve">RESOLUCIÓN DE LA </w:t>
      </w:r>
    </w:p>
    <w:p w14:paraId="3AFED6A9" w14:textId="77777777" w:rsidR="00640948" w:rsidRPr="00395069" w:rsidRDefault="00640948" w:rsidP="00640948">
      <w:pPr>
        <w:autoSpaceDE w:val="0"/>
        <w:autoSpaceDN w:val="0"/>
        <w:adjustRightInd w:val="0"/>
        <w:jc w:val="center"/>
        <w:rPr>
          <w:rFonts w:ascii="Verdana" w:hAnsi="Verdana" w:cs="Arial"/>
          <w:b/>
          <w:bCs/>
          <w:color w:val="000000"/>
          <w:spacing w:val="-4"/>
          <w:sz w:val="20"/>
          <w:szCs w:val="20"/>
          <w:lang w:val="es-CR"/>
        </w:rPr>
      </w:pPr>
      <w:r w:rsidRPr="00395069">
        <w:rPr>
          <w:rFonts w:ascii="Verdana" w:hAnsi="Verdana" w:cs="Arial"/>
          <w:b/>
          <w:bCs/>
          <w:color w:val="000000"/>
          <w:spacing w:val="-4"/>
          <w:sz w:val="20"/>
          <w:szCs w:val="20"/>
          <w:lang w:val="es-CR"/>
        </w:rPr>
        <w:t>CORTE INTERAMERICANA DE DERECHOS HUMANOS</w:t>
      </w:r>
      <w:r w:rsidRPr="00395069">
        <w:rPr>
          <w:rStyle w:val="Refdenotaalpie"/>
          <w:rFonts w:cs="Arial"/>
          <w:b/>
          <w:bCs/>
          <w:color w:val="000000"/>
          <w:spacing w:val="-4"/>
          <w:sz w:val="20"/>
          <w:szCs w:val="20"/>
          <w:lang w:val="es-CR"/>
        </w:rPr>
        <w:footnoteReference w:customMarkFollows="1" w:id="1"/>
        <w:t>*</w:t>
      </w:r>
    </w:p>
    <w:p w14:paraId="777D98D0" w14:textId="77777777" w:rsidR="00521AEC" w:rsidRDefault="00521AEC" w:rsidP="00640948">
      <w:pPr>
        <w:autoSpaceDE w:val="0"/>
        <w:autoSpaceDN w:val="0"/>
        <w:adjustRightInd w:val="0"/>
        <w:jc w:val="center"/>
        <w:rPr>
          <w:rFonts w:ascii="Verdana" w:hAnsi="Verdana" w:cs="Arial"/>
          <w:b/>
          <w:bCs/>
          <w:color w:val="000000"/>
          <w:spacing w:val="-4"/>
          <w:sz w:val="20"/>
          <w:szCs w:val="20"/>
          <w:lang w:val="es-CR"/>
        </w:rPr>
      </w:pPr>
    </w:p>
    <w:p w14:paraId="5D7DEC0E" w14:textId="15C3115B" w:rsidR="00640948" w:rsidRPr="00395069" w:rsidRDefault="00640948" w:rsidP="00640948">
      <w:pPr>
        <w:autoSpaceDE w:val="0"/>
        <w:autoSpaceDN w:val="0"/>
        <w:adjustRightInd w:val="0"/>
        <w:jc w:val="center"/>
        <w:rPr>
          <w:rFonts w:ascii="Verdana" w:hAnsi="Verdana" w:cs="Arial"/>
          <w:b/>
          <w:bCs/>
          <w:color w:val="000000"/>
          <w:spacing w:val="-4"/>
          <w:sz w:val="20"/>
          <w:szCs w:val="20"/>
          <w:lang w:val="es-CR"/>
        </w:rPr>
      </w:pPr>
      <w:r w:rsidRPr="00395069">
        <w:rPr>
          <w:rFonts w:ascii="Verdana" w:hAnsi="Verdana" w:cs="Arial"/>
          <w:b/>
          <w:bCs/>
          <w:color w:val="000000"/>
          <w:spacing w:val="-4"/>
          <w:sz w:val="20"/>
          <w:szCs w:val="20"/>
          <w:lang w:val="es-CR"/>
        </w:rPr>
        <w:t xml:space="preserve">DE </w:t>
      </w:r>
      <w:r w:rsidR="0003373E" w:rsidRPr="0003373E">
        <w:rPr>
          <w:rFonts w:ascii="Verdana" w:hAnsi="Verdana" w:cs="Arial"/>
          <w:b/>
          <w:bCs/>
          <w:color w:val="000000"/>
          <w:spacing w:val="-4"/>
          <w:sz w:val="20"/>
          <w:szCs w:val="20"/>
          <w:lang w:val="es-CR"/>
        </w:rPr>
        <w:t>29</w:t>
      </w:r>
      <w:r w:rsidRPr="00395069">
        <w:rPr>
          <w:rFonts w:ascii="Verdana" w:hAnsi="Verdana" w:cs="Arial"/>
          <w:b/>
          <w:bCs/>
          <w:color w:val="000000"/>
          <w:spacing w:val="-4"/>
          <w:sz w:val="20"/>
          <w:szCs w:val="20"/>
          <w:lang w:val="es-CR"/>
        </w:rPr>
        <w:t xml:space="preserve"> DE JULIO DE 2020</w:t>
      </w:r>
    </w:p>
    <w:p w14:paraId="0195F726" w14:textId="4961695E" w:rsidR="005F5399" w:rsidRDefault="005F5399" w:rsidP="00795433">
      <w:pPr>
        <w:autoSpaceDE w:val="0"/>
        <w:autoSpaceDN w:val="0"/>
        <w:adjustRightInd w:val="0"/>
        <w:rPr>
          <w:rFonts w:ascii="Verdana" w:hAnsi="Verdana" w:cs="Arial"/>
          <w:b/>
          <w:bCs/>
          <w:color w:val="000000"/>
          <w:spacing w:val="-4"/>
          <w:sz w:val="20"/>
          <w:szCs w:val="20"/>
          <w:lang w:val="es-CR"/>
        </w:rPr>
      </w:pPr>
    </w:p>
    <w:p w14:paraId="5D13640A" w14:textId="77777777" w:rsidR="0065352C" w:rsidRDefault="00640948" w:rsidP="00640948">
      <w:pPr>
        <w:autoSpaceDE w:val="0"/>
        <w:autoSpaceDN w:val="0"/>
        <w:adjustRightInd w:val="0"/>
        <w:jc w:val="center"/>
        <w:rPr>
          <w:rFonts w:ascii="Verdana" w:hAnsi="Verdana" w:cs="Arial"/>
          <w:b/>
          <w:bCs/>
          <w:color w:val="000000"/>
          <w:spacing w:val="-4"/>
          <w:sz w:val="20"/>
          <w:szCs w:val="20"/>
          <w:lang w:val="es-CR"/>
        </w:rPr>
      </w:pPr>
      <w:r w:rsidRPr="00395069">
        <w:rPr>
          <w:rFonts w:ascii="Verdana" w:hAnsi="Verdana" w:cs="Arial"/>
          <w:b/>
          <w:bCs/>
          <w:color w:val="000000"/>
          <w:spacing w:val="-4"/>
          <w:sz w:val="20"/>
          <w:szCs w:val="20"/>
          <w:lang w:val="es-CR"/>
        </w:rPr>
        <w:t>SOLICITUD DE MEDIDAS PROVISIONALES</w:t>
      </w:r>
      <w:r w:rsidR="005F5399">
        <w:rPr>
          <w:rFonts w:ascii="Verdana" w:hAnsi="Verdana" w:cs="Arial"/>
          <w:b/>
          <w:bCs/>
          <w:color w:val="000000"/>
          <w:spacing w:val="-4"/>
          <w:sz w:val="20"/>
          <w:szCs w:val="20"/>
          <w:lang w:val="es-CR"/>
        </w:rPr>
        <w:t xml:space="preserve"> Y </w:t>
      </w:r>
    </w:p>
    <w:p w14:paraId="1F2817C8" w14:textId="7F5438C9" w:rsidR="00640948" w:rsidRPr="00395069" w:rsidRDefault="005F5399" w:rsidP="00640948">
      <w:pPr>
        <w:autoSpaceDE w:val="0"/>
        <w:autoSpaceDN w:val="0"/>
        <w:adjustRightInd w:val="0"/>
        <w:jc w:val="center"/>
        <w:rPr>
          <w:rFonts w:ascii="Verdana" w:hAnsi="Verdana" w:cs="Arial"/>
          <w:b/>
          <w:bCs/>
          <w:color w:val="000000"/>
          <w:spacing w:val="-4"/>
          <w:sz w:val="20"/>
          <w:szCs w:val="20"/>
          <w:lang w:val="es-CR"/>
        </w:rPr>
      </w:pPr>
      <w:r>
        <w:rPr>
          <w:rFonts w:ascii="Verdana" w:hAnsi="Verdana" w:cs="Arial"/>
          <w:b/>
          <w:bCs/>
          <w:color w:val="000000"/>
          <w:spacing w:val="-4"/>
          <w:sz w:val="20"/>
          <w:szCs w:val="20"/>
          <w:lang w:val="es-CR"/>
        </w:rPr>
        <w:t>SUPERVISIÓN DE CUMPLIMIENTO DE SENTENCIA</w:t>
      </w:r>
    </w:p>
    <w:p w14:paraId="49A033B1" w14:textId="77777777" w:rsidR="005F5399" w:rsidRDefault="005F5399" w:rsidP="00640948">
      <w:pPr>
        <w:autoSpaceDE w:val="0"/>
        <w:autoSpaceDN w:val="0"/>
        <w:adjustRightInd w:val="0"/>
        <w:jc w:val="center"/>
        <w:rPr>
          <w:rFonts w:ascii="Verdana" w:hAnsi="Verdana" w:cs="Arial"/>
          <w:b/>
          <w:bCs/>
          <w:i/>
          <w:color w:val="000000"/>
          <w:spacing w:val="-4"/>
          <w:sz w:val="20"/>
          <w:szCs w:val="20"/>
          <w:lang w:val="es-CR"/>
        </w:rPr>
      </w:pPr>
    </w:p>
    <w:p w14:paraId="60252600" w14:textId="18672FC4" w:rsidR="00640948" w:rsidRPr="00395069" w:rsidRDefault="00640948" w:rsidP="00640948">
      <w:pPr>
        <w:autoSpaceDE w:val="0"/>
        <w:autoSpaceDN w:val="0"/>
        <w:adjustRightInd w:val="0"/>
        <w:jc w:val="center"/>
        <w:rPr>
          <w:rFonts w:ascii="Verdana" w:hAnsi="Verdana" w:cs="Arial"/>
          <w:b/>
          <w:bCs/>
          <w:i/>
          <w:color w:val="000000"/>
          <w:spacing w:val="-4"/>
          <w:sz w:val="20"/>
          <w:szCs w:val="20"/>
          <w:lang w:val="es-CR"/>
        </w:rPr>
      </w:pPr>
      <w:r w:rsidRPr="00395069">
        <w:rPr>
          <w:rFonts w:ascii="Verdana" w:hAnsi="Verdana" w:cs="Arial"/>
          <w:b/>
          <w:bCs/>
          <w:i/>
          <w:color w:val="000000"/>
          <w:spacing w:val="-4"/>
          <w:sz w:val="20"/>
          <w:szCs w:val="20"/>
          <w:lang w:val="es-CR"/>
        </w:rPr>
        <w:t xml:space="preserve">CASO DEL PENAL MIGUEL CASTRO </w:t>
      </w:r>
      <w:proofErr w:type="spellStart"/>
      <w:r w:rsidRPr="00395069">
        <w:rPr>
          <w:rFonts w:ascii="Verdana" w:hAnsi="Verdana" w:cs="Arial"/>
          <w:b/>
          <w:bCs/>
          <w:i/>
          <w:color w:val="000000"/>
          <w:spacing w:val="-4"/>
          <w:sz w:val="20"/>
          <w:szCs w:val="20"/>
          <w:lang w:val="es-CR"/>
        </w:rPr>
        <w:t>CASTRO</w:t>
      </w:r>
      <w:proofErr w:type="spellEnd"/>
      <w:r w:rsidRPr="00395069">
        <w:rPr>
          <w:rFonts w:ascii="Verdana" w:hAnsi="Verdana" w:cs="Arial"/>
          <w:b/>
          <w:bCs/>
          <w:i/>
          <w:color w:val="000000"/>
          <w:spacing w:val="-4"/>
          <w:sz w:val="20"/>
          <w:szCs w:val="20"/>
          <w:lang w:val="es-CR"/>
        </w:rPr>
        <w:t xml:space="preserve"> VS. PERÚ</w:t>
      </w:r>
    </w:p>
    <w:p w14:paraId="0C2FBFBF" w14:textId="77777777" w:rsidR="00640948" w:rsidRPr="00521AEC" w:rsidRDefault="00640948" w:rsidP="00640948">
      <w:pPr>
        <w:autoSpaceDE w:val="0"/>
        <w:autoSpaceDN w:val="0"/>
        <w:adjustRightInd w:val="0"/>
        <w:jc w:val="both"/>
        <w:rPr>
          <w:rFonts w:ascii="Verdana" w:hAnsi="Verdana" w:cs="Arial"/>
          <w:b/>
          <w:bCs/>
          <w:color w:val="000000"/>
          <w:spacing w:val="-4"/>
          <w:sz w:val="20"/>
          <w:szCs w:val="20"/>
          <w:lang w:val="es-CR"/>
        </w:rPr>
      </w:pPr>
    </w:p>
    <w:p w14:paraId="1EDBAB86" w14:textId="77777777" w:rsidR="00640948" w:rsidRPr="00521AEC" w:rsidRDefault="00640948" w:rsidP="00640948">
      <w:pPr>
        <w:autoSpaceDE w:val="0"/>
        <w:autoSpaceDN w:val="0"/>
        <w:adjustRightInd w:val="0"/>
        <w:jc w:val="both"/>
        <w:rPr>
          <w:rFonts w:ascii="Verdana" w:hAnsi="Verdana" w:cs="Arial"/>
          <w:b/>
          <w:bCs/>
          <w:color w:val="000000"/>
          <w:spacing w:val="-4"/>
          <w:sz w:val="20"/>
          <w:szCs w:val="20"/>
          <w:lang w:val="es-CR"/>
        </w:rPr>
      </w:pPr>
      <w:r w:rsidRPr="00521AEC">
        <w:rPr>
          <w:rFonts w:ascii="Verdana" w:hAnsi="Verdana" w:cs="Arial"/>
          <w:b/>
          <w:bCs/>
          <w:color w:val="000000"/>
          <w:spacing w:val="-4"/>
          <w:sz w:val="20"/>
          <w:szCs w:val="20"/>
          <w:lang w:val="es-CR"/>
        </w:rPr>
        <w:t>VISTO:</w:t>
      </w:r>
    </w:p>
    <w:p w14:paraId="54886B7B" w14:textId="25EF3CB0" w:rsidR="00640948" w:rsidRPr="00395069"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Times New Roman" w:hAnsi="Times New Roman"/>
          <w:spacing w:val="-4"/>
          <w:szCs w:val="24"/>
          <w:lang w:val="es-ES_tradnl" w:eastAsia="es-CR"/>
        </w:rPr>
      </w:pPr>
      <w:r w:rsidRPr="00395069">
        <w:rPr>
          <w:rFonts w:ascii="Verdana" w:eastAsia="Calibri" w:hAnsi="Verdana" w:cs="Arial"/>
          <w:spacing w:val="-4"/>
          <w:sz w:val="20"/>
          <w:lang w:val="es-ES_tradnl"/>
        </w:rPr>
        <w:t>La</w:t>
      </w:r>
      <w:r w:rsidRPr="00395069">
        <w:rPr>
          <w:rFonts w:ascii="Verdana" w:hAnsi="Verdana" w:cs="Arial"/>
          <w:spacing w:val="-4"/>
          <w:sz w:val="20"/>
          <w:lang w:val="es-ES_tradnl"/>
        </w:rPr>
        <w:t xml:space="preserve"> Sentencia de fondo, reparaciones y costas (en adelante ‘‘la Sentencia’’) emitida en el presente caso por la Corte Interamericana de Derechos Humanos (en adelante “la Corte Interamericana”, “la Corte” o “el Tribunal”) el 25 de noviembre de 2006</w:t>
      </w:r>
      <w:r w:rsidRPr="00521AEC">
        <w:rPr>
          <w:rStyle w:val="Refdenotaalpie"/>
          <w:rFonts w:cs="Arial"/>
          <w:spacing w:val="-4"/>
          <w:sz w:val="20"/>
          <w:szCs w:val="20"/>
          <w:lang w:val="es-ES_tradnl"/>
        </w:rPr>
        <w:footnoteReference w:id="2"/>
      </w:r>
      <w:r w:rsidRPr="00395069">
        <w:rPr>
          <w:rFonts w:ascii="Verdana" w:hAnsi="Verdana" w:cs="Arial"/>
          <w:spacing w:val="-4"/>
          <w:sz w:val="20"/>
          <w:lang w:val="es-ES_tradnl"/>
        </w:rPr>
        <w:t xml:space="preserve">. Tomando en cuenta el reconocimiento parcial de responsabilidad efectuado por la República del Perú (“el Estado” o “el Perú”) en el presente caso, la Corte determinó que el Estado era internacionalmente responsable por violaciones a los derechos a la vida y a la integridad personal por la </w:t>
      </w:r>
      <w:r w:rsidRPr="00E33DE4">
        <w:rPr>
          <w:rFonts w:ascii="Verdana" w:hAnsi="Verdana" w:cs="Arial"/>
          <w:spacing w:val="-4"/>
          <w:sz w:val="20"/>
          <w:lang w:val="es-ES_tradnl"/>
        </w:rPr>
        <w:t>masacre</w:t>
      </w:r>
      <w:r w:rsidRPr="005F5399">
        <w:rPr>
          <w:rFonts w:ascii="Verdana" w:hAnsi="Verdana" w:cs="Arial"/>
          <w:spacing w:val="-4"/>
          <w:sz w:val="20"/>
          <w:lang w:val="es-ES_tradnl"/>
        </w:rPr>
        <w:t>,</w:t>
      </w:r>
      <w:r w:rsidRPr="00395069">
        <w:rPr>
          <w:rFonts w:ascii="Verdana" w:hAnsi="Verdana" w:cs="Arial"/>
          <w:spacing w:val="-4"/>
          <w:sz w:val="20"/>
          <w:lang w:val="es-ES_tradnl"/>
        </w:rPr>
        <w:t xml:space="preserve"> ejecuciones extrajudiciales y torturas perpetradas entre el 6 y el 9 de mayo de 1992 en el Penal Miguel Castro </w:t>
      </w:r>
      <w:proofErr w:type="spellStart"/>
      <w:r w:rsidRPr="00395069">
        <w:rPr>
          <w:rFonts w:ascii="Verdana" w:hAnsi="Verdana" w:cs="Arial"/>
          <w:spacing w:val="-4"/>
          <w:sz w:val="20"/>
          <w:lang w:val="es-ES_tradnl"/>
        </w:rPr>
        <w:t>Castro</w:t>
      </w:r>
      <w:proofErr w:type="spellEnd"/>
      <w:r w:rsidRPr="00395069">
        <w:rPr>
          <w:rFonts w:ascii="Verdana" w:hAnsi="Verdana" w:cs="Arial"/>
          <w:spacing w:val="-4"/>
          <w:sz w:val="20"/>
          <w:lang w:val="es-ES_tradnl"/>
        </w:rPr>
        <w:t xml:space="preserve">, durante el denominado </w:t>
      </w:r>
      <w:r w:rsidRPr="00395069">
        <w:rPr>
          <w:rFonts w:ascii="Verdana" w:hAnsi="Verdana" w:cs="Verdana"/>
          <w:spacing w:val="-4"/>
          <w:sz w:val="20"/>
          <w:lang w:val="es-ES_tradnl"/>
        </w:rPr>
        <w:t>“Operativo Mudanza 1”,</w:t>
      </w:r>
      <w:r w:rsidRPr="00395069">
        <w:rPr>
          <w:rFonts w:ascii="Verdana" w:hAnsi="Verdana" w:cs="Arial"/>
          <w:spacing w:val="-4"/>
          <w:sz w:val="20"/>
          <w:lang w:val="es-ES_tradnl"/>
        </w:rPr>
        <w:t xml:space="preserve"> contra las internas y los internos acusados o sentenciados por delitos de terrorismo o traición a la patria</w:t>
      </w:r>
      <w:r w:rsidR="005F5399">
        <w:rPr>
          <w:rFonts w:ascii="Verdana" w:hAnsi="Verdana" w:cs="Arial"/>
          <w:spacing w:val="-4"/>
          <w:sz w:val="20"/>
          <w:lang w:val="es-ES_tradnl"/>
        </w:rPr>
        <w:t xml:space="preserve"> que se encontraban en dos pabellones del penal</w:t>
      </w:r>
      <w:r w:rsidRPr="00395069">
        <w:rPr>
          <w:rFonts w:ascii="Verdana" w:hAnsi="Verdana" w:cs="Arial"/>
          <w:spacing w:val="-4"/>
          <w:sz w:val="20"/>
          <w:lang w:val="es-ES_tradnl"/>
        </w:rPr>
        <w:t xml:space="preserve">. Asimismo, la Corte encontró al Perú responsable de violaciones al derecho a la integridad personal perpetradas contra las internas que sobrevivieron la masacre cuando fueron llevadas al Hospital de la Policía y trasladadas a otros centros penales. Tres internas fueron víctimas de violaciones adicionales por la falta de atención médica pre y post natal, una interna fue víctima de violación sexual y seis internas fueron sometidas a violencia sexual. </w:t>
      </w:r>
      <w:r w:rsidR="00395069" w:rsidRPr="00395069">
        <w:rPr>
          <w:rFonts w:ascii="Verdana" w:hAnsi="Verdana" w:cs="Arial"/>
          <w:spacing w:val="-4"/>
          <w:sz w:val="20"/>
          <w:lang w:val="es-ES_tradnl"/>
        </w:rPr>
        <w:t>L</w:t>
      </w:r>
      <w:r w:rsidRPr="00395069">
        <w:rPr>
          <w:rFonts w:ascii="Verdana" w:hAnsi="Verdana"/>
          <w:spacing w:val="-4"/>
          <w:sz w:val="20"/>
          <w:lang w:val="es-ES_tradnl"/>
        </w:rPr>
        <w:t>a Corte</w:t>
      </w:r>
      <w:r w:rsidR="00813A97">
        <w:rPr>
          <w:rFonts w:ascii="Verdana" w:hAnsi="Verdana"/>
          <w:spacing w:val="-4"/>
          <w:sz w:val="20"/>
          <w:lang w:val="es-ES_tradnl"/>
        </w:rPr>
        <w:t xml:space="preserve"> estableció que su Sentencia constituye por sí misma una forma de reparación y, adicionalmente,</w:t>
      </w:r>
      <w:r w:rsidRPr="00395069">
        <w:rPr>
          <w:rFonts w:ascii="Verdana" w:hAnsi="Verdana"/>
          <w:spacing w:val="-4"/>
          <w:sz w:val="20"/>
          <w:lang w:val="es-ES_tradnl"/>
        </w:rPr>
        <w:t xml:space="preserve"> ordenó determinadas medidas de reparación, entre ellas la de brindar tratamiento médico y psicológico</w:t>
      </w:r>
      <w:r w:rsidR="00521AEC">
        <w:rPr>
          <w:rFonts w:ascii="Verdana" w:hAnsi="Verdana"/>
          <w:spacing w:val="-4"/>
          <w:sz w:val="20"/>
          <w:lang w:val="es-ES_tradnl"/>
        </w:rPr>
        <w:t xml:space="preserve"> a las víctimas</w:t>
      </w:r>
      <w:r w:rsidRPr="00395069">
        <w:rPr>
          <w:rFonts w:ascii="Verdana" w:hAnsi="Verdana"/>
          <w:spacing w:val="-4"/>
          <w:sz w:val="20"/>
          <w:lang w:val="es-ES_tradnl"/>
        </w:rPr>
        <w:t xml:space="preserve"> (</w:t>
      </w:r>
      <w:r w:rsidRPr="00395069">
        <w:rPr>
          <w:rFonts w:ascii="Verdana" w:hAnsi="Verdana"/>
          <w:i/>
          <w:spacing w:val="-4"/>
          <w:sz w:val="20"/>
          <w:lang w:val="es-ES_tradnl"/>
        </w:rPr>
        <w:t xml:space="preserve">infra </w:t>
      </w:r>
      <w:r w:rsidR="00395069">
        <w:rPr>
          <w:rFonts w:ascii="Verdana" w:hAnsi="Verdana"/>
          <w:spacing w:val="-4"/>
          <w:sz w:val="20"/>
          <w:lang w:val="es-ES_tradnl"/>
        </w:rPr>
        <w:t xml:space="preserve">Considerando </w:t>
      </w:r>
      <w:r w:rsidR="00395069">
        <w:rPr>
          <w:rFonts w:ascii="Verdana" w:hAnsi="Verdana"/>
          <w:spacing w:val="-4"/>
          <w:sz w:val="20"/>
          <w:lang w:val="es-ES_tradnl"/>
        </w:rPr>
        <w:fldChar w:fldCharType="begin"/>
      </w:r>
      <w:r w:rsidR="00395069">
        <w:rPr>
          <w:rFonts w:ascii="Verdana" w:hAnsi="Verdana"/>
          <w:spacing w:val="-4"/>
          <w:sz w:val="20"/>
          <w:lang w:val="es-ES_tradnl"/>
        </w:rPr>
        <w:instrText xml:space="preserve"> REF _Ref46180335 \r \h </w:instrText>
      </w:r>
      <w:r w:rsidR="00395069">
        <w:rPr>
          <w:rFonts w:ascii="Verdana" w:hAnsi="Verdana"/>
          <w:spacing w:val="-4"/>
          <w:sz w:val="20"/>
          <w:lang w:val="es-ES_tradnl"/>
        </w:rPr>
      </w:r>
      <w:r w:rsidR="00395069">
        <w:rPr>
          <w:rFonts w:ascii="Verdana" w:hAnsi="Verdana"/>
          <w:spacing w:val="-4"/>
          <w:sz w:val="20"/>
          <w:lang w:val="es-ES_tradnl"/>
        </w:rPr>
        <w:fldChar w:fldCharType="separate"/>
      </w:r>
      <w:r w:rsidR="00337FEC">
        <w:rPr>
          <w:rFonts w:ascii="Verdana" w:hAnsi="Verdana"/>
          <w:spacing w:val="-4"/>
          <w:sz w:val="20"/>
          <w:lang w:val="es-ES_tradnl"/>
        </w:rPr>
        <w:t>2</w:t>
      </w:r>
      <w:r w:rsidR="00395069">
        <w:rPr>
          <w:rFonts w:ascii="Verdana" w:hAnsi="Verdana"/>
          <w:spacing w:val="-4"/>
          <w:sz w:val="20"/>
          <w:lang w:val="es-ES_tradnl"/>
        </w:rPr>
        <w:fldChar w:fldCharType="end"/>
      </w:r>
      <w:r w:rsidRPr="00395069">
        <w:rPr>
          <w:rFonts w:ascii="Verdana" w:hAnsi="Verdana"/>
          <w:spacing w:val="-4"/>
          <w:sz w:val="20"/>
          <w:lang w:val="es-ES_tradnl"/>
        </w:rPr>
        <w:t>).</w:t>
      </w:r>
    </w:p>
    <w:p w14:paraId="074E7A14" w14:textId="0EDD4FF4" w:rsidR="0096021A"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Verdana" w:hAnsi="Verdana"/>
          <w:spacing w:val="-4"/>
          <w:sz w:val="20"/>
          <w:lang w:val="es-ES_tradnl"/>
        </w:rPr>
      </w:pPr>
      <w:r w:rsidRPr="00395069">
        <w:rPr>
          <w:rFonts w:ascii="Verdana" w:hAnsi="Verdana"/>
          <w:spacing w:val="-4"/>
          <w:sz w:val="20"/>
          <w:lang w:val="es-ES_tradnl"/>
        </w:rPr>
        <w:t>La Sentencia de interpretación de la Sentencia de fondo, reparaciones y costas emitida el 2 de agosto de 2008</w:t>
      </w:r>
      <w:r w:rsidRPr="00521AEC">
        <w:rPr>
          <w:rStyle w:val="Refdenotaalpie"/>
          <w:spacing w:val="-4"/>
          <w:sz w:val="20"/>
          <w:szCs w:val="20"/>
          <w:lang w:val="es-ES_tradnl"/>
        </w:rPr>
        <w:footnoteReference w:id="3"/>
      </w:r>
      <w:r w:rsidRPr="00395069">
        <w:rPr>
          <w:rFonts w:ascii="Verdana" w:hAnsi="Verdana"/>
          <w:spacing w:val="-4"/>
          <w:sz w:val="20"/>
          <w:lang w:val="es-ES_tradnl"/>
        </w:rPr>
        <w:t>.</w:t>
      </w:r>
    </w:p>
    <w:p w14:paraId="5B510F2B" w14:textId="77777777" w:rsidR="0096021A" w:rsidRDefault="0096021A">
      <w:pPr>
        <w:spacing w:after="160" w:line="259" w:lineRule="auto"/>
        <w:rPr>
          <w:rFonts w:ascii="Verdana" w:eastAsiaTheme="minorHAnsi" w:hAnsi="Verdana" w:cstheme="minorBidi"/>
          <w:spacing w:val="-4"/>
          <w:sz w:val="20"/>
          <w:szCs w:val="22"/>
        </w:rPr>
      </w:pPr>
      <w:r>
        <w:rPr>
          <w:rFonts w:ascii="Verdana" w:hAnsi="Verdana"/>
          <w:spacing w:val="-4"/>
          <w:sz w:val="20"/>
        </w:rPr>
        <w:br w:type="page"/>
      </w:r>
    </w:p>
    <w:p w14:paraId="74F915B6" w14:textId="3EA0D4B1" w:rsidR="00F853E1"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Verdana" w:hAnsi="Verdana" w:cs="Arial"/>
          <w:spacing w:val="-4"/>
          <w:sz w:val="20"/>
          <w:szCs w:val="20"/>
          <w:lang w:val="es-ES_tradnl"/>
        </w:rPr>
      </w:pPr>
      <w:r w:rsidRPr="00395069">
        <w:rPr>
          <w:rFonts w:ascii="Verdana" w:hAnsi="Verdana" w:cs="Arial"/>
          <w:spacing w:val="-4"/>
          <w:sz w:val="20"/>
          <w:lang w:val="es-ES_tradnl"/>
        </w:rPr>
        <w:lastRenderedPageBreak/>
        <w:t xml:space="preserve">Las </w:t>
      </w:r>
      <w:r w:rsidRPr="00395069">
        <w:rPr>
          <w:rFonts w:ascii="Verdana" w:hAnsi="Verdana" w:cs="Arial"/>
          <w:spacing w:val="-4"/>
          <w:sz w:val="20"/>
          <w:szCs w:val="20"/>
          <w:lang w:val="es-ES_tradnl"/>
        </w:rPr>
        <w:t>Resoluciones de supervisión de cumplimiento de sentencia emitidas por el Tribunal los días 28 de abril de 2009, 31 de marzo de 2014, 17 de abril de 2015 y 9 de febrero de 2017</w:t>
      </w:r>
      <w:r w:rsidRPr="00521AEC">
        <w:rPr>
          <w:rStyle w:val="Refdenotaalpie"/>
          <w:rFonts w:cs="Arial"/>
          <w:spacing w:val="-4"/>
          <w:sz w:val="20"/>
          <w:szCs w:val="20"/>
          <w:lang w:val="es-ES_tradnl"/>
        </w:rPr>
        <w:footnoteReference w:id="4"/>
      </w:r>
      <w:r w:rsidRPr="00395069">
        <w:rPr>
          <w:rFonts w:ascii="Verdana" w:hAnsi="Verdana" w:cs="Arial"/>
          <w:spacing w:val="-4"/>
          <w:sz w:val="20"/>
          <w:szCs w:val="20"/>
          <w:lang w:val="es-ES_tradnl"/>
        </w:rPr>
        <w:t>, así como la información posteriormente remitida sobre el cumplimiento de la reparación relativa a</w:t>
      </w:r>
      <w:r w:rsidR="00521AEC">
        <w:rPr>
          <w:rFonts w:ascii="Verdana" w:hAnsi="Verdana" w:cs="Arial"/>
          <w:spacing w:val="-4"/>
          <w:sz w:val="20"/>
          <w:szCs w:val="20"/>
          <w:lang w:val="es-ES_tradnl"/>
        </w:rPr>
        <w:t xml:space="preserve"> brindar</w:t>
      </w:r>
      <w:r w:rsidRPr="00395069">
        <w:rPr>
          <w:rFonts w:ascii="Verdana" w:hAnsi="Verdana" w:cs="Arial"/>
          <w:spacing w:val="-4"/>
          <w:sz w:val="20"/>
          <w:szCs w:val="20"/>
          <w:lang w:val="es-ES_tradnl"/>
        </w:rPr>
        <w:t xml:space="preserve"> tratamiento médico y psicológico. </w:t>
      </w:r>
    </w:p>
    <w:p w14:paraId="5AD1FF4B" w14:textId="6F83B89D" w:rsidR="00640948" w:rsidRPr="00395069"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Times New Roman" w:hAnsi="Times New Roman"/>
          <w:spacing w:val="-4"/>
          <w:sz w:val="20"/>
          <w:szCs w:val="20"/>
          <w:lang w:val="es-ES_tradnl" w:eastAsia="es-CR"/>
        </w:rPr>
      </w:pPr>
      <w:r w:rsidRPr="00395069">
        <w:rPr>
          <w:rFonts w:ascii="Verdana" w:hAnsi="Verdana"/>
          <w:spacing w:val="-4"/>
          <w:sz w:val="20"/>
          <w:szCs w:val="20"/>
          <w:lang w:val="es-ES_tradnl" w:eastAsia="es-CR"/>
        </w:rPr>
        <w:t xml:space="preserve">Los escritos de 15 y 26 de mayo y </w:t>
      </w:r>
      <w:r w:rsidR="00DF63E8">
        <w:rPr>
          <w:rFonts w:ascii="Verdana" w:hAnsi="Verdana"/>
          <w:spacing w:val="-4"/>
          <w:sz w:val="20"/>
          <w:szCs w:val="20"/>
          <w:lang w:val="es-ES_tradnl" w:eastAsia="es-CR"/>
        </w:rPr>
        <w:t xml:space="preserve">de </w:t>
      </w:r>
      <w:r w:rsidRPr="00395069">
        <w:rPr>
          <w:rFonts w:ascii="Verdana" w:hAnsi="Verdana"/>
          <w:spacing w:val="-4"/>
          <w:sz w:val="20"/>
          <w:szCs w:val="20"/>
          <w:lang w:val="es-ES_tradnl" w:eastAsia="es-CR"/>
        </w:rPr>
        <w:t>1, 9 y 1</w:t>
      </w:r>
      <w:r w:rsidR="00395069" w:rsidRPr="00395069">
        <w:rPr>
          <w:rFonts w:ascii="Verdana" w:hAnsi="Verdana"/>
          <w:spacing w:val="-4"/>
          <w:sz w:val="20"/>
          <w:szCs w:val="20"/>
          <w:lang w:val="es-ES_tradnl" w:eastAsia="es-CR"/>
        </w:rPr>
        <w:t>6</w:t>
      </w:r>
      <w:r w:rsidRPr="00395069">
        <w:rPr>
          <w:rFonts w:ascii="Verdana" w:hAnsi="Verdana"/>
          <w:spacing w:val="-4"/>
          <w:sz w:val="20"/>
          <w:szCs w:val="20"/>
          <w:lang w:val="es-ES_tradnl" w:eastAsia="es-CR"/>
        </w:rPr>
        <w:t xml:space="preserve"> de junio de 2020, mediante los cuales </w:t>
      </w:r>
      <w:r w:rsidR="005F46DC">
        <w:rPr>
          <w:rFonts w:ascii="Verdana" w:hAnsi="Verdana"/>
          <w:spacing w:val="-4"/>
          <w:sz w:val="20"/>
          <w:szCs w:val="20"/>
          <w:lang w:val="es-ES_tradnl" w:eastAsia="es-CR"/>
        </w:rPr>
        <w:t>el señor</w:t>
      </w:r>
      <w:r w:rsidRPr="00395069">
        <w:rPr>
          <w:rFonts w:ascii="Verdana" w:hAnsi="Verdana"/>
          <w:spacing w:val="-4"/>
          <w:sz w:val="20"/>
          <w:szCs w:val="20"/>
          <w:lang w:val="es-ES_tradnl" w:eastAsia="es-CR"/>
        </w:rPr>
        <w:t xml:space="preserve"> Douglas </w:t>
      </w:r>
      <w:proofErr w:type="spellStart"/>
      <w:r w:rsidRPr="00395069">
        <w:rPr>
          <w:rFonts w:ascii="Verdana" w:hAnsi="Verdana"/>
          <w:spacing w:val="-4"/>
          <w:sz w:val="20"/>
          <w:szCs w:val="20"/>
          <w:lang w:val="es-ES_tradnl" w:eastAsia="es-CR"/>
        </w:rPr>
        <w:t>Cassel</w:t>
      </w:r>
      <w:proofErr w:type="spellEnd"/>
      <w:r w:rsidRPr="00395069">
        <w:rPr>
          <w:rFonts w:ascii="Verdana" w:hAnsi="Verdana"/>
          <w:spacing w:val="-4"/>
          <w:sz w:val="20"/>
          <w:szCs w:val="20"/>
          <w:lang w:val="es-ES_tradnl" w:eastAsia="es-CR"/>
        </w:rPr>
        <w:t xml:space="preserve"> y</w:t>
      </w:r>
      <w:r w:rsidR="005F46DC">
        <w:rPr>
          <w:rFonts w:ascii="Verdana" w:hAnsi="Verdana"/>
          <w:spacing w:val="-4"/>
          <w:sz w:val="20"/>
          <w:szCs w:val="20"/>
          <w:lang w:val="es-ES_tradnl" w:eastAsia="es-CR"/>
        </w:rPr>
        <w:t xml:space="preserve"> la señora</w:t>
      </w:r>
      <w:r w:rsidRPr="00395069">
        <w:rPr>
          <w:rFonts w:ascii="Verdana" w:hAnsi="Verdana"/>
          <w:spacing w:val="-4"/>
          <w:sz w:val="20"/>
          <w:szCs w:val="20"/>
          <w:lang w:val="es-ES_tradnl" w:eastAsia="es-CR"/>
        </w:rPr>
        <w:t xml:space="preserve"> Sabina Astete </w:t>
      </w:r>
      <w:r w:rsidR="005F46DC">
        <w:rPr>
          <w:rFonts w:ascii="Verdana" w:hAnsi="Verdana"/>
          <w:spacing w:val="-4"/>
          <w:sz w:val="20"/>
          <w:szCs w:val="20"/>
          <w:lang w:val="es-ES_tradnl" w:eastAsia="es-CR"/>
        </w:rPr>
        <w:t xml:space="preserve">quienes conforman uno de los tres intervinientes comunes de los representantes de las víctimas </w:t>
      </w:r>
      <w:r w:rsidRPr="00395069">
        <w:rPr>
          <w:rFonts w:ascii="Verdana" w:hAnsi="Verdana"/>
          <w:spacing w:val="-4"/>
          <w:sz w:val="20"/>
          <w:szCs w:val="20"/>
          <w:lang w:val="es-ES_tradnl" w:eastAsia="es-CR"/>
        </w:rPr>
        <w:t xml:space="preserve">(en adelante, “los intervinientes comunes que solicitaron las medidas provisionales” o “los intervinientes comunes”) realizaron una solicitud de medidas provisionales, ampliaron la solicitud para otro propuesto beneficiario y presentaron sus observaciones respecto a la información aportada por el Estado. </w:t>
      </w:r>
    </w:p>
    <w:p w14:paraId="2041C573" w14:textId="5BD551ED" w:rsidR="00640948" w:rsidRPr="00395069"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Times New Roman" w:hAnsi="Times New Roman"/>
          <w:b/>
          <w:spacing w:val="-4"/>
          <w:sz w:val="20"/>
          <w:szCs w:val="20"/>
          <w:lang w:val="es-ES_tradnl" w:eastAsia="es-CR"/>
        </w:rPr>
      </w:pPr>
      <w:r w:rsidRPr="00395069">
        <w:rPr>
          <w:rFonts w:ascii="Verdana" w:hAnsi="Verdana"/>
          <w:spacing w:val="-4"/>
          <w:sz w:val="20"/>
          <w:szCs w:val="20"/>
          <w:lang w:val="es-ES_tradnl" w:eastAsia="es-CR"/>
        </w:rPr>
        <w:t xml:space="preserve">Los escritos presentados </w:t>
      </w:r>
      <w:r w:rsidR="00DF63E8">
        <w:rPr>
          <w:rFonts w:ascii="Verdana" w:hAnsi="Verdana"/>
          <w:spacing w:val="-4"/>
          <w:sz w:val="20"/>
          <w:szCs w:val="20"/>
          <w:lang w:val="es-ES_tradnl" w:eastAsia="es-CR"/>
        </w:rPr>
        <w:t xml:space="preserve">por el Estado </w:t>
      </w:r>
      <w:r w:rsidRPr="00395069">
        <w:rPr>
          <w:rFonts w:ascii="Verdana" w:hAnsi="Verdana"/>
          <w:spacing w:val="-4"/>
          <w:sz w:val="20"/>
          <w:szCs w:val="20"/>
          <w:lang w:val="es-ES_tradnl" w:eastAsia="es-CR"/>
        </w:rPr>
        <w:t xml:space="preserve">los días 22 de mayo y </w:t>
      </w:r>
      <w:r w:rsidR="000272FF">
        <w:rPr>
          <w:rFonts w:ascii="Verdana" w:hAnsi="Verdana"/>
          <w:spacing w:val="-4"/>
          <w:sz w:val="20"/>
          <w:szCs w:val="20"/>
          <w:lang w:val="es-ES_tradnl" w:eastAsia="es-CR"/>
        </w:rPr>
        <w:t xml:space="preserve">1 y </w:t>
      </w:r>
      <w:r w:rsidRPr="00395069">
        <w:rPr>
          <w:rFonts w:ascii="Verdana" w:hAnsi="Verdana"/>
          <w:spacing w:val="-4"/>
          <w:sz w:val="20"/>
          <w:szCs w:val="20"/>
          <w:lang w:val="es-ES_tradnl" w:eastAsia="es-CR"/>
        </w:rPr>
        <w:t xml:space="preserve">9 de junio de 2020, mediante los cuales remitió sus observaciones e información respecto a la referida solicitud de medidas provisionales. </w:t>
      </w:r>
    </w:p>
    <w:p w14:paraId="4667CE0C" w14:textId="6B8605D4" w:rsidR="00640948" w:rsidRPr="00395069" w:rsidRDefault="00640948" w:rsidP="00521AEC">
      <w:pPr>
        <w:pStyle w:val="Prrafodelista"/>
        <w:numPr>
          <w:ilvl w:val="0"/>
          <w:numId w:val="11"/>
        </w:numPr>
        <w:autoSpaceDE w:val="0"/>
        <w:autoSpaceDN w:val="0"/>
        <w:adjustRightInd w:val="0"/>
        <w:spacing w:before="120" w:after="120" w:line="240" w:lineRule="auto"/>
        <w:ind w:left="0" w:firstLine="0"/>
        <w:contextualSpacing w:val="0"/>
        <w:jc w:val="both"/>
        <w:rPr>
          <w:rFonts w:ascii="Times New Roman" w:hAnsi="Times New Roman"/>
          <w:b/>
          <w:spacing w:val="-4"/>
          <w:sz w:val="20"/>
          <w:szCs w:val="20"/>
          <w:lang w:val="es-ES_tradnl" w:eastAsia="es-CR"/>
        </w:rPr>
      </w:pPr>
      <w:r w:rsidRPr="00395069">
        <w:rPr>
          <w:rFonts w:ascii="Verdana" w:hAnsi="Verdana"/>
          <w:spacing w:val="-4"/>
          <w:sz w:val="20"/>
          <w:szCs w:val="20"/>
          <w:lang w:val="es-ES_tradnl" w:eastAsia="es-CR"/>
        </w:rPr>
        <w:t xml:space="preserve">Los escritos </w:t>
      </w:r>
      <w:r w:rsidR="00E33DE4">
        <w:rPr>
          <w:rFonts w:ascii="Verdana" w:hAnsi="Verdana"/>
          <w:spacing w:val="-4"/>
          <w:sz w:val="20"/>
          <w:szCs w:val="20"/>
          <w:lang w:val="es-ES_tradnl" w:eastAsia="es-CR"/>
        </w:rPr>
        <w:t>presentados por</w:t>
      </w:r>
      <w:r w:rsidRPr="00395069">
        <w:rPr>
          <w:rFonts w:ascii="Verdana" w:hAnsi="Verdana"/>
          <w:spacing w:val="-4"/>
          <w:sz w:val="20"/>
          <w:szCs w:val="20"/>
          <w:lang w:val="es-ES_tradnl" w:eastAsia="es-CR"/>
        </w:rPr>
        <w:t xml:space="preserve"> la Comisión Interamericana de Derechos Humanos (en adelante también “la Comisión Interamericana” o “la Comisión) los días 21 de mayo y 15 de junio de 2020, mediante los cuales </w:t>
      </w:r>
      <w:r w:rsidR="00F40065">
        <w:rPr>
          <w:rFonts w:ascii="Verdana" w:hAnsi="Verdana"/>
          <w:spacing w:val="-4"/>
          <w:sz w:val="20"/>
          <w:szCs w:val="20"/>
          <w:lang w:val="es-ES_tradnl" w:eastAsia="es-CR"/>
        </w:rPr>
        <w:t xml:space="preserve">remitió </w:t>
      </w:r>
      <w:r w:rsidRPr="00395069">
        <w:rPr>
          <w:rFonts w:ascii="Verdana" w:hAnsi="Verdana"/>
          <w:spacing w:val="-4"/>
          <w:sz w:val="20"/>
          <w:szCs w:val="20"/>
          <w:lang w:val="es-ES_tradnl" w:eastAsia="es-CR"/>
        </w:rPr>
        <w:t>observaciones a la referida solicitud de medidas provisionales y respondió un pedido de información efectuado por la Presidencia</w:t>
      </w:r>
      <w:r w:rsidR="00DF63E8">
        <w:rPr>
          <w:rFonts w:ascii="Verdana" w:hAnsi="Verdana"/>
          <w:spacing w:val="-4"/>
          <w:sz w:val="20"/>
          <w:szCs w:val="20"/>
          <w:lang w:val="es-ES_tradnl" w:eastAsia="es-CR"/>
        </w:rPr>
        <w:t xml:space="preserve"> de este Tribunal</w:t>
      </w:r>
      <w:r w:rsidRPr="00395069">
        <w:rPr>
          <w:rFonts w:ascii="Verdana" w:hAnsi="Verdana"/>
          <w:spacing w:val="-4"/>
          <w:sz w:val="20"/>
          <w:szCs w:val="20"/>
          <w:lang w:val="es-ES_tradnl" w:eastAsia="es-CR"/>
        </w:rPr>
        <w:t xml:space="preserve">. </w:t>
      </w:r>
    </w:p>
    <w:p w14:paraId="17588AD0" w14:textId="77777777" w:rsidR="00640948" w:rsidRPr="00DF63E8" w:rsidRDefault="00640948" w:rsidP="00521AEC">
      <w:pPr>
        <w:autoSpaceDE w:val="0"/>
        <w:autoSpaceDN w:val="0"/>
        <w:adjustRightInd w:val="0"/>
        <w:spacing w:before="120" w:after="120"/>
        <w:jc w:val="both"/>
        <w:rPr>
          <w:rFonts w:ascii="Verdana" w:hAnsi="Verdana" w:cs="Arial"/>
          <w:b/>
          <w:bCs/>
          <w:color w:val="000000"/>
          <w:spacing w:val="-4"/>
          <w:sz w:val="20"/>
          <w:szCs w:val="20"/>
        </w:rPr>
      </w:pPr>
    </w:p>
    <w:p w14:paraId="3AD208FB" w14:textId="77777777" w:rsidR="00640948" w:rsidRPr="00DF63E8" w:rsidRDefault="00640948" w:rsidP="00DF63E8">
      <w:pPr>
        <w:autoSpaceDE w:val="0"/>
        <w:autoSpaceDN w:val="0"/>
        <w:adjustRightInd w:val="0"/>
        <w:spacing w:before="120" w:after="120"/>
        <w:jc w:val="both"/>
        <w:rPr>
          <w:rFonts w:ascii="Verdana" w:hAnsi="Verdana" w:cs="Arial"/>
          <w:b/>
          <w:bCs/>
          <w:color w:val="000000"/>
          <w:spacing w:val="-4"/>
          <w:sz w:val="20"/>
          <w:szCs w:val="20"/>
          <w:lang w:val="es-CR"/>
        </w:rPr>
      </w:pPr>
      <w:r w:rsidRPr="00DF63E8">
        <w:rPr>
          <w:rFonts w:ascii="Verdana" w:hAnsi="Verdana" w:cs="Arial"/>
          <w:b/>
          <w:bCs/>
          <w:color w:val="000000"/>
          <w:spacing w:val="-4"/>
          <w:sz w:val="20"/>
          <w:szCs w:val="20"/>
          <w:lang w:val="es-CR"/>
        </w:rPr>
        <w:t>CONSIDERANDO QUE:</w:t>
      </w:r>
    </w:p>
    <w:p w14:paraId="790B5AF9" w14:textId="749EB283" w:rsidR="00640948" w:rsidRPr="00DF63E8" w:rsidRDefault="00640948" w:rsidP="00DF63E8">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spacing w:val="-4"/>
          <w:sz w:val="20"/>
          <w:szCs w:val="20"/>
          <w:lang w:val="es-ES_tradnl"/>
        </w:rPr>
      </w:pPr>
      <w:r w:rsidRPr="00DF63E8">
        <w:rPr>
          <w:rFonts w:ascii="Verdana" w:hAnsi="Verdana"/>
          <w:spacing w:val="-4"/>
          <w:sz w:val="20"/>
          <w:szCs w:val="20"/>
          <w:lang w:val="es-CR"/>
        </w:rPr>
        <w:t xml:space="preserve">El </w:t>
      </w:r>
      <w:r w:rsidRPr="00DF63E8">
        <w:rPr>
          <w:rFonts w:ascii="Verdana" w:hAnsi="Verdana"/>
          <w:spacing w:val="-4"/>
          <w:sz w:val="20"/>
          <w:szCs w:val="20"/>
          <w:lang w:val="es-AR"/>
        </w:rPr>
        <w:t>artículo</w:t>
      </w:r>
      <w:r w:rsidRPr="00DF63E8">
        <w:rPr>
          <w:rFonts w:ascii="Verdana" w:hAnsi="Verdana"/>
          <w:spacing w:val="-4"/>
          <w:sz w:val="20"/>
          <w:szCs w:val="20"/>
          <w:lang w:val="es-CR"/>
        </w:rPr>
        <w:t xml:space="preserve"> 63.2 de la Convención Americana</w:t>
      </w:r>
      <w:r w:rsidR="00DF63E8">
        <w:rPr>
          <w:rFonts w:ascii="Verdana" w:hAnsi="Verdana"/>
          <w:spacing w:val="-4"/>
          <w:sz w:val="20"/>
          <w:szCs w:val="20"/>
          <w:lang w:val="es-CR"/>
        </w:rPr>
        <w:t xml:space="preserve"> sobre Derechos Humanos</w:t>
      </w:r>
      <w:r w:rsidRPr="00DF63E8">
        <w:rPr>
          <w:rFonts w:ascii="Verdana" w:hAnsi="Verdana"/>
          <w:spacing w:val="-4"/>
          <w:sz w:val="20"/>
          <w:szCs w:val="20"/>
          <w:lang w:val="es-CR"/>
        </w:rPr>
        <w:t xml:space="preserve"> dispone que, “[e]n casos de extrema gravedad y urgencia, y cuando se haga necesario evitar daños irreparables a las personas, la Corte, en los asuntos que esté conociendo, podrá tomar las medidas provisionales que considere pertinentes.</w:t>
      </w:r>
      <w:r w:rsidR="00FD35C2" w:rsidRPr="00DF63E8">
        <w:rPr>
          <w:rFonts w:ascii="Verdana" w:hAnsi="Verdana" w:cs="Verdana"/>
          <w:spacing w:val="-4"/>
          <w:sz w:val="20"/>
          <w:szCs w:val="20"/>
          <w:lang w:val="es-ES_tradnl"/>
        </w:rPr>
        <w:t xml:space="preserve"> </w:t>
      </w:r>
      <w:r w:rsidRPr="00DF63E8">
        <w:rPr>
          <w:rFonts w:ascii="Verdana" w:hAnsi="Verdana"/>
          <w:spacing w:val="-4"/>
          <w:sz w:val="20"/>
          <w:szCs w:val="20"/>
          <w:lang w:val="es-AR"/>
        </w:rPr>
        <w:t>Asimismo</w:t>
      </w:r>
      <w:r w:rsidRPr="00DF63E8">
        <w:rPr>
          <w:rFonts w:ascii="Verdana" w:hAnsi="Verdana"/>
          <w:spacing w:val="-4"/>
          <w:sz w:val="20"/>
          <w:szCs w:val="20"/>
          <w:lang w:val="es-ES_tradnl"/>
        </w:rPr>
        <w:t>, el a</w:t>
      </w:r>
      <w:r w:rsidRPr="00DF63E8">
        <w:rPr>
          <w:rFonts w:ascii="Verdana" w:hAnsi="Verdana" w:cs="Arial"/>
          <w:spacing w:val="-4"/>
          <w:sz w:val="20"/>
          <w:szCs w:val="20"/>
          <w:lang w:val="es-ES_tradnl"/>
        </w:rPr>
        <w:t>rtículo 27.3</w:t>
      </w:r>
      <w:r w:rsidRPr="00DF63E8">
        <w:rPr>
          <w:rFonts w:ascii="Verdana" w:hAnsi="Verdana"/>
          <w:spacing w:val="-4"/>
          <w:sz w:val="20"/>
          <w:szCs w:val="20"/>
          <w:lang w:val="es-ES_tradnl"/>
        </w:rPr>
        <w:t xml:space="preserve"> del Reglamento del Tribunal establece que</w:t>
      </w:r>
      <w:r w:rsidRPr="00DF63E8">
        <w:rPr>
          <w:rFonts w:ascii="Verdana" w:hAnsi="Verdana" w:cs="Arial"/>
          <w:spacing w:val="-4"/>
          <w:sz w:val="20"/>
          <w:szCs w:val="20"/>
          <w:lang w:val="es-ES_tradnl"/>
        </w:rPr>
        <w:t xml:space="preserve"> “[e]n los casos contenciosos que se encuentren en conocimiento de la Corte, las víctimas o las presuntas víctimas, o sus representantes, podrán presentar directamente a ésta una solicitud de medidas provisionales, las que deberán tener relación con el objeto del caso”.</w:t>
      </w:r>
    </w:p>
    <w:p w14:paraId="03F6D299" w14:textId="2B4E5858" w:rsidR="00640948" w:rsidRPr="00DF63E8" w:rsidRDefault="004E5ACF" w:rsidP="00DF63E8">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spacing w:val="-4"/>
          <w:sz w:val="20"/>
          <w:szCs w:val="20"/>
          <w:lang w:val="es-ES_tradnl"/>
        </w:rPr>
      </w:pPr>
      <w:bookmarkStart w:id="0" w:name="_Ref46180335"/>
      <w:r w:rsidRPr="00DF63E8">
        <w:rPr>
          <w:rFonts w:ascii="Verdana" w:hAnsi="Verdana"/>
          <w:spacing w:val="-4"/>
          <w:sz w:val="20"/>
          <w:szCs w:val="20"/>
          <w:lang w:val="es-ES_tradnl"/>
        </w:rPr>
        <w:t xml:space="preserve">La solicitud de medidas provisionales fue presentada por uno de los intervinientes comunes de los representantes de las víctimas del caso </w:t>
      </w:r>
      <w:r w:rsidRPr="00DF63E8">
        <w:rPr>
          <w:rFonts w:ascii="Verdana" w:hAnsi="Verdana"/>
          <w:i/>
          <w:spacing w:val="-4"/>
          <w:sz w:val="20"/>
          <w:szCs w:val="20"/>
          <w:lang w:val="es-ES_tradnl"/>
        </w:rPr>
        <w:t xml:space="preserve">del Penal Miguel Castro </w:t>
      </w:r>
      <w:proofErr w:type="spellStart"/>
      <w:r w:rsidRPr="00DF63E8">
        <w:rPr>
          <w:rFonts w:ascii="Verdana" w:hAnsi="Verdana"/>
          <w:i/>
          <w:spacing w:val="-4"/>
          <w:sz w:val="20"/>
          <w:szCs w:val="20"/>
          <w:lang w:val="es-ES_tradnl"/>
        </w:rPr>
        <w:t>Castro</w:t>
      </w:r>
      <w:proofErr w:type="spellEnd"/>
      <w:r w:rsidRPr="00DF63E8">
        <w:rPr>
          <w:rFonts w:ascii="Verdana" w:hAnsi="Verdana"/>
          <w:spacing w:val="-4"/>
          <w:sz w:val="20"/>
          <w:szCs w:val="20"/>
          <w:lang w:val="es-ES_tradnl"/>
        </w:rPr>
        <w:t xml:space="preserve">, el cual se encuentra actualmente en etapa de supervisión de cumplimiento de sentencia, con lo cual se cumple con lo requerido en dicho artículo 27.3 en lo que respecta a la legitimación para presentar la solicitud. En </w:t>
      </w:r>
      <w:r w:rsidR="00DF63E8">
        <w:rPr>
          <w:rFonts w:ascii="Verdana" w:hAnsi="Verdana"/>
          <w:spacing w:val="-4"/>
          <w:sz w:val="20"/>
          <w:szCs w:val="20"/>
          <w:lang w:val="es-ES_tradnl"/>
        </w:rPr>
        <w:t>su</w:t>
      </w:r>
      <w:r w:rsidRPr="00DF63E8">
        <w:rPr>
          <w:rFonts w:ascii="Verdana" w:hAnsi="Verdana"/>
          <w:spacing w:val="-4"/>
          <w:sz w:val="20"/>
          <w:szCs w:val="20"/>
          <w:lang w:val="es-ES_tradnl"/>
        </w:rPr>
        <w:t xml:space="preserve"> solicitud de medidas </w:t>
      </w:r>
      <w:r w:rsidR="00DF63E8">
        <w:rPr>
          <w:rFonts w:ascii="Verdana" w:hAnsi="Verdana"/>
          <w:spacing w:val="-4"/>
          <w:sz w:val="20"/>
          <w:szCs w:val="20"/>
          <w:lang w:val="es-ES_tradnl"/>
        </w:rPr>
        <w:t xml:space="preserve">provisionales </w:t>
      </w:r>
      <w:r w:rsidR="00991AB0" w:rsidRPr="00DF63E8">
        <w:rPr>
          <w:rFonts w:ascii="Verdana" w:hAnsi="Verdana"/>
          <w:spacing w:val="-4"/>
          <w:sz w:val="20"/>
          <w:szCs w:val="20"/>
          <w:lang w:val="es-ES_tradnl"/>
        </w:rPr>
        <w:t xml:space="preserve">se refirieron al incumplimiento por parte del Estado de la reparación ordenada en el punto resolutivo décimo tercero y párrafo 449 de la </w:t>
      </w:r>
      <w:r w:rsidR="00640948" w:rsidRPr="00DF63E8">
        <w:rPr>
          <w:rFonts w:ascii="Verdana" w:hAnsi="Verdana"/>
          <w:spacing w:val="-4"/>
          <w:sz w:val="20"/>
          <w:szCs w:val="20"/>
          <w:lang w:val="es-ES_tradnl"/>
        </w:rPr>
        <w:t>Sentencia (</w:t>
      </w:r>
      <w:r w:rsidR="00640948" w:rsidRPr="00DF63E8">
        <w:rPr>
          <w:rFonts w:ascii="Verdana" w:hAnsi="Verdana"/>
          <w:i/>
          <w:spacing w:val="-4"/>
          <w:sz w:val="20"/>
          <w:szCs w:val="20"/>
          <w:lang w:val="es-ES_tradnl"/>
        </w:rPr>
        <w:t>supra</w:t>
      </w:r>
      <w:r w:rsidR="00640948" w:rsidRPr="00DF63E8">
        <w:rPr>
          <w:rFonts w:ascii="Verdana" w:hAnsi="Verdana"/>
          <w:spacing w:val="-4"/>
          <w:sz w:val="20"/>
          <w:szCs w:val="20"/>
          <w:lang w:val="es-ES_tradnl"/>
        </w:rPr>
        <w:t xml:space="preserve"> Visto 1), </w:t>
      </w:r>
      <w:r w:rsidR="00991AB0" w:rsidRPr="00DF63E8">
        <w:rPr>
          <w:rFonts w:ascii="Verdana" w:hAnsi="Verdana"/>
          <w:spacing w:val="-4"/>
          <w:sz w:val="20"/>
          <w:szCs w:val="20"/>
          <w:lang w:val="es-ES_tradnl"/>
        </w:rPr>
        <w:t xml:space="preserve">relativa a </w:t>
      </w:r>
      <w:r w:rsidR="00640948" w:rsidRPr="00DF63E8">
        <w:rPr>
          <w:rFonts w:ascii="Verdana" w:hAnsi="Verdana"/>
          <w:spacing w:val="-4"/>
          <w:sz w:val="20"/>
          <w:szCs w:val="20"/>
          <w:lang w:val="es-ES_tradnl"/>
        </w:rPr>
        <w:t xml:space="preserve">que </w:t>
      </w:r>
      <w:r w:rsidR="00640948" w:rsidRPr="00DF63E8">
        <w:rPr>
          <w:rFonts w:ascii="Verdana" w:hAnsi="Verdana"/>
          <w:spacing w:val="-4"/>
          <w:sz w:val="20"/>
          <w:szCs w:val="20"/>
          <w:lang w:val="es-CR"/>
        </w:rPr>
        <w:t>el Estado “debe brindar gratuitamente, a través de sus instituciones de salud especializadas, el tratamiento médico y psicológico requerido por las víctimas y los familiares, incluyendo los medicamentos que éstos requieran, tomando en consideración los padecimientos de cada uno de ellos después de una evaluación individual […]”</w:t>
      </w:r>
      <w:r w:rsidR="00640948" w:rsidRPr="00DF63E8">
        <w:rPr>
          <w:rStyle w:val="Refdenotaalpie"/>
          <w:spacing w:val="-4"/>
          <w:sz w:val="20"/>
          <w:szCs w:val="20"/>
          <w:lang w:val="es-CR"/>
        </w:rPr>
        <w:footnoteReference w:id="5"/>
      </w:r>
      <w:r w:rsidR="00640948" w:rsidRPr="00DF63E8">
        <w:rPr>
          <w:rFonts w:ascii="Verdana" w:hAnsi="Verdana"/>
          <w:spacing w:val="-4"/>
          <w:sz w:val="20"/>
          <w:szCs w:val="20"/>
          <w:lang w:val="es-CR"/>
        </w:rPr>
        <w:t>.</w:t>
      </w:r>
      <w:bookmarkEnd w:id="0"/>
      <w:r w:rsidR="006C453A" w:rsidRPr="00DF63E8">
        <w:rPr>
          <w:rFonts w:ascii="Verdana" w:hAnsi="Verdana"/>
          <w:spacing w:val="-4"/>
          <w:sz w:val="20"/>
          <w:szCs w:val="20"/>
          <w:lang w:val="es-CR"/>
        </w:rPr>
        <w:t xml:space="preserve"> </w:t>
      </w:r>
      <w:r w:rsidR="007018E1" w:rsidRPr="00DF63E8">
        <w:rPr>
          <w:rFonts w:ascii="Verdana" w:hAnsi="Verdana"/>
          <w:spacing w:val="-4"/>
          <w:sz w:val="20"/>
          <w:szCs w:val="20"/>
          <w:lang w:val="es-ES_tradnl"/>
        </w:rPr>
        <w:t>Afirmaron que el Estado “</w:t>
      </w:r>
      <w:r w:rsidR="007018E1" w:rsidRPr="00DF63E8">
        <w:rPr>
          <w:rFonts w:ascii="Verdana" w:hAnsi="Verdana"/>
          <w:spacing w:val="-4"/>
          <w:sz w:val="20"/>
          <w:szCs w:val="20"/>
          <w:lang w:val="es-AR"/>
        </w:rPr>
        <w:t>no ha brindad</w:t>
      </w:r>
      <w:r w:rsidR="006C453A" w:rsidRPr="00DF63E8">
        <w:rPr>
          <w:rFonts w:ascii="Verdana" w:hAnsi="Verdana"/>
          <w:spacing w:val="-4"/>
          <w:sz w:val="20"/>
          <w:szCs w:val="20"/>
          <w:lang w:val="es-AR"/>
        </w:rPr>
        <w:t>[</w:t>
      </w:r>
      <w:r w:rsidR="007018E1" w:rsidRPr="00DF63E8">
        <w:rPr>
          <w:rFonts w:ascii="Verdana" w:hAnsi="Verdana"/>
          <w:spacing w:val="-4"/>
          <w:sz w:val="20"/>
          <w:szCs w:val="20"/>
          <w:lang w:val="es-AR"/>
        </w:rPr>
        <w:t>o</w:t>
      </w:r>
      <w:r w:rsidR="006C453A" w:rsidRPr="00DF63E8">
        <w:rPr>
          <w:rFonts w:ascii="Verdana" w:hAnsi="Verdana"/>
          <w:spacing w:val="-4"/>
          <w:sz w:val="20"/>
          <w:szCs w:val="20"/>
          <w:lang w:val="es-AR"/>
        </w:rPr>
        <w:t>]</w:t>
      </w:r>
      <w:r w:rsidR="007018E1" w:rsidRPr="00DF63E8">
        <w:rPr>
          <w:rFonts w:ascii="Verdana" w:hAnsi="Verdana"/>
          <w:spacing w:val="-4"/>
          <w:sz w:val="20"/>
          <w:szCs w:val="20"/>
          <w:lang w:val="es-AR"/>
        </w:rPr>
        <w:t xml:space="preserve"> ni el tratamiento, ni los medicamentos necesarios, a las […] personas identificadas en esta solicitud”, por lo que teniendo en cuenta lo dispuesto en los incisos 1 y 3 del artículo 27 del Reglamento de la Corte, solicitaron a este Tribunal ordenar “las medidas </w:t>
      </w:r>
      <w:r w:rsidR="006C453A" w:rsidRPr="00DF63E8">
        <w:rPr>
          <w:rFonts w:ascii="Verdana" w:hAnsi="Verdana"/>
          <w:spacing w:val="-4"/>
          <w:sz w:val="20"/>
          <w:szCs w:val="20"/>
          <w:lang w:val="es-AR"/>
        </w:rPr>
        <w:t xml:space="preserve">provisionales </w:t>
      </w:r>
      <w:r w:rsidR="007018E1" w:rsidRPr="00DF63E8">
        <w:rPr>
          <w:rFonts w:ascii="Verdana" w:hAnsi="Verdana"/>
          <w:spacing w:val="-4"/>
          <w:sz w:val="20"/>
          <w:szCs w:val="20"/>
          <w:lang w:val="es-AR"/>
        </w:rPr>
        <w:t>correspondientes”.</w:t>
      </w:r>
    </w:p>
    <w:p w14:paraId="45EF0248" w14:textId="07E170DF" w:rsidR="00640948" w:rsidRPr="00DF63E8" w:rsidRDefault="00640948" w:rsidP="00DF63E8">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DF63E8">
        <w:rPr>
          <w:rFonts w:ascii="Verdana" w:hAnsi="Verdana"/>
          <w:spacing w:val="-4"/>
          <w:sz w:val="20"/>
          <w:szCs w:val="20"/>
          <w:lang w:val="es-AR"/>
        </w:rPr>
        <w:t>Seguidamente</w:t>
      </w:r>
      <w:r w:rsidRPr="00DF63E8">
        <w:rPr>
          <w:rFonts w:ascii="Verdana" w:hAnsi="Verdana" w:cs="Verdana"/>
          <w:spacing w:val="-4"/>
          <w:sz w:val="20"/>
          <w:szCs w:val="20"/>
          <w:lang w:val="es-CR"/>
        </w:rPr>
        <w:t xml:space="preserve">, se expondrán los principales argumentos </w:t>
      </w:r>
      <w:r w:rsidR="002C67ED">
        <w:rPr>
          <w:rFonts w:ascii="Verdana" w:hAnsi="Verdana" w:cs="Verdana"/>
          <w:spacing w:val="-4"/>
          <w:sz w:val="20"/>
          <w:szCs w:val="20"/>
          <w:lang w:val="es-CR"/>
        </w:rPr>
        <w:t>expuestos</w:t>
      </w:r>
      <w:r w:rsidRPr="00DF63E8">
        <w:rPr>
          <w:rFonts w:ascii="Verdana" w:hAnsi="Verdana" w:cs="Verdana"/>
          <w:spacing w:val="-4"/>
          <w:sz w:val="20"/>
          <w:szCs w:val="20"/>
          <w:lang w:val="es-CR"/>
        </w:rPr>
        <w:t xml:space="preserve"> por los intervinientes comunes en la solicitud de medidas provisionales y en escritos </w:t>
      </w:r>
      <w:r w:rsidRPr="00DF63E8">
        <w:rPr>
          <w:rFonts w:ascii="Verdana" w:hAnsi="Verdana" w:cs="Verdana"/>
          <w:spacing w:val="-4"/>
          <w:sz w:val="20"/>
          <w:szCs w:val="20"/>
          <w:lang w:val="es-CR"/>
        </w:rPr>
        <w:lastRenderedPageBreak/>
        <w:t>posteriores (</w:t>
      </w:r>
      <w:r w:rsidRPr="00DF63E8">
        <w:rPr>
          <w:rFonts w:ascii="Verdana" w:hAnsi="Verdana" w:cs="Verdana"/>
          <w:i/>
          <w:spacing w:val="-4"/>
          <w:sz w:val="20"/>
          <w:szCs w:val="20"/>
          <w:lang w:val="es-CR"/>
        </w:rPr>
        <w:t>infra</w:t>
      </w:r>
      <w:r w:rsidRPr="00DF63E8">
        <w:rPr>
          <w:rFonts w:ascii="Verdana" w:hAnsi="Verdana" w:cs="Verdana"/>
          <w:spacing w:val="-4"/>
          <w:sz w:val="20"/>
          <w:szCs w:val="20"/>
          <w:lang w:val="es-CR"/>
        </w:rPr>
        <w:t xml:space="preserve"> Considerandos </w:t>
      </w:r>
      <w:r w:rsidR="000272FF" w:rsidRPr="00DF63E8">
        <w:rPr>
          <w:rFonts w:ascii="Verdana" w:hAnsi="Verdana" w:cs="Verdana"/>
          <w:spacing w:val="-4"/>
          <w:sz w:val="20"/>
          <w:szCs w:val="20"/>
          <w:lang w:val="es-CR"/>
        </w:rPr>
        <w:t>4</w:t>
      </w:r>
      <w:r w:rsidRPr="00DF63E8">
        <w:rPr>
          <w:rFonts w:ascii="Verdana" w:hAnsi="Verdana" w:cs="Verdana"/>
          <w:spacing w:val="-4"/>
          <w:sz w:val="20"/>
          <w:szCs w:val="20"/>
          <w:lang w:val="es-CR"/>
        </w:rPr>
        <w:t xml:space="preserve"> a </w:t>
      </w:r>
      <w:r w:rsidR="000272FF" w:rsidRPr="00DF63E8">
        <w:rPr>
          <w:rFonts w:ascii="Verdana" w:hAnsi="Verdana" w:cs="Verdana"/>
          <w:spacing w:val="-4"/>
          <w:sz w:val="20"/>
          <w:szCs w:val="20"/>
          <w:lang w:val="es-CR"/>
        </w:rPr>
        <w:t>8</w:t>
      </w:r>
      <w:r w:rsidRPr="00DF63E8">
        <w:rPr>
          <w:rFonts w:ascii="Verdana" w:hAnsi="Verdana" w:cs="Verdana"/>
          <w:spacing w:val="-4"/>
          <w:sz w:val="20"/>
          <w:szCs w:val="20"/>
          <w:lang w:val="es-CR"/>
        </w:rPr>
        <w:t>); los argumentos efectuados por el Estado en sus observaciones a dicha solicitud y en su “informe complementario” (</w:t>
      </w:r>
      <w:r w:rsidRPr="00DF63E8">
        <w:rPr>
          <w:rFonts w:ascii="Verdana" w:hAnsi="Verdana" w:cs="Verdana"/>
          <w:i/>
          <w:spacing w:val="-4"/>
          <w:sz w:val="20"/>
          <w:szCs w:val="20"/>
          <w:lang w:val="es-CR"/>
        </w:rPr>
        <w:t>infra</w:t>
      </w:r>
      <w:r w:rsidRPr="00DF63E8">
        <w:rPr>
          <w:rFonts w:ascii="Verdana" w:hAnsi="Verdana" w:cs="Verdana"/>
          <w:spacing w:val="-4"/>
          <w:sz w:val="20"/>
          <w:szCs w:val="20"/>
          <w:lang w:val="es-CR"/>
        </w:rPr>
        <w:t xml:space="preserve"> Considerandos </w:t>
      </w:r>
      <w:r w:rsidR="000272FF" w:rsidRPr="00DF63E8">
        <w:rPr>
          <w:rFonts w:ascii="Verdana" w:hAnsi="Verdana" w:cs="Verdana"/>
          <w:spacing w:val="-4"/>
          <w:sz w:val="20"/>
          <w:szCs w:val="20"/>
          <w:lang w:val="es-CR"/>
        </w:rPr>
        <w:t>9</w:t>
      </w:r>
      <w:r w:rsidRPr="00DF63E8">
        <w:rPr>
          <w:rFonts w:ascii="Verdana" w:hAnsi="Verdana" w:cs="Verdana"/>
          <w:spacing w:val="-4"/>
          <w:sz w:val="20"/>
          <w:szCs w:val="20"/>
          <w:lang w:val="es-CR"/>
        </w:rPr>
        <w:t xml:space="preserve"> a </w:t>
      </w:r>
      <w:r w:rsidR="000272FF" w:rsidRPr="00DF63E8">
        <w:rPr>
          <w:rFonts w:ascii="Verdana" w:hAnsi="Verdana" w:cs="Verdana"/>
          <w:spacing w:val="-4"/>
          <w:sz w:val="20"/>
          <w:szCs w:val="20"/>
          <w:lang w:val="es-CR"/>
        </w:rPr>
        <w:t xml:space="preserve">16), </w:t>
      </w:r>
      <w:r w:rsidRPr="00DF63E8">
        <w:rPr>
          <w:rFonts w:ascii="Verdana" w:hAnsi="Verdana" w:cs="Verdana"/>
          <w:spacing w:val="-4"/>
          <w:sz w:val="20"/>
          <w:szCs w:val="20"/>
          <w:lang w:val="es-CR"/>
        </w:rPr>
        <w:t>así como las observaciones realizadas por la Comisión Interamericana (</w:t>
      </w:r>
      <w:r w:rsidR="000272FF" w:rsidRPr="00DF63E8">
        <w:rPr>
          <w:rFonts w:ascii="Verdana" w:hAnsi="Verdana" w:cs="Verdana"/>
          <w:i/>
          <w:spacing w:val="-4"/>
          <w:sz w:val="20"/>
          <w:szCs w:val="20"/>
          <w:lang w:val="es-CR"/>
        </w:rPr>
        <w:t>infra</w:t>
      </w:r>
      <w:r w:rsidR="000272FF" w:rsidRPr="00DF63E8">
        <w:rPr>
          <w:rFonts w:ascii="Verdana" w:hAnsi="Verdana" w:cs="Verdana"/>
          <w:spacing w:val="-4"/>
          <w:sz w:val="20"/>
          <w:szCs w:val="20"/>
          <w:lang w:val="es-CR"/>
        </w:rPr>
        <w:t xml:space="preserve"> Considerandos 17 y 18). </w:t>
      </w:r>
      <w:r w:rsidRPr="00DF63E8">
        <w:rPr>
          <w:rFonts w:ascii="Verdana" w:hAnsi="Verdana" w:cs="Verdana"/>
          <w:spacing w:val="-4"/>
          <w:sz w:val="20"/>
          <w:szCs w:val="20"/>
          <w:lang w:val="es-CR"/>
        </w:rPr>
        <w:t xml:space="preserve">Luego de ello, se pasará a examinar si se configuran los demás requisitos convencionales y reglamentarios para la adopción de medidas </w:t>
      </w:r>
      <w:r w:rsidR="00F40065" w:rsidRPr="00DF63E8">
        <w:rPr>
          <w:rFonts w:ascii="Verdana" w:hAnsi="Verdana" w:cs="Verdana"/>
          <w:spacing w:val="-4"/>
          <w:sz w:val="20"/>
          <w:szCs w:val="20"/>
          <w:lang w:val="es-CR"/>
        </w:rPr>
        <w:t xml:space="preserve">provisionales </w:t>
      </w:r>
      <w:r w:rsidRPr="00DF63E8">
        <w:rPr>
          <w:rFonts w:ascii="Verdana" w:hAnsi="Verdana" w:cs="Verdana"/>
          <w:spacing w:val="-4"/>
          <w:sz w:val="20"/>
          <w:szCs w:val="20"/>
          <w:lang w:val="es-CR"/>
        </w:rPr>
        <w:t>(</w:t>
      </w:r>
      <w:r w:rsidRPr="00DF63E8">
        <w:rPr>
          <w:rFonts w:ascii="Verdana" w:hAnsi="Verdana" w:cs="Verdana"/>
          <w:i/>
          <w:spacing w:val="-4"/>
          <w:sz w:val="20"/>
          <w:szCs w:val="20"/>
          <w:lang w:val="es-CR"/>
        </w:rPr>
        <w:t>supra</w:t>
      </w:r>
      <w:r w:rsidRPr="00DF63E8">
        <w:rPr>
          <w:rFonts w:ascii="Verdana" w:hAnsi="Verdana" w:cs="Verdana"/>
          <w:spacing w:val="-4"/>
          <w:sz w:val="20"/>
          <w:szCs w:val="20"/>
          <w:lang w:val="es-CR"/>
        </w:rPr>
        <w:t xml:space="preserve"> Considerando 1 e </w:t>
      </w:r>
      <w:r w:rsidRPr="00DF63E8">
        <w:rPr>
          <w:rFonts w:ascii="Verdana" w:hAnsi="Verdana" w:cs="Verdana"/>
          <w:i/>
          <w:spacing w:val="-4"/>
          <w:sz w:val="20"/>
          <w:szCs w:val="20"/>
          <w:lang w:val="es-CR"/>
        </w:rPr>
        <w:t>infra</w:t>
      </w:r>
      <w:r w:rsidRPr="00DF63E8">
        <w:rPr>
          <w:rFonts w:ascii="Verdana" w:hAnsi="Verdana" w:cs="Verdana"/>
          <w:spacing w:val="-4"/>
          <w:sz w:val="20"/>
          <w:szCs w:val="20"/>
          <w:lang w:val="es-CR"/>
        </w:rPr>
        <w:t xml:space="preserve"> Considerandos </w:t>
      </w:r>
      <w:r w:rsidR="000272FF" w:rsidRPr="00DF63E8">
        <w:rPr>
          <w:rFonts w:ascii="Verdana" w:hAnsi="Verdana" w:cs="Verdana"/>
          <w:spacing w:val="-4"/>
          <w:sz w:val="20"/>
          <w:szCs w:val="20"/>
          <w:lang w:val="es-CR"/>
        </w:rPr>
        <w:t>19</w:t>
      </w:r>
      <w:r w:rsidRPr="00DF63E8">
        <w:rPr>
          <w:rFonts w:ascii="Verdana" w:hAnsi="Verdana" w:cs="Verdana"/>
          <w:spacing w:val="-4"/>
          <w:sz w:val="20"/>
          <w:szCs w:val="20"/>
          <w:lang w:val="es-CR"/>
        </w:rPr>
        <w:t xml:space="preserve"> a </w:t>
      </w:r>
      <w:r w:rsidR="000272FF" w:rsidRPr="00DF63E8">
        <w:rPr>
          <w:rFonts w:ascii="Verdana" w:hAnsi="Verdana" w:cs="Verdana"/>
          <w:spacing w:val="-4"/>
          <w:sz w:val="20"/>
          <w:szCs w:val="20"/>
          <w:lang w:val="es-CR"/>
        </w:rPr>
        <w:t>42</w:t>
      </w:r>
      <w:r w:rsidRPr="00DF63E8">
        <w:rPr>
          <w:rFonts w:ascii="Verdana" w:hAnsi="Verdana" w:cs="Verdana"/>
          <w:spacing w:val="-4"/>
          <w:sz w:val="20"/>
          <w:szCs w:val="20"/>
          <w:lang w:val="es-CR"/>
        </w:rPr>
        <w:t xml:space="preserve">). Finalmente, en los Considerandos </w:t>
      </w:r>
      <w:r w:rsidR="000272FF" w:rsidRPr="00DF63E8">
        <w:rPr>
          <w:rFonts w:ascii="Verdana" w:hAnsi="Verdana" w:cs="Verdana"/>
          <w:spacing w:val="-4"/>
          <w:sz w:val="20"/>
          <w:szCs w:val="20"/>
          <w:lang w:val="es-CR"/>
        </w:rPr>
        <w:t>43</w:t>
      </w:r>
      <w:r w:rsidRPr="00DF63E8">
        <w:rPr>
          <w:rFonts w:ascii="Verdana" w:hAnsi="Verdana" w:cs="Verdana"/>
          <w:spacing w:val="-4"/>
          <w:sz w:val="20"/>
          <w:szCs w:val="20"/>
          <w:lang w:val="es-CR"/>
        </w:rPr>
        <w:t xml:space="preserve"> a </w:t>
      </w:r>
      <w:r w:rsidR="000272FF" w:rsidRPr="00DF63E8">
        <w:rPr>
          <w:rFonts w:ascii="Verdana" w:hAnsi="Verdana" w:cs="Verdana"/>
          <w:spacing w:val="-4"/>
          <w:sz w:val="20"/>
          <w:szCs w:val="20"/>
          <w:lang w:val="es-CR"/>
        </w:rPr>
        <w:t xml:space="preserve">45 </w:t>
      </w:r>
      <w:r w:rsidRPr="00DF63E8">
        <w:rPr>
          <w:rFonts w:ascii="Verdana" w:hAnsi="Verdana" w:cs="Verdana"/>
          <w:spacing w:val="-4"/>
          <w:sz w:val="20"/>
          <w:szCs w:val="20"/>
          <w:lang w:val="es-ES_tradnl"/>
        </w:rPr>
        <w:t>se realizarán las valoraciones sobre dicha información que correspondan efectuarse en el marco de la supervisión del cumplimiento de la Sentencia</w:t>
      </w:r>
      <w:r w:rsidR="006E4D8F">
        <w:rPr>
          <w:rFonts w:ascii="Verdana" w:hAnsi="Verdana" w:cs="Verdana"/>
          <w:spacing w:val="-4"/>
          <w:sz w:val="20"/>
          <w:szCs w:val="20"/>
          <w:lang w:val="es-ES_tradnl"/>
        </w:rPr>
        <w:t xml:space="preserve"> de este caso</w:t>
      </w:r>
      <w:r w:rsidRPr="00DF63E8">
        <w:rPr>
          <w:rFonts w:ascii="Verdana" w:hAnsi="Verdana" w:cs="Verdana"/>
          <w:spacing w:val="-4"/>
          <w:sz w:val="20"/>
          <w:szCs w:val="20"/>
          <w:lang w:val="es-ES_tradnl"/>
        </w:rPr>
        <w:t>.</w:t>
      </w:r>
    </w:p>
    <w:p w14:paraId="7D3770F3" w14:textId="77777777" w:rsidR="00640948" w:rsidRPr="00DF63E8" w:rsidRDefault="00640948" w:rsidP="00DF63E8">
      <w:pPr>
        <w:pStyle w:val="Prrafodelista"/>
        <w:spacing w:before="120" w:after="120" w:line="240" w:lineRule="auto"/>
        <w:contextualSpacing w:val="0"/>
        <w:rPr>
          <w:rFonts w:ascii="Verdana" w:hAnsi="Verdana"/>
          <w:spacing w:val="-4"/>
          <w:sz w:val="20"/>
          <w:szCs w:val="20"/>
          <w:lang w:val="es-AR"/>
        </w:rPr>
      </w:pPr>
    </w:p>
    <w:p w14:paraId="394C6CC0" w14:textId="77777777" w:rsidR="00640948" w:rsidRPr="00395069" w:rsidRDefault="00640948" w:rsidP="00BF0D03">
      <w:pPr>
        <w:numPr>
          <w:ilvl w:val="0"/>
          <w:numId w:val="2"/>
        </w:numPr>
        <w:spacing w:before="120" w:after="120"/>
        <w:ind w:left="851" w:hanging="284"/>
        <w:jc w:val="both"/>
        <w:rPr>
          <w:rFonts w:ascii="Verdana" w:hAnsi="Verdana" w:cs="Verdana"/>
          <w:b/>
          <w:i/>
          <w:spacing w:val="-4"/>
          <w:sz w:val="20"/>
          <w:szCs w:val="20"/>
          <w:lang w:val="es-CR"/>
        </w:rPr>
      </w:pPr>
      <w:r w:rsidRPr="00395069">
        <w:rPr>
          <w:rFonts w:ascii="Verdana" w:hAnsi="Verdana" w:cs="Verdana"/>
          <w:b/>
          <w:i/>
          <w:spacing w:val="-4"/>
          <w:sz w:val="20"/>
          <w:szCs w:val="20"/>
          <w:lang w:val="es-CR"/>
        </w:rPr>
        <w:t xml:space="preserve"> Solicitud presentada por los intervinientes comunes</w:t>
      </w:r>
    </w:p>
    <w:p w14:paraId="2553AD9D" w14:textId="4F502EB4"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18"/>
          <w:szCs w:val="18"/>
          <w:lang w:val="es-CR"/>
        </w:rPr>
      </w:pPr>
      <w:bookmarkStart w:id="1" w:name="_Ref46241417"/>
      <w:r w:rsidRPr="00395069">
        <w:rPr>
          <w:rFonts w:ascii="Verdana" w:hAnsi="Verdana"/>
          <w:spacing w:val="-4"/>
          <w:sz w:val="20"/>
          <w:szCs w:val="20"/>
          <w:lang w:val="es-AR"/>
        </w:rPr>
        <w:t xml:space="preserve">Los intervinientes comunes </w:t>
      </w:r>
      <w:r w:rsidRPr="00395069">
        <w:rPr>
          <w:rFonts w:ascii="Verdana" w:hAnsi="Verdana" w:cs="Verdana"/>
          <w:color w:val="000000"/>
          <w:spacing w:val="-4"/>
          <w:sz w:val="20"/>
          <w:szCs w:val="20"/>
          <w:lang w:val="es-CR"/>
        </w:rPr>
        <w:t>presentaron</w:t>
      </w:r>
      <w:r w:rsidRPr="00395069">
        <w:rPr>
          <w:rFonts w:ascii="Verdana" w:hAnsi="Verdana"/>
          <w:spacing w:val="-4"/>
          <w:sz w:val="20"/>
          <w:szCs w:val="20"/>
          <w:lang w:val="es-AR"/>
        </w:rPr>
        <w:t xml:space="preserve"> una solicitud de medidas provisionales en favor de </w:t>
      </w:r>
      <w:r w:rsidR="00F40065">
        <w:rPr>
          <w:rFonts w:ascii="Verdana" w:hAnsi="Verdana"/>
          <w:spacing w:val="-4"/>
          <w:sz w:val="20"/>
          <w:szCs w:val="20"/>
          <w:lang w:val="es-AR"/>
        </w:rPr>
        <w:t>cuatro “</w:t>
      </w:r>
      <w:r w:rsidRPr="00395069">
        <w:rPr>
          <w:rFonts w:ascii="Verdana" w:hAnsi="Verdana"/>
          <w:spacing w:val="-4"/>
          <w:sz w:val="20"/>
          <w:szCs w:val="20"/>
          <w:lang w:val="es-AR"/>
        </w:rPr>
        <w:t>víctimas</w:t>
      </w:r>
      <w:r w:rsidR="00F40065">
        <w:rPr>
          <w:rFonts w:ascii="Verdana" w:hAnsi="Verdana"/>
          <w:spacing w:val="-4"/>
          <w:sz w:val="20"/>
          <w:szCs w:val="20"/>
          <w:lang w:val="es-AR"/>
        </w:rPr>
        <w:t>”</w:t>
      </w:r>
      <w:r w:rsidRPr="00395069">
        <w:rPr>
          <w:rFonts w:ascii="Verdana" w:hAnsi="Verdana"/>
          <w:spacing w:val="-4"/>
          <w:sz w:val="20"/>
          <w:szCs w:val="20"/>
          <w:lang w:val="es-AR"/>
        </w:rPr>
        <w:t>: Margot Lourdes Liendo Gil</w:t>
      </w:r>
      <w:r w:rsidR="00F40065">
        <w:rPr>
          <w:rFonts w:ascii="Verdana" w:hAnsi="Verdana"/>
          <w:spacing w:val="-4"/>
          <w:sz w:val="20"/>
          <w:szCs w:val="20"/>
          <w:lang w:val="es-AR"/>
        </w:rPr>
        <w:t>,</w:t>
      </w:r>
      <w:r w:rsidRPr="00395069">
        <w:rPr>
          <w:rFonts w:ascii="Verdana" w:hAnsi="Verdana"/>
          <w:spacing w:val="-4"/>
          <w:sz w:val="20"/>
          <w:szCs w:val="20"/>
          <w:lang w:val="es-AR"/>
        </w:rPr>
        <w:t xml:space="preserve"> Osman Roberto Morote Barrionuevo</w:t>
      </w:r>
      <w:r w:rsidR="00F40065">
        <w:rPr>
          <w:rFonts w:ascii="Verdana" w:hAnsi="Verdana"/>
          <w:spacing w:val="-4"/>
          <w:sz w:val="20"/>
          <w:szCs w:val="20"/>
          <w:lang w:val="es-AR"/>
        </w:rPr>
        <w:t>,</w:t>
      </w:r>
      <w:r w:rsidRPr="00395069">
        <w:rPr>
          <w:rFonts w:ascii="Verdana" w:hAnsi="Verdana"/>
          <w:spacing w:val="-4"/>
          <w:sz w:val="20"/>
          <w:szCs w:val="20"/>
          <w:lang w:val="es-AR"/>
        </w:rPr>
        <w:t xml:space="preserve"> Arturo Chumpitaz Aguirre </w:t>
      </w:r>
      <w:r w:rsidR="00F40065" w:rsidRPr="00942348">
        <w:rPr>
          <w:rFonts w:ascii="Verdana" w:hAnsi="Verdana"/>
          <w:spacing w:val="-4"/>
          <w:sz w:val="20"/>
          <w:szCs w:val="20"/>
          <w:lang w:val="es-AR"/>
        </w:rPr>
        <w:t xml:space="preserve">y Atilio Richard Cahuana </w:t>
      </w:r>
      <w:proofErr w:type="spellStart"/>
      <w:r w:rsidR="00F40065" w:rsidRPr="00942348">
        <w:rPr>
          <w:rFonts w:ascii="Verdana" w:hAnsi="Verdana"/>
          <w:spacing w:val="-4"/>
          <w:sz w:val="20"/>
          <w:szCs w:val="20"/>
          <w:lang w:val="es-AR"/>
        </w:rPr>
        <w:t>Yuyali</w:t>
      </w:r>
      <w:proofErr w:type="spellEnd"/>
      <w:r w:rsidR="00A16542" w:rsidRPr="00942348">
        <w:rPr>
          <w:rFonts w:ascii="Verdana" w:hAnsi="Verdana"/>
          <w:spacing w:val="-4"/>
          <w:sz w:val="20"/>
          <w:szCs w:val="20"/>
          <w:lang w:val="es-AR"/>
        </w:rPr>
        <w:t>,</w:t>
      </w:r>
      <w:r w:rsidR="00A16542">
        <w:rPr>
          <w:rFonts w:ascii="Verdana" w:hAnsi="Verdana"/>
          <w:spacing w:val="-4"/>
          <w:sz w:val="20"/>
          <w:szCs w:val="20"/>
          <w:lang w:val="es-AR"/>
        </w:rPr>
        <w:t xml:space="preserve"> así como de un “familiar”, el señor </w:t>
      </w:r>
      <w:r w:rsidRPr="00395069">
        <w:rPr>
          <w:rFonts w:ascii="Verdana" w:hAnsi="Verdana"/>
          <w:spacing w:val="-4"/>
          <w:sz w:val="20"/>
          <w:szCs w:val="20"/>
          <w:lang w:val="es-AR"/>
        </w:rPr>
        <w:t xml:space="preserve">Juan Alonso Aranda Company. Refirieron que los cinco propuestos beneficiarios se encuentran privados de su libertad en tres establecimientos penitenciarios del Perú “en grave situación de violación” de sus derechos </w:t>
      </w:r>
      <w:r w:rsidR="00E62C42">
        <w:rPr>
          <w:rFonts w:ascii="Verdana" w:hAnsi="Verdana"/>
          <w:spacing w:val="-4"/>
          <w:sz w:val="20"/>
          <w:szCs w:val="20"/>
          <w:lang w:val="es-AR"/>
        </w:rPr>
        <w:t>“</w:t>
      </w:r>
      <w:r w:rsidRPr="00395069">
        <w:rPr>
          <w:rFonts w:ascii="Verdana" w:hAnsi="Verdana"/>
          <w:spacing w:val="-4"/>
          <w:sz w:val="20"/>
          <w:szCs w:val="20"/>
          <w:lang w:val="es-AR"/>
        </w:rPr>
        <w:t>a la salud, a la integridad física y moral, y a la vida</w:t>
      </w:r>
      <w:r w:rsidR="00E62C42">
        <w:rPr>
          <w:rFonts w:ascii="Verdana" w:hAnsi="Verdana"/>
          <w:spacing w:val="-4"/>
          <w:sz w:val="20"/>
          <w:szCs w:val="20"/>
          <w:lang w:val="es-AR"/>
        </w:rPr>
        <w:t>”</w:t>
      </w:r>
      <w:r w:rsidRPr="00395069">
        <w:rPr>
          <w:rFonts w:ascii="Verdana" w:hAnsi="Verdana"/>
          <w:spacing w:val="-4"/>
          <w:sz w:val="20"/>
          <w:szCs w:val="20"/>
          <w:lang w:val="es-AR"/>
        </w:rPr>
        <w:t xml:space="preserve">, a raíz de “la falta del Estado de responder de manera adecuada a la pandemia de Covid-19”. </w:t>
      </w:r>
      <w:r w:rsidR="00A16542">
        <w:rPr>
          <w:rFonts w:ascii="Verdana" w:hAnsi="Verdana"/>
          <w:spacing w:val="-4"/>
          <w:sz w:val="20"/>
          <w:szCs w:val="20"/>
          <w:lang w:val="es-AR"/>
        </w:rPr>
        <w:t>S</w:t>
      </w:r>
      <w:r w:rsidRPr="00395069">
        <w:rPr>
          <w:rFonts w:ascii="Verdana" w:hAnsi="Verdana"/>
          <w:spacing w:val="-4"/>
          <w:sz w:val="20"/>
          <w:szCs w:val="20"/>
          <w:lang w:val="es-AR"/>
        </w:rPr>
        <w:t xml:space="preserve">olicitaron a la Corte que </w:t>
      </w:r>
      <w:r w:rsidRPr="00395069">
        <w:rPr>
          <w:rFonts w:ascii="Verdana" w:hAnsi="Verdana" w:cs="Verdana"/>
          <w:color w:val="000000"/>
          <w:spacing w:val="-4"/>
          <w:sz w:val="20"/>
          <w:szCs w:val="20"/>
          <w:lang w:val="es-CR"/>
        </w:rPr>
        <w:t>ordene al Estado las siguientes medidas de protección concretas:</w:t>
      </w:r>
      <w:bookmarkEnd w:id="1"/>
    </w:p>
    <w:p w14:paraId="02E0BCC8" w14:textId="77777777" w:rsidR="00640948" w:rsidRPr="00395069" w:rsidRDefault="00640948" w:rsidP="00BF0D03">
      <w:pPr>
        <w:pStyle w:val="Prrafodelista"/>
        <w:numPr>
          <w:ilvl w:val="0"/>
          <w:numId w:val="7"/>
        </w:numPr>
        <w:autoSpaceDE w:val="0"/>
        <w:autoSpaceDN w:val="0"/>
        <w:adjustRightInd w:val="0"/>
        <w:spacing w:before="120" w:after="120" w:line="240" w:lineRule="auto"/>
        <w:ind w:left="850" w:right="619"/>
        <w:contextualSpacing w:val="0"/>
        <w:jc w:val="both"/>
        <w:rPr>
          <w:rFonts w:ascii="Verdana" w:hAnsi="Verdana" w:cs="Verdana"/>
          <w:color w:val="000000"/>
          <w:spacing w:val="-4"/>
          <w:sz w:val="18"/>
          <w:szCs w:val="18"/>
          <w:lang w:val="es-CR"/>
        </w:rPr>
      </w:pPr>
      <w:r w:rsidRPr="00395069">
        <w:rPr>
          <w:rFonts w:ascii="Verdana" w:hAnsi="Verdana" w:cs="Verdana"/>
          <w:color w:val="000000"/>
          <w:spacing w:val="-4"/>
          <w:sz w:val="18"/>
          <w:szCs w:val="18"/>
          <w:lang w:val="es-CR"/>
        </w:rPr>
        <w:t>que se requiera al Estado peruano para que disponga las medidas necesarias para garantizar el respeto a la vida, a la integridad física y moral, y a la salud de los beneficiados con la presente solicitud, proveyéndoles de atención médica y medicinas o permitiendo el ingreso de las que envían sus familiares, y</w:t>
      </w:r>
    </w:p>
    <w:p w14:paraId="02B6E4CE" w14:textId="047BC932" w:rsidR="00640948" w:rsidRPr="00395069" w:rsidRDefault="00640948" w:rsidP="00BF0D03">
      <w:pPr>
        <w:pStyle w:val="Prrafodelista"/>
        <w:numPr>
          <w:ilvl w:val="0"/>
          <w:numId w:val="7"/>
        </w:numPr>
        <w:autoSpaceDE w:val="0"/>
        <w:autoSpaceDN w:val="0"/>
        <w:adjustRightInd w:val="0"/>
        <w:spacing w:before="120" w:after="120" w:line="240" w:lineRule="auto"/>
        <w:ind w:left="850" w:right="619"/>
        <w:contextualSpacing w:val="0"/>
        <w:jc w:val="both"/>
        <w:rPr>
          <w:rFonts w:ascii="Verdana" w:hAnsi="Verdana" w:cs="Verdana"/>
          <w:color w:val="000000"/>
          <w:spacing w:val="-4"/>
          <w:sz w:val="18"/>
          <w:szCs w:val="18"/>
          <w:lang w:val="es-CR"/>
        </w:rPr>
      </w:pPr>
      <w:r w:rsidRPr="00395069">
        <w:rPr>
          <w:rFonts w:ascii="Verdana" w:hAnsi="Verdana" w:cs="Verdana"/>
          <w:color w:val="000000"/>
          <w:spacing w:val="-4"/>
          <w:sz w:val="18"/>
          <w:szCs w:val="18"/>
          <w:lang w:val="es-CR"/>
        </w:rPr>
        <w:t xml:space="preserve">tomando en cuenta las medidas efectivas para la </w:t>
      </w:r>
      <w:r w:rsidRPr="00BF0D03">
        <w:rPr>
          <w:rFonts w:ascii="Verdana" w:hAnsi="Verdana" w:cs="Verdana"/>
          <w:color w:val="000000"/>
          <w:spacing w:val="-4"/>
          <w:sz w:val="18"/>
          <w:szCs w:val="18"/>
          <w:lang w:val="es-CR"/>
        </w:rPr>
        <w:t>despenalización de las cárceles a fin de disminuir el hacinamiento que el propio Estado ha reconocido para así</w:t>
      </w:r>
      <w:r w:rsidRPr="00395069">
        <w:rPr>
          <w:rFonts w:ascii="Verdana" w:hAnsi="Verdana" w:cs="Verdana"/>
          <w:color w:val="000000"/>
          <w:spacing w:val="-4"/>
          <w:sz w:val="18"/>
          <w:szCs w:val="18"/>
          <w:lang w:val="es-CR"/>
        </w:rPr>
        <w:t xml:space="preserve"> disminuir el riesgo del contagio con el Covid-19, […] que los beneficiarios puedan cumplir la pena privativa de libertad en detención domiciliaria mientras subsista la amenaza a su vida, su integridad y salud, sin discriminación.</w:t>
      </w:r>
    </w:p>
    <w:p w14:paraId="443D8F18" w14:textId="1BE23777" w:rsidR="00640948" w:rsidRPr="00A16542"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CR"/>
        </w:rPr>
      </w:pPr>
      <w:r w:rsidRPr="00395069">
        <w:rPr>
          <w:rFonts w:ascii="Verdana" w:hAnsi="Verdana" w:cs="Verdana"/>
          <w:color w:val="000000"/>
          <w:spacing w:val="-4"/>
          <w:sz w:val="20"/>
          <w:szCs w:val="20"/>
          <w:lang w:val="es-CR"/>
        </w:rPr>
        <w:t xml:space="preserve">Los intervinientes comunes </w:t>
      </w:r>
      <w:r w:rsidRPr="00395069">
        <w:rPr>
          <w:rFonts w:ascii="Verdana" w:hAnsi="Verdana"/>
          <w:spacing w:val="-4"/>
          <w:sz w:val="20"/>
          <w:szCs w:val="20"/>
          <w:lang w:val="es-ES"/>
        </w:rPr>
        <w:t>fundamentaron su solicitud de medidas provisionales en un contexto y en hechos específicos</w:t>
      </w:r>
      <w:r w:rsidR="0084709F" w:rsidRPr="00395069">
        <w:rPr>
          <w:rFonts w:ascii="Verdana" w:hAnsi="Verdana" w:cs="Verdana"/>
          <w:color w:val="000000"/>
          <w:spacing w:val="-4"/>
          <w:sz w:val="20"/>
          <w:szCs w:val="20"/>
          <w:lang w:val="es-CR"/>
        </w:rPr>
        <w:t xml:space="preserve">. </w:t>
      </w:r>
      <w:bookmarkStart w:id="2" w:name="_Ref46181422"/>
      <w:r w:rsidRPr="00A16542">
        <w:rPr>
          <w:rFonts w:ascii="Verdana" w:hAnsi="Verdana" w:cs="Verdana"/>
          <w:color w:val="000000"/>
          <w:spacing w:val="-4"/>
          <w:sz w:val="20"/>
          <w:szCs w:val="20"/>
          <w:lang w:val="es-CR"/>
        </w:rPr>
        <w:t>Respecto al “contexto”, señalaron, entre otros aspectos, lo siguiente:</w:t>
      </w:r>
      <w:bookmarkEnd w:id="2"/>
      <w:r w:rsidRPr="00A16542">
        <w:rPr>
          <w:rFonts w:ascii="Verdana" w:hAnsi="Verdana" w:cs="Verdana"/>
          <w:color w:val="000000"/>
          <w:spacing w:val="-4"/>
          <w:sz w:val="20"/>
          <w:szCs w:val="20"/>
          <w:lang w:val="es-CR"/>
        </w:rPr>
        <w:t xml:space="preserve"> </w:t>
      </w:r>
    </w:p>
    <w:p w14:paraId="19E72580" w14:textId="79BBDF08" w:rsidR="00640948" w:rsidRPr="00395069" w:rsidRDefault="00C32EA7" w:rsidP="00BF0D03">
      <w:pPr>
        <w:pStyle w:val="Prrafodelista"/>
        <w:numPr>
          <w:ilvl w:val="0"/>
          <w:numId w:val="5"/>
        </w:numPr>
        <w:autoSpaceDE w:val="0"/>
        <w:autoSpaceDN w:val="0"/>
        <w:adjustRightInd w:val="0"/>
        <w:spacing w:before="120" w:after="120" w:line="240" w:lineRule="auto"/>
        <w:contextualSpacing w:val="0"/>
        <w:jc w:val="both"/>
        <w:rPr>
          <w:rFonts w:ascii="Verdana" w:hAnsi="Verdana" w:cs="Verdana"/>
          <w:color w:val="000000"/>
          <w:spacing w:val="-4"/>
          <w:sz w:val="20"/>
          <w:szCs w:val="20"/>
          <w:lang w:val="es-CR"/>
        </w:rPr>
      </w:pPr>
      <w:r>
        <w:rPr>
          <w:rFonts w:ascii="Verdana" w:hAnsi="Verdana" w:cs="Verdana"/>
          <w:color w:val="000000"/>
          <w:spacing w:val="-4"/>
          <w:sz w:val="20"/>
          <w:szCs w:val="20"/>
          <w:lang w:val="es-CR"/>
        </w:rPr>
        <w:t>c</w:t>
      </w:r>
      <w:r w:rsidR="00640948" w:rsidRPr="00395069">
        <w:rPr>
          <w:rFonts w:ascii="Verdana" w:hAnsi="Verdana" w:cs="Verdana"/>
          <w:color w:val="000000"/>
          <w:spacing w:val="-4"/>
          <w:sz w:val="20"/>
          <w:szCs w:val="20"/>
          <w:lang w:val="es-CR"/>
        </w:rPr>
        <w:t xml:space="preserve">uando el 11 de marzo de 2020 el Poder Ejecutivo declaró la emergencia sanitaria nacional “no incluyó en sus alcances a los centros de detención [ni al] Instituto Nacional Penitenciario-INPE”, lo cual </w:t>
      </w:r>
      <w:r w:rsidR="00640948" w:rsidRPr="00395069">
        <w:rPr>
          <w:rFonts w:ascii="Verdana" w:hAnsi="Verdana"/>
          <w:spacing w:val="-4"/>
          <w:sz w:val="20"/>
          <w:szCs w:val="20"/>
          <w:lang w:val="es-CR"/>
        </w:rPr>
        <w:t>colocó a estas personas en un estado grave de vulnerabilidad con relación a su derecho a la salud</w:t>
      </w:r>
      <w:r>
        <w:rPr>
          <w:rFonts w:ascii="Verdana" w:hAnsi="Verdana" w:cs="Verdana"/>
          <w:color w:val="000000"/>
          <w:spacing w:val="-4"/>
          <w:sz w:val="20"/>
          <w:szCs w:val="20"/>
          <w:lang w:val="es-CR"/>
        </w:rPr>
        <w:t>;</w:t>
      </w:r>
    </w:p>
    <w:p w14:paraId="53966FBF" w14:textId="3B1A1DEC" w:rsidR="00640948" w:rsidRPr="00395069" w:rsidRDefault="00640948"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AR"/>
        </w:rPr>
      </w:pPr>
      <w:r w:rsidRPr="00395069">
        <w:rPr>
          <w:rFonts w:ascii="Verdana" w:hAnsi="Verdana" w:cs="Verdana"/>
          <w:color w:val="000000"/>
          <w:spacing w:val="-4"/>
          <w:sz w:val="20"/>
          <w:szCs w:val="20"/>
          <w:lang w:val="es-CR"/>
        </w:rPr>
        <w:t xml:space="preserve">el </w:t>
      </w:r>
      <w:r w:rsidRPr="00395069">
        <w:rPr>
          <w:rFonts w:ascii="Verdana" w:hAnsi="Verdana"/>
          <w:spacing w:val="-4"/>
          <w:sz w:val="20"/>
          <w:szCs w:val="20"/>
          <w:lang w:val="es-AR"/>
        </w:rPr>
        <w:t xml:space="preserve">Decreto </w:t>
      </w:r>
      <w:r w:rsidR="00C32EA7">
        <w:rPr>
          <w:rFonts w:ascii="Verdana" w:hAnsi="Verdana"/>
          <w:spacing w:val="-4"/>
          <w:sz w:val="20"/>
          <w:szCs w:val="20"/>
          <w:lang w:val="es-AR"/>
        </w:rPr>
        <w:t>Supremo</w:t>
      </w:r>
      <w:r w:rsidRPr="00395069">
        <w:rPr>
          <w:rFonts w:ascii="Verdana" w:hAnsi="Verdana"/>
          <w:spacing w:val="-4"/>
          <w:sz w:val="20"/>
          <w:szCs w:val="20"/>
          <w:lang w:val="es-AR"/>
        </w:rPr>
        <w:t xml:space="preserve"> emitido el 2</w:t>
      </w:r>
      <w:r w:rsidR="00C32EA7">
        <w:rPr>
          <w:rFonts w:ascii="Verdana" w:hAnsi="Verdana"/>
          <w:spacing w:val="-4"/>
          <w:sz w:val="20"/>
          <w:szCs w:val="20"/>
          <w:lang w:val="es-AR"/>
        </w:rPr>
        <w:t>3</w:t>
      </w:r>
      <w:r w:rsidRPr="00395069">
        <w:rPr>
          <w:rFonts w:ascii="Verdana" w:hAnsi="Verdana"/>
          <w:spacing w:val="-4"/>
          <w:sz w:val="20"/>
          <w:szCs w:val="20"/>
          <w:lang w:val="es-AR"/>
        </w:rPr>
        <w:t xml:space="preserve"> de abril de 2020, en el cual “se establecen supuestos especiales para la evaluación y propuesta de recomendación de gracias presidenciales, en el marco de la emergencia sanitaria por C</w:t>
      </w:r>
      <w:r w:rsidR="00C32EA7">
        <w:rPr>
          <w:rFonts w:ascii="Verdana" w:hAnsi="Verdana"/>
          <w:spacing w:val="-4"/>
          <w:sz w:val="20"/>
          <w:szCs w:val="20"/>
          <w:lang w:val="es-AR"/>
        </w:rPr>
        <w:t>OVID</w:t>
      </w:r>
      <w:r w:rsidRPr="00395069">
        <w:rPr>
          <w:rFonts w:ascii="Verdana" w:hAnsi="Verdana"/>
          <w:spacing w:val="-4"/>
          <w:sz w:val="20"/>
          <w:szCs w:val="20"/>
          <w:lang w:val="es-AR"/>
        </w:rPr>
        <w:t>-19”, es una medida insuficiente ante el nivel de sobrepoblación de personas privadas de libertad, ya que preveía liberar apenas un 3% de la población penitenciaria, según hizo notar la Defensoría del Pueblo</w:t>
      </w:r>
      <w:r w:rsidR="00BF0D03">
        <w:rPr>
          <w:rFonts w:ascii="Verdana" w:hAnsi="Verdana"/>
          <w:spacing w:val="-4"/>
          <w:sz w:val="20"/>
          <w:szCs w:val="20"/>
          <w:lang w:val="es-AR"/>
        </w:rPr>
        <w:t xml:space="preserve"> del Perú</w:t>
      </w:r>
      <w:r w:rsidRPr="00395069">
        <w:rPr>
          <w:rFonts w:ascii="Verdana" w:hAnsi="Verdana"/>
          <w:spacing w:val="-4"/>
          <w:sz w:val="20"/>
          <w:szCs w:val="20"/>
          <w:lang w:val="es-AR"/>
        </w:rPr>
        <w:t>. Además consideran que dicha norma “m[</w:t>
      </w:r>
      <w:proofErr w:type="spellStart"/>
      <w:r w:rsidRPr="00395069">
        <w:rPr>
          <w:rFonts w:ascii="Verdana" w:hAnsi="Verdana"/>
          <w:spacing w:val="-4"/>
          <w:sz w:val="20"/>
          <w:szCs w:val="20"/>
          <w:lang w:val="es-AR"/>
        </w:rPr>
        <w:t>uestra</w:t>
      </w:r>
      <w:proofErr w:type="spellEnd"/>
      <w:r w:rsidRPr="00395069">
        <w:rPr>
          <w:rFonts w:ascii="Verdana" w:hAnsi="Verdana"/>
          <w:spacing w:val="-4"/>
          <w:sz w:val="20"/>
          <w:szCs w:val="20"/>
          <w:lang w:val="es-AR"/>
        </w:rPr>
        <w:t>] la más absoluta discriminación” al excluir a los internos por delito de terrorismo</w:t>
      </w:r>
      <w:r w:rsidR="000566FE">
        <w:rPr>
          <w:rFonts w:ascii="Verdana" w:hAnsi="Verdana"/>
          <w:spacing w:val="-4"/>
          <w:sz w:val="20"/>
          <w:szCs w:val="20"/>
          <w:lang w:val="es-AR"/>
        </w:rPr>
        <w:t>;</w:t>
      </w:r>
    </w:p>
    <w:p w14:paraId="4D49E0D5" w14:textId="42728407" w:rsidR="00640948" w:rsidRPr="00395069" w:rsidRDefault="000566FE"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AR"/>
        </w:rPr>
      </w:pPr>
      <w:r>
        <w:rPr>
          <w:rFonts w:ascii="Verdana" w:hAnsi="Verdana" w:cs="Verdana"/>
          <w:color w:val="000000"/>
          <w:spacing w:val="-4"/>
          <w:sz w:val="20"/>
          <w:szCs w:val="20"/>
          <w:lang w:val="es-CR"/>
        </w:rPr>
        <w:t>l</w:t>
      </w:r>
      <w:r w:rsidR="00640948" w:rsidRPr="00395069">
        <w:rPr>
          <w:rFonts w:ascii="Verdana" w:hAnsi="Verdana" w:cs="Verdana"/>
          <w:color w:val="000000"/>
          <w:spacing w:val="-4"/>
          <w:sz w:val="20"/>
          <w:szCs w:val="20"/>
          <w:lang w:val="es-CR"/>
        </w:rPr>
        <w:t>as restricciones dispuestas por el Instituto Nacional Penitenciario ante el C</w:t>
      </w:r>
      <w:r w:rsidR="00BF0D03">
        <w:rPr>
          <w:rFonts w:ascii="Verdana" w:hAnsi="Verdana" w:cs="Verdana"/>
          <w:color w:val="000000"/>
          <w:spacing w:val="-4"/>
          <w:sz w:val="20"/>
          <w:szCs w:val="20"/>
          <w:lang w:val="es-CR"/>
        </w:rPr>
        <w:t>OVID</w:t>
      </w:r>
      <w:r w:rsidR="00640948" w:rsidRPr="00395069">
        <w:rPr>
          <w:rFonts w:ascii="Verdana" w:hAnsi="Verdana" w:cs="Verdana"/>
          <w:color w:val="000000"/>
          <w:spacing w:val="-4"/>
          <w:sz w:val="20"/>
          <w:szCs w:val="20"/>
          <w:lang w:val="es-CR"/>
        </w:rPr>
        <w:t xml:space="preserve">-19 </w:t>
      </w:r>
      <w:r w:rsidR="00640948" w:rsidRPr="00395069">
        <w:rPr>
          <w:rFonts w:ascii="Verdana" w:hAnsi="Verdana"/>
          <w:spacing w:val="-4"/>
          <w:sz w:val="20"/>
          <w:szCs w:val="20"/>
          <w:lang w:val="es-AR"/>
        </w:rPr>
        <w:t>en cuanto a la visita de la población penitenciaria, “ha[n] tenido un impacto en la alimentación, medicinas, útiles de aseo y otras necesidades de los internos que eran cubiertas a través de los familiares”</w:t>
      </w:r>
      <w:r>
        <w:rPr>
          <w:rFonts w:ascii="Verdana" w:hAnsi="Verdana"/>
          <w:spacing w:val="-4"/>
          <w:sz w:val="20"/>
          <w:szCs w:val="20"/>
          <w:lang w:val="es-AR"/>
        </w:rPr>
        <w:t>;</w:t>
      </w:r>
    </w:p>
    <w:p w14:paraId="26431B2E" w14:textId="1063C25E" w:rsidR="00640948" w:rsidRPr="00395069" w:rsidRDefault="000566FE"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AR"/>
        </w:rPr>
      </w:pPr>
      <w:r>
        <w:rPr>
          <w:rFonts w:ascii="Verdana" w:hAnsi="Verdana" w:cs="Verdana"/>
          <w:color w:val="000000"/>
          <w:spacing w:val="-4"/>
          <w:sz w:val="20"/>
          <w:szCs w:val="20"/>
          <w:lang w:val="es-AR"/>
        </w:rPr>
        <w:t>s</w:t>
      </w:r>
      <w:r w:rsidR="00640948" w:rsidRPr="00395069">
        <w:rPr>
          <w:rFonts w:ascii="Verdana" w:hAnsi="Verdana" w:cs="Verdana"/>
          <w:color w:val="000000"/>
          <w:spacing w:val="-4"/>
          <w:sz w:val="20"/>
          <w:szCs w:val="20"/>
          <w:lang w:val="es-AR"/>
        </w:rPr>
        <w:t xml:space="preserve">e refirieron al incremento </w:t>
      </w:r>
      <w:r w:rsidR="00640948" w:rsidRPr="00395069">
        <w:rPr>
          <w:rFonts w:ascii="Verdana" w:hAnsi="Verdana"/>
          <w:spacing w:val="-4"/>
          <w:sz w:val="20"/>
          <w:szCs w:val="20"/>
          <w:lang w:val="es-CR"/>
        </w:rPr>
        <w:t>de personas contagiadas con COVID-19 y fallecidas en los establecimientos penales entre finales de abril y mediados de mayo</w:t>
      </w:r>
      <w:r w:rsidR="00BF0D03">
        <w:rPr>
          <w:rFonts w:ascii="Verdana" w:hAnsi="Verdana"/>
          <w:spacing w:val="-4"/>
          <w:sz w:val="20"/>
          <w:szCs w:val="20"/>
          <w:lang w:val="es-CR"/>
        </w:rPr>
        <w:t xml:space="preserve"> de 2020</w:t>
      </w:r>
      <w:r w:rsidR="00640948" w:rsidRPr="00BF0D03">
        <w:rPr>
          <w:rStyle w:val="Refdenotaalpie"/>
          <w:spacing w:val="-4"/>
          <w:sz w:val="20"/>
          <w:szCs w:val="20"/>
          <w:lang w:val="es-CR"/>
        </w:rPr>
        <w:footnoteReference w:id="6"/>
      </w:r>
      <w:r w:rsidR="00640948" w:rsidRPr="00395069">
        <w:rPr>
          <w:rFonts w:ascii="Verdana" w:hAnsi="Verdana"/>
          <w:spacing w:val="-4"/>
          <w:sz w:val="20"/>
          <w:szCs w:val="20"/>
          <w:lang w:val="es-CR"/>
        </w:rPr>
        <w:t xml:space="preserve">, respecto a lo cual </w:t>
      </w:r>
      <w:r w:rsidR="00640948" w:rsidRPr="00395069">
        <w:rPr>
          <w:rFonts w:ascii="Verdana" w:hAnsi="Verdana"/>
          <w:spacing w:val="-4"/>
          <w:sz w:val="20"/>
          <w:szCs w:val="20"/>
          <w:lang w:val="es-AR"/>
        </w:rPr>
        <w:t xml:space="preserve">la Defensoría del Pueblo transmitió su preocupación y </w:t>
      </w:r>
      <w:r w:rsidR="00640948" w:rsidRPr="00395069">
        <w:rPr>
          <w:rFonts w:ascii="Verdana" w:hAnsi="Verdana"/>
          <w:spacing w:val="-4"/>
          <w:sz w:val="20"/>
          <w:szCs w:val="20"/>
          <w:lang w:val="es-AR"/>
        </w:rPr>
        <w:lastRenderedPageBreak/>
        <w:t xml:space="preserve">consideró que las disposiciones adoptadas en materia sanitaria “no son suficientes, dado el </w:t>
      </w:r>
      <w:r w:rsidR="00640948" w:rsidRPr="00395069">
        <w:rPr>
          <w:rFonts w:ascii="Verdana" w:hAnsi="Verdana"/>
          <w:spacing w:val="-4"/>
          <w:sz w:val="20"/>
          <w:szCs w:val="20"/>
          <w:lang w:val="es-ES_tradnl"/>
        </w:rPr>
        <w:t>hacinamiento que enfrentan estos espacios”</w:t>
      </w:r>
      <w:r w:rsidR="00E62C42">
        <w:rPr>
          <w:rFonts w:ascii="Verdana" w:hAnsi="Verdana"/>
          <w:spacing w:val="-4"/>
          <w:sz w:val="20"/>
          <w:szCs w:val="20"/>
          <w:lang w:val="es-AR"/>
        </w:rPr>
        <w:t>;</w:t>
      </w:r>
    </w:p>
    <w:p w14:paraId="77767858" w14:textId="79B5C909" w:rsidR="00640948" w:rsidRPr="00395069" w:rsidRDefault="00362D00"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CR"/>
        </w:rPr>
      </w:pPr>
      <w:r>
        <w:rPr>
          <w:rFonts w:ascii="Verdana" w:hAnsi="Verdana"/>
          <w:spacing w:val="-4"/>
          <w:sz w:val="20"/>
          <w:szCs w:val="20"/>
          <w:lang w:val="es-AR"/>
        </w:rPr>
        <w:t>r</w:t>
      </w:r>
      <w:r w:rsidR="00640948" w:rsidRPr="00395069">
        <w:rPr>
          <w:rFonts w:ascii="Verdana" w:hAnsi="Verdana"/>
          <w:spacing w:val="-4"/>
          <w:sz w:val="20"/>
          <w:szCs w:val="20"/>
          <w:lang w:val="es-CR"/>
        </w:rPr>
        <w:t xml:space="preserve">especto del establecimiento </w:t>
      </w:r>
      <w:r w:rsidR="00BF0D03">
        <w:rPr>
          <w:rFonts w:ascii="Verdana" w:hAnsi="Verdana"/>
          <w:spacing w:val="-4"/>
          <w:sz w:val="20"/>
          <w:szCs w:val="20"/>
          <w:lang w:val="es-CR"/>
        </w:rPr>
        <w:t>P</w:t>
      </w:r>
      <w:r w:rsidR="00640948" w:rsidRPr="00395069">
        <w:rPr>
          <w:rFonts w:ascii="Verdana" w:hAnsi="Verdana"/>
          <w:spacing w:val="-4"/>
          <w:sz w:val="20"/>
          <w:szCs w:val="20"/>
          <w:lang w:val="es-CR"/>
        </w:rPr>
        <w:t xml:space="preserve">enal Miguel Castro </w:t>
      </w:r>
      <w:proofErr w:type="spellStart"/>
      <w:r w:rsidR="00640948" w:rsidRPr="00395069">
        <w:rPr>
          <w:rFonts w:ascii="Verdana" w:hAnsi="Verdana"/>
          <w:spacing w:val="-4"/>
          <w:sz w:val="20"/>
          <w:szCs w:val="20"/>
          <w:lang w:val="es-CR"/>
        </w:rPr>
        <w:t>Castro</w:t>
      </w:r>
      <w:proofErr w:type="spellEnd"/>
      <w:r w:rsidR="00640948" w:rsidRPr="00395069">
        <w:rPr>
          <w:rFonts w:ascii="Verdana" w:hAnsi="Verdana"/>
          <w:spacing w:val="-4"/>
          <w:sz w:val="20"/>
          <w:szCs w:val="20"/>
          <w:lang w:val="es-CR"/>
        </w:rPr>
        <w:t xml:space="preserve">, en el cual se encuentran </w:t>
      </w:r>
      <w:r w:rsidR="00E62C42">
        <w:rPr>
          <w:rFonts w:ascii="Verdana" w:hAnsi="Verdana"/>
          <w:spacing w:val="-4"/>
          <w:sz w:val="20"/>
          <w:szCs w:val="20"/>
          <w:lang w:val="es-CR"/>
        </w:rPr>
        <w:t>dos</w:t>
      </w:r>
      <w:r w:rsidR="00640948" w:rsidRPr="00395069">
        <w:rPr>
          <w:rFonts w:ascii="Verdana" w:hAnsi="Verdana"/>
          <w:spacing w:val="-4"/>
          <w:sz w:val="20"/>
          <w:szCs w:val="20"/>
          <w:lang w:val="es-CR"/>
        </w:rPr>
        <w:t xml:space="preserve"> de los </w:t>
      </w:r>
      <w:r w:rsidR="00E62C42">
        <w:rPr>
          <w:rFonts w:ascii="Verdana" w:hAnsi="Verdana"/>
          <w:spacing w:val="-4"/>
          <w:sz w:val="20"/>
          <w:szCs w:val="20"/>
          <w:lang w:val="es-CR"/>
        </w:rPr>
        <w:t>cinco</w:t>
      </w:r>
      <w:r w:rsidR="00E62C42" w:rsidRPr="00395069">
        <w:rPr>
          <w:rFonts w:ascii="Verdana" w:hAnsi="Verdana"/>
          <w:spacing w:val="-4"/>
          <w:sz w:val="20"/>
          <w:szCs w:val="20"/>
          <w:lang w:val="es-CR"/>
        </w:rPr>
        <w:t xml:space="preserve"> </w:t>
      </w:r>
      <w:r w:rsidR="00640948" w:rsidRPr="00395069">
        <w:rPr>
          <w:rFonts w:ascii="Verdana" w:hAnsi="Verdana"/>
          <w:spacing w:val="-4"/>
          <w:sz w:val="20"/>
          <w:szCs w:val="20"/>
          <w:lang w:val="es-CR"/>
        </w:rPr>
        <w:t>propuestos beneficiarios, remarcaron que, de los 5</w:t>
      </w:r>
      <w:r w:rsidR="00E62C42">
        <w:rPr>
          <w:rFonts w:ascii="Verdana" w:hAnsi="Verdana"/>
          <w:spacing w:val="-4"/>
          <w:sz w:val="20"/>
          <w:szCs w:val="20"/>
          <w:lang w:val="es-CR"/>
        </w:rPr>
        <w:t>,</w:t>
      </w:r>
      <w:r w:rsidR="00640948" w:rsidRPr="00395069">
        <w:rPr>
          <w:rFonts w:ascii="Verdana" w:hAnsi="Verdana"/>
          <w:spacing w:val="-4"/>
          <w:sz w:val="20"/>
          <w:szCs w:val="20"/>
          <w:lang w:val="es-CR"/>
        </w:rPr>
        <w:t xml:space="preserve">543 internos, “[la] mayoría están infectados”. Agregaron que el “área de salud [del referido establecimiento] carece de personal”, y, a la fecha de presentación de la solicitud, </w:t>
      </w:r>
      <w:r w:rsidR="006D0F32">
        <w:rPr>
          <w:rFonts w:ascii="Verdana" w:hAnsi="Verdana"/>
          <w:spacing w:val="-4"/>
          <w:sz w:val="20"/>
          <w:szCs w:val="20"/>
          <w:lang w:val="es-CR"/>
        </w:rPr>
        <w:t>“</w:t>
      </w:r>
      <w:r w:rsidR="00640948" w:rsidRPr="00395069">
        <w:rPr>
          <w:rFonts w:ascii="Verdana" w:hAnsi="Verdana"/>
          <w:spacing w:val="-4"/>
          <w:sz w:val="20"/>
          <w:szCs w:val="20"/>
          <w:lang w:val="es-CR"/>
        </w:rPr>
        <w:t>se [habían] contagiado entre 5 a 6 miembros del personal de salud”</w:t>
      </w:r>
      <w:r w:rsidR="006D0F32">
        <w:rPr>
          <w:rFonts w:ascii="Verdana" w:hAnsi="Verdana"/>
          <w:spacing w:val="-4"/>
          <w:sz w:val="20"/>
          <w:szCs w:val="20"/>
          <w:lang w:val="es-CR"/>
        </w:rPr>
        <w:t>;</w:t>
      </w:r>
      <w:r w:rsidR="00640948" w:rsidRPr="00395069">
        <w:rPr>
          <w:rFonts w:ascii="Verdana" w:hAnsi="Verdana"/>
          <w:spacing w:val="-4"/>
          <w:sz w:val="20"/>
          <w:szCs w:val="20"/>
          <w:lang w:val="es-CR"/>
        </w:rPr>
        <w:t xml:space="preserve"> </w:t>
      </w:r>
    </w:p>
    <w:p w14:paraId="16F3B07F" w14:textId="4BB104E1" w:rsidR="00640948" w:rsidRPr="005A4F8F" w:rsidRDefault="006D0F32"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CR"/>
        </w:rPr>
      </w:pPr>
      <w:r w:rsidRPr="005A4F8F">
        <w:rPr>
          <w:rFonts w:ascii="Verdana" w:hAnsi="Verdana"/>
          <w:spacing w:val="-4"/>
          <w:sz w:val="20"/>
          <w:szCs w:val="20"/>
          <w:lang w:val="es-CR"/>
        </w:rPr>
        <w:t>e</w:t>
      </w:r>
      <w:r w:rsidR="00F36D3A" w:rsidRPr="005A4F8F">
        <w:rPr>
          <w:rFonts w:ascii="Verdana" w:hAnsi="Verdana"/>
          <w:spacing w:val="-4"/>
          <w:sz w:val="20"/>
          <w:szCs w:val="20"/>
          <w:lang w:val="es-CR"/>
        </w:rPr>
        <w:t xml:space="preserve">n abril y mayo, </w:t>
      </w:r>
      <w:r w:rsidR="00640948" w:rsidRPr="005A4F8F">
        <w:rPr>
          <w:rFonts w:ascii="Verdana" w:hAnsi="Verdana"/>
          <w:spacing w:val="-4"/>
          <w:sz w:val="20"/>
          <w:szCs w:val="20"/>
          <w:lang w:val="es-CR"/>
        </w:rPr>
        <w:t xml:space="preserve">los internos </w:t>
      </w:r>
      <w:r w:rsidR="00F36D3A" w:rsidRPr="005A4F8F">
        <w:rPr>
          <w:rFonts w:ascii="Verdana" w:hAnsi="Verdana"/>
          <w:spacing w:val="-4"/>
          <w:sz w:val="20"/>
          <w:szCs w:val="20"/>
          <w:lang w:val="es-CR"/>
        </w:rPr>
        <w:t xml:space="preserve">de los establecimientos penales en que se encuentran los propuestos beneficiarios </w:t>
      </w:r>
      <w:r w:rsidR="00640948" w:rsidRPr="00204121">
        <w:rPr>
          <w:rFonts w:ascii="Verdana" w:hAnsi="Verdana"/>
          <w:spacing w:val="-4"/>
          <w:sz w:val="20"/>
          <w:szCs w:val="20"/>
          <w:lang w:val="es-CR"/>
        </w:rPr>
        <w:t>realizaron protestas ante la situación de numerosos internos</w:t>
      </w:r>
      <w:r w:rsidR="00651917" w:rsidRPr="00204121">
        <w:rPr>
          <w:rFonts w:ascii="Verdana" w:hAnsi="Verdana"/>
          <w:spacing w:val="-4"/>
          <w:sz w:val="20"/>
          <w:szCs w:val="20"/>
          <w:lang w:val="es-CR"/>
        </w:rPr>
        <w:t xml:space="preserve"> infectados sin atención médica</w:t>
      </w:r>
      <w:r w:rsidR="00F36D3A" w:rsidRPr="0092538C">
        <w:rPr>
          <w:rFonts w:ascii="Verdana" w:hAnsi="Verdana"/>
          <w:spacing w:val="-4"/>
          <w:sz w:val="20"/>
          <w:szCs w:val="20"/>
          <w:lang w:val="es-CR"/>
        </w:rPr>
        <w:t>, así como la falta de insumos de protección y medicinas</w:t>
      </w:r>
      <w:r w:rsidR="00AE4980" w:rsidRPr="00EB0331">
        <w:rPr>
          <w:rFonts w:ascii="Verdana" w:hAnsi="Verdana"/>
          <w:spacing w:val="-4"/>
          <w:sz w:val="20"/>
          <w:szCs w:val="20"/>
          <w:lang w:val="es-CR"/>
        </w:rPr>
        <w:t>;</w:t>
      </w:r>
      <w:r w:rsidR="00640948" w:rsidRPr="005A4F8F">
        <w:rPr>
          <w:rFonts w:ascii="Verdana" w:hAnsi="Verdana"/>
          <w:spacing w:val="-4"/>
          <w:sz w:val="20"/>
          <w:szCs w:val="20"/>
          <w:lang w:val="es-CR"/>
        </w:rPr>
        <w:t xml:space="preserve"> </w:t>
      </w:r>
    </w:p>
    <w:p w14:paraId="1DC6BA9A" w14:textId="21AC5017" w:rsidR="00640948" w:rsidRPr="00395069" w:rsidRDefault="00AE4980"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CR"/>
        </w:rPr>
      </w:pPr>
      <w:r>
        <w:rPr>
          <w:rFonts w:ascii="Verdana" w:hAnsi="Verdana" w:cs="Arial"/>
          <w:spacing w:val="-4"/>
          <w:sz w:val="20"/>
          <w:szCs w:val="20"/>
          <w:lang w:val="es-AR"/>
        </w:rPr>
        <w:t>l</w:t>
      </w:r>
      <w:r w:rsidR="00640948" w:rsidRPr="00395069">
        <w:rPr>
          <w:rFonts w:ascii="Verdana" w:hAnsi="Verdana" w:cs="Arial"/>
          <w:spacing w:val="-4"/>
          <w:sz w:val="20"/>
          <w:szCs w:val="20"/>
          <w:lang w:val="es-AR"/>
        </w:rPr>
        <w:t xml:space="preserve">as medidas adoptadas </w:t>
      </w:r>
      <w:r w:rsidR="00640948" w:rsidRPr="00395069">
        <w:rPr>
          <w:rFonts w:ascii="Verdana" w:hAnsi="Verdana"/>
          <w:spacing w:val="-4"/>
          <w:sz w:val="20"/>
          <w:szCs w:val="20"/>
          <w:lang w:val="es-AR"/>
        </w:rPr>
        <w:t>a nivel nacional para enfrentar la situación de la pandemia en los centros de detención</w:t>
      </w:r>
      <w:r w:rsidR="00640948" w:rsidRPr="00395069">
        <w:rPr>
          <w:rFonts w:ascii="Verdana" w:hAnsi="Verdana" w:cs="Arial"/>
          <w:spacing w:val="-4"/>
          <w:sz w:val="20"/>
          <w:szCs w:val="20"/>
          <w:lang w:val="es-AR"/>
        </w:rPr>
        <w:t>, a las cuales hizo referencia el Estado en su informe de 22 de mayo de 2020 (</w:t>
      </w:r>
      <w:r w:rsidR="00640948" w:rsidRPr="00395069">
        <w:rPr>
          <w:rFonts w:ascii="Verdana" w:hAnsi="Verdana" w:cs="Arial"/>
          <w:i/>
          <w:spacing w:val="-4"/>
          <w:sz w:val="20"/>
          <w:szCs w:val="20"/>
          <w:lang w:val="es-AR"/>
        </w:rPr>
        <w:t xml:space="preserve">infra </w:t>
      </w:r>
      <w:r w:rsidR="00640948" w:rsidRPr="00395069">
        <w:rPr>
          <w:rFonts w:ascii="Verdana" w:hAnsi="Verdana" w:cs="Arial"/>
          <w:spacing w:val="-4"/>
          <w:sz w:val="20"/>
          <w:szCs w:val="20"/>
          <w:lang w:val="es-AR"/>
        </w:rPr>
        <w:t xml:space="preserve">Considerando </w:t>
      </w:r>
      <w:r w:rsidR="001A7A68">
        <w:rPr>
          <w:rFonts w:ascii="Verdana" w:hAnsi="Verdana" w:cs="Arial"/>
          <w:spacing w:val="-4"/>
          <w:sz w:val="20"/>
          <w:szCs w:val="20"/>
          <w:lang w:val="es-AR"/>
        </w:rPr>
        <w:fldChar w:fldCharType="begin"/>
      </w:r>
      <w:r w:rsidR="001A7A68">
        <w:rPr>
          <w:rFonts w:ascii="Verdana" w:hAnsi="Verdana" w:cs="Arial"/>
          <w:spacing w:val="-4"/>
          <w:sz w:val="20"/>
          <w:szCs w:val="20"/>
          <w:lang w:val="es-AR"/>
        </w:rPr>
        <w:instrText xml:space="preserve"> REF _Ref46241388 \r \h </w:instrText>
      </w:r>
      <w:r w:rsidR="001A7A68">
        <w:rPr>
          <w:rFonts w:ascii="Verdana" w:hAnsi="Verdana" w:cs="Arial"/>
          <w:spacing w:val="-4"/>
          <w:sz w:val="20"/>
          <w:szCs w:val="20"/>
          <w:lang w:val="es-AR"/>
        </w:rPr>
      </w:r>
      <w:r w:rsidR="001A7A68">
        <w:rPr>
          <w:rFonts w:ascii="Verdana" w:hAnsi="Verdana" w:cs="Arial"/>
          <w:spacing w:val="-4"/>
          <w:sz w:val="20"/>
          <w:szCs w:val="20"/>
          <w:lang w:val="es-AR"/>
        </w:rPr>
        <w:fldChar w:fldCharType="separate"/>
      </w:r>
      <w:r w:rsidR="00337FEC">
        <w:rPr>
          <w:rFonts w:ascii="Verdana" w:hAnsi="Verdana" w:cs="Arial"/>
          <w:spacing w:val="-4"/>
          <w:sz w:val="20"/>
          <w:szCs w:val="20"/>
          <w:lang w:val="es-AR"/>
        </w:rPr>
        <w:t>10</w:t>
      </w:r>
      <w:r w:rsidR="001A7A68">
        <w:rPr>
          <w:rFonts w:ascii="Verdana" w:hAnsi="Verdana" w:cs="Arial"/>
          <w:spacing w:val="-4"/>
          <w:sz w:val="20"/>
          <w:szCs w:val="20"/>
          <w:lang w:val="es-AR"/>
        </w:rPr>
        <w:fldChar w:fldCharType="end"/>
      </w:r>
      <w:r w:rsidR="00640948" w:rsidRPr="00395069">
        <w:rPr>
          <w:rFonts w:ascii="Verdana" w:hAnsi="Verdana" w:cs="Arial"/>
          <w:spacing w:val="-4"/>
          <w:sz w:val="20"/>
          <w:szCs w:val="20"/>
          <w:lang w:val="es-AR"/>
        </w:rPr>
        <w:t xml:space="preserve">), </w:t>
      </w:r>
      <w:r w:rsidR="00640948" w:rsidRPr="00395069">
        <w:rPr>
          <w:rFonts w:ascii="Verdana" w:hAnsi="Verdana"/>
          <w:spacing w:val="-4"/>
          <w:sz w:val="20"/>
          <w:szCs w:val="20"/>
          <w:lang w:val="es-AR"/>
        </w:rPr>
        <w:t>habían sido “tardías e insuficientes”, contribuyendo al “inicio de un brote masivo del COVID-19 en las cárceles a nivel nacional”</w:t>
      </w:r>
      <w:r w:rsidR="00F36D3A">
        <w:rPr>
          <w:rFonts w:ascii="Verdana" w:hAnsi="Verdana"/>
          <w:spacing w:val="-4"/>
          <w:sz w:val="20"/>
          <w:szCs w:val="20"/>
          <w:lang w:val="es-AR"/>
        </w:rPr>
        <w:t>,</w:t>
      </w:r>
      <w:r w:rsidR="00640948" w:rsidRPr="00395069">
        <w:rPr>
          <w:rFonts w:ascii="Verdana" w:hAnsi="Verdana"/>
          <w:spacing w:val="-4"/>
          <w:sz w:val="20"/>
          <w:szCs w:val="20"/>
          <w:lang w:val="es-AR"/>
        </w:rPr>
        <w:t xml:space="preserve"> </w:t>
      </w:r>
      <w:r w:rsidR="00F36D3A">
        <w:rPr>
          <w:rFonts w:ascii="Verdana" w:hAnsi="Verdana"/>
          <w:spacing w:val="-4"/>
          <w:sz w:val="20"/>
          <w:szCs w:val="20"/>
          <w:lang w:val="es-AR"/>
        </w:rPr>
        <w:t>l</w:t>
      </w:r>
      <w:r w:rsidR="00640948" w:rsidRPr="00395069">
        <w:rPr>
          <w:rFonts w:ascii="Verdana" w:hAnsi="Verdana"/>
          <w:spacing w:val="-4"/>
          <w:sz w:val="20"/>
          <w:szCs w:val="20"/>
          <w:lang w:val="es-AR"/>
        </w:rPr>
        <w:t>o cual había sido remarcado en comunicados de la Defensoría del Pueblo</w:t>
      </w:r>
      <w:r w:rsidR="00884825">
        <w:rPr>
          <w:rFonts w:ascii="Verdana" w:hAnsi="Verdana"/>
          <w:spacing w:val="-4"/>
          <w:sz w:val="20"/>
          <w:szCs w:val="20"/>
          <w:lang w:val="es-AR"/>
        </w:rPr>
        <w:t>, y</w:t>
      </w:r>
      <w:r w:rsidR="0084709F" w:rsidRPr="00EB0331">
        <w:rPr>
          <w:rFonts w:ascii="Verdana" w:hAnsi="Verdana"/>
          <w:bCs/>
          <w:spacing w:val="-4"/>
          <w:sz w:val="20"/>
          <w:szCs w:val="20"/>
          <w:lang w:val="es-CR"/>
        </w:rPr>
        <w:t xml:space="preserve"> </w:t>
      </w:r>
    </w:p>
    <w:p w14:paraId="6BF15DD7" w14:textId="6EB3BF20" w:rsidR="00640948" w:rsidRPr="00395069" w:rsidRDefault="00884825" w:rsidP="00BF0D03">
      <w:pPr>
        <w:pStyle w:val="Prrafodelista"/>
        <w:numPr>
          <w:ilvl w:val="0"/>
          <w:numId w:val="5"/>
        </w:numPr>
        <w:autoSpaceDE w:val="0"/>
        <w:autoSpaceDN w:val="0"/>
        <w:adjustRightInd w:val="0"/>
        <w:spacing w:before="120" w:after="120" w:line="240" w:lineRule="auto"/>
        <w:contextualSpacing w:val="0"/>
        <w:jc w:val="both"/>
        <w:rPr>
          <w:rFonts w:ascii="Verdana" w:hAnsi="Verdana"/>
          <w:spacing w:val="-4"/>
          <w:sz w:val="20"/>
          <w:szCs w:val="20"/>
          <w:lang w:val="es-CR"/>
        </w:rPr>
      </w:pPr>
      <w:r>
        <w:rPr>
          <w:rFonts w:ascii="Verdana" w:hAnsi="Verdana"/>
          <w:spacing w:val="-4"/>
          <w:sz w:val="20"/>
          <w:szCs w:val="20"/>
          <w:lang w:val="es-CR"/>
        </w:rPr>
        <w:t>e</w:t>
      </w:r>
      <w:r w:rsidR="00640948" w:rsidRPr="00395069">
        <w:rPr>
          <w:rFonts w:ascii="Verdana" w:hAnsi="Verdana"/>
          <w:spacing w:val="-4"/>
          <w:sz w:val="20"/>
          <w:szCs w:val="20"/>
          <w:lang w:val="es-AR"/>
        </w:rPr>
        <w:t>n cuanto a la emisión del Decreto Legislativo N</w:t>
      </w:r>
      <w:r w:rsidR="006F3165">
        <w:rPr>
          <w:rFonts w:ascii="Verdana" w:hAnsi="Verdana"/>
          <w:spacing w:val="-4"/>
          <w:sz w:val="20"/>
          <w:szCs w:val="20"/>
          <w:lang w:val="es-AR"/>
        </w:rPr>
        <w:t>o.</w:t>
      </w:r>
      <w:r w:rsidR="00640948" w:rsidRPr="00395069">
        <w:rPr>
          <w:rFonts w:ascii="Verdana" w:hAnsi="Verdana"/>
          <w:spacing w:val="-4"/>
          <w:sz w:val="20"/>
          <w:szCs w:val="20"/>
          <w:lang w:val="es-AR"/>
        </w:rPr>
        <w:t xml:space="preserve"> 1459, mediante el cual se optimizó la aplicación de la conversión automática de la pena para personas condenadas por el delito de omisión de asistencia familiar, indicaron que, tal como lo señaló la Defensoría del Pueblo, la norma solo contribuiría a disminuir la población penitenciaria en “porcentajes discretos” y que “no alcanza a todos los detenidos por [omisión de asistencia familia] (2,821</w:t>
      </w:r>
      <w:r w:rsidR="009F0042">
        <w:rPr>
          <w:rFonts w:ascii="Verdana" w:hAnsi="Verdana"/>
          <w:spacing w:val="-4"/>
          <w:sz w:val="20"/>
          <w:szCs w:val="20"/>
          <w:lang w:val="es-AR"/>
        </w:rPr>
        <w:t>4</w:t>
      </w:r>
      <w:r w:rsidR="00640948" w:rsidRPr="00395069">
        <w:rPr>
          <w:rFonts w:ascii="Verdana" w:hAnsi="Verdana"/>
          <w:spacing w:val="-4"/>
          <w:sz w:val="20"/>
          <w:szCs w:val="20"/>
          <w:lang w:val="es-AR"/>
        </w:rPr>
        <w:t>)</w:t>
      </w:r>
      <w:r w:rsidR="00E62C42">
        <w:rPr>
          <w:rFonts w:ascii="Verdana" w:hAnsi="Verdana"/>
          <w:spacing w:val="-4"/>
          <w:sz w:val="20"/>
          <w:szCs w:val="20"/>
          <w:lang w:val="es-AR"/>
        </w:rPr>
        <w:t xml:space="preserve"> (</w:t>
      </w:r>
      <w:r w:rsidR="00E62C42">
        <w:rPr>
          <w:rFonts w:ascii="Verdana" w:hAnsi="Verdana"/>
          <w:i/>
          <w:spacing w:val="-4"/>
          <w:sz w:val="20"/>
          <w:szCs w:val="20"/>
          <w:lang w:val="es-AR"/>
        </w:rPr>
        <w:t>sic</w:t>
      </w:r>
      <w:r w:rsidR="00E62C42">
        <w:rPr>
          <w:rFonts w:ascii="Verdana" w:hAnsi="Verdana"/>
          <w:spacing w:val="-4"/>
          <w:sz w:val="20"/>
          <w:szCs w:val="20"/>
          <w:lang w:val="es-AR"/>
        </w:rPr>
        <w:t>),</w:t>
      </w:r>
      <w:r w:rsidR="00640948" w:rsidRPr="00395069">
        <w:rPr>
          <w:rFonts w:ascii="Verdana" w:hAnsi="Verdana"/>
          <w:spacing w:val="-4"/>
          <w:sz w:val="20"/>
          <w:szCs w:val="20"/>
          <w:lang w:val="es-AR"/>
        </w:rPr>
        <w:t xml:space="preserve"> sino a quienes tengan sentencia firme[,] los cuales, según cifras oficiales, son 1,754”</w:t>
      </w:r>
      <w:r w:rsidRPr="00EB0331">
        <w:rPr>
          <w:rFonts w:ascii="Verdana" w:hAnsi="Verdana"/>
          <w:bCs/>
          <w:spacing w:val="-4"/>
          <w:sz w:val="20"/>
          <w:szCs w:val="20"/>
          <w:lang w:val="es-AR"/>
        </w:rPr>
        <w:t>.</w:t>
      </w:r>
      <w:r w:rsidR="00640948" w:rsidRPr="00395069">
        <w:rPr>
          <w:rFonts w:ascii="Verdana" w:hAnsi="Verdana"/>
          <w:spacing w:val="-4"/>
          <w:sz w:val="20"/>
          <w:szCs w:val="20"/>
          <w:lang w:val="es-AR"/>
        </w:rPr>
        <w:t xml:space="preserve"> </w:t>
      </w:r>
    </w:p>
    <w:p w14:paraId="5430D088" w14:textId="0BCB4F41"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i/>
          <w:color w:val="000000"/>
          <w:spacing w:val="-4"/>
          <w:sz w:val="20"/>
          <w:szCs w:val="20"/>
          <w:lang w:val="es-CR"/>
        </w:rPr>
      </w:pPr>
      <w:r w:rsidRPr="00395069">
        <w:rPr>
          <w:rFonts w:ascii="Verdana" w:hAnsi="Verdana" w:cs="Verdana"/>
          <w:color w:val="000000"/>
          <w:spacing w:val="-4"/>
          <w:sz w:val="20"/>
          <w:szCs w:val="20"/>
          <w:lang w:val="es-CR"/>
        </w:rPr>
        <w:t xml:space="preserve">Respecto a la </w:t>
      </w:r>
      <w:r w:rsidRPr="00EB0331">
        <w:rPr>
          <w:rFonts w:ascii="Verdana" w:hAnsi="Verdana" w:cs="Verdana"/>
          <w:bCs/>
          <w:color w:val="000000"/>
          <w:spacing w:val="-4"/>
          <w:sz w:val="20"/>
          <w:szCs w:val="20"/>
          <w:lang w:val="es-CR"/>
        </w:rPr>
        <w:t>“situación específica”</w:t>
      </w:r>
      <w:r w:rsidRPr="00395069">
        <w:rPr>
          <w:rFonts w:ascii="Verdana" w:hAnsi="Verdana" w:cs="Verdana"/>
          <w:color w:val="000000"/>
          <w:spacing w:val="-4"/>
          <w:sz w:val="20"/>
          <w:szCs w:val="20"/>
          <w:lang w:val="es-CR"/>
        </w:rPr>
        <w:t xml:space="preserve"> de los propuestos beneficiarios, </w:t>
      </w:r>
      <w:r w:rsidR="005F6A8E" w:rsidRPr="00395069">
        <w:rPr>
          <w:rFonts w:ascii="Verdana" w:hAnsi="Verdana" w:cs="Verdana"/>
          <w:color w:val="000000"/>
          <w:spacing w:val="-4"/>
          <w:sz w:val="20"/>
          <w:szCs w:val="20"/>
          <w:lang w:val="es-CR"/>
        </w:rPr>
        <w:t>destacaron</w:t>
      </w:r>
      <w:r w:rsidRPr="00395069">
        <w:rPr>
          <w:rFonts w:ascii="Verdana" w:hAnsi="Verdana" w:cs="Verdana"/>
          <w:color w:val="000000"/>
          <w:spacing w:val="-4"/>
          <w:sz w:val="20"/>
          <w:szCs w:val="20"/>
          <w:lang w:val="es-CR"/>
        </w:rPr>
        <w:t xml:space="preserve"> que tres de los solicitantes no recibieron la prueba de descarte </w:t>
      </w:r>
      <w:r w:rsidR="00EB0331">
        <w:rPr>
          <w:rFonts w:ascii="Verdana" w:hAnsi="Verdana" w:cs="Verdana"/>
          <w:color w:val="000000"/>
          <w:spacing w:val="-4"/>
          <w:sz w:val="20"/>
          <w:szCs w:val="20"/>
          <w:lang w:val="es-CR"/>
        </w:rPr>
        <w:t xml:space="preserve">de la COVID-19 </w:t>
      </w:r>
      <w:r w:rsidRPr="00395069">
        <w:rPr>
          <w:rFonts w:ascii="Verdana" w:hAnsi="Verdana" w:cs="Verdana"/>
          <w:color w:val="000000"/>
          <w:spacing w:val="-4"/>
          <w:sz w:val="20"/>
          <w:szCs w:val="20"/>
          <w:lang w:val="es-CR"/>
        </w:rPr>
        <w:t xml:space="preserve">hasta el mes de junio </w:t>
      </w:r>
      <w:r w:rsidR="005F6A8E" w:rsidRPr="00395069">
        <w:rPr>
          <w:rFonts w:ascii="Verdana" w:hAnsi="Verdana" w:cs="Verdana"/>
          <w:color w:val="000000"/>
          <w:spacing w:val="-4"/>
          <w:sz w:val="20"/>
          <w:szCs w:val="20"/>
          <w:lang w:val="es-CR"/>
        </w:rPr>
        <w:t>y que</w:t>
      </w:r>
      <w:r w:rsidR="00C6074D">
        <w:rPr>
          <w:rFonts w:ascii="Verdana" w:hAnsi="Verdana" w:cs="Verdana"/>
          <w:color w:val="000000"/>
          <w:spacing w:val="-4"/>
          <w:sz w:val="20"/>
          <w:szCs w:val="20"/>
          <w:lang w:val="es-CR"/>
        </w:rPr>
        <w:t>,</w:t>
      </w:r>
      <w:r w:rsidR="005F6A8E" w:rsidRPr="00395069">
        <w:rPr>
          <w:rFonts w:ascii="Verdana" w:hAnsi="Verdana" w:cs="Verdana"/>
          <w:color w:val="000000"/>
          <w:spacing w:val="-4"/>
          <w:sz w:val="20"/>
          <w:szCs w:val="20"/>
          <w:lang w:val="es-CR"/>
        </w:rPr>
        <w:t xml:space="preserve"> si bien</w:t>
      </w:r>
      <w:r w:rsidRPr="00395069">
        <w:rPr>
          <w:rFonts w:ascii="Verdana" w:hAnsi="Verdana" w:cs="Verdana"/>
          <w:color w:val="000000"/>
          <w:spacing w:val="-4"/>
          <w:sz w:val="20"/>
          <w:szCs w:val="20"/>
          <w:lang w:val="es-CR"/>
        </w:rPr>
        <w:t xml:space="preserve"> “los otros dos solicitantes, al parecer, puedan haber[se] recuperado de los efectos inmediatos de la Covid-19, […] quedan sujetos a los efectos duraderos, sin monitoreo y atención médica adecuada para las secuelas de medio plazo, y las todavía no bien conocidas de largo plazo”. </w:t>
      </w:r>
      <w:r w:rsidR="005F6A8E" w:rsidRPr="00395069">
        <w:rPr>
          <w:rFonts w:ascii="Verdana" w:hAnsi="Verdana" w:cs="Verdana"/>
          <w:color w:val="000000"/>
          <w:spacing w:val="-4"/>
          <w:sz w:val="20"/>
          <w:szCs w:val="20"/>
          <w:lang w:val="es-CR"/>
        </w:rPr>
        <w:t>Además, detallaron</w:t>
      </w:r>
      <w:r w:rsidR="00615EF1">
        <w:rPr>
          <w:rFonts w:ascii="Verdana" w:hAnsi="Verdana" w:cs="Verdana"/>
          <w:color w:val="000000"/>
          <w:spacing w:val="-4"/>
          <w:sz w:val="20"/>
          <w:szCs w:val="20"/>
          <w:lang w:val="es-CR"/>
        </w:rPr>
        <w:t xml:space="preserve"> lo siguiente respecto a cada uno de ellos</w:t>
      </w:r>
      <w:r w:rsidRPr="00395069">
        <w:rPr>
          <w:rFonts w:ascii="Verdana" w:hAnsi="Verdana" w:cs="Verdana"/>
          <w:color w:val="000000"/>
          <w:spacing w:val="-4"/>
          <w:sz w:val="20"/>
          <w:szCs w:val="20"/>
          <w:lang w:val="es-CR"/>
        </w:rPr>
        <w:t>:</w:t>
      </w:r>
    </w:p>
    <w:p w14:paraId="3C03EE91" w14:textId="0C9910BF" w:rsidR="00640948" w:rsidRPr="00395069" w:rsidRDefault="00640948" w:rsidP="00BF0D03">
      <w:pPr>
        <w:pStyle w:val="Prrafodelista"/>
        <w:numPr>
          <w:ilvl w:val="0"/>
          <w:numId w:val="14"/>
        </w:numPr>
        <w:autoSpaceDE w:val="0"/>
        <w:autoSpaceDN w:val="0"/>
        <w:adjustRightInd w:val="0"/>
        <w:spacing w:before="120" w:after="120" w:line="240" w:lineRule="auto"/>
        <w:contextualSpacing w:val="0"/>
        <w:jc w:val="both"/>
        <w:rPr>
          <w:rFonts w:ascii="Verdana" w:hAnsi="Verdana" w:cs="Verdana"/>
          <w:i/>
          <w:iCs/>
          <w:color w:val="000000"/>
          <w:spacing w:val="-4"/>
          <w:sz w:val="20"/>
          <w:szCs w:val="20"/>
          <w:lang w:val="es-ES_tradnl"/>
        </w:rPr>
      </w:pPr>
      <w:r w:rsidRPr="00395069">
        <w:rPr>
          <w:rFonts w:ascii="Verdana" w:hAnsi="Verdana" w:cs="Verdana"/>
          <w:i/>
          <w:color w:val="000000"/>
          <w:spacing w:val="-4"/>
          <w:sz w:val="20"/>
          <w:szCs w:val="20"/>
          <w:lang w:val="es-CR"/>
        </w:rPr>
        <w:t>Margot Lourdes Liendo Gil:</w:t>
      </w:r>
      <w:r w:rsidRPr="00395069">
        <w:rPr>
          <w:rFonts w:ascii="Verdana" w:hAnsi="Verdana" w:cs="Verdana"/>
          <w:color w:val="000000"/>
          <w:spacing w:val="-4"/>
          <w:sz w:val="20"/>
          <w:szCs w:val="20"/>
          <w:lang w:val="es-CR"/>
        </w:rPr>
        <w:t xml:space="preserve"> tiene 71 años de edad, con “enfermedades prevalentes como el hipotiroidismo”, “hipertensión arterial” y una “salud </w:t>
      </w:r>
      <w:r w:rsidR="00615EF1">
        <w:rPr>
          <w:rFonts w:ascii="Verdana" w:hAnsi="Verdana" w:cs="Verdana"/>
          <w:color w:val="000000"/>
          <w:spacing w:val="-4"/>
          <w:sz w:val="20"/>
          <w:szCs w:val="20"/>
          <w:lang w:val="es-CR"/>
        </w:rPr>
        <w:t xml:space="preserve">[…] </w:t>
      </w:r>
      <w:r w:rsidRPr="00395069">
        <w:rPr>
          <w:rFonts w:ascii="Verdana" w:hAnsi="Verdana" w:cs="Verdana"/>
          <w:color w:val="000000"/>
          <w:spacing w:val="-4"/>
          <w:sz w:val="20"/>
          <w:szCs w:val="20"/>
          <w:lang w:val="es-CR"/>
        </w:rPr>
        <w:t>deteriorada</w:t>
      </w:r>
      <w:r w:rsidR="00C6074D">
        <w:rPr>
          <w:rFonts w:ascii="Verdana" w:hAnsi="Verdana" w:cs="Verdana"/>
          <w:color w:val="000000"/>
          <w:spacing w:val="-4"/>
          <w:sz w:val="20"/>
          <w:szCs w:val="20"/>
          <w:lang w:val="es-CR"/>
        </w:rPr>
        <w:t xml:space="preserve"> […] </w:t>
      </w:r>
      <w:r w:rsidRPr="00395069">
        <w:rPr>
          <w:rFonts w:ascii="Verdana" w:hAnsi="Verdana" w:cs="Verdana"/>
          <w:color w:val="000000"/>
          <w:spacing w:val="-4"/>
          <w:sz w:val="20"/>
          <w:szCs w:val="20"/>
          <w:lang w:val="es-CR"/>
        </w:rPr>
        <w:t>producto de 32 años de prisión”</w:t>
      </w:r>
      <w:r w:rsidR="003D2AC2">
        <w:rPr>
          <w:rFonts w:ascii="Verdana" w:hAnsi="Verdana" w:cs="Verdana"/>
          <w:color w:val="000000"/>
          <w:spacing w:val="-4"/>
          <w:sz w:val="20"/>
          <w:szCs w:val="20"/>
          <w:lang w:val="es-CR"/>
        </w:rPr>
        <w:t>, además de que “resultó herida de bala” durante los hechos del presente caso</w:t>
      </w:r>
      <w:r w:rsidRPr="00395069">
        <w:rPr>
          <w:rFonts w:ascii="Verdana" w:hAnsi="Verdana" w:cs="Verdana"/>
          <w:color w:val="000000"/>
          <w:spacing w:val="-4"/>
          <w:sz w:val="20"/>
          <w:szCs w:val="20"/>
          <w:lang w:val="es-CR"/>
        </w:rPr>
        <w:t>. Se encuentra “recluida en el establecimiento penal Anexo de mujeres de Chorrillos”, el cual tiene “una sobrepoblación del 43%”</w:t>
      </w:r>
      <w:r w:rsidR="00C6074D">
        <w:rPr>
          <w:rFonts w:ascii="Verdana" w:hAnsi="Verdana" w:cs="Verdana"/>
          <w:color w:val="000000"/>
          <w:spacing w:val="-4"/>
          <w:sz w:val="20"/>
          <w:szCs w:val="20"/>
          <w:lang w:val="es-CR"/>
        </w:rPr>
        <w:t>, lo cual “</w:t>
      </w:r>
      <w:proofErr w:type="spellStart"/>
      <w:r w:rsidRPr="00395069">
        <w:rPr>
          <w:rFonts w:ascii="Verdana" w:hAnsi="Verdana" w:cs="Verdana"/>
          <w:color w:val="000000"/>
          <w:spacing w:val="-4"/>
          <w:sz w:val="20"/>
          <w:szCs w:val="20"/>
          <w:lang w:val="es-CR"/>
        </w:rPr>
        <w:t>hac</w:t>
      </w:r>
      <w:proofErr w:type="spellEnd"/>
      <w:r w:rsidRPr="00395069">
        <w:rPr>
          <w:rFonts w:ascii="Verdana" w:hAnsi="Verdana" w:cs="Verdana"/>
          <w:color w:val="000000"/>
          <w:spacing w:val="-4"/>
          <w:sz w:val="20"/>
          <w:szCs w:val="20"/>
          <w:lang w:val="es-CR"/>
        </w:rPr>
        <w:t xml:space="preserve">[e] imposible que se cumpla con la separación física y el autoaislamiento”. </w:t>
      </w:r>
      <w:r w:rsidR="00C6074D">
        <w:rPr>
          <w:rFonts w:ascii="Verdana" w:hAnsi="Verdana" w:cs="Verdana"/>
          <w:color w:val="000000"/>
          <w:spacing w:val="-4"/>
          <w:sz w:val="20"/>
          <w:szCs w:val="20"/>
          <w:lang w:val="es-CR"/>
        </w:rPr>
        <w:t>E</w:t>
      </w:r>
      <w:r w:rsidRPr="00395069">
        <w:rPr>
          <w:rFonts w:ascii="Verdana" w:hAnsi="Verdana" w:cs="Verdana"/>
          <w:color w:val="000000"/>
          <w:spacing w:val="-4"/>
          <w:sz w:val="20"/>
          <w:szCs w:val="20"/>
          <w:lang w:val="es-CR"/>
        </w:rPr>
        <w:t>n su último escrito</w:t>
      </w:r>
      <w:r w:rsidR="00EB0331">
        <w:rPr>
          <w:rFonts w:ascii="Verdana" w:hAnsi="Verdana" w:cs="Verdana"/>
          <w:color w:val="000000"/>
          <w:spacing w:val="-4"/>
          <w:sz w:val="20"/>
          <w:szCs w:val="20"/>
          <w:lang w:val="es-CR"/>
        </w:rPr>
        <w:t>,</w:t>
      </w:r>
      <w:r w:rsidRPr="00395069">
        <w:rPr>
          <w:rFonts w:ascii="Verdana" w:hAnsi="Verdana" w:cs="Verdana"/>
          <w:color w:val="000000"/>
          <w:spacing w:val="-4"/>
          <w:sz w:val="20"/>
          <w:szCs w:val="20"/>
          <w:lang w:val="es-CR"/>
        </w:rPr>
        <w:t xml:space="preserve"> de 16 de junio</w:t>
      </w:r>
      <w:r w:rsidR="00EB0331">
        <w:rPr>
          <w:rFonts w:ascii="Verdana" w:hAnsi="Verdana" w:cs="Verdana"/>
          <w:color w:val="000000"/>
          <w:spacing w:val="-4"/>
          <w:sz w:val="20"/>
          <w:szCs w:val="20"/>
          <w:lang w:val="es-CR"/>
        </w:rPr>
        <w:t xml:space="preserve"> de 2020,</w:t>
      </w:r>
      <w:r w:rsidRPr="00395069">
        <w:rPr>
          <w:rFonts w:ascii="Verdana" w:hAnsi="Verdana" w:cs="Verdana"/>
          <w:color w:val="000000"/>
          <w:spacing w:val="-4"/>
          <w:sz w:val="20"/>
          <w:szCs w:val="20"/>
          <w:lang w:val="es-CR"/>
        </w:rPr>
        <w:t xml:space="preserve"> refirieron </w:t>
      </w:r>
      <w:r w:rsidRPr="00395069">
        <w:rPr>
          <w:rFonts w:ascii="Verdana" w:hAnsi="Verdana" w:cs="Verdana"/>
          <w:color w:val="000000"/>
          <w:spacing w:val="-4"/>
          <w:sz w:val="20"/>
          <w:szCs w:val="20"/>
          <w:lang w:val="es-AR"/>
        </w:rPr>
        <w:t>haber “toma[do] conocimiento que a la beneficiaria finalmente se le hizo la prueba de descarte de Covid-19 saliendo positivo, por lo que fue aislada dentro del establecimiento penal Anexo de Mujeres de Chorrillos”</w:t>
      </w:r>
      <w:r w:rsidR="00C6074D" w:rsidRPr="00EB0331">
        <w:rPr>
          <w:rStyle w:val="Refdenotaalpie"/>
          <w:rFonts w:cs="Verdana"/>
          <w:color w:val="000000"/>
          <w:spacing w:val="-4"/>
          <w:sz w:val="20"/>
          <w:szCs w:val="20"/>
          <w:lang w:val="es-AR"/>
        </w:rPr>
        <w:footnoteReference w:id="7"/>
      </w:r>
      <w:r w:rsidRPr="00395069">
        <w:rPr>
          <w:rFonts w:ascii="Verdana" w:hAnsi="Verdana" w:cs="Verdana"/>
          <w:color w:val="000000"/>
          <w:spacing w:val="-4"/>
          <w:sz w:val="20"/>
          <w:szCs w:val="20"/>
          <w:lang w:val="es-AR"/>
        </w:rPr>
        <w:t>.</w:t>
      </w:r>
    </w:p>
    <w:p w14:paraId="7DE40079" w14:textId="75E74390" w:rsidR="00640948" w:rsidRPr="00395069" w:rsidRDefault="00640948" w:rsidP="00BF0D03">
      <w:pPr>
        <w:pStyle w:val="Prrafodelista"/>
        <w:numPr>
          <w:ilvl w:val="0"/>
          <w:numId w:val="14"/>
        </w:numPr>
        <w:autoSpaceDE w:val="0"/>
        <w:autoSpaceDN w:val="0"/>
        <w:adjustRightInd w:val="0"/>
        <w:spacing w:before="120" w:after="120" w:line="240" w:lineRule="auto"/>
        <w:contextualSpacing w:val="0"/>
        <w:jc w:val="both"/>
        <w:rPr>
          <w:rFonts w:ascii="Verdana" w:hAnsi="Verdana"/>
          <w:spacing w:val="-4"/>
          <w:sz w:val="20"/>
          <w:szCs w:val="20"/>
          <w:lang w:val="es-CR"/>
        </w:rPr>
      </w:pPr>
      <w:r w:rsidRPr="00395069">
        <w:rPr>
          <w:rFonts w:ascii="Verdana" w:hAnsi="Verdana" w:cs="Verdana"/>
          <w:i/>
          <w:color w:val="000000"/>
          <w:spacing w:val="-4"/>
          <w:sz w:val="20"/>
          <w:szCs w:val="20"/>
          <w:lang w:val="es-CR"/>
        </w:rPr>
        <w:t>Osman Roberto Morote Barrionuevo</w:t>
      </w:r>
      <w:r w:rsidRPr="00395069">
        <w:rPr>
          <w:rFonts w:ascii="Verdana" w:hAnsi="Verdana" w:cs="Verdana"/>
          <w:color w:val="000000"/>
          <w:spacing w:val="-4"/>
          <w:sz w:val="20"/>
          <w:szCs w:val="20"/>
          <w:lang w:val="es-CR"/>
        </w:rPr>
        <w:t>: tiene 75 años de edad, con “</w:t>
      </w:r>
      <w:r w:rsidRPr="00395069">
        <w:rPr>
          <w:rFonts w:ascii="Verdana" w:hAnsi="Verdana"/>
          <w:spacing w:val="-4"/>
          <w:sz w:val="20"/>
          <w:szCs w:val="20"/>
          <w:lang w:val="es-CR"/>
        </w:rPr>
        <w:t xml:space="preserve">elevado colesterol y con triglicéridos altos y </w:t>
      </w:r>
      <w:proofErr w:type="spellStart"/>
      <w:r w:rsidRPr="00395069">
        <w:rPr>
          <w:rFonts w:ascii="Verdana" w:hAnsi="Verdana"/>
          <w:spacing w:val="-4"/>
          <w:sz w:val="20"/>
          <w:szCs w:val="20"/>
          <w:lang w:val="es-CR"/>
        </w:rPr>
        <w:t>dupuyten</w:t>
      </w:r>
      <w:proofErr w:type="spellEnd"/>
      <w:r w:rsidRPr="00395069">
        <w:rPr>
          <w:rFonts w:ascii="Verdana" w:hAnsi="Verdana"/>
          <w:spacing w:val="-4"/>
          <w:sz w:val="20"/>
          <w:szCs w:val="20"/>
          <w:lang w:val="es-CR"/>
        </w:rPr>
        <w:t xml:space="preserve">”, por lo </w:t>
      </w:r>
      <w:r w:rsidRPr="00395069">
        <w:rPr>
          <w:rFonts w:ascii="Verdana" w:hAnsi="Verdana"/>
          <w:spacing w:val="-4"/>
          <w:sz w:val="20"/>
          <w:szCs w:val="20"/>
          <w:lang w:val="es-AR"/>
        </w:rPr>
        <w:t>que “está con una dieta estricta”</w:t>
      </w:r>
      <w:r w:rsidR="00C6074D">
        <w:rPr>
          <w:rFonts w:ascii="Verdana" w:hAnsi="Verdana"/>
          <w:spacing w:val="-4"/>
          <w:sz w:val="20"/>
          <w:szCs w:val="20"/>
          <w:lang w:val="es-AR"/>
        </w:rPr>
        <w:t xml:space="preserve"> y requiere “</w:t>
      </w:r>
      <w:r w:rsidRPr="00395069">
        <w:rPr>
          <w:rFonts w:ascii="Verdana" w:hAnsi="Verdana"/>
          <w:spacing w:val="-4"/>
          <w:sz w:val="20"/>
          <w:szCs w:val="20"/>
          <w:lang w:val="es-CR"/>
        </w:rPr>
        <w:t xml:space="preserve">atenciones médicas que dada la emergencia nacional en el Perú (por la pandemia) no pueden ser eficientemente atendidas” en el establecimiento penal. También señalaron que se le había diagnosticado “enfermedades como D/C </w:t>
      </w:r>
      <w:proofErr w:type="spellStart"/>
      <w:r w:rsidRPr="00395069">
        <w:rPr>
          <w:rFonts w:ascii="Verdana" w:hAnsi="Verdana"/>
          <w:spacing w:val="-4"/>
          <w:sz w:val="20"/>
          <w:szCs w:val="20"/>
          <w:lang w:val="es-CR"/>
        </w:rPr>
        <w:t>Alzaimer</w:t>
      </w:r>
      <w:proofErr w:type="spellEnd"/>
      <w:r w:rsidRPr="00395069">
        <w:rPr>
          <w:rFonts w:ascii="Verdana" w:hAnsi="Verdana"/>
          <w:spacing w:val="-4"/>
          <w:sz w:val="20"/>
          <w:szCs w:val="20"/>
          <w:lang w:val="es-CR"/>
        </w:rPr>
        <w:t xml:space="preserve"> [y] desnutrición leve”. </w:t>
      </w:r>
      <w:r w:rsidRPr="00395069">
        <w:rPr>
          <w:rFonts w:ascii="Verdana" w:hAnsi="Verdana" w:cs="Verdana"/>
          <w:color w:val="000000"/>
          <w:spacing w:val="-4"/>
          <w:sz w:val="20"/>
          <w:szCs w:val="20"/>
          <w:lang w:val="es-AR"/>
        </w:rPr>
        <w:t>Informaron</w:t>
      </w:r>
      <w:r w:rsidRPr="00395069">
        <w:rPr>
          <w:rFonts w:ascii="Verdana" w:hAnsi="Verdana"/>
          <w:spacing w:val="-4"/>
          <w:sz w:val="20"/>
          <w:szCs w:val="20"/>
          <w:lang w:val="es-CR"/>
        </w:rPr>
        <w:t xml:space="preserve"> que se </w:t>
      </w:r>
      <w:r w:rsidRPr="00395069">
        <w:rPr>
          <w:rFonts w:ascii="Verdana" w:hAnsi="Verdana"/>
          <w:spacing w:val="-4"/>
          <w:sz w:val="20"/>
          <w:szCs w:val="20"/>
          <w:lang w:val="es-CR"/>
        </w:rPr>
        <w:lastRenderedPageBreak/>
        <w:t xml:space="preserve">encuentra recluido en el “Establecimiento Penitenciario Ancón I”, el cual “tiene una sobrepoblación del 67%”. </w:t>
      </w:r>
      <w:r w:rsidR="004E5984" w:rsidRPr="00395069">
        <w:rPr>
          <w:rFonts w:ascii="Verdana" w:hAnsi="Verdana"/>
          <w:spacing w:val="-4"/>
          <w:sz w:val="20"/>
          <w:szCs w:val="20"/>
          <w:lang w:val="es-CR"/>
        </w:rPr>
        <w:t>En la solicitud de medidas provisionales</w:t>
      </w:r>
      <w:r w:rsidRPr="00395069">
        <w:rPr>
          <w:rFonts w:ascii="Verdana" w:hAnsi="Verdana"/>
          <w:spacing w:val="-4"/>
          <w:sz w:val="20"/>
          <w:szCs w:val="20"/>
          <w:lang w:val="es-CR"/>
        </w:rPr>
        <w:t xml:space="preserve"> indicaron </w:t>
      </w:r>
      <w:r w:rsidR="004E5984" w:rsidRPr="00395069">
        <w:rPr>
          <w:rFonts w:ascii="Verdana" w:hAnsi="Verdana"/>
          <w:spacing w:val="-4"/>
          <w:sz w:val="20"/>
          <w:szCs w:val="20"/>
          <w:lang w:val="es-CR"/>
        </w:rPr>
        <w:t>que estaba</w:t>
      </w:r>
      <w:r w:rsidRPr="00395069">
        <w:rPr>
          <w:rFonts w:ascii="Verdana" w:hAnsi="Verdana"/>
          <w:spacing w:val="-4"/>
          <w:sz w:val="20"/>
          <w:szCs w:val="20"/>
          <w:lang w:val="es-CR"/>
        </w:rPr>
        <w:t xml:space="preserve"> contagiado de COVID-19</w:t>
      </w:r>
      <w:r w:rsidR="00C6074D">
        <w:rPr>
          <w:rFonts w:ascii="Verdana" w:hAnsi="Verdana"/>
          <w:spacing w:val="-4"/>
          <w:sz w:val="20"/>
          <w:szCs w:val="20"/>
          <w:lang w:val="es-CR"/>
        </w:rPr>
        <w:t>,</w:t>
      </w:r>
      <w:r w:rsidRPr="00395069">
        <w:rPr>
          <w:rFonts w:ascii="Verdana" w:hAnsi="Verdana"/>
          <w:spacing w:val="-4"/>
          <w:sz w:val="20"/>
          <w:szCs w:val="20"/>
          <w:lang w:val="es-CR"/>
        </w:rPr>
        <w:t xml:space="preserve"> </w:t>
      </w:r>
      <w:r w:rsidR="00C6074D">
        <w:rPr>
          <w:rFonts w:ascii="Verdana" w:hAnsi="Verdana"/>
          <w:spacing w:val="-4"/>
          <w:sz w:val="20"/>
          <w:szCs w:val="20"/>
          <w:lang w:val="es-CR"/>
        </w:rPr>
        <w:t xml:space="preserve">lo cual fue confirmado </w:t>
      </w:r>
      <w:r w:rsidR="004E5984" w:rsidRPr="00395069">
        <w:rPr>
          <w:rFonts w:ascii="Verdana" w:hAnsi="Verdana"/>
          <w:spacing w:val="-4"/>
          <w:sz w:val="20"/>
          <w:szCs w:val="20"/>
          <w:lang w:val="es-CR"/>
        </w:rPr>
        <w:t>en junio</w:t>
      </w:r>
      <w:r w:rsidR="00C6074D">
        <w:rPr>
          <w:rFonts w:ascii="Verdana" w:hAnsi="Verdana"/>
          <w:spacing w:val="-4"/>
          <w:sz w:val="20"/>
          <w:szCs w:val="20"/>
          <w:lang w:val="es-CR"/>
        </w:rPr>
        <w:t xml:space="preserve"> cuando</w:t>
      </w:r>
      <w:r w:rsidR="004E5984" w:rsidRPr="00395069">
        <w:rPr>
          <w:rFonts w:ascii="Verdana" w:hAnsi="Verdana"/>
          <w:spacing w:val="-4"/>
          <w:sz w:val="20"/>
          <w:szCs w:val="20"/>
          <w:lang w:val="es-CR"/>
        </w:rPr>
        <w:t xml:space="preserve"> le realizaron la prueba de des</w:t>
      </w:r>
      <w:r w:rsidR="00C016A0" w:rsidRPr="00395069">
        <w:rPr>
          <w:rFonts w:ascii="Verdana" w:hAnsi="Verdana"/>
          <w:spacing w:val="-4"/>
          <w:sz w:val="20"/>
          <w:szCs w:val="20"/>
          <w:lang w:val="es-CR"/>
        </w:rPr>
        <w:t>carte.</w:t>
      </w:r>
    </w:p>
    <w:p w14:paraId="2EF30CF5" w14:textId="4F0FD848" w:rsidR="00640948" w:rsidRPr="00395069" w:rsidRDefault="00640948" w:rsidP="00BF0D03">
      <w:pPr>
        <w:pStyle w:val="Prrafodelista"/>
        <w:numPr>
          <w:ilvl w:val="0"/>
          <w:numId w:val="14"/>
        </w:numPr>
        <w:autoSpaceDE w:val="0"/>
        <w:autoSpaceDN w:val="0"/>
        <w:adjustRightInd w:val="0"/>
        <w:spacing w:before="120" w:after="120" w:line="240" w:lineRule="auto"/>
        <w:contextualSpacing w:val="0"/>
        <w:jc w:val="both"/>
        <w:rPr>
          <w:rFonts w:ascii="Verdana" w:hAnsi="Verdana" w:cs="Verdana"/>
          <w:spacing w:val="-4"/>
          <w:sz w:val="20"/>
          <w:szCs w:val="20"/>
          <w:lang w:val="es-CR"/>
        </w:rPr>
      </w:pPr>
      <w:r w:rsidRPr="00395069">
        <w:rPr>
          <w:rFonts w:ascii="Verdana" w:hAnsi="Verdana" w:cs="Verdana"/>
          <w:i/>
          <w:color w:val="000000"/>
          <w:spacing w:val="-4"/>
          <w:sz w:val="20"/>
          <w:szCs w:val="20"/>
          <w:lang w:val="es-CR"/>
        </w:rPr>
        <w:t>Arturo Chumpitaz Aguirre</w:t>
      </w:r>
      <w:r w:rsidRPr="00395069">
        <w:rPr>
          <w:rFonts w:ascii="Verdana" w:hAnsi="Verdana" w:cs="Verdana"/>
          <w:color w:val="000000"/>
          <w:spacing w:val="-4"/>
          <w:sz w:val="20"/>
          <w:szCs w:val="20"/>
          <w:lang w:val="es-CR"/>
        </w:rPr>
        <w:t xml:space="preserve">: </w:t>
      </w:r>
      <w:r w:rsidRPr="00395069">
        <w:rPr>
          <w:rFonts w:ascii="Verdana" w:hAnsi="Verdana"/>
          <w:spacing w:val="-4"/>
          <w:sz w:val="20"/>
          <w:szCs w:val="20"/>
          <w:lang w:val="es-CR"/>
        </w:rPr>
        <w:t xml:space="preserve">tiene 56 años de edad y </w:t>
      </w:r>
      <w:r w:rsidRPr="00395069">
        <w:rPr>
          <w:rFonts w:ascii="Verdana" w:hAnsi="Verdana" w:cs="Verdana"/>
          <w:color w:val="000000"/>
          <w:spacing w:val="-4"/>
          <w:sz w:val="20"/>
          <w:szCs w:val="20"/>
          <w:lang w:val="es-CR"/>
        </w:rPr>
        <w:t xml:space="preserve">se encuentra “recluid[o] </w:t>
      </w:r>
      <w:r w:rsidRPr="00395069">
        <w:rPr>
          <w:rFonts w:ascii="Verdana" w:hAnsi="Verdana"/>
          <w:spacing w:val="-4"/>
          <w:sz w:val="20"/>
          <w:szCs w:val="20"/>
          <w:lang w:val="es-CR"/>
        </w:rPr>
        <w:t>en</w:t>
      </w:r>
      <w:r w:rsidRPr="00395069">
        <w:rPr>
          <w:rFonts w:ascii="Verdana" w:hAnsi="Verdana" w:cs="Verdana"/>
          <w:color w:val="000000"/>
          <w:spacing w:val="-4"/>
          <w:sz w:val="20"/>
          <w:szCs w:val="20"/>
          <w:lang w:val="es-CR"/>
        </w:rPr>
        <w:t xml:space="preserve"> el establecimiento penal Miguel Castro </w:t>
      </w:r>
      <w:proofErr w:type="spellStart"/>
      <w:r w:rsidRPr="00395069">
        <w:rPr>
          <w:rFonts w:ascii="Verdana" w:hAnsi="Verdana" w:cs="Verdana"/>
          <w:color w:val="000000"/>
          <w:spacing w:val="-4"/>
          <w:sz w:val="20"/>
          <w:szCs w:val="20"/>
          <w:lang w:val="es-CR"/>
        </w:rPr>
        <w:t>Castro</w:t>
      </w:r>
      <w:proofErr w:type="spellEnd"/>
      <w:r w:rsidRPr="00395069">
        <w:rPr>
          <w:rFonts w:ascii="Verdana" w:hAnsi="Verdana" w:cs="Verdana"/>
          <w:color w:val="000000"/>
          <w:spacing w:val="-4"/>
          <w:sz w:val="20"/>
          <w:szCs w:val="20"/>
          <w:lang w:val="es-CR"/>
        </w:rPr>
        <w:t xml:space="preserve">”, el cual tiene “un hacinamiento de “385%”. </w:t>
      </w:r>
      <w:r w:rsidRPr="00395069">
        <w:rPr>
          <w:rFonts w:ascii="Verdana" w:hAnsi="Verdana"/>
          <w:spacing w:val="-4"/>
          <w:sz w:val="20"/>
          <w:szCs w:val="20"/>
          <w:lang w:val="es-CR"/>
        </w:rPr>
        <w:t>Refirieron “</w:t>
      </w:r>
      <w:proofErr w:type="spellStart"/>
      <w:r w:rsidRPr="00395069">
        <w:rPr>
          <w:rFonts w:ascii="Verdana" w:hAnsi="Verdana"/>
          <w:spacing w:val="-4"/>
          <w:sz w:val="20"/>
          <w:szCs w:val="20"/>
          <w:lang w:val="es-CR"/>
        </w:rPr>
        <w:t>tene</w:t>
      </w:r>
      <w:proofErr w:type="spellEnd"/>
      <w:r w:rsidRPr="00395069">
        <w:rPr>
          <w:rFonts w:ascii="Verdana" w:hAnsi="Verdana"/>
          <w:spacing w:val="-4"/>
          <w:sz w:val="20"/>
          <w:szCs w:val="20"/>
          <w:lang w:val="es-CR"/>
        </w:rPr>
        <w:t>[r] conocimiento” que dicha víctima “</w:t>
      </w:r>
      <w:proofErr w:type="spellStart"/>
      <w:r w:rsidRPr="00395069">
        <w:rPr>
          <w:rFonts w:ascii="Verdana" w:hAnsi="Verdana"/>
          <w:spacing w:val="-4"/>
          <w:sz w:val="20"/>
          <w:szCs w:val="20"/>
          <w:lang w:val="es-CR"/>
        </w:rPr>
        <w:t>est</w:t>
      </w:r>
      <w:proofErr w:type="spellEnd"/>
      <w:r w:rsidRPr="00395069">
        <w:rPr>
          <w:rFonts w:ascii="Verdana" w:hAnsi="Verdana"/>
          <w:spacing w:val="-4"/>
          <w:sz w:val="20"/>
          <w:szCs w:val="20"/>
          <w:lang w:val="es-CR"/>
        </w:rPr>
        <w:t xml:space="preserve">[á] contagiad[a]” de COVID-19, </w:t>
      </w:r>
      <w:r w:rsidRPr="00395069">
        <w:rPr>
          <w:rFonts w:ascii="Verdana" w:hAnsi="Verdana" w:cs="Verdana"/>
          <w:spacing w:val="-4"/>
          <w:sz w:val="20"/>
          <w:szCs w:val="20"/>
          <w:lang w:val="es-CR"/>
        </w:rPr>
        <w:t>presentando un “caso moderado” de dicho virus</w:t>
      </w:r>
      <w:r w:rsidRPr="00C3034F">
        <w:rPr>
          <w:rStyle w:val="Refdenotaalpie"/>
          <w:rFonts w:cs="Verdana"/>
          <w:spacing w:val="-4"/>
          <w:sz w:val="20"/>
          <w:szCs w:val="20"/>
          <w:lang w:val="es-CR"/>
        </w:rPr>
        <w:footnoteReference w:id="8"/>
      </w:r>
      <w:r w:rsidRPr="00395069">
        <w:rPr>
          <w:rFonts w:ascii="Verdana" w:hAnsi="Verdana" w:cs="Verdana"/>
          <w:spacing w:val="-4"/>
          <w:sz w:val="20"/>
          <w:szCs w:val="20"/>
          <w:lang w:val="es-CR"/>
        </w:rPr>
        <w:t>, y</w:t>
      </w:r>
      <w:r w:rsidRPr="00C3034F">
        <w:rPr>
          <w:rFonts w:ascii="Verdana" w:hAnsi="Verdana" w:cs="Verdana"/>
          <w:bCs/>
          <w:spacing w:val="-4"/>
          <w:sz w:val="20"/>
          <w:szCs w:val="20"/>
          <w:lang w:val="es-CR"/>
        </w:rPr>
        <w:t xml:space="preserve"> </w:t>
      </w:r>
      <w:r w:rsidRPr="00395069">
        <w:rPr>
          <w:rFonts w:ascii="Verdana" w:hAnsi="Verdana" w:cs="Verdana"/>
          <w:spacing w:val="-4"/>
          <w:sz w:val="20"/>
          <w:szCs w:val="20"/>
          <w:lang w:val="es-CR"/>
        </w:rPr>
        <w:t>en su escrito más reciente, de 16 de junio</w:t>
      </w:r>
      <w:r w:rsidR="00C3034F">
        <w:rPr>
          <w:rFonts w:ascii="Verdana" w:hAnsi="Verdana" w:cs="Verdana"/>
          <w:spacing w:val="-4"/>
          <w:sz w:val="20"/>
          <w:szCs w:val="20"/>
          <w:lang w:val="es-CR"/>
        </w:rPr>
        <w:t xml:space="preserve"> de 2020</w:t>
      </w:r>
      <w:r w:rsidRPr="00395069">
        <w:rPr>
          <w:rFonts w:ascii="Verdana" w:hAnsi="Verdana" w:cs="Verdana"/>
          <w:spacing w:val="-4"/>
          <w:sz w:val="20"/>
          <w:szCs w:val="20"/>
          <w:lang w:val="es-CR"/>
        </w:rPr>
        <w:t>, precisaron que “[a]</w:t>
      </w:r>
      <w:proofErr w:type="spellStart"/>
      <w:r w:rsidRPr="00395069">
        <w:rPr>
          <w:rFonts w:ascii="Verdana" w:hAnsi="Verdana" w:cs="Verdana"/>
          <w:spacing w:val="-4"/>
          <w:sz w:val="20"/>
          <w:szCs w:val="20"/>
          <w:lang w:val="es-CR"/>
        </w:rPr>
        <w:t>ctualmente</w:t>
      </w:r>
      <w:proofErr w:type="spellEnd"/>
      <w:r w:rsidRPr="00395069">
        <w:rPr>
          <w:rFonts w:ascii="Verdana" w:hAnsi="Verdana" w:cs="Verdana"/>
          <w:spacing w:val="-4"/>
          <w:sz w:val="20"/>
          <w:szCs w:val="20"/>
          <w:lang w:val="es-CR"/>
        </w:rPr>
        <w:t xml:space="preserve"> se halla estable, relativamente recuperado”. Frente a la afirmación del Estado en cuanto a que se le practicó la prueba de descarte de COVID-19, la cual arrojó resultado </w:t>
      </w:r>
      <w:r w:rsidR="004125AD">
        <w:rPr>
          <w:rFonts w:ascii="Verdana" w:hAnsi="Verdana" w:cs="Verdana"/>
          <w:spacing w:val="-4"/>
          <w:sz w:val="20"/>
          <w:szCs w:val="20"/>
          <w:lang w:val="es-CR"/>
        </w:rPr>
        <w:t>“no reactivo”</w:t>
      </w:r>
      <w:r w:rsidRPr="00395069">
        <w:rPr>
          <w:rFonts w:ascii="Verdana" w:hAnsi="Verdana" w:cs="Verdana"/>
          <w:spacing w:val="-4"/>
          <w:sz w:val="20"/>
          <w:szCs w:val="20"/>
          <w:lang w:val="es-CR"/>
        </w:rPr>
        <w:t xml:space="preserve"> </w:t>
      </w:r>
      <w:r w:rsidRPr="004125AD">
        <w:rPr>
          <w:rFonts w:ascii="Verdana" w:hAnsi="Verdana" w:cs="Verdana"/>
          <w:spacing w:val="-4"/>
          <w:sz w:val="20"/>
          <w:szCs w:val="20"/>
          <w:lang w:val="es-CR"/>
        </w:rPr>
        <w:t>(</w:t>
      </w:r>
      <w:r w:rsidRPr="004125AD">
        <w:rPr>
          <w:rFonts w:ascii="Verdana" w:hAnsi="Verdana" w:cs="Verdana"/>
          <w:i/>
          <w:spacing w:val="-4"/>
          <w:sz w:val="20"/>
          <w:szCs w:val="20"/>
          <w:lang w:val="es-CR"/>
        </w:rPr>
        <w:t xml:space="preserve">infra </w:t>
      </w:r>
      <w:r w:rsidRPr="004125AD">
        <w:rPr>
          <w:rFonts w:ascii="Verdana" w:hAnsi="Verdana" w:cs="Verdana"/>
          <w:spacing w:val="-4"/>
          <w:sz w:val="20"/>
          <w:szCs w:val="20"/>
          <w:lang w:val="es-CR"/>
        </w:rPr>
        <w:t xml:space="preserve">Considerando </w:t>
      </w:r>
      <w:r w:rsidR="005D0EAE" w:rsidRPr="004125AD">
        <w:rPr>
          <w:rFonts w:ascii="Verdana" w:hAnsi="Verdana" w:cs="Verdana"/>
          <w:spacing w:val="-4"/>
          <w:sz w:val="20"/>
          <w:szCs w:val="20"/>
          <w:lang w:val="es-CR"/>
        </w:rPr>
        <w:fldChar w:fldCharType="begin"/>
      </w:r>
      <w:r w:rsidR="005D0EAE" w:rsidRPr="004125AD">
        <w:rPr>
          <w:rFonts w:ascii="Verdana" w:hAnsi="Verdana" w:cs="Verdana"/>
          <w:spacing w:val="-4"/>
          <w:sz w:val="20"/>
          <w:szCs w:val="20"/>
          <w:lang w:val="es-CR"/>
        </w:rPr>
        <w:instrText xml:space="preserve"> REF _Ref46180975 \r \h </w:instrText>
      </w:r>
      <w:r w:rsidR="00C3034F" w:rsidRPr="004125AD">
        <w:rPr>
          <w:rFonts w:ascii="Verdana" w:hAnsi="Verdana" w:cs="Verdana"/>
          <w:spacing w:val="-4"/>
          <w:sz w:val="20"/>
          <w:szCs w:val="20"/>
          <w:lang w:val="es-CR"/>
        </w:rPr>
        <w:instrText xml:space="preserve"> \* MERGEFORMAT </w:instrText>
      </w:r>
      <w:r w:rsidR="005D0EAE" w:rsidRPr="004125AD">
        <w:rPr>
          <w:rFonts w:ascii="Verdana" w:hAnsi="Verdana" w:cs="Verdana"/>
          <w:spacing w:val="-4"/>
          <w:sz w:val="20"/>
          <w:szCs w:val="20"/>
          <w:lang w:val="es-CR"/>
        </w:rPr>
      </w:r>
      <w:r w:rsidR="005D0EAE" w:rsidRPr="004125AD">
        <w:rPr>
          <w:rFonts w:ascii="Verdana" w:hAnsi="Verdana" w:cs="Verdana"/>
          <w:spacing w:val="-4"/>
          <w:sz w:val="20"/>
          <w:szCs w:val="20"/>
          <w:lang w:val="es-CR"/>
        </w:rPr>
        <w:fldChar w:fldCharType="separate"/>
      </w:r>
      <w:r w:rsidR="00337FEC" w:rsidRPr="004125AD">
        <w:rPr>
          <w:rFonts w:ascii="Verdana" w:hAnsi="Verdana" w:cs="Verdana"/>
          <w:spacing w:val="-4"/>
          <w:sz w:val="20"/>
          <w:szCs w:val="20"/>
          <w:lang w:val="es-CR"/>
        </w:rPr>
        <w:t>11</w:t>
      </w:r>
      <w:r w:rsidR="005D0EAE" w:rsidRPr="004125AD">
        <w:rPr>
          <w:rFonts w:ascii="Verdana" w:hAnsi="Verdana" w:cs="Verdana"/>
          <w:spacing w:val="-4"/>
          <w:sz w:val="20"/>
          <w:szCs w:val="20"/>
          <w:lang w:val="es-CR"/>
        </w:rPr>
        <w:fldChar w:fldCharType="end"/>
      </w:r>
      <w:r w:rsidR="004125AD" w:rsidRPr="004125AD">
        <w:rPr>
          <w:rFonts w:ascii="Verdana" w:hAnsi="Verdana" w:cs="Verdana"/>
          <w:spacing w:val="-4"/>
          <w:sz w:val="20"/>
          <w:szCs w:val="20"/>
          <w:lang w:val="es-CR"/>
        </w:rPr>
        <w:t>.d.</w:t>
      </w:r>
      <w:r w:rsidRPr="004125AD">
        <w:rPr>
          <w:rFonts w:ascii="Verdana" w:hAnsi="Verdana" w:cs="Verdana"/>
          <w:spacing w:val="-4"/>
          <w:sz w:val="20"/>
          <w:szCs w:val="20"/>
          <w:lang w:val="es-CR"/>
        </w:rPr>
        <w:t>),</w:t>
      </w:r>
      <w:r w:rsidRPr="00395069">
        <w:rPr>
          <w:rFonts w:ascii="Verdana" w:hAnsi="Verdana" w:cs="Verdana"/>
          <w:spacing w:val="-4"/>
          <w:sz w:val="20"/>
          <w:szCs w:val="20"/>
          <w:lang w:val="es-CR"/>
        </w:rPr>
        <w:t xml:space="preserve"> señalaron que “conforme a las declaraciones del Ministro de Salud […] el margen de error de las pruebas rápidas puede tener hasta un 10% de error porque hay falsos negativos”. </w:t>
      </w:r>
    </w:p>
    <w:p w14:paraId="3D44D52B" w14:textId="527B38CB" w:rsidR="00640948" w:rsidRPr="00395069" w:rsidRDefault="00640948" w:rsidP="00BF0D03">
      <w:pPr>
        <w:pStyle w:val="Prrafodelista"/>
        <w:numPr>
          <w:ilvl w:val="0"/>
          <w:numId w:val="14"/>
        </w:numPr>
        <w:autoSpaceDE w:val="0"/>
        <w:autoSpaceDN w:val="0"/>
        <w:adjustRightInd w:val="0"/>
        <w:spacing w:before="120" w:after="120" w:line="240" w:lineRule="auto"/>
        <w:contextualSpacing w:val="0"/>
        <w:jc w:val="both"/>
        <w:rPr>
          <w:rFonts w:ascii="Verdana" w:hAnsi="Verdana" w:cs="Verdana"/>
          <w:spacing w:val="-4"/>
          <w:sz w:val="20"/>
          <w:szCs w:val="20"/>
          <w:lang w:val="es-CR"/>
        </w:rPr>
      </w:pPr>
      <w:r w:rsidRPr="005F4383">
        <w:rPr>
          <w:rFonts w:ascii="Verdana" w:hAnsi="Verdana" w:cs="Verdana"/>
          <w:i/>
          <w:color w:val="000000"/>
          <w:spacing w:val="-4"/>
          <w:sz w:val="20"/>
          <w:szCs w:val="20"/>
          <w:lang w:val="es-CR"/>
        </w:rPr>
        <w:t>Juan Alonso Aranda Company</w:t>
      </w:r>
      <w:r w:rsidRPr="005F4383">
        <w:rPr>
          <w:rFonts w:ascii="Verdana" w:hAnsi="Verdana" w:cs="Verdana"/>
          <w:color w:val="000000"/>
          <w:spacing w:val="-4"/>
          <w:sz w:val="20"/>
          <w:szCs w:val="20"/>
          <w:lang w:val="es-CR"/>
        </w:rPr>
        <w:t>:</w:t>
      </w:r>
      <w:r w:rsidRPr="00395069">
        <w:rPr>
          <w:rFonts w:ascii="Verdana" w:hAnsi="Verdana" w:cs="Verdana"/>
          <w:color w:val="000000"/>
          <w:spacing w:val="-4"/>
          <w:sz w:val="20"/>
          <w:szCs w:val="20"/>
          <w:lang w:val="es-CR"/>
        </w:rPr>
        <w:t xml:space="preserve"> </w:t>
      </w:r>
      <w:r w:rsidRPr="00395069">
        <w:rPr>
          <w:rFonts w:ascii="Verdana" w:hAnsi="Verdana" w:cs="Verdana"/>
          <w:spacing w:val="-4"/>
          <w:sz w:val="20"/>
          <w:szCs w:val="20"/>
          <w:lang w:val="es-CR"/>
        </w:rPr>
        <w:t>tiene 50 años de edad</w:t>
      </w:r>
      <w:r w:rsidRPr="00395069">
        <w:rPr>
          <w:rFonts w:ascii="Verdana" w:hAnsi="Verdana" w:cs="Verdana"/>
          <w:color w:val="000000"/>
          <w:spacing w:val="-4"/>
          <w:sz w:val="20"/>
          <w:szCs w:val="20"/>
          <w:lang w:val="es-CR"/>
        </w:rPr>
        <w:t xml:space="preserve"> y “padece de hipertensión arterial y asma”. Se encuentra “recluid[o] en el establecimiento penal Miguel Castro </w:t>
      </w:r>
      <w:proofErr w:type="spellStart"/>
      <w:r w:rsidRPr="00395069">
        <w:rPr>
          <w:rFonts w:ascii="Verdana" w:hAnsi="Verdana" w:cs="Verdana"/>
          <w:color w:val="000000"/>
          <w:spacing w:val="-4"/>
          <w:sz w:val="20"/>
          <w:szCs w:val="20"/>
          <w:lang w:val="es-CR"/>
        </w:rPr>
        <w:t>Castro</w:t>
      </w:r>
      <w:proofErr w:type="spellEnd"/>
      <w:r w:rsidRPr="00395069">
        <w:rPr>
          <w:rFonts w:ascii="Verdana" w:hAnsi="Verdana" w:cs="Verdana"/>
          <w:color w:val="000000"/>
          <w:spacing w:val="-4"/>
          <w:sz w:val="20"/>
          <w:szCs w:val="20"/>
          <w:lang w:val="es-CR"/>
        </w:rPr>
        <w:t xml:space="preserve">”, el cual tiene “un hacinamiento de “385%”. </w:t>
      </w:r>
      <w:r w:rsidRPr="00395069">
        <w:rPr>
          <w:rFonts w:ascii="Verdana" w:hAnsi="Verdana" w:cs="Verdana"/>
          <w:spacing w:val="-4"/>
          <w:sz w:val="20"/>
          <w:szCs w:val="20"/>
          <w:lang w:val="es-CR"/>
        </w:rPr>
        <w:t xml:space="preserve">Refirieron que tiene “cerca de 27 de años de pena cumplida de los 30 de su </w:t>
      </w:r>
      <w:proofErr w:type="gramStart"/>
      <w:r w:rsidRPr="00395069">
        <w:rPr>
          <w:rFonts w:ascii="Verdana" w:hAnsi="Verdana" w:cs="Verdana"/>
          <w:spacing w:val="-4"/>
          <w:sz w:val="20"/>
          <w:szCs w:val="20"/>
          <w:lang w:val="es-CR"/>
        </w:rPr>
        <w:t>sentencia[</w:t>
      </w:r>
      <w:proofErr w:type="gramEnd"/>
      <w:r w:rsidRPr="00395069">
        <w:rPr>
          <w:rFonts w:ascii="Verdana" w:hAnsi="Verdana" w:cs="Verdana"/>
          <w:spacing w:val="-4"/>
          <w:sz w:val="20"/>
          <w:szCs w:val="20"/>
          <w:lang w:val="es-CR"/>
        </w:rPr>
        <w:t>,] que se cumplen el 11 de junio de 2023”. Afirmaron que “se le presentó</w:t>
      </w:r>
      <w:r w:rsidR="004E3A04">
        <w:rPr>
          <w:rFonts w:ascii="Verdana" w:hAnsi="Verdana" w:cs="Verdana"/>
          <w:spacing w:val="-4"/>
          <w:sz w:val="20"/>
          <w:szCs w:val="20"/>
          <w:lang w:val="es-CR"/>
        </w:rPr>
        <w:t xml:space="preserve"> […]</w:t>
      </w:r>
      <w:r w:rsidRPr="00395069">
        <w:rPr>
          <w:rFonts w:ascii="Verdana" w:hAnsi="Verdana" w:cs="Verdana"/>
          <w:spacing w:val="-4"/>
          <w:sz w:val="20"/>
          <w:szCs w:val="20"/>
          <w:lang w:val="es-CR"/>
        </w:rPr>
        <w:t xml:space="preserve"> COVID-19” con “todos los síntomas”</w:t>
      </w:r>
      <w:r w:rsidRPr="005F4383">
        <w:rPr>
          <w:rStyle w:val="Refdenotaalpie"/>
          <w:rFonts w:cs="Verdana"/>
          <w:spacing w:val="-4"/>
          <w:sz w:val="20"/>
          <w:szCs w:val="20"/>
          <w:lang w:val="es-CR"/>
        </w:rPr>
        <w:footnoteReference w:id="9"/>
      </w:r>
      <w:r w:rsidR="005F4383">
        <w:rPr>
          <w:rFonts w:ascii="Verdana" w:hAnsi="Verdana" w:cs="Verdana"/>
          <w:spacing w:val="-4"/>
          <w:sz w:val="20"/>
          <w:szCs w:val="20"/>
          <w:lang w:val="es-CR"/>
        </w:rPr>
        <w:t>;</w:t>
      </w:r>
      <w:r w:rsidRPr="00395069">
        <w:rPr>
          <w:rFonts w:ascii="Verdana" w:hAnsi="Verdana" w:cs="Verdana"/>
          <w:spacing w:val="-4"/>
          <w:sz w:val="20"/>
          <w:szCs w:val="20"/>
          <w:lang w:val="es-CR"/>
        </w:rPr>
        <w:t xml:space="preserve"> no obstante lo cual</w:t>
      </w:r>
      <w:r w:rsidR="005F4383">
        <w:rPr>
          <w:rFonts w:ascii="Verdana" w:hAnsi="Verdana" w:cs="Verdana"/>
          <w:spacing w:val="-4"/>
          <w:sz w:val="20"/>
          <w:szCs w:val="20"/>
          <w:lang w:val="es-CR"/>
        </w:rPr>
        <w:t>,</w:t>
      </w:r>
      <w:r w:rsidRPr="00395069">
        <w:rPr>
          <w:rFonts w:ascii="Verdana" w:hAnsi="Verdana" w:cs="Verdana"/>
          <w:spacing w:val="-4"/>
          <w:sz w:val="20"/>
          <w:szCs w:val="20"/>
          <w:lang w:val="es-CR"/>
        </w:rPr>
        <w:t xml:space="preserve"> en la actualidad “se siente relativamente recuperado”. </w:t>
      </w:r>
      <w:r w:rsidR="004E3A04">
        <w:rPr>
          <w:rFonts w:ascii="Verdana" w:hAnsi="Verdana" w:cs="Verdana"/>
          <w:spacing w:val="-4"/>
          <w:sz w:val="20"/>
          <w:szCs w:val="20"/>
          <w:lang w:val="es-CR"/>
        </w:rPr>
        <w:t>Respecto</w:t>
      </w:r>
      <w:r w:rsidRPr="00395069">
        <w:rPr>
          <w:rFonts w:ascii="Verdana" w:hAnsi="Verdana" w:cs="Verdana"/>
          <w:spacing w:val="-4"/>
          <w:sz w:val="20"/>
          <w:szCs w:val="20"/>
          <w:lang w:val="es-CR"/>
        </w:rPr>
        <w:t xml:space="preserve"> a la afirmación del Estado en cuanto a que se le practicó la prueba de descarte de COVID-19, la cual arrojó resultado </w:t>
      </w:r>
      <w:r w:rsidR="005F4383">
        <w:rPr>
          <w:rFonts w:ascii="Verdana" w:hAnsi="Verdana" w:cs="Verdana"/>
          <w:spacing w:val="-4"/>
          <w:sz w:val="20"/>
          <w:szCs w:val="20"/>
          <w:lang w:val="es-CR"/>
        </w:rPr>
        <w:t>“no reactivo”</w:t>
      </w:r>
      <w:r w:rsidRPr="00395069">
        <w:rPr>
          <w:rFonts w:ascii="Verdana" w:hAnsi="Verdana" w:cs="Verdana"/>
          <w:spacing w:val="-4"/>
          <w:sz w:val="20"/>
          <w:szCs w:val="20"/>
          <w:lang w:val="es-CR"/>
        </w:rPr>
        <w:t xml:space="preserve"> (</w:t>
      </w:r>
      <w:r w:rsidRPr="00395069">
        <w:rPr>
          <w:rFonts w:ascii="Verdana" w:hAnsi="Verdana" w:cs="Verdana"/>
          <w:i/>
          <w:spacing w:val="-4"/>
          <w:sz w:val="20"/>
          <w:szCs w:val="20"/>
          <w:lang w:val="es-CR"/>
        </w:rPr>
        <w:t xml:space="preserve">infra </w:t>
      </w:r>
      <w:r w:rsidRPr="00395069">
        <w:rPr>
          <w:rFonts w:ascii="Verdana" w:hAnsi="Verdana" w:cs="Verdana"/>
          <w:spacing w:val="-4"/>
          <w:sz w:val="20"/>
          <w:szCs w:val="20"/>
          <w:lang w:val="es-CR"/>
        </w:rPr>
        <w:t xml:space="preserve">Considerando </w:t>
      </w:r>
      <w:r w:rsidR="005D0EAE">
        <w:rPr>
          <w:rFonts w:ascii="Verdana" w:hAnsi="Verdana" w:cs="Verdana"/>
          <w:spacing w:val="-4"/>
          <w:sz w:val="20"/>
          <w:szCs w:val="20"/>
          <w:lang w:val="es-CR"/>
        </w:rPr>
        <w:fldChar w:fldCharType="begin"/>
      </w:r>
      <w:r w:rsidR="005D0EAE">
        <w:rPr>
          <w:rFonts w:ascii="Verdana" w:hAnsi="Verdana" w:cs="Verdana"/>
          <w:spacing w:val="-4"/>
          <w:sz w:val="20"/>
          <w:szCs w:val="20"/>
          <w:lang w:val="es-CR"/>
        </w:rPr>
        <w:instrText xml:space="preserve"> REF _Ref46180975 \r \h </w:instrText>
      </w:r>
      <w:r w:rsidR="005D0EAE">
        <w:rPr>
          <w:rFonts w:ascii="Verdana" w:hAnsi="Verdana" w:cs="Verdana"/>
          <w:spacing w:val="-4"/>
          <w:sz w:val="20"/>
          <w:szCs w:val="20"/>
          <w:lang w:val="es-CR"/>
        </w:rPr>
      </w:r>
      <w:r w:rsidR="005D0EAE">
        <w:rPr>
          <w:rFonts w:ascii="Verdana" w:hAnsi="Verdana" w:cs="Verdana"/>
          <w:spacing w:val="-4"/>
          <w:sz w:val="20"/>
          <w:szCs w:val="20"/>
          <w:lang w:val="es-CR"/>
        </w:rPr>
        <w:fldChar w:fldCharType="separate"/>
      </w:r>
      <w:r w:rsidR="00337FEC">
        <w:rPr>
          <w:rFonts w:ascii="Verdana" w:hAnsi="Verdana" w:cs="Verdana"/>
          <w:spacing w:val="-4"/>
          <w:sz w:val="20"/>
          <w:szCs w:val="20"/>
          <w:lang w:val="es-CR"/>
        </w:rPr>
        <w:t>11</w:t>
      </w:r>
      <w:r w:rsidR="005D0EAE">
        <w:rPr>
          <w:rFonts w:ascii="Verdana" w:hAnsi="Verdana" w:cs="Verdana"/>
          <w:spacing w:val="-4"/>
          <w:sz w:val="20"/>
          <w:szCs w:val="20"/>
          <w:lang w:val="es-CR"/>
        </w:rPr>
        <w:fldChar w:fldCharType="end"/>
      </w:r>
      <w:r w:rsidR="005F4383">
        <w:rPr>
          <w:rFonts w:ascii="Verdana" w:hAnsi="Verdana" w:cs="Verdana"/>
          <w:spacing w:val="-4"/>
          <w:sz w:val="20"/>
          <w:szCs w:val="20"/>
          <w:lang w:val="es-CR"/>
        </w:rPr>
        <w:t>.c.</w:t>
      </w:r>
      <w:r w:rsidRPr="00395069">
        <w:rPr>
          <w:rFonts w:ascii="Verdana" w:hAnsi="Verdana" w:cs="Verdana"/>
          <w:spacing w:val="-4"/>
          <w:sz w:val="20"/>
          <w:szCs w:val="20"/>
          <w:lang w:val="es-CR"/>
        </w:rPr>
        <w:t>), nuevamente se refirieron al margen de error que pueden tener de las pruebas rápidas (</w:t>
      </w:r>
      <w:r w:rsidRPr="00395069">
        <w:rPr>
          <w:rFonts w:ascii="Verdana" w:hAnsi="Verdana" w:cs="Verdana"/>
          <w:i/>
          <w:spacing w:val="-4"/>
          <w:sz w:val="20"/>
          <w:szCs w:val="20"/>
          <w:lang w:val="es-CR"/>
        </w:rPr>
        <w:t xml:space="preserve">supra </w:t>
      </w:r>
      <w:r w:rsidR="005F4383">
        <w:rPr>
          <w:rFonts w:ascii="Verdana" w:hAnsi="Verdana" w:cs="Verdana"/>
          <w:spacing w:val="-4"/>
          <w:sz w:val="20"/>
          <w:szCs w:val="20"/>
          <w:lang w:val="es-CR"/>
        </w:rPr>
        <w:t>Considerando 6.</w:t>
      </w:r>
      <w:r w:rsidR="005D0EAE">
        <w:rPr>
          <w:rFonts w:ascii="Verdana" w:hAnsi="Verdana" w:cs="Verdana"/>
          <w:spacing w:val="-4"/>
          <w:sz w:val="20"/>
          <w:szCs w:val="20"/>
          <w:lang w:val="es-CR"/>
        </w:rPr>
        <w:t>c</w:t>
      </w:r>
      <w:r w:rsidR="005F4383">
        <w:rPr>
          <w:rFonts w:ascii="Verdana" w:hAnsi="Verdana" w:cs="Verdana"/>
          <w:spacing w:val="-4"/>
          <w:sz w:val="20"/>
          <w:szCs w:val="20"/>
          <w:lang w:val="es-CR"/>
        </w:rPr>
        <w:t>.</w:t>
      </w:r>
      <w:r w:rsidRPr="00395069">
        <w:rPr>
          <w:rFonts w:ascii="Verdana" w:hAnsi="Verdana" w:cs="Verdana"/>
          <w:spacing w:val="-4"/>
          <w:sz w:val="20"/>
          <w:szCs w:val="20"/>
          <w:lang w:val="es-CR"/>
        </w:rPr>
        <w:t>).</w:t>
      </w:r>
    </w:p>
    <w:p w14:paraId="14B29503" w14:textId="56A7C632" w:rsidR="00640948" w:rsidRPr="00395069" w:rsidRDefault="00640948" w:rsidP="00BF0D03">
      <w:pPr>
        <w:pStyle w:val="Prrafodelista"/>
        <w:numPr>
          <w:ilvl w:val="0"/>
          <w:numId w:val="14"/>
        </w:numPr>
        <w:autoSpaceDE w:val="0"/>
        <w:autoSpaceDN w:val="0"/>
        <w:adjustRightInd w:val="0"/>
        <w:spacing w:before="120" w:after="120" w:line="240" w:lineRule="auto"/>
        <w:contextualSpacing w:val="0"/>
        <w:jc w:val="both"/>
        <w:rPr>
          <w:rFonts w:ascii="Verdana" w:hAnsi="Verdana" w:cs="Verdana"/>
          <w:color w:val="000000"/>
          <w:spacing w:val="-4"/>
          <w:sz w:val="20"/>
          <w:szCs w:val="20"/>
          <w:lang w:val="es-ES_tradnl"/>
        </w:rPr>
      </w:pPr>
      <w:r w:rsidRPr="00395069">
        <w:rPr>
          <w:rFonts w:ascii="Verdana" w:hAnsi="Verdana" w:cs="Verdana"/>
          <w:i/>
          <w:color w:val="000000"/>
          <w:spacing w:val="-4"/>
          <w:sz w:val="20"/>
          <w:szCs w:val="20"/>
          <w:lang w:val="es-CR"/>
        </w:rPr>
        <w:t xml:space="preserve">Atilio Richard Cahuana </w:t>
      </w:r>
      <w:proofErr w:type="spellStart"/>
      <w:r w:rsidRPr="00395069">
        <w:rPr>
          <w:rFonts w:ascii="Verdana" w:hAnsi="Verdana" w:cs="Verdana"/>
          <w:i/>
          <w:color w:val="000000"/>
          <w:spacing w:val="-4"/>
          <w:sz w:val="20"/>
          <w:szCs w:val="20"/>
          <w:lang w:val="es-CR"/>
        </w:rPr>
        <w:t>Yuyali</w:t>
      </w:r>
      <w:proofErr w:type="spellEnd"/>
      <w:r w:rsidRPr="00395069">
        <w:rPr>
          <w:rFonts w:ascii="Verdana" w:hAnsi="Verdana" w:cs="Verdana"/>
          <w:color w:val="000000"/>
          <w:spacing w:val="-4"/>
          <w:sz w:val="20"/>
          <w:szCs w:val="20"/>
          <w:lang w:val="es-CR"/>
        </w:rPr>
        <w:t xml:space="preserve">: </w:t>
      </w:r>
      <w:r w:rsidR="009E3689">
        <w:rPr>
          <w:rFonts w:ascii="Verdana" w:hAnsi="Verdana" w:cs="Verdana"/>
          <w:color w:val="000000"/>
          <w:spacing w:val="-4"/>
          <w:sz w:val="20"/>
          <w:szCs w:val="20"/>
          <w:lang w:val="es-CR"/>
        </w:rPr>
        <w:t xml:space="preserve">tiene 55 años y </w:t>
      </w:r>
      <w:r w:rsidRPr="00395069">
        <w:rPr>
          <w:rFonts w:ascii="Verdana" w:hAnsi="Verdana" w:cs="Verdana"/>
          <w:color w:val="000000"/>
          <w:spacing w:val="-4"/>
          <w:sz w:val="20"/>
          <w:szCs w:val="20"/>
          <w:lang w:val="es-CR"/>
        </w:rPr>
        <w:t>s</w:t>
      </w:r>
      <w:proofErr w:type="spellStart"/>
      <w:r w:rsidRPr="00395069">
        <w:rPr>
          <w:rFonts w:ascii="Verdana" w:hAnsi="Verdana" w:cs="Verdana"/>
          <w:color w:val="000000"/>
          <w:spacing w:val="-4"/>
          <w:sz w:val="20"/>
          <w:szCs w:val="20"/>
          <w:lang w:val="es-AR"/>
        </w:rPr>
        <w:t>e</w:t>
      </w:r>
      <w:proofErr w:type="spellEnd"/>
      <w:r w:rsidRPr="00395069">
        <w:rPr>
          <w:rFonts w:ascii="Verdana" w:hAnsi="Verdana" w:cs="Verdana"/>
          <w:color w:val="000000"/>
          <w:spacing w:val="-4"/>
          <w:sz w:val="20"/>
          <w:szCs w:val="20"/>
          <w:lang w:val="es-AR"/>
        </w:rPr>
        <w:t xml:space="preserve"> encuentra “recluido en el establecimiento Ancón 1”. En su escrito de 26 de mayo s</w:t>
      </w:r>
      <w:proofErr w:type="spellStart"/>
      <w:r w:rsidRPr="00395069">
        <w:rPr>
          <w:rFonts w:ascii="Verdana" w:hAnsi="Verdana" w:cs="Verdana"/>
          <w:spacing w:val="-4"/>
          <w:sz w:val="20"/>
          <w:szCs w:val="20"/>
          <w:lang w:val="es-CR"/>
        </w:rPr>
        <w:t>eñalaron</w:t>
      </w:r>
      <w:proofErr w:type="spellEnd"/>
      <w:r w:rsidRPr="00395069">
        <w:rPr>
          <w:rFonts w:ascii="Verdana" w:hAnsi="Verdana" w:cs="Verdana"/>
          <w:color w:val="000000"/>
          <w:spacing w:val="-4"/>
          <w:sz w:val="20"/>
          <w:szCs w:val="20"/>
          <w:lang w:val="es-AR"/>
        </w:rPr>
        <w:t xml:space="preserve"> tener conocimiento que </w:t>
      </w:r>
      <w:r w:rsidRPr="005D0EAE">
        <w:rPr>
          <w:rFonts w:ascii="Verdana" w:hAnsi="Verdana" w:cs="Verdana"/>
          <w:spacing w:val="-4"/>
          <w:sz w:val="20"/>
          <w:szCs w:val="20"/>
          <w:lang w:val="es-CR"/>
        </w:rPr>
        <w:t>estaba</w:t>
      </w:r>
      <w:r w:rsidRPr="00395069">
        <w:rPr>
          <w:rFonts w:ascii="Verdana" w:hAnsi="Verdana" w:cs="Verdana"/>
          <w:color w:val="000000"/>
          <w:spacing w:val="-4"/>
          <w:sz w:val="20"/>
          <w:szCs w:val="20"/>
          <w:lang w:val="es-AR"/>
        </w:rPr>
        <w:t xml:space="preserve"> infectado con COVID-19 y que había estado “con fiebre persistente por varios días [y] tos seca”. Agregaron que “a partir del día 3 de mayo se agravó su salud” y que tenía “pulmonía, antecedentes de tuberculosis y ha[</w:t>
      </w:r>
      <w:proofErr w:type="spellStart"/>
      <w:r w:rsidRPr="00395069">
        <w:rPr>
          <w:rFonts w:ascii="Verdana" w:hAnsi="Verdana" w:cs="Verdana"/>
          <w:color w:val="000000"/>
          <w:spacing w:val="-4"/>
          <w:sz w:val="20"/>
          <w:szCs w:val="20"/>
          <w:lang w:val="es-AR"/>
        </w:rPr>
        <w:t>bía</w:t>
      </w:r>
      <w:proofErr w:type="spellEnd"/>
      <w:r w:rsidRPr="00395069">
        <w:rPr>
          <w:rFonts w:ascii="Verdana" w:hAnsi="Verdana" w:cs="Verdana"/>
          <w:color w:val="000000"/>
          <w:spacing w:val="-4"/>
          <w:sz w:val="20"/>
          <w:szCs w:val="20"/>
          <w:lang w:val="es-AR"/>
        </w:rPr>
        <w:t xml:space="preserve">] sido llevado a </w:t>
      </w:r>
      <w:r w:rsidRPr="00395069">
        <w:rPr>
          <w:rFonts w:ascii="Verdana" w:hAnsi="Verdana" w:cs="Verdana"/>
          <w:color w:val="000000"/>
          <w:spacing w:val="-4"/>
          <w:sz w:val="20"/>
          <w:szCs w:val="20"/>
          <w:lang w:val="es-ES_tradnl"/>
        </w:rPr>
        <w:t>la zona de enfermos por Covid-19 del penal Ancón 1 sin prestarle ninguna atención médica”. En su escrito más reciente, de 16 de junio</w:t>
      </w:r>
      <w:r w:rsidR="005F4383">
        <w:rPr>
          <w:rFonts w:ascii="Verdana" w:hAnsi="Verdana" w:cs="Verdana"/>
          <w:color w:val="000000"/>
          <w:spacing w:val="-4"/>
          <w:sz w:val="20"/>
          <w:szCs w:val="20"/>
          <w:lang w:val="es-ES_tradnl"/>
        </w:rPr>
        <w:t xml:space="preserve"> de 2020</w:t>
      </w:r>
      <w:r w:rsidRPr="00395069">
        <w:rPr>
          <w:rFonts w:ascii="Verdana" w:hAnsi="Verdana" w:cs="Verdana"/>
          <w:color w:val="000000"/>
          <w:spacing w:val="-4"/>
          <w:sz w:val="20"/>
          <w:szCs w:val="20"/>
          <w:lang w:val="es-ES_tradnl"/>
        </w:rPr>
        <w:t>, agregaron que “la prueba de descarte de Covid-19 se hizo recién el 5 de junio con resultado positivo” y que, según surge de los informes médicos aportados por el Estado (</w:t>
      </w:r>
      <w:r w:rsidRPr="00395069">
        <w:rPr>
          <w:rFonts w:ascii="Verdana" w:hAnsi="Verdana" w:cs="Verdana"/>
          <w:i/>
          <w:color w:val="000000"/>
          <w:spacing w:val="-4"/>
          <w:sz w:val="20"/>
          <w:szCs w:val="20"/>
          <w:lang w:val="es-ES_tradnl"/>
        </w:rPr>
        <w:t xml:space="preserve">infra </w:t>
      </w:r>
      <w:r w:rsidRPr="00395069">
        <w:rPr>
          <w:rFonts w:ascii="Verdana" w:hAnsi="Verdana" w:cs="Verdana"/>
          <w:color w:val="000000"/>
          <w:spacing w:val="-4"/>
          <w:sz w:val="20"/>
          <w:szCs w:val="20"/>
          <w:lang w:val="es-ES_tradnl"/>
        </w:rPr>
        <w:t xml:space="preserve">Considerando </w:t>
      </w:r>
      <w:r w:rsidR="005D0EAE">
        <w:rPr>
          <w:rFonts w:ascii="Verdana" w:hAnsi="Verdana" w:cs="Verdana"/>
          <w:spacing w:val="-4"/>
          <w:sz w:val="20"/>
          <w:szCs w:val="20"/>
          <w:lang w:val="es-CR"/>
        </w:rPr>
        <w:fldChar w:fldCharType="begin"/>
      </w:r>
      <w:r w:rsidR="005D0EAE">
        <w:rPr>
          <w:rFonts w:ascii="Verdana" w:hAnsi="Verdana" w:cs="Verdana"/>
          <w:spacing w:val="-4"/>
          <w:sz w:val="20"/>
          <w:szCs w:val="20"/>
          <w:lang w:val="es-CR"/>
        </w:rPr>
        <w:instrText xml:space="preserve"> REF _Ref46180975 \r \h </w:instrText>
      </w:r>
      <w:r w:rsidR="005D0EAE">
        <w:rPr>
          <w:rFonts w:ascii="Verdana" w:hAnsi="Verdana" w:cs="Verdana"/>
          <w:spacing w:val="-4"/>
          <w:sz w:val="20"/>
          <w:szCs w:val="20"/>
          <w:lang w:val="es-CR"/>
        </w:rPr>
      </w:r>
      <w:r w:rsidR="005D0EAE">
        <w:rPr>
          <w:rFonts w:ascii="Verdana" w:hAnsi="Verdana" w:cs="Verdana"/>
          <w:spacing w:val="-4"/>
          <w:sz w:val="20"/>
          <w:szCs w:val="20"/>
          <w:lang w:val="es-CR"/>
        </w:rPr>
        <w:fldChar w:fldCharType="separate"/>
      </w:r>
      <w:r w:rsidR="00337FEC">
        <w:rPr>
          <w:rFonts w:ascii="Verdana" w:hAnsi="Verdana" w:cs="Verdana"/>
          <w:spacing w:val="-4"/>
          <w:sz w:val="20"/>
          <w:szCs w:val="20"/>
          <w:lang w:val="es-CR"/>
        </w:rPr>
        <w:t>11</w:t>
      </w:r>
      <w:r w:rsidR="005D0EAE">
        <w:rPr>
          <w:rFonts w:ascii="Verdana" w:hAnsi="Verdana" w:cs="Verdana"/>
          <w:spacing w:val="-4"/>
          <w:sz w:val="20"/>
          <w:szCs w:val="20"/>
          <w:lang w:val="es-CR"/>
        </w:rPr>
        <w:fldChar w:fldCharType="end"/>
      </w:r>
      <w:r w:rsidR="005F4383">
        <w:rPr>
          <w:rFonts w:ascii="Verdana" w:hAnsi="Verdana" w:cs="Verdana"/>
          <w:spacing w:val="-4"/>
          <w:sz w:val="20"/>
          <w:szCs w:val="20"/>
          <w:lang w:val="es-CR"/>
        </w:rPr>
        <w:t>.e.</w:t>
      </w:r>
      <w:r w:rsidRPr="00395069">
        <w:rPr>
          <w:rFonts w:ascii="Verdana" w:hAnsi="Verdana" w:cs="Verdana"/>
          <w:color w:val="000000"/>
          <w:spacing w:val="-4"/>
          <w:sz w:val="20"/>
          <w:szCs w:val="20"/>
          <w:lang w:val="es-ES_tradnl"/>
        </w:rPr>
        <w:t xml:space="preserve">), fue tratado con Azitromicina y Paracetamol el 23 de abril de 2020, tratamiento que “no se consigna haber sido determinado por médico alguno”. Remarcaron que “el </w:t>
      </w:r>
      <w:r w:rsidR="00AC62B2">
        <w:rPr>
          <w:rFonts w:ascii="Verdana" w:hAnsi="Verdana" w:cs="Verdana"/>
          <w:color w:val="000000"/>
          <w:spacing w:val="-4"/>
          <w:sz w:val="20"/>
          <w:szCs w:val="20"/>
          <w:lang w:val="es-ES_tradnl"/>
        </w:rPr>
        <w:t>0</w:t>
      </w:r>
      <w:r w:rsidRPr="00395069">
        <w:rPr>
          <w:rFonts w:ascii="Verdana" w:hAnsi="Verdana" w:cs="Verdana"/>
          <w:color w:val="000000"/>
          <w:spacing w:val="-4"/>
          <w:sz w:val="20"/>
          <w:szCs w:val="20"/>
          <w:lang w:val="es-ES_tradnl"/>
        </w:rPr>
        <w:t xml:space="preserve">2 de mayo el médico de turno </w:t>
      </w:r>
      <w:proofErr w:type="spellStart"/>
      <w:r w:rsidRPr="00395069">
        <w:rPr>
          <w:rFonts w:ascii="Verdana" w:hAnsi="Verdana" w:cs="Verdana"/>
          <w:color w:val="000000"/>
          <w:spacing w:val="-4"/>
          <w:sz w:val="20"/>
          <w:szCs w:val="20"/>
          <w:lang w:val="es-ES_tradnl"/>
        </w:rPr>
        <w:t>indic</w:t>
      </w:r>
      <w:proofErr w:type="spellEnd"/>
      <w:r w:rsidRPr="00395069">
        <w:rPr>
          <w:rFonts w:ascii="Verdana" w:hAnsi="Verdana" w:cs="Verdana"/>
          <w:color w:val="000000"/>
          <w:spacing w:val="-4"/>
          <w:sz w:val="20"/>
          <w:szCs w:val="20"/>
          <w:lang w:val="es-ES_tradnl"/>
        </w:rPr>
        <w:t>[</w:t>
      </w:r>
      <w:proofErr w:type="spellStart"/>
      <w:r w:rsidRPr="00395069">
        <w:rPr>
          <w:rFonts w:ascii="Verdana" w:hAnsi="Verdana" w:cs="Verdana"/>
          <w:color w:val="000000"/>
          <w:spacing w:val="-4"/>
          <w:sz w:val="20"/>
          <w:szCs w:val="20"/>
          <w:lang w:val="es-ES_tradnl"/>
        </w:rPr>
        <w:t>ó</w:t>
      </w:r>
      <w:proofErr w:type="spellEnd"/>
      <w:r w:rsidRPr="00395069">
        <w:rPr>
          <w:rFonts w:ascii="Verdana" w:hAnsi="Verdana" w:cs="Verdana"/>
          <w:color w:val="000000"/>
          <w:spacing w:val="-4"/>
          <w:sz w:val="20"/>
          <w:szCs w:val="20"/>
          <w:lang w:val="es-ES_tradnl"/>
        </w:rPr>
        <w:t xml:space="preserve">] su aislamiento e </w:t>
      </w:r>
      <w:proofErr w:type="spellStart"/>
      <w:r w:rsidRPr="00395069">
        <w:rPr>
          <w:rFonts w:ascii="Verdana" w:hAnsi="Verdana" w:cs="Verdana"/>
          <w:color w:val="000000"/>
          <w:spacing w:val="-4"/>
          <w:sz w:val="20"/>
          <w:szCs w:val="20"/>
          <w:lang w:val="es-ES_tradnl"/>
        </w:rPr>
        <w:t>inici</w:t>
      </w:r>
      <w:proofErr w:type="spellEnd"/>
      <w:r w:rsidRPr="00395069">
        <w:rPr>
          <w:rFonts w:ascii="Verdana" w:hAnsi="Verdana" w:cs="Verdana"/>
          <w:color w:val="000000"/>
          <w:spacing w:val="-4"/>
          <w:sz w:val="20"/>
          <w:szCs w:val="20"/>
          <w:lang w:val="es-ES_tradnl"/>
        </w:rPr>
        <w:t>[</w:t>
      </w:r>
      <w:proofErr w:type="spellStart"/>
      <w:r w:rsidRPr="00395069">
        <w:rPr>
          <w:rFonts w:ascii="Verdana" w:hAnsi="Verdana" w:cs="Verdana"/>
          <w:color w:val="000000"/>
          <w:spacing w:val="-4"/>
          <w:sz w:val="20"/>
          <w:szCs w:val="20"/>
          <w:lang w:val="es-ES_tradnl"/>
        </w:rPr>
        <w:t>ó</w:t>
      </w:r>
      <w:proofErr w:type="spellEnd"/>
      <w:r w:rsidRPr="00395069">
        <w:rPr>
          <w:rFonts w:ascii="Verdana" w:hAnsi="Verdana" w:cs="Verdana"/>
          <w:color w:val="000000"/>
          <w:spacing w:val="-4"/>
          <w:sz w:val="20"/>
          <w:szCs w:val="20"/>
          <w:lang w:val="es-ES_tradnl"/>
        </w:rPr>
        <w:t>] tratamiento con Metamizol, Ceftriaxona, paracetamol y control de sus funciones vitales”.</w:t>
      </w:r>
    </w:p>
    <w:p w14:paraId="25639BBF" w14:textId="67B6DAAD" w:rsidR="00640948" w:rsidRPr="00AE1C75" w:rsidRDefault="00D06A5F"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i/>
          <w:color w:val="000000"/>
          <w:spacing w:val="-4"/>
          <w:sz w:val="20"/>
          <w:szCs w:val="20"/>
          <w:lang w:val="es-CR"/>
        </w:rPr>
      </w:pPr>
      <w:bookmarkStart w:id="3" w:name="_Ref46241727"/>
      <w:r w:rsidRPr="00AE1C75">
        <w:rPr>
          <w:rFonts w:ascii="Verdana" w:hAnsi="Verdana" w:cs="Verdana"/>
          <w:color w:val="000000"/>
          <w:spacing w:val="-4"/>
          <w:sz w:val="20"/>
          <w:szCs w:val="20"/>
          <w:lang w:val="es-CR"/>
        </w:rPr>
        <w:t xml:space="preserve">Los intervinientes comunes </w:t>
      </w:r>
      <w:r w:rsidR="00640948" w:rsidRPr="00AE1C75">
        <w:rPr>
          <w:rFonts w:ascii="Verdana" w:hAnsi="Verdana" w:cs="Verdana"/>
          <w:color w:val="000000"/>
          <w:spacing w:val="-4"/>
          <w:sz w:val="20"/>
          <w:szCs w:val="20"/>
          <w:lang w:val="es-CR"/>
        </w:rPr>
        <w:t xml:space="preserve">se refirieron </w:t>
      </w:r>
      <w:r w:rsidRPr="00AE1C75">
        <w:rPr>
          <w:rFonts w:ascii="Verdana" w:hAnsi="Verdana" w:cs="Verdana"/>
          <w:color w:val="000000"/>
          <w:spacing w:val="-4"/>
          <w:sz w:val="20"/>
          <w:szCs w:val="20"/>
          <w:lang w:val="es-CR"/>
        </w:rPr>
        <w:t xml:space="preserve">asimismo </w:t>
      </w:r>
      <w:r w:rsidR="00640948" w:rsidRPr="00AE1C75">
        <w:rPr>
          <w:rFonts w:ascii="Verdana" w:hAnsi="Verdana" w:cs="Verdana"/>
          <w:color w:val="000000"/>
          <w:spacing w:val="-4"/>
          <w:sz w:val="20"/>
          <w:szCs w:val="20"/>
          <w:lang w:val="es-CR"/>
        </w:rPr>
        <w:t xml:space="preserve">a las demandas </w:t>
      </w:r>
      <w:r w:rsidRPr="00AE1C75">
        <w:rPr>
          <w:rFonts w:ascii="Verdana" w:hAnsi="Verdana" w:cs="Verdana"/>
          <w:color w:val="000000"/>
          <w:spacing w:val="-4"/>
          <w:sz w:val="20"/>
          <w:szCs w:val="20"/>
          <w:lang w:val="es-CR"/>
        </w:rPr>
        <w:t xml:space="preserve">de hábeas corpus </w:t>
      </w:r>
      <w:r w:rsidR="00640948" w:rsidRPr="00AE1C75">
        <w:rPr>
          <w:rFonts w:ascii="Verdana" w:hAnsi="Verdana" w:cs="Verdana"/>
          <w:color w:val="000000"/>
          <w:spacing w:val="-4"/>
          <w:sz w:val="20"/>
          <w:szCs w:val="20"/>
          <w:lang w:val="es-CR"/>
        </w:rPr>
        <w:t xml:space="preserve">presentadas </w:t>
      </w:r>
      <w:r w:rsidR="005255DC" w:rsidRPr="00AE1C75">
        <w:rPr>
          <w:rFonts w:ascii="Verdana" w:hAnsi="Verdana" w:cs="Verdana"/>
          <w:color w:val="000000"/>
          <w:spacing w:val="-4"/>
          <w:sz w:val="20"/>
          <w:szCs w:val="20"/>
          <w:lang w:val="es-CR"/>
        </w:rPr>
        <w:t>ante los tribunales peruanos solicitando</w:t>
      </w:r>
      <w:r w:rsidR="00F17DF2" w:rsidRPr="00AE1C75">
        <w:rPr>
          <w:rFonts w:ascii="Verdana" w:hAnsi="Verdana" w:cs="Verdana"/>
          <w:color w:val="000000"/>
          <w:spacing w:val="-4"/>
          <w:sz w:val="20"/>
          <w:szCs w:val="20"/>
          <w:lang w:val="es-CR"/>
        </w:rPr>
        <w:t>,</w:t>
      </w:r>
      <w:r w:rsidR="005255DC" w:rsidRPr="00AE1C75">
        <w:rPr>
          <w:rFonts w:ascii="Verdana" w:hAnsi="Verdana" w:cs="Verdana"/>
          <w:color w:val="000000"/>
          <w:spacing w:val="-4"/>
          <w:sz w:val="20"/>
          <w:szCs w:val="20"/>
          <w:lang w:val="es-CR"/>
        </w:rPr>
        <w:t xml:space="preserve"> </w:t>
      </w:r>
      <w:r w:rsidR="00F17DF2" w:rsidRPr="00AE1C75">
        <w:rPr>
          <w:rFonts w:ascii="Verdana" w:hAnsi="Verdana" w:cs="Verdana"/>
          <w:color w:val="000000"/>
          <w:spacing w:val="-4"/>
          <w:sz w:val="20"/>
          <w:szCs w:val="20"/>
          <w:lang w:val="es-CR"/>
        </w:rPr>
        <w:t xml:space="preserve">según el caso, </w:t>
      </w:r>
      <w:r w:rsidR="004843EA" w:rsidRPr="00AE1C75">
        <w:rPr>
          <w:rFonts w:ascii="Verdana" w:hAnsi="Verdana" w:cs="Verdana"/>
          <w:color w:val="000000"/>
          <w:spacing w:val="-4"/>
          <w:sz w:val="20"/>
          <w:szCs w:val="20"/>
          <w:lang w:val="es-CR"/>
        </w:rPr>
        <w:t>ser liberados, poder cumplir la pena en detención domiciliaria o ser trasladados a un hospital para recibir el tratamiento por el COVID-19</w:t>
      </w:r>
      <w:r w:rsidR="005255DC" w:rsidRPr="00AE1C75">
        <w:rPr>
          <w:rStyle w:val="Refdenotaalpie"/>
          <w:rFonts w:cs="Verdana"/>
          <w:color w:val="000000"/>
          <w:spacing w:val="-4"/>
          <w:sz w:val="20"/>
          <w:szCs w:val="20"/>
          <w:lang w:val="es-CR"/>
        </w:rPr>
        <w:footnoteReference w:id="10"/>
      </w:r>
      <w:r w:rsidR="00640948" w:rsidRPr="00AE1C75">
        <w:rPr>
          <w:rFonts w:ascii="Verdana" w:hAnsi="Verdana" w:cs="Verdana"/>
          <w:color w:val="000000"/>
          <w:spacing w:val="-4"/>
          <w:sz w:val="20"/>
          <w:szCs w:val="20"/>
          <w:lang w:val="es-CR"/>
        </w:rPr>
        <w:t xml:space="preserve">, las resoluciones judiciales </w:t>
      </w:r>
      <w:r w:rsidR="00640948" w:rsidRPr="00AE1C75">
        <w:rPr>
          <w:rFonts w:ascii="Verdana" w:hAnsi="Verdana" w:cs="Verdana"/>
          <w:color w:val="000000"/>
          <w:spacing w:val="-4"/>
          <w:sz w:val="20"/>
          <w:szCs w:val="20"/>
          <w:lang w:val="es-CR"/>
        </w:rPr>
        <w:lastRenderedPageBreak/>
        <w:t xml:space="preserve">emitidas rechazándolas y los recursos de apelación pendientes de resolver respecto de dos de ellos. También sostuvieron, </w:t>
      </w:r>
      <w:r w:rsidR="00640948" w:rsidRPr="00AE1C75">
        <w:rPr>
          <w:rFonts w:ascii="Verdana" w:hAnsi="Verdana" w:cs="Verdana"/>
          <w:i/>
          <w:color w:val="000000"/>
          <w:spacing w:val="-4"/>
          <w:sz w:val="20"/>
          <w:szCs w:val="20"/>
          <w:lang w:val="es-CR"/>
        </w:rPr>
        <w:t xml:space="preserve">inter </w:t>
      </w:r>
      <w:proofErr w:type="spellStart"/>
      <w:r w:rsidR="00640948" w:rsidRPr="00AE1C75">
        <w:rPr>
          <w:rFonts w:ascii="Verdana" w:hAnsi="Verdana" w:cs="Verdana"/>
          <w:i/>
          <w:color w:val="000000"/>
          <w:spacing w:val="-4"/>
          <w:sz w:val="20"/>
          <w:szCs w:val="20"/>
          <w:lang w:val="es-CR"/>
        </w:rPr>
        <w:t>alia</w:t>
      </w:r>
      <w:proofErr w:type="spellEnd"/>
      <w:r w:rsidR="00640948" w:rsidRPr="00AE1C75">
        <w:rPr>
          <w:rFonts w:ascii="Verdana" w:hAnsi="Verdana" w:cs="Verdana"/>
          <w:color w:val="000000"/>
          <w:spacing w:val="-4"/>
          <w:sz w:val="20"/>
          <w:szCs w:val="20"/>
          <w:lang w:val="es-CR"/>
        </w:rPr>
        <w:t>,</w:t>
      </w:r>
      <w:r w:rsidR="00640948" w:rsidRPr="00AE1C75">
        <w:rPr>
          <w:rFonts w:ascii="Verdana" w:hAnsi="Verdana" w:cs="Verdana"/>
          <w:i/>
          <w:color w:val="000000"/>
          <w:spacing w:val="-4"/>
          <w:sz w:val="20"/>
          <w:szCs w:val="20"/>
          <w:lang w:val="es-CR"/>
        </w:rPr>
        <w:t xml:space="preserve"> </w:t>
      </w:r>
      <w:r w:rsidR="00640948" w:rsidRPr="00AE1C75">
        <w:rPr>
          <w:rFonts w:ascii="Verdana" w:hAnsi="Verdana" w:cs="Verdana"/>
          <w:color w:val="000000"/>
          <w:spacing w:val="-4"/>
          <w:sz w:val="20"/>
          <w:szCs w:val="20"/>
          <w:lang w:val="es-CR"/>
        </w:rPr>
        <w:t xml:space="preserve">que la situación “no </w:t>
      </w:r>
      <w:proofErr w:type="spellStart"/>
      <w:r w:rsidR="00640948" w:rsidRPr="00AE1C75">
        <w:rPr>
          <w:rFonts w:ascii="Verdana" w:hAnsi="Verdana" w:cs="Verdana"/>
          <w:color w:val="000000"/>
          <w:spacing w:val="-4"/>
          <w:sz w:val="20"/>
          <w:szCs w:val="20"/>
          <w:lang w:val="es-CR"/>
        </w:rPr>
        <w:t>est</w:t>
      </w:r>
      <w:proofErr w:type="spellEnd"/>
      <w:r w:rsidR="00640948" w:rsidRPr="00AE1C75">
        <w:rPr>
          <w:rFonts w:ascii="Verdana" w:hAnsi="Verdana" w:cs="Verdana"/>
          <w:color w:val="000000"/>
          <w:spacing w:val="-4"/>
          <w:sz w:val="20"/>
          <w:szCs w:val="20"/>
          <w:lang w:val="es-CR"/>
        </w:rPr>
        <w:t>[aba] siendo tratad</w:t>
      </w:r>
      <w:r w:rsidR="00AC62B2" w:rsidRPr="00AE1C75">
        <w:rPr>
          <w:rFonts w:ascii="Verdana" w:hAnsi="Verdana" w:cs="Verdana"/>
          <w:color w:val="000000"/>
          <w:spacing w:val="-4"/>
          <w:sz w:val="20"/>
          <w:szCs w:val="20"/>
          <w:lang w:val="es-CR"/>
        </w:rPr>
        <w:t>[a]</w:t>
      </w:r>
      <w:r w:rsidR="00640948" w:rsidRPr="00AE1C75">
        <w:rPr>
          <w:rFonts w:ascii="Verdana" w:hAnsi="Verdana" w:cs="Verdana"/>
          <w:color w:val="000000"/>
          <w:spacing w:val="-4"/>
          <w:sz w:val="20"/>
          <w:szCs w:val="20"/>
          <w:lang w:val="es-CR"/>
        </w:rPr>
        <w:t xml:space="preserve"> de la manera seria y urgente que se merece y se necesita”. </w:t>
      </w:r>
      <w:bookmarkEnd w:id="3"/>
    </w:p>
    <w:p w14:paraId="28AF428A" w14:textId="77777777"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AR"/>
        </w:rPr>
      </w:pPr>
      <w:r w:rsidRPr="00395069">
        <w:rPr>
          <w:rFonts w:ascii="Verdana" w:hAnsi="Verdana"/>
          <w:spacing w:val="-4"/>
          <w:sz w:val="20"/>
          <w:szCs w:val="20"/>
          <w:lang w:val="es-AR"/>
        </w:rPr>
        <w:t>Con respecto a los requisitos para la adopción de medidas provisionales, indicaron:</w:t>
      </w:r>
    </w:p>
    <w:p w14:paraId="0254CF6E" w14:textId="7E31F735" w:rsidR="00640948" w:rsidRPr="00395069" w:rsidRDefault="005F4383" w:rsidP="00BF0D03">
      <w:pPr>
        <w:pStyle w:val="Prrafodelista"/>
        <w:numPr>
          <w:ilvl w:val="0"/>
          <w:numId w:val="9"/>
        </w:numPr>
        <w:autoSpaceDE w:val="0"/>
        <w:autoSpaceDN w:val="0"/>
        <w:adjustRightInd w:val="0"/>
        <w:spacing w:before="120" w:after="120" w:line="240" w:lineRule="auto"/>
        <w:contextualSpacing w:val="0"/>
        <w:jc w:val="both"/>
        <w:rPr>
          <w:rFonts w:ascii="Verdana" w:hAnsi="Verdana"/>
          <w:spacing w:val="-4"/>
          <w:sz w:val="20"/>
          <w:szCs w:val="20"/>
          <w:lang w:val="es-AR"/>
        </w:rPr>
      </w:pPr>
      <w:r>
        <w:rPr>
          <w:rFonts w:ascii="Verdana" w:hAnsi="Verdana"/>
          <w:spacing w:val="-4"/>
          <w:sz w:val="20"/>
          <w:szCs w:val="20"/>
          <w:lang w:val="es-AR"/>
        </w:rPr>
        <w:t>que</w:t>
      </w:r>
      <w:r w:rsidR="00640948" w:rsidRPr="00395069">
        <w:rPr>
          <w:rFonts w:ascii="Verdana" w:hAnsi="Verdana"/>
          <w:spacing w:val="-4"/>
          <w:sz w:val="20"/>
          <w:szCs w:val="20"/>
          <w:lang w:val="es-AR"/>
        </w:rPr>
        <w:t xml:space="preserve"> la </w:t>
      </w:r>
      <w:r w:rsidR="00640948" w:rsidRPr="00395069">
        <w:rPr>
          <w:rFonts w:ascii="Verdana" w:hAnsi="Verdana"/>
          <w:i/>
          <w:spacing w:val="-4"/>
          <w:sz w:val="20"/>
          <w:szCs w:val="20"/>
          <w:lang w:val="es-AR"/>
        </w:rPr>
        <w:t>extrema gravedad</w:t>
      </w:r>
      <w:r w:rsidR="00640948" w:rsidRPr="00395069">
        <w:rPr>
          <w:rFonts w:ascii="Verdana" w:hAnsi="Verdana"/>
          <w:spacing w:val="-4"/>
          <w:sz w:val="20"/>
          <w:szCs w:val="20"/>
          <w:lang w:val="es-AR"/>
        </w:rPr>
        <w:t xml:space="preserve">, se cumple “por cuanto a raíz de la pandemia mundial del Covid-19 </w:t>
      </w:r>
      <w:r w:rsidR="005D0EAE">
        <w:rPr>
          <w:rFonts w:ascii="Verdana" w:hAnsi="Verdana"/>
          <w:spacing w:val="-4"/>
          <w:sz w:val="20"/>
          <w:szCs w:val="20"/>
          <w:lang w:val="es-AR"/>
        </w:rPr>
        <w:t>[…]</w:t>
      </w:r>
      <w:r w:rsidR="00640948" w:rsidRPr="00395069">
        <w:rPr>
          <w:rFonts w:ascii="Verdana" w:hAnsi="Verdana"/>
          <w:spacing w:val="-4"/>
          <w:sz w:val="20"/>
          <w:szCs w:val="20"/>
          <w:lang w:val="es-AR"/>
        </w:rPr>
        <w:t xml:space="preserve"> los internos que se encuentran dentro de las prisiones se </w:t>
      </w:r>
      <w:r w:rsidR="00640948" w:rsidRPr="00395069">
        <w:rPr>
          <w:rFonts w:ascii="Verdana" w:hAnsi="Verdana" w:cs="Verdana"/>
          <w:color w:val="000000"/>
          <w:spacing w:val="-4"/>
          <w:sz w:val="20"/>
          <w:szCs w:val="20"/>
          <w:lang w:val="es-CR"/>
        </w:rPr>
        <w:t>encuentran</w:t>
      </w:r>
      <w:r w:rsidR="00640948" w:rsidRPr="00395069">
        <w:rPr>
          <w:rFonts w:ascii="Verdana" w:hAnsi="Verdana"/>
          <w:spacing w:val="-4"/>
          <w:sz w:val="20"/>
          <w:szCs w:val="20"/>
          <w:lang w:val="es-AR"/>
        </w:rPr>
        <w:t xml:space="preserve"> </w:t>
      </w:r>
      <w:r w:rsidR="005D0EAE">
        <w:rPr>
          <w:rFonts w:ascii="Verdana" w:hAnsi="Verdana"/>
          <w:spacing w:val="-4"/>
          <w:sz w:val="20"/>
          <w:szCs w:val="20"/>
          <w:lang w:val="es-AR"/>
        </w:rPr>
        <w:t>[…]</w:t>
      </w:r>
      <w:r w:rsidR="005D0EAE" w:rsidRPr="00395069">
        <w:rPr>
          <w:rFonts w:ascii="Verdana" w:hAnsi="Verdana"/>
          <w:spacing w:val="-4"/>
          <w:sz w:val="20"/>
          <w:szCs w:val="20"/>
          <w:lang w:val="es-AR"/>
        </w:rPr>
        <w:t xml:space="preserve"> </w:t>
      </w:r>
      <w:r w:rsidR="00640948" w:rsidRPr="00395069">
        <w:rPr>
          <w:rFonts w:ascii="Verdana" w:hAnsi="Verdana"/>
          <w:spacing w:val="-4"/>
          <w:sz w:val="20"/>
          <w:szCs w:val="20"/>
          <w:lang w:val="es-AR"/>
        </w:rPr>
        <w:t xml:space="preserve">en mayor riesgo”. Señalaron que los beneficiarios </w:t>
      </w:r>
      <w:r w:rsidR="005D0EAE">
        <w:rPr>
          <w:rFonts w:ascii="Verdana" w:hAnsi="Verdana"/>
          <w:spacing w:val="-4"/>
          <w:sz w:val="20"/>
          <w:szCs w:val="20"/>
          <w:lang w:val="es-AR"/>
        </w:rPr>
        <w:t>son</w:t>
      </w:r>
      <w:r w:rsidR="00640948" w:rsidRPr="00395069">
        <w:rPr>
          <w:rFonts w:ascii="Verdana" w:hAnsi="Verdana"/>
          <w:spacing w:val="-4"/>
          <w:sz w:val="20"/>
          <w:szCs w:val="20"/>
          <w:lang w:val="es-AR"/>
        </w:rPr>
        <w:t xml:space="preserve"> “parte de una población vulnerable por [… tener] enfermedades y 27 años de prisión en promedio</w:t>
      </w:r>
      <w:r w:rsidR="005D0EAE">
        <w:rPr>
          <w:rFonts w:ascii="Verdana" w:hAnsi="Verdana"/>
          <w:spacing w:val="-4"/>
          <w:sz w:val="20"/>
          <w:szCs w:val="20"/>
          <w:lang w:val="es-AR"/>
        </w:rPr>
        <w:t xml:space="preserve">”, lo cual </w:t>
      </w:r>
      <w:r w:rsidR="00640948" w:rsidRPr="00395069">
        <w:rPr>
          <w:rFonts w:ascii="Verdana" w:hAnsi="Verdana"/>
          <w:spacing w:val="-4"/>
          <w:sz w:val="20"/>
          <w:szCs w:val="20"/>
          <w:lang w:val="es-AR"/>
        </w:rPr>
        <w:t>“</w:t>
      </w:r>
      <w:proofErr w:type="spellStart"/>
      <w:r w:rsidR="00640948" w:rsidRPr="00395069">
        <w:rPr>
          <w:rFonts w:ascii="Verdana" w:hAnsi="Verdana"/>
          <w:spacing w:val="-4"/>
          <w:sz w:val="20"/>
          <w:szCs w:val="20"/>
          <w:lang w:val="es-AR"/>
        </w:rPr>
        <w:t>agrav</w:t>
      </w:r>
      <w:proofErr w:type="spellEnd"/>
      <w:r w:rsidR="00640948" w:rsidRPr="00395069">
        <w:rPr>
          <w:rFonts w:ascii="Verdana" w:hAnsi="Verdana"/>
          <w:spacing w:val="-4"/>
          <w:sz w:val="20"/>
          <w:szCs w:val="20"/>
          <w:lang w:val="es-AR"/>
        </w:rPr>
        <w:t xml:space="preserve">[a] la vulnerabilidad ya señalada”, además de que “el grave hacinamiento en que se encuentran los penales </w:t>
      </w:r>
      <w:proofErr w:type="spellStart"/>
      <w:r w:rsidR="00640948" w:rsidRPr="00395069">
        <w:rPr>
          <w:rFonts w:ascii="Verdana" w:hAnsi="Verdana"/>
          <w:spacing w:val="-4"/>
          <w:sz w:val="20"/>
          <w:szCs w:val="20"/>
          <w:lang w:val="es-AR"/>
        </w:rPr>
        <w:t>hac</w:t>
      </w:r>
      <w:proofErr w:type="spellEnd"/>
      <w:r w:rsidR="00640948" w:rsidRPr="00395069">
        <w:rPr>
          <w:rFonts w:ascii="Verdana" w:hAnsi="Verdana"/>
          <w:spacing w:val="-4"/>
          <w:sz w:val="20"/>
          <w:szCs w:val="20"/>
          <w:lang w:val="es-AR"/>
        </w:rPr>
        <w:t>[e] imposible que se cumpla con la separación física y el autoaislamiento”. Por tanto, “observando que esta pandemia tiene el potencial de afectar gravemente la salud, la integridad personal y la vida de los beneficiarios, se concluye que la situación denunciada podría tener un grave impacto en el derecho a la vida, la salud y a la integridad personal de los beneficiarios”. Asimismo, precisaron los motivos por los cuales consideran que existe una situación de extrema gravedad respecto de cada uno de los propuestos beneficiarios</w:t>
      </w:r>
      <w:r w:rsidR="007018E1">
        <w:rPr>
          <w:rFonts w:ascii="Verdana" w:hAnsi="Verdana"/>
          <w:spacing w:val="-4"/>
          <w:sz w:val="20"/>
          <w:szCs w:val="20"/>
          <w:lang w:val="es-AR"/>
        </w:rPr>
        <w:t>, tomando en cuenta factores tales como su edad y condición de salud</w:t>
      </w:r>
      <w:r w:rsidR="00640948" w:rsidRPr="00395069">
        <w:rPr>
          <w:rFonts w:ascii="Verdana" w:hAnsi="Verdana"/>
          <w:spacing w:val="-4"/>
          <w:sz w:val="20"/>
          <w:szCs w:val="20"/>
          <w:lang w:val="es-AR"/>
        </w:rPr>
        <w:t>;</w:t>
      </w:r>
    </w:p>
    <w:p w14:paraId="0AA65028" w14:textId="08F8C4FA" w:rsidR="00640948" w:rsidRPr="00395069" w:rsidRDefault="00AC167C" w:rsidP="00BF0D03">
      <w:pPr>
        <w:pStyle w:val="Prrafodelista"/>
        <w:numPr>
          <w:ilvl w:val="0"/>
          <w:numId w:val="9"/>
        </w:numPr>
        <w:autoSpaceDE w:val="0"/>
        <w:autoSpaceDN w:val="0"/>
        <w:adjustRightInd w:val="0"/>
        <w:spacing w:before="120" w:after="120" w:line="240" w:lineRule="auto"/>
        <w:contextualSpacing w:val="0"/>
        <w:jc w:val="both"/>
        <w:rPr>
          <w:rFonts w:ascii="Verdana" w:hAnsi="Verdana"/>
          <w:spacing w:val="-4"/>
          <w:sz w:val="20"/>
          <w:szCs w:val="20"/>
          <w:lang w:val="es-ES_tradnl"/>
        </w:rPr>
      </w:pPr>
      <w:r>
        <w:rPr>
          <w:rFonts w:ascii="Verdana" w:hAnsi="Verdana"/>
          <w:spacing w:val="-4"/>
          <w:sz w:val="20"/>
          <w:szCs w:val="20"/>
          <w:lang w:val="es-AR"/>
        </w:rPr>
        <w:t>r</w:t>
      </w:r>
      <w:r w:rsidR="00640948" w:rsidRPr="00395069">
        <w:rPr>
          <w:rFonts w:ascii="Verdana" w:hAnsi="Verdana"/>
          <w:spacing w:val="-4"/>
          <w:sz w:val="20"/>
          <w:szCs w:val="20"/>
          <w:lang w:val="es-AR"/>
        </w:rPr>
        <w:t xml:space="preserve">especto al carácter </w:t>
      </w:r>
      <w:r w:rsidR="00640948" w:rsidRPr="00395069">
        <w:rPr>
          <w:rFonts w:ascii="Verdana" w:hAnsi="Verdana"/>
          <w:i/>
          <w:spacing w:val="-4"/>
          <w:sz w:val="20"/>
          <w:szCs w:val="20"/>
          <w:lang w:val="es-AR"/>
        </w:rPr>
        <w:t xml:space="preserve">urgente, </w:t>
      </w:r>
      <w:r w:rsidR="00640948" w:rsidRPr="00395069">
        <w:rPr>
          <w:rFonts w:ascii="Verdana" w:hAnsi="Verdana"/>
          <w:spacing w:val="-4"/>
          <w:sz w:val="20"/>
          <w:szCs w:val="20"/>
          <w:lang w:val="es-AR"/>
        </w:rPr>
        <w:t>consideraron que el riesgo aumenta porque “la pandemia del Covid-19 se está extendiendo en los establecimientos penales en el Perú”, y se refirieron al número de reclusos y trabajadores penitenciarios infectados y fallecidos (</w:t>
      </w:r>
      <w:r w:rsidR="00640948" w:rsidRPr="00395069">
        <w:rPr>
          <w:rFonts w:ascii="Verdana" w:hAnsi="Verdana"/>
          <w:i/>
          <w:spacing w:val="-4"/>
          <w:sz w:val="20"/>
          <w:szCs w:val="20"/>
          <w:lang w:val="es-AR"/>
        </w:rPr>
        <w:t xml:space="preserve">supra </w:t>
      </w:r>
      <w:r w:rsidR="00640948" w:rsidRPr="00395069">
        <w:rPr>
          <w:rFonts w:ascii="Verdana" w:hAnsi="Verdana"/>
          <w:spacing w:val="-4"/>
          <w:sz w:val="20"/>
          <w:szCs w:val="20"/>
          <w:lang w:val="es-AR"/>
        </w:rPr>
        <w:t xml:space="preserve">Considerando </w:t>
      </w:r>
      <w:r w:rsidR="005D0EAE">
        <w:rPr>
          <w:rFonts w:ascii="Verdana" w:hAnsi="Verdana"/>
          <w:spacing w:val="-4"/>
          <w:sz w:val="20"/>
          <w:szCs w:val="20"/>
          <w:lang w:val="es-AR"/>
        </w:rPr>
        <w:fldChar w:fldCharType="begin"/>
      </w:r>
      <w:r w:rsidR="005D0EAE">
        <w:rPr>
          <w:rFonts w:ascii="Verdana" w:hAnsi="Verdana"/>
          <w:spacing w:val="-4"/>
          <w:sz w:val="20"/>
          <w:szCs w:val="20"/>
          <w:lang w:val="es-AR"/>
        </w:rPr>
        <w:instrText xml:space="preserve"> REF _Ref46181422 \r \h </w:instrText>
      </w:r>
      <w:r w:rsidR="005D0EAE">
        <w:rPr>
          <w:rFonts w:ascii="Verdana" w:hAnsi="Verdana"/>
          <w:spacing w:val="-4"/>
          <w:sz w:val="20"/>
          <w:szCs w:val="20"/>
          <w:lang w:val="es-AR"/>
        </w:rPr>
      </w:r>
      <w:r w:rsidR="005D0EAE">
        <w:rPr>
          <w:rFonts w:ascii="Verdana" w:hAnsi="Verdana"/>
          <w:spacing w:val="-4"/>
          <w:sz w:val="20"/>
          <w:szCs w:val="20"/>
          <w:lang w:val="es-AR"/>
        </w:rPr>
        <w:fldChar w:fldCharType="separate"/>
      </w:r>
      <w:r w:rsidR="00337FEC">
        <w:rPr>
          <w:rFonts w:ascii="Verdana" w:hAnsi="Verdana"/>
          <w:spacing w:val="-4"/>
          <w:sz w:val="20"/>
          <w:szCs w:val="20"/>
          <w:lang w:val="es-AR"/>
        </w:rPr>
        <w:t>5</w:t>
      </w:r>
      <w:r w:rsidR="005D0EAE">
        <w:rPr>
          <w:rFonts w:ascii="Verdana" w:hAnsi="Verdana"/>
          <w:spacing w:val="-4"/>
          <w:sz w:val="20"/>
          <w:szCs w:val="20"/>
          <w:lang w:val="es-AR"/>
        </w:rPr>
        <w:fldChar w:fldCharType="end"/>
      </w:r>
      <w:r w:rsidR="00483752">
        <w:rPr>
          <w:rFonts w:ascii="Verdana" w:hAnsi="Verdana"/>
          <w:spacing w:val="-4"/>
          <w:sz w:val="20"/>
          <w:szCs w:val="20"/>
          <w:lang w:val="es-AR"/>
        </w:rPr>
        <w:t>.d.</w:t>
      </w:r>
      <w:r w:rsidR="00640948" w:rsidRPr="00395069">
        <w:rPr>
          <w:rFonts w:ascii="Verdana" w:hAnsi="Verdana"/>
          <w:spacing w:val="-4"/>
          <w:sz w:val="20"/>
          <w:szCs w:val="20"/>
          <w:lang w:val="es-AR"/>
        </w:rPr>
        <w:t xml:space="preserve">). </w:t>
      </w:r>
      <w:r w:rsidR="00640948" w:rsidRPr="00395069">
        <w:rPr>
          <w:rFonts w:ascii="Verdana" w:hAnsi="Verdana"/>
          <w:spacing w:val="-4"/>
          <w:sz w:val="20"/>
          <w:szCs w:val="20"/>
          <w:lang w:val="es-ES_tradnl"/>
        </w:rPr>
        <w:t>Asimismo, señalaron que “dada la vulnerabilidad de los internos por terrorismo, el simple paso del tiempo puede conllevar graves daños a sus derechos a la vida, la salud e integridad personal”</w:t>
      </w:r>
      <w:r w:rsidR="005D0EAE">
        <w:rPr>
          <w:rFonts w:ascii="Verdana" w:hAnsi="Verdana"/>
          <w:spacing w:val="-4"/>
          <w:sz w:val="20"/>
          <w:szCs w:val="20"/>
          <w:lang w:val="es-ES_tradnl"/>
        </w:rPr>
        <w:t>, y</w:t>
      </w:r>
      <w:r w:rsidR="00640948" w:rsidRPr="00395069">
        <w:rPr>
          <w:rFonts w:ascii="Verdana" w:hAnsi="Verdana"/>
          <w:spacing w:val="-4"/>
          <w:sz w:val="20"/>
          <w:szCs w:val="20"/>
          <w:lang w:val="es-ES_tradnl"/>
        </w:rPr>
        <w:t xml:space="preserve"> </w:t>
      </w:r>
      <w:r w:rsidR="00640948" w:rsidRPr="00395069">
        <w:rPr>
          <w:rFonts w:ascii="Verdana" w:hAnsi="Verdana"/>
          <w:spacing w:val="-4"/>
          <w:sz w:val="20"/>
          <w:szCs w:val="20"/>
          <w:lang w:val="es-AR"/>
        </w:rPr>
        <w:t>precisaron los motivos por los cuales consideran que existe una situación de urgencia respecto de cada uno de los propuestos beneficiarios</w:t>
      </w:r>
      <w:r>
        <w:rPr>
          <w:rFonts w:ascii="Verdana" w:hAnsi="Verdana"/>
          <w:spacing w:val="-4"/>
          <w:sz w:val="20"/>
          <w:szCs w:val="20"/>
          <w:lang w:val="es-ES_tradnl"/>
        </w:rPr>
        <w:t>, y</w:t>
      </w:r>
    </w:p>
    <w:p w14:paraId="295DD3EB" w14:textId="5D522AF4" w:rsidR="00640948" w:rsidRPr="00483752" w:rsidRDefault="00AC167C" w:rsidP="00BF0D03">
      <w:pPr>
        <w:pStyle w:val="Prrafodelista"/>
        <w:numPr>
          <w:ilvl w:val="0"/>
          <w:numId w:val="9"/>
        </w:numPr>
        <w:autoSpaceDE w:val="0"/>
        <w:autoSpaceDN w:val="0"/>
        <w:adjustRightInd w:val="0"/>
        <w:spacing w:before="120" w:after="120" w:line="240" w:lineRule="auto"/>
        <w:contextualSpacing w:val="0"/>
        <w:jc w:val="both"/>
        <w:rPr>
          <w:rFonts w:ascii="Verdana" w:hAnsi="Verdana"/>
          <w:spacing w:val="-4"/>
          <w:sz w:val="20"/>
          <w:szCs w:val="20"/>
          <w:lang w:val="es-AR"/>
        </w:rPr>
      </w:pPr>
      <w:r>
        <w:rPr>
          <w:rFonts w:ascii="Verdana" w:hAnsi="Verdana"/>
          <w:spacing w:val="-4"/>
          <w:sz w:val="20"/>
          <w:szCs w:val="20"/>
          <w:lang w:val="es-ES_tradnl"/>
        </w:rPr>
        <w:t>e</w:t>
      </w:r>
      <w:r w:rsidR="00640948" w:rsidRPr="00395069">
        <w:rPr>
          <w:rFonts w:ascii="Verdana" w:hAnsi="Verdana"/>
          <w:spacing w:val="-4"/>
          <w:sz w:val="20"/>
          <w:szCs w:val="20"/>
          <w:lang w:val="es-ES_tradnl"/>
        </w:rPr>
        <w:t xml:space="preserve">n cuanto al </w:t>
      </w:r>
      <w:r w:rsidR="00640948" w:rsidRPr="00395069">
        <w:rPr>
          <w:rFonts w:ascii="Verdana" w:hAnsi="Verdana"/>
          <w:i/>
          <w:spacing w:val="-4"/>
          <w:sz w:val="20"/>
          <w:szCs w:val="20"/>
          <w:lang w:val="es-ES_tradnl"/>
        </w:rPr>
        <w:t>daño irreparable a las personas</w:t>
      </w:r>
      <w:r w:rsidR="00640948" w:rsidRPr="00395069">
        <w:rPr>
          <w:rFonts w:ascii="Verdana" w:hAnsi="Verdana"/>
          <w:spacing w:val="-4"/>
          <w:sz w:val="20"/>
          <w:szCs w:val="20"/>
          <w:lang w:val="es-ES_tradnl"/>
        </w:rPr>
        <w:t xml:space="preserve">, </w:t>
      </w:r>
      <w:r w:rsidR="00640948" w:rsidRPr="00395069">
        <w:rPr>
          <w:rFonts w:ascii="Verdana" w:hAnsi="Verdana"/>
          <w:spacing w:val="-4"/>
          <w:sz w:val="20"/>
          <w:szCs w:val="20"/>
          <w:lang w:val="es-AR"/>
        </w:rPr>
        <w:t xml:space="preserve">indicaron que “se cumple en la medida en que el impacto potencial sobre su derecho a la vida, la salud e integridad personal constituye el nivel más alto de </w:t>
      </w:r>
      <w:proofErr w:type="spellStart"/>
      <w:r w:rsidR="00640948" w:rsidRPr="00395069">
        <w:rPr>
          <w:rFonts w:ascii="Verdana" w:hAnsi="Verdana"/>
          <w:spacing w:val="-4"/>
          <w:sz w:val="20"/>
          <w:szCs w:val="20"/>
          <w:lang w:val="es-AR"/>
        </w:rPr>
        <w:t>irreparabilidad</w:t>
      </w:r>
      <w:proofErr w:type="spellEnd"/>
      <w:r w:rsidR="00640948" w:rsidRPr="00395069">
        <w:rPr>
          <w:rFonts w:ascii="Verdana" w:hAnsi="Verdana"/>
          <w:spacing w:val="-4"/>
          <w:sz w:val="20"/>
          <w:szCs w:val="20"/>
          <w:lang w:val="es-AR"/>
        </w:rPr>
        <w:t>”, agregando que “</w:t>
      </w:r>
      <w:r w:rsidR="00640948" w:rsidRPr="00395069">
        <w:rPr>
          <w:rFonts w:ascii="Verdana" w:hAnsi="Verdana"/>
          <w:spacing w:val="-4"/>
          <w:sz w:val="20"/>
          <w:szCs w:val="20"/>
          <w:lang w:val="es-ES_tradnl"/>
        </w:rPr>
        <w:t xml:space="preserve">el ejercicio del derecho a la reparación de los beneficiarios se torna ilusorio si </w:t>
      </w:r>
      <w:r w:rsidR="005D0EAE">
        <w:rPr>
          <w:rFonts w:ascii="Verdana" w:hAnsi="Verdana"/>
          <w:spacing w:val="-4"/>
          <w:sz w:val="20"/>
          <w:szCs w:val="20"/>
          <w:lang w:val="es-ES_tradnl"/>
        </w:rPr>
        <w:t>[…]</w:t>
      </w:r>
      <w:r w:rsidR="00640948" w:rsidRPr="00395069">
        <w:rPr>
          <w:rFonts w:ascii="Verdana" w:hAnsi="Verdana"/>
          <w:spacing w:val="-4"/>
          <w:sz w:val="20"/>
          <w:szCs w:val="20"/>
          <w:lang w:val="es-ES_tradnl"/>
        </w:rPr>
        <w:t xml:space="preserve"> pierden la vida, producto de la pandemia de</w:t>
      </w:r>
      <w:r w:rsidR="00694E2C">
        <w:rPr>
          <w:rFonts w:ascii="Verdana" w:hAnsi="Verdana"/>
          <w:spacing w:val="-4"/>
          <w:sz w:val="20"/>
          <w:szCs w:val="20"/>
          <w:lang w:val="es-ES_tradnl"/>
        </w:rPr>
        <w:t>l</w:t>
      </w:r>
      <w:r w:rsidR="00640948" w:rsidRPr="00395069">
        <w:rPr>
          <w:rFonts w:ascii="Verdana" w:hAnsi="Verdana"/>
          <w:spacing w:val="-4"/>
          <w:sz w:val="20"/>
          <w:szCs w:val="20"/>
          <w:lang w:val="es-ES_tradnl"/>
        </w:rPr>
        <w:t xml:space="preserve"> Covid-19 en los penales”.</w:t>
      </w:r>
    </w:p>
    <w:p w14:paraId="3446C1D6" w14:textId="77777777" w:rsidR="00483752" w:rsidRPr="00395069" w:rsidRDefault="00483752" w:rsidP="00483752">
      <w:pPr>
        <w:pStyle w:val="Prrafodelista"/>
        <w:autoSpaceDE w:val="0"/>
        <w:autoSpaceDN w:val="0"/>
        <w:adjustRightInd w:val="0"/>
        <w:spacing w:before="120" w:after="120" w:line="240" w:lineRule="auto"/>
        <w:contextualSpacing w:val="0"/>
        <w:jc w:val="both"/>
        <w:rPr>
          <w:rFonts w:ascii="Verdana" w:hAnsi="Verdana"/>
          <w:spacing w:val="-4"/>
          <w:sz w:val="20"/>
          <w:szCs w:val="20"/>
          <w:lang w:val="es-AR"/>
        </w:rPr>
      </w:pPr>
    </w:p>
    <w:p w14:paraId="4957CDED" w14:textId="77777777" w:rsidR="00640948" w:rsidRPr="00395069" w:rsidRDefault="00640948" w:rsidP="00BF0D03">
      <w:pPr>
        <w:pStyle w:val="Prrafodelista"/>
        <w:numPr>
          <w:ilvl w:val="0"/>
          <w:numId w:val="2"/>
        </w:numPr>
        <w:spacing w:before="120" w:after="120" w:line="240" w:lineRule="auto"/>
        <w:contextualSpacing w:val="0"/>
        <w:jc w:val="both"/>
        <w:rPr>
          <w:rFonts w:ascii="Verdana" w:hAnsi="Verdana" w:cs="Verdana"/>
          <w:b/>
          <w:i/>
          <w:spacing w:val="-4"/>
          <w:sz w:val="20"/>
          <w:szCs w:val="20"/>
          <w:lang w:val="es-CR"/>
        </w:rPr>
      </w:pPr>
      <w:r w:rsidRPr="00395069">
        <w:rPr>
          <w:rFonts w:ascii="Verdana" w:hAnsi="Verdana" w:cs="Verdana"/>
          <w:b/>
          <w:i/>
          <w:spacing w:val="-4"/>
          <w:sz w:val="20"/>
          <w:szCs w:val="20"/>
          <w:lang w:val="es-CR"/>
        </w:rPr>
        <w:t>Observaciones del Estado</w:t>
      </w:r>
    </w:p>
    <w:p w14:paraId="051E83C2" w14:textId="58DEBC5A"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ES"/>
        </w:rPr>
      </w:pPr>
      <w:r w:rsidRPr="00395069">
        <w:rPr>
          <w:rFonts w:ascii="Verdana" w:hAnsi="Verdana" w:cs="Verdana"/>
          <w:color w:val="000000"/>
          <w:spacing w:val="-4"/>
          <w:sz w:val="20"/>
          <w:szCs w:val="20"/>
          <w:lang w:val="es-CR"/>
        </w:rPr>
        <w:t>E</w:t>
      </w:r>
      <w:r w:rsidRPr="00395069">
        <w:rPr>
          <w:rFonts w:ascii="Verdana" w:hAnsi="Verdana" w:cs="Verdana"/>
          <w:color w:val="000000"/>
          <w:spacing w:val="-4"/>
          <w:sz w:val="20"/>
          <w:szCs w:val="20"/>
          <w:lang w:val="es-AR"/>
        </w:rPr>
        <w:t xml:space="preserve">l Estado consideró que no correspondía hacer lugar a las medidas provisionales en tanto </w:t>
      </w:r>
      <w:r w:rsidRPr="00395069">
        <w:rPr>
          <w:rFonts w:ascii="Verdana" w:hAnsi="Verdana" w:cs="Verdana"/>
          <w:color w:val="000000"/>
          <w:spacing w:val="-4"/>
          <w:sz w:val="20"/>
          <w:szCs w:val="20"/>
          <w:lang w:val="es-ES"/>
        </w:rPr>
        <w:t xml:space="preserve">no se configuran </w:t>
      </w:r>
      <w:r w:rsidRPr="00395069">
        <w:rPr>
          <w:rFonts w:ascii="Verdana" w:hAnsi="Verdana" w:cs="Verdana"/>
          <w:i/>
          <w:color w:val="000000"/>
          <w:spacing w:val="-4"/>
          <w:sz w:val="20"/>
          <w:szCs w:val="20"/>
          <w:lang w:val="es-ES"/>
        </w:rPr>
        <w:t xml:space="preserve">prima facie </w:t>
      </w:r>
      <w:r w:rsidRPr="00395069">
        <w:rPr>
          <w:rFonts w:ascii="Verdana" w:hAnsi="Verdana" w:cs="Verdana"/>
          <w:color w:val="000000"/>
          <w:spacing w:val="-4"/>
          <w:sz w:val="20"/>
          <w:szCs w:val="20"/>
          <w:lang w:val="es-ES"/>
        </w:rPr>
        <w:t xml:space="preserve">los requisitos de extrema gravedad, urgencia e </w:t>
      </w:r>
      <w:proofErr w:type="spellStart"/>
      <w:r w:rsidRPr="00395069">
        <w:rPr>
          <w:rFonts w:ascii="Verdana" w:hAnsi="Verdana" w:cs="Verdana"/>
          <w:color w:val="000000"/>
          <w:spacing w:val="-4"/>
          <w:sz w:val="20"/>
          <w:szCs w:val="20"/>
          <w:lang w:val="es-ES"/>
        </w:rPr>
        <w:t>irreparabilidad</w:t>
      </w:r>
      <w:proofErr w:type="spellEnd"/>
      <w:r w:rsidRPr="00395069">
        <w:rPr>
          <w:rFonts w:ascii="Verdana" w:hAnsi="Verdana" w:cs="Verdana"/>
          <w:color w:val="000000"/>
          <w:spacing w:val="-4"/>
          <w:sz w:val="20"/>
          <w:szCs w:val="20"/>
          <w:lang w:val="es-ES"/>
        </w:rPr>
        <w:t xml:space="preserve"> del </w:t>
      </w:r>
      <w:r w:rsidR="00A4735B" w:rsidRPr="00395069">
        <w:rPr>
          <w:rFonts w:ascii="Verdana" w:hAnsi="Verdana" w:cs="Verdana"/>
          <w:color w:val="000000"/>
          <w:spacing w:val="-4"/>
          <w:sz w:val="20"/>
          <w:szCs w:val="20"/>
          <w:lang w:val="es-ES"/>
        </w:rPr>
        <w:t>daño</w:t>
      </w:r>
      <w:r w:rsidRPr="00395069">
        <w:rPr>
          <w:rFonts w:ascii="Verdana" w:hAnsi="Verdana" w:cs="Verdana"/>
          <w:color w:val="000000"/>
          <w:spacing w:val="-4"/>
          <w:sz w:val="20"/>
          <w:szCs w:val="20"/>
          <w:lang w:val="es-ES"/>
        </w:rPr>
        <w:t xml:space="preserve"> en el presente caso, por lo que no corresponde que este Tribunal adopte ninguna de las dos medidas solicitadas por los intervinientes comunes. Respecto de la primera medida (</w:t>
      </w:r>
      <w:r w:rsidRPr="00395069">
        <w:rPr>
          <w:rFonts w:ascii="Verdana" w:hAnsi="Verdana" w:cs="Verdana"/>
          <w:i/>
          <w:color w:val="000000"/>
          <w:spacing w:val="-4"/>
          <w:sz w:val="20"/>
          <w:szCs w:val="20"/>
          <w:lang w:val="es-ES"/>
        </w:rPr>
        <w:t xml:space="preserve">supra </w:t>
      </w:r>
      <w:r w:rsidRPr="00395069">
        <w:rPr>
          <w:rFonts w:ascii="Verdana" w:hAnsi="Verdana" w:cs="Verdana"/>
          <w:color w:val="000000"/>
          <w:spacing w:val="-4"/>
          <w:sz w:val="20"/>
          <w:szCs w:val="20"/>
          <w:lang w:val="es-ES"/>
        </w:rPr>
        <w:t xml:space="preserve">Considerando </w:t>
      </w:r>
      <w:r w:rsidR="001A7A68">
        <w:rPr>
          <w:rFonts w:ascii="Verdana" w:hAnsi="Verdana" w:cs="Verdana"/>
          <w:color w:val="000000"/>
          <w:spacing w:val="-4"/>
          <w:sz w:val="20"/>
          <w:szCs w:val="20"/>
          <w:lang w:val="es-ES"/>
        </w:rPr>
        <w:fldChar w:fldCharType="begin"/>
      </w:r>
      <w:r w:rsidR="001A7A68">
        <w:rPr>
          <w:rFonts w:ascii="Verdana" w:hAnsi="Verdana" w:cs="Verdana"/>
          <w:color w:val="000000"/>
          <w:spacing w:val="-4"/>
          <w:sz w:val="20"/>
          <w:szCs w:val="20"/>
          <w:lang w:val="es-ES"/>
        </w:rPr>
        <w:instrText xml:space="preserve"> REF _Ref46241417 \r \h </w:instrText>
      </w:r>
      <w:r w:rsidR="001A7A68">
        <w:rPr>
          <w:rFonts w:ascii="Verdana" w:hAnsi="Verdana" w:cs="Verdana"/>
          <w:color w:val="000000"/>
          <w:spacing w:val="-4"/>
          <w:sz w:val="20"/>
          <w:szCs w:val="20"/>
          <w:lang w:val="es-ES"/>
        </w:rPr>
      </w:r>
      <w:r w:rsidR="001A7A68">
        <w:rPr>
          <w:rFonts w:ascii="Verdana" w:hAnsi="Verdana" w:cs="Verdana"/>
          <w:color w:val="000000"/>
          <w:spacing w:val="-4"/>
          <w:sz w:val="20"/>
          <w:szCs w:val="20"/>
          <w:lang w:val="es-ES"/>
        </w:rPr>
        <w:fldChar w:fldCharType="separate"/>
      </w:r>
      <w:r w:rsidR="00337FEC">
        <w:rPr>
          <w:rFonts w:ascii="Verdana" w:hAnsi="Verdana" w:cs="Verdana"/>
          <w:color w:val="000000"/>
          <w:spacing w:val="-4"/>
          <w:sz w:val="20"/>
          <w:szCs w:val="20"/>
          <w:lang w:val="es-ES"/>
        </w:rPr>
        <w:t>4</w:t>
      </w:r>
      <w:r w:rsidR="001A7A68">
        <w:rPr>
          <w:rFonts w:ascii="Verdana" w:hAnsi="Verdana" w:cs="Verdana"/>
          <w:color w:val="000000"/>
          <w:spacing w:val="-4"/>
          <w:sz w:val="20"/>
          <w:szCs w:val="20"/>
          <w:lang w:val="es-ES"/>
        </w:rPr>
        <w:fldChar w:fldCharType="end"/>
      </w:r>
      <w:r w:rsidRPr="00395069">
        <w:rPr>
          <w:rFonts w:ascii="Verdana" w:hAnsi="Verdana" w:cs="Verdana"/>
          <w:color w:val="000000"/>
          <w:spacing w:val="-4"/>
          <w:sz w:val="20"/>
          <w:szCs w:val="20"/>
          <w:lang w:val="es-ES"/>
        </w:rPr>
        <w:t xml:space="preserve">), consideró que ésta era improcedente con base en: (i) las medidas generales adoptadas para reducir el hacinamiento en los centros penitenciarios del país y evitar contagios de COVID-19; (ii) la atención médica brindada a cada uno de los propuestos beneficiarios; (iii) la </w:t>
      </w:r>
      <w:r w:rsidR="002855E7">
        <w:rPr>
          <w:rFonts w:ascii="Verdana" w:hAnsi="Verdana" w:cs="Verdana"/>
          <w:color w:val="000000"/>
          <w:spacing w:val="-4"/>
          <w:sz w:val="20"/>
          <w:szCs w:val="20"/>
          <w:lang w:val="es-ES"/>
        </w:rPr>
        <w:t xml:space="preserve">actuación de los tribunales peruanos en </w:t>
      </w:r>
      <w:r w:rsidRPr="00395069">
        <w:rPr>
          <w:rFonts w:ascii="Verdana" w:hAnsi="Verdana" w:cs="Verdana"/>
          <w:color w:val="000000"/>
          <w:spacing w:val="-4"/>
          <w:sz w:val="20"/>
          <w:szCs w:val="20"/>
          <w:lang w:val="es-ES"/>
        </w:rPr>
        <w:t xml:space="preserve">los procesos de hábeas corpus interpuestos por los propuestos beneficiarios; (iv) el análisis de las acciones adoptadas a la luz del principio de subsidiariedad, y (v) la duplicidad de procedimientos ante el Sistema </w:t>
      </w:r>
      <w:r w:rsidRPr="00395069">
        <w:rPr>
          <w:rFonts w:ascii="Verdana" w:hAnsi="Verdana" w:cs="Verdana"/>
          <w:color w:val="000000"/>
          <w:spacing w:val="-4"/>
          <w:sz w:val="20"/>
          <w:szCs w:val="20"/>
          <w:lang w:val="es-ES"/>
        </w:rPr>
        <w:lastRenderedPageBreak/>
        <w:t xml:space="preserve">Interamericano. </w:t>
      </w:r>
      <w:r w:rsidR="002855E7">
        <w:rPr>
          <w:rFonts w:ascii="Verdana" w:hAnsi="Verdana" w:cs="Verdana"/>
          <w:color w:val="000000"/>
          <w:spacing w:val="-4"/>
          <w:sz w:val="20"/>
          <w:szCs w:val="20"/>
          <w:lang w:val="es-ES"/>
        </w:rPr>
        <w:t>Asimismo, r</w:t>
      </w:r>
      <w:r w:rsidR="002855E7" w:rsidRPr="00395069">
        <w:rPr>
          <w:rFonts w:ascii="Verdana" w:hAnsi="Verdana" w:cs="Verdana"/>
          <w:color w:val="000000"/>
          <w:spacing w:val="-4"/>
          <w:sz w:val="20"/>
          <w:szCs w:val="20"/>
          <w:lang w:val="es-ES"/>
        </w:rPr>
        <w:t xml:space="preserve">ealizó </w:t>
      </w:r>
      <w:r w:rsidRPr="00395069">
        <w:rPr>
          <w:rFonts w:ascii="Verdana" w:hAnsi="Verdana" w:cs="Verdana"/>
          <w:color w:val="000000"/>
          <w:spacing w:val="-4"/>
          <w:sz w:val="20"/>
          <w:szCs w:val="20"/>
          <w:lang w:val="es-ES"/>
        </w:rPr>
        <w:t>consideraciones específicas respecto a la segunda medida solicitada (</w:t>
      </w:r>
      <w:r w:rsidRPr="00395069">
        <w:rPr>
          <w:rFonts w:ascii="Verdana" w:hAnsi="Verdana" w:cs="Verdana"/>
          <w:i/>
          <w:color w:val="000000"/>
          <w:spacing w:val="-4"/>
          <w:sz w:val="20"/>
          <w:szCs w:val="20"/>
          <w:lang w:val="es-ES"/>
        </w:rPr>
        <w:t xml:space="preserve">supra </w:t>
      </w:r>
      <w:r w:rsidRPr="00395069">
        <w:rPr>
          <w:rFonts w:ascii="Verdana" w:hAnsi="Verdana" w:cs="Verdana"/>
          <w:color w:val="000000"/>
          <w:spacing w:val="-4"/>
          <w:sz w:val="20"/>
          <w:szCs w:val="20"/>
          <w:lang w:val="es-ES"/>
        </w:rPr>
        <w:t xml:space="preserve">Considerando </w:t>
      </w:r>
      <w:r w:rsidR="001A7A68">
        <w:rPr>
          <w:rFonts w:ascii="Verdana" w:hAnsi="Verdana" w:cs="Verdana"/>
          <w:color w:val="000000"/>
          <w:spacing w:val="-4"/>
          <w:sz w:val="20"/>
          <w:szCs w:val="20"/>
          <w:lang w:val="es-ES"/>
        </w:rPr>
        <w:fldChar w:fldCharType="begin"/>
      </w:r>
      <w:r w:rsidR="001A7A68">
        <w:rPr>
          <w:rFonts w:ascii="Verdana" w:hAnsi="Verdana" w:cs="Verdana"/>
          <w:color w:val="000000"/>
          <w:spacing w:val="-4"/>
          <w:sz w:val="20"/>
          <w:szCs w:val="20"/>
          <w:lang w:val="es-ES"/>
        </w:rPr>
        <w:instrText xml:space="preserve"> REF _Ref46241417 \r \h </w:instrText>
      </w:r>
      <w:r w:rsidR="001A7A68">
        <w:rPr>
          <w:rFonts w:ascii="Verdana" w:hAnsi="Verdana" w:cs="Verdana"/>
          <w:color w:val="000000"/>
          <w:spacing w:val="-4"/>
          <w:sz w:val="20"/>
          <w:szCs w:val="20"/>
          <w:lang w:val="es-ES"/>
        </w:rPr>
      </w:r>
      <w:r w:rsidR="001A7A68">
        <w:rPr>
          <w:rFonts w:ascii="Verdana" w:hAnsi="Verdana" w:cs="Verdana"/>
          <w:color w:val="000000"/>
          <w:spacing w:val="-4"/>
          <w:sz w:val="20"/>
          <w:szCs w:val="20"/>
          <w:lang w:val="es-ES"/>
        </w:rPr>
        <w:fldChar w:fldCharType="separate"/>
      </w:r>
      <w:r w:rsidR="002959DB">
        <w:rPr>
          <w:rFonts w:ascii="Verdana" w:hAnsi="Verdana" w:cs="Verdana"/>
          <w:color w:val="000000"/>
          <w:spacing w:val="-4"/>
          <w:sz w:val="20"/>
          <w:szCs w:val="20"/>
          <w:lang w:val="es-ES"/>
        </w:rPr>
        <w:t>4</w:t>
      </w:r>
      <w:r w:rsidR="001A7A68">
        <w:rPr>
          <w:rFonts w:ascii="Verdana" w:hAnsi="Verdana" w:cs="Verdana"/>
          <w:color w:val="000000"/>
          <w:spacing w:val="-4"/>
          <w:sz w:val="20"/>
          <w:szCs w:val="20"/>
          <w:lang w:val="es-ES"/>
        </w:rPr>
        <w:fldChar w:fldCharType="end"/>
      </w:r>
      <w:r w:rsidRPr="00395069">
        <w:rPr>
          <w:rFonts w:ascii="Verdana" w:hAnsi="Verdana" w:cs="Verdana"/>
          <w:color w:val="000000"/>
          <w:spacing w:val="-4"/>
          <w:sz w:val="20"/>
          <w:szCs w:val="20"/>
          <w:lang w:val="es-ES"/>
        </w:rPr>
        <w:t xml:space="preserve">). </w:t>
      </w:r>
    </w:p>
    <w:p w14:paraId="77A37327" w14:textId="05CF2CD8"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ES"/>
        </w:rPr>
      </w:pPr>
      <w:bookmarkStart w:id="4" w:name="_Ref46241388"/>
      <w:r w:rsidRPr="00395069">
        <w:rPr>
          <w:rFonts w:ascii="Verdana" w:hAnsi="Verdana" w:cs="Verdana"/>
          <w:color w:val="000000"/>
          <w:spacing w:val="-4"/>
          <w:sz w:val="20"/>
          <w:szCs w:val="20"/>
          <w:lang w:val="es-ES"/>
        </w:rPr>
        <w:t xml:space="preserve">En cuanto a las </w:t>
      </w:r>
      <w:r w:rsidRPr="00395069">
        <w:rPr>
          <w:rFonts w:ascii="Verdana" w:hAnsi="Verdana" w:cs="Verdana"/>
          <w:i/>
          <w:color w:val="000000"/>
          <w:spacing w:val="-4"/>
          <w:sz w:val="20"/>
          <w:szCs w:val="20"/>
          <w:lang w:val="es-ES"/>
        </w:rPr>
        <w:t>medidas generales para reducir el hacinamiento</w:t>
      </w:r>
      <w:r w:rsidRPr="00395069">
        <w:rPr>
          <w:rFonts w:ascii="Verdana" w:hAnsi="Verdana" w:cs="Verdana"/>
          <w:color w:val="000000"/>
          <w:spacing w:val="-4"/>
          <w:sz w:val="20"/>
          <w:szCs w:val="20"/>
          <w:lang w:val="es-ES"/>
        </w:rPr>
        <w:t xml:space="preserve"> en los centros penitenciarios del país y evitar contagios del COVID-19, Perú resaltó, entre otr</w:t>
      </w:r>
      <w:r w:rsidR="007338CE">
        <w:rPr>
          <w:rFonts w:ascii="Verdana" w:hAnsi="Verdana" w:cs="Verdana"/>
          <w:color w:val="000000"/>
          <w:spacing w:val="-4"/>
          <w:sz w:val="20"/>
          <w:szCs w:val="20"/>
          <w:lang w:val="es-ES"/>
        </w:rPr>
        <w:t>o</w:t>
      </w:r>
      <w:r w:rsidRPr="00395069">
        <w:rPr>
          <w:rFonts w:ascii="Verdana" w:hAnsi="Verdana" w:cs="Verdana"/>
          <w:color w:val="000000"/>
          <w:spacing w:val="-4"/>
          <w:sz w:val="20"/>
          <w:szCs w:val="20"/>
          <w:lang w:val="es-ES"/>
        </w:rPr>
        <w:t>s</w:t>
      </w:r>
      <w:r w:rsidRPr="00395069">
        <w:rPr>
          <w:rFonts w:ascii="Verdana" w:hAnsi="Verdana" w:cs="Verdana"/>
          <w:color w:val="000000"/>
          <w:spacing w:val="-4"/>
          <w:sz w:val="20"/>
          <w:szCs w:val="20"/>
          <w:vertAlign w:val="superscript"/>
          <w:lang w:val="es-ES"/>
        </w:rPr>
        <w:footnoteReference w:id="11"/>
      </w:r>
      <w:r w:rsidR="00145EB2">
        <w:rPr>
          <w:rFonts w:ascii="Verdana" w:hAnsi="Verdana" w:cs="Verdana"/>
          <w:color w:val="000000"/>
          <w:spacing w:val="-4"/>
          <w:sz w:val="20"/>
          <w:szCs w:val="20"/>
          <w:lang w:val="es-ES"/>
        </w:rPr>
        <w:t>, que</w:t>
      </w:r>
      <w:r w:rsidRPr="00395069">
        <w:rPr>
          <w:rFonts w:ascii="Verdana" w:hAnsi="Verdana" w:cs="Verdana"/>
          <w:color w:val="000000"/>
          <w:spacing w:val="-4"/>
          <w:sz w:val="20"/>
          <w:szCs w:val="20"/>
          <w:lang w:val="es-ES"/>
        </w:rPr>
        <w:t>:</w:t>
      </w:r>
      <w:bookmarkEnd w:id="4"/>
    </w:p>
    <w:p w14:paraId="5485897E" w14:textId="3A1913B1" w:rsidR="00640948" w:rsidRPr="00395069" w:rsidRDefault="009B54E6" w:rsidP="00BF0D03">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t>a</w:t>
      </w:r>
      <w:r w:rsidR="00640948" w:rsidRPr="00395069">
        <w:rPr>
          <w:rFonts w:ascii="Verdana" w:eastAsiaTheme="minorHAnsi" w:hAnsi="Verdana" w:cs="Verdana"/>
          <w:color w:val="000000"/>
          <w:spacing w:val="-4"/>
          <w:sz w:val="20"/>
          <w:szCs w:val="20"/>
          <w:lang w:val="es-ES"/>
        </w:rPr>
        <w:t>doptó el Decreto Legislativo N</w:t>
      </w:r>
      <w:r>
        <w:rPr>
          <w:rFonts w:ascii="Verdana" w:eastAsiaTheme="minorHAnsi" w:hAnsi="Verdana" w:cs="Verdana"/>
          <w:color w:val="000000"/>
          <w:spacing w:val="-4"/>
          <w:sz w:val="20"/>
          <w:szCs w:val="20"/>
          <w:lang w:val="es-ES"/>
        </w:rPr>
        <w:t>o.</w:t>
      </w:r>
      <w:r w:rsidR="00640948" w:rsidRPr="00395069">
        <w:rPr>
          <w:rFonts w:ascii="Verdana" w:eastAsiaTheme="minorHAnsi" w:hAnsi="Verdana" w:cs="Verdana"/>
          <w:color w:val="000000"/>
          <w:spacing w:val="-4"/>
          <w:sz w:val="20"/>
          <w:szCs w:val="20"/>
          <w:lang w:val="es-ES"/>
        </w:rPr>
        <w:t xml:space="preserve"> 1459, mediante el cual se “optimizó la aplicación de la conversión automática de la pena para personas condenadas por el delito de omisión de asistencia familiar”;</w:t>
      </w:r>
    </w:p>
    <w:p w14:paraId="21F87706" w14:textId="78BB43AC" w:rsidR="00640948" w:rsidRPr="00395069" w:rsidRDefault="006F3165" w:rsidP="00BF0D03">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t>e</w:t>
      </w:r>
      <w:r w:rsidR="00640948" w:rsidRPr="00395069">
        <w:rPr>
          <w:rFonts w:ascii="Verdana" w:eastAsiaTheme="minorHAnsi" w:hAnsi="Verdana" w:cs="Verdana"/>
          <w:color w:val="000000"/>
          <w:spacing w:val="-4"/>
          <w:sz w:val="20"/>
          <w:szCs w:val="20"/>
          <w:lang w:val="es-ES"/>
        </w:rPr>
        <w:t>mitió el Decreto Supremo N</w:t>
      </w:r>
      <w:r>
        <w:rPr>
          <w:rFonts w:ascii="Verdana" w:eastAsiaTheme="minorHAnsi" w:hAnsi="Verdana" w:cs="Verdana"/>
          <w:color w:val="000000"/>
          <w:spacing w:val="-4"/>
          <w:sz w:val="20"/>
          <w:szCs w:val="20"/>
          <w:lang w:val="es-ES"/>
        </w:rPr>
        <w:t>o.</w:t>
      </w:r>
      <w:r w:rsidR="00640948" w:rsidRPr="00395069">
        <w:rPr>
          <w:rFonts w:ascii="Verdana" w:eastAsiaTheme="minorHAnsi" w:hAnsi="Verdana" w:cs="Verdana"/>
          <w:color w:val="000000"/>
          <w:spacing w:val="-4"/>
          <w:sz w:val="20"/>
          <w:szCs w:val="20"/>
          <w:lang w:val="es-ES"/>
        </w:rPr>
        <w:t xml:space="preserve"> 004-2020-JUS, mediante el cual se establecen “supuestos especiales para la evaluación y propuesta de recomendación de Gracias Presidenciales”. En particular, dicha norma regula los supuestos que deberán darse para que resulten aplicable</w:t>
      </w:r>
      <w:r w:rsidR="002855E7">
        <w:rPr>
          <w:rFonts w:ascii="Verdana" w:eastAsiaTheme="minorHAnsi" w:hAnsi="Verdana" w:cs="Verdana"/>
          <w:color w:val="000000"/>
          <w:spacing w:val="-4"/>
          <w:sz w:val="20"/>
          <w:szCs w:val="20"/>
          <w:lang w:val="es-ES"/>
        </w:rPr>
        <w:t>s</w:t>
      </w:r>
      <w:r w:rsidR="00640948" w:rsidRPr="00395069">
        <w:rPr>
          <w:rFonts w:ascii="Verdana" w:eastAsiaTheme="minorHAnsi" w:hAnsi="Verdana" w:cs="Verdana"/>
          <w:color w:val="000000"/>
          <w:spacing w:val="-4"/>
          <w:sz w:val="20"/>
          <w:szCs w:val="20"/>
          <w:lang w:val="es-ES"/>
        </w:rPr>
        <w:t xml:space="preserve"> el indulto por razones humanitarias (Artículo 2)</w:t>
      </w:r>
      <w:r w:rsidR="00640948" w:rsidRPr="007338CE">
        <w:rPr>
          <w:rStyle w:val="Refdenotaalpie"/>
          <w:rFonts w:eastAsiaTheme="minorHAnsi" w:cs="Verdana"/>
          <w:color w:val="000000"/>
          <w:spacing w:val="-4"/>
          <w:sz w:val="20"/>
          <w:szCs w:val="20"/>
          <w:lang w:val="es-ES"/>
        </w:rPr>
        <w:footnoteReference w:id="12"/>
      </w:r>
      <w:r w:rsidR="00640948" w:rsidRPr="00395069">
        <w:rPr>
          <w:rFonts w:ascii="Verdana" w:eastAsiaTheme="minorHAnsi" w:hAnsi="Verdana" w:cs="Verdana"/>
          <w:color w:val="000000"/>
          <w:spacing w:val="-4"/>
          <w:sz w:val="20"/>
          <w:szCs w:val="20"/>
          <w:lang w:val="es-ES"/>
        </w:rPr>
        <w:t>, el indulto común y la conmutación de pena (Artículo 3)</w:t>
      </w:r>
      <w:bookmarkStart w:id="5" w:name="_Ref46181998"/>
      <w:r w:rsidR="00640948" w:rsidRPr="007338CE">
        <w:rPr>
          <w:rStyle w:val="Refdenotaalpie"/>
          <w:rFonts w:eastAsiaTheme="minorHAnsi" w:cs="Verdana"/>
          <w:color w:val="000000"/>
          <w:spacing w:val="-4"/>
          <w:sz w:val="20"/>
          <w:szCs w:val="20"/>
          <w:lang w:val="es-ES"/>
        </w:rPr>
        <w:footnoteReference w:id="13"/>
      </w:r>
      <w:bookmarkEnd w:id="5"/>
      <w:r w:rsidR="00640948" w:rsidRPr="00395069">
        <w:rPr>
          <w:rFonts w:ascii="Verdana" w:eastAsiaTheme="minorHAnsi" w:hAnsi="Verdana" w:cs="Verdana"/>
          <w:color w:val="000000"/>
          <w:spacing w:val="-4"/>
          <w:sz w:val="20"/>
          <w:szCs w:val="20"/>
          <w:lang w:val="es-ES"/>
        </w:rPr>
        <w:t xml:space="preserve">, así como las respectivas normas procedimentales (Artículos 4 a 6). En el caso del indulto común y </w:t>
      </w:r>
      <w:r w:rsidR="002855E7">
        <w:rPr>
          <w:rFonts w:ascii="Verdana" w:eastAsiaTheme="minorHAnsi" w:hAnsi="Verdana" w:cs="Verdana"/>
          <w:color w:val="000000"/>
          <w:spacing w:val="-4"/>
          <w:sz w:val="20"/>
          <w:szCs w:val="20"/>
          <w:lang w:val="es-ES"/>
        </w:rPr>
        <w:t xml:space="preserve">la </w:t>
      </w:r>
      <w:r w:rsidR="00640948" w:rsidRPr="00395069">
        <w:rPr>
          <w:rFonts w:ascii="Verdana" w:eastAsiaTheme="minorHAnsi" w:hAnsi="Verdana" w:cs="Verdana"/>
          <w:color w:val="000000"/>
          <w:spacing w:val="-4"/>
          <w:sz w:val="20"/>
          <w:szCs w:val="20"/>
          <w:lang w:val="es-ES"/>
        </w:rPr>
        <w:t>conmutación de pena, dos de los cinco supuestos previstos</w:t>
      </w:r>
      <w:r w:rsidR="002855E7">
        <w:rPr>
          <w:rFonts w:ascii="Verdana" w:eastAsiaTheme="minorHAnsi" w:hAnsi="Verdana" w:cs="Verdana"/>
          <w:color w:val="000000"/>
          <w:spacing w:val="-4"/>
          <w:sz w:val="20"/>
          <w:szCs w:val="20"/>
          <w:lang w:val="es-ES"/>
        </w:rPr>
        <w:t xml:space="preserve"> para su otorgamiento</w:t>
      </w:r>
      <w:r w:rsidR="00640948" w:rsidRPr="00395069">
        <w:rPr>
          <w:rFonts w:ascii="Verdana" w:eastAsiaTheme="minorHAnsi" w:hAnsi="Verdana" w:cs="Verdana"/>
          <w:color w:val="000000"/>
          <w:spacing w:val="-4"/>
          <w:sz w:val="20"/>
          <w:szCs w:val="20"/>
          <w:lang w:val="es-ES"/>
        </w:rPr>
        <w:t xml:space="preserve"> (personas mayores de 60 años de edad y penas menores a los 4 años)</w:t>
      </w:r>
      <w:r w:rsidR="002855E7">
        <w:rPr>
          <w:rFonts w:ascii="Verdana" w:eastAsiaTheme="minorHAnsi" w:hAnsi="Verdana" w:cs="Verdana"/>
          <w:color w:val="000000"/>
          <w:spacing w:val="-4"/>
          <w:sz w:val="20"/>
          <w:szCs w:val="20"/>
          <w:lang w:val="es-ES"/>
        </w:rPr>
        <w:t xml:space="preserve"> presentan cláusulas de exclusión </w:t>
      </w:r>
      <w:r w:rsidR="00640948" w:rsidRPr="00395069">
        <w:rPr>
          <w:rFonts w:ascii="Verdana" w:eastAsiaTheme="minorHAnsi" w:hAnsi="Verdana" w:cs="Verdana"/>
          <w:color w:val="000000"/>
          <w:spacing w:val="-4"/>
          <w:sz w:val="20"/>
          <w:szCs w:val="20"/>
          <w:lang w:val="es-ES"/>
        </w:rPr>
        <w:t>en caso de que la persona haya sido sentenciada por ciertos delitos allí detallados, entre los que se encuentra el de “terrorismo”</w:t>
      </w:r>
      <w:r w:rsidR="002855E7">
        <w:rPr>
          <w:rFonts w:ascii="Verdana" w:eastAsiaTheme="minorHAnsi" w:hAnsi="Verdana" w:cs="Verdana"/>
          <w:color w:val="000000"/>
          <w:spacing w:val="-4"/>
          <w:sz w:val="20"/>
          <w:szCs w:val="20"/>
          <w:lang w:val="es-ES"/>
        </w:rPr>
        <w:t xml:space="preserve"> (</w:t>
      </w:r>
      <w:r w:rsidR="002855E7">
        <w:rPr>
          <w:rFonts w:ascii="Verdana" w:eastAsiaTheme="minorHAnsi" w:hAnsi="Verdana" w:cs="Verdana"/>
          <w:i/>
          <w:color w:val="000000"/>
          <w:spacing w:val="-4"/>
          <w:sz w:val="20"/>
          <w:szCs w:val="20"/>
          <w:lang w:val="es-ES"/>
        </w:rPr>
        <w:t xml:space="preserve">supra </w:t>
      </w:r>
      <w:r w:rsidR="002855E7">
        <w:rPr>
          <w:rFonts w:ascii="Verdana" w:eastAsiaTheme="minorHAnsi" w:hAnsi="Verdana" w:cs="Verdana"/>
          <w:color w:val="000000"/>
          <w:spacing w:val="-4"/>
          <w:sz w:val="20"/>
          <w:szCs w:val="20"/>
          <w:lang w:val="es-ES"/>
        </w:rPr>
        <w:t xml:space="preserve">nota al pie </w:t>
      </w:r>
      <w:r w:rsidR="002855E7">
        <w:rPr>
          <w:rFonts w:ascii="Verdana" w:eastAsiaTheme="minorHAnsi" w:hAnsi="Verdana" w:cs="Verdana"/>
          <w:color w:val="000000"/>
          <w:spacing w:val="-4"/>
          <w:sz w:val="20"/>
          <w:szCs w:val="20"/>
          <w:lang w:val="es-ES"/>
        </w:rPr>
        <w:fldChar w:fldCharType="begin"/>
      </w:r>
      <w:r w:rsidR="002855E7">
        <w:rPr>
          <w:rFonts w:ascii="Verdana" w:eastAsiaTheme="minorHAnsi" w:hAnsi="Verdana" w:cs="Verdana"/>
          <w:color w:val="000000"/>
          <w:spacing w:val="-4"/>
          <w:sz w:val="20"/>
          <w:szCs w:val="20"/>
          <w:lang w:val="es-ES"/>
        </w:rPr>
        <w:instrText xml:space="preserve"> NOTEREF _Ref46181998 \h </w:instrText>
      </w:r>
      <w:r w:rsidR="002855E7">
        <w:rPr>
          <w:rFonts w:ascii="Verdana" w:eastAsiaTheme="minorHAnsi" w:hAnsi="Verdana" w:cs="Verdana"/>
          <w:color w:val="000000"/>
          <w:spacing w:val="-4"/>
          <w:sz w:val="20"/>
          <w:szCs w:val="20"/>
          <w:lang w:val="es-ES"/>
        </w:rPr>
      </w:r>
      <w:r w:rsidR="002855E7">
        <w:rPr>
          <w:rFonts w:ascii="Verdana" w:eastAsiaTheme="minorHAnsi" w:hAnsi="Verdana" w:cs="Verdana"/>
          <w:color w:val="000000"/>
          <w:spacing w:val="-4"/>
          <w:sz w:val="20"/>
          <w:szCs w:val="20"/>
          <w:lang w:val="es-ES"/>
        </w:rPr>
        <w:fldChar w:fldCharType="separate"/>
      </w:r>
      <w:r w:rsidR="00337FEC">
        <w:rPr>
          <w:rFonts w:ascii="Verdana" w:eastAsiaTheme="minorHAnsi" w:hAnsi="Verdana" w:cs="Verdana"/>
          <w:color w:val="000000"/>
          <w:spacing w:val="-4"/>
          <w:sz w:val="20"/>
          <w:szCs w:val="20"/>
          <w:lang w:val="es-ES"/>
        </w:rPr>
        <w:t>1</w:t>
      </w:r>
      <w:r w:rsidR="009F0042">
        <w:rPr>
          <w:rFonts w:ascii="Verdana" w:eastAsiaTheme="minorHAnsi" w:hAnsi="Verdana" w:cs="Verdana"/>
          <w:color w:val="000000"/>
          <w:spacing w:val="-4"/>
          <w:sz w:val="20"/>
          <w:szCs w:val="20"/>
          <w:lang w:val="es-ES"/>
        </w:rPr>
        <w:t>2</w:t>
      </w:r>
      <w:r w:rsidR="002855E7">
        <w:rPr>
          <w:rFonts w:ascii="Verdana" w:eastAsiaTheme="minorHAnsi" w:hAnsi="Verdana" w:cs="Verdana"/>
          <w:color w:val="000000"/>
          <w:spacing w:val="-4"/>
          <w:sz w:val="20"/>
          <w:szCs w:val="20"/>
          <w:lang w:val="es-ES"/>
        </w:rPr>
        <w:fldChar w:fldCharType="end"/>
      </w:r>
      <w:r w:rsidR="002855E7">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w:t>
      </w:r>
      <w:r w:rsidR="00640948" w:rsidRPr="00395069">
        <w:rPr>
          <w:rFonts w:ascii="Verdana" w:eastAsiaTheme="minorHAnsi" w:hAnsi="Verdana" w:cs="Verdana"/>
          <w:b/>
          <w:color w:val="000000"/>
          <w:spacing w:val="-4"/>
          <w:sz w:val="20"/>
          <w:szCs w:val="20"/>
          <w:lang w:val="es-ES"/>
        </w:rPr>
        <w:t xml:space="preserve"> </w:t>
      </w:r>
    </w:p>
    <w:p w14:paraId="53FAE943" w14:textId="47E7B438" w:rsidR="00640948" w:rsidRPr="00395069" w:rsidRDefault="00807067" w:rsidP="00BF0D03">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t>e</w:t>
      </w:r>
      <w:r w:rsidR="00640948" w:rsidRPr="00395069">
        <w:rPr>
          <w:rFonts w:ascii="Verdana" w:eastAsiaTheme="minorHAnsi" w:hAnsi="Verdana" w:cs="Verdana"/>
          <w:color w:val="000000"/>
          <w:spacing w:val="-4"/>
          <w:sz w:val="20"/>
          <w:szCs w:val="20"/>
          <w:lang w:val="es-ES"/>
        </w:rPr>
        <w:t>l Poder Judicial, a través de su Consejo Ejecutivo, emitió una serie de medidas a nivel nacional</w:t>
      </w:r>
      <w:r w:rsidR="00640948" w:rsidRPr="006C2B99">
        <w:rPr>
          <w:rStyle w:val="Refdenotaalpie"/>
          <w:rFonts w:eastAsiaTheme="minorHAnsi" w:cs="Verdana"/>
          <w:color w:val="000000"/>
          <w:spacing w:val="-4"/>
          <w:sz w:val="20"/>
          <w:szCs w:val="20"/>
          <w:lang w:val="es-ES"/>
        </w:rPr>
        <w:footnoteReference w:id="14"/>
      </w:r>
      <w:r w:rsidR="00640948" w:rsidRPr="00395069">
        <w:rPr>
          <w:rFonts w:ascii="Verdana" w:eastAsiaTheme="minorHAnsi" w:hAnsi="Verdana" w:cs="Verdana"/>
          <w:color w:val="000000"/>
          <w:spacing w:val="-4"/>
          <w:sz w:val="20"/>
          <w:szCs w:val="20"/>
          <w:lang w:val="es-ES"/>
        </w:rPr>
        <w:t xml:space="preserve"> y al interior del país para “hacer frente a la pandemia de </w:t>
      </w:r>
      <w:r w:rsidR="00640948" w:rsidRPr="00395069">
        <w:rPr>
          <w:rFonts w:ascii="Verdana" w:eastAsiaTheme="minorHAnsi" w:hAnsi="Verdana" w:cs="Verdana"/>
          <w:color w:val="000000"/>
          <w:spacing w:val="-4"/>
          <w:sz w:val="20"/>
          <w:szCs w:val="20"/>
          <w:lang w:val="es-ES"/>
        </w:rPr>
        <w:lastRenderedPageBreak/>
        <w:t xml:space="preserve">COVID-19 </w:t>
      </w:r>
      <w:r>
        <w:rPr>
          <w:rFonts w:ascii="Verdana" w:eastAsiaTheme="minorHAnsi" w:hAnsi="Verdana" w:cs="Verdana"/>
          <w:color w:val="000000"/>
          <w:spacing w:val="-4"/>
          <w:sz w:val="20"/>
          <w:szCs w:val="20"/>
          <w:lang w:val="es-ES"/>
        </w:rPr>
        <w:t xml:space="preserve">[…] </w:t>
      </w:r>
      <w:r w:rsidR="00640948" w:rsidRPr="00395069">
        <w:rPr>
          <w:rFonts w:ascii="Verdana" w:eastAsiaTheme="minorHAnsi" w:hAnsi="Verdana" w:cs="Verdana"/>
          <w:color w:val="000000"/>
          <w:spacing w:val="-4"/>
          <w:sz w:val="20"/>
          <w:szCs w:val="20"/>
          <w:lang w:val="es-ES"/>
        </w:rPr>
        <w:t xml:space="preserve">y proteger la vida e integridad de las personas que se encuentran recluidas en establecimientos penitenciarios”, tales como “la garantía del servicio judicial a fin de atender solicitudes de cesación de prisión preventiva, variación de la medida, conversiones de pena, liberación condicional, arresto domiciliario [y] demandas de hábeas corpus”; </w:t>
      </w:r>
    </w:p>
    <w:p w14:paraId="5BD37F23" w14:textId="6BDE8B9D" w:rsidR="00640948" w:rsidRPr="00395069" w:rsidRDefault="008B4859" w:rsidP="00BF0D03">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t>a</w:t>
      </w:r>
      <w:r w:rsidR="00640948" w:rsidRPr="00395069">
        <w:rPr>
          <w:rFonts w:ascii="Verdana" w:eastAsiaTheme="minorHAnsi" w:hAnsi="Verdana" w:cs="Verdana"/>
          <w:color w:val="000000"/>
          <w:spacing w:val="-4"/>
          <w:sz w:val="20"/>
          <w:szCs w:val="20"/>
          <w:lang w:val="es-ES"/>
        </w:rPr>
        <w:t xml:space="preserve"> través del Instituto Nacional Penitenciario y el Ministerio de Justicia y Derechos Humanos, </w:t>
      </w:r>
      <w:r w:rsidR="006C2B99">
        <w:rPr>
          <w:rFonts w:ascii="Verdana" w:eastAsiaTheme="minorHAnsi" w:hAnsi="Verdana" w:cs="Verdana"/>
          <w:color w:val="000000"/>
          <w:spacing w:val="-4"/>
          <w:sz w:val="20"/>
          <w:szCs w:val="20"/>
          <w:lang w:val="es-ES"/>
        </w:rPr>
        <w:t xml:space="preserve">se </w:t>
      </w:r>
      <w:r w:rsidR="00640948" w:rsidRPr="00395069">
        <w:rPr>
          <w:rFonts w:ascii="Verdana" w:eastAsiaTheme="minorHAnsi" w:hAnsi="Verdana" w:cs="Verdana"/>
          <w:color w:val="000000"/>
          <w:spacing w:val="-4"/>
          <w:sz w:val="20"/>
          <w:szCs w:val="20"/>
          <w:lang w:val="es-ES"/>
        </w:rPr>
        <w:t>emitió una serie de disposiciones “a fin de garantizar que las condiciones de detención eviten la propagación del COVID-19 en los establecimientos penitenciarios”, entre las que se destacan el “Plan de Acción Actualizado frente al Riesgo de Introducción del Coronavirus COVID-19 en los Establecimientos Penitenciarios a Nivel Nacional”</w:t>
      </w:r>
      <w:r w:rsidR="00640948" w:rsidRPr="006C2B99">
        <w:rPr>
          <w:rStyle w:val="Refdenotaalpie"/>
          <w:rFonts w:eastAsiaTheme="minorHAnsi" w:cs="Verdana"/>
          <w:color w:val="000000"/>
          <w:spacing w:val="-4"/>
          <w:sz w:val="20"/>
          <w:szCs w:val="20"/>
          <w:lang w:val="es-ES"/>
        </w:rPr>
        <w:footnoteReference w:id="15"/>
      </w:r>
      <w:r w:rsidR="00640948" w:rsidRPr="00395069">
        <w:rPr>
          <w:rFonts w:ascii="Verdana" w:eastAsiaTheme="minorHAnsi" w:hAnsi="Verdana" w:cs="Verdana"/>
          <w:color w:val="000000"/>
          <w:spacing w:val="-4"/>
          <w:sz w:val="20"/>
          <w:szCs w:val="20"/>
          <w:lang w:val="es-ES"/>
        </w:rPr>
        <w:t>; el “Protocolo de Uso de Equipos de Protección Personal para COVID-19 en Establecimiento</w:t>
      </w:r>
      <w:r w:rsidR="000A4514">
        <w:rPr>
          <w:rFonts w:ascii="Verdana" w:eastAsiaTheme="minorHAnsi" w:hAnsi="Verdana" w:cs="Verdana"/>
          <w:color w:val="000000"/>
          <w:spacing w:val="-4"/>
          <w:sz w:val="20"/>
          <w:szCs w:val="20"/>
          <w:lang w:val="es-ES"/>
        </w:rPr>
        <w:t>[s]</w:t>
      </w:r>
      <w:r w:rsidR="00640948" w:rsidRPr="00395069">
        <w:rPr>
          <w:rFonts w:ascii="Verdana" w:eastAsiaTheme="minorHAnsi" w:hAnsi="Verdana" w:cs="Verdana"/>
          <w:color w:val="000000"/>
          <w:spacing w:val="-4"/>
          <w:sz w:val="20"/>
          <w:szCs w:val="20"/>
          <w:lang w:val="es-ES"/>
        </w:rPr>
        <w:t xml:space="preserve"> Penitenciarios”</w:t>
      </w:r>
      <w:r w:rsidR="000A4514">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 xml:space="preserve"> y la habilitación del “ex Establecimiento Penitenciario de Lima (San Jorge)</w:t>
      </w:r>
      <w:r w:rsidR="000A4514">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 xml:space="preserve"> como “espacio de aislamiento sanitario para internos de los penales de Lima que puedan verse afectados o sean sospechosos de contagio por el COVID-19”. Asimismo, informó sobre la entrega de materiales de bioseguridad, medicinas, materiales de aseo y </w:t>
      </w:r>
      <w:r w:rsidR="006D50A3">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pruebas rápidas</w:t>
      </w:r>
      <w:r w:rsidR="006D50A3">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 xml:space="preserve"> en distintos establecimientos penales del país, incluyendo una serie de medidas adoptadas</w:t>
      </w:r>
      <w:r w:rsidR="00640948" w:rsidRPr="00395069">
        <w:rPr>
          <w:rStyle w:val="Refdenotaalpie"/>
          <w:rFonts w:eastAsiaTheme="minorHAnsi" w:cs="Verdana"/>
          <w:color w:val="000000"/>
          <w:spacing w:val="-4"/>
          <w:szCs w:val="20"/>
          <w:lang w:val="es-ES"/>
        </w:rPr>
        <w:footnoteReference w:id="16"/>
      </w:r>
      <w:r w:rsidR="00640948" w:rsidRPr="00395069">
        <w:rPr>
          <w:rFonts w:ascii="Verdana" w:eastAsiaTheme="minorHAnsi" w:hAnsi="Verdana" w:cs="Verdana"/>
          <w:color w:val="000000"/>
          <w:spacing w:val="-4"/>
          <w:sz w:val="20"/>
          <w:szCs w:val="20"/>
          <w:lang w:val="es-ES"/>
        </w:rPr>
        <w:t xml:space="preserve"> específicamente respecto de los establecimientos penales Miguel Castro </w:t>
      </w:r>
      <w:proofErr w:type="spellStart"/>
      <w:r w:rsidR="00640948" w:rsidRPr="00395069">
        <w:rPr>
          <w:rFonts w:ascii="Verdana" w:eastAsiaTheme="minorHAnsi" w:hAnsi="Verdana" w:cs="Verdana"/>
          <w:color w:val="000000"/>
          <w:spacing w:val="-4"/>
          <w:sz w:val="20"/>
          <w:szCs w:val="20"/>
          <w:lang w:val="es-ES"/>
        </w:rPr>
        <w:t>Castro</w:t>
      </w:r>
      <w:proofErr w:type="spellEnd"/>
      <w:r w:rsidR="00640948" w:rsidRPr="00395069">
        <w:rPr>
          <w:rFonts w:ascii="Verdana" w:eastAsiaTheme="minorHAnsi" w:hAnsi="Verdana" w:cs="Verdana"/>
          <w:color w:val="000000"/>
          <w:spacing w:val="-4"/>
          <w:sz w:val="20"/>
          <w:szCs w:val="20"/>
          <w:lang w:val="es-ES"/>
        </w:rPr>
        <w:t xml:space="preserve">, Ancón 1 y Chorrillos, donde se encuentran los </w:t>
      </w:r>
      <w:r w:rsidR="006C2B99">
        <w:rPr>
          <w:rFonts w:ascii="Verdana" w:eastAsiaTheme="minorHAnsi" w:hAnsi="Verdana" w:cs="Verdana"/>
          <w:color w:val="000000"/>
          <w:spacing w:val="-4"/>
          <w:sz w:val="20"/>
          <w:szCs w:val="20"/>
          <w:lang w:val="es-ES"/>
        </w:rPr>
        <w:t>cinco</w:t>
      </w:r>
      <w:r w:rsidR="00640948" w:rsidRPr="00395069">
        <w:rPr>
          <w:rFonts w:ascii="Verdana" w:eastAsiaTheme="minorHAnsi" w:hAnsi="Verdana" w:cs="Verdana"/>
          <w:color w:val="000000"/>
          <w:spacing w:val="-4"/>
          <w:sz w:val="20"/>
          <w:szCs w:val="20"/>
          <w:lang w:val="es-ES"/>
        </w:rPr>
        <w:t xml:space="preserve"> propuestos beneficiarios;</w:t>
      </w:r>
    </w:p>
    <w:p w14:paraId="5BC14CB6" w14:textId="04E7E7BC" w:rsidR="00640948" w:rsidRPr="00395069" w:rsidRDefault="008B4859" w:rsidP="00BF0D03">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t>a</w:t>
      </w:r>
      <w:r w:rsidR="00640948" w:rsidRPr="00395069">
        <w:rPr>
          <w:rFonts w:ascii="Verdana" w:eastAsiaTheme="minorHAnsi" w:hAnsi="Verdana" w:cs="Verdana"/>
          <w:color w:val="000000"/>
          <w:spacing w:val="-4"/>
          <w:sz w:val="20"/>
          <w:szCs w:val="20"/>
          <w:lang w:val="es-ES"/>
        </w:rPr>
        <w:t>doptó el Decreto Legislativo N</w:t>
      </w:r>
      <w:r w:rsidR="00266909">
        <w:rPr>
          <w:rFonts w:ascii="Verdana" w:eastAsiaTheme="minorHAnsi" w:hAnsi="Verdana" w:cs="Verdana"/>
          <w:color w:val="000000"/>
          <w:spacing w:val="-4"/>
          <w:sz w:val="20"/>
          <w:szCs w:val="20"/>
          <w:lang w:val="es-ES"/>
        </w:rPr>
        <w:t>o.</w:t>
      </w:r>
      <w:r w:rsidR="00640948" w:rsidRPr="00395069">
        <w:rPr>
          <w:rFonts w:ascii="Verdana" w:eastAsiaTheme="minorHAnsi" w:hAnsi="Verdana" w:cs="Verdana"/>
          <w:color w:val="000000"/>
          <w:spacing w:val="-4"/>
          <w:sz w:val="20"/>
          <w:szCs w:val="20"/>
          <w:lang w:val="es-ES"/>
        </w:rPr>
        <w:t xml:space="preserve"> 1513, de 4 de junio de 2020, el cual “</w:t>
      </w:r>
      <w:proofErr w:type="spellStart"/>
      <w:r w:rsidR="00640948" w:rsidRPr="00395069">
        <w:rPr>
          <w:rFonts w:ascii="Verdana" w:eastAsiaTheme="minorHAnsi" w:hAnsi="Verdana" w:cs="Verdana"/>
          <w:color w:val="000000"/>
          <w:spacing w:val="-4"/>
          <w:sz w:val="20"/>
          <w:szCs w:val="20"/>
          <w:lang w:val="es-ES"/>
        </w:rPr>
        <w:t>regul</w:t>
      </w:r>
      <w:proofErr w:type="spellEnd"/>
      <w:r w:rsidR="00640948" w:rsidRPr="00395069">
        <w:rPr>
          <w:rFonts w:ascii="Verdana" w:eastAsiaTheme="minorHAnsi" w:hAnsi="Verdana" w:cs="Verdana"/>
          <w:color w:val="000000"/>
          <w:spacing w:val="-4"/>
          <w:sz w:val="20"/>
          <w:szCs w:val="20"/>
          <w:lang w:val="es-ES"/>
        </w:rPr>
        <w:t>[a] supuestos excepcionales de cesación de prisión preventiva, remisión condicional de pena, beneficios penitenciarios y de justicia penal juvenil</w:t>
      </w:r>
      <w:r w:rsidR="006D50A3">
        <w:rPr>
          <w:rFonts w:ascii="Verdana" w:eastAsiaTheme="minorHAnsi" w:hAnsi="Verdana" w:cs="Verdana"/>
          <w:color w:val="000000"/>
          <w:spacing w:val="-4"/>
          <w:sz w:val="20"/>
          <w:szCs w:val="20"/>
          <w:lang w:val="es-ES"/>
        </w:rPr>
        <w:t xml:space="preserve">” </w:t>
      </w:r>
      <w:r w:rsidR="006D50A3" w:rsidRPr="00395069">
        <w:rPr>
          <w:rFonts w:ascii="Verdana" w:eastAsiaTheme="minorHAnsi" w:hAnsi="Verdana" w:cs="Verdana"/>
          <w:color w:val="000000"/>
          <w:spacing w:val="-4"/>
          <w:sz w:val="20"/>
          <w:szCs w:val="20"/>
          <w:lang w:val="es-ES"/>
        </w:rPr>
        <w:t xml:space="preserve">en el marco de la </w:t>
      </w:r>
      <w:r w:rsidR="006D50A3">
        <w:rPr>
          <w:rFonts w:ascii="Verdana" w:eastAsiaTheme="minorHAnsi" w:hAnsi="Verdana" w:cs="Verdana"/>
          <w:color w:val="000000"/>
          <w:spacing w:val="-4"/>
          <w:sz w:val="20"/>
          <w:szCs w:val="20"/>
          <w:lang w:val="es-ES"/>
        </w:rPr>
        <w:t>“</w:t>
      </w:r>
      <w:r w:rsidR="006D50A3" w:rsidRPr="00395069">
        <w:rPr>
          <w:rFonts w:ascii="Verdana" w:eastAsiaTheme="minorHAnsi" w:hAnsi="Verdana" w:cs="Verdana"/>
          <w:color w:val="000000"/>
          <w:spacing w:val="-4"/>
          <w:sz w:val="20"/>
          <w:szCs w:val="20"/>
          <w:lang w:val="es-ES"/>
        </w:rPr>
        <w:t>emergencia sanitaria nacional por el COVID-19</w:t>
      </w:r>
      <w:r w:rsidR="006D50A3">
        <w:rPr>
          <w:rFonts w:ascii="Verdana" w:eastAsiaTheme="minorHAnsi" w:hAnsi="Verdana" w:cs="Verdana"/>
          <w:color w:val="000000"/>
          <w:spacing w:val="-4"/>
          <w:sz w:val="20"/>
          <w:szCs w:val="20"/>
          <w:lang w:val="es-ES"/>
        </w:rPr>
        <w:t>”</w:t>
      </w:r>
      <w:r w:rsidR="00640948" w:rsidRPr="00395069">
        <w:rPr>
          <w:rFonts w:ascii="Verdana" w:eastAsiaTheme="minorHAnsi" w:hAnsi="Verdana" w:cs="Verdana"/>
          <w:color w:val="000000"/>
          <w:spacing w:val="-4"/>
          <w:sz w:val="20"/>
          <w:szCs w:val="20"/>
          <w:lang w:val="es-ES"/>
        </w:rPr>
        <w:t>. Dicha norma “dispone la cesación de la prisión preventiva para todos los internos e internas que se encuentren en calidad de procesados o procesadas”, siempre que no estén siendo procesados por alguno de los delitos excluidos de la aplicación del beneficio</w:t>
      </w:r>
      <w:r w:rsidR="009A2F2F" w:rsidRPr="00E05518">
        <w:rPr>
          <w:rStyle w:val="Refdenotaalpie"/>
          <w:rFonts w:eastAsiaTheme="minorHAnsi" w:cs="Verdana"/>
          <w:color w:val="000000"/>
          <w:spacing w:val="-4"/>
          <w:sz w:val="20"/>
          <w:szCs w:val="20"/>
          <w:lang w:val="es-ES"/>
        </w:rPr>
        <w:footnoteReference w:id="17"/>
      </w:r>
      <w:r w:rsidR="00640948" w:rsidRPr="00395069">
        <w:rPr>
          <w:rFonts w:ascii="Verdana" w:eastAsiaTheme="minorHAnsi" w:hAnsi="Verdana" w:cs="Verdana"/>
          <w:color w:val="000000"/>
          <w:spacing w:val="-4"/>
          <w:sz w:val="20"/>
          <w:szCs w:val="20"/>
          <w:lang w:val="es-ES"/>
        </w:rPr>
        <w:t>. Además, dispone que todos los jueces de investigación preparatoria a nivel nacional tienen un plazo de 20 días para revisar de oficio “la necesidad de mantener o no la medida de prisión preventiva impuesta en todos los procesos que tengan a su cargo”. Para efectos de la revisión, deben tener en cuenta, entre otros factores, si la persona se encuentra dentro de los grupos de riesgo determinados por el Ministerio de Salud, así como “[e]l riesgo a la vida y la afectación a la salud de las internas e internos procesados, y el riesgo de contagio y propagación al COVID-19 al interior del establecimiento penitenciario donde se encuentre recluido”, y</w:t>
      </w:r>
    </w:p>
    <w:p w14:paraId="21A8CAA5" w14:textId="6333B1D4" w:rsidR="00640948" w:rsidRDefault="00BE2C01" w:rsidP="00E05518">
      <w:pPr>
        <w:numPr>
          <w:ilvl w:val="1"/>
          <w:numId w:val="15"/>
        </w:numPr>
        <w:autoSpaceDE w:val="0"/>
        <w:autoSpaceDN w:val="0"/>
        <w:adjustRightInd w:val="0"/>
        <w:spacing w:before="120" w:after="120"/>
        <w:jc w:val="both"/>
        <w:rPr>
          <w:rFonts w:ascii="Verdana" w:eastAsiaTheme="minorHAnsi" w:hAnsi="Verdana" w:cs="Verdana"/>
          <w:color w:val="000000"/>
          <w:spacing w:val="-4"/>
          <w:sz w:val="20"/>
          <w:szCs w:val="20"/>
          <w:lang w:val="es-ES"/>
        </w:rPr>
      </w:pPr>
      <w:r>
        <w:rPr>
          <w:rFonts w:ascii="Verdana" w:eastAsiaTheme="minorHAnsi" w:hAnsi="Verdana" w:cs="Verdana"/>
          <w:color w:val="000000"/>
          <w:spacing w:val="-4"/>
          <w:sz w:val="20"/>
          <w:szCs w:val="20"/>
          <w:lang w:val="es-ES"/>
        </w:rPr>
        <w:lastRenderedPageBreak/>
        <w:t>e</w:t>
      </w:r>
      <w:r w:rsidR="00640948" w:rsidRPr="00395069">
        <w:rPr>
          <w:rFonts w:ascii="Verdana" w:eastAsiaTheme="minorHAnsi" w:hAnsi="Verdana" w:cs="Verdana"/>
          <w:color w:val="000000"/>
          <w:spacing w:val="-4"/>
          <w:sz w:val="20"/>
          <w:szCs w:val="20"/>
          <w:lang w:val="es-ES"/>
        </w:rPr>
        <w:t>mitió el Decreto Legislativo N</w:t>
      </w:r>
      <w:r w:rsidR="00266909">
        <w:rPr>
          <w:rFonts w:ascii="Verdana" w:eastAsiaTheme="minorHAnsi" w:hAnsi="Verdana" w:cs="Verdana"/>
          <w:color w:val="000000"/>
          <w:spacing w:val="-4"/>
          <w:sz w:val="20"/>
          <w:szCs w:val="20"/>
          <w:lang w:val="es-ES"/>
        </w:rPr>
        <w:t>o.</w:t>
      </w:r>
      <w:r w:rsidR="00640948" w:rsidRPr="00395069">
        <w:rPr>
          <w:rFonts w:ascii="Verdana" w:eastAsiaTheme="minorHAnsi" w:hAnsi="Verdana" w:cs="Verdana"/>
          <w:color w:val="000000"/>
          <w:spacing w:val="-4"/>
          <w:sz w:val="20"/>
          <w:szCs w:val="20"/>
          <w:lang w:val="es-ES"/>
        </w:rPr>
        <w:t xml:space="preserve"> 1514 de 4 de junio de 2020, que </w:t>
      </w:r>
      <w:r w:rsidR="007D3BF3" w:rsidRPr="00395069">
        <w:rPr>
          <w:rFonts w:ascii="Verdana" w:eastAsiaTheme="minorHAnsi" w:hAnsi="Verdana" w:cs="Verdana"/>
          <w:color w:val="000000"/>
          <w:spacing w:val="-4"/>
          <w:sz w:val="20"/>
          <w:szCs w:val="20"/>
          <w:lang w:val="es-ES"/>
        </w:rPr>
        <w:t>modifica el</w:t>
      </w:r>
      <w:r w:rsidR="00E05518">
        <w:rPr>
          <w:rFonts w:ascii="Verdana" w:eastAsiaTheme="minorHAnsi" w:hAnsi="Verdana" w:cs="Verdana"/>
          <w:color w:val="000000"/>
          <w:spacing w:val="-4"/>
          <w:sz w:val="20"/>
          <w:szCs w:val="20"/>
          <w:lang w:val="es-ES"/>
        </w:rPr>
        <w:t xml:space="preserve"> </w:t>
      </w:r>
      <w:r w:rsidR="007D3BF3" w:rsidRPr="00395069">
        <w:rPr>
          <w:rFonts w:ascii="Verdana" w:eastAsiaTheme="minorHAnsi" w:hAnsi="Verdana" w:cs="Verdana"/>
          <w:color w:val="000000"/>
          <w:spacing w:val="-4"/>
          <w:sz w:val="20"/>
          <w:szCs w:val="20"/>
          <w:lang w:val="es-ES"/>
        </w:rPr>
        <w:t>“</w:t>
      </w:r>
      <w:r w:rsidR="007D3BF3" w:rsidRPr="00395069">
        <w:rPr>
          <w:rFonts w:ascii="Verdana" w:eastAsiaTheme="minorHAnsi" w:hAnsi="Verdana" w:cs="Verdana"/>
          <w:color w:val="000000"/>
          <w:spacing w:val="-4"/>
          <w:sz w:val="20"/>
          <w:szCs w:val="20"/>
          <w:lang w:val="es-AR"/>
        </w:rPr>
        <w:t>procedimiento especial de conversión de penas privativas de libertad por penas alternativas,</w:t>
      </w:r>
      <w:r w:rsidR="007D3BF3" w:rsidRPr="00395069">
        <w:rPr>
          <w:spacing w:val="-4"/>
        </w:rPr>
        <w:t xml:space="preserve"> </w:t>
      </w:r>
      <w:r w:rsidR="007D3BF3" w:rsidRPr="00395069">
        <w:rPr>
          <w:rFonts w:ascii="Verdana" w:eastAsiaTheme="minorHAnsi" w:hAnsi="Verdana" w:cs="Verdana"/>
          <w:color w:val="000000"/>
          <w:spacing w:val="-4"/>
          <w:sz w:val="20"/>
          <w:szCs w:val="20"/>
          <w:lang w:val="es-AR"/>
        </w:rPr>
        <w:t>en ejecución de condena”, y</w:t>
      </w:r>
      <w:r w:rsidR="007D3BF3" w:rsidRPr="00395069">
        <w:rPr>
          <w:rFonts w:ascii="Verdana" w:eastAsiaTheme="minorHAnsi" w:hAnsi="Verdana" w:cs="Verdana"/>
          <w:color w:val="000000"/>
          <w:spacing w:val="-4"/>
          <w:sz w:val="20"/>
          <w:szCs w:val="20"/>
          <w:lang w:val="es-ES"/>
        </w:rPr>
        <w:t xml:space="preserve"> </w:t>
      </w:r>
      <w:r w:rsidR="00640948" w:rsidRPr="00395069">
        <w:rPr>
          <w:rFonts w:ascii="Verdana" w:eastAsiaTheme="minorHAnsi" w:hAnsi="Verdana" w:cs="Verdana"/>
          <w:color w:val="000000"/>
          <w:spacing w:val="-4"/>
          <w:sz w:val="20"/>
          <w:szCs w:val="20"/>
          <w:lang w:val="es-ES"/>
        </w:rPr>
        <w:t xml:space="preserve">“optimiza la aplicación de la medida de vigilancia electrónica personal como medida coercitiva personal y sanción penal a fin de reducir el hacinamiento”. </w:t>
      </w:r>
    </w:p>
    <w:p w14:paraId="48C813CF" w14:textId="14CBA2DD"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ES"/>
        </w:rPr>
      </w:pPr>
      <w:bookmarkStart w:id="6" w:name="_Ref46180975"/>
      <w:r w:rsidRPr="00395069">
        <w:rPr>
          <w:rFonts w:ascii="Verdana" w:hAnsi="Verdana" w:cs="Verdana"/>
          <w:color w:val="000000"/>
          <w:spacing w:val="-4"/>
          <w:sz w:val="20"/>
          <w:szCs w:val="20"/>
          <w:lang w:val="es-ES"/>
        </w:rPr>
        <w:t xml:space="preserve">Sobre la </w:t>
      </w:r>
      <w:r w:rsidRPr="00395069">
        <w:rPr>
          <w:rFonts w:ascii="Verdana" w:hAnsi="Verdana" w:cs="Verdana"/>
          <w:i/>
          <w:color w:val="000000"/>
          <w:spacing w:val="-4"/>
          <w:sz w:val="20"/>
          <w:szCs w:val="20"/>
          <w:lang w:val="es-ES"/>
        </w:rPr>
        <w:t>atención médica</w:t>
      </w:r>
      <w:r w:rsidRPr="00395069">
        <w:rPr>
          <w:rFonts w:ascii="Verdana" w:hAnsi="Verdana" w:cs="Verdana"/>
          <w:color w:val="000000"/>
          <w:spacing w:val="-4"/>
          <w:sz w:val="20"/>
          <w:szCs w:val="20"/>
          <w:lang w:val="es-ES"/>
        </w:rPr>
        <w:t xml:space="preserve">, Perú detalló que, a través del servicio médico de los respectivos establecimientos </w:t>
      </w:r>
      <w:r w:rsidR="00E05518">
        <w:rPr>
          <w:rFonts w:ascii="Verdana" w:hAnsi="Verdana" w:cs="Verdana"/>
          <w:color w:val="000000"/>
          <w:spacing w:val="-4"/>
          <w:sz w:val="20"/>
          <w:szCs w:val="20"/>
          <w:lang w:val="es-ES"/>
        </w:rPr>
        <w:t xml:space="preserve">penitenciarios </w:t>
      </w:r>
      <w:r w:rsidRPr="00395069">
        <w:rPr>
          <w:rFonts w:ascii="Verdana" w:hAnsi="Verdana" w:cs="Verdana"/>
          <w:color w:val="000000"/>
          <w:spacing w:val="-4"/>
          <w:sz w:val="20"/>
          <w:szCs w:val="20"/>
          <w:lang w:val="es-ES"/>
        </w:rPr>
        <w:t>en los que se encuentran los propuestos beneficiarios, les brindó atención médica a cada uno de ellos, incluyendo un diagnóstico y tratamiento médico</w:t>
      </w:r>
      <w:r w:rsidR="006D50A3">
        <w:rPr>
          <w:rFonts w:ascii="Verdana" w:hAnsi="Verdana" w:cs="Verdana"/>
          <w:color w:val="000000"/>
          <w:spacing w:val="-4"/>
          <w:sz w:val="20"/>
          <w:szCs w:val="20"/>
          <w:lang w:val="es-ES"/>
        </w:rPr>
        <w:t>, detallando</w:t>
      </w:r>
      <w:r w:rsidR="00E05518">
        <w:rPr>
          <w:rFonts w:ascii="Verdana" w:hAnsi="Verdana" w:cs="Verdana"/>
          <w:color w:val="000000"/>
          <w:spacing w:val="-4"/>
          <w:sz w:val="20"/>
          <w:szCs w:val="20"/>
          <w:lang w:val="es-ES"/>
        </w:rPr>
        <w:t xml:space="preserve"> lo siguiente</w:t>
      </w:r>
      <w:r w:rsidR="006D50A3">
        <w:rPr>
          <w:rFonts w:ascii="Verdana" w:hAnsi="Verdana" w:cs="Verdana"/>
          <w:color w:val="000000"/>
          <w:spacing w:val="-4"/>
          <w:sz w:val="20"/>
          <w:szCs w:val="20"/>
          <w:lang w:val="es-ES"/>
        </w:rPr>
        <w:t>:</w:t>
      </w:r>
      <w:bookmarkEnd w:id="6"/>
    </w:p>
    <w:p w14:paraId="02FA390B" w14:textId="5E018495" w:rsidR="00640948" w:rsidRPr="00395069" w:rsidRDefault="00640948" w:rsidP="00BF0D03">
      <w:pPr>
        <w:numPr>
          <w:ilvl w:val="0"/>
          <w:numId w:val="16"/>
        </w:numPr>
        <w:autoSpaceDE w:val="0"/>
        <w:autoSpaceDN w:val="0"/>
        <w:adjustRightInd w:val="0"/>
        <w:spacing w:before="120" w:after="120"/>
        <w:jc w:val="both"/>
        <w:rPr>
          <w:rFonts w:ascii="Verdana" w:eastAsiaTheme="minorHAnsi" w:hAnsi="Verdana" w:cs="Arial"/>
          <w:b/>
          <w:bCs/>
          <w:spacing w:val="-4"/>
          <w:sz w:val="20"/>
          <w:szCs w:val="20"/>
          <w:lang w:val="es-AR"/>
        </w:rPr>
      </w:pPr>
      <w:r w:rsidRPr="00395069">
        <w:rPr>
          <w:rFonts w:ascii="Verdana" w:eastAsiaTheme="minorHAnsi" w:hAnsi="Verdana" w:cs="Arial"/>
          <w:bCs/>
          <w:i/>
          <w:spacing w:val="-4"/>
          <w:sz w:val="20"/>
          <w:szCs w:val="20"/>
          <w:lang w:val="es-AR"/>
        </w:rPr>
        <w:t>Osmán Roberto Morote Barrionuevo</w:t>
      </w:r>
      <w:r w:rsidRPr="00395069">
        <w:rPr>
          <w:rFonts w:ascii="Verdana" w:eastAsiaTheme="minorHAnsi" w:hAnsi="Verdana" w:cs="Arial"/>
          <w:bCs/>
          <w:spacing w:val="-4"/>
          <w:sz w:val="20"/>
          <w:szCs w:val="20"/>
          <w:lang w:val="es-AR"/>
        </w:rPr>
        <w:t xml:space="preserve">: </w:t>
      </w:r>
      <w:r w:rsidRPr="00395069">
        <w:rPr>
          <w:rFonts w:ascii="Verdana" w:hAnsi="Verdana"/>
          <w:spacing w:val="-4"/>
          <w:sz w:val="20"/>
          <w:szCs w:val="20"/>
          <w:lang w:val="es-CR"/>
        </w:rPr>
        <w:t>recib</w:t>
      </w:r>
      <w:r w:rsidR="006D50A3">
        <w:rPr>
          <w:rFonts w:ascii="Verdana" w:hAnsi="Verdana"/>
          <w:spacing w:val="-4"/>
          <w:sz w:val="20"/>
          <w:szCs w:val="20"/>
          <w:lang w:val="es-CR"/>
        </w:rPr>
        <w:t>ió</w:t>
      </w:r>
      <w:r w:rsidRPr="00395069">
        <w:rPr>
          <w:rFonts w:ascii="Verdana" w:hAnsi="Verdana"/>
          <w:spacing w:val="-4"/>
          <w:sz w:val="20"/>
          <w:szCs w:val="20"/>
          <w:lang w:val="es-CR"/>
        </w:rPr>
        <w:t xml:space="preserve"> </w:t>
      </w:r>
      <w:r w:rsidR="006D50A3">
        <w:rPr>
          <w:rFonts w:ascii="Verdana" w:hAnsi="Verdana"/>
          <w:spacing w:val="-4"/>
          <w:sz w:val="20"/>
          <w:szCs w:val="20"/>
          <w:lang w:val="es-CR"/>
        </w:rPr>
        <w:t>“</w:t>
      </w:r>
      <w:r w:rsidRPr="00395069">
        <w:rPr>
          <w:rFonts w:ascii="Verdana" w:hAnsi="Verdana"/>
          <w:spacing w:val="-4"/>
          <w:sz w:val="20"/>
          <w:szCs w:val="20"/>
          <w:lang w:val="es-CR"/>
        </w:rPr>
        <w:t xml:space="preserve">las atenciones médicas correspondientes de acuerdo a su estado de salud”, </w:t>
      </w:r>
      <w:r w:rsidR="006D50A3">
        <w:rPr>
          <w:rFonts w:ascii="Verdana" w:hAnsi="Verdana"/>
          <w:spacing w:val="-4"/>
          <w:sz w:val="20"/>
          <w:szCs w:val="20"/>
          <w:lang w:val="es-CR"/>
        </w:rPr>
        <w:t>conforme</w:t>
      </w:r>
      <w:r w:rsidRPr="00395069">
        <w:rPr>
          <w:rFonts w:ascii="Verdana" w:hAnsi="Verdana"/>
          <w:spacing w:val="-4"/>
          <w:sz w:val="20"/>
          <w:szCs w:val="20"/>
          <w:lang w:val="es-CR"/>
        </w:rPr>
        <w:t xml:space="preserve"> los informes médicos </w:t>
      </w:r>
      <w:r w:rsidR="00293E84">
        <w:rPr>
          <w:rFonts w:ascii="Verdana" w:hAnsi="Verdana"/>
          <w:spacing w:val="-4"/>
          <w:sz w:val="20"/>
          <w:szCs w:val="20"/>
          <w:lang w:val="es-CR"/>
        </w:rPr>
        <w:t xml:space="preserve">adjuntos </w:t>
      </w:r>
      <w:r w:rsidRPr="00395069">
        <w:rPr>
          <w:rFonts w:ascii="Verdana" w:hAnsi="Verdana"/>
          <w:spacing w:val="-4"/>
          <w:sz w:val="20"/>
          <w:szCs w:val="20"/>
          <w:lang w:val="es-CR"/>
        </w:rPr>
        <w:t>de los exámenes que le fueron practicados al propuesto beneficiario los días 28 de abril</w:t>
      </w:r>
      <w:r w:rsidRPr="00395069">
        <w:rPr>
          <w:rStyle w:val="Refdenotaalpie"/>
          <w:spacing w:val="-4"/>
          <w:sz w:val="20"/>
          <w:szCs w:val="20"/>
          <w:lang w:val="es-CR"/>
        </w:rPr>
        <w:footnoteReference w:id="18"/>
      </w:r>
      <w:r w:rsidRPr="00395069">
        <w:rPr>
          <w:rFonts w:ascii="Verdana" w:hAnsi="Verdana"/>
          <w:spacing w:val="-4"/>
          <w:sz w:val="20"/>
          <w:szCs w:val="20"/>
          <w:lang w:val="es-CR"/>
        </w:rPr>
        <w:t>, 19 de mayo</w:t>
      </w:r>
      <w:r w:rsidRPr="00395069">
        <w:rPr>
          <w:rStyle w:val="Refdenotaalpie"/>
          <w:spacing w:val="-4"/>
          <w:sz w:val="20"/>
          <w:szCs w:val="20"/>
          <w:lang w:val="es-CR"/>
        </w:rPr>
        <w:footnoteReference w:id="19"/>
      </w:r>
      <w:r w:rsidRPr="00395069">
        <w:rPr>
          <w:rFonts w:ascii="Verdana" w:hAnsi="Verdana"/>
          <w:spacing w:val="-4"/>
          <w:sz w:val="20"/>
          <w:szCs w:val="20"/>
          <w:lang w:val="es-CR"/>
        </w:rPr>
        <w:t xml:space="preserve"> y 3 de junio</w:t>
      </w:r>
      <w:r w:rsidRPr="00395069">
        <w:rPr>
          <w:rStyle w:val="Refdenotaalpie"/>
          <w:spacing w:val="-4"/>
          <w:sz w:val="20"/>
          <w:szCs w:val="20"/>
          <w:lang w:val="es-CR"/>
        </w:rPr>
        <w:footnoteReference w:id="20"/>
      </w:r>
      <w:r w:rsidRPr="00395069">
        <w:rPr>
          <w:rFonts w:ascii="Verdana" w:hAnsi="Verdana"/>
          <w:spacing w:val="-4"/>
          <w:sz w:val="20"/>
          <w:szCs w:val="20"/>
          <w:lang w:val="es-CR"/>
        </w:rPr>
        <w:t xml:space="preserve">. De acuerdo a la información más reciente, el 2 de junio se le realizó la </w:t>
      </w:r>
      <w:r w:rsidR="00293E84">
        <w:rPr>
          <w:rFonts w:ascii="Verdana" w:hAnsi="Verdana"/>
          <w:spacing w:val="-4"/>
          <w:sz w:val="20"/>
          <w:szCs w:val="20"/>
          <w:lang w:val="es-CR"/>
        </w:rPr>
        <w:t>“</w:t>
      </w:r>
      <w:r w:rsidRPr="00395069">
        <w:rPr>
          <w:rFonts w:ascii="Verdana" w:hAnsi="Verdana"/>
          <w:spacing w:val="-4"/>
          <w:sz w:val="20"/>
          <w:szCs w:val="20"/>
          <w:lang w:val="es-CR"/>
        </w:rPr>
        <w:t>prueba rápida</w:t>
      </w:r>
      <w:r w:rsidR="00293E84">
        <w:rPr>
          <w:rFonts w:ascii="Verdana" w:hAnsi="Verdana"/>
          <w:spacing w:val="-4"/>
          <w:sz w:val="20"/>
          <w:szCs w:val="20"/>
          <w:lang w:val="es-CR"/>
        </w:rPr>
        <w:t>”</w:t>
      </w:r>
      <w:r w:rsidRPr="00395069">
        <w:rPr>
          <w:rFonts w:ascii="Verdana" w:hAnsi="Verdana"/>
          <w:spacing w:val="-4"/>
          <w:sz w:val="20"/>
          <w:szCs w:val="20"/>
          <w:lang w:val="es-CR"/>
        </w:rPr>
        <w:t xml:space="preserve"> de COVID-19, con resultado positivo, por lo que “se l</w:t>
      </w:r>
      <w:r w:rsidR="001E118F">
        <w:rPr>
          <w:rFonts w:ascii="Verdana" w:hAnsi="Verdana"/>
          <w:spacing w:val="-4"/>
          <w:sz w:val="20"/>
          <w:szCs w:val="20"/>
          <w:lang w:val="es-CR"/>
        </w:rPr>
        <w:t>[e]</w:t>
      </w:r>
      <w:r w:rsidRPr="00395069">
        <w:rPr>
          <w:rFonts w:ascii="Verdana" w:hAnsi="Verdana"/>
          <w:spacing w:val="-4"/>
          <w:sz w:val="20"/>
          <w:szCs w:val="20"/>
          <w:lang w:val="es-CR"/>
        </w:rPr>
        <w:t xml:space="preserve"> </w:t>
      </w:r>
      <w:proofErr w:type="spellStart"/>
      <w:r w:rsidRPr="00395069">
        <w:rPr>
          <w:rFonts w:ascii="Verdana" w:hAnsi="Verdana"/>
          <w:spacing w:val="-4"/>
          <w:sz w:val="20"/>
          <w:szCs w:val="20"/>
          <w:lang w:val="es-CR"/>
        </w:rPr>
        <w:t>traslad</w:t>
      </w:r>
      <w:proofErr w:type="spellEnd"/>
      <w:r w:rsidRPr="00395069">
        <w:rPr>
          <w:rFonts w:ascii="Verdana" w:hAnsi="Verdana"/>
          <w:spacing w:val="-4"/>
          <w:sz w:val="20"/>
          <w:szCs w:val="20"/>
          <w:lang w:val="es-CR"/>
        </w:rPr>
        <w:t>[</w:t>
      </w:r>
      <w:proofErr w:type="spellStart"/>
      <w:r w:rsidRPr="00395069">
        <w:rPr>
          <w:rFonts w:ascii="Verdana" w:hAnsi="Verdana"/>
          <w:spacing w:val="-4"/>
          <w:sz w:val="20"/>
          <w:szCs w:val="20"/>
          <w:lang w:val="es-CR"/>
        </w:rPr>
        <w:t>ó</w:t>
      </w:r>
      <w:proofErr w:type="spellEnd"/>
      <w:r w:rsidRPr="00395069">
        <w:rPr>
          <w:rFonts w:ascii="Verdana" w:hAnsi="Verdana"/>
          <w:spacing w:val="-4"/>
          <w:sz w:val="20"/>
          <w:szCs w:val="20"/>
          <w:lang w:val="es-CR"/>
        </w:rPr>
        <w:t>] a los ambientes de aislamiento”. Se lo clasificó como “paciente con COVID-19 leve”</w:t>
      </w:r>
      <w:r w:rsidR="00293E84">
        <w:rPr>
          <w:rFonts w:ascii="Verdana" w:hAnsi="Verdana"/>
          <w:spacing w:val="-4"/>
          <w:sz w:val="20"/>
          <w:szCs w:val="20"/>
          <w:lang w:val="es-CR"/>
        </w:rPr>
        <w:t>,</w:t>
      </w:r>
      <w:r w:rsidR="001E118F">
        <w:rPr>
          <w:rFonts w:ascii="Verdana" w:hAnsi="Verdana"/>
          <w:spacing w:val="-4"/>
          <w:sz w:val="20"/>
          <w:szCs w:val="20"/>
          <w:lang w:val="es-CR"/>
        </w:rPr>
        <w:t xml:space="preserve"> </w:t>
      </w:r>
      <w:r w:rsidRPr="00395069">
        <w:rPr>
          <w:rFonts w:ascii="Verdana" w:hAnsi="Verdana"/>
          <w:spacing w:val="-4"/>
          <w:sz w:val="20"/>
          <w:szCs w:val="20"/>
          <w:lang w:val="es-CR"/>
        </w:rPr>
        <w:t>se dejó constancia que “</w:t>
      </w:r>
      <w:proofErr w:type="spellStart"/>
      <w:r w:rsidRPr="00395069">
        <w:rPr>
          <w:rFonts w:ascii="Verdana" w:hAnsi="Verdana"/>
          <w:spacing w:val="-4"/>
          <w:sz w:val="20"/>
          <w:szCs w:val="20"/>
          <w:lang w:val="es-CR"/>
        </w:rPr>
        <w:t>ref</w:t>
      </w:r>
      <w:proofErr w:type="spellEnd"/>
      <w:r w:rsidRPr="00395069">
        <w:rPr>
          <w:rFonts w:ascii="Verdana" w:hAnsi="Verdana"/>
          <w:spacing w:val="-4"/>
          <w:sz w:val="20"/>
          <w:szCs w:val="20"/>
          <w:lang w:val="es-CR"/>
        </w:rPr>
        <w:t xml:space="preserve">[ería] encontrarse bien, se </w:t>
      </w:r>
      <w:proofErr w:type="spellStart"/>
      <w:r w:rsidRPr="00395069">
        <w:rPr>
          <w:rFonts w:ascii="Verdana" w:hAnsi="Verdana"/>
          <w:spacing w:val="-4"/>
          <w:sz w:val="20"/>
          <w:szCs w:val="20"/>
          <w:lang w:val="es-CR"/>
        </w:rPr>
        <w:t>enc</w:t>
      </w:r>
      <w:proofErr w:type="spellEnd"/>
      <w:r w:rsidRPr="00395069">
        <w:rPr>
          <w:rFonts w:ascii="Verdana" w:hAnsi="Verdana"/>
          <w:spacing w:val="-4"/>
          <w:sz w:val="20"/>
          <w:szCs w:val="20"/>
          <w:lang w:val="es-CR"/>
        </w:rPr>
        <w:t>[</w:t>
      </w:r>
      <w:proofErr w:type="spellStart"/>
      <w:r w:rsidRPr="00395069">
        <w:rPr>
          <w:rFonts w:ascii="Verdana" w:hAnsi="Verdana"/>
          <w:spacing w:val="-4"/>
          <w:sz w:val="20"/>
          <w:szCs w:val="20"/>
          <w:lang w:val="es-CR"/>
        </w:rPr>
        <w:t>ontraba</w:t>
      </w:r>
      <w:proofErr w:type="spellEnd"/>
      <w:r w:rsidRPr="00395069">
        <w:rPr>
          <w:rFonts w:ascii="Verdana" w:hAnsi="Verdana"/>
          <w:spacing w:val="-4"/>
          <w:sz w:val="20"/>
          <w:szCs w:val="20"/>
          <w:lang w:val="es-CR"/>
        </w:rPr>
        <w:t>] lúcido [y] deambula[</w:t>
      </w:r>
      <w:proofErr w:type="spellStart"/>
      <w:r w:rsidRPr="00395069">
        <w:rPr>
          <w:rFonts w:ascii="Verdana" w:hAnsi="Verdana"/>
          <w:spacing w:val="-4"/>
          <w:sz w:val="20"/>
          <w:szCs w:val="20"/>
          <w:lang w:val="es-CR"/>
        </w:rPr>
        <w:t>ba</w:t>
      </w:r>
      <w:proofErr w:type="spellEnd"/>
      <w:r w:rsidRPr="00395069">
        <w:rPr>
          <w:rFonts w:ascii="Verdana" w:hAnsi="Verdana"/>
          <w:spacing w:val="-4"/>
          <w:sz w:val="20"/>
          <w:szCs w:val="20"/>
          <w:lang w:val="es-CR"/>
        </w:rPr>
        <w:t>] sin dificultad”</w:t>
      </w:r>
      <w:r w:rsidR="00293E84">
        <w:rPr>
          <w:rFonts w:ascii="Verdana" w:hAnsi="Verdana"/>
          <w:spacing w:val="-4"/>
          <w:sz w:val="20"/>
          <w:szCs w:val="20"/>
          <w:lang w:val="es-CR"/>
        </w:rPr>
        <w:t xml:space="preserve"> y se le indicó tratamiento</w:t>
      </w:r>
      <w:r w:rsidR="00293E84">
        <w:rPr>
          <w:rStyle w:val="Refdenotaalpie"/>
          <w:spacing w:val="-4"/>
          <w:szCs w:val="20"/>
          <w:lang w:val="es-CR"/>
        </w:rPr>
        <w:footnoteReference w:id="21"/>
      </w:r>
      <w:r w:rsidRPr="00395069">
        <w:rPr>
          <w:rFonts w:ascii="Verdana" w:hAnsi="Verdana"/>
          <w:spacing w:val="-4"/>
          <w:sz w:val="20"/>
          <w:szCs w:val="20"/>
          <w:lang w:val="es-CR"/>
        </w:rPr>
        <w:t>.</w:t>
      </w:r>
    </w:p>
    <w:p w14:paraId="546B1C7C" w14:textId="1DBEC7EB" w:rsidR="00640948" w:rsidRPr="00395069" w:rsidRDefault="00640948" w:rsidP="00BF0D03">
      <w:pPr>
        <w:numPr>
          <w:ilvl w:val="0"/>
          <w:numId w:val="16"/>
        </w:numPr>
        <w:autoSpaceDE w:val="0"/>
        <w:autoSpaceDN w:val="0"/>
        <w:adjustRightInd w:val="0"/>
        <w:spacing w:before="120" w:after="120"/>
        <w:jc w:val="both"/>
        <w:rPr>
          <w:rFonts w:ascii="Verdana" w:eastAsiaTheme="minorHAnsi" w:hAnsi="Verdana" w:cs="Arial"/>
          <w:b/>
          <w:bCs/>
          <w:spacing w:val="-4"/>
          <w:sz w:val="20"/>
          <w:szCs w:val="20"/>
          <w:lang w:val="es-AR"/>
        </w:rPr>
      </w:pPr>
      <w:r w:rsidRPr="00395069">
        <w:rPr>
          <w:rFonts w:ascii="Verdana" w:eastAsiaTheme="minorHAnsi" w:hAnsi="Verdana" w:cs="Arial"/>
          <w:bCs/>
          <w:i/>
          <w:spacing w:val="-4"/>
          <w:sz w:val="20"/>
          <w:szCs w:val="20"/>
          <w:lang w:val="es-AR"/>
        </w:rPr>
        <w:t>Margot Lourdes Liendo Gil</w:t>
      </w:r>
      <w:r w:rsidRPr="00395069">
        <w:rPr>
          <w:rFonts w:ascii="Verdana" w:eastAsiaTheme="minorHAnsi" w:hAnsi="Verdana" w:cs="Arial"/>
          <w:bCs/>
          <w:spacing w:val="-4"/>
          <w:sz w:val="20"/>
          <w:szCs w:val="20"/>
          <w:lang w:val="es-AR"/>
        </w:rPr>
        <w:t xml:space="preserve">: el servicio médico del Establecimiento Penitenciario de Chorrillos </w:t>
      </w:r>
      <w:r w:rsidR="009644AB">
        <w:rPr>
          <w:rFonts w:ascii="Verdana" w:eastAsiaTheme="minorHAnsi" w:hAnsi="Verdana" w:cs="Arial"/>
          <w:bCs/>
          <w:spacing w:val="-4"/>
          <w:sz w:val="20"/>
          <w:szCs w:val="20"/>
          <w:lang w:val="es-AR"/>
        </w:rPr>
        <w:t>le brindó</w:t>
      </w:r>
      <w:r w:rsidRPr="00395069">
        <w:rPr>
          <w:rFonts w:ascii="Verdana" w:eastAsiaTheme="minorHAnsi" w:hAnsi="Verdana" w:cs="Arial"/>
          <w:bCs/>
          <w:spacing w:val="-4"/>
          <w:sz w:val="20"/>
          <w:szCs w:val="20"/>
          <w:lang w:val="es-AR"/>
        </w:rPr>
        <w:t xml:space="preserve"> un diagnóstico y tratamiento médico, y continúa “</w:t>
      </w:r>
      <w:proofErr w:type="spellStart"/>
      <w:r w:rsidRPr="00395069">
        <w:rPr>
          <w:rFonts w:ascii="Verdana" w:eastAsiaTheme="minorHAnsi" w:hAnsi="Verdana" w:cs="Arial"/>
          <w:bCs/>
          <w:spacing w:val="-4"/>
          <w:sz w:val="20"/>
          <w:szCs w:val="20"/>
          <w:lang w:val="es-AR"/>
        </w:rPr>
        <w:t>conoc</w:t>
      </w:r>
      <w:proofErr w:type="spellEnd"/>
      <w:r w:rsidRPr="00395069">
        <w:rPr>
          <w:rFonts w:ascii="Verdana" w:eastAsiaTheme="minorHAnsi" w:hAnsi="Verdana" w:cs="Arial"/>
          <w:bCs/>
          <w:spacing w:val="-4"/>
          <w:sz w:val="20"/>
          <w:szCs w:val="20"/>
          <w:lang w:val="es-AR"/>
        </w:rPr>
        <w:t>[</w:t>
      </w:r>
      <w:proofErr w:type="spellStart"/>
      <w:r w:rsidRPr="00395069">
        <w:rPr>
          <w:rFonts w:ascii="Verdana" w:eastAsiaTheme="minorHAnsi" w:hAnsi="Verdana" w:cs="Arial"/>
          <w:bCs/>
          <w:spacing w:val="-4"/>
          <w:sz w:val="20"/>
          <w:szCs w:val="20"/>
          <w:lang w:val="es-AR"/>
        </w:rPr>
        <w:t>iendo</w:t>
      </w:r>
      <w:proofErr w:type="spellEnd"/>
      <w:r w:rsidR="00083922">
        <w:rPr>
          <w:rFonts w:ascii="Verdana" w:eastAsiaTheme="minorHAnsi" w:hAnsi="Verdana" w:cs="Arial"/>
          <w:bCs/>
          <w:spacing w:val="-4"/>
          <w:sz w:val="20"/>
          <w:szCs w:val="20"/>
          <w:lang w:val="es-AR"/>
        </w:rPr>
        <w:t>]</w:t>
      </w:r>
      <w:r w:rsidRPr="00395069">
        <w:rPr>
          <w:rFonts w:ascii="Verdana" w:eastAsiaTheme="minorHAnsi" w:hAnsi="Verdana" w:cs="Arial"/>
          <w:bCs/>
          <w:spacing w:val="-4"/>
          <w:sz w:val="20"/>
          <w:szCs w:val="20"/>
          <w:lang w:val="es-AR"/>
        </w:rPr>
        <w:t xml:space="preserve"> diariamente de su situación y […] haciendo seguimiento de su estado de salud”.</w:t>
      </w:r>
      <w:r w:rsidRPr="00083922">
        <w:rPr>
          <w:rFonts w:ascii="Verdana" w:eastAsiaTheme="minorHAnsi" w:hAnsi="Verdana" w:cs="Arial"/>
          <w:spacing w:val="-4"/>
          <w:sz w:val="20"/>
          <w:szCs w:val="20"/>
          <w:lang w:val="es-AR"/>
        </w:rPr>
        <w:t xml:space="preserve"> </w:t>
      </w:r>
      <w:r w:rsidR="009644AB">
        <w:rPr>
          <w:rFonts w:ascii="Verdana" w:eastAsiaTheme="minorHAnsi" w:hAnsi="Verdana" w:cs="Arial"/>
          <w:bCs/>
          <w:spacing w:val="-4"/>
          <w:sz w:val="20"/>
          <w:szCs w:val="20"/>
          <w:lang w:val="es-AR"/>
        </w:rPr>
        <w:t>El Estado a</w:t>
      </w:r>
      <w:r w:rsidR="009644AB" w:rsidRPr="00395069">
        <w:rPr>
          <w:rFonts w:ascii="Verdana" w:eastAsiaTheme="minorHAnsi" w:hAnsi="Verdana" w:cs="Arial"/>
          <w:bCs/>
          <w:spacing w:val="-4"/>
          <w:sz w:val="20"/>
          <w:szCs w:val="20"/>
          <w:lang w:val="es-AR"/>
        </w:rPr>
        <w:t xml:space="preserve">djuntó </w:t>
      </w:r>
      <w:r w:rsidRPr="00395069">
        <w:rPr>
          <w:rFonts w:ascii="Verdana" w:eastAsiaTheme="minorHAnsi" w:hAnsi="Verdana" w:cs="Arial"/>
          <w:bCs/>
          <w:spacing w:val="-4"/>
          <w:sz w:val="20"/>
          <w:szCs w:val="20"/>
          <w:lang w:val="es-AR"/>
        </w:rPr>
        <w:t>copia de los informes médicos que documentan los exámenes practicados a la señora Liendo Gil los días 28 de abril</w:t>
      </w:r>
      <w:r w:rsidRPr="00395069">
        <w:rPr>
          <w:rStyle w:val="Refdenotaalpie"/>
          <w:rFonts w:eastAsiaTheme="minorHAnsi" w:cs="Arial"/>
          <w:bCs/>
          <w:spacing w:val="-4"/>
          <w:sz w:val="20"/>
          <w:szCs w:val="20"/>
          <w:lang w:val="es-AR"/>
        </w:rPr>
        <w:footnoteReference w:id="22"/>
      </w:r>
      <w:r w:rsidRPr="00395069">
        <w:rPr>
          <w:rFonts w:ascii="Verdana" w:eastAsiaTheme="minorHAnsi" w:hAnsi="Verdana" w:cs="Arial"/>
          <w:bCs/>
          <w:spacing w:val="-4"/>
          <w:sz w:val="20"/>
          <w:szCs w:val="20"/>
          <w:lang w:val="es-AR"/>
        </w:rPr>
        <w:t xml:space="preserve"> y 26 de mayo de 2020</w:t>
      </w:r>
      <w:r w:rsidRPr="00395069">
        <w:rPr>
          <w:rStyle w:val="Refdenotaalpie"/>
          <w:rFonts w:eastAsiaTheme="minorHAnsi" w:cs="Arial"/>
          <w:bCs/>
          <w:spacing w:val="-4"/>
          <w:sz w:val="20"/>
          <w:szCs w:val="20"/>
          <w:lang w:val="es-AR"/>
        </w:rPr>
        <w:footnoteReference w:id="23"/>
      </w:r>
      <w:r w:rsidRPr="00395069">
        <w:rPr>
          <w:rFonts w:ascii="Verdana" w:eastAsiaTheme="minorHAnsi" w:hAnsi="Verdana" w:cs="Arial"/>
          <w:bCs/>
          <w:spacing w:val="-4"/>
          <w:sz w:val="20"/>
          <w:szCs w:val="20"/>
          <w:lang w:val="es-AR"/>
        </w:rPr>
        <w:t xml:space="preserve">. </w:t>
      </w:r>
      <w:r w:rsidR="009644AB">
        <w:rPr>
          <w:rFonts w:ascii="Verdana" w:eastAsiaTheme="minorHAnsi" w:hAnsi="Verdana" w:cs="Arial"/>
          <w:bCs/>
          <w:spacing w:val="-4"/>
          <w:sz w:val="20"/>
          <w:szCs w:val="20"/>
          <w:lang w:val="es-AR"/>
        </w:rPr>
        <w:t>R</w:t>
      </w:r>
      <w:r w:rsidRPr="00395069">
        <w:rPr>
          <w:rFonts w:ascii="Verdana" w:eastAsiaTheme="minorHAnsi" w:hAnsi="Verdana" w:cs="Arial"/>
          <w:bCs/>
          <w:spacing w:val="-4"/>
          <w:sz w:val="20"/>
          <w:szCs w:val="20"/>
          <w:lang w:val="es-AR"/>
        </w:rPr>
        <w:t>efirió que no se le practicó la prueba de COVID-19 en tanto “no presenta sintomatología”; no obstante, precisó que “se encuentra en un ambiente con baño personal y recibe tratamiento para sus actuales patologías</w:t>
      </w:r>
      <w:r w:rsidR="009644AB">
        <w:rPr>
          <w:rFonts w:ascii="Verdana" w:eastAsiaTheme="minorHAnsi" w:hAnsi="Verdana" w:cs="Arial"/>
          <w:bCs/>
          <w:spacing w:val="-4"/>
          <w:sz w:val="20"/>
          <w:szCs w:val="20"/>
          <w:lang w:val="es-AR"/>
        </w:rPr>
        <w:t>”</w:t>
      </w:r>
      <w:r w:rsidR="009644AB">
        <w:rPr>
          <w:rStyle w:val="Refdenotaalpie"/>
          <w:rFonts w:eastAsiaTheme="minorHAnsi" w:cs="Arial"/>
          <w:bCs/>
          <w:spacing w:val="-4"/>
          <w:szCs w:val="20"/>
          <w:lang w:val="es-AR"/>
        </w:rPr>
        <w:footnoteReference w:id="24"/>
      </w:r>
      <w:r w:rsidRPr="00395069">
        <w:rPr>
          <w:rFonts w:ascii="Verdana" w:eastAsiaTheme="minorHAnsi" w:hAnsi="Verdana" w:cs="Arial"/>
          <w:bCs/>
          <w:spacing w:val="-4"/>
          <w:sz w:val="20"/>
          <w:szCs w:val="20"/>
          <w:lang w:val="es-AR"/>
        </w:rPr>
        <w:t xml:space="preserve"> y que “se le proporciona atención permanente</w:t>
      </w:r>
      <w:r w:rsidR="009644AB">
        <w:rPr>
          <w:rFonts w:ascii="Verdana" w:eastAsiaTheme="minorHAnsi" w:hAnsi="Verdana" w:cs="Arial"/>
          <w:bCs/>
          <w:spacing w:val="-4"/>
          <w:sz w:val="20"/>
          <w:szCs w:val="20"/>
          <w:lang w:val="es-AR"/>
        </w:rPr>
        <w:t>”.</w:t>
      </w:r>
      <w:r w:rsidRPr="00395069">
        <w:rPr>
          <w:rFonts w:ascii="Verdana" w:eastAsiaTheme="minorHAnsi" w:hAnsi="Verdana" w:cs="Arial"/>
          <w:bCs/>
          <w:spacing w:val="-4"/>
          <w:sz w:val="20"/>
          <w:szCs w:val="20"/>
          <w:lang w:val="es-AR"/>
        </w:rPr>
        <w:t xml:space="preserve"> Finalmente, refirió que, según el informe médico más reciente, de 26 de mayo de 2020, “se encuentra </w:t>
      </w:r>
      <w:proofErr w:type="spellStart"/>
      <w:r w:rsidRPr="00395069">
        <w:rPr>
          <w:rFonts w:ascii="Verdana" w:eastAsiaTheme="minorHAnsi" w:hAnsi="Verdana" w:cs="Arial"/>
          <w:bCs/>
          <w:spacing w:val="-4"/>
          <w:sz w:val="20"/>
          <w:szCs w:val="20"/>
          <w:lang w:val="es-AR"/>
        </w:rPr>
        <w:t>hemodinámicamente</w:t>
      </w:r>
      <w:proofErr w:type="spellEnd"/>
      <w:r w:rsidRPr="00395069">
        <w:rPr>
          <w:rFonts w:ascii="Verdana" w:eastAsiaTheme="minorHAnsi" w:hAnsi="Verdana" w:cs="Arial"/>
          <w:bCs/>
          <w:spacing w:val="-4"/>
          <w:sz w:val="20"/>
          <w:szCs w:val="20"/>
          <w:lang w:val="es-AR"/>
        </w:rPr>
        <w:t xml:space="preserve"> estable”, añadien</w:t>
      </w:r>
      <w:r w:rsidR="009644AB">
        <w:rPr>
          <w:rFonts w:ascii="Verdana" w:eastAsiaTheme="minorHAnsi" w:hAnsi="Verdana" w:cs="Arial"/>
          <w:bCs/>
          <w:spacing w:val="-4"/>
          <w:sz w:val="20"/>
          <w:szCs w:val="20"/>
          <w:lang w:val="es-AR"/>
        </w:rPr>
        <w:t>d</w:t>
      </w:r>
      <w:r w:rsidRPr="00395069">
        <w:rPr>
          <w:rFonts w:ascii="Verdana" w:eastAsiaTheme="minorHAnsi" w:hAnsi="Verdana" w:cs="Arial"/>
          <w:bCs/>
          <w:spacing w:val="-4"/>
          <w:sz w:val="20"/>
          <w:szCs w:val="20"/>
          <w:lang w:val="es-AR"/>
        </w:rPr>
        <w:t>o que “en caso</w:t>
      </w:r>
      <w:r w:rsidR="00204121">
        <w:rPr>
          <w:rFonts w:ascii="Verdana" w:eastAsiaTheme="minorHAnsi" w:hAnsi="Verdana" w:cs="Arial"/>
          <w:bCs/>
          <w:spacing w:val="-4"/>
          <w:sz w:val="20"/>
          <w:szCs w:val="20"/>
          <w:lang w:val="es-AR"/>
        </w:rPr>
        <w:t xml:space="preserve"> [de que]</w:t>
      </w:r>
      <w:r w:rsidRPr="00395069">
        <w:rPr>
          <w:rFonts w:ascii="Verdana" w:eastAsiaTheme="minorHAnsi" w:hAnsi="Verdana" w:cs="Arial"/>
          <w:bCs/>
          <w:spacing w:val="-4"/>
          <w:sz w:val="20"/>
          <w:szCs w:val="20"/>
          <w:lang w:val="es-AR"/>
        </w:rPr>
        <w:t xml:space="preserve"> la interna llegara a contraer la citada enfermedad, se cuenta con tratamiento y áreas de aislamiento”. </w:t>
      </w:r>
    </w:p>
    <w:p w14:paraId="2C309173" w14:textId="7ACD13A5" w:rsidR="00640948" w:rsidRPr="00395069" w:rsidRDefault="00640948" w:rsidP="00BF0D03">
      <w:pPr>
        <w:numPr>
          <w:ilvl w:val="0"/>
          <w:numId w:val="16"/>
        </w:numPr>
        <w:autoSpaceDE w:val="0"/>
        <w:autoSpaceDN w:val="0"/>
        <w:adjustRightInd w:val="0"/>
        <w:spacing w:before="120" w:after="120"/>
        <w:jc w:val="both"/>
        <w:rPr>
          <w:rFonts w:ascii="Verdana" w:eastAsiaTheme="minorHAnsi" w:hAnsi="Verdana" w:cs="Arial"/>
          <w:b/>
          <w:bCs/>
          <w:spacing w:val="-4"/>
          <w:sz w:val="20"/>
          <w:szCs w:val="20"/>
          <w:lang w:val="es-AR"/>
        </w:rPr>
      </w:pPr>
      <w:r w:rsidRPr="00395069">
        <w:rPr>
          <w:rFonts w:ascii="Verdana" w:eastAsiaTheme="minorHAnsi" w:hAnsi="Verdana" w:cs="Arial"/>
          <w:i/>
          <w:spacing w:val="-4"/>
          <w:sz w:val="20"/>
          <w:szCs w:val="20"/>
          <w:lang w:val="es-AR"/>
        </w:rPr>
        <w:t>Juan Alonso Aranda Company</w:t>
      </w:r>
      <w:r w:rsidR="00D77F5C">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 xml:space="preserve"> recibió </w:t>
      </w:r>
      <w:r w:rsidR="00D77F5C">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atenciones en salud</w:t>
      </w:r>
      <w:r w:rsidR="00E82DB0">
        <w:rPr>
          <w:rFonts w:ascii="Verdana" w:eastAsiaTheme="minorHAnsi" w:hAnsi="Verdana" w:cs="Arial"/>
          <w:spacing w:val="-4"/>
          <w:sz w:val="20"/>
          <w:szCs w:val="20"/>
          <w:lang w:val="es-AR"/>
        </w:rPr>
        <w:t xml:space="preserve">” </w:t>
      </w:r>
      <w:r w:rsidR="00723F79">
        <w:rPr>
          <w:rFonts w:ascii="Verdana" w:eastAsiaTheme="minorHAnsi" w:hAnsi="Verdana" w:cs="Arial"/>
          <w:spacing w:val="-4"/>
          <w:sz w:val="20"/>
          <w:szCs w:val="20"/>
          <w:lang w:val="es-AR"/>
        </w:rPr>
        <w:t xml:space="preserve">y </w:t>
      </w:r>
      <w:r w:rsidR="00E82DB0">
        <w:rPr>
          <w:rFonts w:ascii="Verdana" w:eastAsiaTheme="minorHAnsi" w:hAnsi="Verdana" w:cs="Arial"/>
          <w:spacing w:val="-4"/>
          <w:sz w:val="20"/>
          <w:szCs w:val="20"/>
          <w:lang w:val="es-AR"/>
        </w:rPr>
        <w:t>tras</w:t>
      </w:r>
      <w:r w:rsidRPr="00395069">
        <w:rPr>
          <w:rFonts w:ascii="Verdana" w:eastAsiaTheme="minorHAnsi" w:hAnsi="Verdana" w:cs="Arial"/>
          <w:spacing w:val="-4"/>
          <w:sz w:val="20"/>
          <w:szCs w:val="20"/>
          <w:lang w:val="es-AR"/>
        </w:rPr>
        <w:t xml:space="preserve"> </w:t>
      </w:r>
      <w:r w:rsidR="00E82DB0">
        <w:rPr>
          <w:rFonts w:ascii="Verdana" w:eastAsiaTheme="minorHAnsi" w:hAnsi="Verdana" w:cs="Arial"/>
          <w:spacing w:val="-4"/>
          <w:sz w:val="20"/>
          <w:szCs w:val="20"/>
          <w:lang w:val="es-AR"/>
        </w:rPr>
        <w:t>“</w:t>
      </w:r>
      <w:proofErr w:type="spellStart"/>
      <w:r w:rsidRPr="00395069">
        <w:rPr>
          <w:rFonts w:ascii="Verdana" w:eastAsiaTheme="minorHAnsi" w:hAnsi="Verdana" w:cs="Arial"/>
          <w:spacing w:val="-4"/>
          <w:sz w:val="20"/>
          <w:szCs w:val="20"/>
          <w:lang w:val="es-AR"/>
        </w:rPr>
        <w:t>present</w:t>
      </w:r>
      <w:proofErr w:type="spellEnd"/>
      <w:r w:rsidRPr="00395069">
        <w:rPr>
          <w:rFonts w:ascii="Verdana" w:eastAsiaTheme="minorHAnsi" w:hAnsi="Verdana" w:cs="Arial"/>
          <w:spacing w:val="-4"/>
          <w:sz w:val="20"/>
          <w:szCs w:val="20"/>
          <w:lang w:val="es-AR"/>
        </w:rPr>
        <w:t>[</w:t>
      </w:r>
      <w:r w:rsidR="00E82DB0">
        <w:rPr>
          <w:rFonts w:ascii="Verdana" w:eastAsiaTheme="minorHAnsi" w:hAnsi="Verdana" w:cs="Arial"/>
          <w:spacing w:val="-4"/>
          <w:sz w:val="20"/>
          <w:szCs w:val="20"/>
          <w:lang w:val="es-AR"/>
        </w:rPr>
        <w:t>ar</w:t>
      </w:r>
      <w:r w:rsidRPr="00395069">
        <w:rPr>
          <w:rFonts w:ascii="Verdana" w:eastAsiaTheme="minorHAnsi" w:hAnsi="Verdana" w:cs="Arial"/>
          <w:spacing w:val="-4"/>
          <w:sz w:val="20"/>
          <w:szCs w:val="20"/>
          <w:lang w:val="es-AR"/>
        </w:rPr>
        <w:t>] sintomatología</w:t>
      </w:r>
      <w:r w:rsidR="00E82DB0">
        <w:rPr>
          <w:rFonts w:ascii="Verdana" w:eastAsiaTheme="minorHAnsi" w:hAnsi="Verdana" w:cs="Arial"/>
          <w:spacing w:val="-4"/>
          <w:sz w:val="20"/>
          <w:szCs w:val="20"/>
          <w:lang w:val="es-AR"/>
        </w:rPr>
        <w:t>”, el 2 de junio</w:t>
      </w:r>
      <w:r w:rsidRPr="00395069">
        <w:rPr>
          <w:rFonts w:ascii="Verdana" w:eastAsiaTheme="minorHAnsi" w:hAnsi="Verdana" w:cs="Arial"/>
          <w:spacing w:val="-4"/>
          <w:sz w:val="20"/>
          <w:szCs w:val="20"/>
          <w:lang w:val="es-AR"/>
        </w:rPr>
        <w:t xml:space="preserve"> se l</w:t>
      </w:r>
      <w:r w:rsidR="00AC0066">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e] practicó una prueba” de descarte de COVID-19</w:t>
      </w:r>
      <w:r w:rsidR="00E82DB0">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 xml:space="preserve"> </w:t>
      </w:r>
      <w:r w:rsidR="00E82DB0" w:rsidRPr="00395069">
        <w:rPr>
          <w:rFonts w:ascii="Verdana" w:eastAsiaTheme="minorHAnsi" w:hAnsi="Verdana" w:cs="Arial"/>
          <w:spacing w:val="-4"/>
          <w:sz w:val="20"/>
          <w:szCs w:val="20"/>
          <w:lang w:val="es-AR"/>
        </w:rPr>
        <w:t>la cual arrojó resultado “no reactivo”</w:t>
      </w:r>
      <w:r w:rsidR="00E82DB0" w:rsidRPr="00E82DB0">
        <w:rPr>
          <w:rStyle w:val="Refdenotaalpie"/>
          <w:rFonts w:eastAsiaTheme="minorHAnsi" w:cs="Arial"/>
          <w:spacing w:val="-4"/>
          <w:sz w:val="20"/>
          <w:szCs w:val="20"/>
          <w:lang w:val="es-AR"/>
        </w:rPr>
        <w:t xml:space="preserve"> </w:t>
      </w:r>
      <w:r w:rsidR="00E82DB0" w:rsidRPr="00395069">
        <w:rPr>
          <w:rStyle w:val="Refdenotaalpie"/>
          <w:rFonts w:eastAsiaTheme="minorHAnsi" w:cs="Arial"/>
          <w:spacing w:val="-4"/>
          <w:sz w:val="20"/>
          <w:szCs w:val="20"/>
          <w:lang w:val="es-AR"/>
        </w:rPr>
        <w:footnoteReference w:id="25"/>
      </w:r>
      <w:r w:rsidR="00E82DB0" w:rsidRPr="00395069">
        <w:rPr>
          <w:rFonts w:ascii="Verdana" w:eastAsiaTheme="minorHAnsi" w:hAnsi="Verdana" w:cs="Arial"/>
          <w:spacing w:val="-4"/>
          <w:sz w:val="20"/>
          <w:szCs w:val="20"/>
          <w:lang w:val="es-AR"/>
        </w:rPr>
        <w:t xml:space="preserve">. </w:t>
      </w:r>
      <w:r w:rsidRPr="00395069">
        <w:rPr>
          <w:rFonts w:ascii="Verdana" w:eastAsiaTheme="minorHAnsi" w:hAnsi="Verdana" w:cs="Arial"/>
          <w:spacing w:val="-4"/>
          <w:sz w:val="20"/>
          <w:szCs w:val="20"/>
          <w:lang w:val="es-AR"/>
        </w:rPr>
        <w:t xml:space="preserve">Adjuntó copia del informe </w:t>
      </w:r>
      <w:r w:rsidRPr="00395069">
        <w:rPr>
          <w:rFonts w:ascii="Verdana" w:eastAsiaTheme="minorHAnsi" w:hAnsi="Verdana" w:cs="Arial"/>
          <w:spacing w:val="-4"/>
          <w:sz w:val="20"/>
          <w:szCs w:val="20"/>
          <w:lang w:val="es-AR"/>
        </w:rPr>
        <w:lastRenderedPageBreak/>
        <w:t>médico que documenta el examen médico practicado el 1 de junio</w:t>
      </w:r>
      <w:r w:rsidRPr="00395069">
        <w:rPr>
          <w:rStyle w:val="Refdenotaalpie"/>
          <w:rFonts w:eastAsiaTheme="minorHAnsi" w:cs="Arial"/>
          <w:spacing w:val="-4"/>
          <w:sz w:val="20"/>
          <w:szCs w:val="20"/>
          <w:lang w:val="es-AR"/>
        </w:rPr>
        <w:footnoteReference w:id="26"/>
      </w:r>
      <w:r w:rsidRPr="00395069">
        <w:rPr>
          <w:rFonts w:ascii="Verdana" w:eastAsiaTheme="minorHAnsi" w:hAnsi="Verdana" w:cs="Arial"/>
          <w:spacing w:val="-4"/>
          <w:sz w:val="20"/>
          <w:szCs w:val="20"/>
          <w:lang w:val="es-AR"/>
        </w:rPr>
        <w:t xml:space="preserve">, del cual surge que estaba “estable </w:t>
      </w:r>
      <w:proofErr w:type="spellStart"/>
      <w:r w:rsidRPr="00395069">
        <w:rPr>
          <w:rFonts w:ascii="Verdana" w:eastAsiaTheme="minorHAnsi" w:hAnsi="Verdana" w:cs="Arial"/>
          <w:spacing w:val="-4"/>
          <w:sz w:val="20"/>
          <w:szCs w:val="20"/>
          <w:lang w:val="es-AR"/>
        </w:rPr>
        <w:t>hemodinámicamente</w:t>
      </w:r>
      <w:proofErr w:type="spellEnd"/>
      <w:r w:rsidRPr="00395069">
        <w:rPr>
          <w:rFonts w:ascii="Verdana" w:eastAsiaTheme="minorHAnsi" w:hAnsi="Verdana" w:cs="Arial"/>
          <w:spacing w:val="-4"/>
          <w:sz w:val="20"/>
          <w:szCs w:val="20"/>
          <w:lang w:val="es-AR"/>
        </w:rPr>
        <w:t>” y se le diagnosticó “asma bronquial, hipertensión arterial</w:t>
      </w:r>
      <w:r w:rsidR="0025030D">
        <w:rPr>
          <w:rFonts w:ascii="Verdana" w:eastAsiaTheme="minorHAnsi" w:hAnsi="Verdana" w:cs="Arial"/>
          <w:spacing w:val="-4"/>
          <w:sz w:val="20"/>
          <w:szCs w:val="20"/>
          <w:lang w:val="es-AR"/>
        </w:rPr>
        <w:t xml:space="preserve"> [y]</w:t>
      </w:r>
      <w:r w:rsidRPr="00395069">
        <w:rPr>
          <w:rFonts w:ascii="Verdana" w:eastAsiaTheme="minorHAnsi" w:hAnsi="Verdana" w:cs="Arial"/>
          <w:spacing w:val="-4"/>
          <w:sz w:val="20"/>
          <w:szCs w:val="20"/>
          <w:lang w:val="es-AR"/>
        </w:rPr>
        <w:t xml:space="preserve"> </w:t>
      </w:r>
      <w:proofErr w:type="spellStart"/>
      <w:r w:rsidRPr="00395069">
        <w:rPr>
          <w:rFonts w:ascii="Verdana" w:eastAsiaTheme="minorHAnsi" w:hAnsi="Verdana" w:cs="Arial"/>
          <w:spacing w:val="-4"/>
          <w:sz w:val="20"/>
          <w:szCs w:val="20"/>
          <w:lang w:val="es-AR"/>
        </w:rPr>
        <w:t>esenmcial</w:t>
      </w:r>
      <w:proofErr w:type="spellEnd"/>
      <w:r w:rsidRPr="00395069">
        <w:rPr>
          <w:rFonts w:ascii="Verdana" w:eastAsiaTheme="minorHAnsi" w:hAnsi="Verdana" w:cs="Arial"/>
          <w:spacing w:val="-4"/>
          <w:sz w:val="20"/>
          <w:szCs w:val="20"/>
          <w:lang w:val="es-AR"/>
        </w:rPr>
        <w:t xml:space="preserve"> (</w:t>
      </w:r>
      <w:r w:rsidRPr="00395069">
        <w:rPr>
          <w:rFonts w:ascii="Verdana" w:eastAsiaTheme="minorHAnsi" w:hAnsi="Verdana" w:cs="Arial"/>
          <w:i/>
          <w:spacing w:val="-4"/>
          <w:sz w:val="20"/>
          <w:szCs w:val="20"/>
          <w:lang w:val="es-AR"/>
        </w:rPr>
        <w:t>sic</w:t>
      </w:r>
      <w:r w:rsidRPr="00395069">
        <w:rPr>
          <w:rFonts w:ascii="Verdana" w:eastAsiaTheme="minorHAnsi" w:hAnsi="Verdana" w:cs="Arial"/>
          <w:spacing w:val="-4"/>
          <w:sz w:val="20"/>
          <w:szCs w:val="20"/>
          <w:lang w:val="es-AR"/>
        </w:rPr>
        <w:t xml:space="preserve">)”. </w:t>
      </w:r>
    </w:p>
    <w:p w14:paraId="5E48AF6F" w14:textId="0F3D27E6" w:rsidR="00640948" w:rsidRPr="00395069" w:rsidRDefault="00640948" w:rsidP="00BF0D03">
      <w:pPr>
        <w:numPr>
          <w:ilvl w:val="0"/>
          <w:numId w:val="16"/>
        </w:numPr>
        <w:autoSpaceDE w:val="0"/>
        <w:autoSpaceDN w:val="0"/>
        <w:adjustRightInd w:val="0"/>
        <w:spacing w:before="120" w:after="120"/>
        <w:jc w:val="both"/>
        <w:rPr>
          <w:rFonts w:ascii="Verdana" w:eastAsiaTheme="minorHAnsi" w:hAnsi="Verdana" w:cs="Arial"/>
          <w:b/>
          <w:bCs/>
          <w:spacing w:val="-4"/>
          <w:sz w:val="20"/>
          <w:szCs w:val="20"/>
          <w:lang w:val="es-AR"/>
        </w:rPr>
      </w:pPr>
      <w:r w:rsidRPr="00395069">
        <w:rPr>
          <w:rFonts w:ascii="Verdana" w:eastAsiaTheme="minorHAnsi" w:hAnsi="Verdana" w:cs="Verdana"/>
          <w:i/>
          <w:color w:val="000000"/>
          <w:spacing w:val="-4"/>
          <w:sz w:val="20"/>
          <w:szCs w:val="20"/>
          <w:lang w:val="es-CR"/>
        </w:rPr>
        <w:t>Arturo Chumpitaz Aguirre</w:t>
      </w:r>
      <w:r w:rsidRPr="00395069">
        <w:rPr>
          <w:rFonts w:ascii="Verdana" w:eastAsiaTheme="minorHAnsi" w:hAnsi="Verdana" w:cs="Verdana"/>
          <w:color w:val="000000"/>
          <w:spacing w:val="-4"/>
          <w:sz w:val="20"/>
          <w:szCs w:val="20"/>
          <w:lang w:val="es-CR"/>
        </w:rPr>
        <w:t xml:space="preserve">: </w:t>
      </w:r>
      <w:r w:rsidRPr="00395069">
        <w:rPr>
          <w:rFonts w:ascii="Verdana" w:eastAsiaTheme="minorHAnsi" w:hAnsi="Verdana" w:cs="Arial"/>
          <w:spacing w:val="-4"/>
          <w:sz w:val="20"/>
          <w:szCs w:val="20"/>
          <w:lang w:val="es-AR"/>
        </w:rPr>
        <w:t xml:space="preserve">recibió </w:t>
      </w:r>
      <w:r w:rsidR="00723F79">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atenciones en salud</w:t>
      </w:r>
      <w:r w:rsidR="00723F79">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 xml:space="preserve"> y </w:t>
      </w:r>
      <w:r w:rsidR="00723F79">
        <w:rPr>
          <w:rFonts w:ascii="Verdana" w:eastAsiaTheme="minorHAnsi" w:hAnsi="Verdana" w:cs="Arial"/>
          <w:spacing w:val="-4"/>
          <w:sz w:val="20"/>
          <w:szCs w:val="20"/>
          <w:lang w:val="es-AR"/>
        </w:rPr>
        <w:t>tras</w:t>
      </w:r>
      <w:r w:rsidR="00723F79" w:rsidRPr="00395069">
        <w:rPr>
          <w:rFonts w:ascii="Verdana" w:eastAsiaTheme="minorHAnsi" w:hAnsi="Verdana" w:cs="Arial"/>
          <w:spacing w:val="-4"/>
          <w:sz w:val="20"/>
          <w:szCs w:val="20"/>
          <w:lang w:val="es-AR"/>
        </w:rPr>
        <w:t xml:space="preserve"> </w:t>
      </w:r>
      <w:r w:rsidR="00723F79">
        <w:rPr>
          <w:rFonts w:ascii="Verdana" w:eastAsiaTheme="minorHAnsi" w:hAnsi="Verdana" w:cs="Arial"/>
          <w:spacing w:val="-4"/>
          <w:sz w:val="20"/>
          <w:szCs w:val="20"/>
          <w:lang w:val="es-AR"/>
        </w:rPr>
        <w:t>“</w:t>
      </w:r>
      <w:proofErr w:type="spellStart"/>
      <w:r w:rsidRPr="00395069">
        <w:rPr>
          <w:rFonts w:ascii="Verdana" w:eastAsiaTheme="minorHAnsi" w:hAnsi="Verdana" w:cs="Arial"/>
          <w:spacing w:val="-4"/>
          <w:sz w:val="20"/>
          <w:szCs w:val="20"/>
          <w:lang w:val="es-AR"/>
        </w:rPr>
        <w:t>present</w:t>
      </w:r>
      <w:proofErr w:type="spellEnd"/>
      <w:r w:rsidRPr="00395069">
        <w:rPr>
          <w:rFonts w:ascii="Verdana" w:eastAsiaTheme="minorHAnsi" w:hAnsi="Verdana" w:cs="Arial"/>
          <w:spacing w:val="-4"/>
          <w:sz w:val="20"/>
          <w:szCs w:val="20"/>
          <w:lang w:val="es-AR"/>
        </w:rPr>
        <w:t>[</w:t>
      </w:r>
      <w:r w:rsidR="00723F79">
        <w:rPr>
          <w:rFonts w:ascii="Verdana" w:eastAsiaTheme="minorHAnsi" w:hAnsi="Verdana" w:cs="Arial"/>
          <w:spacing w:val="-4"/>
          <w:sz w:val="20"/>
          <w:szCs w:val="20"/>
          <w:lang w:val="es-AR"/>
        </w:rPr>
        <w:t>ar</w:t>
      </w:r>
      <w:r w:rsidRPr="00395069">
        <w:rPr>
          <w:rFonts w:ascii="Verdana" w:eastAsiaTheme="minorHAnsi" w:hAnsi="Verdana" w:cs="Arial"/>
          <w:spacing w:val="-4"/>
          <w:sz w:val="20"/>
          <w:szCs w:val="20"/>
          <w:lang w:val="es-AR"/>
        </w:rPr>
        <w:t>] sintomatología</w:t>
      </w:r>
      <w:r w:rsidR="00723F79">
        <w:rPr>
          <w:rFonts w:ascii="Verdana" w:eastAsiaTheme="minorHAnsi" w:hAnsi="Verdana" w:cs="Arial"/>
          <w:spacing w:val="-4"/>
          <w:sz w:val="20"/>
          <w:szCs w:val="20"/>
          <w:lang w:val="es-AR"/>
        </w:rPr>
        <w:t>”, el 2 de junio</w:t>
      </w:r>
      <w:r w:rsidRPr="00395069">
        <w:rPr>
          <w:rFonts w:ascii="Verdana" w:eastAsiaTheme="minorHAnsi" w:hAnsi="Verdana" w:cs="Arial"/>
          <w:spacing w:val="-4"/>
          <w:sz w:val="20"/>
          <w:szCs w:val="20"/>
          <w:lang w:val="es-AR"/>
        </w:rPr>
        <w:t xml:space="preserve"> se le practicó una prueba de descarte de COVID-19</w:t>
      </w:r>
      <w:r w:rsidR="00723F79">
        <w:rPr>
          <w:rFonts w:ascii="Verdana" w:eastAsiaTheme="minorHAnsi" w:hAnsi="Verdana" w:cs="Arial"/>
          <w:spacing w:val="-4"/>
          <w:sz w:val="20"/>
          <w:szCs w:val="20"/>
          <w:lang w:val="es-AR"/>
        </w:rPr>
        <w:t xml:space="preserve">, </w:t>
      </w:r>
      <w:r w:rsidR="00723F79" w:rsidRPr="00395069">
        <w:rPr>
          <w:rFonts w:ascii="Verdana" w:eastAsiaTheme="minorHAnsi" w:hAnsi="Verdana" w:cs="Arial"/>
          <w:spacing w:val="-4"/>
          <w:sz w:val="20"/>
          <w:szCs w:val="20"/>
          <w:lang w:val="es-AR"/>
        </w:rPr>
        <w:t>la cual arrojó resultado “no reactivo”</w:t>
      </w:r>
      <w:r w:rsidR="00723F79" w:rsidRPr="00723F79">
        <w:rPr>
          <w:rStyle w:val="Refdenotaalpie"/>
          <w:rFonts w:eastAsiaTheme="minorHAnsi" w:cs="Arial"/>
          <w:spacing w:val="-4"/>
          <w:sz w:val="20"/>
          <w:szCs w:val="20"/>
          <w:lang w:val="es-AR"/>
        </w:rPr>
        <w:t xml:space="preserve"> </w:t>
      </w:r>
      <w:r w:rsidR="00723F79" w:rsidRPr="00395069">
        <w:rPr>
          <w:rStyle w:val="Refdenotaalpie"/>
          <w:rFonts w:eastAsiaTheme="minorHAnsi" w:cs="Arial"/>
          <w:spacing w:val="-4"/>
          <w:sz w:val="20"/>
          <w:szCs w:val="20"/>
          <w:lang w:val="es-AR"/>
        </w:rPr>
        <w:footnoteReference w:id="27"/>
      </w:r>
      <w:r w:rsidR="00723F79" w:rsidRPr="00395069">
        <w:rPr>
          <w:rFonts w:ascii="Verdana" w:eastAsiaTheme="minorHAnsi" w:hAnsi="Verdana" w:cs="Arial"/>
          <w:spacing w:val="-4"/>
          <w:sz w:val="20"/>
          <w:szCs w:val="20"/>
          <w:lang w:val="es-AR"/>
        </w:rPr>
        <w:t>.</w:t>
      </w:r>
      <w:r w:rsidRPr="00395069">
        <w:rPr>
          <w:rFonts w:ascii="Verdana" w:eastAsiaTheme="minorHAnsi" w:hAnsi="Verdana" w:cs="Arial"/>
          <w:spacing w:val="-4"/>
          <w:sz w:val="20"/>
          <w:szCs w:val="20"/>
          <w:lang w:val="es-AR"/>
        </w:rPr>
        <w:t xml:space="preserve"> Adjuntó copia del informe médico que documenta el examen médico practicado el 1 de junio</w:t>
      </w:r>
      <w:r w:rsidRPr="00395069">
        <w:rPr>
          <w:rStyle w:val="Refdenotaalpie"/>
          <w:rFonts w:eastAsiaTheme="minorHAnsi" w:cs="Arial"/>
          <w:spacing w:val="-4"/>
          <w:sz w:val="20"/>
          <w:szCs w:val="20"/>
          <w:lang w:val="es-AR"/>
        </w:rPr>
        <w:footnoteReference w:id="28"/>
      </w:r>
      <w:r w:rsidRPr="00395069">
        <w:rPr>
          <w:rFonts w:ascii="Verdana" w:eastAsiaTheme="minorHAnsi" w:hAnsi="Verdana" w:cs="Arial"/>
          <w:spacing w:val="-4"/>
          <w:sz w:val="20"/>
          <w:szCs w:val="20"/>
          <w:lang w:val="es-AR"/>
        </w:rPr>
        <w:t xml:space="preserve">, del cual surge que estaba </w:t>
      </w:r>
      <w:r w:rsidRPr="00395069">
        <w:rPr>
          <w:rFonts w:ascii="Verdana" w:eastAsiaTheme="minorHAnsi" w:hAnsi="Verdana" w:cs="Verdana"/>
          <w:color w:val="000000"/>
          <w:spacing w:val="-4"/>
          <w:sz w:val="20"/>
          <w:szCs w:val="20"/>
          <w:lang w:val="es-CR"/>
        </w:rPr>
        <w:t xml:space="preserve">“estable dinámicamente y </w:t>
      </w:r>
      <w:proofErr w:type="spellStart"/>
      <w:r w:rsidRPr="00395069">
        <w:rPr>
          <w:rFonts w:ascii="Verdana" w:eastAsiaTheme="minorHAnsi" w:hAnsi="Verdana" w:cs="Verdana"/>
          <w:color w:val="000000"/>
          <w:spacing w:val="-4"/>
          <w:sz w:val="20"/>
          <w:szCs w:val="20"/>
          <w:lang w:val="es-CR"/>
        </w:rPr>
        <w:t>present</w:t>
      </w:r>
      <w:proofErr w:type="spellEnd"/>
      <w:r w:rsidRPr="00395069">
        <w:rPr>
          <w:rFonts w:ascii="Verdana" w:eastAsiaTheme="minorHAnsi" w:hAnsi="Verdana" w:cs="Verdana"/>
          <w:color w:val="000000"/>
          <w:spacing w:val="-4"/>
          <w:sz w:val="20"/>
          <w:szCs w:val="20"/>
          <w:lang w:val="es-CR"/>
        </w:rPr>
        <w:t xml:space="preserve">[aba] faringitis”. </w:t>
      </w:r>
    </w:p>
    <w:p w14:paraId="257F1A2E" w14:textId="0D413395" w:rsidR="00640948" w:rsidRPr="00395069" w:rsidRDefault="00640948" w:rsidP="00BF0D03">
      <w:pPr>
        <w:numPr>
          <w:ilvl w:val="0"/>
          <w:numId w:val="16"/>
        </w:numPr>
        <w:autoSpaceDE w:val="0"/>
        <w:autoSpaceDN w:val="0"/>
        <w:adjustRightInd w:val="0"/>
        <w:spacing w:before="120" w:after="120"/>
        <w:jc w:val="both"/>
        <w:rPr>
          <w:rFonts w:ascii="Verdana" w:eastAsiaTheme="minorHAnsi" w:hAnsi="Verdana" w:cs="Arial"/>
          <w:b/>
          <w:bCs/>
          <w:spacing w:val="-4"/>
          <w:sz w:val="20"/>
          <w:szCs w:val="20"/>
          <w:lang w:val="es-AR"/>
        </w:rPr>
      </w:pPr>
      <w:r w:rsidRPr="00395069">
        <w:rPr>
          <w:rFonts w:ascii="Verdana" w:eastAsiaTheme="minorHAnsi" w:hAnsi="Verdana" w:cs="Arial"/>
          <w:bCs/>
          <w:i/>
          <w:spacing w:val="-4"/>
          <w:sz w:val="20"/>
          <w:szCs w:val="20"/>
          <w:lang w:val="es-AR"/>
        </w:rPr>
        <w:t xml:space="preserve">Atilio Richard Cahuana </w:t>
      </w:r>
      <w:proofErr w:type="spellStart"/>
      <w:r w:rsidRPr="00395069">
        <w:rPr>
          <w:rFonts w:ascii="Verdana" w:eastAsiaTheme="minorHAnsi" w:hAnsi="Verdana" w:cs="Arial"/>
          <w:bCs/>
          <w:i/>
          <w:spacing w:val="-4"/>
          <w:sz w:val="20"/>
          <w:szCs w:val="20"/>
          <w:lang w:val="es-AR"/>
        </w:rPr>
        <w:t>Yuyali</w:t>
      </w:r>
      <w:proofErr w:type="spellEnd"/>
      <w:r w:rsidR="00C13878">
        <w:rPr>
          <w:rFonts w:ascii="Verdana" w:eastAsiaTheme="minorHAnsi" w:hAnsi="Verdana" w:cs="Arial"/>
          <w:bCs/>
          <w:spacing w:val="-4"/>
          <w:sz w:val="20"/>
          <w:szCs w:val="20"/>
          <w:lang w:val="es-AR"/>
        </w:rPr>
        <w:t>: s</w:t>
      </w:r>
      <w:r w:rsidRPr="00395069">
        <w:rPr>
          <w:rFonts w:ascii="Verdana" w:eastAsiaTheme="minorHAnsi" w:hAnsi="Verdana" w:cs="Arial"/>
          <w:bCs/>
          <w:spacing w:val="-4"/>
          <w:sz w:val="20"/>
          <w:szCs w:val="20"/>
          <w:lang w:val="es-AR"/>
        </w:rPr>
        <w:t xml:space="preserve">egún </w:t>
      </w:r>
      <w:r w:rsidR="00C13878">
        <w:rPr>
          <w:rFonts w:ascii="Verdana" w:eastAsiaTheme="minorHAnsi" w:hAnsi="Verdana" w:cs="Arial"/>
          <w:bCs/>
          <w:spacing w:val="-4"/>
          <w:sz w:val="20"/>
          <w:szCs w:val="20"/>
          <w:lang w:val="es-AR"/>
        </w:rPr>
        <w:t>un</w:t>
      </w:r>
      <w:r w:rsidRPr="00395069">
        <w:rPr>
          <w:rFonts w:ascii="Verdana" w:eastAsiaTheme="minorHAnsi" w:hAnsi="Verdana" w:cs="Arial"/>
          <w:bCs/>
          <w:spacing w:val="-4"/>
          <w:sz w:val="20"/>
          <w:szCs w:val="20"/>
          <w:lang w:val="es-AR"/>
        </w:rPr>
        <w:t xml:space="preserve"> informe médico de 5 de junio de 2020</w:t>
      </w:r>
      <w:r w:rsidRPr="00395069">
        <w:rPr>
          <w:rStyle w:val="Refdenotaalpie"/>
          <w:rFonts w:eastAsiaTheme="minorHAnsi" w:cs="Arial"/>
          <w:bCs/>
          <w:spacing w:val="-4"/>
          <w:szCs w:val="20"/>
          <w:lang w:val="es-AR"/>
        </w:rPr>
        <w:footnoteReference w:id="29"/>
      </w:r>
      <w:r w:rsidRPr="00395069">
        <w:rPr>
          <w:rFonts w:ascii="Verdana" w:eastAsiaTheme="minorHAnsi" w:hAnsi="Verdana" w:cs="Arial"/>
          <w:bCs/>
          <w:spacing w:val="-4"/>
          <w:sz w:val="20"/>
          <w:szCs w:val="20"/>
          <w:lang w:val="es-AR"/>
        </w:rPr>
        <w:t>, el 23 de abril recibió tratamiento</w:t>
      </w:r>
      <w:r w:rsidRPr="00395069">
        <w:rPr>
          <w:rStyle w:val="Refdenotaalpie"/>
          <w:rFonts w:eastAsiaTheme="minorHAnsi" w:cs="Arial"/>
          <w:bCs/>
          <w:spacing w:val="-4"/>
          <w:szCs w:val="20"/>
          <w:lang w:val="es-AR"/>
        </w:rPr>
        <w:footnoteReference w:id="30"/>
      </w:r>
      <w:r w:rsidRPr="00395069">
        <w:rPr>
          <w:rFonts w:ascii="Verdana" w:eastAsiaTheme="minorHAnsi" w:hAnsi="Verdana" w:cs="Arial"/>
          <w:bCs/>
          <w:spacing w:val="-4"/>
          <w:sz w:val="20"/>
          <w:szCs w:val="20"/>
          <w:lang w:val="es-AR"/>
        </w:rPr>
        <w:t xml:space="preserve"> por presentar tos. El 2 de mayo se encontraba “febril”, con “malestar general y SO2: 92</w:t>
      </w:r>
      <w:r w:rsidR="00354C79">
        <w:rPr>
          <w:rFonts w:ascii="Verdana" w:eastAsiaTheme="minorHAnsi" w:hAnsi="Verdana" w:cs="Arial"/>
          <w:bCs/>
          <w:spacing w:val="-4"/>
          <w:sz w:val="20"/>
          <w:szCs w:val="20"/>
          <w:lang w:val="es-AR"/>
        </w:rPr>
        <w:t>%</w:t>
      </w:r>
      <w:r w:rsidRPr="00395069">
        <w:rPr>
          <w:rFonts w:ascii="Verdana" w:eastAsiaTheme="minorHAnsi" w:hAnsi="Verdana" w:cs="Arial"/>
          <w:bCs/>
          <w:spacing w:val="-4"/>
          <w:sz w:val="20"/>
          <w:szCs w:val="20"/>
          <w:lang w:val="es-AR"/>
        </w:rPr>
        <w:t>”, por lo que se indicó su “aislamiento a descartar Covid-19” y se inició tratamiento</w:t>
      </w:r>
      <w:r w:rsidRPr="00395069">
        <w:rPr>
          <w:rStyle w:val="Refdenotaalpie"/>
          <w:rFonts w:eastAsiaTheme="minorHAnsi" w:cs="Arial"/>
          <w:bCs/>
          <w:spacing w:val="-4"/>
          <w:szCs w:val="20"/>
          <w:lang w:val="es-AR"/>
        </w:rPr>
        <w:footnoteReference w:id="31"/>
      </w:r>
      <w:r w:rsidRPr="00395069">
        <w:rPr>
          <w:rFonts w:ascii="Verdana" w:eastAsiaTheme="minorHAnsi" w:hAnsi="Verdana" w:cs="Arial"/>
          <w:bCs/>
          <w:spacing w:val="-4"/>
          <w:sz w:val="20"/>
          <w:szCs w:val="20"/>
          <w:lang w:val="es-AR"/>
        </w:rPr>
        <w:t xml:space="preserve">, siendo “controlado todos los días en su zona de aislamiento por los médicos </w:t>
      </w:r>
      <w:r w:rsidR="00083922">
        <w:rPr>
          <w:rFonts w:ascii="Verdana" w:eastAsiaTheme="minorHAnsi" w:hAnsi="Verdana" w:cs="Arial"/>
          <w:bCs/>
          <w:spacing w:val="-4"/>
          <w:sz w:val="20"/>
          <w:szCs w:val="20"/>
          <w:lang w:val="es-AR"/>
        </w:rPr>
        <w:t>[…]</w:t>
      </w:r>
      <w:r w:rsidRPr="00395069">
        <w:rPr>
          <w:rFonts w:ascii="Verdana" w:eastAsiaTheme="minorHAnsi" w:hAnsi="Verdana" w:cs="Arial"/>
          <w:bCs/>
          <w:spacing w:val="-4"/>
          <w:sz w:val="20"/>
          <w:szCs w:val="20"/>
          <w:lang w:val="es-AR"/>
        </w:rPr>
        <w:t xml:space="preserve"> y las enfermeras de guardia[,] mostrando[,] según los reportes médicos diarios</w:t>
      </w:r>
      <w:r w:rsidR="00354C79">
        <w:rPr>
          <w:rFonts w:ascii="Verdana" w:eastAsiaTheme="minorHAnsi" w:hAnsi="Verdana" w:cs="Arial"/>
          <w:bCs/>
          <w:spacing w:val="-4"/>
          <w:sz w:val="20"/>
          <w:szCs w:val="20"/>
          <w:lang w:val="es-AR"/>
        </w:rPr>
        <w:t>[,]</w:t>
      </w:r>
      <w:r w:rsidRPr="00395069">
        <w:rPr>
          <w:rFonts w:ascii="Verdana" w:eastAsiaTheme="minorHAnsi" w:hAnsi="Verdana" w:cs="Arial"/>
          <w:bCs/>
          <w:spacing w:val="-4"/>
          <w:sz w:val="20"/>
          <w:szCs w:val="20"/>
          <w:lang w:val="es-AR"/>
        </w:rPr>
        <w:t xml:space="preserve"> mejoría progresiva”, hasta ser dado de alta de la zona de aislamiento el 18 de mayo. El 5 de junio de 2020 fue objeto de una nueva evaluación médica</w:t>
      </w:r>
      <w:r w:rsidRPr="00395069">
        <w:rPr>
          <w:rStyle w:val="Refdenotaalpie"/>
          <w:rFonts w:eastAsiaTheme="minorHAnsi" w:cs="Arial"/>
          <w:bCs/>
          <w:spacing w:val="-4"/>
          <w:szCs w:val="20"/>
          <w:lang w:val="es-AR"/>
        </w:rPr>
        <w:footnoteReference w:id="32"/>
      </w:r>
      <w:r w:rsidRPr="00395069">
        <w:rPr>
          <w:rFonts w:ascii="Verdana" w:eastAsiaTheme="minorHAnsi" w:hAnsi="Verdana" w:cs="Arial"/>
          <w:bCs/>
          <w:spacing w:val="-4"/>
          <w:sz w:val="20"/>
          <w:szCs w:val="20"/>
          <w:lang w:val="es-AR"/>
        </w:rPr>
        <w:t xml:space="preserve"> y se le realizó la prueba rápida de COVID-19, la cual arrojó resultado positivo, por lo que se le “indicó aislamiento y seguimiento en su respectivo pabellón según el Plan de Manejo del Consejo Nacional Penitenciario”. El Estado agregó que “al ser diagnosticado con COVID-19, recibió las atenciones médicas necesarias a fin de asegurar su vida e integridad” y que actualmente “se encuentra clínicamente estable y recibiendo las atenciones en salud correspondientes”. </w:t>
      </w:r>
    </w:p>
    <w:p w14:paraId="098E44C8" w14:textId="36C7FCF2"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ES"/>
        </w:rPr>
      </w:pPr>
      <w:bookmarkStart w:id="7" w:name="_Ref46241737"/>
      <w:r w:rsidRPr="006F1D5F">
        <w:rPr>
          <w:rFonts w:ascii="Verdana" w:hAnsi="Verdana" w:cs="Verdana"/>
          <w:color w:val="000000"/>
          <w:spacing w:val="-4"/>
          <w:sz w:val="20"/>
          <w:szCs w:val="20"/>
          <w:lang w:val="es-ES"/>
        </w:rPr>
        <w:t xml:space="preserve">Sobre </w:t>
      </w:r>
      <w:r w:rsidR="00282EBE" w:rsidRPr="006F1D5F">
        <w:rPr>
          <w:rFonts w:ascii="Verdana" w:hAnsi="Verdana" w:cs="Verdana"/>
          <w:color w:val="000000"/>
          <w:spacing w:val="-4"/>
          <w:sz w:val="20"/>
          <w:szCs w:val="20"/>
          <w:lang w:val="es-ES"/>
        </w:rPr>
        <w:t xml:space="preserve">las </w:t>
      </w:r>
      <w:r w:rsidR="00282EBE" w:rsidRPr="006F1D5F">
        <w:rPr>
          <w:rFonts w:ascii="Verdana" w:hAnsi="Verdana" w:cs="Verdana"/>
          <w:i/>
          <w:iCs/>
          <w:color w:val="000000"/>
          <w:spacing w:val="-4"/>
          <w:sz w:val="20"/>
          <w:szCs w:val="20"/>
          <w:lang w:val="es-ES"/>
        </w:rPr>
        <w:t>demandas</w:t>
      </w:r>
      <w:r w:rsidRPr="006F1D5F">
        <w:rPr>
          <w:rFonts w:ascii="Verdana" w:hAnsi="Verdana" w:cs="Verdana"/>
          <w:i/>
          <w:color w:val="000000"/>
          <w:spacing w:val="-4"/>
          <w:sz w:val="20"/>
          <w:szCs w:val="20"/>
          <w:lang w:val="es-ES"/>
        </w:rPr>
        <w:t xml:space="preserve"> de hábeas corpus interpuestos</w:t>
      </w:r>
      <w:r w:rsidR="00282EBE" w:rsidRPr="006F1D5F">
        <w:rPr>
          <w:rFonts w:ascii="Verdana" w:hAnsi="Verdana" w:cs="Verdana"/>
          <w:i/>
          <w:color w:val="000000"/>
          <w:spacing w:val="-4"/>
          <w:sz w:val="20"/>
          <w:szCs w:val="20"/>
          <w:lang w:val="es-ES"/>
        </w:rPr>
        <w:t xml:space="preserve"> por los propuestos beneficiarios</w:t>
      </w:r>
      <w:r w:rsidRPr="006F1D5F">
        <w:rPr>
          <w:rFonts w:ascii="Verdana" w:hAnsi="Verdana" w:cs="Verdana"/>
          <w:color w:val="000000"/>
          <w:spacing w:val="-4"/>
          <w:sz w:val="20"/>
          <w:szCs w:val="20"/>
          <w:lang w:val="es-ES"/>
        </w:rPr>
        <w:t>, Perú refirió que “sin perjuicio de la suspensión de labores en el Poder Judicial, se ha previsto que los órganos jurisdiccionales de emergencia sigan conociendo de las demandas de hábeas corpus con un personal mínimo de forma presencial atendiendo a las condiciones de Emergencia Sanitaria”</w:t>
      </w:r>
      <w:r w:rsidR="00843592" w:rsidRPr="006F1D5F">
        <w:rPr>
          <w:rFonts w:ascii="Verdana" w:hAnsi="Verdana" w:cs="Verdana"/>
          <w:color w:val="000000"/>
          <w:spacing w:val="-4"/>
          <w:sz w:val="20"/>
          <w:szCs w:val="20"/>
          <w:lang w:val="es-ES"/>
        </w:rPr>
        <w:t>.</w:t>
      </w:r>
      <w:r w:rsidR="005A4F8F" w:rsidRPr="006F1D5F">
        <w:rPr>
          <w:rFonts w:ascii="Verdana" w:hAnsi="Verdana" w:cs="Verdana"/>
          <w:color w:val="000000"/>
          <w:spacing w:val="-4"/>
          <w:sz w:val="20"/>
          <w:szCs w:val="20"/>
          <w:lang w:val="es-ES"/>
        </w:rPr>
        <w:t xml:space="preserve"> </w:t>
      </w:r>
      <w:r w:rsidR="00843592" w:rsidRPr="006F1D5F">
        <w:rPr>
          <w:rFonts w:ascii="Verdana" w:hAnsi="Verdana" w:cs="Verdana"/>
          <w:color w:val="000000"/>
          <w:spacing w:val="-4"/>
          <w:sz w:val="20"/>
          <w:szCs w:val="20"/>
          <w:lang w:val="es-ES"/>
        </w:rPr>
        <w:t>A</w:t>
      </w:r>
      <w:r w:rsidRPr="006F1D5F">
        <w:rPr>
          <w:rFonts w:ascii="Verdana" w:hAnsi="Verdana" w:cs="Verdana"/>
          <w:color w:val="000000"/>
          <w:spacing w:val="-4"/>
          <w:sz w:val="20"/>
          <w:szCs w:val="20"/>
          <w:lang w:val="es-ES"/>
        </w:rPr>
        <w:t>port</w:t>
      </w:r>
      <w:r w:rsidR="00843592" w:rsidRPr="006F1D5F">
        <w:rPr>
          <w:rFonts w:ascii="Verdana" w:hAnsi="Verdana" w:cs="Verdana"/>
          <w:color w:val="000000"/>
          <w:spacing w:val="-4"/>
          <w:sz w:val="20"/>
          <w:szCs w:val="20"/>
          <w:lang w:val="es-ES"/>
        </w:rPr>
        <w:t>ó</w:t>
      </w:r>
      <w:r w:rsidRPr="006F1D5F">
        <w:rPr>
          <w:rFonts w:ascii="Verdana" w:hAnsi="Verdana" w:cs="Verdana"/>
          <w:color w:val="000000"/>
          <w:spacing w:val="-4"/>
          <w:sz w:val="20"/>
          <w:szCs w:val="20"/>
          <w:lang w:val="es-ES"/>
        </w:rPr>
        <w:t xml:space="preserve"> información respecto del estado en que se encontraba cada uno de </w:t>
      </w:r>
      <w:r w:rsidR="00843592" w:rsidRPr="006F1D5F">
        <w:rPr>
          <w:rFonts w:ascii="Verdana" w:hAnsi="Verdana" w:cs="Verdana"/>
          <w:color w:val="000000"/>
          <w:spacing w:val="-4"/>
          <w:sz w:val="20"/>
          <w:szCs w:val="20"/>
          <w:lang w:val="es-ES"/>
        </w:rPr>
        <w:t>los</w:t>
      </w:r>
      <w:r w:rsidRPr="006F1D5F">
        <w:rPr>
          <w:rFonts w:ascii="Verdana" w:hAnsi="Verdana" w:cs="Verdana"/>
          <w:color w:val="000000"/>
          <w:spacing w:val="-4"/>
          <w:sz w:val="20"/>
          <w:szCs w:val="20"/>
          <w:lang w:val="es-ES"/>
        </w:rPr>
        <w:t xml:space="preserve"> procedimientos</w:t>
      </w:r>
      <w:r w:rsidR="00843592" w:rsidRPr="006F1D5F">
        <w:rPr>
          <w:rFonts w:ascii="Verdana" w:hAnsi="Verdana" w:cs="Verdana"/>
          <w:color w:val="000000"/>
          <w:spacing w:val="-4"/>
          <w:sz w:val="20"/>
          <w:szCs w:val="20"/>
          <w:lang w:val="es-ES"/>
        </w:rPr>
        <w:t xml:space="preserve"> de las demandas interpuestas por los propuestos beneficiarios</w:t>
      </w:r>
      <w:r w:rsidRPr="006F1D5F">
        <w:rPr>
          <w:rStyle w:val="Refdenotaalpie"/>
          <w:rFonts w:cs="Verdana"/>
          <w:color w:val="000000"/>
          <w:spacing w:val="-4"/>
          <w:szCs w:val="20"/>
          <w:lang w:val="es-ES"/>
        </w:rPr>
        <w:footnoteReference w:id="33"/>
      </w:r>
      <w:r w:rsidRPr="006F1D5F">
        <w:rPr>
          <w:rFonts w:ascii="Verdana" w:hAnsi="Verdana" w:cs="Verdana"/>
          <w:color w:val="000000"/>
          <w:spacing w:val="-4"/>
          <w:sz w:val="20"/>
          <w:szCs w:val="20"/>
          <w:lang w:val="es-ES"/>
        </w:rPr>
        <w:t xml:space="preserve">, de la cual surge que </w:t>
      </w:r>
      <w:r w:rsidRPr="006F1D5F">
        <w:rPr>
          <w:rFonts w:ascii="Verdana" w:hAnsi="Verdana"/>
          <w:spacing w:val="-4"/>
          <w:sz w:val="20"/>
          <w:szCs w:val="20"/>
          <w:lang w:val="es-CR"/>
        </w:rPr>
        <w:t>respecto de tres</w:t>
      </w:r>
      <w:r w:rsidR="00BE2389">
        <w:rPr>
          <w:rFonts w:ascii="Verdana" w:hAnsi="Verdana"/>
          <w:spacing w:val="-4"/>
          <w:sz w:val="20"/>
          <w:szCs w:val="20"/>
          <w:lang w:val="es-CR"/>
        </w:rPr>
        <w:t xml:space="preserve"> </w:t>
      </w:r>
      <w:r w:rsidRPr="006F1D5F">
        <w:rPr>
          <w:rFonts w:ascii="Verdana" w:hAnsi="Verdana"/>
          <w:spacing w:val="-4"/>
          <w:sz w:val="20"/>
          <w:szCs w:val="20"/>
          <w:lang w:val="es-CR"/>
        </w:rPr>
        <w:t xml:space="preserve"> </w:t>
      </w:r>
      <w:r w:rsidR="00843592" w:rsidRPr="006F1D5F">
        <w:rPr>
          <w:rFonts w:ascii="Verdana" w:hAnsi="Verdana"/>
          <w:spacing w:val="-4"/>
          <w:sz w:val="20"/>
          <w:szCs w:val="20"/>
          <w:lang w:val="es-CR"/>
        </w:rPr>
        <w:t xml:space="preserve">de </w:t>
      </w:r>
      <w:r w:rsidR="00BE2389">
        <w:rPr>
          <w:rFonts w:ascii="Verdana" w:hAnsi="Verdana"/>
          <w:spacing w:val="-4"/>
          <w:sz w:val="20"/>
          <w:szCs w:val="20"/>
          <w:lang w:val="es-CR"/>
        </w:rPr>
        <w:t xml:space="preserve"> </w:t>
      </w:r>
      <w:r w:rsidR="00843592" w:rsidRPr="006F1D5F">
        <w:rPr>
          <w:rFonts w:ascii="Verdana" w:hAnsi="Verdana"/>
          <w:spacing w:val="-4"/>
          <w:sz w:val="20"/>
          <w:szCs w:val="20"/>
          <w:lang w:val="es-CR"/>
        </w:rPr>
        <w:t xml:space="preserve">ellos </w:t>
      </w:r>
      <w:r w:rsidRPr="006F1D5F">
        <w:rPr>
          <w:rFonts w:ascii="Verdana" w:hAnsi="Verdana"/>
          <w:spacing w:val="-4"/>
          <w:sz w:val="20"/>
          <w:szCs w:val="20"/>
          <w:lang w:val="es-CR"/>
        </w:rPr>
        <w:t xml:space="preserve">el </w:t>
      </w:r>
      <w:r w:rsidR="00BE2389">
        <w:rPr>
          <w:rFonts w:ascii="Verdana" w:hAnsi="Verdana"/>
          <w:spacing w:val="-4"/>
          <w:sz w:val="20"/>
          <w:szCs w:val="20"/>
          <w:lang w:val="es-CR"/>
        </w:rPr>
        <w:t xml:space="preserve"> </w:t>
      </w:r>
      <w:r w:rsidRPr="006F1D5F">
        <w:rPr>
          <w:rFonts w:ascii="Verdana" w:hAnsi="Verdana"/>
          <w:spacing w:val="-4"/>
          <w:sz w:val="20"/>
          <w:szCs w:val="20"/>
          <w:lang w:val="es-CR"/>
        </w:rPr>
        <w:t>Poder</w:t>
      </w:r>
      <w:r w:rsidR="00BE2389">
        <w:rPr>
          <w:rFonts w:ascii="Verdana" w:hAnsi="Verdana"/>
          <w:spacing w:val="-4"/>
          <w:sz w:val="20"/>
          <w:szCs w:val="20"/>
          <w:lang w:val="es-CR"/>
        </w:rPr>
        <w:t xml:space="preserve"> </w:t>
      </w:r>
      <w:r w:rsidRPr="006F1D5F">
        <w:rPr>
          <w:rFonts w:ascii="Verdana" w:hAnsi="Verdana"/>
          <w:spacing w:val="-4"/>
          <w:sz w:val="20"/>
          <w:szCs w:val="20"/>
          <w:lang w:val="es-CR"/>
        </w:rPr>
        <w:t xml:space="preserve"> Judicial </w:t>
      </w:r>
      <w:r w:rsidR="00BE2389">
        <w:rPr>
          <w:rFonts w:ascii="Verdana" w:hAnsi="Verdana"/>
          <w:spacing w:val="-4"/>
          <w:sz w:val="20"/>
          <w:szCs w:val="20"/>
          <w:lang w:val="es-CR"/>
        </w:rPr>
        <w:t xml:space="preserve"> </w:t>
      </w:r>
      <w:r w:rsidRPr="006F1D5F">
        <w:rPr>
          <w:rFonts w:ascii="Verdana" w:hAnsi="Verdana"/>
          <w:spacing w:val="-4"/>
          <w:sz w:val="20"/>
          <w:szCs w:val="20"/>
          <w:lang w:val="es-CR"/>
        </w:rPr>
        <w:t>exhortó</w:t>
      </w:r>
      <w:r w:rsidR="00BE2389">
        <w:rPr>
          <w:rFonts w:ascii="Verdana" w:hAnsi="Verdana"/>
          <w:spacing w:val="-4"/>
          <w:sz w:val="20"/>
          <w:szCs w:val="20"/>
          <w:lang w:val="es-CR"/>
        </w:rPr>
        <w:t xml:space="preserve"> </w:t>
      </w:r>
      <w:r w:rsidRPr="006F1D5F">
        <w:rPr>
          <w:rFonts w:ascii="Verdana" w:hAnsi="Verdana"/>
          <w:spacing w:val="-4"/>
          <w:sz w:val="20"/>
          <w:szCs w:val="20"/>
          <w:lang w:val="es-CR"/>
        </w:rPr>
        <w:t xml:space="preserve"> al Instituto</w:t>
      </w:r>
      <w:r w:rsidR="00BE2389">
        <w:rPr>
          <w:rFonts w:ascii="Verdana" w:hAnsi="Verdana"/>
          <w:spacing w:val="-4"/>
          <w:sz w:val="20"/>
          <w:szCs w:val="20"/>
          <w:lang w:val="es-CR"/>
        </w:rPr>
        <w:t xml:space="preserve"> </w:t>
      </w:r>
      <w:r w:rsidRPr="006F1D5F">
        <w:rPr>
          <w:rFonts w:ascii="Verdana" w:hAnsi="Verdana"/>
          <w:spacing w:val="-4"/>
          <w:sz w:val="20"/>
          <w:szCs w:val="20"/>
          <w:lang w:val="es-CR"/>
        </w:rPr>
        <w:t xml:space="preserve"> Naciona</w:t>
      </w:r>
      <w:r w:rsidRPr="00395069">
        <w:rPr>
          <w:rFonts w:ascii="Verdana" w:hAnsi="Verdana"/>
          <w:spacing w:val="-4"/>
          <w:sz w:val="20"/>
          <w:szCs w:val="20"/>
          <w:lang w:val="es-CR"/>
        </w:rPr>
        <w:t xml:space="preserve">l </w:t>
      </w:r>
      <w:r w:rsidR="00BE2389">
        <w:rPr>
          <w:rFonts w:ascii="Verdana" w:hAnsi="Verdana"/>
          <w:spacing w:val="-4"/>
          <w:sz w:val="20"/>
          <w:szCs w:val="20"/>
          <w:lang w:val="es-CR"/>
        </w:rPr>
        <w:t xml:space="preserve"> </w:t>
      </w:r>
      <w:r w:rsidRPr="00395069">
        <w:rPr>
          <w:rFonts w:ascii="Verdana" w:hAnsi="Verdana"/>
          <w:spacing w:val="-4"/>
          <w:sz w:val="20"/>
          <w:szCs w:val="20"/>
          <w:lang w:val="es-CR"/>
        </w:rPr>
        <w:t>Penitenciario</w:t>
      </w:r>
      <w:r w:rsidR="00BE2389">
        <w:rPr>
          <w:rFonts w:ascii="Verdana" w:hAnsi="Verdana"/>
          <w:spacing w:val="-4"/>
          <w:sz w:val="20"/>
          <w:szCs w:val="20"/>
          <w:lang w:val="es-CR"/>
        </w:rPr>
        <w:t xml:space="preserve"> </w:t>
      </w:r>
      <w:r w:rsidRPr="00395069">
        <w:rPr>
          <w:rFonts w:ascii="Verdana" w:hAnsi="Verdana"/>
          <w:spacing w:val="-4"/>
          <w:sz w:val="20"/>
          <w:szCs w:val="20"/>
          <w:lang w:val="es-CR"/>
        </w:rPr>
        <w:t xml:space="preserve"> y</w:t>
      </w:r>
      <w:r w:rsidR="00BE2389">
        <w:rPr>
          <w:rFonts w:ascii="Verdana" w:hAnsi="Verdana"/>
          <w:spacing w:val="-4"/>
          <w:sz w:val="20"/>
          <w:szCs w:val="20"/>
          <w:lang w:val="es-CR"/>
        </w:rPr>
        <w:t xml:space="preserve"> </w:t>
      </w:r>
      <w:r w:rsidRPr="00395069">
        <w:rPr>
          <w:rFonts w:ascii="Verdana" w:hAnsi="Verdana"/>
          <w:spacing w:val="-4"/>
          <w:sz w:val="20"/>
          <w:szCs w:val="20"/>
          <w:lang w:val="es-CR"/>
        </w:rPr>
        <w:t xml:space="preserve"> a </w:t>
      </w:r>
      <w:r w:rsidRPr="00395069">
        <w:rPr>
          <w:rFonts w:ascii="Verdana" w:hAnsi="Verdana"/>
          <w:spacing w:val="-4"/>
          <w:sz w:val="20"/>
          <w:szCs w:val="20"/>
          <w:lang w:val="es-CR"/>
        </w:rPr>
        <w:lastRenderedPageBreak/>
        <w:t xml:space="preserve">las autoridades del establecimiento penal en que se encuentran recluidos a brindar información sobre </w:t>
      </w:r>
      <w:r w:rsidR="00282EBE">
        <w:rPr>
          <w:rFonts w:ascii="Verdana" w:hAnsi="Verdana"/>
          <w:spacing w:val="-4"/>
          <w:sz w:val="20"/>
          <w:szCs w:val="20"/>
          <w:lang w:val="es-CR"/>
        </w:rPr>
        <w:t>su</w:t>
      </w:r>
      <w:r w:rsidRPr="00395069">
        <w:rPr>
          <w:rFonts w:ascii="Verdana" w:hAnsi="Verdana"/>
          <w:spacing w:val="-4"/>
          <w:sz w:val="20"/>
          <w:szCs w:val="20"/>
          <w:lang w:val="es-CR"/>
        </w:rPr>
        <w:t xml:space="preserve"> estado de salud, condiciones de detención y/o atención médica recibida, así como a brindar el tratamiento médico requerido, realizarles pruebas de descarte y permitir el ingreso de alimentos a cargo de sus familiares, según el caso.</w:t>
      </w:r>
      <w:bookmarkEnd w:id="7"/>
      <w:r w:rsidRPr="00395069">
        <w:rPr>
          <w:rFonts w:ascii="Verdana" w:hAnsi="Verdana"/>
          <w:spacing w:val="-4"/>
          <w:sz w:val="20"/>
          <w:szCs w:val="20"/>
          <w:lang w:val="es-CR"/>
        </w:rPr>
        <w:t xml:space="preserve"> </w:t>
      </w:r>
    </w:p>
    <w:p w14:paraId="14C5413B" w14:textId="307E1E65" w:rsidR="00640948" w:rsidRPr="00395069" w:rsidRDefault="00077CFD"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AR"/>
        </w:rPr>
      </w:pPr>
      <w:r>
        <w:rPr>
          <w:rFonts w:ascii="Verdana" w:hAnsi="Verdana" w:cs="Verdana"/>
          <w:color w:val="000000"/>
          <w:spacing w:val="-4"/>
          <w:sz w:val="20"/>
          <w:szCs w:val="20"/>
          <w:lang w:val="es-AR"/>
        </w:rPr>
        <w:t>Además</w:t>
      </w:r>
      <w:r w:rsidR="002A731A">
        <w:rPr>
          <w:rFonts w:ascii="Verdana" w:hAnsi="Verdana" w:cs="Verdana"/>
          <w:color w:val="000000"/>
          <w:spacing w:val="-4"/>
          <w:sz w:val="20"/>
          <w:szCs w:val="20"/>
          <w:lang w:val="es-AR"/>
        </w:rPr>
        <w:t>, el Estado c</w:t>
      </w:r>
      <w:r w:rsidR="00640948" w:rsidRPr="00395069">
        <w:rPr>
          <w:rFonts w:ascii="Verdana" w:hAnsi="Verdana" w:cs="Verdana"/>
          <w:color w:val="000000"/>
          <w:spacing w:val="-4"/>
          <w:sz w:val="20"/>
          <w:szCs w:val="20"/>
          <w:lang w:val="es-AR"/>
        </w:rPr>
        <w:t xml:space="preserve">onsideró que no concurrían los tres requisitos necesarios para </w:t>
      </w:r>
      <w:r w:rsidR="00C13878">
        <w:rPr>
          <w:rFonts w:ascii="Verdana" w:hAnsi="Verdana" w:cs="Verdana"/>
          <w:color w:val="000000"/>
          <w:spacing w:val="-4"/>
          <w:sz w:val="20"/>
          <w:szCs w:val="20"/>
          <w:lang w:val="es-AR"/>
        </w:rPr>
        <w:t>la</w:t>
      </w:r>
      <w:r w:rsidR="00C13878" w:rsidRPr="00395069">
        <w:rPr>
          <w:rFonts w:ascii="Verdana" w:hAnsi="Verdana" w:cs="Verdana"/>
          <w:color w:val="000000"/>
          <w:spacing w:val="-4"/>
          <w:sz w:val="20"/>
          <w:szCs w:val="20"/>
          <w:lang w:val="es-AR"/>
        </w:rPr>
        <w:t xml:space="preserve"> </w:t>
      </w:r>
      <w:r w:rsidR="00640948" w:rsidRPr="00395069">
        <w:rPr>
          <w:rFonts w:ascii="Verdana" w:hAnsi="Verdana" w:cs="Verdana"/>
          <w:color w:val="000000"/>
          <w:spacing w:val="-4"/>
          <w:sz w:val="20"/>
          <w:szCs w:val="20"/>
          <w:lang w:val="es-AR"/>
        </w:rPr>
        <w:t>adopción</w:t>
      </w:r>
      <w:r w:rsidR="00C13878">
        <w:rPr>
          <w:rFonts w:ascii="Verdana" w:hAnsi="Verdana" w:cs="Verdana"/>
          <w:color w:val="000000"/>
          <w:spacing w:val="-4"/>
          <w:sz w:val="20"/>
          <w:szCs w:val="20"/>
          <w:lang w:val="es-AR"/>
        </w:rPr>
        <w:t xml:space="preserve"> de las medidas</w:t>
      </w:r>
      <w:r w:rsidR="002A731A">
        <w:rPr>
          <w:rFonts w:ascii="Verdana" w:hAnsi="Verdana" w:cs="Verdana"/>
          <w:color w:val="000000"/>
          <w:spacing w:val="-4"/>
          <w:sz w:val="20"/>
          <w:szCs w:val="20"/>
          <w:lang w:val="es-AR"/>
        </w:rPr>
        <w:t xml:space="preserve"> </w:t>
      </w:r>
      <w:r w:rsidR="001061A3">
        <w:rPr>
          <w:rFonts w:ascii="Verdana" w:hAnsi="Verdana" w:cs="Verdana"/>
          <w:color w:val="000000"/>
          <w:spacing w:val="-4"/>
          <w:sz w:val="20"/>
          <w:szCs w:val="20"/>
          <w:lang w:val="es-AR"/>
        </w:rPr>
        <w:t xml:space="preserve">provisionales </w:t>
      </w:r>
      <w:r w:rsidR="002A731A">
        <w:rPr>
          <w:rFonts w:ascii="Verdana" w:hAnsi="Verdana" w:cs="Verdana"/>
          <w:color w:val="000000"/>
          <w:spacing w:val="-4"/>
          <w:sz w:val="20"/>
          <w:szCs w:val="20"/>
          <w:lang w:val="es-AR"/>
        </w:rPr>
        <w:t>por las siguientes razones</w:t>
      </w:r>
      <w:r w:rsidR="00640948" w:rsidRPr="00395069">
        <w:rPr>
          <w:rFonts w:ascii="Verdana" w:hAnsi="Verdana" w:cs="Verdana"/>
          <w:color w:val="000000"/>
          <w:spacing w:val="-4"/>
          <w:sz w:val="20"/>
          <w:szCs w:val="20"/>
          <w:lang w:val="es-AR"/>
        </w:rPr>
        <w:t>:</w:t>
      </w:r>
    </w:p>
    <w:p w14:paraId="6E644222" w14:textId="27EAD779" w:rsidR="00640948" w:rsidRPr="00565BEE" w:rsidRDefault="001061A3" w:rsidP="00BF0D03">
      <w:pPr>
        <w:numPr>
          <w:ilvl w:val="0"/>
          <w:numId w:val="18"/>
        </w:numPr>
        <w:autoSpaceDE w:val="0"/>
        <w:autoSpaceDN w:val="0"/>
        <w:adjustRightInd w:val="0"/>
        <w:spacing w:before="120" w:after="120"/>
        <w:jc w:val="both"/>
        <w:rPr>
          <w:rFonts w:ascii="Verdana" w:hAnsi="Verdana" w:cs="Verdana"/>
          <w:color w:val="000000"/>
          <w:spacing w:val="-4"/>
          <w:sz w:val="20"/>
          <w:szCs w:val="20"/>
          <w:lang w:val="es-AR"/>
        </w:rPr>
      </w:pPr>
      <w:r w:rsidRPr="00565BEE">
        <w:rPr>
          <w:rFonts w:ascii="Verdana" w:hAnsi="Verdana" w:cs="Verdana"/>
          <w:color w:val="000000"/>
          <w:spacing w:val="-4"/>
          <w:sz w:val="20"/>
          <w:szCs w:val="20"/>
          <w:lang w:val="es-AR"/>
        </w:rPr>
        <w:t>e</w:t>
      </w:r>
      <w:r w:rsidR="00640948" w:rsidRPr="00565BEE">
        <w:rPr>
          <w:rFonts w:ascii="Verdana" w:hAnsi="Verdana" w:cs="Verdana"/>
          <w:color w:val="000000"/>
          <w:spacing w:val="-4"/>
          <w:sz w:val="20"/>
          <w:szCs w:val="20"/>
          <w:lang w:val="es-AR"/>
        </w:rPr>
        <w:t xml:space="preserve">n </w:t>
      </w:r>
      <w:r w:rsidR="00640948" w:rsidRPr="00565BEE">
        <w:rPr>
          <w:rFonts w:ascii="Verdana" w:hAnsi="Verdana" w:cs="Verdana"/>
          <w:color w:val="000000"/>
          <w:spacing w:val="-4"/>
          <w:sz w:val="20"/>
          <w:szCs w:val="20"/>
          <w:lang w:val="es-ES"/>
        </w:rPr>
        <w:t>cuando</w:t>
      </w:r>
      <w:r w:rsidR="00640948" w:rsidRPr="00565BEE">
        <w:rPr>
          <w:rFonts w:ascii="Verdana" w:hAnsi="Verdana" w:cs="Verdana"/>
          <w:color w:val="000000"/>
          <w:spacing w:val="-4"/>
          <w:sz w:val="20"/>
          <w:szCs w:val="20"/>
          <w:lang w:val="es-AR"/>
        </w:rPr>
        <w:t xml:space="preserve"> a la extrema gravedad: (i) </w:t>
      </w:r>
      <w:r w:rsidR="00640948" w:rsidRPr="00565BEE">
        <w:rPr>
          <w:rFonts w:ascii="Verdana" w:hAnsi="Verdana" w:cs="Verdana"/>
          <w:i/>
          <w:color w:val="000000"/>
          <w:spacing w:val="-4"/>
          <w:sz w:val="20"/>
          <w:szCs w:val="20"/>
          <w:lang w:val="es-AR"/>
        </w:rPr>
        <w:t>Margot Lourdes Liendo Gil</w:t>
      </w:r>
      <w:r w:rsidR="00640948" w:rsidRPr="00565BEE">
        <w:rPr>
          <w:rFonts w:ascii="Verdana" w:hAnsi="Verdana" w:cs="Verdana"/>
          <w:color w:val="000000"/>
          <w:spacing w:val="-4"/>
          <w:sz w:val="20"/>
          <w:szCs w:val="20"/>
          <w:lang w:val="es-AR"/>
        </w:rPr>
        <w:t>: los hechos denunciados no implican una “situación de gravedad en grado más intenso o elevado”, en tanto “no se extrae que […] haya sido diagnosticada de COVID-19 o tenga síntomas que brinden cierta certeza de contagio”; (</w:t>
      </w:r>
      <w:proofErr w:type="spellStart"/>
      <w:r w:rsidR="00640948" w:rsidRPr="00565BEE">
        <w:rPr>
          <w:rFonts w:ascii="Verdana" w:hAnsi="Verdana" w:cs="Verdana"/>
          <w:color w:val="000000"/>
          <w:spacing w:val="-4"/>
          <w:sz w:val="20"/>
          <w:szCs w:val="20"/>
          <w:lang w:val="es-AR"/>
        </w:rPr>
        <w:t>ii</w:t>
      </w:r>
      <w:proofErr w:type="spellEnd"/>
      <w:r w:rsidR="00640948" w:rsidRPr="00565BEE">
        <w:rPr>
          <w:rFonts w:ascii="Verdana" w:hAnsi="Verdana" w:cs="Verdana"/>
          <w:color w:val="000000"/>
          <w:spacing w:val="-4"/>
          <w:sz w:val="20"/>
          <w:szCs w:val="20"/>
          <w:lang w:val="es-AR"/>
        </w:rPr>
        <w:t xml:space="preserve">) </w:t>
      </w:r>
      <w:r w:rsidR="00640948" w:rsidRPr="00565BEE">
        <w:rPr>
          <w:rFonts w:ascii="Verdana" w:hAnsi="Verdana" w:cs="Verdana"/>
          <w:i/>
          <w:color w:val="000000"/>
          <w:spacing w:val="-4"/>
          <w:sz w:val="20"/>
          <w:szCs w:val="20"/>
          <w:lang w:val="es-AR"/>
        </w:rPr>
        <w:t>Osmán Morote Barrionuevo</w:t>
      </w:r>
      <w:r w:rsidR="00640948" w:rsidRPr="00565BEE">
        <w:rPr>
          <w:rFonts w:ascii="Verdana" w:hAnsi="Verdana" w:cs="Verdana"/>
          <w:color w:val="000000"/>
          <w:spacing w:val="-4"/>
          <w:sz w:val="20"/>
          <w:szCs w:val="20"/>
          <w:lang w:val="es-AR"/>
        </w:rPr>
        <w:t xml:space="preserve">: si bien fue diagnosticado con “COVID-19 leve, de acuerdo a la evaluación médica […] refiere encontrarse bien y ha sido trasladado a una zona de aislamiento para su monitoreo permanente”. </w:t>
      </w:r>
      <w:r w:rsidR="00C13878" w:rsidRPr="00565BEE">
        <w:rPr>
          <w:rFonts w:ascii="Verdana" w:hAnsi="Verdana" w:cs="Verdana"/>
          <w:color w:val="000000"/>
          <w:spacing w:val="-4"/>
          <w:sz w:val="20"/>
          <w:szCs w:val="20"/>
          <w:lang w:val="es-AR"/>
        </w:rPr>
        <w:t>Dado</w:t>
      </w:r>
      <w:r w:rsidR="00640948" w:rsidRPr="00565BEE">
        <w:rPr>
          <w:rFonts w:ascii="Verdana" w:hAnsi="Verdana" w:cs="Verdana"/>
          <w:color w:val="000000"/>
          <w:spacing w:val="-4"/>
          <w:sz w:val="20"/>
          <w:szCs w:val="20"/>
          <w:lang w:val="es-AR"/>
        </w:rPr>
        <w:t xml:space="preserve"> que “se encuentra recibiendo las atenciones médicas correspondientes” y que “el penal cuenta con los implementos sanitarios adecuados para el tratamiento de esta enfermedad”, su situación “no tiene carácter de gravedad en su grado más elevado”</w:t>
      </w:r>
      <w:r w:rsidR="00565BEE" w:rsidRPr="00565BEE">
        <w:rPr>
          <w:rFonts w:ascii="Verdana" w:hAnsi="Verdana" w:cs="Verdana"/>
          <w:color w:val="000000"/>
          <w:spacing w:val="-4"/>
          <w:sz w:val="20"/>
          <w:szCs w:val="20"/>
          <w:lang w:val="es-AR"/>
        </w:rPr>
        <w:t>;</w:t>
      </w:r>
      <w:r w:rsidR="00640948" w:rsidRPr="00565BEE">
        <w:rPr>
          <w:rFonts w:ascii="Verdana" w:hAnsi="Verdana" w:cs="Verdana"/>
          <w:color w:val="000000"/>
          <w:spacing w:val="-4"/>
          <w:sz w:val="20"/>
          <w:szCs w:val="20"/>
          <w:lang w:val="es-AR"/>
        </w:rPr>
        <w:t xml:space="preserve"> (</w:t>
      </w:r>
      <w:proofErr w:type="spellStart"/>
      <w:r w:rsidR="00640948" w:rsidRPr="00565BEE">
        <w:rPr>
          <w:rFonts w:ascii="Verdana" w:hAnsi="Verdana" w:cs="Verdana"/>
          <w:color w:val="000000"/>
          <w:spacing w:val="-4"/>
          <w:sz w:val="20"/>
          <w:szCs w:val="20"/>
          <w:lang w:val="es-AR"/>
        </w:rPr>
        <w:t>iii</w:t>
      </w:r>
      <w:proofErr w:type="spellEnd"/>
      <w:r w:rsidR="00640948" w:rsidRPr="00565BEE">
        <w:rPr>
          <w:rFonts w:ascii="Verdana" w:hAnsi="Verdana" w:cs="Verdana"/>
          <w:color w:val="000000"/>
          <w:spacing w:val="-4"/>
          <w:sz w:val="20"/>
          <w:szCs w:val="20"/>
          <w:lang w:val="es-AR"/>
        </w:rPr>
        <w:t xml:space="preserve">) </w:t>
      </w:r>
      <w:r w:rsidR="00640948" w:rsidRPr="00565BEE">
        <w:rPr>
          <w:rFonts w:ascii="Verdana" w:hAnsi="Verdana" w:cs="Verdana"/>
          <w:i/>
          <w:color w:val="000000"/>
          <w:spacing w:val="-4"/>
          <w:sz w:val="20"/>
          <w:szCs w:val="20"/>
          <w:lang w:val="es-AR"/>
        </w:rPr>
        <w:t>Arturo Chumpitaz Aguirre</w:t>
      </w:r>
      <w:r w:rsidR="00640948" w:rsidRPr="00565BEE">
        <w:rPr>
          <w:rFonts w:ascii="Verdana" w:hAnsi="Verdana" w:cs="Verdana"/>
          <w:color w:val="000000"/>
          <w:spacing w:val="-4"/>
          <w:sz w:val="20"/>
          <w:szCs w:val="20"/>
          <w:lang w:val="es-AR"/>
        </w:rPr>
        <w:t xml:space="preserve"> y </w:t>
      </w:r>
      <w:r w:rsidR="00640948" w:rsidRPr="00565BEE">
        <w:rPr>
          <w:rFonts w:ascii="Verdana" w:hAnsi="Verdana" w:cs="Verdana"/>
          <w:i/>
          <w:color w:val="000000"/>
          <w:spacing w:val="-4"/>
          <w:sz w:val="20"/>
          <w:szCs w:val="20"/>
          <w:lang w:val="es-AR"/>
        </w:rPr>
        <w:t>Juan Alonso Aranda Company</w:t>
      </w:r>
      <w:r w:rsidR="00640948" w:rsidRPr="00565BEE">
        <w:rPr>
          <w:rFonts w:ascii="Verdana" w:hAnsi="Verdana" w:cs="Verdana"/>
          <w:color w:val="000000"/>
          <w:spacing w:val="-4"/>
          <w:sz w:val="20"/>
          <w:szCs w:val="20"/>
          <w:lang w:val="es-AR"/>
        </w:rPr>
        <w:t>:</w:t>
      </w:r>
      <w:r w:rsidR="00640948" w:rsidRPr="00565BEE">
        <w:rPr>
          <w:rFonts w:ascii="Verdana" w:hAnsi="Verdana" w:cs="Verdana"/>
          <w:i/>
          <w:color w:val="000000"/>
          <w:spacing w:val="-4"/>
          <w:sz w:val="20"/>
          <w:szCs w:val="20"/>
          <w:lang w:val="es-AR"/>
        </w:rPr>
        <w:t xml:space="preserve"> </w:t>
      </w:r>
      <w:r w:rsidR="00640948" w:rsidRPr="00565BEE">
        <w:rPr>
          <w:rFonts w:ascii="Verdana" w:hAnsi="Verdana" w:cs="Verdana"/>
          <w:color w:val="000000"/>
          <w:spacing w:val="-4"/>
          <w:sz w:val="20"/>
          <w:szCs w:val="20"/>
          <w:lang w:val="es-AR"/>
        </w:rPr>
        <w:t>refi</w:t>
      </w:r>
      <w:r w:rsidR="00565BEE" w:rsidRPr="00565BEE">
        <w:rPr>
          <w:rFonts w:ascii="Verdana" w:hAnsi="Verdana" w:cs="Verdana"/>
          <w:color w:val="000000"/>
          <w:spacing w:val="-4"/>
          <w:sz w:val="20"/>
          <w:szCs w:val="20"/>
          <w:lang w:val="es-AR"/>
        </w:rPr>
        <w:t>rió</w:t>
      </w:r>
      <w:r w:rsidR="00640948" w:rsidRPr="00565BEE">
        <w:rPr>
          <w:rFonts w:ascii="Verdana" w:hAnsi="Verdana" w:cs="Verdana"/>
          <w:color w:val="000000"/>
          <w:spacing w:val="-4"/>
          <w:sz w:val="20"/>
          <w:szCs w:val="20"/>
          <w:lang w:val="es-AR"/>
        </w:rPr>
        <w:t>, en forma conjunta, que “fueron sometidos a una prueba rápida a fin de descartar cualquier contagio por COVID-19, lo que arrojó como resultado: NO REACTIVO”</w:t>
      </w:r>
      <w:r w:rsidR="000F3C99" w:rsidRPr="00565BEE">
        <w:rPr>
          <w:rFonts w:ascii="Verdana" w:hAnsi="Verdana" w:cs="Verdana"/>
          <w:color w:val="000000"/>
          <w:spacing w:val="-4"/>
          <w:sz w:val="20"/>
          <w:szCs w:val="20"/>
          <w:lang w:val="es-AR"/>
        </w:rPr>
        <w:t>;</w:t>
      </w:r>
      <w:r w:rsidR="00640948" w:rsidRPr="00565BEE">
        <w:rPr>
          <w:rFonts w:ascii="Verdana" w:hAnsi="Verdana" w:cs="Verdana"/>
          <w:color w:val="000000"/>
          <w:spacing w:val="-4"/>
          <w:sz w:val="20"/>
          <w:szCs w:val="20"/>
          <w:lang w:val="es-AR"/>
        </w:rPr>
        <w:t xml:space="preserve"> se encuentran </w:t>
      </w:r>
      <w:r w:rsidR="000F3C99" w:rsidRPr="00565BEE">
        <w:rPr>
          <w:rFonts w:ascii="Verdana" w:hAnsi="Verdana" w:cs="Verdana"/>
          <w:color w:val="000000"/>
          <w:spacing w:val="-4"/>
          <w:sz w:val="20"/>
          <w:szCs w:val="20"/>
          <w:lang w:val="es-AR"/>
        </w:rPr>
        <w:t>“</w:t>
      </w:r>
      <w:r w:rsidR="00640948" w:rsidRPr="00565BEE">
        <w:rPr>
          <w:rFonts w:ascii="Verdana" w:hAnsi="Verdana" w:cs="Verdana"/>
          <w:color w:val="000000"/>
          <w:spacing w:val="-4"/>
          <w:sz w:val="20"/>
          <w:szCs w:val="20"/>
          <w:lang w:val="es-AR"/>
        </w:rPr>
        <w:t>clínicamente estables</w:t>
      </w:r>
      <w:r w:rsidR="000F3C99" w:rsidRPr="00565BEE">
        <w:rPr>
          <w:rFonts w:ascii="Verdana" w:hAnsi="Verdana" w:cs="Verdana"/>
          <w:color w:val="000000"/>
          <w:spacing w:val="-4"/>
          <w:sz w:val="20"/>
          <w:szCs w:val="20"/>
          <w:lang w:val="es-AR"/>
        </w:rPr>
        <w:t>”,</w:t>
      </w:r>
      <w:r w:rsidR="00640948" w:rsidRPr="00565BEE">
        <w:rPr>
          <w:rFonts w:ascii="Verdana" w:hAnsi="Verdana" w:cs="Verdana"/>
          <w:color w:val="000000"/>
          <w:spacing w:val="-4"/>
          <w:sz w:val="20"/>
          <w:szCs w:val="20"/>
          <w:lang w:val="es-AR"/>
        </w:rPr>
        <w:t xml:space="preserve"> y no en una </w:t>
      </w:r>
      <w:r w:rsidR="000F3C99" w:rsidRPr="00565BEE">
        <w:rPr>
          <w:rFonts w:ascii="Verdana" w:hAnsi="Verdana" w:cs="Verdana"/>
          <w:color w:val="000000"/>
          <w:spacing w:val="-4"/>
          <w:sz w:val="20"/>
          <w:szCs w:val="20"/>
          <w:lang w:val="es-AR"/>
        </w:rPr>
        <w:t>“</w:t>
      </w:r>
      <w:r w:rsidR="00640948" w:rsidRPr="00565BEE">
        <w:rPr>
          <w:rFonts w:ascii="Verdana" w:hAnsi="Verdana" w:cs="Verdana"/>
          <w:color w:val="000000"/>
          <w:spacing w:val="-4"/>
          <w:sz w:val="20"/>
          <w:szCs w:val="20"/>
          <w:lang w:val="es-AR"/>
        </w:rPr>
        <w:t>situación de extrema gravedad”.</w:t>
      </w:r>
    </w:p>
    <w:p w14:paraId="1749FA0E" w14:textId="611DC02D" w:rsidR="00640948" w:rsidRPr="00395069" w:rsidRDefault="00640948" w:rsidP="00BF0D03">
      <w:pPr>
        <w:numPr>
          <w:ilvl w:val="0"/>
          <w:numId w:val="18"/>
        </w:numPr>
        <w:autoSpaceDE w:val="0"/>
        <w:autoSpaceDN w:val="0"/>
        <w:adjustRightInd w:val="0"/>
        <w:spacing w:before="120" w:after="120"/>
        <w:jc w:val="both"/>
        <w:rPr>
          <w:rFonts w:ascii="Verdana" w:hAnsi="Verdana" w:cs="Verdana"/>
          <w:color w:val="000000"/>
          <w:spacing w:val="-4"/>
          <w:sz w:val="20"/>
          <w:szCs w:val="20"/>
          <w:lang w:val="es-AR"/>
        </w:rPr>
      </w:pPr>
      <w:r w:rsidRPr="00395069">
        <w:rPr>
          <w:rFonts w:ascii="Verdana" w:hAnsi="Verdana" w:cs="Verdana"/>
          <w:color w:val="000000"/>
          <w:spacing w:val="-4"/>
          <w:sz w:val="20"/>
          <w:szCs w:val="20"/>
          <w:lang w:val="es-AR"/>
        </w:rPr>
        <w:t xml:space="preserve">Sobre la </w:t>
      </w:r>
      <w:r w:rsidRPr="00395069">
        <w:rPr>
          <w:rFonts w:ascii="Verdana" w:hAnsi="Verdana" w:cs="Verdana"/>
          <w:i/>
          <w:color w:val="000000"/>
          <w:spacing w:val="-4"/>
          <w:sz w:val="20"/>
          <w:szCs w:val="20"/>
          <w:lang w:val="es-AR"/>
        </w:rPr>
        <w:t>urgencia</w:t>
      </w:r>
      <w:r w:rsidRPr="00395069">
        <w:rPr>
          <w:rFonts w:ascii="Verdana" w:hAnsi="Verdana" w:cs="Verdana"/>
          <w:color w:val="000000"/>
          <w:spacing w:val="-4"/>
          <w:sz w:val="20"/>
          <w:szCs w:val="20"/>
          <w:lang w:val="es-AR"/>
        </w:rPr>
        <w:t xml:space="preserve">, refirió que “no existe riesgo o amenaza inminente” ya que, en todos los casos, </w:t>
      </w:r>
      <w:r w:rsidR="000F3C99">
        <w:rPr>
          <w:rFonts w:ascii="Verdana" w:hAnsi="Verdana" w:cs="Verdana"/>
          <w:color w:val="000000"/>
          <w:spacing w:val="-4"/>
          <w:sz w:val="20"/>
          <w:szCs w:val="20"/>
          <w:lang w:val="es-AR"/>
        </w:rPr>
        <w:t>los tribunales peruanos</w:t>
      </w:r>
      <w:r w:rsidRPr="00395069">
        <w:rPr>
          <w:rFonts w:ascii="Verdana" w:hAnsi="Verdana" w:cs="Verdana"/>
          <w:color w:val="000000"/>
          <w:spacing w:val="-4"/>
          <w:sz w:val="20"/>
          <w:szCs w:val="20"/>
          <w:lang w:val="es-AR"/>
        </w:rPr>
        <w:t xml:space="preserve"> “viene</w:t>
      </w:r>
      <w:r w:rsidR="006A6318">
        <w:rPr>
          <w:rFonts w:ascii="Verdana" w:hAnsi="Verdana" w:cs="Verdana"/>
          <w:color w:val="000000"/>
          <w:spacing w:val="-4"/>
          <w:sz w:val="20"/>
          <w:szCs w:val="20"/>
          <w:lang w:val="es-AR"/>
        </w:rPr>
        <w:t>[</w:t>
      </w:r>
      <w:r w:rsidR="000F3C99">
        <w:rPr>
          <w:rFonts w:ascii="Verdana" w:hAnsi="Verdana" w:cs="Verdana"/>
          <w:color w:val="000000"/>
          <w:spacing w:val="-4"/>
          <w:sz w:val="20"/>
          <w:szCs w:val="20"/>
          <w:lang w:val="es-AR"/>
        </w:rPr>
        <w:t>n</w:t>
      </w:r>
      <w:r w:rsidR="006A6318">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conociendo” o bien ya ha</w:t>
      </w:r>
      <w:r w:rsidR="000F3C99">
        <w:rPr>
          <w:rFonts w:ascii="Verdana" w:hAnsi="Verdana" w:cs="Verdana"/>
          <w:color w:val="000000"/>
          <w:spacing w:val="-4"/>
          <w:sz w:val="20"/>
          <w:szCs w:val="20"/>
          <w:lang w:val="es-AR"/>
        </w:rPr>
        <w:t>n</w:t>
      </w:r>
      <w:r w:rsidRPr="00395069">
        <w:rPr>
          <w:rFonts w:ascii="Verdana" w:hAnsi="Verdana" w:cs="Verdana"/>
          <w:color w:val="000000"/>
          <w:spacing w:val="-4"/>
          <w:sz w:val="20"/>
          <w:szCs w:val="20"/>
          <w:lang w:val="es-AR"/>
        </w:rPr>
        <w:t xml:space="preserve"> conocido respecto de la situación individual de cada uno de los </w:t>
      </w:r>
      <w:r w:rsidR="000F3C99">
        <w:rPr>
          <w:rFonts w:ascii="Verdana" w:hAnsi="Verdana" w:cs="Verdana"/>
          <w:color w:val="000000"/>
          <w:spacing w:val="-4"/>
          <w:sz w:val="20"/>
          <w:szCs w:val="20"/>
          <w:lang w:val="es-AR"/>
        </w:rPr>
        <w:t xml:space="preserve">propuestos </w:t>
      </w:r>
      <w:r w:rsidRPr="00395069">
        <w:rPr>
          <w:rFonts w:ascii="Verdana" w:hAnsi="Verdana" w:cs="Verdana"/>
          <w:color w:val="000000"/>
          <w:spacing w:val="-4"/>
          <w:sz w:val="20"/>
          <w:szCs w:val="20"/>
          <w:lang w:val="es-AR"/>
        </w:rPr>
        <w:t xml:space="preserve">beneficiarios. </w:t>
      </w:r>
    </w:p>
    <w:p w14:paraId="0C0AAD8D" w14:textId="1E91226B" w:rsidR="00640948" w:rsidRPr="00395069" w:rsidRDefault="00640948" w:rsidP="00BF0D03">
      <w:pPr>
        <w:numPr>
          <w:ilvl w:val="0"/>
          <w:numId w:val="18"/>
        </w:numPr>
        <w:autoSpaceDE w:val="0"/>
        <w:autoSpaceDN w:val="0"/>
        <w:adjustRightInd w:val="0"/>
        <w:spacing w:before="120" w:after="120"/>
        <w:jc w:val="both"/>
        <w:rPr>
          <w:rFonts w:ascii="Verdana" w:hAnsi="Verdana" w:cs="Verdana"/>
          <w:b/>
          <w:color w:val="000000"/>
          <w:spacing w:val="-4"/>
          <w:sz w:val="20"/>
          <w:szCs w:val="20"/>
          <w:lang w:val="es-AR"/>
        </w:rPr>
      </w:pPr>
      <w:r w:rsidRPr="00395069">
        <w:rPr>
          <w:rFonts w:ascii="Verdana" w:hAnsi="Verdana" w:cs="Verdana"/>
          <w:color w:val="000000"/>
          <w:spacing w:val="-4"/>
          <w:sz w:val="20"/>
          <w:szCs w:val="20"/>
          <w:lang w:val="es-AR"/>
        </w:rPr>
        <w:t xml:space="preserve">Con respecto al </w:t>
      </w:r>
      <w:r w:rsidRPr="00395069">
        <w:rPr>
          <w:rFonts w:ascii="Verdana" w:hAnsi="Verdana" w:cs="Verdana"/>
          <w:i/>
          <w:color w:val="000000"/>
          <w:spacing w:val="-4"/>
          <w:sz w:val="20"/>
          <w:szCs w:val="20"/>
          <w:lang w:val="es-AR"/>
        </w:rPr>
        <w:t>daño irreparable</w:t>
      </w:r>
      <w:r w:rsidRPr="00395069">
        <w:rPr>
          <w:rFonts w:ascii="Verdana" w:hAnsi="Verdana" w:cs="Verdana"/>
          <w:color w:val="000000"/>
          <w:spacing w:val="-4"/>
          <w:sz w:val="20"/>
          <w:szCs w:val="20"/>
          <w:lang w:val="es-AR"/>
        </w:rPr>
        <w:t>, hizo hincapié en las medidas que el Instituto Nacional Penitenciario viene llevando a cabo en los establecimientos penitenciarios a nivel nacional y</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en específico, en cada uno de los establecimientos en que se encuentran los propuestos beneficiarios, añadiendo que “[s]i bien la probabilidad de contagio es real tanto dentro como fuera de los penales</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w:t>
      </w:r>
      <w:r w:rsidR="000F3C99">
        <w:rPr>
          <w:rFonts w:ascii="Verdana" w:hAnsi="Verdana" w:cs="Verdana"/>
          <w:color w:val="000000"/>
          <w:spacing w:val="-4"/>
          <w:sz w:val="20"/>
          <w:szCs w:val="20"/>
          <w:lang w:val="es-AR"/>
        </w:rPr>
        <w:t>el Estado viene realizando “</w:t>
      </w:r>
      <w:r w:rsidRPr="00395069">
        <w:rPr>
          <w:rFonts w:ascii="Verdana" w:hAnsi="Verdana" w:cs="Verdana"/>
          <w:color w:val="000000"/>
          <w:spacing w:val="-4"/>
          <w:sz w:val="20"/>
          <w:szCs w:val="20"/>
          <w:lang w:val="es-AR"/>
        </w:rPr>
        <w:t xml:space="preserve">esfuerzos </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a través de sus instituciones</w:t>
      </w:r>
      <w:r w:rsidR="000F3C99">
        <w:rPr>
          <w:rFonts w:ascii="Verdana" w:hAnsi="Verdana" w:cs="Verdana"/>
          <w:color w:val="000000"/>
          <w:spacing w:val="-4"/>
          <w:sz w:val="20"/>
          <w:szCs w:val="20"/>
          <w:lang w:val="es-AR"/>
        </w:rPr>
        <w:t xml:space="preserve"> […]</w:t>
      </w:r>
      <w:r w:rsidRPr="00395069">
        <w:rPr>
          <w:rFonts w:ascii="Verdana" w:hAnsi="Verdana" w:cs="Verdana"/>
          <w:color w:val="000000"/>
          <w:spacing w:val="-4"/>
          <w:sz w:val="20"/>
          <w:szCs w:val="20"/>
          <w:lang w:val="es-AR"/>
        </w:rPr>
        <w:t xml:space="preserve"> para hacer frente a la propagación del COVID-19”. Además, en el caso de los señores Morote Barrionuevo, Chumpitaz Aguirre y Aranda Company, precisó que el primero tenía un caso “leve” y se encontraba “estable y bajo el cuidado de personal de salud”, mientras que los restantes dos no estaban contagiados. </w:t>
      </w:r>
    </w:p>
    <w:p w14:paraId="10B0B21F" w14:textId="2D03F2BC" w:rsidR="00640948" w:rsidRPr="00395069" w:rsidRDefault="00640948" w:rsidP="00BF0D03">
      <w:pPr>
        <w:numPr>
          <w:ilvl w:val="0"/>
          <w:numId w:val="18"/>
        </w:numPr>
        <w:autoSpaceDE w:val="0"/>
        <w:autoSpaceDN w:val="0"/>
        <w:adjustRightInd w:val="0"/>
        <w:spacing w:before="120" w:after="120"/>
        <w:jc w:val="both"/>
        <w:rPr>
          <w:rFonts w:ascii="Verdana" w:hAnsi="Verdana" w:cs="Verdana"/>
          <w:b/>
          <w:color w:val="000000"/>
          <w:spacing w:val="-4"/>
          <w:sz w:val="20"/>
          <w:szCs w:val="20"/>
          <w:lang w:val="es-AR"/>
        </w:rPr>
      </w:pPr>
      <w:r w:rsidRPr="00395069">
        <w:rPr>
          <w:rFonts w:ascii="Verdana" w:hAnsi="Verdana" w:cs="Verdana"/>
          <w:color w:val="000000"/>
          <w:spacing w:val="-4"/>
          <w:sz w:val="20"/>
          <w:szCs w:val="20"/>
          <w:lang w:val="es-AR"/>
        </w:rPr>
        <w:t xml:space="preserve">En cuanto al señor </w:t>
      </w:r>
      <w:r w:rsidR="00565BEE" w:rsidRPr="00565BEE">
        <w:rPr>
          <w:rFonts w:ascii="Verdana" w:eastAsiaTheme="minorHAnsi" w:hAnsi="Verdana" w:cs="Arial"/>
          <w:bCs/>
          <w:i/>
          <w:spacing w:val="-4"/>
          <w:sz w:val="20"/>
          <w:szCs w:val="20"/>
          <w:lang w:val="es-AR"/>
        </w:rPr>
        <w:t xml:space="preserve">Atilio Richard </w:t>
      </w:r>
      <w:r w:rsidRPr="00565BEE">
        <w:rPr>
          <w:rFonts w:ascii="Verdana" w:hAnsi="Verdana" w:cs="Verdana"/>
          <w:i/>
          <w:color w:val="000000"/>
          <w:spacing w:val="-4"/>
          <w:sz w:val="20"/>
          <w:szCs w:val="20"/>
          <w:lang w:val="es-AR"/>
        </w:rPr>
        <w:t xml:space="preserve">Cahuana </w:t>
      </w:r>
      <w:proofErr w:type="spellStart"/>
      <w:r w:rsidRPr="00565BEE">
        <w:rPr>
          <w:rFonts w:ascii="Verdana" w:hAnsi="Verdana" w:cs="Verdana"/>
          <w:i/>
          <w:color w:val="000000"/>
          <w:spacing w:val="-4"/>
          <w:sz w:val="20"/>
          <w:szCs w:val="20"/>
          <w:lang w:val="es-AR"/>
        </w:rPr>
        <w:t>Yuyali</w:t>
      </w:r>
      <w:proofErr w:type="spellEnd"/>
      <w:r w:rsidRPr="00395069">
        <w:rPr>
          <w:rFonts w:ascii="Verdana" w:hAnsi="Verdana" w:cs="Verdana"/>
          <w:color w:val="000000"/>
          <w:spacing w:val="-4"/>
          <w:sz w:val="20"/>
          <w:szCs w:val="20"/>
          <w:lang w:val="es-AR"/>
        </w:rPr>
        <w:t>,</w:t>
      </w:r>
      <w:r w:rsidR="00A31A98" w:rsidRPr="00395069">
        <w:rPr>
          <w:rFonts w:ascii="Verdana" w:hAnsi="Verdana" w:cs="Verdana"/>
          <w:color w:val="000000"/>
          <w:spacing w:val="-4"/>
          <w:sz w:val="20"/>
          <w:szCs w:val="20"/>
          <w:lang w:val="es-AR"/>
        </w:rPr>
        <w:t xml:space="preserve"> el</w:t>
      </w:r>
      <w:r w:rsidRPr="00395069">
        <w:rPr>
          <w:rFonts w:ascii="Verdana" w:hAnsi="Verdana" w:cs="Verdana"/>
          <w:color w:val="000000"/>
          <w:spacing w:val="-4"/>
          <w:sz w:val="20"/>
          <w:szCs w:val="20"/>
          <w:lang w:val="es-AR"/>
        </w:rPr>
        <w:t xml:space="preserve"> Perú refirió que “no concurre una situación de extrema gravedad, urgencia e </w:t>
      </w:r>
      <w:proofErr w:type="spellStart"/>
      <w:r w:rsidRPr="00395069">
        <w:rPr>
          <w:rFonts w:ascii="Verdana" w:hAnsi="Verdana" w:cs="Verdana"/>
          <w:color w:val="000000"/>
          <w:spacing w:val="-4"/>
          <w:sz w:val="20"/>
          <w:szCs w:val="20"/>
          <w:lang w:val="es-AR"/>
        </w:rPr>
        <w:t>irreparabilidad</w:t>
      </w:r>
      <w:proofErr w:type="spellEnd"/>
      <w:r w:rsidRPr="00395069">
        <w:rPr>
          <w:rFonts w:ascii="Verdana" w:hAnsi="Verdana" w:cs="Verdana"/>
          <w:color w:val="000000"/>
          <w:spacing w:val="-4"/>
          <w:sz w:val="20"/>
          <w:szCs w:val="20"/>
          <w:lang w:val="es-AR"/>
        </w:rPr>
        <w:t xml:space="preserve"> que pueda ser lesiva a </w:t>
      </w:r>
      <w:r w:rsidR="000F3C99">
        <w:rPr>
          <w:rFonts w:ascii="Verdana" w:hAnsi="Verdana" w:cs="Verdana"/>
          <w:color w:val="000000"/>
          <w:spacing w:val="-4"/>
          <w:sz w:val="20"/>
          <w:szCs w:val="20"/>
          <w:lang w:val="es-AR"/>
        </w:rPr>
        <w:t>[sus]</w:t>
      </w:r>
      <w:r w:rsidR="000F3C99" w:rsidRPr="00395069">
        <w:rPr>
          <w:rFonts w:ascii="Verdana" w:hAnsi="Verdana" w:cs="Verdana"/>
          <w:color w:val="000000"/>
          <w:spacing w:val="-4"/>
          <w:sz w:val="20"/>
          <w:szCs w:val="20"/>
          <w:lang w:val="es-AR"/>
        </w:rPr>
        <w:t xml:space="preserve"> </w:t>
      </w:r>
      <w:r w:rsidRPr="00395069">
        <w:rPr>
          <w:rFonts w:ascii="Verdana" w:hAnsi="Verdana" w:cs="Verdana"/>
          <w:color w:val="000000"/>
          <w:spacing w:val="-4"/>
          <w:sz w:val="20"/>
          <w:szCs w:val="20"/>
          <w:lang w:val="es-AR"/>
        </w:rPr>
        <w:t>derechos a la vida e integridad</w:t>
      </w:r>
      <w:r w:rsidR="00565BEE">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máxime si </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obra otro procedimiento internacional en trámite por los mismos hechos</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w:t>
      </w:r>
      <w:r w:rsidR="006A6318">
        <w:rPr>
          <w:rFonts w:ascii="Verdana" w:hAnsi="Verdana" w:cs="Verdana"/>
          <w:color w:val="000000"/>
          <w:spacing w:val="-4"/>
          <w:sz w:val="20"/>
          <w:szCs w:val="20"/>
          <w:lang w:val="es-AR"/>
        </w:rPr>
        <w:t>(</w:t>
      </w:r>
      <w:r w:rsidRPr="00395069">
        <w:rPr>
          <w:rFonts w:ascii="Verdana" w:hAnsi="Verdana" w:cs="Verdana"/>
          <w:i/>
          <w:color w:val="000000"/>
          <w:spacing w:val="-4"/>
          <w:sz w:val="20"/>
          <w:szCs w:val="20"/>
          <w:lang w:val="es-AR"/>
        </w:rPr>
        <w:t xml:space="preserve">infra </w:t>
      </w:r>
      <w:r w:rsidRPr="00395069">
        <w:rPr>
          <w:rFonts w:ascii="Verdana" w:hAnsi="Verdana" w:cs="Verdana"/>
          <w:color w:val="000000"/>
          <w:spacing w:val="-4"/>
          <w:sz w:val="20"/>
          <w:szCs w:val="20"/>
          <w:lang w:val="es-AR"/>
        </w:rPr>
        <w:t>Considerando</w:t>
      </w:r>
      <w:r w:rsidR="00136F48">
        <w:rPr>
          <w:rFonts w:ascii="Verdana" w:hAnsi="Verdana" w:cs="Verdana"/>
          <w:color w:val="000000"/>
          <w:spacing w:val="-4"/>
          <w:sz w:val="20"/>
          <w:szCs w:val="20"/>
          <w:lang w:val="es-AR"/>
        </w:rPr>
        <w:t>s 16 y</w:t>
      </w:r>
      <w:r w:rsidRPr="00395069">
        <w:rPr>
          <w:rFonts w:ascii="Verdana" w:hAnsi="Verdana" w:cs="Verdana"/>
          <w:color w:val="000000"/>
          <w:spacing w:val="-4"/>
          <w:sz w:val="20"/>
          <w:szCs w:val="20"/>
          <w:lang w:val="es-AR"/>
        </w:rPr>
        <w:t xml:space="preserve"> </w:t>
      </w:r>
      <w:r w:rsidR="00565BEE">
        <w:rPr>
          <w:rFonts w:ascii="Verdana" w:hAnsi="Verdana" w:cs="Verdana"/>
          <w:color w:val="000000"/>
          <w:spacing w:val="-4"/>
          <w:sz w:val="20"/>
          <w:szCs w:val="20"/>
          <w:lang w:val="es-AR"/>
        </w:rPr>
        <w:t>22</w:t>
      </w:r>
      <w:r w:rsidR="006A6318">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el propuesto beneficiario se encuentra </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clínicamente estable recibiendo las atenciones médicas respectivas</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 xml:space="preserve"> y el proceso de hábeas corpus se encuentra </w:t>
      </w:r>
      <w:r w:rsidR="000F3C99">
        <w:rPr>
          <w:rFonts w:ascii="Verdana" w:hAnsi="Verdana" w:cs="Verdana"/>
          <w:color w:val="000000"/>
          <w:spacing w:val="-4"/>
          <w:sz w:val="20"/>
          <w:szCs w:val="20"/>
          <w:lang w:val="es-AR"/>
        </w:rPr>
        <w:t>“</w:t>
      </w:r>
      <w:r w:rsidRPr="00395069">
        <w:rPr>
          <w:rFonts w:ascii="Verdana" w:hAnsi="Verdana" w:cs="Verdana"/>
          <w:color w:val="000000"/>
          <w:spacing w:val="-4"/>
          <w:sz w:val="20"/>
          <w:szCs w:val="20"/>
          <w:lang w:val="es-AR"/>
        </w:rPr>
        <w:t>actualmente en trámite pendiente de una resolución final”.</w:t>
      </w:r>
    </w:p>
    <w:p w14:paraId="62917CF7" w14:textId="386E0486"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AR"/>
        </w:rPr>
      </w:pPr>
      <w:r w:rsidRPr="00395069">
        <w:rPr>
          <w:rFonts w:ascii="Verdana" w:hAnsi="Verdana" w:cs="Verdana"/>
          <w:color w:val="000000"/>
          <w:spacing w:val="-4"/>
          <w:sz w:val="20"/>
          <w:szCs w:val="20"/>
          <w:lang w:val="es-AR"/>
        </w:rPr>
        <w:t xml:space="preserve">Asimismo, el Perú alegó que “el Sistema Interamericano se rige por el principio de subsidiariedad” y “en el presente </w:t>
      </w:r>
      <w:r w:rsidR="00B31A47">
        <w:rPr>
          <w:rFonts w:ascii="Verdana" w:hAnsi="Verdana" w:cs="Verdana"/>
          <w:color w:val="000000"/>
          <w:spacing w:val="-4"/>
          <w:sz w:val="20"/>
          <w:szCs w:val="20"/>
          <w:lang w:val="es-AR"/>
        </w:rPr>
        <w:t>[c]</w:t>
      </w:r>
      <w:r w:rsidRPr="00395069">
        <w:rPr>
          <w:rFonts w:ascii="Verdana" w:hAnsi="Verdana" w:cs="Verdana"/>
          <w:color w:val="000000"/>
          <w:spacing w:val="-4"/>
          <w:sz w:val="20"/>
          <w:szCs w:val="20"/>
          <w:lang w:val="es-AR"/>
        </w:rPr>
        <w:t xml:space="preserve">aso, las atenciones ya han sido brindadas”. </w:t>
      </w:r>
    </w:p>
    <w:p w14:paraId="3566C59B" w14:textId="0370F0B7"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b/>
          <w:color w:val="000000"/>
          <w:spacing w:val="-4"/>
          <w:sz w:val="20"/>
          <w:szCs w:val="20"/>
          <w:lang w:val="es-ES"/>
        </w:rPr>
      </w:pPr>
      <w:r w:rsidRPr="00395069">
        <w:rPr>
          <w:rFonts w:ascii="Verdana" w:hAnsi="Verdana" w:cs="Verdana"/>
          <w:color w:val="000000"/>
          <w:spacing w:val="-4"/>
          <w:sz w:val="20"/>
          <w:szCs w:val="20"/>
          <w:lang w:val="es-AR"/>
        </w:rPr>
        <w:t xml:space="preserve">Específicamente respecto de la solicitud relativa a “permitir que </w:t>
      </w:r>
      <w:r w:rsidRPr="00395069">
        <w:rPr>
          <w:rFonts w:ascii="Verdana" w:hAnsi="Verdana"/>
          <w:spacing w:val="-4"/>
          <w:sz w:val="20"/>
          <w:szCs w:val="20"/>
          <w:lang w:val="es-AR"/>
        </w:rPr>
        <w:t>los [propuestos] beneficiarios puedan cumplir la pena privativa de libertad en detención domiciliaria”, (</w:t>
      </w:r>
      <w:r w:rsidRPr="00395069">
        <w:rPr>
          <w:rFonts w:ascii="Verdana" w:hAnsi="Verdana"/>
          <w:i/>
          <w:spacing w:val="-4"/>
          <w:sz w:val="20"/>
          <w:szCs w:val="20"/>
          <w:lang w:val="es-AR"/>
        </w:rPr>
        <w:t xml:space="preserve">supra </w:t>
      </w:r>
      <w:r w:rsidRPr="00395069">
        <w:rPr>
          <w:rFonts w:ascii="Verdana" w:hAnsi="Verdana"/>
          <w:spacing w:val="-4"/>
          <w:sz w:val="20"/>
          <w:szCs w:val="20"/>
          <w:lang w:val="es-AR"/>
        </w:rPr>
        <w:t xml:space="preserve">Considerando </w:t>
      </w:r>
      <w:r w:rsidR="001A7A68">
        <w:rPr>
          <w:rFonts w:ascii="Verdana" w:hAnsi="Verdana"/>
          <w:spacing w:val="-4"/>
          <w:sz w:val="20"/>
          <w:szCs w:val="20"/>
          <w:lang w:val="es-AR"/>
        </w:rPr>
        <w:fldChar w:fldCharType="begin"/>
      </w:r>
      <w:r w:rsidR="001A7A68">
        <w:rPr>
          <w:rFonts w:ascii="Verdana" w:hAnsi="Verdana"/>
          <w:spacing w:val="-4"/>
          <w:sz w:val="20"/>
          <w:szCs w:val="20"/>
          <w:lang w:val="es-AR"/>
        </w:rPr>
        <w:instrText xml:space="preserve"> REF _Ref46241417 \r \h </w:instrText>
      </w:r>
      <w:r w:rsidR="001A7A68">
        <w:rPr>
          <w:rFonts w:ascii="Verdana" w:hAnsi="Verdana"/>
          <w:spacing w:val="-4"/>
          <w:sz w:val="20"/>
          <w:szCs w:val="20"/>
          <w:lang w:val="es-AR"/>
        </w:rPr>
      </w:r>
      <w:r w:rsidR="001A7A68">
        <w:rPr>
          <w:rFonts w:ascii="Verdana" w:hAnsi="Verdana"/>
          <w:spacing w:val="-4"/>
          <w:sz w:val="20"/>
          <w:szCs w:val="20"/>
          <w:lang w:val="es-AR"/>
        </w:rPr>
        <w:fldChar w:fldCharType="separate"/>
      </w:r>
      <w:r w:rsidR="00337FEC">
        <w:rPr>
          <w:rFonts w:ascii="Verdana" w:hAnsi="Verdana"/>
          <w:spacing w:val="-4"/>
          <w:sz w:val="20"/>
          <w:szCs w:val="20"/>
          <w:lang w:val="es-AR"/>
        </w:rPr>
        <w:t>4</w:t>
      </w:r>
      <w:r w:rsidR="001A7A68">
        <w:rPr>
          <w:rFonts w:ascii="Verdana" w:hAnsi="Verdana"/>
          <w:spacing w:val="-4"/>
          <w:sz w:val="20"/>
          <w:szCs w:val="20"/>
          <w:lang w:val="es-AR"/>
        </w:rPr>
        <w:fldChar w:fldCharType="end"/>
      </w:r>
      <w:r w:rsidRPr="00395069">
        <w:rPr>
          <w:rFonts w:ascii="Verdana" w:hAnsi="Verdana"/>
          <w:spacing w:val="-4"/>
          <w:sz w:val="20"/>
          <w:szCs w:val="20"/>
          <w:lang w:val="es-AR"/>
        </w:rPr>
        <w:t xml:space="preserve">), así como </w:t>
      </w:r>
      <w:r w:rsidR="00565BEE">
        <w:rPr>
          <w:rFonts w:ascii="Verdana" w:hAnsi="Verdana"/>
          <w:spacing w:val="-4"/>
          <w:sz w:val="20"/>
          <w:szCs w:val="20"/>
          <w:lang w:val="es-AR"/>
        </w:rPr>
        <w:t>d</w:t>
      </w:r>
      <w:r w:rsidRPr="00395069">
        <w:rPr>
          <w:rFonts w:ascii="Verdana" w:hAnsi="Verdana"/>
          <w:spacing w:val="-4"/>
          <w:sz w:val="20"/>
          <w:szCs w:val="20"/>
          <w:lang w:val="es-AR"/>
        </w:rPr>
        <w:t>el alegato de los intervinientes comunes en cuanto a que la normativa recientemente adoptada resulta discriminatoria en tanto excluye los casos de personas</w:t>
      </w:r>
      <w:r w:rsidR="001A7A68">
        <w:rPr>
          <w:rFonts w:ascii="Verdana" w:hAnsi="Verdana"/>
          <w:spacing w:val="-4"/>
          <w:sz w:val="20"/>
          <w:szCs w:val="20"/>
          <w:lang w:val="es-AR"/>
        </w:rPr>
        <w:t xml:space="preserve"> condenadas por terrorismo</w:t>
      </w:r>
      <w:r w:rsidR="00DC49BF">
        <w:rPr>
          <w:rFonts w:ascii="Verdana" w:hAnsi="Verdana"/>
          <w:spacing w:val="-4"/>
          <w:sz w:val="20"/>
          <w:szCs w:val="20"/>
          <w:lang w:val="es-AR"/>
        </w:rPr>
        <w:t>,</w:t>
      </w:r>
      <w:r w:rsidRPr="00395069">
        <w:rPr>
          <w:rFonts w:ascii="Verdana" w:hAnsi="Verdana"/>
          <w:spacing w:val="-4"/>
          <w:sz w:val="20"/>
          <w:szCs w:val="20"/>
          <w:lang w:val="es-AR"/>
        </w:rPr>
        <w:t xml:space="preserve"> como sería el caso de los cinco propuestos beneficiarios</w:t>
      </w:r>
      <w:r w:rsidRPr="00395069">
        <w:rPr>
          <w:rStyle w:val="Refdenotaalpie"/>
          <w:rFonts w:cs="Verdana"/>
          <w:color w:val="000000"/>
          <w:spacing w:val="-4"/>
          <w:szCs w:val="20"/>
          <w:lang w:val="es-ES"/>
        </w:rPr>
        <w:footnoteReference w:id="34"/>
      </w:r>
      <w:r w:rsidRPr="00395069">
        <w:rPr>
          <w:rFonts w:ascii="Verdana" w:hAnsi="Verdana"/>
          <w:spacing w:val="-4"/>
          <w:sz w:val="20"/>
          <w:szCs w:val="20"/>
          <w:lang w:val="es-AR"/>
        </w:rPr>
        <w:t xml:space="preserve">, </w:t>
      </w:r>
      <w:r w:rsidRPr="00395069">
        <w:rPr>
          <w:rFonts w:ascii="Verdana" w:hAnsi="Verdana" w:cs="Verdana"/>
          <w:color w:val="000000"/>
          <w:spacing w:val="-4"/>
          <w:sz w:val="20"/>
          <w:szCs w:val="20"/>
          <w:lang w:val="es-ES"/>
        </w:rPr>
        <w:t xml:space="preserve">el Perú aclaró que la normativa adoptada “no va </w:t>
      </w:r>
      <w:r w:rsidRPr="00395069">
        <w:rPr>
          <w:rFonts w:ascii="Verdana" w:hAnsi="Verdana" w:cs="Verdana"/>
          <w:color w:val="000000"/>
          <w:spacing w:val="-4"/>
          <w:sz w:val="20"/>
          <w:szCs w:val="20"/>
          <w:lang w:val="es-ES"/>
        </w:rPr>
        <w:lastRenderedPageBreak/>
        <w:t>enmarcada solo en [el delito de terrorismo]”, ya que “sólo prevé el egreso de personas procesadas y condenadas por delitos de menor lesividad, m[a]s no a personas procesadas y condenadas por delitos graves”.</w:t>
      </w:r>
    </w:p>
    <w:p w14:paraId="19FCCED8" w14:textId="7F09D987" w:rsidR="00640948"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color w:val="000000"/>
          <w:spacing w:val="-4"/>
          <w:sz w:val="20"/>
          <w:szCs w:val="20"/>
          <w:lang w:val="es-ES"/>
        </w:rPr>
      </w:pPr>
      <w:bookmarkStart w:id="8" w:name="_Ref46184554"/>
      <w:r w:rsidRPr="00395069">
        <w:rPr>
          <w:rFonts w:ascii="Verdana" w:hAnsi="Verdana" w:cs="Verdana"/>
          <w:color w:val="000000"/>
          <w:spacing w:val="-4"/>
          <w:sz w:val="20"/>
          <w:szCs w:val="20"/>
          <w:lang w:val="es-AR"/>
        </w:rPr>
        <w:t>Finalmente</w:t>
      </w:r>
      <w:r w:rsidRPr="00395069">
        <w:rPr>
          <w:rFonts w:ascii="Verdana" w:hAnsi="Verdana" w:cs="Verdana"/>
          <w:color w:val="000000"/>
          <w:spacing w:val="-4"/>
          <w:sz w:val="20"/>
          <w:szCs w:val="20"/>
          <w:lang w:val="es-ES"/>
        </w:rPr>
        <w:t>, Perú solicitó que se rechazara la solicitud por existir “</w:t>
      </w:r>
      <w:r w:rsidRPr="00395069">
        <w:rPr>
          <w:rFonts w:ascii="Verdana" w:hAnsi="Verdana" w:cs="Verdana"/>
          <w:i/>
          <w:color w:val="000000"/>
          <w:spacing w:val="-4"/>
          <w:sz w:val="20"/>
          <w:szCs w:val="20"/>
          <w:lang w:val="es-ES"/>
        </w:rPr>
        <w:t>duplicidad</w:t>
      </w:r>
      <w:r w:rsidRPr="00395069">
        <w:rPr>
          <w:rFonts w:ascii="Verdana" w:hAnsi="Verdana" w:cs="Verdana"/>
          <w:color w:val="000000"/>
          <w:spacing w:val="-4"/>
          <w:sz w:val="20"/>
          <w:szCs w:val="20"/>
          <w:lang w:val="es-ES"/>
        </w:rPr>
        <w:t>”</w:t>
      </w:r>
      <w:r w:rsidR="00716611">
        <w:rPr>
          <w:rFonts w:ascii="Verdana" w:hAnsi="Verdana" w:cs="Verdana"/>
          <w:color w:val="000000"/>
          <w:spacing w:val="-4"/>
          <w:sz w:val="20"/>
          <w:szCs w:val="20"/>
          <w:lang w:val="es-ES"/>
        </w:rPr>
        <w:t xml:space="preserve"> de procedimientos en el Sistema Interamericano</w:t>
      </w:r>
      <w:r w:rsidRPr="00395069">
        <w:rPr>
          <w:rFonts w:ascii="Verdana" w:hAnsi="Verdana" w:cs="Verdana"/>
          <w:color w:val="000000"/>
          <w:spacing w:val="-4"/>
          <w:sz w:val="20"/>
          <w:szCs w:val="20"/>
          <w:lang w:val="es-ES"/>
        </w:rPr>
        <w:t xml:space="preserve">, en tanto existen dos medidas cautelares ante la Comisión pendientes de resolución, respecto de </w:t>
      </w:r>
      <w:r w:rsidR="00084BDD">
        <w:rPr>
          <w:rFonts w:ascii="Verdana" w:hAnsi="Verdana" w:cs="Verdana"/>
          <w:color w:val="000000"/>
          <w:spacing w:val="-4"/>
          <w:sz w:val="20"/>
          <w:szCs w:val="20"/>
          <w:lang w:val="es-ES"/>
        </w:rPr>
        <w:t>tres</w:t>
      </w:r>
      <w:r w:rsidRPr="00395069">
        <w:rPr>
          <w:rFonts w:ascii="Verdana" w:hAnsi="Verdana" w:cs="Verdana"/>
          <w:color w:val="000000"/>
          <w:spacing w:val="-4"/>
          <w:sz w:val="20"/>
          <w:szCs w:val="20"/>
          <w:vertAlign w:val="superscript"/>
          <w:lang w:val="es-ES"/>
        </w:rPr>
        <w:footnoteReference w:id="35"/>
      </w:r>
      <w:r w:rsidRPr="00395069">
        <w:rPr>
          <w:rFonts w:ascii="Verdana" w:hAnsi="Verdana" w:cs="Verdana"/>
          <w:color w:val="000000"/>
          <w:spacing w:val="-4"/>
          <w:sz w:val="20"/>
          <w:szCs w:val="20"/>
          <w:lang w:val="es-ES"/>
        </w:rPr>
        <w:t xml:space="preserve"> de los </w:t>
      </w:r>
      <w:r w:rsidR="00084BDD">
        <w:rPr>
          <w:rFonts w:ascii="Verdana" w:hAnsi="Verdana" w:cs="Verdana"/>
          <w:color w:val="000000"/>
          <w:spacing w:val="-4"/>
          <w:sz w:val="20"/>
          <w:szCs w:val="20"/>
          <w:lang w:val="es-ES"/>
        </w:rPr>
        <w:t>cinco</w:t>
      </w:r>
      <w:r w:rsidR="00084BDD" w:rsidRPr="00395069">
        <w:rPr>
          <w:rFonts w:ascii="Verdana" w:hAnsi="Verdana" w:cs="Verdana"/>
          <w:color w:val="000000"/>
          <w:spacing w:val="-4"/>
          <w:sz w:val="20"/>
          <w:szCs w:val="20"/>
          <w:lang w:val="es-ES"/>
        </w:rPr>
        <w:t xml:space="preserve"> </w:t>
      </w:r>
      <w:r w:rsidRPr="00395069">
        <w:rPr>
          <w:rFonts w:ascii="Verdana" w:hAnsi="Verdana" w:cs="Verdana"/>
          <w:color w:val="000000"/>
          <w:spacing w:val="-4"/>
          <w:sz w:val="20"/>
          <w:szCs w:val="20"/>
          <w:lang w:val="es-ES"/>
        </w:rPr>
        <w:t>propuestos beneficiarios</w:t>
      </w:r>
      <w:r w:rsidR="00084BDD">
        <w:rPr>
          <w:rFonts w:ascii="Verdana" w:hAnsi="Verdana" w:cs="Verdana"/>
          <w:color w:val="000000"/>
          <w:spacing w:val="-4"/>
          <w:sz w:val="20"/>
          <w:szCs w:val="20"/>
          <w:lang w:val="es-ES"/>
        </w:rPr>
        <w:t xml:space="preserve"> de las medidas provisionales solicitadas ante esta Corte</w:t>
      </w:r>
      <w:r w:rsidRPr="00395069">
        <w:rPr>
          <w:rFonts w:ascii="Verdana" w:hAnsi="Verdana" w:cs="Verdana"/>
          <w:color w:val="000000"/>
          <w:spacing w:val="-4"/>
          <w:sz w:val="20"/>
          <w:szCs w:val="20"/>
          <w:lang w:val="es-ES"/>
        </w:rPr>
        <w:t>, por los mismos fundamentos.</w:t>
      </w:r>
      <w:bookmarkEnd w:id="8"/>
      <w:r w:rsidRPr="00395069">
        <w:rPr>
          <w:rFonts w:ascii="Verdana" w:hAnsi="Verdana" w:cs="Verdana"/>
          <w:color w:val="000000"/>
          <w:spacing w:val="-4"/>
          <w:sz w:val="20"/>
          <w:szCs w:val="20"/>
          <w:lang w:val="es-ES"/>
        </w:rPr>
        <w:t xml:space="preserve"> </w:t>
      </w:r>
    </w:p>
    <w:p w14:paraId="79009E95" w14:textId="77777777" w:rsidR="00981C15" w:rsidRDefault="00981C15" w:rsidP="00981C15">
      <w:pPr>
        <w:pStyle w:val="Prrafodelista"/>
        <w:autoSpaceDE w:val="0"/>
        <w:autoSpaceDN w:val="0"/>
        <w:adjustRightInd w:val="0"/>
        <w:spacing w:before="120" w:after="120" w:line="240" w:lineRule="auto"/>
        <w:ind w:left="0"/>
        <w:contextualSpacing w:val="0"/>
        <w:jc w:val="both"/>
        <w:rPr>
          <w:rFonts w:ascii="Verdana" w:hAnsi="Verdana" w:cs="Verdana"/>
          <w:color w:val="000000"/>
          <w:spacing w:val="-4"/>
          <w:sz w:val="20"/>
          <w:szCs w:val="20"/>
          <w:lang w:val="es-ES"/>
        </w:rPr>
      </w:pPr>
    </w:p>
    <w:p w14:paraId="6BCBFC80" w14:textId="77777777" w:rsidR="00640948" w:rsidRPr="00395069" w:rsidRDefault="00640948" w:rsidP="00BF0D03">
      <w:pPr>
        <w:pStyle w:val="Prrafodelista"/>
        <w:numPr>
          <w:ilvl w:val="0"/>
          <w:numId w:val="2"/>
        </w:numPr>
        <w:spacing w:before="120" w:after="120" w:line="240" w:lineRule="auto"/>
        <w:contextualSpacing w:val="0"/>
        <w:jc w:val="both"/>
        <w:rPr>
          <w:rFonts w:ascii="Verdana" w:hAnsi="Verdana" w:cs="Verdana"/>
          <w:b/>
          <w:i/>
          <w:spacing w:val="-4"/>
          <w:sz w:val="20"/>
          <w:szCs w:val="20"/>
          <w:lang w:val="es-CR"/>
        </w:rPr>
      </w:pPr>
      <w:r w:rsidRPr="00395069">
        <w:rPr>
          <w:rFonts w:ascii="Verdana" w:hAnsi="Verdana" w:cs="Verdana"/>
          <w:b/>
          <w:i/>
          <w:spacing w:val="-4"/>
          <w:sz w:val="20"/>
          <w:szCs w:val="20"/>
          <w:lang w:val="es-CR"/>
        </w:rPr>
        <w:t>Observaciones de la Comisión Interamericana</w:t>
      </w:r>
    </w:p>
    <w:p w14:paraId="7CFB3BE5" w14:textId="3A411A88" w:rsidR="00640948" w:rsidRPr="00395069" w:rsidRDefault="00640948" w:rsidP="00BF0D03">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b/>
          <w:color w:val="000000"/>
          <w:spacing w:val="-4"/>
          <w:sz w:val="20"/>
          <w:szCs w:val="20"/>
          <w:lang w:val="es-ES"/>
        </w:rPr>
      </w:pPr>
      <w:r w:rsidRPr="00395069">
        <w:rPr>
          <w:rFonts w:ascii="Verdana" w:hAnsi="Verdana" w:cs="Verdana"/>
          <w:color w:val="000000"/>
          <w:spacing w:val="-4"/>
          <w:sz w:val="20"/>
          <w:szCs w:val="20"/>
          <w:lang w:val="es-ES"/>
        </w:rPr>
        <w:t xml:space="preserve">La Comisión indicó que la Corte “podría analizar la información recibida en el marco del proceso de supervisión de cumplimiento de la </w:t>
      </w:r>
      <w:r w:rsidR="00B853D8">
        <w:rPr>
          <w:rFonts w:ascii="Verdana" w:hAnsi="Verdana" w:cs="Verdana"/>
          <w:color w:val="000000"/>
          <w:spacing w:val="-4"/>
          <w:sz w:val="20"/>
          <w:szCs w:val="20"/>
          <w:lang w:val="es-ES"/>
        </w:rPr>
        <w:t>[S]</w:t>
      </w:r>
      <w:proofErr w:type="spellStart"/>
      <w:r w:rsidRPr="00395069">
        <w:rPr>
          <w:rFonts w:ascii="Verdana" w:hAnsi="Verdana" w:cs="Verdana"/>
          <w:color w:val="000000"/>
          <w:spacing w:val="-4"/>
          <w:sz w:val="20"/>
          <w:szCs w:val="20"/>
          <w:lang w:val="es-ES"/>
        </w:rPr>
        <w:t>entencia</w:t>
      </w:r>
      <w:proofErr w:type="spellEnd"/>
      <w:r w:rsidRPr="00395069">
        <w:rPr>
          <w:rFonts w:ascii="Verdana" w:hAnsi="Verdana" w:cs="Verdana"/>
          <w:color w:val="000000"/>
          <w:spacing w:val="-4"/>
          <w:sz w:val="20"/>
          <w:szCs w:val="20"/>
          <w:lang w:val="es-ES"/>
        </w:rPr>
        <w:t xml:space="preserve">”, ya que las cuestiones sobre las cuales versa la solicitud se relacionan con el cumplimiento de la medida de rehabilitación ordenada </w:t>
      </w:r>
      <w:r w:rsidR="00E6185C">
        <w:rPr>
          <w:rFonts w:ascii="Verdana" w:hAnsi="Verdana" w:cs="Verdana"/>
          <w:color w:val="000000"/>
          <w:spacing w:val="-4"/>
          <w:sz w:val="20"/>
          <w:szCs w:val="20"/>
          <w:lang w:val="es-ES"/>
        </w:rPr>
        <w:t>en</w:t>
      </w:r>
      <w:r w:rsidRPr="00395069">
        <w:rPr>
          <w:rFonts w:ascii="Verdana" w:hAnsi="Verdana" w:cs="Verdana"/>
          <w:color w:val="000000"/>
          <w:spacing w:val="-4"/>
          <w:sz w:val="20"/>
          <w:szCs w:val="20"/>
          <w:lang w:val="es-ES"/>
        </w:rPr>
        <w:t xml:space="preserve"> </w:t>
      </w:r>
      <w:r w:rsidR="00B853D8">
        <w:rPr>
          <w:rFonts w:ascii="Verdana" w:hAnsi="Verdana" w:cs="Verdana"/>
          <w:color w:val="000000"/>
          <w:spacing w:val="-4"/>
          <w:sz w:val="20"/>
          <w:szCs w:val="20"/>
          <w:lang w:val="es-ES"/>
        </w:rPr>
        <w:t>el Fallo</w:t>
      </w:r>
      <w:r w:rsidRPr="00395069">
        <w:rPr>
          <w:rFonts w:ascii="Verdana" w:hAnsi="Verdana" w:cs="Verdana"/>
          <w:color w:val="000000"/>
          <w:spacing w:val="-4"/>
          <w:sz w:val="20"/>
          <w:szCs w:val="20"/>
          <w:lang w:val="es-ES"/>
        </w:rPr>
        <w:t xml:space="preserve">. Asimismo, observó que el Estado había informado sobre “las medidas adoptadas para evitar la propagación de la COVID-19 en el Sistema Penitenciario en su conjunto, particularmente con miras a reducir el hacinamiento de las cárceles </w:t>
      </w:r>
      <w:r w:rsidR="00E6185C">
        <w:rPr>
          <w:rFonts w:ascii="Verdana" w:hAnsi="Verdana" w:cs="Verdana"/>
          <w:color w:val="000000"/>
          <w:spacing w:val="-4"/>
          <w:sz w:val="20"/>
          <w:szCs w:val="20"/>
          <w:lang w:val="es-ES"/>
        </w:rPr>
        <w:t>[…]</w:t>
      </w:r>
      <w:r w:rsidRPr="00395069">
        <w:rPr>
          <w:rFonts w:ascii="Verdana" w:hAnsi="Verdana" w:cs="Verdana"/>
          <w:color w:val="000000"/>
          <w:spacing w:val="-4"/>
          <w:sz w:val="20"/>
          <w:szCs w:val="20"/>
          <w:lang w:val="es-ES"/>
        </w:rPr>
        <w:t>, que incluye aquellos en los que se encuentran las personas identificadas”</w:t>
      </w:r>
      <w:r w:rsidR="00B853D8">
        <w:rPr>
          <w:rFonts w:ascii="Verdana" w:hAnsi="Verdana" w:cs="Verdana"/>
          <w:color w:val="000000"/>
          <w:spacing w:val="-4"/>
          <w:sz w:val="20"/>
          <w:szCs w:val="20"/>
          <w:lang w:val="es-ES"/>
        </w:rPr>
        <w:t>, y</w:t>
      </w:r>
      <w:r w:rsidRPr="00395069">
        <w:rPr>
          <w:rFonts w:ascii="Verdana" w:hAnsi="Verdana" w:cs="Verdana"/>
          <w:color w:val="000000"/>
          <w:spacing w:val="-4"/>
          <w:sz w:val="20"/>
          <w:szCs w:val="20"/>
          <w:lang w:val="es-ES"/>
        </w:rPr>
        <w:t xml:space="preserve"> que </w:t>
      </w:r>
      <w:r w:rsidR="00B853D8">
        <w:rPr>
          <w:rFonts w:ascii="Verdana" w:hAnsi="Verdana" w:cs="Verdana"/>
          <w:color w:val="000000"/>
          <w:spacing w:val="-4"/>
          <w:sz w:val="20"/>
          <w:szCs w:val="20"/>
          <w:lang w:val="es-ES"/>
        </w:rPr>
        <w:t xml:space="preserve">este </w:t>
      </w:r>
      <w:r w:rsidRPr="00395069">
        <w:rPr>
          <w:rFonts w:ascii="Verdana" w:hAnsi="Verdana" w:cs="Verdana"/>
          <w:color w:val="000000"/>
          <w:spacing w:val="-4"/>
          <w:sz w:val="20"/>
          <w:szCs w:val="20"/>
          <w:lang w:val="es-ES"/>
        </w:rPr>
        <w:t>había “</w:t>
      </w:r>
      <w:proofErr w:type="spellStart"/>
      <w:r w:rsidRPr="00395069">
        <w:rPr>
          <w:rFonts w:ascii="Verdana" w:hAnsi="Verdana" w:cs="Verdana"/>
          <w:color w:val="000000"/>
          <w:spacing w:val="-4"/>
          <w:sz w:val="20"/>
          <w:szCs w:val="20"/>
          <w:lang w:val="es-ES"/>
        </w:rPr>
        <w:t>detall</w:t>
      </w:r>
      <w:proofErr w:type="spellEnd"/>
      <w:r w:rsidRPr="00395069">
        <w:rPr>
          <w:rFonts w:ascii="Verdana" w:hAnsi="Verdana" w:cs="Verdana"/>
          <w:color w:val="000000"/>
          <w:spacing w:val="-4"/>
          <w:sz w:val="20"/>
          <w:szCs w:val="20"/>
          <w:lang w:val="es-ES"/>
        </w:rPr>
        <w:t>[</w:t>
      </w:r>
      <w:proofErr w:type="spellStart"/>
      <w:r w:rsidRPr="00395069">
        <w:rPr>
          <w:rFonts w:ascii="Verdana" w:hAnsi="Verdana" w:cs="Verdana"/>
          <w:color w:val="000000"/>
          <w:spacing w:val="-4"/>
          <w:sz w:val="20"/>
          <w:szCs w:val="20"/>
          <w:lang w:val="es-ES"/>
        </w:rPr>
        <w:t>ado</w:t>
      </w:r>
      <w:proofErr w:type="spellEnd"/>
      <w:r w:rsidRPr="00395069">
        <w:rPr>
          <w:rFonts w:ascii="Verdana" w:hAnsi="Verdana" w:cs="Verdana"/>
          <w:color w:val="000000"/>
          <w:spacing w:val="-4"/>
          <w:sz w:val="20"/>
          <w:szCs w:val="20"/>
          <w:lang w:val="es-ES"/>
        </w:rPr>
        <w:t>] que, pese a la emergencia sanitaria, el Poder Judicial ha venido conociendo demandas de Habeas Corpus, como aquellas presentadas internamente en el presente asunto a favor de las personas identificadas, con miras a garantizar el servicio judicial”</w:t>
      </w:r>
      <w:r w:rsidR="00B853D8">
        <w:rPr>
          <w:rFonts w:ascii="Verdana" w:hAnsi="Verdana" w:cs="Verdana"/>
          <w:color w:val="000000"/>
          <w:spacing w:val="-4"/>
          <w:sz w:val="20"/>
          <w:szCs w:val="20"/>
          <w:lang w:val="es-ES"/>
        </w:rPr>
        <w:t>. Además</w:t>
      </w:r>
      <w:r w:rsidRPr="00395069">
        <w:rPr>
          <w:rFonts w:ascii="Verdana" w:hAnsi="Verdana" w:cs="Verdana"/>
          <w:color w:val="000000"/>
          <w:spacing w:val="-4"/>
          <w:sz w:val="20"/>
          <w:szCs w:val="20"/>
          <w:lang w:val="es-ES"/>
        </w:rPr>
        <w:t xml:space="preserve"> “</w:t>
      </w:r>
      <w:proofErr w:type="spellStart"/>
      <w:r w:rsidRPr="00395069">
        <w:rPr>
          <w:rFonts w:ascii="Verdana" w:hAnsi="Verdana" w:cs="Verdana"/>
          <w:color w:val="000000"/>
          <w:spacing w:val="-4"/>
          <w:sz w:val="20"/>
          <w:szCs w:val="20"/>
          <w:lang w:val="es-ES"/>
        </w:rPr>
        <w:t>advi</w:t>
      </w:r>
      <w:proofErr w:type="spellEnd"/>
      <w:r w:rsidRPr="00395069">
        <w:rPr>
          <w:rFonts w:ascii="Verdana" w:hAnsi="Verdana" w:cs="Verdana"/>
          <w:color w:val="000000"/>
          <w:spacing w:val="-4"/>
          <w:sz w:val="20"/>
          <w:szCs w:val="20"/>
          <w:lang w:val="es-ES"/>
        </w:rPr>
        <w:t>[</w:t>
      </w:r>
      <w:proofErr w:type="spellStart"/>
      <w:r w:rsidRPr="00395069">
        <w:rPr>
          <w:rFonts w:ascii="Verdana" w:hAnsi="Verdana" w:cs="Verdana"/>
          <w:color w:val="000000"/>
          <w:spacing w:val="-4"/>
          <w:sz w:val="20"/>
          <w:szCs w:val="20"/>
          <w:lang w:val="es-ES"/>
        </w:rPr>
        <w:t>rtió</w:t>
      </w:r>
      <w:proofErr w:type="spellEnd"/>
      <w:r w:rsidRPr="00395069">
        <w:rPr>
          <w:rFonts w:ascii="Verdana" w:hAnsi="Verdana" w:cs="Verdana"/>
          <w:color w:val="000000"/>
          <w:spacing w:val="-4"/>
          <w:sz w:val="20"/>
          <w:szCs w:val="20"/>
          <w:lang w:val="es-ES"/>
        </w:rPr>
        <w:t>] que el Estado presentó soporte documentario médico reciente respecto de la situación de salud de cada uno”</w:t>
      </w:r>
      <w:r w:rsidR="00136F48">
        <w:rPr>
          <w:rFonts w:ascii="Verdana" w:hAnsi="Verdana" w:cs="Verdana"/>
          <w:color w:val="000000"/>
          <w:spacing w:val="-4"/>
          <w:sz w:val="20"/>
          <w:szCs w:val="20"/>
          <w:lang w:val="es-ES"/>
        </w:rPr>
        <w:t xml:space="preserve"> de los propuestos beneficiarios</w:t>
      </w:r>
      <w:r w:rsidRPr="00395069">
        <w:rPr>
          <w:rFonts w:ascii="Verdana" w:hAnsi="Verdana" w:cs="Verdana"/>
          <w:color w:val="000000"/>
          <w:spacing w:val="-4"/>
          <w:sz w:val="20"/>
          <w:szCs w:val="20"/>
          <w:vertAlign w:val="superscript"/>
          <w:lang w:val="es-ES"/>
        </w:rPr>
        <w:footnoteReference w:id="36"/>
      </w:r>
      <w:r w:rsidR="00E6185C">
        <w:rPr>
          <w:rFonts w:ascii="Verdana" w:hAnsi="Verdana" w:cs="Verdana"/>
          <w:color w:val="000000"/>
          <w:spacing w:val="-4"/>
          <w:sz w:val="20"/>
          <w:szCs w:val="20"/>
          <w:lang w:val="es-ES"/>
        </w:rPr>
        <w:t>, según el cual “</w:t>
      </w:r>
      <w:r w:rsidRPr="00395069">
        <w:rPr>
          <w:rFonts w:ascii="Verdana" w:hAnsi="Verdana" w:cs="Verdana"/>
          <w:color w:val="000000"/>
          <w:spacing w:val="-4"/>
          <w:sz w:val="20"/>
          <w:szCs w:val="20"/>
          <w:lang w:val="es-ES"/>
        </w:rPr>
        <w:t>habrían recibido los tratamientos correspondientes a la luz de las valoraciones médicas realizadas</w:t>
      </w:r>
      <w:r w:rsidR="00E6185C">
        <w:rPr>
          <w:rFonts w:ascii="Verdana" w:hAnsi="Verdana" w:cs="Verdana"/>
          <w:color w:val="000000"/>
          <w:spacing w:val="-4"/>
          <w:sz w:val="20"/>
          <w:szCs w:val="20"/>
          <w:lang w:val="es-ES"/>
        </w:rPr>
        <w:t>”</w:t>
      </w:r>
      <w:r w:rsidRPr="00395069">
        <w:rPr>
          <w:rFonts w:ascii="Verdana" w:hAnsi="Verdana" w:cs="Verdana"/>
          <w:color w:val="000000"/>
          <w:spacing w:val="-4"/>
          <w:sz w:val="20"/>
          <w:szCs w:val="20"/>
          <w:lang w:val="es-ES"/>
        </w:rPr>
        <w:t>.</w:t>
      </w:r>
    </w:p>
    <w:p w14:paraId="224252F1" w14:textId="66469FC2" w:rsidR="00640948" w:rsidRPr="001133E5" w:rsidRDefault="00640948"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cs="Verdana"/>
          <w:b/>
          <w:color w:val="000000"/>
          <w:spacing w:val="-4"/>
          <w:sz w:val="20"/>
          <w:szCs w:val="20"/>
          <w:lang w:val="es-ES"/>
        </w:rPr>
      </w:pPr>
      <w:r w:rsidRPr="00395069">
        <w:rPr>
          <w:rFonts w:ascii="Verdana" w:hAnsi="Verdana" w:cs="Verdana"/>
          <w:color w:val="000000"/>
          <w:spacing w:val="-4"/>
          <w:sz w:val="20"/>
          <w:szCs w:val="20"/>
          <w:lang w:val="es-ES"/>
        </w:rPr>
        <w:t xml:space="preserve">Finalmente, con relación a la solicitud de medidas cautelares realizada ante dicho organismo y el argumento de Perú </w:t>
      </w:r>
      <w:r w:rsidR="00E6185C">
        <w:rPr>
          <w:rFonts w:ascii="Verdana" w:hAnsi="Verdana" w:cs="Verdana"/>
          <w:color w:val="000000"/>
          <w:spacing w:val="-4"/>
          <w:sz w:val="20"/>
          <w:szCs w:val="20"/>
          <w:lang w:val="es-ES"/>
        </w:rPr>
        <w:t>sobre</w:t>
      </w:r>
      <w:r w:rsidRPr="00395069">
        <w:rPr>
          <w:rFonts w:ascii="Verdana" w:hAnsi="Verdana" w:cs="Verdana"/>
          <w:color w:val="000000"/>
          <w:spacing w:val="-4"/>
          <w:sz w:val="20"/>
          <w:szCs w:val="20"/>
          <w:lang w:val="es-ES"/>
        </w:rPr>
        <w:t xml:space="preserve"> una supuesta “duplicidad de procedimientos” (</w:t>
      </w:r>
      <w:r w:rsidRPr="00395069">
        <w:rPr>
          <w:rFonts w:ascii="Verdana" w:hAnsi="Verdana" w:cs="Verdana"/>
          <w:i/>
          <w:color w:val="000000"/>
          <w:spacing w:val="-4"/>
          <w:sz w:val="20"/>
          <w:szCs w:val="20"/>
          <w:lang w:val="es-ES"/>
        </w:rPr>
        <w:t xml:space="preserve">supra </w:t>
      </w:r>
      <w:r w:rsidRPr="00395069">
        <w:rPr>
          <w:rFonts w:ascii="Verdana" w:hAnsi="Verdana" w:cs="Verdana"/>
          <w:color w:val="000000"/>
          <w:spacing w:val="-4"/>
          <w:sz w:val="20"/>
          <w:szCs w:val="20"/>
          <w:lang w:val="es-ES"/>
        </w:rPr>
        <w:t>Considerando</w:t>
      </w:r>
      <w:r w:rsidR="001133E5">
        <w:rPr>
          <w:rFonts w:ascii="Verdana" w:hAnsi="Verdana" w:cs="Verdana"/>
          <w:color w:val="000000"/>
          <w:spacing w:val="-4"/>
          <w:sz w:val="20"/>
          <w:szCs w:val="20"/>
          <w:lang w:val="es-ES"/>
        </w:rPr>
        <w:t xml:space="preserve">s </w:t>
      </w:r>
      <w:r w:rsidR="00B853D8">
        <w:rPr>
          <w:rFonts w:ascii="Verdana" w:hAnsi="Verdana" w:cs="Verdana"/>
          <w:color w:val="000000"/>
          <w:spacing w:val="-4"/>
          <w:sz w:val="20"/>
          <w:szCs w:val="20"/>
          <w:lang w:val="es-ES"/>
        </w:rPr>
        <w:t>9</w:t>
      </w:r>
      <w:r w:rsidR="001133E5">
        <w:rPr>
          <w:rFonts w:ascii="Verdana" w:hAnsi="Verdana" w:cs="Verdana"/>
          <w:color w:val="000000"/>
          <w:spacing w:val="-4"/>
          <w:sz w:val="20"/>
          <w:szCs w:val="20"/>
          <w:lang w:val="es-ES"/>
        </w:rPr>
        <w:t xml:space="preserve"> y 16</w:t>
      </w:r>
      <w:r w:rsidRPr="00395069">
        <w:rPr>
          <w:rFonts w:ascii="Verdana" w:hAnsi="Verdana" w:cs="Verdana"/>
          <w:color w:val="000000"/>
          <w:spacing w:val="-4"/>
          <w:sz w:val="20"/>
          <w:szCs w:val="20"/>
          <w:lang w:val="es-ES"/>
        </w:rPr>
        <w:t xml:space="preserve">), refirió que </w:t>
      </w:r>
      <w:r w:rsidR="00E6185C">
        <w:rPr>
          <w:rFonts w:ascii="Verdana" w:hAnsi="Verdana" w:cs="Verdana"/>
          <w:color w:val="000000"/>
          <w:spacing w:val="-4"/>
          <w:sz w:val="20"/>
          <w:szCs w:val="20"/>
          <w:lang w:val="es-ES"/>
        </w:rPr>
        <w:t xml:space="preserve">dichas </w:t>
      </w:r>
      <w:r w:rsidRPr="00395069">
        <w:rPr>
          <w:rFonts w:ascii="Verdana" w:hAnsi="Verdana" w:cs="Verdana"/>
          <w:color w:val="000000"/>
          <w:spacing w:val="-4"/>
          <w:sz w:val="20"/>
          <w:szCs w:val="20"/>
          <w:lang w:val="es-ES"/>
        </w:rPr>
        <w:t>solicitudes</w:t>
      </w:r>
      <w:r w:rsidR="00803FA4">
        <w:rPr>
          <w:rFonts w:ascii="Verdana" w:hAnsi="Verdana" w:cs="Verdana"/>
          <w:color w:val="000000"/>
          <w:spacing w:val="-4"/>
          <w:sz w:val="20"/>
          <w:szCs w:val="20"/>
          <w:lang w:val="es-ES"/>
        </w:rPr>
        <w:t xml:space="preserve">, </w:t>
      </w:r>
      <w:r w:rsidR="00A35EA7">
        <w:rPr>
          <w:rFonts w:ascii="Verdana" w:hAnsi="Verdana" w:cs="Verdana"/>
          <w:color w:val="000000"/>
          <w:spacing w:val="-4"/>
          <w:sz w:val="20"/>
          <w:szCs w:val="20"/>
          <w:lang w:val="es-ES"/>
        </w:rPr>
        <w:t xml:space="preserve">recibidas el 29 de abril y 3 de mayo, </w:t>
      </w:r>
      <w:r w:rsidR="00803FA4">
        <w:rPr>
          <w:rFonts w:ascii="Verdana" w:hAnsi="Verdana" w:cs="Verdana"/>
          <w:color w:val="000000"/>
          <w:spacing w:val="-4"/>
          <w:sz w:val="20"/>
          <w:szCs w:val="20"/>
          <w:lang w:val="es-ES"/>
        </w:rPr>
        <w:t>“</w:t>
      </w:r>
      <w:r w:rsidR="00803FA4" w:rsidRPr="00395069">
        <w:rPr>
          <w:rFonts w:ascii="Verdana" w:hAnsi="Verdana" w:cs="Verdana"/>
          <w:color w:val="000000"/>
          <w:spacing w:val="-4"/>
          <w:sz w:val="20"/>
          <w:szCs w:val="20"/>
          <w:lang w:val="es-ES"/>
        </w:rPr>
        <w:t xml:space="preserve">abarcan a más personas </w:t>
      </w:r>
      <w:r w:rsidR="00803FA4">
        <w:rPr>
          <w:rFonts w:ascii="Verdana" w:hAnsi="Verdana" w:cs="Verdana"/>
          <w:color w:val="000000"/>
          <w:spacing w:val="-4"/>
          <w:sz w:val="20"/>
          <w:szCs w:val="20"/>
          <w:lang w:val="es-ES"/>
        </w:rPr>
        <w:t>[…]</w:t>
      </w:r>
      <w:r w:rsidR="00803FA4" w:rsidRPr="00395069">
        <w:rPr>
          <w:rFonts w:ascii="Verdana" w:hAnsi="Verdana" w:cs="Verdana"/>
          <w:color w:val="000000"/>
          <w:spacing w:val="-4"/>
          <w:sz w:val="20"/>
          <w:szCs w:val="20"/>
          <w:lang w:val="es-ES"/>
        </w:rPr>
        <w:t xml:space="preserve"> y no únicamente a </w:t>
      </w:r>
      <w:r w:rsidR="00803FA4">
        <w:rPr>
          <w:rFonts w:ascii="Verdana" w:hAnsi="Verdana" w:cs="Verdana"/>
          <w:color w:val="000000"/>
          <w:spacing w:val="-4"/>
          <w:sz w:val="20"/>
          <w:szCs w:val="20"/>
          <w:lang w:val="es-ES"/>
        </w:rPr>
        <w:t>[los propuestos beneficiarios]”,</w:t>
      </w:r>
      <w:r w:rsidRPr="00395069">
        <w:rPr>
          <w:rFonts w:ascii="Verdana" w:hAnsi="Verdana" w:cs="Verdana"/>
          <w:color w:val="000000"/>
          <w:spacing w:val="-4"/>
          <w:sz w:val="20"/>
          <w:szCs w:val="20"/>
          <w:lang w:val="es-ES"/>
        </w:rPr>
        <w:t xml:space="preserve"> </w:t>
      </w:r>
      <w:r w:rsidR="00A35EA7">
        <w:rPr>
          <w:rFonts w:ascii="Verdana" w:hAnsi="Verdana" w:cs="Verdana"/>
          <w:color w:val="000000"/>
          <w:spacing w:val="-4"/>
          <w:sz w:val="20"/>
          <w:szCs w:val="20"/>
          <w:lang w:val="es-ES"/>
        </w:rPr>
        <w:t xml:space="preserve">y </w:t>
      </w:r>
      <w:r w:rsidR="00803FA4">
        <w:rPr>
          <w:rFonts w:ascii="Verdana" w:hAnsi="Verdana" w:cs="Verdana"/>
          <w:color w:val="000000"/>
          <w:spacing w:val="-4"/>
          <w:sz w:val="20"/>
          <w:szCs w:val="20"/>
          <w:lang w:val="es-ES"/>
        </w:rPr>
        <w:t>“</w:t>
      </w:r>
      <w:r w:rsidR="00803FA4" w:rsidRPr="00395069">
        <w:rPr>
          <w:rFonts w:ascii="Verdana" w:hAnsi="Verdana" w:cs="Verdana"/>
          <w:color w:val="000000"/>
          <w:spacing w:val="-4"/>
          <w:sz w:val="20"/>
          <w:szCs w:val="20"/>
          <w:lang w:val="es-ES"/>
        </w:rPr>
        <w:t>se encuentran en la etapa de Solicitud de Información al Estado</w:t>
      </w:r>
      <w:r w:rsidR="00803FA4">
        <w:rPr>
          <w:rFonts w:ascii="Verdana" w:hAnsi="Verdana" w:cs="Verdana"/>
          <w:color w:val="000000"/>
          <w:spacing w:val="-4"/>
          <w:sz w:val="20"/>
          <w:szCs w:val="20"/>
          <w:lang w:val="es-ES"/>
        </w:rPr>
        <w:t xml:space="preserve">”, </w:t>
      </w:r>
      <w:r w:rsidR="00803FA4" w:rsidRPr="00395069">
        <w:rPr>
          <w:rFonts w:ascii="Verdana" w:hAnsi="Verdana" w:cs="Verdana"/>
          <w:color w:val="000000"/>
          <w:spacing w:val="-4"/>
          <w:sz w:val="20"/>
          <w:szCs w:val="20"/>
          <w:lang w:val="es-ES"/>
        </w:rPr>
        <w:t>est</w:t>
      </w:r>
      <w:r w:rsidR="00803FA4">
        <w:rPr>
          <w:rFonts w:ascii="Verdana" w:hAnsi="Verdana" w:cs="Verdana"/>
          <w:color w:val="000000"/>
          <w:spacing w:val="-4"/>
          <w:sz w:val="20"/>
          <w:szCs w:val="20"/>
          <w:lang w:val="es-ES"/>
        </w:rPr>
        <w:t>a</w:t>
      </w:r>
      <w:r w:rsidR="00803FA4" w:rsidRPr="00395069">
        <w:rPr>
          <w:rFonts w:ascii="Verdana" w:hAnsi="Verdana" w:cs="Verdana"/>
          <w:color w:val="000000"/>
          <w:spacing w:val="-4"/>
          <w:sz w:val="20"/>
          <w:szCs w:val="20"/>
          <w:lang w:val="es-ES"/>
        </w:rPr>
        <w:t>n</w:t>
      </w:r>
      <w:r w:rsidR="00803FA4">
        <w:rPr>
          <w:rFonts w:ascii="Verdana" w:hAnsi="Verdana" w:cs="Verdana"/>
          <w:color w:val="000000"/>
          <w:spacing w:val="-4"/>
          <w:sz w:val="20"/>
          <w:szCs w:val="20"/>
          <w:lang w:val="es-ES"/>
        </w:rPr>
        <w:t>do</w:t>
      </w:r>
      <w:r w:rsidR="00803FA4" w:rsidRPr="00395069">
        <w:rPr>
          <w:rFonts w:ascii="Verdana" w:hAnsi="Verdana" w:cs="Verdana"/>
          <w:color w:val="000000"/>
          <w:spacing w:val="-4"/>
          <w:sz w:val="20"/>
          <w:szCs w:val="20"/>
          <w:lang w:val="es-ES"/>
        </w:rPr>
        <w:t xml:space="preserve"> </w:t>
      </w:r>
      <w:r w:rsidR="00803FA4">
        <w:rPr>
          <w:rFonts w:ascii="Verdana" w:hAnsi="Verdana" w:cs="Verdana"/>
          <w:color w:val="000000"/>
          <w:spacing w:val="-4"/>
          <w:sz w:val="20"/>
          <w:szCs w:val="20"/>
          <w:lang w:val="es-ES"/>
        </w:rPr>
        <w:t>“</w:t>
      </w:r>
      <w:r w:rsidR="00803FA4" w:rsidRPr="00395069">
        <w:rPr>
          <w:rFonts w:ascii="Verdana" w:hAnsi="Verdana" w:cs="Verdana"/>
          <w:color w:val="000000"/>
          <w:spacing w:val="-4"/>
          <w:sz w:val="20"/>
          <w:szCs w:val="20"/>
          <w:lang w:val="es-ES"/>
        </w:rPr>
        <w:t>pendientes de decisión</w:t>
      </w:r>
      <w:r w:rsidR="00803FA4">
        <w:rPr>
          <w:rFonts w:ascii="Verdana" w:hAnsi="Verdana" w:cs="Verdana"/>
          <w:color w:val="000000"/>
          <w:spacing w:val="-4"/>
          <w:sz w:val="20"/>
          <w:szCs w:val="20"/>
          <w:lang w:val="es-ES"/>
        </w:rPr>
        <w:t>”.</w:t>
      </w:r>
    </w:p>
    <w:p w14:paraId="3E6BBAD1" w14:textId="77777777" w:rsidR="001133E5" w:rsidRPr="00395069" w:rsidRDefault="001133E5" w:rsidP="001133E5">
      <w:pPr>
        <w:pStyle w:val="Prrafodelista"/>
        <w:autoSpaceDE w:val="0"/>
        <w:autoSpaceDN w:val="0"/>
        <w:adjustRightInd w:val="0"/>
        <w:spacing w:before="120" w:after="120" w:line="240" w:lineRule="auto"/>
        <w:ind w:left="0"/>
        <w:contextualSpacing w:val="0"/>
        <w:jc w:val="both"/>
        <w:rPr>
          <w:rFonts w:ascii="Verdana" w:hAnsi="Verdana" w:cs="Verdana"/>
          <w:b/>
          <w:color w:val="000000"/>
          <w:spacing w:val="-4"/>
          <w:sz w:val="20"/>
          <w:szCs w:val="20"/>
          <w:lang w:val="es-ES"/>
        </w:rPr>
      </w:pPr>
    </w:p>
    <w:p w14:paraId="2015469A" w14:textId="69DE1CB3" w:rsidR="00E53316" w:rsidRPr="00395069" w:rsidRDefault="00E53316" w:rsidP="001133E5">
      <w:pPr>
        <w:pStyle w:val="Prrafodelista"/>
        <w:numPr>
          <w:ilvl w:val="0"/>
          <w:numId w:val="2"/>
        </w:numPr>
        <w:spacing w:before="120" w:after="120" w:line="240" w:lineRule="auto"/>
        <w:contextualSpacing w:val="0"/>
        <w:jc w:val="both"/>
        <w:rPr>
          <w:rFonts w:ascii="Verdana" w:hAnsi="Verdana"/>
          <w:b/>
          <w:i/>
          <w:spacing w:val="-4"/>
          <w:sz w:val="20"/>
          <w:szCs w:val="20"/>
          <w:lang w:val="es-CR"/>
        </w:rPr>
      </w:pPr>
      <w:r w:rsidRPr="00395069">
        <w:rPr>
          <w:rFonts w:ascii="Verdana" w:hAnsi="Verdana"/>
          <w:b/>
          <w:i/>
          <w:spacing w:val="-4"/>
          <w:sz w:val="20"/>
          <w:szCs w:val="20"/>
          <w:lang w:val="es-CR"/>
        </w:rPr>
        <w:t xml:space="preserve">Consideraciones de la </w:t>
      </w:r>
      <w:r w:rsidR="0030110F" w:rsidRPr="00395069">
        <w:rPr>
          <w:rFonts w:ascii="Verdana" w:hAnsi="Verdana"/>
          <w:b/>
          <w:i/>
          <w:spacing w:val="-4"/>
          <w:sz w:val="20"/>
          <w:szCs w:val="20"/>
          <w:lang w:val="es-CR"/>
        </w:rPr>
        <w:t>Corte</w:t>
      </w:r>
      <w:r w:rsidR="00531A15" w:rsidRPr="00395069">
        <w:rPr>
          <w:rFonts w:ascii="Verdana" w:hAnsi="Verdana"/>
          <w:b/>
          <w:i/>
          <w:spacing w:val="-4"/>
          <w:sz w:val="20"/>
          <w:szCs w:val="20"/>
          <w:lang w:val="es-CR"/>
        </w:rPr>
        <w:t xml:space="preserve"> respecto de la solicitud de medidas provisionales</w:t>
      </w:r>
    </w:p>
    <w:p w14:paraId="1C3516D0" w14:textId="45EAC449" w:rsidR="00F577FA" w:rsidRPr="00395069"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bookmarkStart w:id="9" w:name="_Ref46157368"/>
      <w:r w:rsidRPr="007F07C1">
        <w:rPr>
          <w:rFonts w:ascii="Verdana" w:hAnsi="Verdana"/>
          <w:spacing w:val="-4"/>
          <w:sz w:val="20"/>
          <w:szCs w:val="20"/>
          <w:lang w:val="es-ES"/>
        </w:rPr>
        <w:t xml:space="preserve">La </w:t>
      </w:r>
      <w:r w:rsidRPr="007F07C1">
        <w:rPr>
          <w:rFonts w:ascii="Verdana" w:hAnsi="Verdana" w:cs="Verdana"/>
          <w:color w:val="000000"/>
          <w:spacing w:val="-4"/>
          <w:sz w:val="20"/>
          <w:szCs w:val="20"/>
          <w:lang w:val="es-ES"/>
        </w:rPr>
        <w:t>solicitud</w:t>
      </w:r>
      <w:r w:rsidRPr="007F07C1">
        <w:rPr>
          <w:rFonts w:ascii="Verdana" w:hAnsi="Verdana"/>
          <w:spacing w:val="-4"/>
          <w:sz w:val="20"/>
          <w:szCs w:val="20"/>
          <w:lang w:val="es-ES"/>
        </w:rPr>
        <w:t xml:space="preserve"> presentada busca proteger los derechos a la salud, a la integridad personal</w:t>
      </w:r>
      <w:r w:rsidRPr="00395069">
        <w:rPr>
          <w:rFonts w:ascii="Verdana" w:hAnsi="Verdana"/>
          <w:spacing w:val="-4"/>
          <w:sz w:val="20"/>
          <w:szCs w:val="20"/>
          <w:lang w:val="es-ES"/>
        </w:rPr>
        <w:t xml:space="preserve">, y a la vida de “cuatro víctimas y un familiar” del </w:t>
      </w:r>
      <w:r w:rsidRPr="00395069">
        <w:rPr>
          <w:rFonts w:ascii="Verdana" w:hAnsi="Verdana"/>
          <w:i/>
          <w:spacing w:val="-4"/>
          <w:sz w:val="20"/>
          <w:szCs w:val="20"/>
          <w:lang w:val="es-ES"/>
        </w:rPr>
        <w:t xml:space="preserve">caso Penal Miguel Castro </w:t>
      </w:r>
      <w:proofErr w:type="spellStart"/>
      <w:r w:rsidRPr="00395069">
        <w:rPr>
          <w:rFonts w:ascii="Verdana" w:hAnsi="Verdana"/>
          <w:i/>
          <w:spacing w:val="-4"/>
          <w:sz w:val="20"/>
          <w:szCs w:val="20"/>
          <w:lang w:val="es-ES"/>
        </w:rPr>
        <w:t>Castro</w:t>
      </w:r>
      <w:proofErr w:type="spellEnd"/>
      <w:r w:rsidRPr="00395069">
        <w:rPr>
          <w:rFonts w:ascii="Verdana" w:hAnsi="Verdana"/>
          <w:i/>
          <w:spacing w:val="-4"/>
          <w:sz w:val="20"/>
          <w:szCs w:val="20"/>
          <w:lang w:val="es-ES"/>
        </w:rPr>
        <w:t xml:space="preserve"> </w:t>
      </w:r>
      <w:r w:rsidRPr="00395069">
        <w:rPr>
          <w:rFonts w:ascii="Verdana" w:hAnsi="Verdana"/>
          <w:spacing w:val="-4"/>
          <w:sz w:val="20"/>
          <w:szCs w:val="20"/>
          <w:lang w:val="es-ES"/>
        </w:rPr>
        <w:t xml:space="preserve">que se encuentran en tres establecimientos penales del Perú, a raíz de </w:t>
      </w:r>
      <w:r>
        <w:rPr>
          <w:rFonts w:ascii="Verdana" w:hAnsi="Verdana"/>
          <w:spacing w:val="-4"/>
          <w:sz w:val="20"/>
          <w:szCs w:val="20"/>
          <w:lang w:val="es-ES"/>
        </w:rPr>
        <w:t xml:space="preserve">la </w:t>
      </w:r>
      <w:r w:rsidRPr="00395069">
        <w:rPr>
          <w:rFonts w:ascii="Verdana" w:hAnsi="Verdana"/>
          <w:spacing w:val="-4"/>
          <w:sz w:val="20"/>
          <w:szCs w:val="20"/>
          <w:lang w:val="es-ES"/>
        </w:rPr>
        <w:t xml:space="preserve">supuesta falta de adopción de medidas adecuadas por parte del Estado en el marco de la pandemia de </w:t>
      </w:r>
      <w:r>
        <w:rPr>
          <w:rFonts w:ascii="Verdana" w:hAnsi="Verdana"/>
          <w:spacing w:val="-4"/>
          <w:sz w:val="20"/>
          <w:szCs w:val="20"/>
          <w:lang w:val="es-ES"/>
        </w:rPr>
        <w:t>COVID</w:t>
      </w:r>
      <w:r w:rsidRPr="00395069">
        <w:rPr>
          <w:rFonts w:ascii="Verdana" w:hAnsi="Verdana"/>
          <w:spacing w:val="-4"/>
          <w:sz w:val="20"/>
          <w:szCs w:val="20"/>
          <w:lang w:val="es-ES"/>
        </w:rPr>
        <w:t xml:space="preserve">-19. Dado que el caso se encuentra actualmente en etapa de </w:t>
      </w:r>
      <w:r>
        <w:rPr>
          <w:rFonts w:ascii="Verdana" w:hAnsi="Verdana"/>
          <w:spacing w:val="-4"/>
          <w:sz w:val="20"/>
          <w:szCs w:val="20"/>
          <w:lang w:val="es-ES"/>
        </w:rPr>
        <w:t>supervisión de cumplimiento de S</w:t>
      </w:r>
      <w:r w:rsidRPr="00395069">
        <w:rPr>
          <w:rFonts w:ascii="Verdana" w:hAnsi="Verdana"/>
          <w:spacing w:val="-4"/>
          <w:sz w:val="20"/>
          <w:szCs w:val="20"/>
          <w:lang w:val="es-ES"/>
        </w:rPr>
        <w:t xml:space="preserve">entencia, fundamentan lo requerido en el artículo 27.3 del Reglamento </w:t>
      </w:r>
      <w:r>
        <w:rPr>
          <w:rFonts w:ascii="Verdana" w:hAnsi="Verdana"/>
          <w:spacing w:val="-4"/>
          <w:sz w:val="20"/>
          <w:szCs w:val="20"/>
          <w:lang w:val="es-ES"/>
        </w:rPr>
        <w:t>del Tribunal en la relación de e</w:t>
      </w:r>
      <w:r w:rsidRPr="00395069">
        <w:rPr>
          <w:rFonts w:ascii="Verdana" w:hAnsi="Verdana"/>
          <w:spacing w:val="-4"/>
          <w:sz w:val="20"/>
          <w:szCs w:val="20"/>
          <w:lang w:val="es-ES"/>
        </w:rPr>
        <w:t xml:space="preserve">stos hechos con la medida </w:t>
      </w:r>
      <w:r>
        <w:rPr>
          <w:rFonts w:ascii="Verdana" w:hAnsi="Verdana"/>
          <w:spacing w:val="-4"/>
          <w:sz w:val="20"/>
          <w:szCs w:val="20"/>
          <w:lang w:val="es-ES"/>
        </w:rPr>
        <w:t xml:space="preserve">de tratamiento médico y psicológico </w:t>
      </w:r>
      <w:r w:rsidRPr="00395069">
        <w:rPr>
          <w:rFonts w:ascii="Verdana" w:hAnsi="Verdana"/>
          <w:spacing w:val="-4"/>
          <w:sz w:val="20"/>
          <w:szCs w:val="20"/>
          <w:lang w:val="es-ES"/>
        </w:rPr>
        <w:t xml:space="preserve">ordenada </w:t>
      </w:r>
      <w:r>
        <w:rPr>
          <w:rFonts w:ascii="Verdana" w:hAnsi="Verdana"/>
          <w:spacing w:val="-4"/>
          <w:sz w:val="20"/>
          <w:szCs w:val="20"/>
          <w:lang w:val="es-ES"/>
        </w:rPr>
        <w:t xml:space="preserve">en </w:t>
      </w:r>
      <w:r w:rsidRPr="00395069">
        <w:rPr>
          <w:rFonts w:ascii="Verdana" w:hAnsi="Verdana"/>
          <w:spacing w:val="-4"/>
          <w:sz w:val="20"/>
          <w:szCs w:val="20"/>
          <w:lang w:val="es-ES"/>
        </w:rPr>
        <w:t>la Sentencia</w:t>
      </w:r>
      <w:r>
        <w:rPr>
          <w:rFonts w:ascii="Verdana" w:hAnsi="Verdana"/>
          <w:spacing w:val="-4"/>
          <w:sz w:val="20"/>
          <w:szCs w:val="20"/>
          <w:lang w:val="es-ES"/>
        </w:rPr>
        <w:t xml:space="preserve"> (</w:t>
      </w:r>
      <w:r>
        <w:rPr>
          <w:rFonts w:ascii="Verdana" w:hAnsi="Verdana"/>
          <w:i/>
          <w:spacing w:val="-4"/>
          <w:sz w:val="20"/>
          <w:szCs w:val="20"/>
          <w:lang w:val="es-ES"/>
        </w:rPr>
        <w:t xml:space="preserve">supra </w:t>
      </w:r>
      <w:r>
        <w:rPr>
          <w:rFonts w:ascii="Verdana" w:hAnsi="Verdana"/>
          <w:spacing w:val="-4"/>
          <w:sz w:val="20"/>
          <w:szCs w:val="20"/>
          <w:lang w:val="es-ES"/>
        </w:rPr>
        <w:t xml:space="preserve">Considerando </w:t>
      </w:r>
      <w:r>
        <w:rPr>
          <w:rFonts w:ascii="Verdana" w:hAnsi="Verdana"/>
          <w:spacing w:val="-4"/>
          <w:sz w:val="20"/>
          <w:szCs w:val="20"/>
          <w:lang w:val="es-ES"/>
        </w:rPr>
        <w:fldChar w:fldCharType="begin"/>
      </w:r>
      <w:r>
        <w:rPr>
          <w:rFonts w:ascii="Verdana" w:hAnsi="Verdana"/>
          <w:spacing w:val="-4"/>
          <w:sz w:val="20"/>
          <w:szCs w:val="20"/>
          <w:lang w:val="es-ES"/>
        </w:rPr>
        <w:instrText xml:space="preserve"> PAGEREF _Ref46180335 \h </w:instrText>
      </w:r>
      <w:r>
        <w:rPr>
          <w:rFonts w:ascii="Verdana" w:hAnsi="Verdana"/>
          <w:spacing w:val="-4"/>
          <w:sz w:val="20"/>
          <w:szCs w:val="20"/>
          <w:lang w:val="es-ES"/>
        </w:rPr>
      </w:r>
      <w:r>
        <w:rPr>
          <w:rFonts w:ascii="Verdana" w:hAnsi="Verdana"/>
          <w:spacing w:val="-4"/>
          <w:sz w:val="20"/>
          <w:szCs w:val="20"/>
          <w:lang w:val="es-ES"/>
        </w:rPr>
        <w:fldChar w:fldCharType="separate"/>
      </w:r>
      <w:r>
        <w:rPr>
          <w:rFonts w:ascii="Verdana" w:hAnsi="Verdana"/>
          <w:noProof/>
          <w:spacing w:val="-4"/>
          <w:sz w:val="20"/>
          <w:szCs w:val="20"/>
          <w:lang w:val="es-ES"/>
        </w:rPr>
        <w:t>2</w:t>
      </w:r>
      <w:r>
        <w:rPr>
          <w:rFonts w:ascii="Verdana" w:hAnsi="Verdana"/>
          <w:spacing w:val="-4"/>
          <w:sz w:val="20"/>
          <w:szCs w:val="20"/>
          <w:lang w:val="es-ES"/>
        </w:rPr>
        <w:fldChar w:fldCharType="end"/>
      </w:r>
      <w:r>
        <w:rPr>
          <w:rFonts w:ascii="Verdana" w:hAnsi="Verdana"/>
          <w:spacing w:val="-4"/>
          <w:sz w:val="20"/>
          <w:szCs w:val="20"/>
          <w:lang w:val="es-ES"/>
        </w:rPr>
        <w:t>)</w:t>
      </w:r>
      <w:bookmarkEnd w:id="9"/>
      <w:r>
        <w:rPr>
          <w:rFonts w:ascii="Verdana" w:hAnsi="Verdana"/>
          <w:spacing w:val="-4"/>
          <w:sz w:val="20"/>
          <w:szCs w:val="20"/>
          <w:lang w:val="es-ES"/>
        </w:rPr>
        <w:t>.</w:t>
      </w:r>
    </w:p>
    <w:p w14:paraId="3D38837D" w14:textId="408D6753" w:rsidR="00F577FA" w:rsidRPr="00981C15"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lang w:val="es-AR"/>
        </w:rPr>
      </w:pPr>
      <w:r w:rsidRPr="00981C15">
        <w:rPr>
          <w:rFonts w:ascii="Verdana" w:eastAsia="Verdana" w:hAnsi="Verdana" w:cs="Verdana"/>
          <w:spacing w:val="-4"/>
          <w:sz w:val="20"/>
          <w:szCs w:val="20"/>
          <w:lang w:val="es-CR"/>
        </w:rPr>
        <w:t xml:space="preserve">Este </w:t>
      </w:r>
      <w:r w:rsidRPr="00981C15">
        <w:rPr>
          <w:rFonts w:ascii="Verdana" w:hAnsi="Verdana"/>
          <w:spacing w:val="-4"/>
          <w:sz w:val="20"/>
          <w:szCs w:val="20"/>
          <w:lang w:val="es-ES"/>
        </w:rPr>
        <w:t>Tribunal</w:t>
      </w:r>
      <w:r w:rsidRPr="00981C15">
        <w:rPr>
          <w:rFonts w:ascii="Verdana" w:eastAsia="Verdana" w:hAnsi="Verdana" w:cs="Verdana"/>
          <w:spacing w:val="-4"/>
          <w:sz w:val="20"/>
          <w:szCs w:val="20"/>
          <w:lang w:val="es-CR"/>
        </w:rPr>
        <w:t xml:space="preserve"> considera que se configura el requisito previsto </w:t>
      </w:r>
      <w:r w:rsidRPr="00981C15">
        <w:rPr>
          <w:rFonts w:ascii="Verdana" w:eastAsia="Calibri" w:hAnsi="Verdana" w:cs="Verdana"/>
          <w:color w:val="000000"/>
          <w:spacing w:val="-4"/>
          <w:sz w:val="20"/>
          <w:szCs w:val="20"/>
          <w:lang w:val="es-CR"/>
        </w:rPr>
        <w:t xml:space="preserve">en el artículo 27.3 del Reglamento de la Corte </w:t>
      </w:r>
      <w:r w:rsidRPr="00981C15">
        <w:rPr>
          <w:rFonts w:ascii="Verdana" w:eastAsia="Verdana" w:hAnsi="Verdana" w:cs="Verdana"/>
          <w:spacing w:val="-4"/>
          <w:sz w:val="20"/>
          <w:szCs w:val="20"/>
          <w:lang w:val="es-CR"/>
        </w:rPr>
        <w:t xml:space="preserve">relativo a que la solicitud de las medidas provisionales tenga “relación con el objeto del caso”, en tanto se refiere a la ejecución de la medida </w:t>
      </w:r>
      <w:r w:rsidRPr="00981C15">
        <w:rPr>
          <w:rFonts w:ascii="Verdana" w:eastAsia="Verdana" w:hAnsi="Verdana" w:cs="Verdana"/>
          <w:spacing w:val="-4"/>
          <w:sz w:val="20"/>
          <w:szCs w:val="20"/>
          <w:lang w:val="es-CR"/>
        </w:rPr>
        <w:lastRenderedPageBreak/>
        <w:t>de reparación ordenada en el punto resolutivo décimo tercero de la Sentencia</w:t>
      </w:r>
      <w:r w:rsidR="00D74986" w:rsidRPr="00981C15">
        <w:rPr>
          <w:rFonts w:ascii="Verdana" w:eastAsia="Verdana" w:hAnsi="Verdana" w:cs="Verdana"/>
          <w:spacing w:val="-4"/>
          <w:sz w:val="20"/>
          <w:szCs w:val="20"/>
          <w:lang w:val="es-CR"/>
        </w:rPr>
        <w:t xml:space="preserve"> respecto de cinco víctimas</w:t>
      </w:r>
      <w:r w:rsidRPr="00981C15">
        <w:rPr>
          <w:rStyle w:val="Refdenotaalpie"/>
          <w:rFonts w:eastAsia="Verdana" w:cs="Verdana"/>
          <w:spacing w:val="-4"/>
          <w:szCs w:val="20"/>
          <w:lang w:val="es-CR"/>
        </w:rPr>
        <w:footnoteReference w:id="37"/>
      </w:r>
      <w:r w:rsidRPr="00981C15">
        <w:rPr>
          <w:rFonts w:ascii="Verdana" w:eastAsia="Verdana" w:hAnsi="Verdana" w:cs="Verdana"/>
          <w:spacing w:val="-4"/>
          <w:sz w:val="20"/>
          <w:szCs w:val="20"/>
          <w:lang w:val="es-CR"/>
        </w:rPr>
        <w:t xml:space="preserve">. </w:t>
      </w:r>
    </w:p>
    <w:p w14:paraId="2A8D1E67" w14:textId="5D828B3C" w:rsidR="00F577FA" w:rsidRPr="003F0B58"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3F0B58">
        <w:rPr>
          <w:rFonts w:ascii="Verdana" w:eastAsia="Verdana" w:hAnsi="Verdana" w:cs="Verdana"/>
          <w:spacing w:val="-4"/>
          <w:sz w:val="20"/>
          <w:szCs w:val="20"/>
          <w:lang w:val="es-CR"/>
        </w:rPr>
        <w:t xml:space="preserve">La Corte ha considerado, como regla general, que </w:t>
      </w:r>
      <w:r w:rsidRPr="003F0B58">
        <w:rPr>
          <w:rFonts w:ascii="Verdana" w:hAnsi="Verdana"/>
          <w:spacing w:val="-4"/>
          <w:sz w:val="20"/>
          <w:szCs w:val="20"/>
          <w:lang w:val="es-AR"/>
        </w:rPr>
        <w:t xml:space="preserve">la valoración de información relacionada con el cumplimiento de medidas de reparación ordenadas en la </w:t>
      </w:r>
      <w:r w:rsidRPr="003F0B58">
        <w:rPr>
          <w:rFonts w:ascii="Verdana" w:eastAsia="Verdana" w:hAnsi="Verdana" w:cs="Verdana"/>
          <w:spacing w:val="-4"/>
          <w:sz w:val="20"/>
          <w:szCs w:val="20"/>
          <w:lang w:val="es-CR"/>
        </w:rPr>
        <w:t>Sentencia</w:t>
      </w:r>
      <w:r w:rsidRPr="003F0B58">
        <w:rPr>
          <w:rFonts w:ascii="Verdana" w:hAnsi="Verdana"/>
          <w:spacing w:val="-4"/>
          <w:sz w:val="20"/>
          <w:szCs w:val="20"/>
          <w:lang w:val="es-AR"/>
        </w:rPr>
        <w:t xml:space="preserve"> debe ser evaluada en el marco de la supervisión de cumplimiento de Sentencia. Así lo ha entendido en múltiples casos</w:t>
      </w:r>
      <w:r w:rsidRPr="003F0B58">
        <w:rPr>
          <w:rStyle w:val="Refdenotaalpie"/>
          <w:spacing w:val="-4"/>
          <w:sz w:val="20"/>
          <w:szCs w:val="20"/>
        </w:rPr>
        <w:footnoteReference w:id="38"/>
      </w:r>
      <w:r w:rsidRPr="003F0B58">
        <w:rPr>
          <w:rFonts w:ascii="Verdana" w:hAnsi="Verdana"/>
          <w:spacing w:val="-4"/>
          <w:sz w:val="20"/>
          <w:szCs w:val="20"/>
          <w:lang w:val="es-AR"/>
        </w:rPr>
        <w:t>. Sin embargo, de forma excepcional ha adoptado medidas provisionales ante condiciones de particular gravedad</w:t>
      </w:r>
      <w:r w:rsidRPr="003F0B58">
        <w:rPr>
          <w:rStyle w:val="Refdenotaalpie"/>
          <w:spacing w:val="-4"/>
        </w:rPr>
        <w:footnoteReference w:id="39"/>
      </w:r>
      <w:r w:rsidRPr="003F0B58">
        <w:rPr>
          <w:rFonts w:ascii="Verdana" w:hAnsi="Verdana"/>
          <w:spacing w:val="-4"/>
          <w:sz w:val="20"/>
          <w:szCs w:val="20"/>
          <w:lang w:val="es-AR"/>
        </w:rPr>
        <w:t xml:space="preserve">. En este caso, el Tribunal estima que se configuran condiciones excepcionales que ameritan proceder a examinar si se cumplen los requisitos para la adopción de medidas provisionales al constatar que se trata de alegados hechos relativos a la falta de atención médica adecuada de las referidas </w:t>
      </w:r>
      <w:r w:rsidR="00EC4F67" w:rsidRPr="003F0B58">
        <w:rPr>
          <w:rFonts w:ascii="Verdana" w:hAnsi="Verdana"/>
          <w:spacing w:val="-4"/>
          <w:sz w:val="20"/>
          <w:szCs w:val="20"/>
          <w:lang w:val="es-AR"/>
        </w:rPr>
        <w:t xml:space="preserve">cinco </w:t>
      </w:r>
      <w:r w:rsidRPr="003F0B58">
        <w:rPr>
          <w:rFonts w:ascii="Verdana" w:hAnsi="Verdana"/>
          <w:spacing w:val="-4"/>
          <w:sz w:val="20"/>
          <w:szCs w:val="20"/>
          <w:lang w:val="es-AR"/>
        </w:rPr>
        <w:t xml:space="preserve">víctimas, quienes se encuentran privadas de su libertad en centros penitenciarios, lo cual, en el contexto generado por la pandemia de la enfermedad denominada COVID-19, pondría en mayor riesgo su salud, integridad personal y vida. La situación descrita en la solicitud podría ameritar la adopción de medidas a favor de personas en situación de vulnerabilidad, como lo son las personas privadas de la libertad y las personas mayores, </w:t>
      </w:r>
      <w:r w:rsidR="00EC4F67" w:rsidRPr="003F0B58">
        <w:rPr>
          <w:rFonts w:ascii="Verdana" w:hAnsi="Verdana"/>
          <w:spacing w:val="-4"/>
          <w:sz w:val="20"/>
          <w:szCs w:val="20"/>
          <w:lang w:val="es-AR"/>
        </w:rPr>
        <w:t>la cual</w:t>
      </w:r>
      <w:r w:rsidRPr="003F0B58">
        <w:rPr>
          <w:rFonts w:ascii="Verdana" w:hAnsi="Verdana"/>
          <w:spacing w:val="-4"/>
          <w:sz w:val="20"/>
          <w:szCs w:val="20"/>
          <w:lang w:val="es-AR"/>
        </w:rPr>
        <w:t xml:space="preserve"> se ve incrementada por la pandemia y que, consecuentemente, amerita particular protección por el Estado. Así lo hizo notar la Corte en su </w:t>
      </w:r>
      <w:r w:rsidRPr="003F0B58">
        <w:rPr>
          <w:rFonts w:ascii="Verdana" w:hAnsi="Verdana" w:cs="Calibri"/>
          <w:spacing w:val="-4"/>
          <w:sz w:val="20"/>
          <w:szCs w:val="20"/>
          <w:lang w:val="es-MX"/>
        </w:rPr>
        <w:t xml:space="preserve">Declaración No. 1/20 titulada </w:t>
      </w:r>
      <w:r w:rsidRPr="003F0B58">
        <w:rPr>
          <w:rFonts w:ascii="Verdana" w:hAnsi="Verdana" w:cs="Calibri"/>
          <w:i/>
          <w:iCs/>
          <w:spacing w:val="-4"/>
          <w:sz w:val="20"/>
          <w:szCs w:val="20"/>
          <w:lang w:val="es-MX"/>
        </w:rPr>
        <w:t>“</w:t>
      </w:r>
      <w:r w:rsidRPr="003F0B58">
        <w:rPr>
          <w:rFonts w:ascii="Verdana" w:hAnsi="Verdana" w:cs="Calibri"/>
          <w:i/>
          <w:iCs/>
          <w:spacing w:val="-4"/>
          <w:sz w:val="20"/>
          <w:szCs w:val="20"/>
          <w:lang w:val="es-CR"/>
        </w:rPr>
        <w:t>COVID-19 y Derechos Humanos: los problemas y desafíos deben ser abordados con perspectiva de derechos humanos y respetando las obligaciones internacionales”</w:t>
      </w:r>
      <w:bookmarkStart w:id="10" w:name="_Ref47033641"/>
      <w:r w:rsidRPr="003F0B58">
        <w:rPr>
          <w:rStyle w:val="Refdenotaalpie"/>
          <w:rFonts w:cs="Calibri"/>
          <w:spacing w:val="-4"/>
          <w:szCs w:val="20"/>
          <w:lang w:val="es-CR"/>
        </w:rPr>
        <w:footnoteReference w:id="40"/>
      </w:r>
      <w:bookmarkEnd w:id="10"/>
      <w:r w:rsidRPr="003F0B58">
        <w:rPr>
          <w:rFonts w:ascii="Verdana" w:hAnsi="Verdana"/>
          <w:spacing w:val="-4"/>
          <w:sz w:val="20"/>
          <w:szCs w:val="20"/>
          <w:lang w:val="es-AR"/>
        </w:rPr>
        <w:t xml:space="preserve">. </w:t>
      </w:r>
      <w:r w:rsidRPr="003F0B58">
        <w:rPr>
          <w:rFonts w:ascii="Verdana" w:hAnsi="Verdana"/>
          <w:spacing w:val="-4"/>
          <w:sz w:val="20"/>
          <w:szCs w:val="20"/>
          <w:lang w:val="es-CR"/>
        </w:rPr>
        <w:t>Esta situación de salud pública mundial, como es la pandemia del COVID-19, ha producido que los Estados adopten una serie de medidas para hacer frente a esta crisis, lo cual ha ocasionado la afectación de una serie de derechos en cuanto a su ejercicio y goce.</w:t>
      </w:r>
    </w:p>
    <w:p w14:paraId="1C4360E8" w14:textId="55AD884B" w:rsidR="00F577FA" w:rsidRPr="0003373E"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b/>
          <w:spacing w:val="-4"/>
          <w:sz w:val="20"/>
          <w:szCs w:val="20"/>
          <w:lang w:val="es-CR"/>
        </w:rPr>
      </w:pPr>
      <w:bookmarkStart w:id="11" w:name="_Ref46241511"/>
      <w:r w:rsidRPr="00357359">
        <w:rPr>
          <w:rFonts w:ascii="Verdana" w:hAnsi="Verdana"/>
          <w:spacing w:val="-4"/>
          <w:sz w:val="20"/>
          <w:szCs w:val="20"/>
          <w:lang w:val="es-AR"/>
        </w:rPr>
        <w:t>Con respecto al argumento del Estado relativo a la existencia de una “duplicidad” de procedimientos</w:t>
      </w:r>
      <w:r>
        <w:rPr>
          <w:rFonts w:ascii="Verdana" w:hAnsi="Verdana"/>
          <w:spacing w:val="-4"/>
          <w:sz w:val="20"/>
          <w:szCs w:val="20"/>
          <w:lang w:val="es-AR"/>
        </w:rPr>
        <w:t xml:space="preserve"> ante el Sistema Interamericano</w:t>
      </w:r>
      <w:r w:rsidRPr="00357359">
        <w:rPr>
          <w:rFonts w:ascii="Verdana" w:hAnsi="Verdana"/>
          <w:spacing w:val="-4"/>
          <w:sz w:val="20"/>
          <w:szCs w:val="20"/>
          <w:lang w:val="es-AR"/>
        </w:rPr>
        <w:t xml:space="preserve"> (</w:t>
      </w:r>
      <w:r w:rsidRPr="00357359">
        <w:rPr>
          <w:rFonts w:ascii="Verdana" w:hAnsi="Verdana"/>
          <w:i/>
          <w:spacing w:val="-4"/>
          <w:sz w:val="20"/>
          <w:szCs w:val="20"/>
          <w:lang w:val="es-AR"/>
        </w:rPr>
        <w:t xml:space="preserve">supra </w:t>
      </w:r>
      <w:r>
        <w:rPr>
          <w:rFonts w:ascii="Verdana" w:hAnsi="Verdana"/>
          <w:spacing w:val="-4"/>
          <w:sz w:val="20"/>
          <w:szCs w:val="20"/>
          <w:lang w:val="es-AR"/>
        </w:rPr>
        <w:t>Considerando 1</w:t>
      </w:r>
      <w:r w:rsidR="00B03806">
        <w:rPr>
          <w:rFonts w:ascii="Verdana" w:hAnsi="Verdana"/>
          <w:spacing w:val="-4"/>
          <w:sz w:val="20"/>
          <w:szCs w:val="20"/>
          <w:lang w:val="es-AR"/>
        </w:rPr>
        <w:t>6</w:t>
      </w:r>
      <w:r w:rsidRPr="00357359">
        <w:rPr>
          <w:rFonts w:ascii="Verdana" w:hAnsi="Verdana"/>
          <w:spacing w:val="-4"/>
          <w:sz w:val="20"/>
          <w:szCs w:val="20"/>
          <w:lang w:val="es-AR"/>
        </w:rPr>
        <w:t xml:space="preserve">), esta Corte nota que </w:t>
      </w:r>
      <w:r w:rsidRPr="00357359">
        <w:rPr>
          <w:rFonts w:ascii="Verdana" w:hAnsi="Verdana"/>
          <w:spacing w:val="-4"/>
          <w:sz w:val="20"/>
          <w:szCs w:val="20"/>
          <w:lang w:val="es-CR"/>
        </w:rPr>
        <w:t>la Comisión no ha indicado cuándo prevé resolver las solicitudes interpuestas</w:t>
      </w:r>
      <w:r w:rsidR="00B03806">
        <w:rPr>
          <w:rFonts w:ascii="Verdana" w:hAnsi="Verdana"/>
          <w:spacing w:val="-4"/>
          <w:sz w:val="20"/>
          <w:szCs w:val="20"/>
          <w:lang w:val="es-CR"/>
        </w:rPr>
        <w:t xml:space="preserve"> (</w:t>
      </w:r>
      <w:r w:rsidR="00B03806" w:rsidRPr="00B03806">
        <w:rPr>
          <w:rFonts w:ascii="Verdana" w:hAnsi="Verdana"/>
          <w:i/>
          <w:iCs/>
          <w:spacing w:val="-4"/>
          <w:sz w:val="20"/>
          <w:szCs w:val="20"/>
          <w:lang w:val="es-CR"/>
        </w:rPr>
        <w:t xml:space="preserve">supra </w:t>
      </w:r>
      <w:r w:rsidR="00B03806">
        <w:rPr>
          <w:rFonts w:ascii="Verdana" w:hAnsi="Verdana"/>
          <w:spacing w:val="-4"/>
          <w:sz w:val="20"/>
          <w:szCs w:val="20"/>
          <w:lang w:val="es-CR"/>
        </w:rPr>
        <w:t>Considerando 18)</w:t>
      </w:r>
      <w:r w:rsidRPr="00357359">
        <w:rPr>
          <w:rFonts w:ascii="Verdana" w:hAnsi="Verdana"/>
          <w:spacing w:val="-4"/>
          <w:sz w:val="20"/>
          <w:szCs w:val="20"/>
          <w:lang w:val="es-CR"/>
        </w:rPr>
        <w:t xml:space="preserve">. En consecuencia, por la alegada urgencia de la situación, y tomando en cuenta que la presente solicitud de medidas </w:t>
      </w:r>
      <w:r w:rsidRPr="00357359">
        <w:rPr>
          <w:rFonts w:ascii="Verdana" w:hAnsi="Verdana"/>
          <w:spacing w:val="-4"/>
          <w:sz w:val="20"/>
          <w:szCs w:val="20"/>
          <w:lang w:val="es-CR"/>
        </w:rPr>
        <w:lastRenderedPageBreak/>
        <w:t>provisionales versa sobre personas que son víctimas de un caso ante la Corte, este Tribunal considera pertinente pronunciarse.</w:t>
      </w:r>
      <w:bookmarkEnd w:id="11"/>
    </w:p>
    <w:p w14:paraId="19F786B1" w14:textId="77777777" w:rsidR="00F577FA" w:rsidRPr="0051766F"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51766F">
        <w:rPr>
          <w:rFonts w:ascii="Verdana" w:hAnsi="Verdana"/>
          <w:spacing w:val="-4"/>
          <w:sz w:val="20"/>
          <w:szCs w:val="20"/>
          <w:lang w:val="es-AR"/>
        </w:rPr>
        <w:t>Seguidamente</w:t>
      </w:r>
      <w:r w:rsidRPr="0051766F">
        <w:rPr>
          <w:rFonts w:ascii="Verdana" w:hAnsi="Verdana"/>
          <w:spacing w:val="-4"/>
          <w:sz w:val="20"/>
          <w:szCs w:val="20"/>
          <w:lang w:val="es-CR"/>
        </w:rPr>
        <w:t>, la Corte pasará a examinar los demás requisitos convencionales y reglamentarios para la adopción de medidas urgentes. La Corte ha señalado que las tres condiciones exigidas por el artículo 63.2 de la Convención para que pueda disponer de medidas provisionales deben concurrir en toda situación en la que se soliciten</w:t>
      </w:r>
      <w:r w:rsidRPr="0051766F">
        <w:rPr>
          <w:rStyle w:val="Refdenotaalpie"/>
          <w:spacing w:val="-4"/>
          <w:sz w:val="20"/>
          <w:szCs w:val="20"/>
          <w:lang w:val="es-CR"/>
        </w:rPr>
        <w:footnoteReference w:id="41"/>
      </w:r>
      <w:r w:rsidRPr="0051766F">
        <w:rPr>
          <w:rFonts w:ascii="Verdana" w:hAnsi="Verdana"/>
          <w:spacing w:val="-4"/>
          <w:sz w:val="20"/>
          <w:szCs w:val="20"/>
          <w:lang w:val="es-CR"/>
        </w:rPr>
        <w:t xml:space="preserve">. Conforme a la Convención y al Reglamento, la carga procesal de demostrar </w:t>
      </w:r>
      <w:r w:rsidRPr="0051766F">
        <w:rPr>
          <w:rFonts w:ascii="Verdana" w:hAnsi="Verdana"/>
          <w:i/>
          <w:spacing w:val="-4"/>
          <w:sz w:val="20"/>
          <w:szCs w:val="20"/>
          <w:lang w:val="es-CR"/>
        </w:rPr>
        <w:t>prima facie</w:t>
      </w:r>
      <w:r w:rsidRPr="0051766F">
        <w:rPr>
          <w:rFonts w:ascii="Verdana" w:hAnsi="Verdana"/>
          <w:spacing w:val="-4"/>
          <w:sz w:val="20"/>
          <w:szCs w:val="20"/>
          <w:lang w:val="es-CR"/>
        </w:rPr>
        <w:t xml:space="preserve"> dichos requisitos recae en el solicitante</w:t>
      </w:r>
      <w:r w:rsidRPr="0051766F">
        <w:rPr>
          <w:rFonts w:ascii="Verdana" w:hAnsi="Verdana"/>
          <w:spacing w:val="-4"/>
          <w:sz w:val="20"/>
          <w:szCs w:val="20"/>
          <w:vertAlign w:val="superscript"/>
        </w:rPr>
        <w:footnoteReference w:id="42"/>
      </w:r>
      <w:r w:rsidRPr="0051766F">
        <w:rPr>
          <w:rFonts w:ascii="Verdana" w:hAnsi="Verdana"/>
          <w:spacing w:val="-4"/>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51766F">
        <w:rPr>
          <w:rFonts w:ascii="Verdana" w:hAnsi="Verdana"/>
          <w:spacing w:val="-4"/>
          <w:sz w:val="20"/>
          <w:szCs w:val="20"/>
          <w:vertAlign w:val="superscript"/>
        </w:rPr>
        <w:footnoteReference w:id="43"/>
      </w:r>
      <w:r w:rsidRPr="0051766F">
        <w:rPr>
          <w:rFonts w:ascii="Verdana" w:hAnsi="Verdana"/>
          <w:spacing w:val="-4"/>
          <w:sz w:val="20"/>
          <w:szCs w:val="20"/>
          <w:lang w:val="es-CR"/>
        </w:rPr>
        <w:t xml:space="preserve">. </w:t>
      </w:r>
    </w:p>
    <w:p w14:paraId="6809793C" w14:textId="77777777" w:rsidR="00F577FA" w:rsidRPr="00597DDE"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r w:rsidRPr="00395069">
        <w:rPr>
          <w:rFonts w:ascii="Verdana" w:hAnsi="Verdana"/>
          <w:spacing w:val="-4"/>
          <w:sz w:val="20"/>
          <w:szCs w:val="20"/>
          <w:lang w:val="es-AR"/>
        </w:rPr>
        <w:t xml:space="preserve">Esta Corte reconoce no solo los problemas y desafíos extraordinarios que ocasiona la presente pandemia en todo contexto, sino también y específicamente </w:t>
      </w:r>
      <w:r w:rsidRPr="00395069">
        <w:rPr>
          <w:rFonts w:ascii="Verdana" w:hAnsi="Verdana"/>
          <w:spacing w:val="-4"/>
          <w:sz w:val="20"/>
          <w:szCs w:val="20"/>
          <w:lang w:val="es-ES"/>
        </w:rPr>
        <w:t>las dificultades adicionales que la prevención del contagio de COVID-19 representa en entornos carcelarios. En nuestra región, las personas privadas de libertad se encuentran en una situación de mayor vulnerabilidad frente a la propagación del COVID-19 pues, por lo general, se encuentran en condiciones de sobrepoblación y hacinamiento que no permiten un adecuado distanciamiento social para prevenir el contagio del virus</w:t>
      </w:r>
      <w:r>
        <w:rPr>
          <w:rFonts w:ascii="Verdana" w:hAnsi="Verdana"/>
          <w:spacing w:val="-4"/>
          <w:sz w:val="20"/>
          <w:szCs w:val="20"/>
          <w:lang w:val="es-ES"/>
        </w:rPr>
        <w:t>,</w:t>
      </w:r>
      <w:r w:rsidRPr="00395069">
        <w:rPr>
          <w:rFonts w:ascii="Verdana" w:hAnsi="Verdana"/>
          <w:spacing w:val="-4"/>
          <w:sz w:val="20"/>
          <w:szCs w:val="20"/>
          <w:lang w:val="es-ES"/>
        </w:rPr>
        <w:t xml:space="preserve"> con inadecuadas y deficientes medidas de higiene</w:t>
      </w:r>
      <w:r>
        <w:rPr>
          <w:rFonts w:ascii="Verdana" w:hAnsi="Verdana"/>
          <w:spacing w:val="-4"/>
          <w:sz w:val="20"/>
          <w:szCs w:val="20"/>
          <w:lang w:val="es-ES"/>
        </w:rPr>
        <w:t>,</w:t>
      </w:r>
      <w:r w:rsidRPr="00395069">
        <w:rPr>
          <w:rFonts w:ascii="Verdana" w:hAnsi="Verdana"/>
          <w:spacing w:val="-4"/>
          <w:sz w:val="20"/>
          <w:szCs w:val="20"/>
          <w:lang w:val="es-ES"/>
        </w:rPr>
        <w:t xml:space="preserve"> y con limitaciones para acceder de manera eficaz y oportuna a una serie de derechos como la salud y la información</w:t>
      </w:r>
      <w:r w:rsidRPr="00395069">
        <w:rPr>
          <w:rFonts w:ascii="Verdana" w:hAnsi="Verdana"/>
          <w:spacing w:val="-4"/>
          <w:sz w:val="20"/>
          <w:szCs w:val="20"/>
          <w:vertAlign w:val="superscript"/>
          <w:lang w:val="es-ES"/>
        </w:rPr>
        <w:footnoteReference w:id="44"/>
      </w:r>
      <w:r w:rsidRPr="00395069">
        <w:rPr>
          <w:rFonts w:ascii="Verdana" w:hAnsi="Verdana"/>
          <w:spacing w:val="-4"/>
          <w:sz w:val="20"/>
          <w:szCs w:val="20"/>
          <w:lang w:val="es-ES"/>
        </w:rPr>
        <w:t xml:space="preserve">. En efecto, el Comité Internacional de la Cruz Roja ha reconocido que estas particularidades generan que el ámbito carcelario </w:t>
      </w:r>
      <w:r w:rsidRPr="00395069">
        <w:rPr>
          <w:rFonts w:ascii="Verdana" w:hAnsi="Verdana"/>
          <w:spacing w:val="-4"/>
          <w:sz w:val="20"/>
          <w:szCs w:val="20"/>
          <w:lang w:val="es-CR"/>
        </w:rPr>
        <w:t>favorezca</w:t>
      </w:r>
      <w:r w:rsidRPr="00395069">
        <w:rPr>
          <w:rFonts w:ascii="Verdana" w:hAnsi="Verdana"/>
          <w:spacing w:val="-4"/>
          <w:sz w:val="20"/>
          <w:szCs w:val="20"/>
          <w:lang w:val="es-ES"/>
        </w:rPr>
        <w:t xml:space="preserve"> la propagación exponencial de enfermedades infecciosas, </w:t>
      </w:r>
      <w:r w:rsidRPr="00597DDE">
        <w:rPr>
          <w:rFonts w:ascii="Verdana" w:hAnsi="Verdana"/>
          <w:spacing w:val="-4"/>
          <w:sz w:val="20"/>
          <w:szCs w:val="20"/>
          <w:lang w:val="es-ES"/>
        </w:rPr>
        <w:t>particularmente de aquellas que, como el COVID-19, se transmiten por gotas a través del aire</w:t>
      </w:r>
      <w:r w:rsidRPr="00597DDE">
        <w:rPr>
          <w:rStyle w:val="Refdenotaalpie"/>
          <w:spacing w:val="-4"/>
          <w:szCs w:val="20"/>
          <w:lang w:val="es-ES"/>
        </w:rPr>
        <w:footnoteReference w:id="45"/>
      </w:r>
      <w:r w:rsidRPr="00597DDE">
        <w:rPr>
          <w:rFonts w:ascii="Verdana" w:hAnsi="Verdana"/>
          <w:spacing w:val="-4"/>
          <w:sz w:val="20"/>
          <w:szCs w:val="20"/>
          <w:lang w:val="es-ES"/>
        </w:rPr>
        <w:t>.</w:t>
      </w:r>
    </w:p>
    <w:p w14:paraId="2B67AFC1" w14:textId="049A8980" w:rsidR="00345670" w:rsidRPr="0096021A" w:rsidRDefault="00F577FA" w:rsidP="00345670">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bookmarkStart w:id="12" w:name="_Ref46241195"/>
      <w:r w:rsidRPr="0096021A">
        <w:rPr>
          <w:rFonts w:ascii="Verdana" w:hAnsi="Verdana"/>
          <w:spacing w:val="-4"/>
          <w:sz w:val="20"/>
          <w:szCs w:val="20"/>
          <w:lang w:val="es-ES"/>
        </w:rPr>
        <w:t xml:space="preserve">Los derechos económicos, sociales, culturales y ambientales deben ser garantizados sin discriminación a toda persona bajo la jurisdicción del Estado y, en especial, a aquellos grupos que son afectados de forma desproporcionada porque se encuentran en situación de mayor vulnerabilidad, entre ellos, las personas privadas de libertad, lo cual fue hecho notar por el Tribunal en su </w:t>
      </w:r>
      <w:r w:rsidRPr="0096021A">
        <w:rPr>
          <w:rFonts w:ascii="Verdana" w:hAnsi="Verdana"/>
          <w:spacing w:val="-4"/>
          <w:sz w:val="20"/>
          <w:szCs w:val="20"/>
          <w:lang w:val="es-MX"/>
        </w:rPr>
        <w:t>Declaración de 9 de abril de 2020 (</w:t>
      </w:r>
      <w:r w:rsidRPr="0096021A">
        <w:rPr>
          <w:rFonts w:ascii="Verdana" w:hAnsi="Verdana"/>
          <w:i/>
          <w:spacing w:val="-4"/>
          <w:sz w:val="20"/>
          <w:szCs w:val="20"/>
          <w:lang w:val="es-MX"/>
        </w:rPr>
        <w:t xml:space="preserve">supra </w:t>
      </w:r>
      <w:r w:rsidRPr="0096021A">
        <w:rPr>
          <w:rFonts w:ascii="Verdana" w:hAnsi="Verdana"/>
          <w:spacing w:val="-4"/>
          <w:sz w:val="20"/>
          <w:szCs w:val="20"/>
          <w:lang w:val="es-MX"/>
        </w:rPr>
        <w:t>Considerando 21)</w:t>
      </w:r>
      <w:r w:rsidRPr="0096021A">
        <w:rPr>
          <w:rFonts w:ascii="Verdana" w:hAnsi="Verdana"/>
          <w:i/>
          <w:iCs/>
          <w:spacing w:val="-4"/>
          <w:sz w:val="20"/>
          <w:szCs w:val="20"/>
          <w:lang w:val="es-CR"/>
        </w:rPr>
        <w:t>.</w:t>
      </w:r>
      <w:r w:rsidRPr="0096021A">
        <w:rPr>
          <w:rFonts w:ascii="Verdana" w:hAnsi="Verdana"/>
          <w:spacing w:val="-4"/>
          <w:sz w:val="20"/>
          <w:szCs w:val="20"/>
          <w:lang w:val="es-ES"/>
        </w:rPr>
        <w:t xml:space="preserve"> Al respecto, es necesario recordar que se debe abordar esta situación </w:t>
      </w:r>
      <w:r w:rsidRPr="0096021A">
        <w:rPr>
          <w:rFonts w:ascii="Verdana" w:hAnsi="Verdana" w:cs="Calibri"/>
          <w:spacing w:val="-4"/>
          <w:sz w:val="20"/>
          <w:szCs w:val="20"/>
          <w:lang w:val="es-CR"/>
        </w:rPr>
        <w:t xml:space="preserve">“en el marco del Estado de Derecho, con el pleno respeto a los instrumentos </w:t>
      </w:r>
      <w:r w:rsidRPr="0096021A">
        <w:rPr>
          <w:rFonts w:ascii="Verdana" w:hAnsi="Verdana" w:cs="Calibri"/>
          <w:spacing w:val="-4"/>
          <w:sz w:val="20"/>
          <w:szCs w:val="20"/>
          <w:lang w:val="es-CR"/>
        </w:rPr>
        <w:lastRenderedPageBreak/>
        <w:t xml:space="preserve">interamericanos de protección de los derechos humanos y los estándares desarrollados en la jurisprudencia de este Tribunal”, en particular, el derecho a la salud, a la vida y a la integridad </w:t>
      </w:r>
      <w:r w:rsidR="00D74D61" w:rsidRPr="0096021A">
        <w:rPr>
          <w:rFonts w:ascii="Verdana" w:hAnsi="Verdana" w:cs="Calibri"/>
          <w:spacing w:val="-4"/>
          <w:sz w:val="20"/>
          <w:szCs w:val="20"/>
          <w:lang w:val="es-CR"/>
        </w:rPr>
        <w:t>personal</w:t>
      </w:r>
      <w:r w:rsidRPr="0096021A">
        <w:rPr>
          <w:rFonts w:ascii="Verdana" w:hAnsi="Verdana" w:cs="Calibri"/>
          <w:spacing w:val="-4"/>
          <w:sz w:val="20"/>
          <w:szCs w:val="20"/>
          <w:lang w:val="es-CR"/>
        </w:rPr>
        <w:t>. Además, la Corte ha dicho</w:t>
      </w:r>
      <w:r w:rsidR="006D58F8" w:rsidRPr="0096021A">
        <w:rPr>
          <w:rFonts w:ascii="Verdana" w:hAnsi="Verdana" w:cs="Calibri"/>
          <w:spacing w:val="-4"/>
          <w:sz w:val="20"/>
          <w:szCs w:val="20"/>
          <w:lang w:val="es-CR"/>
        </w:rPr>
        <w:t xml:space="preserve"> </w:t>
      </w:r>
      <w:r w:rsidRPr="0096021A">
        <w:rPr>
          <w:rFonts w:ascii="Verdana" w:hAnsi="Verdana" w:cs="Calibri"/>
          <w:spacing w:val="-4"/>
          <w:sz w:val="20"/>
          <w:szCs w:val="20"/>
          <w:lang w:val="es-CR"/>
        </w:rPr>
        <w:t>que</w:t>
      </w:r>
      <w:r w:rsidR="00D74D61" w:rsidRPr="0096021A">
        <w:rPr>
          <w:rFonts w:ascii="Verdana" w:hAnsi="Verdana" w:cs="Calibri"/>
          <w:spacing w:val="-4"/>
          <w:sz w:val="20"/>
          <w:szCs w:val="20"/>
          <w:lang w:val="es-CR"/>
        </w:rPr>
        <w:t>,</w:t>
      </w:r>
      <w:r w:rsidRPr="0096021A">
        <w:rPr>
          <w:rFonts w:ascii="Verdana" w:hAnsi="Verdana" w:cs="Calibri"/>
          <w:spacing w:val="-4"/>
          <w:sz w:val="20"/>
          <w:szCs w:val="20"/>
          <w:lang w:val="es-CR"/>
        </w:rPr>
        <w:t xml:space="preserve"> </w:t>
      </w:r>
      <w:r w:rsidRPr="0096021A">
        <w:rPr>
          <w:rFonts w:ascii="Verdana" w:hAnsi="Verdana"/>
          <w:spacing w:val="-4"/>
          <w:sz w:val="20"/>
          <w:szCs w:val="20"/>
          <w:lang w:val="es-ES"/>
        </w:rPr>
        <w:t xml:space="preserve">en virtud del </w:t>
      </w:r>
      <w:r w:rsidRPr="0096021A">
        <w:rPr>
          <w:rFonts w:ascii="Verdana" w:hAnsi="Verdana" w:cs="Calibri"/>
          <w:spacing w:val="-4"/>
          <w:sz w:val="20"/>
          <w:szCs w:val="20"/>
          <w:lang w:val="es-AR"/>
        </w:rPr>
        <w:t>“alto impacto que el COVID-19 pueda tener respecto a las personas privadas de libertad en las prisiones y otros centros de detención”, y en atención a la posición especial de garante del Estado, se torna necesario, entre otras medidas, “reducir los niveles de sobrepoblación y hacinamiento, y disponer en forma racional y ordenada medidas alternativas a la privación de la libertad”</w:t>
      </w:r>
      <w:r w:rsidRPr="00597DDE">
        <w:rPr>
          <w:rStyle w:val="Refdenotaalpie"/>
          <w:rFonts w:cs="Calibri"/>
          <w:spacing w:val="-4"/>
          <w:sz w:val="20"/>
          <w:szCs w:val="20"/>
          <w:lang w:val="es-CR"/>
        </w:rPr>
        <w:footnoteReference w:id="46"/>
      </w:r>
      <w:r w:rsidRPr="0096021A">
        <w:rPr>
          <w:rFonts w:ascii="Verdana" w:hAnsi="Verdana" w:cs="Calibri"/>
          <w:spacing w:val="-4"/>
          <w:sz w:val="20"/>
          <w:szCs w:val="20"/>
          <w:lang w:val="es-AR"/>
        </w:rPr>
        <w:t>.</w:t>
      </w:r>
      <w:bookmarkEnd w:id="12"/>
      <w:r w:rsidR="00C2473F" w:rsidRPr="0096021A">
        <w:rPr>
          <w:rFonts w:ascii="Verdana" w:hAnsi="Verdana" w:cs="Calibri"/>
          <w:spacing w:val="-4"/>
          <w:sz w:val="20"/>
          <w:szCs w:val="20"/>
          <w:lang w:val="es-AR"/>
        </w:rPr>
        <w:t xml:space="preserve"> </w:t>
      </w:r>
    </w:p>
    <w:p w14:paraId="62849484" w14:textId="1859DEF6" w:rsidR="00F577FA" w:rsidRPr="00395069"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spacing w:val="-4"/>
          <w:lang w:val="es-AR"/>
        </w:rPr>
      </w:pPr>
      <w:bookmarkStart w:id="13" w:name="_Ref46240417"/>
      <w:r w:rsidRPr="00395069">
        <w:rPr>
          <w:rFonts w:ascii="Verdana" w:hAnsi="Verdana"/>
          <w:spacing w:val="-4"/>
          <w:sz w:val="20"/>
          <w:szCs w:val="20"/>
          <w:lang w:val="es-CR"/>
        </w:rPr>
        <w:t xml:space="preserve">Este Tribunal </w:t>
      </w:r>
      <w:r w:rsidRPr="00395069">
        <w:rPr>
          <w:rFonts w:ascii="Verdana" w:hAnsi="Verdana"/>
          <w:spacing w:val="-4"/>
          <w:sz w:val="20"/>
          <w:szCs w:val="20"/>
          <w:lang w:val="es-AR"/>
        </w:rPr>
        <w:t xml:space="preserve">ha indicado en su jurisprudencia que </w:t>
      </w:r>
      <w:r w:rsidRPr="00395069">
        <w:rPr>
          <w:rFonts w:ascii="Verdana" w:hAnsi="Verdana" w:cs="Times New Roman"/>
          <w:spacing w:val="-4"/>
          <w:sz w:val="20"/>
          <w:szCs w:val="20"/>
          <w:lang w:val="es-AR"/>
        </w:rPr>
        <w:t xml:space="preserve">“el Estado se encuentra en una posición especial de garante” respecto de las personas privadas de libertad, por lo que tiene el deber de adoptar medidas para resguardar sus derechos a la vida, </w:t>
      </w:r>
      <w:r w:rsidR="000C5155">
        <w:rPr>
          <w:rFonts w:ascii="Verdana" w:hAnsi="Verdana" w:cs="Times New Roman"/>
          <w:spacing w:val="-4"/>
          <w:sz w:val="20"/>
          <w:szCs w:val="20"/>
          <w:lang w:val="es-AR"/>
        </w:rPr>
        <w:t xml:space="preserve">a la </w:t>
      </w:r>
      <w:r w:rsidRPr="00395069">
        <w:rPr>
          <w:rFonts w:ascii="Verdana" w:hAnsi="Verdana" w:cs="Times New Roman"/>
          <w:spacing w:val="-4"/>
          <w:sz w:val="20"/>
          <w:szCs w:val="20"/>
          <w:lang w:val="es-AR"/>
        </w:rPr>
        <w:t xml:space="preserve">integridad </w:t>
      </w:r>
      <w:r w:rsidRPr="00395069">
        <w:rPr>
          <w:rFonts w:ascii="Verdana" w:hAnsi="Verdana"/>
          <w:spacing w:val="-4"/>
          <w:sz w:val="20"/>
          <w:szCs w:val="20"/>
          <w:lang w:val="es-CR"/>
        </w:rPr>
        <w:t>personal</w:t>
      </w:r>
      <w:r w:rsidRPr="00395069">
        <w:rPr>
          <w:rFonts w:ascii="Verdana" w:hAnsi="Verdana" w:cs="Times New Roman"/>
          <w:spacing w:val="-4"/>
          <w:sz w:val="20"/>
          <w:szCs w:val="20"/>
          <w:lang w:val="es-AR"/>
        </w:rPr>
        <w:t xml:space="preserve"> y </w:t>
      </w:r>
      <w:r w:rsidR="000C5155">
        <w:rPr>
          <w:rFonts w:ascii="Verdana" w:hAnsi="Verdana" w:cs="Times New Roman"/>
          <w:spacing w:val="-4"/>
          <w:sz w:val="20"/>
          <w:szCs w:val="20"/>
          <w:lang w:val="es-AR"/>
        </w:rPr>
        <w:t xml:space="preserve">a la </w:t>
      </w:r>
      <w:r w:rsidRPr="00395069">
        <w:rPr>
          <w:rFonts w:ascii="Verdana" w:hAnsi="Verdana" w:cs="Times New Roman"/>
          <w:spacing w:val="-4"/>
          <w:sz w:val="20"/>
          <w:szCs w:val="20"/>
          <w:lang w:val="es-AR"/>
        </w:rPr>
        <w:t>salud</w:t>
      </w:r>
      <w:r w:rsidRPr="000C5155">
        <w:rPr>
          <w:rStyle w:val="Refdenotaalpie"/>
          <w:rFonts w:cs="Times New Roman"/>
          <w:spacing w:val="-4"/>
          <w:sz w:val="20"/>
          <w:szCs w:val="20"/>
        </w:rPr>
        <w:footnoteReference w:id="47"/>
      </w:r>
      <w:r w:rsidRPr="000C5155">
        <w:rPr>
          <w:rFonts w:ascii="Verdana" w:hAnsi="Verdana" w:cs="Times New Roman"/>
          <w:spacing w:val="-4"/>
          <w:sz w:val="20"/>
          <w:szCs w:val="20"/>
          <w:lang w:val="es-AR"/>
        </w:rPr>
        <w:t>;</w:t>
      </w:r>
      <w:r w:rsidRPr="00395069">
        <w:rPr>
          <w:rFonts w:ascii="Verdana" w:hAnsi="Verdana" w:cs="Times New Roman"/>
          <w:spacing w:val="-4"/>
          <w:sz w:val="20"/>
          <w:szCs w:val="20"/>
          <w:lang w:val="es-AR"/>
        </w:rPr>
        <w:t xml:space="preserve"> y abstenerse bajo cualquier circu</w:t>
      </w:r>
      <w:r>
        <w:rPr>
          <w:rFonts w:ascii="Verdana" w:hAnsi="Verdana" w:cs="Times New Roman"/>
          <w:spacing w:val="-4"/>
          <w:sz w:val="20"/>
          <w:szCs w:val="20"/>
          <w:lang w:val="es-AR"/>
        </w:rPr>
        <w:t>nstancia</w:t>
      </w:r>
      <w:r w:rsidRPr="00395069">
        <w:rPr>
          <w:rFonts w:ascii="Verdana" w:hAnsi="Verdana" w:cs="Times New Roman"/>
          <w:spacing w:val="-4"/>
          <w:sz w:val="20"/>
          <w:szCs w:val="20"/>
          <w:lang w:val="es-AR"/>
        </w:rPr>
        <w:t xml:space="preserve"> de actuar de manera tal que se vulneren estos derechos</w:t>
      </w:r>
      <w:r w:rsidRPr="00517372">
        <w:rPr>
          <w:rStyle w:val="Refdenotaalpie"/>
          <w:rFonts w:cs="Times New Roman"/>
          <w:spacing w:val="-4"/>
          <w:sz w:val="20"/>
          <w:szCs w:val="20"/>
        </w:rPr>
        <w:footnoteReference w:id="48"/>
      </w:r>
      <w:r w:rsidRPr="00517372">
        <w:rPr>
          <w:rFonts w:ascii="Verdana" w:hAnsi="Verdana" w:cs="Times New Roman"/>
          <w:spacing w:val="-4"/>
          <w:sz w:val="20"/>
          <w:szCs w:val="20"/>
          <w:lang w:val="es-AR"/>
        </w:rPr>
        <w:t>.</w:t>
      </w:r>
      <w:r w:rsidRPr="00395069">
        <w:rPr>
          <w:rFonts w:ascii="Verdana" w:hAnsi="Verdana" w:cs="Times New Roman"/>
          <w:spacing w:val="-4"/>
          <w:sz w:val="20"/>
          <w:szCs w:val="20"/>
          <w:lang w:val="es-AR"/>
        </w:rPr>
        <w:t xml:space="preserve"> Además, la Corte ha sido clara en </w:t>
      </w:r>
      <w:r w:rsidRPr="009C672D">
        <w:rPr>
          <w:rFonts w:ascii="Verdana" w:hAnsi="Verdana" w:cs="Times New Roman"/>
          <w:spacing w:val="-4"/>
          <w:sz w:val="20"/>
          <w:szCs w:val="20"/>
          <w:lang w:val="es-AR"/>
        </w:rPr>
        <w:t>establecer que t</w:t>
      </w:r>
      <w:r w:rsidRPr="009C672D">
        <w:rPr>
          <w:rFonts w:ascii="Verdana" w:hAnsi="Verdana"/>
          <w:spacing w:val="-4"/>
          <w:sz w:val="20"/>
          <w:szCs w:val="20"/>
          <w:lang w:val="es-AR"/>
        </w:rPr>
        <w:t>ales derechos deben ser protegidos a “toda persona privada de libertad”, sin discriminación</w:t>
      </w:r>
      <w:r w:rsidRPr="009C672D">
        <w:rPr>
          <w:rStyle w:val="Refdenotaalpie"/>
          <w:rFonts w:cs="Arial"/>
          <w:spacing w:val="-4"/>
          <w:sz w:val="20"/>
          <w:szCs w:val="20"/>
        </w:rPr>
        <w:footnoteReference w:id="49"/>
      </w:r>
      <w:r w:rsidRPr="009C672D">
        <w:rPr>
          <w:rFonts w:ascii="Verdana" w:hAnsi="Verdana" w:cs="Arial"/>
          <w:spacing w:val="-4"/>
          <w:sz w:val="20"/>
          <w:szCs w:val="20"/>
          <w:lang w:val="es-AR"/>
        </w:rPr>
        <w:t>. En este sentido, se ha incorporado en la jurisprudencia los principales estándares sobre las condiciones carcelarias</w:t>
      </w:r>
      <w:r w:rsidR="00415030" w:rsidRPr="009C672D">
        <w:rPr>
          <w:rFonts w:ascii="Verdana" w:hAnsi="Verdana" w:cs="Arial"/>
          <w:spacing w:val="-4"/>
          <w:sz w:val="20"/>
          <w:szCs w:val="20"/>
          <w:lang w:val="es-AR"/>
        </w:rPr>
        <w:t xml:space="preserve"> </w:t>
      </w:r>
      <w:r w:rsidRPr="009C672D">
        <w:rPr>
          <w:rFonts w:ascii="Verdana" w:hAnsi="Verdana" w:cs="Arial"/>
          <w:spacing w:val="-4"/>
          <w:sz w:val="20"/>
          <w:szCs w:val="20"/>
          <w:lang w:val="es-AR"/>
        </w:rPr>
        <w:t>y deber de prevención que debe garantizar el Estado en favor de las personas privadas de libertad</w:t>
      </w:r>
      <w:r w:rsidRPr="009C672D">
        <w:rPr>
          <w:rStyle w:val="Refdenotaalpie"/>
          <w:rFonts w:cs="Arial"/>
          <w:spacing w:val="-4"/>
          <w:sz w:val="20"/>
          <w:szCs w:val="20"/>
        </w:rPr>
        <w:footnoteReference w:id="50"/>
      </w:r>
      <w:r w:rsidRPr="009C672D">
        <w:rPr>
          <w:rFonts w:ascii="Verdana" w:hAnsi="Verdana" w:cs="Arial"/>
          <w:spacing w:val="-4"/>
          <w:sz w:val="20"/>
          <w:szCs w:val="20"/>
          <w:lang w:val="es-AR"/>
        </w:rPr>
        <w:t>. Entre ellas, la Corte se ha referido a la adopción de medidas que procuren condiciones de detención mínimas compatibles con la dignidad personal</w:t>
      </w:r>
      <w:r w:rsidRPr="009C672D">
        <w:rPr>
          <w:rStyle w:val="Refdenotaalpie"/>
          <w:rFonts w:cs="Arial"/>
          <w:spacing w:val="-4"/>
          <w:sz w:val="20"/>
          <w:szCs w:val="20"/>
        </w:rPr>
        <w:footnoteReference w:id="51"/>
      </w:r>
      <w:r w:rsidRPr="009C672D">
        <w:rPr>
          <w:rFonts w:ascii="Verdana" w:hAnsi="Verdana" w:cs="Arial"/>
          <w:spacing w:val="-4"/>
          <w:sz w:val="20"/>
          <w:szCs w:val="20"/>
          <w:lang w:val="es-AR"/>
        </w:rPr>
        <w:t>; a la reducción del hacinamiento</w:t>
      </w:r>
      <w:r w:rsidRPr="009C672D">
        <w:rPr>
          <w:rStyle w:val="Refdenotaalpie"/>
          <w:rFonts w:cs="Arial"/>
          <w:spacing w:val="-4"/>
          <w:sz w:val="20"/>
          <w:szCs w:val="20"/>
        </w:rPr>
        <w:footnoteReference w:id="52"/>
      </w:r>
      <w:r w:rsidRPr="009C672D">
        <w:rPr>
          <w:rFonts w:ascii="Verdana" w:hAnsi="Verdana" w:cs="Arial"/>
          <w:spacing w:val="-4"/>
          <w:sz w:val="20"/>
          <w:szCs w:val="20"/>
          <w:lang w:val="es-AR"/>
        </w:rPr>
        <w:t>; al acceso al agua potable para consumo de estas personas y a agua para aseo personal</w:t>
      </w:r>
      <w:r w:rsidRPr="009C672D">
        <w:rPr>
          <w:rStyle w:val="Refdenotaalpie"/>
          <w:rFonts w:cs="Arial"/>
          <w:spacing w:val="-4"/>
          <w:sz w:val="20"/>
          <w:szCs w:val="20"/>
        </w:rPr>
        <w:footnoteReference w:id="53"/>
      </w:r>
      <w:r w:rsidRPr="009C672D">
        <w:rPr>
          <w:rFonts w:ascii="Verdana" w:hAnsi="Verdana" w:cs="Arial"/>
          <w:spacing w:val="-4"/>
          <w:sz w:val="20"/>
          <w:szCs w:val="20"/>
          <w:lang w:val="es-AR"/>
        </w:rPr>
        <w:t>; a alimentación de buena calidad y con valor nutritivo suficiente</w:t>
      </w:r>
      <w:r w:rsidRPr="009C672D">
        <w:rPr>
          <w:rStyle w:val="Refdenotaalpie"/>
          <w:rFonts w:cs="Arial"/>
          <w:spacing w:val="-4"/>
          <w:sz w:val="20"/>
          <w:szCs w:val="20"/>
        </w:rPr>
        <w:footnoteReference w:id="54"/>
      </w:r>
      <w:r w:rsidRPr="009C672D">
        <w:rPr>
          <w:rFonts w:ascii="Verdana" w:hAnsi="Verdana"/>
          <w:spacing w:val="-4"/>
          <w:sz w:val="20"/>
          <w:szCs w:val="20"/>
          <w:lang w:val="es-AR"/>
        </w:rPr>
        <w:t>, y a la atención médica regular y el tratamiento adecuado cuando sea necesario, en condiciones comparables con aquellas disfrutadas por pacientes en la comunidad exterior</w:t>
      </w:r>
      <w:r w:rsidRPr="009C672D">
        <w:rPr>
          <w:rStyle w:val="Refdenotaalpie"/>
          <w:spacing w:val="-4"/>
          <w:sz w:val="20"/>
          <w:szCs w:val="20"/>
        </w:rPr>
        <w:footnoteReference w:id="55"/>
      </w:r>
      <w:r w:rsidRPr="009C672D">
        <w:rPr>
          <w:rFonts w:ascii="Verdana" w:hAnsi="Verdana"/>
          <w:spacing w:val="-4"/>
          <w:sz w:val="20"/>
          <w:szCs w:val="20"/>
          <w:lang w:val="es-AR"/>
        </w:rPr>
        <w:t>.</w:t>
      </w:r>
      <w:bookmarkEnd w:id="13"/>
    </w:p>
    <w:p w14:paraId="778114CF" w14:textId="77777777" w:rsidR="00F577FA" w:rsidRPr="00395069"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spacing w:val="-4"/>
          <w:lang w:val="es-AR"/>
        </w:rPr>
      </w:pPr>
      <w:r w:rsidRPr="00395069">
        <w:rPr>
          <w:rFonts w:ascii="Verdana" w:hAnsi="Verdana"/>
          <w:spacing w:val="-4"/>
          <w:sz w:val="20"/>
          <w:szCs w:val="20"/>
          <w:lang w:val="es-AR"/>
        </w:rPr>
        <w:lastRenderedPageBreak/>
        <w:t xml:space="preserve">En particular, respecto de la atención médica adecuada para personas privadas de libertad, la Corte estableció diversos estándares en la sentencia del caso </w:t>
      </w:r>
      <w:r w:rsidRPr="00395069">
        <w:rPr>
          <w:rFonts w:ascii="Verdana" w:hAnsi="Verdana"/>
          <w:i/>
          <w:spacing w:val="-4"/>
          <w:sz w:val="20"/>
          <w:szCs w:val="20"/>
          <w:lang w:val="es-AR"/>
        </w:rPr>
        <w:t xml:space="preserve">Chinchilla </w:t>
      </w:r>
      <w:r w:rsidR="009C672D">
        <w:rPr>
          <w:rFonts w:ascii="Verdana" w:hAnsi="Verdana"/>
          <w:i/>
          <w:spacing w:val="-4"/>
          <w:sz w:val="20"/>
          <w:szCs w:val="20"/>
          <w:lang w:val="es-AR"/>
        </w:rPr>
        <w:t xml:space="preserve">Sandoval y otros </w:t>
      </w:r>
      <w:r w:rsidRPr="00395069">
        <w:rPr>
          <w:rFonts w:ascii="Verdana" w:hAnsi="Verdana"/>
          <w:i/>
          <w:spacing w:val="-4"/>
          <w:sz w:val="20"/>
          <w:szCs w:val="20"/>
          <w:lang w:val="es-AR"/>
        </w:rPr>
        <w:t>Vs. Guatemala</w:t>
      </w:r>
      <w:r w:rsidRPr="00395069">
        <w:rPr>
          <w:rFonts w:ascii="Verdana" w:hAnsi="Verdana"/>
          <w:spacing w:val="-4"/>
          <w:sz w:val="20"/>
          <w:szCs w:val="20"/>
          <w:lang w:val="es-AR"/>
        </w:rPr>
        <w:t xml:space="preserve">, entre los cuales se indica que los Estados deben asegurar que a </w:t>
      </w:r>
      <w:r w:rsidRPr="00395069">
        <w:rPr>
          <w:rFonts w:ascii="Verdana" w:hAnsi="Verdana" w:cs="Arial"/>
          <w:color w:val="000000"/>
          <w:spacing w:val="-4"/>
          <w:sz w:val="20"/>
          <w:szCs w:val="20"/>
          <w:lang w:val="es-AR"/>
        </w:rPr>
        <w:t>las personas privadas de libertad que padezcan enfermedades graves, crónicas o terminales se les brinde atención médica adecuada, especializada y continua</w:t>
      </w:r>
      <w:r w:rsidRPr="00395069">
        <w:rPr>
          <w:rFonts w:ascii="Verdana" w:hAnsi="Verdana"/>
          <w:spacing w:val="-4"/>
          <w:sz w:val="20"/>
          <w:szCs w:val="20"/>
          <w:lang w:val="es-AR"/>
        </w:rPr>
        <w:t>, ya sea dentro o fuera del centro penitenciario</w:t>
      </w:r>
      <w:r w:rsidRPr="00395069">
        <w:rPr>
          <w:rStyle w:val="Refdenotaalpie"/>
          <w:spacing w:val="-4"/>
          <w:sz w:val="20"/>
          <w:szCs w:val="20"/>
        </w:rPr>
        <w:footnoteReference w:id="56"/>
      </w:r>
      <w:r w:rsidRPr="00395069">
        <w:rPr>
          <w:rFonts w:ascii="Verdana" w:hAnsi="Verdana" w:cs="Arial"/>
          <w:color w:val="000000"/>
          <w:spacing w:val="-4"/>
          <w:sz w:val="20"/>
          <w:szCs w:val="20"/>
          <w:lang w:val="es-AR"/>
        </w:rPr>
        <w:t xml:space="preserve">. </w:t>
      </w:r>
      <w:r w:rsidRPr="00395069">
        <w:rPr>
          <w:rFonts w:ascii="Verdana" w:hAnsi="Verdana"/>
          <w:spacing w:val="-4"/>
          <w:sz w:val="20"/>
          <w:szCs w:val="20"/>
          <w:lang w:val="es-AR"/>
        </w:rPr>
        <w:t>En caso de que ello no se</w:t>
      </w:r>
      <w:r>
        <w:rPr>
          <w:rFonts w:ascii="Verdana" w:hAnsi="Verdana"/>
          <w:spacing w:val="-4"/>
          <w:sz w:val="20"/>
          <w:szCs w:val="20"/>
          <w:lang w:val="es-AR"/>
        </w:rPr>
        <w:t>a posible</w:t>
      </w:r>
      <w:r w:rsidRPr="00395069">
        <w:rPr>
          <w:rFonts w:ascii="Verdana" w:hAnsi="Verdana"/>
          <w:spacing w:val="-4"/>
          <w:sz w:val="20"/>
          <w:szCs w:val="20"/>
          <w:lang w:val="es-AR"/>
        </w:rPr>
        <w:t xml:space="preserve">, las mencionadas personas privadas de libertad </w:t>
      </w:r>
      <w:r w:rsidRPr="00395069">
        <w:rPr>
          <w:rFonts w:ascii="Verdana" w:hAnsi="Verdana" w:cs="Arial"/>
          <w:color w:val="000000"/>
          <w:spacing w:val="-4"/>
          <w:sz w:val="20"/>
          <w:szCs w:val="20"/>
          <w:lang w:val="es-AR"/>
        </w:rPr>
        <w:t xml:space="preserve">no deben permanecer en establecimientos carcelarios. </w:t>
      </w:r>
      <w:r w:rsidRPr="00395069">
        <w:rPr>
          <w:rFonts w:ascii="Verdana" w:hAnsi="Verdana"/>
          <w:spacing w:val="-4"/>
          <w:sz w:val="20"/>
          <w:szCs w:val="20"/>
          <w:lang w:val="es-AR"/>
        </w:rPr>
        <w:t xml:space="preserve">Si el Estado no puede garantizar dicha atención en el centro penitenciario, está “obligado a establecer un mecanismo o protocolo de atención ágil y efectivo para asegurar que la supervisión médica </w:t>
      </w:r>
      <w:r w:rsidRPr="00395069">
        <w:rPr>
          <w:rFonts w:ascii="Verdana" w:hAnsi="Verdana" w:cs="Verdana"/>
          <w:spacing w:val="-4"/>
          <w:sz w:val="20"/>
          <w:szCs w:val="20"/>
          <w:lang w:val="es-AR"/>
        </w:rPr>
        <w:t>[sea]</w:t>
      </w:r>
      <w:r w:rsidRPr="00395069">
        <w:rPr>
          <w:rFonts w:ascii="Verdana" w:hAnsi="Verdana"/>
          <w:spacing w:val="-4"/>
          <w:sz w:val="20"/>
          <w:szCs w:val="20"/>
          <w:lang w:val="es-AR"/>
        </w:rPr>
        <w:t xml:space="preserve"> oportuna y sistemática, particularmente ante alguna situación de emergencia”. Los procedimientos establecidos para la consulta externa en hospitales deben tener “la agilidad necesaria para permitir, de manera efectiva, un tratamiento médico oportuno”</w:t>
      </w:r>
      <w:r w:rsidRPr="00395069">
        <w:rPr>
          <w:rStyle w:val="Refdenotaalpie"/>
          <w:rFonts w:cs="Arial"/>
          <w:spacing w:val="-4"/>
          <w:sz w:val="20"/>
          <w:szCs w:val="20"/>
        </w:rPr>
        <w:footnoteReference w:id="57"/>
      </w:r>
      <w:r w:rsidRPr="00395069">
        <w:rPr>
          <w:rFonts w:ascii="Verdana" w:hAnsi="Verdana"/>
          <w:spacing w:val="-4"/>
          <w:sz w:val="20"/>
          <w:szCs w:val="20"/>
          <w:lang w:val="es-AR"/>
        </w:rPr>
        <w:t xml:space="preserve">. </w:t>
      </w:r>
    </w:p>
    <w:p w14:paraId="0D56D8CB" w14:textId="48220F77" w:rsidR="00F577FA" w:rsidRPr="009638B4"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AR"/>
        </w:rPr>
      </w:pPr>
      <w:bookmarkStart w:id="14" w:name="_Ref46245883"/>
      <w:r w:rsidRPr="009638B4">
        <w:rPr>
          <w:rFonts w:ascii="Verdana" w:hAnsi="Verdana"/>
          <w:spacing w:val="-4"/>
          <w:sz w:val="20"/>
          <w:szCs w:val="20"/>
          <w:lang w:val="es-AR"/>
        </w:rPr>
        <w:t>En ese sentido, en el marco de la supe</w:t>
      </w:r>
      <w:r>
        <w:rPr>
          <w:rFonts w:ascii="Verdana" w:hAnsi="Verdana"/>
          <w:spacing w:val="-4"/>
          <w:sz w:val="20"/>
          <w:szCs w:val="20"/>
          <w:lang w:val="es-AR"/>
        </w:rPr>
        <w:t>rvisión de cumplimiento de las S</w:t>
      </w:r>
      <w:r w:rsidRPr="009638B4">
        <w:rPr>
          <w:rFonts w:ascii="Verdana" w:hAnsi="Verdana"/>
          <w:spacing w:val="-4"/>
          <w:sz w:val="20"/>
          <w:szCs w:val="20"/>
          <w:lang w:val="es-AR"/>
        </w:rPr>
        <w:t xml:space="preserve">entencias de los </w:t>
      </w:r>
      <w:r w:rsidRPr="009638B4">
        <w:rPr>
          <w:rFonts w:ascii="Verdana" w:hAnsi="Verdana"/>
          <w:i/>
          <w:spacing w:val="-4"/>
          <w:sz w:val="20"/>
          <w:szCs w:val="20"/>
          <w:lang w:val="es-AR"/>
        </w:rPr>
        <w:t>casos Barrios Altos y La Cantuta</w:t>
      </w:r>
      <w:r w:rsidR="00674B35">
        <w:rPr>
          <w:rFonts w:ascii="Verdana" w:hAnsi="Verdana"/>
          <w:i/>
          <w:spacing w:val="-4"/>
          <w:sz w:val="20"/>
          <w:szCs w:val="20"/>
          <w:lang w:val="es-AR"/>
        </w:rPr>
        <w:t xml:space="preserve"> Vs. Perú</w:t>
      </w:r>
      <w:r>
        <w:rPr>
          <w:rFonts w:ascii="Verdana" w:hAnsi="Verdana"/>
          <w:spacing w:val="-4"/>
          <w:sz w:val="20"/>
          <w:szCs w:val="20"/>
          <w:lang w:val="es-AR"/>
        </w:rPr>
        <w:t xml:space="preserve">, esta Corte agregó que </w:t>
      </w:r>
      <w:r w:rsidRPr="009638B4">
        <w:rPr>
          <w:rFonts w:ascii="Verdana" w:hAnsi="Verdana"/>
          <w:spacing w:val="-4"/>
          <w:sz w:val="20"/>
          <w:szCs w:val="20"/>
          <w:lang w:val="es-AR"/>
        </w:rPr>
        <w:t>“dependiendo de factores como situación de salud, riesgo a la vida, condiciones de detención y facilidades para ser atendido adecuadamente (ya sea en el centro penal o mediante traslado a un centro médico), corresponde al Estado valorar proporcionalmente cuál es la medida de carácter administrativo o figura jurídica que permita proteger la vida y la integridad del condenado, siempre que la misma se otorgue debidamente y siguiendo un fin legítimo que no signifique únicamente dejar de asegurar la ejecución de la pena”</w:t>
      </w:r>
      <w:r w:rsidR="006349BA">
        <w:rPr>
          <w:rStyle w:val="Refdenotaalpie"/>
          <w:spacing w:val="-4"/>
          <w:szCs w:val="20"/>
          <w:lang w:val="es-AR"/>
        </w:rPr>
        <w:footnoteReference w:id="58"/>
      </w:r>
      <w:r w:rsidRPr="009638B4">
        <w:rPr>
          <w:rFonts w:ascii="Verdana" w:hAnsi="Verdana"/>
          <w:spacing w:val="-4"/>
          <w:sz w:val="20"/>
          <w:szCs w:val="20"/>
          <w:lang w:val="es-AR"/>
        </w:rPr>
        <w:t>. Tratándose de casos de “graves violaciones de derechos humanos”, el Tribunal resaltó lo siguiente</w:t>
      </w:r>
      <w:r>
        <w:rPr>
          <w:rFonts w:ascii="Verdana" w:hAnsi="Verdana"/>
          <w:spacing w:val="-4"/>
          <w:sz w:val="20"/>
          <w:szCs w:val="20"/>
          <w:lang w:val="es-AR"/>
        </w:rPr>
        <w:t>:</w:t>
      </w:r>
      <w:bookmarkEnd w:id="14"/>
      <w:r>
        <w:rPr>
          <w:rFonts w:ascii="Verdana" w:hAnsi="Verdana"/>
          <w:spacing w:val="-4"/>
          <w:sz w:val="20"/>
          <w:szCs w:val="20"/>
          <w:lang w:val="es-AR"/>
        </w:rPr>
        <w:t xml:space="preserve"> </w:t>
      </w:r>
    </w:p>
    <w:p w14:paraId="1CED6F4E" w14:textId="798FAD12" w:rsidR="00F577FA" w:rsidRDefault="00F577FA" w:rsidP="006349BA">
      <w:pPr>
        <w:autoSpaceDE w:val="0"/>
        <w:autoSpaceDN w:val="0"/>
        <w:adjustRightInd w:val="0"/>
        <w:spacing w:before="120" w:after="120"/>
        <w:ind w:left="426" w:right="566"/>
        <w:jc w:val="both"/>
        <w:rPr>
          <w:rFonts w:ascii="Verdana" w:eastAsiaTheme="minorHAnsi" w:hAnsi="Verdana" w:cs="Verdana"/>
          <w:color w:val="000000"/>
          <w:sz w:val="16"/>
          <w:szCs w:val="16"/>
          <w:lang w:val="es-CR"/>
        </w:rPr>
      </w:pPr>
      <w:r w:rsidRPr="00CF21D6">
        <w:rPr>
          <w:rFonts w:ascii="Verdana" w:eastAsiaTheme="minorHAnsi" w:hAnsi="Verdana" w:cs="Verdana"/>
          <w:color w:val="000000"/>
          <w:sz w:val="16"/>
          <w:szCs w:val="16"/>
          <w:lang w:val="es-CR"/>
        </w:rPr>
        <w:t xml:space="preserve">dicha medida o figura jurídica debe ser la que menos restrinja el derecho de acceso a la justicia de las víctimas </w:t>
      </w:r>
      <w:r w:rsidRPr="00CF21D6">
        <w:rPr>
          <w:rFonts w:ascii="Verdana" w:eastAsiaTheme="minorHAnsi" w:hAnsi="Verdana" w:cs="Verdana"/>
          <w:iCs/>
          <w:color w:val="000000"/>
          <w:sz w:val="16"/>
          <w:szCs w:val="16"/>
          <w:lang w:val="es-CR"/>
        </w:rPr>
        <w:t>[…]</w:t>
      </w:r>
      <w:r>
        <w:rPr>
          <w:rFonts w:ascii="Verdana" w:eastAsiaTheme="minorHAnsi" w:hAnsi="Verdana" w:cs="Verdana"/>
          <w:i/>
          <w:iCs/>
          <w:color w:val="000000"/>
          <w:sz w:val="16"/>
          <w:szCs w:val="16"/>
          <w:lang w:val="es-CR"/>
        </w:rPr>
        <w:t xml:space="preserve"> </w:t>
      </w:r>
      <w:r w:rsidRPr="00CF21D6">
        <w:rPr>
          <w:rFonts w:ascii="Verdana" w:eastAsiaTheme="minorHAnsi" w:hAnsi="Verdana" w:cs="Verdana"/>
          <w:color w:val="000000"/>
          <w:sz w:val="16"/>
          <w:szCs w:val="16"/>
          <w:lang w:val="es-CR"/>
        </w:rPr>
        <w:t xml:space="preserve">y debe ser aplicada en casos muy extremos y por una necesidad imperante. Esto no significa que la figura jurídica o medida que tenga que adoptar el Estado sea necesariamente una que ponga en libertad al condenado y, mucho menos, que implique la extinción de la pena. Corresponde determinar primeramente, de acuerdo con otros factores, si habría una medida que permita una atención médica efectiva (por ejemplo, asegurar que el condenado, de forma efectiva y pronta, pueda acudir a las citas o procedimientos médicos correspondientes y medidas y protocolos que permitan una atención médica de urgencia) </w:t>
      </w:r>
      <w:r>
        <w:rPr>
          <w:rFonts w:ascii="Verdana" w:eastAsiaTheme="minorHAnsi" w:hAnsi="Verdana" w:cs="Verdana"/>
          <w:color w:val="000000"/>
          <w:sz w:val="16"/>
          <w:szCs w:val="16"/>
          <w:lang w:val="es-CR"/>
        </w:rPr>
        <w:t xml:space="preserve">[…] </w:t>
      </w:r>
      <w:r w:rsidRPr="00CF21D6">
        <w:rPr>
          <w:rFonts w:ascii="Verdana" w:eastAsiaTheme="minorHAnsi" w:hAnsi="Verdana" w:cs="Verdana"/>
          <w:color w:val="000000"/>
          <w:sz w:val="16"/>
          <w:szCs w:val="16"/>
          <w:lang w:val="es-CR"/>
        </w:rPr>
        <w:t>o si resulta necesario aplicar una institución jurídica apropiada que modifique la pena o permita una libertad anticipada</w:t>
      </w:r>
      <w:r w:rsidRPr="00A46C0C">
        <w:rPr>
          <w:rFonts w:ascii="Verdana" w:eastAsiaTheme="minorHAnsi" w:hAnsi="Verdana" w:cs="Verdana"/>
          <w:color w:val="000000"/>
          <w:sz w:val="16"/>
          <w:szCs w:val="16"/>
          <w:vertAlign w:val="superscript"/>
        </w:rPr>
        <w:footnoteReference w:id="59"/>
      </w:r>
      <w:r w:rsidRPr="00CF21D6">
        <w:rPr>
          <w:rFonts w:ascii="Verdana" w:eastAsiaTheme="minorHAnsi" w:hAnsi="Verdana" w:cs="Verdana"/>
          <w:color w:val="000000"/>
          <w:sz w:val="16"/>
          <w:szCs w:val="16"/>
          <w:lang w:val="es-CR"/>
        </w:rPr>
        <w:t xml:space="preserve">. </w:t>
      </w:r>
    </w:p>
    <w:p w14:paraId="17EF71F8" w14:textId="77777777" w:rsidR="00345670" w:rsidRPr="003F4F81" w:rsidRDefault="00345670" w:rsidP="006349BA">
      <w:pPr>
        <w:autoSpaceDE w:val="0"/>
        <w:autoSpaceDN w:val="0"/>
        <w:adjustRightInd w:val="0"/>
        <w:spacing w:before="120" w:after="120"/>
        <w:ind w:left="426" w:right="566"/>
        <w:jc w:val="both"/>
        <w:rPr>
          <w:rFonts w:ascii="Verdana" w:eastAsiaTheme="minorHAnsi" w:hAnsi="Verdana" w:cs="Verdana"/>
          <w:color w:val="000000"/>
          <w:sz w:val="16"/>
          <w:szCs w:val="16"/>
          <w:lang w:val="es-CR"/>
        </w:rPr>
      </w:pPr>
    </w:p>
    <w:p w14:paraId="690CC233" w14:textId="504CA781" w:rsidR="00F577FA" w:rsidRPr="00833CA0"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bookmarkStart w:id="15" w:name="_Ref46241270"/>
      <w:r w:rsidRPr="00960616">
        <w:rPr>
          <w:rFonts w:ascii="Verdana" w:hAnsi="Verdana"/>
          <w:spacing w:val="-4"/>
          <w:sz w:val="20"/>
          <w:szCs w:val="20"/>
          <w:lang w:val="es-CR"/>
        </w:rPr>
        <w:t xml:space="preserve">De la información aportada por las partes, este Tribunal nota, en primer lugar, que cuatro de los propuestos beneficiarios sufren de enfermedades o condiciones preexistentes </w:t>
      </w:r>
      <w:r w:rsidRPr="00960616">
        <w:rPr>
          <w:rFonts w:ascii="Verdana" w:hAnsi="Verdana"/>
          <w:spacing w:val="-4"/>
          <w:sz w:val="20"/>
          <w:szCs w:val="20"/>
          <w:lang w:val="es-AR"/>
        </w:rPr>
        <w:t>de</w:t>
      </w:r>
      <w:r w:rsidRPr="00960616">
        <w:rPr>
          <w:rFonts w:ascii="Verdana" w:hAnsi="Verdana"/>
          <w:spacing w:val="-4"/>
          <w:sz w:val="20"/>
          <w:szCs w:val="20"/>
          <w:lang w:val="es-CR"/>
        </w:rPr>
        <w:t xml:space="preserve"> salud. Dos de ellos también son personas mayores y otros tres tienen más de 50 años. Respecto de</w:t>
      </w:r>
      <w:r w:rsidR="00814848" w:rsidRPr="00960616">
        <w:rPr>
          <w:rFonts w:ascii="Verdana" w:hAnsi="Verdana"/>
          <w:spacing w:val="-4"/>
          <w:sz w:val="20"/>
          <w:szCs w:val="20"/>
          <w:lang w:val="es-CR"/>
        </w:rPr>
        <w:t>l señor</w:t>
      </w:r>
      <w:r w:rsidRPr="00960616">
        <w:rPr>
          <w:rFonts w:ascii="Verdana" w:hAnsi="Verdana"/>
          <w:spacing w:val="-4"/>
          <w:sz w:val="20"/>
          <w:szCs w:val="20"/>
          <w:lang w:val="es-CR"/>
        </w:rPr>
        <w:t xml:space="preserve"> Arturo Chumpitaz Aguirre, de 56 años, los intervinientes comunes no indicaron si sufría de enfermedades preexistentes que le situaran dentro de algún grupo de riesgo frente al COVID-19. Los intervinientes comunes solo proporcionaron </w:t>
      </w:r>
      <w:r w:rsidRPr="00960616">
        <w:rPr>
          <w:rFonts w:ascii="Verdana" w:hAnsi="Verdana"/>
          <w:spacing w:val="-4"/>
          <w:sz w:val="20"/>
          <w:szCs w:val="20"/>
          <w:lang w:val="es-AR"/>
        </w:rPr>
        <w:t xml:space="preserve">información específica sobre la cantidad de años transcurridos en prisión </w:t>
      </w:r>
      <w:r w:rsidRPr="00833CA0">
        <w:rPr>
          <w:rFonts w:ascii="Verdana" w:hAnsi="Verdana"/>
          <w:spacing w:val="-4"/>
          <w:sz w:val="20"/>
          <w:szCs w:val="20"/>
          <w:lang w:val="es-AR"/>
        </w:rPr>
        <w:t xml:space="preserve">respecto de </w:t>
      </w:r>
      <w:r w:rsidR="009D7401" w:rsidRPr="00833CA0">
        <w:rPr>
          <w:rFonts w:ascii="Verdana" w:hAnsi="Verdana"/>
          <w:spacing w:val="-4"/>
          <w:sz w:val="20"/>
          <w:szCs w:val="20"/>
          <w:lang w:val="es-AR"/>
        </w:rPr>
        <w:t xml:space="preserve">tres propuestos </w:t>
      </w:r>
      <w:r w:rsidRPr="00833CA0">
        <w:rPr>
          <w:rFonts w:ascii="Verdana" w:hAnsi="Verdana"/>
          <w:spacing w:val="-4"/>
          <w:sz w:val="20"/>
          <w:szCs w:val="20"/>
          <w:lang w:val="es-AR"/>
        </w:rPr>
        <w:t>beneficiari</w:t>
      </w:r>
      <w:r w:rsidR="009D7401" w:rsidRPr="00833CA0">
        <w:rPr>
          <w:rFonts w:ascii="Verdana" w:hAnsi="Verdana"/>
          <w:spacing w:val="-4"/>
          <w:sz w:val="20"/>
          <w:szCs w:val="20"/>
          <w:lang w:val="es-AR"/>
        </w:rPr>
        <w:t>os</w:t>
      </w:r>
      <w:r w:rsidRPr="00833CA0">
        <w:rPr>
          <w:rStyle w:val="Refdenotaalpie"/>
          <w:spacing w:val="-4"/>
          <w:sz w:val="20"/>
          <w:szCs w:val="20"/>
          <w:lang w:val="es-AR"/>
        </w:rPr>
        <w:footnoteReference w:id="60"/>
      </w:r>
      <w:r w:rsidRPr="00833CA0">
        <w:rPr>
          <w:rFonts w:ascii="Verdana" w:hAnsi="Verdana"/>
          <w:spacing w:val="-4"/>
          <w:sz w:val="20"/>
          <w:szCs w:val="20"/>
          <w:lang w:val="es-AR"/>
        </w:rPr>
        <w:t>; no obstante, refirieron que</w:t>
      </w:r>
      <w:r w:rsidRPr="00833CA0">
        <w:rPr>
          <w:rFonts w:ascii="Verdana" w:hAnsi="Verdana"/>
          <w:spacing w:val="-4"/>
          <w:sz w:val="20"/>
          <w:szCs w:val="20"/>
          <w:lang w:val="es-CR"/>
        </w:rPr>
        <w:t xml:space="preserve"> todos ellos tienen “</w:t>
      </w:r>
      <w:r w:rsidRPr="00833CA0">
        <w:rPr>
          <w:rFonts w:ascii="Verdana" w:hAnsi="Verdana"/>
          <w:spacing w:val="-4"/>
          <w:sz w:val="20"/>
          <w:szCs w:val="20"/>
          <w:lang w:val="es-AR"/>
        </w:rPr>
        <w:t>27 años de prisión en promedio”</w:t>
      </w:r>
      <w:r w:rsidR="00814848" w:rsidRPr="00833CA0">
        <w:rPr>
          <w:rFonts w:ascii="Verdana" w:hAnsi="Verdana"/>
          <w:spacing w:val="-4"/>
          <w:sz w:val="20"/>
          <w:szCs w:val="20"/>
          <w:lang w:val="es-AR"/>
        </w:rPr>
        <w:t xml:space="preserve"> (</w:t>
      </w:r>
      <w:r w:rsidR="00814848" w:rsidRPr="00833CA0">
        <w:rPr>
          <w:rFonts w:ascii="Verdana" w:hAnsi="Verdana"/>
          <w:i/>
          <w:iCs/>
          <w:spacing w:val="-4"/>
          <w:sz w:val="20"/>
          <w:szCs w:val="20"/>
          <w:lang w:val="es-AR"/>
        </w:rPr>
        <w:t xml:space="preserve">supra </w:t>
      </w:r>
      <w:r w:rsidR="00814848" w:rsidRPr="00833CA0">
        <w:rPr>
          <w:rFonts w:ascii="Verdana" w:hAnsi="Verdana"/>
          <w:spacing w:val="-4"/>
          <w:sz w:val="20"/>
          <w:szCs w:val="20"/>
          <w:lang w:val="es-AR"/>
        </w:rPr>
        <w:t>Considerando 8.a.)</w:t>
      </w:r>
      <w:r w:rsidRPr="00833CA0">
        <w:rPr>
          <w:rFonts w:ascii="Verdana" w:hAnsi="Verdana"/>
          <w:spacing w:val="-4"/>
          <w:sz w:val="20"/>
          <w:szCs w:val="20"/>
          <w:lang w:val="es-CR"/>
        </w:rPr>
        <w:t>.</w:t>
      </w:r>
      <w:bookmarkEnd w:id="15"/>
    </w:p>
    <w:p w14:paraId="24087716" w14:textId="6662D71D" w:rsidR="00F577FA" w:rsidRPr="002A17DF"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833CA0">
        <w:rPr>
          <w:rFonts w:ascii="Verdana" w:hAnsi="Verdana"/>
          <w:spacing w:val="-4"/>
          <w:sz w:val="20"/>
          <w:szCs w:val="20"/>
          <w:lang w:val="es-CR"/>
        </w:rPr>
        <w:t xml:space="preserve">Este Tribunal nota, asimismo, que los intervinientes comunes interpusieron la solicitud de medidas provisionales, inicialmente, con el objeto de evitar que los </w:t>
      </w:r>
      <w:r w:rsidR="005D1291" w:rsidRPr="00833CA0">
        <w:rPr>
          <w:rFonts w:ascii="Verdana" w:hAnsi="Verdana"/>
          <w:spacing w:val="-4"/>
          <w:sz w:val="20"/>
          <w:szCs w:val="20"/>
          <w:lang w:val="es-CR"/>
        </w:rPr>
        <w:t xml:space="preserve">cinco </w:t>
      </w:r>
      <w:r w:rsidRPr="00833CA0">
        <w:rPr>
          <w:rFonts w:ascii="Verdana" w:hAnsi="Verdana"/>
          <w:spacing w:val="-4"/>
          <w:sz w:val="20"/>
          <w:szCs w:val="20"/>
          <w:lang w:val="es-CR"/>
        </w:rPr>
        <w:t>propuestos beneficiarios se contagiaran del virus</w:t>
      </w:r>
      <w:r w:rsidR="005D1291" w:rsidRPr="00833CA0">
        <w:rPr>
          <w:rFonts w:ascii="Verdana" w:hAnsi="Verdana"/>
          <w:spacing w:val="-4"/>
          <w:sz w:val="20"/>
          <w:szCs w:val="20"/>
          <w:lang w:val="es-CR"/>
        </w:rPr>
        <w:t>,</w:t>
      </w:r>
      <w:r w:rsidRPr="00833CA0">
        <w:rPr>
          <w:rFonts w:ascii="Verdana" w:hAnsi="Verdana"/>
          <w:spacing w:val="-4"/>
          <w:sz w:val="20"/>
          <w:szCs w:val="20"/>
          <w:lang w:val="es-CR"/>
        </w:rPr>
        <w:t xml:space="preserve"> o que los </w:t>
      </w:r>
      <w:r w:rsidR="006B5DCC" w:rsidRPr="00833CA0">
        <w:rPr>
          <w:rFonts w:ascii="Verdana" w:hAnsi="Verdana"/>
          <w:spacing w:val="-4"/>
          <w:sz w:val="20"/>
          <w:szCs w:val="20"/>
          <w:lang w:val="es-CR"/>
        </w:rPr>
        <w:t>cuatro</w:t>
      </w:r>
      <w:r w:rsidRPr="00833CA0">
        <w:rPr>
          <w:rFonts w:ascii="Verdana" w:hAnsi="Verdana"/>
          <w:spacing w:val="-4"/>
          <w:sz w:val="20"/>
          <w:szCs w:val="20"/>
          <w:lang w:val="es-CR"/>
        </w:rPr>
        <w:t xml:space="preserve"> que creían estar contagiados (con base en los síntomas que tenían, aun cuando no se les había realizado pruebas de diagnóstico) pudieran recibir atención médica y medicamentos, </w:t>
      </w:r>
      <w:r w:rsidRPr="00833CA0">
        <w:rPr>
          <w:rFonts w:ascii="Verdana" w:hAnsi="Verdana"/>
          <w:spacing w:val="-4"/>
          <w:sz w:val="20"/>
          <w:szCs w:val="20"/>
          <w:lang w:val="es-CR"/>
        </w:rPr>
        <w:lastRenderedPageBreak/>
        <w:t xml:space="preserve">así como que los cinco fueran sujetos a detención domiciliaria. Al momento de interponer la solicitud a mediados de mayo de 2020, a ninguno de ellos se les había realizado dicha prueba, pero ya se había constatado más de 1500 de personas contagiadas con COVID-19 en establecimientos penitenciarios del Perú y más de 100 fallecidos a causa del virus (entre personas privadas de libertad y trabajadores del Instituto Nacional Penitenciario). Con posterioridad a la presentación de la referida solicitud, y luego de que se le solicitara información al respecto, el Perú procedió a la realización de pruebas de descarte de COVID-19. De la información presentada por el Estado </w:t>
      </w:r>
      <w:r w:rsidR="00F57F42" w:rsidRPr="00833CA0">
        <w:rPr>
          <w:rFonts w:ascii="Verdana" w:hAnsi="Verdana"/>
          <w:spacing w:val="-4"/>
          <w:sz w:val="20"/>
          <w:szCs w:val="20"/>
          <w:lang w:val="es-CR"/>
        </w:rPr>
        <w:t>(</w:t>
      </w:r>
      <w:r w:rsidR="00F57F42" w:rsidRPr="00833CA0">
        <w:rPr>
          <w:rFonts w:ascii="Verdana" w:hAnsi="Verdana"/>
          <w:i/>
          <w:spacing w:val="-4"/>
          <w:sz w:val="20"/>
          <w:szCs w:val="20"/>
          <w:lang w:val="es-CR"/>
        </w:rPr>
        <w:t xml:space="preserve">supra </w:t>
      </w:r>
      <w:r w:rsidR="00F57F42" w:rsidRPr="00833CA0">
        <w:rPr>
          <w:rFonts w:ascii="Verdana" w:hAnsi="Verdana"/>
          <w:spacing w:val="-4"/>
          <w:sz w:val="20"/>
          <w:szCs w:val="20"/>
          <w:lang w:val="es-CR"/>
        </w:rPr>
        <w:t xml:space="preserve">Considerando </w:t>
      </w:r>
      <w:r w:rsidR="00F57F42" w:rsidRPr="00833CA0">
        <w:rPr>
          <w:rFonts w:ascii="Verdana" w:hAnsi="Verdana"/>
          <w:spacing w:val="-4"/>
          <w:sz w:val="20"/>
          <w:szCs w:val="20"/>
          <w:lang w:val="es-CR"/>
        </w:rPr>
        <w:fldChar w:fldCharType="begin"/>
      </w:r>
      <w:r w:rsidR="00F57F42" w:rsidRPr="00833CA0">
        <w:rPr>
          <w:rFonts w:ascii="Verdana" w:hAnsi="Verdana"/>
          <w:spacing w:val="-4"/>
          <w:sz w:val="20"/>
          <w:szCs w:val="20"/>
          <w:lang w:val="es-CR"/>
        </w:rPr>
        <w:instrText xml:space="preserve"> REF _Ref46180975 \r \h  \* MERGEFORMAT </w:instrText>
      </w:r>
      <w:r w:rsidR="00F57F42" w:rsidRPr="00833CA0">
        <w:rPr>
          <w:rFonts w:ascii="Verdana" w:hAnsi="Verdana"/>
          <w:spacing w:val="-4"/>
          <w:sz w:val="20"/>
          <w:szCs w:val="20"/>
          <w:lang w:val="es-CR"/>
        </w:rPr>
      </w:r>
      <w:r w:rsidR="00F57F42" w:rsidRPr="00833CA0">
        <w:rPr>
          <w:rFonts w:ascii="Verdana" w:hAnsi="Verdana"/>
          <w:spacing w:val="-4"/>
          <w:sz w:val="20"/>
          <w:szCs w:val="20"/>
          <w:lang w:val="es-CR"/>
        </w:rPr>
        <w:fldChar w:fldCharType="separate"/>
      </w:r>
      <w:r w:rsidR="00F57F42" w:rsidRPr="00833CA0">
        <w:rPr>
          <w:rFonts w:ascii="Verdana" w:hAnsi="Verdana"/>
          <w:spacing w:val="-4"/>
          <w:sz w:val="20"/>
          <w:szCs w:val="20"/>
          <w:lang w:val="es-CR"/>
        </w:rPr>
        <w:t>11</w:t>
      </w:r>
      <w:r w:rsidR="00F57F42" w:rsidRPr="00833CA0">
        <w:rPr>
          <w:rFonts w:ascii="Verdana" w:hAnsi="Verdana"/>
          <w:spacing w:val="-4"/>
          <w:sz w:val="20"/>
          <w:szCs w:val="20"/>
          <w:lang w:val="es-CR"/>
        </w:rPr>
        <w:fldChar w:fldCharType="end"/>
      </w:r>
      <w:r w:rsidR="00F57F42" w:rsidRPr="00833CA0">
        <w:rPr>
          <w:rFonts w:ascii="Verdana" w:hAnsi="Verdana"/>
          <w:spacing w:val="-4"/>
          <w:sz w:val="20"/>
          <w:szCs w:val="20"/>
          <w:lang w:val="es-CR"/>
        </w:rPr>
        <w:t xml:space="preserve">) </w:t>
      </w:r>
      <w:r w:rsidRPr="00833CA0">
        <w:rPr>
          <w:rFonts w:ascii="Verdana" w:hAnsi="Verdana"/>
          <w:spacing w:val="-4"/>
          <w:sz w:val="20"/>
          <w:szCs w:val="20"/>
          <w:lang w:val="es-CR"/>
        </w:rPr>
        <w:t xml:space="preserve">surge que, entre el 2 y el 5 de junio, a cuatro de los cinco propuestos beneficiarios se les practicaron las referidas pruebas, de los cuales dos arrojaron resultado positivo (uno de </w:t>
      </w:r>
      <w:r w:rsidRPr="002A17DF">
        <w:rPr>
          <w:rFonts w:ascii="Verdana" w:hAnsi="Verdana"/>
          <w:spacing w:val="-4"/>
          <w:sz w:val="20"/>
          <w:szCs w:val="20"/>
          <w:lang w:val="es-CR"/>
        </w:rPr>
        <w:t xml:space="preserve">ellos fue diagnosticado como un caso “leve”) y dos resultado </w:t>
      </w:r>
      <w:r w:rsidR="005D1291" w:rsidRPr="002A17DF">
        <w:rPr>
          <w:rFonts w:ascii="Verdana" w:hAnsi="Verdana"/>
          <w:spacing w:val="-4"/>
          <w:sz w:val="20"/>
          <w:szCs w:val="20"/>
          <w:lang w:val="es-CR"/>
        </w:rPr>
        <w:t>“no reactivo”</w:t>
      </w:r>
      <w:r w:rsidRPr="002A17DF">
        <w:rPr>
          <w:rFonts w:ascii="Verdana" w:hAnsi="Verdana"/>
          <w:spacing w:val="-4"/>
          <w:sz w:val="20"/>
          <w:szCs w:val="20"/>
          <w:lang w:val="es-CR"/>
        </w:rPr>
        <w:t>.</w:t>
      </w:r>
      <w:r w:rsidRPr="002A17DF">
        <w:rPr>
          <w:rFonts w:ascii="Verdana" w:hAnsi="Verdana"/>
          <w:b/>
          <w:bCs/>
          <w:spacing w:val="-4"/>
          <w:sz w:val="20"/>
          <w:szCs w:val="20"/>
          <w:lang w:val="es-CR"/>
        </w:rPr>
        <w:t xml:space="preserve"> </w:t>
      </w:r>
      <w:r w:rsidRPr="002A17DF">
        <w:rPr>
          <w:rFonts w:ascii="Verdana" w:hAnsi="Verdana"/>
          <w:spacing w:val="-4"/>
          <w:sz w:val="20"/>
          <w:szCs w:val="20"/>
          <w:lang w:val="es-CR"/>
        </w:rPr>
        <w:t>En cuanto a</w:t>
      </w:r>
      <w:r w:rsidR="00DF608C" w:rsidRPr="002A17DF">
        <w:rPr>
          <w:rFonts w:ascii="Verdana" w:hAnsi="Verdana"/>
          <w:spacing w:val="-4"/>
          <w:sz w:val="20"/>
          <w:szCs w:val="20"/>
          <w:lang w:val="es-CR"/>
        </w:rPr>
        <w:t xml:space="preserve"> </w:t>
      </w:r>
      <w:r w:rsidR="005D1291" w:rsidRPr="002A17DF">
        <w:rPr>
          <w:rFonts w:ascii="Verdana" w:hAnsi="Verdana"/>
          <w:spacing w:val="-4"/>
          <w:sz w:val="20"/>
          <w:szCs w:val="20"/>
          <w:lang w:val="es-CR"/>
        </w:rPr>
        <w:t>l</w:t>
      </w:r>
      <w:r w:rsidR="00DF608C" w:rsidRPr="002A17DF">
        <w:rPr>
          <w:rFonts w:ascii="Verdana" w:hAnsi="Verdana"/>
          <w:spacing w:val="-4"/>
          <w:sz w:val="20"/>
          <w:szCs w:val="20"/>
          <w:lang w:val="es-CR"/>
        </w:rPr>
        <w:t>a</w:t>
      </w:r>
      <w:r w:rsidRPr="002A17DF">
        <w:rPr>
          <w:rFonts w:ascii="Verdana" w:hAnsi="Verdana"/>
          <w:spacing w:val="-4"/>
          <w:sz w:val="20"/>
          <w:szCs w:val="20"/>
          <w:lang w:val="es-CR"/>
        </w:rPr>
        <w:t xml:space="preserve"> </w:t>
      </w:r>
      <w:r w:rsidR="005D1291" w:rsidRPr="002A17DF">
        <w:rPr>
          <w:rFonts w:ascii="Verdana" w:hAnsi="Verdana"/>
          <w:spacing w:val="-4"/>
          <w:sz w:val="20"/>
          <w:szCs w:val="20"/>
          <w:lang w:val="es-CR"/>
        </w:rPr>
        <w:t>quint</w:t>
      </w:r>
      <w:r w:rsidR="00DF608C" w:rsidRPr="002A17DF">
        <w:rPr>
          <w:rFonts w:ascii="Verdana" w:hAnsi="Verdana"/>
          <w:spacing w:val="-4"/>
          <w:sz w:val="20"/>
          <w:szCs w:val="20"/>
          <w:lang w:val="es-CR"/>
        </w:rPr>
        <w:t>a</w:t>
      </w:r>
      <w:r w:rsidRPr="002A17DF">
        <w:rPr>
          <w:rFonts w:ascii="Verdana" w:hAnsi="Verdana"/>
          <w:spacing w:val="-4"/>
          <w:sz w:val="20"/>
          <w:szCs w:val="20"/>
          <w:lang w:val="es-CR"/>
        </w:rPr>
        <w:t xml:space="preserve"> </w:t>
      </w:r>
      <w:r w:rsidR="00F57F42" w:rsidRPr="002A17DF">
        <w:rPr>
          <w:rFonts w:ascii="Verdana" w:hAnsi="Verdana"/>
          <w:spacing w:val="-4"/>
          <w:sz w:val="20"/>
          <w:szCs w:val="20"/>
          <w:lang w:val="es-CR"/>
        </w:rPr>
        <w:t>persona</w:t>
      </w:r>
      <w:r w:rsidRPr="002A17DF">
        <w:rPr>
          <w:rFonts w:ascii="Verdana" w:hAnsi="Verdana"/>
          <w:spacing w:val="-4"/>
          <w:sz w:val="20"/>
          <w:szCs w:val="20"/>
          <w:lang w:val="es-CR"/>
        </w:rPr>
        <w:t xml:space="preserve">, en su último informe, de 9 de junio, el Estado refirió que a la señora Liendo Gil no se le practicó la prueba ya que no presentaba sintomatología compatible con el COVID-19, y que había procedido a aislarla en un ambiente individual con baño propio y darle seguimiento médico diario. De ello se desprende que, como mínimo, para el 9 de junio, fecha del último informe estatal, dos de los cinco propuestos beneficiarios habían sido diagnosticados como contagiados. </w:t>
      </w:r>
    </w:p>
    <w:p w14:paraId="2426354F" w14:textId="208B0270" w:rsidR="00F577FA" w:rsidRPr="002A17DF"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2A17DF">
        <w:rPr>
          <w:rFonts w:ascii="Verdana" w:hAnsi="Verdana"/>
          <w:spacing w:val="-4"/>
          <w:sz w:val="20"/>
          <w:szCs w:val="20"/>
          <w:lang w:val="es-CR"/>
        </w:rPr>
        <w:t>No obstante, en su escrito de 16 de junio, los intervinientes comunes sostuvieron que los cinco propuestos beneficiarios estaban contagiados</w:t>
      </w:r>
      <w:r w:rsidR="002A17DF" w:rsidRPr="002A17DF">
        <w:rPr>
          <w:rFonts w:ascii="Verdana" w:hAnsi="Verdana"/>
          <w:spacing w:val="-4"/>
          <w:sz w:val="20"/>
          <w:szCs w:val="20"/>
          <w:lang w:val="es-CR"/>
        </w:rPr>
        <w:t xml:space="preserve">. </w:t>
      </w:r>
      <w:r w:rsidRPr="002A17DF">
        <w:rPr>
          <w:rFonts w:ascii="Verdana" w:hAnsi="Verdana"/>
          <w:spacing w:val="-4"/>
          <w:sz w:val="20"/>
          <w:szCs w:val="20"/>
          <w:lang w:val="es-CR"/>
        </w:rPr>
        <w:t xml:space="preserve">En este sentido, destacaron que el tipo de pruebas realizadas por el Estado (comúnmente denominadas “pruebas rápidas”) posee un margen de error del 10%, por lo que las dos pruebas que arrojaron resultado </w:t>
      </w:r>
      <w:r w:rsidR="00F57F42" w:rsidRPr="002A17DF">
        <w:rPr>
          <w:rFonts w:ascii="Verdana" w:hAnsi="Verdana"/>
          <w:spacing w:val="-4"/>
          <w:sz w:val="20"/>
          <w:szCs w:val="20"/>
          <w:lang w:val="es-CR"/>
        </w:rPr>
        <w:t xml:space="preserve">“no reactivo” </w:t>
      </w:r>
      <w:r w:rsidRPr="002A17DF">
        <w:rPr>
          <w:rFonts w:ascii="Verdana" w:hAnsi="Verdana"/>
          <w:spacing w:val="-4"/>
          <w:sz w:val="20"/>
          <w:szCs w:val="20"/>
          <w:lang w:val="es-CR"/>
        </w:rPr>
        <w:t>podrían tratarse de “falsos negativos”. Con respecto a la señora Liendo Gil, indicaron haber tomado conocimiento de que, con posterioridad al referido informe estatal de 9 de junio (</w:t>
      </w:r>
      <w:r w:rsidRPr="002A17DF">
        <w:rPr>
          <w:rFonts w:ascii="Verdana" w:hAnsi="Verdana"/>
          <w:i/>
          <w:spacing w:val="-4"/>
          <w:sz w:val="20"/>
          <w:szCs w:val="20"/>
          <w:lang w:val="es-CR"/>
        </w:rPr>
        <w:t xml:space="preserve">supra </w:t>
      </w:r>
      <w:r w:rsidRPr="002A17DF">
        <w:rPr>
          <w:rFonts w:ascii="Verdana" w:hAnsi="Verdana"/>
          <w:spacing w:val="-4"/>
          <w:sz w:val="20"/>
          <w:szCs w:val="20"/>
          <w:lang w:val="es-CR"/>
        </w:rPr>
        <w:t xml:space="preserve">Considerando </w:t>
      </w:r>
      <w:r w:rsidR="00136C72" w:rsidRPr="002A17DF">
        <w:rPr>
          <w:rFonts w:ascii="Verdana" w:hAnsi="Verdana"/>
          <w:spacing w:val="-4"/>
          <w:sz w:val="20"/>
          <w:szCs w:val="20"/>
          <w:lang w:val="es-CR"/>
        </w:rPr>
        <w:t>30</w:t>
      </w:r>
      <w:r w:rsidRPr="002A17DF">
        <w:rPr>
          <w:rFonts w:ascii="Verdana" w:hAnsi="Verdana"/>
          <w:spacing w:val="-4"/>
          <w:sz w:val="20"/>
          <w:szCs w:val="20"/>
          <w:lang w:val="es-CR"/>
        </w:rPr>
        <w:t>), se le realizó la prueba de descarte, la cual habría arrojado resultado positivo</w:t>
      </w:r>
      <w:r w:rsidRPr="002A17DF">
        <w:rPr>
          <w:rStyle w:val="Refdenotaalpie"/>
          <w:spacing w:val="-4"/>
          <w:szCs w:val="20"/>
          <w:lang w:val="es-CR"/>
        </w:rPr>
        <w:footnoteReference w:id="61"/>
      </w:r>
      <w:r w:rsidRPr="002A17DF">
        <w:rPr>
          <w:rFonts w:ascii="Verdana" w:hAnsi="Verdana"/>
          <w:spacing w:val="-4"/>
          <w:sz w:val="20"/>
          <w:szCs w:val="20"/>
          <w:lang w:val="es-CR"/>
        </w:rPr>
        <w:t xml:space="preserve">. </w:t>
      </w:r>
    </w:p>
    <w:p w14:paraId="3DBC1F6E" w14:textId="49B4BF39" w:rsidR="00F577FA" w:rsidRPr="00395069"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F40454">
        <w:rPr>
          <w:rFonts w:ascii="Verdana" w:hAnsi="Verdana"/>
          <w:spacing w:val="-4"/>
          <w:sz w:val="20"/>
          <w:szCs w:val="20"/>
          <w:lang w:val="es-CR"/>
        </w:rPr>
        <w:t>Asimismo</w:t>
      </w:r>
      <w:r w:rsidRPr="00F40454">
        <w:rPr>
          <w:rFonts w:ascii="Verdana" w:hAnsi="Verdana"/>
          <w:spacing w:val="-4"/>
          <w:sz w:val="20"/>
          <w:szCs w:val="20"/>
          <w:lang w:val="es-ES_tradnl"/>
        </w:rPr>
        <w:t xml:space="preserve">, </w:t>
      </w:r>
      <w:r w:rsidRPr="00F40454">
        <w:rPr>
          <w:rFonts w:ascii="Verdana" w:hAnsi="Verdana"/>
          <w:spacing w:val="-4"/>
          <w:sz w:val="20"/>
          <w:szCs w:val="20"/>
          <w:lang w:val="es-CR"/>
        </w:rPr>
        <w:t>el Tribunal observa que los propuestos beneficiarios presentaron diversas demandas de hábeas corpus ante los tribunales peruanos</w:t>
      </w:r>
      <w:r w:rsidR="00B22734" w:rsidRPr="00F40454">
        <w:rPr>
          <w:rFonts w:ascii="Verdana" w:hAnsi="Verdana"/>
          <w:spacing w:val="-4"/>
          <w:sz w:val="20"/>
          <w:szCs w:val="20"/>
          <w:lang w:val="es-CR"/>
        </w:rPr>
        <w:t>. I</w:t>
      </w:r>
      <w:r w:rsidRPr="00F40454">
        <w:rPr>
          <w:rFonts w:ascii="Verdana" w:hAnsi="Verdana"/>
          <w:spacing w:val="-4"/>
          <w:sz w:val="20"/>
          <w:szCs w:val="20"/>
          <w:lang w:val="es-CR"/>
        </w:rPr>
        <w:t xml:space="preserve">ndependientemente de que inicialmente fueran rechazadas </w:t>
      </w:r>
      <w:r w:rsidRPr="00F40454">
        <w:rPr>
          <w:rFonts w:ascii="Verdana" w:hAnsi="Verdana"/>
          <w:i/>
          <w:spacing w:val="-4"/>
          <w:sz w:val="20"/>
          <w:szCs w:val="20"/>
          <w:lang w:val="es-CR"/>
        </w:rPr>
        <w:t xml:space="preserve">in limine </w:t>
      </w:r>
      <w:r w:rsidR="00F40454" w:rsidRPr="00F40454">
        <w:rPr>
          <w:rFonts w:ascii="Verdana" w:hAnsi="Verdana"/>
          <w:spacing w:val="-4"/>
          <w:sz w:val="20"/>
          <w:szCs w:val="20"/>
          <w:lang w:val="es-CR"/>
        </w:rPr>
        <w:t>en cuanto a las peticiones principales (</w:t>
      </w:r>
      <w:r w:rsidR="00F40454" w:rsidRPr="00F40454">
        <w:rPr>
          <w:rFonts w:ascii="Verdana" w:hAnsi="Verdana"/>
          <w:i/>
          <w:iCs/>
          <w:spacing w:val="-4"/>
          <w:sz w:val="20"/>
          <w:szCs w:val="20"/>
          <w:lang w:val="es-CR"/>
        </w:rPr>
        <w:t xml:space="preserve">supra </w:t>
      </w:r>
      <w:r w:rsidR="00F40454" w:rsidRPr="00F40454">
        <w:rPr>
          <w:rFonts w:ascii="Verdana" w:hAnsi="Verdana"/>
          <w:spacing w:val="-4"/>
          <w:sz w:val="20"/>
          <w:szCs w:val="20"/>
          <w:lang w:val="es-CR"/>
        </w:rPr>
        <w:t>Considerando 7)</w:t>
      </w:r>
      <w:r w:rsidR="00FB7A01" w:rsidRPr="00F40454">
        <w:rPr>
          <w:rFonts w:ascii="Verdana" w:hAnsi="Verdana"/>
          <w:spacing w:val="-4"/>
          <w:sz w:val="20"/>
          <w:szCs w:val="20"/>
          <w:lang w:val="es-CR"/>
        </w:rPr>
        <w:t>, se</w:t>
      </w:r>
      <w:r w:rsidR="00FB7A01">
        <w:rPr>
          <w:rFonts w:ascii="Verdana" w:hAnsi="Verdana"/>
          <w:spacing w:val="-4"/>
          <w:sz w:val="20"/>
          <w:szCs w:val="20"/>
          <w:lang w:val="es-CR"/>
        </w:rPr>
        <w:t xml:space="preserve"> observa que</w:t>
      </w:r>
      <w:r w:rsidRPr="00395069">
        <w:rPr>
          <w:rFonts w:ascii="Verdana" w:hAnsi="Verdana"/>
          <w:spacing w:val="-4"/>
          <w:sz w:val="20"/>
          <w:szCs w:val="20"/>
          <w:lang w:val="es-CR"/>
        </w:rPr>
        <w:t xml:space="preserve"> respecto de tres de los cinco propuestos beneficiarios, los tribunales exhortaron al Instituto Nacional Penitenciario y a las autoridades del establecimiento penal en que se encuentran recluidos a brindar información </w:t>
      </w:r>
      <w:r w:rsidRPr="00FB7A01">
        <w:rPr>
          <w:rFonts w:ascii="Verdana" w:hAnsi="Verdana"/>
          <w:spacing w:val="-4"/>
          <w:sz w:val="20"/>
          <w:szCs w:val="20"/>
          <w:lang w:val="es-CR"/>
        </w:rPr>
        <w:t>sobre el estado de salud, condiciones de detención y/o atención médica recibida. La Corte nota que</w:t>
      </w:r>
      <w:r w:rsidR="00FB7A01" w:rsidRPr="00FB7A01">
        <w:rPr>
          <w:rFonts w:ascii="Verdana" w:hAnsi="Verdana"/>
          <w:spacing w:val="-4"/>
          <w:sz w:val="20"/>
          <w:szCs w:val="20"/>
          <w:lang w:val="es-CR"/>
        </w:rPr>
        <w:t>,</w:t>
      </w:r>
      <w:r w:rsidRPr="00FB7A01">
        <w:rPr>
          <w:rFonts w:ascii="Verdana" w:hAnsi="Verdana"/>
          <w:spacing w:val="-4"/>
          <w:sz w:val="20"/>
          <w:szCs w:val="20"/>
          <w:lang w:val="es-CR"/>
        </w:rPr>
        <w:t xml:space="preserve"> en el caso de</w:t>
      </w:r>
      <w:r w:rsidR="00FB7A01" w:rsidRPr="00FB7A01">
        <w:rPr>
          <w:rFonts w:ascii="Verdana" w:hAnsi="Verdana"/>
          <w:spacing w:val="-4"/>
          <w:sz w:val="20"/>
          <w:szCs w:val="20"/>
          <w:lang w:val="es-CR"/>
        </w:rPr>
        <w:t xml:space="preserve">l señor </w:t>
      </w:r>
      <w:r w:rsidRPr="00FB7A01">
        <w:rPr>
          <w:rFonts w:ascii="Verdana" w:hAnsi="Verdana"/>
          <w:spacing w:val="-4"/>
          <w:sz w:val="20"/>
          <w:szCs w:val="20"/>
          <w:lang w:val="es-CR"/>
        </w:rPr>
        <w:t>Osman Roberto Morote Barrionuevo, fue en virtud de dicho exhorto que se le aisló, se le realizó la prueba de descarte y se permitió el ingreso de</w:t>
      </w:r>
      <w:r w:rsidRPr="00395069">
        <w:rPr>
          <w:rFonts w:ascii="Verdana" w:hAnsi="Verdana"/>
          <w:spacing w:val="-4"/>
          <w:sz w:val="20"/>
          <w:szCs w:val="20"/>
          <w:lang w:val="es-CR"/>
        </w:rPr>
        <w:t xml:space="preserve"> alimentos </w:t>
      </w:r>
      <w:r>
        <w:rPr>
          <w:rFonts w:ascii="Verdana" w:hAnsi="Verdana"/>
          <w:spacing w:val="-4"/>
          <w:sz w:val="20"/>
          <w:szCs w:val="20"/>
          <w:lang w:val="es-CR"/>
        </w:rPr>
        <w:t xml:space="preserve">por </w:t>
      </w:r>
      <w:r w:rsidRPr="00395069">
        <w:rPr>
          <w:rFonts w:ascii="Verdana" w:hAnsi="Verdana"/>
          <w:spacing w:val="-4"/>
          <w:sz w:val="20"/>
          <w:szCs w:val="20"/>
          <w:lang w:val="es-CR"/>
        </w:rPr>
        <w:t>sus familiares, mientras que en el caso de</w:t>
      </w:r>
      <w:r w:rsidR="00FB7A01">
        <w:rPr>
          <w:rFonts w:ascii="Verdana" w:hAnsi="Verdana"/>
          <w:spacing w:val="-4"/>
          <w:sz w:val="20"/>
          <w:szCs w:val="20"/>
          <w:lang w:val="es-CR"/>
        </w:rPr>
        <w:t>l señor</w:t>
      </w:r>
      <w:r w:rsidRPr="00395069">
        <w:rPr>
          <w:rFonts w:ascii="Verdana" w:hAnsi="Verdana"/>
          <w:spacing w:val="-4"/>
          <w:sz w:val="20"/>
          <w:szCs w:val="20"/>
          <w:lang w:val="es-CR"/>
        </w:rPr>
        <w:t xml:space="preserve"> Atilio Richard Cahuana </w:t>
      </w:r>
      <w:proofErr w:type="spellStart"/>
      <w:r w:rsidRPr="00395069">
        <w:rPr>
          <w:rFonts w:ascii="Verdana" w:hAnsi="Verdana"/>
          <w:spacing w:val="-4"/>
          <w:sz w:val="20"/>
          <w:szCs w:val="20"/>
          <w:lang w:val="es-CR"/>
        </w:rPr>
        <w:t>Yuyali</w:t>
      </w:r>
      <w:proofErr w:type="spellEnd"/>
      <w:r w:rsidRPr="00395069">
        <w:rPr>
          <w:rFonts w:ascii="Verdana" w:hAnsi="Verdana"/>
          <w:spacing w:val="-4"/>
          <w:sz w:val="20"/>
          <w:szCs w:val="20"/>
          <w:lang w:val="es-CR"/>
        </w:rPr>
        <w:t>, el exhorto condujo a que se le diera atención médica y se le practicaran las referidas evaluaciones médicas (</w:t>
      </w:r>
      <w:r w:rsidRPr="00395069">
        <w:rPr>
          <w:rFonts w:ascii="Verdana" w:hAnsi="Verdana"/>
          <w:i/>
          <w:spacing w:val="-4"/>
          <w:sz w:val="20"/>
          <w:szCs w:val="20"/>
          <w:lang w:val="es-CR"/>
        </w:rPr>
        <w:t xml:space="preserve">supra </w:t>
      </w:r>
      <w:r w:rsidRPr="00395069">
        <w:rPr>
          <w:rFonts w:ascii="Verdana" w:hAnsi="Verdana"/>
          <w:spacing w:val="-4"/>
          <w:sz w:val="20"/>
          <w:szCs w:val="20"/>
          <w:lang w:val="es-CR"/>
        </w:rPr>
        <w:t xml:space="preserve">Considerando </w:t>
      </w:r>
      <w:r w:rsidR="00CF41AC">
        <w:rPr>
          <w:rFonts w:ascii="Verdana" w:hAnsi="Verdana"/>
          <w:spacing w:val="-4"/>
          <w:sz w:val="20"/>
          <w:szCs w:val="20"/>
          <w:lang w:val="es-CR"/>
        </w:rPr>
        <w:t>11</w:t>
      </w:r>
      <w:r w:rsidRPr="00395069">
        <w:rPr>
          <w:rFonts w:ascii="Verdana" w:hAnsi="Verdana"/>
          <w:spacing w:val="-4"/>
          <w:sz w:val="20"/>
          <w:szCs w:val="20"/>
          <w:lang w:val="es-CR"/>
        </w:rPr>
        <w:t xml:space="preserve">). </w:t>
      </w:r>
    </w:p>
    <w:p w14:paraId="217E0774" w14:textId="4EB7D259" w:rsidR="000F754E" w:rsidRPr="00F577FA" w:rsidRDefault="00F577FA"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CR"/>
        </w:rPr>
      </w:pPr>
      <w:r w:rsidRPr="00395069">
        <w:rPr>
          <w:rFonts w:ascii="Verdana" w:hAnsi="Verdana"/>
          <w:spacing w:val="-4"/>
          <w:sz w:val="20"/>
          <w:szCs w:val="20"/>
          <w:lang w:val="es-CR"/>
        </w:rPr>
        <w:t>En cuanto a la atención médica, luego de que los intervinientes comunes presentaran la solicitud de medidas provisionales, así como diversos recursos de hábeas corpus (</w:t>
      </w:r>
      <w:r w:rsidRPr="00395069">
        <w:rPr>
          <w:rFonts w:ascii="Verdana" w:hAnsi="Verdana"/>
          <w:i/>
          <w:spacing w:val="-4"/>
          <w:sz w:val="20"/>
          <w:szCs w:val="20"/>
          <w:lang w:val="es-CR"/>
        </w:rPr>
        <w:t xml:space="preserve">supra </w:t>
      </w:r>
      <w:r w:rsidRPr="00395069">
        <w:rPr>
          <w:rFonts w:ascii="Verdana" w:hAnsi="Verdana"/>
          <w:spacing w:val="-4"/>
          <w:sz w:val="20"/>
          <w:szCs w:val="20"/>
          <w:lang w:val="es-CR"/>
        </w:rPr>
        <w:t>Considerando</w:t>
      </w:r>
      <w:r w:rsidR="00921A4C">
        <w:rPr>
          <w:rFonts w:ascii="Verdana" w:hAnsi="Verdana"/>
          <w:spacing w:val="-4"/>
          <w:sz w:val="20"/>
          <w:szCs w:val="20"/>
          <w:lang w:val="es-CR"/>
        </w:rPr>
        <w:t>s</w:t>
      </w:r>
      <w:r w:rsidRPr="00395069">
        <w:rPr>
          <w:rFonts w:ascii="Verdana" w:hAnsi="Verdana"/>
          <w:spacing w:val="-4"/>
          <w:sz w:val="20"/>
          <w:szCs w:val="20"/>
          <w:lang w:val="es-CR"/>
        </w:rPr>
        <w:t xml:space="preserve"> </w:t>
      </w:r>
      <w:r w:rsidR="00921A4C">
        <w:rPr>
          <w:rFonts w:ascii="Verdana" w:hAnsi="Verdana"/>
          <w:spacing w:val="-4"/>
          <w:sz w:val="20"/>
          <w:szCs w:val="20"/>
          <w:lang w:val="es-CR"/>
        </w:rPr>
        <w:t>6 y</w:t>
      </w:r>
      <w:r w:rsidR="00D361DF">
        <w:rPr>
          <w:rFonts w:ascii="Verdana" w:hAnsi="Verdana"/>
          <w:spacing w:val="-4"/>
          <w:sz w:val="20"/>
          <w:szCs w:val="20"/>
          <w:lang w:val="es-CR"/>
        </w:rPr>
        <w:t xml:space="preserve"> </w:t>
      </w:r>
      <w:r w:rsidR="00CF41AC">
        <w:rPr>
          <w:rFonts w:ascii="Verdana" w:hAnsi="Verdana"/>
          <w:spacing w:val="-4"/>
          <w:sz w:val="20"/>
          <w:szCs w:val="20"/>
          <w:lang w:val="es-CR"/>
        </w:rPr>
        <w:t>7</w:t>
      </w:r>
      <w:r w:rsidRPr="00395069">
        <w:rPr>
          <w:rFonts w:ascii="Verdana" w:hAnsi="Verdana"/>
          <w:spacing w:val="-4"/>
          <w:sz w:val="20"/>
          <w:szCs w:val="20"/>
          <w:lang w:val="es-CR"/>
        </w:rPr>
        <w:t>), el Perú procedió a realizarles diversos exámenes médicos, cuyos hallazgos están recogidos en los informes y constancias médicas que presentó ante este Tribunal (</w:t>
      </w:r>
      <w:r w:rsidRPr="00395069">
        <w:rPr>
          <w:rFonts w:ascii="Verdana" w:hAnsi="Verdana"/>
          <w:i/>
          <w:spacing w:val="-4"/>
          <w:sz w:val="20"/>
          <w:szCs w:val="20"/>
          <w:lang w:val="es-CR"/>
        </w:rPr>
        <w:t xml:space="preserve">supra </w:t>
      </w:r>
      <w:r w:rsidRPr="00395069">
        <w:rPr>
          <w:rFonts w:ascii="Verdana" w:hAnsi="Verdana"/>
          <w:spacing w:val="-4"/>
          <w:sz w:val="20"/>
          <w:szCs w:val="20"/>
          <w:lang w:val="es-CR"/>
        </w:rPr>
        <w:t xml:space="preserve">Considerando </w:t>
      </w:r>
      <w:r w:rsidR="00CF41AC">
        <w:rPr>
          <w:rFonts w:ascii="Verdana" w:hAnsi="Verdana"/>
          <w:spacing w:val="-4"/>
          <w:sz w:val="20"/>
          <w:szCs w:val="20"/>
          <w:lang w:val="es-CR"/>
        </w:rPr>
        <w:t>11</w:t>
      </w:r>
      <w:r w:rsidRPr="00395069">
        <w:rPr>
          <w:rFonts w:ascii="Verdana" w:hAnsi="Verdana"/>
          <w:spacing w:val="-4"/>
          <w:sz w:val="20"/>
          <w:szCs w:val="20"/>
          <w:lang w:val="es-CR"/>
        </w:rPr>
        <w:t xml:space="preserve">). </w:t>
      </w:r>
      <w:bookmarkStart w:id="16" w:name="_Hlk47358396"/>
      <w:r w:rsidRPr="00395069">
        <w:rPr>
          <w:rFonts w:ascii="Verdana" w:hAnsi="Verdana"/>
          <w:spacing w:val="-4"/>
          <w:sz w:val="20"/>
          <w:szCs w:val="20"/>
          <w:lang w:val="es-CR"/>
        </w:rPr>
        <w:t>Con base en dichos informes, el Estado precisó que los cinco propuestos beneficiarios estaban estables</w:t>
      </w:r>
      <w:r w:rsidRPr="00395069">
        <w:rPr>
          <w:rStyle w:val="Refdenotaalpie"/>
          <w:spacing w:val="-4"/>
          <w:szCs w:val="20"/>
          <w:lang w:val="es-CR"/>
        </w:rPr>
        <w:footnoteReference w:id="62"/>
      </w:r>
      <w:r w:rsidRPr="00395069">
        <w:rPr>
          <w:rFonts w:ascii="Verdana" w:hAnsi="Verdana"/>
          <w:spacing w:val="-4"/>
          <w:sz w:val="20"/>
          <w:szCs w:val="20"/>
          <w:lang w:val="es-CR"/>
        </w:rPr>
        <w:t xml:space="preserve"> </w:t>
      </w:r>
      <w:bookmarkEnd w:id="16"/>
      <w:r w:rsidRPr="00395069">
        <w:rPr>
          <w:rFonts w:ascii="Verdana" w:hAnsi="Verdana"/>
          <w:spacing w:val="-4"/>
          <w:sz w:val="20"/>
          <w:szCs w:val="20"/>
          <w:lang w:val="es-CR"/>
        </w:rPr>
        <w:t xml:space="preserve">y recibiendo el tratamiento necesario de acuerdo con sus afecciones particulares, tanto con relación a la presencia de COVID-19, respecto de aquellos casos cuyas pruebas de descarte arrojaron resultado positivo, como por otro tipo de afecciones, tratamiento que se encuentra detallado en los referidos informes y constancias médicas. Además, el Estado indicó que los dos propuestos beneficiarios cuyas pruebas arrojaron resultado </w:t>
      </w:r>
      <w:r w:rsidRPr="00395069">
        <w:rPr>
          <w:rFonts w:ascii="Verdana" w:hAnsi="Verdana"/>
          <w:spacing w:val="-4"/>
          <w:sz w:val="20"/>
          <w:szCs w:val="20"/>
          <w:lang w:val="es-CR"/>
        </w:rPr>
        <w:lastRenderedPageBreak/>
        <w:t>positivo fueron aislados, e incluso en el caso de Margot Lourdes Liendo Gil, a quien no se le realizó prueba por no presentar síntomas, se le aisló preventivamente (</w:t>
      </w:r>
      <w:r w:rsidRPr="00395069">
        <w:rPr>
          <w:rFonts w:ascii="Verdana" w:hAnsi="Verdana"/>
          <w:i/>
          <w:spacing w:val="-4"/>
          <w:sz w:val="20"/>
          <w:szCs w:val="20"/>
          <w:lang w:val="es-CR"/>
        </w:rPr>
        <w:t xml:space="preserve">supra </w:t>
      </w:r>
      <w:r w:rsidRPr="00395069">
        <w:rPr>
          <w:rFonts w:ascii="Verdana" w:hAnsi="Verdana"/>
          <w:spacing w:val="-4"/>
          <w:sz w:val="20"/>
          <w:szCs w:val="20"/>
          <w:lang w:val="es-CR"/>
        </w:rPr>
        <w:t xml:space="preserve">Considerando </w:t>
      </w:r>
      <w:r w:rsidR="00CF41AC">
        <w:rPr>
          <w:rFonts w:ascii="Verdana" w:hAnsi="Verdana"/>
          <w:spacing w:val="-4"/>
          <w:sz w:val="20"/>
          <w:szCs w:val="20"/>
          <w:lang w:val="es-CR"/>
        </w:rPr>
        <w:t>11</w:t>
      </w:r>
      <w:r w:rsidRPr="00395069">
        <w:rPr>
          <w:rFonts w:ascii="Verdana" w:hAnsi="Verdana"/>
          <w:spacing w:val="-4"/>
          <w:sz w:val="20"/>
          <w:szCs w:val="20"/>
          <w:lang w:val="es-CR"/>
        </w:rPr>
        <w:t xml:space="preserve">). Respecto de las dos personas cuyas pruebas arrojaron resultado </w:t>
      </w:r>
      <w:r w:rsidR="00D361DF" w:rsidRPr="00922FDC">
        <w:rPr>
          <w:rFonts w:ascii="Verdana" w:hAnsi="Verdana"/>
          <w:spacing w:val="-4"/>
          <w:sz w:val="20"/>
          <w:szCs w:val="20"/>
          <w:lang w:val="es-CR"/>
        </w:rPr>
        <w:t>“no reactivo”</w:t>
      </w:r>
      <w:r w:rsidRPr="00922FDC">
        <w:rPr>
          <w:rFonts w:ascii="Verdana" w:hAnsi="Verdana"/>
          <w:spacing w:val="-4"/>
          <w:sz w:val="20"/>
          <w:szCs w:val="20"/>
          <w:lang w:val="es-CR"/>
        </w:rPr>
        <w:t>, el Estado no especificó ninguna medida de aislamiento. Los intervinientes comunes, por su parte, consideraron que los propuestos beneficiarios no estaban recibiendo el tratamiento necesario; sin embargo, no explicaron por qué el tratamiento consignado en los referidos informes médicos no era el adecuado, sino que</w:t>
      </w:r>
      <w:r w:rsidRPr="00D361DF">
        <w:rPr>
          <w:rFonts w:ascii="Verdana" w:hAnsi="Verdana"/>
          <w:spacing w:val="-4"/>
          <w:sz w:val="20"/>
          <w:szCs w:val="20"/>
          <w:lang w:val="es-CR"/>
        </w:rPr>
        <w:t xml:space="preserve"> señalaron que, en dos casos, los familiares de los propuestos beneficiarios habían tenido que suministrarles la medicación o los alimentos necesarios</w:t>
      </w:r>
      <w:r w:rsidR="00B676F6" w:rsidRPr="00D361DF">
        <w:rPr>
          <w:rFonts w:ascii="Verdana" w:hAnsi="Verdana"/>
          <w:spacing w:val="-4"/>
          <w:sz w:val="20"/>
          <w:szCs w:val="20"/>
          <w:lang w:val="es-CR"/>
        </w:rPr>
        <w:t>.</w:t>
      </w:r>
    </w:p>
    <w:p w14:paraId="17D5000B" w14:textId="6687BCDA" w:rsidR="002E5209" w:rsidRPr="001B1DF6" w:rsidRDefault="002E5209"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PE"/>
        </w:rPr>
      </w:pPr>
      <w:r w:rsidRPr="001B1DF6">
        <w:rPr>
          <w:rFonts w:ascii="Verdana" w:hAnsi="Verdana"/>
          <w:spacing w:val="-4"/>
          <w:sz w:val="20"/>
          <w:szCs w:val="20"/>
          <w:lang w:val="es-CR"/>
        </w:rPr>
        <w:t xml:space="preserve">Al respecto, </w:t>
      </w:r>
      <w:r w:rsidR="008A4618" w:rsidRPr="001B1DF6">
        <w:rPr>
          <w:rFonts w:ascii="Verdana" w:hAnsi="Verdana"/>
          <w:spacing w:val="-4"/>
          <w:sz w:val="20"/>
          <w:szCs w:val="20"/>
          <w:lang w:val="es-PE"/>
        </w:rPr>
        <w:t>e</w:t>
      </w:r>
      <w:r w:rsidRPr="001B1DF6">
        <w:rPr>
          <w:rFonts w:ascii="Verdana" w:hAnsi="Verdana"/>
          <w:spacing w:val="-4"/>
          <w:sz w:val="20"/>
          <w:szCs w:val="20"/>
          <w:lang w:val="es-PE"/>
        </w:rPr>
        <w:t xml:space="preserve">s importante destacar que la intervención de </w:t>
      </w:r>
      <w:r w:rsidR="00B676F6" w:rsidRPr="001B1DF6">
        <w:rPr>
          <w:rFonts w:ascii="Verdana" w:hAnsi="Verdana"/>
          <w:spacing w:val="-4"/>
          <w:sz w:val="20"/>
          <w:szCs w:val="20"/>
          <w:lang w:val="es-PE"/>
        </w:rPr>
        <w:t>este tribunal internacional</w:t>
      </w:r>
      <w:r w:rsidRPr="001B1DF6">
        <w:rPr>
          <w:rFonts w:ascii="Verdana" w:hAnsi="Verdana"/>
          <w:spacing w:val="-4"/>
          <w:sz w:val="20"/>
          <w:szCs w:val="20"/>
          <w:lang w:val="es-PE"/>
        </w:rPr>
        <w:t xml:space="preserve"> debe observar los límites dados por el principio de complementariedad del Sistema Interamericano de Derechos Humanos. En ese sentido, la Corte recuerda que, </w:t>
      </w:r>
    </w:p>
    <w:p w14:paraId="0B1282BD" w14:textId="71FCBD50" w:rsidR="002E5209" w:rsidRPr="001B1DF6" w:rsidRDefault="002E5209" w:rsidP="001B1DF6">
      <w:pPr>
        <w:autoSpaceDE w:val="0"/>
        <w:autoSpaceDN w:val="0"/>
        <w:adjustRightInd w:val="0"/>
        <w:spacing w:before="120" w:after="120"/>
        <w:ind w:left="426" w:right="566"/>
        <w:jc w:val="both"/>
        <w:rPr>
          <w:rFonts w:ascii="Verdana" w:hAnsi="Verdana"/>
          <w:spacing w:val="-4"/>
          <w:sz w:val="16"/>
          <w:szCs w:val="16"/>
          <w:lang w:val="es-PE"/>
        </w:rPr>
      </w:pPr>
      <w:r w:rsidRPr="001B1DF6">
        <w:rPr>
          <w:rFonts w:ascii="Verdana" w:hAnsi="Verdana"/>
          <w:spacing w:val="-4"/>
          <w:sz w:val="16"/>
          <w:szCs w:val="16"/>
          <w:lang w:val="es-PE"/>
        </w:rPr>
        <w:t>en el Derecho Internacional de los Derechos Humanos dicho principio presupone que corresponde en primera instancia a los Estados respetar y garantizar tales derechos en el ámbito de su jurisdicción. De no ser así, los órganos internacionales podrán intervenir de forma complementaria, en el marco de su competencia, para asegurar y supervisar el cumplimiento de dichas obligaciones. Por lo tanto, e</w:t>
      </w:r>
      <w:r w:rsidRPr="001B1DF6">
        <w:rPr>
          <w:rFonts w:ascii="Verdana" w:hAnsi="Verdana"/>
          <w:spacing w:val="-4"/>
          <w:sz w:val="16"/>
          <w:szCs w:val="16"/>
          <w:lang w:val="es-MX"/>
        </w:rPr>
        <w:t xml:space="preserve">l principio de subsidiariedad determina el ámbito y los límites de la intervención de los órganos internacionales cuando los Estados no han cumplido adecuadamente con los deberes de respeto y garantía de los derechos humanos. </w:t>
      </w:r>
      <w:r w:rsidRPr="001B1DF6">
        <w:rPr>
          <w:rFonts w:ascii="Verdana" w:hAnsi="Verdana"/>
          <w:spacing w:val="-4"/>
          <w:sz w:val="16"/>
          <w:szCs w:val="16"/>
          <w:lang w:val="es-PE"/>
        </w:rPr>
        <w:t>De este modo, los órganos del Sistema Interamericano pueden intervenir en los asuntos relacionados con el cumplimiento de los</w:t>
      </w:r>
      <w:r w:rsidR="001B1DF6" w:rsidRPr="001B1DF6">
        <w:rPr>
          <w:rFonts w:ascii="Verdana" w:hAnsi="Verdana"/>
          <w:spacing w:val="-4"/>
          <w:sz w:val="16"/>
          <w:szCs w:val="16"/>
          <w:lang w:val="es-PE"/>
        </w:rPr>
        <w:t xml:space="preserve"> </w:t>
      </w:r>
      <w:r w:rsidRPr="001B1DF6">
        <w:rPr>
          <w:rFonts w:ascii="Verdana" w:hAnsi="Verdana"/>
          <w:spacing w:val="-4"/>
          <w:sz w:val="16"/>
          <w:szCs w:val="16"/>
          <w:lang w:val="es-PE"/>
        </w:rPr>
        <w:t xml:space="preserve">compromisos contraídos por los Estados Partes de la Convención Americana sólo cuando éstos no hayan cumplido dichas obligaciones, o no lo hayan hecho adecuadamente. </w:t>
      </w:r>
      <w:r w:rsidRPr="001B1DF6">
        <w:rPr>
          <w:rFonts w:ascii="Verdana" w:hAnsi="Verdana"/>
          <w:i/>
          <w:spacing w:val="-4"/>
          <w:sz w:val="16"/>
          <w:szCs w:val="16"/>
          <w:lang w:val="es-PE"/>
        </w:rPr>
        <w:t>A contrario sensu</w:t>
      </w:r>
      <w:r w:rsidRPr="001B1DF6">
        <w:rPr>
          <w:rFonts w:ascii="Verdana" w:hAnsi="Verdana"/>
          <w:spacing w:val="-4"/>
          <w:sz w:val="16"/>
          <w:szCs w:val="16"/>
          <w:lang w:val="es-PE"/>
        </w:rPr>
        <w:t>, corresponde a la Comisión Interamericana y a este Tribunal abstenerse de intervenir en dichos asuntos cuando los Estados actúen de conformidad con sus obligaciones de respeto y garantía de los derechos humanos</w:t>
      </w:r>
      <w:r w:rsidRPr="001B1DF6">
        <w:rPr>
          <w:rFonts w:ascii="Verdana" w:hAnsi="Verdana"/>
          <w:spacing w:val="-4"/>
          <w:sz w:val="16"/>
          <w:szCs w:val="16"/>
          <w:vertAlign w:val="superscript"/>
          <w:lang w:val="es-PE"/>
        </w:rPr>
        <w:footnoteReference w:id="63"/>
      </w:r>
      <w:r w:rsidRPr="001B1DF6">
        <w:rPr>
          <w:rFonts w:ascii="Verdana" w:hAnsi="Verdana"/>
          <w:spacing w:val="-4"/>
          <w:sz w:val="16"/>
          <w:szCs w:val="16"/>
          <w:lang w:val="es-PE"/>
        </w:rPr>
        <w:t xml:space="preserve">. </w:t>
      </w:r>
    </w:p>
    <w:p w14:paraId="6C534E5F" w14:textId="19F14F3B" w:rsidR="002E5209" w:rsidRPr="001B1DF6" w:rsidRDefault="002E5209"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PE"/>
        </w:rPr>
      </w:pPr>
      <w:r w:rsidRPr="001B1DF6">
        <w:rPr>
          <w:rFonts w:ascii="Verdana" w:hAnsi="Verdana"/>
          <w:spacing w:val="-4"/>
          <w:sz w:val="20"/>
          <w:szCs w:val="20"/>
          <w:lang w:val="es-CR"/>
        </w:rPr>
        <w:t>Atendiendo</w:t>
      </w:r>
      <w:r w:rsidRPr="001B1DF6">
        <w:rPr>
          <w:rFonts w:ascii="Verdana" w:hAnsi="Verdana"/>
          <w:spacing w:val="-4"/>
          <w:sz w:val="20"/>
          <w:szCs w:val="20"/>
          <w:lang w:val="es-ES_tradnl"/>
        </w:rPr>
        <w:t xml:space="preserve"> al principio</w:t>
      </w:r>
      <w:r w:rsidRPr="001B1DF6">
        <w:rPr>
          <w:rFonts w:ascii="Verdana" w:hAnsi="Verdana"/>
          <w:spacing w:val="-4"/>
          <w:sz w:val="20"/>
          <w:szCs w:val="20"/>
          <w:lang w:val="es-PE"/>
        </w:rPr>
        <w:t xml:space="preserve"> de complementariedad y subsidiariedad, una orden de adopción de medidas provisionales se justifica en situaciones contempladas bajo el artículo 63.2 de la Convención Americana respecto de las cuales las garantías ordinarias existentes en el Estado resultan insuficientes o inefectivas o las autoridades internas no puedan o no quieran hacerlas prevalecer</w:t>
      </w:r>
      <w:r w:rsidRPr="001B1DF6">
        <w:rPr>
          <w:rFonts w:ascii="Verdana" w:hAnsi="Verdana"/>
          <w:spacing w:val="-4"/>
          <w:sz w:val="20"/>
          <w:szCs w:val="20"/>
          <w:vertAlign w:val="superscript"/>
          <w:lang w:val="es-PE"/>
        </w:rPr>
        <w:footnoteReference w:id="64"/>
      </w:r>
      <w:r w:rsidRPr="001B1DF6">
        <w:rPr>
          <w:rFonts w:ascii="Verdana" w:hAnsi="Verdana"/>
          <w:spacing w:val="-4"/>
          <w:sz w:val="20"/>
          <w:szCs w:val="20"/>
          <w:lang w:val="es-PE"/>
        </w:rPr>
        <w:t xml:space="preserve">. </w:t>
      </w:r>
    </w:p>
    <w:p w14:paraId="3D6F399D" w14:textId="253E980C" w:rsidR="002E5209" w:rsidRPr="00C84123" w:rsidRDefault="002E5209"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MX"/>
        </w:rPr>
      </w:pPr>
      <w:r w:rsidRPr="00C84123">
        <w:rPr>
          <w:rFonts w:ascii="Verdana" w:hAnsi="Verdana"/>
          <w:spacing w:val="-4"/>
          <w:sz w:val="20"/>
          <w:szCs w:val="20"/>
          <w:lang w:val="es-PE"/>
        </w:rPr>
        <w:t xml:space="preserve">En relación con ello, esta Corte ha explicado que el principio de subsidiariedad informa transversalmente al Sistema Interamericano de Derechos Humanos, el cual es, tal como lo expresa el Preámbulo de la misma Convención Americana, </w:t>
      </w:r>
      <w:r w:rsidR="00247D89" w:rsidRPr="00C84123">
        <w:rPr>
          <w:rFonts w:ascii="Verdana" w:hAnsi="Verdana"/>
          <w:spacing w:val="-4"/>
          <w:sz w:val="20"/>
          <w:szCs w:val="20"/>
          <w:lang w:val="es-PE"/>
        </w:rPr>
        <w:t>“</w:t>
      </w:r>
      <w:r w:rsidRPr="00C84123">
        <w:rPr>
          <w:rFonts w:ascii="Verdana" w:hAnsi="Verdana"/>
          <w:spacing w:val="-4"/>
          <w:sz w:val="20"/>
          <w:szCs w:val="20"/>
          <w:lang w:val="es-PE"/>
        </w:rPr>
        <w:t>coadyuvante o complementario de la [protección] que ofrece el derecho interno de los Estados americanos</w:t>
      </w:r>
      <w:r w:rsidR="00247D89" w:rsidRPr="00C84123">
        <w:rPr>
          <w:rFonts w:ascii="Verdana" w:hAnsi="Verdana"/>
          <w:spacing w:val="-4"/>
          <w:sz w:val="20"/>
          <w:szCs w:val="20"/>
          <w:lang w:val="es-PE"/>
        </w:rPr>
        <w:t>”</w:t>
      </w:r>
      <w:r w:rsidRPr="00C84123">
        <w:rPr>
          <w:rFonts w:ascii="Verdana" w:hAnsi="Verdana"/>
          <w:spacing w:val="-4"/>
          <w:sz w:val="20"/>
          <w:szCs w:val="20"/>
          <w:vertAlign w:val="superscript"/>
          <w:lang w:val="es-PE"/>
        </w:rPr>
        <w:footnoteReference w:id="65"/>
      </w:r>
      <w:r w:rsidRPr="00C84123">
        <w:rPr>
          <w:rFonts w:ascii="Verdana" w:hAnsi="Verdana"/>
          <w:spacing w:val="-4"/>
          <w:sz w:val="20"/>
          <w:szCs w:val="20"/>
          <w:lang w:val="es-PE"/>
        </w:rPr>
        <w:t xml:space="preserve">. Por ello, </w:t>
      </w:r>
      <w:r w:rsidR="008A4618" w:rsidRPr="00C84123">
        <w:rPr>
          <w:rFonts w:ascii="Verdana" w:hAnsi="Verdana"/>
          <w:spacing w:val="-4"/>
          <w:sz w:val="20"/>
          <w:szCs w:val="20"/>
          <w:lang w:val="es-PE"/>
        </w:rPr>
        <w:t xml:space="preserve">ha sostenido </w:t>
      </w:r>
      <w:r w:rsidRPr="00C84123">
        <w:rPr>
          <w:rFonts w:ascii="Verdana" w:hAnsi="Verdana"/>
          <w:spacing w:val="-4"/>
          <w:sz w:val="20"/>
          <w:szCs w:val="20"/>
          <w:lang w:val="es-MX"/>
        </w:rPr>
        <w:t>que tal principio</w:t>
      </w:r>
    </w:p>
    <w:p w14:paraId="3B1FC5CD" w14:textId="77777777" w:rsidR="002E5209" w:rsidRPr="00247D89" w:rsidRDefault="002E5209" w:rsidP="00247D89">
      <w:pPr>
        <w:autoSpaceDE w:val="0"/>
        <w:autoSpaceDN w:val="0"/>
        <w:adjustRightInd w:val="0"/>
        <w:spacing w:before="120" w:after="120"/>
        <w:ind w:left="426" w:right="566"/>
        <w:jc w:val="both"/>
        <w:rPr>
          <w:rFonts w:ascii="Verdana" w:hAnsi="Verdana"/>
          <w:spacing w:val="-4"/>
          <w:sz w:val="16"/>
          <w:szCs w:val="16"/>
          <w:lang w:val="es-PE"/>
        </w:rPr>
      </w:pPr>
      <w:r w:rsidRPr="00C84123">
        <w:rPr>
          <w:rFonts w:ascii="Verdana" w:hAnsi="Verdana"/>
          <w:spacing w:val="-4"/>
          <w:sz w:val="16"/>
          <w:szCs w:val="16"/>
          <w:lang w:val="es-PE"/>
        </w:rPr>
        <w:t>es igualmente aplicable tratándose de la adopción de medidas provisionales y de su mantenimiento pues, por encontrarse en el preámbulo de la Convención Americana, debe guiar la actuación de los Estados cuando se alegue que existe una situación de extrema gravedad y urgencia, y de peligro de daño irreparable, para las personas que son destinatarias del Sistema Interamericano de Protección de los Derechos Humanos. Por lo tanto, no solamente en casos contenciosos sino también tratándose del mecanismo de medidas provisionales, el sistema de protección instaurado por la Convención Americana no sustituye a las jurisdicciones nacionales, sino que las complementa. La protección eventualmente otorgada por la Corte Interamericana debe desplegarse no sólo si se encuentran presentes los elementos señalados en el artículo 63.2 de la Convención Americana para la procedencia de medidas provisionales, sino también tomando en cuenta la actuación del Estado en la jurisdicción nacional</w:t>
      </w:r>
      <w:r w:rsidRPr="00C84123">
        <w:rPr>
          <w:rFonts w:ascii="Verdana" w:hAnsi="Verdana"/>
          <w:spacing w:val="-4"/>
          <w:sz w:val="16"/>
          <w:szCs w:val="16"/>
          <w:vertAlign w:val="superscript"/>
          <w:lang w:val="es-PE"/>
        </w:rPr>
        <w:footnoteReference w:id="66"/>
      </w:r>
      <w:r w:rsidRPr="00C84123">
        <w:rPr>
          <w:rFonts w:ascii="Verdana" w:hAnsi="Verdana"/>
          <w:spacing w:val="-4"/>
          <w:sz w:val="16"/>
          <w:szCs w:val="16"/>
          <w:vertAlign w:val="superscript"/>
          <w:lang w:val="es-PE"/>
        </w:rPr>
        <w:t>.</w:t>
      </w:r>
      <w:r w:rsidRPr="00247D89">
        <w:rPr>
          <w:rFonts w:ascii="Verdana" w:hAnsi="Verdana"/>
          <w:spacing w:val="-4"/>
          <w:sz w:val="16"/>
          <w:szCs w:val="16"/>
          <w:lang w:val="es-PE"/>
        </w:rPr>
        <w:t xml:space="preserve"> </w:t>
      </w:r>
    </w:p>
    <w:p w14:paraId="4D23C3EC" w14:textId="77777777" w:rsidR="002E5209" w:rsidRPr="007E491F" w:rsidRDefault="002E5209"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PE"/>
        </w:rPr>
      </w:pPr>
      <w:r w:rsidRPr="007E491F">
        <w:rPr>
          <w:rFonts w:ascii="Verdana" w:hAnsi="Verdana"/>
          <w:spacing w:val="-4"/>
          <w:sz w:val="20"/>
          <w:szCs w:val="20"/>
          <w:lang w:val="es-PE"/>
        </w:rPr>
        <w:lastRenderedPageBreak/>
        <w:t xml:space="preserve">En ese sentido, </w:t>
      </w:r>
      <w:r w:rsidRPr="007E491F">
        <w:rPr>
          <w:rFonts w:ascii="Verdana" w:hAnsi="Verdana"/>
          <w:spacing w:val="-4"/>
          <w:sz w:val="20"/>
          <w:szCs w:val="20"/>
          <w:lang w:val="es-CR"/>
        </w:rPr>
        <w:t>este</w:t>
      </w:r>
      <w:r w:rsidRPr="007E491F">
        <w:rPr>
          <w:rFonts w:ascii="Verdana" w:hAnsi="Verdana"/>
          <w:spacing w:val="-4"/>
          <w:sz w:val="20"/>
          <w:szCs w:val="20"/>
          <w:lang w:val="es-PE"/>
        </w:rPr>
        <w:t xml:space="preserve"> Tribunal ha dicho que, </w:t>
      </w:r>
    </w:p>
    <w:p w14:paraId="1BA4CF01" w14:textId="04837464" w:rsidR="002E5209" w:rsidRDefault="002E5209" w:rsidP="007E491F">
      <w:pPr>
        <w:autoSpaceDE w:val="0"/>
        <w:autoSpaceDN w:val="0"/>
        <w:adjustRightInd w:val="0"/>
        <w:spacing w:before="120" w:after="120"/>
        <w:ind w:left="426" w:right="566"/>
        <w:jc w:val="both"/>
        <w:rPr>
          <w:rFonts w:ascii="Verdana" w:hAnsi="Verdana"/>
          <w:spacing w:val="-4"/>
          <w:sz w:val="16"/>
          <w:szCs w:val="16"/>
          <w:lang w:val="es-PE"/>
        </w:rPr>
      </w:pPr>
      <w:r w:rsidRPr="00244C18">
        <w:rPr>
          <w:rFonts w:ascii="Verdana" w:hAnsi="Verdana"/>
          <w:spacing w:val="-4"/>
          <w:sz w:val="16"/>
          <w:szCs w:val="16"/>
          <w:lang w:val="es-PE"/>
        </w:rPr>
        <w:t>de comprobarse que el Estado en cuestión ha desarrollado mecanismos o acciones de protección eficaces para los beneficiarios de las medidas provisionales, el Tribunal podría decidir levantar o reducir el número de beneficiarios de las medidas provisionales descargando la obligación de protección en su responsable primario, esto es, el Estado</w:t>
      </w:r>
      <w:r w:rsidRPr="00244C18">
        <w:rPr>
          <w:rFonts w:ascii="Verdana" w:hAnsi="Verdana"/>
          <w:spacing w:val="-4"/>
          <w:sz w:val="16"/>
          <w:szCs w:val="16"/>
          <w:vertAlign w:val="superscript"/>
          <w:lang w:val="es-PE"/>
        </w:rPr>
        <w:footnoteReference w:id="67"/>
      </w:r>
      <w:r w:rsidRPr="00244C18">
        <w:rPr>
          <w:rFonts w:ascii="Verdana" w:hAnsi="Verdana"/>
          <w:spacing w:val="-4"/>
          <w:sz w:val="16"/>
          <w:szCs w:val="16"/>
          <w:lang w:val="es-PE"/>
        </w:rPr>
        <w:t>. De levantarse o reducirse el número de beneficiarios de las medidas provisionales por parte de la Corte por este motivo corresponderá al Estado, conforme a su deber de garantía de los derechos humanos, mantener las medidas de protección que haya adoptado y que el Tribunal consideró eficaces, por el tiempo que las circunstancias lo ameriten</w:t>
      </w:r>
      <w:r w:rsidRPr="00244C18">
        <w:rPr>
          <w:rFonts w:ascii="Verdana" w:hAnsi="Verdana"/>
          <w:spacing w:val="-4"/>
          <w:sz w:val="16"/>
          <w:szCs w:val="16"/>
          <w:vertAlign w:val="superscript"/>
          <w:lang w:val="es-PE"/>
        </w:rPr>
        <w:footnoteReference w:id="68"/>
      </w:r>
      <w:r w:rsidRPr="00244C18">
        <w:rPr>
          <w:rFonts w:ascii="Verdana" w:hAnsi="Verdana"/>
          <w:spacing w:val="-4"/>
          <w:sz w:val="16"/>
          <w:szCs w:val="16"/>
          <w:lang w:val="es-PE"/>
        </w:rPr>
        <w:t>.</w:t>
      </w:r>
    </w:p>
    <w:p w14:paraId="76299682" w14:textId="77777777" w:rsidR="00345670" w:rsidRPr="00244C18" w:rsidRDefault="00345670" w:rsidP="007E491F">
      <w:pPr>
        <w:autoSpaceDE w:val="0"/>
        <w:autoSpaceDN w:val="0"/>
        <w:adjustRightInd w:val="0"/>
        <w:spacing w:before="120" w:after="120"/>
        <w:ind w:left="426" w:right="566"/>
        <w:jc w:val="both"/>
        <w:rPr>
          <w:rFonts w:ascii="Verdana" w:hAnsi="Verdana"/>
          <w:spacing w:val="-4"/>
          <w:sz w:val="16"/>
          <w:szCs w:val="16"/>
          <w:lang w:val="es-AR"/>
        </w:rPr>
      </w:pPr>
    </w:p>
    <w:p w14:paraId="3376D73F" w14:textId="77777777" w:rsidR="001D79AB" w:rsidRDefault="002E5209" w:rsidP="001D79AB">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b/>
          <w:spacing w:val="-4"/>
          <w:sz w:val="20"/>
          <w:szCs w:val="20"/>
          <w:lang w:val="es-PE"/>
        </w:rPr>
      </w:pPr>
      <w:r w:rsidRPr="00244C18">
        <w:rPr>
          <w:rFonts w:ascii="Verdana" w:hAnsi="Verdana"/>
          <w:spacing w:val="-4"/>
          <w:sz w:val="20"/>
          <w:szCs w:val="20"/>
          <w:lang w:val="es-PE"/>
        </w:rPr>
        <w:t>Con base en los criterios referidos debe</w:t>
      </w:r>
      <w:r w:rsidR="008F1549" w:rsidRPr="00244C18">
        <w:rPr>
          <w:rFonts w:ascii="Verdana" w:hAnsi="Verdana"/>
          <w:spacing w:val="-4"/>
          <w:sz w:val="20"/>
          <w:szCs w:val="20"/>
          <w:lang w:val="es-PE"/>
        </w:rPr>
        <w:t xml:space="preserve"> examinarse la situación de los propuestos beneficiario</w:t>
      </w:r>
      <w:r w:rsidRPr="00244C18">
        <w:rPr>
          <w:rFonts w:ascii="Verdana" w:hAnsi="Verdana"/>
          <w:spacing w:val="-4"/>
          <w:sz w:val="20"/>
          <w:szCs w:val="20"/>
          <w:lang w:val="es-PE"/>
        </w:rPr>
        <w:t>s y la procedencia de</w:t>
      </w:r>
      <w:r w:rsidR="008F1549" w:rsidRPr="00244C18">
        <w:rPr>
          <w:rFonts w:ascii="Verdana" w:hAnsi="Verdana"/>
          <w:spacing w:val="-4"/>
          <w:sz w:val="20"/>
          <w:szCs w:val="20"/>
          <w:lang w:val="es-PE"/>
        </w:rPr>
        <w:t xml:space="preserve"> la adopción de las medidas solicitadas. </w:t>
      </w:r>
      <w:bookmarkStart w:id="17" w:name="_Ref442880105"/>
      <w:r w:rsidR="008F1549" w:rsidRPr="00244C18">
        <w:rPr>
          <w:rFonts w:ascii="Verdana" w:hAnsi="Verdana"/>
          <w:spacing w:val="-4"/>
          <w:sz w:val="20"/>
          <w:szCs w:val="20"/>
          <w:lang w:val="es-PE"/>
        </w:rPr>
        <w:t xml:space="preserve">En este sentido, </w:t>
      </w:r>
      <w:r w:rsidR="008F1549" w:rsidRPr="00244C18">
        <w:rPr>
          <w:rFonts w:ascii="Verdana" w:hAnsi="Verdana"/>
          <w:spacing w:val="-4"/>
          <w:sz w:val="20"/>
          <w:szCs w:val="20"/>
          <w:lang w:val="es-ES_tradnl"/>
        </w:rPr>
        <w:t xml:space="preserve">el Estado ha informado acerca de numerosas medidas que sus autoridades administrativas y judiciales estarían adoptando a los fines de prevenir el contagio del COVID-19, tanto en todos los centros penitenciarios del país como </w:t>
      </w:r>
      <w:r w:rsidR="008A4618" w:rsidRPr="00244C18">
        <w:rPr>
          <w:rFonts w:ascii="Verdana" w:hAnsi="Verdana"/>
          <w:spacing w:val="-4"/>
          <w:sz w:val="20"/>
          <w:szCs w:val="20"/>
          <w:lang w:val="es-ES_tradnl"/>
        </w:rPr>
        <w:t xml:space="preserve">específicamente </w:t>
      </w:r>
      <w:r w:rsidR="008F1549" w:rsidRPr="00244C18">
        <w:rPr>
          <w:rFonts w:ascii="Verdana" w:hAnsi="Verdana"/>
          <w:spacing w:val="-4"/>
          <w:sz w:val="20"/>
          <w:szCs w:val="20"/>
          <w:lang w:val="es-ES_tradnl"/>
        </w:rPr>
        <w:t>en los tres establecimientos en que se encuentran los propuestos beneficiarios</w:t>
      </w:r>
      <w:r w:rsidR="000C6739" w:rsidRPr="00244C18">
        <w:rPr>
          <w:rFonts w:ascii="Verdana" w:hAnsi="Verdana"/>
          <w:spacing w:val="-4"/>
          <w:sz w:val="20"/>
          <w:szCs w:val="20"/>
          <w:lang w:val="es-ES_tradnl"/>
        </w:rPr>
        <w:t>. Además, entre mayo</w:t>
      </w:r>
      <w:r w:rsidR="008F1549" w:rsidRPr="00244C18">
        <w:rPr>
          <w:rFonts w:ascii="Verdana" w:hAnsi="Verdana"/>
          <w:spacing w:val="-4"/>
          <w:sz w:val="20"/>
          <w:szCs w:val="20"/>
          <w:lang w:val="es-ES_tradnl"/>
        </w:rPr>
        <w:t xml:space="preserve"> y junio </w:t>
      </w:r>
      <w:r w:rsidR="00244C18" w:rsidRPr="00244C18">
        <w:rPr>
          <w:rFonts w:ascii="Verdana" w:hAnsi="Verdana"/>
          <w:spacing w:val="-4"/>
          <w:sz w:val="20"/>
          <w:szCs w:val="20"/>
          <w:lang w:val="es-ES_tradnl"/>
        </w:rPr>
        <w:t xml:space="preserve">de 2020 </w:t>
      </w:r>
      <w:r w:rsidR="000C6739" w:rsidRPr="00244C18">
        <w:rPr>
          <w:rFonts w:ascii="Verdana" w:hAnsi="Verdana"/>
          <w:spacing w:val="-4"/>
          <w:sz w:val="20"/>
          <w:szCs w:val="20"/>
          <w:lang w:val="es-ES_tradnl"/>
        </w:rPr>
        <w:t xml:space="preserve">adoptó </w:t>
      </w:r>
      <w:r w:rsidR="008F1549" w:rsidRPr="00244C18">
        <w:rPr>
          <w:rFonts w:ascii="Verdana" w:hAnsi="Verdana"/>
          <w:spacing w:val="-4"/>
          <w:sz w:val="20"/>
          <w:szCs w:val="20"/>
          <w:lang w:val="es-ES_tradnl"/>
        </w:rPr>
        <w:t>normativa para</w:t>
      </w:r>
      <w:r w:rsidR="008A4618" w:rsidRPr="00244C18">
        <w:rPr>
          <w:rFonts w:ascii="Verdana" w:hAnsi="Verdana"/>
          <w:spacing w:val="-4"/>
          <w:sz w:val="20"/>
          <w:szCs w:val="20"/>
          <w:lang w:val="es-ES_tradnl"/>
        </w:rPr>
        <w:t xml:space="preserve"> </w:t>
      </w:r>
      <w:r w:rsidR="008F1549" w:rsidRPr="00244C18">
        <w:rPr>
          <w:rFonts w:ascii="Verdana" w:hAnsi="Verdana"/>
          <w:spacing w:val="-4"/>
          <w:sz w:val="20"/>
          <w:szCs w:val="20"/>
          <w:lang w:val="es-ES_tradnl"/>
        </w:rPr>
        <w:t>reducir el hacinamiento en los centros penitenciarios del Perú,</w:t>
      </w:r>
      <w:r w:rsidR="008A4618" w:rsidRPr="00244C18">
        <w:rPr>
          <w:rFonts w:ascii="Verdana" w:hAnsi="Verdana"/>
          <w:spacing w:val="-4"/>
          <w:sz w:val="20"/>
          <w:szCs w:val="20"/>
          <w:lang w:val="es-ES_tradnl"/>
        </w:rPr>
        <w:t xml:space="preserve"> con base en criterios objetivos de priorización, tales como la edad y el estado de salud de las personas privadas de libertad,</w:t>
      </w:r>
      <w:r w:rsidR="008F1549" w:rsidRPr="00244C18">
        <w:rPr>
          <w:rFonts w:ascii="Verdana" w:hAnsi="Verdana"/>
          <w:spacing w:val="-4"/>
          <w:sz w:val="20"/>
          <w:szCs w:val="20"/>
          <w:lang w:val="es-ES_tradnl"/>
        </w:rPr>
        <w:t xml:space="preserve"> </w:t>
      </w:r>
      <w:r w:rsidR="008A4618" w:rsidRPr="00244C18">
        <w:rPr>
          <w:rFonts w:ascii="Verdana" w:hAnsi="Verdana"/>
          <w:spacing w:val="-4"/>
          <w:sz w:val="20"/>
          <w:szCs w:val="20"/>
          <w:lang w:val="es-ES_tradnl"/>
        </w:rPr>
        <w:t xml:space="preserve">así como la gravedad del delito por el que se cumple pena privativa de libertad, </w:t>
      </w:r>
      <w:r w:rsidR="008F1549" w:rsidRPr="00244C18">
        <w:rPr>
          <w:rFonts w:ascii="Verdana" w:hAnsi="Verdana"/>
          <w:spacing w:val="-4"/>
          <w:sz w:val="20"/>
          <w:szCs w:val="20"/>
          <w:lang w:val="es-ES_tradnl"/>
        </w:rPr>
        <w:t xml:space="preserve">brindando asimismo información relativa </w:t>
      </w:r>
      <w:r w:rsidR="00617A7E" w:rsidRPr="00244C18">
        <w:rPr>
          <w:rFonts w:ascii="Verdana" w:hAnsi="Verdana"/>
          <w:spacing w:val="-4"/>
          <w:sz w:val="20"/>
          <w:szCs w:val="20"/>
          <w:lang w:val="es-ES_tradnl"/>
        </w:rPr>
        <w:t xml:space="preserve">a </w:t>
      </w:r>
      <w:r w:rsidR="008F1549" w:rsidRPr="00244C18">
        <w:rPr>
          <w:rFonts w:ascii="Verdana" w:hAnsi="Verdana"/>
          <w:spacing w:val="-4"/>
          <w:sz w:val="20"/>
          <w:szCs w:val="20"/>
          <w:lang w:val="es-ES_tradnl"/>
        </w:rPr>
        <w:t>su aplicación.</w:t>
      </w:r>
      <w:r w:rsidR="00FA1796" w:rsidRPr="00244C18">
        <w:rPr>
          <w:rFonts w:ascii="Verdana" w:hAnsi="Verdana"/>
          <w:spacing w:val="-4"/>
          <w:sz w:val="20"/>
          <w:szCs w:val="20"/>
          <w:lang w:val="es-ES_tradnl"/>
        </w:rPr>
        <w:t xml:space="preserve"> Al respecto</w:t>
      </w:r>
      <w:r w:rsidR="008F1549" w:rsidRPr="00244C18">
        <w:rPr>
          <w:rFonts w:ascii="Verdana" w:hAnsi="Verdana"/>
          <w:spacing w:val="-4"/>
          <w:sz w:val="20"/>
          <w:szCs w:val="20"/>
          <w:lang w:val="es-ES_tradnl"/>
        </w:rPr>
        <w:t xml:space="preserve">, la Corte destaca como </w:t>
      </w:r>
      <w:r w:rsidR="000C6739" w:rsidRPr="00244C18">
        <w:rPr>
          <w:rFonts w:ascii="Verdana" w:hAnsi="Verdana"/>
          <w:spacing w:val="-4"/>
          <w:sz w:val="20"/>
          <w:szCs w:val="20"/>
          <w:lang w:val="es-ES_tradnl"/>
        </w:rPr>
        <w:t>positivas</w:t>
      </w:r>
      <w:r w:rsidR="00244C18" w:rsidRPr="00244C18">
        <w:rPr>
          <w:rFonts w:ascii="Verdana" w:hAnsi="Verdana"/>
          <w:spacing w:val="-4"/>
          <w:sz w:val="20"/>
          <w:szCs w:val="20"/>
          <w:lang w:val="es-ES_tradnl"/>
        </w:rPr>
        <w:t xml:space="preserve"> tendientes a reducir el hacinamiento</w:t>
      </w:r>
      <w:r w:rsidR="000C6739" w:rsidRPr="00244C18">
        <w:rPr>
          <w:rFonts w:ascii="Verdana" w:hAnsi="Verdana"/>
          <w:spacing w:val="-4"/>
          <w:sz w:val="20"/>
          <w:szCs w:val="20"/>
          <w:lang w:val="es-ES_tradnl"/>
        </w:rPr>
        <w:t xml:space="preserve">, entre otras, las </w:t>
      </w:r>
      <w:r w:rsidR="00244C18" w:rsidRPr="00244C18">
        <w:rPr>
          <w:rFonts w:ascii="Verdana" w:hAnsi="Verdana"/>
          <w:spacing w:val="-4"/>
          <w:sz w:val="20"/>
          <w:szCs w:val="20"/>
          <w:lang w:val="es-ES_tradnl"/>
        </w:rPr>
        <w:t>acciones para</w:t>
      </w:r>
      <w:r w:rsidR="000C6739" w:rsidRPr="00244C18">
        <w:rPr>
          <w:rFonts w:ascii="Verdana" w:hAnsi="Verdana"/>
          <w:spacing w:val="-4"/>
          <w:sz w:val="20"/>
          <w:szCs w:val="20"/>
          <w:lang w:val="es-ES_tradnl"/>
        </w:rPr>
        <w:t xml:space="preserve"> optimizar la </w:t>
      </w:r>
      <w:r w:rsidR="000C6739" w:rsidRPr="00244C18">
        <w:rPr>
          <w:rFonts w:ascii="Verdana" w:hAnsi="Verdana" w:cs="Verdana"/>
          <w:color w:val="000000"/>
          <w:spacing w:val="-4"/>
          <w:sz w:val="20"/>
          <w:szCs w:val="20"/>
          <w:lang w:val="es-ES"/>
        </w:rPr>
        <w:t xml:space="preserve">conversión automática de la pena para personas condenadas por el delito de omisión de asistencia familiar y la aplicación de la </w:t>
      </w:r>
      <w:r w:rsidR="00EF3D0F" w:rsidRPr="00244C18">
        <w:rPr>
          <w:rFonts w:ascii="Verdana" w:hAnsi="Verdana" w:cs="Verdana"/>
          <w:color w:val="000000"/>
          <w:spacing w:val="-4"/>
          <w:sz w:val="20"/>
          <w:szCs w:val="20"/>
          <w:lang w:val="es-ES"/>
        </w:rPr>
        <w:t xml:space="preserve">conversión de la pena de prisión a medidas de </w:t>
      </w:r>
      <w:r w:rsidR="000C6739" w:rsidRPr="00244C18">
        <w:rPr>
          <w:rFonts w:ascii="Verdana" w:hAnsi="Verdana" w:cs="Verdana"/>
          <w:color w:val="000000"/>
          <w:spacing w:val="-4"/>
          <w:sz w:val="20"/>
          <w:szCs w:val="20"/>
          <w:lang w:val="es-ES"/>
        </w:rPr>
        <w:t>vigilancia electrónica personal</w:t>
      </w:r>
      <w:r w:rsidR="00A25020" w:rsidRPr="00244C18">
        <w:rPr>
          <w:rFonts w:ascii="Verdana" w:hAnsi="Verdana" w:cs="Verdana"/>
          <w:color w:val="000000"/>
          <w:spacing w:val="-4"/>
          <w:sz w:val="20"/>
          <w:szCs w:val="20"/>
          <w:lang w:val="es-ES"/>
        </w:rPr>
        <w:t>, así como</w:t>
      </w:r>
      <w:r w:rsidR="000C6739" w:rsidRPr="00244C18">
        <w:rPr>
          <w:rFonts w:ascii="Verdana" w:hAnsi="Verdana" w:cs="Verdana"/>
          <w:color w:val="000000"/>
          <w:spacing w:val="-4"/>
          <w:sz w:val="20"/>
          <w:szCs w:val="20"/>
          <w:lang w:val="es-ES"/>
        </w:rPr>
        <w:t xml:space="preserve"> la inclusión de supuestos especiales en el marco de la emergencia sanitaria nacional por el COVID-19 para la evaluación y propuesta de </w:t>
      </w:r>
      <w:r w:rsidR="000C6739" w:rsidRPr="001D79AB">
        <w:rPr>
          <w:rFonts w:ascii="Verdana" w:hAnsi="Verdana" w:cs="Verdana"/>
          <w:color w:val="000000"/>
          <w:spacing w:val="-4"/>
          <w:sz w:val="20"/>
          <w:szCs w:val="20"/>
          <w:lang w:val="es-ES"/>
        </w:rPr>
        <w:t xml:space="preserve">recomendación de Gracias Presidenciales, </w:t>
      </w:r>
      <w:r w:rsidR="00244C18" w:rsidRPr="001D79AB">
        <w:rPr>
          <w:rFonts w:ascii="Verdana" w:hAnsi="Verdana" w:cs="Verdana"/>
          <w:color w:val="000000"/>
          <w:spacing w:val="-4"/>
          <w:sz w:val="20"/>
          <w:szCs w:val="20"/>
          <w:lang w:val="es-ES"/>
        </w:rPr>
        <w:t>para la</w:t>
      </w:r>
      <w:r w:rsidR="000C6739" w:rsidRPr="001D79AB">
        <w:rPr>
          <w:rFonts w:ascii="Verdana" w:hAnsi="Verdana" w:cs="Verdana"/>
          <w:color w:val="000000"/>
          <w:spacing w:val="-4"/>
          <w:sz w:val="20"/>
          <w:szCs w:val="20"/>
          <w:lang w:val="es-ES"/>
        </w:rPr>
        <w:t xml:space="preserve"> cesación de prisión preventiva, </w:t>
      </w:r>
      <w:r w:rsidR="00244C18" w:rsidRPr="001D79AB">
        <w:rPr>
          <w:rFonts w:ascii="Verdana" w:hAnsi="Verdana" w:cs="Verdana"/>
          <w:color w:val="000000"/>
          <w:spacing w:val="-4"/>
          <w:sz w:val="20"/>
          <w:szCs w:val="20"/>
          <w:lang w:val="es-ES"/>
        </w:rPr>
        <w:t xml:space="preserve">la </w:t>
      </w:r>
      <w:r w:rsidR="000C6739" w:rsidRPr="001D79AB">
        <w:rPr>
          <w:rFonts w:ascii="Verdana" w:hAnsi="Verdana" w:cs="Verdana"/>
          <w:color w:val="000000"/>
          <w:spacing w:val="-4"/>
          <w:sz w:val="20"/>
          <w:szCs w:val="20"/>
          <w:lang w:val="es-ES"/>
        </w:rPr>
        <w:t>remisión condicional de pena, beneficios penitenciarios y de justicia penal juvenil, todo ello, previendo incluso su aplicación de oficio</w:t>
      </w:r>
      <w:r w:rsidR="00A25020" w:rsidRPr="001D79AB">
        <w:rPr>
          <w:rFonts w:ascii="Verdana" w:hAnsi="Verdana" w:cs="Verdana"/>
          <w:color w:val="000000"/>
          <w:spacing w:val="-4"/>
          <w:sz w:val="20"/>
          <w:szCs w:val="20"/>
          <w:lang w:val="es-ES"/>
        </w:rPr>
        <w:t xml:space="preserve">. </w:t>
      </w:r>
    </w:p>
    <w:p w14:paraId="2B0C3752" w14:textId="7D0D8F86" w:rsidR="00E93986" w:rsidRPr="001D79AB" w:rsidRDefault="001A0E56" w:rsidP="001D79AB">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b/>
          <w:spacing w:val="-4"/>
          <w:sz w:val="20"/>
          <w:szCs w:val="20"/>
          <w:lang w:val="es-PE"/>
        </w:rPr>
      </w:pPr>
      <w:r w:rsidRPr="001D79AB">
        <w:rPr>
          <w:rFonts w:ascii="Verdana" w:hAnsi="Verdana"/>
          <w:spacing w:val="-4"/>
          <w:sz w:val="20"/>
          <w:szCs w:val="20"/>
          <w:lang w:val="es-CR"/>
        </w:rPr>
        <w:t xml:space="preserve">Esta Corte resaltó en su Declaración </w:t>
      </w:r>
      <w:r w:rsidR="00F55847" w:rsidRPr="001D79AB">
        <w:rPr>
          <w:rFonts w:ascii="Verdana" w:hAnsi="Verdana"/>
          <w:spacing w:val="-4"/>
          <w:sz w:val="20"/>
          <w:szCs w:val="20"/>
          <w:lang w:val="es-CR"/>
        </w:rPr>
        <w:t xml:space="preserve">1/20 </w:t>
      </w:r>
      <w:r w:rsidRPr="001D79AB">
        <w:rPr>
          <w:rFonts w:ascii="Verdana" w:hAnsi="Verdana"/>
          <w:spacing w:val="-4"/>
          <w:sz w:val="20"/>
          <w:szCs w:val="20"/>
          <w:lang w:val="es-CR"/>
        </w:rPr>
        <w:t xml:space="preserve">sobre COVID-19 y Derechos Humanos la </w:t>
      </w:r>
      <w:r w:rsidRPr="001D79AB">
        <w:rPr>
          <w:rFonts w:ascii="Verdana" w:hAnsi="Verdana" w:cs="Verdana"/>
          <w:color w:val="000000"/>
          <w:spacing w:val="-4"/>
          <w:sz w:val="20"/>
          <w:szCs w:val="20"/>
          <w:lang w:val="es-ES"/>
        </w:rPr>
        <w:t>importancia</w:t>
      </w:r>
      <w:r w:rsidRPr="001D79AB">
        <w:rPr>
          <w:rFonts w:ascii="Verdana" w:hAnsi="Verdana"/>
          <w:spacing w:val="-4"/>
          <w:sz w:val="20"/>
          <w:szCs w:val="20"/>
          <w:lang w:val="es-CR"/>
        </w:rPr>
        <w:t xml:space="preserve"> de que se “garantice </w:t>
      </w:r>
      <w:r w:rsidRPr="001D79AB">
        <w:rPr>
          <w:rFonts w:ascii="Verdana" w:hAnsi="Verdana"/>
          <w:spacing w:val="-4"/>
          <w:sz w:val="20"/>
          <w:szCs w:val="20"/>
          <w:lang w:val="es-ES_tradnl"/>
        </w:rPr>
        <w:t>el acceso a la justicia y a los mecanismos de denuncia, así como se proteja particularmente la actividad de las y los periodistas y las defensoras y defensores de derechos humanos, a fin de monitorear todas aquellas medidas que se adopten y que conlleven afectación o restricción de derechos humanos, con el objeto de ir evaluando su conformidad con los instrumentos y estándares interamericanos, así como sus consecuencias en las personas”. En este sentido,</w:t>
      </w:r>
      <w:r w:rsidR="00F55847" w:rsidRPr="001D79AB">
        <w:rPr>
          <w:rFonts w:ascii="Verdana" w:hAnsi="Verdana"/>
          <w:spacing w:val="-4"/>
          <w:sz w:val="20"/>
          <w:szCs w:val="20"/>
          <w:lang w:val="es-ES_tradnl"/>
        </w:rPr>
        <w:t xml:space="preserve"> </w:t>
      </w:r>
      <w:r w:rsidRPr="001D79AB">
        <w:rPr>
          <w:rFonts w:ascii="Verdana" w:hAnsi="Verdana"/>
          <w:spacing w:val="-4"/>
          <w:sz w:val="20"/>
          <w:szCs w:val="20"/>
          <w:lang w:val="es-CR"/>
        </w:rPr>
        <w:t xml:space="preserve">el Tribunal observa que los tribunales peruanos </w:t>
      </w:r>
      <w:r w:rsidR="00A25020" w:rsidRPr="001D79AB">
        <w:rPr>
          <w:rFonts w:ascii="Verdana" w:hAnsi="Verdana" w:cs="Verdana"/>
          <w:color w:val="000000"/>
          <w:spacing w:val="-4"/>
          <w:sz w:val="20"/>
          <w:szCs w:val="20"/>
          <w:lang w:val="es-ES"/>
        </w:rPr>
        <w:t>ha</w:t>
      </w:r>
      <w:r w:rsidRPr="001D79AB">
        <w:rPr>
          <w:rFonts w:ascii="Verdana" w:hAnsi="Verdana" w:cs="Verdana"/>
          <w:color w:val="000000"/>
          <w:spacing w:val="-4"/>
          <w:sz w:val="20"/>
          <w:szCs w:val="20"/>
          <w:lang w:val="es-ES"/>
        </w:rPr>
        <w:t>n</w:t>
      </w:r>
      <w:r w:rsidR="00A25020" w:rsidRPr="001D79AB">
        <w:rPr>
          <w:rFonts w:ascii="Verdana" w:hAnsi="Verdana" w:cs="Verdana"/>
          <w:color w:val="000000"/>
          <w:spacing w:val="-4"/>
          <w:sz w:val="20"/>
          <w:szCs w:val="20"/>
          <w:lang w:val="es-ES"/>
        </w:rPr>
        <w:t xml:space="preserve"> venido</w:t>
      </w:r>
      <w:r w:rsidR="00F55847" w:rsidRPr="00922FDC">
        <w:rPr>
          <w:rFonts w:ascii="Verdana" w:hAnsi="Verdana" w:cs="Verdana"/>
          <w:color w:val="000000"/>
          <w:spacing w:val="-4"/>
          <w:sz w:val="20"/>
          <w:szCs w:val="20"/>
          <w:lang w:val="es-ES"/>
        </w:rPr>
        <w:t xml:space="preserve"> atendiendo</w:t>
      </w:r>
      <w:r w:rsidR="00A25020" w:rsidRPr="00922FDC">
        <w:rPr>
          <w:rFonts w:ascii="Verdana" w:hAnsi="Verdana" w:cs="Verdana"/>
          <w:color w:val="000000"/>
          <w:spacing w:val="-4"/>
          <w:sz w:val="20"/>
          <w:szCs w:val="20"/>
          <w:lang w:val="es-ES"/>
        </w:rPr>
        <w:t xml:space="preserve"> </w:t>
      </w:r>
      <w:r w:rsidR="00A25020" w:rsidRPr="001D79AB">
        <w:rPr>
          <w:rFonts w:ascii="Verdana" w:hAnsi="Verdana" w:cs="Verdana"/>
          <w:color w:val="000000"/>
          <w:spacing w:val="-4"/>
          <w:sz w:val="20"/>
          <w:szCs w:val="20"/>
          <w:lang w:val="es-ES"/>
        </w:rPr>
        <w:t xml:space="preserve">la situación de los propuestos beneficiarios, exhortando a las autoridades penitenciarias a brindar información sobre sus condiciones de detención y de salud y a brindar el tratamiento médico necesario, en virtud de lo cual los propuestos beneficiarios fueron examinados, diagnosticados y tratados, tal como surge de los numerosos informes y constancias médicas aportadas por el Estado, y respecto de los cuales los intervinientes comunes no especificaron en qué medida los tratamientos allí consignados resultaban inadecuados. </w:t>
      </w:r>
      <w:r w:rsidR="00A25020" w:rsidRPr="001D79AB">
        <w:rPr>
          <w:rFonts w:ascii="Verdana" w:hAnsi="Verdana" w:cs="Verdana"/>
          <w:color w:val="000000"/>
          <w:spacing w:val="-4"/>
          <w:sz w:val="20"/>
          <w:szCs w:val="20"/>
          <w:lang w:val="es-ES_tradnl"/>
        </w:rPr>
        <w:t xml:space="preserve">Es decir, las autoridades internas han estado atentas a la situación </w:t>
      </w:r>
      <w:r w:rsidR="00531A15" w:rsidRPr="001D79AB">
        <w:rPr>
          <w:rFonts w:ascii="Verdana" w:hAnsi="Verdana" w:cs="Verdana"/>
          <w:color w:val="000000"/>
          <w:spacing w:val="-4"/>
          <w:sz w:val="20"/>
          <w:szCs w:val="20"/>
          <w:lang w:val="es-ES_tradnl"/>
        </w:rPr>
        <w:t>de los propuestos beneficiarios</w:t>
      </w:r>
      <w:r w:rsidR="00A25020" w:rsidRPr="001D79AB">
        <w:rPr>
          <w:rFonts w:ascii="Verdana" w:hAnsi="Verdana" w:cs="Verdana"/>
          <w:color w:val="000000"/>
          <w:spacing w:val="-4"/>
          <w:sz w:val="20"/>
          <w:szCs w:val="20"/>
          <w:lang w:val="es-ES_tradnl"/>
        </w:rPr>
        <w:t xml:space="preserve">, y han reaccionado ante los hechos que motivaron a </w:t>
      </w:r>
      <w:r w:rsidR="00531A15" w:rsidRPr="001D79AB">
        <w:rPr>
          <w:rFonts w:ascii="Verdana" w:hAnsi="Verdana" w:cs="Verdana"/>
          <w:color w:val="000000"/>
          <w:spacing w:val="-4"/>
          <w:sz w:val="20"/>
          <w:szCs w:val="20"/>
          <w:lang w:val="es-ES_tradnl"/>
        </w:rPr>
        <w:t>los intervinientes comunes a solicitar</w:t>
      </w:r>
      <w:r w:rsidR="00A25020" w:rsidRPr="001D79AB">
        <w:rPr>
          <w:rFonts w:ascii="Verdana" w:hAnsi="Verdana" w:cs="Verdana"/>
          <w:color w:val="000000"/>
          <w:spacing w:val="-4"/>
          <w:sz w:val="20"/>
          <w:szCs w:val="20"/>
          <w:lang w:val="es-ES_tradnl"/>
        </w:rPr>
        <w:t xml:space="preserve"> la</w:t>
      </w:r>
      <w:r w:rsidR="00531A15" w:rsidRPr="001D79AB">
        <w:rPr>
          <w:rFonts w:ascii="Verdana" w:hAnsi="Verdana" w:cs="Verdana"/>
          <w:color w:val="000000"/>
          <w:spacing w:val="-4"/>
          <w:sz w:val="20"/>
          <w:szCs w:val="20"/>
          <w:lang w:val="es-ES_tradnl"/>
        </w:rPr>
        <w:t xml:space="preserve"> adopción de las</w:t>
      </w:r>
      <w:r w:rsidR="00A25020" w:rsidRPr="001D79AB">
        <w:rPr>
          <w:rFonts w:ascii="Verdana" w:hAnsi="Verdana" w:cs="Verdana"/>
          <w:color w:val="000000"/>
          <w:spacing w:val="-4"/>
          <w:sz w:val="20"/>
          <w:szCs w:val="20"/>
          <w:lang w:val="es-ES_tradnl"/>
        </w:rPr>
        <w:t xml:space="preserve"> medidas provisionales</w:t>
      </w:r>
      <w:r w:rsidR="00531A15" w:rsidRPr="001D79AB">
        <w:rPr>
          <w:rFonts w:ascii="Verdana" w:hAnsi="Verdana" w:cs="Verdana"/>
          <w:color w:val="000000"/>
          <w:spacing w:val="-4"/>
          <w:sz w:val="20"/>
          <w:szCs w:val="20"/>
          <w:lang w:val="es-ES_tradnl"/>
        </w:rPr>
        <w:t xml:space="preserve">, lo cual </w:t>
      </w:r>
      <w:r w:rsidR="00A25020" w:rsidRPr="001D79AB">
        <w:rPr>
          <w:rFonts w:ascii="Verdana" w:hAnsi="Verdana" w:cs="Verdana"/>
          <w:color w:val="000000"/>
          <w:spacing w:val="-4"/>
          <w:sz w:val="20"/>
          <w:szCs w:val="20"/>
          <w:lang w:val="es-ES_tradnl"/>
        </w:rPr>
        <w:t>permite asumir</w:t>
      </w:r>
      <w:r w:rsidR="00F55847" w:rsidRPr="001D79AB">
        <w:rPr>
          <w:rFonts w:ascii="Verdana" w:hAnsi="Verdana" w:cs="Verdana"/>
          <w:color w:val="000000"/>
          <w:spacing w:val="-4"/>
          <w:sz w:val="20"/>
          <w:szCs w:val="20"/>
          <w:lang w:val="es-ES_tradnl"/>
        </w:rPr>
        <w:t xml:space="preserve"> que, </w:t>
      </w:r>
      <w:r w:rsidR="00A25020" w:rsidRPr="001D79AB">
        <w:rPr>
          <w:rFonts w:ascii="Verdana" w:hAnsi="Verdana" w:cs="Verdana"/>
          <w:color w:val="000000"/>
          <w:spacing w:val="-4"/>
          <w:sz w:val="20"/>
          <w:szCs w:val="20"/>
          <w:lang w:val="es-ES_tradnl"/>
        </w:rPr>
        <w:t>razonablem</w:t>
      </w:r>
      <w:r w:rsidR="00531A15" w:rsidRPr="001D79AB">
        <w:rPr>
          <w:rFonts w:ascii="Verdana" w:hAnsi="Verdana" w:cs="Verdana"/>
          <w:color w:val="000000"/>
          <w:spacing w:val="-4"/>
          <w:sz w:val="20"/>
          <w:szCs w:val="20"/>
          <w:lang w:val="es-ES_tradnl"/>
        </w:rPr>
        <w:t>ente</w:t>
      </w:r>
      <w:r w:rsidR="00F55847" w:rsidRPr="001D79AB">
        <w:rPr>
          <w:rFonts w:ascii="Verdana" w:hAnsi="Verdana" w:cs="Verdana"/>
          <w:color w:val="000000"/>
          <w:spacing w:val="-4"/>
          <w:sz w:val="20"/>
          <w:szCs w:val="20"/>
          <w:lang w:val="es-ES_tradnl"/>
        </w:rPr>
        <w:t>,</w:t>
      </w:r>
      <w:r w:rsidR="00531A15" w:rsidRPr="001D79AB">
        <w:rPr>
          <w:rFonts w:ascii="Verdana" w:hAnsi="Verdana" w:cs="Verdana"/>
          <w:color w:val="000000"/>
          <w:spacing w:val="-4"/>
          <w:sz w:val="20"/>
          <w:szCs w:val="20"/>
          <w:lang w:val="es-ES_tradnl"/>
        </w:rPr>
        <w:t xml:space="preserve"> continuarán haciéndolo. </w:t>
      </w:r>
      <w:r w:rsidRPr="001D79AB">
        <w:rPr>
          <w:rFonts w:ascii="Verdana" w:hAnsi="Verdana"/>
          <w:spacing w:val="-4"/>
          <w:sz w:val="20"/>
          <w:szCs w:val="20"/>
          <w:lang w:val="es-CR"/>
        </w:rPr>
        <w:t>Además, la Corte valora positivamente la actuación de la Defensoría del Pueblo a través de los diversos informes y comunicados emitidos (</w:t>
      </w:r>
      <w:r w:rsidRPr="001D79AB">
        <w:rPr>
          <w:rFonts w:ascii="Verdana" w:hAnsi="Verdana"/>
          <w:i/>
          <w:spacing w:val="-4"/>
          <w:sz w:val="20"/>
          <w:szCs w:val="20"/>
          <w:lang w:val="es-CR"/>
        </w:rPr>
        <w:t xml:space="preserve">supra </w:t>
      </w:r>
      <w:r w:rsidRPr="001D79AB">
        <w:rPr>
          <w:rFonts w:ascii="Verdana" w:hAnsi="Verdana"/>
          <w:spacing w:val="-4"/>
          <w:sz w:val="20"/>
          <w:szCs w:val="20"/>
          <w:lang w:val="es-CR"/>
        </w:rPr>
        <w:t xml:space="preserve">Considerando </w:t>
      </w:r>
      <w:r w:rsidR="001D79AB" w:rsidRPr="001D79AB">
        <w:rPr>
          <w:rFonts w:ascii="Verdana" w:hAnsi="Verdana"/>
          <w:spacing w:val="-4"/>
          <w:sz w:val="20"/>
          <w:szCs w:val="20"/>
          <w:lang w:val="es-CR"/>
        </w:rPr>
        <w:t>5</w:t>
      </w:r>
      <w:r w:rsidRPr="001D79AB">
        <w:rPr>
          <w:rFonts w:ascii="Verdana" w:hAnsi="Verdana"/>
          <w:spacing w:val="-4"/>
          <w:sz w:val="20"/>
          <w:szCs w:val="20"/>
          <w:lang w:val="es-CR"/>
        </w:rPr>
        <w:t>) respecto de la situación de la</w:t>
      </w:r>
      <w:r w:rsidR="001D79AB" w:rsidRPr="001D79AB">
        <w:rPr>
          <w:rFonts w:ascii="Verdana" w:hAnsi="Verdana"/>
          <w:spacing w:val="-4"/>
          <w:sz w:val="20"/>
          <w:szCs w:val="20"/>
          <w:lang w:val="es-CR"/>
        </w:rPr>
        <w:t>s</w:t>
      </w:r>
      <w:r w:rsidRPr="001D79AB">
        <w:rPr>
          <w:rFonts w:ascii="Verdana" w:hAnsi="Verdana"/>
          <w:spacing w:val="-4"/>
          <w:sz w:val="20"/>
          <w:szCs w:val="20"/>
          <w:lang w:val="es-CR"/>
        </w:rPr>
        <w:t xml:space="preserve"> personas privadas de libertad en el Perú, algunos de los cuales hacen referencia a los centros penitenciarios en que se encuentran los </w:t>
      </w:r>
      <w:r w:rsidRPr="001D79AB">
        <w:rPr>
          <w:rFonts w:ascii="Verdana" w:hAnsi="Verdana"/>
          <w:spacing w:val="-4"/>
          <w:sz w:val="20"/>
          <w:szCs w:val="20"/>
          <w:lang w:val="es-CR"/>
        </w:rPr>
        <w:lastRenderedPageBreak/>
        <w:t>propuestos beneficiarios. Todo ello permite concluir que el Perú ha venido garantizando el acceso a la justicia y los mecanismos de denuncia, y posibilitado la importante tarea de la Defensoría, y que continuará haciéndolo.</w:t>
      </w:r>
      <w:r w:rsidR="00E93986" w:rsidRPr="001D79AB">
        <w:rPr>
          <w:rFonts w:ascii="Verdana" w:hAnsi="Verdana" w:cs="Verdana"/>
          <w:color w:val="000000"/>
          <w:spacing w:val="-4"/>
          <w:sz w:val="20"/>
          <w:szCs w:val="20"/>
          <w:lang w:val="es-ES_tradnl"/>
        </w:rPr>
        <w:t xml:space="preserve"> </w:t>
      </w:r>
    </w:p>
    <w:p w14:paraId="3A7525AD" w14:textId="0B05CE2F" w:rsidR="008F1549" w:rsidRPr="003A0E1D" w:rsidRDefault="00A25020" w:rsidP="001133E5">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b/>
          <w:spacing w:val="-4"/>
          <w:sz w:val="20"/>
          <w:szCs w:val="20"/>
          <w:lang w:val="es-PE"/>
        </w:rPr>
      </w:pPr>
      <w:r w:rsidRPr="001D79AB">
        <w:rPr>
          <w:rFonts w:ascii="Verdana" w:hAnsi="Verdana" w:cs="Verdana"/>
          <w:color w:val="000000"/>
          <w:spacing w:val="-4"/>
          <w:sz w:val="20"/>
          <w:szCs w:val="20"/>
          <w:lang w:val="es-ES_tradnl"/>
        </w:rPr>
        <w:t xml:space="preserve">Por </w:t>
      </w:r>
      <w:r w:rsidR="00D73DF5" w:rsidRPr="001D79AB">
        <w:rPr>
          <w:rFonts w:ascii="Verdana" w:hAnsi="Verdana" w:cs="Verdana"/>
          <w:color w:val="000000"/>
          <w:spacing w:val="-4"/>
          <w:sz w:val="20"/>
          <w:szCs w:val="20"/>
          <w:lang w:val="es-ES_tradnl"/>
        </w:rPr>
        <w:t>lo expuesto</w:t>
      </w:r>
      <w:r w:rsidRPr="001D79AB">
        <w:rPr>
          <w:rFonts w:ascii="Verdana" w:hAnsi="Verdana" w:cs="Verdana"/>
          <w:color w:val="000000"/>
          <w:spacing w:val="-4"/>
          <w:sz w:val="20"/>
          <w:szCs w:val="20"/>
          <w:lang w:val="es-ES_tradnl"/>
        </w:rPr>
        <w:t xml:space="preserve">, </w:t>
      </w:r>
      <w:r w:rsidR="00D73DF5" w:rsidRPr="001D79AB">
        <w:rPr>
          <w:rFonts w:ascii="Verdana" w:hAnsi="Verdana" w:cs="Verdana"/>
          <w:color w:val="000000"/>
          <w:spacing w:val="-4"/>
          <w:sz w:val="20"/>
          <w:szCs w:val="20"/>
          <w:lang w:val="es-ES_tradnl"/>
        </w:rPr>
        <w:t xml:space="preserve">el Tribunal considera que no corresponde, por el momento, ordenar medidas provisionales en el presente caso, </w:t>
      </w:r>
      <w:r w:rsidR="00D93D23" w:rsidRPr="001D79AB">
        <w:rPr>
          <w:rFonts w:ascii="Verdana" w:hAnsi="Verdana" w:cs="Verdana"/>
          <w:color w:val="000000"/>
          <w:spacing w:val="-4"/>
          <w:sz w:val="20"/>
          <w:szCs w:val="20"/>
          <w:lang w:val="es-ES_tradnl"/>
        </w:rPr>
        <w:t xml:space="preserve">sino realizar una supervisión reforzada, como se indicará </w:t>
      </w:r>
      <w:r w:rsidR="00D93D23" w:rsidRPr="001D79AB">
        <w:rPr>
          <w:rFonts w:ascii="Verdana" w:hAnsi="Verdana" w:cs="Verdana"/>
          <w:i/>
          <w:color w:val="000000"/>
          <w:spacing w:val="-4"/>
          <w:sz w:val="20"/>
          <w:szCs w:val="20"/>
          <w:lang w:val="es-ES_tradnl"/>
        </w:rPr>
        <w:t xml:space="preserve">infra </w:t>
      </w:r>
      <w:r w:rsidR="00D93D23" w:rsidRPr="001D79AB">
        <w:rPr>
          <w:rFonts w:ascii="Verdana" w:hAnsi="Verdana" w:cs="Verdana"/>
          <w:color w:val="000000"/>
          <w:spacing w:val="-4"/>
          <w:sz w:val="20"/>
          <w:szCs w:val="20"/>
          <w:lang w:val="es-ES_tradnl"/>
        </w:rPr>
        <w:t>(Considerando</w:t>
      </w:r>
      <w:r w:rsidR="003A0E1D">
        <w:rPr>
          <w:rFonts w:ascii="Verdana" w:hAnsi="Verdana" w:cs="Verdana"/>
          <w:color w:val="000000"/>
          <w:spacing w:val="-4"/>
          <w:sz w:val="20"/>
          <w:szCs w:val="20"/>
          <w:lang w:val="es-ES_tradnl"/>
        </w:rPr>
        <w:t>s</w:t>
      </w:r>
      <w:r w:rsidR="00D93D23" w:rsidRPr="001D79AB">
        <w:rPr>
          <w:rFonts w:ascii="Verdana" w:hAnsi="Verdana" w:cs="Verdana"/>
          <w:color w:val="000000"/>
          <w:spacing w:val="-4"/>
          <w:sz w:val="20"/>
          <w:szCs w:val="20"/>
          <w:lang w:val="es-ES_tradnl"/>
        </w:rPr>
        <w:t xml:space="preserve"> </w:t>
      </w:r>
      <w:r w:rsidR="003A0E1D">
        <w:rPr>
          <w:rFonts w:ascii="Verdana" w:hAnsi="Verdana" w:cs="Verdana"/>
          <w:color w:val="000000"/>
          <w:spacing w:val="-4"/>
          <w:sz w:val="20"/>
          <w:szCs w:val="20"/>
          <w:lang w:val="es-ES_tradnl"/>
        </w:rPr>
        <w:t xml:space="preserve">42 y </w:t>
      </w:r>
      <w:r w:rsidR="001D79AB" w:rsidRPr="001D79AB">
        <w:rPr>
          <w:rFonts w:ascii="Verdana" w:hAnsi="Verdana" w:cs="Verdana"/>
          <w:color w:val="000000"/>
          <w:spacing w:val="-4"/>
          <w:sz w:val="20"/>
          <w:szCs w:val="20"/>
          <w:lang w:val="es-ES_tradnl"/>
        </w:rPr>
        <w:t>44</w:t>
      </w:r>
      <w:r w:rsidR="00D93D23" w:rsidRPr="001D79AB">
        <w:rPr>
          <w:rFonts w:ascii="Verdana" w:hAnsi="Verdana" w:cs="Verdana"/>
          <w:color w:val="000000"/>
          <w:spacing w:val="-4"/>
          <w:sz w:val="20"/>
          <w:szCs w:val="20"/>
          <w:lang w:val="es-ES_tradnl"/>
        </w:rPr>
        <w:t xml:space="preserve">). Ello en atención </w:t>
      </w:r>
      <w:r w:rsidR="00D73DF5" w:rsidRPr="001D79AB">
        <w:rPr>
          <w:rFonts w:ascii="Verdana" w:hAnsi="Verdana" w:cs="Verdana"/>
          <w:color w:val="000000"/>
          <w:spacing w:val="-4"/>
          <w:sz w:val="20"/>
          <w:szCs w:val="20"/>
          <w:lang w:val="es-ES_tradnl"/>
        </w:rPr>
        <w:t xml:space="preserve">a </w:t>
      </w:r>
      <w:r w:rsidR="00E93986" w:rsidRPr="001D79AB">
        <w:rPr>
          <w:rFonts w:ascii="Verdana" w:hAnsi="Verdana" w:cs="Verdana"/>
          <w:color w:val="000000"/>
          <w:spacing w:val="-4"/>
          <w:sz w:val="20"/>
          <w:szCs w:val="20"/>
          <w:lang w:val="es-ES_tradnl"/>
        </w:rPr>
        <w:t xml:space="preserve">las </w:t>
      </w:r>
      <w:r w:rsidR="00E93986" w:rsidRPr="001D79AB">
        <w:rPr>
          <w:rFonts w:ascii="Verdana" w:hAnsi="Verdana" w:cs="Verdana"/>
          <w:color w:val="000000"/>
          <w:spacing w:val="-4"/>
          <w:sz w:val="20"/>
          <w:szCs w:val="20"/>
          <w:lang w:val="es-ES"/>
        </w:rPr>
        <w:t>acciones</w:t>
      </w:r>
      <w:r w:rsidR="00E93986" w:rsidRPr="001D79AB">
        <w:rPr>
          <w:rFonts w:ascii="Verdana" w:hAnsi="Verdana" w:cs="Verdana"/>
          <w:color w:val="000000"/>
          <w:spacing w:val="-4"/>
          <w:sz w:val="20"/>
          <w:szCs w:val="20"/>
          <w:lang w:val="es-ES_tradnl"/>
        </w:rPr>
        <w:t xml:space="preserve"> </w:t>
      </w:r>
      <w:r w:rsidR="006E7F60" w:rsidRPr="001D79AB">
        <w:rPr>
          <w:rFonts w:ascii="Verdana" w:hAnsi="Verdana" w:cs="Verdana"/>
          <w:color w:val="000000"/>
          <w:spacing w:val="-4"/>
          <w:sz w:val="20"/>
          <w:szCs w:val="20"/>
          <w:lang w:val="es-ES_tradnl"/>
        </w:rPr>
        <w:t xml:space="preserve">específicas </w:t>
      </w:r>
      <w:r w:rsidR="00E93986" w:rsidRPr="001D79AB">
        <w:rPr>
          <w:rFonts w:ascii="Verdana" w:hAnsi="Verdana" w:cs="Verdana"/>
          <w:color w:val="000000"/>
          <w:spacing w:val="-4"/>
          <w:sz w:val="20"/>
          <w:szCs w:val="20"/>
          <w:lang w:val="es-ES_tradnl"/>
        </w:rPr>
        <w:t xml:space="preserve">efectuadas por el </w:t>
      </w:r>
      <w:r w:rsidR="00FA1796" w:rsidRPr="001D79AB">
        <w:rPr>
          <w:rFonts w:ascii="Verdana" w:hAnsi="Verdana" w:cs="Verdana"/>
          <w:color w:val="000000"/>
          <w:spacing w:val="-4"/>
          <w:sz w:val="20"/>
          <w:szCs w:val="20"/>
          <w:lang w:val="es-ES_tradnl"/>
        </w:rPr>
        <w:t xml:space="preserve">Estado </w:t>
      </w:r>
      <w:r w:rsidR="00E93986" w:rsidRPr="001D79AB">
        <w:rPr>
          <w:rFonts w:ascii="Verdana" w:hAnsi="Verdana" w:cs="Verdana"/>
          <w:color w:val="000000"/>
          <w:spacing w:val="-4"/>
          <w:sz w:val="20"/>
          <w:szCs w:val="20"/>
          <w:lang w:val="es-ES_tradnl"/>
        </w:rPr>
        <w:t xml:space="preserve">respecto de las </w:t>
      </w:r>
      <w:r w:rsidR="00D73DF5" w:rsidRPr="001D79AB">
        <w:rPr>
          <w:rFonts w:ascii="Verdana" w:hAnsi="Verdana" w:cs="Verdana"/>
          <w:color w:val="000000"/>
          <w:spacing w:val="-4"/>
          <w:sz w:val="20"/>
          <w:szCs w:val="20"/>
          <w:lang w:val="es-ES_tradnl"/>
        </w:rPr>
        <w:t>cinco víctimas y</w:t>
      </w:r>
      <w:r w:rsidR="00E93986" w:rsidRPr="001D79AB">
        <w:rPr>
          <w:rFonts w:ascii="Verdana" w:hAnsi="Verdana" w:cs="Verdana"/>
          <w:color w:val="000000"/>
          <w:spacing w:val="-4"/>
          <w:sz w:val="20"/>
          <w:szCs w:val="20"/>
          <w:lang w:val="es-ES_tradnl"/>
        </w:rPr>
        <w:t xml:space="preserve"> las </w:t>
      </w:r>
      <w:r w:rsidR="006E7F60" w:rsidRPr="001D79AB">
        <w:rPr>
          <w:rFonts w:ascii="Verdana" w:hAnsi="Verdana" w:cs="Verdana"/>
          <w:color w:val="000000"/>
          <w:spacing w:val="-4"/>
          <w:sz w:val="20"/>
          <w:szCs w:val="20"/>
          <w:lang w:val="es-ES_tradnl"/>
        </w:rPr>
        <w:t xml:space="preserve">medidas </w:t>
      </w:r>
      <w:r w:rsidR="00E93986" w:rsidRPr="001D79AB">
        <w:rPr>
          <w:rFonts w:ascii="Verdana" w:hAnsi="Verdana" w:cs="Verdana"/>
          <w:color w:val="000000"/>
          <w:spacing w:val="-4"/>
          <w:sz w:val="20"/>
          <w:szCs w:val="20"/>
          <w:lang w:val="es-ES_tradnl"/>
        </w:rPr>
        <w:t>gen</w:t>
      </w:r>
      <w:r w:rsidR="006E7F60" w:rsidRPr="001D79AB">
        <w:rPr>
          <w:rFonts w:ascii="Verdana" w:hAnsi="Verdana" w:cs="Verdana"/>
          <w:color w:val="000000"/>
          <w:spacing w:val="-4"/>
          <w:sz w:val="20"/>
          <w:szCs w:val="20"/>
          <w:lang w:val="es-ES_tradnl"/>
        </w:rPr>
        <w:t>e</w:t>
      </w:r>
      <w:r w:rsidR="00E93986" w:rsidRPr="001D79AB">
        <w:rPr>
          <w:rFonts w:ascii="Verdana" w:hAnsi="Verdana" w:cs="Verdana"/>
          <w:color w:val="000000"/>
          <w:spacing w:val="-4"/>
          <w:sz w:val="20"/>
          <w:szCs w:val="20"/>
          <w:lang w:val="es-ES_tradnl"/>
        </w:rPr>
        <w:t xml:space="preserve">rales </w:t>
      </w:r>
      <w:r w:rsidR="006E7F60" w:rsidRPr="001D79AB">
        <w:rPr>
          <w:rFonts w:ascii="Verdana" w:hAnsi="Verdana" w:cs="Verdana"/>
          <w:color w:val="000000"/>
          <w:spacing w:val="-4"/>
          <w:sz w:val="20"/>
          <w:szCs w:val="20"/>
          <w:lang w:val="es-ES_tradnl"/>
        </w:rPr>
        <w:t>adoptadas respecto de toda la población penitenciaria del país a los fines de reducir el</w:t>
      </w:r>
      <w:r w:rsidR="00E93986" w:rsidRPr="001D79AB">
        <w:rPr>
          <w:rFonts w:ascii="Verdana" w:hAnsi="Verdana" w:cs="Verdana"/>
          <w:color w:val="000000"/>
          <w:spacing w:val="-4"/>
          <w:sz w:val="20"/>
          <w:szCs w:val="20"/>
          <w:lang w:val="es-ES_tradnl"/>
        </w:rPr>
        <w:t xml:space="preserve"> hacinamiento</w:t>
      </w:r>
      <w:r w:rsidR="006E7F60" w:rsidRPr="001D79AB">
        <w:rPr>
          <w:rFonts w:ascii="Verdana" w:hAnsi="Verdana" w:cs="Verdana"/>
          <w:color w:val="000000"/>
          <w:spacing w:val="-4"/>
          <w:sz w:val="20"/>
          <w:szCs w:val="20"/>
          <w:lang w:val="es-ES_tradnl"/>
        </w:rPr>
        <w:t>, así como</w:t>
      </w:r>
      <w:r w:rsidR="00E93986" w:rsidRPr="001D79AB">
        <w:rPr>
          <w:rFonts w:ascii="Verdana" w:hAnsi="Verdana" w:cs="Verdana"/>
          <w:color w:val="000000"/>
          <w:spacing w:val="-4"/>
          <w:sz w:val="20"/>
          <w:szCs w:val="20"/>
          <w:lang w:val="es-ES_tradnl"/>
        </w:rPr>
        <w:t xml:space="preserve"> </w:t>
      </w:r>
      <w:r w:rsidR="00731408" w:rsidRPr="001D79AB">
        <w:rPr>
          <w:rFonts w:ascii="Verdana" w:hAnsi="Verdana" w:cs="Verdana"/>
          <w:color w:val="000000"/>
          <w:spacing w:val="-4"/>
          <w:sz w:val="20"/>
          <w:szCs w:val="20"/>
          <w:lang w:val="es-ES_tradnl"/>
        </w:rPr>
        <w:t xml:space="preserve">el monitoreo que ha venido realizado la Defensoría del Pueblo y </w:t>
      </w:r>
      <w:r w:rsidR="006E7F60" w:rsidRPr="001D79AB">
        <w:rPr>
          <w:rFonts w:ascii="Verdana" w:hAnsi="Verdana" w:cs="Verdana"/>
          <w:color w:val="000000"/>
          <w:spacing w:val="-4"/>
          <w:sz w:val="20"/>
          <w:szCs w:val="20"/>
          <w:lang w:val="es-ES_tradnl"/>
        </w:rPr>
        <w:t xml:space="preserve">la posibilidad </w:t>
      </w:r>
      <w:r w:rsidR="00E93986" w:rsidRPr="001D79AB">
        <w:rPr>
          <w:rFonts w:ascii="Verdana" w:hAnsi="Verdana" w:cs="Verdana"/>
          <w:color w:val="000000"/>
          <w:spacing w:val="-4"/>
          <w:sz w:val="20"/>
          <w:szCs w:val="20"/>
          <w:lang w:val="es-ES_tradnl"/>
        </w:rPr>
        <w:t xml:space="preserve">de presentar recursos </w:t>
      </w:r>
      <w:r w:rsidR="006E7F60" w:rsidRPr="001D79AB">
        <w:rPr>
          <w:rFonts w:ascii="Verdana" w:hAnsi="Verdana" w:cs="Verdana"/>
          <w:color w:val="000000"/>
          <w:spacing w:val="-4"/>
          <w:sz w:val="20"/>
          <w:szCs w:val="20"/>
          <w:lang w:val="es-ES_tradnl"/>
        </w:rPr>
        <w:t xml:space="preserve">efectivos </w:t>
      </w:r>
      <w:r w:rsidR="00E93986" w:rsidRPr="001D79AB">
        <w:rPr>
          <w:rFonts w:ascii="Verdana" w:hAnsi="Verdana" w:cs="Verdana"/>
          <w:color w:val="000000"/>
          <w:spacing w:val="-4"/>
          <w:sz w:val="20"/>
          <w:szCs w:val="20"/>
          <w:lang w:val="es-ES_tradnl"/>
        </w:rPr>
        <w:t>ante los tr</w:t>
      </w:r>
      <w:r w:rsidR="006E7F60" w:rsidRPr="001D79AB">
        <w:rPr>
          <w:rFonts w:ascii="Verdana" w:hAnsi="Verdana" w:cs="Verdana"/>
          <w:color w:val="000000"/>
          <w:spacing w:val="-4"/>
          <w:sz w:val="20"/>
          <w:szCs w:val="20"/>
          <w:lang w:val="es-ES_tradnl"/>
        </w:rPr>
        <w:t>i</w:t>
      </w:r>
      <w:r w:rsidR="00E93986" w:rsidRPr="001D79AB">
        <w:rPr>
          <w:rFonts w:ascii="Verdana" w:hAnsi="Verdana" w:cs="Verdana"/>
          <w:color w:val="000000"/>
          <w:spacing w:val="-4"/>
          <w:sz w:val="20"/>
          <w:szCs w:val="20"/>
          <w:lang w:val="es-ES_tradnl"/>
        </w:rPr>
        <w:t xml:space="preserve">bunales </w:t>
      </w:r>
      <w:r w:rsidR="006E7F60" w:rsidRPr="001D79AB">
        <w:rPr>
          <w:rFonts w:ascii="Verdana" w:hAnsi="Verdana" w:cs="Verdana"/>
          <w:color w:val="000000"/>
          <w:spacing w:val="-4"/>
          <w:sz w:val="20"/>
          <w:szCs w:val="20"/>
          <w:lang w:val="es-ES_tradnl"/>
        </w:rPr>
        <w:t>peruanos</w:t>
      </w:r>
      <w:r w:rsidR="00E93986" w:rsidRPr="001D79AB">
        <w:rPr>
          <w:rFonts w:ascii="Verdana" w:hAnsi="Verdana" w:cs="Verdana"/>
          <w:color w:val="000000"/>
          <w:spacing w:val="-4"/>
          <w:sz w:val="20"/>
          <w:szCs w:val="20"/>
          <w:lang w:val="es-ES_tradnl"/>
        </w:rPr>
        <w:t>,</w:t>
      </w:r>
      <w:r w:rsidR="006E7F60" w:rsidRPr="001D79AB">
        <w:rPr>
          <w:rFonts w:ascii="Verdana" w:hAnsi="Verdana" w:cs="Verdana"/>
          <w:color w:val="000000"/>
          <w:spacing w:val="-4"/>
          <w:sz w:val="20"/>
          <w:szCs w:val="20"/>
          <w:lang w:val="es-ES_tradnl"/>
        </w:rPr>
        <w:t xml:space="preserve"> en virtud de los cuales se ordenó a las autoridades penitenciarias realizar las pruebas necesarias y brindar la atención médica correspondiente, la cual han venido recibiendo y </w:t>
      </w:r>
      <w:r w:rsidR="00FA1796" w:rsidRPr="001D79AB">
        <w:rPr>
          <w:rFonts w:ascii="Verdana" w:hAnsi="Verdana" w:cs="Verdana"/>
          <w:color w:val="000000"/>
          <w:spacing w:val="-4"/>
          <w:sz w:val="20"/>
          <w:szCs w:val="20"/>
          <w:lang w:val="es-ES_tradnl"/>
        </w:rPr>
        <w:t xml:space="preserve">que </w:t>
      </w:r>
      <w:r w:rsidR="006E7F60" w:rsidRPr="001D79AB">
        <w:rPr>
          <w:rFonts w:ascii="Verdana" w:hAnsi="Verdana" w:cs="Verdana"/>
          <w:color w:val="000000"/>
          <w:spacing w:val="-4"/>
          <w:sz w:val="20"/>
          <w:szCs w:val="20"/>
          <w:lang w:val="es-ES_tradnl"/>
        </w:rPr>
        <w:t xml:space="preserve">el </w:t>
      </w:r>
      <w:r w:rsidR="006E7F60" w:rsidRPr="003A0E1D">
        <w:rPr>
          <w:rFonts w:ascii="Verdana" w:hAnsi="Verdana" w:cs="Verdana"/>
          <w:color w:val="000000"/>
          <w:spacing w:val="-4"/>
          <w:sz w:val="20"/>
          <w:szCs w:val="20"/>
          <w:lang w:val="es-ES_tradnl"/>
        </w:rPr>
        <w:t>Estado mani</w:t>
      </w:r>
      <w:r w:rsidR="00D73DF5" w:rsidRPr="003A0E1D">
        <w:rPr>
          <w:rFonts w:ascii="Verdana" w:hAnsi="Verdana" w:cs="Verdana"/>
          <w:color w:val="000000"/>
          <w:spacing w:val="-4"/>
          <w:sz w:val="20"/>
          <w:szCs w:val="20"/>
          <w:lang w:val="es-ES_tradnl"/>
        </w:rPr>
        <w:t>fiesta que continuará brindando</w:t>
      </w:r>
      <w:r w:rsidRPr="003A0E1D">
        <w:rPr>
          <w:rFonts w:ascii="Verdana" w:hAnsi="Verdana" w:cs="Verdana"/>
          <w:color w:val="000000"/>
          <w:spacing w:val="-4"/>
          <w:sz w:val="20"/>
          <w:szCs w:val="20"/>
          <w:lang w:val="es-ES_tradnl"/>
        </w:rPr>
        <w:t>.</w:t>
      </w:r>
      <w:r w:rsidR="00E93986" w:rsidRPr="003A0E1D">
        <w:rPr>
          <w:rFonts w:ascii="Verdana" w:hAnsi="Verdana" w:cs="Verdana"/>
          <w:color w:val="000000"/>
          <w:spacing w:val="-4"/>
          <w:sz w:val="20"/>
          <w:szCs w:val="20"/>
          <w:lang w:val="es-ES_tradnl"/>
        </w:rPr>
        <w:t xml:space="preserve"> </w:t>
      </w:r>
    </w:p>
    <w:p w14:paraId="19112156" w14:textId="77777777" w:rsidR="00687B8B" w:rsidRDefault="00087F6D" w:rsidP="00687B8B">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PE"/>
        </w:rPr>
      </w:pPr>
      <w:r w:rsidRPr="003A0E1D">
        <w:rPr>
          <w:rFonts w:ascii="Verdana" w:hAnsi="Verdana" w:cs="Verdana"/>
          <w:color w:val="000000"/>
          <w:spacing w:val="-4"/>
          <w:sz w:val="20"/>
          <w:szCs w:val="20"/>
          <w:lang w:val="es-ES"/>
        </w:rPr>
        <w:t>Adicionalmente</w:t>
      </w:r>
      <w:r w:rsidR="00C26ED8" w:rsidRPr="003A0E1D">
        <w:rPr>
          <w:rFonts w:ascii="Verdana" w:hAnsi="Verdana"/>
          <w:spacing w:val="-4"/>
          <w:sz w:val="20"/>
          <w:szCs w:val="20"/>
          <w:lang w:val="es-AR"/>
        </w:rPr>
        <w:t xml:space="preserve">, </w:t>
      </w:r>
      <w:r w:rsidR="008A423C" w:rsidRPr="003A0E1D">
        <w:rPr>
          <w:rFonts w:ascii="Verdana" w:hAnsi="Verdana"/>
          <w:spacing w:val="-4"/>
          <w:sz w:val="20"/>
          <w:szCs w:val="20"/>
          <w:lang w:val="es-AR"/>
        </w:rPr>
        <w:t xml:space="preserve">este Tribunal considera importante señalar que, de conformidad con </w:t>
      </w:r>
      <w:r w:rsidR="00C26ED8" w:rsidRPr="003A0E1D">
        <w:rPr>
          <w:rFonts w:ascii="Verdana" w:hAnsi="Verdana"/>
          <w:spacing w:val="-4"/>
          <w:sz w:val="20"/>
          <w:szCs w:val="20"/>
          <w:lang w:val="es-AR"/>
        </w:rPr>
        <w:t>lo señalado anteriormente respecto de la jurisprudencia de esta Corte (</w:t>
      </w:r>
      <w:r w:rsidR="00C26ED8" w:rsidRPr="003A0E1D">
        <w:rPr>
          <w:rFonts w:ascii="Verdana" w:hAnsi="Verdana"/>
          <w:i/>
          <w:spacing w:val="-4"/>
          <w:sz w:val="20"/>
          <w:szCs w:val="20"/>
          <w:lang w:val="es-AR"/>
        </w:rPr>
        <w:t xml:space="preserve">supra </w:t>
      </w:r>
      <w:r w:rsidR="00C26ED8" w:rsidRPr="003A0E1D">
        <w:rPr>
          <w:rFonts w:ascii="Verdana" w:hAnsi="Verdana"/>
          <w:spacing w:val="-4"/>
          <w:sz w:val="20"/>
          <w:szCs w:val="20"/>
          <w:lang w:val="es-AR"/>
        </w:rPr>
        <w:t xml:space="preserve">Considerandos </w:t>
      </w:r>
      <w:r w:rsidR="00C26ED8" w:rsidRPr="003A0E1D">
        <w:rPr>
          <w:rFonts w:ascii="Verdana" w:hAnsi="Verdana"/>
          <w:spacing w:val="-4"/>
          <w:sz w:val="20"/>
          <w:szCs w:val="20"/>
          <w:lang w:val="es-AR"/>
        </w:rPr>
        <w:fldChar w:fldCharType="begin"/>
      </w:r>
      <w:r w:rsidR="00C26ED8" w:rsidRPr="003A0E1D">
        <w:rPr>
          <w:rFonts w:ascii="Verdana" w:hAnsi="Verdana"/>
          <w:spacing w:val="-4"/>
          <w:sz w:val="20"/>
          <w:szCs w:val="20"/>
          <w:lang w:val="es-AR"/>
        </w:rPr>
        <w:instrText xml:space="preserve"> REF _Ref46240417 \r \h  \* MERGEFORMAT </w:instrText>
      </w:r>
      <w:r w:rsidR="00C26ED8" w:rsidRPr="003A0E1D">
        <w:rPr>
          <w:rFonts w:ascii="Verdana" w:hAnsi="Verdana"/>
          <w:spacing w:val="-4"/>
          <w:sz w:val="20"/>
          <w:szCs w:val="20"/>
          <w:lang w:val="es-AR"/>
        </w:rPr>
      </w:r>
      <w:r w:rsidR="00C26ED8" w:rsidRPr="003A0E1D">
        <w:rPr>
          <w:rFonts w:ascii="Verdana" w:hAnsi="Verdana"/>
          <w:spacing w:val="-4"/>
          <w:sz w:val="20"/>
          <w:szCs w:val="20"/>
          <w:lang w:val="es-AR"/>
        </w:rPr>
        <w:fldChar w:fldCharType="separate"/>
      </w:r>
      <w:r w:rsidR="00C26ED8" w:rsidRPr="003A0E1D">
        <w:rPr>
          <w:rFonts w:ascii="Verdana" w:hAnsi="Verdana"/>
          <w:spacing w:val="-4"/>
          <w:sz w:val="20"/>
          <w:szCs w:val="20"/>
          <w:lang w:val="es-AR"/>
        </w:rPr>
        <w:t>26</w:t>
      </w:r>
      <w:r w:rsidR="00C26ED8" w:rsidRPr="003A0E1D">
        <w:rPr>
          <w:rFonts w:ascii="Verdana" w:hAnsi="Verdana"/>
          <w:spacing w:val="-4"/>
          <w:sz w:val="20"/>
          <w:szCs w:val="20"/>
          <w:lang w:val="es-AR"/>
        </w:rPr>
        <w:fldChar w:fldCharType="end"/>
      </w:r>
      <w:r w:rsidR="00C26ED8" w:rsidRPr="003A0E1D">
        <w:rPr>
          <w:rFonts w:ascii="Verdana" w:hAnsi="Verdana"/>
          <w:spacing w:val="-4"/>
          <w:sz w:val="20"/>
          <w:szCs w:val="20"/>
          <w:lang w:val="es-AR"/>
        </w:rPr>
        <w:t xml:space="preserve"> a </w:t>
      </w:r>
      <w:r w:rsidR="00C26ED8" w:rsidRPr="003A0E1D">
        <w:rPr>
          <w:rFonts w:ascii="Verdana" w:hAnsi="Verdana"/>
          <w:spacing w:val="-4"/>
          <w:sz w:val="20"/>
          <w:szCs w:val="20"/>
          <w:lang w:val="es-AR"/>
        </w:rPr>
        <w:fldChar w:fldCharType="begin"/>
      </w:r>
      <w:r w:rsidR="00C26ED8" w:rsidRPr="003A0E1D">
        <w:rPr>
          <w:rFonts w:ascii="Verdana" w:hAnsi="Verdana"/>
          <w:spacing w:val="-4"/>
          <w:sz w:val="20"/>
          <w:szCs w:val="20"/>
          <w:lang w:val="es-AR"/>
        </w:rPr>
        <w:instrText xml:space="preserve"> REF _Ref46245883 \r \h  \* MERGEFORMAT </w:instrText>
      </w:r>
      <w:r w:rsidR="00C26ED8" w:rsidRPr="003A0E1D">
        <w:rPr>
          <w:rFonts w:ascii="Verdana" w:hAnsi="Verdana"/>
          <w:spacing w:val="-4"/>
          <w:sz w:val="20"/>
          <w:szCs w:val="20"/>
          <w:lang w:val="es-AR"/>
        </w:rPr>
      </w:r>
      <w:r w:rsidR="00C26ED8" w:rsidRPr="003A0E1D">
        <w:rPr>
          <w:rFonts w:ascii="Verdana" w:hAnsi="Verdana"/>
          <w:spacing w:val="-4"/>
          <w:sz w:val="20"/>
          <w:szCs w:val="20"/>
          <w:lang w:val="es-AR"/>
        </w:rPr>
        <w:fldChar w:fldCharType="separate"/>
      </w:r>
      <w:r w:rsidR="00C26ED8" w:rsidRPr="003A0E1D">
        <w:rPr>
          <w:rFonts w:ascii="Verdana" w:hAnsi="Verdana"/>
          <w:spacing w:val="-4"/>
          <w:sz w:val="20"/>
          <w:szCs w:val="20"/>
          <w:lang w:val="es-AR"/>
        </w:rPr>
        <w:t>28</w:t>
      </w:r>
      <w:r w:rsidR="00C26ED8" w:rsidRPr="003A0E1D">
        <w:rPr>
          <w:rFonts w:ascii="Verdana" w:hAnsi="Verdana"/>
          <w:spacing w:val="-4"/>
          <w:sz w:val="20"/>
          <w:szCs w:val="20"/>
          <w:lang w:val="es-AR"/>
        </w:rPr>
        <w:fldChar w:fldCharType="end"/>
      </w:r>
      <w:r w:rsidR="00C26ED8" w:rsidRPr="003A0E1D">
        <w:rPr>
          <w:rFonts w:ascii="Verdana" w:hAnsi="Verdana"/>
          <w:spacing w:val="-4"/>
          <w:sz w:val="20"/>
          <w:szCs w:val="20"/>
          <w:lang w:val="es-AR"/>
        </w:rPr>
        <w:t xml:space="preserve">), en el marco de la actual emergencia por el COVID-19, corresponde a los Estados adoptar medidas que aseguren la reducción del hacinamiento y el distanciamiento social </w:t>
      </w:r>
      <w:r w:rsidR="00C26ED8" w:rsidRPr="00F40454">
        <w:rPr>
          <w:rFonts w:ascii="Verdana" w:hAnsi="Verdana"/>
          <w:spacing w:val="-4"/>
          <w:sz w:val="20"/>
          <w:szCs w:val="20"/>
          <w:lang w:val="es-AR"/>
        </w:rPr>
        <w:t>necesario</w:t>
      </w:r>
      <w:r w:rsidR="00C26ED8" w:rsidRPr="00F40454">
        <w:rPr>
          <w:rStyle w:val="Refdenotaalpie"/>
          <w:spacing w:val="-4"/>
          <w:szCs w:val="20"/>
          <w:lang w:val="es-AR"/>
        </w:rPr>
        <w:footnoteReference w:id="69"/>
      </w:r>
      <w:r w:rsidR="00C26ED8" w:rsidRPr="003A0E1D">
        <w:rPr>
          <w:rFonts w:ascii="Verdana" w:hAnsi="Verdana"/>
          <w:spacing w:val="-4"/>
          <w:sz w:val="20"/>
          <w:szCs w:val="20"/>
          <w:lang w:val="es-AR"/>
        </w:rPr>
        <w:t xml:space="preserve">, así como la atención médica adecuada a las personas privadas de su libertad en centros penitenciarios. En caso de no poder garantizar dichas condiciones dentro del establecimiento penitenciario, corresponde valorar, con base en criterios objetivos (tales como el tipo y gravedad del delito por el cual se está cumpliendo la pena privativa de libertad, la edad de la persona, y la existencia de enfermedades o cualquier otro factor que la sitúe dentro del grupo de riesgo frente al COVID-19), la pertinencia de adoptar medidas que modifiquen la pena de </w:t>
      </w:r>
      <w:r w:rsidR="00C26ED8" w:rsidRPr="00687B8B">
        <w:rPr>
          <w:rFonts w:ascii="Verdana" w:hAnsi="Verdana"/>
          <w:spacing w:val="-4"/>
          <w:sz w:val="20"/>
          <w:szCs w:val="20"/>
          <w:lang w:val="es-AR"/>
        </w:rPr>
        <w:t>prisión u otras que, sin modificarla, temporalmente permitan un cambio en su ejecución (como lo sería la detención domiciliaria), durante el tiempo que persista la situación que ponga en peligro la vida, salud y/o integridad física de la persona</w:t>
      </w:r>
      <w:r w:rsidR="00C26ED8" w:rsidRPr="00687B8B">
        <w:rPr>
          <w:rStyle w:val="Refdenotaalpie"/>
          <w:spacing w:val="-4"/>
          <w:szCs w:val="20"/>
          <w:lang w:val="es-AR"/>
        </w:rPr>
        <w:footnoteReference w:id="70"/>
      </w:r>
      <w:r w:rsidR="00C26ED8" w:rsidRPr="00687B8B">
        <w:rPr>
          <w:rFonts w:ascii="Verdana" w:hAnsi="Verdana"/>
          <w:spacing w:val="-4"/>
          <w:sz w:val="20"/>
          <w:szCs w:val="20"/>
          <w:lang w:val="es-AR"/>
        </w:rPr>
        <w:t>.</w:t>
      </w:r>
      <w:bookmarkStart w:id="18" w:name="_Ref46241287"/>
    </w:p>
    <w:p w14:paraId="2B470EC2" w14:textId="408BCDAF" w:rsidR="002E5209" w:rsidRPr="00687B8B" w:rsidRDefault="000A52C1" w:rsidP="00687B8B">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PE"/>
        </w:rPr>
      </w:pPr>
      <w:r w:rsidRPr="00687B8B">
        <w:rPr>
          <w:rFonts w:ascii="Verdana" w:hAnsi="Verdana"/>
          <w:spacing w:val="-4"/>
          <w:sz w:val="20"/>
          <w:szCs w:val="20"/>
          <w:lang w:val="es-ES"/>
        </w:rPr>
        <w:t xml:space="preserve">Debido a la grave y </w:t>
      </w:r>
      <w:r w:rsidR="00531A15" w:rsidRPr="00687B8B">
        <w:rPr>
          <w:rFonts w:ascii="Verdana" w:hAnsi="Verdana"/>
          <w:spacing w:val="-4"/>
          <w:sz w:val="20"/>
          <w:szCs w:val="20"/>
          <w:lang w:val="es-ES"/>
        </w:rPr>
        <w:t xml:space="preserve">delicada </w:t>
      </w:r>
      <w:r w:rsidR="00531A15" w:rsidRPr="00687B8B">
        <w:rPr>
          <w:rFonts w:ascii="Verdana" w:hAnsi="Verdana"/>
          <w:spacing w:val="-4"/>
          <w:sz w:val="20"/>
          <w:szCs w:val="20"/>
          <w:lang w:val="es-AR"/>
        </w:rPr>
        <w:t>situación</w:t>
      </w:r>
      <w:r w:rsidR="00531A15" w:rsidRPr="00687B8B">
        <w:rPr>
          <w:rFonts w:ascii="Verdana" w:hAnsi="Verdana"/>
          <w:spacing w:val="-4"/>
          <w:sz w:val="20"/>
          <w:szCs w:val="20"/>
          <w:lang w:val="es-ES"/>
        </w:rPr>
        <w:t xml:space="preserve"> que representa que al menos dos de los </w:t>
      </w:r>
      <w:r w:rsidR="00531A15" w:rsidRPr="00687B8B">
        <w:rPr>
          <w:rFonts w:ascii="Verdana" w:hAnsi="Verdana" w:cs="Verdana"/>
          <w:color w:val="000000"/>
          <w:spacing w:val="-4"/>
          <w:sz w:val="20"/>
          <w:szCs w:val="20"/>
          <w:lang w:val="es-ES_tradnl"/>
        </w:rPr>
        <w:t>propuestos</w:t>
      </w:r>
      <w:r w:rsidR="00531A15" w:rsidRPr="00687B8B">
        <w:rPr>
          <w:rFonts w:ascii="Verdana" w:hAnsi="Verdana"/>
          <w:spacing w:val="-4"/>
          <w:sz w:val="20"/>
          <w:szCs w:val="20"/>
          <w:lang w:val="es-ES"/>
        </w:rPr>
        <w:t xml:space="preserve"> beneficiarios estén contagiados de COVID-19, y </w:t>
      </w:r>
      <w:r w:rsidRPr="00687B8B">
        <w:rPr>
          <w:rFonts w:ascii="Verdana" w:hAnsi="Verdana"/>
          <w:spacing w:val="-4"/>
          <w:sz w:val="20"/>
          <w:szCs w:val="20"/>
          <w:lang w:val="es-ES"/>
        </w:rPr>
        <w:t xml:space="preserve">que </w:t>
      </w:r>
      <w:r w:rsidR="00531A15" w:rsidRPr="00687B8B">
        <w:rPr>
          <w:rFonts w:ascii="Verdana" w:hAnsi="Verdana"/>
          <w:spacing w:val="-4"/>
          <w:sz w:val="20"/>
          <w:szCs w:val="20"/>
          <w:lang w:val="es-ES"/>
        </w:rPr>
        <w:t>todos ellos refieran tener síntomas compatibles con la enfermedad</w:t>
      </w:r>
      <w:r w:rsidR="00687B8B" w:rsidRPr="00687B8B">
        <w:rPr>
          <w:rFonts w:ascii="Verdana" w:hAnsi="Verdana"/>
          <w:b/>
          <w:bCs/>
          <w:spacing w:val="-4"/>
          <w:sz w:val="20"/>
          <w:szCs w:val="20"/>
          <w:lang w:val="es-ES"/>
        </w:rPr>
        <w:t xml:space="preserve"> </w:t>
      </w:r>
      <w:r w:rsidR="00687B8B" w:rsidRPr="008969ED">
        <w:rPr>
          <w:rFonts w:ascii="Verdana" w:hAnsi="Verdana"/>
          <w:spacing w:val="-4"/>
          <w:sz w:val="20"/>
          <w:szCs w:val="20"/>
          <w:lang w:val="es-ES"/>
        </w:rPr>
        <w:t>o condiciones de riesgo y especial vulnerabilidad frente a ella</w:t>
      </w:r>
      <w:r w:rsidR="00FA4D1C" w:rsidRPr="008969ED">
        <w:rPr>
          <w:rFonts w:ascii="Verdana" w:hAnsi="Verdana"/>
          <w:spacing w:val="-4"/>
          <w:sz w:val="20"/>
          <w:szCs w:val="20"/>
          <w:lang w:val="es-ES"/>
        </w:rPr>
        <w:t>,</w:t>
      </w:r>
      <w:r w:rsidR="00FA4D1C" w:rsidRPr="00687B8B">
        <w:rPr>
          <w:rFonts w:ascii="Verdana" w:hAnsi="Verdana"/>
          <w:spacing w:val="-4"/>
          <w:sz w:val="20"/>
          <w:szCs w:val="20"/>
          <w:lang w:val="es-ES"/>
        </w:rPr>
        <w:t xml:space="preserve"> en condiciones de privación de libertad en establecimientos carcelarios, </w:t>
      </w:r>
      <w:r w:rsidR="00617A7E" w:rsidRPr="00687B8B">
        <w:rPr>
          <w:rFonts w:ascii="Verdana" w:hAnsi="Verdana"/>
          <w:spacing w:val="-4"/>
          <w:sz w:val="20"/>
          <w:szCs w:val="20"/>
          <w:lang w:val="es-ES"/>
        </w:rPr>
        <w:t xml:space="preserve">la Corte </w:t>
      </w:r>
      <w:r w:rsidR="001E67F6" w:rsidRPr="00687B8B">
        <w:rPr>
          <w:rFonts w:ascii="Verdana" w:hAnsi="Verdana"/>
          <w:spacing w:val="-4"/>
          <w:sz w:val="20"/>
          <w:szCs w:val="20"/>
          <w:lang w:val="es-ES"/>
        </w:rPr>
        <w:t>evaluará la información sobre estas cinco víctima</w:t>
      </w:r>
      <w:r w:rsidR="004D068C" w:rsidRPr="00687B8B">
        <w:rPr>
          <w:rFonts w:ascii="Verdana" w:hAnsi="Verdana"/>
          <w:spacing w:val="-4"/>
          <w:sz w:val="20"/>
          <w:szCs w:val="20"/>
          <w:lang w:val="es-ES"/>
        </w:rPr>
        <w:t xml:space="preserve">s a través de una supervisión reforzada </w:t>
      </w:r>
      <w:r w:rsidR="00087F6D" w:rsidRPr="00687B8B">
        <w:rPr>
          <w:rFonts w:ascii="Verdana" w:hAnsi="Verdana"/>
          <w:spacing w:val="-4"/>
          <w:sz w:val="20"/>
          <w:szCs w:val="20"/>
          <w:lang w:val="es-ES"/>
        </w:rPr>
        <w:t>en la etapa de cumplimiento de s</w:t>
      </w:r>
      <w:r w:rsidR="004D068C" w:rsidRPr="00687B8B">
        <w:rPr>
          <w:rFonts w:ascii="Verdana" w:hAnsi="Verdana"/>
          <w:spacing w:val="-4"/>
          <w:sz w:val="20"/>
          <w:szCs w:val="20"/>
          <w:lang w:val="es-ES"/>
        </w:rPr>
        <w:t xml:space="preserve">entencia, </w:t>
      </w:r>
      <w:r w:rsidR="00617A7E" w:rsidRPr="00687B8B">
        <w:rPr>
          <w:rFonts w:ascii="Verdana" w:hAnsi="Verdana"/>
          <w:spacing w:val="-4"/>
          <w:sz w:val="20"/>
          <w:szCs w:val="20"/>
          <w:lang w:val="es-ES"/>
        </w:rPr>
        <w:t xml:space="preserve">mediante </w:t>
      </w:r>
      <w:r w:rsidR="00337FEC" w:rsidRPr="00687B8B">
        <w:rPr>
          <w:rFonts w:ascii="Verdana" w:hAnsi="Verdana"/>
          <w:spacing w:val="-4"/>
          <w:sz w:val="20"/>
          <w:szCs w:val="20"/>
          <w:lang w:val="es-ES"/>
        </w:rPr>
        <w:t xml:space="preserve">un </w:t>
      </w:r>
      <w:r w:rsidR="006146A8" w:rsidRPr="00687B8B">
        <w:rPr>
          <w:rFonts w:ascii="Verdana" w:hAnsi="Verdana"/>
          <w:spacing w:val="-4"/>
          <w:sz w:val="20"/>
          <w:szCs w:val="20"/>
          <w:lang w:val="es-ES"/>
        </w:rPr>
        <w:t xml:space="preserve">seguimiento constante </w:t>
      </w:r>
      <w:r w:rsidR="00D93D23" w:rsidRPr="00687B8B">
        <w:rPr>
          <w:rFonts w:ascii="Verdana" w:hAnsi="Verdana"/>
          <w:spacing w:val="-4"/>
          <w:sz w:val="20"/>
          <w:szCs w:val="20"/>
          <w:lang w:val="es-ES"/>
        </w:rPr>
        <w:t>sobre el cumplimiento de la reparación relativa a brindar atención médica y psicológica, de forma diferenciada con respecto a las otras reparaciones ordenadas en la Sentencia</w:t>
      </w:r>
      <w:r w:rsidR="00531A15" w:rsidRPr="00687B8B">
        <w:rPr>
          <w:rFonts w:ascii="Verdana" w:hAnsi="Verdana"/>
          <w:spacing w:val="-4"/>
          <w:sz w:val="20"/>
          <w:szCs w:val="20"/>
          <w:lang w:val="es-ES"/>
        </w:rPr>
        <w:t>.</w:t>
      </w:r>
      <w:bookmarkEnd w:id="18"/>
      <w:r w:rsidR="004D068C" w:rsidRPr="00687B8B">
        <w:rPr>
          <w:rFonts w:ascii="Verdana" w:hAnsi="Verdana"/>
          <w:spacing w:val="-4"/>
          <w:sz w:val="20"/>
          <w:szCs w:val="20"/>
          <w:lang w:val="es-ES"/>
        </w:rPr>
        <w:t xml:space="preserve"> Para ello, se solicitará al Estado remitir </w:t>
      </w:r>
      <w:r w:rsidR="004D068C" w:rsidRPr="00687B8B">
        <w:rPr>
          <w:rFonts w:ascii="Verdana" w:hAnsi="Verdana"/>
          <w:spacing w:val="-4"/>
          <w:sz w:val="20"/>
          <w:szCs w:val="20"/>
          <w:lang w:val="es-ES"/>
        </w:rPr>
        <w:lastRenderedPageBreak/>
        <w:t>informes</w:t>
      </w:r>
      <w:r w:rsidR="00D93D23" w:rsidRPr="00687B8B">
        <w:rPr>
          <w:rFonts w:ascii="Verdana" w:hAnsi="Verdana"/>
          <w:spacing w:val="-4"/>
          <w:sz w:val="20"/>
          <w:szCs w:val="20"/>
          <w:lang w:val="es-ES"/>
        </w:rPr>
        <w:t xml:space="preserve"> sobre el estado de salud de las cinco personas indicadas</w:t>
      </w:r>
      <w:r w:rsidR="004D068C" w:rsidRPr="00687B8B">
        <w:rPr>
          <w:rFonts w:ascii="Verdana" w:hAnsi="Verdana"/>
          <w:spacing w:val="-4"/>
          <w:sz w:val="20"/>
          <w:szCs w:val="20"/>
          <w:lang w:val="es-ES"/>
        </w:rPr>
        <w:t xml:space="preserve"> de manera más constante mientras subsista la situación, a</w:t>
      </w:r>
      <w:r w:rsidR="00087F6D" w:rsidRPr="00687B8B">
        <w:rPr>
          <w:rFonts w:ascii="Verdana" w:hAnsi="Verdana"/>
          <w:spacing w:val="-4"/>
          <w:sz w:val="20"/>
          <w:szCs w:val="20"/>
          <w:lang w:val="es-ES"/>
        </w:rPr>
        <w:t xml:space="preserve">sí como también se requerirá información </w:t>
      </w:r>
      <w:r w:rsidR="004D068C" w:rsidRPr="00687B8B">
        <w:rPr>
          <w:rFonts w:ascii="Verdana" w:hAnsi="Verdana"/>
          <w:spacing w:val="-4"/>
          <w:sz w:val="20"/>
          <w:szCs w:val="20"/>
          <w:lang w:val="es-ES"/>
        </w:rPr>
        <w:t>a la Defensoría del Pueblo del Per</w:t>
      </w:r>
      <w:r w:rsidR="00B555E7" w:rsidRPr="00687B8B">
        <w:rPr>
          <w:rFonts w:ascii="Verdana" w:hAnsi="Verdana"/>
          <w:spacing w:val="-4"/>
          <w:sz w:val="20"/>
          <w:szCs w:val="20"/>
          <w:lang w:val="es-ES"/>
        </w:rPr>
        <w:t>ú</w:t>
      </w:r>
      <w:r w:rsidR="004D068C" w:rsidRPr="00687B8B">
        <w:rPr>
          <w:rFonts w:ascii="Verdana" w:hAnsi="Verdana"/>
          <w:spacing w:val="-4"/>
          <w:sz w:val="20"/>
          <w:szCs w:val="20"/>
          <w:lang w:val="es-ES"/>
        </w:rPr>
        <w:t xml:space="preserve"> (</w:t>
      </w:r>
      <w:r w:rsidR="004D068C" w:rsidRPr="00687B8B">
        <w:rPr>
          <w:rFonts w:ascii="Verdana" w:hAnsi="Verdana"/>
          <w:i/>
          <w:spacing w:val="-4"/>
          <w:sz w:val="20"/>
          <w:szCs w:val="20"/>
          <w:lang w:val="es-ES"/>
        </w:rPr>
        <w:t xml:space="preserve">infra </w:t>
      </w:r>
      <w:r w:rsidR="004D068C" w:rsidRPr="00687B8B">
        <w:rPr>
          <w:rFonts w:ascii="Verdana" w:hAnsi="Verdana"/>
          <w:spacing w:val="-4"/>
          <w:sz w:val="20"/>
          <w:szCs w:val="20"/>
          <w:lang w:val="es-ES"/>
        </w:rPr>
        <w:t xml:space="preserve">Considerando </w:t>
      </w:r>
      <w:r w:rsidR="003A0E1D" w:rsidRPr="00687B8B">
        <w:rPr>
          <w:rFonts w:ascii="Verdana" w:hAnsi="Verdana"/>
          <w:spacing w:val="-4"/>
          <w:sz w:val="20"/>
          <w:szCs w:val="20"/>
          <w:lang w:val="es-ES"/>
        </w:rPr>
        <w:t>45</w:t>
      </w:r>
      <w:r w:rsidR="004D068C" w:rsidRPr="00687B8B">
        <w:rPr>
          <w:rFonts w:ascii="Verdana" w:hAnsi="Verdana"/>
          <w:spacing w:val="-4"/>
          <w:sz w:val="20"/>
          <w:szCs w:val="20"/>
          <w:lang w:val="es-ES"/>
        </w:rPr>
        <w:t>).</w:t>
      </w:r>
      <w:r w:rsidR="00531A15" w:rsidRPr="00687B8B">
        <w:rPr>
          <w:rFonts w:ascii="Verdana" w:hAnsi="Verdana"/>
          <w:spacing w:val="-4"/>
          <w:sz w:val="20"/>
          <w:szCs w:val="20"/>
          <w:lang w:val="es-ES"/>
        </w:rPr>
        <w:t xml:space="preserve"> </w:t>
      </w:r>
    </w:p>
    <w:p w14:paraId="46EA0ECE" w14:textId="3EA3A9F8" w:rsidR="00D97609" w:rsidRPr="003A0E1D" w:rsidRDefault="00D97609" w:rsidP="003A0E1D">
      <w:pPr>
        <w:autoSpaceDE w:val="0"/>
        <w:autoSpaceDN w:val="0"/>
        <w:adjustRightInd w:val="0"/>
        <w:spacing w:before="120" w:after="120"/>
        <w:jc w:val="both"/>
        <w:rPr>
          <w:rFonts w:ascii="Verdana" w:hAnsi="Verdana"/>
          <w:spacing w:val="-4"/>
          <w:sz w:val="20"/>
          <w:szCs w:val="20"/>
          <w:highlight w:val="magenta"/>
        </w:rPr>
      </w:pPr>
    </w:p>
    <w:p w14:paraId="7410AFFF" w14:textId="48538E6B" w:rsidR="00866A1F" w:rsidRPr="00EE5D86" w:rsidRDefault="00866A1F" w:rsidP="003A0E1D">
      <w:pPr>
        <w:pStyle w:val="Prrafodelista"/>
        <w:numPr>
          <w:ilvl w:val="0"/>
          <w:numId w:val="2"/>
        </w:numPr>
        <w:spacing w:before="120" w:after="120" w:line="240" w:lineRule="auto"/>
        <w:contextualSpacing w:val="0"/>
        <w:jc w:val="both"/>
        <w:rPr>
          <w:rFonts w:ascii="Verdana" w:hAnsi="Verdana"/>
          <w:b/>
          <w:i/>
          <w:spacing w:val="-4"/>
          <w:sz w:val="20"/>
          <w:szCs w:val="20"/>
          <w:lang w:val="es-CR"/>
        </w:rPr>
      </w:pPr>
      <w:r w:rsidRPr="00EE5D86">
        <w:rPr>
          <w:rFonts w:ascii="Verdana" w:hAnsi="Verdana"/>
          <w:b/>
          <w:i/>
          <w:spacing w:val="-4"/>
          <w:sz w:val="20"/>
          <w:szCs w:val="20"/>
          <w:lang w:val="es-CR"/>
        </w:rPr>
        <w:t>Supervisión de cumplimiento de la medida relativa a brindar tratamiento médico y psicológico</w:t>
      </w:r>
      <w:r w:rsidR="003A0E1D" w:rsidRPr="00EE5D86">
        <w:rPr>
          <w:rFonts w:ascii="Verdana" w:hAnsi="Verdana"/>
          <w:b/>
          <w:i/>
          <w:spacing w:val="-4"/>
          <w:sz w:val="20"/>
          <w:szCs w:val="20"/>
          <w:lang w:val="es-CR"/>
        </w:rPr>
        <w:t>,</w:t>
      </w:r>
      <w:r w:rsidR="006146A8" w:rsidRPr="00EE5D86">
        <w:rPr>
          <w:rFonts w:ascii="Verdana" w:hAnsi="Verdana"/>
          <w:b/>
          <w:i/>
          <w:spacing w:val="-4"/>
          <w:sz w:val="20"/>
          <w:szCs w:val="20"/>
          <w:lang w:val="es-CR"/>
        </w:rPr>
        <w:t xml:space="preserve"> ordenada en la Sentencia</w:t>
      </w:r>
    </w:p>
    <w:p w14:paraId="418D101E" w14:textId="5D974741" w:rsidR="007232A6" w:rsidRPr="00EE5D86" w:rsidRDefault="00866A1F" w:rsidP="003A0E1D">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bookmarkStart w:id="19" w:name="_Ref46240789"/>
      <w:bookmarkEnd w:id="17"/>
      <w:r w:rsidRPr="00EE5D86">
        <w:rPr>
          <w:rFonts w:ascii="Verdana" w:hAnsi="Verdana" w:cs="Times New Roman"/>
          <w:spacing w:val="-4"/>
          <w:sz w:val="20"/>
          <w:szCs w:val="20"/>
          <w:lang w:val="es-ES"/>
        </w:rPr>
        <w:t xml:space="preserve">En el </w:t>
      </w:r>
      <w:r w:rsidR="00DE647A" w:rsidRPr="00EE5D86">
        <w:rPr>
          <w:rFonts w:ascii="Verdana" w:hAnsi="Verdana" w:cs="Times New Roman"/>
          <w:spacing w:val="-4"/>
          <w:sz w:val="20"/>
          <w:szCs w:val="20"/>
          <w:lang w:val="es-ES"/>
        </w:rPr>
        <w:t xml:space="preserve">Considerando </w:t>
      </w:r>
      <w:r w:rsidR="003A0E1D" w:rsidRPr="00EE5D86">
        <w:rPr>
          <w:rFonts w:ascii="Verdana" w:hAnsi="Verdana" w:cs="Times New Roman"/>
          <w:spacing w:val="-4"/>
          <w:sz w:val="20"/>
          <w:szCs w:val="20"/>
          <w:lang w:val="es-ES"/>
        </w:rPr>
        <w:t>2</w:t>
      </w:r>
      <w:r w:rsidR="00DE647A" w:rsidRPr="00EE5D86">
        <w:rPr>
          <w:rFonts w:ascii="Verdana" w:hAnsi="Verdana" w:cs="Times New Roman"/>
          <w:spacing w:val="-4"/>
          <w:sz w:val="20"/>
          <w:szCs w:val="20"/>
          <w:lang w:val="es-ES"/>
        </w:rPr>
        <w:t xml:space="preserve"> de la presente Resolución se encuentra</w:t>
      </w:r>
      <w:r w:rsidR="003A0E1D" w:rsidRPr="00EE5D86">
        <w:rPr>
          <w:rFonts w:ascii="Verdana" w:hAnsi="Verdana" w:cs="Times New Roman"/>
          <w:spacing w:val="-4"/>
          <w:sz w:val="20"/>
          <w:szCs w:val="20"/>
          <w:lang w:val="es-ES"/>
        </w:rPr>
        <w:t>n</w:t>
      </w:r>
      <w:r w:rsidR="00DE647A" w:rsidRPr="00EE5D86">
        <w:rPr>
          <w:rFonts w:ascii="Verdana" w:hAnsi="Verdana" w:cs="Times New Roman"/>
          <w:spacing w:val="-4"/>
          <w:sz w:val="20"/>
          <w:szCs w:val="20"/>
          <w:lang w:val="es-ES"/>
        </w:rPr>
        <w:t xml:space="preserve"> indicado</w:t>
      </w:r>
      <w:r w:rsidR="003A0E1D" w:rsidRPr="00EE5D86">
        <w:rPr>
          <w:rFonts w:ascii="Verdana" w:hAnsi="Verdana" w:cs="Times New Roman"/>
          <w:spacing w:val="-4"/>
          <w:sz w:val="20"/>
          <w:szCs w:val="20"/>
          <w:lang w:val="es-ES"/>
        </w:rPr>
        <w:t>s</w:t>
      </w:r>
      <w:r w:rsidR="00DE647A" w:rsidRPr="00EE5D86">
        <w:rPr>
          <w:rFonts w:ascii="Verdana" w:hAnsi="Verdana" w:cs="Times New Roman"/>
          <w:spacing w:val="-4"/>
          <w:sz w:val="20"/>
          <w:szCs w:val="20"/>
          <w:lang w:val="es-ES"/>
        </w:rPr>
        <w:t xml:space="preserve"> los términos en que fue ordenada la medida de reparación relativa a</w:t>
      </w:r>
      <w:r w:rsidR="003A0E1D" w:rsidRPr="00EE5D86">
        <w:rPr>
          <w:rFonts w:ascii="Verdana" w:hAnsi="Verdana" w:cs="Times New Roman"/>
          <w:spacing w:val="-4"/>
          <w:sz w:val="20"/>
          <w:szCs w:val="20"/>
          <w:lang w:val="es-ES"/>
        </w:rPr>
        <w:t xml:space="preserve"> brindar </w:t>
      </w:r>
      <w:r w:rsidR="00DE647A" w:rsidRPr="00EE5D86">
        <w:rPr>
          <w:rFonts w:ascii="Verdana" w:hAnsi="Verdana" w:cs="Times New Roman"/>
          <w:spacing w:val="-4"/>
          <w:sz w:val="20"/>
          <w:szCs w:val="20"/>
          <w:lang w:val="es-ES"/>
        </w:rPr>
        <w:t xml:space="preserve">tratamiento médico y psicológico </w:t>
      </w:r>
      <w:r w:rsidR="003A0E1D" w:rsidRPr="00EE5D86">
        <w:rPr>
          <w:rFonts w:ascii="Verdana" w:hAnsi="Verdana" w:cs="Times New Roman"/>
          <w:spacing w:val="-4"/>
          <w:sz w:val="20"/>
          <w:szCs w:val="20"/>
          <w:lang w:val="es-ES"/>
        </w:rPr>
        <w:t xml:space="preserve">a las víctimas </w:t>
      </w:r>
      <w:r w:rsidR="00DE647A" w:rsidRPr="00EE5D86">
        <w:rPr>
          <w:rFonts w:ascii="Verdana" w:hAnsi="Verdana" w:cs="Times New Roman"/>
          <w:spacing w:val="-4"/>
          <w:sz w:val="20"/>
          <w:szCs w:val="20"/>
          <w:lang w:val="es-ES"/>
        </w:rPr>
        <w:t>en el presente caso.</w:t>
      </w:r>
      <w:r w:rsidR="003358C9" w:rsidRPr="00EE5D86">
        <w:rPr>
          <w:rFonts w:ascii="Verdana" w:hAnsi="Verdana" w:cs="Times New Roman"/>
          <w:spacing w:val="-4"/>
          <w:sz w:val="20"/>
          <w:szCs w:val="20"/>
          <w:lang w:val="es-ES"/>
        </w:rPr>
        <w:t xml:space="preserve"> </w:t>
      </w:r>
      <w:r w:rsidR="003358C9" w:rsidRPr="00EE5D86">
        <w:rPr>
          <w:rFonts w:ascii="Verdana" w:hAnsi="Verdana"/>
          <w:spacing w:val="-4"/>
          <w:sz w:val="20"/>
          <w:szCs w:val="20"/>
          <w:lang w:val="es-ES"/>
        </w:rPr>
        <w:t xml:space="preserve">En el cumplimiento de la presente reparación, respecto de </w:t>
      </w:r>
      <w:r w:rsidR="003A0E1D" w:rsidRPr="00EE5D86">
        <w:rPr>
          <w:rFonts w:ascii="Verdana" w:hAnsi="Verdana"/>
          <w:spacing w:val="-4"/>
          <w:sz w:val="20"/>
          <w:szCs w:val="20"/>
          <w:lang w:val="es-ES"/>
        </w:rPr>
        <w:t>las</w:t>
      </w:r>
      <w:r w:rsidR="003358C9" w:rsidRPr="00EE5D86">
        <w:rPr>
          <w:rFonts w:ascii="Verdana" w:hAnsi="Verdana"/>
          <w:spacing w:val="-4"/>
          <w:sz w:val="20"/>
          <w:szCs w:val="20"/>
          <w:lang w:val="es-ES"/>
        </w:rPr>
        <w:t xml:space="preserve"> </w:t>
      </w:r>
      <w:r w:rsidR="003A0E1D" w:rsidRPr="00EE5D86">
        <w:rPr>
          <w:rFonts w:ascii="Verdana" w:hAnsi="Verdana"/>
          <w:spacing w:val="-4"/>
          <w:sz w:val="20"/>
          <w:szCs w:val="20"/>
          <w:lang w:val="es-ES"/>
        </w:rPr>
        <w:t>cinco</w:t>
      </w:r>
      <w:r w:rsidR="003358C9" w:rsidRPr="00EE5D86">
        <w:rPr>
          <w:rFonts w:ascii="Verdana" w:hAnsi="Verdana"/>
          <w:spacing w:val="-4"/>
          <w:sz w:val="20"/>
          <w:szCs w:val="20"/>
          <w:lang w:val="es-ES"/>
        </w:rPr>
        <w:t xml:space="preserve"> víctimas</w:t>
      </w:r>
      <w:r w:rsidR="003A0E1D" w:rsidRPr="00EE5D86">
        <w:rPr>
          <w:rFonts w:ascii="Verdana" w:hAnsi="Verdana"/>
          <w:spacing w:val="-4"/>
          <w:sz w:val="20"/>
          <w:szCs w:val="20"/>
          <w:lang w:val="es-ES"/>
        </w:rPr>
        <w:t xml:space="preserve"> mencionadas en esta Resoluc</w:t>
      </w:r>
      <w:r w:rsidR="00420F80">
        <w:rPr>
          <w:rFonts w:ascii="Verdana" w:hAnsi="Verdana"/>
          <w:spacing w:val="-4"/>
          <w:sz w:val="20"/>
          <w:szCs w:val="20"/>
          <w:lang w:val="es-ES"/>
        </w:rPr>
        <w:t>i</w:t>
      </w:r>
      <w:r w:rsidR="003A0E1D" w:rsidRPr="00EE5D86">
        <w:rPr>
          <w:rFonts w:ascii="Verdana" w:hAnsi="Verdana"/>
          <w:spacing w:val="-4"/>
          <w:sz w:val="20"/>
          <w:szCs w:val="20"/>
          <w:lang w:val="es-ES"/>
        </w:rPr>
        <w:t>ón</w:t>
      </w:r>
      <w:r w:rsidR="003358C9" w:rsidRPr="00EE5D86">
        <w:rPr>
          <w:rFonts w:ascii="Verdana" w:hAnsi="Verdana"/>
          <w:spacing w:val="-4"/>
          <w:sz w:val="20"/>
          <w:szCs w:val="20"/>
          <w:lang w:val="es-ES"/>
        </w:rPr>
        <w:t xml:space="preserve">, el Perú deberá tomar en cuenta que algunos de ellos están contagiados de COVID-19 y otros podrían estarlo y, en </w:t>
      </w:r>
      <w:r w:rsidR="003358C9" w:rsidRPr="00A608E8">
        <w:rPr>
          <w:rFonts w:ascii="Verdana" w:hAnsi="Verdana"/>
          <w:spacing w:val="-4"/>
          <w:sz w:val="20"/>
          <w:szCs w:val="20"/>
          <w:lang w:val="es-ES"/>
        </w:rPr>
        <w:t xml:space="preserve">consecuencia, deberá </w:t>
      </w:r>
      <w:r w:rsidR="003358C9" w:rsidRPr="00A608E8">
        <w:rPr>
          <w:rFonts w:ascii="Verdana" w:hAnsi="Verdana"/>
          <w:spacing w:val="-4"/>
          <w:sz w:val="20"/>
          <w:szCs w:val="20"/>
          <w:lang w:val="es-CR"/>
        </w:rPr>
        <w:t xml:space="preserve">brindar o continuar brindando el tratamiento médico requerido y, en caso de que la situación se agrave, deberá adoptar las medidas necesarias que permitan brindar </w:t>
      </w:r>
      <w:r w:rsidR="00617A7E" w:rsidRPr="00A608E8">
        <w:rPr>
          <w:rFonts w:ascii="Verdana" w:hAnsi="Verdana"/>
          <w:spacing w:val="-4"/>
          <w:sz w:val="20"/>
          <w:szCs w:val="20"/>
          <w:lang w:val="es-CR"/>
        </w:rPr>
        <w:t>la atención adecuada</w:t>
      </w:r>
      <w:r w:rsidR="003358C9" w:rsidRPr="00A608E8">
        <w:rPr>
          <w:rFonts w:ascii="Verdana" w:hAnsi="Verdana"/>
          <w:spacing w:val="-4"/>
          <w:sz w:val="20"/>
          <w:szCs w:val="20"/>
          <w:lang w:val="es-CR"/>
        </w:rPr>
        <w:t xml:space="preserve">, </w:t>
      </w:r>
      <w:r w:rsidR="00617A7E" w:rsidRPr="00A608E8">
        <w:rPr>
          <w:rFonts w:ascii="Verdana" w:hAnsi="Verdana"/>
          <w:spacing w:val="-4"/>
          <w:sz w:val="20"/>
          <w:szCs w:val="20"/>
          <w:lang w:val="es-CR"/>
        </w:rPr>
        <w:t>tomando</w:t>
      </w:r>
      <w:r w:rsidR="00617A7E" w:rsidRPr="00EE5D86">
        <w:rPr>
          <w:rFonts w:ascii="Verdana" w:hAnsi="Verdana"/>
          <w:spacing w:val="-4"/>
          <w:sz w:val="20"/>
          <w:szCs w:val="20"/>
          <w:lang w:val="es-CR"/>
        </w:rPr>
        <w:t xml:space="preserve"> en cuenta lo indicado en </w:t>
      </w:r>
      <w:r w:rsidR="003A0E1D" w:rsidRPr="00EE5D86">
        <w:rPr>
          <w:rFonts w:ascii="Verdana" w:hAnsi="Verdana"/>
          <w:spacing w:val="-4"/>
          <w:sz w:val="20"/>
          <w:szCs w:val="20"/>
          <w:lang w:val="es-CR"/>
        </w:rPr>
        <w:t>los</w:t>
      </w:r>
      <w:r w:rsidR="00617A7E" w:rsidRPr="00EE5D86">
        <w:rPr>
          <w:rFonts w:ascii="Verdana" w:hAnsi="Verdana"/>
          <w:spacing w:val="-4"/>
          <w:sz w:val="20"/>
          <w:szCs w:val="20"/>
          <w:lang w:val="es-CR"/>
        </w:rPr>
        <w:t xml:space="preserve"> Considerando</w:t>
      </w:r>
      <w:r w:rsidR="003A0E1D" w:rsidRPr="00EE5D86">
        <w:rPr>
          <w:rFonts w:ascii="Verdana" w:hAnsi="Verdana"/>
          <w:spacing w:val="-4"/>
          <w:sz w:val="20"/>
          <w:szCs w:val="20"/>
          <w:lang w:val="es-CR"/>
        </w:rPr>
        <w:t>s</w:t>
      </w:r>
      <w:r w:rsidR="00617A7E" w:rsidRPr="00EE5D86">
        <w:rPr>
          <w:rFonts w:ascii="Verdana" w:hAnsi="Verdana"/>
          <w:spacing w:val="-4"/>
          <w:sz w:val="20"/>
          <w:szCs w:val="20"/>
          <w:lang w:val="es-CR"/>
        </w:rPr>
        <w:t xml:space="preserve"> </w:t>
      </w:r>
      <w:r w:rsidR="00EE5D86" w:rsidRPr="00EE5D86">
        <w:rPr>
          <w:rFonts w:ascii="Verdana" w:hAnsi="Verdana"/>
          <w:spacing w:val="-4"/>
          <w:sz w:val="20"/>
          <w:szCs w:val="20"/>
          <w:lang w:val="es-CR"/>
        </w:rPr>
        <w:t>26 a 28 y 41 de la presente Resolución</w:t>
      </w:r>
      <w:r w:rsidR="003358C9" w:rsidRPr="00EE5D86">
        <w:rPr>
          <w:rFonts w:ascii="Verdana" w:hAnsi="Verdana"/>
          <w:spacing w:val="-4"/>
          <w:sz w:val="20"/>
          <w:szCs w:val="20"/>
          <w:lang w:val="es-CR"/>
        </w:rPr>
        <w:t>.</w:t>
      </w:r>
      <w:r w:rsidR="00DE647A" w:rsidRPr="00EE5D86">
        <w:rPr>
          <w:rFonts w:ascii="Verdana" w:hAnsi="Verdana" w:cs="Times New Roman"/>
          <w:spacing w:val="-4"/>
          <w:sz w:val="20"/>
          <w:szCs w:val="20"/>
          <w:lang w:val="es-ES"/>
        </w:rPr>
        <w:t xml:space="preserve"> </w:t>
      </w:r>
      <w:bookmarkEnd w:id="19"/>
    </w:p>
    <w:p w14:paraId="49FACA1F" w14:textId="3157A432" w:rsidR="001168CA" w:rsidRPr="00E43614" w:rsidRDefault="00FA4D1C" w:rsidP="003A0E1D">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bookmarkStart w:id="20" w:name="_Ref46240790"/>
      <w:r w:rsidRPr="00E43614">
        <w:rPr>
          <w:rFonts w:ascii="Verdana" w:hAnsi="Verdana"/>
          <w:spacing w:val="-4"/>
          <w:sz w:val="20"/>
          <w:szCs w:val="20"/>
          <w:lang w:val="es-ES"/>
        </w:rPr>
        <w:t>L</w:t>
      </w:r>
      <w:r w:rsidR="009B4991" w:rsidRPr="00E43614">
        <w:rPr>
          <w:rFonts w:ascii="Verdana" w:hAnsi="Verdana"/>
          <w:spacing w:val="-4"/>
          <w:sz w:val="20"/>
          <w:szCs w:val="20"/>
          <w:lang w:val="es-ES"/>
        </w:rPr>
        <w:t>a presente situación amerita una especia</w:t>
      </w:r>
      <w:r w:rsidR="003D469B" w:rsidRPr="00E43614">
        <w:rPr>
          <w:rFonts w:ascii="Verdana" w:hAnsi="Verdana"/>
          <w:spacing w:val="-4"/>
          <w:sz w:val="20"/>
          <w:szCs w:val="20"/>
          <w:lang w:val="es-ES"/>
        </w:rPr>
        <w:t xml:space="preserve">l consideración </w:t>
      </w:r>
      <w:r w:rsidRPr="00E43614">
        <w:rPr>
          <w:rFonts w:ascii="Verdana" w:hAnsi="Verdana"/>
          <w:spacing w:val="-4"/>
          <w:sz w:val="20"/>
          <w:szCs w:val="20"/>
          <w:lang w:val="es-ES"/>
        </w:rPr>
        <w:t xml:space="preserve">a través de una supervisión </w:t>
      </w:r>
      <w:r w:rsidRPr="00E43614">
        <w:rPr>
          <w:rFonts w:ascii="Verdana" w:hAnsi="Verdana" w:cs="Times New Roman"/>
          <w:spacing w:val="-4"/>
          <w:sz w:val="20"/>
          <w:szCs w:val="20"/>
          <w:lang w:val="es-ES"/>
        </w:rPr>
        <w:t>reforzada</w:t>
      </w:r>
      <w:r w:rsidRPr="00E43614">
        <w:rPr>
          <w:rFonts w:ascii="Verdana" w:hAnsi="Verdana"/>
          <w:spacing w:val="-4"/>
          <w:sz w:val="20"/>
          <w:szCs w:val="20"/>
          <w:lang w:val="es-ES"/>
        </w:rPr>
        <w:t xml:space="preserve"> del cumplimiento de la referida reparación </w:t>
      </w:r>
      <w:r w:rsidR="003D469B" w:rsidRPr="00E43614">
        <w:rPr>
          <w:rFonts w:ascii="Verdana" w:hAnsi="Verdana"/>
          <w:spacing w:val="-4"/>
          <w:sz w:val="20"/>
          <w:szCs w:val="20"/>
          <w:lang w:val="es-ES"/>
        </w:rPr>
        <w:t>y un deber correlativo del Perú de continuar informando de manera constante</w:t>
      </w:r>
      <w:r w:rsidR="009B4991" w:rsidRPr="00E43614">
        <w:rPr>
          <w:rFonts w:ascii="Verdana" w:hAnsi="Verdana"/>
          <w:spacing w:val="-4"/>
          <w:sz w:val="20"/>
          <w:szCs w:val="20"/>
          <w:lang w:val="es-ES"/>
        </w:rPr>
        <w:t xml:space="preserve">, dada la complejidad que la pandemia del COVID-19 representa, tanto en virtud de las importantes afectaciones a la salud que puede producir, como por </w:t>
      </w:r>
      <w:r w:rsidR="009068FE" w:rsidRPr="00E43614">
        <w:rPr>
          <w:rFonts w:ascii="Verdana" w:hAnsi="Verdana"/>
          <w:spacing w:val="-4"/>
          <w:sz w:val="20"/>
          <w:szCs w:val="20"/>
          <w:lang w:val="es-ES"/>
        </w:rPr>
        <w:t>la eficiencia en la transmisión interpersonal del virus</w:t>
      </w:r>
      <w:r w:rsidR="009B4991" w:rsidRPr="00E43614">
        <w:rPr>
          <w:rFonts w:ascii="Verdana" w:hAnsi="Verdana"/>
          <w:spacing w:val="-4"/>
          <w:sz w:val="20"/>
          <w:szCs w:val="20"/>
          <w:lang w:val="es-ES"/>
        </w:rPr>
        <w:t xml:space="preserve"> y, en consecuencia, </w:t>
      </w:r>
      <w:r w:rsidR="005458EF" w:rsidRPr="00E43614">
        <w:rPr>
          <w:rFonts w:ascii="Verdana" w:hAnsi="Verdana"/>
          <w:spacing w:val="-4"/>
          <w:sz w:val="20"/>
          <w:szCs w:val="20"/>
          <w:lang w:val="es-ES"/>
        </w:rPr>
        <w:t>de colapsar</w:t>
      </w:r>
      <w:r w:rsidR="009B4991" w:rsidRPr="00E43614">
        <w:rPr>
          <w:rFonts w:ascii="Verdana" w:hAnsi="Verdana"/>
          <w:spacing w:val="-4"/>
          <w:sz w:val="20"/>
          <w:szCs w:val="20"/>
          <w:lang w:val="es-ES"/>
        </w:rPr>
        <w:t xml:space="preserve"> los servicios sanitarios</w:t>
      </w:r>
      <w:r w:rsidR="005458EF" w:rsidRPr="00E43614">
        <w:rPr>
          <w:rFonts w:ascii="Verdana" w:hAnsi="Verdana"/>
          <w:spacing w:val="-4"/>
          <w:sz w:val="20"/>
          <w:szCs w:val="20"/>
          <w:lang w:val="es-ES"/>
        </w:rPr>
        <w:t>, circunstancias que resultan aún más preocupantes en contextos carcelarios debido al mayor índice de propagación que caracterizan a dichos ámbitos (</w:t>
      </w:r>
      <w:r w:rsidR="005458EF" w:rsidRPr="00E43614">
        <w:rPr>
          <w:rFonts w:ascii="Verdana" w:hAnsi="Verdana"/>
          <w:i/>
          <w:spacing w:val="-4"/>
          <w:sz w:val="20"/>
          <w:szCs w:val="20"/>
          <w:lang w:val="es-ES"/>
        </w:rPr>
        <w:t xml:space="preserve">supra </w:t>
      </w:r>
      <w:r w:rsidR="005458EF" w:rsidRPr="00E43614">
        <w:rPr>
          <w:rFonts w:ascii="Verdana" w:hAnsi="Verdana"/>
          <w:spacing w:val="-4"/>
          <w:sz w:val="20"/>
          <w:szCs w:val="20"/>
          <w:lang w:val="es-ES"/>
        </w:rPr>
        <w:t xml:space="preserve">Considerando </w:t>
      </w:r>
      <w:r w:rsidR="00554F8C" w:rsidRPr="00E43614">
        <w:rPr>
          <w:rFonts w:ascii="Verdana" w:hAnsi="Verdana"/>
          <w:spacing w:val="-4"/>
          <w:sz w:val="20"/>
          <w:szCs w:val="20"/>
          <w:lang w:val="es-ES"/>
        </w:rPr>
        <w:t>24</w:t>
      </w:r>
      <w:r w:rsidR="005458EF" w:rsidRPr="00E43614">
        <w:rPr>
          <w:rFonts w:ascii="Verdana" w:hAnsi="Verdana"/>
          <w:spacing w:val="-4"/>
          <w:sz w:val="20"/>
          <w:szCs w:val="20"/>
          <w:lang w:val="es-ES"/>
        </w:rPr>
        <w:t>)</w:t>
      </w:r>
      <w:r w:rsidR="009B4991" w:rsidRPr="00E43614">
        <w:rPr>
          <w:rFonts w:ascii="Verdana" w:hAnsi="Verdana"/>
          <w:spacing w:val="-4"/>
          <w:sz w:val="20"/>
          <w:szCs w:val="20"/>
          <w:lang w:val="es-ES"/>
        </w:rPr>
        <w:t>. En consecuencia</w:t>
      </w:r>
      <w:r w:rsidR="00DE647A" w:rsidRPr="00E43614">
        <w:rPr>
          <w:rFonts w:ascii="Verdana" w:hAnsi="Verdana"/>
          <w:spacing w:val="-4"/>
          <w:sz w:val="20"/>
          <w:szCs w:val="20"/>
          <w:lang w:val="es-ES"/>
        </w:rPr>
        <w:t>,</w:t>
      </w:r>
      <w:r w:rsidR="0005695D" w:rsidRPr="00E43614">
        <w:rPr>
          <w:rFonts w:ascii="Verdana" w:hAnsi="Verdana"/>
          <w:spacing w:val="-4"/>
          <w:sz w:val="20"/>
          <w:szCs w:val="20"/>
          <w:lang w:val="es-ES"/>
        </w:rPr>
        <w:t xml:space="preserve"> </w:t>
      </w:r>
      <w:r w:rsidR="00DE647A" w:rsidRPr="00E43614">
        <w:rPr>
          <w:rFonts w:ascii="Verdana" w:hAnsi="Verdana"/>
          <w:spacing w:val="-4"/>
          <w:sz w:val="20"/>
          <w:szCs w:val="20"/>
          <w:lang w:val="es-ES"/>
        </w:rPr>
        <w:t xml:space="preserve">dadas </w:t>
      </w:r>
      <w:r w:rsidR="003D5E54" w:rsidRPr="00E43614">
        <w:rPr>
          <w:rFonts w:ascii="Verdana" w:hAnsi="Verdana"/>
          <w:spacing w:val="-4"/>
          <w:sz w:val="20"/>
          <w:szCs w:val="20"/>
          <w:lang w:val="es-ES"/>
        </w:rPr>
        <w:t>estas</w:t>
      </w:r>
      <w:r w:rsidR="00DE647A" w:rsidRPr="00E43614">
        <w:rPr>
          <w:rFonts w:ascii="Verdana" w:hAnsi="Verdana"/>
          <w:spacing w:val="-4"/>
          <w:sz w:val="20"/>
          <w:szCs w:val="20"/>
          <w:lang w:val="es-ES"/>
        </w:rPr>
        <w:t xml:space="preserve"> particularidades</w:t>
      </w:r>
      <w:r w:rsidR="009B4991" w:rsidRPr="00E43614">
        <w:rPr>
          <w:rFonts w:ascii="Verdana" w:hAnsi="Verdana"/>
          <w:spacing w:val="-4"/>
          <w:sz w:val="20"/>
          <w:szCs w:val="20"/>
          <w:lang w:val="es-ES"/>
        </w:rPr>
        <w:t>,</w:t>
      </w:r>
      <w:r w:rsidR="00DE647A" w:rsidRPr="00E43614">
        <w:rPr>
          <w:rFonts w:ascii="Verdana" w:hAnsi="Verdana"/>
          <w:spacing w:val="-4"/>
          <w:sz w:val="20"/>
          <w:szCs w:val="20"/>
          <w:lang w:val="es-ES"/>
        </w:rPr>
        <w:t xml:space="preserve"> </w:t>
      </w:r>
      <w:r w:rsidR="009B4991" w:rsidRPr="00E43614">
        <w:rPr>
          <w:rFonts w:ascii="Verdana" w:hAnsi="Verdana"/>
          <w:spacing w:val="-4"/>
          <w:sz w:val="20"/>
          <w:szCs w:val="20"/>
          <w:lang w:val="es-ES"/>
        </w:rPr>
        <w:t>el Estado deberá presenta</w:t>
      </w:r>
      <w:r w:rsidR="0005695D" w:rsidRPr="00E43614">
        <w:rPr>
          <w:rFonts w:ascii="Verdana" w:hAnsi="Verdana"/>
          <w:spacing w:val="-4"/>
          <w:sz w:val="20"/>
          <w:szCs w:val="20"/>
          <w:lang w:val="es-ES"/>
        </w:rPr>
        <w:t xml:space="preserve">r </w:t>
      </w:r>
      <w:r w:rsidR="009B4991" w:rsidRPr="00E43614">
        <w:rPr>
          <w:rFonts w:ascii="Verdana" w:hAnsi="Verdana"/>
          <w:spacing w:val="-4"/>
          <w:sz w:val="20"/>
          <w:szCs w:val="20"/>
          <w:lang w:val="es-ES"/>
        </w:rPr>
        <w:t>un inform</w:t>
      </w:r>
      <w:r w:rsidR="0005695D" w:rsidRPr="00E43614">
        <w:rPr>
          <w:rFonts w:ascii="Verdana" w:hAnsi="Verdana"/>
          <w:spacing w:val="-4"/>
          <w:sz w:val="20"/>
          <w:szCs w:val="20"/>
          <w:lang w:val="es-ES"/>
        </w:rPr>
        <w:t xml:space="preserve">e </w:t>
      </w:r>
      <w:r w:rsidR="003D469B" w:rsidRPr="00E43614">
        <w:rPr>
          <w:rFonts w:ascii="Verdana" w:hAnsi="Verdana"/>
          <w:spacing w:val="-4"/>
          <w:sz w:val="20"/>
          <w:szCs w:val="20"/>
          <w:lang w:val="es-ES"/>
        </w:rPr>
        <w:t xml:space="preserve">sobre el cumplimiento de la medida relativa a tratamiento médico respecto de estas cinco víctimas </w:t>
      </w:r>
      <w:r w:rsidR="009B4991" w:rsidRPr="00E43614">
        <w:rPr>
          <w:rFonts w:ascii="Verdana" w:hAnsi="Verdana"/>
          <w:spacing w:val="-4"/>
          <w:sz w:val="20"/>
          <w:szCs w:val="20"/>
          <w:lang w:val="es-ES"/>
        </w:rPr>
        <w:t xml:space="preserve">en el plazo referido en el punto resolutivo </w:t>
      </w:r>
      <w:r w:rsidR="00E43614">
        <w:rPr>
          <w:rFonts w:ascii="Verdana" w:hAnsi="Verdana"/>
          <w:spacing w:val="-4"/>
          <w:sz w:val="20"/>
          <w:szCs w:val="20"/>
          <w:lang w:val="es-ES"/>
        </w:rPr>
        <w:t>segundo</w:t>
      </w:r>
      <w:r w:rsidR="00E43614" w:rsidRPr="00E43614">
        <w:rPr>
          <w:rFonts w:ascii="Verdana" w:hAnsi="Verdana"/>
          <w:spacing w:val="-4"/>
          <w:sz w:val="20"/>
          <w:szCs w:val="20"/>
          <w:lang w:val="es-ES"/>
        </w:rPr>
        <w:t xml:space="preserve"> de esta Resolución</w:t>
      </w:r>
      <w:r w:rsidR="009B4991" w:rsidRPr="00E43614">
        <w:rPr>
          <w:rFonts w:ascii="Verdana" w:hAnsi="Verdana"/>
          <w:spacing w:val="-4"/>
          <w:sz w:val="20"/>
          <w:szCs w:val="20"/>
          <w:lang w:val="es-ES"/>
        </w:rPr>
        <w:t xml:space="preserve">, tras lo cual deberá continuar presentando informes cada </w:t>
      </w:r>
      <w:r w:rsidR="00E43614" w:rsidRPr="00E43614">
        <w:rPr>
          <w:rFonts w:ascii="Verdana" w:hAnsi="Verdana"/>
          <w:spacing w:val="-4"/>
          <w:sz w:val="20"/>
          <w:szCs w:val="20"/>
          <w:lang w:val="es-ES"/>
        </w:rPr>
        <w:t xml:space="preserve">cuatro </w:t>
      </w:r>
      <w:r w:rsidR="00E43333" w:rsidRPr="00E43614">
        <w:rPr>
          <w:rFonts w:ascii="Verdana" w:hAnsi="Verdana"/>
          <w:spacing w:val="-4"/>
          <w:sz w:val="20"/>
          <w:szCs w:val="20"/>
          <w:lang w:val="es-ES"/>
        </w:rPr>
        <w:t>semanas</w:t>
      </w:r>
      <w:r w:rsidR="00E43614" w:rsidRPr="00E43614">
        <w:rPr>
          <w:rFonts w:ascii="Verdana" w:hAnsi="Verdana"/>
          <w:spacing w:val="-4"/>
          <w:sz w:val="20"/>
          <w:szCs w:val="20"/>
          <w:lang w:val="es-ES"/>
        </w:rPr>
        <w:t>,</w:t>
      </w:r>
      <w:r w:rsidR="009B4991" w:rsidRPr="00E43614">
        <w:rPr>
          <w:rFonts w:ascii="Verdana" w:hAnsi="Verdana"/>
          <w:spacing w:val="-4"/>
          <w:sz w:val="20"/>
          <w:szCs w:val="20"/>
          <w:lang w:val="es-ES"/>
        </w:rPr>
        <w:t xml:space="preserve"> </w:t>
      </w:r>
      <w:r w:rsidR="00D752C0" w:rsidRPr="00E43614">
        <w:rPr>
          <w:rFonts w:ascii="Verdana" w:hAnsi="Verdana"/>
          <w:spacing w:val="-4"/>
          <w:sz w:val="20"/>
          <w:szCs w:val="20"/>
          <w:lang w:val="es-ES"/>
        </w:rPr>
        <w:t>por el tiempo que esta Corte considere necesario</w:t>
      </w:r>
      <w:r w:rsidR="009B4991" w:rsidRPr="00E43614">
        <w:rPr>
          <w:rFonts w:ascii="Verdana" w:hAnsi="Verdana"/>
          <w:spacing w:val="-4"/>
          <w:sz w:val="20"/>
          <w:szCs w:val="20"/>
          <w:lang w:val="es-ES"/>
        </w:rPr>
        <w:t xml:space="preserve">. </w:t>
      </w:r>
      <w:bookmarkEnd w:id="20"/>
    </w:p>
    <w:p w14:paraId="71496D40" w14:textId="47BDD44F" w:rsidR="009B4991" w:rsidRPr="00733306" w:rsidRDefault="003358C9" w:rsidP="003A0E1D">
      <w:pPr>
        <w:pStyle w:val="Prrafodelista"/>
        <w:numPr>
          <w:ilvl w:val="0"/>
          <w:numId w:val="1"/>
        </w:numPr>
        <w:autoSpaceDE w:val="0"/>
        <w:autoSpaceDN w:val="0"/>
        <w:adjustRightInd w:val="0"/>
        <w:spacing w:before="120" w:after="120" w:line="240" w:lineRule="auto"/>
        <w:ind w:left="0" w:firstLine="0"/>
        <w:contextualSpacing w:val="0"/>
        <w:jc w:val="both"/>
        <w:rPr>
          <w:rFonts w:ascii="Verdana" w:hAnsi="Verdana"/>
          <w:spacing w:val="-4"/>
          <w:sz w:val="20"/>
          <w:szCs w:val="20"/>
          <w:lang w:val="es-ES"/>
        </w:rPr>
      </w:pPr>
      <w:r w:rsidRPr="00733306">
        <w:rPr>
          <w:rFonts w:ascii="Verdana" w:hAnsi="Verdana"/>
          <w:spacing w:val="-4"/>
          <w:sz w:val="20"/>
          <w:szCs w:val="20"/>
          <w:lang w:val="es-ES"/>
        </w:rPr>
        <w:t xml:space="preserve">Asimismo, tomando en cuenta lo informado por las partes respecto del monitoreo </w:t>
      </w:r>
      <w:r w:rsidR="00FA4D1C" w:rsidRPr="00733306">
        <w:rPr>
          <w:rFonts w:ascii="Verdana" w:hAnsi="Verdana"/>
          <w:spacing w:val="-4"/>
          <w:sz w:val="20"/>
          <w:szCs w:val="20"/>
          <w:lang w:val="es-ES"/>
        </w:rPr>
        <w:t xml:space="preserve">de la situación </w:t>
      </w:r>
      <w:r w:rsidRPr="00733306">
        <w:rPr>
          <w:rFonts w:ascii="Verdana" w:hAnsi="Verdana"/>
          <w:spacing w:val="-4"/>
          <w:sz w:val="20"/>
          <w:szCs w:val="20"/>
          <w:lang w:val="es-ES"/>
        </w:rPr>
        <w:t>que ha venido realizando la Defensoría del Pueblo del Perú</w:t>
      </w:r>
      <w:r w:rsidR="001168CA" w:rsidRPr="00733306">
        <w:rPr>
          <w:rFonts w:ascii="Verdana" w:hAnsi="Verdana"/>
          <w:spacing w:val="-4"/>
          <w:sz w:val="20"/>
          <w:szCs w:val="20"/>
          <w:lang w:val="es-ES"/>
        </w:rPr>
        <w:t xml:space="preserve"> y la importancia </w:t>
      </w:r>
      <w:r w:rsidR="00E43614" w:rsidRPr="00733306">
        <w:rPr>
          <w:rFonts w:ascii="Verdana" w:hAnsi="Verdana"/>
          <w:spacing w:val="-4"/>
          <w:sz w:val="20"/>
          <w:szCs w:val="20"/>
          <w:lang w:val="es-ES"/>
        </w:rPr>
        <w:t xml:space="preserve">de </w:t>
      </w:r>
      <w:r w:rsidR="001168CA" w:rsidRPr="00733306">
        <w:rPr>
          <w:rFonts w:ascii="Verdana" w:hAnsi="Verdana"/>
          <w:spacing w:val="-4"/>
          <w:sz w:val="20"/>
          <w:szCs w:val="20"/>
          <w:lang w:val="es-ES"/>
        </w:rPr>
        <w:t>que la situación de las cinco víctimas sea atendida de la forma más completa posible</w:t>
      </w:r>
      <w:r w:rsidRPr="00733306">
        <w:rPr>
          <w:rFonts w:ascii="Verdana" w:hAnsi="Verdana"/>
          <w:spacing w:val="-4"/>
          <w:sz w:val="20"/>
          <w:szCs w:val="20"/>
          <w:lang w:val="es-ES"/>
        </w:rPr>
        <w:t>, de confo</w:t>
      </w:r>
      <w:r w:rsidR="00087F6D" w:rsidRPr="00733306">
        <w:rPr>
          <w:rFonts w:ascii="Verdana" w:hAnsi="Verdana"/>
          <w:spacing w:val="-4"/>
          <w:sz w:val="20"/>
          <w:szCs w:val="20"/>
          <w:lang w:val="es-ES"/>
        </w:rPr>
        <w:t xml:space="preserve">rmidad con el </w:t>
      </w:r>
      <w:r w:rsidR="00E43614" w:rsidRPr="00733306">
        <w:rPr>
          <w:rFonts w:ascii="Verdana" w:hAnsi="Verdana"/>
          <w:spacing w:val="-4"/>
          <w:sz w:val="20"/>
          <w:szCs w:val="20"/>
          <w:lang w:val="es-ES"/>
        </w:rPr>
        <w:t>artículo</w:t>
      </w:r>
      <w:r w:rsidR="00087F6D" w:rsidRPr="00733306">
        <w:rPr>
          <w:rFonts w:ascii="Verdana" w:hAnsi="Verdana"/>
          <w:spacing w:val="-4"/>
          <w:sz w:val="20"/>
          <w:szCs w:val="20"/>
          <w:lang w:val="es-ES"/>
        </w:rPr>
        <w:t xml:space="preserve"> 69.2 de</w:t>
      </w:r>
      <w:r w:rsidR="00E43614" w:rsidRPr="00733306">
        <w:rPr>
          <w:rFonts w:ascii="Verdana" w:hAnsi="Verdana"/>
          <w:spacing w:val="-4"/>
          <w:sz w:val="20"/>
          <w:szCs w:val="20"/>
          <w:lang w:val="es-ES"/>
        </w:rPr>
        <w:t>l</w:t>
      </w:r>
      <w:r w:rsidRPr="00733306">
        <w:rPr>
          <w:rFonts w:ascii="Verdana" w:hAnsi="Verdana"/>
          <w:spacing w:val="-4"/>
          <w:sz w:val="20"/>
          <w:szCs w:val="20"/>
          <w:lang w:val="es-ES"/>
        </w:rPr>
        <w:t xml:space="preserve"> Reglamento</w:t>
      </w:r>
      <w:r w:rsidR="00087F6D" w:rsidRPr="00733306">
        <w:rPr>
          <w:rStyle w:val="Refdenotaalpie"/>
          <w:spacing w:val="-4"/>
          <w:szCs w:val="20"/>
          <w:lang w:val="es-ES"/>
        </w:rPr>
        <w:footnoteReference w:id="71"/>
      </w:r>
      <w:r w:rsidRPr="00733306">
        <w:rPr>
          <w:rFonts w:ascii="Verdana" w:hAnsi="Verdana"/>
          <w:spacing w:val="-4"/>
          <w:sz w:val="20"/>
          <w:szCs w:val="20"/>
          <w:lang w:val="es-ES"/>
        </w:rPr>
        <w:t>, esta Corte considera oportuno solicitar a dicha institución que</w:t>
      </w:r>
      <w:r w:rsidR="006F13D9" w:rsidRPr="00733306">
        <w:rPr>
          <w:rFonts w:ascii="Verdana" w:hAnsi="Verdana"/>
          <w:spacing w:val="-4"/>
          <w:sz w:val="20"/>
          <w:szCs w:val="20"/>
          <w:lang w:val="es-ES"/>
        </w:rPr>
        <w:t>, en el ámbito de sus competencias,</w:t>
      </w:r>
      <w:r w:rsidRPr="00733306">
        <w:rPr>
          <w:rFonts w:ascii="Verdana" w:hAnsi="Verdana"/>
          <w:spacing w:val="-4"/>
          <w:sz w:val="20"/>
          <w:szCs w:val="20"/>
          <w:lang w:val="es-ES"/>
        </w:rPr>
        <w:t xml:space="preserve"> presente</w:t>
      </w:r>
      <w:r w:rsidR="00733306" w:rsidRPr="00733306">
        <w:rPr>
          <w:rFonts w:ascii="Verdana" w:hAnsi="Verdana"/>
          <w:spacing w:val="-4"/>
          <w:sz w:val="20"/>
          <w:szCs w:val="20"/>
          <w:lang w:val="es-ES"/>
        </w:rPr>
        <w:t xml:space="preserve"> </w:t>
      </w:r>
      <w:r w:rsidRPr="00733306">
        <w:rPr>
          <w:rFonts w:ascii="Verdana" w:hAnsi="Verdana"/>
          <w:spacing w:val="-4"/>
          <w:sz w:val="20"/>
          <w:szCs w:val="20"/>
          <w:lang w:val="es-ES"/>
        </w:rPr>
        <w:t xml:space="preserve">un informe </w:t>
      </w:r>
      <w:r w:rsidR="00AA697B" w:rsidRPr="00733306">
        <w:rPr>
          <w:rFonts w:ascii="Verdana" w:hAnsi="Verdana"/>
          <w:spacing w:val="-4"/>
          <w:sz w:val="20"/>
          <w:szCs w:val="20"/>
          <w:lang w:val="es-ES"/>
        </w:rPr>
        <w:t xml:space="preserve">con respecto a la referida atención médica </w:t>
      </w:r>
      <w:r w:rsidR="00087F6D" w:rsidRPr="00733306">
        <w:rPr>
          <w:rFonts w:ascii="Verdana" w:hAnsi="Verdana"/>
          <w:spacing w:val="-4"/>
          <w:sz w:val="20"/>
          <w:szCs w:val="20"/>
          <w:lang w:val="es-ES"/>
        </w:rPr>
        <w:t xml:space="preserve">y psicológica </w:t>
      </w:r>
      <w:r w:rsidR="00AA697B" w:rsidRPr="00733306">
        <w:rPr>
          <w:rFonts w:ascii="Verdana" w:hAnsi="Verdana"/>
          <w:spacing w:val="-4"/>
          <w:sz w:val="20"/>
          <w:szCs w:val="20"/>
          <w:lang w:val="es-ES"/>
        </w:rPr>
        <w:t>en el marco de la emergencia sa</w:t>
      </w:r>
      <w:r w:rsidR="00737BAC" w:rsidRPr="00733306">
        <w:rPr>
          <w:rFonts w:ascii="Verdana" w:hAnsi="Verdana"/>
          <w:spacing w:val="-4"/>
          <w:sz w:val="20"/>
          <w:szCs w:val="20"/>
          <w:lang w:val="es-ES"/>
        </w:rPr>
        <w:t>nitaria causada por el COVID-19, u o</w:t>
      </w:r>
      <w:r w:rsidR="00E76BCA" w:rsidRPr="00733306">
        <w:rPr>
          <w:rFonts w:ascii="Verdana" w:hAnsi="Verdana"/>
          <w:spacing w:val="-4"/>
          <w:sz w:val="20"/>
          <w:szCs w:val="20"/>
          <w:lang w:val="es-ES"/>
        </w:rPr>
        <w:t>tra información que estime relevante sobre las</w:t>
      </w:r>
      <w:r w:rsidR="00737BAC" w:rsidRPr="00733306">
        <w:rPr>
          <w:rFonts w:ascii="Verdana" w:hAnsi="Verdana"/>
          <w:spacing w:val="-4"/>
          <w:sz w:val="20"/>
          <w:szCs w:val="20"/>
          <w:lang w:val="es-ES"/>
        </w:rPr>
        <w:t xml:space="preserve"> condiciones generales de los centros penitenciarios en que se encuentran las </w:t>
      </w:r>
      <w:r w:rsidR="00E43614" w:rsidRPr="00733306">
        <w:rPr>
          <w:rFonts w:ascii="Verdana" w:hAnsi="Verdana"/>
          <w:spacing w:val="-4"/>
          <w:sz w:val="20"/>
          <w:szCs w:val="20"/>
          <w:lang w:val="es-ES"/>
        </w:rPr>
        <w:t>cinco</w:t>
      </w:r>
      <w:r w:rsidR="00737BAC" w:rsidRPr="00733306">
        <w:rPr>
          <w:rFonts w:ascii="Verdana" w:hAnsi="Verdana"/>
          <w:spacing w:val="-4"/>
          <w:sz w:val="20"/>
          <w:szCs w:val="20"/>
          <w:lang w:val="es-ES"/>
        </w:rPr>
        <w:t xml:space="preserve"> víctimas que, a la luz del contexto de la pandemia, puedan incidir en la atención de su salud.</w:t>
      </w:r>
    </w:p>
    <w:p w14:paraId="080DB0E5" w14:textId="77777777" w:rsidR="00033537" w:rsidRPr="00E43614" w:rsidRDefault="00033537" w:rsidP="003A0E1D">
      <w:pPr>
        <w:spacing w:before="120" w:after="120"/>
        <w:jc w:val="both"/>
        <w:rPr>
          <w:rFonts w:ascii="Verdana" w:eastAsia="Verdana" w:hAnsi="Verdana" w:cs="Verdana"/>
          <w:b/>
          <w:bCs/>
          <w:strike/>
          <w:spacing w:val="-4"/>
          <w:sz w:val="20"/>
          <w:szCs w:val="20"/>
          <w:lang w:val="es-CR"/>
        </w:rPr>
      </w:pPr>
    </w:p>
    <w:p w14:paraId="39DDB871" w14:textId="1156D9F7" w:rsidR="00E53316" w:rsidRPr="00E43614" w:rsidRDefault="00E53316" w:rsidP="001133E5">
      <w:pPr>
        <w:spacing w:before="120" w:after="120"/>
        <w:jc w:val="both"/>
        <w:rPr>
          <w:rFonts w:ascii="Verdana" w:eastAsia="Verdana" w:hAnsi="Verdana" w:cs="Verdana"/>
          <w:spacing w:val="-4"/>
          <w:sz w:val="20"/>
          <w:szCs w:val="20"/>
          <w:lang w:val="es-CR"/>
        </w:rPr>
      </w:pPr>
      <w:r w:rsidRPr="00E43614">
        <w:rPr>
          <w:rFonts w:ascii="Verdana" w:eastAsia="Verdana" w:hAnsi="Verdana" w:cs="Verdana"/>
          <w:b/>
          <w:bCs/>
          <w:spacing w:val="-4"/>
          <w:sz w:val="20"/>
          <w:szCs w:val="20"/>
          <w:lang w:val="es-CR"/>
        </w:rPr>
        <w:t>POR TANTO:</w:t>
      </w:r>
    </w:p>
    <w:p w14:paraId="4A44A97D" w14:textId="6B4B8F47" w:rsidR="00E53316" w:rsidRPr="00E43614" w:rsidRDefault="00E53316" w:rsidP="001133E5">
      <w:pPr>
        <w:spacing w:before="120" w:after="120"/>
        <w:jc w:val="both"/>
        <w:rPr>
          <w:rFonts w:ascii="Verdana" w:eastAsia="Verdana" w:hAnsi="Verdana" w:cs="Verdana"/>
          <w:spacing w:val="-4"/>
          <w:sz w:val="20"/>
          <w:szCs w:val="20"/>
          <w:lang w:val="es-CR"/>
        </w:rPr>
      </w:pPr>
      <w:r w:rsidRPr="00E43614">
        <w:rPr>
          <w:rFonts w:ascii="Verdana" w:eastAsia="Verdana" w:hAnsi="Verdana" w:cs="Verdana"/>
          <w:b/>
          <w:bCs/>
          <w:spacing w:val="-4"/>
          <w:sz w:val="20"/>
          <w:szCs w:val="20"/>
          <w:lang w:val="es-CR"/>
        </w:rPr>
        <w:t>LA CORTE INTERAMERICANA DE DERECHOS HUMANOS,</w:t>
      </w:r>
    </w:p>
    <w:p w14:paraId="3E7D8DDC" w14:textId="6BC57711" w:rsidR="00E53316" w:rsidRPr="00E43614" w:rsidRDefault="00E53316" w:rsidP="00482404">
      <w:pPr>
        <w:spacing w:before="120" w:after="120"/>
        <w:rPr>
          <w:rFonts w:ascii="Verdana" w:eastAsia="Verdana" w:hAnsi="Verdana" w:cs="Verdana"/>
          <w:spacing w:val="-4"/>
          <w:sz w:val="20"/>
          <w:szCs w:val="20"/>
          <w:highlight w:val="yellow"/>
          <w:lang w:val="es-CR"/>
        </w:rPr>
      </w:pPr>
      <w:r w:rsidRPr="00E43614">
        <w:rPr>
          <w:rFonts w:ascii="Verdana" w:hAnsi="Verdana"/>
          <w:spacing w:val="-4"/>
          <w:sz w:val="20"/>
          <w:szCs w:val="20"/>
          <w:lang w:val="es-MX"/>
        </w:rPr>
        <w:t xml:space="preserve">en uso de las atribuciones que le confieren </w:t>
      </w:r>
      <w:r w:rsidRPr="00E43614">
        <w:rPr>
          <w:rFonts w:ascii="Verdana" w:hAnsi="Verdana"/>
          <w:spacing w:val="-4"/>
          <w:sz w:val="20"/>
          <w:szCs w:val="20"/>
        </w:rPr>
        <w:t xml:space="preserve">los </w:t>
      </w:r>
      <w:proofErr w:type="spellStart"/>
      <w:r w:rsidR="00AB4B54" w:rsidRPr="00E43614">
        <w:rPr>
          <w:rFonts w:ascii="Verdana" w:hAnsi="Verdana"/>
          <w:spacing w:val="-4"/>
          <w:sz w:val="20"/>
          <w:szCs w:val="20"/>
        </w:rPr>
        <w:t>artículos</w:t>
      </w:r>
      <w:proofErr w:type="spellEnd"/>
      <w:r w:rsidR="00AB4B54" w:rsidRPr="00E43614">
        <w:rPr>
          <w:rFonts w:ascii="Verdana" w:hAnsi="Verdana"/>
          <w:spacing w:val="-4"/>
          <w:sz w:val="20"/>
          <w:szCs w:val="20"/>
        </w:rPr>
        <w:t xml:space="preserve"> 63.2 y 68 de la </w:t>
      </w:r>
      <w:proofErr w:type="spellStart"/>
      <w:r w:rsidR="00AB4B54" w:rsidRPr="00E43614">
        <w:rPr>
          <w:rFonts w:ascii="Verdana" w:hAnsi="Verdana"/>
          <w:spacing w:val="-4"/>
          <w:sz w:val="20"/>
          <w:szCs w:val="20"/>
        </w:rPr>
        <w:t>Convención</w:t>
      </w:r>
      <w:proofErr w:type="spellEnd"/>
      <w:r w:rsidR="00AB4B54" w:rsidRPr="00E43614">
        <w:rPr>
          <w:rFonts w:ascii="Verdana" w:hAnsi="Verdana"/>
          <w:spacing w:val="-4"/>
          <w:sz w:val="20"/>
          <w:szCs w:val="20"/>
        </w:rPr>
        <w:t xml:space="preserve"> Americana sobre Derechos Humanos y 27, 31.2 y 69 del Reglamento del Tribunal</w:t>
      </w:r>
      <w:r w:rsidRPr="00E43614">
        <w:rPr>
          <w:rFonts w:ascii="Verdana" w:hAnsi="Verdana"/>
          <w:spacing w:val="-4"/>
          <w:sz w:val="20"/>
          <w:szCs w:val="20"/>
          <w:lang w:val="es-MX"/>
        </w:rPr>
        <w:t>,</w:t>
      </w:r>
    </w:p>
    <w:p w14:paraId="2B0CB418" w14:textId="77777777" w:rsidR="00345670" w:rsidRDefault="00345670" w:rsidP="001133E5">
      <w:pPr>
        <w:spacing w:before="120" w:after="120"/>
        <w:jc w:val="both"/>
        <w:rPr>
          <w:rFonts w:ascii="Verdana" w:eastAsia="Verdana" w:hAnsi="Verdana" w:cs="Verdana"/>
          <w:b/>
          <w:bCs/>
          <w:spacing w:val="-4"/>
          <w:sz w:val="20"/>
          <w:szCs w:val="20"/>
          <w:lang w:val="es-CR"/>
        </w:rPr>
      </w:pPr>
    </w:p>
    <w:p w14:paraId="1F08FB14" w14:textId="77777777" w:rsidR="0096021A" w:rsidRDefault="0096021A">
      <w:pPr>
        <w:spacing w:after="160" w:line="259" w:lineRule="auto"/>
        <w:rPr>
          <w:rFonts w:ascii="Verdana" w:eastAsia="Verdana" w:hAnsi="Verdana" w:cs="Verdana"/>
          <w:b/>
          <w:bCs/>
          <w:spacing w:val="-4"/>
          <w:sz w:val="20"/>
          <w:szCs w:val="20"/>
          <w:lang w:val="es-CR"/>
        </w:rPr>
      </w:pPr>
      <w:r>
        <w:rPr>
          <w:rFonts w:ascii="Verdana" w:eastAsia="Verdana" w:hAnsi="Verdana" w:cs="Verdana"/>
          <w:b/>
          <w:bCs/>
          <w:spacing w:val="-4"/>
          <w:sz w:val="20"/>
          <w:szCs w:val="20"/>
          <w:lang w:val="es-CR"/>
        </w:rPr>
        <w:br w:type="page"/>
      </w:r>
    </w:p>
    <w:p w14:paraId="6B4B554A" w14:textId="3799B6DD" w:rsidR="00E53316" w:rsidRPr="00E43614" w:rsidRDefault="00E53316" w:rsidP="001133E5">
      <w:pPr>
        <w:spacing w:before="120" w:after="120"/>
        <w:jc w:val="both"/>
        <w:rPr>
          <w:rFonts w:ascii="Verdana" w:eastAsia="Verdana" w:hAnsi="Verdana" w:cs="Verdana"/>
          <w:spacing w:val="-4"/>
          <w:sz w:val="20"/>
          <w:szCs w:val="20"/>
          <w:lang w:val="es-CR"/>
        </w:rPr>
      </w:pPr>
      <w:r w:rsidRPr="00E43614">
        <w:rPr>
          <w:rFonts w:ascii="Verdana" w:eastAsia="Verdana" w:hAnsi="Verdana" w:cs="Verdana"/>
          <w:b/>
          <w:bCs/>
          <w:spacing w:val="-4"/>
          <w:sz w:val="20"/>
          <w:szCs w:val="20"/>
          <w:lang w:val="es-CR"/>
        </w:rPr>
        <w:lastRenderedPageBreak/>
        <w:t>RESUELVE:</w:t>
      </w:r>
      <w:r w:rsidR="00401687" w:rsidRPr="00E43614">
        <w:rPr>
          <w:rFonts w:ascii="Verdana" w:eastAsia="Verdana" w:hAnsi="Verdana" w:cs="Verdana"/>
          <w:b/>
          <w:bCs/>
          <w:spacing w:val="-4"/>
          <w:sz w:val="20"/>
          <w:szCs w:val="20"/>
          <w:lang w:val="es-CR"/>
        </w:rPr>
        <w:t xml:space="preserve"> </w:t>
      </w:r>
    </w:p>
    <w:p w14:paraId="11E610B4" w14:textId="274A83D1" w:rsidR="00D06192" w:rsidRPr="00E43614" w:rsidRDefault="00D06192" w:rsidP="001133E5">
      <w:pPr>
        <w:spacing w:before="120" w:after="120"/>
        <w:jc w:val="both"/>
        <w:rPr>
          <w:rFonts w:ascii="Verdana" w:eastAsia="Calibri" w:hAnsi="Verdana" w:cs="Verdana"/>
          <w:color w:val="000000"/>
          <w:spacing w:val="-4"/>
          <w:sz w:val="20"/>
          <w:szCs w:val="20"/>
          <w:lang w:val="es-CR"/>
        </w:rPr>
      </w:pPr>
      <w:r w:rsidRPr="00E43614">
        <w:rPr>
          <w:rFonts w:ascii="Verdana" w:eastAsia="Calibri" w:hAnsi="Verdana" w:cs="Verdana"/>
          <w:color w:val="000000"/>
          <w:spacing w:val="-4"/>
          <w:sz w:val="20"/>
          <w:szCs w:val="20"/>
          <w:lang w:val="es-CR"/>
        </w:rPr>
        <w:t xml:space="preserve">Por </w:t>
      </w:r>
      <w:r w:rsidR="00F700B5" w:rsidRPr="00E43614">
        <w:rPr>
          <w:rFonts w:ascii="Verdana" w:eastAsia="Calibri" w:hAnsi="Verdana" w:cs="Verdana"/>
          <w:color w:val="000000"/>
          <w:spacing w:val="-4"/>
          <w:sz w:val="20"/>
          <w:szCs w:val="20"/>
          <w:lang w:val="es-CR"/>
        </w:rPr>
        <w:t>cinco</w:t>
      </w:r>
      <w:r w:rsidRPr="00E43614">
        <w:rPr>
          <w:rFonts w:ascii="Verdana" w:eastAsia="Calibri" w:hAnsi="Verdana" w:cs="Verdana"/>
          <w:color w:val="000000"/>
          <w:spacing w:val="-4"/>
          <w:sz w:val="20"/>
          <w:szCs w:val="20"/>
          <w:lang w:val="es-CR"/>
        </w:rPr>
        <w:t xml:space="preserve"> votos</w:t>
      </w:r>
      <w:r w:rsidR="000028DC" w:rsidRPr="00E43614">
        <w:rPr>
          <w:rFonts w:ascii="Verdana" w:eastAsia="Calibri" w:hAnsi="Verdana" w:cs="Verdana"/>
          <w:color w:val="000000"/>
          <w:spacing w:val="-4"/>
          <w:sz w:val="20"/>
          <w:szCs w:val="20"/>
          <w:lang w:val="es-CR"/>
        </w:rPr>
        <w:t xml:space="preserve"> a favor y dos en contra</w:t>
      </w:r>
      <w:r w:rsidR="00F700B5" w:rsidRPr="00E43614">
        <w:rPr>
          <w:rFonts w:ascii="Verdana" w:eastAsia="Calibri" w:hAnsi="Verdana" w:cs="Verdana"/>
          <w:color w:val="000000"/>
          <w:spacing w:val="-4"/>
          <w:sz w:val="20"/>
          <w:szCs w:val="20"/>
          <w:lang w:val="es-CR"/>
        </w:rPr>
        <w:t>,</w:t>
      </w:r>
    </w:p>
    <w:p w14:paraId="107A971A" w14:textId="2165C301" w:rsidR="00BB3142" w:rsidRDefault="00BB3142" w:rsidP="001133E5">
      <w:pPr>
        <w:spacing w:before="120" w:after="120"/>
        <w:jc w:val="both"/>
        <w:rPr>
          <w:rFonts w:ascii="Verdana" w:hAnsi="Verdana"/>
          <w:spacing w:val="-4"/>
          <w:sz w:val="20"/>
          <w:szCs w:val="20"/>
        </w:rPr>
      </w:pPr>
      <w:r w:rsidRPr="00E43614">
        <w:rPr>
          <w:rFonts w:ascii="Verdana" w:hAnsi="Verdana"/>
          <w:spacing w:val="-4"/>
          <w:sz w:val="20"/>
          <w:szCs w:val="20"/>
        </w:rPr>
        <w:t xml:space="preserve">Disidentes los Jueces </w:t>
      </w:r>
      <w:r w:rsidR="00482404">
        <w:rPr>
          <w:rFonts w:ascii="Verdana" w:hAnsi="Verdana"/>
          <w:spacing w:val="-4"/>
          <w:sz w:val="20"/>
          <w:szCs w:val="20"/>
        </w:rPr>
        <w:t xml:space="preserve">L. </w:t>
      </w:r>
      <w:r w:rsidRPr="00E43614">
        <w:rPr>
          <w:rFonts w:ascii="Verdana" w:hAnsi="Verdana"/>
          <w:spacing w:val="-4"/>
          <w:sz w:val="20"/>
          <w:szCs w:val="20"/>
        </w:rPr>
        <w:t xml:space="preserve">Patricio Pazmiño Freire y Eugenio Raúl Zaffaroni. </w:t>
      </w:r>
    </w:p>
    <w:p w14:paraId="57F6BF60" w14:textId="77777777" w:rsidR="00345670" w:rsidRPr="00E43614" w:rsidRDefault="00345670" w:rsidP="001133E5">
      <w:pPr>
        <w:spacing w:before="120" w:after="120"/>
        <w:jc w:val="both"/>
        <w:rPr>
          <w:rFonts w:ascii="Verdana" w:hAnsi="Verdana"/>
          <w:spacing w:val="-4"/>
          <w:sz w:val="20"/>
          <w:szCs w:val="20"/>
        </w:rPr>
      </w:pPr>
    </w:p>
    <w:p w14:paraId="54DED1C7" w14:textId="0A981F24" w:rsidR="00C524DF" w:rsidRPr="00922FDC" w:rsidRDefault="00C524DF" w:rsidP="001133E5">
      <w:pPr>
        <w:spacing w:before="120" w:after="120"/>
        <w:jc w:val="both"/>
        <w:rPr>
          <w:rFonts w:ascii="Verdana" w:hAnsi="Verdana"/>
          <w:spacing w:val="-4"/>
          <w:sz w:val="20"/>
          <w:szCs w:val="20"/>
        </w:rPr>
      </w:pPr>
      <w:r w:rsidRPr="00E43614">
        <w:rPr>
          <w:rFonts w:ascii="Verdana" w:hAnsi="Verdana"/>
          <w:spacing w:val="-4"/>
          <w:sz w:val="20"/>
          <w:szCs w:val="20"/>
        </w:rPr>
        <w:t>1.</w:t>
      </w:r>
      <w:r w:rsidRPr="00E43614">
        <w:rPr>
          <w:rFonts w:ascii="Verdana" w:hAnsi="Verdana"/>
          <w:spacing w:val="-4"/>
          <w:sz w:val="20"/>
          <w:szCs w:val="20"/>
        </w:rPr>
        <w:tab/>
      </w:r>
      <w:r w:rsidR="00E43333" w:rsidRPr="00E43614">
        <w:rPr>
          <w:rFonts w:ascii="Verdana" w:hAnsi="Verdana" w:cs="Verdana"/>
          <w:color w:val="000000"/>
          <w:spacing w:val="-4"/>
          <w:sz w:val="20"/>
          <w:szCs w:val="20"/>
        </w:rPr>
        <w:t>Realizar una supervisión reforzada</w:t>
      </w:r>
      <w:r w:rsidR="00E43333" w:rsidRPr="00E43614">
        <w:rPr>
          <w:rFonts w:ascii="Verdana" w:hAnsi="Verdana"/>
          <w:spacing w:val="-4"/>
          <w:sz w:val="20"/>
          <w:szCs w:val="20"/>
        </w:rPr>
        <w:t xml:space="preserve"> respecto de la medida de tratamiento médico y psicológico ordenada en el presente caso respecto de las </w:t>
      </w:r>
      <w:r w:rsidR="00482404">
        <w:rPr>
          <w:rFonts w:ascii="Verdana" w:hAnsi="Verdana"/>
          <w:spacing w:val="-4"/>
          <w:sz w:val="20"/>
          <w:szCs w:val="20"/>
        </w:rPr>
        <w:t>cinco</w:t>
      </w:r>
      <w:r w:rsidR="00E43333" w:rsidRPr="00E43614">
        <w:rPr>
          <w:rFonts w:ascii="Verdana" w:hAnsi="Verdana"/>
          <w:spacing w:val="-4"/>
          <w:sz w:val="20"/>
          <w:szCs w:val="20"/>
        </w:rPr>
        <w:t xml:space="preserve"> víctimas sobre las cuales versa la presente </w:t>
      </w:r>
      <w:r w:rsidR="00E43333" w:rsidRPr="00922FDC">
        <w:rPr>
          <w:rFonts w:ascii="Verdana" w:hAnsi="Verdana"/>
          <w:spacing w:val="-4"/>
          <w:sz w:val="20"/>
          <w:szCs w:val="20"/>
        </w:rPr>
        <w:t xml:space="preserve">solicitud de medidas provisionales, en los términos de los Considerandos </w:t>
      </w:r>
      <w:r w:rsidR="00482404" w:rsidRPr="00922FDC">
        <w:rPr>
          <w:rFonts w:ascii="Verdana" w:hAnsi="Verdana"/>
          <w:spacing w:val="-4"/>
          <w:sz w:val="20"/>
          <w:szCs w:val="20"/>
        </w:rPr>
        <w:t>42</w:t>
      </w:r>
      <w:r w:rsidR="00E43333" w:rsidRPr="00922FDC">
        <w:rPr>
          <w:rFonts w:ascii="Verdana" w:hAnsi="Verdana"/>
          <w:spacing w:val="-4"/>
          <w:sz w:val="20"/>
          <w:szCs w:val="20"/>
        </w:rPr>
        <w:t xml:space="preserve"> a </w:t>
      </w:r>
      <w:r w:rsidR="00482404" w:rsidRPr="00922FDC">
        <w:rPr>
          <w:rFonts w:ascii="Verdana" w:hAnsi="Verdana"/>
          <w:spacing w:val="-4"/>
          <w:sz w:val="20"/>
          <w:szCs w:val="20"/>
        </w:rPr>
        <w:t>45 de la presente Resolución</w:t>
      </w:r>
      <w:r w:rsidR="0003373E" w:rsidRPr="00922FDC">
        <w:rPr>
          <w:rFonts w:ascii="Verdana" w:hAnsi="Verdana"/>
          <w:spacing w:val="-4"/>
          <w:sz w:val="20"/>
          <w:szCs w:val="20"/>
        </w:rPr>
        <w:t>.</w:t>
      </w:r>
    </w:p>
    <w:p w14:paraId="40630E64" w14:textId="282A5B75" w:rsidR="00D97609" w:rsidRPr="00922FDC" w:rsidRDefault="00C524DF" w:rsidP="001133E5">
      <w:pPr>
        <w:spacing w:before="120" w:after="120"/>
        <w:jc w:val="both"/>
        <w:rPr>
          <w:rFonts w:ascii="Verdana" w:hAnsi="Verdana"/>
          <w:spacing w:val="-4"/>
          <w:sz w:val="20"/>
          <w:szCs w:val="20"/>
          <w:lang w:val="es-ES"/>
        </w:rPr>
      </w:pPr>
      <w:r w:rsidRPr="00922FDC">
        <w:rPr>
          <w:rFonts w:ascii="Verdana" w:hAnsi="Verdana"/>
          <w:spacing w:val="-4"/>
          <w:sz w:val="20"/>
          <w:szCs w:val="20"/>
        </w:rPr>
        <w:t>2.</w:t>
      </w:r>
      <w:r w:rsidRPr="00922FDC">
        <w:rPr>
          <w:rFonts w:ascii="Verdana" w:hAnsi="Verdana"/>
          <w:spacing w:val="-4"/>
          <w:sz w:val="20"/>
          <w:szCs w:val="20"/>
        </w:rPr>
        <w:tab/>
        <w:t xml:space="preserve">Requerir que el Estado del Perú́ presente a la Corte Interamericana de Derechos Humanos, a más tardar el </w:t>
      </w:r>
      <w:r w:rsidR="00A608E8" w:rsidRPr="00922FDC">
        <w:rPr>
          <w:rFonts w:ascii="Verdana" w:hAnsi="Verdana"/>
          <w:spacing w:val="-4"/>
          <w:sz w:val="20"/>
          <w:szCs w:val="20"/>
        </w:rPr>
        <w:t>2</w:t>
      </w:r>
      <w:r w:rsidR="00482404" w:rsidRPr="00922FDC">
        <w:rPr>
          <w:rFonts w:ascii="Verdana" w:hAnsi="Verdana"/>
          <w:spacing w:val="-4"/>
          <w:sz w:val="20"/>
          <w:szCs w:val="20"/>
        </w:rPr>
        <w:t xml:space="preserve"> de septiembre de 2020</w:t>
      </w:r>
      <w:r w:rsidRPr="00922FDC">
        <w:rPr>
          <w:rFonts w:ascii="Verdana" w:hAnsi="Verdana"/>
          <w:spacing w:val="-4"/>
          <w:sz w:val="20"/>
          <w:szCs w:val="20"/>
        </w:rPr>
        <w:t xml:space="preserve">, un informe sobre el cumplimiento de </w:t>
      </w:r>
      <w:r w:rsidRPr="00922FDC">
        <w:rPr>
          <w:rFonts w:ascii="Verdana" w:hAnsi="Verdana"/>
          <w:spacing w:val="-4"/>
          <w:sz w:val="20"/>
          <w:szCs w:val="20"/>
          <w:lang w:val="es-ES"/>
        </w:rPr>
        <w:t xml:space="preserve">la medida relativa a tratamiento médico </w:t>
      </w:r>
      <w:r w:rsidR="00087F6D" w:rsidRPr="00922FDC">
        <w:rPr>
          <w:rFonts w:ascii="Verdana" w:hAnsi="Verdana"/>
          <w:spacing w:val="-4"/>
          <w:sz w:val="20"/>
          <w:szCs w:val="20"/>
          <w:lang w:val="es-ES"/>
        </w:rPr>
        <w:t xml:space="preserve">y psicológico </w:t>
      </w:r>
      <w:r w:rsidRPr="00922FDC">
        <w:rPr>
          <w:rFonts w:ascii="Verdana" w:hAnsi="Verdana"/>
          <w:spacing w:val="-4"/>
          <w:sz w:val="20"/>
          <w:szCs w:val="20"/>
          <w:lang w:val="es-ES"/>
        </w:rPr>
        <w:t xml:space="preserve">ordenada en el punto resolutivo decimotercero </w:t>
      </w:r>
      <w:r w:rsidR="00087F6D" w:rsidRPr="00922FDC">
        <w:rPr>
          <w:rFonts w:ascii="Verdana" w:hAnsi="Verdana"/>
          <w:spacing w:val="-4"/>
          <w:sz w:val="20"/>
          <w:szCs w:val="20"/>
          <w:lang w:val="es-ES"/>
        </w:rPr>
        <w:t>de</w:t>
      </w:r>
      <w:r w:rsidR="00E43333" w:rsidRPr="00922FDC">
        <w:rPr>
          <w:rFonts w:ascii="Verdana" w:hAnsi="Verdana"/>
          <w:spacing w:val="-4"/>
          <w:sz w:val="20"/>
          <w:szCs w:val="20"/>
          <w:lang w:val="es-ES"/>
        </w:rPr>
        <w:t xml:space="preserve"> </w:t>
      </w:r>
      <w:r w:rsidR="00087F6D" w:rsidRPr="00922FDC">
        <w:rPr>
          <w:rFonts w:ascii="Verdana" w:hAnsi="Verdana"/>
          <w:spacing w:val="-4"/>
          <w:sz w:val="20"/>
          <w:szCs w:val="20"/>
          <w:lang w:val="es-ES"/>
        </w:rPr>
        <w:t xml:space="preserve">la Sentencia </w:t>
      </w:r>
      <w:r w:rsidRPr="00922FDC">
        <w:rPr>
          <w:rFonts w:ascii="Verdana" w:hAnsi="Verdana"/>
          <w:spacing w:val="-4"/>
          <w:sz w:val="20"/>
          <w:szCs w:val="20"/>
          <w:lang w:val="es-ES"/>
        </w:rPr>
        <w:t>respecto de las cinco víctimas</w:t>
      </w:r>
      <w:r w:rsidRPr="00922FDC">
        <w:rPr>
          <w:rFonts w:ascii="Verdana" w:hAnsi="Verdana"/>
          <w:spacing w:val="-4"/>
          <w:sz w:val="20"/>
          <w:szCs w:val="20"/>
        </w:rPr>
        <w:t xml:space="preserve"> sobre las cuales versa la </w:t>
      </w:r>
      <w:r w:rsidR="00482404" w:rsidRPr="00922FDC">
        <w:rPr>
          <w:rFonts w:ascii="Verdana" w:hAnsi="Verdana"/>
          <w:spacing w:val="-4"/>
          <w:sz w:val="20"/>
          <w:szCs w:val="20"/>
        </w:rPr>
        <w:t xml:space="preserve">presente </w:t>
      </w:r>
      <w:r w:rsidRPr="00922FDC">
        <w:rPr>
          <w:rFonts w:ascii="Verdana" w:hAnsi="Verdana"/>
          <w:spacing w:val="-4"/>
          <w:sz w:val="20"/>
          <w:szCs w:val="20"/>
        </w:rPr>
        <w:t xml:space="preserve">solicitud de medidas provisionales. El Estado </w:t>
      </w:r>
      <w:r w:rsidRPr="00922FDC">
        <w:rPr>
          <w:rFonts w:ascii="Verdana" w:hAnsi="Verdana"/>
          <w:spacing w:val="-4"/>
          <w:sz w:val="20"/>
          <w:szCs w:val="20"/>
          <w:lang w:val="es-ES"/>
        </w:rPr>
        <w:t xml:space="preserve">deberá continuar presentando informes cada </w:t>
      </w:r>
      <w:r w:rsidR="00482404" w:rsidRPr="00922FDC">
        <w:rPr>
          <w:rFonts w:ascii="Verdana" w:hAnsi="Verdana"/>
          <w:spacing w:val="-4"/>
          <w:sz w:val="20"/>
          <w:szCs w:val="20"/>
          <w:lang w:val="es-ES"/>
        </w:rPr>
        <w:t>cuatro</w:t>
      </w:r>
      <w:r w:rsidR="00E43333" w:rsidRPr="00922FDC">
        <w:rPr>
          <w:rFonts w:ascii="Verdana" w:hAnsi="Verdana"/>
          <w:spacing w:val="-4"/>
          <w:sz w:val="20"/>
          <w:szCs w:val="20"/>
          <w:lang w:val="es-ES"/>
        </w:rPr>
        <w:t xml:space="preserve"> semanas</w:t>
      </w:r>
      <w:r w:rsidR="00482404" w:rsidRPr="00922FDC">
        <w:rPr>
          <w:rFonts w:ascii="Verdana" w:hAnsi="Verdana"/>
          <w:spacing w:val="-4"/>
          <w:sz w:val="20"/>
          <w:szCs w:val="20"/>
          <w:lang w:val="es-ES"/>
        </w:rPr>
        <w:t>,</w:t>
      </w:r>
      <w:r w:rsidRPr="00922FDC">
        <w:rPr>
          <w:rFonts w:ascii="Verdana" w:hAnsi="Verdana"/>
          <w:spacing w:val="-4"/>
          <w:sz w:val="20"/>
          <w:szCs w:val="20"/>
          <w:lang w:val="es-ES"/>
        </w:rPr>
        <w:t xml:space="preserve"> por el tiempo que esta Corte considere necesario.</w:t>
      </w:r>
      <w:r w:rsidR="00F82F54" w:rsidRPr="00922FDC">
        <w:rPr>
          <w:rFonts w:ascii="Verdana" w:hAnsi="Verdana"/>
          <w:spacing w:val="-4"/>
          <w:sz w:val="20"/>
          <w:szCs w:val="20"/>
          <w:lang w:val="es-ES"/>
        </w:rPr>
        <w:t xml:space="preserve"> </w:t>
      </w:r>
    </w:p>
    <w:p w14:paraId="6EEE0164" w14:textId="3D1F281E" w:rsidR="00EA5F54" w:rsidRPr="00922FDC" w:rsidRDefault="00C524DF" w:rsidP="001133E5">
      <w:pPr>
        <w:pStyle w:val="Prrafodelista"/>
        <w:spacing w:before="120" w:after="120" w:line="240" w:lineRule="auto"/>
        <w:ind w:left="0"/>
        <w:contextualSpacing w:val="0"/>
        <w:jc w:val="both"/>
        <w:rPr>
          <w:rFonts w:ascii="Verdana" w:hAnsi="Verdana"/>
          <w:spacing w:val="-4"/>
          <w:sz w:val="20"/>
          <w:szCs w:val="20"/>
          <w:lang w:val="es-ES_tradnl"/>
        </w:rPr>
      </w:pPr>
      <w:r w:rsidRPr="00922FDC">
        <w:rPr>
          <w:rFonts w:ascii="Verdana" w:hAnsi="Verdana"/>
          <w:spacing w:val="-4"/>
          <w:sz w:val="20"/>
          <w:szCs w:val="20"/>
          <w:lang w:val="es-ES_tradnl"/>
        </w:rPr>
        <w:t>3.</w:t>
      </w:r>
      <w:r w:rsidRPr="00922FDC">
        <w:rPr>
          <w:rFonts w:ascii="Verdana" w:hAnsi="Verdana"/>
          <w:spacing w:val="-4"/>
          <w:sz w:val="20"/>
          <w:szCs w:val="20"/>
          <w:lang w:val="es-ES_tradnl"/>
        </w:rPr>
        <w:tab/>
      </w:r>
      <w:r w:rsidR="00EA5F54" w:rsidRPr="00922FDC">
        <w:rPr>
          <w:rFonts w:ascii="Verdana" w:hAnsi="Verdana"/>
          <w:spacing w:val="-4"/>
          <w:sz w:val="20"/>
          <w:szCs w:val="20"/>
          <w:lang w:val="es-ES_tradnl"/>
        </w:rPr>
        <w:t>Requerir a</w:t>
      </w:r>
      <w:r w:rsidR="00FC4C64" w:rsidRPr="00922FDC">
        <w:rPr>
          <w:rFonts w:ascii="Verdana" w:hAnsi="Verdana"/>
          <w:spacing w:val="-4"/>
          <w:sz w:val="20"/>
          <w:szCs w:val="20"/>
          <w:lang w:val="es-ES_tradnl"/>
        </w:rPr>
        <w:t>l</w:t>
      </w:r>
      <w:r w:rsidR="00EA5F54" w:rsidRPr="00922FDC">
        <w:rPr>
          <w:rFonts w:ascii="Verdana" w:hAnsi="Verdana"/>
          <w:spacing w:val="-4"/>
          <w:sz w:val="20"/>
          <w:szCs w:val="20"/>
          <w:lang w:val="es-ES_tradnl"/>
        </w:rPr>
        <w:t xml:space="preserve"> </w:t>
      </w:r>
      <w:r w:rsidR="00FC4C64" w:rsidRPr="00922FDC">
        <w:rPr>
          <w:rFonts w:ascii="Verdana" w:hAnsi="Verdana"/>
          <w:spacing w:val="-4"/>
          <w:sz w:val="20"/>
          <w:szCs w:val="20"/>
          <w:lang w:val="es-ES_tradnl"/>
        </w:rPr>
        <w:t>interviniente</w:t>
      </w:r>
      <w:r w:rsidR="00FC4C64" w:rsidRPr="00922FDC">
        <w:rPr>
          <w:rFonts w:ascii="Verdana" w:hAnsi="Verdana"/>
          <w:spacing w:val="-4"/>
          <w:sz w:val="20"/>
          <w:szCs w:val="20"/>
          <w:lang w:val="es-AR"/>
        </w:rPr>
        <w:t xml:space="preserve"> común de los representantes de las víctimas que presentó</w:t>
      </w:r>
      <w:r w:rsidR="00680F42" w:rsidRPr="00922FDC">
        <w:rPr>
          <w:rFonts w:ascii="Verdana" w:hAnsi="Verdana"/>
          <w:spacing w:val="-4"/>
          <w:sz w:val="20"/>
          <w:szCs w:val="20"/>
          <w:lang w:val="es-AR"/>
        </w:rPr>
        <w:t xml:space="preserve"> la solicitud de medidas provisionales </w:t>
      </w:r>
      <w:r w:rsidR="00FC4C64" w:rsidRPr="00922FDC">
        <w:rPr>
          <w:rFonts w:ascii="Verdana" w:hAnsi="Verdana"/>
          <w:spacing w:val="-4"/>
          <w:sz w:val="20"/>
          <w:szCs w:val="20"/>
          <w:lang w:val="es-ES_tradnl"/>
        </w:rPr>
        <w:t>que presente</w:t>
      </w:r>
      <w:r w:rsidR="00EA5F54" w:rsidRPr="00922FDC">
        <w:rPr>
          <w:rFonts w:ascii="Verdana" w:hAnsi="Verdana"/>
          <w:spacing w:val="-4"/>
          <w:sz w:val="20"/>
          <w:szCs w:val="20"/>
          <w:lang w:val="es-ES_tradnl"/>
        </w:rPr>
        <w:t xml:space="preserve"> sus observaciones </w:t>
      </w:r>
      <w:r w:rsidR="00FC4C64" w:rsidRPr="00922FDC">
        <w:rPr>
          <w:rFonts w:ascii="Verdana" w:hAnsi="Verdana"/>
          <w:spacing w:val="-4"/>
          <w:sz w:val="20"/>
          <w:szCs w:val="20"/>
          <w:lang w:val="es-ES_tradnl"/>
        </w:rPr>
        <w:t xml:space="preserve">a dichos informes estatales </w:t>
      </w:r>
      <w:r w:rsidR="00EA5F54" w:rsidRPr="00922FDC">
        <w:rPr>
          <w:rFonts w:ascii="Verdana" w:hAnsi="Verdana"/>
          <w:spacing w:val="-4"/>
          <w:sz w:val="20"/>
          <w:szCs w:val="20"/>
          <w:lang w:val="es-ES_tradnl"/>
        </w:rPr>
        <w:t xml:space="preserve">dentro de un plazo de </w:t>
      </w:r>
      <w:r w:rsidR="00CF4E83" w:rsidRPr="00922FDC">
        <w:rPr>
          <w:rFonts w:ascii="Verdana" w:hAnsi="Verdana"/>
          <w:spacing w:val="-4"/>
          <w:sz w:val="20"/>
          <w:szCs w:val="20"/>
          <w:lang w:val="es-ES_tradnl"/>
        </w:rPr>
        <w:t>dos semanas</w:t>
      </w:r>
      <w:r w:rsidR="005237D1" w:rsidRPr="00922FDC">
        <w:rPr>
          <w:rFonts w:ascii="Verdana" w:hAnsi="Verdana"/>
          <w:spacing w:val="-4"/>
          <w:sz w:val="20"/>
          <w:szCs w:val="20"/>
          <w:lang w:val="es-ES_tradnl"/>
        </w:rPr>
        <w:t>, contad</w:t>
      </w:r>
      <w:r w:rsidR="00CF4E83" w:rsidRPr="00922FDC">
        <w:rPr>
          <w:rFonts w:ascii="Verdana" w:hAnsi="Verdana"/>
          <w:spacing w:val="-4"/>
          <w:sz w:val="20"/>
          <w:szCs w:val="20"/>
          <w:lang w:val="es-ES_tradnl"/>
        </w:rPr>
        <w:t>a</w:t>
      </w:r>
      <w:r w:rsidR="005237D1" w:rsidRPr="00922FDC">
        <w:rPr>
          <w:rFonts w:ascii="Verdana" w:hAnsi="Verdana"/>
          <w:spacing w:val="-4"/>
          <w:sz w:val="20"/>
          <w:szCs w:val="20"/>
          <w:lang w:val="es-ES_tradnl"/>
        </w:rPr>
        <w:t>s</w:t>
      </w:r>
      <w:r w:rsidR="00F82F54" w:rsidRPr="00922FDC">
        <w:rPr>
          <w:rFonts w:ascii="Verdana" w:hAnsi="Verdana"/>
          <w:spacing w:val="-4"/>
          <w:sz w:val="20"/>
          <w:szCs w:val="20"/>
          <w:lang w:val="es-ES_tradnl"/>
        </w:rPr>
        <w:t xml:space="preserve"> a partir de la notificación de los</w:t>
      </w:r>
      <w:r w:rsidR="00EA5F54" w:rsidRPr="00922FDC">
        <w:rPr>
          <w:rFonts w:ascii="Verdana" w:hAnsi="Verdana"/>
          <w:spacing w:val="-4"/>
          <w:sz w:val="20"/>
          <w:szCs w:val="20"/>
          <w:lang w:val="es-ES_tradnl"/>
        </w:rPr>
        <w:t xml:space="preserve"> informe</w:t>
      </w:r>
      <w:r w:rsidR="00F82F54" w:rsidRPr="00922FDC">
        <w:rPr>
          <w:rFonts w:ascii="Verdana" w:hAnsi="Verdana"/>
          <w:spacing w:val="-4"/>
          <w:sz w:val="20"/>
          <w:szCs w:val="20"/>
          <w:lang w:val="es-ES_tradnl"/>
        </w:rPr>
        <w:t>s</w:t>
      </w:r>
      <w:r w:rsidR="00EA5F54" w:rsidRPr="00922FDC">
        <w:rPr>
          <w:rFonts w:ascii="Verdana" w:hAnsi="Verdana"/>
          <w:spacing w:val="-4"/>
          <w:sz w:val="20"/>
          <w:szCs w:val="20"/>
          <w:lang w:val="es-ES_tradnl"/>
        </w:rPr>
        <w:t xml:space="preserve"> solicitado</w:t>
      </w:r>
      <w:r w:rsidR="00F82F54" w:rsidRPr="00922FDC">
        <w:rPr>
          <w:rFonts w:ascii="Verdana" w:hAnsi="Verdana"/>
          <w:spacing w:val="-4"/>
          <w:sz w:val="20"/>
          <w:szCs w:val="20"/>
          <w:lang w:val="es-ES_tradnl"/>
        </w:rPr>
        <w:t>s</w:t>
      </w:r>
      <w:r w:rsidR="00EA5F54" w:rsidRPr="00922FDC">
        <w:rPr>
          <w:rFonts w:ascii="Verdana" w:hAnsi="Verdana"/>
          <w:spacing w:val="-4"/>
          <w:sz w:val="20"/>
          <w:szCs w:val="20"/>
          <w:lang w:val="es-ES_tradnl"/>
        </w:rPr>
        <w:t xml:space="preserve"> en el punto resolutivo </w:t>
      </w:r>
      <w:r w:rsidR="00FC4C64" w:rsidRPr="00922FDC">
        <w:rPr>
          <w:rFonts w:ascii="Verdana" w:hAnsi="Verdana"/>
          <w:spacing w:val="-4"/>
          <w:sz w:val="20"/>
          <w:szCs w:val="20"/>
          <w:lang w:val="es-AR"/>
        </w:rPr>
        <w:t>segundo</w:t>
      </w:r>
      <w:r w:rsidR="00EA5F54" w:rsidRPr="00922FDC">
        <w:rPr>
          <w:rFonts w:ascii="Verdana" w:hAnsi="Verdana"/>
          <w:spacing w:val="-4"/>
          <w:sz w:val="20"/>
          <w:szCs w:val="20"/>
          <w:lang w:val="es-ES_tradnl"/>
        </w:rPr>
        <w:t>, así como a la Comisión Interamericana de Derechos Humanos que presente sus observaciones a dicho</w:t>
      </w:r>
      <w:r w:rsidR="00F82F54" w:rsidRPr="00922FDC">
        <w:rPr>
          <w:rFonts w:ascii="Verdana" w:hAnsi="Verdana"/>
          <w:spacing w:val="-4"/>
          <w:sz w:val="20"/>
          <w:szCs w:val="20"/>
          <w:lang w:val="es-ES_tradnl"/>
        </w:rPr>
        <w:t>s</w:t>
      </w:r>
      <w:r w:rsidR="00EA5F54" w:rsidRPr="00922FDC">
        <w:rPr>
          <w:rFonts w:ascii="Verdana" w:hAnsi="Verdana"/>
          <w:spacing w:val="-4"/>
          <w:sz w:val="20"/>
          <w:szCs w:val="20"/>
          <w:lang w:val="es-ES_tradnl"/>
        </w:rPr>
        <w:t xml:space="preserve"> informe</w:t>
      </w:r>
      <w:r w:rsidR="00F82F54" w:rsidRPr="00922FDC">
        <w:rPr>
          <w:rFonts w:ascii="Verdana" w:hAnsi="Verdana"/>
          <w:spacing w:val="-4"/>
          <w:sz w:val="20"/>
          <w:szCs w:val="20"/>
          <w:lang w:val="es-ES_tradnl"/>
        </w:rPr>
        <w:t>s</w:t>
      </w:r>
      <w:r w:rsidR="00EA5F54" w:rsidRPr="00922FDC">
        <w:rPr>
          <w:rFonts w:ascii="Verdana" w:hAnsi="Verdana"/>
          <w:spacing w:val="-4"/>
          <w:sz w:val="20"/>
          <w:szCs w:val="20"/>
          <w:lang w:val="es-ES_tradnl"/>
        </w:rPr>
        <w:t xml:space="preserve"> dentro de un plazo de </w:t>
      </w:r>
      <w:r w:rsidR="00CF4E83" w:rsidRPr="00922FDC">
        <w:rPr>
          <w:rFonts w:ascii="Verdana" w:hAnsi="Verdana"/>
          <w:spacing w:val="-4"/>
          <w:sz w:val="20"/>
          <w:szCs w:val="20"/>
          <w:lang w:val="es-ES_tradnl"/>
        </w:rPr>
        <w:t>una semana,</w:t>
      </w:r>
      <w:r w:rsidR="00CF4E83" w:rsidRPr="00985A65">
        <w:rPr>
          <w:rFonts w:ascii="Verdana" w:hAnsi="Verdana"/>
          <w:spacing w:val="-4"/>
          <w:sz w:val="20"/>
          <w:szCs w:val="20"/>
          <w:lang w:val="es-ES_tradnl"/>
        </w:rPr>
        <w:t xml:space="preserve"> </w:t>
      </w:r>
      <w:r w:rsidR="00EA5F54" w:rsidRPr="00922FDC">
        <w:rPr>
          <w:rFonts w:ascii="Verdana" w:hAnsi="Verdana"/>
          <w:spacing w:val="-4"/>
          <w:sz w:val="20"/>
          <w:szCs w:val="20"/>
          <w:lang w:val="es-ES_tradnl"/>
        </w:rPr>
        <w:t xml:space="preserve">a partir de la recepción de las observaciones de los </w:t>
      </w:r>
      <w:r w:rsidR="00680F42" w:rsidRPr="00922FDC">
        <w:rPr>
          <w:rFonts w:ascii="Verdana" w:hAnsi="Verdana"/>
          <w:spacing w:val="-4"/>
          <w:sz w:val="20"/>
          <w:szCs w:val="20"/>
          <w:lang w:val="es-AR"/>
        </w:rPr>
        <w:t>intervinientes comunes</w:t>
      </w:r>
      <w:r w:rsidR="00EA5F54" w:rsidRPr="00922FDC">
        <w:rPr>
          <w:rFonts w:ascii="Verdana" w:hAnsi="Verdana"/>
          <w:spacing w:val="-4"/>
          <w:sz w:val="20"/>
          <w:szCs w:val="20"/>
          <w:lang w:val="es-ES_tradnl"/>
        </w:rPr>
        <w:t>.</w:t>
      </w:r>
    </w:p>
    <w:p w14:paraId="6FEE4C8D" w14:textId="6F52EEAC" w:rsidR="00F45CC1" w:rsidRPr="00E43614" w:rsidRDefault="0003373E" w:rsidP="001133E5">
      <w:pPr>
        <w:spacing w:before="120" w:after="120"/>
        <w:jc w:val="both"/>
        <w:rPr>
          <w:rFonts w:ascii="Verdana" w:hAnsi="Verdana"/>
          <w:spacing w:val="-4"/>
          <w:sz w:val="20"/>
          <w:szCs w:val="20"/>
          <w:lang w:val="es-ES"/>
        </w:rPr>
      </w:pPr>
      <w:r w:rsidRPr="00922FDC">
        <w:rPr>
          <w:rFonts w:ascii="Verdana" w:hAnsi="Verdana"/>
          <w:spacing w:val="-4"/>
          <w:sz w:val="20"/>
          <w:szCs w:val="20"/>
          <w:lang w:val="es-ES"/>
        </w:rPr>
        <w:t>4.</w:t>
      </w:r>
      <w:r w:rsidRPr="00922FDC">
        <w:rPr>
          <w:rFonts w:ascii="Verdana" w:hAnsi="Verdana"/>
          <w:spacing w:val="-4"/>
          <w:sz w:val="20"/>
          <w:szCs w:val="20"/>
          <w:lang w:val="es-ES"/>
        </w:rPr>
        <w:tab/>
      </w:r>
      <w:r w:rsidR="00F45CC1" w:rsidRPr="00922FDC">
        <w:rPr>
          <w:rFonts w:ascii="Verdana" w:hAnsi="Verdana"/>
          <w:spacing w:val="-4"/>
          <w:sz w:val="20"/>
          <w:szCs w:val="20"/>
          <w:lang w:val="es-ES"/>
        </w:rPr>
        <w:t>E</w:t>
      </w:r>
      <w:r w:rsidR="00F45CC1" w:rsidRPr="00922FDC">
        <w:rPr>
          <w:rFonts w:ascii="Verdana" w:hAnsi="Verdana"/>
          <w:sz w:val="20"/>
          <w:szCs w:val="20"/>
          <w:lang w:val="es-ES"/>
        </w:rPr>
        <w:t xml:space="preserve">n </w:t>
      </w:r>
      <w:r w:rsidR="005237D1" w:rsidRPr="00922FDC">
        <w:rPr>
          <w:rFonts w:ascii="Verdana" w:hAnsi="Verdana"/>
          <w:spacing w:val="-4"/>
          <w:sz w:val="20"/>
          <w:szCs w:val="20"/>
        </w:rPr>
        <w:t>aplicación</w:t>
      </w:r>
      <w:r w:rsidR="00F45CC1" w:rsidRPr="00922FDC">
        <w:rPr>
          <w:rFonts w:ascii="Verdana" w:hAnsi="Verdana"/>
          <w:sz w:val="20"/>
          <w:szCs w:val="20"/>
          <w:lang w:val="es-ES"/>
        </w:rPr>
        <w:t xml:space="preserve"> del </w:t>
      </w:r>
      <w:r w:rsidR="005237D1" w:rsidRPr="00922FDC">
        <w:rPr>
          <w:rFonts w:ascii="Verdana" w:hAnsi="Verdana"/>
          <w:sz w:val="20"/>
          <w:szCs w:val="20"/>
          <w:lang w:val="es-ES"/>
        </w:rPr>
        <w:t>artículo</w:t>
      </w:r>
      <w:r w:rsidR="00F45CC1" w:rsidRPr="00922FDC">
        <w:rPr>
          <w:rFonts w:ascii="Verdana" w:hAnsi="Verdana"/>
          <w:sz w:val="20"/>
          <w:szCs w:val="20"/>
          <w:lang w:val="es-ES"/>
        </w:rPr>
        <w:t xml:space="preserve"> 69.2 de su Reglamento, solicitar a la Defensoría del Pueblo del Perú que, </w:t>
      </w:r>
      <w:r w:rsidR="005237D1" w:rsidRPr="00922FDC">
        <w:rPr>
          <w:rFonts w:ascii="Verdana" w:hAnsi="Verdana"/>
          <w:spacing w:val="-4"/>
          <w:sz w:val="20"/>
          <w:szCs w:val="20"/>
          <w:lang w:val="es-ES"/>
        </w:rPr>
        <w:t>en el ámbito de sus competencias,</w:t>
      </w:r>
      <w:r w:rsidR="005237D1" w:rsidRPr="00922FDC">
        <w:rPr>
          <w:rFonts w:ascii="Verdana" w:hAnsi="Verdana"/>
          <w:b/>
          <w:bCs/>
          <w:spacing w:val="-4"/>
          <w:sz w:val="20"/>
          <w:szCs w:val="20"/>
          <w:lang w:val="es-ES"/>
        </w:rPr>
        <w:t xml:space="preserve"> </w:t>
      </w:r>
      <w:r w:rsidR="00DD41E2" w:rsidRPr="00922FDC">
        <w:rPr>
          <w:rFonts w:ascii="Verdana" w:hAnsi="Verdana"/>
          <w:spacing w:val="-4"/>
          <w:sz w:val="20"/>
          <w:szCs w:val="20"/>
          <w:lang w:val="es-ES"/>
        </w:rPr>
        <w:t>presente</w:t>
      </w:r>
      <w:r w:rsidR="00CF4E83" w:rsidRPr="00922FDC">
        <w:rPr>
          <w:rFonts w:ascii="Verdana" w:hAnsi="Verdana"/>
          <w:spacing w:val="-4"/>
          <w:sz w:val="20"/>
          <w:szCs w:val="20"/>
          <w:lang w:val="es-ES"/>
        </w:rPr>
        <w:t>, a más tardar el 2 de septiembre de 2020,</w:t>
      </w:r>
      <w:r w:rsidR="00DD41E2" w:rsidRPr="00922FDC">
        <w:rPr>
          <w:rFonts w:ascii="Verdana" w:hAnsi="Verdana"/>
          <w:spacing w:val="-4"/>
          <w:sz w:val="20"/>
          <w:szCs w:val="20"/>
          <w:lang w:val="es-ES"/>
        </w:rPr>
        <w:t xml:space="preserve"> un informe con respecto a la referida atención médica y psicológica en el marco de la emergencia sanitaria causada por el COVID-19, u otra in</w:t>
      </w:r>
      <w:r w:rsidR="00DD41E2" w:rsidRPr="00E43614">
        <w:rPr>
          <w:rFonts w:ascii="Verdana" w:hAnsi="Verdana"/>
          <w:spacing w:val="-4"/>
          <w:sz w:val="20"/>
          <w:szCs w:val="20"/>
          <w:lang w:val="es-ES"/>
        </w:rPr>
        <w:t xml:space="preserve">formación que estime relevante sobre las condiciones generales de los centros penitenciarios en que se encuentran las </w:t>
      </w:r>
      <w:r w:rsidR="005237D1">
        <w:rPr>
          <w:rFonts w:ascii="Verdana" w:hAnsi="Verdana"/>
          <w:spacing w:val="-4"/>
          <w:sz w:val="20"/>
          <w:szCs w:val="20"/>
          <w:lang w:val="es-ES"/>
        </w:rPr>
        <w:t>cinco</w:t>
      </w:r>
      <w:r w:rsidR="00DD41E2" w:rsidRPr="00E43614">
        <w:rPr>
          <w:rFonts w:ascii="Verdana" w:hAnsi="Verdana"/>
          <w:spacing w:val="-4"/>
          <w:sz w:val="20"/>
          <w:szCs w:val="20"/>
          <w:lang w:val="es-ES"/>
        </w:rPr>
        <w:t xml:space="preserve"> víctimas que, a la luz del contexto de la pandemia, puedan incidir en la atención de su salud</w:t>
      </w:r>
      <w:r w:rsidR="00F45CC1" w:rsidRPr="00E43614">
        <w:rPr>
          <w:rFonts w:ascii="Verdana" w:hAnsi="Verdana"/>
          <w:spacing w:val="-4"/>
          <w:sz w:val="20"/>
          <w:szCs w:val="20"/>
          <w:lang w:val="es-ES"/>
        </w:rPr>
        <w:t>. Una vez que presente dicho informe, la Pres</w:t>
      </w:r>
      <w:r w:rsidR="00E43333" w:rsidRPr="00E43614">
        <w:rPr>
          <w:rFonts w:ascii="Verdana" w:hAnsi="Verdana"/>
          <w:spacing w:val="-4"/>
          <w:sz w:val="20"/>
          <w:szCs w:val="20"/>
          <w:lang w:val="es-ES"/>
        </w:rPr>
        <w:t>idencia de este Tribunal otorgará</w:t>
      </w:r>
      <w:r w:rsidR="00F45CC1" w:rsidRPr="00E43614">
        <w:rPr>
          <w:rFonts w:ascii="Verdana" w:hAnsi="Verdana"/>
          <w:spacing w:val="-4"/>
          <w:sz w:val="20"/>
          <w:szCs w:val="20"/>
          <w:lang w:val="es-ES"/>
        </w:rPr>
        <w:t xml:space="preserve"> plazos a las partes</w:t>
      </w:r>
      <w:r w:rsidR="005237D1">
        <w:rPr>
          <w:rFonts w:ascii="Verdana" w:hAnsi="Verdana"/>
          <w:spacing w:val="-4"/>
          <w:sz w:val="20"/>
          <w:szCs w:val="20"/>
          <w:lang w:val="es-ES"/>
        </w:rPr>
        <w:t xml:space="preserve"> </w:t>
      </w:r>
      <w:r w:rsidR="00F45CC1" w:rsidRPr="00E43614">
        <w:rPr>
          <w:rFonts w:ascii="Verdana" w:hAnsi="Verdana"/>
          <w:spacing w:val="-4"/>
          <w:sz w:val="20"/>
          <w:szCs w:val="20"/>
          <w:lang w:val="es-ES"/>
        </w:rPr>
        <w:t>para que presenten observaciones al mismo.</w:t>
      </w:r>
    </w:p>
    <w:p w14:paraId="6406A00C" w14:textId="44A97A3A" w:rsidR="00E53316" w:rsidRPr="00E43614" w:rsidRDefault="0003373E" w:rsidP="001133E5">
      <w:pPr>
        <w:pStyle w:val="Prrafodelista"/>
        <w:spacing w:before="120" w:after="120" w:line="240" w:lineRule="auto"/>
        <w:ind w:left="0"/>
        <w:contextualSpacing w:val="0"/>
        <w:jc w:val="both"/>
        <w:rPr>
          <w:rFonts w:ascii="Verdana" w:eastAsia="Verdana" w:hAnsi="Verdana" w:cs="Verdana"/>
          <w:b/>
          <w:spacing w:val="-4"/>
          <w:sz w:val="20"/>
          <w:szCs w:val="20"/>
          <w:lang w:val="es-CR"/>
        </w:rPr>
      </w:pPr>
      <w:r w:rsidRPr="00E43614">
        <w:rPr>
          <w:rFonts w:ascii="Verdana" w:eastAsia="Verdana" w:hAnsi="Verdana" w:cs="Verdana"/>
          <w:spacing w:val="-4"/>
          <w:sz w:val="20"/>
          <w:szCs w:val="20"/>
          <w:lang w:val="es-CR"/>
        </w:rPr>
        <w:t>5</w:t>
      </w:r>
      <w:r w:rsidR="00C524DF" w:rsidRPr="00E43614">
        <w:rPr>
          <w:rFonts w:ascii="Verdana" w:eastAsia="Verdana" w:hAnsi="Verdana" w:cs="Verdana"/>
          <w:spacing w:val="-4"/>
          <w:sz w:val="20"/>
          <w:szCs w:val="20"/>
          <w:lang w:val="es-CR"/>
        </w:rPr>
        <w:t>.</w:t>
      </w:r>
      <w:r w:rsidR="00C524DF" w:rsidRPr="00E43614">
        <w:rPr>
          <w:rFonts w:ascii="Verdana" w:eastAsia="Verdana" w:hAnsi="Verdana" w:cs="Verdana"/>
          <w:spacing w:val="-4"/>
          <w:sz w:val="20"/>
          <w:szCs w:val="20"/>
          <w:lang w:val="es-CR"/>
        </w:rPr>
        <w:tab/>
      </w:r>
      <w:r w:rsidR="00E53316" w:rsidRPr="00E43614">
        <w:rPr>
          <w:rFonts w:ascii="Verdana" w:eastAsia="Verdana" w:hAnsi="Verdana" w:cs="Verdana"/>
          <w:spacing w:val="-4"/>
          <w:sz w:val="20"/>
          <w:szCs w:val="20"/>
          <w:lang w:val="es-CR"/>
        </w:rPr>
        <w:t>Disponer que la Secretaría de la Corte notifique la p</w:t>
      </w:r>
      <w:r w:rsidR="00FC4C64" w:rsidRPr="00E43614">
        <w:rPr>
          <w:rFonts w:ascii="Verdana" w:eastAsia="Verdana" w:hAnsi="Verdana" w:cs="Verdana"/>
          <w:spacing w:val="-4"/>
          <w:sz w:val="20"/>
          <w:szCs w:val="20"/>
          <w:lang w:val="es-CR"/>
        </w:rPr>
        <w:t xml:space="preserve">resente Resolución al Estado, </w:t>
      </w:r>
      <w:bookmarkStart w:id="21" w:name="_Hlk47359310"/>
      <w:r w:rsidR="00FC4C64" w:rsidRPr="00E43614">
        <w:rPr>
          <w:rFonts w:ascii="Verdana" w:eastAsia="Verdana" w:hAnsi="Verdana" w:cs="Verdana"/>
          <w:spacing w:val="-4"/>
          <w:sz w:val="20"/>
          <w:szCs w:val="20"/>
          <w:lang w:val="es-CR"/>
        </w:rPr>
        <w:t>al interviniente común que presentó la solicitud</w:t>
      </w:r>
      <w:bookmarkEnd w:id="21"/>
      <w:r w:rsidR="00F45CC1" w:rsidRPr="00E43614">
        <w:rPr>
          <w:rFonts w:ascii="Verdana" w:eastAsia="Verdana" w:hAnsi="Verdana" w:cs="Verdana"/>
          <w:spacing w:val="-4"/>
          <w:sz w:val="20"/>
          <w:szCs w:val="20"/>
          <w:lang w:val="es-CR"/>
        </w:rPr>
        <w:t>,</w:t>
      </w:r>
      <w:r w:rsidR="00E53316" w:rsidRPr="00E43614">
        <w:rPr>
          <w:rFonts w:ascii="Verdana" w:eastAsia="Verdana" w:hAnsi="Verdana" w:cs="Verdana"/>
          <w:spacing w:val="-4"/>
          <w:sz w:val="20"/>
          <w:szCs w:val="20"/>
          <w:lang w:val="es-CR"/>
        </w:rPr>
        <w:t xml:space="preserve"> a la Comisión Interamericana</w:t>
      </w:r>
      <w:r w:rsidR="00F45CC1" w:rsidRPr="00E43614">
        <w:rPr>
          <w:rFonts w:ascii="Verdana" w:eastAsia="Verdana" w:hAnsi="Verdana" w:cs="Verdana"/>
          <w:spacing w:val="-4"/>
          <w:sz w:val="20"/>
          <w:szCs w:val="20"/>
          <w:lang w:val="es-CR"/>
        </w:rPr>
        <w:t xml:space="preserve"> de Derechos Humanos y a la Defensoría del Pueblo del Perú</w:t>
      </w:r>
      <w:r w:rsidR="00E53316" w:rsidRPr="00E43614">
        <w:rPr>
          <w:rFonts w:ascii="Verdana" w:eastAsia="Verdana" w:hAnsi="Verdana" w:cs="Verdana"/>
          <w:spacing w:val="-4"/>
          <w:sz w:val="20"/>
          <w:szCs w:val="20"/>
          <w:lang w:val="es-CR"/>
        </w:rPr>
        <w:t>.</w:t>
      </w:r>
    </w:p>
    <w:p w14:paraId="454C05EF" w14:textId="1D3C43E6" w:rsidR="00CF4E83" w:rsidRDefault="00CF4E83" w:rsidP="001133E5">
      <w:pPr>
        <w:spacing w:before="120" w:after="120"/>
        <w:jc w:val="both"/>
        <w:rPr>
          <w:rFonts w:ascii="Verdana" w:hAnsi="Verdana"/>
          <w:spacing w:val="-4"/>
          <w:sz w:val="20"/>
          <w:szCs w:val="20"/>
        </w:rPr>
      </w:pPr>
    </w:p>
    <w:p w14:paraId="2C059B35" w14:textId="77777777" w:rsidR="00306623" w:rsidRDefault="00306623" w:rsidP="001133E5">
      <w:pPr>
        <w:spacing w:before="120" w:after="120"/>
        <w:jc w:val="both"/>
        <w:rPr>
          <w:rFonts w:ascii="Verdana" w:hAnsi="Verdana"/>
          <w:spacing w:val="-4"/>
          <w:sz w:val="20"/>
          <w:szCs w:val="20"/>
        </w:rPr>
      </w:pPr>
    </w:p>
    <w:p w14:paraId="77E67009" w14:textId="24AD4CEE" w:rsidR="007D7522" w:rsidRDefault="005237D1" w:rsidP="001133E5">
      <w:pPr>
        <w:spacing w:before="120" w:after="120"/>
        <w:jc w:val="both"/>
        <w:rPr>
          <w:rFonts w:ascii="Verdana" w:hAnsi="Verdana"/>
          <w:spacing w:val="-4"/>
          <w:sz w:val="20"/>
          <w:szCs w:val="20"/>
        </w:rPr>
      </w:pPr>
      <w:r>
        <w:rPr>
          <w:rFonts w:ascii="Verdana" w:hAnsi="Verdana"/>
          <w:spacing w:val="-4"/>
          <w:sz w:val="20"/>
          <w:szCs w:val="20"/>
        </w:rPr>
        <w:t>E</w:t>
      </w:r>
      <w:r w:rsidRPr="00E43614">
        <w:rPr>
          <w:rFonts w:ascii="Verdana" w:hAnsi="Verdana"/>
          <w:spacing w:val="-4"/>
          <w:sz w:val="20"/>
          <w:szCs w:val="20"/>
        </w:rPr>
        <w:t>l Juez Eduardo Vio Grossi hizo conocer a la Corte su Voto Concurrente</w:t>
      </w:r>
      <w:r>
        <w:rPr>
          <w:rFonts w:ascii="Verdana" w:hAnsi="Verdana"/>
          <w:spacing w:val="-4"/>
          <w:sz w:val="20"/>
          <w:szCs w:val="20"/>
        </w:rPr>
        <w:t xml:space="preserve"> y l</w:t>
      </w:r>
      <w:r w:rsidR="000028DC" w:rsidRPr="00E43614">
        <w:rPr>
          <w:rFonts w:ascii="Verdana" w:hAnsi="Verdana"/>
          <w:spacing w:val="-4"/>
          <w:sz w:val="20"/>
          <w:szCs w:val="20"/>
          <w:lang w:val="es-CR"/>
        </w:rPr>
        <w:t xml:space="preserve">os </w:t>
      </w:r>
      <w:r w:rsidR="000028DC" w:rsidRPr="00E43614">
        <w:rPr>
          <w:rFonts w:ascii="Verdana" w:hAnsi="Verdana"/>
          <w:spacing w:val="-4"/>
          <w:sz w:val="20"/>
          <w:szCs w:val="20"/>
        </w:rPr>
        <w:t>Jueces Patricio Pazmiño Freire y Eugenio Raúl Zaffaroni hicieron conocer a la Corte sus Votos Disidentes, los cuales acompañan la presente Resoluc</w:t>
      </w:r>
      <w:r w:rsidR="000028DC">
        <w:rPr>
          <w:rFonts w:ascii="Verdana" w:hAnsi="Verdana"/>
          <w:spacing w:val="-4"/>
          <w:sz w:val="20"/>
          <w:szCs w:val="20"/>
        </w:rPr>
        <w:t>ión.</w:t>
      </w:r>
    </w:p>
    <w:p w14:paraId="276D06FA" w14:textId="77777777" w:rsidR="007D7522" w:rsidRDefault="007D7522">
      <w:pPr>
        <w:spacing w:after="160" w:line="259" w:lineRule="auto"/>
        <w:rPr>
          <w:rFonts w:ascii="Verdana" w:hAnsi="Verdana"/>
          <w:spacing w:val="-4"/>
          <w:sz w:val="20"/>
          <w:szCs w:val="20"/>
        </w:rPr>
      </w:pPr>
      <w:r>
        <w:rPr>
          <w:rFonts w:ascii="Verdana" w:hAnsi="Verdana"/>
          <w:spacing w:val="-4"/>
          <w:sz w:val="20"/>
          <w:szCs w:val="20"/>
        </w:rPr>
        <w:br w:type="page"/>
      </w:r>
    </w:p>
    <w:p w14:paraId="3D66BEB5" w14:textId="77777777" w:rsidR="007D7522" w:rsidRDefault="007D7522" w:rsidP="007D7522">
      <w:pPr>
        <w:keepNext/>
        <w:jc w:val="both"/>
        <w:outlineLvl w:val="0"/>
        <w:rPr>
          <w:rFonts w:ascii="Verdana" w:hAnsi="Verdana"/>
          <w:sz w:val="20"/>
          <w:lang w:val="es-ES"/>
        </w:rPr>
      </w:pPr>
      <w:r>
        <w:rPr>
          <w:rFonts w:ascii="Verdana" w:eastAsia="Times" w:hAnsi="Verdana" w:cs="Courier New"/>
          <w:noProof/>
          <w:sz w:val="20"/>
          <w:szCs w:val="20"/>
          <w:lang w:val="es-AR"/>
        </w:rPr>
        <w:lastRenderedPageBreak/>
        <w:t xml:space="preserve">Corte IDH. </w:t>
      </w:r>
      <w:r>
        <w:rPr>
          <w:rFonts w:ascii="Verdana" w:eastAsia="Times" w:hAnsi="Verdana"/>
          <w:bCs/>
          <w:i/>
          <w:sz w:val="20"/>
          <w:szCs w:val="20"/>
          <w:lang w:val="es-CR"/>
        </w:rPr>
        <w:t xml:space="preserve">Caso del Penal Miguel Castro </w:t>
      </w:r>
      <w:proofErr w:type="spellStart"/>
      <w:r>
        <w:rPr>
          <w:rFonts w:ascii="Verdana" w:eastAsia="Times" w:hAnsi="Verdana"/>
          <w:bCs/>
          <w:i/>
          <w:sz w:val="20"/>
          <w:szCs w:val="20"/>
          <w:lang w:val="es-CR"/>
        </w:rPr>
        <w:t>Castro</w:t>
      </w:r>
      <w:proofErr w:type="spellEnd"/>
      <w:r>
        <w:rPr>
          <w:rFonts w:ascii="Verdana" w:eastAsia="Times" w:hAnsi="Verdana"/>
          <w:bCs/>
          <w:i/>
          <w:sz w:val="20"/>
          <w:szCs w:val="20"/>
          <w:lang w:val="es-CR"/>
        </w:rPr>
        <w:t xml:space="preserve"> Vs. Perú. </w:t>
      </w:r>
      <w:r>
        <w:rPr>
          <w:rFonts w:ascii="Verdana" w:hAnsi="Verdana"/>
          <w:bCs/>
          <w:sz w:val="20"/>
        </w:rPr>
        <w:t xml:space="preserve">Solicitud de Medidas Provisionales </w:t>
      </w:r>
      <w:r>
        <w:rPr>
          <w:rFonts w:ascii="Verdana" w:hAnsi="Verdana" w:cs="Arial"/>
          <w:sz w:val="20"/>
        </w:rPr>
        <w:t xml:space="preserve">y Supervisión de Cumplimiento de Sentencia. </w:t>
      </w:r>
      <w:r>
        <w:rPr>
          <w:rFonts w:ascii="Verdana" w:hAnsi="Verdana"/>
          <w:sz w:val="20"/>
          <w:lang w:val="es-ES"/>
        </w:rPr>
        <w:t>Resolución de la Corte Interamericana de Derechos Humanos de 29 de julio</w:t>
      </w:r>
      <w:r>
        <w:rPr>
          <w:rFonts w:ascii="Verdana" w:hAnsi="Verdana"/>
          <w:sz w:val="20"/>
        </w:rPr>
        <w:t xml:space="preserve"> de 2020</w:t>
      </w:r>
      <w:r>
        <w:rPr>
          <w:rFonts w:ascii="Verdana" w:hAnsi="Verdana"/>
          <w:sz w:val="20"/>
          <w:lang w:val="es-ES"/>
        </w:rPr>
        <w:t xml:space="preserve">. </w:t>
      </w:r>
      <w:r>
        <w:rPr>
          <w:rFonts w:ascii="Verdana" w:hAnsi="Verdana"/>
          <w:iCs/>
          <w:sz w:val="20"/>
          <w:lang w:val="es-CR"/>
        </w:rPr>
        <w:t>Resolución adoptada en San José de Costa Rica por medio de sesión virtual.</w:t>
      </w:r>
    </w:p>
    <w:p w14:paraId="29AF0870" w14:textId="5D045726" w:rsidR="007D7522" w:rsidRDefault="007D7522" w:rsidP="007D7522">
      <w:pPr>
        <w:jc w:val="center"/>
        <w:rPr>
          <w:rFonts w:ascii="Verdana" w:eastAsia="Times" w:hAnsi="Verdana"/>
          <w:sz w:val="20"/>
          <w:szCs w:val="20"/>
          <w:lang w:val="es-ES"/>
        </w:rPr>
      </w:pPr>
    </w:p>
    <w:p w14:paraId="3AE36CA1" w14:textId="77777777" w:rsidR="007D7522" w:rsidRDefault="007D7522" w:rsidP="007D7522">
      <w:pPr>
        <w:jc w:val="center"/>
        <w:rPr>
          <w:rFonts w:ascii="Verdana" w:eastAsia="Times" w:hAnsi="Verdana"/>
          <w:sz w:val="20"/>
          <w:szCs w:val="20"/>
          <w:lang w:val="es-ES"/>
        </w:rPr>
      </w:pPr>
    </w:p>
    <w:p w14:paraId="41CB4251" w14:textId="77777777" w:rsidR="007D7522" w:rsidRDefault="007D7522" w:rsidP="007D7522">
      <w:pPr>
        <w:jc w:val="center"/>
        <w:rPr>
          <w:rFonts w:ascii="Verdana" w:eastAsia="Times" w:hAnsi="Verdana"/>
          <w:sz w:val="20"/>
          <w:szCs w:val="20"/>
          <w:lang w:val="es-ES"/>
        </w:rPr>
      </w:pPr>
    </w:p>
    <w:p w14:paraId="2DBBF17F" w14:textId="77777777" w:rsidR="007D7522" w:rsidRDefault="007D7522" w:rsidP="007D7522">
      <w:pPr>
        <w:jc w:val="center"/>
        <w:rPr>
          <w:rFonts w:ascii="Verdana" w:eastAsia="Times" w:hAnsi="Verdana"/>
          <w:sz w:val="20"/>
          <w:szCs w:val="20"/>
          <w:lang w:val="es-ES"/>
        </w:rPr>
      </w:pPr>
    </w:p>
    <w:p w14:paraId="1E2C6756" w14:textId="77777777" w:rsidR="007D7522" w:rsidRDefault="007D7522" w:rsidP="007D7522">
      <w:pPr>
        <w:jc w:val="center"/>
        <w:rPr>
          <w:rFonts w:ascii="Verdana" w:eastAsia="Times" w:hAnsi="Verdana"/>
          <w:sz w:val="20"/>
          <w:szCs w:val="20"/>
          <w:lang w:val="es-ES"/>
        </w:rPr>
      </w:pPr>
    </w:p>
    <w:p w14:paraId="28850BAF" w14:textId="77777777" w:rsidR="007D7522" w:rsidRDefault="007D7522" w:rsidP="007D7522">
      <w:pPr>
        <w:jc w:val="center"/>
        <w:rPr>
          <w:rFonts w:ascii="Verdana" w:eastAsiaTheme="minorHAnsi" w:hAnsi="Verdana" w:cstheme="minorBidi"/>
          <w:sz w:val="20"/>
          <w:szCs w:val="20"/>
          <w:lang w:val="pt-BR"/>
        </w:rPr>
      </w:pPr>
      <w:r>
        <w:rPr>
          <w:rFonts w:ascii="Verdana" w:hAnsi="Verdana"/>
          <w:sz w:val="20"/>
          <w:szCs w:val="20"/>
          <w:lang w:val="pt-BR"/>
        </w:rPr>
        <w:t>Elizabeth Odio Benito</w:t>
      </w:r>
    </w:p>
    <w:p w14:paraId="131E1051" w14:textId="50560353" w:rsidR="007D7522" w:rsidRDefault="007D7522" w:rsidP="007D7522">
      <w:pPr>
        <w:jc w:val="center"/>
        <w:rPr>
          <w:rFonts w:ascii="Verdana" w:hAnsi="Verdana"/>
          <w:sz w:val="20"/>
          <w:szCs w:val="20"/>
          <w:lang w:val="pt-BR"/>
        </w:rPr>
      </w:pPr>
      <w:r>
        <w:rPr>
          <w:rFonts w:ascii="Verdana" w:hAnsi="Verdana"/>
          <w:sz w:val="20"/>
          <w:szCs w:val="20"/>
          <w:lang w:val="pt-BR"/>
        </w:rPr>
        <w:t>Presidenta</w:t>
      </w:r>
    </w:p>
    <w:p w14:paraId="0364C1CE" w14:textId="77777777" w:rsidR="007D7522" w:rsidRDefault="007D7522" w:rsidP="007D7522">
      <w:pPr>
        <w:jc w:val="both"/>
        <w:rPr>
          <w:rFonts w:ascii="Verdana" w:hAnsi="Verdana"/>
          <w:sz w:val="20"/>
          <w:szCs w:val="20"/>
          <w:lang w:val="pt-BR"/>
        </w:rPr>
      </w:pPr>
    </w:p>
    <w:p w14:paraId="4B6BAF29" w14:textId="77777777" w:rsidR="007D7522" w:rsidRDefault="007D7522" w:rsidP="007D7522">
      <w:pPr>
        <w:jc w:val="both"/>
        <w:rPr>
          <w:rFonts w:ascii="Verdana" w:hAnsi="Verdana"/>
          <w:sz w:val="20"/>
          <w:szCs w:val="20"/>
          <w:lang w:val="pt-BR"/>
        </w:rPr>
      </w:pPr>
    </w:p>
    <w:p w14:paraId="7D2BA1FD" w14:textId="77777777" w:rsidR="007D7522" w:rsidRDefault="007D7522" w:rsidP="007D7522">
      <w:pPr>
        <w:jc w:val="both"/>
        <w:rPr>
          <w:rFonts w:ascii="Verdana" w:hAnsi="Verdana"/>
          <w:sz w:val="20"/>
          <w:szCs w:val="20"/>
          <w:lang w:val="pt-BR"/>
        </w:rPr>
      </w:pPr>
    </w:p>
    <w:p w14:paraId="0DF26EE9" w14:textId="77777777" w:rsidR="007D7522" w:rsidRDefault="007D7522" w:rsidP="007D7522">
      <w:pPr>
        <w:jc w:val="both"/>
        <w:rPr>
          <w:rFonts w:ascii="Verdana" w:hAnsi="Verdana"/>
          <w:sz w:val="20"/>
          <w:szCs w:val="20"/>
          <w:lang w:val="pt-BR"/>
        </w:rPr>
      </w:pPr>
    </w:p>
    <w:p w14:paraId="289587D5" w14:textId="77777777" w:rsidR="007D7522" w:rsidRDefault="007D7522" w:rsidP="007D7522">
      <w:pPr>
        <w:jc w:val="both"/>
        <w:rPr>
          <w:rFonts w:ascii="Verdana" w:hAnsi="Verdana"/>
          <w:sz w:val="20"/>
          <w:szCs w:val="20"/>
          <w:lang w:val="pt-BR"/>
        </w:rPr>
      </w:pPr>
    </w:p>
    <w:p w14:paraId="0B88D026" w14:textId="342F4A93" w:rsidR="007D7522" w:rsidRDefault="007D7522" w:rsidP="007D7522">
      <w:pPr>
        <w:jc w:val="both"/>
        <w:rPr>
          <w:rFonts w:ascii="Verdana" w:hAnsi="Verdana"/>
          <w:sz w:val="20"/>
          <w:szCs w:val="20"/>
          <w:lang w:val="pt-BR"/>
        </w:rPr>
      </w:pPr>
      <w:r>
        <w:rPr>
          <w:rFonts w:ascii="Verdana" w:hAnsi="Verdana"/>
          <w:sz w:val="20"/>
          <w:szCs w:val="20"/>
          <w:lang w:val="pt-BR"/>
        </w:rPr>
        <w:t>L. Patricio Pazmiño Freire</w:t>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t xml:space="preserve">   Eduardo </w:t>
      </w:r>
      <w:proofErr w:type="spellStart"/>
      <w:r>
        <w:rPr>
          <w:rFonts w:ascii="Verdana" w:hAnsi="Verdana"/>
          <w:sz w:val="20"/>
          <w:szCs w:val="20"/>
          <w:lang w:val="pt-BR"/>
        </w:rPr>
        <w:t>Vio</w:t>
      </w:r>
      <w:proofErr w:type="spellEnd"/>
      <w:r>
        <w:rPr>
          <w:rFonts w:ascii="Verdana" w:hAnsi="Verdana"/>
          <w:sz w:val="20"/>
          <w:szCs w:val="20"/>
          <w:lang w:val="pt-BR"/>
        </w:rPr>
        <w:t xml:space="preserve"> Grossi</w:t>
      </w:r>
    </w:p>
    <w:p w14:paraId="1AA5E626" w14:textId="77777777" w:rsidR="007D7522" w:rsidRDefault="007D7522" w:rsidP="007D7522">
      <w:pPr>
        <w:jc w:val="both"/>
        <w:rPr>
          <w:rFonts w:ascii="Verdana" w:hAnsi="Verdana"/>
          <w:sz w:val="20"/>
          <w:szCs w:val="20"/>
          <w:lang w:val="pt-BR"/>
        </w:rPr>
      </w:pPr>
    </w:p>
    <w:p w14:paraId="697AF6F3" w14:textId="77777777" w:rsidR="007D7522" w:rsidRDefault="007D7522" w:rsidP="007D7522">
      <w:pPr>
        <w:jc w:val="both"/>
        <w:rPr>
          <w:rFonts w:ascii="Verdana" w:hAnsi="Verdana"/>
          <w:sz w:val="20"/>
          <w:szCs w:val="20"/>
          <w:lang w:val="pt-BR"/>
        </w:rPr>
      </w:pPr>
    </w:p>
    <w:p w14:paraId="2D60BC7E" w14:textId="77777777" w:rsidR="007D7522" w:rsidRDefault="007D7522" w:rsidP="007D7522">
      <w:pPr>
        <w:jc w:val="both"/>
        <w:rPr>
          <w:rFonts w:ascii="Verdana" w:hAnsi="Verdana"/>
          <w:sz w:val="20"/>
          <w:szCs w:val="20"/>
          <w:lang w:val="pt-BR"/>
        </w:rPr>
      </w:pPr>
    </w:p>
    <w:p w14:paraId="732BFD0B" w14:textId="77777777" w:rsidR="007D7522" w:rsidRDefault="007D7522" w:rsidP="007D7522">
      <w:pPr>
        <w:jc w:val="both"/>
        <w:rPr>
          <w:rFonts w:ascii="Verdana" w:hAnsi="Verdana"/>
          <w:sz w:val="20"/>
          <w:szCs w:val="20"/>
          <w:lang w:val="pt-BR"/>
        </w:rPr>
      </w:pPr>
    </w:p>
    <w:p w14:paraId="799795F0" w14:textId="77777777" w:rsidR="007D7522" w:rsidRDefault="007D7522" w:rsidP="007D7522">
      <w:pPr>
        <w:jc w:val="both"/>
        <w:rPr>
          <w:rFonts w:ascii="Verdana" w:hAnsi="Verdana"/>
          <w:sz w:val="20"/>
          <w:szCs w:val="20"/>
          <w:lang w:val="pt-BR"/>
        </w:rPr>
      </w:pPr>
    </w:p>
    <w:p w14:paraId="47601DA2" w14:textId="601113BF" w:rsidR="007D7522" w:rsidRDefault="007D7522" w:rsidP="007D7522">
      <w:pPr>
        <w:jc w:val="both"/>
        <w:rPr>
          <w:rFonts w:ascii="Verdana" w:hAnsi="Verdana"/>
          <w:sz w:val="20"/>
          <w:szCs w:val="20"/>
          <w:lang w:val="pt-BR"/>
        </w:rPr>
      </w:pPr>
      <w:r>
        <w:rPr>
          <w:rFonts w:ascii="Verdana" w:eastAsia="Times" w:hAnsi="Verdana"/>
          <w:sz w:val="20"/>
          <w:szCs w:val="20"/>
          <w:lang w:val="pt-BR"/>
        </w:rPr>
        <w:t xml:space="preserve">Humberto </w:t>
      </w:r>
      <w:proofErr w:type="spellStart"/>
      <w:r>
        <w:rPr>
          <w:rFonts w:ascii="Verdana" w:eastAsia="Times" w:hAnsi="Verdana"/>
          <w:sz w:val="20"/>
          <w:szCs w:val="20"/>
          <w:lang w:val="pt-BR"/>
        </w:rPr>
        <w:t>Antonio</w:t>
      </w:r>
      <w:proofErr w:type="spellEnd"/>
      <w:r>
        <w:rPr>
          <w:rFonts w:ascii="Verdana" w:eastAsia="Times" w:hAnsi="Verdana"/>
          <w:sz w:val="20"/>
          <w:szCs w:val="20"/>
          <w:lang w:val="pt-BR"/>
        </w:rPr>
        <w:t xml:space="preserve"> </w:t>
      </w:r>
      <w:proofErr w:type="spellStart"/>
      <w:r>
        <w:rPr>
          <w:rFonts w:ascii="Verdana" w:eastAsia="Times" w:hAnsi="Verdana"/>
          <w:sz w:val="20"/>
          <w:szCs w:val="20"/>
          <w:lang w:val="pt-BR"/>
        </w:rPr>
        <w:t>Sierra</w:t>
      </w:r>
      <w:proofErr w:type="spellEnd"/>
      <w:r>
        <w:rPr>
          <w:rFonts w:ascii="Verdana" w:eastAsia="Times" w:hAnsi="Verdana"/>
          <w:sz w:val="20"/>
          <w:szCs w:val="20"/>
          <w:lang w:val="pt-BR"/>
        </w:rPr>
        <w:t xml:space="preserve"> </w:t>
      </w:r>
      <w:proofErr w:type="gramStart"/>
      <w:r>
        <w:rPr>
          <w:rFonts w:ascii="Verdana" w:eastAsia="Times" w:hAnsi="Verdana"/>
          <w:sz w:val="20"/>
          <w:szCs w:val="20"/>
          <w:lang w:val="pt-BR"/>
        </w:rPr>
        <w:t>Porto</w:t>
      </w:r>
      <w:r>
        <w:rPr>
          <w:rFonts w:ascii="Verdana" w:hAnsi="Verdana"/>
          <w:sz w:val="20"/>
          <w:szCs w:val="20"/>
          <w:lang w:val="pt-BR"/>
        </w:rPr>
        <w:t xml:space="preserve">  </w:t>
      </w:r>
      <w:r>
        <w:rPr>
          <w:rFonts w:ascii="Verdana" w:hAnsi="Verdana"/>
          <w:sz w:val="20"/>
          <w:szCs w:val="20"/>
          <w:lang w:val="pt-BR"/>
        </w:rPr>
        <w:tab/>
      </w:r>
      <w:proofErr w:type="gramEnd"/>
      <w:r>
        <w:rPr>
          <w:rFonts w:ascii="Verdana" w:hAnsi="Verdana"/>
          <w:sz w:val="20"/>
          <w:szCs w:val="20"/>
          <w:lang w:val="pt-BR"/>
        </w:rPr>
        <w:tab/>
      </w:r>
      <w:r>
        <w:rPr>
          <w:rFonts w:ascii="Verdana" w:hAnsi="Verdana"/>
          <w:sz w:val="20"/>
          <w:szCs w:val="20"/>
          <w:lang w:val="pt-BR"/>
        </w:rPr>
        <w:tab/>
        <w:t xml:space="preserve"> Eduardo Ferrer </w:t>
      </w:r>
      <w:proofErr w:type="spellStart"/>
      <w:r>
        <w:rPr>
          <w:rFonts w:ascii="Verdana" w:hAnsi="Verdana"/>
          <w:sz w:val="20"/>
          <w:szCs w:val="20"/>
          <w:lang w:val="pt-BR"/>
        </w:rPr>
        <w:t>Mac-Gregor</w:t>
      </w:r>
      <w:proofErr w:type="spellEnd"/>
      <w:r>
        <w:rPr>
          <w:rFonts w:ascii="Verdana" w:hAnsi="Verdana"/>
          <w:sz w:val="20"/>
          <w:szCs w:val="20"/>
          <w:lang w:val="pt-BR"/>
        </w:rPr>
        <w:t xml:space="preserve"> </w:t>
      </w:r>
      <w:proofErr w:type="spellStart"/>
      <w:r>
        <w:rPr>
          <w:rFonts w:ascii="Verdana" w:hAnsi="Verdana"/>
          <w:sz w:val="20"/>
          <w:szCs w:val="20"/>
          <w:lang w:val="pt-BR"/>
        </w:rPr>
        <w:t>Poisot</w:t>
      </w:r>
      <w:proofErr w:type="spellEnd"/>
    </w:p>
    <w:p w14:paraId="4D5DBD06" w14:textId="72DAC60D" w:rsidR="007D7522" w:rsidRDefault="007D7522" w:rsidP="007D7522">
      <w:pPr>
        <w:jc w:val="both"/>
        <w:rPr>
          <w:rFonts w:ascii="Verdana" w:hAnsi="Verdana"/>
          <w:sz w:val="20"/>
          <w:szCs w:val="20"/>
          <w:lang w:val="pt-BR"/>
        </w:rPr>
      </w:pPr>
    </w:p>
    <w:p w14:paraId="20295B9C" w14:textId="77777777" w:rsidR="007D7522" w:rsidRDefault="007D7522" w:rsidP="007D7522">
      <w:pPr>
        <w:jc w:val="both"/>
        <w:rPr>
          <w:rFonts w:ascii="Verdana" w:hAnsi="Verdana"/>
          <w:sz w:val="20"/>
          <w:szCs w:val="20"/>
          <w:lang w:val="pt-BR"/>
        </w:rPr>
      </w:pPr>
    </w:p>
    <w:p w14:paraId="6DAC2DA3" w14:textId="590012B6" w:rsidR="007D7522" w:rsidRDefault="007D7522" w:rsidP="007D7522">
      <w:pPr>
        <w:jc w:val="both"/>
        <w:rPr>
          <w:rFonts w:ascii="Verdana" w:hAnsi="Verdana"/>
          <w:sz w:val="20"/>
          <w:szCs w:val="20"/>
          <w:lang w:val="pt-BR"/>
        </w:rPr>
      </w:pPr>
    </w:p>
    <w:p w14:paraId="015FA860" w14:textId="77777777" w:rsidR="007D7522" w:rsidRDefault="007D7522" w:rsidP="007D7522">
      <w:pPr>
        <w:jc w:val="both"/>
        <w:rPr>
          <w:rFonts w:ascii="Verdana" w:hAnsi="Verdana"/>
          <w:sz w:val="20"/>
          <w:szCs w:val="20"/>
          <w:lang w:val="pt-BR"/>
        </w:rPr>
      </w:pPr>
    </w:p>
    <w:p w14:paraId="4DCB1C67" w14:textId="77777777" w:rsidR="007D7522" w:rsidRDefault="007D7522" w:rsidP="007D7522">
      <w:pPr>
        <w:jc w:val="both"/>
        <w:rPr>
          <w:rFonts w:ascii="Verdana" w:hAnsi="Verdana"/>
          <w:sz w:val="20"/>
          <w:szCs w:val="20"/>
          <w:lang w:val="pt-BR"/>
        </w:rPr>
      </w:pPr>
    </w:p>
    <w:p w14:paraId="040D77BC" w14:textId="32DEF7B9" w:rsidR="007D7522" w:rsidRDefault="007D7522" w:rsidP="007D7522">
      <w:pPr>
        <w:jc w:val="both"/>
        <w:rPr>
          <w:rFonts w:ascii="Verdana" w:hAnsi="Verdana"/>
          <w:sz w:val="20"/>
          <w:szCs w:val="20"/>
          <w:lang w:val="pt-BR"/>
        </w:rPr>
      </w:pPr>
      <w:r>
        <w:rPr>
          <w:rFonts w:ascii="Verdana" w:hAnsi="Verdana"/>
          <w:sz w:val="20"/>
          <w:szCs w:val="20"/>
          <w:lang w:val="pt-BR"/>
        </w:rPr>
        <w:t xml:space="preserve">Eugenio </w:t>
      </w:r>
      <w:proofErr w:type="spellStart"/>
      <w:r>
        <w:rPr>
          <w:rFonts w:ascii="Verdana" w:hAnsi="Verdana"/>
          <w:sz w:val="20"/>
          <w:szCs w:val="20"/>
          <w:lang w:val="pt-BR"/>
        </w:rPr>
        <w:t>Raúl</w:t>
      </w:r>
      <w:proofErr w:type="spellEnd"/>
      <w:r>
        <w:rPr>
          <w:rFonts w:ascii="Verdana" w:hAnsi="Verdana"/>
          <w:sz w:val="20"/>
          <w:szCs w:val="20"/>
          <w:lang w:val="pt-BR"/>
        </w:rPr>
        <w:t xml:space="preserve"> </w:t>
      </w:r>
      <w:proofErr w:type="spellStart"/>
      <w:r>
        <w:rPr>
          <w:rFonts w:ascii="Verdana" w:hAnsi="Verdana"/>
          <w:sz w:val="20"/>
          <w:szCs w:val="20"/>
          <w:lang w:val="pt-BR"/>
        </w:rPr>
        <w:t>Zaffaroni</w:t>
      </w:r>
      <w:proofErr w:type="spellEnd"/>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r>
      <w:r>
        <w:rPr>
          <w:rFonts w:ascii="Verdana" w:hAnsi="Verdana"/>
          <w:sz w:val="20"/>
          <w:szCs w:val="20"/>
          <w:lang w:val="pt-BR"/>
        </w:rPr>
        <w:tab/>
        <w:t xml:space="preserve">  Ricardo C. Pérez Manrique</w:t>
      </w:r>
    </w:p>
    <w:p w14:paraId="13B71DD9" w14:textId="77777777" w:rsidR="007D7522" w:rsidRDefault="007D7522" w:rsidP="007D7522">
      <w:pPr>
        <w:jc w:val="both"/>
        <w:rPr>
          <w:rFonts w:ascii="Verdana" w:hAnsi="Verdana"/>
          <w:sz w:val="20"/>
          <w:szCs w:val="20"/>
          <w:lang w:val="pt-BR"/>
        </w:rPr>
      </w:pPr>
    </w:p>
    <w:p w14:paraId="7300CA4C" w14:textId="77777777" w:rsidR="007D7522" w:rsidRDefault="007D7522" w:rsidP="007D7522">
      <w:pPr>
        <w:jc w:val="both"/>
        <w:rPr>
          <w:rFonts w:ascii="Verdana" w:hAnsi="Verdana"/>
          <w:sz w:val="20"/>
          <w:szCs w:val="20"/>
          <w:lang w:val="pt-BR"/>
        </w:rPr>
      </w:pPr>
    </w:p>
    <w:p w14:paraId="005DB5DB" w14:textId="77777777" w:rsidR="007D7522" w:rsidRDefault="007D7522" w:rsidP="007D7522">
      <w:pPr>
        <w:rPr>
          <w:rFonts w:ascii="Verdana" w:eastAsia="Times" w:hAnsi="Verdana"/>
          <w:sz w:val="20"/>
          <w:szCs w:val="20"/>
          <w:lang w:val="pt-BR"/>
        </w:rPr>
      </w:pPr>
    </w:p>
    <w:p w14:paraId="261649C8" w14:textId="77777777" w:rsidR="007D7522" w:rsidRDefault="007D7522" w:rsidP="007D7522">
      <w:pPr>
        <w:jc w:val="both"/>
        <w:rPr>
          <w:rFonts w:ascii="Verdana" w:eastAsia="Times" w:hAnsi="Verdana"/>
          <w:sz w:val="20"/>
          <w:szCs w:val="20"/>
          <w:lang w:val="pt-BR"/>
        </w:rPr>
      </w:pPr>
    </w:p>
    <w:p w14:paraId="4019527A" w14:textId="77777777" w:rsidR="007D7522" w:rsidRDefault="007D7522" w:rsidP="007D7522">
      <w:pPr>
        <w:jc w:val="both"/>
        <w:rPr>
          <w:rFonts w:ascii="Verdana" w:eastAsia="Times" w:hAnsi="Verdana"/>
          <w:sz w:val="20"/>
          <w:szCs w:val="20"/>
          <w:lang w:val="pt-BR"/>
        </w:rPr>
      </w:pPr>
    </w:p>
    <w:p w14:paraId="267DEBDD" w14:textId="77777777" w:rsidR="007D7522" w:rsidRDefault="007D7522" w:rsidP="007D7522">
      <w:pPr>
        <w:jc w:val="both"/>
        <w:rPr>
          <w:rFonts w:ascii="Verdana" w:eastAsia="Times" w:hAnsi="Verdana"/>
          <w:sz w:val="20"/>
          <w:szCs w:val="20"/>
          <w:lang w:val="pt-BR"/>
        </w:rPr>
      </w:pPr>
    </w:p>
    <w:p w14:paraId="47CE3315" w14:textId="77777777" w:rsidR="007D7522" w:rsidRDefault="007D7522" w:rsidP="007D7522">
      <w:pPr>
        <w:jc w:val="center"/>
        <w:rPr>
          <w:rFonts w:ascii="Verdana" w:eastAsia="Times" w:hAnsi="Verdana"/>
          <w:sz w:val="20"/>
          <w:szCs w:val="20"/>
          <w:lang w:val="pt-BR"/>
        </w:rPr>
      </w:pPr>
      <w:r>
        <w:rPr>
          <w:rFonts w:ascii="Verdana" w:eastAsia="Times" w:hAnsi="Verdana"/>
          <w:sz w:val="20"/>
          <w:szCs w:val="20"/>
          <w:lang w:val="pt-BR"/>
        </w:rPr>
        <w:t xml:space="preserve">Pablo Saavedra </w:t>
      </w:r>
      <w:proofErr w:type="spellStart"/>
      <w:r>
        <w:rPr>
          <w:rFonts w:ascii="Verdana" w:eastAsia="Times" w:hAnsi="Verdana"/>
          <w:sz w:val="20"/>
          <w:szCs w:val="20"/>
          <w:lang w:val="pt-BR"/>
        </w:rPr>
        <w:t>Alessandri</w:t>
      </w:r>
      <w:proofErr w:type="spellEnd"/>
    </w:p>
    <w:p w14:paraId="4C8A9681" w14:textId="77777777" w:rsidR="007D7522" w:rsidRDefault="007D7522" w:rsidP="007D7522">
      <w:pPr>
        <w:jc w:val="center"/>
        <w:rPr>
          <w:rFonts w:ascii="Verdana" w:eastAsia="Times" w:hAnsi="Verdana"/>
          <w:sz w:val="20"/>
          <w:szCs w:val="20"/>
          <w:lang w:val="pt-BR"/>
        </w:rPr>
      </w:pPr>
      <w:r>
        <w:rPr>
          <w:rFonts w:ascii="Verdana" w:eastAsia="Times" w:hAnsi="Verdana"/>
          <w:sz w:val="20"/>
          <w:szCs w:val="20"/>
          <w:lang w:val="pt-BR"/>
        </w:rPr>
        <w:t>Secretario</w:t>
      </w:r>
    </w:p>
    <w:p w14:paraId="7BBC9F96" w14:textId="77777777" w:rsidR="007D7522" w:rsidRDefault="007D7522" w:rsidP="007D7522">
      <w:pPr>
        <w:jc w:val="both"/>
        <w:rPr>
          <w:rFonts w:ascii="Verdana" w:eastAsia="Times" w:hAnsi="Verdana"/>
          <w:sz w:val="20"/>
          <w:szCs w:val="20"/>
          <w:lang w:val="pt-BR"/>
        </w:rPr>
      </w:pPr>
    </w:p>
    <w:p w14:paraId="0E433DB3" w14:textId="77777777" w:rsidR="007D7522" w:rsidRDefault="007D7522" w:rsidP="007D7522">
      <w:pPr>
        <w:jc w:val="both"/>
        <w:rPr>
          <w:rFonts w:ascii="Verdana" w:eastAsia="Times" w:hAnsi="Verdana"/>
          <w:sz w:val="20"/>
          <w:szCs w:val="20"/>
          <w:lang w:val="pt-BR"/>
        </w:rPr>
      </w:pPr>
      <w:proofErr w:type="spellStart"/>
      <w:r>
        <w:rPr>
          <w:rFonts w:ascii="Verdana" w:eastAsia="Times" w:hAnsi="Verdana"/>
          <w:sz w:val="20"/>
          <w:szCs w:val="20"/>
          <w:lang w:val="pt-BR"/>
        </w:rPr>
        <w:t>Comuníquese</w:t>
      </w:r>
      <w:proofErr w:type="spellEnd"/>
      <w:r>
        <w:rPr>
          <w:rFonts w:ascii="Verdana" w:eastAsia="Times" w:hAnsi="Verdana"/>
          <w:sz w:val="20"/>
          <w:szCs w:val="20"/>
          <w:lang w:val="pt-BR"/>
        </w:rPr>
        <w:t xml:space="preserve"> y </w:t>
      </w:r>
      <w:proofErr w:type="spellStart"/>
      <w:r>
        <w:rPr>
          <w:rFonts w:ascii="Verdana" w:eastAsia="Times" w:hAnsi="Verdana"/>
          <w:sz w:val="20"/>
          <w:szCs w:val="20"/>
          <w:lang w:val="pt-BR"/>
        </w:rPr>
        <w:t>ejecútese</w:t>
      </w:r>
      <w:proofErr w:type="spellEnd"/>
      <w:r>
        <w:rPr>
          <w:rFonts w:ascii="Verdana" w:eastAsia="Times" w:hAnsi="Verdana"/>
          <w:sz w:val="20"/>
          <w:szCs w:val="20"/>
          <w:lang w:val="pt-BR"/>
        </w:rPr>
        <w:t>,</w:t>
      </w:r>
    </w:p>
    <w:p w14:paraId="44A2A769" w14:textId="12EDFC50" w:rsidR="007D7522" w:rsidRDefault="007D7522" w:rsidP="007D7522">
      <w:pPr>
        <w:jc w:val="both"/>
        <w:rPr>
          <w:rFonts w:ascii="Verdana" w:eastAsia="Times" w:hAnsi="Verdana"/>
          <w:sz w:val="20"/>
          <w:szCs w:val="20"/>
          <w:lang w:val="pt-BR"/>
        </w:rPr>
      </w:pPr>
    </w:p>
    <w:p w14:paraId="2EFD4781" w14:textId="77777777" w:rsidR="007D7522" w:rsidRDefault="007D7522" w:rsidP="007D7522">
      <w:pPr>
        <w:jc w:val="both"/>
        <w:rPr>
          <w:rFonts w:ascii="Verdana" w:eastAsia="Times" w:hAnsi="Verdana"/>
          <w:sz w:val="20"/>
          <w:szCs w:val="20"/>
          <w:lang w:val="pt-BR"/>
        </w:rPr>
      </w:pPr>
    </w:p>
    <w:p w14:paraId="45ACE9F8" w14:textId="77777777" w:rsidR="007D7522" w:rsidRDefault="007D7522" w:rsidP="007D7522">
      <w:pPr>
        <w:jc w:val="both"/>
        <w:rPr>
          <w:rFonts w:ascii="Verdana" w:eastAsia="Times" w:hAnsi="Verdana"/>
          <w:sz w:val="20"/>
          <w:szCs w:val="20"/>
          <w:lang w:val="pt-BR"/>
        </w:rPr>
      </w:pPr>
    </w:p>
    <w:p w14:paraId="15989B39" w14:textId="77777777" w:rsidR="007D7522" w:rsidRDefault="007D7522" w:rsidP="007D7522">
      <w:pPr>
        <w:jc w:val="both"/>
        <w:rPr>
          <w:rFonts w:ascii="Verdana" w:eastAsia="Times" w:hAnsi="Verdana"/>
          <w:sz w:val="20"/>
          <w:szCs w:val="20"/>
          <w:lang w:val="pt-BR"/>
        </w:rPr>
      </w:pPr>
    </w:p>
    <w:p w14:paraId="1A87A22A" w14:textId="4EF5514B" w:rsidR="007D7522" w:rsidRDefault="007D7522" w:rsidP="007D7522">
      <w:pPr>
        <w:jc w:val="both"/>
        <w:rPr>
          <w:rFonts w:ascii="Verdana" w:eastAsia="Times" w:hAnsi="Verdana"/>
          <w:sz w:val="20"/>
          <w:szCs w:val="20"/>
          <w:lang w:val="pt-BR"/>
        </w:rPr>
      </w:pPr>
    </w:p>
    <w:p w14:paraId="6064F188" w14:textId="77777777" w:rsidR="007D7522" w:rsidRDefault="007D7522" w:rsidP="007D7522">
      <w:pPr>
        <w:ind w:left="4248" w:firstLine="708"/>
        <w:jc w:val="center"/>
        <w:rPr>
          <w:rFonts w:ascii="Verdana" w:eastAsia="Times" w:hAnsi="Verdana"/>
          <w:sz w:val="20"/>
          <w:szCs w:val="20"/>
          <w:lang w:val="es-CO"/>
        </w:rPr>
      </w:pPr>
      <w:r>
        <w:rPr>
          <w:rFonts w:ascii="Verdana" w:eastAsia="Times" w:hAnsi="Verdana"/>
          <w:sz w:val="20"/>
          <w:szCs w:val="20"/>
          <w:lang w:val="pt-BR"/>
        </w:rPr>
        <w:t>Elizabeth Odio Benito</w:t>
      </w:r>
    </w:p>
    <w:p w14:paraId="1B92EB2A" w14:textId="77777777" w:rsidR="007D7522" w:rsidRDefault="007D7522" w:rsidP="007D7522">
      <w:pPr>
        <w:ind w:left="4248" w:firstLine="708"/>
        <w:jc w:val="center"/>
        <w:rPr>
          <w:rFonts w:ascii="Verdana" w:eastAsia="Times" w:hAnsi="Verdana"/>
          <w:sz w:val="20"/>
          <w:szCs w:val="20"/>
          <w:lang w:val="pt-BR"/>
        </w:rPr>
      </w:pPr>
      <w:r>
        <w:rPr>
          <w:rFonts w:ascii="Verdana" w:eastAsia="Times" w:hAnsi="Verdana"/>
          <w:sz w:val="20"/>
          <w:szCs w:val="20"/>
          <w:lang w:val="pt-BR"/>
        </w:rPr>
        <w:t>Presidenta</w:t>
      </w:r>
    </w:p>
    <w:p w14:paraId="6E546E4A" w14:textId="77777777" w:rsidR="007D7522" w:rsidRDefault="007D7522" w:rsidP="007D7522">
      <w:pPr>
        <w:jc w:val="both"/>
        <w:rPr>
          <w:rFonts w:ascii="Verdana" w:eastAsia="Times" w:hAnsi="Verdana"/>
          <w:sz w:val="20"/>
          <w:szCs w:val="20"/>
          <w:lang w:val="pt-BR"/>
        </w:rPr>
      </w:pPr>
    </w:p>
    <w:p w14:paraId="38180A63" w14:textId="77777777" w:rsidR="007D7522" w:rsidRDefault="007D7522" w:rsidP="007D7522">
      <w:pPr>
        <w:jc w:val="both"/>
        <w:rPr>
          <w:rFonts w:ascii="Verdana" w:eastAsia="Times" w:hAnsi="Verdana"/>
          <w:sz w:val="20"/>
          <w:szCs w:val="20"/>
          <w:lang w:val="pt-BR"/>
        </w:rPr>
      </w:pPr>
    </w:p>
    <w:p w14:paraId="0D535B66" w14:textId="77777777" w:rsidR="007D7522" w:rsidRDefault="007D7522" w:rsidP="007D7522">
      <w:pPr>
        <w:jc w:val="both"/>
        <w:rPr>
          <w:rFonts w:ascii="Verdana" w:eastAsia="Times" w:hAnsi="Verdana"/>
          <w:sz w:val="20"/>
          <w:szCs w:val="20"/>
          <w:lang w:val="pt-BR"/>
        </w:rPr>
      </w:pPr>
    </w:p>
    <w:p w14:paraId="51E60CF4" w14:textId="77777777" w:rsidR="007D7522" w:rsidRDefault="007D7522" w:rsidP="007D7522">
      <w:pPr>
        <w:jc w:val="both"/>
        <w:rPr>
          <w:rFonts w:ascii="Verdana" w:eastAsia="Times" w:hAnsi="Verdana"/>
          <w:sz w:val="20"/>
          <w:szCs w:val="20"/>
          <w:lang w:val="pt-BR"/>
        </w:rPr>
      </w:pPr>
    </w:p>
    <w:p w14:paraId="018BCFA0" w14:textId="77777777" w:rsidR="007D7522" w:rsidRDefault="007D7522" w:rsidP="007D7522">
      <w:pPr>
        <w:jc w:val="both"/>
        <w:rPr>
          <w:rFonts w:ascii="Verdana" w:eastAsia="Times" w:hAnsi="Verdana"/>
          <w:sz w:val="20"/>
          <w:szCs w:val="20"/>
          <w:lang w:val="es-ES"/>
        </w:rPr>
      </w:pPr>
      <w:r>
        <w:rPr>
          <w:rFonts w:ascii="Verdana" w:eastAsia="Times" w:hAnsi="Verdana"/>
          <w:sz w:val="20"/>
          <w:szCs w:val="20"/>
          <w:lang w:val="es-ES"/>
        </w:rPr>
        <w:t>Pablo Saavedra Alessandri</w:t>
      </w:r>
    </w:p>
    <w:p w14:paraId="0CC6D39D" w14:textId="14DF8640" w:rsidR="003B7C9F" w:rsidRDefault="003B7C9F" w:rsidP="003B7C9F">
      <w:pPr>
        <w:tabs>
          <w:tab w:val="left" w:pos="1843"/>
        </w:tabs>
        <w:jc w:val="both"/>
        <w:rPr>
          <w:rFonts w:ascii="Verdana" w:eastAsia="Times" w:hAnsi="Verdana"/>
          <w:sz w:val="20"/>
          <w:szCs w:val="20"/>
          <w:lang w:val="es-ES"/>
        </w:rPr>
      </w:pPr>
      <w:r>
        <w:rPr>
          <w:rFonts w:ascii="Verdana" w:eastAsia="Times" w:hAnsi="Verdana"/>
          <w:sz w:val="20"/>
          <w:szCs w:val="20"/>
          <w:lang w:val="es-ES"/>
        </w:rPr>
        <w:t xml:space="preserve">           Secretario</w:t>
      </w:r>
    </w:p>
    <w:p w14:paraId="40FEAFA0" w14:textId="77777777" w:rsidR="00252474" w:rsidRDefault="00252474" w:rsidP="001133E5">
      <w:pPr>
        <w:spacing w:before="120" w:after="120"/>
        <w:jc w:val="both"/>
        <w:rPr>
          <w:strike/>
          <w:spacing w:val="-4"/>
          <w:lang w:val="es-ES"/>
        </w:rPr>
        <w:sectPr w:rsidR="00252474" w:rsidSect="00727941">
          <w:footerReference w:type="default" r:id="rId8"/>
          <w:pgSz w:w="11906" w:h="16838"/>
          <w:pgMar w:top="1418" w:right="1701" w:bottom="1418" w:left="1701" w:header="709" w:footer="709" w:gutter="0"/>
          <w:cols w:space="708"/>
          <w:docGrid w:linePitch="360"/>
        </w:sectPr>
      </w:pPr>
    </w:p>
    <w:p w14:paraId="52F119C9"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lastRenderedPageBreak/>
        <w:t>VOTO CONCURRENTE DEL JUEZ EDUARDO VIO GROSSI,</w:t>
      </w:r>
    </w:p>
    <w:p w14:paraId="067723D1"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t xml:space="preserve">RESOLUCIÓN DE LA </w:t>
      </w:r>
    </w:p>
    <w:p w14:paraId="23A5BCB4"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t>CORTE INTERAMERICANA DE DERECHOS HUMANOS</w:t>
      </w:r>
    </w:p>
    <w:p w14:paraId="28450C93"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t>DE 29 DE JULIO DE 2020</w:t>
      </w:r>
    </w:p>
    <w:p w14:paraId="7C002C4E"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t xml:space="preserve">SOLICITUD DE MEDIDAS PROVISIONALES Y </w:t>
      </w:r>
    </w:p>
    <w:p w14:paraId="2DB0A26D" w14:textId="77777777" w:rsidR="00252474" w:rsidRPr="00252474" w:rsidRDefault="00252474" w:rsidP="00252474">
      <w:pPr>
        <w:autoSpaceDE w:val="0"/>
        <w:autoSpaceDN w:val="0"/>
        <w:adjustRightInd w:val="0"/>
        <w:jc w:val="center"/>
        <w:rPr>
          <w:rFonts w:ascii="Verdana" w:hAnsi="Verdana" w:cs="Arial"/>
          <w:b/>
          <w:bCs/>
          <w:color w:val="000000"/>
          <w:spacing w:val="-4"/>
          <w:sz w:val="20"/>
          <w:szCs w:val="20"/>
          <w:lang w:val="es-CR"/>
        </w:rPr>
      </w:pPr>
      <w:r w:rsidRPr="00252474">
        <w:rPr>
          <w:rFonts w:ascii="Verdana" w:hAnsi="Verdana" w:cs="Arial"/>
          <w:b/>
          <w:bCs/>
          <w:color w:val="000000"/>
          <w:spacing w:val="-4"/>
          <w:sz w:val="20"/>
          <w:szCs w:val="20"/>
          <w:lang w:val="es-CR"/>
        </w:rPr>
        <w:t>SUPERVISIÓN DE CUMPLIMIENTO DE SENTENCIA</w:t>
      </w:r>
    </w:p>
    <w:p w14:paraId="6C53ED43" w14:textId="77777777" w:rsidR="00252474" w:rsidRPr="00252474" w:rsidRDefault="00252474" w:rsidP="00252474">
      <w:pPr>
        <w:autoSpaceDE w:val="0"/>
        <w:autoSpaceDN w:val="0"/>
        <w:adjustRightInd w:val="0"/>
        <w:jc w:val="center"/>
        <w:rPr>
          <w:rFonts w:ascii="Verdana" w:hAnsi="Verdana" w:cs="Arial"/>
          <w:b/>
          <w:bCs/>
          <w:i/>
          <w:color w:val="000000"/>
          <w:spacing w:val="-4"/>
          <w:sz w:val="20"/>
          <w:szCs w:val="20"/>
          <w:lang w:val="es-CR"/>
        </w:rPr>
      </w:pPr>
      <w:r w:rsidRPr="00252474">
        <w:rPr>
          <w:rFonts w:ascii="Verdana" w:hAnsi="Verdana" w:cs="Arial"/>
          <w:b/>
          <w:bCs/>
          <w:i/>
          <w:color w:val="000000"/>
          <w:spacing w:val="-4"/>
          <w:sz w:val="20"/>
          <w:szCs w:val="20"/>
          <w:lang w:val="es-CR"/>
        </w:rPr>
        <w:t xml:space="preserve">CASO DEL PENAL MIGUEL CASTRO </w:t>
      </w:r>
      <w:proofErr w:type="spellStart"/>
      <w:r w:rsidRPr="00252474">
        <w:rPr>
          <w:rFonts w:ascii="Verdana" w:hAnsi="Verdana" w:cs="Arial"/>
          <w:b/>
          <w:bCs/>
          <w:i/>
          <w:color w:val="000000"/>
          <w:spacing w:val="-4"/>
          <w:sz w:val="20"/>
          <w:szCs w:val="20"/>
          <w:lang w:val="es-CR"/>
        </w:rPr>
        <w:t>CASTRO</w:t>
      </w:r>
      <w:proofErr w:type="spellEnd"/>
      <w:r w:rsidRPr="00252474">
        <w:rPr>
          <w:rFonts w:ascii="Verdana" w:hAnsi="Verdana" w:cs="Arial"/>
          <w:b/>
          <w:bCs/>
          <w:i/>
          <w:color w:val="000000"/>
          <w:spacing w:val="-4"/>
          <w:sz w:val="20"/>
          <w:szCs w:val="20"/>
          <w:lang w:val="es-CR"/>
        </w:rPr>
        <w:t xml:space="preserve"> VS. PERÚ</w:t>
      </w:r>
    </w:p>
    <w:p w14:paraId="6AC20FFC" w14:textId="77777777" w:rsidR="00252474" w:rsidRPr="00252474" w:rsidRDefault="00252474" w:rsidP="00252474">
      <w:pPr>
        <w:autoSpaceDE w:val="0"/>
        <w:autoSpaceDN w:val="0"/>
        <w:adjustRightInd w:val="0"/>
        <w:spacing w:line="276" w:lineRule="auto"/>
        <w:jc w:val="center"/>
        <w:rPr>
          <w:rFonts w:ascii="Verdana" w:hAnsi="Verdana" w:cs="Arial"/>
          <w:b/>
          <w:bCs/>
          <w:color w:val="000000"/>
          <w:spacing w:val="-4"/>
          <w:sz w:val="20"/>
          <w:szCs w:val="20"/>
          <w:lang w:val="es-CR"/>
        </w:rPr>
      </w:pPr>
    </w:p>
    <w:p w14:paraId="31EC1F13" w14:textId="77777777" w:rsidR="00252474" w:rsidRPr="00252474" w:rsidRDefault="00252474" w:rsidP="00252474">
      <w:pPr>
        <w:spacing w:line="270" w:lineRule="atLeast"/>
        <w:ind w:right="-567"/>
        <w:jc w:val="both"/>
        <w:rPr>
          <w:rFonts w:ascii="Verdana" w:eastAsiaTheme="minorHAnsi" w:hAnsi="Verdana" w:cstheme="minorBidi"/>
          <w:sz w:val="20"/>
          <w:szCs w:val="20"/>
          <w:lang w:val="es-CL"/>
        </w:rPr>
      </w:pPr>
    </w:p>
    <w:p w14:paraId="4A70DE4A" w14:textId="77777777" w:rsidR="00252474" w:rsidRPr="00252474" w:rsidRDefault="00252474" w:rsidP="00252474">
      <w:pPr>
        <w:numPr>
          <w:ilvl w:val="0"/>
          <w:numId w:val="27"/>
        </w:numPr>
        <w:spacing w:line="270" w:lineRule="atLeast"/>
        <w:ind w:left="-207" w:right="-567"/>
        <w:contextualSpacing/>
        <w:jc w:val="both"/>
        <w:rPr>
          <w:rFonts w:ascii="Verdana" w:eastAsiaTheme="minorHAnsi" w:hAnsi="Verdana" w:cstheme="minorBidi"/>
          <w:bCs/>
          <w:spacing w:val="-4"/>
          <w:sz w:val="20"/>
          <w:szCs w:val="20"/>
          <w:lang w:val="es-CL"/>
        </w:rPr>
      </w:pPr>
      <w:r w:rsidRPr="00252474">
        <w:rPr>
          <w:rFonts w:ascii="Verdana" w:eastAsiaTheme="minorHAnsi" w:hAnsi="Verdana" w:cstheme="minorBidi"/>
          <w:sz w:val="20"/>
          <w:szCs w:val="20"/>
          <w:lang w:val="es-CL"/>
        </w:rPr>
        <w:t>Se concurre a aprobar la Resolución del título</w:t>
      </w:r>
      <w:r w:rsidRPr="00252474">
        <w:rPr>
          <w:rFonts w:ascii="Verdana" w:eastAsiaTheme="minorHAnsi" w:hAnsi="Verdana" w:cstheme="minorBidi"/>
          <w:sz w:val="20"/>
          <w:szCs w:val="20"/>
          <w:vertAlign w:val="superscript"/>
          <w:lang w:val="es-CL"/>
        </w:rPr>
        <w:footnoteReference w:id="72"/>
      </w:r>
      <w:r w:rsidRPr="00252474">
        <w:rPr>
          <w:rFonts w:ascii="Verdana" w:eastAsiaTheme="minorHAnsi" w:hAnsi="Verdana" w:cstheme="minorBidi"/>
          <w:sz w:val="20"/>
          <w:szCs w:val="20"/>
          <w:lang w:val="es-CL"/>
        </w:rPr>
        <w:t xml:space="preserve"> en mérito de que ella, en definitiva, dispuso, “(</w:t>
      </w:r>
      <w:r w:rsidRPr="00252474">
        <w:rPr>
          <w:rFonts w:ascii="Verdana" w:eastAsiaTheme="minorHAnsi" w:hAnsi="Verdana" w:cs="Verdana"/>
          <w:bCs/>
          <w:i/>
          <w:iCs/>
          <w:spacing w:val="-4"/>
          <w:sz w:val="20"/>
          <w:szCs w:val="20"/>
          <w:lang w:val="es-CL"/>
        </w:rPr>
        <w:t>r)</w:t>
      </w:r>
      <w:proofErr w:type="spellStart"/>
      <w:r w:rsidRPr="00252474">
        <w:rPr>
          <w:rFonts w:ascii="Verdana" w:eastAsiaTheme="minorHAnsi" w:hAnsi="Verdana" w:cs="Verdana"/>
          <w:bCs/>
          <w:i/>
          <w:iCs/>
          <w:spacing w:val="-4"/>
          <w:sz w:val="20"/>
          <w:szCs w:val="20"/>
          <w:lang w:val="es-CL"/>
        </w:rPr>
        <w:t>ealizar</w:t>
      </w:r>
      <w:proofErr w:type="spellEnd"/>
      <w:r w:rsidRPr="00252474">
        <w:rPr>
          <w:rFonts w:ascii="Verdana" w:eastAsiaTheme="minorHAnsi" w:hAnsi="Verdana" w:cs="Verdana"/>
          <w:bCs/>
          <w:i/>
          <w:iCs/>
          <w:spacing w:val="-4"/>
          <w:sz w:val="20"/>
          <w:szCs w:val="20"/>
          <w:lang w:val="es-CL"/>
        </w:rPr>
        <w:t xml:space="preserve"> una supervisión reforzada</w:t>
      </w:r>
      <w:r w:rsidRPr="00252474">
        <w:rPr>
          <w:rFonts w:ascii="Verdana" w:eastAsiaTheme="minorHAnsi" w:hAnsi="Verdana" w:cstheme="minorBidi"/>
          <w:bCs/>
          <w:i/>
          <w:iCs/>
          <w:spacing w:val="-4"/>
          <w:sz w:val="20"/>
          <w:szCs w:val="20"/>
          <w:lang w:val="es-CL"/>
        </w:rPr>
        <w:t xml:space="preserve"> respecto de la medida de tratamiento médico y psicológico ordenada en el presente caso respecto de las cinco víctimas sobre las cuales versa la presente solicitud de medidas provisionales, en los términos de los Considerandos 42 a 45”</w:t>
      </w:r>
      <w:r w:rsidRPr="00252474">
        <w:rPr>
          <w:rFonts w:ascii="Verdana" w:eastAsiaTheme="minorHAnsi" w:hAnsi="Verdana" w:cstheme="minorBidi"/>
          <w:bCs/>
          <w:i/>
          <w:iCs/>
          <w:spacing w:val="-4"/>
          <w:sz w:val="20"/>
          <w:szCs w:val="20"/>
          <w:vertAlign w:val="superscript"/>
          <w:lang w:val="es-CL"/>
        </w:rPr>
        <w:footnoteReference w:id="73"/>
      </w:r>
      <w:r w:rsidRPr="00252474">
        <w:rPr>
          <w:rFonts w:ascii="Verdana" w:eastAsiaTheme="minorHAnsi" w:hAnsi="Verdana" w:cstheme="minorBidi"/>
          <w:bCs/>
          <w:i/>
          <w:iCs/>
          <w:spacing w:val="-4"/>
          <w:sz w:val="20"/>
          <w:szCs w:val="20"/>
          <w:lang w:val="es-CL"/>
        </w:rPr>
        <w:t xml:space="preserve">, </w:t>
      </w:r>
      <w:r w:rsidRPr="00252474">
        <w:rPr>
          <w:rFonts w:ascii="Verdana" w:eastAsiaTheme="minorHAnsi" w:hAnsi="Verdana" w:cstheme="minorBidi"/>
          <w:bCs/>
          <w:spacing w:val="-4"/>
          <w:sz w:val="20"/>
          <w:szCs w:val="20"/>
          <w:lang w:val="es-CL"/>
        </w:rPr>
        <w:t>es decir, se apoya tal decisión en razón de que se adoptó en el marco de la institución de la supervisión del cumplimiento de sentencia</w:t>
      </w:r>
      <w:r w:rsidRPr="00252474">
        <w:rPr>
          <w:rFonts w:ascii="Verdana" w:eastAsiaTheme="minorHAnsi" w:hAnsi="Verdana" w:cstheme="minorBidi"/>
          <w:bCs/>
          <w:spacing w:val="-4"/>
          <w:sz w:val="20"/>
          <w:szCs w:val="20"/>
          <w:vertAlign w:val="superscript"/>
          <w:lang w:val="es-CL"/>
        </w:rPr>
        <w:footnoteReference w:id="74"/>
      </w:r>
      <w:r w:rsidRPr="00252474">
        <w:rPr>
          <w:rFonts w:ascii="Verdana" w:eastAsiaTheme="minorHAnsi" w:hAnsi="Verdana" w:cstheme="minorBidi"/>
          <w:bCs/>
          <w:spacing w:val="-4"/>
          <w:sz w:val="20"/>
          <w:szCs w:val="20"/>
          <w:lang w:val="es-CL"/>
        </w:rPr>
        <w:t>, con lo que coincide la posición reiterada del suscrito</w:t>
      </w:r>
      <w:r w:rsidRPr="00252474">
        <w:rPr>
          <w:rFonts w:ascii="Verdana" w:eastAsiaTheme="minorHAnsi" w:hAnsi="Verdana" w:cstheme="minorBidi"/>
          <w:bCs/>
          <w:spacing w:val="-4"/>
          <w:sz w:val="20"/>
          <w:szCs w:val="20"/>
          <w:vertAlign w:val="superscript"/>
          <w:lang w:val="es-CL"/>
        </w:rPr>
        <w:footnoteReference w:id="75"/>
      </w:r>
      <w:r w:rsidRPr="00252474">
        <w:rPr>
          <w:rFonts w:ascii="Verdana" w:eastAsiaTheme="minorHAnsi" w:hAnsi="Verdana" w:cstheme="minorBidi"/>
          <w:bCs/>
          <w:spacing w:val="-4"/>
          <w:sz w:val="20"/>
          <w:szCs w:val="20"/>
          <w:lang w:val="es-CL"/>
        </w:rPr>
        <w:t>.</w:t>
      </w:r>
    </w:p>
    <w:p w14:paraId="670C942C" w14:textId="77777777" w:rsidR="00252474" w:rsidRPr="00252474" w:rsidRDefault="00252474" w:rsidP="00252474">
      <w:pPr>
        <w:spacing w:line="270" w:lineRule="atLeast"/>
        <w:ind w:left="-207" w:right="-567"/>
        <w:contextualSpacing/>
        <w:jc w:val="both"/>
        <w:rPr>
          <w:rFonts w:ascii="Verdana" w:eastAsiaTheme="minorHAnsi" w:hAnsi="Verdana" w:cstheme="minorBidi"/>
          <w:bCs/>
          <w:spacing w:val="-4"/>
          <w:sz w:val="20"/>
          <w:szCs w:val="20"/>
          <w:lang w:val="es-CL"/>
        </w:rPr>
      </w:pPr>
    </w:p>
    <w:p w14:paraId="689D4D46" w14:textId="77777777" w:rsidR="00252474" w:rsidRPr="00252474" w:rsidRDefault="00252474" w:rsidP="00252474">
      <w:pPr>
        <w:numPr>
          <w:ilvl w:val="0"/>
          <w:numId w:val="27"/>
        </w:numPr>
        <w:spacing w:line="270" w:lineRule="atLeast"/>
        <w:ind w:left="-207" w:right="-567"/>
        <w:contextualSpacing/>
        <w:jc w:val="both"/>
        <w:rPr>
          <w:rFonts w:ascii="Verdana" w:eastAsiaTheme="minorHAnsi" w:hAnsi="Verdana" w:cstheme="minorBidi"/>
          <w:bCs/>
          <w:spacing w:val="-4"/>
          <w:sz w:val="20"/>
          <w:szCs w:val="20"/>
          <w:lang w:val="es-CL"/>
        </w:rPr>
      </w:pPr>
      <w:r w:rsidRPr="00252474">
        <w:rPr>
          <w:rFonts w:ascii="Verdana" w:eastAsiaTheme="minorHAnsi" w:hAnsi="Verdana" w:cstheme="minorBidi"/>
          <w:bCs/>
          <w:spacing w:val="-4"/>
          <w:sz w:val="20"/>
          <w:szCs w:val="20"/>
          <w:lang w:val="es-CL"/>
        </w:rPr>
        <w:t xml:space="preserve">Empero, es menester, asimismo, dejar constancia de que, aunque el infrascrito valora muy positivamente la referencia que en la Resolución se hace, en tanto su justificación, a la naturaleza </w:t>
      </w:r>
      <w:r w:rsidRPr="00252474">
        <w:rPr>
          <w:rFonts w:ascii="Verdana" w:eastAsiaTheme="minorHAnsi" w:hAnsi="Verdana" w:cs="Tahoma"/>
          <w:color w:val="000000"/>
          <w:sz w:val="20"/>
          <w:szCs w:val="20"/>
          <w:lang w:val="es-CL"/>
        </w:rPr>
        <w:t>coadyuvante o complementaria de la protección internacional ante la que ofrece el derecho interno de los Estados americanos</w:t>
      </w:r>
      <w:r w:rsidRPr="00252474">
        <w:rPr>
          <w:rFonts w:ascii="Verdana" w:eastAsiaTheme="minorHAnsi" w:hAnsi="Verdana" w:cs="Tahoma"/>
          <w:color w:val="000000"/>
          <w:sz w:val="20"/>
          <w:szCs w:val="20"/>
          <w:vertAlign w:val="superscript"/>
          <w:lang w:val="es-CL"/>
        </w:rPr>
        <w:footnoteReference w:id="76"/>
      </w:r>
      <w:r w:rsidRPr="00252474">
        <w:rPr>
          <w:rFonts w:ascii="Verdana" w:eastAsiaTheme="minorHAnsi" w:hAnsi="Verdana" w:cs="Tahoma"/>
          <w:color w:val="000000"/>
          <w:sz w:val="20"/>
          <w:szCs w:val="20"/>
          <w:lang w:val="es-CL"/>
        </w:rPr>
        <w:t>, en su criterio ese fundamento debería ser el desarrollado en sus votos individuales sobre el tema</w:t>
      </w:r>
      <w:r w:rsidRPr="00252474">
        <w:rPr>
          <w:rFonts w:ascii="Verdana" w:eastAsiaTheme="minorHAnsi" w:hAnsi="Verdana" w:cs="Tahoma"/>
          <w:color w:val="000000"/>
          <w:sz w:val="20"/>
          <w:szCs w:val="20"/>
          <w:vertAlign w:val="superscript"/>
          <w:lang w:val="es-CL"/>
        </w:rPr>
        <w:footnoteReference w:id="77"/>
      </w:r>
      <w:r w:rsidRPr="00252474">
        <w:rPr>
          <w:rFonts w:ascii="Verdana" w:eastAsiaTheme="minorHAnsi" w:hAnsi="Verdana" w:cs="Tahoma"/>
          <w:color w:val="000000"/>
          <w:sz w:val="20"/>
          <w:szCs w:val="20"/>
          <w:lang w:val="es-CL"/>
        </w:rPr>
        <w:t>, es decir, que una vez dictada la Sentencia definitiva e inapelable en el caso de que se trate, como es en el de autos, la facultad de la Corte para ordenar medidas provisionales, ha precluido.</w:t>
      </w:r>
    </w:p>
    <w:p w14:paraId="75AA68D8" w14:textId="77777777" w:rsidR="00252474" w:rsidRPr="00252474" w:rsidRDefault="00252474" w:rsidP="00252474">
      <w:pPr>
        <w:numPr>
          <w:ilvl w:val="0"/>
          <w:numId w:val="27"/>
        </w:numPr>
        <w:spacing w:line="270" w:lineRule="atLeast"/>
        <w:ind w:left="-567" w:right="-567" w:firstLine="0"/>
        <w:contextualSpacing/>
        <w:jc w:val="both"/>
        <w:rPr>
          <w:rFonts w:ascii="Verdana" w:eastAsiaTheme="minorHAnsi" w:hAnsi="Verdana" w:cstheme="minorBidi"/>
          <w:bCs/>
          <w:spacing w:val="-4"/>
          <w:sz w:val="20"/>
          <w:szCs w:val="20"/>
          <w:lang w:val="es-CL"/>
        </w:rPr>
      </w:pPr>
      <w:r w:rsidRPr="00252474">
        <w:rPr>
          <w:rFonts w:ascii="Verdana" w:eastAsiaTheme="minorHAnsi" w:hAnsi="Verdana" w:cstheme="minorBidi"/>
          <w:sz w:val="20"/>
          <w:szCs w:val="20"/>
          <w:lang w:val="es-CR"/>
        </w:rPr>
        <w:lastRenderedPageBreak/>
        <w:t>Finalmente, es necesario dejar constancia de que las menciones que la Resolución hace a la “</w:t>
      </w:r>
      <w:r w:rsidRPr="00252474">
        <w:rPr>
          <w:rFonts w:ascii="Verdana" w:eastAsiaTheme="minorHAnsi" w:hAnsi="Verdana" w:cs="Calibri"/>
          <w:i/>
          <w:iCs/>
          <w:sz w:val="20"/>
          <w:szCs w:val="20"/>
          <w:lang w:val="es-MX"/>
        </w:rPr>
        <w:t xml:space="preserve">Declaración No. 1/20 titulada </w:t>
      </w:r>
      <w:r w:rsidRPr="00252474">
        <w:rPr>
          <w:rFonts w:ascii="Verdana" w:eastAsiaTheme="minorHAnsi" w:hAnsi="Verdana" w:cs="Calibri"/>
          <w:i/>
          <w:iCs/>
          <w:sz w:val="20"/>
          <w:szCs w:val="20"/>
          <w:lang w:val="es-CR"/>
        </w:rPr>
        <w:t>COVID-19 y Derechos Humanos: los problemas y desafíos deben ser abordados con perspectiva de derechos humanos y respetando las obligaciones internacionales</w:t>
      </w:r>
      <w:r w:rsidRPr="00252474">
        <w:rPr>
          <w:rFonts w:ascii="Verdana" w:eastAsiaTheme="minorHAnsi" w:hAnsi="Verdana" w:cs="Calibri"/>
          <w:sz w:val="20"/>
          <w:szCs w:val="20"/>
          <w:lang w:val="es-CR"/>
        </w:rPr>
        <w:t>”</w:t>
      </w:r>
      <w:r w:rsidRPr="00252474">
        <w:rPr>
          <w:rFonts w:ascii="Verdana" w:eastAsiaTheme="minorHAnsi" w:hAnsi="Verdana" w:cstheme="minorBidi"/>
          <w:sz w:val="20"/>
          <w:szCs w:val="20"/>
          <w:vertAlign w:val="superscript"/>
          <w:lang w:val="es-CR"/>
        </w:rPr>
        <w:footnoteReference w:id="78"/>
      </w:r>
      <w:r w:rsidRPr="00252474">
        <w:rPr>
          <w:rFonts w:ascii="Verdana" w:eastAsiaTheme="minorHAnsi" w:hAnsi="Verdana" w:cs="Calibri"/>
          <w:sz w:val="20"/>
          <w:szCs w:val="20"/>
          <w:lang w:val="es-CR"/>
        </w:rPr>
        <w:t>, en modo alguno deben entenderse que se considera a ésta como fundamento de lo resuelto ni como, consecuentemente, fuente auxiliar de Derecho Internacional “</w:t>
      </w:r>
      <w:r w:rsidRPr="00252474">
        <w:rPr>
          <w:rFonts w:ascii="Verdana" w:eastAsiaTheme="minorHAnsi" w:hAnsi="Verdana" w:cs="Calibri"/>
          <w:i/>
          <w:iCs/>
          <w:sz w:val="20"/>
          <w:szCs w:val="20"/>
          <w:lang w:val="es-CR"/>
        </w:rPr>
        <w:t>para</w:t>
      </w:r>
      <w:r w:rsidRPr="00252474">
        <w:rPr>
          <w:rFonts w:ascii="Verdana" w:eastAsiaTheme="minorHAnsi" w:hAnsi="Verdana" w:cstheme="minorBidi"/>
          <w:i/>
          <w:iCs/>
          <w:sz w:val="20"/>
          <w:szCs w:val="20"/>
          <w:lang w:val="es-CL"/>
        </w:rPr>
        <w:t xml:space="preserve"> la determinación de las reglas de derecho</w:t>
      </w:r>
      <w:r w:rsidRPr="00252474">
        <w:rPr>
          <w:rFonts w:ascii="Verdana" w:eastAsiaTheme="minorHAnsi" w:hAnsi="Verdana" w:cs="Calibri"/>
          <w:sz w:val="20"/>
          <w:szCs w:val="20"/>
          <w:lang w:val="es-CR"/>
        </w:rPr>
        <w:t>”</w:t>
      </w:r>
      <w:r w:rsidRPr="00252474">
        <w:rPr>
          <w:rFonts w:ascii="Verdana" w:eastAsiaTheme="minorHAnsi" w:hAnsi="Verdana" w:cstheme="minorBidi"/>
          <w:sz w:val="20"/>
          <w:szCs w:val="20"/>
          <w:vertAlign w:val="superscript"/>
          <w:lang w:val="es-CR"/>
        </w:rPr>
        <w:footnoteReference w:id="79"/>
      </w:r>
      <w:r w:rsidRPr="00252474">
        <w:rPr>
          <w:rFonts w:ascii="Verdana" w:eastAsiaTheme="minorHAnsi" w:hAnsi="Verdana" w:cs="Calibri"/>
          <w:sz w:val="20"/>
          <w:szCs w:val="20"/>
          <w:lang w:val="es-CR"/>
        </w:rPr>
        <w:t xml:space="preserve"> aplicables, puesto que dicha declaración no forma parte de la jurisprudencia sino que se sustenta en ella.</w:t>
      </w:r>
    </w:p>
    <w:p w14:paraId="25850E52" w14:textId="77777777" w:rsidR="00252474" w:rsidRPr="00252474" w:rsidRDefault="00252474" w:rsidP="00252474">
      <w:pPr>
        <w:spacing w:line="270" w:lineRule="atLeast"/>
        <w:ind w:left="-924" w:right="-567"/>
        <w:jc w:val="both"/>
        <w:rPr>
          <w:rFonts w:ascii="Verdana" w:eastAsiaTheme="minorHAnsi" w:hAnsi="Verdana" w:cs="Tahoma"/>
          <w:color w:val="000000"/>
          <w:sz w:val="20"/>
          <w:szCs w:val="20"/>
          <w:lang w:val="es-CL"/>
        </w:rPr>
      </w:pPr>
    </w:p>
    <w:p w14:paraId="7C833055" w14:textId="77777777"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p>
    <w:p w14:paraId="4FE23732" w14:textId="77777777"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p>
    <w:p w14:paraId="346C5EFE" w14:textId="410A0DAE"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p>
    <w:p w14:paraId="3C850A58" w14:textId="77777777"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p>
    <w:p w14:paraId="56EAA42A" w14:textId="77777777"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p>
    <w:p w14:paraId="02A8C311" w14:textId="77777777" w:rsidR="00252474" w:rsidRPr="00252474" w:rsidRDefault="00252474" w:rsidP="00252474">
      <w:pPr>
        <w:spacing w:line="270" w:lineRule="atLeast"/>
        <w:ind w:left="-924" w:right="-567"/>
        <w:jc w:val="right"/>
        <w:rPr>
          <w:rFonts w:ascii="Verdana" w:eastAsiaTheme="minorHAnsi" w:hAnsi="Verdana" w:cs="Tahoma"/>
          <w:color w:val="000000"/>
          <w:sz w:val="20"/>
          <w:szCs w:val="20"/>
          <w:lang w:val="es-CL"/>
        </w:rPr>
      </w:pPr>
      <w:r w:rsidRPr="00252474">
        <w:rPr>
          <w:rFonts w:ascii="Verdana" w:eastAsiaTheme="minorHAnsi" w:hAnsi="Verdana" w:cs="Tahoma"/>
          <w:color w:val="000000"/>
          <w:sz w:val="20"/>
          <w:szCs w:val="20"/>
          <w:lang w:val="es-CL"/>
        </w:rPr>
        <w:t>Eduardo Vio Grossi</w:t>
      </w:r>
    </w:p>
    <w:p w14:paraId="1F50148E" w14:textId="77777777" w:rsidR="00252474" w:rsidRPr="00252474" w:rsidRDefault="00252474" w:rsidP="00252474">
      <w:pPr>
        <w:spacing w:line="270" w:lineRule="atLeast"/>
        <w:ind w:left="-924" w:right="-567"/>
        <w:jc w:val="right"/>
        <w:rPr>
          <w:rFonts w:ascii="Verdana" w:eastAsiaTheme="minorHAnsi" w:hAnsi="Verdana" w:cstheme="minorBidi"/>
          <w:bCs/>
          <w:spacing w:val="-4"/>
          <w:sz w:val="20"/>
          <w:szCs w:val="20"/>
          <w:lang w:val="es-CL"/>
        </w:rPr>
      </w:pPr>
      <w:r w:rsidRPr="00252474">
        <w:rPr>
          <w:rFonts w:ascii="Verdana" w:eastAsiaTheme="minorHAnsi" w:hAnsi="Verdana" w:cs="Tahoma"/>
          <w:color w:val="000000"/>
          <w:sz w:val="20"/>
          <w:szCs w:val="20"/>
          <w:lang w:val="es-CL"/>
        </w:rPr>
        <w:t xml:space="preserve">Juez </w:t>
      </w:r>
    </w:p>
    <w:p w14:paraId="5E3159F6" w14:textId="77777777" w:rsidR="00252474" w:rsidRPr="00252474" w:rsidRDefault="00252474" w:rsidP="00252474">
      <w:pPr>
        <w:spacing w:line="270" w:lineRule="atLeast"/>
        <w:ind w:left="-924" w:right="-567"/>
        <w:jc w:val="both"/>
        <w:rPr>
          <w:rFonts w:ascii="Verdana" w:eastAsiaTheme="minorHAnsi" w:hAnsi="Verdana" w:cstheme="minorBidi"/>
          <w:sz w:val="20"/>
          <w:szCs w:val="20"/>
          <w:lang w:val="es-CL"/>
        </w:rPr>
      </w:pPr>
    </w:p>
    <w:p w14:paraId="760909BF" w14:textId="77777777" w:rsidR="00252474" w:rsidRDefault="00252474" w:rsidP="00252474">
      <w:pPr>
        <w:autoSpaceDE w:val="0"/>
        <w:autoSpaceDN w:val="0"/>
        <w:adjustRightInd w:val="0"/>
        <w:jc w:val="center"/>
        <w:rPr>
          <w:strike/>
          <w:spacing w:val="-4"/>
          <w:lang w:val="es-ES"/>
        </w:rPr>
        <w:sectPr w:rsidR="00252474" w:rsidSect="00252474">
          <w:footerReference w:type="default" r:id="rId9"/>
          <w:footnotePr>
            <w:numRestart w:val="eachSect"/>
          </w:footnotePr>
          <w:pgSz w:w="12240" w:h="15840"/>
          <w:pgMar w:top="1417" w:right="1701" w:bottom="1417" w:left="1701" w:header="708" w:footer="708" w:gutter="0"/>
          <w:pgNumType w:start="1"/>
          <w:cols w:space="708"/>
          <w:docGrid w:linePitch="360"/>
        </w:sectPr>
      </w:pPr>
    </w:p>
    <w:p w14:paraId="0D3FEDA6" w14:textId="77777777" w:rsidR="009B20E5" w:rsidRDefault="009B20E5" w:rsidP="009B20E5">
      <w:pPr>
        <w:autoSpaceDE w:val="0"/>
        <w:autoSpaceDN w:val="0"/>
        <w:adjustRightInd w:val="0"/>
        <w:jc w:val="center"/>
        <w:rPr>
          <w:rFonts w:ascii="Verdana" w:hAnsi="Verdana" w:cs="Arial"/>
          <w:b/>
          <w:bCs/>
          <w:color w:val="000000"/>
          <w:spacing w:val="-4"/>
          <w:sz w:val="20"/>
          <w:szCs w:val="20"/>
          <w:lang w:val="es-CR"/>
        </w:rPr>
      </w:pPr>
    </w:p>
    <w:p w14:paraId="688CA2BD" w14:textId="77777777" w:rsidR="009B20E5" w:rsidRDefault="009B20E5" w:rsidP="009B20E5">
      <w:pPr>
        <w:autoSpaceDE w:val="0"/>
        <w:autoSpaceDN w:val="0"/>
        <w:adjustRightInd w:val="0"/>
        <w:jc w:val="center"/>
        <w:rPr>
          <w:rFonts w:ascii="Verdana" w:hAnsi="Verdana" w:cs="Arial"/>
          <w:b/>
          <w:bCs/>
          <w:color w:val="000000"/>
          <w:spacing w:val="-4"/>
          <w:sz w:val="20"/>
          <w:szCs w:val="20"/>
          <w:lang w:val="es-CR"/>
        </w:rPr>
      </w:pPr>
    </w:p>
    <w:p w14:paraId="764C17A8" w14:textId="77777777" w:rsidR="009B20E5" w:rsidRPr="00B509F1" w:rsidRDefault="009B20E5" w:rsidP="009B20E5">
      <w:pPr>
        <w:autoSpaceDE w:val="0"/>
        <w:autoSpaceDN w:val="0"/>
        <w:adjustRightInd w:val="0"/>
        <w:jc w:val="center"/>
        <w:rPr>
          <w:rFonts w:ascii="Verdana" w:hAnsi="Verdana" w:cs="Arial"/>
          <w:b/>
          <w:bCs/>
          <w:color w:val="000000"/>
          <w:spacing w:val="-4"/>
          <w:sz w:val="20"/>
          <w:szCs w:val="20"/>
          <w:lang w:val="es-CR"/>
        </w:rPr>
      </w:pPr>
    </w:p>
    <w:p w14:paraId="6034708E" w14:textId="77777777" w:rsidR="009B20E5" w:rsidRPr="00B509F1" w:rsidRDefault="009B20E5" w:rsidP="009B20E5">
      <w:pPr>
        <w:autoSpaceDE w:val="0"/>
        <w:autoSpaceDN w:val="0"/>
        <w:adjustRightInd w:val="0"/>
        <w:jc w:val="center"/>
        <w:rPr>
          <w:rFonts w:ascii="Verdana" w:hAnsi="Verdana" w:cs="Arial"/>
          <w:b/>
          <w:bCs/>
          <w:color w:val="000000"/>
          <w:spacing w:val="-4"/>
          <w:sz w:val="20"/>
          <w:szCs w:val="20"/>
          <w:lang w:val="es-CR"/>
        </w:rPr>
      </w:pPr>
      <w:r w:rsidRPr="00B509F1">
        <w:rPr>
          <w:rFonts w:ascii="Verdana" w:hAnsi="Verdana" w:cs="Arial"/>
          <w:b/>
          <w:bCs/>
          <w:color w:val="000000"/>
          <w:spacing w:val="-4"/>
          <w:sz w:val="20"/>
          <w:szCs w:val="20"/>
          <w:lang w:val="es-CR"/>
        </w:rPr>
        <w:t>VOTO DISIDENTE DEL</w:t>
      </w:r>
    </w:p>
    <w:p w14:paraId="56CEE069" w14:textId="77777777" w:rsidR="009B20E5" w:rsidRPr="00B509F1" w:rsidRDefault="009B20E5" w:rsidP="009B20E5">
      <w:pPr>
        <w:autoSpaceDE w:val="0"/>
        <w:autoSpaceDN w:val="0"/>
        <w:adjustRightInd w:val="0"/>
        <w:jc w:val="center"/>
        <w:rPr>
          <w:rFonts w:ascii="Verdana" w:hAnsi="Verdana" w:cs="Arial"/>
          <w:bCs/>
          <w:color w:val="000000"/>
          <w:spacing w:val="-4"/>
          <w:sz w:val="20"/>
          <w:szCs w:val="20"/>
          <w:lang w:val="es-CR"/>
        </w:rPr>
      </w:pPr>
      <w:r w:rsidRPr="00B509F1">
        <w:rPr>
          <w:rFonts w:ascii="Verdana" w:hAnsi="Verdana" w:cs="Arial"/>
          <w:b/>
          <w:bCs/>
          <w:color w:val="000000"/>
          <w:spacing w:val="-4"/>
          <w:sz w:val="20"/>
          <w:szCs w:val="20"/>
          <w:lang w:val="es-CR"/>
        </w:rPr>
        <w:t>JUEZ L. PATRICIO PAZMIÑO FREIRE</w:t>
      </w:r>
    </w:p>
    <w:p w14:paraId="5983FA67" w14:textId="77777777" w:rsidR="009B20E5" w:rsidRPr="00B509F1" w:rsidRDefault="009B20E5" w:rsidP="009B20E5">
      <w:pPr>
        <w:autoSpaceDE w:val="0"/>
        <w:autoSpaceDN w:val="0"/>
        <w:adjustRightInd w:val="0"/>
        <w:rPr>
          <w:rFonts w:ascii="Verdana" w:hAnsi="Verdana" w:cs="Arial"/>
          <w:bCs/>
          <w:color w:val="000000"/>
          <w:spacing w:val="-4"/>
          <w:sz w:val="20"/>
          <w:szCs w:val="20"/>
          <w:lang w:val="es-CR"/>
        </w:rPr>
      </w:pPr>
    </w:p>
    <w:p w14:paraId="372A2E97" w14:textId="77777777" w:rsidR="009B20E5" w:rsidRPr="00B509F1" w:rsidRDefault="009B20E5" w:rsidP="009B20E5">
      <w:pPr>
        <w:autoSpaceDE w:val="0"/>
        <w:autoSpaceDN w:val="0"/>
        <w:adjustRightInd w:val="0"/>
        <w:jc w:val="center"/>
        <w:rPr>
          <w:rFonts w:ascii="Verdana" w:hAnsi="Verdana" w:cs="Arial"/>
          <w:b/>
          <w:bCs/>
          <w:i/>
          <w:color w:val="000000"/>
          <w:spacing w:val="-4"/>
          <w:sz w:val="20"/>
          <w:szCs w:val="20"/>
          <w:lang w:val="es-CR"/>
        </w:rPr>
      </w:pPr>
      <w:r>
        <w:rPr>
          <w:rFonts w:ascii="Verdana" w:hAnsi="Verdana" w:cs="Arial"/>
          <w:b/>
          <w:bCs/>
          <w:i/>
          <w:color w:val="000000"/>
          <w:spacing w:val="-4"/>
          <w:sz w:val="20"/>
          <w:szCs w:val="20"/>
          <w:lang w:val="es-CR"/>
        </w:rPr>
        <w:t>A LA RESOLUCIÓN EMI</w:t>
      </w:r>
      <w:r w:rsidRPr="00B509F1">
        <w:rPr>
          <w:rFonts w:ascii="Verdana" w:hAnsi="Verdana" w:cs="Arial"/>
          <w:b/>
          <w:bCs/>
          <w:i/>
          <w:color w:val="000000"/>
          <w:spacing w:val="-4"/>
          <w:sz w:val="20"/>
          <w:szCs w:val="20"/>
          <w:lang w:val="es-CR"/>
        </w:rPr>
        <w:t>T</w:t>
      </w:r>
      <w:r>
        <w:rPr>
          <w:rFonts w:ascii="Verdana" w:hAnsi="Verdana" w:cs="Arial"/>
          <w:b/>
          <w:bCs/>
          <w:i/>
          <w:color w:val="000000"/>
          <w:spacing w:val="-4"/>
          <w:sz w:val="20"/>
          <w:szCs w:val="20"/>
          <w:lang w:val="es-CR"/>
        </w:rPr>
        <w:t>I</w:t>
      </w:r>
      <w:r w:rsidRPr="00B509F1">
        <w:rPr>
          <w:rFonts w:ascii="Verdana" w:hAnsi="Verdana" w:cs="Arial"/>
          <w:b/>
          <w:bCs/>
          <w:i/>
          <w:color w:val="000000"/>
          <w:spacing w:val="-4"/>
          <w:sz w:val="20"/>
          <w:szCs w:val="20"/>
          <w:lang w:val="es-CR"/>
        </w:rPr>
        <w:t xml:space="preserve">DA EL 29 DE JULIO DE 2020 EN EL CASO DEL PENAL MIGUEL CASTRO </w:t>
      </w:r>
      <w:proofErr w:type="spellStart"/>
      <w:r w:rsidRPr="00B509F1">
        <w:rPr>
          <w:rFonts w:ascii="Verdana" w:hAnsi="Verdana" w:cs="Arial"/>
          <w:b/>
          <w:bCs/>
          <w:i/>
          <w:color w:val="000000"/>
          <w:spacing w:val="-4"/>
          <w:sz w:val="20"/>
          <w:szCs w:val="20"/>
          <w:lang w:val="es-CR"/>
        </w:rPr>
        <w:t>CASTRO</w:t>
      </w:r>
      <w:proofErr w:type="spellEnd"/>
      <w:r w:rsidRPr="00B509F1">
        <w:rPr>
          <w:rFonts w:ascii="Verdana" w:hAnsi="Verdana" w:cs="Arial"/>
          <w:b/>
          <w:bCs/>
          <w:i/>
          <w:color w:val="000000"/>
          <w:spacing w:val="-4"/>
          <w:sz w:val="20"/>
          <w:szCs w:val="20"/>
          <w:lang w:val="es-CR"/>
        </w:rPr>
        <w:t xml:space="preserve"> VS. PERÚ</w:t>
      </w:r>
    </w:p>
    <w:p w14:paraId="684A2348" w14:textId="77777777" w:rsidR="009B20E5" w:rsidRPr="00B509F1" w:rsidRDefault="009B20E5" w:rsidP="009B20E5">
      <w:pPr>
        <w:autoSpaceDE w:val="0"/>
        <w:autoSpaceDN w:val="0"/>
        <w:adjustRightInd w:val="0"/>
        <w:jc w:val="center"/>
        <w:rPr>
          <w:rFonts w:ascii="Verdana" w:hAnsi="Verdana" w:cs="Arial"/>
          <w:b/>
          <w:bCs/>
          <w:i/>
          <w:color w:val="000000"/>
          <w:spacing w:val="-4"/>
          <w:sz w:val="20"/>
          <w:szCs w:val="20"/>
          <w:lang w:val="es-CR"/>
        </w:rPr>
      </w:pPr>
    </w:p>
    <w:p w14:paraId="7F38657B" w14:textId="77777777" w:rsidR="009B20E5" w:rsidRPr="00B509F1" w:rsidRDefault="009B20E5" w:rsidP="009B20E5">
      <w:pPr>
        <w:shd w:val="clear" w:color="auto" w:fill="FFFFFF"/>
        <w:jc w:val="both"/>
        <w:rPr>
          <w:rFonts w:ascii="Verdana" w:eastAsia="Times New Roman" w:hAnsi="Verdana" w:cs="Segoe UI"/>
          <w:color w:val="000000"/>
          <w:sz w:val="20"/>
          <w:szCs w:val="20"/>
          <w:lang w:val="es-ES" w:eastAsia="es-ES"/>
        </w:rPr>
      </w:pPr>
    </w:p>
    <w:p w14:paraId="319A2834" w14:textId="77777777" w:rsidR="009B20E5" w:rsidRPr="00B509F1" w:rsidRDefault="009B20E5" w:rsidP="009B20E5">
      <w:pPr>
        <w:shd w:val="clear" w:color="auto" w:fill="FFFFFF"/>
        <w:jc w:val="both"/>
        <w:rPr>
          <w:rFonts w:ascii="Verdana" w:eastAsia="Times New Roman" w:hAnsi="Verdana" w:cs="Segoe UI"/>
          <w:color w:val="212121"/>
          <w:sz w:val="20"/>
          <w:szCs w:val="20"/>
          <w:lang w:val="es-ES" w:eastAsia="es-ES"/>
        </w:rPr>
      </w:pPr>
      <w:r w:rsidRPr="00B509F1">
        <w:rPr>
          <w:rFonts w:ascii="Verdana" w:eastAsia="Times New Roman" w:hAnsi="Verdana" w:cs="Segoe UI"/>
          <w:color w:val="000000"/>
          <w:sz w:val="20"/>
          <w:szCs w:val="20"/>
          <w:lang w:val="es-ES" w:eastAsia="es-ES"/>
        </w:rPr>
        <w:t>En la Resoluc</w:t>
      </w:r>
      <w:r w:rsidRPr="00CC1882">
        <w:rPr>
          <w:rFonts w:ascii="Verdana" w:eastAsia="Times New Roman" w:hAnsi="Verdana" w:cs="Segoe UI"/>
          <w:color w:val="000000"/>
          <w:sz w:val="20"/>
          <w:szCs w:val="20"/>
          <w:lang w:val="es-ES" w:eastAsia="es-ES"/>
        </w:rPr>
        <w:t>i</w:t>
      </w:r>
      <w:r w:rsidRPr="00714891">
        <w:rPr>
          <w:rFonts w:ascii="Verdana" w:eastAsia="Times New Roman" w:hAnsi="Verdana" w:cs="Segoe UI"/>
          <w:color w:val="000000"/>
          <w:sz w:val="20"/>
          <w:szCs w:val="20"/>
          <w:lang w:val="es-ES" w:eastAsia="es-ES"/>
        </w:rPr>
        <w:t>ón</w:t>
      </w:r>
      <w:r w:rsidRPr="006C6484">
        <w:rPr>
          <w:rFonts w:ascii="Verdana" w:eastAsia="Times New Roman" w:hAnsi="Verdana" w:cs="Segoe UI"/>
          <w:color w:val="000000"/>
          <w:sz w:val="20"/>
          <w:szCs w:val="20"/>
          <w:lang w:val="es-ES" w:eastAsia="es-ES"/>
        </w:rPr>
        <w:t xml:space="preserve"> </w:t>
      </w:r>
      <w:r w:rsidRPr="002465BF">
        <w:rPr>
          <w:rFonts w:ascii="Verdana" w:eastAsia="Times New Roman" w:hAnsi="Verdana" w:cs="Segoe UI"/>
          <w:color w:val="000000"/>
          <w:sz w:val="20"/>
          <w:szCs w:val="20"/>
          <w:lang w:val="es-ES" w:eastAsia="es-ES"/>
        </w:rPr>
        <w:t>e</w:t>
      </w:r>
      <w:r w:rsidRPr="00B509F1">
        <w:rPr>
          <w:rFonts w:ascii="Verdana" w:eastAsia="Times New Roman" w:hAnsi="Verdana" w:cs="Segoe UI"/>
          <w:color w:val="000000"/>
          <w:sz w:val="20"/>
          <w:szCs w:val="20"/>
          <w:lang w:val="es-ES" w:eastAsia="es-ES"/>
        </w:rPr>
        <w:t>n cuestión, mi decisión se aparta del criterio de mayoría que ha resuelto “realizar [en el marco de la supervisión de cumplimiento de la Sentencia] una</w:t>
      </w:r>
      <w:r>
        <w:rPr>
          <w:rFonts w:ascii="Verdana" w:eastAsia="Times New Roman" w:hAnsi="Verdana" w:cs="Segoe UI"/>
          <w:color w:val="000000"/>
          <w:sz w:val="20"/>
          <w:szCs w:val="20"/>
          <w:lang w:val="es-ES" w:eastAsia="es-ES"/>
        </w:rPr>
        <w:t xml:space="preserve"> </w:t>
      </w:r>
      <w:r w:rsidRPr="00B509F1">
        <w:rPr>
          <w:rFonts w:ascii="Verdana" w:eastAsia="Times New Roman" w:hAnsi="Verdana" w:cs="Segoe UI"/>
          <w:color w:val="000000"/>
          <w:sz w:val="20"/>
          <w:szCs w:val="20"/>
          <w:lang w:val="es-ES" w:eastAsia="es-ES"/>
        </w:rPr>
        <w:t xml:space="preserve">supervisión reforzada respecto de la medida de tratamiento médico y psicológico ordenada en el presente caso respecto de las </w:t>
      </w:r>
      <w:r>
        <w:rPr>
          <w:rFonts w:ascii="Verdana" w:eastAsia="Times New Roman" w:hAnsi="Verdana" w:cs="Segoe UI"/>
          <w:color w:val="000000"/>
          <w:sz w:val="20"/>
          <w:szCs w:val="20"/>
          <w:lang w:val="es-ES" w:eastAsia="es-ES"/>
        </w:rPr>
        <w:t>cinco</w:t>
      </w:r>
      <w:r w:rsidRPr="00B509F1">
        <w:rPr>
          <w:rFonts w:ascii="Verdana" w:eastAsia="Times New Roman" w:hAnsi="Verdana" w:cs="Segoe UI"/>
          <w:color w:val="000000"/>
          <w:sz w:val="20"/>
          <w:szCs w:val="20"/>
          <w:lang w:val="es-ES" w:eastAsia="es-ES"/>
        </w:rPr>
        <w:t xml:space="preserve"> víctimas sobre las cuales versa la presente solicitud de medidas provisionales</w:t>
      </w:r>
      <w:r>
        <w:rPr>
          <w:rFonts w:ascii="Verdana" w:eastAsia="Times New Roman" w:hAnsi="Verdana" w:cs="Segoe UI"/>
          <w:color w:val="000000"/>
          <w:sz w:val="20"/>
          <w:szCs w:val="20"/>
          <w:lang w:val="es-ES" w:eastAsia="es-ES"/>
        </w:rPr>
        <w:t xml:space="preserve"> […]</w:t>
      </w:r>
      <w:r w:rsidRPr="00B509F1">
        <w:rPr>
          <w:rFonts w:ascii="Verdana" w:eastAsia="Times New Roman" w:hAnsi="Verdana" w:cs="Segoe UI"/>
          <w:color w:val="000000"/>
          <w:sz w:val="20"/>
          <w:szCs w:val="20"/>
          <w:lang w:val="es-ES" w:eastAsia="es-ES"/>
        </w:rPr>
        <w:t>”.</w:t>
      </w:r>
    </w:p>
    <w:p w14:paraId="02052AEF" w14:textId="77777777" w:rsidR="009B20E5" w:rsidRPr="00B509F1" w:rsidRDefault="009B20E5" w:rsidP="009B20E5">
      <w:pPr>
        <w:shd w:val="clear" w:color="auto" w:fill="FFFFFF"/>
        <w:jc w:val="both"/>
        <w:rPr>
          <w:rFonts w:ascii="Verdana" w:eastAsia="Times New Roman" w:hAnsi="Verdana" w:cs="Segoe UI"/>
          <w:color w:val="212121"/>
          <w:sz w:val="20"/>
          <w:szCs w:val="20"/>
          <w:lang w:val="es-ES" w:eastAsia="es-ES"/>
        </w:rPr>
      </w:pPr>
    </w:p>
    <w:p w14:paraId="1B4CD6B6" w14:textId="77777777" w:rsidR="009B20E5" w:rsidRPr="00B509F1" w:rsidRDefault="009B20E5" w:rsidP="009B20E5">
      <w:pPr>
        <w:shd w:val="clear" w:color="auto" w:fill="FFFFFF"/>
        <w:jc w:val="both"/>
        <w:rPr>
          <w:rFonts w:ascii="Verdana" w:eastAsia="Times New Roman" w:hAnsi="Verdana" w:cs="Segoe UI"/>
          <w:color w:val="212121"/>
          <w:sz w:val="20"/>
          <w:szCs w:val="20"/>
          <w:lang w:val="es-ES" w:eastAsia="es-ES"/>
        </w:rPr>
      </w:pPr>
      <w:r w:rsidRPr="00B509F1">
        <w:rPr>
          <w:rFonts w:ascii="Verdana" w:eastAsia="Times New Roman" w:hAnsi="Verdana" w:cs="Segoe UI"/>
          <w:color w:val="212121"/>
          <w:sz w:val="20"/>
          <w:szCs w:val="20"/>
          <w:lang w:val="es-ES" w:eastAsia="es-ES"/>
        </w:rPr>
        <w:t>Ello se deb</w:t>
      </w:r>
      <w:r>
        <w:rPr>
          <w:rFonts w:ascii="Verdana" w:eastAsia="Times New Roman" w:hAnsi="Verdana" w:cs="Segoe UI"/>
          <w:color w:val="212121"/>
          <w:sz w:val="20"/>
          <w:szCs w:val="20"/>
          <w:lang w:val="es-ES" w:eastAsia="es-ES"/>
        </w:rPr>
        <w:t>e</w:t>
      </w:r>
      <w:r w:rsidRPr="00B509F1">
        <w:rPr>
          <w:rFonts w:ascii="Verdana" w:eastAsia="Times New Roman" w:hAnsi="Verdana" w:cs="Segoe UI"/>
          <w:color w:val="212121"/>
          <w:sz w:val="20"/>
          <w:szCs w:val="20"/>
          <w:lang w:val="es-ES" w:eastAsia="es-ES"/>
        </w:rPr>
        <w:t>, en mi opinión,</w:t>
      </w:r>
      <w:r>
        <w:rPr>
          <w:rFonts w:ascii="Verdana" w:eastAsia="Times New Roman" w:hAnsi="Verdana" w:cs="Segoe UI"/>
          <w:color w:val="212121"/>
          <w:sz w:val="20"/>
          <w:szCs w:val="20"/>
          <w:lang w:val="es-ES" w:eastAsia="es-ES"/>
        </w:rPr>
        <w:t xml:space="preserve"> no solo a que</w:t>
      </w:r>
      <w:r w:rsidRPr="00B509F1">
        <w:rPr>
          <w:rFonts w:ascii="Verdana" w:eastAsia="Times New Roman" w:hAnsi="Verdana" w:cs="Segoe UI"/>
          <w:color w:val="212121"/>
          <w:sz w:val="20"/>
          <w:szCs w:val="20"/>
          <w:lang w:val="es-ES" w:eastAsia="es-ES"/>
        </w:rPr>
        <w:t xml:space="preserve"> </w:t>
      </w:r>
      <w:r w:rsidRPr="00B509F1">
        <w:rPr>
          <w:rFonts w:ascii="Verdana" w:eastAsia="Times New Roman" w:hAnsi="Verdana" w:cs="Segoe UI"/>
          <w:color w:val="000000"/>
          <w:sz w:val="20"/>
          <w:szCs w:val="20"/>
          <w:lang w:val="es-ES" w:eastAsia="es-ES"/>
        </w:rPr>
        <w:t>existen suficientes elementos para afirmar que se configuran los requisitos de extrema gravedad, urgencia y riesgo de daño irreparable necesarios, según el artículo</w:t>
      </w:r>
      <w:r>
        <w:rPr>
          <w:rFonts w:ascii="Verdana" w:eastAsia="Times New Roman" w:hAnsi="Verdana" w:cs="Segoe UI"/>
          <w:color w:val="000000"/>
          <w:sz w:val="20"/>
          <w:szCs w:val="20"/>
          <w:lang w:val="es-ES" w:eastAsia="es-ES"/>
        </w:rPr>
        <w:t xml:space="preserve"> </w:t>
      </w:r>
      <w:r w:rsidRPr="00B509F1">
        <w:rPr>
          <w:rFonts w:ascii="Verdana" w:eastAsia="Times New Roman" w:hAnsi="Verdana" w:cs="Segoe UI"/>
          <w:color w:val="000000"/>
          <w:sz w:val="20"/>
          <w:szCs w:val="20"/>
          <w:lang w:val="es-ES" w:eastAsia="es-ES"/>
        </w:rPr>
        <w:t>63.2 de la Convención Americana sobre Derechos Humanos,</w:t>
      </w:r>
      <w:r>
        <w:rPr>
          <w:rFonts w:ascii="Verdana" w:eastAsia="Times New Roman" w:hAnsi="Verdana" w:cs="Segoe UI"/>
          <w:color w:val="000000"/>
          <w:sz w:val="20"/>
          <w:szCs w:val="20"/>
          <w:lang w:val="es-ES" w:eastAsia="es-ES"/>
        </w:rPr>
        <w:t xml:space="preserve"> </w:t>
      </w:r>
      <w:r w:rsidRPr="00B509F1">
        <w:rPr>
          <w:rFonts w:ascii="Verdana" w:eastAsia="Times New Roman" w:hAnsi="Verdana" w:cs="Segoe UI"/>
          <w:color w:val="000000"/>
          <w:sz w:val="20"/>
          <w:szCs w:val="20"/>
          <w:lang w:val="es-ES" w:eastAsia="es-ES"/>
        </w:rPr>
        <w:t>para el otorgamiento de una medida provisional que permita proteger los derechos a la vida, la integridad personal y la salud de las cinco víctimas</w:t>
      </w:r>
      <w:r>
        <w:rPr>
          <w:rFonts w:ascii="Verdana" w:eastAsia="Times New Roman" w:hAnsi="Verdana" w:cs="Segoe UI"/>
          <w:color w:val="000000"/>
          <w:sz w:val="20"/>
          <w:szCs w:val="20"/>
          <w:lang w:val="es-ES" w:eastAsia="es-ES"/>
        </w:rPr>
        <w:t>; sino que, adicionalmente, así se debe resolver, para mantener coherencia y concordancia con los elementos de análisis y fundamentación ya aprobados por la mayoría del Tribunal y un voto concordante, en la Resolución de Ratificación de las Medidas Provisionales en el caso Vélez Loor y Panamá de 29 de Julio de 2020</w:t>
      </w:r>
      <w:r w:rsidRPr="00B509F1">
        <w:rPr>
          <w:rFonts w:ascii="Verdana" w:eastAsia="Times New Roman" w:hAnsi="Verdana" w:cs="Segoe UI"/>
          <w:color w:val="000000"/>
          <w:sz w:val="20"/>
          <w:szCs w:val="20"/>
          <w:lang w:val="es-ES" w:eastAsia="es-ES"/>
        </w:rPr>
        <w:t xml:space="preserve"> </w:t>
      </w:r>
    </w:p>
    <w:p w14:paraId="6DD5CD52" w14:textId="77777777" w:rsidR="009B20E5" w:rsidRPr="00B509F1" w:rsidRDefault="009B20E5" w:rsidP="009B20E5">
      <w:pPr>
        <w:shd w:val="clear" w:color="auto" w:fill="FFFFFF"/>
        <w:jc w:val="both"/>
        <w:rPr>
          <w:rFonts w:ascii="Verdana" w:eastAsia="Times New Roman" w:hAnsi="Verdana" w:cs="Segoe UI"/>
          <w:color w:val="212121"/>
          <w:sz w:val="20"/>
          <w:szCs w:val="20"/>
          <w:lang w:val="es-ES" w:eastAsia="es-ES"/>
        </w:rPr>
      </w:pPr>
    </w:p>
    <w:p w14:paraId="3E32C564" w14:textId="77777777" w:rsidR="009B20E5" w:rsidRPr="00B509F1" w:rsidRDefault="009B20E5" w:rsidP="009B20E5">
      <w:pPr>
        <w:shd w:val="clear" w:color="auto" w:fill="FFFFFF"/>
        <w:jc w:val="both"/>
        <w:rPr>
          <w:rFonts w:ascii="Verdana" w:eastAsia="Times New Roman" w:hAnsi="Verdana" w:cs="Segoe UI"/>
          <w:color w:val="212121"/>
          <w:sz w:val="20"/>
          <w:szCs w:val="20"/>
          <w:lang w:val="es-ES" w:eastAsia="es-ES"/>
        </w:rPr>
      </w:pPr>
      <w:r w:rsidRPr="00B509F1">
        <w:rPr>
          <w:rFonts w:ascii="Verdana" w:eastAsia="Times New Roman" w:hAnsi="Verdana" w:cs="Segoe UI"/>
          <w:color w:val="000000"/>
          <w:sz w:val="20"/>
          <w:szCs w:val="20"/>
          <w:lang w:val="es-ES" w:eastAsia="es-ES"/>
        </w:rPr>
        <w:t>En ese sentido, considero que el texto del acápite de la Resolución emitida el 29 de julio de 2020 que expone las consideraciones del Tribunal y su parte resolutiva</w:t>
      </w:r>
      <w:r>
        <w:rPr>
          <w:rFonts w:ascii="Verdana" w:eastAsia="Times New Roman" w:hAnsi="Verdana" w:cs="Segoe UI"/>
          <w:color w:val="000000"/>
          <w:sz w:val="20"/>
          <w:szCs w:val="20"/>
          <w:lang w:val="es-ES" w:eastAsia="es-ES"/>
        </w:rPr>
        <w:t xml:space="preserve"> en el presente caso</w:t>
      </w:r>
      <w:r w:rsidRPr="00B509F1">
        <w:rPr>
          <w:rFonts w:ascii="Verdana" w:eastAsia="Times New Roman" w:hAnsi="Verdana" w:cs="Segoe UI"/>
          <w:color w:val="000000"/>
          <w:sz w:val="20"/>
          <w:szCs w:val="20"/>
          <w:lang w:val="es-ES" w:eastAsia="es-ES"/>
        </w:rPr>
        <w:t>, debieron haberse leído de la siguiente forma:</w:t>
      </w:r>
    </w:p>
    <w:p w14:paraId="3CCB57E2" w14:textId="77777777" w:rsidR="009B20E5" w:rsidRPr="00B509F1" w:rsidRDefault="009B20E5" w:rsidP="009B20E5">
      <w:pPr>
        <w:autoSpaceDE w:val="0"/>
        <w:autoSpaceDN w:val="0"/>
        <w:adjustRightInd w:val="0"/>
        <w:jc w:val="both"/>
        <w:rPr>
          <w:rFonts w:ascii="Verdana" w:hAnsi="Verdana" w:cs="Arial"/>
          <w:b/>
          <w:bCs/>
          <w:color w:val="000000"/>
          <w:spacing w:val="-4"/>
          <w:sz w:val="20"/>
          <w:szCs w:val="20"/>
          <w:lang w:val="es-CR"/>
        </w:rPr>
      </w:pPr>
    </w:p>
    <w:p w14:paraId="5FF748AC" w14:textId="77777777" w:rsidR="009B20E5" w:rsidRPr="00395069" w:rsidRDefault="009B20E5" w:rsidP="009B20E5">
      <w:pPr>
        <w:pStyle w:val="Prrafodelista"/>
        <w:numPr>
          <w:ilvl w:val="0"/>
          <w:numId w:val="2"/>
        </w:numPr>
        <w:jc w:val="both"/>
        <w:rPr>
          <w:rFonts w:ascii="Verdana" w:hAnsi="Verdana"/>
          <w:b/>
          <w:i/>
          <w:spacing w:val="-4"/>
          <w:sz w:val="20"/>
          <w:szCs w:val="20"/>
          <w:lang w:val="es-CR"/>
        </w:rPr>
      </w:pPr>
      <w:r w:rsidRPr="00395069">
        <w:rPr>
          <w:rFonts w:ascii="Verdana" w:hAnsi="Verdana"/>
          <w:b/>
          <w:i/>
          <w:spacing w:val="-4"/>
          <w:sz w:val="20"/>
          <w:szCs w:val="20"/>
          <w:lang w:val="es-CR"/>
        </w:rPr>
        <w:t>Consideraciones de la Corte respecto de la solicitud de medidas provisionales</w:t>
      </w:r>
    </w:p>
    <w:p w14:paraId="2CABEAF1" w14:textId="77777777" w:rsidR="009B20E5" w:rsidRPr="00C2549C"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ES"/>
        </w:rPr>
      </w:pPr>
    </w:p>
    <w:p w14:paraId="5A60EE13"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C2549C">
        <w:rPr>
          <w:rFonts w:ascii="Verdana" w:hAnsi="Verdana"/>
          <w:spacing w:val="-4"/>
          <w:sz w:val="20"/>
          <w:szCs w:val="20"/>
          <w:lang w:val="es-ES"/>
        </w:rPr>
        <w:t xml:space="preserve">La </w:t>
      </w:r>
      <w:r w:rsidRPr="00C2549C">
        <w:rPr>
          <w:rFonts w:ascii="Verdana" w:hAnsi="Verdana" w:cs="Verdana"/>
          <w:color w:val="000000"/>
          <w:spacing w:val="-4"/>
          <w:sz w:val="20"/>
          <w:szCs w:val="20"/>
          <w:lang w:val="es-ES"/>
        </w:rPr>
        <w:t>solicitud</w:t>
      </w:r>
      <w:r w:rsidRPr="00C2549C">
        <w:rPr>
          <w:rFonts w:ascii="Verdana" w:hAnsi="Verdana"/>
          <w:spacing w:val="-4"/>
          <w:sz w:val="20"/>
          <w:szCs w:val="20"/>
          <w:lang w:val="es-ES"/>
        </w:rPr>
        <w:t xml:space="preserve"> presentada busca proteger los derechos a la salud, a la integridad </w:t>
      </w:r>
      <w:r>
        <w:rPr>
          <w:rFonts w:ascii="Verdana" w:hAnsi="Verdana"/>
          <w:spacing w:val="-4"/>
          <w:sz w:val="20"/>
          <w:szCs w:val="20"/>
          <w:lang w:val="es-ES"/>
        </w:rPr>
        <w:t>personal</w:t>
      </w:r>
      <w:r w:rsidRPr="00C2549C">
        <w:rPr>
          <w:rFonts w:ascii="Verdana" w:hAnsi="Verdana"/>
          <w:spacing w:val="-4"/>
          <w:sz w:val="20"/>
          <w:szCs w:val="20"/>
          <w:lang w:val="es-ES"/>
        </w:rPr>
        <w:t xml:space="preserve">, y a la vida de “cuatro víctimas y un familiar” del </w:t>
      </w:r>
      <w:r w:rsidRPr="00C2549C">
        <w:rPr>
          <w:rFonts w:ascii="Verdana" w:hAnsi="Verdana"/>
          <w:i/>
          <w:spacing w:val="-4"/>
          <w:sz w:val="20"/>
          <w:szCs w:val="20"/>
          <w:lang w:val="es-ES"/>
        </w:rPr>
        <w:t xml:space="preserve">caso Penal Miguel Castro </w:t>
      </w:r>
      <w:proofErr w:type="spellStart"/>
      <w:r w:rsidRPr="00C2549C">
        <w:rPr>
          <w:rFonts w:ascii="Verdana" w:hAnsi="Verdana"/>
          <w:i/>
          <w:spacing w:val="-4"/>
          <w:sz w:val="20"/>
          <w:szCs w:val="20"/>
          <w:lang w:val="es-ES"/>
        </w:rPr>
        <w:t>Castro</w:t>
      </w:r>
      <w:proofErr w:type="spellEnd"/>
      <w:r w:rsidRPr="00C2549C">
        <w:rPr>
          <w:rFonts w:ascii="Verdana" w:hAnsi="Verdana"/>
          <w:i/>
          <w:spacing w:val="-4"/>
          <w:sz w:val="20"/>
          <w:szCs w:val="20"/>
          <w:lang w:val="es-ES"/>
        </w:rPr>
        <w:t xml:space="preserve"> </w:t>
      </w:r>
      <w:r w:rsidRPr="00C2549C">
        <w:rPr>
          <w:rFonts w:ascii="Verdana" w:hAnsi="Verdana"/>
          <w:spacing w:val="-4"/>
          <w:sz w:val="20"/>
          <w:szCs w:val="20"/>
          <w:lang w:val="es-ES"/>
        </w:rPr>
        <w:t xml:space="preserve">que se encuentran en tres establecimientos penales del Perú, a raíz de supuesta falta de adopción de medidas adecuadas por parte del Estado en el marco de la pandemia de Covid-19. Dado que el caso se encuentra actualmente en etapa de supervisión de cumplimiento de </w:t>
      </w:r>
      <w:r>
        <w:rPr>
          <w:rFonts w:ascii="Verdana" w:hAnsi="Verdana"/>
          <w:spacing w:val="-4"/>
          <w:sz w:val="20"/>
          <w:szCs w:val="20"/>
          <w:lang w:val="es-ES"/>
        </w:rPr>
        <w:t>S</w:t>
      </w:r>
      <w:r w:rsidRPr="00C2549C">
        <w:rPr>
          <w:rFonts w:ascii="Verdana" w:hAnsi="Verdana"/>
          <w:spacing w:val="-4"/>
          <w:sz w:val="20"/>
          <w:szCs w:val="20"/>
          <w:lang w:val="es-ES"/>
        </w:rPr>
        <w:t>entencia, fundamentan lo requerido en el artículo 27.3 del Reglamento del Tribunal en la relación de estos hechos con la medida de tratamiento médico y psicológico ordenada en la Sentencia (</w:t>
      </w:r>
      <w:r w:rsidRPr="00C2549C">
        <w:rPr>
          <w:rFonts w:ascii="Verdana" w:hAnsi="Verdana"/>
          <w:i/>
          <w:spacing w:val="-4"/>
          <w:sz w:val="20"/>
          <w:szCs w:val="20"/>
          <w:lang w:val="es-ES"/>
        </w:rPr>
        <w:t xml:space="preserve">supra </w:t>
      </w:r>
      <w:r w:rsidRPr="00C2549C">
        <w:rPr>
          <w:rFonts w:ascii="Verdana" w:hAnsi="Verdana"/>
          <w:spacing w:val="-4"/>
          <w:sz w:val="20"/>
          <w:szCs w:val="20"/>
          <w:lang w:val="es-ES"/>
        </w:rPr>
        <w:t>Considerando</w:t>
      </w:r>
      <w:r>
        <w:rPr>
          <w:rFonts w:ascii="Verdana" w:hAnsi="Verdana"/>
          <w:spacing w:val="-4"/>
          <w:sz w:val="20"/>
          <w:szCs w:val="20"/>
          <w:lang w:val="es-ES"/>
        </w:rPr>
        <w:t xml:space="preserve"> 2</w:t>
      </w:r>
      <w:r w:rsidRPr="00C2549C">
        <w:rPr>
          <w:rFonts w:ascii="Verdana" w:hAnsi="Verdana"/>
          <w:spacing w:val="-4"/>
          <w:sz w:val="20"/>
          <w:szCs w:val="20"/>
          <w:lang w:val="es-ES"/>
        </w:rPr>
        <w:t>).</w:t>
      </w:r>
    </w:p>
    <w:p w14:paraId="539A3687"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ES"/>
        </w:rPr>
      </w:pPr>
    </w:p>
    <w:p w14:paraId="5E2ABAE6"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C2549C">
        <w:rPr>
          <w:rFonts w:ascii="Verdana" w:eastAsia="Verdana" w:hAnsi="Verdana" w:cs="Verdana"/>
          <w:spacing w:val="-4"/>
          <w:sz w:val="20"/>
          <w:szCs w:val="20"/>
          <w:lang w:val="es-CR"/>
        </w:rPr>
        <w:t xml:space="preserve">Este </w:t>
      </w:r>
      <w:r w:rsidRPr="00C2549C">
        <w:rPr>
          <w:rFonts w:ascii="Verdana" w:hAnsi="Verdana"/>
          <w:spacing w:val="-4"/>
          <w:sz w:val="20"/>
          <w:szCs w:val="20"/>
          <w:lang w:val="es-ES"/>
        </w:rPr>
        <w:t>Tribunal</w:t>
      </w:r>
      <w:r w:rsidRPr="00C2549C">
        <w:rPr>
          <w:rFonts w:ascii="Verdana" w:eastAsia="Verdana" w:hAnsi="Verdana" w:cs="Verdana"/>
          <w:spacing w:val="-4"/>
          <w:sz w:val="20"/>
          <w:szCs w:val="20"/>
          <w:lang w:val="es-CR"/>
        </w:rPr>
        <w:t xml:space="preserve"> considera que se configura el requisito previsto </w:t>
      </w:r>
      <w:r w:rsidRPr="00C2549C">
        <w:rPr>
          <w:rFonts w:ascii="Verdana" w:eastAsia="Calibri" w:hAnsi="Verdana" w:cs="Verdana"/>
          <w:color w:val="000000"/>
          <w:spacing w:val="-4"/>
          <w:sz w:val="20"/>
          <w:szCs w:val="20"/>
          <w:lang w:val="es-CR"/>
        </w:rPr>
        <w:t xml:space="preserve">en el artículo 27.3 del Reglamento de la Corte </w:t>
      </w:r>
      <w:r w:rsidRPr="00C2549C">
        <w:rPr>
          <w:rFonts w:ascii="Verdana" w:eastAsia="Verdana" w:hAnsi="Verdana" w:cs="Verdana"/>
          <w:spacing w:val="-4"/>
          <w:sz w:val="20"/>
          <w:szCs w:val="20"/>
          <w:lang w:val="es-CR"/>
        </w:rPr>
        <w:t>relativo a que la solicitud de las medidas provisionales tenga “relación con el objeto del caso”, en tanto se refiere a la ejecución de la medida de reparación ordenada en el punto resolutivo décimo tercero de la Sentencia respecto de cinco víctimas</w:t>
      </w:r>
      <w:r w:rsidRPr="00981C15">
        <w:rPr>
          <w:rStyle w:val="Refdenotaalpie"/>
          <w:rFonts w:eastAsia="Verdana" w:cs="Verdana"/>
          <w:spacing w:val="-4"/>
          <w:szCs w:val="20"/>
          <w:lang w:val="es-CR"/>
        </w:rPr>
        <w:footnoteReference w:id="80"/>
      </w:r>
      <w:r w:rsidRPr="00C2549C">
        <w:rPr>
          <w:rFonts w:ascii="Verdana" w:eastAsia="Verdana" w:hAnsi="Verdana" w:cs="Verdana"/>
          <w:spacing w:val="-4"/>
          <w:sz w:val="20"/>
          <w:szCs w:val="20"/>
          <w:lang w:val="es-CR"/>
        </w:rPr>
        <w:t xml:space="preserve">. </w:t>
      </w:r>
    </w:p>
    <w:p w14:paraId="2850EBF0" w14:textId="77777777" w:rsidR="009B20E5" w:rsidRPr="00C2549C" w:rsidRDefault="009B20E5" w:rsidP="009B20E5">
      <w:pPr>
        <w:pStyle w:val="Prrafodelista"/>
        <w:rPr>
          <w:rFonts w:ascii="Verdana" w:hAnsi="Verdana"/>
          <w:spacing w:val="-4"/>
          <w:sz w:val="20"/>
          <w:szCs w:val="20"/>
          <w:lang w:val="es-AR"/>
        </w:rPr>
      </w:pPr>
    </w:p>
    <w:p w14:paraId="43781C9F" w14:textId="77777777" w:rsidR="009B20E5" w:rsidRPr="00C2549C"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C2549C">
        <w:rPr>
          <w:rFonts w:ascii="Verdana" w:hAnsi="Verdana"/>
          <w:spacing w:val="-4"/>
          <w:sz w:val="20"/>
          <w:szCs w:val="20"/>
          <w:lang w:val="es-AR"/>
        </w:rPr>
        <w:lastRenderedPageBreak/>
        <w:t>Con respecto al argumento del Estado relativo a la existencia de una “duplicidad” de procedimientos ante el Sistema Interamericano (</w:t>
      </w:r>
      <w:r w:rsidRPr="00C2549C">
        <w:rPr>
          <w:rFonts w:ascii="Verdana" w:hAnsi="Verdana"/>
          <w:i/>
          <w:spacing w:val="-4"/>
          <w:sz w:val="20"/>
          <w:szCs w:val="20"/>
          <w:lang w:val="es-AR"/>
        </w:rPr>
        <w:t xml:space="preserve">supra </w:t>
      </w:r>
      <w:r w:rsidRPr="00C2549C">
        <w:rPr>
          <w:rFonts w:ascii="Verdana" w:hAnsi="Verdana"/>
          <w:spacing w:val="-4"/>
          <w:sz w:val="20"/>
          <w:szCs w:val="20"/>
          <w:lang w:val="es-AR"/>
        </w:rPr>
        <w:t xml:space="preserve">Considerando 16), esta Corte nota que </w:t>
      </w:r>
      <w:r w:rsidRPr="00C2549C">
        <w:rPr>
          <w:rFonts w:ascii="Verdana" w:hAnsi="Verdana"/>
          <w:spacing w:val="-4"/>
          <w:sz w:val="20"/>
          <w:szCs w:val="20"/>
          <w:lang w:val="es-CR"/>
        </w:rPr>
        <w:t>la Comisión no ha indicado cuándo prevé resolver las solicitudes interpuestas (</w:t>
      </w:r>
      <w:r w:rsidRPr="00C2549C">
        <w:rPr>
          <w:rFonts w:ascii="Verdana" w:hAnsi="Verdana"/>
          <w:i/>
          <w:iCs/>
          <w:spacing w:val="-4"/>
          <w:sz w:val="20"/>
          <w:szCs w:val="20"/>
          <w:lang w:val="es-CR"/>
        </w:rPr>
        <w:t xml:space="preserve">supra </w:t>
      </w:r>
      <w:r w:rsidRPr="00C2549C">
        <w:rPr>
          <w:rFonts w:ascii="Verdana" w:hAnsi="Verdana"/>
          <w:spacing w:val="-4"/>
          <w:sz w:val="20"/>
          <w:szCs w:val="20"/>
          <w:lang w:val="es-CR"/>
        </w:rPr>
        <w:t>Considerando 18). En consecuencia, por la alegada urgencia de la situación, y tomando en cuenta que la presente solicitud de medidas provisionales versa sobre personas que son víctimas de un caso ante la Corte, este Tribunal considera pertinente pronunciarse.</w:t>
      </w:r>
    </w:p>
    <w:p w14:paraId="71EECFB5" w14:textId="77777777" w:rsidR="009B20E5" w:rsidRPr="00C2549C" w:rsidRDefault="009B20E5" w:rsidP="009B20E5">
      <w:pPr>
        <w:jc w:val="both"/>
        <w:rPr>
          <w:rFonts w:ascii="Verdana" w:eastAsia="Verdana" w:hAnsi="Verdana" w:cs="Verdana"/>
          <w:spacing w:val="-4"/>
          <w:sz w:val="20"/>
          <w:szCs w:val="20"/>
          <w:lang w:val="es-CR"/>
        </w:rPr>
      </w:pPr>
    </w:p>
    <w:p w14:paraId="71A34BAF" w14:textId="77777777" w:rsidR="009B20E5" w:rsidRPr="006F4C21"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3F0B58">
        <w:rPr>
          <w:rFonts w:ascii="Verdana" w:eastAsia="Verdana" w:hAnsi="Verdana" w:cs="Verdana"/>
          <w:spacing w:val="-4"/>
          <w:sz w:val="20"/>
          <w:szCs w:val="20"/>
          <w:lang w:val="es-CR"/>
        </w:rPr>
        <w:t xml:space="preserve">La Corte ha considerado, como regla general, que </w:t>
      </w:r>
      <w:r w:rsidRPr="003F0B58">
        <w:rPr>
          <w:rFonts w:ascii="Verdana" w:hAnsi="Verdana"/>
          <w:spacing w:val="-4"/>
          <w:sz w:val="20"/>
          <w:szCs w:val="20"/>
          <w:lang w:val="es-AR"/>
        </w:rPr>
        <w:t xml:space="preserve">la valoración de información relacionada con el cumplimiento de medidas de reparación ordenadas en la </w:t>
      </w:r>
      <w:r w:rsidRPr="003F0B58">
        <w:rPr>
          <w:rFonts w:ascii="Verdana" w:eastAsia="Verdana" w:hAnsi="Verdana" w:cs="Verdana"/>
          <w:spacing w:val="-4"/>
          <w:sz w:val="20"/>
          <w:szCs w:val="20"/>
          <w:lang w:val="es-CR"/>
        </w:rPr>
        <w:t>Sentencia</w:t>
      </w:r>
      <w:r w:rsidRPr="003F0B58">
        <w:rPr>
          <w:rFonts w:ascii="Verdana" w:hAnsi="Verdana"/>
          <w:spacing w:val="-4"/>
          <w:sz w:val="20"/>
          <w:szCs w:val="20"/>
          <w:lang w:val="es-AR"/>
        </w:rPr>
        <w:t xml:space="preserve"> debe ser evaluada en el marco de la supervisión de cumplimiento de Sentencia. Así lo ha entendido en múltiples casos</w:t>
      </w:r>
      <w:r w:rsidRPr="003F0B58">
        <w:rPr>
          <w:rStyle w:val="Refdenotaalpie"/>
          <w:spacing w:val="-4"/>
          <w:sz w:val="20"/>
          <w:szCs w:val="20"/>
        </w:rPr>
        <w:footnoteReference w:id="81"/>
      </w:r>
      <w:r w:rsidRPr="003F0B58">
        <w:rPr>
          <w:rFonts w:ascii="Verdana" w:hAnsi="Verdana"/>
          <w:spacing w:val="-4"/>
          <w:sz w:val="20"/>
          <w:szCs w:val="20"/>
          <w:lang w:val="es-AR"/>
        </w:rPr>
        <w:t>. Sin embargo, de forma excepcional ha adoptado medidas provisionales ante condiciones de particular gravedad</w:t>
      </w:r>
      <w:r w:rsidRPr="003F0B58">
        <w:rPr>
          <w:rStyle w:val="Refdenotaalpie"/>
          <w:spacing w:val="-4"/>
        </w:rPr>
        <w:footnoteReference w:id="82"/>
      </w:r>
      <w:r w:rsidRPr="00C2549C">
        <w:rPr>
          <w:rFonts w:ascii="Verdana" w:hAnsi="Verdana"/>
          <w:spacing w:val="-4"/>
          <w:sz w:val="20"/>
          <w:szCs w:val="20"/>
          <w:lang w:val="es-AR"/>
        </w:rPr>
        <w:t xml:space="preserve">, </w:t>
      </w:r>
      <w:r w:rsidRPr="003316A1">
        <w:rPr>
          <w:rFonts w:ascii="Verdana" w:hAnsi="Verdana"/>
          <w:spacing w:val="-4"/>
          <w:sz w:val="20"/>
          <w:szCs w:val="20"/>
          <w:lang w:val="es-AR"/>
        </w:rPr>
        <w:t xml:space="preserve">como lo hizo con la más reciente decisión mayoritaria y un Voto Concurrente, en la </w:t>
      </w:r>
      <w:r w:rsidRPr="003316A1">
        <w:rPr>
          <w:rFonts w:ascii="Verdana" w:hAnsi="Verdana" w:cs="Arial"/>
          <w:sz w:val="20"/>
          <w:szCs w:val="20"/>
          <w:lang w:val="es-ES"/>
        </w:rPr>
        <w:t>Ratificación de las Medidas Provisionales de 29 de julio de 2020, en el caso Vélez Loor Vs. Panamá. El Tribunal se pronunció a favor de l</w:t>
      </w:r>
      <w:r w:rsidRPr="003316A1">
        <w:rPr>
          <w:rFonts w:ascii="Verdana" w:hAnsi="Verdana"/>
          <w:sz w:val="20"/>
          <w:szCs w:val="20"/>
          <w:lang w:val="es-ES"/>
        </w:rPr>
        <w:t>as personas que se encuentran en las Estaciones de Recepción Migratoria La Peñita y Laja Blanca en la Provincia de Darién, Panamá, con el objeto de proteger efectivamente sus derechos a la salud, integridad personal, y vida</w:t>
      </w:r>
      <w:r w:rsidRPr="003316A1">
        <w:rPr>
          <w:rStyle w:val="Refdenotaalpie"/>
          <w:sz w:val="20"/>
          <w:szCs w:val="20"/>
        </w:rPr>
        <w:footnoteReference w:id="83"/>
      </w:r>
      <w:r w:rsidRPr="003316A1">
        <w:rPr>
          <w:rFonts w:ascii="Verdana" w:hAnsi="Verdana"/>
          <w:sz w:val="20"/>
          <w:szCs w:val="20"/>
          <w:lang w:val="es-ES"/>
        </w:rPr>
        <w:t>, donde el Tribunal desarrolla su capacidad de tutela de todos los derechos humanos, vía adopción de Medidas Provisionales.</w:t>
      </w:r>
    </w:p>
    <w:p w14:paraId="209B7F5F" w14:textId="77777777" w:rsidR="009B20E5" w:rsidRPr="006F4C21" w:rsidRDefault="009B20E5" w:rsidP="009B20E5">
      <w:pPr>
        <w:pStyle w:val="Prrafodelista"/>
        <w:rPr>
          <w:rFonts w:ascii="Verdana" w:hAnsi="Verdana"/>
          <w:spacing w:val="-4"/>
          <w:sz w:val="20"/>
          <w:szCs w:val="20"/>
          <w:lang w:val="es-AR"/>
        </w:rPr>
      </w:pPr>
    </w:p>
    <w:p w14:paraId="087230AA" w14:textId="77777777" w:rsidR="009B20E5" w:rsidRPr="00D77D5E"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6F4C21">
        <w:rPr>
          <w:rFonts w:ascii="Verdana" w:hAnsi="Verdana"/>
          <w:spacing w:val="-4"/>
          <w:sz w:val="20"/>
          <w:szCs w:val="20"/>
          <w:lang w:val="es-AR"/>
        </w:rPr>
        <w:t>En este caso, el Tribunal estima que se configuran condiciones excepcionales que ameritan proceder a examinar si se cumplen los requisitos para la adopción de medidas provisionales al constatar que se trata de alegados hechos relativos a la falta de atención médica adecuada de las referidas cinco víctimas, quienes se encuentran privadas de su libertad en centros penitenciarios, lo cual, en el contexto generado por la pandemia de la enfermedad denominada COVID-19, pondría en mayor riesgo su salud, integridad personal y vida. La situación descrita en la solicitud podría ameritar la adopción de medidas a favor de personas en situación de vulnerabilidad, como lo son las personas privadas de la libertad y las personas mayores, la cual se ve incrementada por la pandemia y que, consecuentemente, amerita particular protección por el Estado.</w:t>
      </w:r>
    </w:p>
    <w:p w14:paraId="1FC1925F" w14:textId="77777777" w:rsidR="009B20E5" w:rsidRPr="00D77D5E" w:rsidRDefault="009B20E5" w:rsidP="009B20E5">
      <w:pPr>
        <w:pStyle w:val="Prrafodelista"/>
        <w:rPr>
          <w:rFonts w:ascii="Verdana" w:hAnsi="Verdana"/>
          <w:spacing w:val="-4"/>
          <w:sz w:val="20"/>
          <w:szCs w:val="20"/>
          <w:lang w:val="es-AR"/>
        </w:rPr>
      </w:pPr>
    </w:p>
    <w:p w14:paraId="60190B38"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D77D5E">
        <w:rPr>
          <w:rFonts w:ascii="Verdana" w:hAnsi="Verdana"/>
          <w:spacing w:val="-4"/>
          <w:sz w:val="20"/>
          <w:szCs w:val="20"/>
          <w:lang w:val="es-AR"/>
        </w:rPr>
        <w:t>Seguidamente</w:t>
      </w:r>
      <w:r w:rsidRPr="00D77D5E">
        <w:rPr>
          <w:rFonts w:ascii="Verdana" w:hAnsi="Verdana"/>
          <w:spacing w:val="-4"/>
          <w:sz w:val="20"/>
          <w:szCs w:val="20"/>
          <w:lang w:val="es-CR"/>
        </w:rPr>
        <w:t xml:space="preserve">, la Corte pasará a examinar los demás requisitos convencionales y reglamentarios para la adopción de medidas urgentes. La Corte ha señalado que las tres condiciones exigidas por el artículo 63.2 de la Convención para que pueda disponer de medidas provisionales deben concurrir en toda situación en la que se </w:t>
      </w:r>
      <w:r w:rsidRPr="00D77D5E">
        <w:rPr>
          <w:rFonts w:ascii="Verdana" w:hAnsi="Verdana"/>
          <w:spacing w:val="-4"/>
          <w:sz w:val="20"/>
          <w:szCs w:val="20"/>
          <w:lang w:val="es-CR"/>
        </w:rPr>
        <w:lastRenderedPageBreak/>
        <w:t>soliciten</w:t>
      </w:r>
      <w:r w:rsidRPr="0051766F">
        <w:rPr>
          <w:rStyle w:val="Refdenotaalpie"/>
          <w:spacing w:val="-4"/>
          <w:sz w:val="20"/>
          <w:szCs w:val="20"/>
          <w:lang w:val="es-CR"/>
        </w:rPr>
        <w:footnoteReference w:id="84"/>
      </w:r>
      <w:r w:rsidRPr="00D77D5E">
        <w:rPr>
          <w:rFonts w:ascii="Verdana" w:hAnsi="Verdana"/>
          <w:spacing w:val="-4"/>
          <w:sz w:val="20"/>
          <w:szCs w:val="20"/>
          <w:lang w:val="es-CR"/>
        </w:rPr>
        <w:t xml:space="preserve">. Conforme a la Convención y al Reglamento, la carga procesal de demostrar </w:t>
      </w:r>
      <w:r w:rsidRPr="00D77D5E">
        <w:rPr>
          <w:rFonts w:ascii="Verdana" w:hAnsi="Verdana"/>
          <w:i/>
          <w:spacing w:val="-4"/>
          <w:sz w:val="20"/>
          <w:szCs w:val="20"/>
          <w:lang w:val="es-CR"/>
        </w:rPr>
        <w:t>prima facie</w:t>
      </w:r>
      <w:r w:rsidRPr="00D77D5E">
        <w:rPr>
          <w:rFonts w:ascii="Verdana" w:hAnsi="Verdana"/>
          <w:spacing w:val="-4"/>
          <w:sz w:val="20"/>
          <w:szCs w:val="20"/>
          <w:lang w:val="es-CR"/>
        </w:rPr>
        <w:t xml:space="preserve"> dichos requisitos recae en el solicitante</w:t>
      </w:r>
      <w:r w:rsidRPr="0051766F">
        <w:rPr>
          <w:rFonts w:ascii="Verdana" w:hAnsi="Verdana"/>
          <w:spacing w:val="-4"/>
          <w:sz w:val="20"/>
          <w:szCs w:val="20"/>
          <w:vertAlign w:val="superscript"/>
        </w:rPr>
        <w:footnoteReference w:id="85"/>
      </w:r>
      <w:r w:rsidRPr="00D77D5E">
        <w:rPr>
          <w:rFonts w:ascii="Verdana" w:hAnsi="Verdana"/>
          <w:spacing w:val="-4"/>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51766F">
        <w:rPr>
          <w:rFonts w:ascii="Verdana" w:hAnsi="Verdana"/>
          <w:spacing w:val="-4"/>
          <w:sz w:val="20"/>
          <w:szCs w:val="20"/>
          <w:vertAlign w:val="superscript"/>
        </w:rPr>
        <w:footnoteReference w:id="86"/>
      </w:r>
      <w:r w:rsidRPr="00D77D5E">
        <w:rPr>
          <w:rFonts w:ascii="Verdana" w:hAnsi="Verdana"/>
          <w:spacing w:val="-4"/>
          <w:sz w:val="20"/>
          <w:szCs w:val="20"/>
          <w:lang w:val="es-CR"/>
        </w:rPr>
        <w:t xml:space="preserve">. </w:t>
      </w:r>
    </w:p>
    <w:p w14:paraId="3BD052D6" w14:textId="77777777" w:rsidR="009B20E5" w:rsidRPr="000D739B" w:rsidRDefault="009B20E5" w:rsidP="009B20E5">
      <w:pPr>
        <w:pStyle w:val="Prrafodelista"/>
        <w:rPr>
          <w:rFonts w:ascii="Verdana" w:hAnsi="Verdana"/>
          <w:spacing w:val="-4"/>
          <w:sz w:val="20"/>
          <w:szCs w:val="20"/>
          <w:lang w:val="es-AR"/>
        </w:rPr>
      </w:pPr>
    </w:p>
    <w:p w14:paraId="4206C05F" w14:textId="77777777" w:rsidR="009B20E5" w:rsidRPr="000D739B"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0D739B">
        <w:rPr>
          <w:rFonts w:ascii="Verdana" w:hAnsi="Verdana"/>
          <w:spacing w:val="-4"/>
          <w:sz w:val="20"/>
          <w:szCs w:val="20"/>
          <w:lang w:val="es-AR"/>
        </w:rPr>
        <w:t xml:space="preserve">Esta Corte reconoce no solo los problemas y desafíos extraordinarios que ocasiona la presente pandemia en todo contexto, sino también y específicamente </w:t>
      </w:r>
      <w:r w:rsidRPr="000D739B">
        <w:rPr>
          <w:rFonts w:ascii="Verdana" w:hAnsi="Verdana"/>
          <w:spacing w:val="-4"/>
          <w:sz w:val="20"/>
          <w:szCs w:val="20"/>
          <w:lang w:val="es-ES"/>
        </w:rPr>
        <w:t>las dificultades adicionales que la prevención del contagio de COVID-19 representa en entornos carcelarios. En nuestra región, las personas privadas de libertad se encuentran en una situación de mayor vulnerabilidad frente a la propagación del COVID-19 pues, por lo general, se encuentran en condiciones de sobrepoblación y hacinamiento que no permiten un adecuado distanciamiento social para prevenir el contagio del virus, con inadecuadas y deficientes medidas de higiene, y con limitaciones para acceder de manera eficaz y oportuna a una serie de derechos como la salud y la información</w:t>
      </w:r>
      <w:r w:rsidRPr="00395069">
        <w:rPr>
          <w:rFonts w:ascii="Verdana" w:hAnsi="Verdana"/>
          <w:spacing w:val="-4"/>
          <w:sz w:val="20"/>
          <w:szCs w:val="20"/>
          <w:vertAlign w:val="superscript"/>
          <w:lang w:val="es-ES"/>
        </w:rPr>
        <w:footnoteReference w:id="87"/>
      </w:r>
      <w:r w:rsidRPr="000D739B">
        <w:rPr>
          <w:rFonts w:ascii="Verdana" w:hAnsi="Verdana"/>
          <w:spacing w:val="-4"/>
          <w:sz w:val="20"/>
          <w:szCs w:val="20"/>
          <w:lang w:val="es-ES"/>
        </w:rPr>
        <w:t xml:space="preserve">. En efecto, el Comité Internacional de la Cruz Roja ha reconocido que estas particularidades generan que el ámbito carcelario </w:t>
      </w:r>
      <w:r w:rsidRPr="000D739B">
        <w:rPr>
          <w:rFonts w:ascii="Verdana" w:hAnsi="Verdana"/>
          <w:spacing w:val="-4"/>
          <w:sz w:val="20"/>
          <w:szCs w:val="20"/>
          <w:lang w:val="es-CR"/>
        </w:rPr>
        <w:t>favorezca</w:t>
      </w:r>
      <w:r w:rsidRPr="000D739B">
        <w:rPr>
          <w:rFonts w:ascii="Verdana" w:hAnsi="Verdana"/>
          <w:spacing w:val="-4"/>
          <w:sz w:val="20"/>
          <w:szCs w:val="20"/>
          <w:lang w:val="es-ES"/>
        </w:rPr>
        <w:t xml:space="preserve"> la propagación exponencial de enfermedades infecciosas, particularmente de aquellas que, como el COVID-19, se transmiten por gotas a través del aire</w:t>
      </w:r>
      <w:r w:rsidRPr="00597DDE">
        <w:rPr>
          <w:rStyle w:val="Refdenotaalpie"/>
          <w:spacing w:val="-4"/>
          <w:szCs w:val="20"/>
          <w:lang w:val="es-ES"/>
        </w:rPr>
        <w:footnoteReference w:id="88"/>
      </w:r>
      <w:r w:rsidRPr="000D739B">
        <w:rPr>
          <w:rFonts w:ascii="Verdana" w:hAnsi="Verdana"/>
          <w:spacing w:val="-4"/>
          <w:sz w:val="20"/>
          <w:szCs w:val="20"/>
          <w:lang w:val="es-ES"/>
        </w:rPr>
        <w:t>.</w:t>
      </w:r>
    </w:p>
    <w:p w14:paraId="180ED42E" w14:textId="77777777" w:rsidR="009B20E5" w:rsidRPr="00C2549C"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ES"/>
        </w:rPr>
      </w:pPr>
    </w:p>
    <w:p w14:paraId="0BEEB01F" w14:textId="77777777" w:rsidR="009B20E5" w:rsidRPr="002C7DCB" w:rsidRDefault="009B20E5" w:rsidP="009B20E5">
      <w:pPr>
        <w:pStyle w:val="Prrafodelista"/>
        <w:rPr>
          <w:rFonts w:ascii="Verdana" w:hAnsi="Verdana"/>
          <w:spacing w:val="-4"/>
          <w:sz w:val="20"/>
          <w:szCs w:val="20"/>
          <w:lang w:val="es-ES"/>
        </w:rPr>
      </w:pPr>
    </w:p>
    <w:p w14:paraId="5EE74CB5" w14:textId="77777777" w:rsidR="009B20E5" w:rsidRPr="008F3E9A"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2C7DCB">
        <w:rPr>
          <w:rFonts w:ascii="Verdana" w:hAnsi="Verdana"/>
          <w:spacing w:val="-4"/>
          <w:sz w:val="20"/>
          <w:szCs w:val="20"/>
          <w:lang w:val="es-ES"/>
        </w:rPr>
        <w:t xml:space="preserve">Los derechos económicos, sociales, culturales y ambientales deben ser garantizados sin discriminación a toda persona bajo la jurisdicción del Estado y, en especial, a aquellos grupos que son afectados de forma desproporcionada porque se encuentran en situación de mayor vulnerabilidad, entre ellos, las personas privadas de libertad, lo cual fue hecho notar por el Tribunal en su </w:t>
      </w:r>
      <w:r w:rsidRPr="002C7DCB">
        <w:rPr>
          <w:rFonts w:ascii="Verdana" w:hAnsi="Verdana"/>
          <w:spacing w:val="-4"/>
          <w:sz w:val="20"/>
          <w:szCs w:val="20"/>
          <w:lang w:val="es-MX"/>
        </w:rPr>
        <w:t>Declaración de 9 de abril de 2020</w:t>
      </w:r>
      <w:r>
        <w:rPr>
          <w:rFonts w:ascii="Verdana" w:hAnsi="Verdana"/>
          <w:spacing w:val="-4"/>
          <w:sz w:val="20"/>
          <w:szCs w:val="20"/>
          <w:lang w:val="es-MX"/>
        </w:rPr>
        <w:t>.</w:t>
      </w:r>
      <w:r w:rsidRPr="002C7DCB">
        <w:rPr>
          <w:rFonts w:ascii="Verdana" w:hAnsi="Verdana"/>
          <w:spacing w:val="-4"/>
          <w:sz w:val="20"/>
          <w:szCs w:val="20"/>
          <w:lang w:val="es-MX"/>
        </w:rPr>
        <w:t xml:space="preserve"> </w:t>
      </w:r>
      <w:r w:rsidRPr="00597DDE">
        <w:rPr>
          <w:rFonts w:ascii="Verdana" w:hAnsi="Verdana"/>
          <w:spacing w:val="-4"/>
          <w:sz w:val="20"/>
          <w:szCs w:val="20"/>
          <w:lang w:val="es-ES"/>
        </w:rPr>
        <w:t xml:space="preserve">Al respecto, es necesario recordar que se debe abordar esta situación </w:t>
      </w:r>
      <w:r w:rsidRPr="00597DDE">
        <w:rPr>
          <w:rFonts w:ascii="Verdana" w:hAnsi="Verdana" w:cs="Calibri"/>
          <w:spacing w:val="-4"/>
          <w:sz w:val="20"/>
          <w:szCs w:val="20"/>
          <w:lang w:val="es-CR"/>
        </w:rPr>
        <w:t xml:space="preserve">“en el marco del Estado de Derecho, con el pleno respeto a los instrumentos interamericanos de protección de los derechos humanos y los estándares desarrollados en la jurisprudencia de este Tribunal”, en particular, el derecho a la salud, a la vida y a la integridad personal. Además, la Corte ha dicho que, </w:t>
      </w:r>
      <w:r w:rsidRPr="00597DDE">
        <w:rPr>
          <w:rFonts w:ascii="Verdana" w:hAnsi="Verdana"/>
          <w:spacing w:val="-4"/>
          <w:sz w:val="20"/>
          <w:szCs w:val="20"/>
          <w:lang w:val="es-ES"/>
        </w:rPr>
        <w:t xml:space="preserve">en virtud del </w:t>
      </w:r>
      <w:r w:rsidRPr="00597DDE">
        <w:rPr>
          <w:rFonts w:ascii="Verdana" w:hAnsi="Verdana" w:cs="Calibri"/>
          <w:spacing w:val="-4"/>
          <w:sz w:val="20"/>
          <w:szCs w:val="20"/>
          <w:lang w:val="es-AR"/>
        </w:rPr>
        <w:t xml:space="preserve">“alto impacto que el COVID-19 pueda tener respecto a las personas privadas de libertad en las prisiones y </w:t>
      </w:r>
      <w:r w:rsidRPr="00597DDE">
        <w:rPr>
          <w:rFonts w:ascii="Verdana" w:hAnsi="Verdana" w:cs="Calibri"/>
          <w:spacing w:val="-4"/>
          <w:sz w:val="20"/>
          <w:szCs w:val="20"/>
          <w:lang w:val="es-AR"/>
        </w:rPr>
        <w:lastRenderedPageBreak/>
        <w:t>otros centros de detención”, y en atención a la posición especial de garante del Estado, se torna necesario, entre otras medidas, “reducir los niveles de sobrepoblación y hacinamiento, y disponer en forma racional y ordenada medidas alternativas a la privación de la libertad”</w:t>
      </w:r>
      <w:r w:rsidRPr="00597DDE">
        <w:rPr>
          <w:rStyle w:val="Refdenotaalpie"/>
          <w:rFonts w:cs="Calibri"/>
          <w:spacing w:val="-4"/>
          <w:sz w:val="20"/>
          <w:szCs w:val="20"/>
          <w:lang w:val="es-CR"/>
        </w:rPr>
        <w:footnoteReference w:id="89"/>
      </w:r>
      <w:r w:rsidRPr="00597DDE">
        <w:rPr>
          <w:rFonts w:ascii="Verdana" w:hAnsi="Verdana" w:cs="Calibri"/>
          <w:spacing w:val="-4"/>
          <w:sz w:val="20"/>
          <w:szCs w:val="20"/>
          <w:lang w:val="es-AR"/>
        </w:rPr>
        <w:t>.</w:t>
      </w:r>
    </w:p>
    <w:p w14:paraId="6A76A57A"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ES"/>
        </w:rPr>
      </w:pPr>
    </w:p>
    <w:p w14:paraId="64B71E79" w14:textId="77777777" w:rsidR="009B20E5" w:rsidRPr="00B83D13"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8F3E9A">
        <w:rPr>
          <w:rFonts w:ascii="Verdana" w:hAnsi="Verdana"/>
          <w:spacing w:val="-4"/>
          <w:sz w:val="20"/>
          <w:szCs w:val="20"/>
          <w:lang w:val="es-CR"/>
        </w:rPr>
        <w:t xml:space="preserve">Este Tribunal </w:t>
      </w:r>
      <w:r w:rsidRPr="008F3E9A">
        <w:rPr>
          <w:rFonts w:ascii="Verdana" w:hAnsi="Verdana"/>
          <w:spacing w:val="-4"/>
          <w:sz w:val="20"/>
          <w:szCs w:val="20"/>
          <w:lang w:val="es-AR"/>
        </w:rPr>
        <w:t xml:space="preserve">ha indicado en su jurisprudencia que </w:t>
      </w:r>
      <w:r w:rsidRPr="008F3E9A">
        <w:rPr>
          <w:rFonts w:ascii="Verdana" w:hAnsi="Verdana" w:cs="Times New Roman"/>
          <w:spacing w:val="-4"/>
          <w:sz w:val="20"/>
          <w:szCs w:val="20"/>
          <w:lang w:val="es-AR"/>
        </w:rPr>
        <w:t xml:space="preserve">“el Estado se encuentra en una posición especial de garante” respecto de las personas privadas de libertad, por lo que tiene el deber de adoptar medidas para resguardar sus derechos a la vida, a la integridad </w:t>
      </w:r>
      <w:r w:rsidRPr="008F3E9A">
        <w:rPr>
          <w:rFonts w:ascii="Verdana" w:hAnsi="Verdana"/>
          <w:spacing w:val="-4"/>
          <w:sz w:val="20"/>
          <w:szCs w:val="20"/>
          <w:lang w:val="es-CR"/>
        </w:rPr>
        <w:t>personal</w:t>
      </w:r>
      <w:r w:rsidRPr="008F3E9A">
        <w:rPr>
          <w:rFonts w:ascii="Verdana" w:hAnsi="Verdana" w:cs="Times New Roman"/>
          <w:spacing w:val="-4"/>
          <w:sz w:val="20"/>
          <w:szCs w:val="20"/>
          <w:lang w:val="es-AR"/>
        </w:rPr>
        <w:t xml:space="preserve"> y a la salud</w:t>
      </w:r>
      <w:r w:rsidRPr="000C5155">
        <w:rPr>
          <w:rStyle w:val="Refdenotaalpie"/>
          <w:rFonts w:cs="Times New Roman"/>
          <w:spacing w:val="-4"/>
          <w:sz w:val="20"/>
          <w:szCs w:val="20"/>
        </w:rPr>
        <w:footnoteReference w:id="90"/>
      </w:r>
      <w:r w:rsidRPr="008F3E9A">
        <w:rPr>
          <w:rFonts w:ascii="Verdana" w:hAnsi="Verdana" w:cs="Times New Roman"/>
          <w:spacing w:val="-4"/>
          <w:sz w:val="20"/>
          <w:szCs w:val="20"/>
          <w:lang w:val="es-AR"/>
        </w:rPr>
        <w:t>; y abstenerse bajo cualquier circunstancia de actuar de manera tal que se vulneren estos derechos</w:t>
      </w:r>
      <w:r w:rsidRPr="00517372">
        <w:rPr>
          <w:rStyle w:val="Refdenotaalpie"/>
          <w:rFonts w:cs="Times New Roman"/>
          <w:spacing w:val="-4"/>
          <w:sz w:val="20"/>
          <w:szCs w:val="20"/>
        </w:rPr>
        <w:footnoteReference w:id="91"/>
      </w:r>
      <w:r w:rsidRPr="008F3E9A">
        <w:rPr>
          <w:rFonts w:ascii="Verdana" w:hAnsi="Verdana" w:cs="Times New Roman"/>
          <w:spacing w:val="-4"/>
          <w:sz w:val="20"/>
          <w:szCs w:val="20"/>
          <w:lang w:val="es-AR"/>
        </w:rPr>
        <w:t>. Además, la Corte ha sido clara en establecer que t</w:t>
      </w:r>
      <w:r w:rsidRPr="008F3E9A">
        <w:rPr>
          <w:rFonts w:ascii="Verdana" w:hAnsi="Verdana"/>
          <w:spacing w:val="-4"/>
          <w:sz w:val="20"/>
          <w:szCs w:val="20"/>
          <w:lang w:val="es-AR"/>
        </w:rPr>
        <w:t>ales derechos deben ser protegidos a “toda persona privada de libertad”, sin discriminación</w:t>
      </w:r>
      <w:r w:rsidRPr="009C672D">
        <w:rPr>
          <w:rStyle w:val="Refdenotaalpie"/>
          <w:rFonts w:cs="Arial"/>
          <w:spacing w:val="-4"/>
          <w:sz w:val="20"/>
          <w:szCs w:val="20"/>
        </w:rPr>
        <w:footnoteReference w:id="92"/>
      </w:r>
      <w:r w:rsidRPr="008F3E9A">
        <w:rPr>
          <w:rFonts w:ascii="Verdana" w:hAnsi="Verdana" w:cs="Arial"/>
          <w:spacing w:val="-4"/>
          <w:sz w:val="20"/>
          <w:szCs w:val="20"/>
          <w:lang w:val="es-AR"/>
        </w:rPr>
        <w:t>. En este sentido, se ha incorporado en la jurisprudencia los principales estándares sobre las condiciones carcelarias y deber de prevención que debe garantizar el Estado en favor de las personas privadas de libertad</w:t>
      </w:r>
      <w:r w:rsidRPr="009C672D">
        <w:rPr>
          <w:rStyle w:val="Refdenotaalpie"/>
          <w:rFonts w:cs="Arial"/>
          <w:spacing w:val="-4"/>
          <w:sz w:val="20"/>
          <w:szCs w:val="20"/>
        </w:rPr>
        <w:footnoteReference w:id="93"/>
      </w:r>
      <w:r w:rsidRPr="008F3E9A">
        <w:rPr>
          <w:rFonts w:ascii="Verdana" w:hAnsi="Verdana" w:cs="Arial"/>
          <w:spacing w:val="-4"/>
          <w:sz w:val="20"/>
          <w:szCs w:val="20"/>
          <w:lang w:val="es-AR"/>
        </w:rPr>
        <w:t>. Entre ellas, la Corte se ha referido a la adopción de medidas que procuren condiciones de detención mínimas compatibles con la dignidad personal</w:t>
      </w:r>
      <w:r w:rsidRPr="009C672D">
        <w:rPr>
          <w:rStyle w:val="Refdenotaalpie"/>
          <w:rFonts w:cs="Arial"/>
          <w:spacing w:val="-4"/>
          <w:sz w:val="20"/>
          <w:szCs w:val="20"/>
        </w:rPr>
        <w:footnoteReference w:id="94"/>
      </w:r>
      <w:r w:rsidRPr="008F3E9A">
        <w:rPr>
          <w:rFonts w:ascii="Verdana" w:hAnsi="Verdana" w:cs="Arial"/>
          <w:spacing w:val="-4"/>
          <w:sz w:val="20"/>
          <w:szCs w:val="20"/>
          <w:lang w:val="es-AR"/>
        </w:rPr>
        <w:t>; a la reducción del hacinamiento</w:t>
      </w:r>
      <w:r w:rsidRPr="009C672D">
        <w:rPr>
          <w:rStyle w:val="Refdenotaalpie"/>
          <w:rFonts w:cs="Arial"/>
          <w:spacing w:val="-4"/>
          <w:sz w:val="20"/>
          <w:szCs w:val="20"/>
        </w:rPr>
        <w:footnoteReference w:id="95"/>
      </w:r>
      <w:r w:rsidRPr="008F3E9A">
        <w:rPr>
          <w:rFonts w:ascii="Verdana" w:hAnsi="Verdana" w:cs="Arial"/>
          <w:spacing w:val="-4"/>
          <w:sz w:val="20"/>
          <w:szCs w:val="20"/>
          <w:lang w:val="es-AR"/>
        </w:rPr>
        <w:t>; al acceso al agua potable para consumo de estas personas y a agua para aseo personal</w:t>
      </w:r>
      <w:r w:rsidRPr="009C672D">
        <w:rPr>
          <w:rStyle w:val="Refdenotaalpie"/>
          <w:rFonts w:cs="Arial"/>
          <w:spacing w:val="-4"/>
          <w:sz w:val="20"/>
          <w:szCs w:val="20"/>
        </w:rPr>
        <w:footnoteReference w:id="96"/>
      </w:r>
      <w:r w:rsidRPr="008F3E9A">
        <w:rPr>
          <w:rFonts w:ascii="Verdana" w:hAnsi="Verdana" w:cs="Arial"/>
          <w:spacing w:val="-4"/>
          <w:sz w:val="20"/>
          <w:szCs w:val="20"/>
          <w:lang w:val="es-AR"/>
        </w:rPr>
        <w:t>; a alimentación de buena calidad y con valor nutritivo suficiente</w:t>
      </w:r>
      <w:r w:rsidRPr="009C672D">
        <w:rPr>
          <w:rStyle w:val="Refdenotaalpie"/>
          <w:rFonts w:cs="Arial"/>
          <w:spacing w:val="-4"/>
          <w:sz w:val="20"/>
          <w:szCs w:val="20"/>
        </w:rPr>
        <w:footnoteReference w:id="97"/>
      </w:r>
      <w:r w:rsidRPr="008F3E9A">
        <w:rPr>
          <w:rFonts w:ascii="Verdana" w:hAnsi="Verdana"/>
          <w:spacing w:val="-4"/>
          <w:sz w:val="20"/>
          <w:szCs w:val="20"/>
          <w:lang w:val="es-AR"/>
        </w:rPr>
        <w:t>, y a la atención médica regular y el tratamiento adecuado cuando sea necesario, en condiciones comparables con aquellas disfrutadas por pacientes en la comunidad exterior</w:t>
      </w:r>
      <w:r w:rsidRPr="009C672D">
        <w:rPr>
          <w:rStyle w:val="Refdenotaalpie"/>
          <w:spacing w:val="-4"/>
          <w:sz w:val="20"/>
          <w:szCs w:val="20"/>
        </w:rPr>
        <w:footnoteReference w:id="98"/>
      </w:r>
      <w:r w:rsidRPr="008F3E9A">
        <w:rPr>
          <w:rFonts w:ascii="Verdana" w:hAnsi="Verdana"/>
          <w:spacing w:val="-4"/>
          <w:sz w:val="20"/>
          <w:szCs w:val="20"/>
          <w:lang w:val="es-AR"/>
        </w:rPr>
        <w:t>.</w:t>
      </w:r>
    </w:p>
    <w:p w14:paraId="6018EA09"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ES"/>
        </w:rPr>
      </w:pPr>
    </w:p>
    <w:p w14:paraId="36D7528E" w14:textId="77777777" w:rsidR="009B20E5" w:rsidRPr="00874A30"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B83D13">
        <w:rPr>
          <w:rFonts w:ascii="Verdana" w:hAnsi="Verdana"/>
          <w:spacing w:val="-4"/>
          <w:sz w:val="20"/>
          <w:szCs w:val="20"/>
          <w:lang w:val="es-AR"/>
        </w:rPr>
        <w:t xml:space="preserve">En particular, respecto de la atención médica adecuada para personas privadas de libertad, la Corte estableció diversos estándares en la sentencia del caso </w:t>
      </w:r>
      <w:r w:rsidRPr="00B83D13">
        <w:rPr>
          <w:rFonts w:ascii="Verdana" w:hAnsi="Verdana"/>
          <w:i/>
          <w:spacing w:val="-4"/>
          <w:sz w:val="20"/>
          <w:szCs w:val="20"/>
          <w:lang w:val="es-AR"/>
        </w:rPr>
        <w:t>Chinchilla Sandoval y otros Vs. Guatemala</w:t>
      </w:r>
      <w:r w:rsidRPr="00B83D13">
        <w:rPr>
          <w:rFonts w:ascii="Verdana" w:hAnsi="Verdana"/>
          <w:spacing w:val="-4"/>
          <w:sz w:val="20"/>
          <w:szCs w:val="20"/>
          <w:lang w:val="es-AR"/>
        </w:rPr>
        <w:t xml:space="preserve">, entre los cuales se indica que los Estados deben asegurar que a </w:t>
      </w:r>
      <w:r w:rsidRPr="00B83D13">
        <w:rPr>
          <w:rFonts w:ascii="Verdana" w:hAnsi="Verdana" w:cs="Arial"/>
          <w:color w:val="000000"/>
          <w:spacing w:val="-4"/>
          <w:sz w:val="20"/>
          <w:szCs w:val="20"/>
          <w:lang w:val="es-AR"/>
        </w:rPr>
        <w:t xml:space="preserve">las personas privadas de libertad que padezcan enfermedades graves, </w:t>
      </w:r>
      <w:r w:rsidRPr="00B83D13">
        <w:rPr>
          <w:rFonts w:ascii="Verdana" w:hAnsi="Verdana" w:cs="Arial"/>
          <w:color w:val="000000"/>
          <w:spacing w:val="-4"/>
          <w:sz w:val="20"/>
          <w:szCs w:val="20"/>
          <w:lang w:val="es-AR"/>
        </w:rPr>
        <w:lastRenderedPageBreak/>
        <w:t>crónicas o terminales se les brinde atención médica adecuada, especializada y continua</w:t>
      </w:r>
      <w:r w:rsidRPr="00B83D13">
        <w:rPr>
          <w:rFonts w:ascii="Verdana" w:hAnsi="Verdana"/>
          <w:spacing w:val="-4"/>
          <w:sz w:val="20"/>
          <w:szCs w:val="20"/>
          <w:lang w:val="es-AR"/>
        </w:rPr>
        <w:t>, ya sea dentro o fuera del centro penitenciario</w:t>
      </w:r>
      <w:r w:rsidRPr="00395069">
        <w:rPr>
          <w:rStyle w:val="Refdenotaalpie"/>
          <w:spacing w:val="-4"/>
          <w:sz w:val="20"/>
          <w:szCs w:val="20"/>
        </w:rPr>
        <w:footnoteReference w:id="99"/>
      </w:r>
      <w:r w:rsidRPr="00B83D13">
        <w:rPr>
          <w:rFonts w:ascii="Verdana" w:hAnsi="Verdana" w:cs="Arial"/>
          <w:color w:val="000000"/>
          <w:spacing w:val="-4"/>
          <w:sz w:val="20"/>
          <w:szCs w:val="20"/>
          <w:lang w:val="es-AR"/>
        </w:rPr>
        <w:t xml:space="preserve">. </w:t>
      </w:r>
      <w:r w:rsidRPr="00B83D13">
        <w:rPr>
          <w:rFonts w:ascii="Verdana" w:hAnsi="Verdana"/>
          <w:spacing w:val="-4"/>
          <w:sz w:val="20"/>
          <w:szCs w:val="20"/>
          <w:lang w:val="es-AR"/>
        </w:rPr>
        <w:t xml:space="preserve">En caso de que ello no sea posible, las mencionadas personas privadas de libertad </w:t>
      </w:r>
      <w:r w:rsidRPr="00B83D13">
        <w:rPr>
          <w:rFonts w:ascii="Verdana" w:hAnsi="Verdana" w:cs="Arial"/>
          <w:color w:val="000000"/>
          <w:spacing w:val="-4"/>
          <w:sz w:val="20"/>
          <w:szCs w:val="20"/>
          <w:lang w:val="es-AR"/>
        </w:rPr>
        <w:t xml:space="preserve">no deben permanecer en establecimientos carcelarios. </w:t>
      </w:r>
      <w:r w:rsidRPr="00B83D13">
        <w:rPr>
          <w:rFonts w:ascii="Verdana" w:hAnsi="Verdana"/>
          <w:spacing w:val="-4"/>
          <w:sz w:val="20"/>
          <w:szCs w:val="20"/>
          <w:lang w:val="es-AR"/>
        </w:rPr>
        <w:t xml:space="preserve">Si el Estado no puede garantizar dicha atención en el centro penitenciario, está “obligado a establecer un mecanismo o protocolo de atención ágil y efectivo para asegurar que la supervisión médica </w:t>
      </w:r>
      <w:r w:rsidRPr="00B83D13">
        <w:rPr>
          <w:rFonts w:ascii="Verdana" w:hAnsi="Verdana" w:cs="Verdana"/>
          <w:spacing w:val="-4"/>
          <w:sz w:val="20"/>
          <w:szCs w:val="20"/>
          <w:lang w:val="es-AR"/>
        </w:rPr>
        <w:t>[sea]</w:t>
      </w:r>
      <w:r w:rsidRPr="00B83D13">
        <w:rPr>
          <w:rFonts w:ascii="Verdana" w:hAnsi="Verdana"/>
          <w:spacing w:val="-4"/>
          <w:sz w:val="20"/>
          <w:szCs w:val="20"/>
          <w:lang w:val="es-AR"/>
        </w:rPr>
        <w:t xml:space="preserve"> oportuna y sistemática, particularmente ante alguna situación de emergencia”. Los procedimientos establecidos para la consulta externa en hospitales deben tener “la agilidad necesaria para permitir, de manera efectiva, un tratamiento médico oportuno”</w:t>
      </w:r>
      <w:r w:rsidRPr="00395069">
        <w:rPr>
          <w:rStyle w:val="Refdenotaalpie"/>
          <w:rFonts w:cs="Arial"/>
          <w:spacing w:val="-4"/>
          <w:sz w:val="20"/>
          <w:szCs w:val="20"/>
        </w:rPr>
        <w:footnoteReference w:id="100"/>
      </w:r>
      <w:r w:rsidRPr="00B83D13">
        <w:rPr>
          <w:rFonts w:ascii="Verdana" w:hAnsi="Verdana"/>
          <w:spacing w:val="-4"/>
          <w:sz w:val="20"/>
          <w:szCs w:val="20"/>
          <w:lang w:val="es-AR"/>
        </w:rPr>
        <w:t xml:space="preserve">. </w:t>
      </w:r>
    </w:p>
    <w:p w14:paraId="7D86F204" w14:textId="77777777" w:rsidR="009B20E5" w:rsidRPr="00874A30" w:rsidRDefault="009B20E5" w:rsidP="009B20E5">
      <w:pPr>
        <w:pStyle w:val="Prrafodelista"/>
        <w:rPr>
          <w:rFonts w:ascii="Verdana" w:hAnsi="Verdana"/>
          <w:spacing w:val="-4"/>
          <w:sz w:val="20"/>
          <w:szCs w:val="20"/>
          <w:lang w:val="es-AR"/>
        </w:rPr>
      </w:pPr>
    </w:p>
    <w:p w14:paraId="3CFF7AE4" w14:textId="77777777" w:rsidR="009B20E5" w:rsidRPr="00874A30"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ES"/>
        </w:rPr>
      </w:pPr>
      <w:r w:rsidRPr="00874A30">
        <w:rPr>
          <w:rFonts w:ascii="Verdana" w:hAnsi="Verdana"/>
          <w:spacing w:val="-4"/>
          <w:sz w:val="20"/>
          <w:szCs w:val="20"/>
          <w:lang w:val="es-AR"/>
        </w:rPr>
        <w:t xml:space="preserve">En ese sentido, en el marco de la supervisión de cumplimiento de las Sentencias de los </w:t>
      </w:r>
      <w:r w:rsidRPr="00874A30">
        <w:rPr>
          <w:rFonts w:ascii="Verdana" w:hAnsi="Verdana"/>
          <w:i/>
          <w:spacing w:val="-4"/>
          <w:sz w:val="20"/>
          <w:szCs w:val="20"/>
          <w:lang w:val="es-AR"/>
        </w:rPr>
        <w:t>casos Barrios Altos y La Cantuta Vs. Perú</w:t>
      </w:r>
      <w:r w:rsidRPr="00874A30">
        <w:rPr>
          <w:rFonts w:ascii="Verdana" w:hAnsi="Verdana"/>
          <w:spacing w:val="-4"/>
          <w:sz w:val="20"/>
          <w:szCs w:val="20"/>
          <w:lang w:val="es-AR"/>
        </w:rPr>
        <w:t>, esta Corte agregó que “dependiendo de factores como situación de salud, riesgo a la vida, condiciones de detención y facilidades para ser atendido adecuadamente (ya sea en el centro penal o mediante traslado a un centro médico), corresponde al Estado valorar proporcionalmente cuál es la medida de carácter administrativo o figura jurídica que permita proteger la vida y la integridad del condenado, siempre que la misma se otorgue debidamente y siguiendo un fin legítimo que no signifique únicamente dejar de asegurar la ejecución de la pena”</w:t>
      </w:r>
      <w:r>
        <w:rPr>
          <w:rStyle w:val="Refdenotaalpie"/>
          <w:spacing w:val="-4"/>
          <w:szCs w:val="20"/>
          <w:lang w:val="es-AR"/>
        </w:rPr>
        <w:footnoteReference w:id="101"/>
      </w:r>
      <w:r w:rsidRPr="00874A30">
        <w:rPr>
          <w:rFonts w:ascii="Verdana" w:hAnsi="Verdana"/>
          <w:spacing w:val="-4"/>
          <w:sz w:val="20"/>
          <w:szCs w:val="20"/>
          <w:lang w:val="es-AR"/>
        </w:rPr>
        <w:t xml:space="preserve">. Tratándose de casos de “graves violaciones de derechos humanos”, el Tribunal resaltó lo siguiente: </w:t>
      </w:r>
    </w:p>
    <w:p w14:paraId="301A44FC" w14:textId="77777777" w:rsidR="009B20E5" w:rsidRDefault="009B20E5" w:rsidP="009B20E5">
      <w:pPr>
        <w:autoSpaceDE w:val="0"/>
        <w:autoSpaceDN w:val="0"/>
        <w:adjustRightInd w:val="0"/>
        <w:spacing w:before="120" w:after="120"/>
        <w:ind w:left="426" w:right="566"/>
        <w:jc w:val="both"/>
        <w:rPr>
          <w:rFonts w:ascii="Verdana" w:eastAsiaTheme="minorHAnsi" w:hAnsi="Verdana" w:cs="Verdana"/>
          <w:color w:val="000000"/>
          <w:sz w:val="16"/>
          <w:szCs w:val="16"/>
          <w:lang w:val="es-CR"/>
        </w:rPr>
      </w:pPr>
      <w:r w:rsidRPr="00CF21D6">
        <w:rPr>
          <w:rFonts w:ascii="Verdana" w:eastAsiaTheme="minorHAnsi" w:hAnsi="Verdana" w:cs="Verdana"/>
          <w:color w:val="000000"/>
          <w:sz w:val="16"/>
          <w:szCs w:val="16"/>
          <w:lang w:val="es-CR"/>
        </w:rPr>
        <w:t xml:space="preserve">dicha medida o figura jurídica debe ser la que menos restrinja el derecho de acceso a la justicia de las víctimas </w:t>
      </w:r>
      <w:r w:rsidRPr="00CF21D6">
        <w:rPr>
          <w:rFonts w:ascii="Verdana" w:eastAsiaTheme="minorHAnsi" w:hAnsi="Verdana" w:cs="Verdana"/>
          <w:iCs/>
          <w:color w:val="000000"/>
          <w:sz w:val="16"/>
          <w:szCs w:val="16"/>
          <w:lang w:val="es-CR"/>
        </w:rPr>
        <w:t>[…]</w:t>
      </w:r>
      <w:r>
        <w:rPr>
          <w:rFonts w:ascii="Verdana" w:eastAsiaTheme="minorHAnsi" w:hAnsi="Verdana" w:cs="Verdana"/>
          <w:i/>
          <w:iCs/>
          <w:color w:val="000000"/>
          <w:sz w:val="16"/>
          <w:szCs w:val="16"/>
          <w:lang w:val="es-CR"/>
        </w:rPr>
        <w:t xml:space="preserve"> </w:t>
      </w:r>
      <w:r w:rsidRPr="00CF21D6">
        <w:rPr>
          <w:rFonts w:ascii="Verdana" w:eastAsiaTheme="minorHAnsi" w:hAnsi="Verdana" w:cs="Verdana"/>
          <w:color w:val="000000"/>
          <w:sz w:val="16"/>
          <w:szCs w:val="16"/>
          <w:lang w:val="es-CR"/>
        </w:rPr>
        <w:t xml:space="preserve">y debe ser aplicada en casos muy extremos y por una necesidad imperante. Esto no significa que la figura jurídica o medida que tenga que adoptar el Estado sea necesariamente una que ponga en libertad al condenado y, mucho menos, que implique la extinción de la pena. Corresponde </w:t>
      </w:r>
      <w:proofErr w:type="gramStart"/>
      <w:r w:rsidRPr="00CF21D6">
        <w:rPr>
          <w:rFonts w:ascii="Verdana" w:eastAsiaTheme="minorHAnsi" w:hAnsi="Verdana" w:cs="Verdana"/>
          <w:color w:val="000000"/>
          <w:sz w:val="16"/>
          <w:szCs w:val="16"/>
          <w:lang w:val="es-CR"/>
        </w:rPr>
        <w:t>determinar</w:t>
      </w:r>
      <w:proofErr w:type="gramEnd"/>
      <w:r w:rsidRPr="00CF21D6">
        <w:rPr>
          <w:rFonts w:ascii="Verdana" w:eastAsiaTheme="minorHAnsi" w:hAnsi="Verdana" w:cs="Verdana"/>
          <w:color w:val="000000"/>
          <w:sz w:val="16"/>
          <w:szCs w:val="16"/>
          <w:lang w:val="es-CR"/>
        </w:rPr>
        <w:t xml:space="preserve"> primeramente, de acuerdo con otros factores, si habría una medida que permita una atención médica efectiva (por ejemplo, asegurar que el condenado, de forma efectiva y pronta, pueda acudir a las citas o procedimientos médicos correspondientes y medidas y protocolos que permitan una atención médica de urgencia) </w:t>
      </w:r>
      <w:r>
        <w:rPr>
          <w:rFonts w:ascii="Verdana" w:eastAsiaTheme="minorHAnsi" w:hAnsi="Verdana" w:cs="Verdana"/>
          <w:color w:val="000000"/>
          <w:sz w:val="16"/>
          <w:szCs w:val="16"/>
          <w:lang w:val="es-CR"/>
        </w:rPr>
        <w:t xml:space="preserve">[…] </w:t>
      </w:r>
      <w:r w:rsidRPr="00CF21D6">
        <w:rPr>
          <w:rFonts w:ascii="Verdana" w:eastAsiaTheme="minorHAnsi" w:hAnsi="Verdana" w:cs="Verdana"/>
          <w:color w:val="000000"/>
          <w:sz w:val="16"/>
          <w:szCs w:val="16"/>
          <w:lang w:val="es-CR"/>
        </w:rPr>
        <w:t>o si resulta necesario aplicar una institución jurídica apropiada que modifique la pena o permita una libertad anticipada</w:t>
      </w:r>
      <w:r w:rsidRPr="00A46C0C">
        <w:rPr>
          <w:rFonts w:ascii="Verdana" w:eastAsiaTheme="minorHAnsi" w:hAnsi="Verdana" w:cs="Verdana"/>
          <w:color w:val="000000"/>
          <w:sz w:val="16"/>
          <w:szCs w:val="16"/>
          <w:vertAlign w:val="superscript"/>
        </w:rPr>
        <w:footnoteReference w:id="102"/>
      </w:r>
      <w:r w:rsidRPr="00CF21D6">
        <w:rPr>
          <w:rFonts w:ascii="Verdana" w:eastAsiaTheme="minorHAnsi" w:hAnsi="Verdana" w:cs="Verdana"/>
          <w:color w:val="000000"/>
          <w:sz w:val="16"/>
          <w:szCs w:val="16"/>
          <w:lang w:val="es-CR"/>
        </w:rPr>
        <w:t xml:space="preserve">. </w:t>
      </w:r>
    </w:p>
    <w:p w14:paraId="7AD54E50" w14:textId="77777777" w:rsidR="009B20E5" w:rsidRPr="00874A30" w:rsidRDefault="009B20E5" w:rsidP="009B20E5">
      <w:pPr>
        <w:suppressAutoHyphens/>
        <w:autoSpaceDN w:val="0"/>
        <w:spacing w:after="160" w:line="256" w:lineRule="auto"/>
        <w:textAlignment w:val="baseline"/>
        <w:rPr>
          <w:rFonts w:ascii="Verdana" w:hAnsi="Verdana"/>
          <w:spacing w:val="-4"/>
          <w:sz w:val="20"/>
          <w:szCs w:val="20"/>
          <w:lang w:val="es-CR"/>
        </w:rPr>
      </w:pPr>
    </w:p>
    <w:p w14:paraId="642A39F0"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bookmarkStart w:id="23" w:name="_Ref46128064"/>
      <w:r w:rsidRPr="002C0FC0">
        <w:rPr>
          <w:rFonts w:ascii="Verdana" w:hAnsi="Verdana"/>
          <w:spacing w:val="-4"/>
          <w:sz w:val="20"/>
          <w:szCs w:val="20"/>
          <w:lang w:val="es-CR"/>
        </w:rPr>
        <w:t xml:space="preserve">De la </w:t>
      </w:r>
      <w:r w:rsidRPr="002C0FC0">
        <w:rPr>
          <w:rFonts w:ascii="Verdana" w:hAnsi="Verdana" w:cs="Calibri"/>
          <w:spacing w:val="-4"/>
          <w:sz w:val="20"/>
          <w:szCs w:val="20"/>
          <w:lang w:val="es-CR"/>
        </w:rPr>
        <w:t>información</w:t>
      </w:r>
      <w:r w:rsidRPr="002C0FC0">
        <w:rPr>
          <w:rFonts w:ascii="Verdana" w:hAnsi="Verdana"/>
          <w:spacing w:val="-4"/>
          <w:sz w:val="20"/>
          <w:szCs w:val="20"/>
          <w:lang w:val="es-CR"/>
        </w:rPr>
        <w:t xml:space="preserve"> aportada por las partes, este Tribunal nota, en primer lugar, que cuatro de los propuestos beneficiarios sufren de enfermedades o condiciones preexistentes de salud</w:t>
      </w:r>
      <w:r w:rsidRPr="002C0FC0">
        <w:rPr>
          <w:rStyle w:val="Refdenotaalpie"/>
          <w:spacing w:val="-4"/>
          <w:sz w:val="20"/>
          <w:szCs w:val="20"/>
          <w:lang w:val="es-CR"/>
        </w:rPr>
        <w:footnoteReference w:id="103"/>
      </w:r>
      <w:r w:rsidRPr="002C0FC0">
        <w:rPr>
          <w:rFonts w:ascii="Verdana" w:hAnsi="Verdana"/>
          <w:spacing w:val="-4"/>
          <w:sz w:val="20"/>
          <w:szCs w:val="20"/>
          <w:lang w:val="es-CR"/>
        </w:rPr>
        <w:t>. Dos de ellos también son personas mayores y otros tres tienen más de 50 años. Tales circunstancias los posicionan como personas con factores de riesgo frente al COVID-19. Además, según refirieron los intervinientes comunes, todos ellos tienen “</w:t>
      </w:r>
      <w:r w:rsidRPr="002C0FC0">
        <w:rPr>
          <w:rFonts w:ascii="Verdana" w:hAnsi="Verdana"/>
          <w:spacing w:val="-4"/>
          <w:sz w:val="20"/>
          <w:szCs w:val="20"/>
          <w:lang w:val="es-AR"/>
        </w:rPr>
        <w:t>27 años de prisión en promedio”, lo cual habría contribuido a debilitar su salud</w:t>
      </w:r>
      <w:r w:rsidRPr="002C0FC0">
        <w:rPr>
          <w:rFonts w:ascii="Verdana" w:hAnsi="Verdana"/>
          <w:spacing w:val="-4"/>
          <w:sz w:val="20"/>
          <w:szCs w:val="20"/>
          <w:lang w:val="es-CR"/>
        </w:rPr>
        <w:t>. La Organización Mundial de la Salud ha detallado que las personas mayores</w:t>
      </w:r>
      <w:r w:rsidRPr="002C0FC0">
        <w:rPr>
          <w:rStyle w:val="Refdenotaalpie"/>
          <w:spacing w:val="-4"/>
          <w:sz w:val="20"/>
          <w:szCs w:val="20"/>
          <w:lang w:val="es-AR"/>
        </w:rPr>
        <w:footnoteReference w:id="104"/>
      </w:r>
      <w:r w:rsidRPr="002C0FC0">
        <w:rPr>
          <w:rFonts w:ascii="Verdana" w:hAnsi="Verdana"/>
          <w:spacing w:val="-4"/>
          <w:sz w:val="20"/>
          <w:szCs w:val="20"/>
          <w:lang w:val="es-CR"/>
        </w:rPr>
        <w:t xml:space="preserve"> y aquellas que padecen afecciones médicas subyacentes se encuentran en una situación de mayor vulnerabilidad frente al virus, así como un mayor riesgo de sufrir complicaciones en caso de contagio</w:t>
      </w:r>
      <w:r w:rsidRPr="002C0FC0">
        <w:rPr>
          <w:rStyle w:val="Refdenotaalpie"/>
          <w:spacing w:val="-4"/>
          <w:sz w:val="20"/>
          <w:szCs w:val="20"/>
          <w:lang w:val="es-CR"/>
        </w:rPr>
        <w:footnoteReference w:id="105"/>
      </w:r>
      <w:r w:rsidRPr="002C0FC0">
        <w:rPr>
          <w:rFonts w:ascii="Verdana" w:hAnsi="Verdana"/>
          <w:spacing w:val="-4"/>
          <w:sz w:val="20"/>
          <w:szCs w:val="20"/>
          <w:lang w:val="es-CR"/>
        </w:rPr>
        <w:t xml:space="preserve">. En este sentido, teniendo en cuenta la información científica divulgada hasta el momento por diversas entidades, los cinco propuestos beneficiarios son personas que, por su edad, condiciones subyacentes de </w:t>
      </w:r>
      <w:r w:rsidRPr="002C0FC0">
        <w:rPr>
          <w:rFonts w:ascii="Verdana" w:hAnsi="Verdana"/>
          <w:spacing w:val="-4"/>
          <w:sz w:val="20"/>
          <w:szCs w:val="20"/>
          <w:lang w:val="es-CR"/>
        </w:rPr>
        <w:lastRenderedPageBreak/>
        <w:t>salud y condición de privación de libertad, presentan mayor riesgo de sufrir complicaciones frente al contagio del COVID-19.</w:t>
      </w:r>
      <w:bookmarkEnd w:id="23"/>
      <w:r w:rsidRPr="002C0FC0">
        <w:rPr>
          <w:rFonts w:ascii="Verdana" w:hAnsi="Verdana"/>
          <w:spacing w:val="-4"/>
          <w:sz w:val="20"/>
          <w:szCs w:val="20"/>
          <w:lang w:val="es-CR"/>
        </w:rPr>
        <w:t xml:space="preserve"> </w:t>
      </w:r>
      <w:bookmarkStart w:id="24" w:name="_Ref46157692"/>
    </w:p>
    <w:p w14:paraId="42FD952A"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CR"/>
        </w:rPr>
      </w:pPr>
    </w:p>
    <w:p w14:paraId="15503218" w14:textId="77777777" w:rsidR="009B20E5" w:rsidRPr="004E36EF"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4E36EF">
        <w:rPr>
          <w:rFonts w:ascii="Verdana" w:hAnsi="Verdana"/>
          <w:spacing w:val="-4"/>
          <w:sz w:val="20"/>
          <w:szCs w:val="20"/>
          <w:lang w:val="es-CR"/>
        </w:rPr>
        <w:t xml:space="preserve">Este Tribunal nota, asimismo, que los intervinientes comunes interpusieron la solicitud de medidas provisionales, inicialmente, con el objeto de evitar que los cinco propuestos beneficiarios se contagiaran del virus, o que los cuatro que creían estar contagiados (con base en los síntomas que tenían, aun cuando no se les había realizado pruebas de diagnóstico) pudieran recibir atención médica y medicamentos, así como que los cinco fueran sujetos a detención domiciliaria. Al momento de interponer la solicitud a mediados de mayo de 2020, a ninguno de ellos se les había realizado dicha prueba, pero ya se había constatado más de 1500 de personas contagiadas con COVID-19 en establecimientos penitenciarios del Perú y más de 100 fallecidos a causa del virus (entre personas privadas de libertad y trabajadores del Instituto Nacional Penitenciario). </w:t>
      </w:r>
      <w:bookmarkEnd w:id="24"/>
      <w:r w:rsidRPr="004E36EF">
        <w:rPr>
          <w:rFonts w:ascii="Verdana" w:hAnsi="Verdana"/>
          <w:spacing w:val="-4"/>
          <w:sz w:val="20"/>
          <w:szCs w:val="20"/>
          <w:lang w:val="es-CR"/>
        </w:rPr>
        <w:t>Con posterioridad a la presentación de la referida solicitud, y luego de que se le solicitara información al respecto, el Perú procedió a la realización de pruebas de descarte de COVID-19. De la información presentada por el Estado (</w:t>
      </w:r>
      <w:r w:rsidRPr="004E36EF">
        <w:rPr>
          <w:rFonts w:ascii="Verdana" w:hAnsi="Verdana"/>
          <w:i/>
          <w:spacing w:val="-4"/>
          <w:sz w:val="20"/>
          <w:szCs w:val="20"/>
          <w:lang w:val="es-CR"/>
        </w:rPr>
        <w:t xml:space="preserve">supra </w:t>
      </w:r>
      <w:r w:rsidRPr="004E36EF">
        <w:rPr>
          <w:rFonts w:ascii="Verdana" w:hAnsi="Verdana"/>
          <w:spacing w:val="-4"/>
          <w:sz w:val="20"/>
          <w:szCs w:val="20"/>
          <w:lang w:val="es-CR"/>
        </w:rPr>
        <w:t xml:space="preserve">Considerando </w:t>
      </w:r>
      <w:r w:rsidRPr="004E36EF">
        <w:rPr>
          <w:rFonts w:ascii="Verdana" w:hAnsi="Verdana"/>
          <w:spacing w:val="-4"/>
          <w:sz w:val="20"/>
          <w:szCs w:val="20"/>
          <w:lang w:val="es-CR"/>
        </w:rPr>
        <w:fldChar w:fldCharType="begin"/>
      </w:r>
      <w:r w:rsidRPr="004E36EF">
        <w:rPr>
          <w:rFonts w:ascii="Verdana" w:hAnsi="Verdana"/>
          <w:spacing w:val="-4"/>
          <w:sz w:val="20"/>
          <w:szCs w:val="20"/>
          <w:lang w:val="es-CR"/>
        </w:rPr>
        <w:instrText xml:space="preserve"> REF _Ref46180975 \r \h  \* MERGEFORMAT </w:instrText>
      </w:r>
      <w:r w:rsidRPr="004E36EF">
        <w:rPr>
          <w:rFonts w:ascii="Verdana" w:hAnsi="Verdana"/>
          <w:spacing w:val="-4"/>
          <w:sz w:val="20"/>
          <w:szCs w:val="20"/>
          <w:lang w:val="es-CR"/>
        </w:rPr>
      </w:r>
      <w:r w:rsidRPr="004E36EF">
        <w:rPr>
          <w:rFonts w:ascii="Verdana" w:hAnsi="Verdana"/>
          <w:spacing w:val="-4"/>
          <w:sz w:val="20"/>
          <w:szCs w:val="20"/>
          <w:lang w:val="es-CR"/>
        </w:rPr>
        <w:fldChar w:fldCharType="separate"/>
      </w:r>
      <w:r w:rsidRPr="004E36EF">
        <w:rPr>
          <w:rFonts w:ascii="Verdana" w:hAnsi="Verdana"/>
          <w:spacing w:val="-4"/>
          <w:sz w:val="20"/>
          <w:szCs w:val="20"/>
          <w:lang w:val="es-CR"/>
        </w:rPr>
        <w:t>11</w:t>
      </w:r>
      <w:r w:rsidRPr="004E36EF">
        <w:rPr>
          <w:rFonts w:ascii="Verdana" w:hAnsi="Verdana"/>
          <w:spacing w:val="-4"/>
          <w:sz w:val="20"/>
          <w:szCs w:val="20"/>
          <w:lang w:val="es-CR"/>
        </w:rPr>
        <w:fldChar w:fldCharType="end"/>
      </w:r>
      <w:r w:rsidRPr="004E36EF">
        <w:rPr>
          <w:rFonts w:ascii="Verdana" w:hAnsi="Verdana"/>
          <w:spacing w:val="-4"/>
          <w:sz w:val="20"/>
          <w:szCs w:val="20"/>
          <w:lang w:val="es-CR"/>
        </w:rPr>
        <w:t xml:space="preserve"> de la Resolución) surge que, entre el 2 y el 5 de junio, a cuatro de los cinco propuestos beneficiarios se les practicaron las referidas pruebas, de los cuales dos arrojaron resultado positivo (uno de ellos fue diagnosticado como un caso “leve”) y dos resultado “no reactivo”. En cuanto a la quinta persona, en su último informe, de 9 de junio, el Estado refirió que a la señora Liendo Gil no se le practicó la prueba ya que no presentaba sintomatología compatible con el COVID-19, y que había procedido a aislarla en un ambiente individual con baño propio y darle seguimiento médico diario. De ello se desprende que, como mínimo, para el 9 de junio, fecha del último informe estatal, dos de los cinco propuestos beneficiarios habían sido diagnosticados como contagiados. </w:t>
      </w:r>
    </w:p>
    <w:p w14:paraId="409E8149"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CR"/>
        </w:rPr>
      </w:pPr>
    </w:p>
    <w:p w14:paraId="1BD29AB3" w14:textId="77777777" w:rsidR="009B20E5" w:rsidRPr="00C2549C"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bookmarkStart w:id="25" w:name="_Ref46158425"/>
      <w:r w:rsidRPr="00C2549C">
        <w:rPr>
          <w:rFonts w:ascii="Verdana" w:hAnsi="Verdana"/>
          <w:spacing w:val="-4"/>
          <w:sz w:val="20"/>
          <w:szCs w:val="20"/>
          <w:lang w:val="es-CR"/>
        </w:rPr>
        <w:t xml:space="preserve">No obstante, en su escrito de 16 de junio, los intervinientes comunes sostuvieron que los cinco propuestos beneficiarios estaban contagiados. </w:t>
      </w:r>
      <w:bookmarkEnd w:id="25"/>
      <w:r w:rsidRPr="00AF418E">
        <w:rPr>
          <w:rFonts w:ascii="Verdana" w:hAnsi="Verdana"/>
          <w:spacing w:val="-4"/>
          <w:sz w:val="20"/>
          <w:szCs w:val="20"/>
          <w:lang w:val="es-CR"/>
        </w:rPr>
        <w:t>En este sentido, destacaron que el tipo de pruebas realizadas por el Estado (comúnmente denominadas “pruebas rápidas”) posee un margen de error del 10%, por lo que las dos pruebas que arrojaron resultado “no reactivo” podrían tratarse de “falsos negativos”. Con respecto a la señora Liendo Gil, indicaron haber tomado conocimiento de que, con posterioridad al referido informe estatal de 9 de junio (</w:t>
      </w:r>
      <w:r w:rsidRPr="00AF418E">
        <w:rPr>
          <w:rFonts w:ascii="Verdana" w:hAnsi="Verdana"/>
          <w:i/>
          <w:spacing w:val="-4"/>
          <w:sz w:val="20"/>
          <w:szCs w:val="20"/>
          <w:lang w:val="es-CR"/>
        </w:rPr>
        <w:t xml:space="preserve">supra </w:t>
      </w:r>
      <w:r w:rsidRPr="00AF418E">
        <w:rPr>
          <w:rFonts w:ascii="Verdana" w:hAnsi="Verdana"/>
          <w:spacing w:val="-4"/>
          <w:sz w:val="20"/>
          <w:szCs w:val="20"/>
          <w:lang w:val="es-CR"/>
        </w:rPr>
        <w:t xml:space="preserve">Considerando </w:t>
      </w:r>
      <w:r>
        <w:rPr>
          <w:rFonts w:ascii="Verdana" w:hAnsi="Verdana"/>
          <w:spacing w:val="-4"/>
          <w:sz w:val="20"/>
          <w:szCs w:val="20"/>
          <w:lang w:val="es-CR"/>
        </w:rPr>
        <w:t>32</w:t>
      </w:r>
      <w:r w:rsidRPr="00AF418E">
        <w:rPr>
          <w:rFonts w:ascii="Verdana" w:hAnsi="Verdana"/>
          <w:spacing w:val="-4"/>
          <w:sz w:val="20"/>
          <w:szCs w:val="20"/>
          <w:lang w:val="es-CR"/>
        </w:rPr>
        <w:t>), se le realizó la prueba de descarte, la cual habría arrojado resultado positivo</w:t>
      </w:r>
      <w:r w:rsidRPr="00642D9C">
        <w:rPr>
          <w:rStyle w:val="Refdenotaalpie"/>
          <w:spacing w:val="-4"/>
          <w:sz w:val="20"/>
          <w:szCs w:val="20"/>
          <w:lang w:val="es-CR"/>
        </w:rPr>
        <w:footnoteReference w:id="106"/>
      </w:r>
      <w:r w:rsidRPr="00AF418E">
        <w:rPr>
          <w:rFonts w:ascii="Verdana" w:hAnsi="Verdana"/>
          <w:spacing w:val="-4"/>
          <w:sz w:val="20"/>
          <w:szCs w:val="20"/>
          <w:lang w:val="es-CR"/>
        </w:rPr>
        <w:t>.</w:t>
      </w:r>
    </w:p>
    <w:p w14:paraId="79857BF2" w14:textId="77777777" w:rsidR="009B20E5" w:rsidRPr="00C2549C" w:rsidRDefault="009B20E5" w:rsidP="009B20E5">
      <w:pPr>
        <w:autoSpaceDE w:val="0"/>
        <w:autoSpaceDN w:val="0"/>
        <w:adjustRightInd w:val="0"/>
        <w:jc w:val="both"/>
        <w:rPr>
          <w:rFonts w:ascii="Verdana" w:hAnsi="Verdana"/>
          <w:spacing w:val="-4"/>
          <w:sz w:val="20"/>
          <w:szCs w:val="20"/>
          <w:lang w:val="es-CR"/>
        </w:rPr>
      </w:pPr>
    </w:p>
    <w:p w14:paraId="10F0F897"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bookmarkStart w:id="26" w:name="_Ref46158432"/>
      <w:r w:rsidRPr="00C2549C">
        <w:rPr>
          <w:rFonts w:ascii="Verdana" w:hAnsi="Verdana"/>
          <w:spacing w:val="-4"/>
          <w:sz w:val="20"/>
          <w:szCs w:val="20"/>
          <w:lang w:val="es-CR"/>
        </w:rPr>
        <w:t xml:space="preserve">Asimismo, el Tribunal observa que los propuestos beneficiarios presentaron diversas demandas de hábeas corpus ante los tribunales peruanos, las cuales fueron resueltas de forma tal que, independientemente de que inicialmente fueran rechazadas </w:t>
      </w:r>
      <w:r w:rsidRPr="00C2549C">
        <w:rPr>
          <w:rFonts w:ascii="Verdana" w:hAnsi="Verdana"/>
          <w:i/>
          <w:spacing w:val="-4"/>
          <w:sz w:val="20"/>
          <w:szCs w:val="20"/>
          <w:lang w:val="es-CR"/>
        </w:rPr>
        <w:t>in limine</w:t>
      </w:r>
      <w:r>
        <w:rPr>
          <w:rFonts w:ascii="Verdana" w:hAnsi="Verdana"/>
          <w:i/>
          <w:spacing w:val="-4"/>
          <w:sz w:val="20"/>
          <w:szCs w:val="20"/>
          <w:lang w:val="es-CR"/>
        </w:rPr>
        <w:t xml:space="preserve"> </w:t>
      </w:r>
      <w:r w:rsidRPr="00642D9C">
        <w:rPr>
          <w:rFonts w:ascii="Verdana" w:hAnsi="Verdana"/>
          <w:iCs/>
          <w:spacing w:val="-4"/>
          <w:sz w:val="20"/>
          <w:szCs w:val="20"/>
          <w:lang w:val="es-CR"/>
        </w:rPr>
        <w:t>en cuanto a las peticiones principales (</w:t>
      </w:r>
      <w:r w:rsidRPr="00642D9C">
        <w:rPr>
          <w:rFonts w:ascii="Verdana" w:hAnsi="Verdana"/>
          <w:i/>
          <w:spacing w:val="-4"/>
          <w:sz w:val="20"/>
          <w:szCs w:val="20"/>
          <w:lang w:val="es-CR"/>
        </w:rPr>
        <w:t>supra</w:t>
      </w:r>
      <w:r w:rsidRPr="00642D9C">
        <w:rPr>
          <w:rFonts w:ascii="Verdana" w:hAnsi="Verdana"/>
          <w:iCs/>
          <w:spacing w:val="-4"/>
          <w:sz w:val="20"/>
          <w:szCs w:val="20"/>
          <w:lang w:val="es-CR"/>
        </w:rPr>
        <w:t xml:space="preserve"> Considerando 7)</w:t>
      </w:r>
      <w:r w:rsidRPr="00C2549C">
        <w:rPr>
          <w:rFonts w:ascii="Verdana" w:hAnsi="Verdana"/>
          <w:spacing w:val="-4"/>
          <w:sz w:val="20"/>
          <w:szCs w:val="20"/>
          <w:lang w:val="es-CR"/>
        </w:rPr>
        <w:t>, respecto de tres de los cinco propuestos beneficiarios, los tribunales exhortaron al Instituto Nacional Penitenciario y a las autoridades del establecimiento penal en que se encuentran recluidos a brindar información sobre el estado de salud, condiciones de detención y/o atención médica recibida.</w:t>
      </w:r>
      <w:bookmarkEnd w:id="26"/>
    </w:p>
    <w:p w14:paraId="077D6E22" w14:textId="77777777" w:rsidR="009B20E5" w:rsidRPr="0099049A" w:rsidRDefault="009B20E5" w:rsidP="009B20E5">
      <w:pPr>
        <w:pStyle w:val="Prrafodelista"/>
        <w:rPr>
          <w:rFonts w:ascii="Verdana" w:hAnsi="Verdana"/>
          <w:spacing w:val="-4"/>
          <w:sz w:val="20"/>
          <w:szCs w:val="20"/>
          <w:lang w:val="es-CR"/>
        </w:rPr>
      </w:pPr>
    </w:p>
    <w:p w14:paraId="71F6C772"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99049A">
        <w:rPr>
          <w:rFonts w:ascii="Verdana" w:hAnsi="Verdana"/>
          <w:spacing w:val="-4"/>
          <w:sz w:val="20"/>
          <w:szCs w:val="20"/>
          <w:lang w:val="es-CR"/>
        </w:rPr>
        <w:t>En cuanto a la atención médica, luego de que los intervinientes comunes presentaran la solicitud de medidas provisionales, así como diversos recursos de hábeas corpus, (</w:t>
      </w:r>
      <w:r w:rsidRPr="0099049A">
        <w:rPr>
          <w:rFonts w:ascii="Verdana" w:hAnsi="Verdana"/>
          <w:i/>
          <w:spacing w:val="-4"/>
          <w:sz w:val="20"/>
          <w:szCs w:val="20"/>
          <w:lang w:val="es-CR"/>
        </w:rPr>
        <w:t xml:space="preserve">supra </w:t>
      </w:r>
      <w:r w:rsidRPr="0099049A">
        <w:rPr>
          <w:rFonts w:ascii="Verdana" w:hAnsi="Verdana"/>
          <w:spacing w:val="-4"/>
          <w:sz w:val="20"/>
          <w:szCs w:val="20"/>
          <w:lang w:val="es-CR"/>
        </w:rPr>
        <w:t xml:space="preserve">Considerandos 6 y </w:t>
      </w:r>
      <w:r w:rsidRPr="0099049A">
        <w:rPr>
          <w:rFonts w:ascii="Verdana" w:hAnsi="Verdana"/>
          <w:spacing w:val="-4"/>
          <w:sz w:val="20"/>
          <w:szCs w:val="20"/>
          <w:lang w:val="es-CR"/>
        </w:rPr>
        <w:fldChar w:fldCharType="begin"/>
      </w:r>
      <w:r w:rsidRPr="0099049A">
        <w:rPr>
          <w:rFonts w:ascii="Verdana" w:hAnsi="Verdana"/>
          <w:spacing w:val="-4"/>
          <w:sz w:val="20"/>
          <w:szCs w:val="20"/>
          <w:lang w:val="es-CR"/>
        </w:rPr>
        <w:instrText xml:space="preserve"> REF _Ref46241727 \r \h  \* MERGEFORMAT </w:instrText>
      </w:r>
      <w:r w:rsidRPr="0099049A">
        <w:rPr>
          <w:rFonts w:ascii="Verdana" w:hAnsi="Verdana"/>
          <w:spacing w:val="-4"/>
          <w:sz w:val="20"/>
          <w:szCs w:val="20"/>
          <w:lang w:val="es-CR"/>
        </w:rPr>
      </w:r>
      <w:r w:rsidRPr="0099049A">
        <w:rPr>
          <w:rFonts w:ascii="Verdana" w:hAnsi="Verdana"/>
          <w:spacing w:val="-4"/>
          <w:sz w:val="20"/>
          <w:szCs w:val="20"/>
          <w:lang w:val="es-CR"/>
        </w:rPr>
        <w:fldChar w:fldCharType="separate"/>
      </w:r>
      <w:r w:rsidRPr="0099049A">
        <w:rPr>
          <w:rFonts w:ascii="Verdana" w:hAnsi="Verdana"/>
          <w:spacing w:val="-4"/>
          <w:sz w:val="20"/>
          <w:szCs w:val="20"/>
          <w:lang w:val="es-CR"/>
        </w:rPr>
        <w:t>7</w:t>
      </w:r>
      <w:r w:rsidRPr="0099049A">
        <w:rPr>
          <w:rFonts w:ascii="Verdana" w:hAnsi="Verdana"/>
          <w:spacing w:val="-4"/>
          <w:sz w:val="20"/>
          <w:szCs w:val="20"/>
          <w:lang w:val="es-CR"/>
        </w:rPr>
        <w:fldChar w:fldCharType="end"/>
      </w:r>
      <w:r w:rsidRPr="0099049A">
        <w:rPr>
          <w:rFonts w:ascii="Verdana" w:hAnsi="Verdana"/>
          <w:spacing w:val="-4"/>
          <w:sz w:val="20"/>
          <w:szCs w:val="20"/>
          <w:lang w:val="es-CR"/>
        </w:rPr>
        <w:t>), el Perú procedió a realizarles diversos exámenes médicos, cuyos hallazgos están recogidos en los informes y constancias médicas que presentó ante este Tribunal (</w:t>
      </w:r>
      <w:r w:rsidRPr="0099049A">
        <w:rPr>
          <w:rFonts w:ascii="Verdana" w:hAnsi="Verdana"/>
          <w:i/>
          <w:spacing w:val="-4"/>
          <w:sz w:val="20"/>
          <w:szCs w:val="20"/>
          <w:lang w:val="es-CR"/>
        </w:rPr>
        <w:t xml:space="preserve">supra </w:t>
      </w:r>
      <w:r w:rsidRPr="0099049A">
        <w:rPr>
          <w:rFonts w:ascii="Verdana" w:hAnsi="Verdana"/>
          <w:spacing w:val="-4"/>
          <w:sz w:val="20"/>
          <w:szCs w:val="20"/>
          <w:lang w:val="es-CR"/>
        </w:rPr>
        <w:t xml:space="preserve">Considerando </w:t>
      </w:r>
      <w:r w:rsidRPr="0099049A">
        <w:rPr>
          <w:rFonts w:ascii="Verdana" w:hAnsi="Verdana"/>
          <w:spacing w:val="-4"/>
          <w:sz w:val="20"/>
          <w:szCs w:val="20"/>
          <w:lang w:val="es-CR"/>
        </w:rPr>
        <w:fldChar w:fldCharType="begin"/>
      </w:r>
      <w:r w:rsidRPr="0099049A">
        <w:rPr>
          <w:rFonts w:ascii="Verdana" w:hAnsi="Verdana"/>
          <w:spacing w:val="-4"/>
          <w:sz w:val="20"/>
          <w:szCs w:val="20"/>
          <w:lang w:val="es-CR"/>
        </w:rPr>
        <w:instrText xml:space="preserve"> REF _Ref46180975 \r \h  \* MERGEFORMAT </w:instrText>
      </w:r>
      <w:r w:rsidRPr="0099049A">
        <w:rPr>
          <w:rFonts w:ascii="Verdana" w:hAnsi="Verdana"/>
          <w:spacing w:val="-4"/>
          <w:sz w:val="20"/>
          <w:szCs w:val="20"/>
          <w:lang w:val="es-CR"/>
        </w:rPr>
      </w:r>
      <w:r w:rsidRPr="0099049A">
        <w:rPr>
          <w:rFonts w:ascii="Verdana" w:hAnsi="Verdana"/>
          <w:spacing w:val="-4"/>
          <w:sz w:val="20"/>
          <w:szCs w:val="20"/>
          <w:lang w:val="es-CR"/>
        </w:rPr>
        <w:fldChar w:fldCharType="separate"/>
      </w:r>
      <w:r w:rsidRPr="0099049A">
        <w:rPr>
          <w:rFonts w:ascii="Verdana" w:hAnsi="Verdana"/>
          <w:spacing w:val="-4"/>
          <w:sz w:val="20"/>
          <w:szCs w:val="20"/>
          <w:lang w:val="es-CR"/>
        </w:rPr>
        <w:t>11</w:t>
      </w:r>
      <w:r w:rsidRPr="0099049A">
        <w:rPr>
          <w:rFonts w:ascii="Verdana" w:hAnsi="Verdana"/>
          <w:spacing w:val="-4"/>
          <w:sz w:val="20"/>
          <w:szCs w:val="20"/>
          <w:lang w:val="es-CR"/>
        </w:rPr>
        <w:fldChar w:fldCharType="end"/>
      </w:r>
      <w:r w:rsidRPr="0099049A">
        <w:rPr>
          <w:rFonts w:ascii="Verdana" w:hAnsi="Verdana"/>
          <w:spacing w:val="-4"/>
          <w:sz w:val="20"/>
          <w:szCs w:val="20"/>
          <w:lang w:val="es-CR"/>
        </w:rPr>
        <w:t>). Con base en dichos informes, el Estado precisó que los cinco propuestos beneficiarios estaban estables</w:t>
      </w:r>
      <w:r w:rsidRPr="002C0FC0">
        <w:rPr>
          <w:rStyle w:val="Refdenotaalpie"/>
          <w:spacing w:val="-4"/>
          <w:sz w:val="20"/>
          <w:szCs w:val="20"/>
          <w:lang w:val="es-CR"/>
        </w:rPr>
        <w:footnoteReference w:id="107"/>
      </w:r>
      <w:r w:rsidRPr="0099049A">
        <w:rPr>
          <w:rFonts w:ascii="Verdana" w:hAnsi="Verdana"/>
          <w:spacing w:val="-4"/>
          <w:sz w:val="20"/>
          <w:szCs w:val="20"/>
          <w:lang w:val="es-CR"/>
        </w:rPr>
        <w:t xml:space="preserve"> y </w:t>
      </w:r>
      <w:r w:rsidRPr="0099049A">
        <w:rPr>
          <w:rFonts w:ascii="Verdana" w:hAnsi="Verdana"/>
          <w:spacing w:val="-4"/>
          <w:sz w:val="20"/>
          <w:szCs w:val="20"/>
          <w:lang w:val="es-CR"/>
        </w:rPr>
        <w:lastRenderedPageBreak/>
        <w:t xml:space="preserve">recibiendo el tratamiento necesario de acuerdo con sus afecciones particulares, tanto con relación a la presencia de COVID-19, respecto de aquellos casos cuyas pruebas de descarte arrojaron resultado positivo, como por otro tipo de afecciones, tratamiento que se encuentra detallado en los referidos informes y constancias médicas. Sin embargo, los intervinientes comunes objetaron que no estaban recibiendo el tratamiento adecuado, y señalaron que, en dos casos, los familiares de los propuestos beneficiarios habían tenido que suministrarles la medicación o los alimentos necesarios, según sus afecciones de salud, lo cual se dificultaba a raíz de las restricciones impuestas en este sentido por parte de los diferentes establecimientos penitenciarios y del Instituto Nacional Penitenciario, como parte de las medidas adoptadas para evitar el contagio del COVID-19 en dichos establecimientos. </w:t>
      </w:r>
    </w:p>
    <w:p w14:paraId="234E49FD"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CR"/>
        </w:rPr>
      </w:pPr>
    </w:p>
    <w:p w14:paraId="0D794634" w14:textId="77777777" w:rsidR="009B20E5"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650B3C">
        <w:rPr>
          <w:rFonts w:ascii="Verdana" w:hAnsi="Verdana"/>
          <w:spacing w:val="-4"/>
          <w:sz w:val="20"/>
          <w:szCs w:val="20"/>
          <w:lang w:val="es-CR"/>
        </w:rPr>
        <w:t xml:space="preserve">Si bien este Tribunal reconoce y valora positivamente que, a partir de la presentación de la solicitud de medidas provisionales, el Perú efectuó pruebas de diagnóstico del COVID-19 a los propuestos beneficiarios y les ha brindado tratamiento y ha realizado exámenes médicos, no es posible ignorar la extrema gravedad que representa el hecho de que dos de esas cinco personas con condiciones de riesgo de mayores complicaciones frente al COVID-19 se encuentren contagiadas; una tercera también lo estaría, según lo refieren los intervinientes comunes, y las dos restantes podrían estarlo, si se toma en cuenta que refieren presentar sintomatología compatible con el virus, así como el posible margen de error de la única prueba que se les realizó. Por ello, teniendo en cuenta la complejidad sin precedentes que la pandemia del COVID-19 presenta y las graves afectaciones que a corto, mediano y largo plazo que éste puede producir a la salud, así como la pertenencia de los propuestos beneficiarios a grupos de riesgo, la Corte concluye que se verifica el requisito de extrema gravedad. </w:t>
      </w:r>
    </w:p>
    <w:p w14:paraId="008703D3" w14:textId="77777777" w:rsidR="009B20E5" w:rsidRPr="005C2A9F" w:rsidRDefault="009B20E5" w:rsidP="009B20E5">
      <w:pPr>
        <w:pStyle w:val="Prrafodelista"/>
        <w:rPr>
          <w:rFonts w:ascii="Verdana" w:hAnsi="Verdana"/>
          <w:spacing w:val="-4"/>
          <w:sz w:val="20"/>
          <w:szCs w:val="20"/>
          <w:lang w:val="es-CR"/>
        </w:rPr>
      </w:pPr>
    </w:p>
    <w:p w14:paraId="56AA5B57" w14:textId="77777777" w:rsidR="009B20E5" w:rsidRPr="00946A06"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5C2A9F">
        <w:rPr>
          <w:rFonts w:ascii="Verdana" w:hAnsi="Verdana"/>
          <w:spacing w:val="-4"/>
          <w:sz w:val="20"/>
          <w:szCs w:val="20"/>
          <w:lang w:val="es-CR"/>
        </w:rPr>
        <w:t>En cuanto a la urgencia, es necesario hacer referencia al contexto en todos los establecimientos penitenciarios del Perú, así como específicamente en los tres centros en los cuales se encuentran los propuestos beneficiarios. En efecto, la Corte observa que la Defensoría del Pueblo ha remarcado que, pese a los esfuerzos y acciones emprendidas por el Estado a través de diversos organismos</w:t>
      </w:r>
      <w:r w:rsidRPr="005C2A9F">
        <w:rPr>
          <w:rStyle w:val="Refdenotaalpie"/>
          <w:spacing w:val="-4"/>
          <w:sz w:val="20"/>
          <w:szCs w:val="20"/>
          <w:lang w:val="es-CR"/>
        </w:rPr>
        <w:footnoteReference w:id="108"/>
      </w:r>
      <w:r w:rsidRPr="005C2A9F">
        <w:rPr>
          <w:rFonts w:ascii="Verdana" w:hAnsi="Verdana"/>
          <w:spacing w:val="-4"/>
          <w:sz w:val="20"/>
          <w:szCs w:val="20"/>
          <w:lang w:val="es-CR"/>
        </w:rPr>
        <w:t>,</w:t>
      </w:r>
      <w:r w:rsidRPr="005C2A9F">
        <w:rPr>
          <w:rFonts w:ascii="Verdana" w:hAnsi="Verdana"/>
          <w:b/>
          <w:bCs/>
          <w:spacing w:val="-4"/>
          <w:sz w:val="20"/>
          <w:szCs w:val="20"/>
          <w:lang w:val="es-CR"/>
        </w:rPr>
        <w:t xml:space="preserve"> </w:t>
      </w:r>
      <w:r w:rsidRPr="005C2A9F">
        <w:rPr>
          <w:rFonts w:ascii="Verdana" w:hAnsi="Verdana"/>
          <w:spacing w:val="-4"/>
          <w:sz w:val="20"/>
          <w:szCs w:val="20"/>
          <w:lang w:val="es-CR"/>
        </w:rPr>
        <w:t>existe un “brote masivo del COVID-19 en las cárceles a nivel nacional”, que ha tenido como consecuencia el “cobro de vidas de internos y agentes penitenciarios”</w:t>
      </w:r>
      <w:r w:rsidRPr="005C2A9F">
        <w:rPr>
          <w:rStyle w:val="Refdenotaalpie"/>
          <w:spacing w:val="-4"/>
          <w:sz w:val="20"/>
          <w:szCs w:val="20"/>
          <w:lang w:val="es-CR"/>
        </w:rPr>
        <w:footnoteReference w:id="109"/>
      </w:r>
      <w:r w:rsidRPr="005C2A9F">
        <w:rPr>
          <w:rFonts w:ascii="Verdana" w:hAnsi="Verdana"/>
          <w:spacing w:val="-4"/>
          <w:sz w:val="20"/>
          <w:szCs w:val="20"/>
          <w:lang w:val="es-CR"/>
        </w:rPr>
        <w:t>. En este sentido, la información científica disponible demuestra que, una vez que el virus ingresa a los establecimientos penitenciarios, el índice de propagación es varias veces mayor que fuera de los mismos (</w:t>
      </w:r>
      <w:r w:rsidRPr="005C2A9F">
        <w:rPr>
          <w:rFonts w:ascii="Verdana" w:hAnsi="Verdana"/>
          <w:i/>
          <w:spacing w:val="-4"/>
          <w:sz w:val="20"/>
          <w:szCs w:val="20"/>
          <w:lang w:val="es-CR"/>
        </w:rPr>
        <w:t xml:space="preserve">supra </w:t>
      </w:r>
      <w:r w:rsidRPr="005C2A9F">
        <w:rPr>
          <w:rFonts w:ascii="Verdana" w:hAnsi="Verdana"/>
          <w:spacing w:val="-4"/>
          <w:sz w:val="20"/>
          <w:szCs w:val="20"/>
          <w:lang w:val="es-CR"/>
        </w:rPr>
        <w:t xml:space="preserve">Considerando 25). Esto podría generar que los servicios de salud disponibles dentro de los establecimientos escaseen, en virtud de la demanda sin precedentes que se presenta. El requisito de urgencia se configura, por lo tanto, en la necesidad de asegurar que los propuestos beneficiarios, todos ellos personas de riesgo, de los cuales al menos dos ya han sido contagiados, una tercera también lo estaría, según refieren los intervinientes comunes, y otros dos podrían estarlo, reciban o continúen recibiendo la atención médica y seguimiento necesario para combatir los efectos a corto, mediano y largo plazo de dicha enfermedad. Asimismo, esta Corte considera que la urgencia del caso se ve exacerbada por el hecho de que, a </w:t>
      </w:r>
      <w:r w:rsidRPr="005C2A9F">
        <w:rPr>
          <w:rFonts w:ascii="Verdana" w:hAnsi="Verdana"/>
          <w:spacing w:val="-4"/>
          <w:sz w:val="20"/>
          <w:szCs w:val="20"/>
          <w:lang w:val="es-AR"/>
        </w:rPr>
        <w:t xml:space="preserve">casi 14 años desde la emisión de la Sentencia del presente caso, Perú no ha presentado información </w:t>
      </w:r>
      <w:r w:rsidRPr="005C2A9F">
        <w:rPr>
          <w:rFonts w:ascii="Verdana" w:hAnsi="Verdana"/>
          <w:spacing w:val="-4"/>
          <w:sz w:val="20"/>
          <w:szCs w:val="20"/>
          <w:lang w:val="es-CR"/>
        </w:rPr>
        <w:t xml:space="preserve">en el marco del proceso de supervisión de cumplimiento </w:t>
      </w:r>
      <w:r w:rsidRPr="005C2A9F">
        <w:rPr>
          <w:rFonts w:ascii="Verdana" w:hAnsi="Verdana"/>
          <w:spacing w:val="-4"/>
          <w:sz w:val="20"/>
          <w:szCs w:val="20"/>
          <w:lang w:val="es-AR"/>
        </w:rPr>
        <w:t xml:space="preserve">que permita valorar algún avance significativo en la implementación de la presente medida de reparación, ni tampoco ha brindado la información requerida en la Resolución de 2014, es decir, hace 6 años. En el contexto actual en que todos los países del mundo están atravesando dificultades sin precedentes en materia sanitaria a raíz de la pandemia del COVID-19, resulta </w:t>
      </w:r>
      <w:r w:rsidRPr="005C2A9F">
        <w:rPr>
          <w:rFonts w:ascii="Verdana" w:hAnsi="Verdana"/>
          <w:spacing w:val="-4"/>
          <w:sz w:val="20"/>
          <w:szCs w:val="20"/>
          <w:lang w:val="es-AR"/>
        </w:rPr>
        <w:lastRenderedPageBreak/>
        <w:t xml:space="preserve">imperativo que el Estado presente información actualizada y detallada sobre el cumplimiento de esta medida. </w:t>
      </w:r>
    </w:p>
    <w:p w14:paraId="607F0075" w14:textId="77777777" w:rsidR="009B20E5"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CR"/>
        </w:rPr>
      </w:pPr>
    </w:p>
    <w:p w14:paraId="0341645F" w14:textId="77777777" w:rsidR="009B20E5" w:rsidRPr="00946A06" w:rsidRDefault="009B20E5" w:rsidP="009B20E5">
      <w:pPr>
        <w:pStyle w:val="Prrafodelista"/>
        <w:autoSpaceDE w:val="0"/>
        <w:autoSpaceDN w:val="0"/>
        <w:adjustRightInd w:val="0"/>
        <w:spacing w:after="0" w:line="240" w:lineRule="auto"/>
        <w:ind w:left="0"/>
        <w:jc w:val="both"/>
        <w:rPr>
          <w:rFonts w:ascii="Verdana" w:hAnsi="Verdana"/>
          <w:spacing w:val="-4"/>
          <w:sz w:val="20"/>
          <w:szCs w:val="20"/>
          <w:lang w:val="es-CR"/>
        </w:rPr>
      </w:pPr>
    </w:p>
    <w:p w14:paraId="7EB43825" w14:textId="77777777" w:rsidR="009B20E5" w:rsidRPr="00946A06"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r w:rsidRPr="00946A06">
        <w:rPr>
          <w:rFonts w:ascii="Verdana" w:hAnsi="Verdana"/>
          <w:spacing w:val="-4"/>
          <w:sz w:val="20"/>
          <w:szCs w:val="20"/>
          <w:lang w:val="es-CR"/>
        </w:rPr>
        <w:t xml:space="preserve">Finalmente, el requisito de </w:t>
      </w:r>
      <w:proofErr w:type="spellStart"/>
      <w:r w:rsidRPr="00946A06">
        <w:rPr>
          <w:rFonts w:ascii="Verdana" w:hAnsi="Verdana"/>
          <w:spacing w:val="-4"/>
          <w:sz w:val="20"/>
          <w:szCs w:val="20"/>
          <w:lang w:val="es-CR"/>
        </w:rPr>
        <w:t>irreparabilidad</w:t>
      </w:r>
      <w:proofErr w:type="spellEnd"/>
      <w:r w:rsidRPr="00946A06">
        <w:rPr>
          <w:rFonts w:ascii="Verdana" w:hAnsi="Verdana"/>
          <w:spacing w:val="-4"/>
          <w:sz w:val="20"/>
          <w:szCs w:val="20"/>
          <w:lang w:val="es-CR"/>
        </w:rPr>
        <w:t xml:space="preserve"> del daño se cumple debido a la complejidad del virus COVID-19, del cual están contagiados al menos dos de los propuestos beneficiarios a lo que se suma que una tercera también lo estaría, mientras que otros dos podrían estarlo, así como por la grave afectación que dicha enfermedad puede producir a la vida, la salud y la integridad de los propuestos beneficiarios, máxime cuando se trata de personas en especial situación de riesgo de sufrir complicaciones en caso de contagio. </w:t>
      </w:r>
    </w:p>
    <w:p w14:paraId="62DAE704" w14:textId="77777777" w:rsidR="009B20E5" w:rsidRPr="00C2549C" w:rsidRDefault="009B20E5" w:rsidP="009B20E5">
      <w:pPr>
        <w:autoSpaceDE w:val="0"/>
        <w:autoSpaceDN w:val="0"/>
        <w:adjustRightInd w:val="0"/>
        <w:jc w:val="both"/>
        <w:rPr>
          <w:rFonts w:ascii="Verdana" w:hAnsi="Verdana"/>
          <w:spacing w:val="-4"/>
          <w:sz w:val="20"/>
          <w:szCs w:val="20"/>
          <w:lang w:val="es-CR"/>
        </w:rPr>
      </w:pPr>
    </w:p>
    <w:p w14:paraId="02DD73E0" w14:textId="77777777" w:rsidR="009B20E5" w:rsidRPr="00C2549C" w:rsidRDefault="009B20E5" w:rsidP="009B20E5">
      <w:pPr>
        <w:pStyle w:val="Prrafodelista"/>
        <w:numPr>
          <w:ilvl w:val="0"/>
          <w:numId w:val="28"/>
        </w:numPr>
        <w:autoSpaceDE w:val="0"/>
        <w:autoSpaceDN w:val="0"/>
        <w:adjustRightInd w:val="0"/>
        <w:spacing w:after="0" w:line="240" w:lineRule="auto"/>
        <w:ind w:left="0" w:firstLine="0"/>
        <w:jc w:val="both"/>
        <w:rPr>
          <w:rFonts w:ascii="Verdana" w:hAnsi="Verdana"/>
          <w:spacing w:val="-4"/>
          <w:sz w:val="20"/>
          <w:szCs w:val="20"/>
          <w:lang w:val="es-CR"/>
        </w:rPr>
      </w:pPr>
      <w:bookmarkStart w:id="27" w:name="_Ref46241248"/>
      <w:r w:rsidRPr="00C2549C">
        <w:rPr>
          <w:rFonts w:ascii="Verdana" w:hAnsi="Verdana"/>
          <w:spacing w:val="-4"/>
          <w:sz w:val="20"/>
          <w:szCs w:val="20"/>
          <w:lang w:val="es-AR"/>
        </w:rPr>
        <w:t>Este Tribunal observa: (i) que Perú tiene una especial posición de garante de los derechos de los propuestos beneficiarios, quienes se encuentran bajo su custodia en tres distintos establecimientos penitenciarios del país; (</w:t>
      </w:r>
      <w:proofErr w:type="spellStart"/>
      <w:r w:rsidRPr="00C2549C">
        <w:rPr>
          <w:rFonts w:ascii="Verdana" w:hAnsi="Verdana"/>
          <w:spacing w:val="-4"/>
          <w:sz w:val="20"/>
          <w:szCs w:val="20"/>
          <w:lang w:val="es-AR"/>
        </w:rPr>
        <w:t>ii</w:t>
      </w:r>
      <w:proofErr w:type="spellEnd"/>
      <w:r w:rsidRPr="00C2549C">
        <w:rPr>
          <w:rFonts w:ascii="Verdana" w:hAnsi="Verdana"/>
          <w:spacing w:val="-4"/>
          <w:sz w:val="20"/>
          <w:szCs w:val="20"/>
          <w:lang w:val="es-AR"/>
        </w:rPr>
        <w:t>) las afectaciones a corto, mediano y largo plazo que la enfermedad de COVID-19 puede generar a la salud de las personas, así como el riesgo de mortalidad en aquellos casos en que se presentan complicaciones; (</w:t>
      </w:r>
      <w:proofErr w:type="spellStart"/>
      <w:r w:rsidRPr="00C2549C">
        <w:rPr>
          <w:rFonts w:ascii="Verdana" w:hAnsi="Verdana"/>
          <w:spacing w:val="-4"/>
          <w:sz w:val="20"/>
          <w:szCs w:val="20"/>
          <w:lang w:val="es-AR"/>
        </w:rPr>
        <w:t>iii</w:t>
      </w:r>
      <w:proofErr w:type="spellEnd"/>
      <w:r w:rsidRPr="00C2549C">
        <w:rPr>
          <w:rFonts w:ascii="Verdana" w:hAnsi="Verdana"/>
          <w:spacing w:val="-4"/>
          <w:sz w:val="20"/>
          <w:szCs w:val="20"/>
          <w:lang w:val="es-AR"/>
        </w:rPr>
        <w:t xml:space="preserve">) que los propuestos beneficiarios se enmarcan dentro de los grupos en con mayor riesgo de sufrir complicaciones en caso de contagio de COVID-19, dada </w:t>
      </w:r>
      <w:r w:rsidRPr="00C2549C">
        <w:rPr>
          <w:rFonts w:ascii="Verdana" w:hAnsi="Verdana"/>
          <w:spacing w:val="-4"/>
          <w:sz w:val="20"/>
          <w:szCs w:val="20"/>
          <w:lang w:val="es-CR"/>
        </w:rPr>
        <w:t>su edad, condiciones subyacentes de salud y condición de privación de libertad, (</w:t>
      </w:r>
      <w:proofErr w:type="spellStart"/>
      <w:r w:rsidRPr="00C2549C">
        <w:rPr>
          <w:rFonts w:ascii="Verdana" w:hAnsi="Verdana"/>
          <w:spacing w:val="-4"/>
          <w:sz w:val="20"/>
          <w:szCs w:val="20"/>
          <w:lang w:val="es-CR"/>
        </w:rPr>
        <w:t>iv</w:t>
      </w:r>
      <w:proofErr w:type="spellEnd"/>
      <w:r w:rsidRPr="00C2549C">
        <w:rPr>
          <w:rFonts w:ascii="Verdana" w:hAnsi="Verdana"/>
          <w:spacing w:val="-4"/>
          <w:sz w:val="20"/>
          <w:szCs w:val="20"/>
          <w:lang w:val="es-CR"/>
        </w:rPr>
        <w:t xml:space="preserve">) que a partir de la presentación de la presente solicitud de medidas provisionales, Perú ha realizado pruebas de descarte a los propuestos beneficiarios y (v) que se encuentra controvertida la adecuación del tratamiento médico suministrado, siendo esencial garantizar esta adecuación y su continuidad para preservar la salud, integridad física y vida de los propuestos beneficiarios. Por lo tanto, de conformidad a lo señalado, la Corte ordena al Estado, adoptar las medidas necesarias para que, </w:t>
      </w:r>
      <w:r w:rsidRPr="0088492D">
        <w:rPr>
          <w:rFonts w:ascii="Verdana" w:hAnsi="Verdana"/>
          <w:spacing w:val="-4"/>
          <w:sz w:val="20"/>
          <w:szCs w:val="20"/>
          <w:lang w:val="es-CR"/>
        </w:rPr>
        <w:t>de manera temporal se disponga el arresto o detención domiciliaria de los cinco beneficiarios, sin que esto implique o se considere una sustitución o modificación de la pena o de su forma de ejecución, traslado que estará limitado y condicionado en su duración, al tiempo en que, bajos estrictos y reforzados controles médicos de evaluación y seguimiento, por parte de las instancias de salud pública pertinentes,  certifiquen conforme los protocolos sanitarios de rigor, que persiste o ha cesado el riesgo para la salud, la vida e integridad de estas personas, y, dadas las características y particularidades del caso, esta decisión deberá ser acompañada por reforzadas y sistemáticas medidas de seguridad y control que el Estado disponga, respecto de los beneficiarios de estas medidas, para evitar que se desnaturalicen, afecten o desvirtúen las decisiones y sentencias que ha dispuesto la justicia del Estado del Perú.</w:t>
      </w:r>
      <w:r w:rsidRPr="00C2549C">
        <w:rPr>
          <w:rFonts w:ascii="Verdana" w:hAnsi="Verdana"/>
          <w:spacing w:val="-4"/>
          <w:sz w:val="20"/>
          <w:szCs w:val="20"/>
          <w:lang w:val="es-CR"/>
        </w:rPr>
        <w:t xml:space="preserve"> </w:t>
      </w:r>
      <w:bookmarkEnd w:id="27"/>
    </w:p>
    <w:p w14:paraId="04B30FAD" w14:textId="77777777" w:rsidR="009B20E5" w:rsidRPr="00C2549C" w:rsidRDefault="009B20E5" w:rsidP="009B20E5">
      <w:pPr>
        <w:autoSpaceDE w:val="0"/>
        <w:autoSpaceDN w:val="0"/>
        <w:adjustRightInd w:val="0"/>
        <w:jc w:val="both"/>
        <w:rPr>
          <w:rFonts w:ascii="Verdana" w:hAnsi="Verdana"/>
          <w:spacing w:val="-4"/>
          <w:sz w:val="20"/>
          <w:szCs w:val="20"/>
          <w:lang w:val="es-CR"/>
        </w:rPr>
      </w:pPr>
    </w:p>
    <w:p w14:paraId="646D1546" w14:textId="77777777" w:rsidR="009B20E5" w:rsidRPr="00C2549C" w:rsidRDefault="009B20E5" w:rsidP="009B20E5">
      <w:pPr>
        <w:autoSpaceDE w:val="0"/>
        <w:autoSpaceDN w:val="0"/>
        <w:adjustRightInd w:val="0"/>
        <w:jc w:val="both"/>
        <w:rPr>
          <w:rFonts w:ascii="Verdana" w:hAnsi="Verdana"/>
          <w:spacing w:val="-4"/>
          <w:sz w:val="20"/>
          <w:szCs w:val="20"/>
        </w:rPr>
      </w:pPr>
    </w:p>
    <w:p w14:paraId="47D5FC75" w14:textId="77777777" w:rsidR="009B20E5" w:rsidRPr="00C2549C" w:rsidRDefault="009B20E5" w:rsidP="009B20E5">
      <w:pPr>
        <w:spacing w:line="259" w:lineRule="auto"/>
        <w:jc w:val="both"/>
        <w:rPr>
          <w:rFonts w:ascii="Verdana" w:eastAsia="Verdana" w:hAnsi="Verdana" w:cs="Verdana"/>
          <w:spacing w:val="-4"/>
          <w:sz w:val="20"/>
          <w:szCs w:val="20"/>
          <w:lang w:val="es-CR"/>
        </w:rPr>
      </w:pPr>
      <w:r w:rsidRPr="00C2549C">
        <w:rPr>
          <w:rFonts w:ascii="Verdana" w:eastAsia="Verdana" w:hAnsi="Verdana" w:cs="Verdana"/>
          <w:b/>
          <w:bCs/>
          <w:spacing w:val="-4"/>
          <w:sz w:val="20"/>
          <w:szCs w:val="20"/>
          <w:lang w:val="es-CR"/>
        </w:rPr>
        <w:t>POR TANTO:</w:t>
      </w:r>
    </w:p>
    <w:p w14:paraId="7742DD7B" w14:textId="77777777" w:rsidR="009B20E5" w:rsidRPr="00C2549C" w:rsidRDefault="009B20E5" w:rsidP="009B20E5">
      <w:pPr>
        <w:jc w:val="both"/>
        <w:rPr>
          <w:rFonts w:ascii="Verdana" w:hAnsi="Verdana"/>
          <w:spacing w:val="-4"/>
          <w:sz w:val="20"/>
          <w:szCs w:val="20"/>
          <w:lang w:val="es-CR"/>
        </w:rPr>
      </w:pPr>
    </w:p>
    <w:p w14:paraId="5B37B4BD" w14:textId="77777777" w:rsidR="009B20E5" w:rsidRPr="00C2549C" w:rsidRDefault="009B20E5" w:rsidP="009B20E5">
      <w:pPr>
        <w:jc w:val="both"/>
        <w:rPr>
          <w:rFonts w:ascii="Verdana" w:eastAsia="Verdana" w:hAnsi="Verdana" w:cs="Verdana"/>
          <w:spacing w:val="-4"/>
          <w:sz w:val="20"/>
          <w:szCs w:val="20"/>
          <w:lang w:val="es-CR"/>
        </w:rPr>
      </w:pPr>
      <w:r w:rsidRPr="00C2549C">
        <w:rPr>
          <w:rFonts w:ascii="Verdana" w:eastAsia="Verdana" w:hAnsi="Verdana" w:cs="Verdana"/>
          <w:b/>
          <w:bCs/>
          <w:spacing w:val="-4"/>
          <w:sz w:val="20"/>
          <w:szCs w:val="20"/>
          <w:lang w:val="es-CR"/>
        </w:rPr>
        <w:t>LA CORTE INTERAMERICANA DE DERECHOS HUMANOS,</w:t>
      </w:r>
    </w:p>
    <w:p w14:paraId="031D96A6" w14:textId="77777777" w:rsidR="009B20E5" w:rsidRPr="00C2549C" w:rsidRDefault="009B20E5" w:rsidP="009B20E5">
      <w:pPr>
        <w:jc w:val="both"/>
        <w:rPr>
          <w:rFonts w:ascii="Verdana" w:hAnsi="Verdana"/>
          <w:spacing w:val="-4"/>
          <w:sz w:val="20"/>
          <w:szCs w:val="20"/>
          <w:lang w:val="es-CR"/>
        </w:rPr>
      </w:pPr>
    </w:p>
    <w:p w14:paraId="21290592" w14:textId="77777777" w:rsidR="009B20E5" w:rsidRPr="00C2549C" w:rsidRDefault="009B20E5" w:rsidP="009B20E5">
      <w:pPr>
        <w:jc w:val="both"/>
        <w:rPr>
          <w:rFonts w:ascii="Verdana" w:eastAsia="Verdana" w:hAnsi="Verdana" w:cs="Verdana"/>
          <w:spacing w:val="-4"/>
          <w:sz w:val="20"/>
          <w:szCs w:val="20"/>
          <w:highlight w:val="yellow"/>
          <w:lang w:val="es-CR"/>
        </w:rPr>
      </w:pPr>
      <w:r w:rsidRPr="00C2549C">
        <w:rPr>
          <w:rFonts w:ascii="Verdana" w:hAnsi="Verdana"/>
          <w:spacing w:val="-4"/>
          <w:sz w:val="20"/>
          <w:szCs w:val="20"/>
          <w:lang w:val="es-MX"/>
        </w:rPr>
        <w:t xml:space="preserve">en uso de las atribuciones que le confieren </w:t>
      </w:r>
      <w:r w:rsidRPr="00C2549C">
        <w:rPr>
          <w:rFonts w:ascii="Verdana" w:hAnsi="Verdana"/>
          <w:spacing w:val="-4"/>
          <w:sz w:val="20"/>
          <w:szCs w:val="20"/>
        </w:rPr>
        <w:t>los artículos 63.2 de la Convención Americana, y los artículos 27, y 31 del Reglamento del Tribunal</w:t>
      </w:r>
      <w:r w:rsidRPr="00C2549C">
        <w:rPr>
          <w:rFonts w:ascii="Verdana" w:hAnsi="Verdana"/>
          <w:spacing w:val="-4"/>
          <w:sz w:val="20"/>
          <w:szCs w:val="20"/>
          <w:lang w:val="es-MX"/>
        </w:rPr>
        <w:t>,</w:t>
      </w:r>
    </w:p>
    <w:p w14:paraId="3DC76C69" w14:textId="77777777" w:rsidR="009B20E5" w:rsidRPr="00C2549C" w:rsidRDefault="009B20E5" w:rsidP="009B20E5">
      <w:pPr>
        <w:jc w:val="both"/>
        <w:rPr>
          <w:rFonts w:ascii="Verdana" w:eastAsia="Verdana" w:hAnsi="Verdana" w:cs="Verdana"/>
          <w:b/>
          <w:bCs/>
          <w:spacing w:val="-4"/>
          <w:sz w:val="20"/>
          <w:szCs w:val="20"/>
          <w:lang w:val="es-CR"/>
        </w:rPr>
      </w:pPr>
    </w:p>
    <w:p w14:paraId="2696D5BB" w14:textId="77777777" w:rsidR="009B20E5" w:rsidRPr="00C2549C" w:rsidRDefault="009B20E5" w:rsidP="009B20E5">
      <w:pPr>
        <w:jc w:val="both"/>
        <w:rPr>
          <w:rFonts w:ascii="Verdana" w:eastAsia="Verdana" w:hAnsi="Verdana" w:cs="Verdana"/>
          <w:b/>
          <w:bCs/>
          <w:spacing w:val="-4"/>
          <w:sz w:val="20"/>
          <w:szCs w:val="20"/>
          <w:lang w:val="es-CR"/>
        </w:rPr>
      </w:pPr>
    </w:p>
    <w:p w14:paraId="03923BC2" w14:textId="77777777" w:rsidR="009B20E5" w:rsidRPr="00C2549C" w:rsidRDefault="009B20E5" w:rsidP="009B20E5">
      <w:pPr>
        <w:jc w:val="both"/>
        <w:rPr>
          <w:rFonts w:ascii="Verdana" w:eastAsia="Verdana" w:hAnsi="Verdana" w:cs="Verdana"/>
          <w:spacing w:val="-4"/>
          <w:sz w:val="20"/>
          <w:szCs w:val="20"/>
          <w:lang w:val="es-CR"/>
        </w:rPr>
      </w:pPr>
      <w:r w:rsidRPr="00C2549C">
        <w:rPr>
          <w:rFonts w:ascii="Verdana" w:eastAsia="Verdana" w:hAnsi="Verdana" w:cs="Verdana"/>
          <w:b/>
          <w:bCs/>
          <w:spacing w:val="-4"/>
          <w:sz w:val="20"/>
          <w:szCs w:val="20"/>
          <w:lang w:val="es-CR"/>
        </w:rPr>
        <w:t xml:space="preserve">RESUELVE: </w:t>
      </w:r>
    </w:p>
    <w:p w14:paraId="1C0B2645" w14:textId="77777777" w:rsidR="009B20E5" w:rsidRPr="00C2549C" w:rsidRDefault="009B20E5" w:rsidP="009B20E5">
      <w:pPr>
        <w:jc w:val="both"/>
        <w:rPr>
          <w:rFonts w:ascii="Verdana" w:eastAsia="Calibri" w:hAnsi="Verdana" w:cs="Verdana"/>
          <w:color w:val="000000"/>
          <w:spacing w:val="-4"/>
          <w:sz w:val="20"/>
          <w:szCs w:val="20"/>
          <w:lang w:val="es-CR"/>
        </w:rPr>
      </w:pPr>
    </w:p>
    <w:p w14:paraId="72C7DFA8" w14:textId="77777777" w:rsidR="009B20E5" w:rsidRPr="0088492D" w:rsidRDefault="009B20E5" w:rsidP="009B20E5">
      <w:pPr>
        <w:pStyle w:val="Prrafodelista"/>
        <w:spacing w:after="0" w:line="240" w:lineRule="auto"/>
        <w:ind w:left="0"/>
        <w:jc w:val="both"/>
        <w:rPr>
          <w:rFonts w:ascii="Verdana" w:hAnsi="Verdana"/>
          <w:spacing w:val="-4"/>
          <w:sz w:val="20"/>
          <w:szCs w:val="20"/>
          <w:lang w:val="es-CR"/>
        </w:rPr>
      </w:pPr>
      <w:r w:rsidRPr="00C2549C">
        <w:rPr>
          <w:rFonts w:ascii="Verdana" w:hAnsi="Verdana"/>
          <w:spacing w:val="-4"/>
          <w:sz w:val="20"/>
          <w:szCs w:val="20"/>
          <w:lang w:val="es-CR"/>
        </w:rPr>
        <w:t>1.</w:t>
      </w:r>
      <w:r w:rsidRPr="00C2549C">
        <w:rPr>
          <w:rFonts w:ascii="Verdana" w:hAnsi="Verdana"/>
          <w:spacing w:val="-4"/>
          <w:sz w:val="20"/>
          <w:szCs w:val="20"/>
          <w:lang w:val="es-CR"/>
        </w:rPr>
        <w:tab/>
        <w:t xml:space="preserve">Requerir al Estado que disponga la continuación de la ejecución de su pena bajo la forma de arresto o detención domiciliaria de </w:t>
      </w:r>
      <w:r w:rsidRPr="00C2549C">
        <w:rPr>
          <w:rFonts w:ascii="Verdana" w:hAnsi="Verdana"/>
          <w:spacing w:val="-4"/>
          <w:sz w:val="20"/>
          <w:szCs w:val="20"/>
          <w:lang w:val="es-AR"/>
        </w:rPr>
        <w:t xml:space="preserve">Margot Lourdes Liendo Gil, Osman Roberto Morote Barrionuevo, Arturo Chumpitaz Aguirre, Atilio Richard Cahuana </w:t>
      </w:r>
      <w:proofErr w:type="spellStart"/>
      <w:r w:rsidRPr="00C2549C">
        <w:rPr>
          <w:rFonts w:ascii="Verdana" w:hAnsi="Verdana"/>
          <w:spacing w:val="-4"/>
          <w:sz w:val="20"/>
          <w:szCs w:val="20"/>
          <w:lang w:val="es-AR"/>
        </w:rPr>
        <w:t>Yuyali</w:t>
      </w:r>
      <w:proofErr w:type="spellEnd"/>
      <w:r w:rsidRPr="00C2549C">
        <w:rPr>
          <w:rFonts w:ascii="Verdana" w:hAnsi="Verdana"/>
          <w:spacing w:val="-4"/>
          <w:sz w:val="20"/>
          <w:szCs w:val="20"/>
          <w:lang w:val="es-AR"/>
        </w:rPr>
        <w:t xml:space="preserve"> y Juan Alonso Aranda Company, por el tiempo en que permanezca el riesgo para sus vidas</w:t>
      </w:r>
      <w:r>
        <w:rPr>
          <w:rFonts w:ascii="Verdana" w:hAnsi="Verdana"/>
          <w:spacing w:val="-4"/>
          <w:sz w:val="20"/>
          <w:szCs w:val="20"/>
          <w:lang w:val="es-AR"/>
        </w:rPr>
        <w:t>,</w:t>
      </w:r>
      <w:r w:rsidRPr="00C2549C">
        <w:rPr>
          <w:rFonts w:ascii="Verdana" w:hAnsi="Verdana"/>
          <w:spacing w:val="-4"/>
          <w:sz w:val="20"/>
          <w:szCs w:val="20"/>
          <w:lang w:val="es-AR"/>
        </w:rPr>
        <w:t xml:space="preserve"> en razón de la actual pandemia, </w:t>
      </w:r>
      <w:r w:rsidRPr="0088492D">
        <w:rPr>
          <w:rFonts w:ascii="Verdana" w:hAnsi="Verdana"/>
          <w:spacing w:val="-4"/>
          <w:sz w:val="20"/>
          <w:szCs w:val="20"/>
          <w:lang w:val="es-AR"/>
        </w:rPr>
        <w:t>con los controles médicos, seguridades y protocolos detallados en el párrafo 3</w:t>
      </w:r>
      <w:r>
        <w:rPr>
          <w:rFonts w:ascii="Verdana" w:hAnsi="Verdana"/>
          <w:spacing w:val="-4"/>
          <w:sz w:val="20"/>
          <w:szCs w:val="20"/>
          <w:lang w:val="es-AR"/>
        </w:rPr>
        <w:t>8</w:t>
      </w:r>
      <w:r w:rsidRPr="0088492D">
        <w:rPr>
          <w:rFonts w:ascii="Verdana" w:hAnsi="Verdana"/>
          <w:spacing w:val="-4"/>
          <w:sz w:val="20"/>
          <w:szCs w:val="20"/>
          <w:lang w:val="es-AR"/>
        </w:rPr>
        <w:t xml:space="preserve">. </w:t>
      </w:r>
    </w:p>
    <w:p w14:paraId="78DC31E1" w14:textId="77777777" w:rsidR="009B20E5" w:rsidRPr="00C2549C" w:rsidRDefault="009B20E5" w:rsidP="009B20E5">
      <w:pPr>
        <w:jc w:val="both"/>
        <w:rPr>
          <w:rFonts w:ascii="Verdana" w:eastAsia="Verdana" w:hAnsi="Verdana" w:cs="Verdana"/>
          <w:spacing w:val="-4"/>
          <w:sz w:val="20"/>
          <w:szCs w:val="20"/>
          <w:highlight w:val="yellow"/>
          <w:lang w:val="es-CR"/>
        </w:rPr>
      </w:pPr>
    </w:p>
    <w:p w14:paraId="32727CB3"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r w:rsidRPr="00C2549C">
        <w:rPr>
          <w:rFonts w:ascii="Verdana" w:eastAsia="Verdana" w:hAnsi="Verdana" w:cs="Verdana"/>
          <w:spacing w:val="-4"/>
          <w:sz w:val="20"/>
          <w:szCs w:val="20"/>
          <w:lang w:val="es-CR"/>
        </w:rPr>
        <w:lastRenderedPageBreak/>
        <w:t>2.</w:t>
      </w:r>
      <w:r w:rsidRPr="00C2549C">
        <w:rPr>
          <w:rFonts w:ascii="Verdana" w:eastAsia="Verdana" w:hAnsi="Verdana" w:cs="Verdana"/>
          <w:spacing w:val="-4"/>
          <w:sz w:val="20"/>
          <w:szCs w:val="20"/>
          <w:lang w:val="es-CR"/>
        </w:rPr>
        <w:tab/>
        <w:t xml:space="preserve">Disponer que la Secretaría de la Corte notifique la presente Resolución al Estado, </w:t>
      </w:r>
      <w:r w:rsidRPr="00E43614">
        <w:rPr>
          <w:rFonts w:ascii="Verdana" w:eastAsia="Verdana" w:hAnsi="Verdana" w:cs="Verdana"/>
          <w:spacing w:val="-4"/>
          <w:sz w:val="20"/>
          <w:szCs w:val="20"/>
          <w:lang w:val="es-CR"/>
        </w:rPr>
        <w:t>al interviniente común que presentó la solicitud</w:t>
      </w:r>
      <w:r w:rsidRPr="00395069">
        <w:rPr>
          <w:rFonts w:ascii="Verdana" w:eastAsia="Verdana" w:hAnsi="Verdana" w:cs="Verdana"/>
          <w:spacing w:val="-4"/>
          <w:sz w:val="20"/>
          <w:szCs w:val="20"/>
          <w:lang w:val="es-CR"/>
        </w:rPr>
        <w:t xml:space="preserve"> y a la Comisión Interamericana.</w:t>
      </w:r>
    </w:p>
    <w:p w14:paraId="6D26B185" w14:textId="6DDBDB83"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00753B00"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2C650FE5"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3C1F9411"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22802748"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296FC1E2"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3F6DD4F1" w14:textId="77777777" w:rsidR="009B20E5" w:rsidRDefault="009B20E5" w:rsidP="009B20E5">
      <w:pPr>
        <w:pStyle w:val="Prrafodelista"/>
        <w:spacing w:after="0" w:line="240" w:lineRule="auto"/>
        <w:ind w:left="0"/>
        <w:jc w:val="both"/>
        <w:rPr>
          <w:rFonts w:ascii="Verdana" w:eastAsia="Verdana" w:hAnsi="Verdana" w:cs="Verdana"/>
          <w:spacing w:val="-4"/>
          <w:sz w:val="20"/>
          <w:szCs w:val="20"/>
          <w:lang w:val="es-CR"/>
        </w:rPr>
      </w:pPr>
    </w:p>
    <w:p w14:paraId="738EF338" w14:textId="77777777" w:rsidR="009B20E5" w:rsidRDefault="009B20E5" w:rsidP="009B20E5">
      <w:pPr>
        <w:pStyle w:val="Prrafodelista"/>
        <w:spacing w:after="0" w:line="240" w:lineRule="auto"/>
        <w:ind w:left="5664"/>
        <w:jc w:val="center"/>
        <w:rPr>
          <w:rFonts w:ascii="Verdana" w:hAnsi="Verdana"/>
          <w:sz w:val="20"/>
          <w:szCs w:val="20"/>
          <w:lang w:val="pt-BR"/>
        </w:rPr>
      </w:pPr>
      <w:r>
        <w:rPr>
          <w:rFonts w:ascii="Verdana" w:hAnsi="Verdana"/>
          <w:sz w:val="20"/>
          <w:szCs w:val="20"/>
          <w:lang w:val="pt-BR"/>
        </w:rPr>
        <w:t>L. Patricio Pazmiño Freire</w:t>
      </w:r>
    </w:p>
    <w:p w14:paraId="4E15AB19" w14:textId="3A9FB83C" w:rsidR="009B20E5" w:rsidRDefault="009B20E5" w:rsidP="009B20E5">
      <w:pPr>
        <w:pStyle w:val="Prrafodelista"/>
        <w:spacing w:after="0" w:line="240" w:lineRule="auto"/>
        <w:ind w:left="5664"/>
        <w:jc w:val="center"/>
        <w:rPr>
          <w:rFonts w:ascii="Verdana" w:hAnsi="Verdana"/>
          <w:sz w:val="20"/>
          <w:szCs w:val="20"/>
          <w:lang w:val="pt-BR"/>
        </w:rPr>
      </w:pPr>
      <w:proofErr w:type="spellStart"/>
      <w:r>
        <w:rPr>
          <w:rFonts w:ascii="Verdana" w:hAnsi="Verdana"/>
          <w:sz w:val="20"/>
          <w:szCs w:val="20"/>
          <w:lang w:val="pt-BR"/>
        </w:rPr>
        <w:t>Juez</w:t>
      </w:r>
      <w:proofErr w:type="spellEnd"/>
    </w:p>
    <w:p w14:paraId="1C6BB94E" w14:textId="6BB0A134" w:rsidR="009B20E5" w:rsidRDefault="009B20E5" w:rsidP="009B20E5">
      <w:pPr>
        <w:pStyle w:val="Prrafodelista"/>
        <w:spacing w:after="0" w:line="240" w:lineRule="auto"/>
        <w:ind w:left="5664"/>
        <w:jc w:val="center"/>
        <w:rPr>
          <w:rFonts w:ascii="Verdana" w:hAnsi="Verdana"/>
          <w:sz w:val="20"/>
          <w:szCs w:val="20"/>
          <w:lang w:val="pt-BR"/>
        </w:rPr>
      </w:pPr>
    </w:p>
    <w:p w14:paraId="722526BF" w14:textId="164C6C18" w:rsidR="009B20E5" w:rsidRDefault="009B20E5" w:rsidP="009B20E5">
      <w:pPr>
        <w:pStyle w:val="Prrafodelista"/>
        <w:spacing w:after="0" w:line="240" w:lineRule="auto"/>
        <w:ind w:left="5664"/>
        <w:jc w:val="center"/>
        <w:rPr>
          <w:rFonts w:ascii="Verdana" w:hAnsi="Verdana"/>
          <w:sz w:val="20"/>
          <w:szCs w:val="20"/>
          <w:lang w:val="pt-BR"/>
        </w:rPr>
      </w:pPr>
    </w:p>
    <w:p w14:paraId="54DDEB09" w14:textId="77777777" w:rsidR="009B20E5" w:rsidRDefault="009B20E5" w:rsidP="009B20E5">
      <w:pPr>
        <w:pStyle w:val="Prrafodelista"/>
        <w:spacing w:after="0" w:line="240" w:lineRule="auto"/>
        <w:ind w:left="5664"/>
        <w:jc w:val="center"/>
        <w:rPr>
          <w:rFonts w:ascii="Verdana" w:eastAsia="Verdana" w:hAnsi="Verdana" w:cs="Verdana"/>
          <w:spacing w:val="-4"/>
          <w:sz w:val="20"/>
          <w:szCs w:val="20"/>
          <w:lang w:val="es-CR"/>
        </w:rPr>
        <w:sectPr w:rsidR="009B20E5" w:rsidSect="009B20E5">
          <w:headerReference w:type="default" r:id="rId10"/>
          <w:footerReference w:type="default" r:id="rId11"/>
          <w:footnotePr>
            <w:numRestart w:val="eachSect"/>
          </w:footnotePr>
          <w:pgSz w:w="11906" w:h="16838"/>
          <w:pgMar w:top="1417" w:right="1701" w:bottom="1417" w:left="1701" w:header="708" w:footer="708" w:gutter="0"/>
          <w:cols w:space="708"/>
          <w:docGrid w:linePitch="360"/>
        </w:sectPr>
      </w:pPr>
    </w:p>
    <w:p w14:paraId="7D7ED864" w14:textId="77777777" w:rsidR="003C0CFF" w:rsidRPr="00395069" w:rsidRDefault="003C0CFF" w:rsidP="003C0CFF">
      <w:pPr>
        <w:autoSpaceDE w:val="0"/>
        <w:autoSpaceDN w:val="0"/>
        <w:adjustRightInd w:val="0"/>
        <w:jc w:val="center"/>
        <w:rPr>
          <w:rFonts w:ascii="Verdana" w:hAnsi="Verdana" w:cs="Arial"/>
          <w:b/>
          <w:bCs/>
          <w:color w:val="000000"/>
          <w:spacing w:val="-4"/>
          <w:sz w:val="20"/>
          <w:szCs w:val="20"/>
          <w:lang w:val="es-CR"/>
        </w:rPr>
      </w:pPr>
    </w:p>
    <w:p w14:paraId="064062C7" w14:textId="77777777" w:rsidR="003C0CFF" w:rsidRPr="00072A39" w:rsidRDefault="003C0CFF" w:rsidP="003C0CFF">
      <w:pPr>
        <w:autoSpaceDE w:val="0"/>
        <w:autoSpaceDN w:val="0"/>
        <w:adjustRightInd w:val="0"/>
        <w:jc w:val="center"/>
        <w:rPr>
          <w:rFonts w:ascii="Verdana" w:hAnsi="Verdana" w:cs="Arial"/>
          <w:b/>
          <w:bCs/>
          <w:color w:val="000000"/>
          <w:spacing w:val="-4"/>
          <w:sz w:val="20"/>
          <w:szCs w:val="20"/>
          <w:lang w:val="es-CR"/>
        </w:rPr>
      </w:pPr>
      <w:r w:rsidRPr="00072A39">
        <w:rPr>
          <w:rFonts w:ascii="Verdana" w:hAnsi="Verdana" w:cs="Arial"/>
          <w:b/>
          <w:bCs/>
          <w:color w:val="000000"/>
          <w:spacing w:val="-4"/>
          <w:sz w:val="20"/>
          <w:szCs w:val="20"/>
          <w:lang w:val="es-CR"/>
        </w:rPr>
        <w:t>VOTO DISIDENTE DEL JUEZ EUGENIO RAÚL ZAFFARONI</w:t>
      </w:r>
    </w:p>
    <w:p w14:paraId="6F1A15E0" w14:textId="77777777" w:rsidR="003C0CFF" w:rsidRPr="00072A39" w:rsidRDefault="003C0CFF" w:rsidP="003C0CFF">
      <w:pPr>
        <w:autoSpaceDE w:val="0"/>
        <w:autoSpaceDN w:val="0"/>
        <w:adjustRightInd w:val="0"/>
        <w:rPr>
          <w:rFonts w:ascii="Verdana" w:hAnsi="Verdana" w:cs="Arial"/>
          <w:bCs/>
          <w:color w:val="000000"/>
          <w:spacing w:val="-4"/>
          <w:sz w:val="20"/>
          <w:szCs w:val="20"/>
          <w:lang w:val="es-CR"/>
        </w:rPr>
      </w:pPr>
    </w:p>
    <w:p w14:paraId="56C62B4F" w14:textId="77777777" w:rsidR="003C0CFF" w:rsidRPr="00072A39" w:rsidRDefault="003C0CFF" w:rsidP="003C0CFF">
      <w:pPr>
        <w:autoSpaceDE w:val="0"/>
        <w:autoSpaceDN w:val="0"/>
        <w:adjustRightInd w:val="0"/>
        <w:jc w:val="center"/>
        <w:rPr>
          <w:rFonts w:ascii="Verdana" w:hAnsi="Verdana" w:cs="Arial"/>
          <w:b/>
          <w:bCs/>
          <w:i/>
          <w:color w:val="000000"/>
          <w:spacing w:val="-4"/>
          <w:sz w:val="20"/>
          <w:szCs w:val="20"/>
          <w:lang w:val="es-CR"/>
        </w:rPr>
      </w:pPr>
      <w:r w:rsidRPr="00072A39">
        <w:rPr>
          <w:rFonts w:ascii="Verdana" w:hAnsi="Verdana" w:cs="Arial"/>
          <w:b/>
          <w:bCs/>
          <w:color w:val="000000"/>
          <w:spacing w:val="-4"/>
          <w:sz w:val="20"/>
          <w:szCs w:val="20"/>
          <w:lang w:val="es-CR"/>
        </w:rPr>
        <w:t xml:space="preserve">RESPECTO DE LA SOLICITUD DE MEDIDAS PROVISIONALES PRESENTADA EN EL </w:t>
      </w:r>
      <w:r w:rsidRPr="00072A39">
        <w:rPr>
          <w:rFonts w:ascii="Verdana" w:hAnsi="Verdana" w:cs="Arial"/>
          <w:b/>
          <w:bCs/>
          <w:i/>
          <w:color w:val="000000"/>
          <w:spacing w:val="-4"/>
          <w:sz w:val="20"/>
          <w:szCs w:val="20"/>
          <w:lang w:val="es-CR"/>
        </w:rPr>
        <w:t xml:space="preserve">CASO DEL PENAL MIGUEL CASTRO </w:t>
      </w:r>
      <w:proofErr w:type="spellStart"/>
      <w:r w:rsidRPr="00072A39">
        <w:rPr>
          <w:rFonts w:ascii="Verdana" w:hAnsi="Verdana" w:cs="Arial"/>
          <w:b/>
          <w:bCs/>
          <w:i/>
          <w:color w:val="000000"/>
          <w:spacing w:val="-4"/>
          <w:sz w:val="20"/>
          <w:szCs w:val="20"/>
          <w:lang w:val="es-CR"/>
        </w:rPr>
        <w:t>CASTRO</w:t>
      </w:r>
      <w:proofErr w:type="spellEnd"/>
      <w:r w:rsidRPr="00072A39">
        <w:rPr>
          <w:rFonts w:ascii="Verdana" w:hAnsi="Verdana" w:cs="Arial"/>
          <w:b/>
          <w:bCs/>
          <w:i/>
          <w:color w:val="000000"/>
          <w:spacing w:val="-4"/>
          <w:sz w:val="20"/>
          <w:szCs w:val="20"/>
          <w:lang w:val="es-CR"/>
        </w:rPr>
        <w:t xml:space="preserve"> VS. PERÚ</w:t>
      </w:r>
    </w:p>
    <w:p w14:paraId="0B785623" w14:textId="77777777" w:rsidR="003C0CFF" w:rsidRPr="00072A39" w:rsidRDefault="003C0CFF" w:rsidP="003C0CFF">
      <w:pPr>
        <w:autoSpaceDE w:val="0"/>
        <w:autoSpaceDN w:val="0"/>
        <w:adjustRightInd w:val="0"/>
        <w:jc w:val="center"/>
        <w:rPr>
          <w:rFonts w:ascii="Verdana" w:hAnsi="Verdana" w:cs="Arial"/>
          <w:b/>
          <w:bCs/>
          <w:i/>
          <w:color w:val="000000"/>
          <w:spacing w:val="-4"/>
          <w:sz w:val="20"/>
          <w:szCs w:val="20"/>
          <w:lang w:val="es-CR"/>
        </w:rPr>
      </w:pPr>
    </w:p>
    <w:p w14:paraId="228D276D" w14:textId="77777777" w:rsidR="003C0CFF" w:rsidRPr="00072A39" w:rsidRDefault="003C0CFF" w:rsidP="003C0CFF">
      <w:pPr>
        <w:autoSpaceDE w:val="0"/>
        <w:autoSpaceDN w:val="0"/>
        <w:adjustRightInd w:val="0"/>
        <w:jc w:val="both"/>
        <w:rPr>
          <w:rFonts w:ascii="Verdana" w:hAnsi="Verdana" w:cs="Arial"/>
          <w:b/>
          <w:bCs/>
          <w:color w:val="000000"/>
          <w:spacing w:val="-4"/>
          <w:sz w:val="20"/>
          <w:szCs w:val="20"/>
          <w:lang w:val="es-CR"/>
        </w:rPr>
      </w:pPr>
    </w:p>
    <w:p w14:paraId="1C2E489B" w14:textId="77777777" w:rsidR="003C0CFF" w:rsidRPr="00072A39" w:rsidRDefault="003C0CFF" w:rsidP="003C0CFF">
      <w:pPr>
        <w:autoSpaceDE w:val="0"/>
        <w:autoSpaceDN w:val="0"/>
        <w:adjustRightInd w:val="0"/>
        <w:jc w:val="both"/>
        <w:rPr>
          <w:rFonts w:ascii="Verdana" w:hAnsi="Verdana"/>
          <w:color w:val="000000"/>
          <w:sz w:val="20"/>
          <w:szCs w:val="20"/>
          <w:shd w:val="clear" w:color="auto" w:fill="FFFFFF"/>
        </w:rPr>
      </w:pPr>
      <w:r w:rsidRPr="00072A39">
        <w:rPr>
          <w:rFonts w:ascii="Verdana" w:hAnsi="Verdana"/>
          <w:color w:val="000000"/>
          <w:sz w:val="20"/>
          <w:szCs w:val="20"/>
          <w:shd w:val="clear" w:color="auto" w:fill="FFFFFF"/>
        </w:rPr>
        <w:t xml:space="preserve">Disiento con el criterio de mayoría, debido a que considero que la Corte debió ordenar medidas provisionales, en los términos de los artículos 63.2 de la Convención Americana y 27 de su Reglamento, a favor de las cinco víctimas para las cuales se planteó la solicitud. Toda vez que estas cinco personas se encuentran ante una situación de urgencia, gravedad y eventual </w:t>
      </w:r>
      <w:proofErr w:type="spellStart"/>
      <w:r w:rsidRPr="00072A39">
        <w:rPr>
          <w:rFonts w:ascii="Verdana" w:hAnsi="Verdana"/>
          <w:color w:val="000000"/>
          <w:sz w:val="20"/>
          <w:szCs w:val="20"/>
          <w:shd w:val="clear" w:color="auto" w:fill="FFFFFF"/>
        </w:rPr>
        <w:t>irreparabilidad</w:t>
      </w:r>
      <w:proofErr w:type="spellEnd"/>
      <w:r w:rsidRPr="00072A39">
        <w:rPr>
          <w:rFonts w:ascii="Verdana" w:hAnsi="Verdana"/>
          <w:color w:val="000000"/>
          <w:sz w:val="20"/>
          <w:szCs w:val="20"/>
          <w:shd w:val="clear" w:color="auto" w:fill="FFFFFF"/>
        </w:rPr>
        <w:t>, si no se toman medidas concretas. A mi modo de ver, las partes considerativas y resolutivas de la Resolución debieron indicar lo siguiente:</w:t>
      </w:r>
    </w:p>
    <w:p w14:paraId="36A42B24" w14:textId="77777777" w:rsidR="003C0CFF" w:rsidRPr="00E73E9E" w:rsidRDefault="003C0CFF" w:rsidP="003C0CFF">
      <w:pPr>
        <w:autoSpaceDE w:val="0"/>
        <w:autoSpaceDN w:val="0"/>
        <w:adjustRightInd w:val="0"/>
        <w:jc w:val="both"/>
        <w:rPr>
          <w:rFonts w:ascii="Verdana" w:eastAsiaTheme="minorHAnsi" w:hAnsi="Verdana" w:cs="Verdana"/>
          <w:color w:val="000000"/>
          <w:spacing w:val="-4"/>
          <w:sz w:val="20"/>
          <w:szCs w:val="20"/>
          <w:lang w:val="es-ES"/>
        </w:rPr>
      </w:pPr>
    </w:p>
    <w:p w14:paraId="5317CCD5" w14:textId="77777777" w:rsidR="003C0CFF" w:rsidRPr="00072A39" w:rsidRDefault="003C0CFF" w:rsidP="003C0CFF">
      <w:pPr>
        <w:pStyle w:val="Prrafodelista"/>
        <w:numPr>
          <w:ilvl w:val="0"/>
          <w:numId w:val="29"/>
        </w:numPr>
        <w:jc w:val="both"/>
        <w:rPr>
          <w:rFonts w:ascii="Verdana" w:hAnsi="Verdana"/>
          <w:b/>
          <w:i/>
          <w:spacing w:val="-4"/>
          <w:sz w:val="20"/>
          <w:szCs w:val="20"/>
          <w:lang w:val="es-CR"/>
        </w:rPr>
      </w:pPr>
      <w:r w:rsidRPr="00072A39">
        <w:rPr>
          <w:rFonts w:ascii="Verdana" w:hAnsi="Verdana"/>
          <w:b/>
          <w:i/>
          <w:spacing w:val="-4"/>
          <w:sz w:val="20"/>
          <w:szCs w:val="20"/>
          <w:lang w:val="es-CR"/>
        </w:rPr>
        <w:t>Consideraciones de la Corte respecto de la solicitud de medidas provisionales</w:t>
      </w:r>
    </w:p>
    <w:p w14:paraId="5319EF87" w14:textId="77777777" w:rsidR="003C0CFF" w:rsidRPr="00072A39" w:rsidRDefault="003C0CFF" w:rsidP="003C0CFF">
      <w:pPr>
        <w:pStyle w:val="Prrafodelista"/>
        <w:autoSpaceDE w:val="0"/>
        <w:autoSpaceDN w:val="0"/>
        <w:adjustRightInd w:val="0"/>
        <w:spacing w:after="0" w:line="240" w:lineRule="auto"/>
        <w:ind w:left="0"/>
        <w:jc w:val="both"/>
        <w:rPr>
          <w:rFonts w:ascii="Verdana" w:hAnsi="Verdana"/>
          <w:color w:val="00B050"/>
          <w:spacing w:val="-4"/>
          <w:sz w:val="8"/>
          <w:szCs w:val="20"/>
          <w:lang w:val="es-ES"/>
        </w:rPr>
      </w:pPr>
    </w:p>
    <w:p w14:paraId="2506FA51" w14:textId="77777777" w:rsidR="003C0CFF" w:rsidRPr="00B70AD3"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4C396F">
        <w:rPr>
          <w:rFonts w:ascii="Verdana" w:hAnsi="Verdana"/>
          <w:spacing w:val="-4"/>
          <w:sz w:val="20"/>
          <w:szCs w:val="20"/>
          <w:lang w:val="es-ES"/>
        </w:rPr>
        <w:t xml:space="preserve">La </w:t>
      </w:r>
      <w:r w:rsidRPr="004C396F">
        <w:rPr>
          <w:rFonts w:ascii="Verdana" w:hAnsi="Verdana" w:cs="Verdana"/>
          <w:color w:val="000000"/>
          <w:spacing w:val="-4"/>
          <w:sz w:val="20"/>
          <w:szCs w:val="20"/>
          <w:lang w:val="es-ES"/>
        </w:rPr>
        <w:t>solicitud</w:t>
      </w:r>
      <w:r w:rsidRPr="004C396F">
        <w:rPr>
          <w:rFonts w:ascii="Verdana" w:hAnsi="Verdana"/>
          <w:spacing w:val="-4"/>
          <w:sz w:val="20"/>
          <w:szCs w:val="20"/>
          <w:lang w:val="es-ES"/>
        </w:rPr>
        <w:t xml:space="preserve"> presentada busca proteger los derechos a la salud, a la integridad personal, y a la vida de “cuatro víctimas y un familiar” del </w:t>
      </w:r>
      <w:r w:rsidRPr="004C396F">
        <w:rPr>
          <w:rFonts w:ascii="Verdana" w:hAnsi="Verdana"/>
          <w:i/>
          <w:spacing w:val="-4"/>
          <w:sz w:val="20"/>
          <w:szCs w:val="20"/>
          <w:lang w:val="es-ES"/>
        </w:rPr>
        <w:t xml:space="preserve">caso Penal Miguel Castro </w:t>
      </w:r>
      <w:proofErr w:type="spellStart"/>
      <w:r w:rsidRPr="004C396F">
        <w:rPr>
          <w:rFonts w:ascii="Verdana" w:hAnsi="Verdana"/>
          <w:i/>
          <w:spacing w:val="-4"/>
          <w:sz w:val="20"/>
          <w:szCs w:val="20"/>
          <w:lang w:val="es-ES"/>
        </w:rPr>
        <w:t>Castro</w:t>
      </w:r>
      <w:proofErr w:type="spellEnd"/>
      <w:r w:rsidRPr="004C396F">
        <w:rPr>
          <w:rFonts w:ascii="Verdana" w:hAnsi="Verdana"/>
          <w:i/>
          <w:spacing w:val="-4"/>
          <w:sz w:val="20"/>
          <w:szCs w:val="20"/>
          <w:lang w:val="es-ES"/>
        </w:rPr>
        <w:t xml:space="preserve"> </w:t>
      </w:r>
      <w:r w:rsidRPr="004C396F">
        <w:rPr>
          <w:rFonts w:ascii="Verdana" w:hAnsi="Verdana"/>
          <w:spacing w:val="-4"/>
          <w:sz w:val="20"/>
          <w:szCs w:val="20"/>
          <w:lang w:val="es-ES"/>
        </w:rPr>
        <w:t xml:space="preserve">que se encuentran en tres establecimientos penales del Perú, a raíz de la supuesta falta de adopción de medidas adecuadas por parte del Estado en el marco de la pandemia de </w:t>
      </w:r>
      <w:r w:rsidRPr="00B70AD3">
        <w:rPr>
          <w:rFonts w:ascii="Verdana" w:hAnsi="Verdana"/>
          <w:spacing w:val="-4"/>
          <w:sz w:val="20"/>
          <w:szCs w:val="20"/>
          <w:lang w:val="es-ES"/>
        </w:rPr>
        <w:t>COVID-19. Dado que el caso se encuentra actualmente en etapa de supervisión de cumplimiento de Sentencia, fundamentan lo requerido en el artículo 27.3 del Reglamento del Tribunal en la relación de estos hechos con la medida de tratamiento médico y psicológico ordenada en la Sentencia (</w:t>
      </w:r>
      <w:r w:rsidRPr="00B70AD3">
        <w:rPr>
          <w:rFonts w:ascii="Verdana" w:hAnsi="Verdana"/>
          <w:i/>
          <w:spacing w:val="-4"/>
          <w:sz w:val="20"/>
          <w:szCs w:val="20"/>
          <w:lang w:val="es-ES"/>
        </w:rPr>
        <w:t xml:space="preserve">supra </w:t>
      </w:r>
      <w:r w:rsidRPr="00B70AD3">
        <w:rPr>
          <w:rFonts w:ascii="Verdana" w:hAnsi="Verdana"/>
          <w:spacing w:val="-4"/>
          <w:sz w:val="20"/>
          <w:szCs w:val="20"/>
          <w:lang w:val="es-ES"/>
        </w:rPr>
        <w:t xml:space="preserve">Considerando </w:t>
      </w:r>
      <w:r>
        <w:rPr>
          <w:rFonts w:ascii="Verdana" w:hAnsi="Verdana"/>
          <w:spacing w:val="-4"/>
          <w:sz w:val="20"/>
          <w:szCs w:val="20"/>
          <w:lang w:val="es-ES"/>
        </w:rPr>
        <w:t>2</w:t>
      </w:r>
      <w:r w:rsidRPr="00B70AD3">
        <w:rPr>
          <w:rFonts w:ascii="Verdana" w:hAnsi="Verdana"/>
          <w:spacing w:val="-4"/>
          <w:sz w:val="20"/>
          <w:szCs w:val="20"/>
          <w:lang w:val="es-ES"/>
        </w:rPr>
        <w:t xml:space="preserve"> de la Resolución).</w:t>
      </w:r>
    </w:p>
    <w:p w14:paraId="17BDBAF6" w14:textId="77777777" w:rsidR="003C0CFF" w:rsidRPr="00B70AD3"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ES"/>
        </w:rPr>
      </w:pPr>
    </w:p>
    <w:p w14:paraId="64BA386C" w14:textId="77777777" w:rsidR="003C0CFF" w:rsidRPr="00B70AD3"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B70AD3">
        <w:rPr>
          <w:rFonts w:ascii="Verdana" w:eastAsia="Verdana" w:hAnsi="Verdana" w:cs="Verdana"/>
          <w:spacing w:val="-4"/>
          <w:sz w:val="20"/>
          <w:szCs w:val="20"/>
          <w:lang w:val="es-CR"/>
        </w:rPr>
        <w:t xml:space="preserve">Este </w:t>
      </w:r>
      <w:r w:rsidRPr="00B70AD3">
        <w:rPr>
          <w:rFonts w:ascii="Verdana" w:hAnsi="Verdana"/>
          <w:spacing w:val="-4"/>
          <w:sz w:val="20"/>
          <w:szCs w:val="20"/>
          <w:lang w:val="es-ES"/>
        </w:rPr>
        <w:t>Tribunal</w:t>
      </w:r>
      <w:r w:rsidRPr="00B70AD3">
        <w:rPr>
          <w:rFonts w:ascii="Verdana" w:eastAsia="Verdana" w:hAnsi="Verdana" w:cs="Verdana"/>
          <w:spacing w:val="-4"/>
          <w:sz w:val="20"/>
          <w:szCs w:val="20"/>
          <w:lang w:val="es-CR"/>
        </w:rPr>
        <w:t xml:space="preserve"> considera que se configura el requisito previsto </w:t>
      </w:r>
      <w:r w:rsidRPr="00B70AD3">
        <w:rPr>
          <w:rFonts w:ascii="Verdana" w:eastAsia="Calibri" w:hAnsi="Verdana" w:cs="Verdana"/>
          <w:color w:val="000000"/>
          <w:spacing w:val="-4"/>
          <w:sz w:val="20"/>
          <w:szCs w:val="20"/>
          <w:lang w:val="es-CR"/>
        </w:rPr>
        <w:t xml:space="preserve">en el artículo 27.3 del Reglamento de la Corte </w:t>
      </w:r>
      <w:r w:rsidRPr="00B70AD3">
        <w:rPr>
          <w:rFonts w:ascii="Verdana" w:eastAsia="Verdana" w:hAnsi="Verdana" w:cs="Verdana"/>
          <w:spacing w:val="-4"/>
          <w:sz w:val="20"/>
          <w:szCs w:val="20"/>
          <w:lang w:val="es-CR"/>
        </w:rPr>
        <w:t>relativo a que la solicitud de las medidas provisionales tenga “relación con el objeto del caso”, en tanto se refiere a la ejecución de la medida de reparación ordenada en el punto resolutivo décimo tercero de la Sentencia respecto de cinco víctimas</w:t>
      </w:r>
      <w:r w:rsidRPr="00B70AD3">
        <w:rPr>
          <w:rStyle w:val="Refdenotaalpie"/>
          <w:rFonts w:eastAsia="Verdana" w:cs="Verdana"/>
          <w:spacing w:val="-4"/>
          <w:szCs w:val="20"/>
          <w:lang w:val="es-CR"/>
        </w:rPr>
        <w:footnoteReference w:id="110"/>
      </w:r>
      <w:r w:rsidRPr="00B70AD3">
        <w:rPr>
          <w:rFonts w:ascii="Verdana" w:eastAsia="Verdana" w:hAnsi="Verdana" w:cs="Verdana"/>
          <w:spacing w:val="-4"/>
          <w:sz w:val="20"/>
          <w:szCs w:val="20"/>
          <w:lang w:val="es-CR"/>
        </w:rPr>
        <w:t xml:space="preserve">. </w:t>
      </w:r>
    </w:p>
    <w:p w14:paraId="571364E5" w14:textId="77777777" w:rsidR="003C0CFF" w:rsidRPr="0006137A" w:rsidRDefault="003C0CFF" w:rsidP="003C0CFF">
      <w:pPr>
        <w:pStyle w:val="Prrafodelista"/>
        <w:rPr>
          <w:rFonts w:ascii="Verdana" w:eastAsia="Verdana" w:hAnsi="Verdana" w:cs="Verdana"/>
          <w:spacing w:val="-4"/>
          <w:sz w:val="20"/>
          <w:szCs w:val="20"/>
          <w:lang w:val="es-CR"/>
        </w:rPr>
      </w:pPr>
    </w:p>
    <w:p w14:paraId="1E1280FB" w14:textId="77777777" w:rsidR="003C0CFF" w:rsidRPr="009C7E1C"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06137A">
        <w:rPr>
          <w:rFonts w:ascii="Verdana" w:eastAsia="Verdana" w:hAnsi="Verdana" w:cs="Verdana"/>
          <w:spacing w:val="-4"/>
          <w:sz w:val="20"/>
          <w:szCs w:val="20"/>
          <w:lang w:val="es-CR"/>
        </w:rPr>
        <w:t xml:space="preserve">La Corte ha considerado, como regla general, que </w:t>
      </w:r>
      <w:r w:rsidRPr="0006137A">
        <w:rPr>
          <w:rFonts w:ascii="Verdana" w:hAnsi="Verdana"/>
          <w:spacing w:val="-4"/>
          <w:sz w:val="20"/>
          <w:szCs w:val="20"/>
          <w:lang w:val="es-AR"/>
        </w:rPr>
        <w:t xml:space="preserve">la valoración de información relacionada con el cumplimiento de medidas de reparación ordenadas en la </w:t>
      </w:r>
      <w:r w:rsidRPr="0006137A">
        <w:rPr>
          <w:rFonts w:ascii="Verdana" w:eastAsia="Verdana" w:hAnsi="Verdana" w:cs="Verdana"/>
          <w:spacing w:val="-4"/>
          <w:sz w:val="20"/>
          <w:szCs w:val="20"/>
          <w:lang w:val="es-CR"/>
        </w:rPr>
        <w:t>Sentencia</w:t>
      </w:r>
      <w:r w:rsidRPr="0006137A">
        <w:rPr>
          <w:rFonts w:ascii="Verdana" w:hAnsi="Verdana"/>
          <w:spacing w:val="-4"/>
          <w:sz w:val="20"/>
          <w:szCs w:val="20"/>
          <w:lang w:val="es-AR"/>
        </w:rPr>
        <w:t xml:space="preserve"> debe ser evaluada en el marco de la supervisión de cumplimiento de Sentencia. Así lo ha entendido en múltiples casos</w:t>
      </w:r>
      <w:r w:rsidRPr="003F0B58">
        <w:rPr>
          <w:rStyle w:val="Refdenotaalpie"/>
          <w:spacing w:val="-4"/>
          <w:sz w:val="20"/>
          <w:szCs w:val="20"/>
        </w:rPr>
        <w:footnoteReference w:id="111"/>
      </w:r>
      <w:r w:rsidRPr="0006137A">
        <w:rPr>
          <w:rFonts w:ascii="Verdana" w:hAnsi="Verdana"/>
          <w:spacing w:val="-4"/>
          <w:sz w:val="20"/>
          <w:szCs w:val="20"/>
          <w:lang w:val="es-AR"/>
        </w:rPr>
        <w:t xml:space="preserve">. Sin embargo, de forma excepcional ha adoptado </w:t>
      </w:r>
      <w:r w:rsidRPr="0006137A">
        <w:rPr>
          <w:rFonts w:ascii="Verdana" w:hAnsi="Verdana"/>
          <w:spacing w:val="-4"/>
          <w:sz w:val="20"/>
          <w:szCs w:val="20"/>
          <w:lang w:val="es-AR"/>
        </w:rPr>
        <w:lastRenderedPageBreak/>
        <w:t>medidas provisionales ante condiciones de particular gravedad</w:t>
      </w:r>
      <w:r w:rsidRPr="003F0B58">
        <w:rPr>
          <w:rStyle w:val="Refdenotaalpie"/>
          <w:spacing w:val="-4"/>
        </w:rPr>
        <w:footnoteReference w:id="112"/>
      </w:r>
      <w:r w:rsidRPr="0006137A">
        <w:rPr>
          <w:rFonts w:ascii="Verdana" w:hAnsi="Verdana"/>
          <w:spacing w:val="-4"/>
          <w:sz w:val="20"/>
          <w:szCs w:val="20"/>
          <w:lang w:val="es-AR"/>
        </w:rPr>
        <w:t xml:space="preserve">. En este caso, el Tribunal estima que se configuran condiciones excepcionales que ameritan proceder a examinar si se cumplen los requisitos para la adopción de medidas provisionales al constatar que se trata de alegados hechos relativos a la falta de atención médica adecuada de las referidas cinco víctimas, quienes se encuentran privadas de su libertad en centros penitenciarios, lo cual, en el contexto generado por la pandemia de la enfermedad denominada COVID-19, pondría en mayor riesgo su salud, integridad personal y vida. La situación descrita en la solicitud podría ameritar la adopción de medidas a favor de personas en situación de vulnerabilidad, como lo son las personas privadas de la libertad y las personas mayores, la cual se ve incrementada por la pandemia y que, consecuentemente, amerita particular protección por el Estado. Así lo hizo notar la Corte en su </w:t>
      </w:r>
      <w:r w:rsidRPr="0006137A">
        <w:rPr>
          <w:rFonts w:ascii="Verdana" w:hAnsi="Verdana" w:cs="Calibri"/>
          <w:spacing w:val="-4"/>
          <w:sz w:val="20"/>
          <w:szCs w:val="20"/>
          <w:lang w:val="es-MX"/>
        </w:rPr>
        <w:t xml:space="preserve">Declaración No. 1/20 titulada </w:t>
      </w:r>
      <w:r w:rsidRPr="0006137A">
        <w:rPr>
          <w:rFonts w:ascii="Verdana" w:hAnsi="Verdana" w:cs="Calibri"/>
          <w:i/>
          <w:iCs/>
          <w:spacing w:val="-4"/>
          <w:sz w:val="20"/>
          <w:szCs w:val="20"/>
          <w:lang w:val="es-MX"/>
        </w:rPr>
        <w:t>“</w:t>
      </w:r>
      <w:r w:rsidRPr="0006137A">
        <w:rPr>
          <w:rFonts w:ascii="Verdana" w:hAnsi="Verdana" w:cs="Calibri"/>
          <w:i/>
          <w:iCs/>
          <w:spacing w:val="-4"/>
          <w:sz w:val="20"/>
          <w:szCs w:val="20"/>
          <w:lang w:val="es-CR"/>
        </w:rPr>
        <w:t>COVID-19 y Derechos Humanos: los problemas y desafíos deben ser abordados con perspectiva de derechos humanos y respetando las obligaciones internacionales”</w:t>
      </w:r>
      <w:r w:rsidRPr="003F0B58">
        <w:rPr>
          <w:rStyle w:val="Refdenotaalpie"/>
          <w:rFonts w:cs="Calibri"/>
          <w:spacing w:val="-4"/>
          <w:szCs w:val="20"/>
          <w:lang w:val="es-CR"/>
        </w:rPr>
        <w:footnoteReference w:id="113"/>
      </w:r>
      <w:r w:rsidRPr="0006137A">
        <w:rPr>
          <w:rFonts w:ascii="Verdana" w:hAnsi="Verdana"/>
          <w:spacing w:val="-4"/>
          <w:sz w:val="20"/>
          <w:szCs w:val="20"/>
          <w:lang w:val="es-AR"/>
        </w:rPr>
        <w:t xml:space="preserve">. </w:t>
      </w:r>
      <w:r w:rsidRPr="0006137A">
        <w:rPr>
          <w:rFonts w:ascii="Verdana" w:hAnsi="Verdana"/>
          <w:spacing w:val="-4"/>
          <w:sz w:val="20"/>
          <w:szCs w:val="20"/>
          <w:lang w:val="es-CR"/>
        </w:rPr>
        <w:t>Esta situación de salud pública mundial, como es la pandemia del COVID-19, ha producido que los Estados adopten una serie de medidas para hacer frente a esta crisis, lo cual ha ocasionado la afectación de una serie de derechos en cuanto a su ejercicio y goce.</w:t>
      </w:r>
    </w:p>
    <w:p w14:paraId="46EAE437" w14:textId="77777777" w:rsidR="003C0CFF" w:rsidRPr="00E73E9E"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ES"/>
        </w:rPr>
      </w:pPr>
    </w:p>
    <w:p w14:paraId="3C41F350" w14:textId="77777777" w:rsidR="003C0CFF" w:rsidRPr="00075FDE"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E73E9E">
        <w:rPr>
          <w:rFonts w:ascii="Verdana" w:hAnsi="Verdana"/>
          <w:spacing w:val="-4"/>
          <w:sz w:val="20"/>
          <w:szCs w:val="20"/>
          <w:lang w:val="es-AR"/>
        </w:rPr>
        <w:t>Con respecto al argumento del Estado relativo a la existencia de una “duplicidad” de procedimientos ante el Sistema Interamericano (</w:t>
      </w:r>
      <w:r w:rsidRPr="00E73E9E">
        <w:rPr>
          <w:rFonts w:ascii="Verdana" w:hAnsi="Verdana"/>
          <w:i/>
          <w:spacing w:val="-4"/>
          <w:sz w:val="20"/>
          <w:szCs w:val="20"/>
          <w:lang w:val="es-AR"/>
        </w:rPr>
        <w:t xml:space="preserve">supra </w:t>
      </w:r>
      <w:r w:rsidRPr="00E73E9E">
        <w:rPr>
          <w:rFonts w:ascii="Verdana" w:hAnsi="Verdana"/>
          <w:spacing w:val="-4"/>
          <w:sz w:val="20"/>
          <w:szCs w:val="20"/>
          <w:lang w:val="es-AR"/>
        </w:rPr>
        <w:t>Considerando 16</w:t>
      </w:r>
      <w:r>
        <w:rPr>
          <w:rFonts w:ascii="Verdana" w:hAnsi="Verdana"/>
          <w:spacing w:val="-4"/>
          <w:sz w:val="20"/>
          <w:szCs w:val="20"/>
          <w:lang w:val="es-AR"/>
        </w:rPr>
        <w:t xml:space="preserve"> de la Resolución</w:t>
      </w:r>
      <w:r w:rsidRPr="00E73E9E">
        <w:rPr>
          <w:rFonts w:ascii="Verdana" w:hAnsi="Verdana"/>
          <w:spacing w:val="-4"/>
          <w:sz w:val="20"/>
          <w:szCs w:val="20"/>
          <w:lang w:val="es-AR"/>
        </w:rPr>
        <w:t xml:space="preserve">), esta Corte nota que </w:t>
      </w:r>
      <w:r w:rsidRPr="00E73E9E">
        <w:rPr>
          <w:rFonts w:ascii="Verdana" w:hAnsi="Verdana"/>
          <w:spacing w:val="-4"/>
          <w:sz w:val="20"/>
          <w:szCs w:val="20"/>
          <w:lang w:val="es-CR"/>
        </w:rPr>
        <w:t xml:space="preserve">la Comisión no ha indicado cuándo prevé resolver las solicitudes interpuestas </w:t>
      </w:r>
      <w:r w:rsidRPr="000846A4">
        <w:rPr>
          <w:rFonts w:ascii="Verdana" w:hAnsi="Verdana"/>
          <w:spacing w:val="-4"/>
          <w:sz w:val="20"/>
          <w:szCs w:val="20"/>
          <w:lang w:val="es-CR"/>
        </w:rPr>
        <w:t>(</w:t>
      </w:r>
      <w:r w:rsidRPr="000846A4">
        <w:rPr>
          <w:rFonts w:ascii="Verdana" w:hAnsi="Verdana"/>
          <w:i/>
          <w:iCs/>
          <w:spacing w:val="-4"/>
          <w:sz w:val="20"/>
          <w:szCs w:val="20"/>
          <w:lang w:val="es-CR"/>
        </w:rPr>
        <w:t xml:space="preserve">supra </w:t>
      </w:r>
      <w:r w:rsidRPr="000846A4">
        <w:rPr>
          <w:rFonts w:ascii="Verdana" w:hAnsi="Verdana"/>
          <w:spacing w:val="-4"/>
          <w:sz w:val="20"/>
          <w:szCs w:val="20"/>
          <w:lang w:val="es-CR"/>
        </w:rPr>
        <w:t>Considerando 18 de la Resolución).</w:t>
      </w:r>
      <w:r w:rsidRPr="00E73E9E">
        <w:rPr>
          <w:rFonts w:ascii="Verdana" w:hAnsi="Verdana"/>
          <w:spacing w:val="-4"/>
          <w:sz w:val="20"/>
          <w:szCs w:val="20"/>
          <w:lang w:val="es-CR"/>
        </w:rPr>
        <w:t xml:space="preserve"> En consecuencia, por la alegada urgencia de la situación, y tomando en cuenta que la presente solicitud de medidas provisionales versa sobre personas que son víctimas de un caso ante la Corte, este Tribunal considera pertinente pronunciarse.</w:t>
      </w:r>
    </w:p>
    <w:p w14:paraId="49201C07" w14:textId="77777777" w:rsidR="003C0CFF"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ES"/>
        </w:rPr>
      </w:pPr>
    </w:p>
    <w:p w14:paraId="6FE01BD2" w14:textId="77777777" w:rsidR="003C0CFF"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075FDE">
        <w:rPr>
          <w:rFonts w:ascii="Verdana" w:hAnsi="Verdana"/>
          <w:spacing w:val="-4"/>
          <w:sz w:val="20"/>
          <w:szCs w:val="20"/>
          <w:lang w:val="es-AR"/>
        </w:rPr>
        <w:t>Seguidamente</w:t>
      </w:r>
      <w:r w:rsidRPr="00075FDE">
        <w:rPr>
          <w:rFonts w:ascii="Verdana" w:hAnsi="Verdana"/>
          <w:spacing w:val="-4"/>
          <w:sz w:val="20"/>
          <w:szCs w:val="20"/>
          <w:lang w:val="es-CR"/>
        </w:rPr>
        <w:t>, la Corte pasará a examinar los demás requisitos convencionales y reglamentarios para la adopción de medidas urgentes. La Corte ha señalado que las tres condiciones exigidas por el artículo 63.2 de la Convención para que pueda disponer de medidas provisionales deben concurrir en toda situación en la que se soliciten</w:t>
      </w:r>
      <w:r w:rsidRPr="0051766F">
        <w:rPr>
          <w:rStyle w:val="Refdenotaalpie"/>
          <w:spacing w:val="-4"/>
          <w:sz w:val="20"/>
          <w:szCs w:val="20"/>
          <w:lang w:val="es-CR"/>
        </w:rPr>
        <w:footnoteReference w:id="114"/>
      </w:r>
      <w:r w:rsidRPr="00075FDE">
        <w:rPr>
          <w:rFonts w:ascii="Verdana" w:hAnsi="Verdana"/>
          <w:spacing w:val="-4"/>
          <w:sz w:val="20"/>
          <w:szCs w:val="20"/>
          <w:lang w:val="es-CR"/>
        </w:rPr>
        <w:t xml:space="preserve">. Conforme a la Convención y al Reglamento, la carga procesal de demostrar </w:t>
      </w:r>
      <w:r w:rsidRPr="00075FDE">
        <w:rPr>
          <w:rFonts w:ascii="Verdana" w:hAnsi="Verdana"/>
          <w:i/>
          <w:spacing w:val="-4"/>
          <w:sz w:val="20"/>
          <w:szCs w:val="20"/>
          <w:lang w:val="es-CR"/>
        </w:rPr>
        <w:t>prima facie</w:t>
      </w:r>
      <w:r w:rsidRPr="00075FDE">
        <w:rPr>
          <w:rFonts w:ascii="Verdana" w:hAnsi="Verdana"/>
          <w:spacing w:val="-4"/>
          <w:sz w:val="20"/>
          <w:szCs w:val="20"/>
          <w:lang w:val="es-CR"/>
        </w:rPr>
        <w:t xml:space="preserve"> dichos requisitos recae en el solicitante</w:t>
      </w:r>
      <w:r w:rsidRPr="0051766F">
        <w:rPr>
          <w:rFonts w:ascii="Verdana" w:hAnsi="Verdana"/>
          <w:spacing w:val="-4"/>
          <w:sz w:val="20"/>
          <w:szCs w:val="20"/>
          <w:vertAlign w:val="superscript"/>
        </w:rPr>
        <w:footnoteReference w:id="115"/>
      </w:r>
      <w:r w:rsidRPr="00075FDE">
        <w:rPr>
          <w:rFonts w:ascii="Verdana" w:hAnsi="Verdana"/>
          <w:spacing w:val="-4"/>
          <w:sz w:val="20"/>
          <w:szCs w:val="20"/>
          <w:lang w:val="es-CR"/>
        </w:rPr>
        <w:t>. 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51766F">
        <w:rPr>
          <w:rFonts w:ascii="Verdana" w:hAnsi="Verdana"/>
          <w:spacing w:val="-4"/>
          <w:sz w:val="20"/>
          <w:szCs w:val="20"/>
          <w:vertAlign w:val="superscript"/>
        </w:rPr>
        <w:footnoteReference w:id="116"/>
      </w:r>
      <w:r w:rsidRPr="00075FDE">
        <w:rPr>
          <w:rFonts w:ascii="Verdana" w:hAnsi="Verdana"/>
          <w:spacing w:val="-4"/>
          <w:sz w:val="20"/>
          <w:szCs w:val="20"/>
          <w:lang w:val="es-CR"/>
        </w:rPr>
        <w:t xml:space="preserve">. </w:t>
      </w:r>
    </w:p>
    <w:p w14:paraId="03983AFB" w14:textId="77777777" w:rsidR="003C0CFF" w:rsidRPr="002C7DCB" w:rsidRDefault="003C0CFF" w:rsidP="003C0CFF">
      <w:pPr>
        <w:pStyle w:val="Prrafodelista"/>
        <w:rPr>
          <w:rFonts w:ascii="Verdana" w:hAnsi="Verdana"/>
          <w:spacing w:val="-4"/>
          <w:sz w:val="20"/>
          <w:szCs w:val="20"/>
          <w:lang w:val="es-AR"/>
        </w:rPr>
      </w:pPr>
    </w:p>
    <w:p w14:paraId="021B740C" w14:textId="77777777" w:rsidR="003C0CFF"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2C7DCB">
        <w:rPr>
          <w:rFonts w:ascii="Verdana" w:hAnsi="Verdana"/>
          <w:spacing w:val="-4"/>
          <w:sz w:val="20"/>
          <w:szCs w:val="20"/>
          <w:lang w:val="es-AR"/>
        </w:rPr>
        <w:t xml:space="preserve">Esta Corte reconoce no solo los problemas y desafíos extraordinarios que ocasiona la presente pandemia en todo contexto, sino también y específicamente </w:t>
      </w:r>
      <w:r w:rsidRPr="002C7DCB">
        <w:rPr>
          <w:rFonts w:ascii="Verdana" w:hAnsi="Verdana"/>
          <w:spacing w:val="-4"/>
          <w:sz w:val="20"/>
          <w:szCs w:val="20"/>
          <w:lang w:val="es-ES"/>
        </w:rPr>
        <w:t>las dificultades adicionales que la prevención del contagio de COVID-19 representa en entornos carcelarios. En nuestra región, las personas privadas de libertad se encuentran en una situación de mayor vulnerabilidad frente a la propagación del COVID-19 pues, por lo general, se encuentran en condiciones de sobrepoblación y hacinamiento que no permiten un adecuado distanciamiento social para prevenir el contagio del virus, con inadecuadas y deficientes medidas de higiene, y con limitaciones para acceder de manera eficaz y oportuna a una serie de derechos como la salud y la información</w:t>
      </w:r>
      <w:r w:rsidRPr="00395069">
        <w:rPr>
          <w:rFonts w:ascii="Verdana" w:hAnsi="Verdana"/>
          <w:spacing w:val="-4"/>
          <w:sz w:val="20"/>
          <w:szCs w:val="20"/>
          <w:vertAlign w:val="superscript"/>
          <w:lang w:val="es-ES"/>
        </w:rPr>
        <w:footnoteReference w:id="117"/>
      </w:r>
      <w:r w:rsidRPr="002C7DCB">
        <w:rPr>
          <w:rFonts w:ascii="Verdana" w:hAnsi="Verdana"/>
          <w:spacing w:val="-4"/>
          <w:sz w:val="20"/>
          <w:szCs w:val="20"/>
          <w:lang w:val="es-ES"/>
        </w:rPr>
        <w:t xml:space="preserve">. En efecto, el Comité Internacional de la Cruz Roja ha reconocido que estas particularidades generan que el ámbito carcelario </w:t>
      </w:r>
      <w:r w:rsidRPr="002C7DCB">
        <w:rPr>
          <w:rFonts w:ascii="Verdana" w:hAnsi="Verdana"/>
          <w:spacing w:val="-4"/>
          <w:sz w:val="20"/>
          <w:szCs w:val="20"/>
          <w:lang w:val="es-CR"/>
        </w:rPr>
        <w:t>favorezca</w:t>
      </w:r>
      <w:r w:rsidRPr="002C7DCB">
        <w:rPr>
          <w:rFonts w:ascii="Verdana" w:hAnsi="Verdana"/>
          <w:spacing w:val="-4"/>
          <w:sz w:val="20"/>
          <w:szCs w:val="20"/>
          <w:lang w:val="es-ES"/>
        </w:rPr>
        <w:t xml:space="preserve"> la propagación exponencial de enfermedades infecciosas, particularmente de aquellas que, como el COVID-19, se transmiten por gotas a través del aire</w:t>
      </w:r>
      <w:r w:rsidRPr="00597DDE">
        <w:rPr>
          <w:rStyle w:val="Refdenotaalpie"/>
          <w:spacing w:val="-4"/>
          <w:szCs w:val="20"/>
          <w:lang w:val="es-ES"/>
        </w:rPr>
        <w:footnoteReference w:id="118"/>
      </w:r>
      <w:r w:rsidRPr="002C7DCB">
        <w:rPr>
          <w:rFonts w:ascii="Verdana" w:hAnsi="Verdana"/>
          <w:spacing w:val="-4"/>
          <w:sz w:val="20"/>
          <w:szCs w:val="20"/>
          <w:lang w:val="es-ES"/>
        </w:rPr>
        <w:t>.</w:t>
      </w:r>
    </w:p>
    <w:p w14:paraId="723FA10F" w14:textId="77777777" w:rsidR="003C0CFF" w:rsidRPr="002C7DCB" w:rsidRDefault="003C0CFF" w:rsidP="003C0CFF">
      <w:pPr>
        <w:pStyle w:val="Prrafodelista"/>
        <w:rPr>
          <w:rFonts w:ascii="Verdana" w:hAnsi="Verdana"/>
          <w:spacing w:val="-4"/>
          <w:sz w:val="20"/>
          <w:szCs w:val="20"/>
          <w:lang w:val="es-ES"/>
        </w:rPr>
      </w:pPr>
    </w:p>
    <w:p w14:paraId="0E12BF34" w14:textId="77777777" w:rsidR="003C0CFF" w:rsidRPr="009B39E4"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2C7DCB">
        <w:rPr>
          <w:rFonts w:ascii="Verdana" w:hAnsi="Verdana"/>
          <w:spacing w:val="-4"/>
          <w:sz w:val="20"/>
          <w:szCs w:val="20"/>
          <w:lang w:val="es-ES"/>
        </w:rPr>
        <w:t xml:space="preserve">Los derechos económicos, sociales, culturales y ambientales deben ser garantizados sin discriminación a toda persona bajo la jurisdicción del Estado y, en especial, a aquellos grupos que son afectados de forma desproporcionada porque se encuentran en situación de mayor vulnerabilidad, entre ellos, las personas privadas de libertad, lo cual fue hecho notar por el Tribunal en su </w:t>
      </w:r>
      <w:r w:rsidRPr="002C7DCB">
        <w:rPr>
          <w:rFonts w:ascii="Verdana" w:hAnsi="Verdana"/>
          <w:spacing w:val="-4"/>
          <w:sz w:val="20"/>
          <w:szCs w:val="20"/>
          <w:lang w:val="es-MX"/>
        </w:rPr>
        <w:t>Declaración de 9 de abril de 2020 (</w:t>
      </w:r>
      <w:r w:rsidRPr="002C7DCB">
        <w:rPr>
          <w:rFonts w:ascii="Verdana" w:hAnsi="Verdana"/>
          <w:i/>
          <w:spacing w:val="-4"/>
          <w:sz w:val="20"/>
          <w:szCs w:val="20"/>
          <w:lang w:val="es-MX"/>
        </w:rPr>
        <w:t xml:space="preserve">supra </w:t>
      </w:r>
      <w:r w:rsidRPr="002C7DCB">
        <w:rPr>
          <w:rFonts w:ascii="Verdana" w:hAnsi="Verdana"/>
          <w:spacing w:val="-4"/>
          <w:sz w:val="20"/>
          <w:szCs w:val="20"/>
          <w:lang w:val="es-MX"/>
        </w:rPr>
        <w:t>Considerando 21)</w:t>
      </w:r>
      <w:r w:rsidRPr="002C7DCB">
        <w:rPr>
          <w:rFonts w:ascii="Verdana" w:hAnsi="Verdana"/>
          <w:i/>
          <w:iCs/>
          <w:spacing w:val="-4"/>
          <w:sz w:val="20"/>
          <w:szCs w:val="20"/>
          <w:lang w:val="es-CR"/>
        </w:rPr>
        <w:t>.</w:t>
      </w:r>
      <w:r w:rsidRPr="002C7DCB">
        <w:rPr>
          <w:rFonts w:ascii="Verdana" w:hAnsi="Verdana"/>
          <w:spacing w:val="-4"/>
          <w:sz w:val="20"/>
          <w:szCs w:val="20"/>
          <w:lang w:val="es-ES"/>
        </w:rPr>
        <w:t xml:space="preserve"> Al respecto, es necesario recordar que se debe abordar esta situación </w:t>
      </w:r>
      <w:r w:rsidRPr="002C7DCB">
        <w:rPr>
          <w:rFonts w:ascii="Verdana" w:hAnsi="Verdana" w:cs="Calibri"/>
          <w:spacing w:val="-4"/>
          <w:sz w:val="20"/>
          <w:szCs w:val="20"/>
          <w:lang w:val="es-CR"/>
        </w:rPr>
        <w:t xml:space="preserve">“en el marco del Estado de Derecho, con el pleno respeto a los instrumentos interamericanos de protección de los derechos humanos y los estándares desarrollados en la jurisprudencia de este Tribunal”, en particular, el derecho a la salud, a la vida y a la integridad personal. Además, la Corte ha dicho que, </w:t>
      </w:r>
      <w:r w:rsidRPr="002C7DCB">
        <w:rPr>
          <w:rFonts w:ascii="Verdana" w:hAnsi="Verdana"/>
          <w:spacing w:val="-4"/>
          <w:sz w:val="20"/>
          <w:szCs w:val="20"/>
          <w:lang w:val="es-ES"/>
        </w:rPr>
        <w:t xml:space="preserve">en virtud del </w:t>
      </w:r>
      <w:r w:rsidRPr="002C7DCB">
        <w:rPr>
          <w:rFonts w:ascii="Verdana" w:hAnsi="Verdana" w:cs="Calibri"/>
          <w:spacing w:val="-4"/>
          <w:sz w:val="20"/>
          <w:szCs w:val="20"/>
          <w:lang w:val="es-AR"/>
        </w:rPr>
        <w:t>“alto impacto que el COVID-19 pueda tener respecto a las personas privadas de libertad en las prisiones y otros centros de detención”, y en atención a la posición especial de garante del Estado, se torna necesario, entre otras medidas, “reducir los niveles de sobrepoblación y hacinamiento, y disponer en forma racional y ordenada medidas alternativas a la privación de la libertad”</w:t>
      </w:r>
      <w:r w:rsidRPr="002C7DCB">
        <w:rPr>
          <w:rStyle w:val="Refdenotaalpie"/>
          <w:rFonts w:cs="Calibri"/>
          <w:spacing w:val="-4"/>
          <w:sz w:val="20"/>
          <w:szCs w:val="20"/>
          <w:lang w:val="es-CR"/>
        </w:rPr>
        <w:footnoteReference w:id="119"/>
      </w:r>
      <w:r w:rsidRPr="002C7DCB">
        <w:rPr>
          <w:rFonts w:ascii="Verdana" w:hAnsi="Verdana" w:cs="Calibri"/>
          <w:spacing w:val="-4"/>
          <w:sz w:val="20"/>
          <w:szCs w:val="20"/>
          <w:lang w:val="es-AR"/>
        </w:rPr>
        <w:t xml:space="preserve">. </w:t>
      </w:r>
    </w:p>
    <w:p w14:paraId="003DF6F3" w14:textId="77777777" w:rsidR="003C0CFF" w:rsidRPr="009B39E4"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ES"/>
        </w:rPr>
      </w:pPr>
    </w:p>
    <w:p w14:paraId="64377F93" w14:textId="77777777" w:rsidR="003C0CFF" w:rsidRPr="009B39E4"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9B39E4">
        <w:rPr>
          <w:rFonts w:ascii="Verdana" w:hAnsi="Verdana"/>
          <w:spacing w:val="-4"/>
          <w:sz w:val="20"/>
          <w:szCs w:val="20"/>
          <w:lang w:val="es-CR"/>
        </w:rPr>
        <w:t xml:space="preserve">Este Tribunal </w:t>
      </w:r>
      <w:r w:rsidRPr="009B39E4">
        <w:rPr>
          <w:rFonts w:ascii="Verdana" w:hAnsi="Verdana"/>
          <w:spacing w:val="-4"/>
          <w:sz w:val="20"/>
          <w:szCs w:val="20"/>
          <w:lang w:val="es-AR"/>
        </w:rPr>
        <w:t xml:space="preserve">ha indicado en su jurisprudencia que </w:t>
      </w:r>
      <w:r w:rsidRPr="009B39E4">
        <w:rPr>
          <w:rFonts w:ascii="Verdana" w:hAnsi="Verdana" w:cs="Times New Roman"/>
          <w:spacing w:val="-4"/>
          <w:sz w:val="20"/>
          <w:szCs w:val="20"/>
          <w:lang w:val="es-AR"/>
        </w:rPr>
        <w:t xml:space="preserve">“el Estado se encuentra en una posición especial de garante” respecto de las personas privadas de libertad, por lo que tiene el deber de adoptar medidas para resguardar sus derechos a la vida, a la integridad </w:t>
      </w:r>
      <w:r w:rsidRPr="009B39E4">
        <w:rPr>
          <w:rFonts w:ascii="Verdana" w:hAnsi="Verdana"/>
          <w:spacing w:val="-4"/>
          <w:sz w:val="20"/>
          <w:szCs w:val="20"/>
          <w:lang w:val="es-CR"/>
        </w:rPr>
        <w:t>personal</w:t>
      </w:r>
      <w:r w:rsidRPr="009B39E4">
        <w:rPr>
          <w:rFonts w:ascii="Verdana" w:hAnsi="Verdana" w:cs="Times New Roman"/>
          <w:spacing w:val="-4"/>
          <w:sz w:val="20"/>
          <w:szCs w:val="20"/>
          <w:lang w:val="es-AR"/>
        </w:rPr>
        <w:t xml:space="preserve"> y a la salud</w:t>
      </w:r>
      <w:r w:rsidRPr="000C5155">
        <w:rPr>
          <w:rStyle w:val="Refdenotaalpie"/>
          <w:rFonts w:cs="Times New Roman"/>
          <w:spacing w:val="-4"/>
          <w:sz w:val="20"/>
          <w:szCs w:val="20"/>
        </w:rPr>
        <w:footnoteReference w:id="120"/>
      </w:r>
      <w:r w:rsidRPr="009B39E4">
        <w:rPr>
          <w:rFonts w:ascii="Verdana" w:hAnsi="Verdana" w:cs="Times New Roman"/>
          <w:spacing w:val="-4"/>
          <w:sz w:val="20"/>
          <w:szCs w:val="20"/>
          <w:lang w:val="es-AR"/>
        </w:rPr>
        <w:t>; y abstenerse bajo cualquier circunstancia de actuar de manera tal que se vulneren estos derechos</w:t>
      </w:r>
      <w:r w:rsidRPr="00517372">
        <w:rPr>
          <w:rStyle w:val="Refdenotaalpie"/>
          <w:rFonts w:cs="Times New Roman"/>
          <w:spacing w:val="-4"/>
          <w:sz w:val="20"/>
          <w:szCs w:val="20"/>
        </w:rPr>
        <w:footnoteReference w:id="121"/>
      </w:r>
      <w:r w:rsidRPr="009B39E4">
        <w:rPr>
          <w:rFonts w:ascii="Verdana" w:hAnsi="Verdana" w:cs="Times New Roman"/>
          <w:spacing w:val="-4"/>
          <w:sz w:val="20"/>
          <w:szCs w:val="20"/>
          <w:lang w:val="es-AR"/>
        </w:rPr>
        <w:t>. Además, la Corte ha sido clara en establecer que t</w:t>
      </w:r>
      <w:r w:rsidRPr="009B39E4">
        <w:rPr>
          <w:rFonts w:ascii="Verdana" w:hAnsi="Verdana"/>
          <w:spacing w:val="-4"/>
          <w:sz w:val="20"/>
          <w:szCs w:val="20"/>
          <w:lang w:val="es-AR"/>
        </w:rPr>
        <w:t xml:space="preserve">ales derechos deben ser protegidos a “toda persona privada de </w:t>
      </w:r>
      <w:r w:rsidRPr="009B39E4">
        <w:rPr>
          <w:rFonts w:ascii="Verdana" w:hAnsi="Verdana"/>
          <w:spacing w:val="-4"/>
          <w:sz w:val="20"/>
          <w:szCs w:val="20"/>
          <w:lang w:val="es-AR"/>
        </w:rPr>
        <w:lastRenderedPageBreak/>
        <w:t>libertad”, sin discriminación</w:t>
      </w:r>
      <w:r w:rsidRPr="009C672D">
        <w:rPr>
          <w:rStyle w:val="Refdenotaalpie"/>
          <w:rFonts w:cs="Arial"/>
          <w:spacing w:val="-4"/>
          <w:sz w:val="20"/>
          <w:szCs w:val="20"/>
        </w:rPr>
        <w:footnoteReference w:id="122"/>
      </w:r>
      <w:r w:rsidRPr="009B39E4">
        <w:rPr>
          <w:rFonts w:ascii="Verdana" w:hAnsi="Verdana" w:cs="Arial"/>
          <w:spacing w:val="-4"/>
          <w:sz w:val="20"/>
          <w:szCs w:val="20"/>
          <w:lang w:val="es-AR"/>
        </w:rPr>
        <w:t>. En este sentido, se ha incorporado en la jurisprudencia los principales estándares sobre las condiciones carcelarias y deber de prevención que debe garantizar el Estado en favor de las personas privadas de libertad</w:t>
      </w:r>
      <w:r w:rsidRPr="009C672D">
        <w:rPr>
          <w:rStyle w:val="Refdenotaalpie"/>
          <w:rFonts w:cs="Arial"/>
          <w:spacing w:val="-4"/>
          <w:sz w:val="20"/>
          <w:szCs w:val="20"/>
        </w:rPr>
        <w:footnoteReference w:id="123"/>
      </w:r>
      <w:r w:rsidRPr="009B39E4">
        <w:rPr>
          <w:rFonts w:ascii="Verdana" w:hAnsi="Verdana" w:cs="Arial"/>
          <w:spacing w:val="-4"/>
          <w:sz w:val="20"/>
          <w:szCs w:val="20"/>
          <w:lang w:val="es-AR"/>
        </w:rPr>
        <w:t>. Entre ellas, la Corte se ha referido a la adopción de medidas que procuren condiciones de detención mínimas compatibles con la dignidad personal</w:t>
      </w:r>
      <w:r w:rsidRPr="009C672D">
        <w:rPr>
          <w:rStyle w:val="Refdenotaalpie"/>
          <w:rFonts w:cs="Arial"/>
          <w:spacing w:val="-4"/>
          <w:sz w:val="20"/>
          <w:szCs w:val="20"/>
        </w:rPr>
        <w:footnoteReference w:id="124"/>
      </w:r>
      <w:r w:rsidRPr="009B39E4">
        <w:rPr>
          <w:rFonts w:ascii="Verdana" w:hAnsi="Verdana" w:cs="Arial"/>
          <w:spacing w:val="-4"/>
          <w:sz w:val="20"/>
          <w:szCs w:val="20"/>
          <w:lang w:val="es-AR"/>
        </w:rPr>
        <w:t>; a la reducción del hacinamiento</w:t>
      </w:r>
      <w:r w:rsidRPr="009C672D">
        <w:rPr>
          <w:rStyle w:val="Refdenotaalpie"/>
          <w:rFonts w:cs="Arial"/>
          <w:spacing w:val="-4"/>
          <w:sz w:val="20"/>
          <w:szCs w:val="20"/>
        </w:rPr>
        <w:footnoteReference w:id="125"/>
      </w:r>
      <w:r w:rsidRPr="009B39E4">
        <w:rPr>
          <w:rFonts w:ascii="Verdana" w:hAnsi="Verdana" w:cs="Arial"/>
          <w:spacing w:val="-4"/>
          <w:sz w:val="20"/>
          <w:szCs w:val="20"/>
          <w:lang w:val="es-AR"/>
        </w:rPr>
        <w:t>; al acceso al agua potable para consumo de estas personas y a agua para aseo personal</w:t>
      </w:r>
      <w:r w:rsidRPr="009C672D">
        <w:rPr>
          <w:rStyle w:val="Refdenotaalpie"/>
          <w:rFonts w:cs="Arial"/>
          <w:spacing w:val="-4"/>
          <w:sz w:val="20"/>
          <w:szCs w:val="20"/>
        </w:rPr>
        <w:footnoteReference w:id="126"/>
      </w:r>
      <w:r w:rsidRPr="009B39E4">
        <w:rPr>
          <w:rFonts w:ascii="Verdana" w:hAnsi="Verdana" w:cs="Arial"/>
          <w:spacing w:val="-4"/>
          <w:sz w:val="20"/>
          <w:szCs w:val="20"/>
          <w:lang w:val="es-AR"/>
        </w:rPr>
        <w:t>; a alimentación de buena calidad y con valor nutritivo suficiente</w:t>
      </w:r>
      <w:r w:rsidRPr="009C672D">
        <w:rPr>
          <w:rStyle w:val="Refdenotaalpie"/>
          <w:rFonts w:cs="Arial"/>
          <w:spacing w:val="-4"/>
          <w:sz w:val="20"/>
          <w:szCs w:val="20"/>
        </w:rPr>
        <w:footnoteReference w:id="127"/>
      </w:r>
      <w:r w:rsidRPr="009B39E4">
        <w:rPr>
          <w:rFonts w:ascii="Verdana" w:hAnsi="Verdana"/>
          <w:spacing w:val="-4"/>
          <w:sz w:val="20"/>
          <w:szCs w:val="20"/>
          <w:lang w:val="es-AR"/>
        </w:rPr>
        <w:t>, y a la atención médica regular y el tratamiento adecuado cuando sea necesario, en condiciones comparables con aquellas disfrutadas por pacientes en la comunidad exterior</w:t>
      </w:r>
      <w:r w:rsidRPr="009C672D">
        <w:rPr>
          <w:rStyle w:val="Refdenotaalpie"/>
          <w:spacing w:val="-4"/>
          <w:sz w:val="20"/>
          <w:szCs w:val="20"/>
        </w:rPr>
        <w:footnoteReference w:id="128"/>
      </w:r>
      <w:r w:rsidRPr="009B39E4">
        <w:rPr>
          <w:rFonts w:ascii="Verdana" w:hAnsi="Verdana"/>
          <w:spacing w:val="-4"/>
          <w:sz w:val="20"/>
          <w:szCs w:val="20"/>
          <w:lang w:val="es-AR"/>
        </w:rPr>
        <w:t>.</w:t>
      </w:r>
    </w:p>
    <w:p w14:paraId="40260631" w14:textId="77777777" w:rsidR="003C0CFF"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ES"/>
        </w:rPr>
      </w:pPr>
    </w:p>
    <w:p w14:paraId="0DC85B39" w14:textId="77777777" w:rsidR="003C0CFF" w:rsidRPr="009B39E4"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9B39E4">
        <w:rPr>
          <w:rFonts w:ascii="Verdana" w:hAnsi="Verdana"/>
          <w:spacing w:val="-4"/>
          <w:sz w:val="20"/>
          <w:szCs w:val="20"/>
          <w:lang w:val="es-AR"/>
        </w:rPr>
        <w:t xml:space="preserve">En particular, respecto de la atención médica adecuada para personas privadas de libertad, la Corte estableció diversos estándares en la sentencia del caso </w:t>
      </w:r>
      <w:r w:rsidRPr="009B39E4">
        <w:rPr>
          <w:rFonts w:ascii="Verdana" w:hAnsi="Verdana"/>
          <w:i/>
          <w:spacing w:val="-4"/>
          <w:sz w:val="20"/>
          <w:szCs w:val="20"/>
          <w:lang w:val="es-AR"/>
        </w:rPr>
        <w:t>Chinchilla Sandoval y otros Vs. Guatemala</w:t>
      </w:r>
      <w:r w:rsidRPr="009B39E4">
        <w:rPr>
          <w:rFonts w:ascii="Verdana" w:hAnsi="Verdana"/>
          <w:spacing w:val="-4"/>
          <w:sz w:val="20"/>
          <w:szCs w:val="20"/>
          <w:lang w:val="es-AR"/>
        </w:rPr>
        <w:t xml:space="preserve">, entre los cuales se indica que los Estados deben asegurar que a </w:t>
      </w:r>
      <w:r w:rsidRPr="009B39E4">
        <w:rPr>
          <w:rFonts w:ascii="Verdana" w:hAnsi="Verdana" w:cs="Arial"/>
          <w:color w:val="000000"/>
          <w:spacing w:val="-4"/>
          <w:sz w:val="20"/>
          <w:szCs w:val="20"/>
          <w:lang w:val="es-AR"/>
        </w:rPr>
        <w:t>las personas privadas de libertad que padezcan enfermedades graves, crónicas o terminales se les brinde atención médica adecuada, especializada y continua</w:t>
      </w:r>
      <w:r w:rsidRPr="009B39E4">
        <w:rPr>
          <w:rFonts w:ascii="Verdana" w:hAnsi="Verdana"/>
          <w:spacing w:val="-4"/>
          <w:sz w:val="20"/>
          <w:szCs w:val="20"/>
          <w:lang w:val="es-AR"/>
        </w:rPr>
        <w:t>, ya sea dentro o fuera del centro penitenciario</w:t>
      </w:r>
      <w:r w:rsidRPr="00395069">
        <w:rPr>
          <w:rStyle w:val="Refdenotaalpie"/>
          <w:spacing w:val="-4"/>
          <w:sz w:val="20"/>
          <w:szCs w:val="20"/>
        </w:rPr>
        <w:footnoteReference w:id="129"/>
      </w:r>
      <w:r w:rsidRPr="009B39E4">
        <w:rPr>
          <w:rFonts w:ascii="Verdana" w:hAnsi="Verdana" w:cs="Arial"/>
          <w:color w:val="000000"/>
          <w:spacing w:val="-4"/>
          <w:sz w:val="20"/>
          <w:szCs w:val="20"/>
          <w:lang w:val="es-AR"/>
        </w:rPr>
        <w:t xml:space="preserve">. </w:t>
      </w:r>
      <w:r w:rsidRPr="009B39E4">
        <w:rPr>
          <w:rFonts w:ascii="Verdana" w:hAnsi="Verdana"/>
          <w:spacing w:val="-4"/>
          <w:sz w:val="20"/>
          <w:szCs w:val="20"/>
          <w:lang w:val="es-AR"/>
        </w:rPr>
        <w:t xml:space="preserve">En caso de que ello no sea posible, las mencionadas personas privadas de libertad </w:t>
      </w:r>
      <w:r w:rsidRPr="009B39E4">
        <w:rPr>
          <w:rFonts w:ascii="Verdana" w:hAnsi="Verdana" w:cs="Arial"/>
          <w:color w:val="000000"/>
          <w:spacing w:val="-4"/>
          <w:sz w:val="20"/>
          <w:szCs w:val="20"/>
          <w:lang w:val="es-AR"/>
        </w:rPr>
        <w:t xml:space="preserve">no deben permanecer en establecimientos carcelarios. </w:t>
      </w:r>
      <w:r w:rsidRPr="009B39E4">
        <w:rPr>
          <w:rFonts w:ascii="Verdana" w:hAnsi="Verdana"/>
          <w:spacing w:val="-4"/>
          <w:sz w:val="20"/>
          <w:szCs w:val="20"/>
          <w:lang w:val="es-AR"/>
        </w:rPr>
        <w:t xml:space="preserve">Si el Estado no puede garantizar dicha atención en el centro penitenciario, está “obligado a establecer un mecanismo o protocolo de atención ágil y efectivo para asegurar que la supervisión médica </w:t>
      </w:r>
      <w:r w:rsidRPr="009B39E4">
        <w:rPr>
          <w:rFonts w:ascii="Verdana" w:hAnsi="Verdana" w:cs="Verdana"/>
          <w:spacing w:val="-4"/>
          <w:sz w:val="20"/>
          <w:szCs w:val="20"/>
          <w:lang w:val="es-AR"/>
        </w:rPr>
        <w:t>[sea]</w:t>
      </w:r>
      <w:r w:rsidRPr="009B39E4">
        <w:rPr>
          <w:rFonts w:ascii="Verdana" w:hAnsi="Verdana"/>
          <w:spacing w:val="-4"/>
          <w:sz w:val="20"/>
          <w:szCs w:val="20"/>
          <w:lang w:val="es-AR"/>
        </w:rPr>
        <w:t xml:space="preserve"> oportuna y sistemática, particularmente ante alguna situación de emergencia”. Los procedimientos establecidos para la consulta externa en hospitales deben tener “la agilidad necesaria para permitir, de manera efectiva, un tratamiento médico oportuno”</w:t>
      </w:r>
      <w:r w:rsidRPr="00395069">
        <w:rPr>
          <w:rStyle w:val="Refdenotaalpie"/>
          <w:rFonts w:cs="Arial"/>
          <w:spacing w:val="-4"/>
          <w:sz w:val="20"/>
          <w:szCs w:val="20"/>
        </w:rPr>
        <w:footnoteReference w:id="130"/>
      </w:r>
      <w:r w:rsidRPr="009B39E4">
        <w:rPr>
          <w:rFonts w:ascii="Verdana" w:hAnsi="Verdana"/>
          <w:spacing w:val="-4"/>
          <w:sz w:val="20"/>
          <w:szCs w:val="20"/>
          <w:lang w:val="es-AR"/>
        </w:rPr>
        <w:t xml:space="preserve">. </w:t>
      </w:r>
    </w:p>
    <w:p w14:paraId="5A604FE1" w14:textId="77777777" w:rsidR="003C0CFF" w:rsidRPr="009B39E4" w:rsidRDefault="003C0CFF" w:rsidP="003C0CFF">
      <w:pPr>
        <w:pStyle w:val="Prrafodelista"/>
        <w:rPr>
          <w:rFonts w:ascii="Verdana" w:hAnsi="Verdana"/>
          <w:spacing w:val="-4"/>
          <w:sz w:val="20"/>
          <w:szCs w:val="20"/>
          <w:lang w:val="es-AR"/>
        </w:rPr>
      </w:pPr>
    </w:p>
    <w:p w14:paraId="3BE55117" w14:textId="77777777" w:rsidR="003C0CFF" w:rsidRPr="009B39E4"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ES"/>
        </w:rPr>
      </w:pPr>
      <w:r w:rsidRPr="009B39E4">
        <w:rPr>
          <w:rFonts w:ascii="Verdana" w:hAnsi="Verdana"/>
          <w:spacing w:val="-4"/>
          <w:sz w:val="20"/>
          <w:szCs w:val="20"/>
          <w:lang w:val="es-AR"/>
        </w:rPr>
        <w:t xml:space="preserve">En ese sentido, en el marco de la supervisión de cumplimiento de las Sentencias de los </w:t>
      </w:r>
      <w:r w:rsidRPr="009B39E4">
        <w:rPr>
          <w:rFonts w:ascii="Verdana" w:hAnsi="Verdana"/>
          <w:i/>
          <w:spacing w:val="-4"/>
          <w:sz w:val="20"/>
          <w:szCs w:val="20"/>
          <w:lang w:val="es-AR"/>
        </w:rPr>
        <w:t>casos Barrios Altos y La Cantuta Vs. Perú</w:t>
      </w:r>
      <w:r w:rsidRPr="009B39E4">
        <w:rPr>
          <w:rFonts w:ascii="Verdana" w:hAnsi="Verdana"/>
          <w:spacing w:val="-4"/>
          <w:sz w:val="20"/>
          <w:szCs w:val="20"/>
          <w:lang w:val="es-AR"/>
        </w:rPr>
        <w:t xml:space="preserve">, esta Corte agregó que “dependiendo de factores como situación de salud, riesgo a la vida, condiciones de detención y facilidades para ser atendido adecuadamente (ya sea en el centro penal o mediante traslado a un centro médico), corresponde al Estado valorar proporcionalmente cuál es la medida de carácter administrativo o figura jurídica que permita proteger la vida y la integridad del condenado, siempre que la misma se otorgue debidamente y siguiendo un fin legítimo que no signifique únicamente dejar de </w:t>
      </w:r>
      <w:r w:rsidRPr="009B39E4">
        <w:rPr>
          <w:rFonts w:ascii="Verdana" w:hAnsi="Verdana"/>
          <w:spacing w:val="-4"/>
          <w:sz w:val="20"/>
          <w:szCs w:val="20"/>
          <w:lang w:val="es-AR"/>
        </w:rPr>
        <w:lastRenderedPageBreak/>
        <w:t>asegurar la ejecución de la pena”</w:t>
      </w:r>
      <w:r>
        <w:rPr>
          <w:rStyle w:val="Refdenotaalpie"/>
          <w:spacing w:val="-4"/>
          <w:szCs w:val="20"/>
          <w:lang w:val="es-AR"/>
        </w:rPr>
        <w:footnoteReference w:id="131"/>
      </w:r>
      <w:r w:rsidRPr="009B39E4">
        <w:rPr>
          <w:rFonts w:ascii="Verdana" w:hAnsi="Verdana"/>
          <w:spacing w:val="-4"/>
          <w:sz w:val="20"/>
          <w:szCs w:val="20"/>
          <w:lang w:val="es-AR"/>
        </w:rPr>
        <w:t xml:space="preserve">. Tratándose de casos de “graves violaciones de derechos humanos”, el Tribunal resaltó lo siguiente: </w:t>
      </w:r>
    </w:p>
    <w:p w14:paraId="6764BDD7" w14:textId="77777777" w:rsidR="003C0CFF" w:rsidRDefault="003C0CFF" w:rsidP="003C0CFF">
      <w:pPr>
        <w:autoSpaceDE w:val="0"/>
        <w:autoSpaceDN w:val="0"/>
        <w:adjustRightInd w:val="0"/>
        <w:spacing w:before="120" w:after="120"/>
        <w:ind w:left="426" w:right="566"/>
        <w:jc w:val="both"/>
        <w:rPr>
          <w:rFonts w:ascii="Verdana" w:eastAsiaTheme="minorHAnsi" w:hAnsi="Verdana" w:cs="Verdana"/>
          <w:color w:val="000000"/>
          <w:sz w:val="16"/>
          <w:szCs w:val="16"/>
          <w:lang w:val="es-CR"/>
        </w:rPr>
      </w:pPr>
      <w:r w:rsidRPr="00CF21D6">
        <w:rPr>
          <w:rFonts w:ascii="Verdana" w:eastAsiaTheme="minorHAnsi" w:hAnsi="Verdana" w:cs="Verdana"/>
          <w:color w:val="000000"/>
          <w:sz w:val="16"/>
          <w:szCs w:val="16"/>
          <w:lang w:val="es-CR"/>
        </w:rPr>
        <w:t xml:space="preserve">dicha medida o figura jurídica debe ser la que menos restrinja el derecho de acceso a la justicia de las víctimas </w:t>
      </w:r>
      <w:r w:rsidRPr="00CF21D6">
        <w:rPr>
          <w:rFonts w:ascii="Verdana" w:eastAsiaTheme="minorHAnsi" w:hAnsi="Verdana" w:cs="Verdana"/>
          <w:iCs/>
          <w:color w:val="000000"/>
          <w:sz w:val="16"/>
          <w:szCs w:val="16"/>
          <w:lang w:val="es-CR"/>
        </w:rPr>
        <w:t>[…]</w:t>
      </w:r>
      <w:r>
        <w:rPr>
          <w:rFonts w:ascii="Verdana" w:eastAsiaTheme="minorHAnsi" w:hAnsi="Verdana" w:cs="Verdana"/>
          <w:i/>
          <w:iCs/>
          <w:color w:val="000000"/>
          <w:sz w:val="16"/>
          <w:szCs w:val="16"/>
          <w:lang w:val="es-CR"/>
        </w:rPr>
        <w:t xml:space="preserve"> </w:t>
      </w:r>
      <w:r w:rsidRPr="00CF21D6">
        <w:rPr>
          <w:rFonts w:ascii="Verdana" w:eastAsiaTheme="minorHAnsi" w:hAnsi="Verdana" w:cs="Verdana"/>
          <w:color w:val="000000"/>
          <w:sz w:val="16"/>
          <w:szCs w:val="16"/>
          <w:lang w:val="es-CR"/>
        </w:rPr>
        <w:t xml:space="preserve">y debe ser aplicada en casos muy extremos y por una necesidad imperante. Esto no significa que la figura jurídica o medida que tenga que adoptar el Estado sea necesariamente una que ponga en libertad al condenado y, mucho menos, que implique la extinción de la pena. Corresponde </w:t>
      </w:r>
      <w:proofErr w:type="gramStart"/>
      <w:r w:rsidRPr="00CF21D6">
        <w:rPr>
          <w:rFonts w:ascii="Verdana" w:eastAsiaTheme="minorHAnsi" w:hAnsi="Verdana" w:cs="Verdana"/>
          <w:color w:val="000000"/>
          <w:sz w:val="16"/>
          <w:szCs w:val="16"/>
          <w:lang w:val="es-CR"/>
        </w:rPr>
        <w:t>determinar</w:t>
      </w:r>
      <w:proofErr w:type="gramEnd"/>
      <w:r w:rsidRPr="00CF21D6">
        <w:rPr>
          <w:rFonts w:ascii="Verdana" w:eastAsiaTheme="minorHAnsi" w:hAnsi="Verdana" w:cs="Verdana"/>
          <w:color w:val="000000"/>
          <w:sz w:val="16"/>
          <w:szCs w:val="16"/>
          <w:lang w:val="es-CR"/>
        </w:rPr>
        <w:t xml:space="preserve"> primeramente, de acuerdo con otros factores, si habría una medida que permita una atención médica efectiva (por ejemplo, asegurar que el condenado, de forma efectiva y pronta, pueda acudir a las citas o procedimientos médicos correspondientes y medidas y protocolos que permitan una atención médica de urgencia) </w:t>
      </w:r>
      <w:r>
        <w:rPr>
          <w:rFonts w:ascii="Verdana" w:eastAsiaTheme="minorHAnsi" w:hAnsi="Verdana" w:cs="Verdana"/>
          <w:color w:val="000000"/>
          <w:sz w:val="16"/>
          <w:szCs w:val="16"/>
          <w:lang w:val="es-CR"/>
        </w:rPr>
        <w:t xml:space="preserve">[…] </w:t>
      </w:r>
      <w:r w:rsidRPr="00CF21D6">
        <w:rPr>
          <w:rFonts w:ascii="Verdana" w:eastAsiaTheme="minorHAnsi" w:hAnsi="Verdana" w:cs="Verdana"/>
          <w:color w:val="000000"/>
          <w:sz w:val="16"/>
          <w:szCs w:val="16"/>
          <w:lang w:val="es-CR"/>
        </w:rPr>
        <w:t>o si resulta necesario aplicar una institución jurídica apropiada que modifique la pena o permita una libertad anticipada</w:t>
      </w:r>
      <w:r w:rsidRPr="00A46C0C">
        <w:rPr>
          <w:rFonts w:ascii="Verdana" w:eastAsiaTheme="minorHAnsi" w:hAnsi="Verdana" w:cs="Verdana"/>
          <w:color w:val="000000"/>
          <w:sz w:val="16"/>
          <w:szCs w:val="16"/>
          <w:vertAlign w:val="superscript"/>
        </w:rPr>
        <w:footnoteReference w:id="132"/>
      </w:r>
      <w:r w:rsidRPr="00CF21D6">
        <w:rPr>
          <w:rFonts w:ascii="Verdana" w:eastAsiaTheme="minorHAnsi" w:hAnsi="Verdana" w:cs="Verdana"/>
          <w:color w:val="000000"/>
          <w:sz w:val="16"/>
          <w:szCs w:val="16"/>
          <w:lang w:val="es-CR"/>
        </w:rPr>
        <w:t xml:space="preserve">. </w:t>
      </w:r>
    </w:p>
    <w:p w14:paraId="1ED3BCD2" w14:textId="77777777" w:rsidR="003C0CFF" w:rsidRPr="003F4F81" w:rsidRDefault="003C0CFF" w:rsidP="003C0CFF">
      <w:pPr>
        <w:autoSpaceDE w:val="0"/>
        <w:autoSpaceDN w:val="0"/>
        <w:adjustRightInd w:val="0"/>
        <w:spacing w:before="120" w:after="120"/>
        <w:ind w:left="426" w:right="566"/>
        <w:jc w:val="both"/>
        <w:rPr>
          <w:rFonts w:ascii="Verdana" w:eastAsiaTheme="minorHAnsi" w:hAnsi="Verdana" w:cs="Verdana"/>
          <w:color w:val="000000"/>
          <w:sz w:val="16"/>
          <w:szCs w:val="16"/>
          <w:lang w:val="es-CR"/>
        </w:rPr>
      </w:pPr>
    </w:p>
    <w:p w14:paraId="3BFF845A" w14:textId="77777777" w:rsidR="003C0CFF" w:rsidRPr="002C0FC0"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2C0FC0">
        <w:rPr>
          <w:rFonts w:ascii="Verdana" w:hAnsi="Verdana"/>
          <w:spacing w:val="-4"/>
          <w:sz w:val="20"/>
          <w:szCs w:val="20"/>
          <w:lang w:val="es-CR"/>
        </w:rPr>
        <w:t xml:space="preserve">De la </w:t>
      </w:r>
      <w:r w:rsidRPr="002C0FC0">
        <w:rPr>
          <w:rFonts w:ascii="Verdana" w:hAnsi="Verdana" w:cs="Calibri"/>
          <w:spacing w:val="-4"/>
          <w:sz w:val="20"/>
          <w:szCs w:val="20"/>
          <w:lang w:val="es-CR"/>
        </w:rPr>
        <w:t>información</w:t>
      </w:r>
      <w:r w:rsidRPr="002C0FC0">
        <w:rPr>
          <w:rFonts w:ascii="Verdana" w:hAnsi="Verdana"/>
          <w:spacing w:val="-4"/>
          <w:sz w:val="20"/>
          <w:szCs w:val="20"/>
          <w:lang w:val="es-CR"/>
        </w:rPr>
        <w:t xml:space="preserve"> aportada por las partes, este Tribunal nota, en primer lugar, que cuatro de los propuestos beneficiarios sufren de enfermedades o condiciones preexistentes de salud</w:t>
      </w:r>
      <w:r w:rsidRPr="002C0FC0">
        <w:rPr>
          <w:rStyle w:val="Refdenotaalpie"/>
          <w:spacing w:val="-4"/>
          <w:sz w:val="20"/>
          <w:szCs w:val="20"/>
          <w:lang w:val="es-CR"/>
        </w:rPr>
        <w:footnoteReference w:id="133"/>
      </w:r>
      <w:r w:rsidRPr="002C0FC0">
        <w:rPr>
          <w:rFonts w:ascii="Verdana" w:hAnsi="Verdana"/>
          <w:spacing w:val="-4"/>
          <w:sz w:val="20"/>
          <w:szCs w:val="20"/>
          <w:lang w:val="es-CR"/>
        </w:rPr>
        <w:t>. Dos de ellos también son personas mayores y otros tres tienen más de 50 años. Tales circunstancias los posicionan como personas con factores de riesgo frente al COVID-19. Además, según refirieron los intervinientes comunes, todos ellos tienen “</w:t>
      </w:r>
      <w:r w:rsidRPr="002C0FC0">
        <w:rPr>
          <w:rFonts w:ascii="Verdana" w:hAnsi="Verdana"/>
          <w:spacing w:val="-4"/>
          <w:sz w:val="20"/>
          <w:szCs w:val="20"/>
          <w:lang w:val="es-AR"/>
        </w:rPr>
        <w:t>27 años de prisión en promedio”, lo cual habría contribuido a debilitar su salud</w:t>
      </w:r>
      <w:r w:rsidRPr="002C0FC0">
        <w:rPr>
          <w:rFonts w:ascii="Verdana" w:hAnsi="Verdana"/>
          <w:spacing w:val="-4"/>
          <w:sz w:val="20"/>
          <w:szCs w:val="20"/>
          <w:lang w:val="es-CR"/>
        </w:rPr>
        <w:t>. La Organización Mundial de la Salud ha detallado que las personas mayores</w:t>
      </w:r>
      <w:r w:rsidRPr="002C0FC0">
        <w:rPr>
          <w:rStyle w:val="Refdenotaalpie"/>
          <w:spacing w:val="-4"/>
          <w:sz w:val="20"/>
          <w:szCs w:val="20"/>
          <w:lang w:val="es-AR"/>
        </w:rPr>
        <w:footnoteReference w:id="134"/>
      </w:r>
      <w:r w:rsidRPr="002C0FC0">
        <w:rPr>
          <w:rFonts w:ascii="Verdana" w:hAnsi="Verdana"/>
          <w:spacing w:val="-4"/>
          <w:sz w:val="20"/>
          <w:szCs w:val="20"/>
          <w:lang w:val="es-CR"/>
        </w:rPr>
        <w:t xml:space="preserve"> y aquellas que padecen afecciones médicas subyacentes se encuentran en una situación de mayor vulnerabilidad frente al virus, así como un mayor riesgo de sufrir complicaciones en caso de contagio</w:t>
      </w:r>
      <w:r w:rsidRPr="002C0FC0">
        <w:rPr>
          <w:rStyle w:val="Refdenotaalpie"/>
          <w:spacing w:val="-4"/>
          <w:sz w:val="20"/>
          <w:szCs w:val="20"/>
          <w:lang w:val="es-CR"/>
        </w:rPr>
        <w:footnoteReference w:id="135"/>
      </w:r>
      <w:r w:rsidRPr="002C0FC0">
        <w:rPr>
          <w:rFonts w:ascii="Verdana" w:hAnsi="Verdana"/>
          <w:spacing w:val="-4"/>
          <w:sz w:val="20"/>
          <w:szCs w:val="20"/>
          <w:lang w:val="es-CR"/>
        </w:rPr>
        <w:t xml:space="preserve">. En este sentido, teniendo en cuenta la información científica divulgada hasta el momento por diversas entidades, los cinco propuestos beneficiarios son personas que, por su edad, condiciones subyacentes de salud y condición de privación de libertad, presentan mayor riesgo de sufrir complicaciones frente al contagio del COVID-19. </w:t>
      </w:r>
    </w:p>
    <w:p w14:paraId="54855626" w14:textId="77777777" w:rsidR="003C0CFF" w:rsidRPr="002C0FC0"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CR"/>
        </w:rPr>
      </w:pPr>
    </w:p>
    <w:p w14:paraId="1A46C766" w14:textId="77777777" w:rsidR="003C0CFF"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2C0FC0">
        <w:rPr>
          <w:rFonts w:ascii="Verdana" w:hAnsi="Verdana"/>
          <w:spacing w:val="-4"/>
          <w:sz w:val="20"/>
          <w:szCs w:val="20"/>
          <w:lang w:val="es-CR"/>
        </w:rPr>
        <w:t>Este Tribunal nota, asimismo, que los intervinientes comunes interpusieron la solicitud de medidas provisionales, inicialmente, con el objeto de evitar que los cinco propuestos beneficiarios se contagiaran del virus, o que los cuatro que creían estar contagiados (con base en los síntomas que tenían, aun cuando no se les había realizado pruebas de diagnóstico) pudieran recibir atención médica y medicamentos, así como que los cinco fueran sujetos a detención domiciliaria. Al momento de interponer la solicitud a mediados de mayo de 2020, a ninguno de ellos se les había realizado dicha prueba, pero ya se había constatado más de 1500 de personas contagiadas con COVID-19 en establecimientos penitenciarios del Perú y más de 100 fallecidos a causa del virus (entre personas privadas de libertad y trabajadores del Instituto Nacional Penitenciario). Con posterioridad a la presentación de la referida solicitud, y luego de que se le solicitara información al respecto, el Perú procedió a la realización de pruebas de descarte de COVID-19. De la información presentada por el Estado (</w:t>
      </w:r>
      <w:r w:rsidRPr="002C0FC0">
        <w:rPr>
          <w:rFonts w:ascii="Verdana" w:hAnsi="Verdana"/>
          <w:i/>
          <w:spacing w:val="-4"/>
          <w:sz w:val="20"/>
          <w:szCs w:val="20"/>
          <w:lang w:val="es-CR"/>
        </w:rPr>
        <w:t xml:space="preserve">supra </w:t>
      </w:r>
      <w:r w:rsidRPr="002C0FC0">
        <w:rPr>
          <w:rFonts w:ascii="Verdana" w:hAnsi="Verdana"/>
          <w:spacing w:val="-4"/>
          <w:sz w:val="20"/>
          <w:szCs w:val="20"/>
          <w:lang w:val="es-CR"/>
        </w:rPr>
        <w:t xml:space="preserve">Considerando </w:t>
      </w:r>
      <w:r w:rsidRPr="002C0FC0">
        <w:rPr>
          <w:rFonts w:ascii="Verdana" w:hAnsi="Verdana"/>
          <w:spacing w:val="-4"/>
          <w:sz w:val="20"/>
          <w:szCs w:val="20"/>
          <w:lang w:val="es-CR"/>
        </w:rPr>
        <w:fldChar w:fldCharType="begin"/>
      </w:r>
      <w:r w:rsidRPr="002C0FC0">
        <w:rPr>
          <w:rFonts w:ascii="Verdana" w:hAnsi="Verdana"/>
          <w:spacing w:val="-4"/>
          <w:sz w:val="20"/>
          <w:szCs w:val="20"/>
          <w:lang w:val="es-CR"/>
        </w:rPr>
        <w:instrText xml:space="preserve"> REF _Ref46180975 \r \h  \* MERGEFORMAT </w:instrText>
      </w:r>
      <w:r w:rsidRPr="002C0FC0">
        <w:rPr>
          <w:rFonts w:ascii="Verdana" w:hAnsi="Verdana"/>
          <w:spacing w:val="-4"/>
          <w:sz w:val="20"/>
          <w:szCs w:val="20"/>
          <w:lang w:val="es-CR"/>
        </w:rPr>
      </w:r>
      <w:r w:rsidRPr="002C0FC0">
        <w:rPr>
          <w:rFonts w:ascii="Verdana" w:hAnsi="Verdana"/>
          <w:spacing w:val="-4"/>
          <w:sz w:val="20"/>
          <w:szCs w:val="20"/>
          <w:lang w:val="es-CR"/>
        </w:rPr>
        <w:fldChar w:fldCharType="separate"/>
      </w:r>
      <w:r w:rsidRPr="002C0FC0">
        <w:rPr>
          <w:rFonts w:ascii="Verdana" w:hAnsi="Verdana"/>
          <w:spacing w:val="-4"/>
          <w:sz w:val="20"/>
          <w:szCs w:val="20"/>
          <w:lang w:val="es-CR"/>
        </w:rPr>
        <w:t>11</w:t>
      </w:r>
      <w:r w:rsidRPr="002C0FC0">
        <w:rPr>
          <w:rFonts w:ascii="Verdana" w:hAnsi="Verdana"/>
          <w:spacing w:val="-4"/>
          <w:sz w:val="20"/>
          <w:szCs w:val="20"/>
          <w:lang w:val="es-CR"/>
        </w:rPr>
        <w:fldChar w:fldCharType="end"/>
      </w:r>
      <w:r w:rsidRPr="002C0FC0">
        <w:rPr>
          <w:rFonts w:ascii="Verdana" w:hAnsi="Verdana"/>
          <w:spacing w:val="-4"/>
          <w:sz w:val="20"/>
          <w:szCs w:val="20"/>
          <w:lang w:val="es-CR"/>
        </w:rPr>
        <w:t xml:space="preserve"> de la Resolución) surge que, entre el 2 y el 5 de junio, a cuatro de los cinco propuestos beneficiarios se les practicaron las referidas pruebas, de los cuales dos arrojaron resultado positivo (uno de ellos fue diagnosticado como un caso “leve”) y dos resultado “no reactivo”. En cuanto a la quinta persona, en su último </w:t>
      </w:r>
      <w:r w:rsidRPr="002C0FC0">
        <w:rPr>
          <w:rFonts w:ascii="Verdana" w:hAnsi="Verdana"/>
          <w:spacing w:val="-4"/>
          <w:sz w:val="20"/>
          <w:szCs w:val="20"/>
          <w:lang w:val="es-CR"/>
        </w:rPr>
        <w:lastRenderedPageBreak/>
        <w:t xml:space="preserve">informe, de 9 de junio, el Estado refirió que a la señora Liendo Gil no se le practicó la prueba ya que no presentaba sintomatología compatible con el COVID-19, y que había procedido a aislarla en un ambiente individual con baño propio y darle seguimiento médico diario. De ello se desprende que, como mínimo, para el 9 de junio, fecha del último informe estatal, dos de los cinco propuestos beneficiarios habían sido diagnosticados como contagiados. </w:t>
      </w:r>
    </w:p>
    <w:p w14:paraId="285C547F" w14:textId="77777777" w:rsidR="003C0CFF" w:rsidRDefault="003C0CFF" w:rsidP="003C0CFF">
      <w:pPr>
        <w:pStyle w:val="Prrafodelista"/>
        <w:autoSpaceDE w:val="0"/>
        <w:autoSpaceDN w:val="0"/>
        <w:adjustRightInd w:val="0"/>
        <w:spacing w:after="0" w:line="240" w:lineRule="auto"/>
        <w:ind w:left="0"/>
        <w:jc w:val="both"/>
        <w:rPr>
          <w:rFonts w:ascii="Verdana" w:hAnsi="Verdana"/>
          <w:spacing w:val="-4"/>
          <w:sz w:val="20"/>
          <w:szCs w:val="20"/>
          <w:lang w:val="es-CR"/>
        </w:rPr>
      </w:pPr>
    </w:p>
    <w:p w14:paraId="792247B4" w14:textId="77777777" w:rsidR="003C0CFF" w:rsidRPr="00AF418E"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AF418E">
        <w:rPr>
          <w:rFonts w:ascii="Verdana" w:hAnsi="Verdana"/>
          <w:spacing w:val="-4"/>
          <w:sz w:val="20"/>
          <w:szCs w:val="20"/>
          <w:lang w:val="es-CR"/>
        </w:rPr>
        <w:t>No obstante, en su escrito de 16 de junio, los intervinientes comunes sostuvieron que los cinco propuestos beneficiarios estaban contagiados. En este sentido, destacaron que el tipo de pruebas realizadas por el Estado (comúnmente denominadas “pruebas rápidas”) posee un margen de error del 10%, por lo que las dos pruebas que arrojaron resultado “no reactivo” podrían tratarse de “falsos negativos”. Con respecto a la señora Liendo Gil, indicaron haber tomado conocimiento de que, con posterioridad al referido informe estatal de 9 de junio (</w:t>
      </w:r>
      <w:r w:rsidRPr="00AF418E">
        <w:rPr>
          <w:rFonts w:ascii="Verdana" w:hAnsi="Verdana"/>
          <w:i/>
          <w:spacing w:val="-4"/>
          <w:sz w:val="20"/>
          <w:szCs w:val="20"/>
          <w:lang w:val="es-CR"/>
        </w:rPr>
        <w:t xml:space="preserve">supra </w:t>
      </w:r>
      <w:r w:rsidRPr="00AF418E">
        <w:rPr>
          <w:rFonts w:ascii="Verdana" w:hAnsi="Verdana"/>
          <w:spacing w:val="-4"/>
          <w:sz w:val="20"/>
          <w:szCs w:val="20"/>
          <w:lang w:val="es-CR"/>
        </w:rPr>
        <w:t xml:space="preserve">Considerando </w:t>
      </w:r>
      <w:r w:rsidRPr="00AF418E">
        <w:rPr>
          <w:rFonts w:ascii="Verdana" w:hAnsi="Verdana"/>
          <w:spacing w:val="-4"/>
          <w:sz w:val="20"/>
          <w:szCs w:val="20"/>
          <w:lang w:val="es-CR"/>
        </w:rPr>
        <w:fldChar w:fldCharType="begin"/>
      </w:r>
      <w:r w:rsidRPr="00AF418E">
        <w:rPr>
          <w:rFonts w:ascii="Verdana" w:hAnsi="Verdana"/>
          <w:spacing w:val="-4"/>
          <w:sz w:val="20"/>
          <w:szCs w:val="20"/>
          <w:lang w:val="es-CR"/>
        </w:rPr>
        <w:instrText xml:space="preserve"> REF _Ref46157692 \r \h  \* MERGEFORMAT </w:instrText>
      </w:r>
      <w:r w:rsidRPr="00AF418E">
        <w:rPr>
          <w:rFonts w:ascii="Verdana" w:hAnsi="Verdana"/>
          <w:spacing w:val="-4"/>
          <w:sz w:val="20"/>
          <w:szCs w:val="20"/>
          <w:lang w:val="es-CR"/>
        </w:rPr>
      </w:r>
      <w:r w:rsidRPr="00AF418E">
        <w:rPr>
          <w:rFonts w:ascii="Verdana" w:hAnsi="Verdana"/>
          <w:spacing w:val="-4"/>
          <w:sz w:val="20"/>
          <w:szCs w:val="20"/>
          <w:lang w:val="es-CR"/>
        </w:rPr>
        <w:fldChar w:fldCharType="separate"/>
      </w:r>
      <w:r w:rsidRPr="00AF418E">
        <w:rPr>
          <w:rFonts w:ascii="Verdana" w:hAnsi="Verdana"/>
          <w:spacing w:val="-4"/>
          <w:sz w:val="20"/>
          <w:szCs w:val="20"/>
          <w:lang w:val="es-CR"/>
        </w:rPr>
        <w:t>31</w:t>
      </w:r>
      <w:r w:rsidRPr="00AF418E">
        <w:rPr>
          <w:rFonts w:ascii="Verdana" w:hAnsi="Verdana"/>
          <w:spacing w:val="-4"/>
          <w:sz w:val="20"/>
          <w:szCs w:val="20"/>
          <w:lang w:val="es-CR"/>
        </w:rPr>
        <w:fldChar w:fldCharType="end"/>
      </w:r>
      <w:r w:rsidRPr="00AF418E">
        <w:rPr>
          <w:rFonts w:ascii="Verdana" w:hAnsi="Verdana"/>
          <w:spacing w:val="-4"/>
          <w:sz w:val="20"/>
          <w:szCs w:val="20"/>
          <w:lang w:val="es-CR"/>
        </w:rPr>
        <w:t>), se le realizó la prueba de descarte, la cual habría arrojado resultado positivo</w:t>
      </w:r>
      <w:r w:rsidRPr="00642D9C">
        <w:rPr>
          <w:rStyle w:val="Refdenotaalpie"/>
          <w:spacing w:val="-4"/>
          <w:sz w:val="20"/>
          <w:szCs w:val="20"/>
          <w:lang w:val="es-CR"/>
        </w:rPr>
        <w:footnoteReference w:id="136"/>
      </w:r>
      <w:r w:rsidRPr="00AF418E">
        <w:rPr>
          <w:rFonts w:ascii="Verdana" w:hAnsi="Verdana"/>
          <w:spacing w:val="-4"/>
          <w:sz w:val="20"/>
          <w:szCs w:val="20"/>
          <w:lang w:val="es-CR"/>
        </w:rPr>
        <w:t xml:space="preserve">. </w:t>
      </w:r>
    </w:p>
    <w:p w14:paraId="3325ADBE" w14:textId="77777777" w:rsidR="003C0CFF" w:rsidRPr="00642D9C" w:rsidRDefault="003C0CFF" w:rsidP="003C0CFF">
      <w:pPr>
        <w:autoSpaceDE w:val="0"/>
        <w:autoSpaceDN w:val="0"/>
        <w:adjustRightInd w:val="0"/>
        <w:jc w:val="both"/>
        <w:rPr>
          <w:rFonts w:ascii="Verdana" w:hAnsi="Verdana"/>
          <w:spacing w:val="-4"/>
          <w:sz w:val="20"/>
          <w:szCs w:val="20"/>
          <w:lang w:val="es-CR"/>
        </w:rPr>
      </w:pPr>
    </w:p>
    <w:p w14:paraId="4787147C" w14:textId="77777777" w:rsidR="003C0CFF" w:rsidRPr="00642D9C"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642D9C">
        <w:rPr>
          <w:rFonts w:ascii="Verdana" w:hAnsi="Verdana"/>
          <w:spacing w:val="-4"/>
          <w:sz w:val="20"/>
          <w:szCs w:val="20"/>
          <w:lang w:val="es-CR"/>
        </w:rPr>
        <w:t xml:space="preserve">Asimismo, el Tribunal observa que los propuestos beneficiarios presentaron diversas demandas de hábeas corpus ante los tribunales peruanos, las cuales fueron resueltas de forma tal que, independientemente de que inicialmente fueran rechazadas </w:t>
      </w:r>
      <w:r w:rsidRPr="00642D9C">
        <w:rPr>
          <w:rFonts w:ascii="Verdana" w:hAnsi="Verdana"/>
          <w:i/>
          <w:spacing w:val="-4"/>
          <w:sz w:val="20"/>
          <w:szCs w:val="20"/>
          <w:lang w:val="es-CR"/>
        </w:rPr>
        <w:t>in limine</w:t>
      </w:r>
      <w:r w:rsidRPr="00642D9C">
        <w:rPr>
          <w:rFonts w:ascii="Verdana" w:hAnsi="Verdana"/>
          <w:iCs/>
          <w:spacing w:val="-4"/>
          <w:sz w:val="20"/>
          <w:szCs w:val="20"/>
          <w:lang w:val="es-CR"/>
        </w:rPr>
        <w:t xml:space="preserve"> en cuanto a las peticiones principales (</w:t>
      </w:r>
      <w:r w:rsidRPr="00642D9C">
        <w:rPr>
          <w:rFonts w:ascii="Verdana" w:hAnsi="Verdana"/>
          <w:i/>
          <w:spacing w:val="-4"/>
          <w:sz w:val="20"/>
          <w:szCs w:val="20"/>
          <w:lang w:val="es-CR"/>
        </w:rPr>
        <w:t>supra</w:t>
      </w:r>
      <w:r w:rsidRPr="00642D9C">
        <w:rPr>
          <w:rFonts w:ascii="Verdana" w:hAnsi="Verdana"/>
          <w:iCs/>
          <w:spacing w:val="-4"/>
          <w:sz w:val="20"/>
          <w:szCs w:val="20"/>
          <w:lang w:val="es-CR"/>
        </w:rPr>
        <w:t xml:space="preserve"> Considerando 7)</w:t>
      </w:r>
      <w:r w:rsidRPr="00642D9C">
        <w:rPr>
          <w:rFonts w:ascii="Verdana" w:hAnsi="Verdana"/>
          <w:spacing w:val="-4"/>
          <w:sz w:val="20"/>
          <w:szCs w:val="20"/>
          <w:lang w:val="es-CR"/>
        </w:rPr>
        <w:t>, respecto de tres de los cinco propuestos beneficiarios, los tribunales exhortaron al Instituto Nacional Penitenciario y a las autoridades del establecimiento penal en que se encuentran recluidos a brindar información sobre el estado de salud, condiciones de detención y/o atención médica recibida.</w:t>
      </w:r>
    </w:p>
    <w:p w14:paraId="2429B74F" w14:textId="77777777" w:rsidR="003C0CFF" w:rsidRPr="002C0FC0" w:rsidRDefault="003C0CFF" w:rsidP="003C0CFF">
      <w:pPr>
        <w:autoSpaceDE w:val="0"/>
        <w:autoSpaceDN w:val="0"/>
        <w:adjustRightInd w:val="0"/>
        <w:jc w:val="both"/>
        <w:rPr>
          <w:rFonts w:ascii="Verdana" w:hAnsi="Verdana"/>
          <w:spacing w:val="-4"/>
          <w:sz w:val="20"/>
          <w:szCs w:val="20"/>
          <w:lang w:val="es-CR"/>
        </w:rPr>
      </w:pPr>
    </w:p>
    <w:p w14:paraId="6F6A1881" w14:textId="77777777" w:rsidR="003C0CFF" w:rsidRPr="002C0FC0"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color w:val="4472C4" w:themeColor="accent1"/>
          <w:spacing w:val="-4"/>
          <w:sz w:val="20"/>
          <w:szCs w:val="20"/>
          <w:lang w:val="es-CR"/>
        </w:rPr>
      </w:pPr>
      <w:r w:rsidRPr="002C0FC0">
        <w:rPr>
          <w:rFonts w:ascii="Verdana" w:hAnsi="Verdana"/>
          <w:spacing w:val="-4"/>
          <w:sz w:val="20"/>
          <w:szCs w:val="20"/>
          <w:lang w:val="es-CR"/>
        </w:rPr>
        <w:t>En cuanto a la atención médica, luego de que los intervinientes comunes presentaran la solicitud de medidas provisionales, así como diversos recursos de hábeas corpus, (</w:t>
      </w:r>
      <w:r w:rsidRPr="002C0FC0">
        <w:rPr>
          <w:rFonts w:ascii="Verdana" w:hAnsi="Verdana"/>
          <w:i/>
          <w:spacing w:val="-4"/>
          <w:sz w:val="20"/>
          <w:szCs w:val="20"/>
          <w:lang w:val="es-CR"/>
        </w:rPr>
        <w:t xml:space="preserve">supra </w:t>
      </w:r>
      <w:r w:rsidRPr="002C0FC0">
        <w:rPr>
          <w:rFonts w:ascii="Verdana" w:hAnsi="Verdana"/>
          <w:spacing w:val="-4"/>
          <w:sz w:val="20"/>
          <w:szCs w:val="20"/>
          <w:lang w:val="es-CR"/>
        </w:rPr>
        <w:t xml:space="preserve">Considerandos 6 y </w:t>
      </w:r>
      <w:r w:rsidRPr="002C0FC0">
        <w:rPr>
          <w:rFonts w:ascii="Verdana" w:hAnsi="Verdana"/>
          <w:spacing w:val="-4"/>
          <w:sz w:val="20"/>
          <w:szCs w:val="20"/>
          <w:lang w:val="es-CR"/>
        </w:rPr>
        <w:fldChar w:fldCharType="begin"/>
      </w:r>
      <w:r w:rsidRPr="002C0FC0">
        <w:rPr>
          <w:rFonts w:ascii="Verdana" w:hAnsi="Verdana"/>
          <w:spacing w:val="-4"/>
          <w:sz w:val="20"/>
          <w:szCs w:val="20"/>
          <w:lang w:val="es-CR"/>
        </w:rPr>
        <w:instrText xml:space="preserve"> REF _Ref46241727 \r \h  \* MERGEFORMAT </w:instrText>
      </w:r>
      <w:r w:rsidRPr="002C0FC0">
        <w:rPr>
          <w:rFonts w:ascii="Verdana" w:hAnsi="Verdana"/>
          <w:spacing w:val="-4"/>
          <w:sz w:val="20"/>
          <w:szCs w:val="20"/>
          <w:lang w:val="es-CR"/>
        </w:rPr>
      </w:r>
      <w:r w:rsidRPr="002C0FC0">
        <w:rPr>
          <w:rFonts w:ascii="Verdana" w:hAnsi="Verdana"/>
          <w:spacing w:val="-4"/>
          <w:sz w:val="20"/>
          <w:szCs w:val="20"/>
          <w:lang w:val="es-CR"/>
        </w:rPr>
        <w:fldChar w:fldCharType="separate"/>
      </w:r>
      <w:r w:rsidRPr="002C0FC0">
        <w:rPr>
          <w:rFonts w:ascii="Verdana" w:hAnsi="Verdana"/>
          <w:spacing w:val="-4"/>
          <w:sz w:val="20"/>
          <w:szCs w:val="20"/>
          <w:lang w:val="es-CR"/>
        </w:rPr>
        <w:t>7</w:t>
      </w:r>
      <w:r w:rsidRPr="002C0FC0">
        <w:rPr>
          <w:rFonts w:ascii="Verdana" w:hAnsi="Verdana"/>
          <w:spacing w:val="-4"/>
          <w:sz w:val="20"/>
          <w:szCs w:val="20"/>
          <w:lang w:val="es-CR"/>
        </w:rPr>
        <w:fldChar w:fldCharType="end"/>
      </w:r>
      <w:r w:rsidRPr="002C0FC0">
        <w:rPr>
          <w:rFonts w:ascii="Verdana" w:hAnsi="Verdana"/>
          <w:spacing w:val="-4"/>
          <w:sz w:val="20"/>
          <w:szCs w:val="20"/>
          <w:lang w:val="es-CR"/>
        </w:rPr>
        <w:t xml:space="preserve"> de la Resolución), el Perú procedió a realizarles diversos exámenes médicos, cuyos hallazgos están recogidos en los informes y constancias médicas que presentó ante este Tribunal (</w:t>
      </w:r>
      <w:r w:rsidRPr="002C0FC0">
        <w:rPr>
          <w:rFonts w:ascii="Verdana" w:hAnsi="Verdana"/>
          <w:i/>
          <w:spacing w:val="-4"/>
          <w:sz w:val="20"/>
          <w:szCs w:val="20"/>
          <w:lang w:val="es-CR"/>
        </w:rPr>
        <w:t xml:space="preserve">supra </w:t>
      </w:r>
      <w:r w:rsidRPr="002C0FC0">
        <w:rPr>
          <w:rFonts w:ascii="Verdana" w:hAnsi="Verdana"/>
          <w:spacing w:val="-4"/>
          <w:sz w:val="20"/>
          <w:szCs w:val="20"/>
          <w:lang w:val="es-CR"/>
        </w:rPr>
        <w:t xml:space="preserve">Considerando </w:t>
      </w:r>
      <w:r w:rsidRPr="002C0FC0">
        <w:rPr>
          <w:rFonts w:ascii="Verdana" w:hAnsi="Verdana"/>
          <w:spacing w:val="-4"/>
          <w:sz w:val="20"/>
          <w:szCs w:val="20"/>
          <w:lang w:val="es-CR"/>
        </w:rPr>
        <w:fldChar w:fldCharType="begin"/>
      </w:r>
      <w:r w:rsidRPr="002C0FC0">
        <w:rPr>
          <w:rFonts w:ascii="Verdana" w:hAnsi="Verdana"/>
          <w:spacing w:val="-4"/>
          <w:sz w:val="20"/>
          <w:szCs w:val="20"/>
          <w:lang w:val="es-CR"/>
        </w:rPr>
        <w:instrText xml:space="preserve"> REF _Ref46180975 \r \h  \* MERGEFORMAT </w:instrText>
      </w:r>
      <w:r w:rsidRPr="002C0FC0">
        <w:rPr>
          <w:rFonts w:ascii="Verdana" w:hAnsi="Verdana"/>
          <w:spacing w:val="-4"/>
          <w:sz w:val="20"/>
          <w:szCs w:val="20"/>
          <w:lang w:val="es-CR"/>
        </w:rPr>
      </w:r>
      <w:r w:rsidRPr="002C0FC0">
        <w:rPr>
          <w:rFonts w:ascii="Verdana" w:hAnsi="Verdana"/>
          <w:spacing w:val="-4"/>
          <w:sz w:val="20"/>
          <w:szCs w:val="20"/>
          <w:lang w:val="es-CR"/>
        </w:rPr>
        <w:fldChar w:fldCharType="separate"/>
      </w:r>
      <w:r w:rsidRPr="002C0FC0">
        <w:rPr>
          <w:rFonts w:ascii="Verdana" w:hAnsi="Verdana"/>
          <w:spacing w:val="-4"/>
          <w:sz w:val="20"/>
          <w:szCs w:val="20"/>
          <w:lang w:val="es-CR"/>
        </w:rPr>
        <w:t>11</w:t>
      </w:r>
      <w:r w:rsidRPr="002C0FC0">
        <w:rPr>
          <w:rFonts w:ascii="Verdana" w:hAnsi="Verdana"/>
          <w:spacing w:val="-4"/>
          <w:sz w:val="20"/>
          <w:szCs w:val="20"/>
          <w:lang w:val="es-CR"/>
        </w:rPr>
        <w:fldChar w:fldCharType="end"/>
      </w:r>
      <w:r w:rsidRPr="002C0FC0">
        <w:rPr>
          <w:rFonts w:ascii="Verdana" w:hAnsi="Verdana"/>
          <w:spacing w:val="-4"/>
          <w:sz w:val="20"/>
          <w:szCs w:val="20"/>
          <w:lang w:val="es-CR"/>
        </w:rPr>
        <w:t xml:space="preserve"> de la Resolución). Con base en dichos informes, el Estado precisó que los cinco propuestos beneficiarios estaban estables</w:t>
      </w:r>
      <w:r w:rsidRPr="002C0FC0">
        <w:rPr>
          <w:rStyle w:val="Refdenotaalpie"/>
          <w:spacing w:val="-4"/>
          <w:sz w:val="20"/>
          <w:szCs w:val="20"/>
          <w:lang w:val="es-CR"/>
        </w:rPr>
        <w:footnoteReference w:id="137"/>
      </w:r>
      <w:r w:rsidRPr="002C0FC0">
        <w:rPr>
          <w:rFonts w:ascii="Verdana" w:hAnsi="Verdana"/>
          <w:spacing w:val="-4"/>
          <w:sz w:val="20"/>
          <w:szCs w:val="20"/>
          <w:lang w:val="es-CR"/>
        </w:rPr>
        <w:t xml:space="preserve"> y recibiendo el tratamiento necesario de acuerdo con sus afecciones particulares, tanto con relación a la presencia de COVID-19, respecto de aquellos casos cuyas pruebas de descarte arrojaron resultado positivo, como por otro tipo de afecciones, tratamiento que se encuentra detallado en los referidos informes y constancias médicas. Sin embargo, los intervinientes comunes objetaron que no estaban recibiendo el tratamiento adecuado, y señalaron que, en dos casos, los familiares de los propuestos beneficiarios habían tenido que suministrarles la medicación o los alimentos necesarios, según sus afecciones de salud, lo cual se dificultaba a raíz de las restricciones impuestas en este sentido por parte de los diferentes establecimientos penitenciarios y del Instituto Nacional Penitenciario, como parte de las medidas adoptadas para evitar el contagio del COVID-19 en dichos establecimientos. </w:t>
      </w:r>
    </w:p>
    <w:p w14:paraId="543AFFA7" w14:textId="77777777" w:rsidR="003C0CFF" w:rsidRPr="002C0FC0" w:rsidRDefault="003C0CFF" w:rsidP="003C0CFF">
      <w:pPr>
        <w:pStyle w:val="Prrafodelista"/>
        <w:autoSpaceDE w:val="0"/>
        <w:autoSpaceDN w:val="0"/>
        <w:adjustRightInd w:val="0"/>
        <w:spacing w:after="0" w:line="240" w:lineRule="auto"/>
        <w:ind w:left="0"/>
        <w:jc w:val="both"/>
        <w:rPr>
          <w:rFonts w:ascii="Verdana" w:hAnsi="Verdana"/>
          <w:color w:val="4472C4" w:themeColor="accent1"/>
          <w:spacing w:val="-4"/>
          <w:sz w:val="20"/>
          <w:szCs w:val="20"/>
          <w:lang w:val="es-CR"/>
        </w:rPr>
      </w:pPr>
    </w:p>
    <w:p w14:paraId="766E8DFE" w14:textId="77777777" w:rsidR="003C0CFF" w:rsidRPr="002C0FC0"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2C0FC0">
        <w:rPr>
          <w:rFonts w:ascii="Verdana" w:hAnsi="Verdana"/>
          <w:spacing w:val="-4"/>
          <w:sz w:val="20"/>
          <w:szCs w:val="20"/>
          <w:lang w:val="es-CR"/>
        </w:rPr>
        <w:t xml:space="preserve">Si bien este Tribunal reconoce y valora positivamente que, a partir de la presentación de la solicitud de medidas provisionales, el Perú efectuó pruebas de diagnóstico del COVID-19 a los propuestos beneficiarios y les ha brindado tratamiento y ha realizado exámenes médicos, no es posible ignorar la extrema gravedad que representa el hecho de que dos de esas cinco personas con condiciones de riesgo de mayores complicaciones frente al COVID-19 se encuentren contagiadas; una tercera también lo estaría, según lo refieren los intervinientes comunes, y las dos restantes </w:t>
      </w:r>
      <w:r w:rsidRPr="002C0FC0">
        <w:rPr>
          <w:rFonts w:ascii="Verdana" w:hAnsi="Verdana"/>
          <w:spacing w:val="-4"/>
          <w:sz w:val="20"/>
          <w:szCs w:val="20"/>
          <w:lang w:val="es-CR"/>
        </w:rPr>
        <w:lastRenderedPageBreak/>
        <w:t xml:space="preserve">podrían estarlo, si se toma en cuenta que refieren presentar sintomatología compatible con el virus, así como el posible margen de error de la única prueba que se les realizó. Por ello, teniendo en cuenta la complejidad sin precedentes que la pandemia del COVID-19 presenta y las graves afectaciones que a corto, mediano y largo plazo que éste puede producir a la salud, así como la pertenencia de los propuestos beneficiarios a grupos de riesgo, la Corte concluye que se verifica el requisito de extrema gravedad. </w:t>
      </w:r>
    </w:p>
    <w:p w14:paraId="0A4A51CC" w14:textId="77777777" w:rsidR="003C0CFF" w:rsidRPr="002C0FC0" w:rsidRDefault="003C0CFF" w:rsidP="003C0CFF">
      <w:pPr>
        <w:autoSpaceDE w:val="0"/>
        <w:autoSpaceDN w:val="0"/>
        <w:adjustRightInd w:val="0"/>
        <w:jc w:val="both"/>
        <w:rPr>
          <w:rFonts w:ascii="Verdana" w:hAnsi="Verdana"/>
          <w:b/>
          <w:bCs/>
          <w:color w:val="4472C4" w:themeColor="accent1"/>
          <w:spacing w:val="-4"/>
          <w:sz w:val="20"/>
          <w:szCs w:val="20"/>
          <w:lang w:val="es-CR"/>
        </w:rPr>
      </w:pPr>
    </w:p>
    <w:p w14:paraId="6030B0C9" w14:textId="77777777" w:rsidR="003C0CFF" w:rsidRPr="002C0FC0"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2C0FC0">
        <w:rPr>
          <w:rFonts w:ascii="Verdana" w:hAnsi="Verdana"/>
          <w:spacing w:val="-4"/>
          <w:sz w:val="20"/>
          <w:szCs w:val="20"/>
          <w:lang w:val="es-CR"/>
        </w:rPr>
        <w:t>En cuanto a la urgencia, es necesario hacer referencia al contexto en todos los establecimientos penitenciarios del Perú, así como específicamente en los tres centros en los cuales se encuentran los propuestos beneficiarios. En efecto, la Corte observa que la Defensoría del Pueblo ha remarcado que, pese a los esfuerzos y acciones emprendidas por el Estado a través de diversos organismos</w:t>
      </w:r>
      <w:r w:rsidRPr="002C0FC0">
        <w:rPr>
          <w:rStyle w:val="Refdenotaalpie"/>
          <w:spacing w:val="-4"/>
          <w:sz w:val="20"/>
          <w:szCs w:val="20"/>
          <w:lang w:val="es-CR"/>
        </w:rPr>
        <w:footnoteReference w:id="138"/>
      </w:r>
      <w:r w:rsidRPr="002C0FC0">
        <w:rPr>
          <w:rFonts w:ascii="Verdana" w:hAnsi="Verdana"/>
          <w:spacing w:val="-4"/>
          <w:sz w:val="20"/>
          <w:szCs w:val="20"/>
          <w:lang w:val="es-CR"/>
        </w:rPr>
        <w:t>,</w:t>
      </w:r>
      <w:r w:rsidRPr="002C0FC0">
        <w:rPr>
          <w:rFonts w:ascii="Verdana" w:hAnsi="Verdana"/>
          <w:b/>
          <w:bCs/>
          <w:spacing w:val="-4"/>
          <w:sz w:val="20"/>
          <w:szCs w:val="20"/>
          <w:lang w:val="es-CR"/>
        </w:rPr>
        <w:t xml:space="preserve"> </w:t>
      </w:r>
      <w:r w:rsidRPr="002C0FC0">
        <w:rPr>
          <w:rFonts w:ascii="Verdana" w:hAnsi="Verdana"/>
          <w:spacing w:val="-4"/>
          <w:sz w:val="20"/>
          <w:szCs w:val="20"/>
          <w:lang w:val="es-CR"/>
        </w:rPr>
        <w:t>existe un “brote masivo del COVID-19 en las cárceles a nivel nacional”, que ha tenido como consecuencia el “cobro de vidas de internos y agentes penitenciarios”</w:t>
      </w:r>
      <w:r w:rsidRPr="002C0FC0">
        <w:rPr>
          <w:rStyle w:val="Refdenotaalpie"/>
          <w:spacing w:val="-4"/>
          <w:sz w:val="20"/>
          <w:szCs w:val="20"/>
          <w:lang w:val="es-CR"/>
        </w:rPr>
        <w:footnoteReference w:id="139"/>
      </w:r>
      <w:r w:rsidRPr="002C0FC0">
        <w:rPr>
          <w:rFonts w:ascii="Verdana" w:hAnsi="Verdana"/>
          <w:spacing w:val="-4"/>
          <w:sz w:val="20"/>
          <w:szCs w:val="20"/>
          <w:lang w:val="es-CR"/>
        </w:rPr>
        <w:t>. En este sentido, la información científica disponible demuestra que, una vez que el virus ingresa a los establecimientos penitenciarios, el índice de propagación es varias veces mayor que fuera de los mismos (</w:t>
      </w:r>
      <w:r w:rsidRPr="002C0FC0">
        <w:rPr>
          <w:rFonts w:ascii="Verdana" w:hAnsi="Verdana"/>
          <w:i/>
          <w:spacing w:val="-4"/>
          <w:sz w:val="20"/>
          <w:szCs w:val="20"/>
          <w:lang w:val="es-CR"/>
        </w:rPr>
        <w:t xml:space="preserve">supra </w:t>
      </w:r>
      <w:r w:rsidRPr="002C0FC0">
        <w:rPr>
          <w:rFonts w:ascii="Verdana" w:hAnsi="Verdana"/>
          <w:spacing w:val="-4"/>
          <w:sz w:val="20"/>
          <w:szCs w:val="20"/>
          <w:lang w:val="es-CR"/>
        </w:rPr>
        <w:t xml:space="preserve">Considerando 24). Esto podría generar que los servicios de salud disponibles dentro de los establecimientos escaseen, en virtud de la demanda sin precedentes que se presenta. El requisito de urgencia se configura, por lo tanto, en la necesidad de asegurar que los propuestos beneficiarios, todos ellos personas de riesgo, de los cuales al menos dos ya han sido contagiados, una tercera también lo estaría, según refieren los intervinientes comunes, y otros dos podrían estarlo, reciban o continúen recibiendo la atención médica y seguimiento necesario para combatir los efectos a corto, mediano y largo plazo de dicha enfermedad. Asimismo, esta Corte considera que la urgencia del caso se ve exacerbada por el hecho de que, a </w:t>
      </w:r>
      <w:r w:rsidRPr="002C0FC0">
        <w:rPr>
          <w:rFonts w:ascii="Verdana" w:hAnsi="Verdana"/>
          <w:spacing w:val="-4"/>
          <w:sz w:val="20"/>
          <w:szCs w:val="20"/>
          <w:lang w:val="es-AR"/>
        </w:rPr>
        <w:t xml:space="preserve">casi 14 años desde la emisión de la Sentencia del presente caso, Perú no ha presentado información </w:t>
      </w:r>
      <w:r w:rsidRPr="002C0FC0">
        <w:rPr>
          <w:rFonts w:ascii="Verdana" w:hAnsi="Verdana"/>
          <w:spacing w:val="-4"/>
          <w:sz w:val="20"/>
          <w:szCs w:val="20"/>
          <w:lang w:val="es-CR"/>
        </w:rPr>
        <w:t xml:space="preserve">en el marco del proceso de supervisión de cumplimiento </w:t>
      </w:r>
      <w:r w:rsidRPr="002C0FC0">
        <w:rPr>
          <w:rFonts w:ascii="Verdana" w:hAnsi="Verdana"/>
          <w:spacing w:val="-4"/>
          <w:sz w:val="20"/>
          <w:szCs w:val="20"/>
          <w:lang w:val="es-AR"/>
        </w:rPr>
        <w:t xml:space="preserve">que permita valorar algún avance significativo en la implementación de la presente medida de reparación, ni tampoco ha brindado la información requerida en la Resolución de 2014, es decir, hace 6 años. En el contexto actual en que todos los países del mundo están atravesando dificultades sin precedentes en materia sanitaria a raíz de la pandemia del COVID-19, resulta imperativo que el Estado presente información actualizada y detallada sobre el cumplimiento de esta medida. </w:t>
      </w:r>
    </w:p>
    <w:p w14:paraId="46FAF945" w14:textId="77777777" w:rsidR="003C0CFF" w:rsidRPr="002C0FC0" w:rsidRDefault="003C0CFF" w:rsidP="003C0CFF">
      <w:pPr>
        <w:pStyle w:val="Prrafodelista"/>
        <w:autoSpaceDE w:val="0"/>
        <w:autoSpaceDN w:val="0"/>
        <w:adjustRightInd w:val="0"/>
        <w:spacing w:after="0" w:line="240" w:lineRule="auto"/>
        <w:ind w:left="0"/>
        <w:jc w:val="both"/>
        <w:rPr>
          <w:rFonts w:ascii="Verdana" w:hAnsi="Verdana"/>
          <w:b/>
          <w:bCs/>
          <w:spacing w:val="-4"/>
          <w:sz w:val="20"/>
          <w:szCs w:val="20"/>
          <w:lang w:val="es-CR"/>
        </w:rPr>
      </w:pPr>
    </w:p>
    <w:p w14:paraId="25399546" w14:textId="77777777" w:rsidR="003C0CFF" w:rsidRPr="002C0FC0"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2C0FC0">
        <w:rPr>
          <w:rFonts w:ascii="Verdana" w:hAnsi="Verdana"/>
          <w:spacing w:val="-4"/>
          <w:sz w:val="20"/>
          <w:szCs w:val="20"/>
          <w:lang w:val="es-CR"/>
        </w:rPr>
        <w:t xml:space="preserve">Finalmente, el requisito de </w:t>
      </w:r>
      <w:proofErr w:type="spellStart"/>
      <w:r w:rsidRPr="002C0FC0">
        <w:rPr>
          <w:rFonts w:ascii="Verdana" w:hAnsi="Verdana"/>
          <w:spacing w:val="-4"/>
          <w:sz w:val="20"/>
          <w:szCs w:val="20"/>
          <w:lang w:val="es-CR"/>
        </w:rPr>
        <w:t>irreparabilidad</w:t>
      </w:r>
      <w:proofErr w:type="spellEnd"/>
      <w:r w:rsidRPr="002C0FC0">
        <w:rPr>
          <w:rFonts w:ascii="Verdana" w:hAnsi="Verdana"/>
          <w:spacing w:val="-4"/>
          <w:sz w:val="20"/>
          <w:szCs w:val="20"/>
          <w:lang w:val="es-CR"/>
        </w:rPr>
        <w:t xml:space="preserve"> del daño se cumple debido a la complejidad del virus COVID-19, del cual están contagiados al menos dos de los propuestos beneficiarios a lo que se suma que una tercera también lo estaría, mientras que otros dos podrían estarlo, así como por la grave afectación que dicha enfermedad puede producir a la vida, la salud y la integridad de los propuestos beneficiarios, máxime cuando se trata de personas en especial situación de riesgo de sufrir complicaciones en caso de contagio. </w:t>
      </w:r>
    </w:p>
    <w:p w14:paraId="2D2063AA" w14:textId="77777777" w:rsidR="003C0CFF" w:rsidRPr="00D73B37" w:rsidRDefault="003C0CFF" w:rsidP="003C0CFF">
      <w:pPr>
        <w:autoSpaceDE w:val="0"/>
        <w:autoSpaceDN w:val="0"/>
        <w:adjustRightInd w:val="0"/>
        <w:jc w:val="both"/>
        <w:rPr>
          <w:rFonts w:ascii="Verdana" w:hAnsi="Verdana"/>
          <w:spacing w:val="-4"/>
          <w:sz w:val="8"/>
          <w:szCs w:val="20"/>
          <w:lang w:val="es-CR"/>
        </w:rPr>
      </w:pPr>
    </w:p>
    <w:p w14:paraId="4E9C444D" w14:textId="77777777" w:rsidR="003C0CFF" w:rsidRPr="00D73B37" w:rsidRDefault="003C0CFF" w:rsidP="003C0CFF">
      <w:pPr>
        <w:pStyle w:val="Prrafodelista"/>
        <w:numPr>
          <w:ilvl w:val="0"/>
          <w:numId w:val="30"/>
        </w:numPr>
        <w:autoSpaceDE w:val="0"/>
        <w:autoSpaceDN w:val="0"/>
        <w:adjustRightInd w:val="0"/>
        <w:spacing w:after="0" w:line="240" w:lineRule="auto"/>
        <w:ind w:left="0" w:firstLine="0"/>
        <w:jc w:val="both"/>
        <w:rPr>
          <w:rFonts w:ascii="Verdana" w:hAnsi="Verdana"/>
          <w:spacing w:val="-4"/>
          <w:sz w:val="20"/>
          <w:szCs w:val="20"/>
          <w:lang w:val="es-CR"/>
        </w:rPr>
      </w:pPr>
      <w:r w:rsidRPr="00D73B37">
        <w:rPr>
          <w:rFonts w:ascii="Verdana" w:hAnsi="Verdana"/>
          <w:spacing w:val="-4"/>
          <w:sz w:val="20"/>
          <w:szCs w:val="20"/>
          <w:lang w:val="es-AR"/>
        </w:rPr>
        <w:t>Este Tribunal observa: (i) que Perú tiene una especial posición de garante de los derechos de los propuestos beneficiarios, quienes se encuentran bajo su custodia en tres distintos establecimientos penitenciarios del país; (</w:t>
      </w:r>
      <w:proofErr w:type="spellStart"/>
      <w:r w:rsidRPr="00D73B37">
        <w:rPr>
          <w:rFonts w:ascii="Verdana" w:hAnsi="Verdana"/>
          <w:spacing w:val="-4"/>
          <w:sz w:val="20"/>
          <w:szCs w:val="20"/>
          <w:lang w:val="es-AR"/>
        </w:rPr>
        <w:t>ii</w:t>
      </w:r>
      <w:proofErr w:type="spellEnd"/>
      <w:r w:rsidRPr="00D73B37">
        <w:rPr>
          <w:rFonts w:ascii="Verdana" w:hAnsi="Verdana"/>
          <w:spacing w:val="-4"/>
          <w:sz w:val="20"/>
          <w:szCs w:val="20"/>
          <w:lang w:val="es-AR"/>
        </w:rPr>
        <w:t>) las afectaciones a corto, mediano y largo plazo que la enfermedad de COVID-19 puede generar a la salud de las personas, así como el riesgo de mortalidad en aquellos casos en que se presentan complicaciones; (</w:t>
      </w:r>
      <w:proofErr w:type="spellStart"/>
      <w:r w:rsidRPr="00D73B37">
        <w:rPr>
          <w:rFonts w:ascii="Verdana" w:hAnsi="Verdana"/>
          <w:spacing w:val="-4"/>
          <w:sz w:val="20"/>
          <w:szCs w:val="20"/>
          <w:lang w:val="es-AR"/>
        </w:rPr>
        <w:t>iii</w:t>
      </w:r>
      <w:proofErr w:type="spellEnd"/>
      <w:r w:rsidRPr="00D73B37">
        <w:rPr>
          <w:rFonts w:ascii="Verdana" w:hAnsi="Verdana"/>
          <w:spacing w:val="-4"/>
          <w:sz w:val="20"/>
          <w:szCs w:val="20"/>
          <w:lang w:val="es-AR"/>
        </w:rPr>
        <w:t xml:space="preserve">) que los propuestos beneficiarios se enmarcan dentro de los grupos en con mayor riesgo de sufrir complicaciones en caso de contagio de COVID-19, dada </w:t>
      </w:r>
      <w:r w:rsidRPr="00D73B37">
        <w:rPr>
          <w:rFonts w:ascii="Verdana" w:hAnsi="Verdana"/>
          <w:spacing w:val="-4"/>
          <w:sz w:val="20"/>
          <w:szCs w:val="20"/>
          <w:lang w:val="es-CR"/>
        </w:rPr>
        <w:t>su edad, condiciones subyacentes de salud y condición de privación de libertad, (</w:t>
      </w:r>
      <w:proofErr w:type="spellStart"/>
      <w:r w:rsidRPr="00D73B37">
        <w:rPr>
          <w:rFonts w:ascii="Verdana" w:hAnsi="Verdana"/>
          <w:spacing w:val="-4"/>
          <w:sz w:val="20"/>
          <w:szCs w:val="20"/>
          <w:lang w:val="es-CR"/>
        </w:rPr>
        <w:t>iv</w:t>
      </w:r>
      <w:proofErr w:type="spellEnd"/>
      <w:r w:rsidRPr="00D73B37">
        <w:rPr>
          <w:rFonts w:ascii="Verdana" w:hAnsi="Verdana"/>
          <w:spacing w:val="-4"/>
          <w:sz w:val="20"/>
          <w:szCs w:val="20"/>
          <w:lang w:val="es-CR"/>
        </w:rPr>
        <w:t xml:space="preserve">) que a partir de la presentación de la presente solicitud de medidas provisionales, Perú ha realizado pruebas de descarte a los propuestos beneficiarios, y (v) que se encuentra </w:t>
      </w:r>
      <w:r w:rsidRPr="00D73B37">
        <w:rPr>
          <w:rFonts w:ascii="Verdana" w:hAnsi="Verdana"/>
          <w:spacing w:val="-4"/>
          <w:sz w:val="20"/>
          <w:szCs w:val="20"/>
          <w:lang w:val="es-CR"/>
        </w:rPr>
        <w:lastRenderedPageBreak/>
        <w:t xml:space="preserve">controvertida la adecuación del tratamiento médico suministrado, siendo esencial garantizar esta adecuación y su continuidad para preservar la salud, integridad física y vida de los propuestos beneficiarios. Por lo tanto, de conformidad a lo señalado, la Corte ordena al Estado adoptar las medidas necesarias para que, se disponga el arresto o detención domiciliaria de los cinco beneficiarios, como forma de ejecución de su pena limitada al tiempo en que permanezca el riesgo para la salud y la vida de estas personas y con las medidas de seguridad y control que el Estado disponga. </w:t>
      </w:r>
    </w:p>
    <w:p w14:paraId="5BF52C1E" w14:textId="77777777" w:rsidR="003C0CFF" w:rsidRPr="002C0FC0" w:rsidRDefault="003C0CFF" w:rsidP="003C0CFF">
      <w:pPr>
        <w:autoSpaceDE w:val="0"/>
        <w:autoSpaceDN w:val="0"/>
        <w:adjustRightInd w:val="0"/>
        <w:jc w:val="both"/>
        <w:rPr>
          <w:rFonts w:ascii="Verdana" w:hAnsi="Verdana"/>
          <w:spacing w:val="-4"/>
          <w:sz w:val="20"/>
          <w:szCs w:val="20"/>
          <w:lang w:val="es-CR"/>
        </w:rPr>
      </w:pPr>
    </w:p>
    <w:p w14:paraId="67AA552F" w14:textId="77777777" w:rsidR="003C0CFF" w:rsidRPr="002C0FC0" w:rsidRDefault="003C0CFF" w:rsidP="003C0CFF">
      <w:pPr>
        <w:spacing w:line="259" w:lineRule="auto"/>
        <w:jc w:val="both"/>
        <w:rPr>
          <w:rFonts w:ascii="Verdana" w:eastAsia="Verdana" w:hAnsi="Verdana" w:cs="Verdana"/>
          <w:spacing w:val="-4"/>
          <w:sz w:val="20"/>
          <w:szCs w:val="20"/>
          <w:lang w:val="es-CR"/>
        </w:rPr>
      </w:pPr>
      <w:r w:rsidRPr="002C0FC0">
        <w:rPr>
          <w:rFonts w:ascii="Verdana" w:eastAsia="Verdana" w:hAnsi="Verdana" w:cs="Verdana"/>
          <w:b/>
          <w:bCs/>
          <w:spacing w:val="-4"/>
          <w:sz w:val="20"/>
          <w:szCs w:val="20"/>
          <w:lang w:val="es-CR"/>
        </w:rPr>
        <w:t>POR TANTO:</w:t>
      </w:r>
    </w:p>
    <w:p w14:paraId="0C92E78F" w14:textId="77777777" w:rsidR="003C0CFF" w:rsidRPr="002C0FC0" w:rsidRDefault="003C0CFF" w:rsidP="003C0CFF">
      <w:pPr>
        <w:jc w:val="both"/>
        <w:rPr>
          <w:rFonts w:ascii="Verdana" w:hAnsi="Verdana"/>
          <w:spacing w:val="-4"/>
          <w:sz w:val="20"/>
          <w:szCs w:val="20"/>
          <w:lang w:val="es-CR"/>
        </w:rPr>
      </w:pPr>
    </w:p>
    <w:p w14:paraId="7ACA199C" w14:textId="77777777" w:rsidR="003C0CFF" w:rsidRPr="002C0FC0" w:rsidRDefault="003C0CFF" w:rsidP="003C0CFF">
      <w:pPr>
        <w:jc w:val="both"/>
        <w:rPr>
          <w:rFonts w:ascii="Verdana" w:eastAsia="Verdana" w:hAnsi="Verdana" w:cs="Verdana"/>
          <w:spacing w:val="-4"/>
          <w:sz w:val="20"/>
          <w:szCs w:val="20"/>
          <w:lang w:val="es-CR"/>
        </w:rPr>
      </w:pPr>
      <w:r w:rsidRPr="002C0FC0">
        <w:rPr>
          <w:rFonts w:ascii="Verdana" w:eastAsia="Verdana" w:hAnsi="Verdana" w:cs="Verdana"/>
          <w:b/>
          <w:bCs/>
          <w:spacing w:val="-4"/>
          <w:sz w:val="20"/>
          <w:szCs w:val="20"/>
          <w:lang w:val="es-CR"/>
        </w:rPr>
        <w:t>LA CORTE INTERAMERICANA DE DERECHOS HUMANOS,</w:t>
      </w:r>
    </w:p>
    <w:p w14:paraId="36456C82" w14:textId="77777777" w:rsidR="003C0CFF" w:rsidRPr="002C0FC0" w:rsidRDefault="003C0CFF" w:rsidP="003C0CFF">
      <w:pPr>
        <w:jc w:val="both"/>
        <w:rPr>
          <w:rFonts w:ascii="Verdana" w:hAnsi="Verdana"/>
          <w:spacing w:val="-4"/>
          <w:sz w:val="20"/>
          <w:szCs w:val="20"/>
          <w:lang w:val="es-CR"/>
        </w:rPr>
      </w:pPr>
    </w:p>
    <w:p w14:paraId="2060945D" w14:textId="77777777" w:rsidR="003C0CFF" w:rsidRPr="002C0FC0" w:rsidRDefault="003C0CFF" w:rsidP="003C0CFF">
      <w:pPr>
        <w:jc w:val="both"/>
        <w:rPr>
          <w:rFonts w:ascii="Verdana" w:eastAsia="Verdana" w:hAnsi="Verdana" w:cs="Verdana"/>
          <w:spacing w:val="-4"/>
          <w:sz w:val="20"/>
          <w:szCs w:val="20"/>
          <w:lang w:val="es-CR"/>
        </w:rPr>
      </w:pPr>
      <w:r w:rsidRPr="002C0FC0">
        <w:rPr>
          <w:rFonts w:ascii="Verdana" w:hAnsi="Verdana"/>
          <w:spacing w:val="-4"/>
          <w:sz w:val="20"/>
          <w:szCs w:val="20"/>
          <w:lang w:val="es-MX"/>
        </w:rPr>
        <w:t xml:space="preserve">en uso de las atribuciones que le confieren </w:t>
      </w:r>
      <w:r w:rsidRPr="002C0FC0">
        <w:rPr>
          <w:rFonts w:ascii="Verdana" w:hAnsi="Verdana"/>
          <w:spacing w:val="-4"/>
          <w:sz w:val="20"/>
          <w:szCs w:val="20"/>
        </w:rPr>
        <w:t>los artículos 63.2 de la Convención Americana, y los artículos 27, y 31 del Reglamento del Tribunal</w:t>
      </w:r>
      <w:r w:rsidRPr="002C0FC0">
        <w:rPr>
          <w:rFonts w:ascii="Verdana" w:hAnsi="Verdana"/>
          <w:spacing w:val="-4"/>
          <w:sz w:val="20"/>
          <w:szCs w:val="20"/>
          <w:lang w:val="es-MX"/>
        </w:rPr>
        <w:t>,</w:t>
      </w:r>
    </w:p>
    <w:p w14:paraId="34288529" w14:textId="77777777" w:rsidR="003C0CFF" w:rsidRPr="002C0FC0" w:rsidRDefault="003C0CFF" w:rsidP="003C0CFF">
      <w:pPr>
        <w:jc w:val="both"/>
        <w:rPr>
          <w:rFonts w:ascii="Verdana" w:eastAsia="Verdana" w:hAnsi="Verdana" w:cs="Verdana"/>
          <w:b/>
          <w:bCs/>
          <w:spacing w:val="-4"/>
          <w:sz w:val="20"/>
          <w:szCs w:val="20"/>
          <w:lang w:val="es-CR"/>
        </w:rPr>
      </w:pPr>
    </w:p>
    <w:p w14:paraId="1189336A" w14:textId="77777777" w:rsidR="003C0CFF" w:rsidRPr="002C0FC0" w:rsidRDefault="003C0CFF" w:rsidP="003C0CFF">
      <w:pPr>
        <w:jc w:val="both"/>
        <w:rPr>
          <w:rFonts w:ascii="Verdana" w:eastAsia="Verdana" w:hAnsi="Verdana" w:cs="Verdana"/>
          <w:spacing w:val="-4"/>
          <w:sz w:val="20"/>
          <w:szCs w:val="20"/>
          <w:lang w:val="es-CR"/>
        </w:rPr>
      </w:pPr>
      <w:r w:rsidRPr="002C0FC0">
        <w:rPr>
          <w:rFonts w:ascii="Verdana" w:eastAsia="Verdana" w:hAnsi="Verdana" w:cs="Verdana"/>
          <w:b/>
          <w:bCs/>
          <w:spacing w:val="-4"/>
          <w:sz w:val="20"/>
          <w:szCs w:val="20"/>
          <w:lang w:val="es-CR"/>
        </w:rPr>
        <w:t xml:space="preserve">RESUELVE: </w:t>
      </w:r>
    </w:p>
    <w:p w14:paraId="578621DA" w14:textId="77777777" w:rsidR="003C0CFF" w:rsidRPr="002C0FC0" w:rsidRDefault="003C0CFF" w:rsidP="003C0CFF">
      <w:pPr>
        <w:jc w:val="both"/>
        <w:rPr>
          <w:rFonts w:ascii="Verdana" w:eastAsia="Calibri" w:hAnsi="Verdana" w:cs="Verdana"/>
          <w:color w:val="000000"/>
          <w:spacing w:val="-4"/>
          <w:sz w:val="20"/>
          <w:szCs w:val="20"/>
          <w:lang w:val="es-CR"/>
        </w:rPr>
      </w:pPr>
    </w:p>
    <w:p w14:paraId="4FCD98D0" w14:textId="77777777" w:rsidR="003C0CFF" w:rsidRDefault="003C0CFF" w:rsidP="003C0CFF">
      <w:pPr>
        <w:pStyle w:val="Prrafodelista"/>
        <w:spacing w:after="0" w:line="240" w:lineRule="auto"/>
        <w:ind w:left="0"/>
        <w:jc w:val="both"/>
        <w:rPr>
          <w:rFonts w:ascii="Verdana" w:hAnsi="Verdana"/>
          <w:spacing w:val="-4"/>
          <w:sz w:val="20"/>
          <w:szCs w:val="20"/>
          <w:lang w:val="es-AR"/>
        </w:rPr>
      </w:pPr>
      <w:r w:rsidRPr="002C0FC0">
        <w:rPr>
          <w:rFonts w:ascii="Verdana" w:hAnsi="Verdana"/>
          <w:spacing w:val="-4"/>
          <w:sz w:val="20"/>
          <w:szCs w:val="20"/>
          <w:lang w:val="es-CR"/>
        </w:rPr>
        <w:t>1.</w:t>
      </w:r>
      <w:r w:rsidRPr="002C0FC0">
        <w:rPr>
          <w:rFonts w:ascii="Verdana" w:hAnsi="Verdana"/>
          <w:spacing w:val="-4"/>
          <w:sz w:val="20"/>
          <w:szCs w:val="20"/>
          <w:lang w:val="es-CR"/>
        </w:rPr>
        <w:tab/>
        <w:t>Requerir al Estado que disponga la continuación d</w:t>
      </w:r>
      <w:r w:rsidRPr="00D73B37">
        <w:rPr>
          <w:rFonts w:ascii="Verdana" w:hAnsi="Verdana"/>
          <w:spacing w:val="-4"/>
          <w:sz w:val="20"/>
          <w:szCs w:val="20"/>
          <w:lang w:val="es-CR"/>
        </w:rPr>
        <w:t xml:space="preserve">e la ejecución de su pena bajo la forma de arresto o detención domiciliaria de </w:t>
      </w:r>
      <w:r w:rsidRPr="00D73B37">
        <w:rPr>
          <w:rFonts w:ascii="Verdana" w:hAnsi="Verdana"/>
          <w:spacing w:val="-4"/>
          <w:sz w:val="20"/>
          <w:szCs w:val="20"/>
          <w:lang w:val="es-AR"/>
        </w:rPr>
        <w:t xml:space="preserve">Margot Lourdes Liendo Gil, Osman Roberto Morote Barrionuevo, Arturo Chumpitaz Aguirre, Atilio Richard Cahuana </w:t>
      </w:r>
      <w:proofErr w:type="spellStart"/>
      <w:r w:rsidRPr="00D73B37">
        <w:rPr>
          <w:rFonts w:ascii="Verdana" w:hAnsi="Verdana"/>
          <w:spacing w:val="-4"/>
          <w:sz w:val="20"/>
          <w:szCs w:val="20"/>
          <w:lang w:val="es-AR"/>
        </w:rPr>
        <w:t>Yuyali</w:t>
      </w:r>
      <w:proofErr w:type="spellEnd"/>
      <w:r w:rsidRPr="00D73B37">
        <w:rPr>
          <w:rFonts w:ascii="Verdana" w:hAnsi="Verdana"/>
          <w:spacing w:val="-4"/>
          <w:sz w:val="20"/>
          <w:szCs w:val="20"/>
          <w:lang w:val="es-AR"/>
        </w:rPr>
        <w:t xml:space="preserve"> y Juan Alonso Aranda Company, por el tiempo en que permanezca el riesgo para sus vidas</w:t>
      </w:r>
      <w:r>
        <w:rPr>
          <w:rFonts w:ascii="Verdana" w:hAnsi="Verdana"/>
          <w:spacing w:val="-4"/>
          <w:sz w:val="20"/>
          <w:szCs w:val="20"/>
          <w:lang w:val="es-AR"/>
        </w:rPr>
        <w:t>,</w:t>
      </w:r>
      <w:r w:rsidRPr="00D73B37">
        <w:rPr>
          <w:rFonts w:ascii="Verdana" w:hAnsi="Verdana"/>
          <w:spacing w:val="-4"/>
          <w:sz w:val="20"/>
          <w:szCs w:val="20"/>
          <w:lang w:val="es-AR"/>
        </w:rPr>
        <w:t xml:space="preserve"> en razón de la actual pandemia, con las seguridades y controles que el Estado disponga. </w:t>
      </w:r>
    </w:p>
    <w:p w14:paraId="1D6C3DA1" w14:textId="77777777" w:rsidR="003C0CFF" w:rsidRPr="008741D2" w:rsidRDefault="003C0CFF" w:rsidP="003C0CFF">
      <w:pPr>
        <w:pStyle w:val="Prrafodelista"/>
        <w:spacing w:after="0" w:line="240" w:lineRule="auto"/>
        <w:ind w:left="0"/>
        <w:jc w:val="both"/>
        <w:rPr>
          <w:rFonts w:ascii="Verdana" w:hAnsi="Verdana"/>
          <w:spacing w:val="-4"/>
          <w:sz w:val="20"/>
          <w:szCs w:val="20"/>
          <w:lang w:val="es-AR"/>
        </w:rPr>
      </w:pPr>
    </w:p>
    <w:p w14:paraId="5C8509B3" w14:textId="77777777" w:rsidR="003C0CFF" w:rsidRPr="00D73B37" w:rsidRDefault="003C0CFF" w:rsidP="003C0CFF">
      <w:pPr>
        <w:jc w:val="both"/>
        <w:rPr>
          <w:rFonts w:ascii="Verdana" w:eastAsia="Verdana" w:hAnsi="Verdana" w:cs="Verdana"/>
          <w:spacing w:val="-4"/>
          <w:sz w:val="8"/>
          <w:szCs w:val="20"/>
          <w:lang w:val="es-CR"/>
        </w:rPr>
      </w:pPr>
    </w:p>
    <w:p w14:paraId="76D20B6A"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r w:rsidRPr="00D73B37">
        <w:rPr>
          <w:rFonts w:ascii="Verdana" w:eastAsia="Verdana" w:hAnsi="Verdana" w:cs="Verdana"/>
          <w:spacing w:val="-4"/>
          <w:sz w:val="20"/>
          <w:szCs w:val="20"/>
          <w:lang w:val="es-CR"/>
        </w:rPr>
        <w:t>2.</w:t>
      </w:r>
      <w:r w:rsidRPr="00D73B37">
        <w:rPr>
          <w:rFonts w:ascii="Verdana" w:eastAsia="Verdana" w:hAnsi="Verdana" w:cs="Verdana"/>
          <w:spacing w:val="-4"/>
          <w:sz w:val="20"/>
          <w:szCs w:val="20"/>
          <w:lang w:val="es-CR"/>
        </w:rPr>
        <w:tab/>
      </w:r>
      <w:r w:rsidRPr="008741D2">
        <w:rPr>
          <w:rFonts w:ascii="Verdana" w:eastAsia="Verdana" w:hAnsi="Verdana" w:cs="Verdana"/>
          <w:spacing w:val="-4"/>
          <w:sz w:val="20"/>
          <w:szCs w:val="20"/>
          <w:lang w:val="es-CR"/>
        </w:rPr>
        <w:t>Disponer que la Secretaría de la Corte notifique la presente Resolución al Estado, al interviniente común que presentó la solicitud</w:t>
      </w:r>
      <w:r w:rsidRPr="008741D2" w:rsidDel="00A642C6">
        <w:rPr>
          <w:rFonts w:ascii="Verdana" w:eastAsia="Verdana" w:hAnsi="Verdana" w:cs="Verdana"/>
          <w:spacing w:val="-4"/>
          <w:sz w:val="20"/>
          <w:szCs w:val="20"/>
          <w:lang w:val="es-CR"/>
        </w:rPr>
        <w:t xml:space="preserve"> </w:t>
      </w:r>
      <w:r w:rsidRPr="008741D2">
        <w:rPr>
          <w:rFonts w:ascii="Verdana" w:eastAsia="Verdana" w:hAnsi="Verdana" w:cs="Verdana"/>
          <w:spacing w:val="-4"/>
          <w:sz w:val="20"/>
          <w:szCs w:val="20"/>
          <w:lang w:val="es-CR"/>
        </w:rPr>
        <w:t>y a la Comisión Interamericana.</w:t>
      </w:r>
    </w:p>
    <w:p w14:paraId="730CD738"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4EA966F8" w14:textId="068DB455"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53E01A06"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57534187"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3005C0B8"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67BF232A"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2AB4F7AC" w14:textId="77777777" w:rsidR="003C0CFF" w:rsidRDefault="003C0CFF" w:rsidP="003C0CFF">
      <w:pPr>
        <w:pStyle w:val="Prrafodelista"/>
        <w:spacing w:after="0" w:line="240" w:lineRule="auto"/>
        <w:ind w:left="0"/>
        <w:jc w:val="both"/>
        <w:rPr>
          <w:rFonts w:ascii="Verdana" w:eastAsia="Verdana" w:hAnsi="Verdana" w:cs="Verdana"/>
          <w:spacing w:val="-4"/>
          <w:sz w:val="20"/>
          <w:szCs w:val="20"/>
          <w:lang w:val="es-CR"/>
        </w:rPr>
      </w:pPr>
    </w:p>
    <w:p w14:paraId="7B8E4D29" w14:textId="77777777" w:rsidR="003C0CFF" w:rsidRDefault="003C0CFF" w:rsidP="003C0CFF">
      <w:pPr>
        <w:pStyle w:val="Prrafodelista"/>
        <w:spacing w:after="0" w:line="240" w:lineRule="auto"/>
        <w:ind w:left="5664"/>
        <w:jc w:val="center"/>
        <w:rPr>
          <w:rFonts w:ascii="Verdana" w:hAnsi="Verdana"/>
          <w:sz w:val="20"/>
          <w:szCs w:val="20"/>
          <w:lang w:val="pt-BR"/>
        </w:rPr>
      </w:pPr>
      <w:r>
        <w:rPr>
          <w:rFonts w:ascii="Verdana" w:hAnsi="Verdana"/>
          <w:sz w:val="20"/>
          <w:szCs w:val="20"/>
          <w:lang w:val="pt-BR"/>
        </w:rPr>
        <w:t xml:space="preserve">Eugenio </w:t>
      </w:r>
      <w:proofErr w:type="spellStart"/>
      <w:r>
        <w:rPr>
          <w:rFonts w:ascii="Verdana" w:hAnsi="Verdana"/>
          <w:sz w:val="20"/>
          <w:szCs w:val="20"/>
          <w:lang w:val="pt-BR"/>
        </w:rPr>
        <w:t>Raúl</w:t>
      </w:r>
      <w:proofErr w:type="spellEnd"/>
      <w:r>
        <w:rPr>
          <w:rFonts w:ascii="Verdana" w:hAnsi="Verdana"/>
          <w:sz w:val="20"/>
          <w:szCs w:val="20"/>
          <w:lang w:val="pt-BR"/>
        </w:rPr>
        <w:t xml:space="preserve"> </w:t>
      </w:r>
      <w:proofErr w:type="spellStart"/>
      <w:r>
        <w:rPr>
          <w:rFonts w:ascii="Verdana" w:hAnsi="Verdana"/>
          <w:sz w:val="20"/>
          <w:szCs w:val="20"/>
          <w:lang w:val="pt-BR"/>
        </w:rPr>
        <w:t>Zaffaroni</w:t>
      </w:r>
      <w:proofErr w:type="spellEnd"/>
    </w:p>
    <w:p w14:paraId="1D330945" w14:textId="77777777" w:rsidR="003C0CFF" w:rsidRPr="0088606F" w:rsidRDefault="003C0CFF" w:rsidP="003C0CFF">
      <w:pPr>
        <w:pStyle w:val="Prrafodelista"/>
        <w:spacing w:after="0" w:line="240" w:lineRule="auto"/>
        <w:ind w:left="5664"/>
        <w:jc w:val="center"/>
        <w:rPr>
          <w:rFonts w:ascii="Verdana" w:eastAsia="Verdana" w:hAnsi="Verdana" w:cs="Verdana"/>
          <w:spacing w:val="-4"/>
          <w:sz w:val="20"/>
          <w:szCs w:val="20"/>
          <w:lang w:val="es-CR"/>
        </w:rPr>
      </w:pPr>
      <w:proofErr w:type="spellStart"/>
      <w:r>
        <w:rPr>
          <w:rFonts w:ascii="Verdana" w:hAnsi="Verdana"/>
          <w:sz w:val="20"/>
          <w:szCs w:val="20"/>
          <w:lang w:val="pt-BR"/>
        </w:rPr>
        <w:t>Juez</w:t>
      </w:r>
      <w:proofErr w:type="spellEnd"/>
    </w:p>
    <w:p w14:paraId="0CDB8E31" w14:textId="39ED04CC" w:rsidR="009B20E5" w:rsidRPr="0088606F" w:rsidRDefault="009B20E5" w:rsidP="009B20E5">
      <w:pPr>
        <w:pStyle w:val="Prrafodelista"/>
        <w:spacing w:after="0" w:line="240" w:lineRule="auto"/>
        <w:ind w:left="5664"/>
        <w:jc w:val="center"/>
        <w:rPr>
          <w:rFonts w:ascii="Verdana" w:eastAsia="Verdana" w:hAnsi="Verdana" w:cs="Verdana"/>
          <w:spacing w:val="-4"/>
          <w:sz w:val="20"/>
          <w:szCs w:val="20"/>
          <w:lang w:val="es-CR"/>
        </w:rPr>
      </w:pPr>
    </w:p>
    <w:p w14:paraId="619B7A3C" w14:textId="1E0D0F1A" w:rsidR="000028DC" w:rsidRPr="007D7522" w:rsidRDefault="000028DC" w:rsidP="00252474">
      <w:pPr>
        <w:autoSpaceDE w:val="0"/>
        <w:autoSpaceDN w:val="0"/>
        <w:adjustRightInd w:val="0"/>
        <w:jc w:val="center"/>
        <w:rPr>
          <w:strike/>
          <w:spacing w:val="-4"/>
          <w:lang w:val="es-ES"/>
        </w:rPr>
      </w:pPr>
    </w:p>
    <w:sectPr w:rsidR="000028DC" w:rsidRPr="007D7522" w:rsidSect="003C0CFF">
      <w:footnotePr>
        <w:numRestart w:val="eachSect"/>
      </w:footnotePr>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4C54D" w14:textId="77777777" w:rsidR="00F1711E" w:rsidRDefault="00F1711E" w:rsidP="00CD785B">
      <w:r>
        <w:separator/>
      </w:r>
    </w:p>
  </w:endnote>
  <w:endnote w:type="continuationSeparator" w:id="0">
    <w:p w14:paraId="35C0A21A" w14:textId="77777777" w:rsidR="00F1711E" w:rsidRDefault="00F1711E" w:rsidP="00C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B1F7" w14:textId="31BE283B" w:rsidR="009B20E5" w:rsidRPr="00BF0D03" w:rsidRDefault="009B20E5" w:rsidP="00BF0D03">
    <w:pPr>
      <w:pStyle w:val="Piedepgina"/>
      <w:jc w:val="center"/>
      <w:rPr>
        <w:rFonts w:ascii="Verdana" w:hAnsi="Verdana"/>
        <w:sz w:val="20"/>
        <w:szCs w:val="20"/>
      </w:rPr>
    </w:pPr>
    <w:r w:rsidRPr="00BF0D03">
      <w:rPr>
        <w:rFonts w:ascii="Verdana" w:hAnsi="Verdana"/>
        <w:sz w:val="20"/>
        <w:szCs w:val="20"/>
      </w:rPr>
      <w:t>-</w:t>
    </w:r>
    <w:sdt>
      <w:sdtPr>
        <w:rPr>
          <w:rFonts w:ascii="Verdana" w:hAnsi="Verdana"/>
          <w:sz w:val="20"/>
          <w:szCs w:val="20"/>
        </w:rPr>
        <w:id w:val="1910877293"/>
        <w:docPartObj>
          <w:docPartGallery w:val="Page Numbers (Bottom of Page)"/>
          <w:docPartUnique/>
        </w:docPartObj>
      </w:sdtPr>
      <w:sdtContent>
        <w:r w:rsidRPr="00BF0D03">
          <w:rPr>
            <w:rFonts w:ascii="Verdana" w:hAnsi="Verdana"/>
            <w:sz w:val="20"/>
            <w:szCs w:val="20"/>
          </w:rPr>
          <w:fldChar w:fldCharType="begin"/>
        </w:r>
        <w:r w:rsidRPr="00BF0D03">
          <w:rPr>
            <w:rFonts w:ascii="Verdana" w:hAnsi="Verdana"/>
            <w:sz w:val="20"/>
            <w:szCs w:val="20"/>
          </w:rPr>
          <w:instrText>PAGE   \* MERGEFORMAT</w:instrText>
        </w:r>
        <w:r w:rsidRPr="00BF0D03">
          <w:rPr>
            <w:rFonts w:ascii="Verdana" w:hAnsi="Verdana"/>
            <w:sz w:val="20"/>
            <w:szCs w:val="20"/>
          </w:rPr>
          <w:fldChar w:fldCharType="separate"/>
        </w:r>
        <w:r w:rsidRPr="00BE2389">
          <w:rPr>
            <w:rFonts w:ascii="Verdana" w:hAnsi="Verdana"/>
            <w:noProof/>
            <w:sz w:val="20"/>
            <w:szCs w:val="20"/>
            <w:lang w:val="es-ES"/>
          </w:rPr>
          <w:t>12</w:t>
        </w:r>
        <w:r w:rsidRPr="00BF0D03">
          <w:rPr>
            <w:rFonts w:ascii="Verdana" w:hAnsi="Verdana"/>
            <w:sz w:val="20"/>
            <w:szCs w:val="20"/>
          </w:rPr>
          <w:fldChar w:fldCharType="end"/>
        </w:r>
        <w:r w:rsidRPr="00BF0D03">
          <w:rPr>
            <w:rFonts w:ascii="Verdana" w:hAnsi="Verdana"/>
            <w:sz w:val="20"/>
            <w:szCs w:val="20"/>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800B" w14:textId="77777777" w:rsidR="009B20E5" w:rsidRDefault="009B20E5">
    <w:pPr>
      <w:pStyle w:val="Piedepgina"/>
      <w:jc w:val="center"/>
    </w:pPr>
    <w:sdt>
      <w:sdtPr>
        <w:id w:val="-1963949727"/>
        <w:docPartObj>
          <w:docPartGallery w:val="Page Numbers (Bottom of Page)"/>
          <w:docPartUnique/>
        </w:docPartObj>
      </w:sdtPr>
      <w:sdtContent>
        <w:r>
          <w:t>-</w:t>
        </w:r>
        <w:r>
          <w:fldChar w:fldCharType="begin"/>
        </w:r>
        <w:r>
          <w:instrText>PAGE   \* MERGEFORMAT</w:instrText>
        </w:r>
        <w:r>
          <w:fldChar w:fldCharType="separate"/>
        </w:r>
        <w:r w:rsidRPr="00DB4FE9">
          <w:rPr>
            <w:noProof/>
            <w:lang w:val="es-ES"/>
          </w:rPr>
          <w:t>2</w:t>
        </w:r>
        <w:r>
          <w:fldChar w:fldCharType="end"/>
        </w:r>
      </w:sdtContent>
    </w:sdt>
    <w:r>
      <w:t>-</w:t>
    </w:r>
  </w:p>
  <w:p w14:paraId="11B405D5" w14:textId="77777777" w:rsidR="009B20E5" w:rsidRDefault="009B20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270819"/>
      <w:docPartObj>
        <w:docPartGallery w:val="Page Numbers (Bottom of Page)"/>
        <w:docPartUnique/>
      </w:docPartObj>
    </w:sdtPr>
    <w:sdtEndPr>
      <w:rPr>
        <w:rFonts w:ascii="Verdana" w:hAnsi="Verdana"/>
        <w:sz w:val="20"/>
        <w:szCs w:val="20"/>
      </w:rPr>
    </w:sdtEndPr>
    <w:sdtContent>
      <w:p w14:paraId="5C514117" w14:textId="77777777" w:rsidR="009B20E5" w:rsidRPr="009731CA" w:rsidRDefault="009B20E5">
        <w:pPr>
          <w:pStyle w:val="Piedepgina"/>
          <w:jc w:val="center"/>
          <w:rPr>
            <w:rFonts w:ascii="Verdana" w:hAnsi="Verdana"/>
            <w:sz w:val="20"/>
            <w:szCs w:val="20"/>
          </w:rPr>
        </w:pPr>
        <w:r w:rsidRPr="009731CA">
          <w:rPr>
            <w:rFonts w:ascii="Verdana" w:hAnsi="Verdana"/>
            <w:sz w:val="20"/>
            <w:szCs w:val="20"/>
          </w:rPr>
          <w:fldChar w:fldCharType="begin"/>
        </w:r>
        <w:r w:rsidRPr="009731CA">
          <w:rPr>
            <w:rFonts w:ascii="Verdana" w:hAnsi="Verdana"/>
            <w:sz w:val="20"/>
            <w:szCs w:val="20"/>
          </w:rPr>
          <w:instrText>PAGE   \* MERGEFORMAT</w:instrText>
        </w:r>
        <w:r w:rsidRPr="009731CA">
          <w:rPr>
            <w:rFonts w:ascii="Verdana" w:hAnsi="Verdana"/>
            <w:sz w:val="20"/>
            <w:szCs w:val="20"/>
          </w:rPr>
          <w:fldChar w:fldCharType="separate"/>
        </w:r>
        <w:r w:rsidRPr="008E6001">
          <w:rPr>
            <w:rFonts w:ascii="Verdana" w:hAnsi="Verdana"/>
            <w:noProof/>
            <w:sz w:val="20"/>
            <w:szCs w:val="20"/>
            <w:lang w:val="es-ES"/>
          </w:rPr>
          <w:t>2</w:t>
        </w:r>
        <w:r w:rsidRPr="009731CA">
          <w:rPr>
            <w:rFonts w:ascii="Verdana" w:hAnsi="Verdana"/>
            <w:sz w:val="20"/>
            <w:szCs w:val="20"/>
          </w:rPr>
          <w:fldChar w:fldCharType="end"/>
        </w:r>
      </w:p>
    </w:sdtContent>
  </w:sdt>
  <w:p w14:paraId="343AFC14" w14:textId="77777777" w:rsidR="009B20E5" w:rsidRDefault="009B20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79355" w14:textId="77777777" w:rsidR="00F1711E" w:rsidRDefault="00F1711E" w:rsidP="00CD785B">
      <w:r>
        <w:separator/>
      </w:r>
    </w:p>
  </w:footnote>
  <w:footnote w:type="continuationSeparator" w:id="0">
    <w:p w14:paraId="71CF094E" w14:textId="77777777" w:rsidR="00F1711E" w:rsidRDefault="00F1711E" w:rsidP="00CD785B">
      <w:r>
        <w:continuationSeparator/>
      </w:r>
    </w:p>
  </w:footnote>
  <w:footnote w:id="1">
    <w:p w14:paraId="1EB8A8A2" w14:textId="38FD8E9B" w:rsidR="009B20E5" w:rsidRPr="004517B8" w:rsidRDefault="009B20E5" w:rsidP="004517B8">
      <w:pPr>
        <w:pStyle w:val="Textonotapie"/>
        <w:jc w:val="both"/>
        <w:rPr>
          <w:rFonts w:ascii="Verdana" w:hAnsi="Verdana"/>
          <w:sz w:val="16"/>
          <w:szCs w:val="16"/>
          <w:lang w:val="es-AR"/>
        </w:rPr>
      </w:pPr>
      <w:r w:rsidRPr="004517B8">
        <w:rPr>
          <w:rStyle w:val="Refdenotaalpie"/>
          <w:szCs w:val="16"/>
          <w:lang w:val="es-AR"/>
        </w:rPr>
        <w:t>*</w:t>
      </w:r>
      <w:r w:rsidRPr="004517B8">
        <w:rPr>
          <w:rFonts w:ascii="Verdana" w:hAnsi="Verdana"/>
          <w:sz w:val="16"/>
          <w:szCs w:val="16"/>
          <w:lang w:val="es-AR"/>
        </w:rPr>
        <w:tab/>
      </w:r>
      <w:r w:rsidRPr="004517B8">
        <w:rPr>
          <w:rFonts w:ascii="Verdana" w:eastAsia="Times New Roman" w:hAnsi="Verdana" w:cs="Calibri"/>
          <w:color w:val="000000"/>
          <w:sz w:val="16"/>
          <w:szCs w:val="16"/>
          <w:lang w:val="es-AR"/>
        </w:rPr>
        <w:t xml:space="preserve">Debido a las circunstancias excepcionales ocasionadas por la pandemia COVID-19, esta Resolución fue </w:t>
      </w:r>
      <w:r w:rsidRPr="00521AEC">
        <w:rPr>
          <w:rFonts w:ascii="Verdana" w:hAnsi="Verdana"/>
          <w:sz w:val="16"/>
          <w:szCs w:val="16"/>
        </w:rPr>
        <w:t>deliberada</w:t>
      </w:r>
      <w:r w:rsidRPr="004517B8">
        <w:rPr>
          <w:rFonts w:ascii="Verdana" w:eastAsia="Times New Roman" w:hAnsi="Verdana" w:cs="Calibri"/>
          <w:color w:val="000000"/>
          <w:sz w:val="16"/>
          <w:szCs w:val="16"/>
          <w:lang w:val="es-AR"/>
        </w:rPr>
        <w:t xml:space="preserve"> y aprobada durante el 135 Período Ordinario de Sesiones, el cual se llevó a cabo de forma no presencial utilizando medios tecnológicos de conformidad con lo establecido en el Reglamento de la Corte.</w:t>
      </w:r>
    </w:p>
  </w:footnote>
  <w:footnote w:id="2">
    <w:p w14:paraId="2D2A1B94" w14:textId="77D17189" w:rsidR="009B20E5" w:rsidRPr="004517B8" w:rsidRDefault="009B20E5" w:rsidP="00521AEC">
      <w:pPr>
        <w:pStyle w:val="Textonotapie"/>
        <w:jc w:val="both"/>
        <w:rPr>
          <w:rFonts w:ascii="Verdana" w:eastAsia="Times" w:hAnsi="Verdana"/>
          <w:sz w:val="16"/>
          <w:szCs w:val="16"/>
          <w:lang w:eastAsia="x-none"/>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Cfr.</w:t>
      </w:r>
      <w:r w:rsidRPr="004517B8">
        <w:rPr>
          <w:rFonts w:ascii="Verdana" w:hAnsi="Verdana"/>
          <w:sz w:val="16"/>
          <w:szCs w:val="16"/>
        </w:rPr>
        <w:t xml:space="preserve"> </w:t>
      </w:r>
      <w:r w:rsidRPr="004517B8">
        <w:rPr>
          <w:rFonts w:ascii="Verdana" w:hAnsi="Verdana"/>
          <w:i/>
          <w:sz w:val="16"/>
          <w:szCs w:val="16"/>
        </w:rPr>
        <w:t xml:space="preserve">Caso del Penal Miguel Castro </w:t>
      </w:r>
      <w:proofErr w:type="spellStart"/>
      <w:r w:rsidRPr="004517B8">
        <w:rPr>
          <w:rFonts w:ascii="Verdana" w:hAnsi="Verdana"/>
          <w:i/>
          <w:sz w:val="16"/>
          <w:szCs w:val="16"/>
        </w:rPr>
        <w:t>Castro</w:t>
      </w:r>
      <w:proofErr w:type="spellEnd"/>
      <w:r w:rsidRPr="004517B8">
        <w:rPr>
          <w:rFonts w:ascii="Verdana" w:hAnsi="Verdana"/>
          <w:i/>
          <w:sz w:val="16"/>
          <w:szCs w:val="16"/>
        </w:rPr>
        <w:t xml:space="preserve"> Vs. Perú. Fondo, Reparaciones y Costas</w:t>
      </w:r>
      <w:r w:rsidRPr="004517B8">
        <w:rPr>
          <w:rFonts w:ascii="Verdana" w:hAnsi="Verdana"/>
          <w:sz w:val="16"/>
          <w:szCs w:val="16"/>
        </w:rPr>
        <w:t xml:space="preserve">. Sentencia de 25 de noviembre de 2006. Serie C No. 160. </w:t>
      </w:r>
      <w:r>
        <w:rPr>
          <w:rFonts w:ascii="Verdana" w:hAnsi="Verdana"/>
          <w:sz w:val="16"/>
          <w:szCs w:val="16"/>
        </w:rPr>
        <w:t>D</w:t>
      </w:r>
      <w:r w:rsidRPr="004517B8">
        <w:rPr>
          <w:rFonts w:ascii="Verdana" w:hAnsi="Verdana"/>
          <w:sz w:val="16"/>
          <w:szCs w:val="16"/>
        </w:rPr>
        <w:t xml:space="preserve">isponible en: </w:t>
      </w:r>
      <w:hyperlink r:id="rId1" w:history="1">
        <w:r w:rsidRPr="004517B8">
          <w:rPr>
            <w:rStyle w:val="Hipervnculo"/>
            <w:rFonts w:ascii="Verdana" w:hAnsi="Verdana"/>
            <w:sz w:val="16"/>
            <w:szCs w:val="16"/>
          </w:rPr>
          <w:t>http://www.corteidh.or.cr/docs/casos/articulos/seriec_160_esp.pdf</w:t>
        </w:r>
      </w:hyperlink>
      <w:r w:rsidRPr="004517B8">
        <w:rPr>
          <w:rFonts w:ascii="Verdana" w:hAnsi="Verdana" w:cs="Arial"/>
          <w:sz w:val="16"/>
          <w:szCs w:val="16"/>
        </w:rPr>
        <w:t>.</w:t>
      </w:r>
    </w:p>
  </w:footnote>
  <w:footnote w:id="3">
    <w:p w14:paraId="4370D69B" w14:textId="77777777" w:rsidR="009B20E5" w:rsidRPr="004517B8" w:rsidRDefault="009B20E5" w:rsidP="00521AEC">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Cfr.</w:t>
      </w:r>
      <w:r w:rsidRPr="004517B8">
        <w:rPr>
          <w:rFonts w:ascii="Verdana" w:hAnsi="Verdana"/>
          <w:sz w:val="16"/>
          <w:szCs w:val="16"/>
        </w:rPr>
        <w:t xml:space="preserve"> </w:t>
      </w:r>
      <w:r w:rsidRPr="00906595">
        <w:rPr>
          <w:rFonts w:ascii="Verdana" w:hAnsi="Verdana"/>
          <w:i/>
          <w:sz w:val="16"/>
          <w:szCs w:val="16"/>
        </w:rPr>
        <w:t xml:space="preserve">Caso del Penal Miguel Castro </w:t>
      </w:r>
      <w:proofErr w:type="spellStart"/>
      <w:r w:rsidRPr="00906595">
        <w:rPr>
          <w:rFonts w:ascii="Verdana" w:hAnsi="Verdana"/>
          <w:i/>
          <w:sz w:val="16"/>
          <w:szCs w:val="16"/>
        </w:rPr>
        <w:t>Castro</w:t>
      </w:r>
      <w:proofErr w:type="spellEnd"/>
      <w:r w:rsidRPr="00906595">
        <w:rPr>
          <w:rFonts w:ascii="Verdana" w:hAnsi="Verdana"/>
          <w:sz w:val="16"/>
          <w:szCs w:val="16"/>
        </w:rPr>
        <w:t xml:space="preserve">. </w:t>
      </w:r>
      <w:r w:rsidRPr="00145EB2">
        <w:rPr>
          <w:rFonts w:ascii="Verdana" w:hAnsi="Verdana"/>
          <w:i/>
          <w:sz w:val="16"/>
          <w:szCs w:val="16"/>
        </w:rPr>
        <w:t>Interpretación de la Sentencia de Fondo, Reparaciones y Costas</w:t>
      </w:r>
      <w:r w:rsidRPr="00145EB2">
        <w:rPr>
          <w:rFonts w:ascii="Verdana" w:hAnsi="Verdana"/>
          <w:sz w:val="16"/>
          <w:szCs w:val="16"/>
        </w:rPr>
        <w:t xml:space="preserve">. Sentencia de 2 de agosto de 2008, Serie C No. 181. Disponible en: </w:t>
      </w:r>
      <w:hyperlink r:id="rId2" w:history="1">
        <w:r w:rsidRPr="004517B8">
          <w:rPr>
            <w:rStyle w:val="Hipervnculo"/>
            <w:rFonts w:ascii="Verdana" w:hAnsi="Verdana"/>
            <w:sz w:val="16"/>
            <w:szCs w:val="16"/>
          </w:rPr>
          <w:t>http://www.corteidh.or.cr/docs/casos/articulos/seriec_181_esp.pdf</w:t>
        </w:r>
      </w:hyperlink>
      <w:r w:rsidRPr="004517B8">
        <w:rPr>
          <w:rFonts w:ascii="Verdana" w:hAnsi="Verdana"/>
          <w:sz w:val="16"/>
          <w:szCs w:val="16"/>
          <w:u w:val="single"/>
        </w:rPr>
        <w:t>.</w:t>
      </w:r>
    </w:p>
  </w:footnote>
  <w:footnote w:id="4">
    <w:p w14:paraId="5AE5C9FB" w14:textId="77777777" w:rsidR="009B20E5" w:rsidRPr="004517B8" w:rsidRDefault="009B20E5" w:rsidP="00521AEC">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Disponibles en: </w:t>
      </w:r>
      <w:hyperlink r:id="rId3" w:history="1">
        <w:r w:rsidRPr="004517B8">
          <w:rPr>
            <w:rStyle w:val="Hipervnculo"/>
            <w:rFonts w:ascii="Verdana" w:hAnsi="Verdana"/>
            <w:sz w:val="16"/>
            <w:szCs w:val="16"/>
            <w:lang w:val="es-AR"/>
          </w:rPr>
          <w:t>http://www.corteidh.or.cr/supervision_de_cumplimiento.cfm</w:t>
        </w:r>
      </w:hyperlink>
      <w:r w:rsidRPr="004517B8">
        <w:rPr>
          <w:rFonts w:ascii="Verdana" w:hAnsi="Verdana"/>
          <w:bCs/>
          <w:sz w:val="16"/>
          <w:szCs w:val="16"/>
        </w:rPr>
        <w:t>.</w:t>
      </w:r>
      <w:r w:rsidRPr="004517B8">
        <w:rPr>
          <w:rFonts w:ascii="Verdana" w:hAnsi="Verdana"/>
          <w:sz w:val="16"/>
          <w:szCs w:val="16"/>
        </w:rPr>
        <w:t xml:space="preserve"> </w:t>
      </w:r>
    </w:p>
  </w:footnote>
  <w:footnote w:id="5">
    <w:p w14:paraId="3C827B93" w14:textId="2D94453E" w:rsidR="009B20E5" w:rsidRPr="004517B8" w:rsidRDefault="009B20E5" w:rsidP="00906595">
      <w:pPr>
        <w:pStyle w:val="Textonotapie"/>
        <w:jc w:val="both"/>
        <w:rPr>
          <w:rFonts w:ascii="Verdana" w:hAnsi="Verdana"/>
          <w:sz w:val="16"/>
          <w:szCs w:val="16"/>
          <w:lang w:val="es-CR"/>
        </w:rPr>
      </w:pPr>
      <w:r w:rsidRPr="005A4F8F">
        <w:rPr>
          <w:rStyle w:val="Refdenotaalpie"/>
          <w:szCs w:val="16"/>
        </w:rPr>
        <w:footnoteRef/>
      </w:r>
      <w:r w:rsidRPr="005A4F8F">
        <w:rPr>
          <w:rFonts w:ascii="Verdana" w:hAnsi="Verdana"/>
          <w:sz w:val="16"/>
          <w:szCs w:val="16"/>
          <w:lang w:val="es-CR"/>
        </w:rPr>
        <w:t xml:space="preserve"> </w:t>
      </w:r>
      <w:r w:rsidRPr="005A4F8F">
        <w:rPr>
          <w:rFonts w:ascii="Verdana" w:hAnsi="Verdana"/>
          <w:sz w:val="16"/>
          <w:szCs w:val="16"/>
          <w:lang w:val="es-CR"/>
        </w:rPr>
        <w:tab/>
      </w:r>
      <w:r w:rsidRPr="00381E00">
        <w:rPr>
          <w:rFonts w:ascii="Verdana" w:hAnsi="Verdana"/>
          <w:sz w:val="16"/>
          <w:szCs w:val="16"/>
        </w:rPr>
        <w:t>As</w:t>
      </w:r>
      <w:r w:rsidRPr="00204121">
        <w:rPr>
          <w:rFonts w:ascii="Verdana" w:hAnsi="Verdana"/>
          <w:sz w:val="16"/>
          <w:szCs w:val="16"/>
        </w:rPr>
        <w:t>imismo, en la Sentencia de interpretación la Corte aclaró quiénes son los familiares de las víctimas que son beneficiarios de</w:t>
      </w:r>
      <w:r>
        <w:rPr>
          <w:rFonts w:ascii="Verdana" w:hAnsi="Verdana"/>
          <w:sz w:val="16"/>
          <w:szCs w:val="16"/>
        </w:rPr>
        <w:t xml:space="preserve"> </w:t>
      </w:r>
      <w:r w:rsidRPr="00204121">
        <w:rPr>
          <w:rFonts w:ascii="Verdana" w:hAnsi="Verdana"/>
          <w:sz w:val="16"/>
          <w:szCs w:val="16"/>
        </w:rPr>
        <w:t>l</w:t>
      </w:r>
      <w:r>
        <w:rPr>
          <w:rFonts w:ascii="Verdana" w:hAnsi="Verdana"/>
          <w:sz w:val="16"/>
          <w:szCs w:val="16"/>
        </w:rPr>
        <w:t>a reparación de</w:t>
      </w:r>
      <w:r w:rsidRPr="00204121">
        <w:rPr>
          <w:rFonts w:ascii="Verdana" w:hAnsi="Verdana"/>
          <w:sz w:val="16"/>
          <w:szCs w:val="16"/>
        </w:rPr>
        <w:t xml:space="preserve"> tratamiento médico y psicológico</w:t>
      </w:r>
      <w:r>
        <w:rPr>
          <w:rFonts w:ascii="Verdana" w:hAnsi="Verdana"/>
          <w:sz w:val="16"/>
          <w:szCs w:val="16"/>
        </w:rPr>
        <w:t xml:space="preserve">. </w:t>
      </w:r>
      <w:r w:rsidRPr="005A4F8F">
        <w:rPr>
          <w:rFonts w:ascii="Verdana" w:hAnsi="Verdana"/>
          <w:i/>
          <w:sz w:val="16"/>
          <w:szCs w:val="16"/>
          <w:lang w:val="es-CR"/>
        </w:rPr>
        <w:t xml:space="preserve">Cfr. </w:t>
      </w:r>
      <w:r w:rsidRPr="005A4F8F">
        <w:rPr>
          <w:rFonts w:ascii="Verdana" w:hAnsi="Verdana"/>
          <w:i/>
          <w:sz w:val="16"/>
          <w:szCs w:val="16"/>
        </w:rPr>
        <w:t xml:space="preserve">Caso del Penal Miguel Castro </w:t>
      </w:r>
      <w:proofErr w:type="spellStart"/>
      <w:r w:rsidRPr="005A4F8F">
        <w:rPr>
          <w:rFonts w:ascii="Verdana" w:hAnsi="Verdana"/>
          <w:i/>
          <w:sz w:val="16"/>
          <w:szCs w:val="16"/>
        </w:rPr>
        <w:t>Castro</w:t>
      </w:r>
      <w:proofErr w:type="spellEnd"/>
      <w:r w:rsidRPr="005A4F8F">
        <w:rPr>
          <w:rFonts w:ascii="Verdana" w:hAnsi="Verdana"/>
          <w:i/>
          <w:sz w:val="16"/>
          <w:szCs w:val="16"/>
        </w:rPr>
        <w:t xml:space="preserve"> Vs. Perú, supra </w:t>
      </w:r>
      <w:r w:rsidRPr="00EE051C">
        <w:rPr>
          <w:rFonts w:ascii="Verdana" w:hAnsi="Verdana"/>
          <w:sz w:val="16"/>
          <w:szCs w:val="16"/>
        </w:rPr>
        <w:t xml:space="preserve">nota 1, </w:t>
      </w:r>
      <w:proofErr w:type="spellStart"/>
      <w:r w:rsidRPr="00381E00">
        <w:rPr>
          <w:rFonts w:ascii="Verdana" w:hAnsi="Verdana"/>
          <w:sz w:val="16"/>
          <w:szCs w:val="16"/>
          <w:lang w:val="es-CR"/>
        </w:rPr>
        <w:t>párrs</w:t>
      </w:r>
      <w:proofErr w:type="spellEnd"/>
      <w:r w:rsidRPr="00381E00">
        <w:rPr>
          <w:rFonts w:ascii="Verdana" w:hAnsi="Verdana"/>
          <w:sz w:val="16"/>
          <w:szCs w:val="16"/>
          <w:lang w:val="es-CR"/>
        </w:rPr>
        <w:t>.</w:t>
      </w:r>
      <w:r w:rsidRPr="00381E00">
        <w:rPr>
          <w:rFonts w:ascii="Verdana" w:hAnsi="Verdana"/>
          <w:sz w:val="16"/>
          <w:szCs w:val="16"/>
        </w:rPr>
        <w:t xml:space="preserve"> 449 y 461, así como punto dispositivo 13</w:t>
      </w:r>
      <w:r>
        <w:rPr>
          <w:rFonts w:ascii="Verdana" w:hAnsi="Verdana"/>
          <w:sz w:val="16"/>
          <w:szCs w:val="16"/>
        </w:rPr>
        <w:t xml:space="preserve"> y</w:t>
      </w:r>
      <w:r w:rsidRPr="00204121">
        <w:rPr>
          <w:rFonts w:ascii="Verdana" w:hAnsi="Verdana"/>
          <w:sz w:val="16"/>
          <w:szCs w:val="16"/>
        </w:rPr>
        <w:t xml:space="preserve"> </w:t>
      </w:r>
      <w:r w:rsidRPr="00906595">
        <w:rPr>
          <w:rFonts w:ascii="Verdana" w:hAnsi="Verdana"/>
          <w:i/>
          <w:sz w:val="16"/>
          <w:szCs w:val="16"/>
        </w:rPr>
        <w:t xml:space="preserve">Caso del Penal Miguel Castro </w:t>
      </w:r>
      <w:proofErr w:type="spellStart"/>
      <w:r w:rsidRPr="00906595">
        <w:rPr>
          <w:rFonts w:ascii="Verdana" w:hAnsi="Verdana"/>
          <w:i/>
          <w:sz w:val="16"/>
          <w:szCs w:val="16"/>
        </w:rPr>
        <w:t>Castro</w:t>
      </w:r>
      <w:proofErr w:type="spellEnd"/>
      <w:r w:rsidRPr="00906595">
        <w:rPr>
          <w:rFonts w:ascii="Verdana" w:hAnsi="Verdana"/>
          <w:sz w:val="16"/>
          <w:szCs w:val="16"/>
        </w:rPr>
        <w:t xml:space="preserve">. </w:t>
      </w:r>
      <w:r w:rsidRPr="00145EB2">
        <w:rPr>
          <w:rFonts w:ascii="Verdana" w:hAnsi="Verdana"/>
          <w:i/>
          <w:sz w:val="16"/>
          <w:szCs w:val="16"/>
        </w:rPr>
        <w:t>Interpretación de la Sentencia de Fondo, Reparaciones y Costas</w:t>
      </w:r>
      <w:r>
        <w:rPr>
          <w:rFonts w:ascii="Verdana" w:hAnsi="Verdana"/>
          <w:sz w:val="16"/>
          <w:szCs w:val="16"/>
        </w:rPr>
        <w:t xml:space="preserve">, </w:t>
      </w:r>
      <w:r w:rsidRPr="00D04496">
        <w:rPr>
          <w:rFonts w:ascii="Verdana" w:hAnsi="Verdana"/>
          <w:i/>
          <w:iCs/>
          <w:sz w:val="16"/>
          <w:szCs w:val="16"/>
        </w:rPr>
        <w:t>supra</w:t>
      </w:r>
      <w:r>
        <w:rPr>
          <w:rFonts w:ascii="Verdana" w:hAnsi="Verdana"/>
          <w:sz w:val="16"/>
          <w:szCs w:val="16"/>
        </w:rPr>
        <w:t xml:space="preserve"> nota 2,</w:t>
      </w:r>
      <w:r w:rsidRPr="00204121">
        <w:rPr>
          <w:rFonts w:ascii="Verdana" w:hAnsi="Verdana"/>
          <w:sz w:val="16"/>
          <w:szCs w:val="16"/>
        </w:rPr>
        <w:t xml:space="preserve"> </w:t>
      </w:r>
      <w:proofErr w:type="spellStart"/>
      <w:r w:rsidRPr="00204121">
        <w:rPr>
          <w:rFonts w:ascii="Verdana" w:hAnsi="Verdana"/>
          <w:sz w:val="16"/>
          <w:szCs w:val="16"/>
        </w:rPr>
        <w:t>párrs</w:t>
      </w:r>
      <w:proofErr w:type="spellEnd"/>
      <w:r w:rsidRPr="00204121">
        <w:rPr>
          <w:rFonts w:ascii="Verdana" w:hAnsi="Verdana"/>
          <w:sz w:val="16"/>
          <w:szCs w:val="16"/>
        </w:rPr>
        <w:t>. 66 a 68.</w:t>
      </w:r>
    </w:p>
  </w:footnote>
  <w:footnote w:id="6">
    <w:p w14:paraId="3EABE03E" w14:textId="77777777" w:rsidR="009B20E5" w:rsidRPr="00906595" w:rsidRDefault="009B20E5" w:rsidP="00906595">
      <w:pPr>
        <w:pStyle w:val="Textonotapie"/>
        <w:jc w:val="both"/>
        <w:rPr>
          <w:rFonts w:ascii="Verdana" w:hAnsi="Verdana"/>
          <w:sz w:val="16"/>
          <w:szCs w:val="16"/>
          <w:lang w:val="es-CR"/>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lang w:val="es-CR"/>
        </w:rPr>
        <w:tab/>
        <w:t>Según declaraciones del Ministro de Justicia, al 28 de abril de 2020 se registraban 645 internos contagiados y 30 fallecidos, así como 244 trabajadores del Instituto Nacional Penitenciario contagiados y 7 fallecidos, mientras que al 14 de mayo de 2020, dichas cifras habían alcanzado 10</w:t>
      </w:r>
      <w:r w:rsidRPr="00906595">
        <w:rPr>
          <w:rFonts w:ascii="Verdana" w:hAnsi="Verdana"/>
          <w:sz w:val="16"/>
          <w:szCs w:val="16"/>
          <w:lang w:val="es-CR"/>
        </w:rPr>
        <w:t>99 internos infectados y 103 fallecidos, así como 422 trabajadores penitenciarios infectados y 9 fallecidos.</w:t>
      </w:r>
    </w:p>
  </w:footnote>
  <w:footnote w:id="7">
    <w:p w14:paraId="5763B937" w14:textId="4417E286" w:rsidR="009B20E5" w:rsidRPr="00EB0331" w:rsidRDefault="009B20E5" w:rsidP="00906595">
      <w:pPr>
        <w:pStyle w:val="Textonotapie"/>
        <w:jc w:val="both"/>
        <w:rPr>
          <w:rFonts w:ascii="Verdana" w:hAnsi="Verdana"/>
          <w:sz w:val="16"/>
          <w:szCs w:val="16"/>
        </w:rPr>
      </w:pPr>
      <w:r w:rsidRPr="004517B8">
        <w:rPr>
          <w:rStyle w:val="Refdenotaalpie"/>
          <w:szCs w:val="16"/>
        </w:rPr>
        <w:footnoteRef/>
      </w:r>
      <w:r w:rsidRPr="00EB0331">
        <w:rPr>
          <w:rFonts w:ascii="Verdana" w:hAnsi="Verdana"/>
          <w:sz w:val="16"/>
          <w:szCs w:val="16"/>
        </w:rPr>
        <w:t xml:space="preserve"> </w:t>
      </w:r>
      <w:r w:rsidRPr="00EB0331">
        <w:rPr>
          <w:rFonts w:ascii="Verdana" w:hAnsi="Verdana"/>
          <w:sz w:val="16"/>
          <w:szCs w:val="16"/>
        </w:rPr>
        <w:tab/>
      </w:r>
      <w:r w:rsidRPr="004517B8">
        <w:rPr>
          <w:rFonts w:ascii="Verdana" w:hAnsi="Verdana" w:cs="Verdana"/>
          <w:color w:val="000000"/>
          <w:spacing w:val="-4"/>
          <w:sz w:val="16"/>
          <w:szCs w:val="16"/>
          <w:lang w:val="es-CR"/>
        </w:rPr>
        <w:t xml:space="preserve">En sus escritos previos al 16 de junio objetaron que, pese a pertenecer a un “grupo poblacional vulnerable”, no se le realizó la prueba de descarte de COVID-19 en tanto “no refería sintomatología compatible” con el virus. </w:t>
      </w:r>
    </w:p>
  </w:footnote>
  <w:footnote w:id="8">
    <w:p w14:paraId="11551E36" w14:textId="0AF0C6BE" w:rsidR="009B20E5" w:rsidRPr="00906595" w:rsidRDefault="009B20E5" w:rsidP="00906595">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Especificaron que tuvo “fiebre, malestar general, insomnio, p[é]</w:t>
      </w:r>
      <w:proofErr w:type="spellStart"/>
      <w:r w:rsidRPr="000B12CC">
        <w:rPr>
          <w:rFonts w:ascii="Verdana" w:hAnsi="Verdana"/>
          <w:sz w:val="16"/>
          <w:szCs w:val="16"/>
        </w:rPr>
        <w:t>rdida</w:t>
      </w:r>
      <w:proofErr w:type="spellEnd"/>
      <w:r w:rsidRPr="000B12CC">
        <w:rPr>
          <w:rFonts w:ascii="Verdana" w:hAnsi="Verdana"/>
          <w:sz w:val="16"/>
          <w:szCs w:val="16"/>
        </w:rPr>
        <w:t xml:space="preserve"> olfativo, del gusto y p</w:t>
      </w:r>
      <w:r w:rsidRPr="00906595">
        <w:rPr>
          <w:rFonts w:ascii="Verdana" w:hAnsi="Verdana"/>
          <w:sz w:val="16"/>
          <w:szCs w:val="16"/>
        </w:rPr>
        <w:t>[é]</w:t>
      </w:r>
      <w:proofErr w:type="spellStart"/>
      <w:r w:rsidRPr="00906595">
        <w:rPr>
          <w:rFonts w:ascii="Verdana" w:hAnsi="Verdana"/>
          <w:sz w:val="16"/>
          <w:szCs w:val="16"/>
        </w:rPr>
        <w:t>rdida</w:t>
      </w:r>
      <w:proofErr w:type="spellEnd"/>
      <w:r w:rsidRPr="00906595">
        <w:rPr>
          <w:rFonts w:ascii="Verdana" w:hAnsi="Verdana"/>
          <w:sz w:val="16"/>
          <w:szCs w:val="16"/>
        </w:rPr>
        <w:t xml:space="preserve"> de apetito; asimismo dolor de garganta y p[é]</w:t>
      </w:r>
      <w:proofErr w:type="spellStart"/>
      <w:r w:rsidRPr="00906595">
        <w:rPr>
          <w:rFonts w:ascii="Verdana" w:hAnsi="Verdana"/>
          <w:sz w:val="16"/>
          <w:szCs w:val="16"/>
        </w:rPr>
        <w:t>rdida</w:t>
      </w:r>
      <w:proofErr w:type="spellEnd"/>
      <w:r w:rsidRPr="00906595">
        <w:rPr>
          <w:rFonts w:ascii="Verdana" w:hAnsi="Verdana"/>
          <w:sz w:val="16"/>
          <w:szCs w:val="16"/>
        </w:rPr>
        <w:t xml:space="preserve"> de peso”.</w:t>
      </w:r>
    </w:p>
  </w:footnote>
  <w:footnote w:id="9">
    <w:p w14:paraId="5DEE498D" w14:textId="2C2D1F2F" w:rsidR="009B20E5" w:rsidRPr="00906595" w:rsidRDefault="009B20E5" w:rsidP="00145EB2">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Refirieron que se le presentó “fiebre, malestar general, dolores musculares y articulares, diarrea, pérdida de apetito y de olfato; </w:t>
      </w:r>
      <w:r>
        <w:rPr>
          <w:rFonts w:ascii="Verdana" w:hAnsi="Verdana"/>
          <w:sz w:val="16"/>
          <w:szCs w:val="16"/>
        </w:rPr>
        <w:t>[</w:t>
      </w:r>
      <w:r w:rsidRPr="004517B8">
        <w:rPr>
          <w:rFonts w:ascii="Verdana" w:hAnsi="Verdana"/>
          <w:sz w:val="16"/>
          <w:szCs w:val="16"/>
        </w:rPr>
        <w:t>cefaleas</w:t>
      </w:r>
      <w:r>
        <w:rPr>
          <w:rFonts w:ascii="Verdana" w:hAnsi="Verdana"/>
          <w:sz w:val="16"/>
          <w:szCs w:val="16"/>
        </w:rPr>
        <w:t>]</w:t>
      </w:r>
      <w:r w:rsidRPr="004517B8">
        <w:rPr>
          <w:rFonts w:ascii="Verdana" w:hAnsi="Verdana"/>
          <w:sz w:val="16"/>
          <w:szCs w:val="16"/>
        </w:rPr>
        <w:t xml:space="preserve"> intensas y agitación al respirar, así </w:t>
      </w:r>
      <w:r w:rsidRPr="00906595">
        <w:rPr>
          <w:rFonts w:ascii="Verdana" w:hAnsi="Verdana"/>
          <w:sz w:val="16"/>
          <w:szCs w:val="16"/>
        </w:rPr>
        <w:t>como agotamiento corporal, tos y ardor de lengua”.</w:t>
      </w:r>
    </w:p>
  </w:footnote>
  <w:footnote w:id="10">
    <w:p w14:paraId="05C8E3E4" w14:textId="28EE5941" w:rsidR="009B20E5" w:rsidRPr="00906595" w:rsidRDefault="009B20E5" w:rsidP="00145EB2">
      <w:pPr>
        <w:pStyle w:val="Textonotapie"/>
        <w:jc w:val="both"/>
        <w:rPr>
          <w:rFonts w:ascii="Verdana" w:hAnsi="Verdana"/>
          <w:sz w:val="16"/>
          <w:szCs w:val="16"/>
        </w:rPr>
      </w:pPr>
      <w:r w:rsidRPr="001349F7">
        <w:rPr>
          <w:rStyle w:val="Refdenotaalpie"/>
          <w:szCs w:val="16"/>
        </w:rPr>
        <w:footnoteRef/>
      </w:r>
      <w:r w:rsidRPr="001349F7">
        <w:rPr>
          <w:rFonts w:ascii="Verdana" w:hAnsi="Verdana"/>
          <w:sz w:val="16"/>
          <w:szCs w:val="16"/>
        </w:rPr>
        <w:t xml:space="preserve"> </w:t>
      </w:r>
      <w:r w:rsidRPr="001349F7">
        <w:rPr>
          <w:rFonts w:ascii="Verdana" w:hAnsi="Verdana"/>
          <w:sz w:val="16"/>
          <w:szCs w:val="16"/>
        </w:rPr>
        <w:tab/>
        <w:t xml:space="preserve">Ello en tanto la situación de hacinamiento en las cárceles del Perú haría imposible el distanciamiento obligatorio decretado por el Poder Ejecutivo, así como en consideración de la edad, tiempo de prisión y factores de </w:t>
      </w:r>
      <w:r w:rsidRPr="00AE1C75">
        <w:rPr>
          <w:rFonts w:ascii="Verdana" w:hAnsi="Verdana"/>
          <w:sz w:val="16"/>
          <w:szCs w:val="16"/>
        </w:rPr>
        <w:t xml:space="preserve">riesgo de complicaciones frente al COVID-19 por enfermedades preexistentes de los propuestos beneficiarios. </w:t>
      </w:r>
      <w:r w:rsidRPr="00AE1C75">
        <w:rPr>
          <w:rFonts w:ascii="Verdana" w:hAnsi="Verdana"/>
          <w:color w:val="212121"/>
          <w:sz w:val="16"/>
          <w:szCs w:val="16"/>
          <w:shd w:val="clear" w:color="auto" w:fill="FFFFFF"/>
        </w:rPr>
        <w:t xml:space="preserve">En el caso de Osman Roberto Morote Barrionuevo y Margot Lourdes Liendo Gil, las demandas de hábeas corpus solicitaban que se ordenara su libertad. </w:t>
      </w:r>
      <w:r w:rsidRPr="00AE1C75">
        <w:rPr>
          <w:rFonts w:ascii="Verdana" w:hAnsi="Verdana"/>
          <w:i/>
          <w:iCs/>
          <w:color w:val="212121"/>
          <w:sz w:val="16"/>
          <w:szCs w:val="16"/>
          <w:shd w:val="clear" w:color="auto" w:fill="FFFFFF"/>
        </w:rPr>
        <w:t>Cfr.</w:t>
      </w:r>
      <w:r w:rsidRPr="00AE1C75">
        <w:rPr>
          <w:rFonts w:ascii="Verdana" w:hAnsi="Verdana"/>
          <w:color w:val="212121"/>
          <w:sz w:val="16"/>
          <w:szCs w:val="16"/>
          <w:shd w:val="clear" w:color="auto" w:fill="FFFFFF"/>
        </w:rPr>
        <w:t xml:space="preserve"> Resolución No. 1 del </w:t>
      </w:r>
      <w:proofErr w:type="spellStart"/>
      <w:r w:rsidRPr="00AE1C75">
        <w:rPr>
          <w:rFonts w:ascii="Verdana" w:hAnsi="Verdana"/>
          <w:color w:val="212121"/>
          <w:sz w:val="16"/>
          <w:szCs w:val="16"/>
          <w:shd w:val="clear" w:color="auto" w:fill="FFFFFF"/>
        </w:rPr>
        <w:t>Exp</w:t>
      </w:r>
      <w:proofErr w:type="spellEnd"/>
      <w:r w:rsidRPr="00AE1C75">
        <w:rPr>
          <w:rFonts w:ascii="Verdana" w:hAnsi="Verdana"/>
          <w:color w:val="212121"/>
          <w:sz w:val="16"/>
          <w:szCs w:val="16"/>
          <w:shd w:val="clear" w:color="auto" w:fill="FFFFFF"/>
        </w:rPr>
        <w:t xml:space="preserve">. No. 2228-220-0-1801-JR-PE-33 de 28 de marzo de 2020, y Resolución No. 1 del </w:t>
      </w:r>
      <w:proofErr w:type="spellStart"/>
      <w:r w:rsidRPr="00AE1C75">
        <w:rPr>
          <w:rFonts w:ascii="Verdana" w:hAnsi="Verdana"/>
          <w:color w:val="212121"/>
          <w:sz w:val="16"/>
          <w:szCs w:val="16"/>
          <w:shd w:val="clear" w:color="auto" w:fill="FFFFFF"/>
        </w:rPr>
        <w:t>Exp</w:t>
      </w:r>
      <w:proofErr w:type="spellEnd"/>
      <w:r w:rsidRPr="00AE1C75">
        <w:rPr>
          <w:rFonts w:ascii="Verdana" w:hAnsi="Verdana"/>
          <w:color w:val="212121"/>
          <w:sz w:val="16"/>
          <w:szCs w:val="16"/>
          <w:shd w:val="clear" w:color="auto" w:fill="FFFFFF"/>
        </w:rPr>
        <w:t xml:space="preserve">. No. 2229-2020 de 28 de marzo de 2020, emitidas por el Juzgado Penal de Turno Permanente de Lima (anexos al escrito de los intervinientes comunes de 15 de mayo de 2020). En el caso de Juan Alonso Aranda Company y Arturo Chumpitaz Aguirre, las demandas de hábeas corpus pretendían que fueran “trasladados al Hospital 2 de Mayo de la ciudad de Lima, para recibir el tratamiento por COVID 19”. </w:t>
      </w:r>
      <w:r w:rsidRPr="00AE1C75">
        <w:rPr>
          <w:rFonts w:ascii="Verdana" w:hAnsi="Verdana"/>
          <w:i/>
          <w:iCs/>
          <w:color w:val="212121"/>
          <w:sz w:val="16"/>
          <w:szCs w:val="16"/>
          <w:shd w:val="clear" w:color="auto" w:fill="FFFFFF"/>
        </w:rPr>
        <w:t>Cfr.</w:t>
      </w:r>
      <w:r w:rsidRPr="00AE1C75">
        <w:rPr>
          <w:rFonts w:ascii="Verdana" w:hAnsi="Verdana"/>
          <w:color w:val="212121"/>
          <w:sz w:val="16"/>
          <w:szCs w:val="16"/>
          <w:shd w:val="clear" w:color="auto" w:fill="FFFFFF"/>
        </w:rPr>
        <w:t xml:space="preserve"> Resolución No. 1 del </w:t>
      </w:r>
      <w:proofErr w:type="spellStart"/>
      <w:r w:rsidRPr="00AE1C75">
        <w:rPr>
          <w:rFonts w:ascii="Verdana" w:hAnsi="Verdana"/>
          <w:color w:val="212121"/>
          <w:sz w:val="16"/>
          <w:szCs w:val="16"/>
          <w:shd w:val="clear" w:color="auto" w:fill="FFFFFF"/>
        </w:rPr>
        <w:t>Exp</w:t>
      </w:r>
      <w:proofErr w:type="spellEnd"/>
      <w:r w:rsidRPr="00AE1C75">
        <w:rPr>
          <w:rFonts w:ascii="Verdana" w:hAnsi="Verdana"/>
          <w:color w:val="212121"/>
          <w:sz w:val="16"/>
          <w:szCs w:val="16"/>
          <w:shd w:val="clear" w:color="auto" w:fill="FFFFFF"/>
        </w:rPr>
        <w:t xml:space="preserve">. 2712-2020 HC de 30 de abril de 2020, emitida por el Juzgado Penal de Turno de la Corte Superior de Justicia de Lima (anexo al informe estatal de 22 de mayo de 2020). En el caso de Atilio </w:t>
      </w:r>
      <w:r>
        <w:rPr>
          <w:rFonts w:ascii="Verdana" w:hAnsi="Verdana"/>
          <w:color w:val="212121"/>
          <w:sz w:val="16"/>
          <w:szCs w:val="16"/>
          <w:shd w:val="clear" w:color="auto" w:fill="FFFFFF"/>
        </w:rPr>
        <w:t xml:space="preserve">Richard </w:t>
      </w:r>
      <w:r w:rsidRPr="00AE1C75">
        <w:rPr>
          <w:rFonts w:ascii="Verdana" w:hAnsi="Verdana"/>
          <w:color w:val="212121"/>
          <w:sz w:val="16"/>
          <w:szCs w:val="16"/>
          <w:shd w:val="clear" w:color="auto" w:fill="FFFFFF"/>
        </w:rPr>
        <w:t xml:space="preserve">Cahuana </w:t>
      </w:r>
      <w:proofErr w:type="spellStart"/>
      <w:r w:rsidRPr="00AE1C75">
        <w:rPr>
          <w:rFonts w:ascii="Verdana" w:hAnsi="Verdana"/>
          <w:color w:val="212121"/>
          <w:sz w:val="16"/>
          <w:szCs w:val="16"/>
          <w:shd w:val="clear" w:color="auto" w:fill="FFFFFF"/>
        </w:rPr>
        <w:t>Yuyali</w:t>
      </w:r>
      <w:proofErr w:type="spellEnd"/>
      <w:r w:rsidRPr="00AE1C75">
        <w:rPr>
          <w:rFonts w:ascii="Verdana" w:hAnsi="Verdana"/>
          <w:color w:val="212121"/>
          <w:sz w:val="16"/>
          <w:szCs w:val="16"/>
          <w:shd w:val="clear" w:color="auto" w:fill="FFFFFF"/>
        </w:rPr>
        <w:t xml:space="preserve">, la demanda de hábeas corpus solicitaba que se ordenara que “cumpla su condena en su domicilio para su atención de salud en confinamiento”. </w:t>
      </w:r>
      <w:r w:rsidRPr="00AE1C75">
        <w:rPr>
          <w:rFonts w:ascii="Verdana" w:hAnsi="Verdana"/>
          <w:i/>
          <w:iCs/>
          <w:color w:val="212121"/>
          <w:sz w:val="16"/>
          <w:szCs w:val="16"/>
          <w:shd w:val="clear" w:color="auto" w:fill="FFFFFF"/>
        </w:rPr>
        <w:t>Cfr.</w:t>
      </w:r>
      <w:r>
        <w:rPr>
          <w:rFonts w:ascii="Verdana" w:hAnsi="Verdana"/>
          <w:i/>
          <w:iCs/>
          <w:color w:val="212121"/>
          <w:sz w:val="16"/>
          <w:szCs w:val="16"/>
          <w:shd w:val="clear" w:color="auto" w:fill="FFFFFF"/>
        </w:rPr>
        <w:t xml:space="preserve"> </w:t>
      </w:r>
      <w:r w:rsidRPr="00AE1C75">
        <w:rPr>
          <w:rFonts w:ascii="Verdana" w:hAnsi="Verdana"/>
          <w:color w:val="212121"/>
          <w:sz w:val="16"/>
          <w:szCs w:val="16"/>
          <w:shd w:val="clear" w:color="auto" w:fill="FFFFFF"/>
        </w:rPr>
        <w:t>Demanda de hábeas corpus presentada por Atilio Richar</w:t>
      </w:r>
      <w:r>
        <w:rPr>
          <w:rFonts w:ascii="Verdana" w:hAnsi="Verdana"/>
          <w:color w:val="212121"/>
          <w:sz w:val="16"/>
          <w:szCs w:val="16"/>
          <w:shd w:val="clear" w:color="auto" w:fill="FFFFFF"/>
        </w:rPr>
        <w:t>d</w:t>
      </w:r>
      <w:r w:rsidRPr="00AE1C75">
        <w:rPr>
          <w:rFonts w:ascii="Verdana" w:hAnsi="Verdana"/>
          <w:color w:val="212121"/>
          <w:sz w:val="16"/>
          <w:szCs w:val="16"/>
          <w:shd w:val="clear" w:color="auto" w:fill="FFFFFF"/>
        </w:rPr>
        <w:t xml:space="preserve"> C</w:t>
      </w:r>
      <w:r>
        <w:rPr>
          <w:rFonts w:ascii="Verdana" w:hAnsi="Verdana"/>
          <w:color w:val="212121"/>
          <w:sz w:val="16"/>
          <w:szCs w:val="16"/>
          <w:shd w:val="clear" w:color="auto" w:fill="FFFFFF"/>
        </w:rPr>
        <w:t>a</w:t>
      </w:r>
      <w:r w:rsidRPr="00AE1C75">
        <w:rPr>
          <w:rFonts w:ascii="Verdana" w:hAnsi="Verdana"/>
          <w:color w:val="212121"/>
          <w:sz w:val="16"/>
          <w:szCs w:val="16"/>
          <w:shd w:val="clear" w:color="auto" w:fill="FFFFFF"/>
        </w:rPr>
        <w:t xml:space="preserve">huana </w:t>
      </w:r>
      <w:proofErr w:type="spellStart"/>
      <w:r w:rsidRPr="00AE1C75">
        <w:rPr>
          <w:rFonts w:ascii="Verdana" w:hAnsi="Verdana"/>
          <w:color w:val="212121"/>
          <w:sz w:val="16"/>
          <w:szCs w:val="16"/>
          <w:shd w:val="clear" w:color="auto" w:fill="FFFFFF"/>
        </w:rPr>
        <w:t>Yuyali</w:t>
      </w:r>
      <w:proofErr w:type="spellEnd"/>
      <w:r w:rsidRPr="00AE1C75">
        <w:rPr>
          <w:rFonts w:ascii="Verdana" w:hAnsi="Verdana"/>
          <w:color w:val="212121"/>
          <w:sz w:val="16"/>
          <w:szCs w:val="16"/>
          <w:shd w:val="clear" w:color="auto" w:fill="FFFFFF"/>
        </w:rPr>
        <w:t xml:space="preserve"> el 3 de mayo de 2020 ante el Juez Penal de Turno de la Corte Superior de Justicia de Lima (anexo al escrito de los intervinientes comunes de 26 de mayo de 2020).</w:t>
      </w:r>
    </w:p>
  </w:footnote>
  <w:footnote w:id="11">
    <w:p w14:paraId="097F7F37" w14:textId="497BEF00" w:rsidR="009B20E5" w:rsidRPr="006F3165" w:rsidRDefault="009B20E5" w:rsidP="00145EB2">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El Estado también refiere que: (i) el Poder Ejecutivo declaró el “Estado de Emergencia Nacional mediante Decreto Supremo N</w:t>
      </w:r>
      <w:r>
        <w:rPr>
          <w:rFonts w:ascii="Verdana" w:hAnsi="Verdana"/>
          <w:sz w:val="16"/>
          <w:szCs w:val="16"/>
        </w:rPr>
        <w:t>o.</w:t>
      </w:r>
      <w:r w:rsidRPr="004517B8">
        <w:rPr>
          <w:rFonts w:ascii="Verdana" w:hAnsi="Verdana"/>
          <w:sz w:val="16"/>
          <w:szCs w:val="16"/>
        </w:rPr>
        <w:t xml:space="preserve"> 044-2020-PCM”,</w:t>
      </w:r>
      <w:r>
        <w:rPr>
          <w:rFonts w:ascii="Verdana" w:hAnsi="Verdana"/>
          <w:sz w:val="16"/>
          <w:szCs w:val="16"/>
        </w:rPr>
        <w:t xml:space="preserve"> ampliado mediante el Decreto Supremo No. 094-2020-PMC,</w:t>
      </w:r>
      <w:r w:rsidRPr="004517B8">
        <w:rPr>
          <w:rFonts w:ascii="Verdana" w:hAnsi="Verdana"/>
          <w:sz w:val="16"/>
          <w:szCs w:val="16"/>
        </w:rPr>
        <w:t xml:space="preserve"> donde establece “las medidas que debe observar la ciudadanía hacia una nueva convivencia social”, y </w:t>
      </w:r>
      <w:r>
        <w:rPr>
          <w:rFonts w:ascii="Verdana" w:hAnsi="Verdana"/>
          <w:sz w:val="16"/>
          <w:szCs w:val="16"/>
        </w:rPr>
        <w:t xml:space="preserve">mediante el Decreto de Urgencia No. 026-2020 se establecieron “medidas excepcionales y temporales para prevenir la propagación” del virus y </w:t>
      </w:r>
      <w:r w:rsidRPr="004517B8">
        <w:rPr>
          <w:rFonts w:ascii="Verdana" w:hAnsi="Verdana"/>
          <w:sz w:val="16"/>
          <w:szCs w:val="16"/>
        </w:rPr>
        <w:t>“se dispuso que las entidades estatales suspendieran sus labores en razón la crisis sanitaria mundial”; (ii) promulgó la Ley N</w:t>
      </w:r>
      <w:r>
        <w:rPr>
          <w:rFonts w:ascii="Verdana" w:hAnsi="Verdana"/>
          <w:sz w:val="16"/>
          <w:szCs w:val="16"/>
        </w:rPr>
        <w:t>o.</w:t>
      </w:r>
      <w:r w:rsidRPr="004517B8">
        <w:rPr>
          <w:rFonts w:ascii="Verdana" w:hAnsi="Verdana"/>
          <w:sz w:val="16"/>
          <w:szCs w:val="16"/>
        </w:rPr>
        <w:t xml:space="preserve"> 31020, que “delega en el Poder Ejecutivo la facultad de legislar en materia penal, procesal penal y penitenciaria a fin de establecer medidas para el </w:t>
      </w:r>
      <w:proofErr w:type="spellStart"/>
      <w:r w:rsidRPr="004517B8">
        <w:rPr>
          <w:rFonts w:ascii="Verdana" w:hAnsi="Verdana"/>
          <w:sz w:val="16"/>
          <w:szCs w:val="16"/>
        </w:rPr>
        <w:t>deshacinamiento</w:t>
      </w:r>
      <w:proofErr w:type="spellEnd"/>
      <w:r w:rsidRPr="004517B8">
        <w:rPr>
          <w:rFonts w:ascii="Verdana" w:hAnsi="Verdana"/>
          <w:sz w:val="16"/>
          <w:szCs w:val="16"/>
        </w:rPr>
        <w:t xml:space="preserve"> de establecimientos penitenciarios y centros juveniles por riesgo de contagio de </w:t>
      </w:r>
      <w:r w:rsidRPr="00906595">
        <w:rPr>
          <w:rFonts w:ascii="Verdana" w:hAnsi="Verdana"/>
          <w:sz w:val="16"/>
          <w:szCs w:val="16"/>
        </w:rPr>
        <w:t>COVID-19”; (iii) informó que la Defensa Púbica ha realizado “diversas acciones a favor</w:t>
      </w:r>
      <w:r>
        <w:rPr>
          <w:rFonts w:ascii="Verdana" w:hAnsi="Verdana"/>
          <w:sz w:val="16"/>
          <w:szCs w:val="16"/>
        </w:rPr>
        <w:t xml:space="preserve"> [de]</w:t>
      </w:r>
      <w:r w:rsidRPr="00906595">
        <w:rPr>
          <w:rFonts w:ascii="Verdana" w:hAnsi="Verdana"/>
          <w:sz w:val="16"/>
          <w:szCs w:val="16"/>
        </w:rPr>
        <w:t xml:space="preserve"> ciento t</w:t>
      </w:r>
      <w:r w:rsidRPr="00145EB2">
        <w:rPr>
          <w:rFonts w:ascii="Verdana" w:hAnsi="Verdana"/>
          <w:sz w:val="16"/>
          <w:szCs w:val="16"/>
        </w:rPr>
        <w:t xml:space="preserve">reinta y siete (137) personas privadas de libertad en los establecimientos penitenciarios de Miguel Castro </w:t>
      </w:r>
      <w:proofErr w:type="spellStart"/>
      <w:r w:rsidRPr="00145EB2">
        <w:rPr>
          <w:rFonts w:ascii="Verdana" w:hAnsi="Verdana"/>
          <w:sz w:val="16"/>
          <w:szCs w:val="16"/>
        </w:rPr>
        <w:t>Castro</w:t>
      </w:r>
      <w:proofErr w:type="spellEnd"/>
      <w:r w:rsidRPr="00145EB2">
        <w:rPr>
          <w:rFonts w:ascii="Verdana" w:hAnsi="Verdana"/>
          <w:sz w:val="16"/>
          <w:szCs w:val="16"/>
        </w:rPr>
        <w:t>, Ancón I y Chorrillos”, tales como: demandas de hábeas corpus a fin de que se mejoren las medidas sanitarias en el penal, cautelando la integridad física de los recluidos, otorgamiento de libertad por exceso de carcelería, conversión de pena, variación de medida de coerción, cese de prisión preventiva, y evaluación médica a ciudadanos recluidos, entre otras, y (iv) detalló una serie de medidas adoptadas por el Ministerio Público, tales como la emisión de resoluciones que ordenaron a los fiscales mantenerse en “alerta permanente para atender oportunamente los procesos relacionados con la libertad individual” o la adopción de un “Plan de Acción frente al riesgo de introducción del Coronavirus COVID-19 en los establecimientos penitenciarios”, entre otras.</w:t>
      </w:r>
    </w:p>
  </w:footnote>
  <w:footnote w:id="12">
    <w:p w14:paraId="0012514D" w14:textId="1374E9E1" w:rsidR="009B20E5" w:rsidRPr="00906595" w:rsidRDefault="009B20E5" w:rsidP="007463DE">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sz w:val="16"/>
          <w:szCs w:val="16"/>
          <w:lang w:val="es-ES"/>
        </w:rPr>
        <w:t>Dichos supuestos abarcan a “las internas y los internos sentenciados que […]: a) Padecen una enfermedad crónica, en etapa avanzada, que aumente el riesgo de infección por COVID-19 y el desarrollo de complicaciones, conforme a lo señalado por el Ministerio de Salud; b) Padecen de otras enfermedades crónicas que, teniendo en cuenta las condiciones penitenciarias, se consideren vulnerables al contagio de COVID-19”.</w:t>
      </w:r>
    </w:p>
  </w:footnote>
  <w:footnote w:id="13">
    <w:p w14:paraId="59C5AEDE" w14:textId="34911B44" w:rsidR="009B20E5" w:rsidRPr="00145EB2" w:rsidRDefault="009B20E5" w:rsidP="002A731A">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Dicho artículo aplica respecto de “las internas o internos sentenciados que se encuentren dentro de cualquiera de los siguientes supuestos: a) Que sea madre y permanezca con su niño o niña en el establecimiento penitenciario[;] b) Que se encuentre en estado de gestación[;] c) Que su condena, efectiva o redimida, se cumpla en los próximos seis meses[;] d) Que se le haya impuesto una pena efectiva no mayor a cuatro años[;] e) Que sea mayor de 60 años de edad”. Asimismo, requiere el cumplimiento “de manera concurrente, con las siguientes condiciones: a) Tener la condición de </w:t>
      </w:r>
      <w:proofErr w:type="gramStart"/>
      <w:r w:rsidRPr="004517B8">
        <w:rPr>
          <w:rFonts w:ascii="Verdana" w:hAnsi="Verdana"/>
          <w:sz w:val="16"/>
          <w:szCs w:val="16"/>
        </w:rPr>
        <w:t>primario[</w:t>
      </w:r>
      <w:proofErr w:type="gramEnd"/>
      <w:r w:rsidRPr="004517B8">
        <w:rPr>
          <w:rFonts w:ascii="Verdana" w:hAnsi="Verdana"/>
          <w:sz w:val="16"/>
          <w:szCs w:val="16"/>
        </w:rPr>
        <w:t>;] b) No registrar condenas por otros delitos y/o no registrar medida de detención a nivel nacional[;] c) No contar con prohibición legal expresa”. Finalmente, en el caso de los s</w:t>
      </w:r>
      <w:r w:rsidRPr="00906595">
        <w:rPr>
          <w:rFonts w:ascii="Verdana" w:hAnsi="Verdana"/>
          <w:sz w:val="16"/>
          <w:szCs w:val="16"/>
        </w:rPr>
        <w:t>upuestos establecidos en los incisos “d</w:t>
      </w:r>
      <w:r>
        <w:rPr>
          <w:rFonts w:ascii="Verdana" w:hAnsi="Verdana"/>
          <w:sz w:val="16"/>
          <w:szCs w:val="16"/>
        </w:rPr>
        <w:t>)</w:t>
      </w:r>
      <w:r w:rsidRPr="00906595">
        <w:rPr>
          <w:rFonts w:ascii="Verdana" w:hAnsi="Verdana"/>
          <w:sz w:val="16"/>
          <w:szCs w:val="16"/>
        </w:rPr>
        <w:t>” y “e</w:t>
      </w:r>
      <w:r>
        <w:rPr>
          <w:rFonts w:ascii="Verdana" w:hAnsi="Verdana"/>
          <w:sz w:val="16"/>
          <w:szCs w:val="16"/>
        </w:rPr>
        <w:t>)</w:t>
      </w:r>
      <w:r w:rsidRPr="00906595">
        <w:rPr>
          <w:rFonts w:ascii="Verdana" w:hAnsi="Verdana"/>
          <w:sz w:val="16"/>
          <w:szCs w:val="16"/>
        </w:rPr>
        <w:t>”, la norma refiere que “no procede la recomendación de gracia presidencial respecto de las internas y los internos que han sido sentenciados” por ciertos delitos. La norma especifica qué artículos del Código Penal y leyes especiales se encuentran excluidos, los cuales abarcan determinados delitos Contra la Vida, el Cuerpo y la Salud, Contra la Familia, Contra la Libertad, Contra el Patrimonio, Delitos Contra la Seguridad P</w:t>
      </w:r>
      <w:r w:rsidRPr="00145EB2">
        <w:rPr>
          <w:rFonts w:ascii="Verdana" w:hAnsi="Verdana"/>
          <w:sz w:val="16"/>
          <w:szCs w:val="16"/>
        </w:rPr>
        <w:t>ública, contra la Tranquilidad Pública, contra la Humanidad, contra los Poderes del Estado y el Orden Constitucional, contra la Administración Pública, Terrorismo, Financiamiento al terrorismo, Lavado de activos y Delitos cometidos por violencia contra la mujer e integrantes del grupo familiar.</w:t>
      </w:r>
    </w:p>
  </w:footnote>
  <w:footnote w:id="14">
    <w:p w14:paraId="0FD267D3" w14:textId="3DCFD3C6" w:rsidR="009B20E5" w:rsidRPr="00145EB2" w:rsidRDefault="009B20E5" w:rsidP="00204121">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Algunas de las medidas detalladas por el Estado son las siguientes: (i) se designaron los “órganos jurisdiccionales y administrativos indispensables, en el periodo de emergencia”, incluyendo</w:t>
      </w:r>
      <w:r w:rsidRPr="00906595">
        <w:rPr>
          <w:rFonts w:ascii="Verdana" w:hAnsi="Verdana"/>
          <w:sz w:val="16"/>
          <w:szCs w:val="16"/>
        </w:rPr>
        <w:t xml:space="preserve"> “un juez penal para co</w:t>
      </w:r>
      <w:r w:rsidRPr="00145EB2">
        <w:rPr>
          <w:rFonts w:ascii="Verdana" w:hAnsi="Verdana"/>
          <w:sz w:val="16"/>
          <w:szCs w:val="16"/>
        </w:rPr>
        <w:t>nocer procesos con detenidos, libertades, requisitorias, hábeas corpus; y otros casos de urgente atención”; (</w:t>
      </w:r>
      <w:r w:rsidRPr="003C69E0">
        <w:rPr>
          <w:rFonts w:ascii="Verdana" w:hAnsi="Verdana"/>
          <w:sz w:val="16"/>
          <w:szCs w:val="16"/>
        </w:rPr>
        <w:t>ii) se solicitó al Director del Instituto Nacional Penitenciario</w:t>
      </w:r>
      <w:r w:rsidRPr="00145EB2">
        <w:rPr>
          <w:rFonts w:ascii="Verdana" w:hAnsi="Verdana"/>
          <w:sz w:val="16"/>
          <w:szCs w:val="16"/>
        </w:rPr>
        <w:t xml:space="preserve"> un informe sobre los </w:t>
      </w:r>
      <w:r>
        <w:rPr>
          <w:rFonts w:ascii="Verdana" w:hAnsi="Verdana"/>
          <w:sz w:val="16"/>
          <w:szCs w:val="16"/>
        </w:rPr>
        <w:t>internos</w:t>
      </w:r>
      <w:r w:rsidRPr="00145EB2">
        <w:rPr>
          <w:rFonts w:ascii="Verdana" w:hAnsi="Verdana"/>
          <w:sz w:val="16"/>
          <w:szCs w:val="16"/>
        </w:rPr>
        <w:t xml:space="preserve"> en los centros penitenciarios del país, y se dispuso la elaboración de un “informe estadístico y de ser posible propuesta de medidas a tomar, respecto a la población internada en los centros penitenciarios del país”; (iii) </w:t>
      </w:r>
      <w:r w:rsidRPr="00692D78">
        <w:rPr>
          <w:rFonts w:ascii="Verdana" w:hAnsi="Verdana"/>
          <w:sz w:val="16"/>
          <w:szCs w:val="16"/>
        </w:rPr>
        <w:t>se dispuso que los Presidentes de las Cortes Superiores de Justicia</w:t>
      </w:r>
      <w:r w:rsidRPr="00145EB2">
        <w:rPr>
          <w:rFonts w:ascii="Verdana" w:hAnsi="Verdana"/>
          <w:sz w:val="16"/>
          <w:szCs w:val="16"/>
        </w:rPr>
        <w:t xml:space="preserve"> del país “exhorten a los jueces de la especialidad penal, para que en todos aquellos casos en los que tengan la competencia y posibilidad, revisen, incluso de oficio, la situación jurídica de los procesados y sentenciados privados de su libertad, que estén bajo su competencia, a fin de evaluar modificaciones a su condición jurídica”. </w:t>
      </w:r>
    </w:p>
  </w:footnote>
  <w:footnote w:id="15">
    <w:p w14:paraId="3783A5DB" w14:textId="1B424EE5" w:rsidR="009B20E5" w:rsidRPr="00AD2DEB" w:rsidRDefault="009B20E5" w:rsidP="00897F1B">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Pr>
          <w:rFonts w:ascii="Verdana" w:hAnsi="Verdana"/>
          <w:sz w:val="16"/>
          <w:szCs w:val="16"/>
        </w:rPr>
        <w:t>A</w:t>
      </w:r>
      <w:r w:rsidRPr="004517B8">
        <w:rPr>
          <w:rFonts w:ascii="Verdana" w:hAnsi="Verdana"/>
          <w:sz w:val="16"/>
          <w:szCs w:val="16"/>
        </w:rPr>
        <w:t>probado por el Consejo Nacional</w:t>
      </w:r>
      <w:r>
        <w:rPr>
          <w:rFonts w:ascii="Verdana" w:hAnsi="Verdana"/>
          <w:sz w:val="16"/>
          <w:szCs w:val="16"/>
        </w:rPr>
        <w:t xml:space="preserve"> </w:t>
      </w:r>
      <w:r w:rsidRPr="00906595">
        <w:rPr>
          <w:rFonts w:ascii="Verdana" w:hAnsi="Verdana"/>
          <w:sz w:val="16"/>
          <w:szCs w:val="16"/>
        </w:rPr>
        <w:t>Penitenciario de fecha 30 de marzo de 2020 (</w:t>
      </w:r>
      <w:r>
        <w:rPr>
          <w:rFonts w:ascii="Verdana" w:hAnsi="Verdana"/>
          <w:sz w:val="16"/>
          <w:szCs w:val="16"/>
        </w:rPr>
        <w:t>a</w:t>
      </w:r>
      <w:r w:rsidRPr="00906595">
        <w:rPr>
          <w:rFonts w:ascii="Verdana" w:hAnsi="Verdana"/>
          <w:sz w:val="16"/>
          <w:szCs w:val="16"/>
        </w:rPr>
        <w:t>nexo al informe estatal de 22 de mayo de 2020). Dicho plan prevé la instalación de un puesto avanzado a cargo de personal de salud en cada establecimiento penitenciario, a cargo de realizar las atenciones médicas.</w:t>
      </w:r>
    </w:p>
  </w:footnote>
  <w:footnote w:id="16">
    <w:p w14:paraId="507E83BF" w14:textId="653E4ED5" w:rsidR="009B20E5" w:rsidRPr="00906595" w:rsidRDefault="009B20E5" w:rsidP="002A731A">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El Estado hizo referencia, entre otras, a fumigaciones y acciones de desinfección, entrega de medicamentos y elementos de protección personal, así como algunas medidas específicas adoptadas para mitigar las situaciones de contagio, tales como la restricción de visitantes considerados de alto riesgo.</w:t>
      </w:r>
    </w:p>
  </w:footnote>
  <w:footnote w:id="17">
    <w:p w14:paraId="51A64F8F" w14:textId="7E7331D7" w:rsidR="009B20E5" w:rsidRPr="00906595" w:rsidRDefault="009B20E5" w:rsidP="00204121">
      <w:pPr>
        <w:pStyle w:val="Textonotapie"/>
        <w:jc w:val="both"/>
        <w:rPr>
          <w:rFonts w:ascii="Verdana" w:hAnsi="Verdana"/>
          <w:b/>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El referido decreto especifica qué artículos del Código Penal y leyes especiales se encuentran excluidos, los cuales abarcan determinados delitos </w:t>
      </w:r>
      <w:r>
        <w:rPr>
          <w:rFonts w:ascii="Verdana" w:hAnsi="Verdana"/>
          <w:sz w:val="16"/>
          <w:szCs w:val="16"/>
        </w:rPr>
        <w:t>C</w:t>
      </w:r>
      <w:r w:rsidRPr="004517B8">
        <w:rPr>
          <w:rFonts w:ascii="Verdana" w:hAnsi="Verdana"/>
          <w:sz w:val="16"/>
          <w:szCs w:val="16"/>
        </w:rPr>
        <w:t xml:space="preserve">ontra la </w:t>
      </w:r>
      <w:r>
        <w:rPr>
          <w:rFonts w:ascii="Verdana" w:hAnsi="Verdana"/>
          <w:sz w:val="16"/>
          <w:szCs w:val="16"/>
        </w:rPr>
        <w:t>V</w:t>
      </w:r>
      <w:r w:rsidRPr="004517B8">
        <w:rPr>
          <w:rFonts w:ascii="Verdana" w:hAnsi="Verdana"/>
          <w:sz w:val="16"/>
          <w:szCs w:val="16"/>
        </w:rPr>
        <w:t xml:space="preserve">ida, el </w:t>
      </w:r>
      <w:r>
        <w:rPr>
          <w:rFonts w:ascii="Verdana" w:hAnsi="Verdana"/>
          <w:sz w:val="16"/>
          <w:szCs w:val="16"/>
        </w:rPr>
        <w:t>C</w:t>
      </w:r>
      <w:r w:rsidRPr="004517B8">
        <w:rPr>
          <w:rFonts w:ascii="Verdana" w:hAnsi="Verdana"/>
          <w:sz w:val="16"/>
          <w:szCs w:val="16"/>
        </w:rPr>
        <w:t xml:space="preserve">uerpo y la </w:t>
      </w:r>
      <w:r>
        <w:rPr>
          <w:rFonts w:ascii="Verdana" w:hAnsi="Verdana"/>
          <w:sz w:val="16"/>
          <w:szCs w:val="16"/>
        </w:rPr>
        <w:t>S</w:t>
      </w:r>
      <w:r w:rsidRPr="004517B8">
        <w:rPr>
          <w:rFonts w:ascii="Verdana" w:hAnsi="Verdana"/>
          <w:sz w:val="16"/>
          <w:szCs w:val="16"/>
        </w:rPr>
        <w:t xml:space="preserve">alud; </w:t>
      </w:r>
      <w:r>
        <w:rPr>
          <w:rFonts w:ascii="Verdana" w:hAnsi="Verdana"/>
          <w:sz w:val="16"/>
          <w:szCs w:val="16"/>
        </w:rPr>
        <w:t>C</w:t>
      </w:r>
      <w:r w:rsidRPr="004517B8">
        <w:rPr>
          <w:rFonts w:ascii="Verdana" w:hAnsi="Verdana"/>
          <w:sz w:val="16"/>
          <w:szCs w:val="16"/>
        </w:rPr>
        <w:t xml:space="preserve">ontra la </w:t>
      </w:r>
      <w:r>
        <w:rPr>
          <w:rFonts w:ascii="Verdana" w:hAnsi="Verdana"/>
          <w:sz w:val="16"/>
          <w:szCs w:val="16"/>
        </w:rPr>
        <w:t>F</w:t>
      </w:r>
      <w:r w:rsidRPr="004517B8">
        <w:rPr>
          <w:rFonts w:ascii="Verdana" w:hAnsi="Verdana"/>
          <w:sz w:val="16"/>
          <w:szCs w:val="16"/>
        </w:rPr>
        <w:t xml:space="preserve">amilia, </w:t>
      </w:r>
      <w:r>
        <w:rPr>
          <w:rFonts w:ascii="Verdana" w:hAnsi="Verdana"/>
          <w:sz w:val="16"/>
          <w:szCs w:val="16"/>
        </w:rPr>
        <w:t>C</w:t>
      </w:r>
      <w:r w:rsidRPr="004517B8">
        <w:rPr>
          <w:rFonts w:ascii="Verdana" w:hAnsi="Verdana"/>
          <w:sz w:val="16"/>
          <w:szCs w:val="16"/>
        </w:rPr>
        <w:t xml:space="preserve">ontra la </w:t>
      </w:r>
      <w:r>
        <w:rPr>
          <w:rFonts w:ascii="Verdana" w:hAnsi="Verdana"/>
          <w:sz w:val="16"/>
          <w:szCs w:val="16"/>
        </w:rPr>
        <w:t>L</w:t>
      </w:r>
      <w:r w:rsidRPr="004517B8">
        <w:rPr>
          <w:rFonts w:ascii="Verdana" w:hAnsi="Verdana"/>
          <w:sz w:val="16"/>
          <w:szCs w:val="16"/>
        </w:rPr>
        <w:t xml:space="preserve">ibertad, </w:t>
      </w:r>
      <w:r>
        <w:rPr>
          <w:rFonts w:ascii="Verdana" w:hAnsi="Verdana"/>
          <w:sz w:val="16"/>
          <w:szCs w:val="16"/>
        </w:rPr>
        <w:t>C</w:t>
      </w:r>
      <w:r w:rsidRPr="004517B8">
        <w:rPr>
          <w:rFonts w:ascii="Verdana" w:hAnsi="Verdana"/>
          <w:sz w:val="16"/>
          <w:szCs w:val="16"/>
        </w:rPr>
        <w:t xml:space="preserve">ontra el </w:t>
      </w:r>
      <w:r>
        <w:rPr>
          <w:rFonts w:ascii="Verdana" w:hAnsi="Verdana"/>
          <w:sz w:val="16"/>
          <w:szCs w:val="16"/>
        </w:rPr>
        <w:t>P</w:t>
      </w:r>
      <w:r w:rsidRPr="004517B8">
        <w:rPr>
          <w:rFonts w:ascii="Verdana" w:hAnsi="Verdana"/>
          <w:sz w:val="16"/>
          <w:szCs w:val="16"/>
        </w:rPr>
        <w:t xml:space="preserve">atrimonio, </w:t>
      </w:r>
      <w:r>
        <w:rPr>
          <w:rFonts w:ascii="Verdana" w:hAnsi="Verdana"/>
          <w:sz w:val="16"/>
          <w:szCs w:val="16"/>
        </w:rPr>
        <w:t>C</w:t>
      </w:r>
      <w:r w:rsidRPr="004517B8">
        <w:rPr>
          <w:rFonts w:ascii="Verdana" w:hAnsi="Verdana"/>
          <w:sz w:val="16"/>
          <w:szCs w:val="16"/>
        </w:rPr>
        <w:t xml:space="preserve">ontra la </w:t>
      </w:r>
      <w:r>
        <w:rPr>
          <w:rFonts w:ascii="Verdana" w:hAnsi="Verdana"/>
          <w:sz w:val="16"/>
          <w:szCs w:val="16"/>
        </w:rPr>
        <w:t>S</w:t>
      </w:r>
      <w:r w:rsidRPr="004517B8">
        <w:rPr>
          <w:rFonts w:ascii="Verdana" w:hAnsi="Verdana"/>
          <w:sz w:val="16"/>
          <w:szCs w:val="16"/>
        </w:rPr>
        <w:t xml:space="preserve">eguridad </w:t>
      </w:r>
      <w:r>
        <w:rPr>
          <w:rFonts w:ascii="Verdana" w:hAnsi="Verdana"/>
          <w:sz w:val="16"/>
          <w:szCs w:val="16"/>
        </w:rPr>
        <w:t>P</w:t>
      </w:r>
      <w:r w:rsidRPr="004517B8">
        <w:rPr>
          <w:rFonts w:ascii="Verdana" w:hAnsi="Verdana"/>
          <w:sz w:val="16"/>
          <w:szCs w:val="16"/>
        </w:rPr>
        <w:t xml:space="preserve">ública, contra la </w:t>
      </w:r>
      <w:r>
        <w:rPr>
          <w:rFonts w:ascii="Verdana" w:hAnsi="Verdana"/>
          <w:sz w:val="16"/>
          <w:szCs w:val="16"/>
        </w:rPr>
        <w:t>T</w:t>
      </w:r>
      <w:r w:rsidRPr="004517B8">
        <w:rPr>
          <w:rFonts w:ascii="Verdana" w:hAnsi="Verdana"/>
          <w:sz w:val="16"/>
          <w:szCs w:val="16"/>
        </w:rPr>
        <w:t xml:space="preserve">ranquilidad </w:t>
      </w:r>
      <w:r>
        <w:rPr>
          <w:rFonts w:ascii="Verdana" w:hAnsi="Verdana"/>
          <w:sz w:val="16"/>
          <w:szCs w:val="16"/>
        </w:rPr>
        <w:t>P</w:t>
      </w:r>
      <w:r w:rsidRPr="004517B8">
        <w:rPr>
          <w:rFonts w:ascii="Verdana" w:hAnsi="Verdana"/>
          <w:sz w:val="16"/>
          <w:szCs w:val="16"/>
        </w:rPr>
        <w:t xml:space="preserve">ública, contra la </w:t>
      </w:r>
      <w:r>
        <w:rPr>
          <w:rFonts w:ascii="Verdana" w:hAnsi="Verdana"/>
          <w:sz w:val="16"/>
          <w:szCs w:val="16"/>
        </w:rPr>
        <w:t>H</w:t>
      </w:r>
      <w:r w:rsidRPr="004517B8">
        <w:rPr>
          <w:rFonts w:ascii="Verdana" w:hAnsi="Verdana"/>
          <w:sz w:val="16"/>
          <w:szCs w:val="16"/>
        </w:rPr>
        <w:t>umanidad, contra los Poderes del Estado y el Orden Constitucional, contra la Administración Pública, los previstos en el Decreto Ley N</w:t>
      </w:r>
      <w:r>
        <w:rPr>
          <w:rFonts w:ascii="Verdana" w:hAnsi="Verdana"/>
          <w:sz w:val="16"/>
          <w:szCs w:val="16"/>
        </w:rPr>
        <w:t>o.</w:t>
      </w:r>
      <w:r w:rsidRPr="004517B8">
        <w:rPr>
          <w:rFonts w:ascii="Verdana" w:hAnsi="Verdana"/>
          <w:sz w:val="16"/>
          <w:szCs w:val="16"/>
        </w:rPr>
        <w:t xml:space="preserve"> 25475 y sus modificatorias (terrorismo), </w:t>
      </w:r>
      <w:r>
        <w:rPr>
          <w:rFonts w:ascii="Verdana" w:hAnsi="Verdana"/>
          <w:sz w:val="16"/>
          <w:szCs w:val="16"/>
        </w:rPr>
        <w:t>L</w:t>
      </w:r>
      <w:r w:rsidRPr="004517B8">
        <w:rPr>
          <w:rFonts w:ascii="Verdana" w:hAnsi="Verdana"/>
          <w:sz w:val="16"/>
          <w:szCs w:val="16"/>
        </w:rPr>
        <w:t>avado de activos y cualquier delitos cometido en el marco de la Ley N</w:t>
      </w:r>
      <w:r>
        <w:rPr>
          <w:rFonts w:ascii="Verdana" w:hAnsi="Verdana"/>
          <w:sz w:val="16"/>
          <w:szCs w:val="16"/>
        </w:rPr>
        <w:t>o.</w:t>
      </w:r>
      <w:r w:rsidRPr="004517B8">
        <w:rPr>
          <w:rFonts w:ascii="Verdana" w:hAnsi="Verdana"/>
          <w:sz w:val="16"/>
          <w:szCs w:val="16"/>
        </w:rPr>
        <w:t xml:space="preserve"> 30077 </w:t>
      </w:r>
      <w:r>
        <w:rPr>
          <w:rFonts w:ascii="Verdana" w:hAnsi="Verdana"/>
          <w:sz w:val="16"/>
          <w:szCs w:val="16"/>
        </w:rPr>
        <w:t>C</w:t>
      </w:r>
      <w:r w:rsidRPr="004517B8">
        <w:rPr>
          <w:rFonts w:ascii="Verdana" w:hAnsi="Verdana"/>
          <w:sz w:val="16"/>
          <w:szCs w:val="16"/>
        </w:rPr>
        <w:t xml:space="preserve">ontra el </w:t>
      </w:r>
      <w:r>
        <w:rPr>
          <w:rFonts w:ascii="Verdana" w:hAnsi="Verdana"/>
          <w:sz w:val="16"/>
          <w:szCs w:val="16"/>
        </w:rPr>
        <w:t>C</w:t>
      </w:r>
      <w:r w:rsidRPr="004517B8">
        <w:rPr>
          <w:rFonts w:ascii="Verdana" w:hAnsi="Verdana"/>
          <w:sz w:val="16"/>
          <w:szCs w:val="16"/>
        </w:rPr>
        <w:t xml:space="preserve">rimen </w:t>
      </w:r>
      <w:r>
        <w:rPr>
          <w:rFonts w:ascii="Verdana" w:hAnsi="Verdana"/>
          <w:sz w:val="16"/>
          <w:szCs w:val="16"/>
        </w:rPr>
        <w:t>O</w:t>
      </w:r>
      <w:r w:rsidRPr="004517B8">
        <w:rPr>
          <w:rFonts w:ascii="Verdana" w:hAnsi="Verdana"/>
          <w:sz w:val="16"/>
          <w:szCs w:val="16"/>
        </w:rPr>
        <w:t>rganizado.</w:t>
      </w:r>
    </w:p>
  </w:footnote>
  <w:footnote w:id="18">
    <w:p w14:paraId="45D4E6E2" w14:textId="050A4CB9" w:rsidR="009B20E5" w:rsidRPr="00E05518"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E05518">
        <w:rPr>
          <w:rFonts w:ascii="Verdana" w:hAnsi="Verdana"/>
          <w:sz w:val="16"/>
          <w:szCs w:val="16"/>
        </w:rPr>
        <w:t xml:space="preserve">Según dicho informe médico, al momento del examen, el señor Morote se encontraba “clínicamente estable”. </w:t>
      </w:r>
      <w:r w:rsidRPr="00E05518">
        <w:rPr>
          <w:rFonts w:ascii="Verdana" w:hAnsi="Verdana"/>
          <w:i/>
          <w:sz w:val="16"/>
          <w:szCs w:val="16"/>
        </w:rPr>
        <w:t xml:space="preserve">Cfr. </w:t>
      </w:r>
      <w:r w:rsidRPr="00E05518">
        <w:rPr>
          <w:rFonts w:ascii="Verdana" w:hAnsi="Verdana"/>
          <w:sz w:val="16"/>
          <w:szCs w:val="16"/>
        </w:rPr>
        <w:t xml:space="preserve">Informe médico No. 123 de 28 de abril de 2020, suscrito por el Jefe del Área de Salud del Establecimiento Penitenciario Ancón I (anexo al informe estatal de 22 de mayo de 2020). </w:t>
      </w:r>
    </w:p>
  </w:footnote>
  <w:footnote w:id="19">
    <w:p w14:paraId="13AA3FA6" w14:textId="39BFBFCF" w:rsidR="009B20E5" w:rsidRPr="00145EB2" w:rsidRDefault="009B20E5">
      <w:pPr>
        <w:pStyle w:val="Textonotapie"/>
        <w:jc w:val="both"/>
        <w:rPr>
          <w:rFonts w:ascii="Verdana" w:hAnsi="Verdana"/>
          <w:sz w:val="16"/>
          <w:szCs w:val="16"/>
        </w:rPr>
      </w:pPr>
      <w:r w:rsidRPr="00E05518">
        <w:rPr>
          <w:rStyle w:val="Refdenotaalpie"/>
          <w:szCs w:val="16"/>
        </w:rPr>
        <w:footnoteRef/>
      </w:r>
      <w:r w:rsidRPr="00E05518">
        <w:rPr>
          <w:rFonts w:ascii="Verdana" w:hAnsi="Verdana"/>
          <w:sz w:val="16"/>
          <w:szCs w:val="16"/>
        </w:rPr>
        <w:t xml:space="preserve"> </w:t>
      </w:r>
      <w:r w:rsidRPr="00E05518">
        <w:rPr>
          <w:rFonts w:ascii="Verdana" w:hAnsi="Verdana"/>
          <w:sz w:val="16"/>
          <w:szCs w:val="16"/>
        </w:rPr>
        <w:tab/>
        <w:t xml:space="preserve">Según dicho informe médico, al momento del examen, el señor Morote se encontraba “clínicamente estable”. Se le diagnosticó “D/C </w:t>
      </w:r>
      <w:proofErr w:type="spellStart"/>
      <w:r w:rsidRPr="00E05518">
        <w:rPr>
          <w:rFonts w:ascii="Verdana" w:hAnsi="Verdana"/>
          <w:sz w:val="16"/>
          <w:szCs w:val="16"/>
        </w:rPr>
        <w:t>Alzaimer</w:t>
      </w:r>
      <w:proofErr w:type="spellEnd"/>
      <w:r w:rsidRPr="00E05518">
        <w:rPr>
          <w:rFonts w:ascii="Verdana" w:hAnsi="Verdana"/>
          <w:sz w:val="16"/>
          <w:szCs w:val="16"/>
        </w:rPr>
        <w:t xml:space="preserve">” y “desnutrición leve”, y se indicó que “[n]o se [había] </w:t>
      </w:r>
      <w:proofErr w:type="spellStart"/>
      <w:r w:rsidRPr="00E05518">
        <w:rPr>
          <w:rFonts w:ascii="Verdana" w:hAnsi="Verdana"/>
          <w:sz w:val="16"/>
          <w:szCs w:val="16"/>
        </w:rPr>
        <w:t>realiz</w:t>
      </w:r>
      <w:proofErr w:type="spellEnd"/>
      <w:r w:rsidRPr="00E05518">
        <w:rPr>
          <w:rFonts w:ascii="Verdana" w:hAnsi="Verdana"/>
          <w:sz w:val="16"/>
          <w:szCs w:val="16"/>
        </w:rPr>
        <w:t>[</w:t>
      </w:r>
      <w:proofErr w:type="spellStart"/>
      <w:r w:rsidRPr="00E05518">
        <w:rPr>
          <w:rFonts w:ascii="Verdana" w:hAnsi="Verdana"/>
          <w:sz w:val="16"/>
          <w:szCs w:val="16"/>
        </w:rPr>
        <w:t>ado</w:t>
      </w:r>
      <w:proofErr w:type="spellEnd"/>
      <w:r w:rsidRPr="00E05518">
        <w:rPr>
          <w:rFonts w:ascii="Verdana" w:hAnsi="Verdana"/>
          <w:sz w:val="16"/>
          <w:szCs w:val="16"/>
        </w:rPr>
        <w:t xml:space="preserve">] Prueba Rápida para COVID-19 hasta la fecha por falta de insumo”. </w:t>
      </w:r>
      <w:r w:rsidRPr="00E05518">
        <w:rPr>
          <w:rFonts w:ascii="Verdana" w:hAnsi="Verdana"/>
          <w:i/>
          <w:sz w:val="16"/>
          <w:szCs w:val="16"/>
        </w:rPr>
        <w:t xml:space="preserve">Cfr. </w:t>
      </w:r>
      <w:r w:rsidRPr="00E05518">
        <w:rPr>
          <w:rFonts w:ascii="Verdana" w:hAnsi="Verdana"/>
          <w:sz w:val="16"/>
          <w:szCs w:val="16"/>
        </w:rPr>
        <w:t>Informe médico No. 197 de 19 de mayo de 2020, suscrito por el Jefe del Área de Salud del Establecimiento Penitenciario Ancón I (anexo al informe estatal de 22 de mayo de 2020).</w:t>
      </w:r>
      <w:r w:rsidRPr="00145EB2">
        <w:rPr>
          <w:rFonts w:ascii="Verdana" w:hAnsi="Verdana"/>
          <w:sz w:val="16"/>
          <w:szCs w:val="16"/>
        </w:rPr>
        <w:t xml:space="preserve"> </w:t>
      </w:r>
    </w:p>
  </w:footnote>
  <w:footnote w:id="20">
    <w:p w14:paraId="05588B17" w14:textId="1F86EAE5"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 xml:space="preserve">Cfr. </w:t>
      </w:r>
      <w:r w:rsidRPr="00906595">
        <w:rPr>
          <w:rFonts w:ascii="Verdana" w:hAnsi="Verdana"/>
          <w:sz w:val="16"/>
          <w:szCs w:val="16"/>
        </w:rPr>
        <w:t>Informe médico N</w:t>
      </w:r>
      <w:r>
        <w:rPr>
          <w:rFonts w:ascii="Verdana" w:hAnsi="Verdana"/>
          <w:sz w:val="16"/>
          <w:szCs w:val="16"/>
        </w:rPr>
        <w:t>o.</w:t>
      </w:r>
      <w:r w:rsidRPr="00906595">
        <w:rPr>
          <w:rFonts w:ascii="Verdana" w:hAnsi="Verdana"/>
          <w:sz w:val="16"/>
          <w:szCs w:val="16"/>
        </w:rPr>
        <w:t xml:space="preserve"> 284 de 3 de junio de 2020</w:t>
      </w:r>
      <w:r>
        <w:rPr>
          <w:rFonts w:ascii="Verdana" w:hAnsi="Verdana"/>
          <w:sz w:val="16"/>
          <w:szCs w:val="16"/>
        </w:rPr>
        <w:t>,</w:t>
      </w:r>
      <w:r w:rsidRPr="00906595">
        <w:rPr>
          <w:rFonts w:ascii="Verdana" w:hAnsi="Verdana"/>
          <w:sz w:val="16"/>
          <w:szCs w:val="16"/>
        </w:rPr>
        <w:t xml:space="preserve"> suscrito por el Jefe del Área de Salud del </w:t>
      </w:r>
      <w:r>
        <w:rPr>
          <w:rFonts w:ascii="Verdana" w:hAnsi="Verdana"/>
          <w:sz w:val="16"/>
          <w:szCs w:val="16"/>
        </w:rPr>
        <w:t>E</w:t>
      </w:r>
      <w:r w:rsidRPr="00906595">
        <w:rPr>
          <w:rFonts w:ascii="Verdana" w:hAnsi="Verdana"/>
          <w:sz w:val="16"/>
          <w:szCs w:val="16"/>
        </w:rPr>
        <w:t xml:space="preserve">stablecimiento </w:t>
      </w:r>
      <w:r>
        <w:rPr>
          <w:rFonts w:ascii="Verdana" w:hAnsi="Verdana"/>
          <w:sz w:val="16"/>
          <w:szCs w:val="16"/>
        </w:rPr>
        <w:t>P</w:t>
      </w:r>
      <w:r w:rsidRPr="00906595">
        <w:rPr>
          <w:rFonts w:ascii="Verdana" w:hAnsi="Verdana"/>
          <w:sz w:val="16"/>
          <w:szCs w:val="16"/>
        </w:rPr>
        <w:t>enitenciario Ancón I (</w:t>
      </w:r>
      <w:r>
        <w:rPr>
          <w:rFonts w:ascii="Verdana" w:hAnsi="Verdana"/>
          <w:sz w:val="16"/>
          <w:szCs w:val="16"/>
        </w:rPr>
        <w:t>a</w:t>
      </w:r>
      <w:r w:rsidRPr="00906595">
        <w:rPr>
          <w:rFonts w:ascii="Verdana" w:hAnsi="Verdana"/>
          <w:sz w:val="16"/>
          <w:szCs w:val="16"/>
        </w:rPr>
        <w:t xml:space="preserve">nexo al informe estatal de 9 de junio de 2020). </w:t>
      </w:r>
    </w:p>
  </w:footnote>
  <w:footnote w:id="21">
    <w:p w14:paraId="02648E76" w14:textId="4B2F3592" w:rsidR="009B20E5" w:rsidRPr="00E05518" w:rsidRDefault="009B20E5">
      <w:pPr>
        <w:pStyle w:val="Textonotapie"/>
        <w:jc w:val="both"/>
        <w:rPr>
          <w:rFonts w:ascii="Verdana" w:hAnsi="Verdana"/>
          <w:sz w:val="16"/>
          <w:szCs w:val="16"/>
        </w:rPr>
      </w:pPr>
      <w:r w:rsidRPr="004517B8">
        <w:rPr>
          <w:rStyle w:val="Refdenotaalpie"/>
          <w:szCs w:val="16"/>
        </w:rPr>
        <w:footnoteRef/>
      </w:r>
      <w:r w:rsidRPr="00E05518">
        <w:rPr>
          <w:rFonts w:ascii="Verdana" w:hAnsi="Verdana"/>
          <w:sz w:val="16"/>
          <w:szCs w:val="16"/>
        </w:rPr>
        <w:t xml:space="preserve"> </w:t>
      </w:r>
      <w:r w:rsidRPr="00E05518">
        <w:rPr>
          <w:rFonts w:ascii="Verdana" w:hAnsi="Verdana"/>
          <w:sz w:val="16"/>
          <w:szCs w:val="16"/>
        </w:rPr>
        <w:tab/>
      </w:r>
      <w:r w:rsidRPr="004517B8">
        <w:rPr>
          <w:rFonts w:ascii="Verdana" w:hAnsi="Verdana"/>
          <w:spacing w:val="-4"/>
          <w:sz w:val="16"/>
          <w:szCs w:val="16"/>
          <w:lang w:val="es-CR"/>
        </w:rPr>
        <w:t>A modo de tratamiento se le prescribió “Azitromicina 500mg/día” y “paracetamol 500mg/8hs”.</w:t>
      </w:r>
      <w:r>
        <w:rPr>
          <w:rFonts w:ascii="Verdana" w:hAnsi="Verdana"/>
          <w:spacing w:val="-4"/>
          <w:sz w:val="16"/>
          <w:szCs w:val="16"/>
          <w:lang w:val="es-CR"/>
        </w:rPr>
        <w:t xml:space="preserve"> </w:t>
      </w:r>
      <w:r w:rsidRPr="00E05518">
        <w:rPr>
          <w:rFonts w:ascii="Verdana" w:hAnsi="Verdana"/>
          <w:i/>
          <w:spacing w:val="-4"/>
          <w:sz w:val="16"/>
          <w:szCs w:val="16"/>
          <w:lang w:val="es-CR"/>
        </w:rPr>
        <w:t>Cfr.</w:t>
      </w:r>
      <w:r>
        <w:rPr>
          <w:rFonts w:ascii="Verdana" w:hAnsi="Verdana"/>
          <w:spacing w:val="-4"/>
          <w:sz w:val="16"/>
          <w:szCs w:val="16"/>
          <w:lang w:val="es-CR"/>
        </w:rPr>
        <w:t xml:space="preserve"> Informe médico No. 284 de 3 de junio de 2020, </w:t>
      </w:r>
      <w:r w:rsidRPr="00E05518">
        <w:rPr>
          <w:rFonts w:ascii="Verdana" w:hAnsi="Verdana"/>
          <w:i/>
          <w:spacing w:val="-4"/>
          <w:sz w:val="16"/>
          <w:szCs w:val="16"/>
          <w:lang w:val="es-CR"/>
        </w:rPr>
        <w:t>supra</w:t>
      </w:r>
      <w:r>
        <w:rPr>
          <w:rFonts w:ascii="Verdana" w:hAnsi="Verdana"/>
          <w:spacing w:val="-4"/>
          <w:sz w:val="16"/>
          <w:szCs w:val="16"/>
          <w:lang w:val="es-CR"/>
        </w:rPr>
        <w:t xml:space="preserve"> nota. </w:t>
      </w:r>
    </w:p>
  </w:footnote>
  <w:footnote w:id="22">
    <w:p w14:paraId="30DCA548" w14:textId="10841812" w:rsidR="009B20E5" w:rsidRPr="00145EB2"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Según dicho informe médico, al momento del examen la señora Liendo Gil “fue diagnosticada con: (i) Hipertensión Arterial</w:t>
      </w:r>
      <w:r>
        <w:rPr>
          <w:rFonts w:ascii="Verdana" w:hAnsi="Verdana"/>
          <w:sz w:val="16"/>
          <w:szCs w:val="16"/>
        </w:rPr>
        <w:t xml:space="preserve">, </w:t>
      </w:r>
      <w:r w:rsidRPr="004517B8">
        <w:rPr>
          <w:rFonts w:ascii="Verdana" w:hAnsi="Verdana"/>
          <w:sz w:val="16"/>
          <w:szCs w:val="16"/>
        </w:rPr>
        <w:t xml:space="preserve">e (ii) Hipotiroidismo, ambas patologías en tratamiento”. </w:t>
      </w:r>
      <w:r w:rsidRPr="00906595">
        <w:rPr>
          <w:rFonts w:ascii="Verdana" w:hAnsi="Verdana"/>
          <w:i/>
          <w:sz w:val="16"/>
          <w:szCs w:val="16"/>
        </w:rPr>
        <w:t>Cfr.</w:t>
      </w:r>
      <w:r w:rsidRPr="004E3A04">
        <w:rPr>
          <w:rFonts w:ascii="Verdana" w:hAnsi="Verdana"/>
          <w:sz w:val="16"/>
          <w:szCs w:val="16"/>
        </w:rPr>
        <w:t xml:space="preserve"> Oficio N</w:t>
      </w:r>
      <w:r>
        <w:rPr>
          <w:rFonts w:ascii="Verdana" w:hAnsi="Verdana"/>
          <w:sz w:val="16"/>
          <w:szCs w:val="16"/>
        </w:rPr>
        <w:t>o.</w:t>
      </w:r>
      <w:r w:rsidRPr="004E3A04">
        <w:rPr>
          <w:rFonts w:ascii="Verdana" w:hAnsi="Verdana"/>
          <w:sz w:val="16"/>
          <w:szCs w:val="16"/>
        </w:rPr>
        <w:t xml:space="preserve"> 173-2020-INPE/18-232-ASP-J de 28 de abril de 2020, emitido por la Direc</w:t>
      </w:r>
      <w:r w:rsidRPr="00145EB2">
        <w:rPr>
          <w:rFonts w:ascii="Verdana" w:hAnsi="Verdana"/>
          <w:sz w:val="16"/>
          <w:szCs w:val="16"/>
        </w:rPr>
        <w:t xml:space="preserve">tora del Establecimiento Penitenciario Anexo Mujeres Chorrillos mediante el cual trasladó el Informe </w:t>
      </w:r>
      <w:r>
        <w:rPr>
          <w:rFonts w:ascii="Verdana" w:hAnsi="Verdana"/>
          <w:sz w:val="16"/>
          <w:szCs w:val="16"/>
        </w:rPr>
        <w:t>m</w:t>
      </w:r>
      <w:r w:rsidRPr="00145EB2">
        <w:rPr>
          <w:rFonts w:ascii="Verdana" w:hAnsi="Verdana"/>
          <w:sz w:val="16"/>
          <w:szCs w:val="16"/>
        </w:rPr>
        <w:t>édico N</w:t>
      </w:r>
      <w:r>
        <w:rPr>
          <w:rFonts w:ascii="Verdana" w:hAnsi="Verdana"/>
          <w:sz w:val="16"/>
          <w:szCs w:val="16"/>
        </w:rPr>
        <w:t>o.</w:t>
      </w:r>
      <w:r w:rsidRPr="00145EB2">
        <w:rPr>
          <w:rFonts w:ascii="Verdana" w:hAnsi="Verdana"/>
          <w:sz w:val="16"/>
          <w:szCs w:val="16"/>
        </w:rPr>
        <w:t xml:space="preserve"> 132-2020 de 28 de abril de 2020 (</w:t>
      </w:r>
      <w:r>
        <w:rPr>
          <w:rFonts w:ascii="Verdana" w:hAnsi="Verdana"/>
          <w:sz w:val="16"/>
          <w:szCs w:val="16"/>
        </w:rPr>
        <w:t>a</w:t>
      </w:r>
      <w:r w:rsidRPr="00145EB2">
        <w:rPr>
          <w:rFonts w:ascii="Verdana" w:hAnsi="Verdana"/>
          <w:sz w:val="16"/>
          <w:szCs w:val="16"/>
        </w:rPr>
        <w:t xml:space="preserve">nexo al informe estatal de 22 de mayo de 2020). </w:t>
      </w:r>
    </w:p>
  </w:footnote>
  <w:footnote w:id="23">
    <w:p w14:paraId="5254B475" w14:textId="7BB8F696" w:rsidR="009B20E5" w:rsidRPr="00145EB2"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Cfr.</w:t>
      </w:r>
      <w:r w:rsidRPr="00906595">
        <w:rPr>
          <w:rFonts w:ascii="Verdana" w:hAnsi="Verdana"/>
          <w:sz w:val="16"/>
          <w:szCs w:val="16"/>
        </w:rPr>
        <w:t xml:space="preserve"> Informe </w:t>
      </w:r>
      <w:r>
        <w:rPr>
          <w:rFonts w:ascii="Verdana" w:hAnsi="Verdana"/>
          <w:sz w:val="16"/>
          <w:szCs w:val="16"/>
        </w:rPr>
        <w:t>m</w:t>
      </w:r>
      <w:r w:rsidRPr="00906595">
        <w:rPr>
          <w:rFonts w:ascii="Verdana" w:hAnsi="Verdana"/>
          <w:sz w:val="16"/>
          <w:szCs w:val="16"/>
        </w:rPr>
        <w:t>édico N</w:t>
      </w:r>
      <w:r>
        <w:rPr>
          <w:rFonts w:ascii="Verdana" w:hAnsi="Verdana"/>
          <w:sz w:val="16"/>
          <w:szCs w:val="16"/>
        </w:rPr>
        <w:t>o.</w:t>
      </w:r>
      <w:r w:rsidRPr="00906595">
        <w:rPr>
          <w:rFonts w:ascii="Verdana" w:hAnsi="Verdana"/>
          <w:sz w:val="16"/>
          <w:szCs w:val="16"/>
        </w:rPr>
        <w:t xml:space="preserve"> 173-2020 de 26 de mayo de 2020 elaborado por el Servicio Médico del</w:t>
      </w:r>
      <w:r>
        <w:rPr>
          <w:rFonts w:ascii="Verdana" w:hAnsi="Verdana"/>
          <w:sz w:val="16"/>
          <w:szCs w:val="16"/>
        </w:rPr>
        <w:t xml:space="preserve"> E</w:t>
      </w:r>
      <w:r w:rsidRPr="00145EB2">
        <w:rPr>
          <w:rFonts w:ascii="Verdana" w:hAnsi="Verdana"/>
          <w:sz w:val="16"/>
          <w:szCs w:val="16"/>
        </w:rPr>
        <w:t xml:space="preserve">stablecimiento </w:t>
      </w:r>
      <w:r>
        <w:rPr>
          <w:rFonts w:ascii="Verdana" w:hAnsi="Verdana"/>
          <w:sz w:val="16"/>
          <w:szCs w:val="16"/>
        </w:rPr>
        <w:t>P</w:t>
      </w:r>
      <w:r w:rsidRPr="00145EB2">
        <w:rPr>
          <w:rFonts w:ascii="Verdana" w:hAnsi="Verdana"/>
          <w:sz w:val="16"/>
          <w:szCs w:val="16"/>
        </w:rPr>
        <w:t>enitenciario de Chorrillos (</w:t>
      </w:r>
      <w:r>
        <w:rPr>
          <w:rFonts w:ascii="Verdana" w:hAnsi="Verdana"/>
          <w:sz w:val="16"/>
          <w:szCs w:val="16"/>
        </w:rPr>
        <w:t>a</w:t>
      </w:r>
      <w:r w:rsidRPr="00145EB2">
        <w:rPr>
          <w:rFonts w:ascii="Verdana" w:hAnsi="Verdana"/>
          <w:sz w:val="16"/>
          <w:szCs w:val="16"/>
        </w:rPr>
        <w:t>nexo al informe estatal de 9 de junio de 20</w:t>
      </w:r>
      <w:r>
        <w:rPr>
          <w:rFonts w:ascii="Verdana" w:hAnsi="Verdana"/>
          <w:sz w:val="16"/>
          <w:szCs w:val="16"/>
        </w:rPr>
        <w:t>2</w:t>
      </w:r>
      <w:r w:rsidRPr="00145EB2">
        <w:rPr>
          <w:rFonts w:ascii="Verdana" w:hAnsi="Verdana"/>
          <w:sz w:val="16"/>
          <w:szCs w:val="16"/>
        </w:rPr>
        <w:t>0).</w:t>
      </w:r>
    </w:p>
  </w:footnote>
  <w:footnote w:id="24">
    <w:p w14:paraId="635E3CEA" w14:textId="01D8E2D0" w:rsidR="009B20E5" w:rsidRPr="00145EB2"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Al respecto, precisó que “</w:t>
      </w:r>
      <w:r w:rsidRPr="00906595">
        <w:rPr>
          <w:rFonts w:ascii="Verdana" w:eastAsiaTheme="minorHAnsi" w:hAnsi="Verdana" w:cs="Arial"/>
          <w:bCs/>
          <w:spacing w:val="-4"/>
          <w:sz w:val="16"/>
          <w:szCs w:val="16"/>
          <w:lang w:val="es-AR"/>
        </w:rPr>
        <w:t>no está llevando dieta alimenticia porque viene controlando satisfactoriamente la patología hipertensiva con tratamiento antihipertensivo que se le viene proporcionando”, y que</w:t>
      </w:r>
      <w:r>
        <w:rPr>
          <w:rFonts w:ascii="Verdana" w:eastAsiaTheme="minorHAnsi" w:hAnsi="Verdana" w:cs="Arial"/>
          <w:bCs/>
          <w:spacing w:val="-4"/>
          <w:sz w:val="16"/>
          <w:szCs w:val="16"/>
          <w:lang w:val="es-AR"/>
        </w:rPr>
        <w:t>,</w:t>
      </w:r>
      <w:r w:rsidRPr="00906595">
        <w:rPr>
          <w:rFonts w:ascii="Verdana" w:eastAsiaTheme="minorHAnsi" w:hAnsi="Verdana" w:cs="Arial"/>
          <w:bCs/>
          <w:spacing w:val="-4"/>
          <w:sz w:val="16"/>
          <w:szCs w:val="16"/>
          <w:lang w:val="es-AR"/>
        </w:rPr>
        <w:t xml:space="preserve"> en su última atención, el 25 de mayo de 2020, se le diagnosticó infección urinaria y reflujo gastroesofágico, por lo que se le proporcionó tratamiento. Además,</w:t>
      </w:r>
      <w:r>
        <w:rPr>
          <w:rFonts w:ascii="Verdana" w:eastAsiaTheme="minorHAnsi" w:hAnsi="Verdana" w:cs="Arial"/>
          <w:bCs/>
          <w:spacing w:val="-4"/>
          <w:sz w:val="16"/>
          <w:szCs w:val="16"/>
          <w:lang w:val="es-AR"/>
        </w:rPr>
        <w:t xml:space="preserve"> señaló que</w:t>
      </w:r>
      <w:r w:rsidRPr="00906595">
        <w:rPr>
          <w:rFonts w:ascii="Verdana" w:eastAsiaTheme="minorHAnsi" w:hAnsi="Verdana" w:cs="Arial"/>
          <w:bCs/>
          <w:spacing w:val="-4"/>
          <w:sz w:val="16"/>
          <w:szCs w:val="16"/>
          <w:lang w:val="es-AR"/>
        </w:rPr>
        <w:t xml:space="preserve"> “se le realizó</w:t>
      </w:r>
      <w:r w:rsidRPr="00145EB2">
        <w:rPr>
          <w:rFonts w:ascii="Verdana" w:eastAsiaTheme="minorHAnsi" w:hAnsi="Verdana" w:cs="Arial"/>
          <w:bCs/>
          <w:spacing w:val="-4"/>
          <w:sz w:val="16"/>
          <w:szCs w:val="16"/>
          <w:lang w:val="es-AR"/>
        </w:rPr>
        <w:t xml:space="preserve"> la vacunación de Neumococo por ser población vulnerable y con comorbilidad”.</w:t>
      </w:r>
    </w:p>
  </w:footnote>
  <w:footnote w:id="25">
    <w:p w14:paraId="3EB8DEB2" w14:textId="09AC6169"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 xml:space="preserve">Cfr. </w:t>
      </w:r>
      <w:r w:rsidRPr="00906595">
        <w:rPr>
          <w:rFonts w:ascii="Verdana" w:hAnsi="Verdana"/>
          <w:sz w:val="16"/>
          <w:szCs w:val="16"/>
        </w:rPr>
        <w:t xml:space="preserve">Constancia médica de 2 de junio de 2020 elaborada por el Área de Salud del </w:t>
      </w:r>
      <w:r>
        <w:rPr>
          <w:rFonts w:ascii="Verdana" w:hAnsi="Verdana"/>
          <w:sz w:val="16"/>
          <w:szCs w:val="16"/>
        </w:rPr>
        <w:t>E</w:t>
      </w:r>
      <w:r w:rsidRPr="00906595">
        <w:rPr>
          <w:rFonts w:ascii="Verdana" w:hAnsi="Verdana"/>
          <w:sz w:val="16"/>
          <w:szCs w:val="16"/>
        </w:rPr>
        <w:t xml:space="preserve">stablecimiento </w:t>
      </w:r>
      <w:r>
        <w:rPr>
          <w:rFonts w:ascii="Verdana" w:hAnsi="Verdana"/>
          <w:sz w:val="16"/>
          <w:szCs w:val="16"/>
        </w:rPr>
        <w:t>P</w:t>
      </w:r>
      <w:r w:rsidRPr="00906595">
        <w:rPr>
          <w:rFonts w:ascii="Verdana" w:hAnsi="Verdana"/>
          <w:sz w:val="16"/>
          <w:szCs w:val="16"/>
        </w:rPr>
        <w:t xml:space="preserve">enitenciario Miguel Castro </w:t>
      </w:r>
      <w:proofErr w:type="spellStart"/>
      <w:r w:rsidRPr="00906595">
        <w:rPr>
          <w:rFonts w:ascii="Verdana" w:hAnsi="Verdana"/>
          <w:sz w:val="16"/>
          <w:szCs w:val="16"/>
        </w:rPr>
        <w:t>Castro</w:t>
      </w:r>
      <w:proofErr w:type="spellEnd"/>
      <w:r w:rsidRPr="00906595">
        <w:rPr>
          <w:rFonts w:ascii="Verdana" w:hAnsi="Verdana"/>
          <w:sz w:val="16"/>
          <w:szCs w:val="16"/>
        </w:rPr>
        <w:t xml:space="preserve"> (</w:t>
      </w:r>
      <w:r>
        <w:rPr>
          <w:rFonts w:ascii="Verdana" w:hAnsi="Verdana"/>
          <w:sz w:val="16"/>
          <w:szCs w:val="16"/>
        </w:rPr>
        <w:t>a</w:t>
      </w:r>
      <w:r w:rsidRPr="00906595">
        <w:rPr>
          <w:rFonts w:ascii="Verdana" w:hAnsi="Verdana"/>
          <w:sz w:val="16"/>
          <w:szCs w:val="16"/>
        </w:rPr>
        <w:t xml:space="preserve">nexo al informe estatal de 9 de junio de 2020). </w:t>
      </w:r>
    </w:p>
  </w:footnote>
  <w:footnote w:id="26">
    <w:p w14:paraId="169BBCFB" w14:textId="7C48441A"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Cfr</w:t>
      </w:r>
      <w:r w:rsidRPr="00906595">
        <w:rPr>
          <w:rFonts w:ascii="Verdana" w:hAnsi="Verdana"/>
          <w:sz w:val="16"/>
          <w:szCs w:val="16"/>
        </w:rPr>
        <w:t xml:space="preserve">. Informe </w:t>
      </w:r>
      <w:r>
        <w:rPr>
          <w:rFonts w:ascii="Verdana" w:hAnsi="Verdana"/>
          <w:sz w:val="16"/>
          <w:szCs w:val="16"/>
        </w:rPr>
        <w:t>m</w:t>
      </w:r>
      <w:r w:rsidRPr="00906595">
        <w:rPr>
          <w:rFonts w:ascii="Verdana" w:hAnsi="Verdana"/>
          <w:sz w:val="16"/>
          <w:szCs w:val="16"/>
        </w:rPr>
        <w:t>édico N</w:t>
      </w:r>
      <w:r>
        <w:rPr>
          <w:rFonts w:ascii="Verdana" w:hAnsi="Verdana"/>
          <w:sz w:val="16"/>
          <w:szCs w:val="16"/>
        </w:rPr>
        <w:t>o.</w:t>
      </w:r>
      <w:r w:rsidRPr="00906595">
        <w:rPr>
          <w:rFonts w:ascii="Verdana" w:hAnsi="Verdana"/>
          <w:sz w:val="16"/>
          <w:szCs w:val="16"/>
        </w:rPr>
        <w:t xml:space="preserve"> 453-2020-INPE/18-234-SALUD de 1 de junio de 2020</w:t>
      </w:r>
      <w:r>
        <w:rPr>
          <w:rFonts w:ascii="Verdana" w:hAnsi="Verdana"/>
          <w:sz w:val="16"/>
          <w:szCs w:val="16"/>
        </w:rPr>
        <w:t xml:space="preserve">, suscrito por el médico de turno del Establecimiento Penitenciario Miguel Castro </w:t>
      </w:r>
      <w:proofErr w:type="spellStart"/>
      <w:r>
        <w:rPr>
          <w:rFonts w:ascii="Verdana" w:hAnsi="Verdana"/>
          <w:sz w:val="16"/>
          <w:szCs w:val="16"/>
        </w:rPr>
        <w:t>Castro</w:t>
      </w:r>
      <w:proofErr w:type="spellEnd"/>
      <w:r w:rsidRPr="00906595">
        <w:rPr>
          <w:rFonts w:ascii="Verdana" w:hAnsi="Verdana"/>
          <w:sz w:val="16"/>
          <w:szCs w:val="16"/>
        </w:rPr>
        <w:t xml:space="preserve"> (</w:t>
      </w:r>
      <w:r>
        <w:rPr>
          <w:rFonts w:ascii="Verdana" w:hAnsi="Verdana"/>
          <w:sz w:val="16"/>
          <w:szCs w:val="16"/>
        </w:rPr>
        <w:t>a</w:t>
      </w:r>
      <w:r w:rsidRPr="00906595">
        <w:rPr>
          <w:rFonts w:ascii="Verdana" w:hAnsi="Verdana"/>
          <w:sz w:val="16"/>
          <w:szCs w:val="16"/>
        </w:rPr>
        <w:t xml:space="preserve">nexo al informe estatal de 9 de junio de 2020). </w:t>
      </w:r>
    </w:p>
  </w:footnote>
  <w:footnote w:id="27">
    <w:p w14:paraId="5982572B" w14:textId="32590EBF"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 xml:space="preserve">Cfr. </w:t>
      </w:r>
      <w:r w:rsidRPr="00906595">
        <w:rPr>
          <w:rFonts w:ascii="Verdana" w:hAnsi="Verdana"/>
          <w:sz w:val="16"/>
          <w:szCs w:val="16"/>
        </w:rPr>
        <w:t xml:space="preserve">Constancia médica de 2 de junio de 2020 elaborada por el Área de Salud del </w:t>
      </w:r>
      <w:r>
        <w:rPr>
          <w:rFonts w:ascii="Verdana" w:hAnsi="Verdana"/>
          <w:sz w:val="16"/>
          <w:szCs w:val="16"/>
        </w:rPr>
        <w:t>E</w:t>
      </w:r>
      <w:r w:rsidRPr="00906595">
        <w:rPr>
          <w:rFonts w:ascii="Verdana" w:hAnsi="Verdana"/>
          <w:sz w:val="16"/>
          <w:szCs w:val="16"/>
        </w:rPr>
        <w:t xml:space="preserve">stablecimiento </w:t>
      </w:r>
      <w:r>
        <w:rPr>
          <w:rFonts w:ascii="Verdana" w:hAnsi="Verdana"/>
          <w:sz w:val="16"/>
          <w:szCs w:val="16"/>
        </w:rPr>
        <w:t>P</w:t>
      </w:r>
      <w:r w:rsidRPr="00906595">
        <w:rPr>
          <w:rFonts w:ascii="Verdana" w:hAnsi="Verdana"/>
          <w:sz w:val="16"/>
          <w:szCs w:val="16"/>
        </w:rPr>
        <w:t xml:space="preserve">enitenciario Miguel Castro </w:t>
      </w:r>
      <w:proofErr w:type="spellStart"/>
      <w:r w:rsidRPr="00906595">
        <w:rPr>
          <w:rFonts w:ascii="Verdana" w:hAnsi="Verdana"/>
          <w:sz w:val="16"/>
          <w:szCs w:val="16"/>
        </w:rPr>
        <w:t>Castro</w:t>
      </w:r>
      <w:proofErr w:type="spellEnd"/>
      <w:r w:rsidRPr="00906595">
        <w:rPr>
          <w:rFonts w:ascii="Verdana" w:hAnsi="Verdana"/>
          <w:sz w:val="16"/>
          <w:szCs w:val="16"/>
        </w:rPr>
        <w:t xml:space="preserve"> (</w:t>
      </w:r>
      <w:r>
        <w:rPr>
          <w:rFonts w:ascii="Verdana" w:hAnsi="Verdana"/>
          <w:sz w:val="16"/>
          <w:szCs w:val="16"/>
        </w:rPr>
        <w:t>a</w:t>
      </w:r>
      <w:r w:rsidRPr="00906595">
        <w:rPr>
          <w:rFonts w:ascii="Verdana" w:hAnsi="Verdana"/>
          <w:sz w:val="16"/>
          <w:szCs w:val="16"/>
        </w:rPr>
        <w:t xml:space="preserve">nexo al informe estatal de 9 de junio de 2020). </w:t>
      </w:r>
    </w:p>
  </w:footnote>
  <w:footnote w:id="28">
    <w:p w14:paraId="72D88BA2" w14:textId="1EAF67F5"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4517B8">
        <w:rPr>
          <w:rFonts w:ascii="Verdana" w:hAnsi="Verdana"/>
          <w:i/>
          <w:sz w:val="16"/>
          <w:szCs w:val="16"/>
        </w:rPr>
        <w:t>Cfr</w:t>
      </w:r>
      <w:r w:rsidRPr="00906595">
        <w:rPr>
          <w:rFonts w:ascii="Verdana" w:hAnsi="Verdana"/>
          <w:sz w:val="16"/>
          <w:szCs w:val="16"/>
        </w:rPr>
        <w:t xml:space="preserve">. Informe </w:t>
      </w:r>
      <w:r>
        <w:rPr>
          <w:rFonts w:ascii="Verdana" w:hAnsi="Verdana"/>
          <w:sz w:val="16"/>
          <w:szCs w:val="16"/>
        </w:rPr>
        <w:t>m</w:t>
      </w:r>
      <w:r w:rsidRPr="00906595">
        <w:rPr>
          <w:rFonts w:ascii="Verdana" w:hAnsi="Verdana"/>
          <w:sz w:val="16"/>
          <w:szCs w:val="16"/>
        </w:rPr>
        <w:t>édico N</w:t>
      </w:r>
      <w:r>
        <w:rPr>
          <w:rFonts w:ascii="Verdana" w:hAnsi="Verdana"/>
          <w:sz w:val="16"/>
          <w:szCs w:val="16"/>
        </w:rPr>
        <w:t>o.</w:t>
      </w:r>
      <w:r w:rsidRPr="00906595">
        <w:rPr>
          <w:rFonts w:ascii="Verdana" w:hAnsi="Verdana"/>
          <w:sz w:val="16"/>
          <w:szCs w:val="16"/>
        </w:rPr>
        <w:t xml:space="preserve"> 454-2020-INPE/18-234-SALUD de 1 de junio de 2020</w:t>
      </w:r>
      <w:r>
        <w:rPr>
          <w:rFonts w:ascii="Verdana" w:hAnsi="Verdana"/>
          <w:sz w:val="16"/>
          <w:szCs w:val="16"/>
        </w:rPr>
        <w:t xml:space="preserve">, suscrito por el médico de turno del Establecimiento Penitenciario Miguel Castro </w:t>
      </w:r>
      <w:proofErr w:type="spellStart"/>
      <w:r>
        <w:rPr>
          <w:rFonts w:ascii="Verdana" w:hAnsi="Verdana"/>
          <w:sz w:val="16"/>
          <w:szCs w:val="16"/>
        </w:rPr>
        <w:t>Castro</w:t>
      </w:r>
      <w:proofErr w:type="spellEnd"/>
      <w:r w:rsidRPr="00906595">
        <w:rPr>
          <w:rFonts w:ascii="Verdana" w:hAnsi="Verdana"/>
          <w:sz w:val="16"/>
          <w:szCs w:val="16"/>
        </w:rPr>
        <w:t xml:space="preserve"> (</w:t>
      </w:r>
      <w:r>
        <w:rPr>
          <w:rFonts w:ascii="Verdana" w:hAnsi="Verdana"/>
          <w:sz w:val="16"/>
          <w:szCs w:val="16"/>
        </w:rPr>
        <w:t>a</w:t>
      </w:r>
      <w:r w:rsidRPr="00906595">
        <w:rPr>
          <w:rFonts w:ascii="Verdana" w:hAnsi="Verdana"/>
          <w:sz w:val="16"/>
          <w:szCs w:val="16"/>
        </w:rPr>
        <w:t xml:space="preserve">nexo al informe estatal de 9 de junio de 2020). </w:t>
      </w:r>
    </w:p>
  </w:footnote>
  <w:footnote w:id="29">
    <w:p w14:paraId="3CC57B7E" w14:textId="1D3CE81F" w:rsidR="009B20E5" w:rsidRPr="004517B8"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r>
      <w:r w:rsidRPr="00282EBE">
        <w:rPr>
          <w:rFonts w:ascii="Verdana" w:hAnsi="Verdana"/>
          <w:i/>
          <w:sz w:val="16"/>
          <w:szCs w:val="16"/>
        </w:rPr>
        <w:t>Cfr.</w:t>
      </w:r>
      <w:r>
        <w:rPr>
          <w:rFonts w:ascii="Verdana" w:hAnsi="Verdana"/>
          <w:sz w:val="16"/>
          <w:szCs w:val="16"/>
        </w:rPr>
        <w:t xml:space="preserve"> </w:t>
      </w:r>
      <w:r w:rsidRPr="004517B8">
        <w:rPr>
          <w:rFonts w:ascii="Verdana" w:hAnsi="Verdana"/>
          <w:sz w:val="16"/>
          <w:szCs w:val="16"/>
        </w:rPr>
        <w:t xml:space="preserve">Informe </w:t>
      </w:r>
      <w:r>
        <w:rPr>
          <w:rFonts w:ascii="Verdana" w:hAnsi="Verdana"/>
          <w:sz w:val="16"/>
          <w:szCs w:val="16"/>
        </w:rPr>
        <w:t>m</w:t>
      </w:r>
      <w:r w:rsidRPr="004517B8">
        <w:rPr>
          <w:rFonts w:ascii="Verdana" w:hAnsi="Verdana"/>
          <w:sz w:val="16"/>
          <w:szCs w:val="16"/>
        </w:rPr>
        <w:t>édico N</w:t>
      </w:r>
      <w:r>
        <w:rPr>
          <w:rFonts w:ascii="Verdana" w:hAnsi="Verdana"/>
          <w:sz w:val="16"/>
          <w:szCs w:val="16"/>
        </w:rPr>
        <w:t>o.</w:t>
      </w:r>
      <w:r w:rsidRPr="004517B8">
        <w:rPr>
          <w:rFonts w:ascii="Verdana" w:hAnsi="Verdana"/>
          <w:sz w:val="16"/>
          <w:szCs w:val="16"/>
        </w:rPr>
        <w:t xml:space="preserve"> 288 de 5 de junio de 2020 elaborado por el Jefe del Área de Salud del </w:t>
      </w:r>
      <w:r>
        <w:rPr>
          <w:rFonts w:ascii="Verdana" w:hAnsi="Verdana"/>
          <w:sz w:val="16"/>
          <w:szCs w:val="16"/>
        </w:rPr>
        <w:t>E</w:t>
      </w:r>
      <w:r w:rsidRPr="004517B8">
        <w:rPr>
          <w:rFonts w:ascii="Verdana" w:hAnsi="Verdana"/>
          <w:sz w:val="16"/>
          <w:szCs w:val="16"/>
        </w:rPr>
        <w:t xml:space="preserve">stablecimiento </w:t>
      </w:r>
      <w:r>
        <w:rPr>
          <w:rFonts w:ascii="Verdana" w:hAnsi="Verdana"/>
          <w:sz w:val="16"/>
          <w:szCs w:val="16"/>
        </w:rPr>
        <w:t>P</w:t>
      </w:r>
      <w:r w:rsidRPr="004517B8">
        <w:rPr>
          <w:rFonts w:ascii="Verdana" w:hAnsi="Verdana"/>
          <w:sz w:val="16"/>
          <w:szCs w:val="16"/>
        </w:rPr>
        <w:t>enitenciario Ancón I (</w:t>
      </w:r>
      <w:r>
        <w:rPr>
          <w:rFonts w:ascii="Verdana" w:hAnsi="Verdana"/>
          <w:sz w:val="16"/>
          <w:szCs w:val="16"/>
        </w:rPr>
        <w:t>a</w:t>
      </w:r>
      <w:r w:rsidRPr="004517B8">
        <w:rPr>
          <w:rFonts w:ascii="Verdana" w:hAnsi="Verdana"/>
          <w:sz w:val="16"/>
          <w:szCs w:val="16"/>
        </w:rPr>
        <w:t>nexo al informe estatal de 9 de junio de 2020).</w:t>
      </w:r>
    </w:p>
  </w:footnote>
  <w:footnote w:id="30">
    <w:p w14:paraId="7F1F691C" w14:textId="45AC5AC9" w:rsidR="009B20E5" w:rsidRPr="00906595" w:rsidRDefault="009B20E5">
      <w:pPr>
        <w:pStyle w:val="Textonotapie"/>
        <w:jc w:val="both"/>
        <w:rPr>
          <w:rFonts w:ascii="Verdana" w:hAnsi="Verdana"/>
          <w:sz w:val="16"/>
          <w:szCs w:val="16"/>
          <w:lang w:val="es-AR"/>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Se le recetó “Azitromicina 1/</w:t>
      </w:r>
      <w:proofErr w:type="spellStart"/>
      <w:r w:rsidRPr="004517B8">
        <w:rPr>
          <w:rFonts w:ascii="Verdana" w:hAnsi="Verdana"/>
          <w:sz w:val="16"/>
          <w:szCs w:val="16"/>
        </w:rPr>
        <w:t>tab</w:t>
      </w:r>
      <w:proofErr w:type="spellEnd"/>
      <w:r w:rsidRPr="004517B8">
        <w:rPr>
          <w:rFonts w:ascii="Verdana" w:hAnsi="Verdana"/>
          <w:sz w:val="16"/>
          <w:szCs w:val="16"/>
        </w:rPr>
        <w:t xml:space="preserve">/día/5días y </w:t>
      </w:r>
      <w:proofErr w:type="spellStart"/>
      <w:r w:rsidRPr="004517B8">
        <w:rPr>
          <w:rFonts w:ascii="Verdana" w:hAnsi="Verdana"/>
          <w:sz w:val="16"/>
          <w:szCs w:val="16"/>
        </w:rPr>
        <w:t>paracetamo</w:t>
      </w:r>
      <w:r>
        <w:rPr>
          <w:rFonts w:ascii="Verdana" w:hAnsi="Verdana"/>
          <w:sz w:val="16"/>
          <w:szCs w:val="16"/>
        </w:rPr>
        <w:t>s</w:t>
      </w:r>
      <w:r w:rsidRPr="004517B8">
        <w:rPr>
          <w:rFonts w:ascii="Verdana" w:hAnsi="Verdana"/>
          <w:sz w:val="16"/>
          <w:szCs w:val="16"/>
        </w:rPr>
        <w:t>l</w:t>
      </w:r>
      <w:proofErr w:type="spellEnd"/>
      <w:r>
        <w:rPr>
          <w:rFonts w:ascii="Verdana" w:hAnsi="Verdana"/>
          <w:sz w:val="16"/>
          <w:szCs w:val="16"/>
        </w:rPr>
        <w:t xml:space="preserve"> (</w:t>
      </w:r>
      <w:r w:rsidRPr="00282EBE">
        <w:rPr>
          <w:rFonts w:ascii="Verdana" w:hAnsi="Verdana"/>
          <w:i/>
          <w:sz w:val="16"/>
          <w:szCs w:val="16"/>
        </w:rPr>
        <w:t>sic</w:t>
      </w:r>
      <w:r>
        <w:rPr>
          <w:rFonts w:ascii="Verdana" w:hAnsi="Verdana"/>
          <w:sz w:val="16"/>
          <w:szCs w:val="16"/>
        </w:rPr>
        <w:t>)</w:t>
      </w:r>
      <w:r w:rsidRPr="004517B8">
        <w:rPr>
          <w:rFonts w:ascii="Verdana" w:hAnsi="Verdana"/>
          <w:sz w:val="16"/>
          <w:szCs w:val="16"/>
        </w:rPr>
        <w:t xml:space="preserve"> 500/mg 1tab/8hs”. </w:t>
      </w:r>
    </w:p>
  </w:footnote>
  <w:footnote w:id="31">
    <w:p w14:paraId="73105D4A" w14:textId="44A19E1D" w:rsidR="009B20E5" w:rsidRPr="004517B8" w:rsidRDefault="009B20E5">
      <w:pPr>
        <w:pStyle w:val="Textonotapie"/>
        <w:jc w:val="both"/>
        <w:rPr>
          <w:rFonts w:ascii="Verdana" w:hAnsi="Verdana"/>
          <w:sz w:val="16"/>
          <w:szCs w:val="16"/>
          <w:lang w:val="es-AR"/>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Se le prescribió “Metamizol </w:t>
      </w:r>
      <w:proofErr w:type="spellStart"/>
      <w:r w:rsidRPr="004517B8">
        <w:rPr>
          <w:rFonts w:ascii="Verdana" w:hAnsi="Verdana"/>
          <w:sz w:val="16"/>
          <w:szCs w:val="16"/>
        </w:rPr>
        <w:t>amp</w:t>
      </w:r>
      <w:proofErr w:type="spellEnd"/>
      <w:r w:rsidRPr="004517B8">
        <w:rPr>
          <w:rFonts w:ascii="Verdana" w:hAnsi="Verdana"/>
          <w:sz w:val="16"/>
          <w:szCs w:val="16"/>
        </w:rPr>
        <w:t xml:space="preserve">; Ceftriaxona 2g/IM/día; paracetamol 500mg/8hs y control de funciones vitales”. </w:t>
      </w:r>
    </w:p>
  </w:footnote>
  <w:footnote w:id="32">
    <w:p w14:paraId="55D7E554" w14:textId="735BF55E" w:rsidR="009B20E5" w:rsidRPr="00906595" w:rsidRDefault="009B20E5" w:rsidP="006A75CD">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Al momento del examen, estaba “clínicamente estable” y presentaba “SIGNOS VITALES: SO: 96%; FC 64x</w:t>
      </w:r>
      <w:r>
        <w:rPr>
          <w:rFonts w:ascii="Verdana" w:hAnsi="Verdana"/>
          <w:sz w:val="16"/>
          <w:szCs w:val="16"/>
        </w:rPr>
        <w:t>’</w:t>
      </w:r>
      <w:r w:rsidRPr="004517B8">
        <w:rPr>
          <w:rFonts w:ascii="Verdana" w:hAnsi="Verdana"/>
          <w:sz w:val="16"/>
          <w:szCs w:val="16"/>
        </w:rPr>
        <w:t xml:space="preserve">; T36.6º PA: 110/60mmgh, […] </w:t>
      </w:r>
      <w:proofErr w:type="spellStart"/>
      <w:r w:rsidRPr="004517B8">
        <w:rPr>
          <w:rFonts w:ascii="Verdana" w:hAnsi="Verdana"/>
          <w:sz w:val="16"/>
          <w:szCs w:val="16"/>
        </w:rPr>
        <w:t>ref</w:t>
      </w:r>
      <w:proofErr w:type="spellEnd"/>
      <w:r w:rsidRPr="004517B8">
        <w:rPr>
          <w:rFonts w:ascii="Verdana" w:hAnsi="Verdana"/>
          <w:sz w:val="16"/>
          <w:szCs w:val="16"/>
        </w:rPr>
        <w:t xml:space="preserve">[ería] encontrarse bien, se </w:t>
      </w:r>
      <w:proofErr w:type="spellStart"/>
      <w:r w:rsidRPr="004517B8">
        <w:rPr>
          <w:rFonts w:ascii="Verdana" w:hAnsi="Verdana"/>
          <w:sz w:val="16"/>
          <w:szCs w:val="16"/>
        </w:rPr>
        <w:t>enc</w:t>
      </w:r>
      <w:proofErr w:type="spellEnd"/>
      <w:r w:rsidRPr="004517B8">
        <w:rPr>
          <w:rFonts w:ascii="Verdana" w:hAnsi="Verdana"/>
          <w:sz w:val="16"/>
          <w:szCs w:val="16"/>
        </w:rPr>
        <w:t>[</w:t>
      </w:r>
      <w:proofErr w:type="spellStart"/>
      <w:r w:rsidRPr="004517B8">
        <w:rPr>
          <w:rFonts w:ascii="Verdana" w:hAnsi="Verdana"/>
          <w:sz w:val="16"/>
          <w:szCs w:val="16"/>
        </w:rPr>
        <w:t>ontraba</w:t>
      </w:r>
      <w:proofErr w:type="spellEnd"/>
      <w:r w:rsidRPr="004517B8">
        <w:rPr>
          <w:rFonts w:ascii="Verdana" w:hAnsi="Verdana"/>
          <w:sz w:val="16"/>
          <w:szCs w:val="16"/>
        </w:rPr>
        <w:t>] l</w:t>
      </w:r>
      <w:r>
        <w:rPr>
          <w:rFonts w:ascii="Verdana" w:hAnsi="Verdana"/>
          <w:sz w:val="16"/>
          <w:szCs w:val="16"/>
        </w:rPr>
        <w:t>[</w:t>
      </w:r>
      <w:r w:rsidRPr="004517B8">
        <w:rPr>
          <w:rFonts w:ascii="Verdana" w:hAnsi="Verdana"/>
          <w:sz w:val="16"/>
          <w:szCs w:val="16"/>
        </w:rPr>
        <w:t>ú</w:t>
      </w:r>
      <w:r>
        <w:rPr>
          <w:rFonts w:ascii="Verdana" w:hAnsi="Verdana"/>
          <w:sz w:val="16"/>
          <w:szCs w:val="16"/>
        </w:rPr>
        <w:t>]</w:t>
      </w:r>
      <w:proofErr w:type="spellStart"/>
      <w:r w:rsidRPr="004517B8">
        <w:rPr>
          <w:rFonts w:ascii="Verdana" w:hAnsi="Verdana"/>
          <w:sz w:val="16"/>
          <w:szCs w:val="16"/>
        </w:rPr>
        <w:t>cido</w:t>
      </w:r>
      <w:proofErr w:type="spellEnd"/>
      <w:r w:rsidRPr="004517B8">
        <w:rPr>
          <w:rFonts w:ascii="Verdana" w:hAnsi="Verdana"/>
          <w:sz w:val="16"/>
          <w:szCs w:val="16"/>
        </w:rPr>
        <w:t>, deambula[</w:t>
      </w:r>
      <w:proofErr w:type="spellStart"/>
      <w:r w:rsidRPr="004517B8">
        <w:rPr>
          <w:rFonts w:ascii="Verdana" w:hAnsi="Verdana"/>
          <w:sz w:val="16"/>
          <w:szCs w:val="16"/>
        </w:rPr>
        <w:t>ba</w:t>
      </w:r>
      <w:proofErr w:type="spellEnd"/>
      <w:r w:rsidRPr="004517B8">
        <w:rPr>
          <w:rFonts w:ascii="Verdana" w:hAnsi="Verdana"/>
          <w:sz w:val="16"/>
          <w:szCs w:val="16"/>
        </w:rPr>
        <w:t xml:space="preserve">] sin dificultad, Ben </w:t>
      </w:r>
      <w:proofErr w:type="spellStart"/>
      <w:r w:rsidRPr="004517B8">
        <w:rPr>
          <w:rFonts w:ascii="Verdana" w:hAnsi="Verdana"/>
          <w:sz w:val="16"/>
          <w:szCs w:val="16"/>
        </w:rPr>
        <w:t>Beh</w:t>
      </w:r>
      <w:proofErr w:type="spellEnd"/>
      <w:r w:rsidRPr="004517B8">
        <w:rPr>
          <w:rFonts w:ascii="Verdana" w:hAnsi="Verdana"/>
          <w:sz w:val="16"/>
          <w:szCs w:val="16"/>
        </w:rPr>
        <w:t xml:space="preserve">., AP. CV: </w:t>
      </w:r>
      <w:proofErr w:type="gramStart"/>
      <w:r w:rsidRPr="004517B8">
        <w:rPr>
          <w:rFonts w:ascii="Verdana" w:hAnsi="Verdana"/>
          <w:sz w:val="16"/>
          <w:szCs w:val="16"/>
        </w:rPr>
        <w:t>rítmico silencios libres</w:t>
      </w:r>
      <w:proofErr w:type="gramEnd"/>
      <w:r w:rsidRPr="004517B8">
        <w:rPr>
          <w:rFonts w:ascii="Verdana" w:hAnsi="Verdana"/>
          <w:sz w:val="16"/>
          <w:szCs w:val="16"/>
        </w:rPr>
        <w:t xml:space="preserve">; </w:t>
      </w:r>
      <w:proofErr w:type="spellStart"/>
      <w:r w:rsidRPr="004517B8">
        <w:rPr>
          <w:rFonts w:ascii="Verdana" w:hAnsi="Verdana"/>
          <w:sz w:val="16"/>
          <w:szCs w:val="16"/>
        </w:rPr>
        <w:t>Ap</w:t>
      </w:r>
      <w:proofErr w:type="spellEnd"/>
      <w:r w:rsidRPr="004517B8">
        <w:rPr>
          <w:rFonts w:ascii="Verdana" w:hAnsi="Verdana"/>
          <w:sz w:val="16"/>
          <w:szCs w:val="16"/>
        </w:rPr>
        <w:t xml:space="preserve"> Res</w:t>
      </w:r>
      <w:r>
        <w:rPr>
          <w:rFonts w:ascii="Verdana" w:hAnsi="Verdana"/>
          <w:sz w:val="16"/>
          <w:szCs w:val="16"/>
        </w:rPr>
        <w:t>.</w:t>
      </w:r>
      <w:r w:rsidRPr="004517B8">
        <w:rPr>
          <w:rFonts w:ascii="Verdana" w:hAnsi="Verdana"/>
          <w:sz w:val="16"/>
          <w:szCs w:val="16"/>
        </w:rPr>
        <w:t xml:space="preserve"> V</w:t>
      </w:r>
      <w:r>
        <w:rPr>
          <w:rFonts w:ascii="Verdana" w:hAnsi="Verdana"/>
          <w:sz w:val="16"/>
          <w:szCs w:val="16"/>
        </w:rPr>
        <w:t>[</w:t>
      </w:r>
      <w:r w:rsidRPr="004517B8">
        <w:rPr>
          <w:rFonts w:ascii="Verdana" w:hAnsi="Verdana"/>
          <w:sz w:val="16"/>
          <w:szCs w:val="16"/>
        </w:rPr>
        <w:t>í</w:t>
      </w:r>
      <w:r>
        <w:rPr>
          <w:rFonts w:ascii="Verdana" w:hAnsi="Verdana"/>
          <w:sz w:val="16"/>
          <w:szCs w:val="16"/>
        </w:rPr>
        <w:t>]</w:t>
      </w:r>
      <w:r w:rsidRPr="004517B8">
        <w:rPr>
          <w:rFonts w:ascii="Verdana" w:hAnsi="Verdana"/>
          <w:sz w:val="16"/>
          <w:szCs w:val="16"/>
        </w:rPr>
        <w:t xml:space="preserve">as aéreas permeables, </w:t>
      </w:r>
      <w:proofErr w:type="spellStart"/>
      <w:r w:rsidRPr="004517B8">
        <w:rPr>
          <w:rFonts w:ascii="Verdana" w:hAnsi="Verdana"/>
          <w:sz w:val="16"/>
          <w:szCs w:val="16"/>
        </w:rPr>
        <w:t>mv</w:t>
      </w:r>
      <w:proofErr w:type="spellEnd"/>
      <w:r w:rsidRPr="004517B8">
        <w:rPr>
          <w:rFonts w:ascii="Verdana" w:hAnsi="Verdana"/>
          <w:sz w:val="16"/>
          <w:szCs w:val="16"/>
        </w:rPr>
        <w:t xml:space="preserve"> conservado; </w:t>
      </w:r>
      <w:proofErr w:type="spellStart"/>
      <w:r w:rsidRPr="004517B8">
        <w:rPr>
          <w:rFonts w:ascii="Verdana" w:hAnsi="Verdana"/>
          <w:sz w:val="16"/>
          <w:szCs w:val="16"/>
        </w:rPr>
        <w:t>Ap</w:t>
      </w:r>
      <w:proofErr w:type="spellEnd"/>
      <w:r w:rsidRPr="004517B8">
        <w:rPr>
          <w:rFonts w:ascii="Verdana" w:hAnsi="Verdana"/>
          <w:sz w:val="16"/>
          <w:szCs w:val="16"/>
        </w:rPr>
        <w:t xml:space="preserve"> </w:t>
      </w:r>
      <w:proofErr w:type="spellStart"/>
      <w:r w:rsidRPr="004517B8">
        <w:rPr>
          <w:rFonts w:ascii="Verdana" w:hAnsi="Verdana"/>
          <w:sz w:val="16"/>
          <w:szCs w:val="16"/>
        </w:rPr>
        <w:t>Dig</w:t>
      </w:r>
      <w:proofErr w:type="spellEnd"/>
      <w:r w:rsidRPr="004517B8">
        <w:rPr>
          <w:rFonts w:ascii="Verdana" w:hAnsi="Verdana"/>
          <w:sz w:val="16"/>
          <w:szCs w:val="16"/>
        </w:rPr>
        <w:t>: blando, depresible</w:t>
      </w:r>
      <w:r>
        <w:rPr>
          <w:rFonts w:ascii="Verdana" w:hAnsi="Verdana"/>
          <w:sz w:val="16"/>
          <w:szCs w:val="16"/>
        </w:rPr>
        <w:t>,</w:t>
      </w:r>
      <w:r w:rsidRPr="004517B8">
        <w:rPr>
          <w:rFonts w:ascii="Verdana" w:hAnsi="Verdana"/>
          <w:sz w:val="16"/>
          <w:szCs w:val="16"/>
        </w:rPr>
        <w:t xml:space="preserve"> ind</w:t>
      </w:r>
      <w:r w:rsidRPr="00906595">
        <w:rPr>
          <w:rFonts w:ascii="Verdana" w:hAnsi="Verdana"/>
          <w:sz w:val="16"/>
          <w:szCs w:val="16"/>
        </w:rPr>
        <w:t xml:space="preserve">oloro, </w:t>
      </w:r>
      <w:proofErr w:type="spellStart"/>
      <w:r w:rsidRPr="00906595">
        <w:rPr>
          <w:rFonts w:ascii="Verdana" w:hAnsi="Verdana"/>
          <w:sz w:val="16"/>
          <w:szCs w:val="16"/>
        </w:rPr>
        <w:t>rha</w:t>
      </w:r>
      <w:proofErr w:type="spellEnd"/>
      <w:r w:rsidRPr="00906595">
        <w:rPr>
          <w:rFonts w:ascii="Verdana" w:hAnsi="Verdana"/>
          <w:sz w:val="16"/>
          <w:szCs w:val="16"/>
        </w:rPr>
        <w:t xml:space="preserve"> (+), </w:t>
      </w:r>
      <w:proofErr w:type="gramStart"/>
      <w:r w:rsidRPr="00906595">
        <w:rPr>
          <w:rFonts w:ascii="Verdana" w:hAnsi="Verdana"/>
          <w:sz w:val="16"/>
          <w:szCs w:val="16"/>
        </w:rPr>
        <w:t>PPL(</w:t>
      </w:r>
      <w:proofErr w:type="gramEnd"/>
      <w:r w:rsidRPr="00906595">
        <w:rPr>
          <w:rFonts w:ascii="Verdana" w:hAnsi="Verdana"/>
          <w:sz w:val="16"/>
          <w:szCs w:val="16"/>
        </w:rPr>
        <w:t>-), PU(-), no presenta[</w:t>
      </w:r>
      <w:proofErr w:type="spellStart"/>
      <w:r w:rsidRPr="00906595">
        <w:rPr>
          <w:rFonts w:ascii="Verdana" w:hAnsi="Verdana"/>
          <w:sz w:val="16"/>
          <w:szCs w:val="16"/>
        </w:rPr>
        <w:t>ba</w:t>
      </w:r>
      <w:proofErr w:type="spellEnd"/>
      <w:r w:rsidRPr="00906595">
        <w:rPr>
          <w:rFonts w:ascii="Verdana" w:hAnsi="Verdana"/>
          <w:sz w:val="16"/>
          <w:szCs w:val="16"/>
        </w:rPr>
        <w:t xml:space="preserve">] lesiones o heridas recientes”. </w:t>
      </w:r>
    </w:p>
  </w:footnote>
  <w:footnote w:id="33">
    <w:p w14:paraId="5685B4AF" w14:textId="2945197D" w:rsidR="009B20E5" w:rsidRPr="006F1D5F" w:rsidRDefault="009B20E5" w:rsidP="000C3F13">
      <w:pPr>
        <w:pStyle w:val="Textonotapie"/>
        <w:jc w:val="both"/>
        <w:rPr>
          <w:rFonts w:ascii="Verdana" w:hAnsi="Verdana"/>
          <w:sz w:val="16"/>
          <w:szCs w:val="16"/>
        </w:rPr>
      </w:pPr>
      <w:r w:rsidRPr="006F1D5F">
        <w:rPr>
          <w:rStyle w:val="Refdenotaalpie"/>
          <w:szCs w:val="16"/>
        </w:rPr>
        <w:footnoteRef/>
      </w:r>
      <w:r w:rsidRPr="006F1D5F">
        <w:rPr>
          <w:rFonts w:ascii="Verdana" w:hAnsi="Verdana"/>
          <w:sz w:val="16"/>
          <w:szCs w:val="16"/>
        </w:rPr>
        <w:t xml:space="preserve"> </w:t>
      </w:r>
      <w:r w:rsidRPr="006F1D5F">
        <w:rPr>
          <w:rFonts w:ascii="Verdana" w:hAnsi="Verdana"/>
          <w:sz w:val="16"/>
          <w:szCs w:val="16"/>
        </w:rPr>
        <w:tab/>
      </w:r>
      <w:r w:rsidRPr="006F1D5F">
        <w:rPr>
          <w:rFonts w:ascii="Verdana" w:hAnsi="Verdana"/>
          <w:color w:val="212121"/>
          <w:sz w:val="16"/>
          <w:szCs w:val="16"/>
          <w:shd w:val="clear" w:color="auto" w:fill="FFFFFF"/>
        </w:rPr>
        <w:t xml:space="preserve">Según surge del último informe estatal así como del último escrito de los intervinientes comunes, de 9 y 16 de junio respectivamente, las demandas presentadas por los cinco propuestos beneficiarios fueron inicialmente rechazadas </w:t>
      </w:r>
      <w:r w:rsidRPr="006F1D5F">
        <w:rPr>
          <w:rFonts w:ascii="Verdana" w:hAnsi="Verdana"/>
          <w:i/>
          <w:iCs/>
          <w:color w:val="212121"/>
          <w:sz w:val="16"/>
          <w:szCs w:val="16"/>
          <w:shd w:val="clear" w:color="auto" w:fill="FFFFFF"/>
        </w:rPr>
        <w:t>in limine</w:t>
      </w:r>
      <w:r w:rsidRPr="006F1D5F">
        <w:rPr>
          <w:rFonts w:ascii="Verdana" w:hAnsi="Verdana"/>
          <w:color w:val="212121"/>
          <w:sz w:val="16"/>
          <w:szCs w:val="16"/>
          <w:shd w:val="clear" w:color="auto" w:fill="FFFFFF"/>
        </w:rPr>
        <w:t xml:space="preserve">. Dichas decisiones fueron apeladas en los casos de Osman Roberto Morote Barrionuevo, Atilio Richard Cahuana </w:t>
      </w:r>
      <w:proofErr w:type="spellStart"/>
      <w:r w:rsidRPr="006F1D5F">
        <w:rPr>
          <w:rFonts w:ascii="Verdana" w:hAnsi="Verdana"/>
          <w:color w:val="212121"/>
          <w:sz w:val="16"/>
          <w:szCs w:val="16"/>
          <w:shd w:val="clear" w:color="auto" w:fill="FFFFFF"/>
        </w:rPr>
        <w:t>Yulali</w:t>
      </w:r>
      <w:proofErr w:type="spellEnd"/>
      <w:r w:rsidRPr="006F1D5F">
        <w:rPr>
          <w:rFonts w:ascii="Verdana" w:hAnsi="Verdana"/>
          <w:color w:val="212121"/>
          <w:sz w:val="16"/>
          <w:szCs w:val="16"/>
          <w:shd w:val="clear" w:color="auto" w:fill="FFFFFF"/>
        </w:rPr>
        <w:t xml:space="preserve"> y Margot Lourdes Liendo Gil. En el caso del señor Cahuana, la apelación está pendiente de resolución; mientras que en el caso del señor Morote y la señora Liendo, se anularon las resoluciones que dictaminaban el rechazo </w:t>
      </w:r>
      <w:r w:rsidRPr="006F1D5F">
        <w:rPr>
          <w:rFonts w:ascii="Verdana" w:hAnsi="Verdana"/>
          <w:i/>
          <w:iCs/>
          <w:color w:val="212121"/>
          <w:sz w:val="16"/>
          <w:szCs w:val="16"/>
          <w:shd w:val="clear" w:color="auto" w:fill="FFFFFF"/>
        </w:rPr>
        <w:t xml:space="preserve">in limine </w:t>
      </w:r>
      <w:r w:rsidRPr="006F1D5F">
        <w:rPr>
          <w:rFonts w:ascii="Verdana" w:hAnsi="Verdana"/>
          <w:color w:val="212121"/>
          <w:sz w:val="16"/>
          <w:szCs w:val="16"/>
          <w:shd w:val="clear" w:color="auto" w:fill="FFFFFF"/>
        </w:rPr>
        <w:t>y se admitieron las demandas a trámite, pero estas fueron posteriormente rechazadas por considerarse “infundadas”. En virtud de ello, el señor Morote apeló la referida decisión, la cual se encuentra pendiente de resolución, mientras que en el caso de la señora Liendo los intervinientes refirieron que no pudieron apelar, por lo que quedó firme. Sin embargo, luego de tomar conocimiento de que la propuesta beneficiaria estaría contagiada de COVID-19, presentaron una nueva demanda, la cual está “a despacho para resolver”.</w:t>
      </w:r>
    </w:p>
  </w:footnote>
  <w:footnote w:id="34">
    <w:p w14:paraId="6271905D" w14:textId="6EA3A108" w:rsidR="009B20E5" w:rsidRPr="00906595" w:rsidRDefault="009B20E5" w:rsidP="000C3F13">
      <w:pPr>
        <w:pStyle w:val="Textonotapie"/>
        <w:jc w:val="both"/>
        <w:rPr>
          <w:rFonts w:ascii="Verdana" w:hAnsi="Verdana"/>
          <w:b/>
          <w:sz w:val="16"/>
          <w:szCs w:val="16"/>
          <w:lang w:val="es-AR"/>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lang w:val="es-AR"/>
        </w:rPr>
        <w:tab/>
        <w:t>El Estado remarcó “que los propuestos beneficiarios son personas condenadas por terrorismo cuyas sentencias se encuentran</w:t>
      </w:r>
      <w:r w:rsidRPr="00906595">
        <w:rPr>
          <w:rFonts w:ascii="Verdana" w:hAnsi="Verdana"/>
          <w:sz w:val="16"/>
          <w:szCs w:val="16"/>
          <w:lang w:val="es-AR"/>
        </w:rPr>
        <w:t xml:space="preserve"> en calidad de firmes”.</w:t>
      </w:r>
    </w:p>
  </w:footnote>
  <w:footnote w:id="35">
    <w:p w14:paraId="39BC241D" w14:textId="77777777" w:rsidR="009B20E5" w:rsidRPr="00906595" w:rsidRDefault="009B20E5">
      <w:pPr>
        <w:pStyle w:val="Textonotapie"/>
        <w:jc w:val="both"/>
        <w:rPr>
          <w:rFonts w:ascii="Verdana"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 xml:space="preserve">Se trata de: Atilio Richard Cahuana </w:t>
      </w:r>
      <w:proofErr w:type="spellStart"/>
      <w:r w:rsidRPr="004517B8">
        <w:rPr>
          <w:rFonts w:ascii="Verdana" w:hAnsi="Verdana"/>
          <w:sz w:val="16"/>
          <w:szCs w:val="16"/>
        </w:rPr>
        <w:t>Yuyali</w:t>
      </w:r>
      <w:proofErr w:type="spellEnd"/>
      <w:r w:rsidRPr="004517B8">
        <w:rPr>
          <w:rFonts w:ascii="Verdana" w:hAnsi="Verdana"/>
          <w:sz w:val="16"/>
          <w:szCs w:val="16"/>
        </w:rPr>
        <w:t xml:space="preserve">, Arturo Chumpitaz Aguirre y Juan Alonso Aranda Company, propuestos como beneficiarios de las solicitudes de medidas cautelares “MC – 385-20, a favor de Atilio Richard Cahuana </w:t>
      </w:r>
      <w:proofErr w:type="spellStart"/>
      <w:r w:rsidRPr="004517B8">
        <w:rPr>
          <w:rFonts w:ascii="Verdana" w:hAnsi="Verdana"/>
          <w:sz w:val="16"/>
          <w:szCs w:val="16"/>
        </w:rPr>
        <w:t>Yuyali</w:t>
      </w:r>
      <w:proofErr w:type="spellEnd"/>
      <w:r w:rsidRPr="004517B8">
        <w:rPr>
          <w:rFonts w:ascii="Verdana" w:hAnsi="Verdana"/>
          <w:sz w:val="16"/>
          <w:szCs w:val="16"/>
        </w:rPr>
        <w:t xml:space="preserve"> y otros”, y “MC – 372-20, a favor de </w:t>
      </w:r>
      <w:proofErr w:type="spellStart"/>
      <w:r w:rsidRPr="004517B8">
        <w:rPr>
          <w:rFonts w:ascii="Verdana" w:hAnsi="Verdana"/>
          <w:sz w:val="16"/>
          <w:szCs w:val="16"/>
        </w:rPr>
        <w:t>Agripino</w:t>
      </w:r>
      <w:proofErr w:type="spellEnd"/>
      <w:r w:rsidRPr="004517B8">
        <w:rPr>
          <w:rFonts w:ascii="Verdana" w:hAnsi="Verdana"/>
          <w:sz w:val="16"/>
          <w:szCs w:val="16"/>
        </w:rPr>
        <w:t xml:space="preserve"> Espinoza Vásquez y otros”.</w:t>
      </w:r>
    </w:p>
  </w:footnote>
  <w:footnote w:id="36">
    <w:p w14:paraId="01C24EB2" w14:textId="625D56E7" w:rsidR="009B20E5" w:rsidRPr="00145EB2" w:rsidRDefault="009B20E5">
      <w:pPr>
        <w:jc w:val="both"/>
        <w:rPr>
          <w:rFonts w:ascii="Verdana" w:eastAsiaTheme="minorHAnsi" w:hAnsi="Verdana"/>
          <w:sz w:val="16"/>
          <w:szCs w:val="16"/>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rPr>
        <w:tab/>
        <w:t>Al respecto, observó que “</w:t>
      </w:r>
      <w:r w:rsidRPr="004517B8">
        <w:rPr>
          <w:rFonts w:ascii="Verdana" w:eastAsiaTheme="minorHAnsi" w:hAnsi="Verdana"/>
          <w:sz w:val="16"/>
          <w:szCs w:val="16"/>
        </w:rPr>
        <w:t>Margot Lourdes Liendo Gil recibe atención médica permanente y estable, sin presentar sintomatología de la COVID-19; Osman Roberto Morote</w:t>
      </w:r>
      <w:r w:rsidRPr="00906595">
        <w:rPr>
          <w:rFonts w:ascii="Verdana" w:eastAsiaTheme="minorHAnsi" w:hAnsi="Verdana"/>
          <w:sz w:val="16"/>
          <w:szCs w:val="16"/>
        </w:rPr>
        <w:t xml:space="preserve"> Barrionuevo no presenta lesiones o heridas recientes, con diagnóstico de COVID-19 positivo, pero con síntomas leves; Juan Alonso Aranda Company y Arturo Chumpitaz Aguirre están estables con resultado de prueba de COVID-19 como no reactivo</w:t>
      </w:r>
      <w:r>
        <w:rPr>
          <w:rFonts w:ascii="Verdana" w:eastAsiaTheme="minorHAnsi" w:hAnsi="Verdana"/>
          <w:sz w:val="16"/>
          <w:szCs w:val="16"/>
        </w:rPr>
        <w:t>[,]</w:t>
      </w:r>
      <w:r w:rsidRPr="00906595">
        <w:rPr>
          <w:rFonts w:ascii="Verdana" w:eastAsiaTheme="minorHAnsi" w:hAnsi="Verdana"/>
          <w:sz w:val="16"/>
          <w:szCs w:val="16"/>
        </w:rPr>
        <w:t xml:space="preserve"> y Atilio Richard Cahuana </w:t>
      </w:r>
      <w:proofErr w:type="spellStart"/>
      <w:r w:rsidRPr="00906595">
        <w:rPr>
          <w:rFonts w:ascii="Verdana" w:eastAsiaTheme="minorHAnsi" w:hAnsi="Verdana"/>
          <w:sz w:val="16"/>
          <w:szCs w:val="16"/>
        </w:rPr>
        <w:t>Yuyali</w:t>
      </w:r>
      <w:proofErr w:type="spellEnd"/>
      <w:r w:rsidRPr="00906595">
        <w:rPr>
          <w:rFonts w:ascii="Verdana" w:eastAsiaTheme="minorHAnsi" w:hAnsi="Verdana"/>
          <w:sz w:val="16"/>
          <w:szCs w:val="16"/>
        </w:rPr>
        <w:t xml:space="preserve"> estaría con </w:t>
      </w:r>
      <w:r>
        <w:rPr>
          <w:rFonts w:ascii="Verdana" w:eastAsiaTheme="minorHAnsi" w:hAnsi="Verdana"/>
          <w:sz w:val="16"/>
          <w:szCs w:val="16"/>
        </w:rPr>
        <w:t>“</w:t>
      </w:r>
      <w:r w:rsidRPr="00906595">
        <w:rPr>
          <w:rFonts w:ascii="Verdana" w:eastAsiaTheme="minorHAnsi" w:hAnsi="Verdana"/>
          <w:sz w:val="16"/>
          <w:szCs w:val="16"/>
        </w:rPr>
        <w:t>estado estable y en zona de aislamiento por antecedentes de síntomas de COVID-19 leve-mo</w:t>
      </w:r>
      <w:r w:rsidRPr="00145EB2">
        <w:rPr>
          <w:rFonts w:ascii="Verdana" w:eastAsiaTheme="minorHAnsi" w:hAnsi="Verdana"/>
          <w:sz w:val="16"/>
          <w:szCs w:val="16"/>
        </w:rPr>
        <w:t xml:space="preserve">derados con mejoría progresiva”. </w:t>
      </w:r>
    </w:p>
  </w:footnote>
  <w:footnote w:id="37">
    <w:p w14:paraId="1C0A9A7E" w14:textId="4D30FE30"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D04496">
        <w:rPr>
          <w:rFonts w:ascii="Verdana" w:hAnsi="Verdana"/>
          <w:sz w:val="16"/>
          <w:szCs w:val="16"/>
        </w:rPr>
        <w:t xml:space="preserve">De acuerdo a la información aportada en la etapa de supervisión de cumplimiento de sentencia, y no controvertida por el Estado, el señor Juan Alonso Aranda Company es hermano de la víctima José Antonio Aranda Company, identificada en el Anexo 1 de la Sentencia bajo el numeral 37. </w:t>
      </w:r>
      <w:r w:rsidRPr="00D04496">
        <w:rPr>
          <w:rFonts w:ascii="Verdana" w:hAnsi="Verdana"/>
          <w:i/>
          <w:sz w:val="16"/>
          <w:szCs w:val="16"/>
        </w:rPr>
        <w:t xml:space="preserve">Cfr. Caso del Penal Miguel Castro </w:t>
      </w:r>
      <w:proofErr w:type="spellStart"/>
      <w:r w:rsidRPr="00D04496">
        <w:rPr>
          <w:rFonts w:ascii="Verdana" w:hAnsi="Verdana"/>
          <w:i/>
          <w:sz w:val="16"/>
          <w:szCs w:val="16"/>
        </w:rPr>
        <w:t>Castro</w:t>
      </w:r>
      <w:proofErr w:type="spellEnd"/>
      <w:r w:rsidRPr="00D04496">
        <w:rPr>
          <w:rFonts w:ascii="Verdana" w:hAnsi="Verdana"/>
          <w:i/>
          <w:sz w:val="16"/>
          <w:szCs w:val="16"/>
        </w:rPr>
        <w:t xml:space="preserve"> Vs. Perú. Fondo, Reparaciones y Costas</w:t>
      </w:r>
      <w:r w:rsidRPr="00D04496">
        <w:rPr>
          <w:rFonts w:ascii="Verdana" w:hAnsi="Verdana"/>
          <w:sz w:val="16"/>
          <w:szCs w:val="16"/>
        </w:rPr>
        <w:t xml:space="preserve">, </w:t>
      </w:r>
      <w:r w:rsidRPr="00D04496">
        <w:rPr>
          <w:rFonts w:ascii="Verdana" w:hAnsi="Verdana"/>
          <w:i/>
          <w:iCs/>
          <w:sz w:val="16"/>
          <w:szCs w:val="16"/>
        </w:rPr>
        <w:t xml:space="preserve">supra </w:t>
      </w:r>
      <w:r w:rsidRPr="00D04496">
        <w:rPr>
          <w:rFonts w:ascii="Verdana" w:hAnsi="Verdana"/>
          <w:sz w:val="16"/>
          <w:szCs w:val="16"/>
        </w:rPr>
        <w:t xml:space="preserve">nota 1, </w:t>
      </w:r>
      <w:proofErr w:type="spellStart"/>
      <w:r w:rsidRPr="00D04496">
        <w:rPr>
          <w:rFonts w:ascii="Verdana" w:hAnsi="Verdana"/>
          <w:sz w:val="16"/>
          <w:szCs w:val="16"/>
        </w:rPr>
        <w:t>párrs</w:t>
      </w:r>
      <w:proofErr w:type="spellEnd"/>
      <w:r w:rsidRPr="00D04496">
        <w:rPr>
          <w:rFonts w:ascii="Verdana" w:hAnsi="Verdana"/>
          <w:sz w:val="16"/>
          <w:szCs w:val="16"/>
        </w:rPr>
        <w:t xml:space="preserve">. 418 a 420; </w:t>
      </w:r>
      <w:r w:rsidRPr="00D04496">
        <w:rPr>
          <w:rFonts w:ascii="Verdana" w:hAnsi="Verdana"/>
          <w:i/>
          <w:sz w:val="16"/>
          <w:szCs w:val="16"/>
        </w:rPr>
        <w:t>Caso</w:t>
      </w:r>
      <w:r w:rsidRPr="00BF5749">
        <w:rPr>
          <w:rFonts w:ascii="Verdana" w:hAnsi="Verdana"/>
          <w:i/>
          <w:sz w:val="16"/>
          <w:szCs w:val="16"/>
        </w:rPr>
        <w:t xml:space="preserve"> del Penal Miguel Castro </w:t>
      </w:r>
      <w:proofErr w:type="spellStart"/>
      <w:r w:rsidRPr="00BF5749">
        <w:rPr>
          <w:rFonts w:ascii="Verdana" w:hAnsi="Verdana"/>
          <w:i/>
          <w:sz w:val="16"/>
          <w:szCs w:val="16"/>
        </w:rPr>
        <w:t>Castro</w:t>
      </w:r>
      <w:proofErr w:type="spellEnd"/>
      <w:r w:rsidRPr="00BF5749">
        <w:rPr>
          <w:rFonts w:ascii="Verdana" w:hAnsi="Verdana"/>
          <w:sz w:val="16"/>
          <w:szCs w:val="16"/>
        </w:rPr>
        <w:t xml:space="preserve">. </w:t>
      </w:r>
      <w:r w:rsidRPr="00BF5749">
        <w:rPr>
          <w:rFonts w:ascii="Verdana" w:hAnsi="Verdana"/>
          <w:i/>
          <w:sz w:val="16"/>
          <w:szCs w:val="16"/>
        </w:rPr>
        <w:t>Interpretación de la Sentencia de Fondo, Reparaciones y Costas</w:t>
      </w:r>
      <w:r w:rsidRPr="00BF5749">
        <w:rPr>
          <w:rFonts w:ascii="Verdana" w:hAnsi="Verdana"/>
          <w:sz w:val="16"/>
          <w:szCs w:val="16"/>
        </w:rPr>
        <w:t xml:space="preserve">, </w:t>
      </w:r>
      <w:r w:rsidRPr="00BF5749">
        <w:rPr>
          <w:rFonts w:ascii="Verdana" w:hAnsi="Verdana"/>
          <w:i/>
          <w:iCs/>
          <w:sz w:val="16"/>
          <w:szCs w:val="16"/>
        </w:rPr>
        <w:t>supra</w:t>
      </w:r>
      <w:r w:rsidRPr="00BF5749">
        <w:rPr>
          <w:rFonts w:ascii="Verdana" w:hAnsi="Verdana"/>
          <w:sz w:val="16"/>
          <w:szCs w:val="16"/>
        </w:rPr>
        <w:t xml:space="preserve"> nota 2, párr. 68 y escritos de la interviniente común Mónica Feria Tinta de 30 de julio de 2008, 11 de abril de 2010, 4 de febrero de 2011, 13 de marzo de 2013 y 28 de julio de 2014.</w:t>
      </w:r>
      <w:r>
        <w:rPr>
          <w:rFonts w:ascii="Verdana" w:hAnsi="Verdana"/>
          <w:sz w:val="16"/>
          <w:szCs w:val="16"/>
        </w:rPr>
        <w:t xml:space="preserve"> </w:t>
      </w:r>
    </w:p>
  </w:footnote>
  <w:footnote w:id="38">
    <w:p w14:paraId="2E9A1B9D" w14:textId="027B928C" w:rsidR="009B20E5" w:rsidRPr="00FA76F5" w:rsidRDefault="009B20E5" w:rsidP="00F577FA">
      <w:pPr>
        <w:pStyle w:val="Textonotapie"/>
        <w:jc w:val="both"/>
        <w:rPr>
          <w:rFonts w:ascii="Verdana" w:hAnsi="Verdana"/>
          <w:b/>
          <w:bCs/>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005EC">
        <w:rPr>
          <w:rFonts w:ascii="Verdana" w:hAnsi="Verdana"/>
          <w:i/>
          <w:sz w:val="16"/>
          <w:szCs w:val="16"/>
        </w:rPr>
        <w:t xml:space="preserve">Cfr. </w:t>
      </w:r>
      <w:r w:rsidRPr="002005EC">
        <w:rPr>
          <w:rStyle w:val="Textoennegrita"/>
          <w:rFonts w:ascii="Verdana" w:hAnsi="Verdana"/>
          <w:b w:val="0"/>
          <w:bCs w:val="0"/>
          <w:i/>
          <w:color w:val="000000"/>
          <w:sz w:val="16"/>
          <w:szCs w:val="16"/>
          <w:shd w:val="clear" w:color="auto" w:fill="FFFFFF"/>
        </w:rPr>
        <w:t>Caso Juan Humberto Sánchez Vs. Honduras.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7 de febrero de 2006, Considerando 8;</w:t>
      </w:r>
      <w:r w:rsidRPr="002005EC">
        <w:rPr>
          <w:rStyle w:val="Textoennegrita"/>
          <w:rFonts w:ascii="Verdana" w:hAnsi="Verdana"/>
          <w:b w:val="0"/>
          <w:bCs w:val="0"/>
          <w:i/>
          <w:color w:val="000000"/>
          <w:sz w:val="16"/>
          <w:szCs w:val="16"/>
          <w:shd w:val="clear" w:color="auto" w:fill="FFFFFF"/>
        </w:rPr>
        <w:t xml:space="preserve"> Caso de la Comunidad </w:t>
      </w:r>
      <w:proofErr w:type="spellStart"/>
      <w:r w:rsidRPr="002005EC">
        <w:rPr>
          <w:rStyle w:val="Textoennegrita"/>
          <w:rFonts w:ascii="Verdana" w:hAnsi="Verdana"/>
          <w:b w:val="0"/>
          <w:bCs w:val="0"/>
          <w:i/>
          <w:color w:val="000000"/>
          <w:sz w:val="16"/>
          <w:szCs w:val="16"/>
          <w:shd w:val="clear" w:color="auto" w:fill="FFFFFF"/>
        </w:rPr>
        <w:t>Mayagna</w:t>
      </w:r>
      <w:proofErr w:type="spellEnd"/>
      <w:r w:rsidRPr="002005EC">
        <w:rPr>
          <w:rStyle w:val="Textoennegrita"/>
          <w:rFonts w:ascii="Verdana" w:hAnsi="Verdana"/>
          <w:b w:val="0"/>
          <w:bCs w:val="0"/>
          <w:i/>
          <w:color w:val="000000"/>
          <w:sz w:val="16"/>
          <w:szCs w:val="16"/>
          <w:shd w:val="clear" w:color="auto" w:fill="FFFFFF"/>
        </w:rPr>
        <w:t xml:space="preserve"> (Sumo) </w:t>
      </w:r>
      <w:proofErr w:type="spellStart"/>
      <w:r w:rsidRPr="002005EC">
        <w:rPr>
          <w:rStyle w:val="Textoennegrita"/>
          <w:rFonts w:ascii="Verdana" w:hAnsi="Verdana"/>
          <w:b w:val="0"/>
          <w:bCs w:val="0"/>
          <w:i/>
          <w:color w:val="000000"/>
          <w:sz w:val="16"/>
          <w:szCs w:val="16"/>
          <w:shd w:val="clear" w:color="auto" w:fill="FFFFFF"/>
        </w:rPr>
        <w:t>Awas</w:t>
      </w:r>
      <w:proofErr w:type="spellEnd"/>
      <w:r w:rsidRPr="002005EC">
        <w:rPr>
          <w:rStyle w:val="Textoennegrita"/>
          <w:rFonts w:ascii="Verdana" w:hAnsi="Verdana"/>
          <w:b w:val="0"/>
          <w:bCs w:val="0"/>
          <w:i/>
          <w:color w:val="000000"/>
          <w:sz w:val="16"/>
          <w:szCs w:val="16"/>
          <w:shd w:val="clear" w:color="auto" w:fill="FFFFFF"/>
        </w:rPr>
        <w:t xml:space="preserve"> </w:t>
      </w:r>
      <w:proofErr w:type="spellStart"/>
      <w:r w:rsidRPr="002005EC">
        <w:rPr>
          <w:rStyle w:val="Textoennegrita"/>
          <w:rFonts w:ascii="Verdana" w:hAnsi="Verdana"/>
          <w:b w:val="0"/>
          <w:bCs w:val="0"/>
          <w:i/>
          <w:color w:val="000000"/>
          <w:sz w:val="16"/>
          <w:szCs w:val="16"/>
          <w:shd w:val="clear" w:color="auto" w:fill="FFFFFF"/>
        </w:rPr>
        <w:t>Tingni</w:t>
      </w:r>
      <w:proofErr w:type="spellEnd"/>
      <w:r w:rsidRPr="002005EC">
        <w:rPr>
          <w:rStyle w:val="Textoennegrita"/>
          <w:rFonts w:ascii="Verdana" w:hAnsi="Verdana"/>
          <w:b w:val="0"/>
          <w:bCs w:val="0"/>
          <w:i/>
          <w:color w:val="000000"/>
          <w:sz w:val="16"/>
          <w:szCs w:val="16"/>
          <w:shd w:val="clear" w:color="auto" w:fill="FFFFFF"/>
        </w:rPr>
        <w:t xml:space="preserve"> Vs. Nicaragua.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26 de noviembre de 2007, Considerandos 10 y 11; </w:t>
      </w:r>
      <w:r w:rsidRPr="002005EC">
        <w:rPr>
          <w:rStyle w:val="Textoennegrita"/>
          <w:rFonts w:ascii="Verdana" w:hAnsi="Verdana"/>
          <w:b w:val="0"/>
          <w:bCs w:val="0"/>
          <w:i/>
          <w:color w:val="000000"/>
          <w:sz w:val="16"/>
          <w:szCs w:val="16"/>
          <w:shd w:val="clear" w:color="auto" w:fill="FFFFFF"/>
        </w:rPr>
        <w:t xml:space="preserve">Caso del Pueblo de </w:t>
      </w:r>
      <w:proofErr w:type="spellStart"/>
      <w:r w:rsidRPr="002005EC">
        <w:rPr>
          <w:rStyle w:val="Textoennegrita"/>
          <w:rFonts w:ascii="Verdana" w:hAnsi="Verdana"/>
          <w:b w:val="0"/>
          <w:bCs w:val="0"/>
          <w:i/>
          <w:color w:val="000000"/>
          <w:sz w:val="16"/>
          <w:szCs w:val="16"/>
          <w:shd w:val="clear" w:color="auto" w:fill="FFFFFF"/>
        </w:rPr>
        <w:t>Saramaka</w:t>
      </w:r>
      <w:proofErr w:type="spellEnd"/>
      <w:r w:rsidRPr="002005EC">
        <w:rPr>
          <w:rStyle w:val="Textoennegrita"/>
          <w:rFonts w:ascii="Verdana" w:hAnsi="Verdana"/>
          <w:b w:val="0"/>
          <w:bCs w:val="0"/>
          <w:i/>
          <w:color w:val="000000"/>
          <w:sz w:val="16"/>
          <w:szCs w:val="16"/>
          <w:shd w:val="clear" w:color="auto" w:fill="FFFFFF"/>
        </w:rPr>
        <w:t xml:space="preserve"> Vs. Surinam. Solicitud de Medidas Provisionales y supervisión de cumplimiento de sentencia</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4 de septiembre de 2013, Considerando 23; </w:t>
      </w:r>
      <w:r w:rsidRPr="002005EC">
        <w:rPr>
          <w:rStyle w:val="Textoennegrita"/>
          <w:rFonts w:ascii="Verdana" w:hAnsi="Verdana"/>
          <w:b w:val="0"/>
          <w:bCs w:val="0"/>
          <w:i/>
          <w:color w:val="000000"/>
          <w:sz w:val="16"/>
          <w:szCs w:val="16"/>
          <w:shd w:val="clear" w:color="auto" w:fill="FFFFFF"/>
        </w:rPr>
        <w:t>Caso Artavia Murillo y otros (“Fecundación in Vitro”) Vs. Costa Rica. Solicitud de Medidas Provisionales</w:t>
      </w:r>
      <w:r w:rsidRPr="002005EC">
        <w:rPr>
          <w:rStyle w:val="Textoennegrita"/>
          <w:rFonts w:ascii="Verdana" w:hAnsi="Verdana"/>
          <w:b w:val="0"/>
          <w:bCs w:val="0"/>
          <w:color w:val="000000"/>
          <w:sz w:val="16"/>
          <w:szCs w:val="16"/>
          <w:shd w:val="clear" w:color="auto" w:fill="FFFFFF"/>
        </w:rPr>
        <w:t>. Resolución de la Corte Interamericana de Derechos Humanos de 31 de marzo de 2014, Considerandos 9 y 10;</w:t>
      </w:r>
      <w:r w:rsidRPr="00221D27">
        <w:rPr>
          <w:rStyle w:val="Textoennegrita"/>
          <w:rFonts w:ascii="Verdana" w:hAnsi="Verdana"/>
          <w:b w:val="0"/>
          <w:bCs w:val="0"/>
          <w:color w:val="000000"/>
          <w:sz w:val="16"/>
          <w:szCs w:val="16"/>
          <w:shd w:val="clear" w:color="auto" w:fill="FFFFFF"/>
        </w:rPr>
        <w:t xml:space="preserve"> </w:t>
      </w:r>
      <w:r w:rsidRPr="00221D27">
        <w:rPr>
          <w:rStyle w:val="Textoennegrita"/>
          <w:rFonts w:ascii="Verdana" w:hAnsi="Verdana"/>
          <w:b w:val="0"/>
          <w:bCs w:val="0"/>
          <w:i/>
          <w:color w:val="000000"/>
          <w:sz w:val="16"/>
          <w:szCs w:val="16"/>
          <w:shd w:val="clear" w:color="auto" w:fill="FFFFFF"/>
        </w:rPr>
        <w:t>Caso Acevedo Jaramillo y otros Vs. Perú. Solicitud de Medidas Provisionales.</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28 de agosto de 2015, Considerandos 7 y 8; </w:t>
      </w:r>
      <w:r>
        <w:rPr>
          <w:rStyle w:val="Textoennegrita"/>
          <w:rFonts w:ascii="Verdana" w:hAnsi="Verdana"/>
          <w:b w:val="0"/>
          <w:bCs w:val="0"/>
          <w:i/>
          <w:color w:val="000000"/>
          <w:sz w:val="16"/>
          <w:szCs w:val="16"/>
          <w:shd w:val="clear" w:color="auto" w:fill="FFFFFF"/>
        </w:rPr>
        <w:t xml:space="preserve">Caso Gonzáles </w:t>
      </w:r>
      <w:proofErr w:type="spellStart"/>
      <w:r>
        <w:rPr>
          <w:rStyle w:val="Textoennegrita"/>
          <w:rFonts w:ascii="Verdana" w:hAnsi="Verdana"/>
          <w:b w:val="0"/>
          <w:bCs w:val="0"/>
          <w:i/>
          <w:color w:val="000000"/>
          <w:sz w:val="16"/>
          <w:szCs w:val="16"/>
          <w:shd w:val="clear" w:color="auto" w:fill="FFFFFF"/>
        </w:rPr>
        <w:t>Lluy</w:t>
      </w:r>
      <w:proofErr w:type="spellEnd"/>
      <w:r>
        <w:rPr>
          <w:rStyle w:val="Textoennegrita"/>
          <w:rFonts w:ascii="Verdana" w:hAnsi="Verdana"/>
          <w:b w:val="0"/>
          <w:bCs w:val="0"/>
          <w:i/>
          <w:color w:val="000000"/>
          <w:sz w:val="16"/>
          <w:szCs w:val="16"/>
          <w:shd w:val="clear" w:color="auto" w:fill="FFFFFF"/>
        </w:rPr>
        <w:t xml:space="preserve"> y otros Vs. Ecuador. Medidas Provisionales. </w:t>
      </w:r>
      <w:r>
        <w:rPr>
          <w:rStyle w:val="Textoennegrita"/>
          <w:rFonts w:ascii="Verdana" w:hAnsi="Verdana"/>
          <w:b w:val="0"/>
          <w:bCs w:val="0"/>
          <w:color w:val="000000"/>
          <w:sz w:val="16"/>
          <w:szCs w:val="16"/>
          <w:shd w:val="clear" w:color="auto" w:fill="FFFFFF"/>
        </w:rPr>
        <w:t>Resolución de la Corte Interamericana de Derechos Humanos de 2 de setiembre de 2015, Considerandos 25 y 26;</w:t>
      </w:r>
      <w:r>
        <w:rPr>
          <w:rStyle w:val="Textoennegrita"/>
          <w:rFonts w:ascii="Verdana" w:hAnsi="Verdana"/>
          <w:b w:val="0"/>
          <w:bCs w:val="0"/>
          <w:i/>
          <w:color w:val="000000"/>
          <w:sz w:val="16"/>
          <w:szCs w:val="16"/>
          <w:shd w:val="clear" w:color="auto" w:fill="FFFFFF"/>
        </w:rPr>
        <w:t xml:space="preserve"> </w:t>
      </w:r>
      <w:r w:rsidRPr="00191FE3">
        <w:rPr>
          <w:rStyle w:val="Textoennegrita"/>
          <w:rFonts w:ascii="Verdana" w:hAnsi="Verdana"/>
          <w:b w:val="0"/>
          <w:bCs w:val="0"/>
          <w:i/>
          <w:color w:val="000000"/>
          <w:sz w:val="16"/>
          <w:szCs w:val="16"/>
          <w:shd w:val="clear" w:color="auto" w:fill="FFFFFF"/>
        </w:rPr>
        <w:t>Caso I.V</w:t>
      </w:r>
      <w:r>
        <w:rPr>
          <w:rStyle w:val="Textoennegrita"/>
          <w:rFonts w:ascii="Verdana" w:hAnsi="Verdana"/>
          <w:b w:val="0"/>
          <w:bCs w:val="0"/>
          <w:i/>
          <w:color w:val="000000"/>
          <w:sz w:val="16"/>
          <w:szCs w:val="16"/>
          <w:shd w:val="clear" w:color="auto" w:fill="FFFFFF"/>
        </w:rPr>
        <w:t>.</w:t>
      </w:r>
      <w:r w:rsidRPr="00191FE3">
        <w:rPr>
          <w:rStyle w:val="Textoennegrita"/>
          <w:rFonts w:ascii="Verdana" w:hAnsi="Verdana"/>
          <w:b w:val="0"/>
          <w:bCs w:val="0"/>
          <w:i/>
          <w:color w:val="000000"/>
          <w:sz w:val="16"/>
          <w:szCs w:val="16"/>
          <w:shd w:val="clear" w:color="auto" w:fill="FFFFFF"/>
        </w:rPr>
        <w:t xml:space="preserve"> Vs. Bolivia. Solicitud de Medidas Provisionales</w:t>
      </w:r>
      <w:r>
        <w:rPr>
          <w:rStyle w:val="Textoennegrita"/>
          <w:rFonts w:ascii="Verdana" w:hAnsi="Verdana"/>
          <w:b w:val="0"/>
          <w:bCs w:val="0"/>
          <w:color w:val="000000"/>
          <w:sz w:val="16"/>
          <w:szCs w:val="16"/>
          <w:shd w:val="clear" w:color="auto" w:fill="FFFFFF"/>
        </w:rPr>
        <w:t xml:space="preserve">. Resolución de la Corte Interamericana de Derechos Humanos de 25 de mayo de 2017, Considerandos 11 y 12; </w:t>
      </w:r>
      <w:r w:rsidRPr="00221D27">
        <w:rPr>
          <w:rStyle w:val="Textoennegrita"/>
          <w:rFonts w:ascii="Verdana" w:hAnsi="Verdana"/>
          <w:b w:val="0"/>
          <w:bCs w:val="0"/>
          <w:i/>
          <w:color w:val="000000"/>
          <w:sz w:val="16"/>
          <w:szCs w:val="16"/>
          <w:shd w:val="clear" w:color="auto" w:fill="FFFFFF"/>
        </w:rPr>
        <w:t xml:space="preserve">Caso </w:t>
      </w:r>
      <w:proofErr w:type="spellStart"/>
      <w:r w:rsidRPr="00221D27">
        <w:rPr>
          <w:rStyle w:val="Textoennegrita"/>
          <w:rFonts w:ascii="Verdana" w:hAnsi="Verdana"/>
          <w:b w:val="0"/>
          <w:bCs w:val="0"/>
          <w:i/>
          <w:color w:val="000000"/>
          <w:sz w:val="16"/>
          <w:szCs w:val="16"/>
          <w:shd w:val="clear" w:color="auto" w:fill="FFFFFF"/>
        </w:rPr>
        <w:t>Cesti</w:t>
      </w:r>
      <w:proofErr w:type="spellEnd"/>
      <w:r w:rsidRPr="00221D27">
        <w:rPr>
          <w:rStyle w:val="Textoennegrita"/>
          <w:rFonts w:ascii="Verdana" w:hAnsi="Verdana"/>
          <w:b w:val="0"/>
          <w:bCs w:val="0"/>
          <w:i/>
          <w:color w:val="000000"/>
          <w:sz w:val="16"/>
          <w:szCs w:val="16"/>
          <w:shd w:val="clear" w:color="auto" w:fill="FFFFFF"/>
        </w:rPr>
        <w:t xml:space="preserve"> Hurtado Vs. Perú. Solicitud de Medidas Provisionales y supervisión de cumplimiento de sentencia.</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14 de octubre de 2019, Considerandos 24 a 26.</w:t>
      </w:r>
    </w:p>
  </w:footnote>
  <w:footnote w:id="39">
    <w:p w14:paraId="667873FA" w14:textId="13BD162C" w:rsidR="009B20E5" w:rsidRPr="00E16E09"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Pr>
          <w:rFonts w:ascii="Verdana" w:hAnsi="Verdana"/>
          <w:i/>
          <w:sz w:val="16"/>
          <w:szCs w:val="16"/>
        </w:rPr>
        <w:t xml:space="preserve">Cfr. </w:t>
      </w:r>
      <w:r w:rsidRPr="00221D27">
        <w:rPr>
          <w:rFonts w:ascii="Verdana" w:hAnsi="Verdana"/>
          <w:i/>
          <w:sz w:val="16"/>
          <w:szCs w:val="16"/>
        </w:rPr>
        <w:t>Caso Durand y Ugarte Vs. Perú. Medidas Provisionales.</w:t>
      </w:r>
      <w:r w:rsidRPr="00221D27">
        <w:rPr>
          <w:rFonts w:ascii="Verdana" w:hAnsi="Verdana"/>
          <w:sz w:val="16"/>
          <w:szCs w:val="16"/>
        </w:rPr>
        <w:t xml:space="preserve"> Resolución </w:t>
      </w:r>
      <w:r>
        <w:rPr>
          <w:rFonts w:ascii="Verdana" w:hAnsi="Verdana"/>
          <w:sz w:val="16"/>
          <w:szCs w:val="16"/>
        </w:rPr>
        <w:t xml:space="preserve">de la Corte Interamericana de Derechos Humanos </w:t>
      </w:r>
      <w:r w:rsidRPr="00221D27">
        <w:rPr>
          <w:rFonts w:ascii="Verdana" w:hAnsi="Verdana"/>
          <w:sz w:val="16"/>
          <w:szCs w:val="16"/>
        </w:rPr>
        <w:t>de 8 de febrero de 2018</w:t>
      </w:r>
      <w:r>
        <w:rPr>
          <w:rFonts w:ascii="Verdana" w:hAnsi="Verdana"/>
          <w:sz w:val="16"/>
          <w:szCs w:val="16"/>
        </w:rPr>
        <w:t>,</w:t>
      </w:r>
      <w:r w:rsidRPr="00221D27">
        <w:rPr>
          <w:rFonts w:ascii="Verdana" w:hAnsi="Verdana"/>
          <w:sz w:val="16"/>
          <w:szCs w:val="16"/>
        </w:rPr>
        <w:t xml:space="preserve"> </w:t>
      </w:r>
      <w:r>
        <w:rPr>
          <w:rFonts w:ascii="Verdana" w:hAnsi="Verdana"/>
          <w:sz w:val="16"/>
          <w:szCs w:val="16"/>
        </w:rPr>
        <w:t xml:space="preserve">y </w:t>
      </w:r>
      <w:r w:rsidRPr="00221D27">
        <w:rPr>
          <w:rFonts w:ascii="Verdana" w:hAnsi="Verdana"/>
          <w:bCs/>
          <w:i/>
          <w:sz w:val="16"/>
          <w:szCs w:val="16"/>
        </w:rPr>
        <w:t xml:space="preserve">Caso Miembros de la Aldea </w:t>
      </w:r>
      <w:proofErr w:type="spellStart"/>
      <w:r w:rsidRPr="00221D27">
        <w:rPr>
          <w:rFonts w:ascii="Verdana" w:hAnsi="Verdana"/>
          <w:bCs/>
          <w:i/>
          <w:sz w:val="16"/>
          <w:szCs w:val="16"/>
        </w:rPr>
        <w:t>Chichupac</w:t>
      </w:r>
      <w:proofErr w:type="spellEnd"/>
      <w:r w:rsidRPr="00221D27">
        <w:rPr>
          <w:rFonts w:ascii="Verdana" w:hAnsi="Verdana"/>
          <w:bCs/>
          <w:i/>
          <w:sz w:val="16"/>
          <w:szCs w:val="16"/>
        </w:rPr>
        <w:t xml:space="preserve"> y comunidades vecinas del Municipio de Rabinal, Caso Molina </w:t>
      </w:r>
      <w:proofErr w:type="spellStart"/>
      <w:r w:rsidRPr="00221D27">
        <w:rPr>
          <w:rFonts w:ascii="Verdana" w:hAnsi="Verdana"/>
          <w:bCs/>
          <w:i/>
          <w:sz w:val="16"/>
          <w:szCs w:val="16"/>
        </w:rPr>
        <w:t>Theissen</w:t>
      </w:r>
      <w:proofErr w:type="spellEnd"/>
      <w:r w:rsidRPr="00221D27">
        <w:rPr>
          <w:rFonts w:ascii="Verdana" w:hAnsi="Verdana"/>
          <w:bCs/>
          <w:i/>
          <w:sz w:val="16"/>
          <w:szCs w:val="16"/>
        </w:rPr>
        <w:t xml:space="preserve"> y otros 12 Casos Guatemaltecos Vs. Guatemala. Medidas Provisionales y Supervisión de Cumplimiento de Sentencia.</w:t>
      </w:r>
      <w:r w:rsidRPr="00221D27">
        <w:rPr>
          <w:rFonts w:ascii="Verdana" w:hAnsi="Verdana"/>
          <w:bCs/>
          <w:sz w:val="16"/>
          <w:szCs w:val="16"/>
        </w:rPr>
        <w:t xml:space="preserve"> Resolución </w:t>
      </w:r>
      <w:r>
        <w:rPr>
          <w:rFonts w:ascii="Verdana" w:hAnsi="Verdana"/>
          <w:bCs/>
          <w:sz w:val="16"/>
          <w:szCs w:val="16"/>
        </w:rPr>
        <w:t xml:space="preserve">de la Corte Interamericana de Derechos Humanos </w:t>
      </w:r>
      <w:r w:rsidRPr="00221D27">
        <w:rPr>
          <w:rFonts w:ascii="Verdana" w:hAnsi="Verdana"/>
          <w:bCs/>
          <w:sz w:val="16"/>
          <w:szCs w:val="16"/>
        </w:rPr>
        <w:t>de 12 de marzo de 2019</w:t>
      </w:r>
      <w:r w:rsidRPr="003F0B58">
        <w:rPr>
          <w:rFonts w:ascii="Verdana" w:hAnsi="Verdana"/>
          <w:sz w:val="16"/>
          <w:szCs w:val="16"/>
        </w:rPr>
        <w:t>.</w:t>
      </w:r>
    </w:p>
  </w:footnote>
  <w:footnote w:id="40">
    <w:p w14:paraId="3606291E" w14:textId="77777777" w:rsidR="009B20E5" w:rsidRPr="004843EA" w:rsidRDefault="009B20E5" w:rsidP="00F577FA">
      <w:pPr>
        <w:pStyle w:val="Textonotapie"/>
        <w:jc w:val="both"/>
        <w:rPr>
          <w:rFonts w:ascii="Verdana" w:hAnsi="Verdana"/>
          <w:sz w:val="16"/>
          <w:szCs w:val="16"/>
          <w:lang w:val="es-MX"/>
        </w:rPr>
      </w:pPr>
      <w:r w:rsidRPr="00E16E09">
        <w:rPr>
          <w:rStyle w:val="Refdenotaalpie"/>
          <w:szCs w:val="16"/>
        </w:rPr>
        <w:footnoteRef/>
      </w:r>
      <w:r w:rsidRPr="00E16E09">
        <w:rPr>
          <w:rFonts w:ascii="Verdana" w:hAnsi="Verdana"/>
          <w:sz w:val="16"/>
          <w:szCs w:val="16"/>
        </w:rPr>
        <w:t xml:space="preserve"> </w:t>
      </w:r>
      <w:r w:rsidRPr="00E16E09">
        <w:rPr>
          <w:rFonts w:ascii="Verdana" w:hAnsi="Verdana"/>
          <w:sz w:val="16"/>
          <w:szCs w:val="16"/>
        </w:rPr>
        <w:tab/>
      </w:r>
      <w:r w:rsidRPr="00674B35">
        <w:rPr>
          <w:rFonts w:ascii="Verdana" w:hAnsi="Verdana"/>
          <w:i/>
          <w:iCs/>
          <w:sz w:val="16"/>
          <w:szCs w:val="16"/>
          <w:lang w:val="es-MX"/>
        </w:rPr>
        <w:t xml:space="preserve">Cfr. </w:t>
      </w:r>
      <w:r w:rsidRPr="00DD4C86">
        <w:rPr>
          <w:rFonts w:ascii="Verdana" w:hAnsi="Verdana"/>
          <w:sz w:val="16"/>
          <w:szCs w:val="16"/>
        </w:rPr>
        <w:t>Declaración de la Corte Interamericana de Derechos Humanos No. 1/20, 9 de abril de 2020, “COVID-19 y Dere</w:t>
      </w:r>
      <w:r w:rsidRPr="004843EA">
        <w:rPr>
          <w:rFonts w:ascii="Verdana" w:hAnsi="Verdana"/>
          <w:sz w:val="16"/>
          <w:szCs w:val="16"/>
        </w:rPr>
        <w:t>chos Humanos: los problemas y desafíos deben ser abordados con perspectiva de derechos humanos y respetando las obligaciones internacionales”. Disponible en: http://www.corteidh.or.cr/docs/comunicados/cp_27_2020.pdf.</w:t>
      </w:r>
    </w:p>
  </w:footnote>
  <w:footnote w:id="41">
    <w:p w14:paraId="256441EF" w14:textId="50732FD6" w:rsidR="009B20E5" w:rsidRPr="00221D27" w:rsidRDefault="009B20E5" w:rsidP="00F577FA">
      <w:pPr>
        <w:pStyle w:val="Textonotapie"/>
        <w:tabs>
          <w:tab w:val="left" w:pos="567"/>
        </w:tabs>
        <w:jc w:val="both"/>
        <w:rPr>
          <w:rFonts w:ascii="Verdana" w:hAnsi="Verdana"/>
          <w:sz w:val="16"/>
          <w:szCs w:val="16"/>
          <w:lang w:val="es-CR"/>
        </w:rPr>
      </w:pPr>
      <w:r w:rsidRPr="00221D27">
        <w:rPr>
          <w:rStyle w:val="Refdenotaalpie"/>
          <w:szCs w:val="16"/>
        </w:rPr>
        <w:footnoteRef/>
      </w:r>
      <w:r w:rsidRPr="00221D27">
        <w:rPr>
          <w:rFonts w:ascii="Verdana" w:hAnsi="Verdana"/>
          <w:sz w:val="16"/>
          <w:szCs w:val="16"/>
          <w:lang w:val="es-CR"/>
        </w:rPr>
        <w:t xml:space="preserve"> </w:t>
      </w:r>
      <w:r w:rsidRPr="00221D27">
        <w:rPr>
          <w:rFonts w:ascii="Verdana" w:hAnsi="Verdana"/>
          <w:sz w:val="16"/>
          <w:szCs w:val="16"/>
          <w:lang w:val="es-CR"/>
        </w:rPr>
        <w:tab/>
      </w:r>
      <w:r w:rsidRPr="00C1731C">
        <w:rPr>
          <w:rFonts w:ascii="Verdana" w:hAnsi="Verdana"/>
          <w:i/>
          <w:sz w:val="16"/>
          <w:szCs w:val="16"/>
          <w:lang w:val="es-CR"/>
        </w:rPr>
        <w:t xml:space="preserve">Cfr. Caso Carpio </w:t>
      </w:r>
      <w:proofErr w:type="spellStart"/>
      <w:r w:rsidRPr="00C1731C">
        <w:rPr>
          <w:rFonts w:ascii="Verdana" w:hAnsi="Verdana"/>
          <w:i/>
          <w:sz w:val="16"/>
          <w:szCs w:val="16"/>
          <w:lang w:val="es-CR"/>
        </w:rPr>
        <w:t>Nicolle</w:t>
      </w:r>
      <w:proofErr w:type="spellEnd"/>
      <w:r w:rsidRPr="00C1731C">
        <w:rPr>
          <w:rFonts w:ascii="Verdana" w:hAnsi="Verdana"/>
          <w:i/>
          <w:sz w:val="16"/>
          <w:szCs w:val="16"/>
          <w:lang w:val="es-CR"/>
        </w:rPr>
        <w:t xml:space="preserve"> y otros </w:t>
      </w:r>
      <w:r>
        <w:rPr>
          <w:rFonts w:ascii="Verdana" w:hAnsi="Verdana"/>
          <w:i/>
          <w:sz w:val="16"/>
          <w:szCs w:val="16"/>
          <w:lang w:val="es-CR"/>
        </w:rPr>
        <w:t>Vs.</w:t>
      </w:r>
      <w:r w:rsidRPr="00C1731C">
        <w:rPr>
          <w:rFonts w:ascii="Verdana" w:hAnsi="Verdana"/>
          <w:i/>
          <w:sz w:val="16"/>
          <w:szCs w:val="16"/>
          <w:lang w:val="es-CR"/>
        </w:rPr>
        <w:t xml:space="preserve"> Guatemala. Medidas Provisionales.</w:t>
      </w:r>
      <w:r w:rsidRPr="00C1731C">
        <w:rPr>
          <w:rFonts w:ascii="Verdana" w:hAnsi="Verdana"/>
          <w:sz w:val="16"/>
          <w:szCs w:val="16"/>
          <w:lang w:val="es-CR"/>
        </w:rPr>
        <w:t xml:space="preserve"> Resolución de la Corte Interamericana de Derechos Humanos de 6 de julio de 2009, Considerando 14, y </w:t>
      </w:r>
      <w:r w:rsidRPr="00C1731C">
        <w:rPr>
          <w:rFonts w:ascii="Verdana" w:hAnsi="Verdana"/>
          <w:i/>
          <w:sz w:val="16"/>
          <w:szCs w:val="16"/>
          <w:lang w:val="es-CR"/>
        </w:rPr>
        <w:t>Asuntos de Determinados Centros Penitenciarios de Venezuela. Humberto Prado. Marianela Sánchez Ortiz y familia. Medidas Provisionales respecto de Venezuela.</w:t>
      </w:r>
      <w:r w:rsidRPr="00C1731C">
        <w:rPr>
          <w:rFonts w:ascii="Verdana" w:hAnsi="Verdana"/>
          <w:sz w:val="16"/>
          <w:szCs w:val="16"/>
          <w:lang w:val="es-CR"/>
        </w:rPr>
        <w:t xml:space="preserve"> Resolución de la Corte Interamericana de Derechos Humanos de 8 de julio de 2020, Considerando 2.</w:t>
      </w:r>
      <w:r>
        <w:rPr>
          <w:rFonts w:ascii="Verdana" w:hAnsi="Verdana"/>
          <w:sz w:val="16"/>
          <w:szCs w:val="16"/>
          <w:lang w:val="es-CR"/>
        </w:rPr>
        <w:t xml:space="preserve"> </w:t>
      </w:r>
    </w:p>
  </w:footnote>
  <w:footnote w:id="42">
    <w:p w14:paraId="4E332A10" w14:textId="0699825D" w:rsidR="009B20E5" w:rsidRPr="002907CD" w:rsidRDefault="009B20E5" w:rsidP="00F577FA">
      <w:pPr>
        <w:tabs>
          <w:tab w:val="left" w:pos="567"/>
        </w:tabs>
        <w:jc w:val="both"/>
        <w:rPr>
          <w:rFonts w:ascii="Verdana" w:hAnsi="Verdana"/>
          <w:i/>
          <w:iCs/>
          <w:sz w:val="16"/>
          <w:szCs w:val="16"/>
          <w:lang w:val="es-ES"/>
        </w:rPr>
      </w:pPr>
      <w:r w:rsidRPr="00221D27">
        <w:rPr>
          <w:rStyle w:val="Refdenotaalpie"/>
          <w:szCs w:val="16"/>
        </w:rPr>
        <w:footnoteRef/>
      </w:r>
      <w:r w:rsidRPr="00221D27">
        <w:rPr>
          <w:rFonts w:ascii="Verdana" w:hAnsi="Verdana"/>
          <w:sz w:val="16"/>
          <w:szCs w:val="16"/>
        </w:rPr>
        <w:tab/>
      </w:r>
      <w:r w:rsidRPr="002907CD">
        <w:rPr>
          <w:rFonts w:ascii="Verdana" w:hAnsi="Verdana"/>
          <w:i/>
          <w:iCs/>
          <w:sz w:val="16"/>
          <w:szCs w:val="16"/>
          <w:lang w:val="es-ES"/>
        </w:rPr>
        <w:t xml:space="preserve">Cfr. </w:t>
      </w:r>
      <w:r w:rsidRPr="002907CD">
        <w:rPr>
          <w:rFonts w:ascii="Verdana" w:hAnsi="Verdana"/>
          <w:i/>
          <w:sz w:val="16"/>
          <w:szCs w:val="16"/>
          <w:lang w:val="es-CR"/>
        </w:rPr>
        <w:t xml:space="preserve">Caso Bámaca Velásquez Vs. Guatemala. Medidas Provisionales. </w:t>
      </w:r>
      <w:r w:rsidRPr="002907CD">
        <w:rPr>
          <w:rFonts w:ascii="Verdana" w:hAnsi="Verdana"/>
          <w:sz w:val="16"/>
          <w:szCs w:val="16"/>
          <w:lang w:val="es-CR"/>
        </w:rPr>
        <w:t>Resolución de la Corte Interamericana de Derechos Humanos de 20 de noviembre de 2003, Considerando 10</w:t>
      </w:r>
      <w:r w:rsidRPr="002907CD">
        <w:rPr>
          <w:rFonts w:ascii="Verdana" w:hAnsi="Verdana"/>
          <w:iCs/>
          <w:sz w:val="16"/>
          <w:szCs w:val="16"/>
          <w:lang w:val="es-ES"/>
        </w:rPr>
        <w:t>,</w:t>
      </w:r>
      <w:r w:rsidRPr="002907CD">
        <w:rPr>
          <w:rFonts w:ascii="Verdana" w:hAnsi="Verdana"/>
          <w:sz w:val="16"/>
          <w:szCs w:val="16"/>
        </w:rPr>
        <w:t xml:space="preserve"> y </w:t>
      </w:r>
      <w:r w:rsidRPr="002907CD">
        <w:rPr>
          <w:rFonts w:ascii="Verdana" w:hAnsi="Verdana"/>
          <w:i/>
          <w:sz w:val="16"/>
          <w:szCs w:val="16"/>
        </w:rPr>
        <w:t xml:space="preserve">Caso Urrutia </w:t>
      </w:r>
      <w:proofErr w:type="spellStart"/>
      <w:r w:rsidRPr="002907CD">
        <w:rPr>
          <w:rFonts w:ascii="Verdana" w:hAnsi="Verdana"/>
          <w:i/>
          <w:sz w:val="16"/>
          <w:szCs w:val="16"/>
        </w:rPr>
        <w:t>Laubreaux</w:t>
      </w:r>
      <w:proofErr w:type="spellEnd"/>
      <w:r w:rsidRPr="002907CD">
        <w:rPr>
          <w:rFonts w:ascii="Verdana" w:hAnsi="Verdana"/>
          <w:i/>
          <w:sz w:val="16"/>
          <w:szCs w:val="16"/>
        </w:rPr>
        <w:t xml:space="preserve"> Vs. Chile. Solicitud de Medidas Provisionales</w:t>
      </w:r>
      <w:r w:rsidRPr="002907CD">
        <w:rPr>
          <w:rFonts w:ascii="Verdana" w:hAnsi="Verdana"/>
          <w:sz w:val="16"/>
          <w:szCs w:val="16"/>
        </w:rPr>
        <w:t>. Resolución de la Corte Interamericana de Derechos Humanos de 12 de marzo de 2020, Considerando 3.</w:t>
      </w:r>
    </w:p>
  </w:footnote>
  <w:footnote w:id="43">
    <w:p w14:paraId="1C594BE0" w14:textId="51A53BF5" w:rsidR="009B20E5" w:rsidRPr="0051766F" w:rsidRDefault="009B20E5" w:rsidP="00F577FA">
      <w:pPr>
        <w:tabs>
          <w:tab w:val="left" w:pos="567"/>
        </w:tabs>
        <w:jc w:val="both"/>
        <w:rPr>
          <w:rFonts w:ascii="Verdana" w:hAnsi="Verdana"/>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51766F">
        <w:rPr>
          <w:rFonts w:ascii="Verdana" w:hAnsi="Verdana"/>
          <w:i/>
          <w:sz w:val="16"/>
          <w:szCs w:val="16"/>
        </w:rPr>
        <w:t xml:space="preserve">Cfr. Asuntos Internado Judicial de Monagas (“La Pica”); Centro Penitenciario Región Capital Yare I y Yare II (Cárcel de Yare); Centro Penitenciario de la Región Centro Occidental (Cárcel de </w:t>
      </w:r>
      <w:proofErr w:type="spellStart"/>
      <w:r w:rsidRPr="0051766F">
        <w:rPr>
          <w:rFonts w:ascii="Verdana" w:hAnsi="Verdana"/>
          <w:i/>
          <w:sz w:val="16"/>
          <w:szCs w:val="16"/>
        </w:rPr>
        <w:t>Uribana</w:t>
      </w:r>
      <w:proofErr w:type="spellEnd"/>
      <w:r w:rsidRPr="0051766F">
        <w:rPr>
          <w:rFonts w:ascii="Verdana" w:hAnsi="Verdana"/>
          <w:i/>
          <w:sz w:val="16"/>
          <w:szCs w:val="16"/>
        </w:rPr>
        <w:t>), e Internado Judicial Capital El Rodeo I y el Rodeo II. Medidas Provisionales respecto de la República Bolivariana de Venezuela</w:t>
      </w:r>
      <w:r w:rsidRPr="0051766F">
        <w:rPr>
          <w:rFonts w:ascii="Verdana" w:hAnsi="Verdana"/>
          <w:sz w:val="16"/>
          <w:szCs w:val="16"/>
        </w:rPr>
        <w:t xml:space="preserve">. Resolución de la Corte Interamericana de Derechos Humanos de 24 de noviembre de 2009, Considerando 3, y </w:t>
      </w:r>
      <w:r w:rsidRPr="0051766F">
        <w:rPr>
          <w:rFonts w:ascii="Verdana" w:hAnsi="Verdana"/>
          <w:i/>
          <w:sz w:val="16"/>
          <w:szCs w:val="16"/>
        </w:rPr>
        <w:t xml:space="preserve">Caso Cuya </w:t>
      </w:r>
      <w:proofErr w:type="spellStart"/>
      <w:r w:rsidRPr="0051766F">
        <w:rPr>
          <w:rFonts w:ascii="Verdana" w:hAnsi="Verdana"/>
          <w:i/>
          <w:sz w:val="16"/>
          <w:szCs w:val="16"/>
        </w:rPr>
        <w:t>Lavy</w:t>
      </w:r>
      <w:proofErr w:type="spellEnd"/>
      <w:r w:rsidRPr="0051766F">
        <w:rPr>
          <w:rFonts w:ascii="Verdana" w:hAnsi="Verdana"/>
          <w:i/>
          <w:sz w:val="16"/>
          <w:szCs w:val="16"/>
        </w:rPr>
        <w:t xml:space="preserve"> y otros Vs. Perú. Solicitud de Medidas Provisionales</w:t>
      </w:r>
      <w:r w:rsidRPr="0051766F">
        <w:rPr>
          <w:rFonts w:ascii="Verdana" w:hAnsi="Verdana"/>
          <w:sz w:val="16"/>
          <w:szCs w:val="16"/>
        </w:rPr>
        <w:t>. Resolución de la Corte Interamericana de Derechos Humanos de 12 de marzo de 2020, Considerando 5.</w:t>
      </w:r>
    </w:p>
  </w:footnote>
  <w:footnote w:id="44">
    <w:p w14:paraId="58D6A3A5" w14:textId="7E95D706"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iCs/>
          <w:sz w:val="16"/>
          <w:szCs w:val="16"/>
        </w:rPr>
        <w:t>Cfr.</w:t>
      </w:r>
      <w:r w:rsidRPr="00221D27">
        <w:rPr>
          <w:rFonts w:ascii="Verdana" w:hAnsi="Verdana"/>
          <w:sz w:val="16"/>
          <w:szCs w:val="16"/>
        </w:rPr>
        <w:t xml:space="preserve"> Instituto Latinoamericano de las Naciones Unidas para la Prevención del Delito y el Tratamiento del Delincuente (ILANUD), “El Sistema Penitenciario ante la encrucijada producto de la crisis provocada por el COVID-19”, abril 2020</w:t>
      </w:r>
      <w:r>
        <w:rPr>
          <w:rFonts w:ascii="Verdana" w:hAnsi="Verdana"/>
          <w:sz w:val="16"/>
          <w:szCs w:val="16"/>
        </w:rPr>
        <w:t>.</w:t>
      </w:r>
      <w:r w:rsidRPr="00221D27">
        <w:rPr>
          <w:rFonts w:ascii="Verdana" w:hAnsi="Verdana"/>
          <w:sz w:val="16"/>
          <w:szCs w:val="16"/>
        </w:rPr>
        <w:t xml:space="preserve"> </w:t>
      </w:r>
      <w:r>
        <w:rPr>
          <w:rFonts w:ascii="Verdana" w:hAnsi="Verdana"/>
          <w:sz w:val="16"/>
          <w:szCs w:val="16"/>
        </w:rPr>
        <w:t>D</w:t>
      </w:r>
      <w:r w:rsidRPr="00221D27">
        <w:rPr>
          <w:rFonts w:ascii="Verdana" w:hAnsi="Verdana"/>
          <w:sz w:val="16"/>
          <w:szCs w:val="16"/>
        </w:rPr>
        <w:t xml:space="preserve">isponible en: </w:t>
      </w:r>
      <w:hyperlink r:id="rId4" w:history="1">
        <w:r w:rsidRPr="00221D27">
          <w:rPr>
            <w:rStyle w:val="Hipervnculo"/>
            <w:rFonts w:ascii="Verdana" w:hAnsi="Verdana"/>
            <w:sz w:val="16"/>
            <w:szCs w:val="16"/>
          </w:rPr>
          <w:t>https://www.ilanud.or.cr/wp-content/uploads/2020/04/ILANUD-COVID-19.pdf</w:t>
        </w:r>
      </w:hyperlink>
      <w:r w:rsidRPr="00221D27">
        <w:rPr>
          <w:rFonts w:ascii="Verdana" w:hAnsi="Verdana"/>
          <w:sz w:val="16"/>
          <w:szCs w:val="16"/>
        </w:rPr>
        <w:t>.</w:t>
      </w:r>
    </w:p>
  </w:footnote>
  <w:footnote w:id="45">
    <w:p w14:paraId="3D50DDAA" w14:textId="51477211"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El CICR precisó que “[d]</w:t>
      </w:r>
      <w:proofErr w:type="spellStart"/>
      <w:r w:rsidRPr="00221D27">
        <w:rPr>
          <w:rFonts w:ascii="Verdana" w:hAnsi="Verdana"/>
          <w:sz w:val="16"/>
          <w:szCs w:val="16"/>
        </w:rPr>
        <w:t>atos</w:t>
      </w:r>
      <w:proofErr w:type="spellEnd"/>
      <w:r w:rsidRPr="00221D27">
        <w:rPr>
          <w:rFonts w:ascii="Verdana" w:hAnsi="Verdana"/>
          <w:sz w:val="16"/>
          <w:szCs w:val="16"/>
        </w:rPr>
        <w:t xml:space="preserve"> sobre población no encarcelada muestran que el número de básico de reproducción (RO= número de casos secundarios infectados del caso primario) para COVID-19 está entre 2 y 2.5”, mientras que, en lugares de detención, “el RO se presume que será significativamente mayor”. </w:t>
      </w:r>
      <w:r w:rsidRPr="00221D27">
        <w:rPr>
          <w:rFonts w:ascii="Verdana" w:hAnsi="Verdana"/>
          <w:i/>
          <w:sz w:val="16"/>
          <w:szCs w:val="16"/>
        </w:rPr>
        <w:t xml:space="preserve">Cfr. </w:t>
      </w:r>
      <w:r w:rsidRPr="00221D27">
        <w:rPr>
          <w:rFonts w:ascii="Verdana" w:hAnsi="Verdana"/>
          <w:sz w:val="16"/>
          <w:szCs w:val="16"/>
        </w:rPr>
        <w:t>Comité Internacional de la Cruz Roja</w:t>
      </w:r>
      <w:r>
        <w:rPr>
          <w:rFonts w:ascii="Verdana" w:hAnsi="Verdana"/>
          <w:sz w:val="16"/>
          <w:szCs w:val="16"/>
        </w:rPr>
        <w:t xml:space="preserve"> (CICR)</w:t>
      </w:r>
      <w:r w:rsidRPr="00221D27">
        <w:rPr>
          <w:rFonts w:ascii="Verdana" w:hAnsi="Verdana"/>
          <w:sz w:val="16"/>
          <w:szCs w:val="16"/>
        </w:rPr>
        <w:t xml:space="preserve">, “Respuestas de salud en detención al COVID-19”, 17 de marzo de 2020. Disponible en: </w:t>
      </w:r>
      <w:hyperlink r:id="rId5" w:history="1">
        <w:r w:rsidRPr="00221D27">
          <w:rPr>
            <w:rStyle w:val="Hipervnculo"/>
            <w:rFonts w:ascii="Verdana" w:hAnsi="Verdana"/>
            <w:sz w:val="16"/>
            <w:szCs w:val="16"/>
          </w:rPr>
          <w:t>https://www.icrc.org/es/download/file/114942/respuesta_de_salud_covid19.pdf</w:t>
        </w:r>
      </w:hyperlink>
      <w:r w:rsidRPr="00221D27">
        <w:rPr>
          <w:rFonts w:ascii="Verdana" w:hAnsi="Verdana"/>
          <w:sz w:val="16"/>
          <w:szCs w:val="16"/>
        </w:rPr>
        <w:t xml:space="preserve"> </w:t>
      </w:r>
    </w:p>
  </w:footnote>
  <w:footnote w:id="46">
    <w:p w14:paraId="62548BBC" w14:textId="68B43E46" w:rsidR="009B20E5" w:rsidRPr="00221D27" w:rsidRDefault="009B20E5" w:rsidP="00F577FA">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i/>
          <w:iCs/>
          <w:sz w:val="16"/>
          <w:szCs w:val="16"/>
          <w:lang w:val="es-AR"/>
        </w:rPr>
        <w:t xml:space="preserve"> </w:t>
      </w:r>
      <w:r w:rsidRPr="00221D27">
        <w:rPr>
          <w:rFonts w:ascii="Verdana" w:hAnsi="Verdana"/>
          <w:i/>
          <w:iCs/>
          <w:sz w:val="16"/>
          <w:szCs w:val="16"/>
          <w:lang w:val="es-AR"/>
        </w:rPr>
        <w:tab/>
        <w:t>Cfr.</w:t>
      </w:r>
      <w:r w:rsidRPr="00221D27">
        <w:rPr>
          <w:rFonts w:ascii="Verdana" w:hAnsi="Verdana"/>
          <w:sz w:val="16"/>
          <w:szCs w:val="16"/>
          <w:lang w:val="es-AR"/>
        </w:rPr>
        <w:t xml:space="preserve"> Declaración No. 1/20, “COVID-19 y Derechos Humanos: los problemas y desafíos deben ser abordados con perspectiva de derechos humanos y respetando las obligaciones internacionales”, </w:t>
      </w:r>
      <w:r w:rsidRPr="00221D27">
        <w:rPr>
          <w:rFonts w:ascii="Verdana" w:hAnsi="Verdana"/>
          <w:i/>
          <w:iCs/>
          <w:sz w:val="16"/>
          <w:szCs w:val="16"/>
          <w:lang w:val="es-AR"/>
        </w:rPr>
        <w:t>supra</w:t>
      </w:r>
      <w:r>
        <w:rPr>
          <w:rFonts w:ascii="Verdana" w:hAnsi="Verdana"/>
          <w:sz w:val="16"/>
          <w:szCs w:val="16"/>
          <w:lang w:val="es-AR"/>
        </w:rPr>
        <w:t xml:space="preserve"> nota.</w:t>
      </w:r>
      <w:r w:rsidRPr="00221D27">
        <w:rPr>
          <w:rFonts w:ascii="Verdana" w:hAnsi="Verdana"/>
          <w:sz w:val="16"/>
          <w:szCs w:val="16"/>
          <w:lang w:val="es-AR"/>
        </w:rPr>
        <w:t xml:space="preserve"> </w:t>
      </w:r>
    </w:p>
  </w:footnote>
  <w:footnote w:id="47">
    <w:p w14:paraId="6081A85A" w14:textId="2A7A223C" w:rsidR="009B20E5" w:rsidRPr="0011499C" w:rsidRDefault="009B20E5" w:rsidP="00F577FA">
      <w:pPr>
        <w:pStyle w:val="Textonotapie"/>
        <w:jc w:val="both"/>
        <w:rPr>
          <w:rFonts w:ascii="Verdana" w:hAnsi="Verdana"/>
          <w:sz w:val="16"/>
          <w:szCs w:val="16"/>
          <w:highlight w:val="red"/>
        </w:rPr>
      </w:pPr>
      <w:r w:rsidRPr="000C5155">
        <w:rPr>
          <w:rStyle w:val="Refdenotaalpie"/>
          <w:szCs w:val="16"/>
        </w:rPr>
        <w:footnoteRef/>
      </w:r>
      <w:r w:rsidRPr="000C5155">
        <w:rPr>
          <w:rFonts w:ascii="Verdana" w:hAnsi="Verdana"/>
          <w:sz w:val="16"/>
          <w:szCs w:val="16"/>
        </w:rPr>
        <w:t xml:space="preserve"> </w:t>
      </w:r>
      <w:r w:rsidRPr="000C5155">
        <w:rPr>
          <w:rFonts w:ascii="Verdana" w:hAnsi="Verdana"/>
          <w:sz w:val="16"/>
          <w:szCs w:val="16"/>
        </w:rPr>
        <w:tab/>
      </w:r>
      <w:r w:rsidRPr="000C5155">
        <w:rPr>
          <w:rFonts w:ascii="Verdana" w:hAnsi="Verdana"/>
          <w:i/>
          <w:iCs/>
          <w:sz w:val="16"/>
          <w:szCs w:val="16"/>
        </w:rPr>
        <w:t>Cfr. Caso Neira Alegría y otros Vs. Perú. Fondo.</w:t>
      </w:r>
      <w:r w:rsidRPr="000C5155">
        <w:rPr>
          <w:rFonts w:ascii="Verdana" w:hAnsi="Verdana"/>
          <w:sz w:val="16"/>
          <w:szCs w:val="16"/>
        </w:rPr>
        <w:t xml:space="preserve"> Sentencia de 19 de enero de 1995. Serie C No. 20, párr. 60, y </w:t>
      </w:r>
      <w:r w:rsidRPr="000C5155">
        <w:rPr>
          <w:rFonts w:ascii="Verdana" w:hAnsi="Verdana"/>
          <w:i/>
          <w:sz w:val="16"/>
          <w:szCs w:val="16"/>
        </w:rPr>
        <w:t>Caso López y otros Vs. Argentina. Excepciones Preliminares, Fondo, Reparaciones y Costas</w:t>
      </w:r>
      <w:r w:rsidRPr="000C5155">
        <w:rPr>
          <w:rFonts w:ascii="Verdana" w:hAnsi="Verdana"/>
          <w:sz w:val="16"/>
          <w:szCs w:val="16"/>
        </w:rPr>
        <w:t>. Sentencia de 25 de noviembre de 2019. Serie C No. 396, párr. 90.</w:t>
      </w:r>
    </w:p>
  </w:footnote>
  <w:footnote w:id="48">
    <w:p w14:paraId="0B2D9C59" w14:textId="4AAF1A34" w:rsidR="009B20E5" w:rsidRPr="00DD2B51" w:rsidRDefault="009B20E5" w:rsidP="00F577FA">
      <w:pPr>
        <w:pStyle w:val="Textonotapie"/>
        <w:jc w:val="both"/>
        <w:rPr>
          <w:rFonts w:ascii="Verdana" w:hAnsi="Verdana"/>
          <w:sz w:val="16"/>
          <w:szCs w:val="16"/>
        </w:rPr>
      </w:pPr>
      <w:r w:rsidRPr="00DD2B51">
        <w:rPr>
          <w:rStyle w:val="Refdenotaalpie"/>
          <w:szCs w:val="16"/>
        </w:rPr>
        <w:footnoteRef/>
      </w:r>
      <w:r w:rsidRPr="00DD2B51">
        <w:rPr>
          <w:rFonts w:ascii="Verdana" w:hAnsi="Verdana"/>
          <w:sz w:val="16"/>
          <w:szCs w:val="16"/>
        </w:rPr>
        <w:t xml:space="preserve"> </w:t>
      </w:r>
      <w:r w:rsidRPr="00DD2B51">
        <w:rPr>
          <w:rFonts w:ascii="Verdana" w:hAnsi="Verdana"/>
          <w:sz w:val="16"/>
          <w:szCs w:val="16"/>
        </w:rPr>
        <w:tab/>
      </w:r>
      <w:r w:rsidRPr="00DD2B51">
        <w:rPr>
          <w:rFonts w:ascii="Verdana" w:hAnsi="Verdana"/>
          <w:i/>
          <w:iCs/>
          <w:sz w:val="16"/>
          <w:szCs w:val="16"/>
        </w:rPr>
        <w:t>Cfr</w:t>
      </w:r>
      <w:r w:rsidRPr="00DD2B51">
        <w:rPr>
          <w:rFonts w:ascii="Verdana" w:hAnsi="Verdana"/>
          <w:sz w:val="16"/>
          <w:szCs w:val="16"/>
        </w:rPr>
        <w:t xml:space="preserve">. </w:t>
      </w:r>
      <w:r w:rsidRPr="00DD2B51">
        <w:rPr>
          <w:rFonts w:ascii="Verdana" w:hAnsi="Verdana"/>
          <w:i/>
          <w:sz w:val="16"/>
          <w:szCs w:val="16"/>
        </w:rPr>
        <w:t xml:space="preserve">Asunto de Determinados Centros Penitenciarios de Venezuela. Centro Penitenciario de la Región Centro Occidental (Cárcel de </w:t>
      </w:r>
      <w:proofErr w:type="spellStart"/>
      <w:r w:rsidRPr="00DD2B51">
        <w:rPr>
          <w:rFonts w:ascii="Verdana" w:hAnsi="Verdana"/>
          <w:i/>
          <w:sz w:val="16"/>
          <w:szCs w:val="16"/>
        </w:rPr>
        <w:t>Uribana</w:t>
      </w:r>
      <w:proofErr w:type="spellEnd"/>
      <w:r w:rsidRPr="00DD2B51">
        <w:rPr>
          <w:rFonts w:ascii="Verdana" w:hAnsi="Verdana"/>
          <w:i/>
          <w:sz w:val="16"/>
          <w:szCs w:val="16"/>
        </w:rPr>
        <w:t>). Medidas Provisionales</w:t>
      </w:r>
      <w:r w:rsidRPr="00DD2B51">
        <w:rPr>
          <w:rFonts w:ascii="Verdana" w:hAnsi="Verdana"/>
          <w:sz w:val="16"/>
          <w:szCs w:val="16"/>
        </w:rPr>
        <w:t xml:space="preserve">. Resolución de la Corte Interamericana de Derechos Humanos del 13 de febrero de 2013, Considerando 7; y </w:t>
      </w:r>
      <w:r w:rsidRPr="00DD2B51">
        <w:rPr>
          <w:rFonts w:ascii="Verdana" w:hAnsi="Verdana"/>
          <w:i/>
          <w:sz w:val="16"/>
          <w:szCs w:val="16"/>
        </w:rPr>
        <w:t xml:space="preserve">Asunto del Complejo Penitenciario de Curado respecto de Brasil. Medidas Provisionales. </w:t>
      </w:r>
      <w:r w:rsidRPr="00DD2B51">
        <w:rPr>
          <w:rFonts w:ascii="Verdana" w:hAnsi="Verdana"/>
          <w:sz w:val="16"/>
          <w:szCs w:val="16"/>
        </w:rPr>
        <w:t>Resolución de la Corte Interamericana de Derechos Humanos de 28 de noviembre de 2018, Considerando 53.</w:t>
      </w:r>
    </w:p>
  </w:footnote>
  <w:footnote w:id="49">
    <w:p w14:paraId="343454F8" w14:textId="39D28937" w:rsidR="009B20E5" w:rsidRPr="00221D27" w:rsidRDefault="009B20E5" w:rsidP="00F577FA">
      <w:pPr>
        <w:pStyle w:val="Textonotapie"/>
        <w:jc w:val="both"/>
        <w:rPr>
          <w:rFonts w:ascii="Verdana" w:hAnsi="Verdana"/>
          <w:sz w:val="16"/>
          <w:szCs w:val="16"/>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lang w:val="es"/>
        </w:rPr>
        <w:tab/>
      </w:r>
      <w:r w:rsidRPr="00415030">
        <w:rPr>
          <w:rFonts w:ascii="Verdana" w:hAnsi="Verdana"/>
          <w:i/>
          <w:sz w:val="16"/>
          <w:szCs w:val="16"/>
        </w:rPr>
        <w:t xml:space="preserve">Cfr. Caso Chinchilla Sandoval y otros Vs. Guatemala. Excepción Preliminar, Fondo, Reparaciones y Costas. </w:t>
      </w:r>
      <w:r w:rsidRPr="00415030">
        <w:rPr>
          <w:rFonts w:ascii="Verdana" w:hAnsi="Verdana"/>
          <w:sz w:val="16"/>
          <w:szCs w:val="16"/>
        </w:rPr>
        <w:t xml:space="preserve">Sentencia de 29 de febrero de 2016. Serie C No. 312, </w:t>
      </w:r>
      <w:proofErr w:type="spellStart"/>
      <w:r w:rsidRPr="00415030">
        <w:rPr>
          <w:rFonts w:ascii="Verdana" w:hAnsi="Verdana"/>
          <w:sz w:val="16"/>
          <w:szCs w:val="16"/>
        </w:rPr>
        <w:t>párrs</w:t>
      </w:r>
      <w:proofErr w:type="spellEnd"/>
      <w:r w:rsidRPr="00415030">
        <w:rPr>
          <w:rFonts w:ascii="Verdana" w:hAnsi="Verdana"/>
          <w:sz w:val="16"/>
          <w:szCs w:val="16"/>
        </w:rPr>
        <w:t>. 171 y 188.</w:t>
      </w:r>
    </w:p>
  </w:footnote>
  <w:footnote w:id="50">
    <w:p w14:paraId="56AC6C95" w14:textId="77777777"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415030">
        <w:rPr>
          <w:rFonts w:ascii="Verdana" w:hAnsi="Verdana"/>
          <w:sz w:val="16"/>
          <w:szCs w:val="16"/>
        </w:rPr>
        <w:t xml:space="preserve">Contenidos, entre otros en: ONU, Reglas mínimas para el tratamiento de los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y ONU, Conjunto de Principios para la protección de todas las personas sometidas a cualquier forma de detención o prisión. Adoptado por la Asamblea General de la ONU en su resolución 43/173, de 9 de diciembre de 1988. </w:t>
      </w:r>
      <w:r w:rsidRPr="00415030">
        <w:rPr>
          <w:rFonts w:ascii="Verdana" w:hAnsi="Verdana"/>
          <w:i/>
          <w:iCs/>
          <w:sz w:val="16"/>
          <w:szCs w:val="16"/>
        </w:rPr>
        <w:t>Cfr. Caso Pacheco Teruel y otros Vs. Honduras. Fondo, Reparaciones y Costas.</w:t>
      </w:r>
      <w:r w:rsidRPr="00415030">
        <w:rPr>
          <w:rFonts w:ascii="Verdana" w:hAnsi="Verdana"/>
          <w:sz w:val="16"/>
          <w:szCs w:val="16"/>
        </w:rPr>
        <w:t xml:space="preserve"> Sentencia de 27 de abril de 2012. Serie C No. 241, párr. 67.</w:t>
      </w:r>
    </w:p>
  </w:footnote>
  <w:footnote w:id="51">
    <w:p w14:paraId="2FCE7CB4" w14:textId="3EC3656B" w:rsidR="009B20E5" w:rsidRPr="0011499C" w:rsidRDefault="009B20E5" w:rsidP="00F577FA">
      <w:pPr>
        <w:pStyle w:val="Textonotapie"/>
        <w:jc w:val="both"/>
        <w:rPr>
          <w:rFonts w:ascii="Verdana" w:hAnsi="Verdana"/>
          <w:sz w:val="16"/>
          <w:szCs w:val="16"/>
          <w:highlight w:val="red"/>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rPr>
        <w:tab/>
        <w:t xml:space="preserve">Entre otros aspectos, la Corte ha detallado que todas las celdas deben contar con suficiente luz natural o artificial, ventilación y adecuadas condiciones de higiene y que los servicios sanitarios deben contar con condiciones de higiene y privacidad. </w:t>
      </w:r>
      <w:r w:rsidRPr="00415030">
        <w:rPr>
          <w:rFonts w:ascii="Verdana" w:hAnsi="Verdana"/>
          <w:i/>
          <w:iCs/>
          <w:sz w:val="16"/>
          <w:szCs w:val="16"/>
        </w:rPr>
        <w:t xml:space="preserve">Cfr. Caso Montero Aranguren y otros (Retén de Catia) Vs. Venezuela. Excepción Preliminar, Fondo, Reparaciones y Costas. </w:t>
      </w:r>
      <w:r w:rsidRPr="00415030">
        <w:rPr>
          <w:rFonts w:ascii="Verdana" w:hAnsi="Verdana"/>
          <w:iCs/>
          <w:sz w:val="16"/>
          <w:szCs w:val="16"/>
        </w:rPr>
        <w:t xml:space="preserve">Sentencia de 5 de julio de 2006. </w:t>
      </w:r>
      <w:r w:rsidRPr="00415030">
        <w:rPr>
          <w:rFonts w:ascii="Verdana" w:hAnsi="Verdana"/>
          <w:sz w:val="16"/>
          <w:szCs w:val="16"/>
        </w:rPr>
        <w:t>Serie C No.150,</w:t>
      </w:r>
      <w:r w:rsidRPr="00415030">
        <w:rPr>
          <w:rFonts w:ascii="Verdana" w:hAnsi="Verdana"/>
          <w:i/>
          <w:iCs/>
          <w:sz w:val="16"/>
          <w:szCs w:val="16"/>
        </w:rPr>
        <w:t xml:space="preserve"> </w:t>
      </w:r>
      <w:r w:rsidRPr="00415030">
        <w:rPr>
          <w:rFonts w:ascii="Verdana" w:hAnsi="Verdana"/>
          <w:sz w:val="16"/>
          <w:szCs w:val="16"/>
        </w:rPr>
        <w:t>párr. 146</w:t>
      </w:r>
      <w:r>
        <w:rPr>
          <w:rFonts w:ascii="Verdana" w:hAnsi="Verdana"/>
          <w:sz w:val="16"/>
          <w:szCs w:val="16"/>
        </w:rPr>
        <w:t>;</w:t>
      </w:r>
      <w:r w:rsidRPr="00415030">
        <w:rPr>
          <w:rFonts w:ascii="Verdana" w:hAnsi="Verdana"/>
          <w:sz w:val="16"/>
          <w:szCs w:val="16"/>
        </w:rPr>
        <w:t xml:space="preserve"> </w:t>
      </w:r>
      <w:r w:rsidRPr="00415030">
        <w:rPr>
          <w:rFonts w:ascii="Verdana" w:hAnsi="Verdana"/>
          <w:i/>
          <w:iCs/>
          <w:sz w:val="16"/>
          <w:szCs w:val="16"/>
        </w:rPr>
        <w:t xml:space="preserve">Caso del Penal Miguel Castro </w:t>
      </w:r>
      <w:proofErr w:type="spellStart"/>
      <w:r w:rsidRPr="00415030">
        <w:rPr>
          <w:rFonts w:ascii="Verdana" w:hAnsi="Verdana"/>
          <w:i/>
          <w:iCs/>
          <w:sz w:val="16"/>
          <w:szCs w:val="16"/>
        </w:rPr>
        <w:t>Castro</w:t>
      </w:r>
      <w:proofErr w:type="spellEnd"/>
      <w:r w:rsidRPr="00415030">
        <w:rPr>
          <w:rFonts w:ascii="Verdana" w:hAnsi="Verdana"/>
          <w:sz w:val="16"/>
          <w:szCs w:val="16"/>
        </w:rPr>
        <w:t xml:space="preserve">, </w:t>
      </w:r>
      <w:r w:rsidRPr="00415030">
        <w:rPr>
          <w:rFonts w:ascii="Verdana" w:hAnsi="Verdana"/>
          <w:i/>
          <w:iCs/>
          <w:sz w:val="16"/>
          <w:szCs w:val="16"/>
        </w:rPr>
        <w:t>supra</w:t>
      </w:r>
      <w:r w:rsidRPr="00415030">
        <w:rPr>
          <w:rFonts w:ascii="Verdana" w:hAnsi="Verdana"/>
          <w:sz w:val="16"/>
          <w:szCs w:val="16"/>
        </w:rPr>
        <w:t xml:space="preserve"> nota 1,</w:t>
      </w:r>
      <w:r w:rsidRPr="00415030">
        <w:rPr>
          <w:rFonts w:ascii="Verdana" w:hAnsi="Verdana"/>
          <w:i/>
          <w:iCs/>
          <w:sz w:val="16"/>
          <w:szCs w:val="16"/>
        </w:rPr>
        <w:t xml:space="preserve"> </w:t>
      </w:r>
      <w:r w:rsidRPr="00415030">
        <w:rPr>
          <w:rFonts w:ascii="Verdana" w:hAnsi="Verdana"/>
          <w:sz w:val="16"/>
          <w:szCs w:val="16"/>
        </w:rPr>
        <w:t xml:space="preserve">párr. 315, y </w:t>
      </w:r>
      <w:r w:rsidRPr="00415030">
        <w:rPr>
          <w:rFonts w:ascii="Verdana" w:hAnsi="Verdana"/>
          <w:i/>
          <w:iCs/>
          <w:sz w:val="16"/>
          <w:szCs w:val="16"/>
        </w:rPr>
        <w:t>Caso Pacheco Teruel y otros Vs. Honduras, supra</w:t>
      </w:r>
      <w:r w:rsidRPr="00415030">
        <w:rPr>
          <w:rFonts w:ascii="Verdana" w:hAnsi="Verdana"/>
          <w:sz w:val="16"/>
          <w:szCs w:val="16"/>
        </w:rPr>
        <w:t xml:space="preserve"> nota, párr. 67.</w:t>
      </w:r>
    </w:p>
  </w:footnote>
  <w:footnote w:id="52">
    <w:p w14:paraId="1F92C070" w14:textId="69169AC0" w:rsidR="009B20E5" w:rsidRPr="0011499C" w:rsidRDefault="009B20E5" w:rsidP="00F577FA">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Cantoral Benavides Vs. Perú. Fondo</w:t>
      </w:r>
      <w:r w:rsidRPr="002E2BC9">
        <w:rPr>
          <w:rFonts w:ascii="Verdana" w:hAnsi="Verdana"/>
          <w:sz w:val="16"/>
          <w:szCs w:val="16"/>
        </w:rPr>
        <w:t xml:space="preserve">. Sentencia de 18 de agosto de 2000. Serie C No. 69, </w:t>
      </w:r>
      <w:proofErr w:type="spellStart"/>
      <w:r w:rsidRPr="002E2BC9">
        <w:rPr>
          <w:rFonts w:ascii="Verdana" w:hAnsi="Verdana"/>
          <w:sz w:val="16"/>
          <w:szCs w:val="16"/>
        </w:rPr>
        <w:t>párrs</w:t>
      </w:r>
      <w:proofErr w:type="spellEnd"/>
      <w:r w:rsidRPr="002E2BC9">
        <w:rPr>
          <w:rFonts w:ascii="Verdana" w:hAnsi="Verdana"/>
          <w:sz w:val="16"/>
          <w:szCs w:val="16"/>
        </w:rPr>
        <w:t xml:space="preserve">. 85 y 86.,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53">
    <w:p w14:paraId="5BED4142" w14:textId="26260320" w:rsidR="009B20E5" w:rsidRPr="0011499C" w:rsidRDefault="009B20E5" w:rsidP="00F577FA">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Vélez Loor Vs. Panamá. Excepciones Preliminares, Fondo, Reparaciones y Costas</w:t>
      </w:r>
      <w:r w:rsidRPr="002E2BC9">
        <w:rPr>
          <w:rFonts w:ascii="Verdana" w:hAnsi="Verdana"/>
          <w:sz w:val="16"/>
          <w:szCs w:val="16"/>
        </w:rPr>
        <w:t xml:space="preserve">. Sentencia de 23 de noviembre de 2010. Serie C No. 218, </w:t>
      </w:r>
      <w:proofErr w:type="spellStart"/>
      <w:r w:rsidRPr="002E2BC9">
        <w:rPr>
          <w:rFonts w:ascii="Verdana" w:hAnsi="Verdana"/>
          <w:sz w:val="16"/>
          <w:szCs w:val="16"/>
        </w:rPr>
        <w:t>párrs</w:t>
      </w:r>
      <w:proofErr w:type="spellEnd"/>
      <w:r w:rsidRPr="002E2BC9">
        <w:rPr>
          <w:rFonts w:ascii="Verdana" w:hAnsi="Verdana"/>
          <w:sz w:val="16"/>
          <w:szCs w:val="16"/>
        </w:rPr>
        <w:t xml:space="preserve">. 215 y 216,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54">
    <w:p w14:paraId="37ED6023" w14:textId="77777777" w:rsidR="009B20E5" w:rsidRPr="009C672D" w:rsidRDefault="009B20E5" w:rsidP="00F577FA">
      <w:pPr>
        <w:pStyle w:val="Textonotapie"/>
        <w:jc w:val="both"/>
        <w:rPr>
          <w:rFonts w:ascii="Verdana" w:hAnsi="Verdana"/>
          <w:sz w:val="16"/>
          <w:szCs w:val="16"/>
        </w:rPr>
      </w:pPr>
      <w:r w:rsidRPr="00F33782">
        <w:rPr>
          <w:rStyle w:val="Refdenotaalpie"/>
          <w:szCs w:val="16"/>
        </w:rPr>
        <w:footnoteRef/>
      </w:r>
      <w:r w:rsidRPr="00F33782">
        <w:rPr>
          <w:rFonts w:ascii="Verdana" w:hAnsi="Verdana"/>
          <w:sz w:val="16"/>
          <w:szCs w:val="16"/>
        </w:rPr>
        <w:t xml:space="preserve"> </w:t>
      </w:r>
      <w:r w:rsidRPr="00F33782">
        <w:rPr>
          <w:rFonts w:ascii="Verdana" w:hAnsi="Verdana"/>
          <w:sz w:val="16"/>
          <w:szCs w:val="16"/>
        </w:rPr>
        <w:tab/>
      </w:r>
      <w:r w:rsidRPr="00F33782">
        <w:rPr>
          <w:rFonts w:ascii="Verdana" w:hAnsi="Verdana"/>
          <w:i/>
          <w:iCs/>
          <w:sz w:val="16"/>
          <w:szCs w:val="16"/>
        </w:rPr>
        <w:t>Cfr. Caso López Álvarez Vs. Honduras. Fondo, Reparaciones y Costas.</w:t>
      </w:r>
      <w:r w:rsidRPr="00F33782">
        <w:rPr>
          <w:rFonts w:ascii="Verdana" w:hAnsi="Verdana"/>
          <w:sz w:val="16"/>
          <w:szCs w:val="16"/>
        </w:rPr>
        <w:t xml:space="preserve"> Sentencia de 1 de febrero </w:t>
      </w:r>
      <w:r w:rsidRPr="009C672D">
        <w:rPr>
          <w:rFonts w:ascii="Verdana" w:hAnsi="Verdana"/>
          <w:sz w:val="16"/>
          <w:szCs w:val="16"/>
        </w:rPr>
        <w:t xml:space="preserve">de 2006. Serie C No. 141, párr. 209, y </w:t>
      </w:r>
      <w:r w:rsidRPr="009C672D">
        <w:rPr>
          <w:rFonts w:ascii="Verdana" w:hAnsi="Verdana"/>
          <w:i/>
          <w:iCs/>
          <w:sz w:val="16"/>
          <w:szCs w:val="16"/>
        </w:rPr>
        <w:t>Caso Pacheco Teruel y otros Vs. Honduras, supra</w:t>
      </w:r>
      <w:r w:rsidRPr="009C672D">
        <w:rPr>
          <w:rFonts w:ascii="Verdana" w:hAnsi="Verdana"/>
          <w:sz w:val="16"/>
          <w:szCs w:val="16"/>
        </w:rPr>
        <w:t xml:space="preserve"> nota, párr. 67.</w:t>
      </w:r>
    </w:p>
  </w:footnote>
  <w:footnote w:id="55">
    <w:p w14:paraId="288DEC6B" w14:textId="27E7B7E2" w:rsidR="009B20E5" w:rsidRPr="009C672D" w:rsidRDefault="009B20E5" w:rsidP="00F577FA">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sz w:val="16"/>
          <w:szCs w:val="16"/>
        </w:rPr>
        <w:t>Cfr</w:t>
      </w:r>
      <w:r w:rsidRPr="009C672D">
        <w:rPr>
          <w:rFonts w:ascii="Verdana" w:hAnsi="Verdana"/>
          <w:iCs/>
          <w:sz w:val="16"/>
          <w:szCs w:val="16"/>
        </w:rPr>
        <w:t xml:space="preserve">. </w:t>
      </w:r>
      <w:r w:rsidRPr="009C672D">
        <w:rPr>
          <w:rFonts w:ascii="Verdana" w:hAnsi="Verdana"/>
          <w:i/>
          <w:iCs/>
          <w:sz w:val="16"/>
          <w:szCs w:val="16"/>
        </w:rPr>
        <w:t>Caso Tibi Vs. Ecuador. Excepciones Preliminares, Fondo, Reparaciones y Costas</w:t>
      </w:r>
      <w:r w:rsidRPr="009C672D">
        <w:rPr>
          <w:rFonts w:ascii="Verdana" w:hAnsi="Verdana"/>
          <w:iCs/>
          <w:sz w:val="16"/>
          <w:szCs w:val="16"/>
        </w:rPr>
        <w:t xml:space="preserve">. Sentencia de 7 de septiembre de 2004. Serie C No. 114, párr. 156; </w:t>
      </w:r>
      <w:r w:rsidRPr="009C672D">
        <w:rPr>
          <w:rFonts w:ascii="Verdana" w:hAnsi="Verdana"/>
          <w:i/>
          <w:sz w:val="16"/>
          <w:szCs w:val="16"/>
        </w:rPr>
        <w:t xml:space="preserve">Caso del Penal Miguel Castro </w:t>
      </w:r>
      <w:proofErr w:type="spellStart"/>
      <w:r w:rsidRPr="009C672D">
        <w:rPr>
          <w:rFonts w:ascii="Verdana" w:hAnsi="Verdana"/>
          <w:i/>
          <w:sz w:val="16"/>
          <w:szCs w:val="16"/>
        </w:rPr>
        <w:t>Castro</w:t>
      </w:r>
      <w:proofErr w:type="spellEnd"/>
      <w:r w:rsidRPr="009C672D">
        <w:rPr>
          <w:rFonts w:ascii="Verdana" w:hAnsi="Verdana"/>
          <w:i/>
          <w:sz w:val="16"/>
          <w:szCs w:val="16"/>
        </w:rPr>
        <w:t xml:space="preserve"> Vs. Perú</w:t>
      </w:r>
      <w:r w:rsidRPr="009C672D">
        <w:rPr>
          <w:rFonts w:ascii="Verdana" w:hAnsi="Verdana"/>
          <w:iCs/>
          <w:sz w:val="16"/>
          <w:szCs w:val="16"/>
        </w:rPr>
        <w:t xml:space="preserve">, supra </w:t>
      </w:r>
      <w:r w:rsidRPr="009C672D">
        <w:rPr>
          <w:rFonts w:ascii="Verdana" w:hAnsi="Verdana"/>
          <w:sz w:val="16"/>
          <w:szCs w:val="16"/>
        </w:rPr>
        <w:t xml:space="preserve">nota 1, párr. 301; </w:t>
      </w:r>
      <w:r w:rsidRPr="009C672D">
        <w:rPr>
          <w:rFonts w:ascii="Verdana" w:hAnsi="Verdana"/>
          <w:i/>
          <w:sz w:val="16"/>
          <w:szCs w:val="16"/>
        </w:rPr>
        <w:t>Caso Pacheco Teruel y otros Vs. Honduras, supra</w:t>
      </w:r>
      <w:r w:rsidRPr="009C672D">
        <w:rPr>
          <w:rFonts w:ascii="Verdana" w:hAnsi="Verdana"/>
          <w:sz w:val="16"/>
          <w:szCs w:val="16"/>
        </w:rPr>
        <w:t xml:space="preserve"> nota, párr. 67, y </w:t>
      </w:r>
      <w:r w:rsidRPr="009C672D">
        <w:rPr>
          <w:rFonts w:ascii="Verdana" w:hAnsi="Verdana"/>
          <w:i/>
          <w:iCs/>
          <w:sz w:val="16"/>
          <w:szCs w:val="16"/>
        </w:rPr>
        <w:t>Caso Chinchilla Sandoval y otros Vs. Guatemala, supra</w:t>
      </w:r>
      <w:r w:rsidRPr="009C672D">
        <w:rPr>
          <w:rFonts w:ascii="Verdana" w:hAnsi="Verdana"/>
          <w:sz w:val="16"/>
          <w:szCs w:val="16"/>
        </w:rPr>
        <w:t xml:space="preserve"> nota, párr. 189.</w:t>
      </w:r>
    </w:p>
  </w:footnote>
  <w:footnote w:id="56">
    <w:p w14:paraId="67B38635" w14:textId="04092BB6" w:rsidR="009B20E5" w:rsidRPr="009C672D" w:rsidRDefault="009B20E5" w:rsidP="00F577FA">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lang w:val="es"/>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w:t>
      </w:r>
      <w:proofErr w:type="spellStart"/>
      <w:r w:rsidRPr="009C672D">
        <w:rPr>
          <w:rFonts w:ascii="Verdana" w:hAnsi="Verdana"/>
          <w:sz w:val="16"/>
          <w:szCs w:val="16"/>
        </w:rPr>
        <w:t>párrs</w:t>
      </w:r>
      <w:proofErr w:type="spellEnd"/>
      <w:r w:rsidRPr="009C672D">
        <w:rPr>
          <w:rFonts w:ascii="Verdana" w:hAnsi="Verdana"/>
          <w:sz w:val="16"/>
          <w:szCs w:val="16"/>
        </w:rPr>
        <w:t>. 184 y 185.</w:t>
      </w:r>
    </w:p>
  </w:footnote>
  <w:footnote w:id="57">
    <w:p w14:paraId="6D308813" w14:textId="77777777" w:rsidR="009B20E5" w:rsidRPr="00221D27" w:rsidRDefault="009B20E5" w:rsidP="00F577FA">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párr. </w:t>
      </w:r>
      <w:r w:rsidRPr="009C672D">
        <w:rPr>
          <w:rFonts w:ascii="Verdana" w:hAnsi="Verdana"/>
          <w:sz w:val="16"/>
          <w:szCs w:val="16"/>
          <w:lang w:val="es-ES"/>
        </w:rPr>
        <w:t>199.</w:t>
      </w:r>
      <w:r w:rsidRPr="00221D27">
        <w:rPr>
          <w:rFonts w:ascii="Verdana" w:hAnsi="Verdana"/>
          <w:sz w:val="16"/>
          <w:szCs w:val="16"/>
          <w:lang w:val="es-ES"/>
        </w:rPr>
        <w:t xml:space="preserve"> </w:t>
      </w:r>
    </w:p>
  </w:footnote>
  <w:footnote w:id="58">
    <w:p w14:paraId="71FB50E8" w14:textId="01F2C8D6" w:rsidR="009B20E5" w:rsidRPr="006349BA" w:rsidRDefault="009B20E5" w:rsidP="006349BA">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Cfr. C</w:t>
      </w:r>
      <w:r w:rsidRPr="006349BA">
        <w:rPr>
          <w:rFonts w:ascii="Verdana" w:hAnsi="Verdana" w:cs="Arial"/>
          <w:i/>
          <w:iCs/>
          <w:sz w:val="16"/>
          <w:szCs w:val="16"/>
          <w:shd w:val="clear" w:color="auto" w:fill="FFFFFF"/>
        </w:rPr>
        <w:t>aso Barrios Altos y Caso La Cantuta Vs. Perú. Supervisión de Cumplimiento de Sentencia.</w:t>
      </w:r>
      <w:r w:rsidRPr="006349BA">
        <w:rPr>
          <w:rFonts w:ascii="Verdana" w:hAnsi="Verdana" w:cs="Arial"/>
          <w:sz w:val="16"/>
          <w:szCs w:val="16"/>
          <w:shd w:val="clear" w:color="auto" w:fill="FFFFFF"/>
        </w:rPr>
        <w:t xml:space="preserve"> Resolución de la Corte Interamericana de Derechos Humanos de 30 de mayo de 2018, Considerando 52.</w:t>
      </w:r>
    </w:p>
  </w:footnote>
  <w:footnote w:id="59">
    <w:p w14:paraId="79E14586" w14:textId="1D848785" w:rsidR="009B20E5" w:rsidRPr="00221D27" w:rsidRDefault="009B20E5" w:rsidP="00F577FA">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 xml:space="preserve">Cfr. </w:t>
      </w:r>
      <w:r w:rsidRPr="006349BA">
        <w:rPr>
          <w:rFonts w:ascii="Verdana" w:hAnsi="Verdana"/>
          <w:i/>
          <w:iCs/>
          <w:sz w:val="16"/>
          <w:szCs w:val="16"/>
          <w:shd w:val="clear" w:color="auto" w:fill="FFFFFF"/>
        </w:rPr>
        <w:t>Caso Barrios Altos y Caso La Cantuta Vs. Perú, supra nota</w:t>
      </w:r>
      <w:r w:rsidRPr="006349BA">
        <w:rPr>
          <w:rFonts w:ascii="Verdana" w:hAnsi="Verdana"/>
          <w:sz w:val="16"/>
          <w:szCs w:val="16"/>
          <w:shd w:val="clear" w:color="auto" w:fill="FFFFFF"/>
        </w:rPr>
        <w:t>, Considerandos 53.</w:t>
      </w:r>
    </w:p>
  </w:footnote>
  <w:footnote w:id="60">
    <w:p w14:paraId="52351300" w14:textId="060A4575" w:rsidR="009B20E5" w:rsidRPr="00221D27" w:rsidRDefault="009B20E5" w:rsidP="00F577FA">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lang w:val="es-AR"/>
        </w:rPr>
        <w:tab/>
      </w:r>
      <w:r>
        <w:rPr>
          <w:rFonts w:ascii="Verdana" w:hAnsi="Verdana"/>
          <w:sz w:val="16"/>
          <w:szCs w:val="16"/>
          <w:lang w:val="es-AR"/>
        </w:rPr>
        <w:t>Refirieron que</w:t>
      </w:r>
      <w:r w:rsidRPr="00221D27">
        <w:rPr>
          <w:rFonts w:ascii="Verdana" w:hAnsi="Verdana"/>
          <w:sz w:val="16"/>
          <w:szCs w:val="16"/>
          <w:lang w:val="es-AR"/>
        </w:rPr>
        <w:t xml:space="preserve"> Margot</w:t>
      </w:r>
      <w:r>
        <w:rPr>
          <w:rFonts w:ascii="Verdana" w:hAnsi="Verdana"/>
          <w:sz w:val="16"/>
          <w:szCs w:val="16"/>
          <w:lang w:val="es-AR"/>
        </w:rPr>
        <w:t xml:space="preserve"> Lourdes Liendo Gil </w:t>
      </w:r>
      <w:r w:rsidRPr="00221D27">
        <w:rPr>
          <w:rFonts w:ascii="Verdana" w:hAnsi="Verdana"/>
          <w:sz w:val="16"/>
          <w:szCs w:val="16"/>
          <w:lang w:val="es-AR"/>
        </w:rPr>
        <w:t>cumpli</w:t>
      </w:r>
      <w:r>
        <w:rPr>
          <w:rFonts w:ascii="Verdana" w:hAnsi="Verdana"/>
          <w:sz w:val="16"/>
          <w:szCs w:val="16"/>
          <w:lang w:val="es-AR"/>
        </w:rPr>
        <w:t>ó</w:t>
      </w:r>
      <w:r w:rsidRPr="00221D27">
        <w:rPr>
          <w:rFonts w:ascii="Verdana" w:hAnsi="Verdana"/>
          <w:sz w:val="16"/>
          <w:szCs w:val="16"/>
          <w:lang w:val="es-AR"/>
        </w:rPr>
        <w:t xml:space="preserve"> 32 años en prisión</w:t>
      </w:r>
      <w:r>
        <w:rPr>
          <w:rFonts w:ascii="Verdana" w:hAnsi="Verdana"/>
          <w:sz w:val="16"/>
          <w:szCs w:val="16"/>
          <w:lang w:val="es-AR"/>
        </w:rPr>
        <w:t xml:space="preserve">; Juan Alonso Aranda Company </w:t>
      </w:r>
      <w:r w:rsidRPr="0059608D">
        <w:rPr>
          <w:rFonts w:ascii="Verdana" w:hAnsi="Verdana"/>
          <w:sz w:val="16"/>
          <w:szCs w:val="16"/>
        </w:rPr>
        <w:t>tiene “cerca de 27 años de pena cumplida</w:t>
      </w:r>
      <w:r>
        <w:rPr>
          <w:rFonts w:ascii="Verdana" w:hAnsi="Verdana"/>
          <w:sz w:val="16"/>
          <w:szCs w:val="16"/>
        </w:rPr>
        <w:t xml:space="preserve">”, y Atilio </w:t>
      </w:r>
      <w:r w:rsidRPr="0059608D">
        <w:rPr>
          <w:rFonts w:ascii="Verdana" w:hAnsi="Verdana"/>
          <w:sz w:val="16"/>
          <w:szCs w:val="16"/>
        </w:rPr>
        <w:t xml:space="preserve">Richard Cahuana </w:t>
      </w:r>
      <w:proofErr w:type="spellStart"/>
      <w:r w:rsidRPr="0059608D">
        <w:rPr>
          <w:rFonts w:ascii="Verdana" w:hAnsi="Verdana"/>
          <w:sz w:val="16"/>
          <w:szCs w:val="16"/>
        </w:rPr>
        <w:t>Yuyali</w:t>
      </w:r>
      <w:proofErr w:type="spellEnd"/>
      <w:r>
        <w:rPr>
          <w:rFonts w:ascii="Verdana" w:hAnsi="Verdana"/>
          <w:sz w:val="16"/>
          <w:szCs w:val="16"/>
        </w:rPr>
        <w:t xml:space="preserve"> </w:t>
      </w:r>
      <w:r w:rsidRPr="0059608D">
        <w:rPr>
          <w:rFonts w:ascii="Verdana" w:hAnsi="Verdana"/>
          <w:sz w:val="16"/>
          <w:szCs w:val="16"/>
        </w:rPr>
        <w:t>“lleva más de 25 años de reclusión”</w:t>
      </w:r>
      <w:r w:rsidRPr="00221D27">
        <w:rPr>
          <w:rFonts w:ascii="Verdana" w:hAnsi="Verdana"/>
          <w:sz w:val="16"/>
          <w:szCs w:val="16"/>
          <w:lang w:val="es-AR"/>
        </w:rPr>
        <w:t>.</w:t>
      </w:r>
    </w:p>
  </w:footnote>
  <w:footnote w:id="61">
    <w:p w14:paraId="3ED7C8BE" w14:textId="77777777"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 xml:space="preserve">Los intervinientes comunes no adjuntaron constancia o informe médico que dé cuenta de dicha afirmación. </w:t>
      </w:r>
    </w:p>
  </w:footnote>
  <w:footnote w:id="62">
    <w:p w14:paraId="773CFFCE" w14:textId="77777777" w:rsidR="009B20E5" w:rsidRPr="00221D27" w:rsidRDefault="009B20E5" w:rsidP="00F577FA">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sz w:val="16"/>
          <w:szCs w:val="16"/>
          <w:lang w:val="es-CR"/>
        </w:rPr>
        <w:t xml:space="preserve">De los escritos más recientes presentados por el Estado y los intervinientes comunes, de 9 y 16 de junio, respectivamente, surge que </w:t>
      </w:r>
      <w:r>
        <w:rPr>
          <w:rFonts w:ascii="Verdana" w:hAnsi="Verdana"/>
          <w:sz w:val="16"/>
          <w:szCs w:val="16"/>
          <w:lang w:val="es-CR"/>
        </w:rPr>
        <w:t>dos</w:t>
      </w:r>
      <w:r w:rsidRPr="00221D27">
        <w:rPr>
          <w:rFonts w:ascii="Verdana" w:hAnsi="Verdana"/>
          <w:sz w:val="16"/>
          <w:szCs w:val="16"/>
          <w:lang w:val="es-CR"/>
        </w:rPr>
        <w:t xml:space="preserve"> de los propuestos beneficiarios se encontraban “estables”</w:t>
      </w:r>
      <w:r>
        <w:rPr>
          <w:rFonts w:ascii="Verdana" w:hAnsi="Verdana"/>
          <w:sz w:val="16"/>
          <w:szCs w:val="16"/>
          <w:lang w:val="es-CR"/>
        </w:rPr>
        <w:t>;</w:t>
      </w:r>
      <w:r w:rsidRPr="00221D27">
        <w:rPr>
          <w:rFonts w:ascii="Verdana" w:hAnsi="Verdana"/>
          <w:sz w:val="16"/>
          <w:szCs w:val="16"/>
          <w:lang w:val="es-CR"/>
        </w:rPr>
        <w:t xml:space="preserve"> </w:t>
      </w:r>
      <w:r>
        <w:rPr>
          <w:rFonts w:ascii="Verdana" w:hAnsi="Verdana"/>
          <w:sz w:val="16"/>
          <w:szCs w:val="16"/>
          <w:lang w:val="es-CR"/>
        </w:rPr>
        <w:t>un tercero refería</w:t>
      </w:r>
      <w:r w:rsidRPr="00221D27">
        <w:rPr>
          <w:rFonts w:ascii="Verdana" w:hAnsi="Verdana"/>
          <w:sz w:val="16"/>
          <w:szCs w:val="16"/>
          <w:lang w:val="es-CR"/>
        </w:rPr>
        <w:t xml:space="preserve"> encontrarse bien, e incluso los intervinientes afirmaron que </w:t>
      </w:r>
      <w:r>
        <w:rPr>
          <w:rFonts w:ascii="Verdana" w:hAnsi="Verdana"/>
          <w:sz w:val="16"/>
          <w:szCs w:val="16"/>
          <w:lang w:val="es-CR"/>
        </w:rPr>
        <w:t xml:space="preserve">los restantes </w:t>
      </w:r>
      <w:r w:rsidRPr="00221D27">
        <w:rPr>
          <w:rFonts w:ascii="Verdana" w:hAnsi="Verdana"/>
          <w:sz w:val="16"/>
          <w:szCs w:val="16"/>
          <w:lang w:val="es-CR"/>
        </w:rPr>
        <w:t xml:space="preserve">dos se encontraban “relativamente recuperados”. </w:t>
      </w:r>
    </w:p>
  </w:footnote>
  <w:footnote w:id="63">
    <w:p w14:paraId="13B837E5" w14:textId="3851D7F7" w:rsidR="009B20E5" w:rsidRPr="001B1DF6" w:rsidRDefault="009B20E5">
      <w:pPr>
        <w:pStyle w:val="Textonotapie"/>
        <w:jc w:val="both"/>
        <w:rPr>
          <w:rFonts w:ascii="Verdana" w:hAnsi="Verdana"/>
          <w:sz w:val="16"/>
          <w:szCs w:val="16"/>
          <w:lang w:val="es-ES"/>
        </w:rPr>
      </w:pPr>
      <w:r w:rsidRPr="001B1DF6">
        <w:rPr>
          <w:rStyle w:val="Refdenotaalpie"/>
          <w:szCs w:val="16"/>
        </w:rPr>
        <w:footnoteRef/>
      </w:r>
      <w:r w:rsidRPr="001B1DF6">
        <w:rPr>
          <w:rFonts w:ascii="Verdana" w:hAnsi="Verdana"/>
          <w:i/>
          <w:sz w:val="16"/>
          <w:szCs w:val="16"/>
          <w:lang w:val="es-PE"/>
        </w:rPr>
        <w:t xml:space="preserve"> </w:t>
      </w:r>
      <w:r w:rsidRPr="001B1DF6">
        <w:rPr>
          <w:rFonts w:ascii="Verdana" w:hAnsi="Verdana"/>
          <w:i/>
          <w:sz w:val="16"/>
          <w:szCs w:val="16"/>
          <w:lang w:val="es-PE"/>
        </w:rPr>
        <w:tab/>
        <w:t xml:space="preserve">Cfr. </w:t>
      </w:r>
      <w:r w:rsidRPr="001B1DF6">
        <w:rPr>
          <w:rStyle w:val="Textoennegrita"/>
          <w:rFonts w:ascii="Verdana" w:hAnsi="Verdana"/>
          <w:b w:val="0"/>
          <w:bCs w:val="0"/>
          <w:color w:val="000000"/>
          <w:sz w:val="16"/>
          <w:szCs w:val="16"/>
          <w:shd w:val="clear" w:color="auto" w:fill="FFFFFF"/>
        </w:rPr>
        <w:t>A</w:t>
      </w:r>
      <w:r w:rsidRPr="001B1DF6">
        <w:rPr>
          <w:rStyle w:val="Textoennegrita"/>
          <w:rFonts w:ascii="Verdana" w:hAnsi="Verdana"/>
          <w:b w:val="0"/>
          <w:bCs w:val="0"/>
          <w:i/>
          <w:iCs/>
          <w:color w:val="000000"/>
          <w:sz w:val="16"/>
          <w:szCs w:val="16"/>
          <w:shd w:val="clear" w:color="auto" w:fill="FFFFFF"/>
        </w:rPr>
        <w:t xml:space="preserve">sunto Comunidades del </w:t>
      </w:r>
      <w:proofErr w:type="spellStart"/>
      <w:r w:rsidRPr="001B1DF6">
        <w:rPr>
          <w:rStyle w:val="Textoennegrita"/>
          <w:rFonts w:ascii="Verdana" w:hAnsi="Verdana"/>
          <w:b w:val="0"/>
          <w:bCs w:val="0"/>
          <w:i/>
          <w:iCs/>
          <w:color w:val="000000"/>
          <w:sz w:val="16"/>
          <w:szCs w:val="16"/>
          <w:shd w:val="clear" w:color="auto" w:fill="FFFFFF"/>
        </w:rPr>
        <w:t>Jiguamiandó</w:t>
      </w:r>
      <w:proofErr w:type="spellEnd"/>
      <w:r w:rsidRPr="001B1DF6">
        <w:rPr>
          <w:rStyle w:val="Textoennegrita"/>
          <w:rFonts w:ascii="Verdana" w:hAnsi="Verdana"/>
          <w:b w:val="0"/>
          <w:bCs w:val="0"/>
          <w:i/>
          <w:iCs/>
          <w:color w:val="000000"/>
          <w:sz w:val="16"/>
          <w:szCs w:val="16"/>
          <w:shd w:val="clear" w:color="auto" w:fill="FFFFFF"/>
        </w:rPr>
        <w:t xml:space="preserve"> y del </w:t>
      </w:r>
      <w:proofErr w:type="spellStart"/>
      <w:r w:rsidRPr="001B1DF6">
        <w:rPr>
          <w:rStyle w:val="Textoennegrita"/>
          <w:rFonts w:ascii="Verdana" w:hAnsi="Verdana"/>
          <w:b w:val="0"/>
          <w:bCs w:val="0"/>
          <w:i/>
          <w:iCs/>
          <w:color w:val="000000"/>
          <w:sz w:val="16"/>
          <w:szCs w:val="16"/>
          <w:shd w:val="clear" w:color="auto" w:fill="FFFFFF"/>
        </w:rPr>
        <w:t>Curvaradó</w:t>
      </w:r>
      <w:proofErr w:type="spellEnd"/>
      <w:r w:rsidRPr="001B1DF6">
        <w:rPr>
          <w:rStyle w:val="Textoennegrita"/>
          <w:rFonts w:ascii="Verdana" w:hAnsi="Verdana"/>
          <w:b w:val="0"/>
          <w:bCs w:val="0"/>
          <w:i/>
          <w:iCs/>
          <w:color w:val="000000"/>
          <w:sz w:val="16"/>
          <w:szCs w:val="16"/>
          <w:shd w:val="clear" w:color="auto" w:fill="FFFFFF"/>
        </w:rPr>
        <w:t xml:space="preserve"> respecto de Colombia. Medidas Provisionales.</w:t>
      </w:r>
      <w:r w:rsidRPr="001B1DF6">
        <w:rPr>
          <w:rStyle w:val="Textoennegrita"/>
          <w:rFonts w:ascii="Verdana" w:hAnsi="Verdana"/>
          <w:b w:val="0"/>
          <w:bCs w:val="0"/>
          <w:color w:val="000000"/>
          <w:sz w:val="16"/>
          <w:szCs w:val="16"/>
          <w:shd w:val="clear" w:color="auto" w:fill="FFFFFF"/>
        </w:rPr>
        <w:t xml:space="preserve"> Resolución de la Corte Interamericana de Derechos Humanos de 22 de mayo de 2013</w:t>
      </w:r>
      <w:r w:rsidRPr="001B1DF6">
        <w:rPr>
          <w:rFonts w:ascii="Verdana" w:hAnsi="Verdana"/>
          <w:sz w:val="16"/>
          <w:szCs w:val="16"/>
          <w:lang w:val="es-PE"/>
        </w:rPr>
        <w:t xml:space="preserve">, Considerando 52, y </w:t>
      </w:r>
      <w:r w:rsidRPr="001B1DF6">
        <w:rPr>
          <w:rFonts w:ascii="Verdana" w:hAnsi="Verdana"/>
          <w:i/>
          <w:sz w:val="16"/>
          <w:szCs w:val="16"/>
          <w:lang w:val="es-PE"/>
        </w:rPr>
        <w:t xml:space="preserve">Caso </w:t>
      </w:r>
      <w:r w:rsidRPr="001B1DF6">
        <w:rPr>
          <w:rFonts w:ascii="Verdana" w:hAnsi="Verdana"/>
          <w:i/>
          <w:sz w:val="16"/>
          <w:szCs w:val="16"/>
        </w:rPr>
        <w:t>de la Masacre de La Rochela Vs. Colombia. Medidas Provisionales</w:t>
      </w:r>
      <w:r w:rsidRPr="001B1DF6">
        <w:rPr>
          <w:rFonts w:ascii="Verdana" w:hAnsi="Verdana"/>
          <w:sz w:val="16"/>
          <w:szCs w:val="16"/>
        </w:rPr>
        <w:t>. Resolución de la Corte Interamericana de Derechos Humanos de 16 de febrero de 2017, Considerando 40.</w:t>
      </w:r>
    </w:p>
  </w:footnote>
  <w:footnote w:id="64">
    <w:p w14:paraId="19AC42E5" w14:textId="20AC345D" w:rsidR="009B20E5" w:rsidRPr="00247D89" w:rsidRDefault="009B20E5">
      <w:pPr>
        <w:pStyle w:val="Textonotapie"/>
        <w:jc w:val="both"/>
        <w:rPr>
          <w:rFonts w:ascii="Verdana" w:hAnsi="Verdana"/>
          <w:bCs/>
          <w:i/>
          <w:color w:val="000000"/>
          <w:sz w:val="16"/>
          <w:szCs w:val="16"/>
          <w:shd w:val="clear" w:color="auto" w:fill="FFFFFF"/>
        </w:rPr>
      </w:pPr>
      <w:r w:rsidRPr="001B1DF6">
        <w:rPr>
          <w:rStyle w:val="Refdenotaalpie"/>
          <w:szCs w:val="16"/>
        </w:rPr>
        <w:footnoteRef/>
      </w:r>
      <w:r w:rsidRPr="001B1DF6">
        <w:rPr>
          <w:rFonts w:ascii="Verdana" w:hAnsi="Verdana"/>
          <w:sz w:val="16"/>
          <w:szCs w:val="16"/>
        </w:rPr>
        <w:t xml:space="preserve"> </w:t>
      </w:r>
      <w:r w:rsidRPr="001B1DF6">
        <w:rPr>
          <w:rFonts w:ascii="Verdana" w:hAnsi="Verdana"/>
          <w:sz w:val="16"/>
          <w:szCs w:val="16"/>
        </w:rPr>
        <w:tab/>
      </w:r>
      <w:r w:rsidRPr="00247D89">
        <w:rPr>
          <w:rFonts w:ascii="Verdana" w:hAnsi="Verdana"/>
          <w:i/>
          <w:sz w:val="16"/>
          <w:szCs w:val="16"/>
          <w:lang w:val="es-PE"/>
        </w:rPr>
        <w:t xml:space="preserve">Cfr. </w:t>
      </w:r>
      <w:r w:rsidRPr="00247D89">
        <w:rPr>
          <w:rStyle w:val="Textoennegrita"/>
          <w:rFonts w:ascii="Verdana" w:hAnsi="Verdana"/>
          <w:b w:val="0"/>
          <w:bCs w:val="0"/>
          <w:i/>
          <w:iCs/>
          <w:color w:val="000000"/>
          <w:sz w:val="16"/>
          <w:szCs w:val="16"/>
          <w:shd w:val="clear" w:color="auto" w:fill="FFFFFF"/>
        </w:rPr>
        <w:t xml:space="preserve">Asunto del Internado Judicial Capital El Rodeo I y El Rodeo II respecto de Venezuela. Medidas Provisionales. </w:t>
      </w:r>
      <w:r w:rsidRPr="00247D89">
        <w:rPr>
          <w:rStyle w:val="Textoennegrita"/>
          <w:rFonts w:ascii="Verdana" w:hAnsi="Verdana"/>
          <w:b w:val="0"/>
          <w:bCs w:val="0"/>
          <w:color w:val="000000"/>
          <w:sz w:val="16"/>
          <w:szCs w:val="16"/>
          <w:shd w:val="clear" w:color="auto" w:fill="FFFFFF"/>
        </w:rPr>
        <w:t>Resolución de la Corte Interamericana de Derechos Humanos de 8 de febrero de 2008</w:t>
      </w:r>
      <w:r w:rsidRPr="00247D89">
        <w:rPr>
          <w:rFonts w:ascii="Verdana" w:hAnsi="Verdana"/>
          <w:b/>
          <w:bCs/>
          <w:i/>
          <w:sz w:val="16"/>
          <w:szCs w:val="16"/>
        </w:rPr>
        <w:t>,</w:t>
      </w:r>
      <w:r w:rsidRPr="00247D89">
        <w:rPr>
          <w:rFonts w:ascii="Verdana" w:hAnsi="Verdana"/>
          <w:bCs/>
          <w:i/>
          <w:sz w:val="16"/>
          <w:szCs w:val="16"/>
        </w:rPr>
        <w:t xml:space="preserve"> Considerando. 15, y </w:t>
      </w:r>
      <w:r w:rsidRPr="00247D89">
        <w:rPr>
          <w:rFonts w:ascii="Verdana" w:hAnsi="Verdana"/>
          <w:i/>
          <w:sz w:val="16"/>
          <w:szCs w:val="16"/>
          <w:lang w:val="es-PE"/>
        </w:rPr>
        <w:t xml:space="preserve">Caso </w:t>
      </w:r>
      <w:r w:rsidRPr="00247D89">
        <w:rPr>
          <w:rFonts w:ascii="Verdana" w:hAnsi="Verdana"/>
          <w:i/>
          <w:sz w:val="16"/>
          <w:szCs w:val="16"/>
        </w:rPr>
        <w:t>de la Masacre de La Rochela Vs. Colombia</w:t>
      </w:r>
      <w:r w:rsidRPr="00247D89">
        <w:rPr>
          <w:rStyle w:val="Textoennegrita"/>
          <w:rFonts w:ascii="Verdana" w:hAnsi="Verdana"/>
          <w:b w:val="0"/>
          <w:bCs w:val="0"/>
          <w:i/>
          <w:color w:val="000000"/>
          <w:sz w:val="16"/>
          <w:szCs w:val="16"/>
          <w:shd w:val="clear" w:color="auto" w:fill="FFFFFF"/>
        </w:rPr>
        <w:t xml:space="preserve">, supra </w:t>
      </w:r>
      <w:r w:rsidRPr="00247D89">
        <w:rPr>
          <w:rStyle w:val="Textoennegrita"/>
          <w:rFonts w:ascii="Verdana" w:hAnsi="Verdana"/>
          <w:b w:val="0"/>
          <w:bCs w:val="0"/>
          <w:color w:val="000000"/>
          <w:sz w:val="16"/>
          <w:szCs w:val="16"/>
          <w:shd w:val="clear" w:color="auto" w:fill="FFFFFF"/>
        </w:rPr>
        <w:t>nota, Considerando. 41.</w:t>
      </w:r>
    </w:p>
  </w:footnote>
  <w:footnote w:id="65">
    <w:p w14:paraId="7366772B" w14:textId="5A08DA51" w:rsidR="009B20E5" w:rsidRPr="00247D89" w:rsidRDefault="009B20E5">
      <w:pPr>
        <w:pStyle w:val="Textonotapie"/>
        <w:jc w:val="both"/>
        <w:rPr>
          <w:rFonts w:ascii="Verdana" w:hAnsi="Verdana"/>
          <w:sz w:val="16"/>
          <w:szCs w:val="16"/>
          <w:highlight w:val="green"/>
          <w:lang w:val="es-CR"/>
        </w:rPr>
      </w:pPr>
      <w:r w:rsidRPr="00247D89">
        <w:rPr>
          <w:rFonts w:ascii="Verdana" w:hAnsi="Verdana"/>
          <w:sz w:val="16"/>
          <w:szCs w:val="16"/>
          <w:vertAlign w:val="superscript"/>
          <w:lang w:val="en-US"/>
        </w:rPr>
        <w:footnoteRef/>
      </w:r>
      <w:r w:rsidRPr="00247D89">
        <w:rPr>
          <w:rFonts w:ascii="Verdana" w:hAnsi="Verdana"/>
          <w:sz w:val="16"/>
          <w:szCs w:val="16"/>
          <w:vertAlign w:val="superscript"/>
          <w:lang w:val="es-CR"/>
        </w:rPr>
        <w:t xml:space="preserve"> </w:t>
      </w:r>
      <w:r w:rsidRPr="00247D89">
        <w:rPr>
          <w:rFonts w:ascii="Verdana" w:hAnsi="Verdana"/>
          <w:sz w:val="16"/>
          <w:szCs w:val="16"/>
          <w:lang w:val="es-CR"/>
        </w:rPr>
        <w:tab/>
      </w:r>
      <w:r w:rsidRPr="00247D89">
        <w:rPr>
          <w:rFonts w:ascii="Verdana" w:hAnsi="Verdana"/>
          <w:i/>
          <w:sz w:val="16"/>
          <w:szCs w:val="16"/>
          <w:lang w:val="es-CR"/>
        </w:rPr>
        <w:t>Cfr</w:t>
      </w:r>
      <w:r w:rsidRPr="00247D89">
        <w:rPr>
          <w:rFonts w:ascii="Verdana" w:hAnsi="Verdana"/>
          <w:sz w:val="16"/>
          <w:szCs w:val="16"/>
          <w:lang w:val="es-CR"/>
        </w:rPr>
        <w:t xml:space="preserve">. </w:t>
      </w:r>
      <w:r w:rsidRPr="00247D89">
        <w:rPr>
          <w:rStyle w:val="Textoennegrita"/>
          <w:rFonts w:ascii="Verdana" w:hAnsi="Verdana"/>
          <w:b w:val="0"/>
          <w:bCs w:val="0"/>
          <w:i/>
          <w:iCs/>
          <w:color w:val="000000"/>
          <w:sz w:val="16"/>
          <w:szCs w:val="16"/>
          <w:shd w:val="clear" w:color="auto" w:fill="FFFFFF"/>
        </w:rPr>
        <w:t>Asunto de las Penitenciarías de Mendoza respecto de Argentina. Medidas Provisionales.</w:t>
      </w:r>
      <w:r w:rsidRPr="00247D89">
        <w:rPr>
          <w:rStyle w:val="Textoennegrita"/>
          <w:rFonts w:ascii="Verdana" w:hAnsi="Verdana"/>
          <w:b w:val="0"/>
          <w:bCs w:val="0"/>
          <w:color w:val="000000"/>
          <w:sz w:val="16"/>
          <w:szCs w:val="16"/>
          <w:shd w:val="clear" w:color="auto" w:fill="FFFFFF"/>
        </w:rPr>
        <w:t xml:space="preserve"> Resolución de la Corte Interamericana de Derechos Humanos de 26 de noviembre de 2010, Considerando 45, y</w:t>
      </w:r>
      <w:r w:rsidRPr="00247D89">
        <w:rPr>
          <w:rFonts w:ascii="Verdana" w:hAnsi="Verdana"/>
          <w:b/>
          <w:bCs/>
          <w:sz w:val="16"/>
          <w:szCs w:val="16"/>
          <w:lang w:val="es-CR"/>
        </w:rPr>
        <w:t xml:space="preserve"> </w:t>
      </w:r>
      <w:r w:rsidRPr="00247D89">
        <w:rPr>
          <w:rStyle w:val="Textoennegrita"/>
          <w:rFonts w:ascii="Verdana" w:hAnsi="Verdana"/>
          <w:b w:val="0"/>
          <w:bCs w:val="0"/>
          <w:i/>
          <w:color w:val="000000"/>
          <w:sz w:val="16"/>
          <w:szCs w:val="16"/>
          <w:shd w:val="clear" w:color="auto" w:fill="FFFFFF"/>
        </w:rPr>
        <w:t>Asunto Giraldo Cardona y otros respecto de Colombia</w:t>
      </w:r>
      <w:r w:rsidRPr="00247D89">
        <w:rPr>
          <w:rStyle w:val="Textoennegrita"/>
          <w:rFonts w:ascii="Verdana" w:hAnsi="Verdana"/>
          <w:b w:val="0"/>
          <w:bCs w:val="0"/>
          <w:color w:val="000000"/>
          <w:sz w:val="16"/>
          <w:szCs w:val="16"/>
          <w:shd w:val="clear" w:color="auto" w:fill="FFFFFF"/>
        </w:rPr>
        <w:t xml:space="preserve">. </w:t>
      </w:r>
      <w:r w:rsidRPr="00247D89">
        <w:rPr>
          <w:rStyle w:val="Textoennegrita"/>
          <w:rFonts w:ascii="Verdana" w:hAnsi="Verdana"/>
          <w:b w:val="0"/>
          <w:bCs w:val="0"/>
          <w:i/>
          <w:color w:val="000000"/>
          <w:sz w:val="16"/>
          <w:szCs w:val="16"/>
          <w:shd w:val="clear" w:color="auto" w:fill="FFFFFF"/>
        </w:rPr>
        <w:t>Medidas Provisionales.</w:t>
      </w:r>
      <w:r w:rsidRPr="00247D89">
        <w:rPr>
          <w:rStyle w:val="Textoennegrita"/>
          <w:rFonts w:ascii="Verdana" w:hAnsi="Verdana"/>
          <w:b w:val="0"/>
          <w:bCs w:val="0"/>
          <w:color w:val="000000"/>
          <w:sz w:val="16"/>
          <w:szCs w:val="16"/>
          <w:shd w:val="clear" w:color="auto" w:fill="FFFFFF"/>
        </w:rPr>
        <w:t xml:space="preserve"> Resolución de la Corte Interamericana de Derechos Humanos de 28 de enero de 2015, Considerando 37</w:t>
      </w:r>
      <w:r w:rsidRPr="00247D89">
        <w:rPr>
          <w:rFonts w:ascii="Verdana" w:hAnsi="Verdana"/>
          <w:sz w:val="16"/>
          <w:szCs w:val="16"/>
          <w:lang w:val="es-CR"/>
        </w:rPr>
        <w:t>.</w:t>
      </w:r>
    </w:p>
  </w:footnote>
  <w:footnote w:id="66">
    <w:p w14:paraId="769994BB" w14:textId="44A43E02" w:rsidR="009B20E5" w:rsidRPr="00C84123" w:rsidRDefault="009B20E5">
      <w:pPr>
        <w:pStyle w:val="Textonotapie"/>
        <w:jc w:val="both"/>
        <w:rPr>
          <w:rFonts w:ascii="Verdana" w:hAnsi="Verdana"/>
          <w:sz w:val="16"/>
          <w:szCs w:val="16"/>
        </w:rPr>
      </w:pPr>
      <w:r w:rsidRPr="00C84123">
        <w:rPr>
          <w:rStyle w:val="Refdenotaalpie"/>
          <w:szCs w:val="16"/>
        </w:rPr>
        <w:footnoteRef/>
      </w:r>
      <w:r w:rsidRPr="00C84123">
        <w:rPr>
          <w:rFonts w:ascii="Verdana" w:hAnsi="Verdana"/>
          <w:sz w:val="16"/>
          <w:szCs w:val="16"/>
        </w:rPr>
        <w:t xml:space="preserve"> </w:t>
      </w:r>
      <w:r w:rsidRPr="00C84123">
        <w:rPr>
          <w:rFonts w:ascii="Verdana" w:hAnsi="Verdana"/>
          <w:sz w:val="16"/>
          <w:szCs w:val="16"/>
        </w:rPr>
        <w:tab/>
      </w:r>
      <w:r w:rsidRPr="00C84123">
        <w:rPr>
          <w:rFonts w:ascii="Verdana" w:hAnsi="Verdana"/>
          <w:i/>
          <w:iCs/>
          <w:sz w:val="16"/>
          <w:szCs w:val="16"/>
          <w:lang w:val="es-ES"/>
        </w:rPr>
        <w:t>Cfr</w:t>
      </w:r>
      <w:r w:rsidRPr="00C84123">
        <w:rPr>
          <w:rFonts w:ascii="Verdana" w:hAnsi="Verdana"/>
          <w:i/>
          <w:sz w:val="16"/>
          <w:szCs w:val="16"/>
          <w:lang w:val="es-ES"/>
        </w:rPr>
        <w:t xml:space="preserve">. </w:t>
      </w:r>
      <w:r w:rsidRPr="00C84123">
        <w:rPr>
          <w:rFonts w:ascii="Verdana" w:hAnsi="Verdana"/>
          <w:i/>
          <w:sz w:val="16"/>
          <w:szCs w:val="16"/>
          <w:lang w:val="es-CR"/>
        </w:rPr>
        <w:t xml:space="preserve">Asunto Comunidades del </w:t>
      </w:r>
      <w:proofErr w:type="spellStart"/>
      <w:r w:rsidRPr="00C84123">
        <w:rPr>
          <w:rFonts w:ascii="Verdana" w:hAnsi="Verdana"/>
          <w:i/>
          <w:sz w:val="16"/>
          <w:szCs w:val="16"/>
          <w:lang w:val="es-CR"/>
        </w:rPr>
        <w:t>Jiguamiandó</w:t>
      </w:r>
      <w:proofErr w:type="spellEnd"/>
      <w:r w:rsidRPr="00C84123">
        <w:rPr>
          <w:rFonts w:ascii="Verdana" w:hAnsi="Verdana"/>
          <w:i/>
          <w:sz w:val="16"/>
          <w:szCs w:val="16"/>
          <w:lang w:val="es-CR"/>
        </w:rPr>
        <w:t xml:space="preserve"> y del </w:t>
      </w:r>
      <w:proofErr w:type="spellStart"/>
      <w:r w:rsidRPr="00C84123">
        <w:rPr>
          <w:rFonts w:ascii="Verdana" w:hAnsi="Verdana"/>
          <w:i/>
          <w:sz w:val="16"/>
          <w:szCs w:val="16"/>
          <w:lang w:val="es-CR"/>
        </w:rPr>
        <w:t>Curvaradó</w:t>
      </w:r>
      <w:proofErr w:type="spellEnd"/>
      <w:r w:rsidRPr="00C84123">
        <w:rPr>
          <w:rFonts w:ascii="Verdana" w:hAnsi="Verdana"/>
          <w:i/>
          <w:sz w:val="16"/>
          <w:szCs w:val="16"/>
          <w:lang w:val="es-CR"/>
        </w:rPr>
        <w:t xml:space="preserve"> respecto de Colombia</w:t>
      </w:r>
      <w:r w:rsidRPr="00C84123">
        <w:rPr>
          <w:rFonts w:ascii="Verdana" w:hAnsi="Verdana"/>
          <w:sz w:val="16"/>
          <w:szCs w:val="16"/>
          <w:lang w:val="es-CR"/>
        </w:rPr>
        <w:t xml:space="preserve">, </w:t>
      </w:r>
      <w:r w:rsidRPr="00C84123">
        <w:rPr>
          <w:rFonts w:ascii="Verdana" w:hAnsi="Verdana"/>
          <w:i/>
          <w:sz w:val="16"/>
          <w:szCs w:val="16"/>
          <w:lang w:val="es-CR"/>
        </w:rPr>
        <w:t xml:space="preserve">supra </w:t>
      </w:r>
      <w:r w:rsidRPr="00C84123">
        <w:rPr>
          <w:rFonts w:ascii="Verdana" w:hAnsi="Verdana"/>
          <w:iCs/>
          <w:sz w:val="16"/>
          <w:szCs w:val="16"/>
          <w:lang w:val="es-CR"/>
        </w:rPr>
        <w:t>nota</w:t>
      </w:r>
      <w:r w:rsidRPr="00C84123">
        <w:rPr>
          <w:rFonts w:ascii="Verdana" w:hAnsi="Verdana"/>
          <w:sz w:val="16"/>
          <w:szCs w:val="16"/>
          <w:lang w:val="es-CR"/>
        </w:rPr>
        <w:t xml:space="preserve">, Considerando 53, y </w:t>
      </w:r>
      <w:r w:rsidRPr="00C84123">
        <w:rPr>
          <w:rFonts w:ascii="Verdana" w:hAnsi="Verdana"/>
          <w:i/>
          <w:sz w:val="16"/>
          <w:szCs w:val="16"/>
          <w:lang w:val="es-PE"/>
        </w:rPr>
        <w:t xml:space="preserve">Caso </w:t>
      </w:r>
      <w:r w:rsidRPr="00C84123">
        <w:rPr>
          <w:rFonts w:ascii="Verdana" w:hAnsi="Verdana"/>
          <w:i/>
          <w:sz w:val="16"/>
          <w:szCs w:val="16"/>
        </w:rPr>
        <w:t>de la Masacre de La Rochela Vs. Colombia</w:t>
      </w:r>
      <w:r w:rsidRPr="00C84123">
        <w:rPr>
          <w:rStyle w:val="Textoennegrita"/>
          <w:rFonts w:ascii="Verdana" w:hAnsi="Verdana"/>
          <w:b w:val="0"/>
          <w:bCs w:val="0"/>
          <w:i/>
          <w:color w:val="000000"/>
          <w:sz w:val="16"/>
          <w:szCs w:val="16"/>
          <w:shd w:val="clear" w:color="auto" w:fill="FFFFFF"/>
        </w:rPr>
        <w:t xml:space="preserve">, supra </w:t>
      </w:r>
      <w:r w:rsidRPr="00C84123">
        <w:rPr>
          <w:rStyle w:val="Textoennegrita"/>
          <w:rFonts w:ascii="Verdana" w:hAnsi="Verdana"/>
          <w:b w:val="0"/>
          <w:bCs w:val="0"/>
          <w:color w:val="000000"/>
          <w:sz w:val="16"/>
          <w:szCs w:val="16"/>
          <w:shd w:val="clear" w:color="auto" w:fill="FFFFFF"/>
        </w:rPr>
        <w:t>nota 63, Considerando 42</w:t>
      </w:r>
      <w:r w:rsidRPr="00C84123">
        <w:rPr>
          <w:rFonts w:ascii="Verdana" w:hAnsi="Verdana"/>
          <w:b/>
          <w:bCs/>
          <w:sz w:val="16"/>
          <w:szCs w:val="16"/>
          <w:lang w:val="es-CR"/>
        </w:rPr>
        <w:t>.</w:t>
      </w:r>
    </w:p>
  </w:footnote>
  <w:footnote w:id="67">
    <w:p w14:paraId="7CEBD06D" w14:textId="75640F98" w:rsidR="009B20E5" w:rsidRPr="007E491F" w:rsidRDefault="009B20E5">
      <w:pPr>
        <w:pStyle w:val="Textonotapie"/>
        <w:ind w:right="23"/>
        <w:jc w:val="both"/>
        <w:rPr>
          <w:rFonts w:ascii="Verdana" w:hAnsi="Verdana"/>
          <w:sz w:val="16"/>
          <w:szCs w:val="16"/>
          <w:lang w:val="es-ES"/>
        </w:rPr>
      </w:pPr>
      <w:r w:rsidRPr="007E491F">
        <w:rPr>
          <w:rStyle w:val="Refdenotaalpie"/>
          <w:szCs w:val="16"/>
        </w:rPr>
        <w:footnoteRef/>
      </w:r>
      <w:r w:rsidRPr="007E491F">
        <w:rPr>
          <w:rFonts w:ascii="Verdana" w:hAnsi="Verdana"/>
          <w:sz w:val="16"/>
          <w:szCs w:val="16"/>
          <w:lang w:val="es-ES"/>
        </w:rPr>
        <w:t xml:space="preserve"> </w:t>
      </w:r>
      <w:r w:rsidRPr="007E491F">
        <w:rPr>
          <w:rFonts w:ascii="Verdana" w:hAnsi="Verdana"/>
          <w:sz w:val="16"/>
          <w:szCs w:val="16"/>
          <w:lang w:val="es-ES"/>
        </w:rPr>
        <w:tab/>
      </w:r>
      <w:r w:rsidRPr="007E491F">
        <w:rPr>
          <w:rFonts w:ascii="Verdana" w:hAnsi="Verdana"/>
          <w:i/>
          <w:iCs/>
          <w:sz w:val="16"/>
          <w:szCs w:val="16"/>
          <w:lang w:val="es-ES"/>
        </w:rPr>
        <w:t>Cfr</w:t>
      </w:r>
      <w:r w:rsidRPr="007E491F">
        <w:rPr>
          <w:rFonts w:ascii="Verdana" w:hAnsi="Verdana"/>
          <w:i/>
          <w:sz w:val="16"/>
          <w:szCs w:val="16"/>
          <w:lang w:val="es-ES"/>
        </w:rPr>
        <w:t xml:space="preserve">. </w:t>
      </w:r>
      <w:r w:rsidRPr="007E491F">
        <w:rPr>
          <w:rStyle w:val="Textoennegrita"/>
          <w:rFonts w:ascii="Verdana" w:hAnsi="Verdana"/>
          <w:b w:val="0"/>
          <w:bCs w:val="0"/>
          <w:i/>
          <w:iCs/>
          <w:color w:val="000000"/>
          <w:sz w:val="16"/>
          <w:szCs w:val="16"/>
          <w:shd w:val="clear" w:color="auto" w:fill="FFFFFF"/>
        </w:rPr>
        <w:t>Asunto Luis Uzcátegui respecto Venezuela. Medidas Provisionales.</w:t>
      </w:r>
      <w:r w:rsidRPr="007E491F">
        <w:rPr>
          <w:rStyle w:val="Textoennegrita"/>
          <w:rFonts w:ascii="Verdana" w:hAnsi="Verdana"/>
          <w:b w:val="0"/>
          <w:bCs w:val="0"/>
          <w:color w:val="000000"/>
          <w:sz w:val="16"/>
          <w:szCs w:val="16"/>
          <w:shd w:val="clear" w:color="auto" w:fill="FFFFFF"/>
        </w:rPr>
        <w:t xml:space="preserve"> Resolución de la Corte Interamericana de Derechos Humanos de 20 de febrero de 2003, </w:t>
      </w:r>
      <w:r w:rsidRPr="007E491F">
        <w:rPr>
          <w:rFonts w:ascii="Verdana" w:hAnsi="Verdana"/>
          <w:sz w:val="16"/>
          <w:szCs w:val="16"/>
          <w:lang w:val="es-ES"/>
        </w:rPr>
        <w:t>Considerando 13</w:t>
      </w:r>
      <w:r w:rsidRPr="007E491F">
        <w:rPr>
          <w:rFonts w:ascii="Verdana" w:hAnsi="Verdana"/>
          <w:color w:val="000000"/>
          <w:sz w:val="16"/>
          <w:szCs w:val="16"/>
          <w:lang w:val="es-ES"/>
        </w:rPr>
        <w:t xml:space="preserve">, y </w:t>
      </w:r>
      <w:r w:rsidRPr="007E491F">
        <w:rPr>
          <w:rFonts w:ascii="Verdana" w:hAnsi="Verdana"/>
          <w:i/>
          <w:sz w:val="16"/>
          <w:szCs w:val="16"/>
          <w:lang w:val="es-PE"/>
        </w:rPr>
        <w:t xml:space="preserve">Caso </w:t>
      </w:r>
      <w:r w:rsidRPr="007E491F">
        <w:rPr>
          <w:rFonts w:ascii="Verdana" w:hAnsi="Verdana"/>
          <w:i/>
          <w:sz w:val="16"/>
          <w:szCs w:val="16"/>
        </w:rPr>
        <w:t>de la Masacre de La Rochela Vs. Colombia</w:t>
      </w:r>
      <w:r w:rsidRPr="007E491F">
        <w:rPr>
          <w:rStyle w:val="Textoennegrita"/>
          <w:rFonts w:ascii="Verdana" w:hAnsi="Verdana"/>
          <w:b w:val="0"/>
          <w:bCs w:val="0"/>
          <w:i/>
          <w:color w:val="000000"/>
          <w:sz w:val="16"/>
          <w:szCs w:val="16"/>
          <w:shd w:val="clear" w:color="auto" w:fill="FFFFFF"/>
        </w:rPr>
        <w:t xml:space="preserve">, supra </w:t>
      </w:r>
      <w:r w:rsidRPr="007E491F">
        <w:rPr>
          <w:rStyle w:val="Textoennegrita"/>
          <w:rFonts w:ascii="Verdana" w:hAnsi="Verdana"/>
          <w:b w:val="0"/>
          <w:bCs w:val="0"/>
          <w:color w:val="000000"/>
          <w:sz w:val="16"/>
          <w:szCs w:val="16"/>
          <w:shd w:val="clear" w:color="auto" w:fill="FFFFFF"/>
        </w:rPr>
        <w:t>nota, Considerando 43</w:t>
      </w:r>
      <w:r w:rsidRPr="007E491F">
        <w:rPr>
          <w:rFonts w:ascii="Verdana" w:hAnsi="Verdana"/>
          <w:sz w:val="16"/>
          <w:szCs w:val="16"/>
          <w:lang w:val="es-ES"/>
        </w:rPr>
        <w:t>.</w:t>
      </w:r>
    </w:p>
  </w:footnote>
  <w:footnote w:id="68">
    <w:p w14:paraId="7DA7E798" w14:textId="2867D2B2" w:rsidR="009B20E5" w:rsidRPr="007E491F" w:rsidRDefault="009B20E5">
      <w:pPr>
        <w:pStyle w:val="Textonotapie"/>
        <w:ind w:right="23"/>
        <w:jc w:val="both"/>
        <w:rPr>
          <w:rFonts w:ascii="Verdana" w:hAnsi="Verdana"/>
          <w:sz w:val="16"/>
          <w:szCs w:val="16"/>
          <w:lang w:val="es-CO"/>
        </w:rPr>
      </w:pPr>
      <w:r w:rsidRPr="007E491F">
        <w:rPr>
          <w:rStyle w:val="Refdenotaalpie"/>
          <w:szCs w:val="16"/>
        </w:rPr>
        <w:footnoteRef/>
      </w:r>
      <w:r w:rsidRPr="007E491F">
        <w:rPr>
          <w:rFonts w:ascii="Verdana" w:hAnsi="Verdana"/>
          <w:sz w:val="16"/>
          <w:szCs w:val="16"/>
        </w:rPr>
        <w:t xml:space="preserve"> </w:t>
      </w:r>
      <w:r w:rsidRPr="007E491F">
        <w:rPr>
          <w:rFonts w:ascii="Verdana" w:hAnsi="Verdana"/>
          <w:sz w:val="16"/>
          <w:szCs w:val="16"/>
        </w:rPr>
        <w:tab/>
      </w:r>
      <w:r w:rsidRPr="007E491F">
        <w:rPr>
          <w:rFonts w:ascii="Verdana" w:hAnsi="Verdana"/>
          <w:i/>
          <w:iCs/>
          <w:sz w:val="16"/>
          <w:szCs w:val="16"/>
          <w:lang w:val="es-ES"/>
        </w:rPr>
        <w:t>Cfr</w:t>
      </w:r>
      <w:r w:rsidRPr="007E491F">
        <w:rPr>
          <w:rFonts w:ascii="Verdana" w:hAnsi="Verdana"/>
          <w:i/>
          <w:sz w:val="16"/>
          <w:szCs w:val="16"/>
          <w:lang w:val="es-ES"/>
        </w:rPr>
        <w:t xml:space="preserve">. </w:t>
      </w:r>
      <w:r w:rsidRPr="007E491F">
        <w:rPr>
          <w:rStyle w:val="Textoennegrita"/>
          <w:rFonts w:ascii="Verdana" w:hAnsi="Verdana"/>
          <w:b w:val="0"/>
          <w:bCs w:val="0"/>
          <w:i/>
          <w:color w:val="000000"/>
          <w:sz w:val="16"/>
          <w:szCs w:val="16"/>
          <w:shd w:val="clear" w:color="auto" w:fill="FFFFFF"/>
        </w:rPr>
        <w:t>Asunto Ramírez Hinostroza y otros respecto de Perú. Medidas Provisionales.</w:t>
      </w:r>
      <w:r w:rsidRPr="007E491F">
        <w:rPr>
          <w:rStyle w:val="Textoennegrita"/>
          <w:rFonts w:ascii="Verdana" w:hAnsi="Verdana"/>
          <w:b w:val="0"/>
          <w:bCs w:val="0"/>
          <w:color w:val="000000"/>
          <w:sz w:val="16"/>
          <w:szCs w:val="16"/>
          <w:shd w:val="clear" w:color="auto" w:fill="FFFFFF"/>
        </w:rPr>
        <w:t xml:space="preserve"> Resolución de la Corte Interamericana de Derechos Humanos de 22 de noviembre de 2011, </w:t>
      </w:r>
      <w:r w:rsidRPr="007E491F">
        <w:rPr>
          <w:rFonts w:ascii="Verdana" w:hAnsi="Verdana"/>
          <w:sz w:val="16"/>
          <w:szCs w:val="16"/>
          <w:lang w:val="es-CR"/>
        </w:rPr>
        <w:t>Considerando 21, y</w:t>
      </w:r>
      <w:r w:rsidRPr="007E491F">
        <w:rPr>
          <w:rFonts w:ascii="Verdana" w:hAnsi="Verdana"/>
          <w:b/>
          <w:sz w:val="16"/>
          <w:szCs w:val="16"/>
          <w:lang w:val="es-CR"/>
        </w:rPr>
        <w:t xml:space="preserve"> </w:t>
      </w:r>
      <w:r w:rsidRPr="007E491F">
        <w:rPr>
          <w:rFonts w:ascii="Verdana" w:hAnsi="Verdana"/>
          <w:i/>
          <w:sz w:val="16"/>
          <w:szCs w:val="16"/>
          <w:lang w:val="es-PE"/>
        </w:rPr>
        <w:t xml:space="preserve">Caso </w:t>
      </w:r>
      <w:r w:rsidRPr="007E491F">
        <w:rPr>
          <w:rFonts w:ascii="Verdana" w:hAnsi="Verdana"/>
          <w:i/>
          <w:sz w:val="16"/>
          <w:szCs w:val="16"/>
        </w:rPr>
        <w:t>de la Masacre de La Rochela Vs. Colombia</w:t>
      </w:r>
      <w:r w:rsidRPr="007E491F">
        <w:rPr>
          <w:rStyle w:val="Textoennegrita"/>
          <w:rFonts w:ascii="Verdana" w:hAnsi="Verdana"/>
          <w:b w:val="0"/>
          <w:bCs w:val="0"/>
          <w:i/>
          <w:color w:val="000000"/>
          <w:sz w:val="16"/>
          <w:szCs w:val="16"/>
          <w:shd w:val="clear" w:color="auto" w:fill="FFFFFF"/>
        </w:rPr>
        <w:t xml:space="preserve">, supra </w:t>
      </w:r>
      <w:r w:rsidRPr="007E491F">
        <w:rPr>
          <w:rStyle w:val="Textoennegrita"/>
          <w:rFonts w:ascii="Verdana" w:hAnsi="Verdana"/>
          <w:b w:val="0"/>
          <w:bCs w:val="0"/>
          <w:color w:val="000000"/>
          <w:sz w:val="16"/>
          <w:szCs w:val="16"/>
          <w:shd w:val="clear" w:color="auto" w:fill="FFFFFF"/>
        </w:rPr>
        <w:t>nota, Considerando 43</w:t>
      </w:r>
      <w:r w:rsidRPr="007E491F">
        <w:rPr>
          <w:rFonts w:ascii="Verdana" w:hAnsi="Verdana"/>
          <w:sz w:val="16"/>
          <w:szCs w:val="16"/>
          <w:lang w:val="es-ES"/>
        </w:rPr>
        <w:t>.</w:t>
      </w:r>
    </w:p>
  </w:footnote>
  <w:footnote w:id="69">
    <w:p w14:paraId="1155481F" w14:textId="050D5BF2" w:rsidR="009B20E5" w:rsidRPr="003A0E1D" w:rsidRDefault="009B20E5">
      <w:pPr>
        <w:pStyle w:val="Textonotapie"/>
        <w:jc w:val="both"/>
        <w:rPr>
          <w:rFonts w:ascii="Verdana" w:hAnsi="Verdana"/>
          <w:sz w:val="16"/>
          <w:szCs w:val="16"/>
        </w:rPr>
      </w:pPr>
      <w:r w:rsidRPr="004517B8">
        <w:rPr>
          <w:rStyle w:val="Refdenotaalpie"/>
          <w:szCs w:val="16"/>
        </w:rPr>
        <w:footnoteRef/>
      </w:r>
      <w:r w:rsidRPr="00592470">
        <w:rPr>
          <w:rFonts w:ascii="Verdana" w:hAnsi="Verdana"/>
          <w:sz w:val="16"/>
          <w:szCs w:val="16"/>
        </w:rPr>
        <w:t xml:space="preserve"> </w:t>
      </w:r>
      <w:r w:rsidRPr="00592470">
        <w:rPr>
          <w:rFonts w:ascii="Verdana" w:hAnsi="Verdana"/>
          <w:sz w:val="16"/>
          <w:szCs w:val="16"/>
        </w:rPr>
        <w:tab/>
      </w:r>
      <w:r w:rsidRPr="00F40454">
        <w:rPr>
          <w:rFonts w:ascii="Verdana" w:hAnsi="Verdana"/>
          <w:i/>
          <w:iCs/>
          <w:sz w:val="16"/>
          <w:szCs w:val="16"/>
          <w:lang w:val="es-CR"/>
        </w:rPr>
        <w:t>M</w:t>
      </w:r>
      <w:proofErr w:type="spellStart"/>
      <w:r w:rsidRPr="00145EB2">
        <w:rPr>
          <w:rFonts w:ascii="Verdana" w:hAnsi="Verdana"/>
          <w:i/>
          <w:iCs/>
          <w:sz w:val="16"/>
          <w:szCs w:val="16"/>
        </w:rPr>
        <w:t>utatis</w:t>
      </w:r>
      <w:proofErr w:type="spellEnd"/>
      <w:r w:rsidRPr="00145EB2">
        <w:rPr>
          <w:rFonts w:ascii="Verdana" w:hAnsi="Verdana"/>
          <w:i/>
          <w:iCs/>
          <w:sz w:val="16"/>
          <w:szCs w:val="16"/>
        </w:rPr>
        <w:t xml:space="preserve"> </w:t>
      </w:r>
      <w:proofErr w:type="spellStart"/>
      <w:r w:rsidRPr="00145EB2">
        <w:rPr>
          <w:rFonts w:ascii="Verdana" w:hAnsi="Verdana"/>
          <w:i/>
          <w:iCs/>
          <w:sz w:val="16"/>
          <w:szCs w:val="16"/>
        </w:rPr>
        <w:t>mutandi</w:t>
      </w:r>
      <w:proofErr w:type="spellEnd"/>
      <w:r w:rsidRPr="00145EB2">
        <w:rPr>
          <w:rFonts w:ascii="Verdana" w:hAnsi="Verdana"/>
          <w:sz w:val="16"/>
          <w:szCs w:val="16"/>
        </w:rPr>
        <w:t xml:space="preserve">, </w:t>
      </w:r>
      <w:r w:rsidRPr="00145EB2">
        <w:rPr>
          <w:rFonts w:ascii="Verdana" w:hAnsi="Verdana" w:cs="Arial"/>
          <w:i/>
          <w:iCs/>
          <w:sz w:val="16"/>
          <w:szCs w:val="16"/>
          <w:shd w:val="clear" w:color="auto" w:fill="FFFFFF"/>
        </w:rPr>
        <w:t xml:space="preserve">Caso Vélez Loor Vs. Panamá. Medidas Provisionales. Adopción de Medidas Urgentes. </w:t>
      </w:r>
      <w:r w:rsidRPr="00D158F5">
        <w:rPr>
          <w:rFonts w:ascii="Verdana" w:hAnsi="Verdana" w:cs="Arial"/>
          <w:sz w:val="16"/>
          <w:szCs w:val="16"/>
          <w:shd w:val="clear" w:color="auto" w:fill="FFFFFF"/>
        </w:rPr>
        <w:t>Resolución de la Presidenta de la Corte Interamericana de Derechos Humanos de 26 de mayo de 2020, Considerando 30 a). Ver también:</w:t>
      </w:r>
      <w:r w:rsidRPr="00F40454">
        <w:rPr>
          <w:rFonts w:ascii="Verdana" w:hAnsi="Verdana" w:cs="Arial"/>
          <w:sz w:val="16"/>
          <w:szCs w:val="16"/>
          <w:shd w:val="clear" w:color="auto" w:fill="FFFFFF"/>
        </w:rPr>
        <w:t xml:space="preserve"> </w:t>
      </w:r>
      <w:r w:rsidRPr="00F40454">
        <w:rPr>
          <w:rFonts w:ascii="Verdana" w:hAnsi="Verdana"/>
          <w:sz w:val="16"/>
          <w:szCs w:val="16"/>
        </w:rPr>
        <w:t xml:space="preserve">Declaración de la Corte Interamericana de Derechos Humanos No. 1/20, </w:t>
      </w:r>
      <w:r w:rsidRPr="00F40454">
        <w:rPr>
          <w:rFonts w:ascii="Verdana" w:hAnsi="Verdana"/>
          <w:i/>
          <w:iCs/>
          <w:sz w:val="16"/>
          <w:szCs w:val="16"/>
        </w:rPr>
        <w:t xml:space="preserve">supra </w:t>
      </w:r>
      <w:r w:rsidRPr="00F40454">
        <w:rPr>
          <w:rFonts w:ascii="Verdana" w:hAnsi="Verdana"/>
          <w:sz w:val="16"/>
          <w:szCs w:val="16"/>
        </w:rPr>
        <w:t xml:space="preserve">nota; </w:t>
      </w:r>
      <w:r w:rsidRPr="00D158F5">
        <w:rPr>
          <w:rFonts w:ascii="Verdana" w:hAnsi="Verdana"/>
          <w:sz w:val="16"/>
          <w:szCs w:val="16"/>
        </w:rPr>
        <w:t>Subcomité para la Prevención de la Tortura y otros Tratos o Penas Crueles, Inhumanos o Degradantes de las Naciones Unidas, Recomendaciones del Subcomité́ de Prevención de la Tortura a los Estados Partes y Mecanismos Nacionales de Prevención relacionados con la pandemia de Coronavirus, 25 de Marzo de 2020</w:t>
      </w:r>
      <w:r w:rsidRPr="00592470">
        <w:rPr>
          <w:rFonts w:ascii="Verdana" w:hAnsi="Verdana" w:cs="Arial"/>
          <w:sz w:val="16"/>
          <w:szCs w:val="16"/>
          <w:shd w:val="clear" w:color="auto" w:fill="FFFFFF"/>
        </w:rPr>
        <w:t xml:space="preserve">; </w:t>
      </w:r>
      <w:r w:rsidRPr="004517B8">
        <w:rPr>
          <w:rFonts w:ascii="Verdana" w:hAnsi="Verdana" w:cs="Arial"/>
          <w:sz w:val="16"/>
          <w:szCs w:val="16"/>
          <w:shd w:val="clear" w:color="auto" w:fill="FFFFFF"/>
        </w:rPr>
        <w:t xml:space="preserve">CICR, Recomendaciones para la prevención y control de la COVID-19 en lugares de detención, 15 de abril de 2020, e </w:t>
      </w:r>
      <w:r w:rsidRPr="004517B8">
        <w:rPr>
          <w:rFonts w:ascii="Verdana" w:hAnsi="Verdana"/>
          <w:sz w:val="16"/>
          <w:szCs w:val="16"/>
        </w:rPr>
        <w:t>ILANUD, “El Sistema P</w:t>
      </w:r>
      <w:r w:rsidRPr="00906595">
        <w:rPr>
          <w:rFonts w:ascii="Verdana" w:hAnsi="Verdana"/>
          <w:sz w:val="16"/>
          <w:szCs w:val="16"/>
        </w:rPr>
        <w:t xml:space="preserve">enitenciario ante la encrucijada producto de la crisis provocada por el COVID-19”, </w:t>
      </w:r>
      <w:r w:rsidRPr="00592470">
        <w:rPr>
          <w:rFonts w:ascii="Verdana" w:hAnsi="Verdana"/>
          <w:i/>
          <w:iCs/>
          <w:sz w:val="16"/>
          <w:szCs w:val="16"/>
        </w:rPr>
        <w:t>supra</w:t>
      </w:r>
      <w:r>
        <w:rPr>
          <w:rFonts w:ascii="Verdana" w:hAnsi="Verdana"/>
          <w:sz w:val="16"/>
          <w:szCs w:val="16"/>
        </w:rPr>
        <w:t xml:space="preserve"> nota. </w:t>
      </w:r>
    </w:p>
  </w:footnote>
  <w:footnote w:id="70">
    <w:p w14:paraId="0FBC80D1" w14:textId="0540304D" w:rsidR="009B20E5" w:rsidRPr="003A0E1D" w:rsidRDefault="009B20E5">
      <w:pPr>
        <w:pStyle w:val="Textonotapie"/>
        <w:jc w:val="both"/>
        <w:rPr>
          <w:rFonts w:ascii="Verdana" w:hAnsi="Verdana"/>
          <w:sz w:val="16"/>
          <w:szCs w:val="16"/>
        </w:rPr>
      </w:pPr>
      <w:r w:rsidRPr="004517B8">
        <w:rPr>
          <w:rStyle w:val="Refdenotaalpie"/>
          <w:szCs w:val="16"/>
        </w:rPr>
        <w:footnoteRef/>
      </w:r>
      <w:r w:rsidRPr="003A0E1D">
        <w:rPr>
          <w:rFonts w:ascii="Verdana" w:hAnsi="Verdana"/>
          <w:sz w:val="16"/>
          <w:szCs w:val="16"/>
        </w:rPr>
        <w:t xml:space="preserve"> </w:t>
      </w:r>
      <w:r w:rsidRPr="003A0E1D">
        <w:rPr>
          <w:rFonts w:ascii="Verdana" w:hAnsi="Verdana"/>
          <w:sz w:val="16"/>
          <w:szCs w:val="16"/>
        </w:rPr>
        <w:tab/>
      </w:r>
      <w:r w:rsidRPr="004517B8">
        <w:rPr>
          <w:rFonts w:ascii="Verdana" w:hAnsi="Verdana"/>
          <w:sz w:val="16"/>
          <w:szCs w:val="16"/>
          <w:lang w:val="es-CR"/>
        </w:rPr>
        <w:t xml:space="preserve">Al respecto ver: </w:t>
      </w:r>
      <w:r w:rsidRPr="004517B8">
        <w:rPr>
          <w:rFonts w:ascii="Verdana" w:eastAsia="Calibri" w:hAnsi="Verdana"/>
          <w:sz w:val="16"/>
          <w:szCs w:val="16"/>
        </w:rPr>
        <w:t>Subcomité para la Prevención de la Tortura y otros Tratos o Penas Crueles, Inhumanos o Degradantes de las Naciones Unidas, Recomendaciones del</w:t>
      </w:r>
      <w:r w:rsidRPr="00906595">
        <w:rPr>
          <w:rFonts w:ascii="Verdana" w:eastAsia="Calibri" w:hAnsi="Verdana"/>
          <w:sz w:val="16"/>
          <w:szCs w:val="16"/>
        </w:rPr>
        <w:t xml:space="preserve"> Subcomité́ de Prevención de la Tortura a los Estados Partes y Mecanismos Nacionales de Prevención relacionados con la pandemia de Coronavirus, </w:t>
      </w:r>
      <w:r w:rsidRPr="00906595">
        <w:rPr>
          <w:rFonts w:ascii="Verdana" w:eastAsia="Calibri" w:hAnsi="Verdana"/>
          <w:i/>
          <w:iCs/>
          <w:sz w:val="16"/>
          <w:szCs w:val="16"/>
        </w:rPr>
        <w:t>supra</w:t>
      </w:r>
      <w:r w:rsidRPr="004E3A04">
        <w:rPr>
          <w:rFonts w:ascii="Verdana" w:eastAsia="Calibri" w:hAnsi="Verdana"/>
          <w:sz w:val="16"/>
          <w:szCs w:val="16"/>
        </w:rPr>
        <w:t xml:space="preserve"> nota; ONU, </w:t>
      </w:r>
      <w:hyperlink r:id="rId6" w:history="1">
        <w:r w:rsidRPr="004517B8">
          <w:rPr>
            <w:rFonts w:ascii="Verdana" w:eastAsia="Calibri" w:hAnsi="Verdana"/>
            <w:sz w:val="16"/>
            <w:szCs w:val="16"/>
          </w:rPr>
          <w:t>Relator Especial sobre la promoción de la verdad,</w:t>
        </w:r>
      </w:hyperlink>
      <w:r>
        <w:rPr>
          <w:rFonts w:ascii="Verdana" w:eastAsia="Calibri" w:hAnsi="Verdana"/>
          <w:sz w:val="16"/>
          <w:szCs w:val="16"/>
        </w:rPr>
        <w:t xml:space="preserve"> </w:t>
      </w:r>
      <w:r w:rsidRPr="004517B8">
        <w:rPr>
          <w:rFonts w:ascii="Verdana" w:eastAsia="Calibri" w:hAnsi="Verdana"/>
          <w:sz w:val="16"/>
          <w:szCs w:val="16"/>
        </w:rPr>
        <w:t xml:space="preserve">la justicia, la reparación y las garantías de no repetición, “Directrices detalladas para los gobiernos” respecto al “COVID-19, hacinamiento en cárceles, y cumplimiento de penas por violaciones graves de los derechos humanos”; </w:t>
      </w:r>
      <w:r w:rsidRPr="00906595">
        <w:rPr>
          <w:rFonts w:ascii="Verdana" w:hAnsi="Verdana"/>
          <w:sz w:val="16"/>
          <w:szCs w:val="16"/>
        </w:rPr>
        <w:t>ONU, Oficina de Naciones Unidas contra la Droga y el Delito, Documento de Posición “Preparación y respuestas para la COVID-19 en las cárceles”, 31 de marzo de 2020</w:t>
      </w:r>
      <w:r w:rsidRPr="00554F8C">
        <w:rPr>
          <w:rFonts w:ascii="Verdana" w:hAnsi="Verdana"/>
          <w:sz w:val="16"/>
          <w:szCs w:val="16"/>
        </w:rPr>
        <w:t xml:space="preserve">; </w:t>
      </w:r>
      <w:r w:rsidRPr="004E3A04">
        <w:rPr>
          <w:rFonts w:ascii="Verdana" w:hAnsi="Verdana"/>
          <w:sz w:val="16"/>
          <w:szCs w:val="16"/>
        </w:rPr>
        <w:t>ACNUDH; Oficina Regional de América del Sur, “COVID-19: Argumentos que jus</w:t>
      </w:r>
      <w:r w:rsidRPr="00145EB2">
        <w:rPr>
          <w:rFonts w:ascii="Verdana" w:hAnsi="Verdana"/>
          <w:sz w:val="16"/>
          <w:szCs w:val="16"/>
        </w:rPr>
        <w:t xml:space="preserve">tifican medidas para reducir la población privada de libertad”; Declaración de la </w:t>
      </w:r>
      <w:r w:rsidRPr="00145EB2">
        <w:rPr>
          <w:rFonts w:ascii="Verdana" w:hAnsi="Verdana" w:cs="Arial"/>
          <w:sz w:val="16"/>
          <w:szCs w:val="16"/>
        </w:rPr>
        <w:t xml:space="preserve">a Alta Comisionada de las Naciones Unidas para los Derechos Humanos “Hay que tomar medidas urgentes para evitar que el Covid19 cause estragos en prisiones”, 25 de marzo de 2020, </w:t>
      </w:r>
      <w:r w:rsidRPr="009B54E6">
        <w:rPr>
          <w:rFonts w:ascii="Verdana" w:hAnsi="Verdana"/>
          <w:sz w:val="16"/>
          <w:szCs w:val="16"/>
        </w:rPr>
        <w:t>y Declaración conjunta de la UNODC, la OMS, el ONUSIDA y la ACNUDH sobre la Covid-19 en prisiones y otros centros de detención, 13 de mayo de 2020.</w:t>
      </w:r>
    </w:p>
  </w:footnote>
  <w:footnote w:id="71">
    <w:p w14:paraId="3FA2F43F" w14:textId="571F4108" w:rsidR="009B20E5" w:rsidRPr="007A72AF" w:rsidRDefault="009B20E5" w:rsidP="00644CB7">
      <w:pPr>
        <w:jc w:val="both"/>
        <w:rPr>
          <w:rFonts w:ascii="Verdana" w:eastAsiaTheme="minorHAnsi" w:hAnsi="Verdana"/>
          <w:sz w:val="16"/>
          <w:szCs w:val="16"/>
          <w:lang w:val="es-ES"/>
        </w:rPr>
      </w:pPr>
      <w:r w:rsidRPr="004517B8">
        <w:rPr>
          <w:rStyle w:val="Refdenotaalpie"/>
          <w:szCs w:val="16"/>
        </w:rPr>
        <w:footnoteRef/>
      </w:r>
      <w:r w:rsidRPr="004517B8">
        <w:rPr>
          <w:rFonts w:ascii="Verdana" w:hAnsi="Verdana"/>
          <w:sz w:val="16"/>
          <w:szCs w:val="16"/>
        </w:rPr>
        <w:t xml:space="preserve"> </w:t>
      </w:r>
      <w:r w:rsidRPr="004517B8">
        <w:rPr>
          <w:rFonts w:ascii="Verdana" w:hAnsi="Verdana"/>
          <w:sz w:val="16"/>
          <w:szCs w:val="16"/>
          <w:lang w:val="es-CR"/>
        </w:rPr>
        <w:tab/>
      </w:r>
      <w:r w:rsidRPr="004517B8">
        <w:rPr>
          <w:rFonts w:ascii="Verdana" w:hAnsi="Verdana"/>
          <w:sz w:val="16"/>
          <w:szCs w:val="16"/>
          <w:lang w:val="es-ES"/>
        </w:rPr>
        <w:t>“La Corte podrá requerir a otras fuentes de información datos relevantes sobre el caso, que permitan apreciar el cumplimiento. Para los mismos efectos podrá también requerir los peritajes e informes que considere oportunos.”</w:t>
      </w:r>
    </w:p>
  </w:footnote>
  <w:footnote w:id="72">
    <w:p w14:paraId="3F0D6C24" w14:textId="77777777" w:rsidR="009B20E5" w:rsidRPr="005551C8" w:rsidRDefault="009B20E5" w:rsidP="00252474">
      <w:pPr>
        <w:pStyle w:val="Textonotapie"/>
        <w:ind w:left="-567"/>
        <w:jc w:val="both"/>
        <w:rPr>
          <w:rFonts w:ascii="Verdana" w:hAnsi="Verdana"/>
          <w:sz w:val="16"/>
          <w:szCs w:val="16"/>
          <w:lang w:val="es-419"/>
        </w:rPr>
      </w:pPr>
      <w:r w:rsidRPr="005551C8">
        <w:rPr>
          <w:rStyle w:val="Refdenotaalpie"/>
          <w:szCs w:val="16"/>
        </w:rPr>
        <w:footnoteRef/>
      </w:r>
      <w:r w:rsidRPr="005551C8">
        <w:rPr>
          <w:rFonts w:ascii="Verdana" w:hAnsi="Verdana"/>
          <w:sz w:val="16"/>
          <w:szCs w:val="16"/>
        </w:rPr>
        <w:t xml:space="preserve"> </w:t>
      </w:r>
      <w:r w:rsidRPr="005551C8">
        <w:rPr>
          <w:rFonts w:ascii="Verdana" w:hAnsi="Verdana"/>
          <w:sz w:val="16"/>
          <w:szCs w:val="16"/>
          <w:lang w:val="es-419"/>
        </w:rPr>
        <w:t>En adelante, la Resolución.</w:t>
      </w:r>
    </w:p>
    <w:p w14:paraId="00FA6E7C" w14:textId="77777777" w:rsidR="009B20E5" w:rsidRPr="005551C8" w:rsidRDefault="009B20E5" w:rsidP="00252474">
      <w:pPr>
        <w:pStyle w:val="Textonotapie"/>
        <w:ind w:left="-567"/>
        <w:jc w:val="both"/>
        <w:rPr>
          <w:rFonts w:ascii="Verdana" w:hAnsi="Verdana"/>
          <w:sz w:val="16"/>
          <w:szCs w:val="16"/>
          <w:lang w:val="es-419"/>
        </w:rPr>
      </w:pPr>
    </w:p>
  </w:footnote>
  <w:footnote w:id="73">
    <w:p w14:paraId="226D3083" w14:textId="77777777" w:rsidR="009B20E5" w:rsidRPr="005551C8" w:rsidRDefault="009B20E5" w:rsidP="00252474">
      <w:pPr>
        <w:pStyle w:val="Textonotapie"/>
        <w:ind w:left="-567"/>
        <w:jc w:val="both"/>
        <w:rPr>
          <w:rFonts w:ascii="Verdana" w:hAnsi="Verdana"/>
          <w:sz w:val="16"/>
          <w:szCs w:val="16"/>
          <w:lang w:val="es-419"/>
        </w:rPr>
      </w:pPr>
      <w:r w:rsidRPr="005551C8">
        <w:rPr>
          <w:rStyle w:val="Refdenotaalpie"/>
          <w:szCs w:val="16"/>
        </w:rPr>
        <w:footnoteRef/>
      </w:r>
      <w:r w:rsidRPr="005551C8">
        <w:rPr>
          <w:rFonts w:ascii="Verdana" w:hAnsi="Verdana"/>
          <w:sz w:val="16"/>
          <w:szCs w:val="16"/>
        </w:rPr>
        <w:t xml:space="preserve"> </w:t>
      </w:r>
      <w:r w:rsidRPr="005551C8">
        <w:rPr>
          <w:rFonts w:ascii="Verdana" w:hAnsi="Verdana"/>
          <w:sz w:val="16"/>
          <w:szCs w:val="16"/>
          <w:lang w:val="es-419"/>
        </w:rPr>
        <w:t xml:space="preserve">Resolutivo </w:t>
      </w:r>
      <w:proofErr w:type="spellStart"/>
      <w:r w:rsidRPr="005551C8">
        <w:rPr>
          <w:rFonts w:ascii="Verdana" w:hAnsi="Verdana"/>
          <w:sz w:val="16"/>
          <w:szCs w:val="16"/>
          <w:lang w:val="es-419"/>
        </w:rPr>
        <w:t>N°</w:t>
      </w:r>
      <w:proofErr w:type="spellEnd"/>
      <w:r w:rsidRPr="005551C8">
        <w:rPr>
          <w:rFonts w:ascii="Verdana" w:hAnsi="Verdana"/>
          <w:sz w:val="16"/>
          <w:szCs w:val="16"/>
          <w:lang w:val="es-419"/>
        </w:rPr>
        <w:t xml:space="preserve"> 1 de la Resolución.</w:t>
      </w:r>
    </w:p>
    <w:p w14:paraId="51EAE489" w14:textId="77777777" w:rsidR="009B20E5" w:rsidRPr="005551C8" w:rsidRDefault="009B20E5" w:rsidP="00252474">
      <w:pPr>
        <w:pStyle w:val="Textonotapie"/>
        <w:ind w:left="-567"/>
        <w:jc w:val="both"/>
        <w:rPr>
          <w:rFonts w:ascii="Verdana" w:hAnsi="Verdana"/>
          <w:sz w:val="16"/>
          <w:szCs w:val="16"/>
          <w:lang w:val="es-419"/>
        </w:rPr>
      </w:pPr>
    </w:p>
  </w:footnote>
  <w:footnote w:id="74">
    <w:p w14:paraId="3B4E4408" w14:textId="77777777" w:rsidR="009B20E5" w:rsidRPr="00C03BA9" w:rsidRDefault="009B20E5" w:rsidP="00252474">
      <w:pPr>
        <w:pStyle w:val="Textonotapie"/>
        <w:ind w:left="-567"/>
        <w:jc w:val="both"/>
        <w:rPr>
          <w:rFonts w:ascii="Verdana" w:hAnsi="Verdana"/>
          <w:sz w:val="16"/>
          <w:szCs w:val="16"/>
          <w:lang w:val="es-419"/>
        </w:rPr>
      </w:pPr>
      <w:r w:rsidRPr="005551C8">
        <w:rPr>
          <w:rStyle w:val="Refdenotaalpie"/>
          <w:szCs w:val="16"/>
        </w:rPr>
        <w:footnoteRef/>
      </w:r>
      <w:r w:rsidRPr="005551C8">
        <w:rPr>
          <w:rFonts w:ascii="Verdana" w:hAnsi="Verdana"/>
          <w:sz w:val="16"/>
          <w:szCs w:val="16"/>
        </w:rPr>
        <w:t xml:space="preserve"> </w:t>
      </w:r>
      <w:proofErr w:type="spellStart"/>
      <w:r w:rsidRPr="005551C8">
        <w:rPr>
          <w:rFonts w:ascii="Verdana" w:hAnsi="Verdana"/>
          <w:sz w:val="16"/>
          <w:szCs w:val="16"/>
          <w:lang w:val="es-419"/>
        </w:rPr>
        <w:t>Párrs</w:t>
      </w:r>
      <w:proofErr w:type="spellEnd"/>
      <w:r w:rsidRPr="005551C8">
        <w:rPr>
          <w:rFonts w:ascii="Verdana" w:hAnsi="Verdana"/>
          <w:sz w:val="16"/>
          <w:szCs w:val="16"/>
          <w:lang w:val="es-419"/>
        </w:rPr>
        <w:t>. 4 a 44 de la Resolución.</w:t>
      </w:r>
    </w:p>
    <w:p w14:paraId="4494CA69" w14:textId="77777777" w:rsidR="009B20E5" w:rsidRPr="00C03BA9" w:rsidRDefault="009B20E5" w:rsidP="00252474">
      <w:pPr>
        <w:pStyle w:val="Textonotapie"/>
        <w:ind w:left="-567"/>
        <w:jc w:val="both"/>
        <w:rPr>
          <w:rFonts w:ascii="Verdana" w:hAnsi="Verdana"/>
          <w:sz w:val="16"/>
          <w:szCs w:val="16"/>
          <w:lang w:val="es-419"/>
        </w:rPr>
      </w:pPr>
    </w:p>
  </w:footnote>
  <w:footnote w:id="75">
    <w:p w14:paraId="1B260061" w14:textId="77777777" w:rsidR="009B20E5" w:rsidRPr="00D0321C" w:rsidRDefault="009B20E5" w:rsidP="00252474">
      <w:pPr>
        <w:pStyle w:val="Textonotapie"/>
        <w:ind w:left="-567"/>
        <w:jc w:val="both"/>
        <w:rPr>
          <w:rFonts w:ascii="Verdana" w:eastAsiaTheme="minorEastAsia" w:hAnsi="Verdana"/>
          <w:sz w:val="16"/>
          <w:szCs w:val="16"/>
          <w:lang w:val="es-MX"/>
        </w:rPr>
      </w:pPr>
      <w:r w:rsidRPr="00C03BA9">
        <w:rPr>
          <w:rStyle w:val="Refdenotaalpie"/>
          <w:szCs w:val="16"/>
        </w:rPr>
        <w:footnoteRef/>
      </w:r>
      <w:r w:rsidRPr="00C03BA9">
        <w:rPr>
          <w:rFonts w:ascii="Verdana" w:hAnsi="Verdana"/>
          <w:sz w:val="16"/>
          <w:szCs w:val="16"/>
        </w:rPr>
        <w:t xml:space="preserve"> </w:t>
      </w:r>
      <w:r w:rsidRPr="00D0321C">
        <w:rPr>
          <w:rFonts w:ascii="Verdana" w:hAnsi="Verdana"/>
          <w:sz w:val="16"/>
          <w:szCs w:val="16"/>
          <w:lang w:val="es-CR"/>
        </w:rPr>
        <w:t xml:space="preserve">Votos individuales del Juez Eduardo Vio Grossi respecto de Resoluciones sobre medidas provisionales: </w:t>
      </w:r>
      <w:r>
        <w:rPr>
          <w:rFonts w:ascii="Verdana" w:hAnsi="Verdana"/>
          <w:sz w:val="16"/>
          <w:szCs w:val="16"/>
          <w:lang w:val="es-CR"/>
        </w:rPr>
        <w:t xml:space="preserve">Disidente, </w:t>
      </w:r>
      <w:r w:rsidRPr="00895834">
        <w:rPr>
          <w:rFonts w:ascii="Verdana" w:hAnsi="Verdana"/>
          <w:iCs/>
          <w:sz w:val="16"/>
          <w:szCs w:val="16"/>
          <w:lang w:val="es-CR"/>
        </w:rPr>
        <w:t>Caso Mack Chang y otros Vs. Guatemala,</w:t>
      </w:r>
      <w:r>
        <w:rPr>
          <w:rFonts w:ascii="Verdana" w:hAnsi="Verdana"/>
          <w:sz w:val="16"/>
          <w:szCs w:val="16"/>
          <w:lang w:val="es-CR"/>
        </w:rPr>
        <w:t xml:space="preserve"> 24 de junio de 2020; </w:t>
      </w:r>
      <w:r>
        <w:rPr>
          <w:rFonts w:ascii="Verdana" w:hAnsi="Verdana"/>
          <w:sz w:val="16"/>
          <w:szCs w:val="16"/>
        </w:rPr>
        <w:t xml:space="preserve">Concurrente, </w:t>
      </w:r>
      <w:r w:rsidRPr="00895834">
        <w:rPr>
          <w:rFonts w:ascii="Verdana" w:hAnsi="Verdana"/>
          <w:iCs/>
          <w:sz w:val="16"/>
          <w:szCs w:val="16"/>
        </w:rPr>
        <w:t xml:space="preserve">Caso Fernández Ortega y otros Vs. México, de 10 de junio de 2020; Disidente, Caso 19 Comerciantes Vs. Colombia, de 1 de junio de 2020; </w:t>
      </w:r>
      <w:r w:rsidRPr="00895834">
        <w:rPr>
          <w:rFonts w:ascii="Verdana" w:hAnsi="Verdana"/>
          <w:iCs/>
          <w:sz w:val="16"/>
          <w:szCs w:val="16"/>
          <w:lang w:val="es-CR"/>
        </w:rPr>
        <w:t>Disidente, Caso Masacres de</w:t>
      </w:r>
      <w:r w:rsidRPr="00D0321C">
        <w:rPr>
          <w:rFonts w:ascii="Verdana" w:hAnsi="Verdana"/>
          <w:sz w:val="16"/>
          <w:szCs w:val="16"/>
          <w:lang w:val="es-CR"/>
        </w:rPr>
        <w:t xml:space="preserve"> El Mozote y Lugares Aledaños Vs. El Salvador, 3 de septiembre de 2019; Disidente, Caso Mack Chang y Otros Vs. Guatemala, 5 de marzo de 2019;</w:t>
      </w:r>
      <w:r w:rsidRPr="00D0321C">
        <w:rPr>
          <w:rFonts w:ascii="Verdana" w:hAnsi="Verdana"/>
          <w:sz w:val="16"/>
          <w:szCs w:val="16"/>
          <w:lang w:val="es-ES"/>
        </w:rPr>
        <w:t xml:space="preserve"> </w:t>
      </w:r>
      <w:r w:rsidRPr="00D0321C">
        <w:rPr>
          <w:rFonts w:ascii="Verdana" w:hAnsi="Verdana"/>
          <w:sz w:val="16"/>
          <w:szCs w:val="16"/>
          <w:lang w:val="es-CR"/>
        </w:rPr>
        <w:t xml:space="preserve">Parcialmente Disidente, Caso de los Miembros de la Aldea </w:t>
      </w:r>
      <w:proofErr w:type="spellStart"/>
      <w:r w:rsidRPr="00D0321C">
        <w:rPr>
          <w:rFonts w:ascii="Verdana" w:hAnsi="Verdana"/>
          <w:sz w:val="16"/>
          <w:szCs w:val="16"/>
          <w:lang w:val="es-CR"/>
        </w:rPr>
        <w:t>Chichupac</w:t>
      </w:r>
      <w:proofErr w:type="spellEnd"/>
      <w:r w:rsidRPr="00D0321C">
        <w:rPr>
          <w:rFonts w:ascii="Verdana" w:hAnsi="Verdana"/>
          <w:sz w:val="16"/>
          <w:szCs w:val="16"/>
          <w:lang w:val="es-CR"/>
        </w:rPr>
        <w:t xml:space="preserve"> y Comunidades del Municipio de Rabinal, Caso Molina </w:t>
      </w:r>
      <w:proofErr w:type="spellStart"/>
      <w:r w:rsidRPr="00D0321C">
        <w:rPr>
          <w:rFonts w:ascii="Verdana" w:hAnsi="Verdana"/>
          <w:sz w:val="16"/>
          <w:szCs w:val="16"/>
          <w:lang w:val="es-CR"/>
        </w:rPr>
        <w:t>Thiesen</w:t>
      </w:r>
      <w:proofErr w:type="spellEnd"/>
      <w:r w:rsidRPr="00D0321C">
        <w:rPr>
          <w:rFonts w:ascii="Verdana" w:hAnsi="Verdana"/>
          <w:sz w:val="16"/>
          <w:szCs w:val="16"/>
          <w:lang w:val="es-CR"/>
        </w:rPr>
        <w:t xml:space="preserve"> y Otros 12 Casos contra Guatemala, 12 de marzo, de 2019; Concurrente, Caso </w:t>
      </w:r>
      <w:proofErr w:type="spellStart"/>
      <w:r w:rsidRPr="00D0321C">
        <w:rPr>
          <w:rFonts w:ascii="Verdana" w:hAnsi="Verdana"/>
          <w:sz w:val="16"/>
          <w:szCs w:val="16"/>
          <w:lang w:val="es-CR"/>
        </w:rPr>
        <w:t>Bácama</w:t>
      </w:r>
      <w:proofErr w:type="spellEnd"/>
      <w:r w:rsidRPr="00D0321C">
        <w:rPr>
          <w:rFonts w:ascii="Verdana" w:hAnsi="Verdana"/>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Vs. México, 7 de febrero de 2017; Concurrente, Caso </w:t>
      </w:r>
      <w:proofErr w:type="spellStart"/>
      <w:r w:rsidRPr="00D0321C">
        <w:rPr>
          <w:rFonts w:ascii="Verdana" w:hAnsi="Verdana"/>
          <w:sz w:val="16"/>
          <w:szCs w:val="16"/>
          <w:lang w:val="es-CR"/>
        </w:rPr>
        <w:t>Bácama</w:t>
      </w:r>
      <w:proofErr w:type="spellEnd"/>
      <w:r w:rsidRPr="00D0321C">
        <w:rPr>
          <w:rFonts w:ascii="Verdana" w:hAnsi="Verdana"/>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sidRPr="00D0321C">
        <w:rPr>
          <w:rFonts w:ascii="Verdana" w:hAnsi="Verdana"/>
          <w:sz w:val="16"/>
          <w:szCs w:val="16"/>
          <w:lang w:val="es-CR"/>
        </w:rPr>
        <w:t>Kawas</w:t>
      </w:r>
      <w:proofErr w:type="spellEnd"/>
      <w:r w:rsidRPr="00D0321C">
        <w:rPr>
          <w:rFonts w:ascii="Verdana" w:hAnsi="Verdana"/>
          <w:sz w:val="16"/>
          <w:szCs w:val="16"/>
          <w:lang w:val="es-CR"/>
        </w:rPr>
        <w:t xml:space="preserve"> Fernández Vs. Honduras;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sidRPr="00D0321C">
        <w:rPr>
          <w:rFonts w:ascii="Verdana" w:hAnsi="Verdana"/>
          <w:sz w:val="16"/>
          <w:szCs w:val="16"/>
          <w:lang w:val="es-CR"/>
        </w:rPr>
        <w:t>Llaipén</w:t>
      </w:r>
      <w:proofErr w:type="spellEnd"/>
      <w:r w:rsidRPr="00D0321C">
        <w:rPr>
          <w:rFonts w:ascii="Verdana" w:hAnsi="Verdana"/>
          <w:sz w:val="16"/>
          <w:szCs w:val="16"/>
          <w:lang w:val="es-CR"/>
        </w:rPr>
        <w:t xml:space="preserve"> y Otros respecto de Argentina, 13 de febrero de 2013; </w:t>
      </w:r>
      <w:r w:rsidRPr="00D0321C">
        <w:rPr>
          <w:rFonts w:ascii="Verdana" w:hAnsi="Verdana"/>
          <w:sz w:val="16"/>
          <w:szCs w:val="16"/>
          <w:lang w:val="es-ES"/>
        </w:rPr>
        <w:t xml:space="preserve">Concurrente, Caso Familia Barrios Vs. Venezuela, 13 de febrero de 2013; Concurrente, Caso Pacheco Teruel y Otro Vs. Honduras, 13 de febrero de 2013; Concurrente, Caso 19 Comerciantes Vs. Colombia, 26 de junio de 2012; Concurrente, Caso Fernández Ortega y Otros Vs. México, 20 de febrero de 2012; Disidente, Asunto Millacura </w:t>
      </w:r>
      <w:proofErr w:type="spellStart"/>
      <w:r w:rsidRPr="00D0321C">
        <w:rPr>
          <w:rFonts w:ascii="Verdana" w:hAnsi="Verdana"/>
          <w:sz w:val="16"/>
          <w:szCs w:val="16"/>
          <w:lang w:val="es-ES"/>
        </w:rPr>
        <w:t>Llaipén</w:t>
      </w:r>
      <w:proofErr w:type="spellEnd"/>
      <w:r w:rsidRPr="00D0321C">
        <w:rPr>
          <w:rFonts w:ascii="Verdana" w:hAnsi="Verdana"/>
          <w:sz w:val="16"/>
          <w:szCs w:val="16"/>
          <w:lang w:val="es-ES"/>
        </w:rPr>
        <w:t xml:space="preserve"> respecto de Argentina, 25 de noviembre de 2011; Disidente, Caso </w:t>
      </w:r>
      <w:proofErr w:type="spellStart"/>
      <w:r w:rsidRPr="00D0321C">
        <w:rPr>
          <w:rFonts w:ascii="Verdana" w:hAnsi="Verdana"/>
          <w:sz w:val="16"/>
          <w:szCs w:val="16"/>
          <w:lang w:val="es-ES"/>
        </w:rPr>
        <w:t>Kawas</w:t>
      </w:r>
      <w:proofErr w:type="spellEnd"/>
      <w:r w:rsidRPr="00D0321C">
        <w:rPr>
          <w:rFonts w:ascii="Verdana" w:hAnsi="Verdana"/>
          <w:sz w:val="16"/>
          <w:szCs w:val="16"/>
          <w:lang w:val="es-ES"/>
        </w:rPr>
        <w:t xml:space="preserve"> Fernández Vs. Honduras, 5 de julio de 2011; Disidente, Caso Rosendo Cantú y Otra Vs. México, 1 de julio de 2011; Disidente, Caso Gutiérrez Soler Vs. Colombia, 30 de junio de 2011; Concurrente, Asunto Wong Ho </w:t>
      </w:r>
      <w:proofErr w:type="spellStart"/>
      <w:r w:rsidRPr="00D0321C">
        <w:rPr>
          <w:rFonts w:ascii="Verdana" w:hAnsi="Verdana"/>
          <w:sz w:val="16"/>
          <w:szCs w:val="16"/>
          <w:lang w:val="es-ES"/>
        </w:rPr>
        <w:t>Wing</w:t>
      </w:r>
      <w:proofErr w:type="spellEnd"/>
      <w:r w:rsidRPr="00D0321C">
        <w:rPr>
          <w:rFonts w:ascii="Verdana" w:hAnsi="Verdana"/>
          <w:sz w:val="16"/>
          <w:szCs w:val="16"/>
          <w:lang w:val="es-ES"/>
        </w:rPr>
        <w:t xml:space="preserve"> respecto de Perú, 28 de mayo de 2010</w:t>
      </w:r>
      <w:r>
        <w:rPr>
          <w:rFonts w:ascii="Verdana" w:hAnsi="Verdana"/>
          <w:sz w:val="16"/>
          <w:szCs w:val="16"/>
          <w:lang w:val="es-ES"/>
        </w:rPr>
        <w:t>, y</w:t>
      </w:r>
      <w:r w:rsidRPr="00D0321C">
        <w:rPr>
          <w:rFonts w:ascii="Verdana" w:eastAsiaTheme="minorEastAsia" w:hAnsi="Verdana"/>
          <w:sz w:val="16"/>
          <w:szCs w:val="16"/>
          <w:lang w:val="es-MX"/>
        </w:rPr>
        <w:t xml:space="preserve"> Constancia de Queja presentada ante la Corte el 17 de agosto de 2011.</w:t>
      </w:r>
    </w:p>
    <w:p w14:paraId="1BE941BD" w14:textId="77777777" w:rsidR="009B20E5" w:rsidRPr="00C03BA9" w:rsidRDefault="009B20E5" w:rsidP="00252474">
      <w:pPr>
        <w:pStyle w:val="Textonotapie"/>
        <w:ind w:left="-567"/>
        <w:rPr>
          <w:rFonts w:ascii="Verdana" w:hAnsi="Verdana"/>
          <w:sz w:val="16"/>
          <w:szCs w:val="16"/>
          <w:lang w:val="es-419"/>
        </w:rPr>
      </w:pPr>
    </w:p>
  </w:footnote>
  <w:footnote w:id="76">
    <w:p w14:paraId="5E8BA17C" w14:textId="77777777" w:rsidR="009B20E5" w:rsidRPr="00C03BA9" w:rsidRDefault="009B20E5" w:rsidP="00252474">
      <w:pPr>
        <w:pStyle w:val="Textonotapie"/>
        <w:ind w:left="-567"/>
        <w:rPr>
          <w:rFonts w:ascii="Verdana" w:hAnsi="Verdana"/>
          <w:sz w:val="16"/>
          <w:szCs w:val="16"/>
          <w:lang w:val="es-419"/>
        </w:rPr>
      </w:pPr>
      <w:r w:rsidRPr="005551C8">
        <w:rPr>
          <w:rStyle w:val="Refdenotaalpie"/>
          <w:szCs w:val="16"/>
        </w:rPr>
        <w:footnoteRef/>
      </w:r>
      <w:r w:rsidRPr="005551C8">
        <w:rPr>
          <w:rFonts w:ascii="Verdana" w:hAnsi="Verdana"/>
          <w:sz w:val="16"/>
          <w:szCs w:val="16"/>
        </w:rPr>
        <w:t xml:space="preserve"> </w:t>
      </w:r>
      <w:proofErr w:type="spellStart"/>
      <w:r w:rsidRPr="005551C8">
        <w:rPr>
          <w:rFonts w:ascii="Verdana" w:hAnsi="Verdana"/>
          <w:sz w:val="16"/>
          <w:szCs w:val="16"/>
          <w:lang w:val="es-419"/>
        </w:rPr>
        <w:t>Párrs</w:t>
      </w:r>
      <w:proofErr w:type="spellEnd"/>
      <w:r w:rsidRPr="005551C8">
        <w:rPr>
          <w:rFonts w:ascii="Verdana" w:hAnsi="Verdana"/>
          <w:sz w:val="16"/>
          <w:szCs w:val="16"/>
          <w:lang w:val="es-419"/>
        </w:rPr>
        <w:t>. 34 a 37 de la Resolución.</w:t>
      </w:r>
    </w:p>
    <w:p w14:paraId="2DBF0A3C" w14:textId="77777777" w:rsidR="009B20E5" w:rsidRPr="00C03BA9" w:rsidRDefault="009B20E5" w:rsidP="00252474">
      <w:pPr>
        <w:pStyle w:val="Textonotapie"/>
        <w:ind w:left="-567"/>
        <w:rPr>
          <w:rFonts w:ascii="Verdana" w:hAnsi="Verdana"/>
          <w:sz w:val="16"/>
          <w:szCs w:val="16"/>
          <w:lang w:val="es-419"/>
        </w:rPr>
      </w:pPr>
    </w:p>
  </w:footnote>
  <w:footnote w:id="77">
    <w:p w14:paraId="14F860C3" w14:textId="77777777" w:rsidR="009B20E5" w:rsidRPr="00C03BA9" w:rsidRDefault="009B20E5" w:rsidP="00252474">
      <w:pPr>
        <w:pStyle w:val="Textonotapie"/>
        <w:ind w:left="-567"/>
        <w:rPr>
          <w:rFonts w:ascii="Verdana" w:hAnsi="Verdana"/>
          <w:sz w:val="16"/>
          <w:szCs w:val="16"/>
          <w:lang w:val="es-419"/>
        </w:rPr>
      </w:pPr>
      <w:r w:rsidRPr="00C03BA9">
        <w:rPr>
          <w:rStyle w:val="Refdenotaalpie"/>
          <w:szCs w:val="16"/>
        </w:rPr>
        <w:footnoteRef/>
      </w:r>
      <w:r w:rsidRPr="00C03BA9">
        <w:rPr>
          <w:rFonts w:ascii="Verdana" w:hAnsi="Verdana"/>
          <w:sz w:val="16"/>
          <w:szCs w:val="16"/>
        </w:rPr>
        <w:t xml:space="preserve"> </w:t>
      </w:r>
      <w:r w:rsidRPr="00C03BA9">
        <w:rPr>
          <w:rFonts w:ascii="Verdana" w:hAnsi="Verdana"/>
          <w:i/>
          <w:iCs/>
          <w:sz w:val="16"/>
          <w:szCs w:val="16"/>
        </w:rPr>
        <w:t>Supra</w:t>
      </w:r>
      <w:r w:rsidRPr="00C03BA9">
        <w:rPr>
          <w:rFonts w:ascii="Verdana" w:hAnsi="Verdana"/>
          <w:sz w:val="16"/>
          <w:szCs w:val="16"/>
        </w:rPr>
        <w:t xml:space="preserve">, </w:t>
      </w:r>
      <w:r w:rsidRPr="00C03BA9">
        <w:rPr>
          <w:rFonts w:ascii="Verdana" w:hAnsi="Verdana"/>
          <w:sz w:val="16"/>
          <w:szCs w:val="16"/>
          <w:lang w:val="es-419"/>
        </w:rPr>
        <w:t xml:space="preserve">Nota </w:t>
      </w:r>
      <w:proofErr w:type="spellStart"/>
      <w:r w:rsidRPr="00C03BA9">
        <w:rPr>
          <w:rFonts w:ascii="Verdana" w:hAnsi="Verdana"/>
          <w:sz w:val="16"/>
          <w:szCs w:val="16"/>
          <w:lang w:val="es-419"/>
        </w:rPr>
        <w:t>N°</w:t>
      </w:r>
      <w:proofErr w:type="spellEnd"/>
      <w:r w:rsidRPr="00C03BA9">
        <w:rPr>
          <w:rFonts w:ascii="Verdana" w:hAnsi="Verdana"/>
          <w:sz w:val="16"/>
          <w:szCs w:val="16"/>
          <w:lang w:val="es-419"/>
        </w:rPr>
        <w:t xml:space="preserve"> 4.</w:t>
      </w:r>
    </w:p>
  </w:footnote>
  <w:footnote w:id="78">
    <w:p w14:paraId="17A4DED3" w14:textId="77777777" w:rsidR="009B20E5" w:rsidRPr="00C03BA9" w:rsidRDefault="009B20E5" w:rsidP="00252474">
      <w:pPr>
        <w:pStyle w:val="Textonotapie"/>
        <w:ind w:left="-567"/>
        <w:rPr>
          <w:rFonts w:ascii="Verdana" w:hAnsi="Verdana"/>
          <w:sz w:val="16"/>
          <w:szCs w:val="16"/>
          <w:lang w:val="es-MX"/>
        </w:rPr>
      </w:pPr>
      <w:r w:rsidRPr="005551C8">
        <w:rPr>
          <w:rStyle w:val="Refdenotaalpie"/>
          <w:szCs w:val="16"/>
        </w:rPr>
        <w:footnoteRef/>
      </w:r>
      <w:r w:rsidRPr="005551C8">
        <w:rPr>
          <w:rFonts w:ascii="Verdana" w:hAnsi="Verdana"/>
          <w:sz w:val="16"/>
          <w:szCs w:val="16"/>
        </w:rPr>
        <w:t xml:space="preserve"> </w:t>
      </w:r>
      <w:proofErr w:type="spellStart"/>
      <w:r w:rsidRPr="005551C8">
        <w:rPr>
          <w:rFonts w:ascii="Verdana" w:hAnsi="Verdana"/>
          <w:sz w:val="16"/>
          <w:szCs w:val="16"/>
          <w:lang w:val="es-MX"/>
        </w:rPr>
        <w:t>Párrs</w:t>
      </w:r>
      <w:proofErr w:type="spellEnd"/>
      <w:r w:rsidRPr="005551C8">
        <w:rPr>
          <w:rFonts w:ascii="Verdana" w:hAnsi="Verdana"/>
          <w:sz w:val="16"/>
          <w:szCs w:val="16"/>
          <w:lang w:val="es-MX"/>
        </w:rPr>
        <w:t>. 21</w:t>
      </w:r>
      <w:r>
        <w:rPr>
          <w:rFonts w:ascii="Verdana" w:hAnsi="Verdana"/>
          <w:sz w:val="16"/>
          <w:szCs w:val="16"/>
          <w:lang w:val="es-MX"/>
        </w:rPr>
        <w:t>, 25</w:t>
      </w:r>
      <w:r w:rsidRPr="005551C8">
        <w:rPr>
          <w:rFonts w:ascii="Verdana" w:hAnsi="Verdana"/>
          <w:sz w:val="16"/>
          <w:szCs w:val="16"/>
          <w:lang w:val="es-MX"/>
        </w:rPr>
        <w:t xml:space="preserve"> y 39 y Notas </w:t>
      </w:r>
      <w:proofErr w:type="spellStart"/>
      <w:r w:rsidRPr="005551C8">
        <w:rPr>
          <w:rFonts w:ascii="Verdana" w:hAnsi="Verdana"/>
          <w:sz w:val="16"/>
          <w:szCs w:val="16"/>
          <w:lang w:val="es-MX"/>
        </w:rPr>
        <w:t>N°</w:t>
      </w:r>
      <w:proofErr w:type="spellEnd"/>
      <w:r w:rsidRPr="005551C8">
        <w:rPr>
          <w:rFonts w:ascii="Verdana" w:hAnsi="Verdana"/>
          <w:sz w:val="16"/>
          <w:szCs w:val="16"/>
          <w:lang w:val="es-MX"/>
        </w:rPr>
        <w:t xml:space="preserve"> </w:t>
      </w:r>
      <w:r>
        <w:rPr>
          <w:rFonts w:ascii="Verdana" w:hAnsi="Verdana"/>
          <w:sz w:val="16"/>
          <w:szCs w:val="16"/>
          <w:lang w:val="es-MX"/>
        </w:rPr>
        <w:t>39, 45 y</w:t>
      </w:r>
      <w:r w:rsidRPr="005551C8">
        <w:rPr>
          <w:rFonts w:ascii="Verdana" w:hAnsi="Verdana"/>
          <w:sz w:val="16"/>
          <w:szCs w:val="16"/>
          <w:lang w:val="es-MX"/>
        </w:rPr>
        <w:t xml:space="preserve"> </w:t>
      </w:r>
      <w:r>
        <w:rPr>
          <w:rFonts w:ascii="Verdana" w:hAnsi="Verdana"/>
          <w:sz w:val="16"/>
          <w:szCs w:val="16"/>
          <w:lang w:val="es-MX"/>
        </w:rPr>
        <w:t xml:space="preserve">68 </w:t>
      </w:r>
      <w:r w:rsidRPr="005551C8">
        <w:rPr>
          <w:rFonts w:ascii="Verdana" w:hAnsi="Verdana"/>
          <w:sz w:val="16"/>
          <w:szCs w:val="16"/>
          <w:lang w:val="es-MX"/>
        </w:rPr>
        <w:t>de la Resolución.</w:t>
      </w:r>
    </w:p>
    <w:p w14:paraId="2B051128" w14:textId="77777777" w:rsidR="009B20E5" w:rsidRPr="00C03BA9" w:rsidRDefault="009B20E5" w:rsidP="00252474">
      <w:pPr>
        <w:pStyle w:val="Textonotapie"/>
        <w:ind w:left="-567"/>
        <w:rPr>
          <w:rFonts w:ascii="Verdana" w:hAnsi="Verdana"/>
          <w:sz w:val="16"/>
          <w:szCs w:val="16"/>
          <w:lang w:val="es-MX"/>
        </w:rPr>
      </w:pPr>
    </w:p>
  </w:footnote>
  <w:footnote w:id="79">
    <w:p w14:paraId="7C6FF076" w14:textId="77777777" w:rsidR="009B20E5" w:rsidRPr="00C03BA9" w:rsidRDefault="009B20E5" w:rsidP="00252474">
      <w:pPr>
        <w:pStyle w:val="Textonotapie"/>
        <w:ind w:left="-567"/>
        <w:rPr>
          <w:rFonts w:ascii="Verdana" w:hAnsi="Verdana"/>
          <w:i/>
          <w:iCs/>
          <w:sz w:val="16"/>
          <w:szCs w:val="16"/>
        </w:rPr>
      </w:pPr>
      <w:r w:rsidRPr="00C03BA9">
        <w:rPr>
          <w:rStyle w:val="Refdenotaalpie"/>
          <w:szCs w:val="16"/>
        </w:rPr>
        <w:footnoteRef/>
      </w:r>
      <w:r w:rsidRPr="00C03BA9">
        <w:rPr>
          <w:rFonts w:ascii="Verdana" w:hAnsi="Verdana"/>
          <w:sz w:val="16"/>
          <w:szCs w:val="16"/>
        </w:rPr>
        <w:t xml:space="preserve"> Artículo</w:t>
      </w:r>
      <w:r>
        <w:rPr>
          <w:rFonts w:ascii="Verdana" w:hAnsi="Verdana"/>
          <w:sz w:val="16"/>
          <w:szCs w:val="16"/>
        </w:rPr>
        <w:t xml:space="preserve"> </w:t>
      </w:r>
      <w:r w:rsidRPr="00C03BA9">
        <w:rPr>
          <w:rFonts w:ascii="Verdana" w:hAnsi="Verdana"/>
          <w:sz w:val="16"/>
          <w:szCs w:val="16"/>
        </w:rPr>
        <w:t>38 del Estatuto de la Corte Internacional de Justicia: ”</w:t>
      </w:r>
      <w:r w:rsidRPr="00C03BA9">
        <w:rPr>
          <w:rFonts w:ascii="Verdana" w:hAnsi="Verdana"/>
          <w:i/>
          <w:iCs/>
          <w:sz w:val="16"/>
          <w:szCs w:val="16"/>
        </w:rPr>
        <w:t xml:space="preserve">1. La Corte, cuya función es decidir conforme al derecho internacional las controversias que le sean sometidas, deberá aplicar: a. las convenciones internacionales, sean generales o particulares, que establecen reglas expresamente reconocidas por los Estados litigantes; </w:t>
      </w:r>
      <w:r>
        <w:rPr>
          <w:rFonts w:ascii="Verdana" w:hAnsi="Verdana"/>
          <w:i/>
          <w:iCs/>
          <w:sz w:val="16"/>
          <w:szCs w:val="16"/>
        </w:rPr>
        <w:t>b</w:t>
      </w:r>
      <w:r w:rsidRPr="00C03BA9">
        <w:rPr>
          <w:rFonts w:ascii="Verdana" w:hAnsi="Verdana"/>
          <w:i/>
          <w:iCs/>
          <w:sz w:val="16"/>
          <w:szCs w:val="16"/>
        </w:rPr>
        <w:t xml:space="preserve">.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w:t>
      </w:r>
      <w:bookmarkStart w:id="22" w:name="_Hlk46943677"/>
      <w:r w:rsidRPr="00C03BA9">
        <w:rPr>
          <w:rFonts w:ascii="Verdana" w:hAnsi="Verdana"/>
          <w:i/>
          <w:iCs/>
          <w:sz w:val="16"/>
          <w:szCs w:val="16"/>
        </w:rPr>
        <w:t>la determinación de las reglas de derecho</w:t>
      </w:r>
      <w:bookmarkEnd w:id="22"/>
      <w:r w:rsidRPr="00C03BA9">
        <w:rPr>
          <w:rFonts w:ascii="Verdana" w:hAnsi="Verdana"/>
          <w:i/>
          <w:iCs/>
          <w:sz w:val="16"/>
          <w:szCs w:val="16"/>
        </w:rPr>
        <w:t xml:space="preserve">, sin perjuicio de lo dispuesto en el Artículo 59. </w:t>
      </w:r>
    </w:p>
    <w:p w14:paraId="6D68E343" w14:textId="77777777" w:rsidR="009B20E5" w:rsidRPr="00701468" w:rsidRDefault="009B20E5" w:rsidP="00252474">
      <w:pPr>
        <w:pStyle w:val="Textonotapie"/>
        <w:ind w:left="-567"/>
        <w:rPr>
          <w:rFonts w:ascii="Verdana" w:hAnsi="Verdana"/>
          <w:i/>
          <w:iCs/>
          <w:sz w:val="16"/>
          <w:szCs w:val="16"/>
        </w:rPr>
      </w:pPr>
      <w:r w:rsidRPr="00C03BA9">
        <w:rPr>
          <w:rFonts w:ascii="Verdana" w:hAnsi="Verdana"/>
          <w:i/>
          <w:iCs/>
          <w:sz w:val="16"/>
          <w:szCs w:val="16"/>
        </w:rPr>
        <w:t>2. La presente disposición no restringe la facultad de la Corte para decidir un litigio ex aequo et bono, si las partes así lo convinieren</w:t>
      </w:r>
      <w:r>
        <w:rPr>
          <w:rFonts w:ascii="Verdana" w:hAnsi="Verdana"/>
          <w:i/>
          <w:iCs/>
          <w:sz w:val="16"/>
          <w:szCs w:val="16"/>
        </w:rPr>
        <w:t>”</w:t>
      </w:r>
      <w:r w:rsidRPr="00C03BA9">
        <w:rPr>
          <w:rFonts w:ascii="Verdana" w:hAnsi="Verdana"/>
          <w:i/>
          <w:iCs/>
          <w:sz w:val="16"/>
          <w:szCs w:val="16"/>
        </w:rPr>
        <w:t>.</w:t>
      </w:r>
    </w:p>
  </w:footnote>
  <w:footnote w:id="80">
    <w:p w14:paraId="197F7E03"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D04496">
        <w:rPr>
          <w:rFonts w:ascii="Verdana" w:hAnsi="Verdana"/>
          <w:sz w:val="16"/>
          <w:szCs w:val="16"/>
        </w:rPr>
        <w:t xml:space="preserve">De acuerdo a la información aportada en la etapa de supervisión de cumplimiento de sentencia, y no controvertida por el Estado, el señor Juan Alonso Aranda Company es hermano de la víctima José Antonio Aranda Company, identificada en el Anexo 1 de la Sentencia bajo el numeral 37. </w:t>
      </w:r>
      <w:r w:rsidRPr="00D04496">
        <w:rPr>
          <w:rFonts w:ascii="Verdana" w:hAnsi="Verdana"/>
          <w:i/>
          <w:sz w:val="16"/>
          <w:szCs w:val="16"/>
        </w:rPr>
        <w:t xml:space="preserve">Cfr. Caso del Penal Miguel Castro </w:t>
      </w:r>
      <w:proofErr w:type="spellStart"/>
      <w:r w:rsidRPr="00D04496">
        <w:rPr>
          <w:rFonts w:ascii="Verdana" w:hAnsi="Verdana"/>
          <w:i/>
          <w:sz w:val="16"/>
          <w:szCs w:val="16"/>
        </w:rPr>
        <w:t>Castro</w:t>
      </w:r>
      <w:proofErr w:type="spellEnd"/>
      <w:r w:rsidRPr="00D04496">
        <w:rPr>
          <w:rFonts w:ascii="Verdana" w:hAnsi="Verdana"/>
          <w:i/>
          <w:sz w:val="16"/>
          <w:szCs w:val="16"/>
        </w:rPr>
        <w:t xml:space="preserve"> Vs. Perú. Fondo, Reparaciones y Costas</w:t>
      </w:r>
      <w:r w:rsidRPr="00D04496">
        <w:rPr>
          <w:rFonts w:ascii="Verdana" w:hAnsi="Verdana"/>
          <w:sz w:val="16"/>
          <w:szCs w:val="16"/>
        </w:rPr>
        <w:t xml:space="preserve">, </w:t>
      </w:r>
      <w:r w:rsidRPr="00D04496">
        <w:rPr>
          <w:rFonts w:ascii="Verdana" w:hAnsi="Verdana"/>
          <w:i/>
          <w:iCs/>
          <w:sz w:val="16"/>
          <w:szCs w:val="16"/>
        </w:rPr>
        <w:t xml:space="preserve">supra </w:t>
      </w:r>
      <w:r w:rsidRPr="00D04496">
        <w:rPr>
          <w:rFonts w:ascii="Verdana" w:hAnsi="Verdana"/>
          <w:sz w:val="16"/>
          <w:szCs w:val="16"/>
        </w:rPr>
        <w:t xml:space="preserve">nota 1, </w:t>
      </w:r>
      <w:proofErr w:type="spellStart"/>
      <w:r w:rsidRPr="00D04496">
        <w:rPr>
          <w:rFonts w:ascii="Verdana" w:hAnsi="Verdana"/>
          <w:sz w:val="16"/>
          <w:szCs w:val="16"/>
        </w:rPr>
        <w:t>párrs</w:t>
      </w:r>
      <w:proofErr w:type="spellEnd"/>
      <w:r w:rsidRPr="00D04496">
        <w:rPr>
          <w:rFonts w:ascii="Verdana" w:hAnsi="Verdana"/>
          <w:sz w:val="16"/>
          <w:szCs w:val="16"/>
        </w:rPr>
        <w:t xml:space="preserve">. 418 a 420; </w:t>
      </w:r>
      <w:r w:rsidRPr="00D04496">
        <w:rPr>
          <w:rFonts w:ascii="Verdana" w:hAnsi="Verdana"/>
          <w:i/>
          <w:sz w:val="16"/>
          <w:szCs w:val="16"/>
        </w:rPr>
        <w:t>Caso</w:t>
      </w:r>
      <w:r w:rsidRPr="00BF5749">
        <w:rPr>
          <w:rFonts w:ascii="Verdana" w:hAnsi="Verdana"/>
          <w:i/>
          <w:sz w:val="16"/>
          <w:szCs w:val="16"/>
        </w:rPr>
        <w:t xml:space="preserve"> del Penal Miguel Castro </w:t>
      </w:r>
      <w:proofErr w:type="spellStart"/>
      <w:r w:rsidRPr="00BF5749">
        <w:rPr>
          <w:rFonts w:ascii="Verdana" w:hAnsi="Verdana"/>
          <w:i/>
          <w:sz w:val="16"/>
          <w:szCs w:val="16"/>
        </w:rPr>
        <w:t>Castro</w:t>
      </w:r>
      <w:proofErr w:type="spellEnd"/>
      <w:r w:rsidRPr="00BF5749">
        <w:rPr>
          <w:rFonts w:ascii="Verdana" w:hAnsi="Verdana"/>
          <w:sz w:val="16"/>
          <w:szCs w:val="16"/>
        </w:rPr>
        <w:t xml:space="preserve">. </w:t>
      </w:r>
      <w:r w:rsidRPr="00BF5749">
        <w:rPr>
          <w:rFonts w:ascii="Verdana" w:hAnsi="Verdana"/>
          <w:i/>
          <w:sz w:val="16"/>
          <w:szCs w:val="16"/>
        </w:rPr>
        <w:t>Interpretación de la Sentencia de Fondo, Reparaciones y Costas</w:t>
      </w:r>
      <w:r w:rsidRPr="00BF5749">
        <w:rPr>
          <w:rFonts w:ascii="Verdana" w:hAnsi="Verdana"/>
          <w:sz w:val="16"/>
          <w:szCs w:val="16"/>
        </w:rPr>
        <w:t xml:space="preserve">, </w:t>
      </w:r>
      <w:r w:rsidRPr="00BF5749">
        <w:rPr>
          <w:rFonts w:ascii="Verdana" w:hAnsi="Verdana"/>
          <w:i/>
          <w:iCs/>
          <w:sz w:val="16"/>
          <w:szCs w:val="16"/>
        </w:rPr>
        <w:t>supra</w:t>
      </w:r>
      <w:r w:rsidRPr="00BF5749">
        <w:rPr>
          <w:rFonts w:ascii="Verdana" w:hAnsi="Verdana"/>
          <w:sz w:val="16"/>
          <w:szCs w:val="16"/>
        </w:rPr>
        <w:t xml:space="preserve"> nota 2, párr. 68 y escritos de la interviniente común Mónica Feria Tinta de 30 de julio de 2008, 11 de abril de 2010, 4 de febrero de 2011, 13 de marzo de 2013 y 28 de julio de 2014.</w:t>
      </w:r>
      <w:r>
        <w:rPr>
          <w:rFonts w:ascii="Verdana" w:hAnsi="Verdana"/>
          <w:sz w:val="16"/>
          <w:szCs w:val="16"/>
        </w:rPr>
        <w:t xml:space="preserve"> </w:t>
      </w:r>
    </w:p>
  </w:footnote>
  <w:footnote w:id="81">
    <w:p w14:paraId="4B11F3FC" w14:textId="77777777" w:rsidR="009B20E5" w:rsidRPr="00FA76F5" w:rsidRDefault="009B20E5" w:rsidP="009B20E5">
      <w:pPr>
        <w:pStyle w:val="Textonotapie"/>
        <w:jc w:val="both"/>
        <w:rPr>
          <w:rFonts w:ascii="Verdana" w:hAnsi="Verdana"/>
          <w:b/>
          <w:bCs/>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005EC">
        <w:rPr>
          <w:rFonts w:ascii="Verdana" w:hAnsi="Verdana"/>
          <w:i/>
          <w:sz w:val="16"/>
          <w:szCs w:val="16"/>
        </w:rPr>
        <w:t xml:space="preserve">Cfr. </w:t>
      </w:r>
      <w:r w:rsidRPr="002005EC">
        <w:rPr>
          <w:rStyle w:val="Textoennegrita"/>
          <w:rFonts w:ascii="Verdana" w:hAnsi="Verdana"/>
          <w:b w:val="0"/>
          <w:bCs w:val="0"/>
          <w:i/>
          <w:color w:val="000000"/>
          <w:sz w:val="16"/>
          <w:szCs w:val="16"/>
          <w:shd w:val="clear" w:color="auto" w:fill="FFFFFF"/>
        </w:rPr>
        <w:t>Caso Juan Humberto Sánchez Vs. Honduras.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7 de febrero de 2006, Considerando 8;</w:t>
      </w:r>
      <w:r w:rsidRPr="002005EC">
        <w:rPr>
          <w:rStyle w:val="Textoennegrita"/>
          <w:rFonts w:ascii="Verdana" w:hAnsi="Verdana"/>
          <w:b w:val="0"/>
          <w:bCs w:val="0"/>
          <w:i/>
          <w:color w:val="000000"/>
          <w:sz w:val="16"/>
          <w:szCs w:val="16"/>
          <w:shd w:val="clear" w:color="auto" w:fill="FFFFFF"/>
        </w:rPr>
        <w:t xml:space="preserve"> Caso de la Comunidad </w:t>
      </w:r>
      <w:proofErr w:type="spellStart"/>
      <w:r w:rsidRPr="002005EC">
        <w:rPr>
          <w:rStyle w:val="Textoennegrita"/>
          <w:rFonts w:ascii="Verdana" w:hAnsi="Verdana"/>
          <w:b w:val="0"/>
          <w:bCs w:val="0"/>
          <w:i/>
          <w:color w:val="000000"/>
          <w:sz w:val="16"/>
          <w:szCs w:val="16"/>
          <w:shd w:val="clear" w:color="auto" w:fill="FFFFFF"/>
        </w:rPr>
        <w:t>Mayagna</w:t>
      </w:r>
      <w:proofErr w:type="spellEnd"/>
      <w:r w:rsidRPr="002005EC">
        <w:rPr>
          <w:rStyle w:val="Textoennegrita"/>
          <w:rFonts w:ascii="Verdana" w:hAnsi="Verdana"/>
          <w:b w:val="0"/>
          <w:bCs w:val="0"/>
          <w:i/>
          <w:color w:val="000000"/>
          <w:sz w:val="16"/>
          <w:szCs w:val="16"/>
          <w:shd w:val="clear" w:color="auto" w:fill="FFFFFF"/>
        </w:rPr>
        <w:t xml:space="preserve"> (Sumo) </w:t>
      </w:r>
      <w:proofErr w:type="spellStart"/>
      <w:r w:rsidRPr="002005EC">
        <w:rPr>
          <w:rStyle w:val="Textoennegrita"/>
          <w:rFonts w:ascii="Verdana" w:hAnsi="Verdana"/>
          <w:b w:val="0"/>
          <w:bCs w:val="0"/>
          <w:i/>
          <w:color w:val="000000"/>
          <w:sz w:val="16"/>
          <w:szCs w:val="16"/>
          <w:shd w:val="clear" w:color="auto" w:fill="FFFFFF"/>
        </w:rPr>
        <w:t>Awas</w:t>
      </w:r>
      <w:proofErr w:type="spellEnd"/>
      <w:r w:rsidRPr="002005EC">
        <w:rPr>
          <w:rStyle w:val="Textoennegrita"/>
          <w:rFonts w:ascii="Verdana" w:hAnsi="Verdana"/>
          <w:b w:val="0"/>
          <w:bCs w:val="0"/>
          <w:i/>
          <w:color w:val="000000"/>
          <w:sz w:val="16"/>
          <w:szCs w:val="16"/>
          <w:shd w:val="clear" w:color="auto" w:fill="FFFFFF"/>
        </w:rPr>
        <w:t xml:space="preserve"> </w:t>
      </w:r>
      <w:proofErr w:type="spellStart"/>
      <w:r w:rsidRPr="002005EC">
        <w:rPr>
          <w:rStyle w:val="Textoennegrita"/>
          <w:rFonts w:ascii="Verdana" w:hAnsi="Verdana"/>
          <w:b w:val="0"/>
          <w:bCs w:val="0"/>
          <w:i/>
          <w:color w:val="000000"/>
          <w:sz w:val="16"/>
          <w:szCs w:val="16"/>
          <w:shd w:val="clear" w:color="auto" w:fill="FFFFFF"/>
        </w:rPr>
        <w:t>Tingni</w:t>
      </w:r>
      <w:proofErr w:type="spellEnd"/>
      <w:r w:rsidRPr="002005EC">
        <w:rPr>
          <w:rStyle w:val="Textoennegrita"/>
          <w:rFonts w:ascii="Verdana" w:hAnsi="Verdana"/>
          <w:b w:val="0"/>
          <w:bCs w:val="0"/>
          <w:i/>
          <w:color w:val="000000"/>
          <w:sz w:val="16"/>
          <w:szCs w:val="16"/>
          <w:shd w:val="clear" w:color="auto" w:fill="FFFFFF"/>
        </w:rPr>
        <w:t xml:space="preserve"> Vs. Nicaragua.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26 de noviembre de 2007, Considerandos 10 y 11; </w:t>
      </w:r>
      <w:r w:rsidRPr="002005EC">
        <w:rPr>
          <w:rStyle w:val="Textoennegrita"/>
          <w:rFonts w:ascii="Verdana" w:hAnsi="Verdana"/>
          <w:b w:val="0"/>
          <w:bCs w:val="0"/>
          <w:i/>
          <w:color w:val="000000"/>
          <w:sz w:val="16"/>
          <w:szCs w:val="16"/>
          <w:shd w:val="clear" w:color="auto" w:fill="FFFFFF"/>
        </w:rPr>
        <w:t xml:space="preserve">Caso del Pueblo de </w:t>
      </w:r>
      <w:proofErr w:type="spellStart"/>
      <w:r w:rsidRPr="002005EC">
        <w:rPr>
          <w:rStyle w:val="Textoennegrita"/>
          <w:rFonts w:ascii="Verdana" w:hAnsi="Verdana"/>
          <w:b w:val="0"/>
          <w:bCs w:val="0"/>
          <w:i/>
          <w:color w:val="000000"/>
          <w:sz w:val="16"/>
          <w:szCs w:val="16"/>
          <w:shd w:val="clear" w:color="auto" w:fill="FFFFFF"/>
        </w:rPr>
        <w:t>Saramaka</w:t>
      </w:r>
      <w:proofErr w:type="spellEnd"/>
      <w:r w:rsidRPr="002005EC">
        <w:rPr>
          <w:rStyle w:val="Textoennegrita"/>
          <w:rFonts w:ascii="Verdana" w:hAnsi="Verdana"/>
          <w:b w:val="0"/>
          <w:bCs w:val="0"/>
          <w:i/>
          <w:color w:val="000000"/>
          <w:sz w:val="16"/>
          <w:szCs w:val="16"/>
          <w:shd w:val="clear" w:color="auto" w:fill="FFFFFF"/>
        </w:rPr>
        <w:t xml:space="preserve"> Vs. Surinam. Solicitud de Medidas Provisionales y supervisión de cumplimiento de sentencia</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4 de septiembre de 2013, Considerando 23; </w:t>
      </w:r>
      <w:r w:rsidRPr="002005EC">
        <w:rPr>
          <w:rStyle w:val="Textoennegrita"/>
          <w:rFonts w:ascii="Verdana" w:hAnsi="Verdana"/>
          <w:b w:val="0"/>
          <w:bCs w:val="0"/>
          <w:i/>
          <w:color w:val="000000"/>
          <w:sz w:val="16"/>
          <w:szCs w:val="16"/>
          <w:shd w:val="clear" w:color="auto" w:fill="FFFFFF"/>
        </w:rPr>
        <w:t>Caso Artavia Murillo y otros (“Fecundación in Vitro”) Vs. Costa Rica. Solicitud de Medidas Provisionales</w:t>
      </w:r>
      <w:r w:rsidRPr="002005EC">
        <w:rPr>
          <w:rStyle w:val="Textoennegrita"/>
          <w:rFonts w:ascii="Verdana" w:hAnsi="Verdana"/>
          <w:b w:val="0"/>
          <w:bCs w:val="0"/>
          <w:color w:val="000000"/>
          <w:sz w:val="16"/>
          <w:szCs w:val="16"/>
          <w:shd w:val="clear" w:color="auto" w:fill="FFFFFF"/>
        </w:rPr>
        <w:t>. Resolución de la Corte Interamericana de Derechos Humanos de 31 de marzo de 2014, Considerandos 9 y 10;</w:t>
      </w:r>
      <w:r w:rsidRPr="00221D27">
        <w:rPr>
          <w:rStyle w:val="Textoennegrita"/>
          <w:rFonts w:ascii="Verdana" w:hAnsi="Verdana"/>
          <w:b w:val="0"/>
          <w:bCs w:val="0"/>
          <w:color w:val="000000"/>
          <w:sz w:val="16"/>
          <w:szCs w:val="16"/>
          <w:shd w:val="clear" w:color="auto" w:fill="FFFFFF"/>
        </w:rPr>
        <w:t xml:space="preserve"> </w:t>
      </w:r>
      <w:r w:rsidRPr="00221D27">
        <w:rPr>
          <w:rStyle w:val="Textoennegrita"/>
          <w:rFonts w:ascii="Verdana" w:hAnsi="Verdana"/>
          <w:b w:val="0"/>
          <w:bCs w:val="0"/>
          <w:i/>
          <w:color w:val="000000"/>
          <w:sz w:val="16"/>
          <w:szCs w:val="16"/>
          <w:shd w:val="clear" w:color="auto" w:fill="FFFFFF"/>
        </w:rPr>
        <w:t>Caso Acevedo Jaramillo y otros Vs. Perú. Solicitud de Medidas Provisionales.</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28 de agosto de 2015, Considerandos 7 y 8; </w:t>
      </w:r>
      <w:r>
        <w:rPr>
          <w:rStyle w:val="Textoennegrita"/>
          <w:rFonts w:ascii="Verdana" w:hAnsi="Verdana"/>
          <w:b w:val="0"/>
          <w:bCs w:val="0"/>
          <w:i/>
          <w:color w:val="000000"/>
          <w:sz w:val="16"/>
          <w:szCs w:val="16"/>
          <w:shd w:val="clear" w:color="auto" w:fill="FFFFFF"/>
        </w:rPr>
        <w:t xml:space="preserve">Caso Gonzáles </w:t>
      </w:r>
      <w:proofErr w:type="spellStart"/>
      <w:r>
        <w:rPr>
          <w:rStyle w:val="Textoennegrita"/>
          <w:rFonts w:ascii="Verdana" w:hAnsi="Verdana"/>
          <w:b w:val="0"/>
          <w:bCs w:val="0"/>
          <w:i/>
          <w:color w:val="000000"/>
          <w:sz w:val="16"/>
          <w:szCs w:val="16"/>
          <w:shd w:val="clear" w:color="auto" w:fill="FFFFFF"/>
        </w:rPr>
        <w:t>Lluy</w:t>
      </w:r>
      <w:proofErr w:type="spellEnd"/>
      <w:r>
        <w:rPr>
          <w:rStyle w:val="Textoennegrita"/>
          <w:rFonts w:ascii="Verdana" w:hAnsi="Verdana"/>
          <w:b w:val="0"/>
          <w:bCs w:val="0"/>
          <w:i/>
          <w:color w:val="000000"/>
          <w:sz w:val="16"/>
          <w:szCs w:val="16"/>
          <w:shd w:val="clear" w:color="auto" w:fill="FFFFFF"/>
        </w:rPr>
        <w:t xml:space="preserve"> y otros Vs. Ecuador. Medidas Provisionales. </w:t>
      </w:r>
      <w:r>
        <w:rPr>
          <w:rStyle w:val="Textoennegrita"/>
          <w:rFonts w:ascii="Verdana" w:hAnsi="Verdana"/>
          <w:b w:val="0"/>
          <w:bCs w:val="0"/>
          <w:color w:val="000000"/>
          <w:sz w:val="16"/>
          <w:szCs w:val="16"/>
          <w:shd w:val="clear" w:color="auto" w:fill="FFFFFF"/>
        </w:rPr>
        <w:t>Resolución de la Corte Interamericana de Derechos Humanos de 2 de setiembre de 2015, Considerandos 25 y 26;</w:t>
      </w:r>
      <w:r>
        <w:rPr>
          <w:rStyle w:val="Textoennegrita"/>
          <w:rFonts w:ascii="Verdana" w:hAnsi="Verdana"/>
          <w:b w:val="0"/>
          <w:bCs w:val="0"/>
          <w:i/>
          <w:color w:val="000000"/>
          <w:sz w:val="16"/>
          <w:szCs w:val="16"/>
          <w:shd w:val="clear" w:color="auto" w:fill="FFFFFF"/>
        </w:rPr>
        <w:t xml:space="preserve"> </w:t>
      </w:r>
      <w:r w:rsidRPr="00191FE3">
        <w:rPr>
          <w:rStyle w:val="Textoennegrita"/>
          <w:rFonts w:ascii="Verdana" w:hAnsi="Verdana"/>
          <w:b w:val="0"/>
          <w:bCs w:val="0"/>
          <w:i/>
          <w:color w:val="000000"/>
          <w:sz w:val="16"/>
          <w:szCs w:val="16"/>
          <w:shd w:val="clear" w:color="auto" w:fill="FFFFFF"/>
        </w:rPr>
        <w:t>Caso I.V</w:t>
      </w:r>
      <w:r>
        <w:rPr>
          <w:rStyle w:val="Textoennegrita"/>
          <w:rFonts w:ascii="Verdana" w:hAnsi="Verdana"/>
          <w:b w:val="0"/>
          <w:bCs w:val="0"/>
          <w:i/>
          <w:color w:val="000000"/>
          <w:sz w:val="16"/>
          <w:szCs w:val="16"/>
          <w:shd w:val="clear" w:color="auto" w:fill="FFFFFF"/>
        </w:rPr>
        <w:t>.</w:t>
      </w:r>
      <w:r w:rsidRPr="00191FE3">
        <w:rPr>
          <w:rStyle w:val="Textoennegrita"/>
          <w:rFonts w:ascii="Verdana" w:hAnsi="Verdana"/>
          <w:b w:val="0"/>
          <w:bCs w:val="0"/>
          <w:i/>
          <w:color w:val="000000"/>
          <w:sz w:val="16"/>
          <w:szCs w:val="16"/>
          <w:shd w:val="clear" w:color="auto" w:fill="FFFFFF"/>
        </w:rPr>
        <w:t xml:space="preserve"> Vs. Bolivia. Solicitud de Medidas Provisionales</w:t>
      </w:r>
      <w:r>
        <w:rPr>
          <w:rStyle w:val="Textoennegrita"/>
          <w:rFonts w:ascii="Verdana" w:hAnsi="Verdana"/>
          <w:b w:val="0"/>
          <w:bCs w:val="0"/>
          <w:color w:val="000000"/>
          <w:sz w:val="16"/>
          <w:szCs w:val="16"/>
          <w:shd w:val="clear" w:color="auto" w:fill="FFFFFF"/>
        </w:rPr>
        <w:t xml:space="preserve">. Resolución de la Corte Interamericana de Derechos Humanos de 25 de mayo de 2017, Considerandos 11 y 12; </w:t>
      </w:r>
      <w:r w:rsidRPr="00221D27">
        <w:rPr>
          <w:rStyle w:val="Textoennegrita"/>
          <w:rFonts w:ascii="Verdana" w:hAnsi="Verdana"/>
          <w:b w:val="0"/>
          <w:bCs w:val="0"/>
          <w:i/>
          <w:color w:val="000000"/>
          <w:sz w:val="16"/>
          <w:szCs w:val="16"/>
          <w:shd w:val="clear" w:color="auto" w:fill="FFFFFF"/>
        </w:rPr>
        <w:t xml:space="preserve">Caso </w:t>
      </w:r>
      <w:proofErr w:type="spellStart"/>
      <w:r w:rsidRPr="00221D27">
        <w:rPr>
          <w:rStyle w:val="Textoennegrita"/>
          <w:rFonts w:ascii="Verdana" w:hAnsi="Verdana"/>
          <w:b w:val="0"/>
          <w:bCs w:val="0"/>
          <w:i/>
          <w:color w:val="000000"/>
          <w:sz w:val="16"/>
          <w:szCs w:val="16"/>
          <w:shd w:val="clear" w:color="auto" w:fill="FFFFFF"/>
        </w:rPr>
        <w:t>Cesti</w:t>
      </w:r>
      <w:proofErr w:type="spellEnd"/>
      <w:r w:rsidRPr="00221D27">
        <w:rPr>
          <w:rStyle w:val="Textoennegrita"/>
          <w:rFonts w:ascii="Verdana" w:hAnsi="Verdana"/>
          <w:b w:val="0"/>
          <w:bCs w:val="0"/>
          <w:i/>
          <w:color w:val="000000"/>
          <w:sz w:val="16"/>
          <w:szCs w:val="16"/>
          <w:shd w:val="clear" w:color="auto" w:fill="FFFFFF"/>
        </w:rPr>
        <w:t xml:space="preserve"> Hurtado Vs. Perú. Solicitud de Medidas Provisionales y supervisión de cumplimiento de sentencia.</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14 de octubre de 2019, Considerandos 24 a 26.</w:t>
      </w:r>
    </w:p>
  </w:footnote>
  <w:footnote w:id="82">
    <w:p w14:paraId="0AC9DB8C" w14:textId="77777777" w:rsidR="009B20E5" w:rsidRPr="00E16E09"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Pr>
          <w:rFonts w:ascii="Verdana" w:hAnsi="Verdana"/>
          <w:i/>
          <w:sz w:val="16"/>
          <w:szCs w:val="16"/>
        </w:rPr>
        <w:t xml:space="preserve">Cfr. </w:t>
      </w:r>
      <w:r w:rsidRPr="00221D27">
        <w:rPr>
          <w:rFonts w:ascii="Verdana" w:hAnsi="Verdana"/>
          <w:i/>
          <w:sz w:val="16"/>
          <w:szCs w:val="16"/>
        </w:rPr>
        <w:t>Caso Durand y Ugarte Vs. Perú. Medidas Provisionales.</w:t>
      </w:r>
      <w:r w:rsidRPr="00221D27">
        <w:rPr>
          <w:rFonts w:ascii="Verdana" w:hAnsi="Verdana"/>
          <w:sz w:val="16"/>
          <w:szCs w:val="16"/>
        </w:rPr>
        <w:t xml:space="preserve"> Resolución </w:t>
      </w:r>
      <w:r>
        <w:rPr>
          <w:rFonts w:ascii="Verdana" w:hAnsi="Verdana"/>
          <w:sz w:val="16"/>
          <w:szCs w:val="16"/>
        </w:rPr>
        <w:t xml:space="preserve">de la Corte Interamericana de Derechos Humanos </w:t>
      </w:r>
      <w:r w:rsidRPr="00221D27">
        <w:rPr>
          <w:rFonts w:ascii="Verdana" w:hAnsi="Verdana"/>
          <w:sz w:val="16"/>
          <w:szCs w:val="16"/>
        </w:rPr>
        <w:t>de 8 de febrero de 2018</w:t>
      </w:r>
      <w:r>
        <w:rPr>
          <w:rFonts w:ascii="Verdana" w:hAnsi="Verdana"/>
          <w:sz w:val="16"/>
          <w:szCs w:val="16"/>
        </w:rPr>
        <w:t>,</w:t>
      </w:r>
      <w:r w:rsidRPr="00221D27">
        <w:rPr>
          <w:rFonts w:ascii="Verdana" w:hAnsi="Verdana"/>
          <w:sz w:val="16"/>
          <w:szCs w:val="16"/>
        </w:rPr>
        <w:t xml:space="preserve"> </w:t>
      </w:r>
      <w:r>
        <w:rPr>
          <w:rFonts w:ascii="Verdana" w:hAnsi="Verdana"/>
          <w:sz w:val="16"/>
          <w:szCs w:val="16"/>
        </w:rPr>
        <w:t xml:space="preserve">y </w:t>
      </w:r>
      <w:r w:rsidRPr="00221D27">
        <w:rPr>
          <w:rFonts w:ascii="Verdana" w:hAnsi="Verdana"/>
          <w:bCs/>
          <w:i/>
          <w:sz w:val="16"/>
          <w:szCs w:val="16"/>
        </w:rPr>
        <w:t xml:space="preserve">Caso Miembros de la Aldea </w:t>
      </w:r>
      <w:proofErr w:type="spellStart"/>
      <w:r w:rsidRPr="00221D27">
        <w:rPr>
          <w:rFonts w:ascii="Verdana" w:hAnsi="Verdana"/>
          <w:bCs/>
          <w:i/>
          <w:sz w:val="16"/>
          <w:szCs w:val="16"/>
        </w:rPr>
        <w:t>Chichupac</w:t>
      </w:r>
      <w:proofErr w:type="spellEnd"/>
      <w:r w:rsidRPr="00221D27">
        <w:rPr>
          <w:rFonts w:ascii="Verdana" w:hAnsi="Verdana"/>
          <w:bCs/>
          <w:i/>
          <w:sz w:val="16"/>
          <w:szCs w:val="16"/>
        </w:rPr>
        <w:t xml:space="preserve"> y comunidades vecinas del Municipio de Rabinal, Caso Molina </w:t>
      </w:r>
      <w:proofErr w:type="spellStart"/>
      <w:r w:rsidRPr="00221D27">
        <w:rPr>
          <w:rFonts w:ascii="Verdana" w:hAnsi="Verdana"/>
          <w:bCs/>
          <w:i/>
          <w:sz w:val="16"/>
          <w:szCs w:val="16"/>
        </w:rPr>
        <w:t>Theissen</w:t>
      </w:r>
      <w:proofErr w:type="spellEnd"/>
      <w:r w:rsidRPr="00221D27">
        <w:rPr>
          <w:rFonts w:ascii="Verdana" w:hAnsi="Verdana"/>
          <w:bCs/>
          <w:i/>
          <w:sz w:val="16"/>
          <w:szCs w:val="16"/>
        </w:rPr>
        <w:t xml:space="preserve"> y otros 12 Casos Guatemaltecos Vs. Guatemala. Medidas Provisionales y Supervisión de Cumplimiento de Sentencia.</w:t>
      </w:r>
      <w:r w:rsidRPr="00221D27">
        <w:rPr>
          <w:rFonts w:ascii="Verdana" w:hAnsi="Verdana"/>
          <w:bCs/>
          <w:sz w:val="16"/>
          <w:szCs w:val="16"/>
        </w:rPr>
        <w:t xml:space="preserve"> Resolución </w:t>
      </w:r>
      <w:r>
        <w:rPr>
          <w:rFonts w:ascii="Verdana" w:hAnsi="Verdana"/>
          <w:bCs/>
          <w:sz w:val="16"/>
          <w:szCs w:val="16"/>
        </w:rPr>
        <w:t xml:space="preserve">de la Corte Interamericana de Derechos Humanos </w:t>
      </w:r>
      <w:r w:rsidRPr="00221D27">
        <w:rPr>
          <w:rFonts w:ascii="Verdana" w:hAnsi="Verdana"/>
          <w:bCs/>
          <w:sz w:val="16"/>
          <w:szCs w:val="16"/>
        </w:rPr>
        <w:t>de 12 de marzo de 2019</w:t>
      </w:r>
      <w:r w:rsidRPr="003F0B58">
        <w:rPr>
          <w:rFonts w:ascii="Verdana" w:hAnsi="Verdana"/>
          <w:sz w:val="16"/>
          <w:szCs w:val="16"/>
        </w:rPr>
        <w:t>.</w:t>
      </w:r>
    </w:p>
  </w:footnote>
  <w:footnote w:id="83">
    <w:p w14:paraId="7CF84AE5" w14:textId="77777777" w:rsidR="009B20E5" w:rsidRPr="00937ACF" w:rsidRDefault="009B20E5" w:rsidP="009B20E5">
      <w:pPr>
        <w:pStyle w:val="Textonotapie"/>
        <w:jc w:val="both"/>
        <w:rPr>
          <w:rFonts w:ascii="Verdana" w:hAnsi="Verdana"/>
          <w:sz w:val="16"/>
          <w:szCs w:val="16"/>
          <w:lang w:val="es-MX"/>
        </w:rPr>
      </w:pPr>
      <w:r w:rsidRPr="00937ACF">
        <w:rPr>
          <w:rStyle w:val="Refdenotaalpie"/>
          <w:szCs w:val="16"/>
        </w:rPr>
        <w:footnoteRef/>
      </w:r>
      <w:r w:rsidRPr="00937ACF">
        <w:rPr>
          <w:rFonts w:ascii="Verdana" w:hAnsi="Verdana"/>
          <w:sz w:val="16"/>
          <w:szCs w:val="16"/>
        </w:rPr>
        <w:t xml:space="preserve"> </w:t>
      </w:r>
      <w:r w:rsidRPr="00937ACF">
        <w:rPr>
          <w:rFonts w:ascii="Verdana" w:hAnsi="Verdana"/>
          <w:sz w:val="16"/>
          <w:szCs w:val="16"/>
        </w:rPr>
        <w:tab/>
      </w:r>
      <w:r w:rsidRPr="00937ACF">
        <w:rPr>
          <w:rFonts w:ascii="Verdana" w:hAnsi="Verdana"/>
          <w:i/>
          <w:sz w:val="16"/>
          <w:szCs w:val="16"/>
          <w:lang w:val="es-MX"/>
        </w:rPr>
        <w:t xml:space="preserve">Cfr. </w:t>
      </w:r>
      <w:r w:rsidRPr="00937ACF">
        <w:rPr>
          <w:rFonts w:ascii="Verdana" w:hAnsi="Verdana" w:cs="Arial"/>
          <w:i/>
          <w:iCs/>
          <w:sz w:val="16"/>
          <w:szCs w:val="16"/>
          <w:shd w:val="clear" w:color="auto" w:fill="FFFFFF"/>
        </w:rPr>
        <w:t>Caso Vélez Loor Vs. Panamá. Medidas Provisionales. Adopción de Medidas Provisionales.</w:t>
      </w:r>
      <w:r w:rsidRPr="00937ACF">
        <w:rPr>
          <w:rFonts w:ascii="Verdana" w:hAnsi="Verdana" w:cs="Arial"/>
          <w:sz w:val="16"/>
          <w:szCs w:val="16"/>
          <w:shd w:val="clear" w:color="auto" w:fill="FFFFFF"/>
        </w:rPr>
        <w:t xml:space="preserve"> Resolución de la Corte Interamericana de Derechos Humanos de 29 de julio de 2020.</w:t>
      </w:r>
    </w:p>
  </w:footnote>
  <w:footnote w:id="84">
    <w:p w14:paraId="5C5E2681" w14:textId="77777777" w:rsidR="009B20E5" w:rsidRPr="00221D27" w:rsidRDefault="009B20E5" w:rsidP="009B20E5">
      <w:pPr>
        <w:pStyle w:val="Textonotapie"/>
        <w:tabs>
          <w:tab w:val="left" w:pos="567"/>
        </w:tabs>
        <w:jc w:val="both"/>
        <w:rPr>
          <w:rFonts w:ascii="Verdana" w:hAnsi="Verdana"/>
          <w:sz w:val="16"/>
          <w:szCs w:val="16"/>
          <w:lang w:val="es-CR"/>
        </w:rPr>
      </w:pPr>
      <w:r w:rsidRPr="00221D27">
        <w:rPr>
          <w:rStyle w:val="Refdenotaalpie"/>
          <w:szCs w:val="16"/>
        </w:rPr>
        <w:footnoteRef/>
      </w:r>
      <w:r w:rsidRPr="00221D27">
        <w:rPr>
          <w:rFonts w:ascii="Verdana" w:hAnsi="Verdana"/>
          <w:sz w:val="16"/>
          <w:szCs w:val="16"/>
          <w:lang w:val="es-CR"/>
        </w:rPr>
        <w:t xml:space="preserve"> </w:t>
      </w:r>
      <w:r w:rsidRPr="00221D27">
        <w:rPr>
          <w:rFonts w:ascii="Verdana" w:hAnsi="Verdana"/>
          <w:sz w:val="16"/>
          <w:szCs w:val="16"/>
          <w:lang w:val="es-CR"/>
        </w:rPr>
        <w:tab/>
      </w:r>
      <w:r w:rsidRPr="00C1731C">
        <w:rPr>
          <w:rFonts w:ascii="Verdana" w:hAnsi="Verdana"/>
          <w:i/>
          <w:sz w:val="16"/>
          <w:szCs w:val="16"/>
          <w:lang w:val="es-CR"/>
        </w:rPr>
        <w:t xml:space="preserve">Cfr. Caso Carpio </w:t>
      </w:r>
      <w:proofErr w:type="spellStart"/>
      <w:r w:rsidRPr="00C1731C">
        <w:rPr>
          <w:rFonts w:ascii="Verdana" w:hAnsi="Verdana"/>
          <w:i/>
          <w:sz w:val="16"/>
          <w:szCs w:val="16"/>
          <w:lang w:val="es-CR"/>
        </w:rPr>
        <w:t>Nicolle</w:t>
      </w:r>
      <w:proofErr w:type="spellEnd"/>
      <w:r w:rsidRPr="00C1731C">
        <w:rPr>
          <w:rFonts w:ascii="Verdana" w:hAnsi="Verdana"/>
          <w:i/>
          <w:sz w:val="16"/>
          <w:szCs w:val="16"/>
          <w:lang w:val="es-CR"/>
        </w:rPr>
        <w:t xml:space="preserve"> y otros </w:t>
      </w:r>
      <w:r>
        <w:rPr>
          <w:rFonts w:ascii="Verdana" w:hAnsi="Verdana"/>
          <w:i/>
          <w:sz w:val="16"/>
          <w:szCs w:val="16"/>
          <w:lang w:val="es-CR"/>
        </w:rPr>
        <w:t>Vs.</w:t>
      </w:r>
      <w:r w:rsidRPr="00C1731C">
        <w:rPr>
          <w:rFonts w:ascii="Verdana" w:hAnsi="Verdana"/>
          <w:i/>
          <w:sz w:val="16"/>
          <w:szCs w:val="16"/>
          <w:lang w:val="es-CR"/>
        </w:rPr>
        <w:t xml:space="preserve"> Guatemala. Medidas Provisionales.</w:t>
      </w:r>
      <w:r w:rsidRPr="00C1731C">
        <w:rPr>
          <w:rFonts w:ascii="Verdana" w:hAnsi="Verdana"/>
          <w:sz w:val="16"/>
          <w:szCs w:val="16"/>
          <w:lang w:val="es-CR"/>
        </w:rPr>
        <w:t xml:space="preserve"> Resolución de la Corte Interamericana de Derechos Humanos de 6 de julio de 2009, Considerando 14, y </w:t>
      </w:r>
      <w:r w:rsidRPr="00C1731C">
        <w:rPr>
          <w:rFonts w:ascii="Verdana" w:hAnsi="Verdana"/>
          <w:i/>
          <w:sz w:val="16"/>
          <w:szCs w:val="16"/>
          <w:lang w:val="es-CR"/>
        </w:rPr>
        <w:t>Asuntos de Determinados Centros Penitenciarios de Venezuela. Humberto Prado. Marianela Sánchez Ortiz y familia. Medidas Provisionales respecto de Venezuela.</w:t>
      </w:r>
      <w:r w:rsidRPr="00C1731C">
        <w:rPr>
          <w:rFonts w:ascii="Verdana" w:hAnsi="Verdana"/>
          <w:sz w:val="16"/>
          <w:szCs w:val="16"/>
          <w:lang w:val="es-CR"/>
        </w:rPr>
        <w:t xml:space="preserve"> Resolución de la Corte Interamericana de Derechos Humanos de 8 de julio de 2020, Considerando 2.</w:t>
      </w:r>
      <w:r>
        <w:rPr>
          <w:rFonts w:ascii="Verdana" w:hAnsi="Verdana"/>
          <w:sz w:val="16"/>
          <w:szCs w:val="16"/>
          <w:lang w:val="es-CR"/>
        </w:rPr>
        <w:t xml:space="preserve"> </w:t>
      </w:r>
    </w:p>
  </w:footnote>
  <w:footnote w:id="85">
    <w:p w14:paraId="22F811AF" w14:textId="77777777" w:rsidR="009B20E5" w:rsidRPr="002907CD" w:rsidRDefault="009B20E5" w:rsidP="009B20E5">
      <w:pPr>
        <w:tabs>
          <w:tab w:val="left" w:pos="567"/>
        </w:tabs>
        <w:jc w:val="both"/>
        <w:rPr>
          <w:rFonts w:ascii="Verdana" w:hAnsi="Verdana"/>
          <w:i/>
          <w:iCs/>
          <w:sz w:val="16"/>
          <w:szCs w:val="16"/>
          <w:lang w:val="es-ES"/>
        </w:rPr>
      </w:pPr>
      <w:r w:rsidRPr="00221D27">
        <w:rPr>
          <w:rStyle w:val="Refdenotaalpie"/>
          <w:szCs w:val="16"/>
        </w:rPr>
        <w:footnoteRef/>
      </w:r>
      <w:r w:rsidRPr="00221D27">
        <w:rPr>
          <w:rFonts w:ascii="Verdana" w:hAnsi="Verdana"/>
          <w:sz w:val="16"/>
          <w:szCs w:val="16"/>
        </w:rPr>
        <w:tab/>
      </w:r>
      <w:r w:rsidRPr="002907CD">
        <w:rPr>
          <w:rFonts w:ascii="Verdana" w:hAnsi="Verdana"/>
          <w:i/>
          <w:iCs/>
          <w:sz w:val="16"/>
          <w:szCs w:val="16"/>
          <w:lang w:val="es-ES"/>
        </w:rPr>
        <w:t xml:space="preserve">Cfr. </w:t>
      </w:r>
      <w:r w:rsidRPr="002907CD">
        <w:rPr>
          <w:rFonts w:ascii="Verdana" w:hAnsi="Verdana"/>
          <w:i/>
          <w:sz w:val="16"/>
          <w:szCs w:val="16"/>
          <w:lang w:val="es-CR"/>
        </w:rPr>
        <w:t xml:space="preserve">Caso Bámaca Velásquez Vs. Guatemala. Medidas Provisionales. </w:t>
      </w:r>
      <w:r w:rsidRPr="002907CD">
        <w:rPr>
          <w:rFonts w:ascii="Verdana" w:hAnsi="Verdana"/>
          <w:sz w:val="16"/>
          <w:szCs w:val="16"/>
          <w:lang w:val="es-CR"/>
        </w:rPr>
        <w:t>Resolución de la Corte Interamericana de Derechos Humanos de 20 de noviembre de 2003, Considerando 10</w:t>
      </w:r>
      <w:r w:rsidRPr="002907CD">
        <w:rPr>
          <w:rFonts w:ascii="Verdana" w:hAnsi="Verdana"/>
          <w:iCs/>
          <w:sz w:val="16"/>
          <w:szCs w:val="16"/>
          <w:lang w:val="es-ES"/>
        </w:rPr>
        <w:t>,</w:t>
      </w:r>
      <w:r w:rsidRPr="002907CD">
        <w:rPr>
          <w:rFonts w:ascii="Verdana" w:hAnsi="Verdana"/>
          <w:sz w:val="16"/>
          <w:szCs w:val="16"/>
        </w:rPr>
        <w:t xml:space="preserve"> y </w:t>
      </w:r>
      <w:r w:rsidRPr="002907CD">
        <w:rPr>
          <w:rFonts w:ascii="Verdana" w:hAnsi="Verdana"/>
          <w:i/>
          <w:sz w:val="16"/>
          <w:szCs w:val="16"/>
        </w:rPr>
        <w:t xml:space="preserve">Caso Urrutia </w:t>
      </w:r>
      <w:proofErr w:type="spellStart"/>
      <w:r w:rsidRPr="002907CD">
        <w:rPr>
          <w:rFonts w:ascii="Verdana" w:hAnsi="Verdana"/>
          <w:i/>
          <w:sz w:val="16"/>
          <w:szCs w:val="16"/>
        </w:rPr>
        <w:t>Laubreaux</w:t>
      </w:r>
      <w:proofErr w:type="spellEnd"/>
      <w:r w:rsidRPr="002907CD">
        <w:rPr>
          <w:rFonts w:ascii="Verdana" w:hAnsi="Verdana"/>
          <w:i/>
          <w:sz w:val="16"/>
          <w:szCs w:val="16"/>
        </w:rPr>
        <w:t xml:space="preserve"> Vs. Chile. Solicitud de Medidas Provisionales</w:t>
      </w:r>
      <w:r w:rsidRPr="002907CD">
        <w:rPr>
          <w:rFonts w:ascii="Verdana" w:hAnsi="Verdana"/>
          <w:sz w:val="16"/>
          <w:szCs w:val="16"/>
        </w:rPr>
        <w:t>. Resolución de la Corte Interamericana de Derechos Humanos de 12 de marzo de 2020, Considerando 3.</w:t>
      </w:r>
    </w:p>
  </w:footnote>
  <w:footnote w:id="86">
    <w:p w14:paraId="21CB32DA" w14:textId="77777777" w:rsidR="009B20E5" w:rsidRPr="0051766F" w:rsidRDefault="009B20E5" w:rsidP="009B20E5">
      <w:pPr>
        <w:tabs>
          <w:tab w:val="left" w:pos="567"/>
        </w:tabs>
        <w:jc w:val="both"/>
        <w:rPr>
          <w:rFonts w:ascii="Verdana" w:hAnsi="Verdana"/>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51766F">
        <w:rPr>
          <w:rFonts w:ascii="Verdana" w:hAnsi="Verdana"/>
          <w:i/>
          <w:sz w:val="16"/>
          <w:szCs w:val="16"/>
        </w:rPr>
        <w:t xml:space="preserve">Cfr. Asuntos Internado Judicial de Monagas (“La Pica”); Centro Penitenciario Región Capital Yare I y Yare II (Cárcel de Yare); Centro Penitenciario de la Región Centro Occidental (Cárcel de </w:t>
      </w:r>
      <w:proofErr w:type="spellStart"/>
      <w:r w:rsidRPr="0051766F">
        <w:rPr>
          <w:rFonts w:ascii="Verdana" w:hAnsi="Verdana"/>
          <w:i/>
          <w:sz w:val="16"/>
          <w:szCs w:val="16"/>
        </w:rPr>
        <w:t>Uribana</w:t>
      </w:r>
      <w:proofErr w:type="spellEnd"/>
      <w:r w:rsidRPr="0051766F">
        <w:rPr>
          <w:rFonts w:ascii="Verdana" w:hAnsi="Verdana"/>
          <w:i/>
          <w:sz w:val="16"/>
          <w:szCs w:val="16"/>
        </w:rPr>
        <w:t>), e Internado Judicial Capital El Rodeo I y el Rodeo II. Medidas Provisionales respecto de la República Bolivariana de Venezuela</w:t>
      </w:r>
      <w:r w:rsidRPr="0051766F">
        <w:rPr>
          <w:rFonts w:ascii="Verdana" w:hAnsi="Verdana"/>
          <w:sz w:val="16"/>
          <w:szCs w:val="16"/>
        </w:rPr>
        <w:t xml:space="preserve">. Resolución de la Corte Interamericana de Derechos Humanos de 24 de noviembre de 2009, Considerando 3, y </w:t>
      </w:r>
      <w:r w:rsidRPr="0051766F">
        <w:rPr>
          <w:rFonts w:ascii="Verdana" w:hAnsi="Verdana"/>
          <w:i/>
          <w:sz w:val="16"/>
          <w:szCs w:val="16"/>
        </w:rPr>
        <w:t xml:space="preserve">Caso Cuya </w:t>
      </w:r>
      <w:proofErr w:type="spellStart"/>
      <w:r w:rsidRPr="0051766F">
        <w:rPr>
          <w:rFonts w:ascii="Verdana" w:hAnsi="Verdana"/>
          <w:i/>
          <w:sz w:val="16"/>
          <w:szCs w:val="16"/>
        </w:rPr>
        <w:t>Lavy</w:t>
      </w:r>
      <w:proofErr w:type="spellEnd"/>
      <w:r w:rsidRPr="0051766F">
        <w:rPr>
          <w:rFonts w:ascii="Verdana" w:hAnsi="Verdana"/>
          <w:i/>
          <w:sz w:val="16"/>
          <w:szCs w:val="16"/>
        </w:rPr>
        <w:t xml:space="preserve"> y otros Vs. Perú. Solicitud de Medidas Provisionales</w:t>
      </w:r>
      <w:r w:rsidRPr="0051766F">
        <w:rPr>
          <w:rFonts w:ascii="Verdana" w:hAnsi="Verdana"/>
          <w:sz w:val="16"/>
          <w:szCs w:val="16"/>
        </w:rPr>
        <w:t>. Resolución de la Corte Interamericana de Derechos Humanos de 12 de marzo de 2020, Considerando 5.</w:t>
      </w:r>
    </w:p>
  </w:footnote>
  <w:footnote w:id="87">
    <w:p w14:paraId="0B6AAB97"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iCs/>
          <w:sz w:val="16"/>
          <w:szCs w:val="16"/>
        </w:rPr>
        <w:t>Cfr.</w:t>
      </w:r>
      <w:r w:rsidRPr="00221D27">
        <w:rPr>
          <w:rFonts w:ascii="Verdana" w:hAnsi="Verdana"/>
          <w:sz w:val="16"/>
          <w:szCs w:val="16"/>
        </w:rPr>
        <w:t xml:space="preserve"> Instituto Latinoamericano de las Naciones Unidas para la Prevención del Delito y el Tratamiento del Delincuente (ILANUD), “El Sistema Penitenciario ante la encrucijada producto de la crisis provocada por el COVID-19”, abril 2020</w:t>
      </w:r>
      <w:r>
        <w:rPr>
          <w:rFonts w:ascii="Verdana" w:hAnsi="Verdana"/>
          <w:sz w:val="16"/>
          <w:szCs w:val="16"/>
        </w:rPr>
        <w:t>.</w:t>
      </w:r>
      <w:r w:rsidRPr="00221D27">
        <w:rPr>
          <w:rFonts w:ascii="Verdana" w:hAnsi="Verdana"/>
          <w:sz w:val="16"/>
          <w:szCs w:val="16"/>
        </w:rPr>
        <w:t xml:space="preserve"> </w:t>
      </w:r>
      <w:r>
        <w:rPr>
          <w:rFonts w:ascii="Verdana" w:hAnsi="Verdana"/>
          <w:sz w:val="16"/>
          <w:szCs w:val="16"/>
        </w:rPr>
        <w:t>D</w:t>
      </w:r>
      <w:r w:rsidRPr="00221D27">
        <w:rPr>
          <w:rFonts w:ascii="Verdana" w:hAnsi="Verdana"/>
          <w:sz w:val="16"/>
          <w:szCs w:val="16"/>
        </w:rPr>
        <w:t xml:space="preserve">isponible en: </w:t>
      </w:r>
      <w:hyperlink r:id="rId7" w:history="1">
        <w:r w:rsidRPr="00221D27">
          <w:rPr>
            <w:rStyle w:val="Hipervnculo"/>
            <w:rFonts w:ascii="Verdana" w:hAnsi="Verdana"/>
            <w:sz w:val="16"/>
            <w:szCs w:val="16"/>
          </w:rPr>
          <w:t>https://www.ilanud.or.cr/wp-content/uploads/2020/04/ILANUD-COVID-19.pdf</w:t>
        </w:r>
      </w:hyperlink>
      <w:r w:rsidRPr="00221D27">
        <w:rPr>
          <w:rFonts w:ascii="Verdana" w:hAnsi="Verdana"/>
          <w:sz w:val="16"/>
          <w:szCs w:val="16"/>
        </w:rPr>
        <w:t>.</w:t>
      </w:r>
    </w:p>
  </w:footnote>
  <w:footnote w:id="88">
    <w:p w14:paraId="164583E5"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El CICR precisó que “[d]</w:t>
      </w:r>
      <w:proofErr w:type="spellStart"/>
      <w:r w:rsidRPr="00221D27">
        <w:rPr>
          <w:rFonts w:ascii="Verdana" w:hAnsi="Verdana"/>
          <w:sz w:val="16"/>
          <w:szCs w:val="16"/>
        </w:rPr>
        <w:t>atos</w:t>
      </w:r>
      <w:proofErr w:type="spellEnd"/>
      <w:r w:rsidRPr="00221D27">
        <w:rPr>
          <w:rFonts w:ascii="Verdana" w:hAnsi="Verdana"/>
          <w:sz w:val="16"/>
          <w:szCs w:val="16"/>
        </w:rPr>
        <w:t xml:space="preserve"> sobre población no encarcelada muestran que el número de básico de reproducción (RO= número de casos secundarios infectados del caso primario) para COVID-19 está entre 2 y 2.5”, mientras que, en lugares de detención, “el RO se presume que será significativamente mayor”. </w:t>
      </w:r>
      <w:r w:rsidRPr="00221D27">
        <w:rPr>
          <w:rFonts w:ascii="Verdana" w:hAnsi="Verdana"/>
          <w:i/>
          <w:sz w:val="16"/>
          <w:szCs w:val="16"/>
        </w:rPr>
        <w:t xml:space="preserve">Cfr. </w:t>
      </w:r>
      <w:r w:rsidRPr="00221D27">
        <w:rPr>
          <w:rFonts w:ascii="Verdana" w:hAnsi="Verdana"/>
          <w:sz w:val="16"/>
          <w:szCs w:val="16"/>
        </w:rPr>
        <w:t>Comité Internacional de la Cruz Roja</w:t>
      </w:r>
      <w:r>
        <w:rPr>
          <w:rFonts w:ascii="Verdana" w:hAnsi="Verdana"/>
          <w:sz w:val="16"/>
          <w:szCs w:val="16"/>
        </w:rPr>
        <w:t xml:space="preserve"> (CICR)</w:t>
      </w:r>
      <w:r w:rsidRPr="00221D27">
        <w:rPr>
          <w:rFonts w:ascii="Verdana" w:hAnsi="Verdana"/>
          <w:sz w:val="16"/>
          <w:szCs w:val="16"/>
        </w:rPr>
        <w:t xml:space="preserve">, “Respuestas de salud en detención al COVID-19”, 17 de marzo de 2020. Disponible en: </w:t>
      </w:r>
      <w:hyperlink r:id="rId8" w:history="1">
        <w:r w:rsidRPr="00221D27">
          <w:rPr>
            <w:rStyle w:val="Hipervnculo"/>
            <w:rFonts w:ascii="Verdana" w:hAnsi="Verdana"/>
            <w:sz w:val="16"/>
            <w:szCs w:val="16"/>
          </w:rPr>
          <w:t>https://www.icrc.org/es/download/file/114942/respuesta_de_salud_covid19.pdf</w:t>
        </w:r>
      </w:hyperlink>
      <w:r w:rsidRPr="00221D27">
        <w:rPr>
          <w:rFonts w:ascii="Verdana" w:hAnsi="Verdana"/>
          <w:sz w:val="16"/>
          <w:szCs w:val="16"/>
        </w:rPr>
        <w:t xml:space="preserve"> </w:t>
      </w:r>
    </w:p>
  </w:footnote>
  <w:footnote w:id="89">
    <w:p w14:paraId="03E198F9" w14:textId="77777777" w:rsidR="009B20E5" w:rsidRPr="00221D27" w:rsidRDefault="009B20E5" w:rsidP="009B20E5">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i/>
          <w:iCs/>
          <w:sz w:val="16"/>
          <w:szCs w:val="16"/>
          <w:lang w:val="es-AR"/>
        </w:rPr>
        <w:t xml:space="preserve"> </w:t>
      </w:r>
      <w:r w:rsidRPr="00221D27">
        <w:rPr>
          <w:rFonts w:ascii="Verdana" w:hAnsi="Verdana"/>
          <w:i/>
          <w:iCs/>
          <w:sz w:val="16"/>
          <w:szCs w:val="16"/>
          <w:lang w:val="es-AR"/>
        </w:rPr>
        <w:tab/>
        <w:t>Cfr.</w:t>
      </w:r>
      <w:r w:rsidRPr="00221D27">
        <w:rPr>
          <w:rFonts w:ascii="Verdana" w:hAnsi="Verdana"/>
          <w:sz w:val="16"/>
          <w:szCs w:val="16"/>
          <w:lang w:val="es-AR"/>
        </w:rPr>
        <w:t xml:space="preserve"> Declaración No. 1/20, “COVID-19 y Derechos Humanos: los problemas y desafíos deben ser abordados con perspectiva de derechos humanos y respetando las obligaciones internacionales”, </w:t>
      </w:r>
      <w:r w:rsidRPr="00221D27">
        <w:rPr>
          <w:rFonts w:ascii="Verdana" w:hAnsi="Verdana"/>
          <w:i/>
          <w:iCs/>
          <w:sz w:val="16"/>
          <w:szCs w:val="16"/>
          <w:lang w:val="es-AR"/>
        </w:rPr>
        <w:t>supra</w:t>
      </w:r>
      <w:r>
        <w:rPr>
          <w:rFonts w:ascii="Verdana" w:hAnsi="Verdana"/>
          <w:sz w:val="16"/>
          <w:szCs w:val="16"/>
          <w:lang w:val="es-AR"/>
        </w:rPr>
        <w:t xml:space="preserve"> nota.</w:t>
      </w:r>
      <w:r w:rsidRPr="00221D27">
        <w:rPr>
          <w:rFonts w:ascii="Verdana" w:hAnsi="Verdana"/>
          <w:sz w:val="16"/>
          <w:szCs w:val="16"/>
          <w:lang w:val="es-AR"/>
        </w:rPr>
        <w:t xml:space="preserve"> </w:t>
      </w:r>
    </w:p>
  </w:footnote>
  <w:footnote w:id="90">
    <w:p w14:paraId="00B64574" w14:textId="77777777" w:rsidR="009B20E5" w:rsidRPr="0011499C" w:rsidRDefault="009B20E5" w:rsidP="009B20E5">
      <w:pPr>
        <w:pStyle w:val="Textonotapie"/>
        <w:jc w:val="both"/>
        <w:rPr>
          <w:rFonts w:ascii="Verdana" w:hAnsi="Verdana"/>
          <w:sz w:val="16"/>
          <w:szCs w:val="16"/>
          <w:highlight w:val="red"/>
        </w:rPr>
      </w:pPr>
      <w:r w:rsidRPr="000C5155">
        <w:rPr>
          <w:rStyle w:val="Refdenotaalpie"/>
          <w:szCs w:val="16"/>
        </w:rPr>
        <w:footnoteRef/>
      </w:r>
      <w:r w:rsidRPr="000C5155">
        <w:rPr>
          <w:rFonts w:ascii="Verdana" w:hAnsi="Verdana"/>
          <w:sz w:val="16"/>
          <w:szCs w:val="16"/>
        </w:rPr>
        <w:t xml:space="preserve"> </w:t>
      </w:r>
      <w:r w:rsidRPr="000C5155">
        <w:rPr>
          <w:rFonts w:ascii="Verdana" w:hAnsi="Verdana"/>
          <w:sz w:val="16"/>
          <w:szCs w:val="16"/>
        </w:rPr>
        <w:tab/>
      </w:r>
      <w:r w:rsidRPr="000C5155">
        <w:rPr>
          <w:rFonts w:ascii="Verdana" w:hAnsi="Verdana"/>
          <w:i/>
          <w:iCs/>
          <w:sz w:val="16"/>
          <w:szCs w:val="16"/>
        </w:rPr>
        <w:t>Cfr. Caso Neira Alegría y otros Vs. Perú. Fondo.</w:t>
      </w:r>
      <w:r w:rsidRPr="000C5155">
        <w:rPr>
          <w:rFonts w:ascii="Verdana" w:hAnsi="Verdana"/>
          <w:sz w:val="16"/>
          <w:szCs w:val="16"/>
        </w:rPr>
        <w:t xml:space="preserve"> Sentencia de 19 de enero de 1995. Serie C No. 20, párr. 60, y </w:t>
      </w:r>
      <w:r w:rsidRPr="000C5155">
        <w:rPr>
          <w:rFonts w:ascii="Verdana" w:hAnsi="Verdana"/>
          <w:i/>
          <w:sz w:val="16"/>
          <w:szCs w:val="16"/>
        </w:rPr>
        <w:t>Caso López y otros Vs. Argentina. Excepciones Preliminares, Fondo, Reparaciones y Costas</w:t>
      </w:r>
      <w:r w:rsidRPr="000C5155">
        <w:rPr>
          <w:rFonts w:ascii="Verdana" w:hAnsi="Verdana"/>
          <w:sz w:val="16"/>
          <w:szCs w:val="16"/>
        </w:rPr>
        <w:t>. Sentencia de 25 de noviembre de 2019. Serie C No. 396, párr. 90.</w:t>
      </w:r>
    </w:p>
  </w:footnote>
  <w:footnote w:id="91">
    <w:p w14:paraId="6B932112" w14:textId="77777777" w:rsidR="009B20E5" w:rsidRPr="00DD2B51" w:rsidRDefault="009B20E5" w:rsidP="009B20E5">
      <w:pPr>
        <w:pStyle w:val="Textonotapie"/>
        <w:jc w:val="both"/>
        <w:rPr>
          <w:rFonts w:ascii="Verdana" w:hAnsi="Verdana"/>
          <w:sz w:val="16"/>
          <w:szCs w:val="16"/>
        </w:rPr>
      </w:pPr>
      <w:r w:rsidRPr="00DD2B51">
        <w:rPr>
          <w:rStyle w:val="Refdenotaalpie"/>
          <w:szCs w:val="16"/>
        </w:rPr>
        <w:footnoteRef/>
      </w:r>
      <w:r w:rsidRPr="00DD2B51">
        <w:rPr>
          <w:rFonts w:ascii="Verdana" w:hAnsi="Verdana"/>
          <w:sz w:val="16"/>
          <w:szCs w:val="16"/>
        </w:rPr>
        <w:t xml:space="preserve"> </w:t>
      </w:r>
      <w:r w:rsidRPr="00DD2B51">
        <w:rPr>
          <w:rFonts w:ascii="Verdana" w:hAnsi="Verdana"/>
          <w:sz w:val="16"/>
          <w:szCs w:val="16"/>
        </w:rPr>
        <w:tab/>
      </w:r>
      <w:r w:rsidRPr="00DD2B51">
        <w:rPr>
          <w:rFonts w:ascii="Verdana" w:hAnsi="Verdana"/>
          <w:i/>
          <w:iCs/>
          <w:sz w:val="16"/>
          <w:szCs w:val="16"/>
        </w:rPr>
        <w:t>Cfr</w:t>
      </w:r>
      <w:r w:rsidRPr="00DD2B51">
        <w:rPr>
          <w:rFonts w:ascii="Verdana" w:hAnsi="Verdana"/>
          <w:sz w:val="16"/>
          <w:szCs w:val="16"/>
        </w:rPr>
        <w:t xml:space="preserve">. </w:t>
      </w:r>
      <w:r w:rsidRPr="00DD2B51">
        <w:rPr>
          <w:rFonts w:ascii="Verdana" w:hAnsi="Verdana"/>
          <w:i/>
          <w:sz w:val="16"/>
          <w:szCs w:val="16"/>
        </w:rPr>
        <w:t xml:space="preserve">Asunto de Determinados Centros Penitenciarios de Venezuela. Centro Penitenciario de la Región Centro Occidental (Cárcel de </w:t>
      </w:r>
      <w:proofErr w:type="spellStart"/>
      <w:r w:rsidRPr="00DD2B51">
        <w:rPr>
          <w:rFonts w:ascii="Verdana" w:hAnsi="Verdana"/>
          <w:i/>
          <w:sz w:val="16"/>
          <w:szCs w:val="16"/>
        </w:rPr>
        <w:t>Uribana</w:t>
      </w:r>
      <w:proofErr w:type="spellEnd"/>
      <w:r w:rsidRPr="00DD2B51">
        <w:rPr>
          <w:rFonts w:ascii="Verdana" w:hAnsi="Verdana"/>
          <w:i/>
          <w:sz w:val="16"/>
          <w:szCs w:val="16"/>
        </w:rPr>
        <w:t>). Medidas Provisionales</w:t>
      </w:r>
      <w:r w:rsidRPr="00DD2B51">
        <w:rPr>
          <w:rFonts w:ascii="Verdana" w:hAnsi="Verdana"/>
          <w:sz w:val="16"/>
          <w:szCs w:val="16"/>
        </w:rPr>
        <w:t xml:space="preserve">. Resolución de la Corte Interamericana de Derechos Humanos del 13 de febrero de 2013, Considerando 7; y </w:t>
      </w:r>
      <w:r w:rsidRPr="00DD2B51">
        <w:rPr>
          <w:rFonts w:ascii="Verdana" w:hAnsi="Verdana"/>
          <w:i/>
          <w:sz w:val="16"/>
          <w:szCs w:val="16"/>
        </w:rPr>
        <w:t xml:space="preserve">Asunto del Complejo Penitenciario de Curado respecto de Brasil. Medidas Provisionales. </w:t>
      </w:r>
      <w:r w:rsidRPr="00DD2B51">
        <w:rPr>
          <w:rFonts w:ascii="Verdana" w:hAnsi="Verdana"/>
          <w:sz w:val="16"/>
          <w:szCs w:val="16"/>
        </w:rPr>
        <w:t>Resolución de la Corte Interamericana de Derechos Humanos de 28 de noviembre de 2018, Considerando 53.</w:t>
      </w:r>
    </w:p>
  </w:footnote>
  <w:footnote w:id="92">
    <w:p w14:paraId="066896A5" w14:textId="77777777" w:rsidR="009B20E5" w:rsidRPr="00221D27" w:rsidRDefault="009B20E5" w:rsidP="009B20E5">
      <w:pPr>
        <w:pStyle w:val="Textonotapie"/>
        <w:jc w:val="both"/>
        <w:rPr>
          <w:rFonts w:ascii="Verdana" w:hAnsi="Verdana"/>
          <w:sz w:val="16"/>
          <w:szCs w:val="16"/>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lang w:val="es"/>
        </w:rPr>
        <w:tab/>
      </w:r>
      <w:r w:rsidRPr="00415030">
        <w:rPr>
          <w:rFonts w:ascii="Verdana" w:hAnsi="Verdana"/>
          <w:i/>
          <w:sz w:val="16"/>
          <w:szCs w:val="16"/>
        </w:rPr>
        <w:t xml:space="preserve">Cfr. Caso Chinchilla Sandoval y otros Vs. Guatemala. Excepción Preliminar, Fondo, Reparaciones y Costas. </w:t>
      </w:r>
      <w:r w:rsidRPr="00415030">
        <w:rPr>
          <w:rFonts w:ascii="Verdana" w:hAnsi="Verdana"/>
          <w:sz w:val="16"/>
          <w:szCs w:val="16"/>
        </w:rPr>
        <w:t xml:space="preserve">Sentencia de 29 de febrero de 2016. Serie C No. 312, </w:t>
      </w:r>
      <w:proofErr w:type="spellStart"/>
      <w:r w:rsidRPr="00415030">
        <w:rPr>
          <w:rFonts w:ascii="Verdana" w:hAnsi="Verdana"/>
          <w:sz w:val="16"/>
          <w:szCs w:val="16"/>
        </w:rPr>
        <w:t>párrs</w:t>
      </w:r>
      <w:proofErr w:type="spellEnd"/>
      <w:r w:rsidRPr="00415030">
        <w:rPr>
          <w:rFonts w:ascii="Verdana" w:hAnsi="Verdana"/>
          <w:sz w:val="16"/>
          <w:szCs w:val="16"/>
        </w:rPr>
        <w:t>. 171 y 188.</w:t>
      </w:r>
    </w:p>
  </w:footnote>
  <w:footnote w:id="93">
    <w:p w14:paraId="7567F48E"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415030">
        <w:rPr>
          <w:rFonts w:ascii="Verdana" w:hAnsi="Verdana"/>
          <w:sz w:val="16"/>
          <w:szCs w:val="16"/>
        </w:rPr>
        <w:t xml:space="preserve">Contenidos, entre otros en: ONU, Reglas mínimas para el tratamiento de los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y ONU, Conjunto de Principios para la protección de todas las personas sometidas a cualquier forma de detención o prisión. Adoptado por la Asamblea General de la ONU en su resolución 43/173, de 9 de diciembre de 1988. </w:t>
      </w:r>
      <w:r w:rsidRPr="00415030">
        <w:rPr>
          <w:rFonts w:ascii="Verdana" w:hAnsi="Verdana"/>
          <w:i/>
          <w:iCs/>
          <w:sz w:val="16"/>
          <w:szCs w:val="16"/>
        </w:rPr>
        <w:t>Cfr. Caso Pacheco Teruel y otros Vs. Honduras. Fondo, Reparaciones y Costas.</w:t>
      </w:r>
      <w:r w:rsidRPr="00415030">
        <w:rPr>
          <w:rFonts w:ascii="Verdana" w:hAnsi="Verdana"/>
          <w:sz w:val="16"/>
          <w:szCs w:val="16"/>
        </w:rPr>
        <w:t xml:space="preserve"> Sentencia de 27 de abril de 2012. Serie C No. 241, párr. 67.</w:t>
      </w:r>
    </w:p>
  </w:footnote>
  <w:footnote w:id="94">
    <w:p w14:paraId="301DE9C4" w14:textId="77777777" w:rsidR="009B20E5" w:rsidRPr="0011499C" w:rsidRDefault="009B20E5" w:rsidP="009B20E5">
      <w:pPr>
        <w:pStyle w:val="Textonotapie"/>
        <w:jc w:val="both"/>
        <w:rPr>
          <w:rFonts w:ascii="Verdana" w:hAnsi="Verdana"/>
          <w:sz w:val="16"/>
          <w:szCs w:val="16"/>
          <w:highlight w:val="red"/>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rPr>
        <w:tab/>
        <w:t xml:space="preserve">Entre otros aspectos, la Corte ha detallado que todas las celdas deben contar con suficiente luz natural o artificial, ventilación y adecuadas condiciones de higiene y que los servicios sanitarios deben contar con condiciones de higiene y privacidad. </w:t>
      </w:r>
      <w:r w:rsidRPr="00415030">
        <w:rPr>
          <w:rFonts w:ascii="Verdana" w:hAnsi="Verdana"/>
          <w:i/>
          <w:iCs/>
          <w:sz w:val="16"/>
          <w:szCs w:val="16"/>
        </w:rPr>
        <w:t xml:space="preserve">Cfr. Caso Montero Aranguren y otros (Retén de Catia) Vs. Venezuela. Excepción Preliminar, Fondo, Reparaciones y Costas. </w:t>
      </w:r>
      <w:r w:rsidRPr="00415030">
        <w:rPr>
          <w:rFonts w:ascii="Verdana" w:hAnsi="Verdana"/>
          <w:iCs/>
          <w:sz w:val="16"/>
          <w:szCs w:val="16"/>
        </w:rPr>
        <w:t xml:space="preserve">Sentencia de 5 de julio de 2006. </w:t>
      </w:r>
      <w:r w:rsidRPr="00415030">
        <w:rPr>
          <w:rFonts w:ascii="Verdana" w:hAnsi="Verdana"/>
          <w:sz w:val="16"/>
          <w:szCs w:val="16"/>
        </w:rPr>
        <w:t>Serie C No.150,</w:t>
      </w:r>
      <w:r w:rsidRPr="00415030">
        <w:rPr>
          <w:rFonts w:ascii="Verdana" w:hAnsi="Verdana"/>
          <w:i/>
          <w:iCs/>
          <w:sz w:val="16"/>
          <w:szCs w:val="16"/>
        </w:rPr>
        <w:t xml:space="preserve"> </w:t>
      </w:r>
      <w:r w:rsidRPr="00415030">
        <w:rPr>
          <w:rFonts w:ascii="Verdana" w:hAnsi="Verdana"/>
          <w:sz w:val="16"/>
          <w:szCs w:val="16"/>
        </w:rPr>
        <w:t>párr. 146</w:t>
      </w:r>
      <w:r>
        <w:rPr>
          <w:rFonts w:ascii="Verdana" w:hAnsi="Verdana"/>
          <w:sz w:val="16"/>
          <w:szCs w:val="16"/>
        </w:rPr>
        <w:t>;</w:t>
      </w:r>
      <w:r w:rsidRPr="00415030">
        <w:rPr>
          <w:rFonts w:ascii="Verdana" w:hAnsi="Verdana"/>
          <w:sz w:val="16"/>
          <w:szCs w:val="16"/>
        </w:rPr>
        <w:t xml:space="preserve"> </w:t>
      </w:r>
      <w:r w:rsidRPr="00415030">
        <w:rPr>
          <w:rFonts w:ascii="Verdana" w:hAnsi="Verdana"/>
          <w:i/>
          <w:iCs/>
          <w:sz w:val="16"/>
          <w:szCs w:val="16"/>
        </w:rPr>
        <w:t xml:space="preserve">Caso del Penal Miguel Castro </w:t>
      </w:r>
      <w:proofErr w:type="spellStart"/>
      <w:r w:rsidRPr="00415030">
        <w:rPr>
          <w:rFonts w:ascii="Verdana" w:hAnsi="Verdana"/>
          <w:i/>
          <w:iCs/>
          <w:sz w:val="16"/>
          <w:szCs w:val="16"/>
        </w:rPr>
        <w:t>Castro</w:t>
      </w:r>
      <w:proofErr w:type="spellEnd"/>
      <w:r w:rsidRPr="00415030">
        <w:rPr>
          <w:rFonts w:ascii="Verdana" w:hAnsi="Verdana"/>
          <w:sz w:val="16"/>
          <w:szCs w:val="16"/>
        </w:rPr>
        <w:t xml:space="preserve">, </w:t>
      </w:r>
      <w:r w:rsidRPr="00415030">
        <w:rPr>
          <w:rFonts w:ascii="Verdana" w:hAnsi="Verdana"/>
          <w:i/>
          <w:iCs/>
          <w:sz w:val="16"/>
          <w:szCs w:val="16"/>
        </w:rPr>
        <w:t>supra</w:t>
      </w:r>
      <w:r w:rsidRPr="00415030">
        <w:rPr>
          <w:rFonts w:ascii="Verdana" w:hAnsi="Verdana"/>
          <w:sz w:val="16"/>
          <w:szCs w:val="16"/>
        </w:rPr>
        <w:t xml:space="preserve"> nota 1,</w:t>
      </w:r>
      <w:r w:rsidRPr="00415030">
        <w:rPr>
          <w:rFonts w:ascii="Verdana" w:hAnsi="Verdana"/>
          <w:i/>
          <w:iCs/>
          <w:sz w:val="16"/>
          <w:szCs w:val="16"/>
        </w:rPr>
        <w:t xml:space="preserve"> </w:t>
      </w:r>
      <w:r w:rsidRPr="00415030">
        <w:rPr>
          <w:rFonts w:ascii="Verdana" w:hAnsi="Verdana"/>
          <w:sz w:val="16"/>
          <w:szCs w:val="16"/>
        </w:rPr>
        <w:t xml:space="preserve">párr. 315, y </w:t>
      </w:r>
      <w:r w:rsidRPr="00415030">
        <w:rPr>
          <w:rFonts w:ascii="Verdana" w:hAnsi="Verdana"/>
          <w:i/>
          <w:iCs/>
          <w:sz w:val="16"/>
          <w:szCs w:val="16"/>
        </w:rPr>
        <w:t>Caso Pacheco Teruel y otros Vs. Honduras, supra</w:t>
      </w:r>
      <w:r w:rsidRPr="00415030">
        <w:rPr>
          <w:rFonts w:ascii="Verdana" w:hAnsi="Verdana"/>
          <w:sz w:val="16"/>
          <w:szCs w:val="16"/>
        </w:rPr>
        <w:t xml:space="preserve"> nota, párr. 67.</w:t>
      </w:r>
    </w:p>
  </w:footnote>
  <w:footnote w:id="95">
    <w:p w14:paraId="069DD98D" w14:textId="77777777" w:rsidR="009B20E5" w:rsidRPr="0011499C" w:rsidRDefault="009B20E5" w:rsidP="009B20E5">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Cantoral Benavides Vs. Perú. Fondo</w:t>
      </w:r>
      <w:r w:rsidRPr="002E2BC9">
        <w:rPr>
          <w:rFonts w:ascii="Verdana" w:hAnsi="Verdana"/>
          <w:sz w:val="16"/>
          <w:szCs w:val="16"/>
        </w:rPr>
        <w:t xml:space="preserve">. Sentencia de 18 de agosto de 2000. Serie C No. 69, </w:t>
      </w:r>
      <w:proofErr w:type="spellStart"/>
      <w:r w:rsidRPr="002E2BC9">
        <w:rPr>
          <w:rFonts w:ascii="Verdana" w:hAnsi="Verdana"/>
          <w:sz w:val="16"/>
          <w:szCs w:val="16"/>
        </w:rPr>
        <w:t>párrs</w:t>
      </w:r>
      <w:proofErr w:type="spellEnd"/>
      <w:r w:rsidRPr="002E2BC9">
        <w:rPr>
          <w:rFonts w:ascii="Verdana" w:hAnsi="Verdana"/>
          <w:sz w:val="16"/>
          <w:szCs w:val="16"/>
        </w:rPr>
        <w:t xml:space="preserve">. 85 y 86.,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96">
    <w:p w14:paraId="70AFA56D" w14:textId="77777777" w:rsidR="009B20E5" w:rsidRPr="0011499C" w:rsidRDefault="009B20E5" w:rsidP="009B20E5">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Vélez Loor Vs. Panamá. Excepciones Preliminares, Fondo, Reparaciones y Costas</w:t>
      </w:r>
      <w:r w:rsidRPr="002E2BC9">
        <w:rPr>
          <w:rFonts w:ascii="Verdana" w:hAnsi="Verdana"/>
          <w:sz w:val="16"/>
          <w:szCs w:val="16"/>
        </w:rPr>
        <w:t xml:space="preserve">. Sentencia de 23 de noviembre de 2010. Serie C No. 218, </w:t>
      </w:r>
      <w:proofErr w:type="spellStart"/>
      <w:r w:rsidRPr="002E2BC9">
        <w:rPr>
          <w:rFonts w:ascii="Verdana" w:hAnsi="Verdana"/>
          <w:sz w:val="16"/>
          <w:szCs w:val="16"/>
        </w:rPr>
        <w:t>párrs</w:t>
      </w:r>
      <w:proofErr w:type="spellEnd"/>
      <w:r w:rsidRPr="002E2BC9">
        <w:rPr>
          <w:rFonts w:ascii="Verdana" w:hAnsi="Verdana"/>
          <w:sz w:val="16"/>
          <w:szCs w:val="16"/>
        </w:rPr>
        <w:t xml:space="preserve">. 215 y 216,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97">
    <w:p w14:paraId="1D6A3113" w14:textId="77777777" w:rsidR="009B20E5" w:rsidRPr="009C672D" w:rsidRDefault="009B20E5" w:rsidP="009B20E5">
      <w:pPr>
        <w:pStyle w:val="Textonotapie"/>
        <w:jc w:val="both"/>
        <w:rPr>
          <w:rFonts w:ascii="Verdana" w:hAnsi="Verdana"/>
          <w:sz w:val="16"/>
          <w:szCs w:val="16"/>
        </w:rPr>
      </w:pPr>
      <w:r w:rsidRPr="00F33782">
        <w:rPr>
          <w:rStyle w:val="Refdenotaalpie"/>
          <w:szCs w:val="16"/>
        </w:rPr>
        <w:footnoteRef/>
      </w:r>
      <w:r w:rsidRPr="00F33782">
        <w:rPr>
          <w:rFonts w:ascii="Verdana" w:hAnsi="Verdana"/>
          <w:sz w:val="16"/>
          <w:szCs w:val="16"/>
        </w:rPr>
        <w:t xml:space="preserve"> </w:t>
      </w:r>
      <w:r w:rsidRPr="00F33782">
        <w:rPr>
          <w:rFonts w:ascii="Verdana" w:hAnsi="Verdana"/>
          <w:sz w:val="16"/>
          <w:szCs w:val="16"/>
        </w:rPr>
        <w:tab/>
      </w:r>
      <w:r w:rsidRPr="00F33782">
        <w:rPr>
          <w:rFonts w:ascii="Verdana" w:hAnsi="Verdana"/>
          <w:i/>
          <w:iCs/>
          <w:sz w:val="16"/>
          <w:szCs w:val="16"/>
        </w:rPr>
        <w:t>Cfr. Caso López Álvarez Vs. Honduras. Fondo, Reparaciones y Costas.</w:t>
      </w:r>
      <w:r w:rsidRPr="00F33782">
        <w:rPr>
          <w:rFonts w:ascii="Verdana" w:hAnsi="Verdana"/>
          <w:sz w:val="16"/>
          <w:szCs w:val="16"/>
        </w:rPr>
        <w:t xml:space="preserve"> Sentencia de 1 de febrero </w:t>
      </w:r>
      <w:r w:rsidRPr="009C672D">
        <w:rPr>
          <w:rFonts w:ascii="Verdana" w:hAnsi="Verdana"/>
          <w:sz w:val="16"/>
          <w:szCs w:val="16"/>
        </w:rPr>
        <w:t xml:space="preserve">de 2006. Serie C No. 141, párr. 209, y </w:t>
      </w:r>
      <w:r w:rsidRPr="009C672D">
        <w:rPr>
          <w:rFonts w:ascii="Verdana" w:hAnsi="Verdana"/>
          <w:i/>
          <w:iCs/>
          <w:sz w:val="16"/>
          <w:szCs w:val="16"/>
        </w:rPr>
        <w:t>Caso Pacheco Teruel y otros Vs. Honduras, supra</w:t>
      </w:r>
      <w:r w:rsidRPr="009C672D">
        <w:rPr>
          <w:rFonts w:ascii="Verdana" w:hAnsi="Verdana"/>
          <w:sz w:val="16"/>
          <w:szCs w:val="16"/>
        </w:rPr>
        <w:t xml:space="preserve"> nota, párr. 67.</w:t>
      </w:r>
    </w:p>
  </w:footnote>
  <w:footnote w:id="98">
    <w:p w14:paraId="0DE95DBA" w14:textId="77777777" w:rsidR="009B20E5" w:rsidRPr="009C672D" w:rsidRDefault="009B20E5" w:rsidP="009B20E5">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sz w:val="16"/>
          <w:szCs w:val="16"/>
        </w:rPr>
        <w:t>Cfr</w:t>
      </w:r>
      <w:r w:rsidRPr="009C672D">
        <w:rPr>
          <w:rFonts w:ascii="Verdana" w:hAnsi="Verdana"/>
          <w:iCs/>
          <w:sz w:val="16"/>
          <w:szCs w:val="16"/>
        </w:rPr>
        <w:t xml:space="preserve">. </w:t>
      </w:r>
      <w:r w:rsidRPr="009C672D">
        <w:rPr>
          <w:rFonts w:ascii="Verdana" w:hAnsi="Verdana"/>
          <w:i/>
          <w:iCs/>
          <w:sz w:val="16"/>
          <w:szCs w:val="16"/>
        </w:rPr>
        <w:t>Caso Tibi Vs. Ecuador. Excepciones Preliminares, Fondo, Reparaciones y Costas</w:t>
      </w:r>
      <w:r w:rsidRPr="009C672D">
        <w:rPr>
          <w:rFonts w:ascii="Verdana" w:hAnsi="Verdana"/>
          <w:iCs/>
          <w:sz w:val="16"/>
          <w:szCs w:val="16"/>
        </w:rPr>
        <w:t xml:space="preserve">. Sentencia de 7 de septiembre de 2004. Serie C No. 114, párr. 156; </w:t>
      </w:r>
      <w:r w:rsidRPr="009C672D">
        <w:rPr>
          <w:rFonts w:ascii="Verdana" w:hAnsi="Verdana"/>
          <w:i/>
          <w:sz w:val="16"/>
          <w:szCs w:val="16"/>
        </w:rPr>
        <w:t xml:space="preserve">Caso del Penal Miguel Castro </w:t>
      </w:r>
      <w:proofErr w:type="spellStart"/>
      <w:r w:rsidRPr="009C672D">
        <w:rPr>
          <w:rFonts w:ascii="Verdana" w:hAnsi="Verdana"/>
          <w:i/>
          <w:sz w:val="16"/>
          <w:szCs w:val="16"/>
        </w:rPr>
        <w:t>Castro</w:t>
      </w:r>
      <w:proofErr w:type="spellEnd"/>
      <w:r w:rsidRPr="009C672D">
        <w:rPr>
          <w:rFonts w:ascii="Verdana" w:hAnsi="Verdana"/>
          <w:i/>
          <w:sz w:val="16"/>
          <w:szCs w:val="16"/>
        </w:rPr>
        <w:t xml:space="preserve"> Vs. Perú</w:t>
      </w:r>
      <w:r w:rsidRPr="009C672D">
        <w:rPr>
          <w:rFonts w:ascii="Verdana" w:hAnsi="Verdana"/>
          <w:iCs/>
          <w:sz w:val="16"/>
          <w:szCs w:val="16"/>
        </w:rPr>
        <w:t xml:space="preserve">, supra </w:t>
      </w:r>
      <w:r w:rsidRPr="009C672D">
        <w:rPr>
          <w:rFonts w:ascii="Verdana" w:hAnsi="Verdana"/>
          <w:sz w:val="16"/>
          <w:szCs w:val="16"/>
        </w:rPr>
        <w:t xml:space="preserve">nota 1, párr. 301; </w:t>
      </w:r>
      <w:r w:rsidRPr="009C672D">
        <w:rPr>
          <w:rFonts w:ascii="Verdana" w:hAnsi="Verdana"/>
          <w:i/>
          <w:sz w:val="16"/>
          <w:szCs w:val="16"/>
        </w:rPr>
        <w:t>Caso Pacheco Teruel y otros Vs. Honduras, supra</w:t>
      </w:r>
      <w:r w:rsidRPr="009C672D">
        <w:rPr>
          <w:rFonts w:ascii="Verdana" w:hAnsi="Verdana"/>
          <w:sz w:val="16"/>
          <w:szCs w:val="16"/>
        </w:rPr>
        <w:t xml:space="preserve"> nota, párr. 67, y </w:t>
      </w:r>
      <w:r w:rsidRPr="009C672D">
        <w:rPr>
          <w:rFonts w:ascii="Verdana" w:hAnsi="Verdana"/>
          <w:i/>
          <w:iCs/>
          <w:sz w:val="16"/>
          <w:szCs w:val="16"/>
        </w:rPr>
        <w:t>Caso Chinchilla Sandoval y otros Vs. Guatemala, supra</w:t>
      </w:r>
      <w:r w:rsidRPr="009C672D">
        <w:rPr>
          <w:rFonts w:ascii="Verdana" w:hAnsi="Verdana"/>
          <w:sz w:val="16"/>
          <w:szCs w:val="16"/>
        </w:rPr>
        <w:t xml:space="preserve"> nota, párr. 189.</w:t>
      </w:r>
    </w:p>
  </w:footnote>
  <w:footnote w:id="99">
    <w:p w14:paraId="4CBD6869" w14:textId="77777777" w:rsidR="009B20E5" w:rsidRPr="009C672D" w:rsidRDefault="009B20E5" w:rsidP="009B20E5">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lang w:val="es"/>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w:t>
      </w:r>
      <w:proofErr w:type="spellStart"/>
      <w:r w:rsidRPr="009C672D">
        <w:rPr>
          <w:rFonts w:ascii="Verdana" w:hAnsi="Verdana"/>
          <w:sz w:val="16"/>
          <w:szCs w:val="16"/>
        </w:rPr>
        <w:t>párrs</w:t>
      </w:r>
      <w:proofErr w:type="spellEnd"/>
      <w:r w:rsidRPr="009C672D">
        <w:rPr>
          <w:rFonts w:ascii="Verdana" w:hAnsi="Verdana"/>
          <w:sz w:val="16"/>
          <w:szCs w:val="16"/>
        </w:rPr>
        <w:t>. 184 y 185.</w:t>
      </w:r>
    </w:p>
  </w:footnote>
  <w:footnote w:id="100">
    <w:p w14:paraId="195B54B2" w14:textId="77777777" w:rsidR="009B20E5" w:rsidRPr="00221D27" w:rsidRDefault="009B20E5" w:rsidP="009B20E5">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párr. </w:t>
      </w:r>
      <w:r w:rsidRPr="009C672D">
        <w:rPr>
          <w:rFonts w:ascii="Verdana" w:hAnsi="Verdana"/>
          <w:sz w:val="16"/>
          <w:szCs w:val="16"/>
          <w:lang w:val="es-ES"/>
        </w:rPr>
        <w:t>199.</w:t>
      </w:r>
      <w:r w:rsidRPr="00221D27">
        <w:rPr>
          <w:rFonts w:ascii="Verdana" w:hAnsi="Verdana"/>
          <w:sz w:val="16"/>
          <w:szCs w:val="16"/>
          <w:lang w:val="es-ES"/>
        </w:rPr>
        <w:t xml:space="preserve"> </w:t>
      </w:r>
    </w:p>
  </w:footnote>
  <w:footnote w:id="101">
    <w:p w14:paraId="5FCCEE41" w14:textId="77777777" w:rsidR="009B20E5" w:rsidRPr="006349BA" w:rsidRDefault="009B20E5" w:rsidP="009B20E5">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Cfr. C</w:t>
      </w:r>
      <w:r w:rsidRPr="006349BA">
        <w:rPr>
          <w:rFonts w:ascii="Verdana" w:hAnsi="Verdana" w:cs="Arial"/>
          <w:i/>
          <w:iCs/>
          <w:sz w:val="16"/>
          <w:szCs w:val="16"/>
          <w:shd w:val="clear" w:color="auto" w:fill="FFFFFF"/>
        </w:rPr>
        <w:t>aso Barrios Altos y Caso La Cantuta Vs. Perú. Supervisión de Cumplimiento de Sentencia.</w:t>
      </w:r>
      <w:r w:rsidRPr="006349BA">
        <w:rPr>
          <w:rFonts w:ascii="Verdana" w:hAnsi="Verdana" w:cs="Arial"/>
          <w:sz w:val="16"/>
          <w:szCs w:val="16"/>
          <w:shd w:val="clear" w:color="auto" w:fill="FFFFFF"/>
        </w:rPr>
        <w:t xml:space="preserve"> Resolución de la Corte Interamericana de Derechos Humanos de 30 de mayo de 2018, Considerando 52.</w:t>
      </w:r>
    </w:p>
  </w:footnote>
  <w:footnote w:id="102">
    <w:p w14:paraId="53DD194A" w14:textId="77777777" w:rsidR="009B20E5" w:rsidRPr="00221D27" w:rsidRDefault="009B20E5" w:rsidP="009B20E5">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 xml:space="preserve">Cfr. </w:t>
      </w:r>
      <w:r w:rsidRPr="006349BA">
        <w:rPr>
          <w:rFonts w:ascii="Verdana" w:hAnsi="Verdana"/>
          <w:i/>
          <w:iCs/>
          <w:sz w:val="16"/>
          <w:szCs w:val="16"/>
          <w:shd w:val="clear" w:color="auto" w:fill="FFFFFF"/>
        </w:rPr>
        <w:t>Caso Barrios Altos y Caso La Cantuta Vs. Perú, supra nota</w:t>
      </w:r>
      <w:r w:rsidRPr="006349BA">
        <w:rPr>
          <w:rFonts w:ascii="Verdana" w:hAnsi="Verdana"/>
          <w:sz w:val="16"/>
          <w:szCs w:val="16"/>
          <w:shd w:val="clear" w:color="auto" w:fill="FFFFFF"/>
        </w:rPr>
        <w:t>, Considerandos 53.</w:t>
      </w:r>
    </w:p>
  </w:footnote>
  <w:footnote w:id="103">
    <w:p w14:paraId="64201861"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 xml:space="preserve">Los intervinientes comunes no precisaron si el señor Arturo Chumpitaz Aguirre presenta afecciones de este tipo. </w:t>
      </w:r>
    </w:p>
  </w:footnote>
  <w:footnote w:id="104">
    <w:p w14:paraId="3E541BAD" w14:textId="77777777" w:rsidR="009B20E5" w:rsidRPr="00221D27" w:rsidRDefault="009B20E5" w:rsidP="009B20E5">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Pr>
          <w:rFonts w:ascii="Verdana" w:hAnsi="Verdana"/>
          <w:sz w:val="16"/>
          <w:szCs w:val="16"/>
        </w:rPr>
        <w:t>La información científica disponible indica que</w:t>
      </w:r>
      <w:r w:rsidRPr="00221D27">
        <w:rPr>
          <w:rFonts w:ascii="Verdana" w:hAnsi="Verdana"/>
          <w:sz w:val="16"/>
          <w:szCs w:val="16"/>
        </w:rPr>
        <w:t xml:space="preserve"> “el riesgo de enfermarse gravemente a causa del COVID-19 aumenta con la edad”. Así, “las personas en sus 50 tienen mayor riesgo de enfermarse gravemente que las personas en sus 40” y “las personas en sus 60 o 70, en general, tienen mayor riesgo de enfermarse gravemente que las personas en sus 50”.</w:t>
      </w:r>
      <w:r>
        <w:rPr>
          <w:rFonts w:ascii="Verdana" w:hAnsi="Verdana"/>
          <w:sz w:val="16"/>
          <w:szCs w:val="16"/>
        </w:rPr>
        <w:t xml:space="preserve"> </w:t>
      </w:r>
      <w:r w:rsidRPr="00221D27">
        <w:rPr>
          <w:rFonts w:ascii="Verdana" w:hAnsi="Verdana"/>
          <w:i/>
          <w:sz w:val="16"/>
          <w:szCs w:val="16"/>
        </w:rPr>
        <w:t xml:space="preserve">Cfr. </w:t>
      </w:r>
      <w:r w:rsidRPr="00221D27">
        <w:rPr>
          <w:rFonts w:ascii="Verdana" w:hAnsi="Verdana"/>
          <w:sz w:val="16"/>
          <w:szCs w:val="16"/>
          <w:lang w:val="es-AR"/>
        </w:rPr>
        <w:t xml:space="preserve">Centro para el Control y la Prevención de Enfermedades (CDC), “Enfermedad del coronavirus 2019 (COVID-19). Adultos mayores”, 25 de junio de 2020. Disponible en: </w:t>
      </w:r>
      <w:hyperlink r:id="rId9" w:history="1">
        <w:r w:rsidRPr="00221D27">
          <w:rPr>
            <w:rStyle w:val="Hipervnculo"/>
            <w:rFonts w:ascii="Verdana" w:hAnsi="Verdana"/>
            <w:sz w:val="16"/>
            <w:szCs w:val="16"/>
          </w:rPr>
          <w:t>https://espanol.cdc.gov/coronavirus/2019-ncov/need-extra-precautions/older-adults.html</w:t>
        </w:r>
      </w:hyperlink>
      <w:r>
        <w:rPr>
          <w:rFonts w:ascii="Verdana" w:hAnsi="Verdana"/>
          <w:sz w:val="16"/>
          <w:szCs w:val="16"/>
          <w:lang w:val="es-AR"/>
        </w:rPr>
        <w:t>.</w:t>
      </w:r>
    </w:p>
  </w:footnote>
  <w:footnote w:id="105">
    <w:p w14:paraId="3BB69EE7"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sz w:val="16"/>
          <w:szCs w:val="16"/>
        </w:rPr>
        <w:t xml:space="preserve">Cfr. </w:t>
      </w:r>
      <w:r w:rsidRPr="00221D27">
        <w:rPr>
          <w:rFonts w:ascii="Verdana" w:hAnsi="Verdana"/>
          <w:sz w:val="16"/>
          <w:szCs w:val="16"/>
        </w:rPr>
        <w:t>Organización Mundial de la Salud, “COVID-19: v</w:t>
      </w:r>
      <w:r>
        <w:rPr>
          <w:rFonts w:ascii="Verdana" w:hAnsi="Verdana"/>
          <w:sz w:val="16"/>
          <w:szCs w:val="16"/>
        </w:rPr>
        <w:t xml:space="preserve">ulnerable and </w:t>
      </w:r>
      <w:proofErr w:type="spellStart"/>
      <w:r>
        <w:rPr>
          <w:rFonts w:ascii="Verdana" w:hAnsi="Verdana"/>
          <w:sz w:val="16"/>
          <w:szCs w:val="16"/>
        </w:rPr>
        <w:t>high</w:t>
      </w:r>
      <w:proofErr w:type="spellEnd"/>
      <w:r>
        <w:rPr>
          <w:rFonts w:ascii="Verdana" w:hAnsi="Verdana"/>
          <w:sz w:val="16"/>
          <w:szCs w:val="16"/>
        </w:rPr>
        <w:t xml:space="preserve"> </w:t>
      </w:r>
      <w:proofErr w:type="spellStart"/>
      <w:r>
        <w:rPr>
          <w:rFonts w:ascii="Verdana" w:hAnsi="Verdana"/>
          <w:sz w:val="16"/>
          <w:szCs w:val="16"/>
        </w:rPr>
        <w:t>risk</w:t>
      </w:r>
      <w:proofErr w:type="spellEnd"/>
      <w:r>
        <w:rPr>
          <w:rFonts w:ascii="Verdana" w:hAnsi="Verdana"/>
          <w:sz w:val="16"/>
          <w:szCs w:val="16"/>
        </w:rPr>
        <w:t xml:space="preserve"> </w:t>
      </w:r>
      <w:proofErr w:type="spellStart"/>
      <w:r>
        <w:rPr>
          <w:rFonts w:ascii="Verdana" w:hAnsi="Verdana"/>
          <w:sz w:val="16"/>
          <w:szCs w:val="16"/>
        </w:rPr>
        <w:t>groups</w:t>
      </w:r>
      <w:proofErr w:type="spellEnd"/>
      <w:r>
        <w:rPr>
          <w:rFonts w:ascii="Verdana" w:hAnsi="Verdana"/>
          <w:sz w:val="16"/>
          <w:szCs w:val="16"/>
        </w:rPr>
        <w:t>”. D</w:t>
      </w:r>
      <w:r w:rsidRPr="00221D27">
        <w:rPr>
          <w:rFonts w:ascii="Verdana" w:hAnsi="Verdana"/>
          <w:sz w:val="16"/>
          <w:szCs w:val="16"/>
        </w:rPr>
        <w:t xml:space="preserve">isponible en: </w:t>
      </w:r>
      <w:hyperlink r:id="rId10" w:history="1">
        <w:r w:rsidRPr="00221D27">
          <w:rPr>
            <w:rStyle w:val="Hipervnculo"/>
            <w:rFonts w:ascii="Verdana" w:hAnsi="Verdana"/>
            <w:sz w:val="16"/>
            <w:szCs w:val="16"/>
          </w:rPr>
          <w:t>https://www.who.int/westernpacific/emergencies/covid-19/information/high-risk-groups</w:t>
        </w:r>
      </w:hyperlink>
      <w:r>
        <w:rPr>
          <w:rFonts w:ascii="Verdana" w:hAnsi="Verdana"/>
          <w:sz w:val="16"/>
          <w:szCs w:val="16"/>
        </w:rPr>
        <w:t>.</w:t>
      </w:r>
    </w:p>
  </w:footnote>
  <w:footnote w:id="106">
    <w:p w14:paraId="67FAE2B3"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 xml:space="preserve">Los intervinientes comunes no adjuntaron constancia o informe médico que dé cuenta de dicha afirmación. </w:t>
      </w:r>
    </w:p>
  </w:footnote>
  <w:footnote w:id="107">
    <w:p w14:paraId="1ED7E49E"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sz w:val="16"/>
          <w:szCs w:val="16"/>
          <w:lang w:val="es-CR"/>
        </w:rPr>
        <w:t xml:space="preserve">De los escritos más recientes presentados por el Estado y los intervinientes comunes, de 9 y 16 de junio, respectivamente, surge que </w:t>
      </w:r>
      <w:r>
        <w:rPr>
          <w:rFonts w:ascii="Verdana" w:hAnsi="Verdana"/>
          <w:sz w:val="16"/>
          <w:szCs w:val="16"/>
          <w:lang w:val="es-CR"/>
        </w:rPr>
        <w:t>dos</w:t>
      </w:r>
      <w:r w:rsidRPr="00221D27">
        <w:rPr>
          <w:rFonts w:ascii="Verdana" w:hAnsi="Verdana"/>
          <w:sz w:val="16"/>
          <w:szCs w:val="16"/>
          <w:lang w:val="es-CR"/>
        </w:rPr>
        <w:t xml:space="preserve"> de los propuestos beneficiarios se encontraban “estables”</w:t>
      </w:r>
      <w:r>
        <w:rPr>
          <w:rFonts w:ascii="Verdana" w:hAnsi="Verdana"/>
          <w:sz w:val="16"/>
          <w:szCs w:val="16"/>
          <w:lang w:val="es-CR"/>
        </w:rPr>
        <w:t>;</w:t>
      </w:r>
      <w:r w:rsidRPr="00221D27">
        <w:rPr>
          <w:rFonts w:ascii="Verdana" w:hAnsi="Verdana"/>
          <w:sz w:val="16"/>
          <w:szCs w:val="16"/>
          <w:lang w:val="es-CR"/>
        </w:rPr>
        <w:t xml:space="preserve"> </w:t>
      </w:r>
      <w:r>
        <w:rPr>
          <w:rFonts w:ascii="Verdana" w:hAnsi="Verdana"/>
          <w:sz w:val="16"/>
          <w:szCs w:val="16"/>
          <w:lang w:val="es-CR"/>
        </w:rPr>
        <w:t>un tercero refería</w:t>
      </w:r>
      <w:r w:rsidRPr="00221D27">
        <w:rPr>
          <w:rFonts w:ascii="Verdana" w:hAnsi="Verdana"/>
          <w:sz w:val="16"/>
          <w:szCs w:val="16"/>
          <w:lang w:val="es-CR"/>
        </w:rPr>
        <w:t xml:space="preserve"> encontrarse bien, e incluso los intervinientes afirmaron que </w:t>
      </w:r>
      <w:r>
        <w:rPr>
          <w:rFonts w:ascii="Verdana" w:hAnsi="Verdana"/>
          <w:sz w:val="16"/>
          <w:szCs w:val="16"/>
          <w:lang w:val="es-CR"/>
        </w:rPr>
        <w:t xml:space="preserve">los restantes </w:t>
      </w:r>
      <w:r w:rsidRPr="00221D27">
        <w:rPr>
          <w:rFonts w:ascii="Verdana" w:hAnsi="Verdana"/>
          <w:sz w:val="16"/>
          <w:szCs w:val="16"/>
          <w:lang w:val="es-CR"/>
        </w:rPr>
        <w:t xml:space="preserve">dos se encontraban “relativamente recuperados”. </w:t>
      </w:r>
    </w:p>
  </w:footnote>
  <w:footnote w:id="108">
    <w:p w14:paraId="5B6A30FA"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C0FC0">
        <w:rPr>
          <w:rFonts w:ascii="Verdana" w:hAnsi="Verdana"/>
          <w:sz w:val="16"/>
          <w:szCs w:val="16"/>
        </w:rPr>
        <w:t>El Estado se refirió a las medidas adoptadas por las direcciones de los tres centros penitenciarios en que se encuentran los propuestos beneficiarios, así como a aquellas adoptadas por el Instituto Nacional Penitenciario, el Ministerio de Justicia y Derechos Humanos, el Poder Judicial, el Ministerio Público y la Defensa Pública, entre otras (</w:t>
      </w:r>
      <w:r w:rsidRPr="002C0FC0">
        <w:rPr>
          <w:rFonts w:ascii="Verdana" w:hAnsi="Verdana"/>
          <w:i/>
          <w:sz w:val="16"/>
          <w:szCs w:val="16"/>
        </w:rPr>
        <w:t xml:space="preserve">supra </w:t>
      </w:r>
      <w:r w:rsidRPr="002C0FC0">
        <w:rPr>
          <w:rFonts w:ascii="Verdana" w:hAnsi="Verdana"/>
          <w:sz w:val="16"/>
          <w:szCs w:val="16"/>
        </w:rPr>
        <w:t>Considerando 10 de la Resolución).</w:t>
      </w:r>
    </w:p>
  </w:footnote>
  <w:footnote w:id="109">
    <w:p w14:paraId="13E5CDC6" w14:textId="77777777" w:rsidR="009B20E5" w:rsidRPr="00221D27" w:rsidRDefault="009B20E5" w:rsidP="009B20E5">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sz w:val="16"/>
          <w:szCs w:val="16"/>
        </w:rPr>
        <w:t xml:space="preserve">Cfr. </w:t>
      </w:r>
      <w:r w:rsidRPr="00221D27">
        <w:rPr>
          <w:rFonts w:ascii="Verdana" w:hAnsi="Verdana"/>
          <w:sz w:val="16"/>
          <w:szCs w:val="16"/>
        </w:rPr>
        <w:t>Defensoría del Pueblo</w:t>
      </w:r>
      <w:r>
        <w:rPr>
          <w:rFonts w:ascii="Verdana" w:hAnsi="Verdana"/>
          <w:sz w:val="16"/>
          <w:szCs w:val="16"/>
        </w:rPr>
        <w:t xml:space="preserve"> del Perú</w:t>
      </w:r>
      <w:r w:rsidRPr="00221D27">
        <w:rPr>
          <w:rFonts w:ascii="Verdana" w:hAnsi="Verdana"/>
          <w:sz w:val="16"/>
          <w:szCs w:val="16"/>
        </w:rPr>
        <w:t xml:space="preserve">, “Defensoría del Pueblo: urgen acciones inmediatas para preservar la vida, seguridad y orden en centros penitenciarios”, comunicado de 27 de abril de 2020. </w:t>
      </w:r>
    </w:p>
  </w:footnote>
  <w:footnote w:id="110">
    <w:p w14:paraId="2BB2AB9D"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D04496">
        <w:rPr>
          <w:rFonts w:ascii="Verdana" w:hAnsi="Verdana"/>
          <w:sz w:val="16"/>
          <w:szCs w:val="16"/>
        </w:rPr>
        <w:t xml:space="preserve">De acuerdo a la información aportada en la etapa de supervisión de cumplimiento de sentencia, y no controvertida por el Estado, el señor Juan Alonso Aranda Company es hermano de la víctima José Antonio Aranda Company, identificada en el Anexo 1 de la Sentencia bajo el numeral 37. </w:t>
      </w:r>
      <w:r w:rsidRPr="00D04496">
        <w:rPr>
          <w:rFonts w:ascii="Verdana" w:hAnsi="Verdana"/>
          <w:i/>
          <w:sz w:val="16"/>
          <w:szCs w:val="16"/>
        </w:rPr>
        <w:t xml:space="preserve">Cfr. Caso del Penal Miguel Castro </w:t>
      </w:r>
      <w:proofErr w:type="spellStart"/>
      <w:r w:rsidRPr="00D04496">
        <w:rPr>
          <w:rFonts w:ascii="Verdana" w:hAnsi="Verdana"/>
          <w:i/>
          <w:sz w:val="16"/>
          <w:szCs w:val="16"/>
        </w:rPr>
        <w:t>Castro</w:t>
      </w:r>
      <w:proofErr w:type="spellEnd"/>
      <w:r w:rsidRPr="00D04496">
        <w:rPr>
          <w:rFonts w:ascii="Verdana" w:hAnsi="Verdana"/>
          <w:i/>
          <w:sz w:val="16"/>
          <w:szCs w:val="16"/>
        </w:rPr>
        <w:t xml:space="preserve"> Vs. Perú. Fondo, Reparaciones y Costas</w:t>
      </w:r>
      <w:r w:rsidRPr="00D04496">
        <w:rPr>
          <w:rFonts w:ascii="Verdana" w:hAnsi="Verdana"/>
          <w:sz w:val="16"/>
          <w:szCs w:val="16"/>
        </w:rPr>
        <w:t xml:space="preserve">, </w:t>
      </w:r>
      <w:r w:rsidRPr="00D04496">
        <w:rPr>
          <w:rFonts w:ascii="Verdana" w:hAnsi="Verdana"/>
          <w:i/>
          <w:iCs/>
          <w:sz w:val="16"/>
          <w:szCs w:val="16"/>
        </w:rPr>
        <w:t xml:space="preserve">supra </w:t>
      </w:r>
      <w:r w:rsidRPr="00D04496">
        <w:rPr>
          <w:rFonts w:ascii="Verdana" w:hAnsi="Verdana"/>
          <w:sz w:val="16"/>
          <w:szCs w:val="16"/>
        </w:rPr>
        <w:t xml:space="preserve">nota 1, </w:t>
      </w:r>
      <w:proofErr w:type="spellStart"/>
      <w:r w:rsidRPr="00D04496">
        <w:rPr>
          <w:rFonts w:ascii="Verdana" w:hAnsi="Verdana"/>
          <w:sz w:val="16"/>
          <w:szCs w:val="16"/>
        </w:rPr>
        <w:t>párrs</w:t>
      </w:r>
      <w:proofErr w:type="spellEnd"/>
      <w:r w:rsidRPr="00D04496">
        <w:rPr>
          <w:rFonts w:ascii="Verdana" w:hAnsi="Verdana"/>
          <w:sz w:val="16"/>
          <w:szCs w:val="16"/>
        </w:rPr>
        <w:t xml:space="preserve">. 418 a 420; </w:t>
      </w:r>
      <w:r w:rsidRPr="00D04496">
        <w:rPr>
          <w:rFonts w:ascii="Verdana" w:hAnsi="Verdana"/>
          <w:i/>
          <w:sz w:val="16"/>
          <w:szCs w:val="16"/>
        </w:rPr>
        <w:t>Caso</w:t>
      </w:r>
      <w:r w:rsidRPr="00BF5749">
        <w:rPr>
          <w:rFonts w:ascii="Verdana" w:hAnsi="Verdana"/>
          <w:i/>
          <w:sz w:val="16"/>
          <w:szCs w:val="16"/>
        </w:rPr>
        <w:t xml:space="preserve"> del Penal Miguel Castro </w:t>
      </w:r>
      <w:proofErr w:type="spellStart"/>
      <w:r w:rsidRPr="00BF5749">
        <w:rPr>
          <w:rFonts w:ascii="Verdana" w:hAnsi="Verdana"/>
          <w:i/>
          <w:sz w:val="16"/>
          <w:szCs w:val="16"/>
        </w:rPr>
        <w:t>Castro</w:t>
      </w:r>
      <w:proofErr w:type="spellEnd"/>
      <w:r w:rsidRPr="00BF5749">
        <w:rPr>
          <w:rFonts w:ascii="Verdana" w:hAnsi="Verdana"/>
          <w:sz w:val="16"/>
          <w:szCs w:val="16"/>
        </w:rPr>
        <w:t xml:space="preserve">. </w:t>
      </w:r>
      <w:r w:rsidRPr="00BF5749">
        <w:rPr>
          <w:rFonts w:ascii="Verdana" w:hAnsi="Verdana"/>
          <w:i/>
          <w:sz w:val="16"/>
          <w:szCs w:val="16"/>
        </w:rPr>
        <w:t>Interpretación de la Sentencia de Fondo, Reparaciones y Costas</w:t>
      </w:r>
      <w:r w:rsidRPr="00BF5749">
        <w:rPr>
          <w:rFonts w:ascii="Verdana" w:hAnsi="Verdana"/>
          <w:sz w:val="16"/>
          <w:szCs w:val="16"/>
        </w:rPr>
        <w:t xml:space="preserve">, </w:t>
      </w:r>
      <w:r w:rsidRPr="00BF5749">
        <w:rPr>
          <w:rFonts w:ascii="Verdana" w:hAnsi="Verdana"/>
          <w:i/>
          <w:iCs/>
          <w:sz w:val="16"/>
          <w:szCs w:val="16"/>
        </w:rPr>
        <w:t>supra</w:t>
      </w:r>
      <w:r w:rsidRPr="00BF5749">
        <w:rPr>
          <w:rFonts w:ascii="Verdana" w:hAnsi="Verdana"/>
          <w:sz w:val="16"/>
          <w:szCs w:val="16"/>
        </w:rPr>
        <w:t xml:space="preserve"> nota 2, párr. 68 y escritos de la interviniente común Mónica Feria Tinta de 30 de julio de 2008, 11 de abril de 2010, 4 de febrero de 2011, 13 de marzo de 2013 y 28 de julio de 2014.</w:t>
      </w:r>
      <w:r>
        <w:rPr>
          <w:rFonts w:ascii="Verdana" w:hAnsi="Verdana"/>
          <w:sz w:val="16"/>
          <w:szCs w:val="16"/>
        </w:rPr>
        <w:t xml:space="preserve"> </w:t>
      </w:r>
    </w:p>
  </w:footnote>
  <w:footnote w:id="111">
    <w:p w14:paraId="006E5FBC" w14:textId="77777777" w:rsidR="003C0CFF" w:rsidRPr="00FA76F5" w:rsidRDefault="003C0CFF" w:rsidP="003C0CFF">
      <w:pPr>
        <w:pStyle w:val="Textonotapie"/>
        <w:jc w:val="both"/>
        <w:rPr>
          <w:rFonts w:ascii="Verdana" w:hAnsi="Verdana"/>
          <w:b/>
          <w:bCs/>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005EC">
        <w:rPr>
          <w:rFonts w:ascii="Verdana" w:hAnsi="Verdana"/>
          <w:i/>
          <w:sz w:val="16"/>
          <w:szCs w:val="16"/>
        </w:rPr>
        <w:t xml:space="preserve">Cfr. </w:t>
      </w:r>
      <w:r w:rsidRPr="002005EC">
        <w:rPr>
          <w:rStyle w:val="Textoennegrita"/>
          <w:rFonts w:ascii="Verdana" w:hAnsi="Verdana"/>
          <w:b w:val="0"/>
          <w:bCs w:val="0"/>
          <w:i/>
          <w:color w:val="000000"/>
          <w:sz w:val="16"/>
          <w:szCs w:val="16"/>
          <w:shd w:val="clear" w:color="auto" w:fill="FFFFFF"/>
        </w:rPr>
        <w:t>Caso Juan Humberto Sánchez Vs. Honduras.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7 de febrero de 2006, Considerando 8;</w:t>
      </w:r>
      <w:r w:rsidRPr="002005EC">
        <w:rPr>
          <w:rStyle w:val="Textoennegrita"/>
          <w:rFonts w:ascii="Verdana" w:hAnsi="Verdana"/>
          <w:b w:val="0"/>
          <w:bCs w:val="0"/>
          <w:i/>
          <w:color w:val="000000"/>
          <w:sz w:val="16"/>
          <w:szCs w:val="16"/>
          <w:shd w:val="clear" w:color="auto" w:fill="FFFFFF"/>
        </w:rPr>
        <w:t xml:space="preserve"> Caso de la Comunidad </w:t>
      </w:r>
      <w:proofErr w:type="spellStart"/>
      <w:r w:rsidRPr="002005EC">
        <w:rPr>
          <w:rStyle w:val="Textoennegrita"/>
          <w:rFonts w:ascii="Verdana" w:hAnsi="Verdana"/>
          <w:b w:val="0"/>
          <w:bCs w:val="0"/>
          <w:i/>
          <w:color w:val="000000"/>
          <w:sz w:val="16"/>
          <w:szCs w:val="16"/>
          <w:shd w:val="clear" w:color="auto" w:fill="FFFFFF"/>
        </w:rPr>
        <w:t>Mayagna</w:t>
      </w:r>
      <w:proofErr w:type="spellEnd"/>
      <w:r w:rsidRPr="002005EC">
        <w:rPr>
          <w:rStyle w:val="Textoennegrita"/>
          <w:rFonts w:ascii="Verdana" w:hAnsi="Verdana"/>
          <w:b w:val="0"/>
          <w:bCs w:val="0"/>
          <w:i/>
          <w:color w:val="000000"/>
          <w:sz w:val="16"/>
          <w:szCs w:val="16"/>
          <w:shd w:val="clear" w:color="auto" w:fill="FFFFFF"/>
        </w:rPr>
        <w:t xml:space="preserve"> (Sumo) </w:t>
      </w:r>
      <w:proofErr w:type="spellStart"/>
      <w:r w:rsidRPr="002005EC">
        <w:rPr>
          <w:rStyle w:val="Textoennegrita"/>
          <w:rFonts w:ascii="Verdana" w:hAnsi="Verdana"/>
          <w:b w:val="0"/>
          <w:bCs w:val="0"/>
          <w:i/>
          <w:color w:val="000000"/>
          <w:sz w:val="16"/>
          <w:szCs w:val="16"/>
          <w:shd w:val="clear" w:color="auto" w:fill="FFFFFF"/>
        </w:rPr>
        <w:t>Awas</w:t>
      </w:r>
      <w:proofErr w:type="spellEnd"/>
      <w:r w:rsidRPr="002005EC">
        <w:rPr>
          <w:rStyle w:val="Textoennegrita"/>
          <w:rFonts w:ascii="Verdana" w:hAnsi="Verdana"/>
          <w:b w:val="0"/>
          <w:bCs w:val="0"/>
          <w:i/>
          <w:color w:val="000000"/>
          <w:sz w:val="16"/>
          <w:szCs w:val="16"/>
          <w:shd w:val="clear" w:color="auto" w:fill="FFFFFF"/>
        </w:rPr>
        <w:t xml:space="preserve"> </w:t>
      </w:r>
      <w:proofErr w:type="spellStart"/>
      <w:r w:rsidRPr="002005EC">
        <w:rPr>
          <w:rStyle w:val="Textoennegrita"/>
          <w:rFonts w:ascii="Verdana" w:hAnsi="Verdana"/>
          <w:b w:val="0"/>
          <w:bCs w:val="0"/>
          <w:i/>
          <w:color w:val="000000"/>
          <w:sz w:val="16"/>
          <w:szCs w:val="16"/>
          <w:shd w:val="clear" w:color="auto" w:fill="FFFFFF"/>
        </w:rPr>
        <w:t>Tingni</w:t>
      </w:r>
      <w:proofErr w:type="spellEnd"/>
      <w:r w:rsidRPr="002005EC">
        <w:rPr>
          <w:rStyle w:val="Textoennegrita"/>
          <w:rFonts w:ascii="Verdana" w:hAnsi="Verdana"/>
          <w:b w:val="0"/>
          <w:bCs w:val="0"/>
          <w:i/>
          <w:color w:val="000000"/>
          <w:sz w:val="16"/>
          <w:szCs w:val="16"/>
          <w:shd w:val="clear" w:color="auto" w:fill="FFFFFF"/>
        </w:rPr>
        <w:t xml:space="preserve"> Vs. Nicaragua. Solicitud de Medidas Provisionales.</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26 de noviembre de 2007, Considerandos 10 y 11; </w:t>
      </w:r>
      <w:r w:rsidRPr="002005EC">
        <w:rPr>
          <w:rStyle w:val="Textoennegrita"/>
          <w:rFonts w:ascii="Verdana" w:hAnsi="Verdana"/>
          <w:b w:val="0"/>
          <w:bCs w:val="0"/>
          <w:i/>
          <w:color w:val="000000"/>
          <w:sz w:val="16"/>
          <w:szCs w:val="16"/>
          <w:shd w:val="clear" w:color="auto" w:fill="FFFFFF"/>
        </w:rPr>
        <w:t xml:space="preserve">Caso del Pueblo de </w:t>
      </w:r>
      <w:proofErr w:type="spellStart"/>
      <w:r w:rsidRPr="002005EC">
        <w:rPr>
          <w:rStyle w:val="Textoennegrita"/>
          <w:rFonts w:ascii="Verdana" w:hAnsi="Verdana"/>
          <w:b w:val="0"/>
          <w:bCs w:val="0"/>
          <w:i/>
          <w:color w:val="000000"/>
          <w:sz w:val="16"/>
          <w:szCs w:val="16"/>
          <w:shd w:val="clear" w:color="auto" w:fill="FFFFFF"/>
        </w:rPr>
        <w:t>Saramaka</w:t>
      </w:r>
      <w:proofErr w:type="spellEnd"/>
      <w:r w:rsidRPr="002005EC">
        <w:rPr>
          <w:rStyle w:val="Textoennegrita"/>
          <w:rFonts w:ascii="Verdana" w:hAnsi="Verdana"/>
          <w:b w:val="0"/>
          <w:bCs w:val="0"/>
          <w:i/>
          <w:color w:val="000000"/>
          <w:sz w:val="16"/>
          <w:szCs w:val="16"/>
          <w:shd w:val="clear" w:color="auto" w:fill="FFFFFF"/>
        </w:rPr>
        <w:t xml:space="preserve"> Vs. Surinam. Solicitud de Medidas Provisionales y supervisión de cumplimiento de sentencia</w:t>
      </w:r>
      <w:r w:rsidRPr="002005EC">
        <w:rPr>
          <w:rStyle w:val="Textoennegrita"/>
          <w:rFonts w:ascii="Verdana" w:hAnsi="Verdana"/>
          <w:b w:val="0"/>
          <w:bCs w:val="0"/>
          <w:color w:val="000000"/>
          <w:sz w:val="16"/>
          <w:szCs w:val="16"/>
          <w:shd w:val="clear" w:color="auto" w:fill="FFFFFF"/>
        </w:rPr>
        <w:t xml:space="preserve">. Resolución de la Corte Interamericana de Derechos Humanos de 4 de septiembre de 2013, Considerando 23; </w:t>
      </w:r>
      <w:r w:rsidRPr="002005EC">
        <w:rPr>
          <w:rStyle w:val="Textoennegrita"/>
          <w:rFonts w:ascii="Verdana" w:hAnsi="Verdana"/>
          <w:b w:val="0"/>
          <w:bCs w:val="0"/>
          <w:i/>
          <w:color w:val="000000"/>
          <w:sz w:val="16"/>
          <w:szCs w:val="16"/>
          <w:shd w:val="clear" w:color="auto" w:fill="FFFFFF"/>
        </w:rPr>
        <w:t>Caso Artavia Murillo y otros (“Fecundación in Vitro”) Vs. Costa Rica. Solicitud de Medidas Provisionales</w:t>
      </w:r>
      <w:r w:rsidRPr="002005EC">
        <w:rPr>
          <w:rStyle w:val="Textoennegrita"/>
          <w:rFonts w:ascii="Verdana" w:hAnsi="Verdana"/>
          <w:b w:val="0"/>
          <w:bCs w:val="0"/>
          <w:color w:val="000000"/>
          <w:sz w:val="16"/>
          <w:szCs w:val="16"/>
          <w:shd w:val="clear" w:color="auto" w:fill="FFFFFF"/>
        </w:rPr>
        <w:t>. Resolución de la Corte Interamericana de Derechos Humanos de 31 de marzo de 2014, Considerandos 9 y 10;</w:t>
      </w:r>
      <w:r w:rsidRPr="00221D27">
        <w:rPr>
          <w:rStyle w:val="Textoennegrita"/>
          <w:rFonts w:ascii="Verdana" w:hAnsi="Verdana"/>
          <w:b w:val="0"/>
          <w:bCs w:val="0"/>
          <w:color w:val="000000"/>
          <w:sz w:val="16"/>
          <w:szCs w:val="16"/>
          <w:shd w:val="clear" w:color="auto" w:fill="FFFFFF"/>
        </w:rPr>
        <w:t xml:space="preserve"> </w:t>
      </w:r>
      <w:r w:rsidRPr="00221D27">
        <w:rPr>
          <w:rStyle w:val="Textoennegrita"/>
          <w:rFonts w:ascii="Verdana" w:hAnsi="Verdana"/>
          <w:b w:val="0"/>
          <w:bCs w:val="0"/>
          <w:i/>
          <w:color w:val="000000"/>
          <w:sz w:val="16"/>
          <w:szCs w:val="16"/>
          <w:shd w:val="clear" w:color="auto" w:fill="FFFFFF"/>
        </w:rPr>
        <w:t>Caso Acevedo Jaramillo y otros Vs. Perú. Solicitud de Medidas Provisionales.</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28 de agosto de 2015, Considerandos 7 y 8; </w:t>
      </w:r>
      <w:r>
        <w:rPr>
          <w:rStyle w:val="Textoennegrita"/>
          <w:rFonts w:ascii="Verdana" w:hAnsi="Verdana"/>
          <w:b w:val="0"/>
          <w:bCs w:val="0"/>
          <w:i/>
          <w:color w:val="000000"/>
          <w:sz w:val="16"/>
          <w:szCs w:val="16"/>
          <w:shd w:val="clear" w:color="auto" w:fill="FFFFFF"/>
        </w:rPr>
        <w:t xml:space="preserve">Caso Gonzáles </w:t>
      </w:r>
      <w:proofErr w:type="spellStart"/>
      <w:r>
        <w:rPr>
          <w:rStyle w:val="Textoennegrita"/>
          <w:rFonts w:ascii="Verdana" w:hAnsi="Verdana"/>
          <w:b w:val="0"/>
          <w:bCs w:val="0"/>
          <w:i/>
          <w:color w:val="000000"/>
          <w:sz w:val="16"/>
          <w:szCs w:val="16"/>
          <w:shd w:val="clear" w:color="auto" w:fill="FFFFFF"/>
        </w:rPr>
        <w:t>Lluy</w:t>
      </w:r>
      <w:proofErr w:type="spellEnd"/>
      <w:r>
        <w:rPr>
          <w:rStyle w:val="Textoennegrita"/>
          <w:rFonts w:ascii="Verdana" w:hAnsi="Verdana"/>
          <w:b w:val="0"/>
          <w:bCs w:val="0"/>
          <w:i/>
          <w:color w:val="000000"/>
          <w:sz w:val="16"/>
          <w:szCs w:val="16"/>
          <w:shd w:val="clear" w:color="auto" w:fill="FFFFFF"/>
        </w:rPr>
        <w:t xml:space="preserve"> y otros Vs. Ecuador. Medidas Provisionales. </w:t>
      </w:r>
      <w:r>
        <w:rPr>
          <w:rStyle w:val="Textoennegrita"/>
          <w:rFonts w:ascii="Verdana" w:hAnsi="Verdana"/>
          <w:b w:val="0"/>
          <w:bCs w:val="0"/>
          <w:color w:val="000000"/>
          <w:sz w:val="16"/>
          <w:szCs w:val="16"/>
          <w:shd w:val="clear" w:color="auto" w:fill="FFFFFF"/>
        </w:rPr>
        <w:t>Resolución de la Corte Interamericana de Derechos Humanos de 2 de setiembre de 2015, Considerandos 25 y 26;</w:t>
      </w:r>
      <w:r>
        <w:rPr>
          <w:rStyle w:val="Textoennegrita"/>
          <w:rFonts w:ascii="Verdana" w:hAnsi="Verdana"/>
          <w:b w:val="0"/>
          <w:bCs w:val="0"/>
          <w:i/>
          <w:color w:val="000000"/>
          <w:sz w:val="16"/>
          <w:szCs w:val="16"/>
          <w:shd w:val="clear" w:color="auto" w:fill="FFFFFF"/>
        </w:rPr>
        <w:t xml:space="preserve"> </w:t>
      </w:r>
      <w:r w:rsidRPr="00191FE3">
        <w:rPr>
          <w:rStyle w:val="Textoennegrita"/>
          <w:rFonts w:ascii="Verdana" w:hAnsi="Verdana"/>
          <w:b w:val="0"/>
          <w:bCs w:val="0"/>
          <w:i/>
          <w:color w:val="000000"/>
          <w:sz w:val="16"/>
          <w:szCs w:val="16"/>
          <w:shd w:val="clear" w:color="auto" w:fill="FFFFFF"/>
        </w:rPr>
        <w:t>Caso I.V</w:t>
      </w:r>
      <w:r>
        <w:rPr>
          <w:rStyle w:val="Textoennegrita"/>
          <w:rFonts w:ascii="Verdana" w:hAnsi="Verdana"/>
          <w:b w:val="0"/>
          <w:bCs w:val="0"/>
          <w:i/>
          <w:color w:val="000000"/>
          <w:sz w:val="16"/>
          <w:szCs w:val="16"/>
          <w:shd w:val="clear" w:color="auto" w:fill="FFFFFF"/>
        </w:rPr>
        <w:t>.</w:t>
      </w:r>
      <w:r w:rsidRPr="00191FE3">
        <w:rPr>
          <w:rStyle w:val="Textoennegrita"/>
          <w:rFonts w:ascii="Verdana" w:hAnsi="Verdana"/>
          <w:b w:val="0"/>
          <w:bCs w:val="0"/>
          <w:i/>
          <w:color w:val="000000"/>
          <w:sz w:val="16"/>
          <w:szCs w:val="16"/>
          <w:shd w:val="clear" w:color="auto" w:fill="FFFFFF"/>
        </w:rPr>
        <w:t xml:space="preserve"> Vs. Bolivia. Solicitud de Medidas Provisionales</w:t>
      </w:r>
      <w:r>
        <w:rPr>
          <w:rStyle w:val="Textoennegrita"/>
          <w:rFonts w:ascii="Verdana" w:hAnsi="Verdana"/>
          <w:b w:val="0"/>
          <w:bCs w:val="0"/>
          <w:color w:val="000000"/>
          <w:sz w:val="16"/>
          <w:szCs w:val="16"/>
          <w:shd w:val="clear" w:color="auto" w:fill="FFFFFF"/>
        </w:rPr>
        <w:t xml:space="preserve">. Resolución de la Corte Interamericana de Derechos Humanos de 25 de mayo de 2017, Considerandos 11 y 12; </w:t>
      </w:r>
      <w:r w:rsidRPr="00221D27">
        <w:rPr>
          <w:rStyle w:val="Textoennegrita"/>
          <w:rFonts w:ascii="Verdana" w:hAnsi="Verdana"/>
          <w:b w:val="0"/>
          <w:bCs w:val="0"/>
          <w:i/>
          <w:color w:val="000000"/>
          <w:sz w:val="16"/>
          <w:szCs w:val="16"/>
          <w:shd w:val="clear" w:color="auto" w:fill="FFFFFF"/>
        </w:rPr>
        <w:t xml:space="preserve">Caso </w:t>
      </w:r>
      <w:proofErr w:type="spellStart"/>
      <w:r w:rsidRPr="00221D27">
        <w:rPr>
          <w:rStyle w:val="Textoennegrita"/>
          <w:rFonts w:ascii="Verdana" w:hAnsi="Verdana"/>
          <w:b w:val="0"/>
          <w:bCs w:val="0"/>
          <w:i/>
          <w:color w:val="000000"/>
          <w:sz w:val="16"/>
          <w:szCs w:val="16"/>
          <w:shd w:val="clear" w:color="auto" w:fill="FFFFFF"/>
        </w:rPr>
        <w:t>Cesti</w:t>
      </w:r>
      <w:proofErr w:type="spellEnd"/>
      <w:r w:rsidRPr="00221D27">
        <w:rPr>
          <w:rStyle w:val="Textoennegrita"/>
          <w:rFonts w:ascii="Verdana" w:hAnsi="Verdana"/>
          <w:b w:val="0"/>
          <w:bCs w:val="0"/>
          <w:i/>
          <w:color w:val="000000"/>
          <w:sz w:val="16"/>
          <w:szCs w:val="16"/>
          <w:shd w:val="clear" w:color="auto" w:fill="FFFFFF"/>
        </w:rPr>
        <w:t xml:space="preserve"> Hurtado Vs. Perú. Solicitud de Medidas Provisionales y supervisión de cumplimiento de sentencia.</w:t>
      </w:r>
      <w:r w:rsidRPr="00221D27">
        <w:rPr>
          <w:rStyle w:val="Textoennegrita"/>
          <w:rFonts w:ascii="Verdana" w:hAnsi="Verdana"/>
          <w:b w:val="0"/>
          <w:bCs w:val="0"/>
          <w:color w:val="000000"/>
          <w:sz w:val="16"/>
          <w:szCs w:val="16"/>
          <w:shd w:val="clear" w:color="auto" w:fill="FFFFFF"/>
        </w:rPr>
        <w:t xml:space="preserve"> Resolución de la Corte Interamericana de Derechos Humanos de 14 de octubre de 2019, Considerandos 24 a 26.</w:t>
      </w:r>
    </w:p>
  </w:footnote>
  <w:footnote w:id="112">
    <w:p w14:paraId="255B5D88" w14:textId="77777777" w:rsidR="003C0CFF" w:rsidRPr="00E16E09"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Pr>
          <w:rFonts w:ascii="Verdana" w:hAnsi="Verdana"/>
          <w:i/>
          <w:sz w:val="16"/>
          <w:szCs w:val="16"/>
        </w:rPr>
        <w:t xml:space="preserve">Cfr. </w:t>
      </w:r>
      <w:r w:rsidRPr="00221D27">
        <w:rPr>
          <w:rFonts w:ascii="Verdana" w:hAnsi="Verdana"/>
          <w:i/>
          <w:sz w:val="16"/>
          <w:szCs w:val="16"/>
        </w:rPr>
        <w:t>Caso Durand y Ugarte Vs. Perú. Medidas Provisionales.</w:t>
      </w:r>
      <w:r w:rsidRPr="00221D27">
        <w:rPr>
          <w:rFonts w:ascii="Verdana" w:hAnsi="Verdana"/>
          <w:sz w:val="16"/>
          <w:szCs w:val="16"/>
        </w:rPr>
        <w:t xml:space="preserve"> Resolución </w:t>
      </w:r>
      <w:r>
        <w:rPr>
          <w:rFonts w:ascii="Verdana" w:hAnsi="Verdana"/>
          <w:sz w:val="16"/>
          <w:szCs w:val="16"/>
        </w:rPr>
        <w:t xml:space="preserve">de la Corte Interamericana de Derechos Humanos </w:t>
      </w:r>
      <w:r w:rsidRPr="00221D27">
        <w:rPr>
          <w:rFonts w:ascii="Verdana" w:hAnsi="Verdana"/>
          <w:sz w:val="16"/>
          <w:szCs w:val="16"/>
        </w:rPr>
        <w:t>de 8 de febrero de 2018</w:t>
      </w:r>
      <w:r>
        <w:rPr>
          <w:rFonts w:ascii="Verdana" w:hAnsi="Verdana"/>
          <w:sz w:val="16"/>
          <w:szCs w:val="16"/>
        </w:rPr>
        <w:t>,</w:t>
      </w:r>
      <w:r w:rsidRPr="00221D27">
        <w:rPr>
          <w:rFonts w:ascii="Verdana" w:hAnsi="Verdana"/>
          <w:sz w:val="16"/>
          <w:szCs w:val="16"/>
        </w:rPr>
        <w:t xml:space="preserve"> </w:t>
      </w:r>
      <w:r>
        <w:rPr>
          <w:rFonts w:ascii="Verdana" w:hAnsi="Verdana"/>
          <w:sz w:val="16"/>
          <w:szCs w:val="16"/>
        </w:rPr>
        <w:t xml:space="preserve">y </w:t>
      </w:r>
      <w:r w:rsidRPr="00221D27">
        <w:rPr>
          <w:rFonts w:ascii="Verdana" w:hAnsi="Verdana"/>
          <w:bCs/>
          <w:i/>
          <w:sz w:val="16"/>
          <w:szCs w:val="16"/>
        </w:rPr>
        <w:t xml:space="preserve">Caso Miembros de la Aldea </w:t>
      </w:r>
      <w:proofErr w:type="spellStart"/>
      <w:r w:rsidRPr="00221D27">
        <w:rPr>
          <w:rFonts w:ascii="Verdana" w:hAnsi="Verdana"/>
          <w:bCs/>
          <w:i/>
          <w:sz w:val="16"/>
          <w:szCs w:val="16"/>
        </w:rPr>
        <w:t>Chichupac</w:t>
      </w:r>
      <w:proofErr w:type="spellEnd"/>
      <w:r w:rsidRPr="00221D27">
        <w:rPr>
          <w:rFonts w:ascii="Verdana" w:hAnsi="Verdana"/>
          <w:bCs/>
          <w:i/>
          <w:sz w:val="16"/>
          <w:szCs w:val="16"/>
        </w:rPr>
        <w:t xml:space="preserve"> y comunidades vecinas del Municipio de Rabinal, Caso Molina </w:t>
      </w:r>
      <w:proofErr w:type="spellStart"/>
      <w:r w:rsidRPr="00221D27">
        <w:rPr>
          <w:rFonts w:ascii="Verdana" w:hAnsi="Verdana"/>
          <w:bCs/>
          <w:i/>
          <w:sz w:val="16"/>
          <w:szCs w:val="16"/>
        </w:rPr>
        <w:t>Theissen</w:t>
      </w:r>
      <w:proofErr w:type="spellEnd"/>
      <w:r w:rsidRPr="00221D27">
        <w:rPr>
          <w:rFonts w:ascii="Verdana" w:hAnsi="Verdana"/>
          <w:bCs/>
          <w:i/>
          <w:sz w:val="16"/>
          <w:szCs w:val="16"/>
        </w:rPr>
        <w:t xml:space="preserve"> y otros 12 Casos Guatemaltecos Vs. Guatemala. Medidas Provisionales y Supervisión de Cumplimiento de Sentencia.</w:t>
      </w:r>
      <w:r w:rsidRPr="00221D27">
        <w:rPr>
          <w:rFonts w:ascii="Verdana" w:hAnsi="Verdana"/>
          <w:bCs/>
          <w:sz w:val="16"/>
          <w:szCs w:val="16"/>
        </w:rPr>
        <w:t xml:space="preserve"> Resolución </w:t>
      </w:r>
      <w:r>
        <w:rPr>
          <w:rFonts w:ascii="Verdana" w:hAnsi="Verdana"/>
          <w:bCs/>
          <w:sz w:val="16"/>
          <w:szCs w:val="16"/>
        </w:rPr>
        <w:t xml:space="preserve">de la Corte Interamericana de Derechos Humanos </w:t>
      </w:r>
      <w:r w:rsidRPr="00221D27">
        <w:rPr>
          <w:rFonts w:ascii="Verdana" w:hAnsi="Verdana"/>
          <w:bCs/>
          <w:sz w:val="16"/>
          <w:szCs w:val="16"/>
        </w:rPr>
        <w:t>de 12 de marzo de 2019</w:t>
      </w:r>
      <w:r w:rsidRPr="003F0B58">
        <w:rPr>
          <w:rFonts w:ascii="Verdana" w:hAnsi="Verdana"/>
          <w:sz w:val="16"/>
          <w:szCs w:val="16"/>
        </w:rPr>
        <w:t>.</w:t>
      </w:r>
    </w:p>
  </w:footnote>
  <w:footnote w:id="113">
    <w:p w14:paraId="3D1FE0A8" w14:textId="77777777" w:rsidR="003C0CFF" w:rsidRPr="004843EA" w:rsidRDefault="003C0CFF" w:rsidP="003C0CFF">
      <w:pPr>
        <w:pStyle w:val="Textonotapie"/>
        <w:jc w:val="both"/>
        <w:rPr>
          <w:rFonts w:ascii="Verdana" w:hAnsi="Verdana"/>
          <w:sz w:val="16"/>
          <w:szCs w:val="16"/>
          <w:lang w:val="es-MX"/>
        </w:rPr>
      </w:pPr>
      <w:r w:rsidRPr="00E16E09">
        <w:rPr>
          <w:rStyle w:val="Refdenotaalpie"/>
          <w:szCs w:val="16"/>
        </w:rPr>
        <w:footnoteRef/>
      </w:r>
      <w:r w:rsidRPr="00E16E09">
        <w:rPr>
          <w:rFonts w:ascii="Verdana" w:hAnsi="Verdana"/>
          <w:sz w:val="16"/>
          <w:szCs w:val="16"/>
        </w:rPr>
        <w:t xml:space="preserve"> </w:t>
      </w:r>
      <w:r w:rsidRPr="00E16E09">
        <w:rPr>
          <w:rFonts w:ascii="Verdana" w:hAnsi="Verdana"/>
          <w:sz w:val="16"/>
          <w:szCs w:val="16"/>
        </w:rPr>
        <w:tab/>
      </w:r>
      <w:r w:rsidRPr="00674B35">
        <w:rPr>
          <w:rFonts w:ascii="Verdana" w:hAnsi="Verdana"/>
          <w:i/>
          <w:iCs/>
          <w:sz w:val="16"/>
          <w:szCs w:val="16"/>
          <w:lang w:val="es-MX"/>
        </w:rPr>
        <w:t xml:space="preserve">Cfr. </w:t>
      </w:r>
      <w:r w:rsidRPr="00DD4C86">
        <w:rPr>
          <w:rFonts w:ascii="Verdana" w:hAnsi="Verdana"/>
          <w:sz w:val="16"/>
          <w:szCs w:val="16"/>
        </w:rPr>
        <w:t>Declaración de la Corte Interamericana de Derechos Humanos No. 1/20, 9 de abril de 2020, “COVID-19 y Dere</w:t>
      </w:r>
      <w:r w:rsidRPr="004843EA">
        <w:rPr>
          <w:rFonts w:ascii="Verdana" w:hAnsi="Verdana"/>
          <w:sz w:val="16"/>
          <w:szCs w:val="16"/>
        </w:rPr>
        <w:t>chos Humanos: los problemas y desafíos deben ser abordados con perspectiva de derechos humanos y respetando las obligaciones internacionales”. Disponible en: http://www.corteidh.or.cr/docs/comunicados/cp_27_2020.pdf.</w:t>
      </w:r>
    </w:p>
  </w:footnote>
  <w:footnote w:id="114">
    <w:p w14:paraId="0AFA5F7E" w14:textId="77777777" w:rsidR="003C0CFF" w:rsidRPr="00221D27" w:rsidRDefault="003C0CFF" w:rsidP="003C0CFF">
      <w:pPr>
        <w:pStyle w:val="Textonotapie"/>
        <w:tabs>
          <w:tab w:val="left" w:pos="567"/>
        </w:tabs>
        <w:jc w:val="both"/>
        <w:rPr>
          <w:rFonts w:ascii="Verdana" w:hAnsi="Verdana"/>
          <w:sz w:val="16"/>
          <w:szCs w:val="16"/>
          <w:lang w:val="es-CR"/>
        </w:rPr>
      </w:pPr>
      <w:r w:rsidRPr="00221D27">
        <w:rPr>
          <w:rStyle w:val="Refdenotaalpie"/>
          <w:szCs w:val="16"/>
        </w:rPr>
        <w:footnoteRef/>
      </w:r>
      <w:r w:rsidRPr="00221D27">
        <w:rPr>
          <w:rFonts w:ascii="Verdana" w:hAnsi="Verdana"/>
          <w:sz w:val="16"/>
          <w:szCs w:val="16"/>
          <w:lang w:val="es-CR"/>
        </w:rPr>
        <w:t xml:space="preserve"> </w:t>
      </w:r>
      <w:r w:rsidRPr="00221D27">
        <w:rPr>
          <w:rFonts w:ascii="Verdana" w:hAnsi="Verdana"/>
          <w:sz w:val="16"/>
          <w:szCs w:val="16"/>
          <w:lang w:val="es-CR"/>
        </w:rPr>
        <w:tab/>
      </w:r>
      <w:r w:rsidRPr="00C1731C">
        <w:rPr>
          <w:rFonts w:ascii="Verdana" w:hAnsi="Verdana"/>
          <w:i/>
          <w:sz w:val="16"/>
          <w:szCs w:val="16"/>
          <w:lang w:val="es-CR"/>
        </w:rPr>
        <w:t xml:space="preserve">Cfr. Caso Carpio </w:t>
      </w:r>
      <w:proofErr w:type="spellStart"/>
      <w:r w:rsidRPr="00C1731C">
        <w:rPr>
          <w:rFonts w:ascii="Verdana" w:hAnsi="Verdana"/>
          <w:i/>
          <w:sz w:val="16"/>
          <w:szCs w:val="16"/>
          <w:lang w:val="es-CR"/>
        </w:rPr>
        <w:t>Nicolle</w:t>
      </w:r>
      <w:proofErr w:type="spellEnd"/>
      <w:r w:rsidRPr="00C1731C">
        <w:rPr>
          <w:rFonts w:ascii="Verdana" w:hAnsi="Verdana"/>
          <w:i/>
          <w:sz w:val="16"/>
          <w:szCs w:val="16"/>
          <w:lang w:val="es-CR"/>
        </w:rPr>
        <w:t xml:space="preserve"> y otros </w:t>
      </w:r>
      <w:r>
        <w:rPr>
          <w:rFonts w:ascii="Verdana" w:hAnsi="Verdana"/>
          <w:i/>
          <w:sz w:val="16"/>
          <w:szCs w:val="16"/>
          <w:lang w:val="es-CR"/>
        </w:rPr>
        <w:t>Vs.</w:t>
      </w:r>
      <w:r w:rsidRPr="00C1731C">
        <w:rPr>
          <w:rFonts w:ascii="Verdana" w:hAnsi="Verdana"/>
          <w:i/>
          <w:sz w:val="16"/>
          <w:szCs w:val="16"/>
          <w:lang w:val="es-CR"/>
        </w:rPr>
        <w:t xml:space="preserve"> Guatemala. Medidas Provisionales.</w:t>
      </w:r>
      <w:r w:rsidRPr="00C1731C">
        <w:rPr>
          <w:rFonts w:ascii="Verdana" w:hAnsi="Verdana"/>
          <w:sz w:val="16"/>
          <w:szCs w:val="16"/>
          <w:lang w:val="es-CR"/>
        </w:rPr>
        <w:t xml:space="preserve"> Resolución de la Corte Interamericana de Derechos Humanos de 6 de julio de 2009, Considerando 14, y </w:t>
      </w:r>
      <w:r w:rsidRPr="00C1731C">
        <w:rPr>
          <w:rFonts w:ascii="Verdana" w:hAnsi="Verdana"/>
          <w:i/>
          <w:sz w:val="16"/>
          <w:szCs w:val="16"/>
          <w:lang w:val="es-CR"/>
        </w:rPr>
        <w:t>Asuntos de Determinados Centros Penitenciarios de Venezuela. Humberto Prado. Marianela Sánchez Ortiz y familia. Medidas Provisionales respecto de Venezuela.</w:t>
      </w:r>
      <w:r w:rsidRPr="00C1731C">
        <w:rPr>
          <w:rFonts w:ascii="Verdana" w:hAnsi="Verdana"/>
          <w:sz w:val="16"/>
          <w:szCs w:val="16"/>
          <w:lang w:val="es-CR"/>
        </w:rPr>
        <w:t xml:space="preserve"> Resolución de la Corte Interamericana de Derechos Humanos de 8 de julio de 2020, Considerando 2.</w:t>
      </w:r>
      <w:r>
        <w:rPr>
          <w:rFonts w:ascii="Verdana" w:hAnsi="Verdana"/>
          <w:sz w:val="16"/>
          <w:szCs w:val="16"/>
          <w:lang w:val="es-CR"/>
        </w:rPr>
        <w:t xml:space="preserve"> </w:t>
      </w:r>
    </w:p>
  </w:footnote>
  <w:footnote w:id="115">
    <w:p w14:paraId="422E2776" w14:textId="77777777" w:rsidR="003C0CFF" w:rsidRPr="002907CD" w:rsidRDefault="003C0CFF" w:rsidP="003C0CFF">
      <w:pPr>
        <w:tabs>
          <w:tab w:val="left" w:pos="567"/>
        </w:tabs>
        <w:jc w:val="both"/>
        <w:rPr>
          <w:rFonts w:ascii="Verdana" w:hAnsi="Verdana"/>
          <w:i/>
          <w:iCs/>
          <w:sz w:val="16"/>
          <w:szCs w:val="16"/>
          <w:lang w:val="es-ES"/>
        </w:rPr>
      </w:pPr>
      <w:r w:rsidRPr="00221D27">
        <w:rPr>
          <w:rStyle w:val="Refdenotaalpie"/>
          <w:szCs w:val="16"/>
        </w:rPr>
        <w:footnoteRef/>
      </w:r>
      <w:r w:rsidRPr="00221D27">
        <w:rPr>
          <w:rFonts w:ascii="Verdana" w:hAnsi="Verdana"/>
          <w:sz w:val="16"/>
          <w:szCs w:val="16"/>
        </w:rPr>
        <w:tab/>
      </w:r>
      <w:r w:rsidRPr="002907CD">
        <w:rPr>
          <w:rFonts w:ascii="Verdana" w:hAnsi="Verdana"/>
          <w:i/>
          <w:iCs/>
          <w:sz w:val="16"/>
          <w:szCs w:val="16"/>
          <w:lang w:val="es-ES"/>
        </w:rPr>
        <w:t xml:space="preserve">Cfr. </w:t>
      </w:r>
      <w:r w:rsidRPr="002907CD">
        <w:rPr>
          <w:rFonts w:ascii="Verdana" w:hAnsi="Verdana"/>
          <w:i/>
          <w:sz w:val="16"/>
          <w:szCs w:val="16"/>
          <w:lang w:val="es-CR"/>
        </w:rPr>
        <w:t xml:space="preserve">Caso Bámaca Velásquez Vs. Guatemala. Medidas Provisionales. </w:t>
      </w:r>
      <w:r w:rsidRPr="002907CD">
        <w:rPr>
          <w:rFonts w:ascii="Verdana" w:hAnsi="Verdana"/>
          <w:sz w:val="16"/>
          <w:szCs w:val="16"/>
          <w:lang w:val="es-CR"/>
        </w:rPr>
        <w:t>Resolución de la Corte Interamericana de Derechos Humanos de 20 de noviembre de 2003, Considerando 10</w:t>
      </w:r>
      <w:r w:rsidRPr="002907CD">
        <w:rPr>
          <w:rFonts w:ascii="Verdana" w:hAnsi="Verdana"/>
          <w:iCs/>
          <w:sz w:val="16"/>
          <w:szCs w:val="16"/>
          <w:lang w:val="es-ES"/>
        </w:rPr>
        <w:t>,</w:t>
      </w:r>
      <w:r w:rsidRPr="002907CD">
        <w:rPr>
          <w:rFonts w:ascii="Verdana" w:hAnsi="Verdana"/>
          <w:sz w:val="16"/>
          <w:szCs w:val="16"/>
        </w:rPr>
        <w:t xml:space="preserve"> y </w:t>
      </w:r>
      <w:r w:rsidRPr="002907CD">
        <w:rPr>
          <w:rFonts w:ascii="Verdana" w:hAnsi="Verdana"/>
          <w:i/>
          <w:sz w:val="16"/>
          <w:szCs w:val="16"/>
        </w:rPr>
        <w:t xml:space="preserve">Caso Urrutia </w:t>
      </w:r>
      <w:proofErr w:type="spellStart"/>
      <w:r w:rsidRPr="002907CD">
        <w:rPr>
          <w:rFonts w:ascii="Verdana" w:hAnsi="Verdana"/>
          <w:i/>
          <w:sz w:val="16"/>
          <w:szCs w:val="16"/>
        </w:rPr>
        <w:t>Laubreaux</w:t>
      </w:r>
      <w:proofErr w:type="spellEnd"/>
      <w:r w:rsidRPr="002907CD">
        <w:rPr>
          <w:rFonts w:ascii="Verdana" w:hAnsi="Verdana"/>
          <w:i/>
          <w:sz w:val="16"/>
          <w:szCs w:val="16"/>
        </w:rPr>
        <w:t xml:space="preserve"> Vs. Chile. Solicitud de Medidas Provisionales</w:t>
      </w:r>
      <w:r w:rsidRPr="002907CD">
        <w:rPr>
          <w:rFonts w:ascii="Verdana" w:hAnsi="Verdana"/>
          <w:sz w:val="16"/>
          <w:szCs w:val="16"/>
        </w:rPr>
        <w:t>. Resolución de la Corte Interamericana de Derechos Humanos de 12 de marzo de 2020, Considerando 3.</w:t>
      </w:r>
    </w:p>
  </w:footnote>
  <w:footnote w:id="116">
    <w:p w14:paraId="7FACA6AA" w14:textId="77777777" w:rsidR="003C0CFF" w:rsidRPr="0051766F" w:rsidRDefault="003C0CFF" w:rsidP="003C0CFF">
      <w:pPr>
        <w:tabs>
          <w:tab w:val="left" w:pos="567"/>
        </w:tabs>
        <w:jc w:val="both"/>
        <w:rPr>
          <w:rFonts w:ascii="Verdana" w:hAnsi="Verdana"/>
          <w:i/>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51766F">
        <w:rPr>
          <w:rFonts w:ascii="Verdana" w:hAnsi="Verdana"/>
          <w:i/>
          <w:sz w:val="16"/>
          <w:szCs w:val="16"/>
        </w:rPr>
        <w:t xml:space="preserve">Cfr. Asuntos Internado Judicial de Monagas (“La Pica”); Centro Penitenciario Región Capital Yare I y Yare II (Cárcel de Yare); Centro Penitenciario de la Región Centro Occidental (Cárcel de </w:t>
      </w:r>
      <w:proofErr w:type="spellStart"/>
      <w:r w:rsidRPr="0051766F">
        <w:rPr>
          <w:rFonts w:ascii="Verdana" w:hAnsi="Verdana"/>
          <w:i/>
          <w:sz w:val="16"/>
          <w:szCs w:val="16"/>
        </w:rPr>
        <w:t>Uribana</w:t>
      </w:r>
      <w:proofErr w:type="spellEnd"/>
      <w:r w:rsidRPr="0051766F">
        <w:rPr>
          <w:rFonts w:ascii="Verdana" w:hAnsi="Verdana"/>
          <w:i/>
          <w:sz w:val="16"/>
          <w:szCs w:val="16"/>
        </w:rPr>
        <w:t>), e Internado Judicial Capital El Rodeo I y el Rodeo II. Medidas Provisionales respecto de la República Bolivariana de Venezuela</w:t>
      </w:r>
      <w:r w:rsidRPr="0051766F">
        <w:rPr>
          <w:rFonts w:ascii="Verdana" w:hAnsi="Verdana"/>
          <w:sz w:val="16"/>
          <w:szCs w:val="16"/>
        </w:rPr>
        <w:t xml:space="preserve">. Resolución de la Corte Interamericana de Derechos Humanos de 24 de noviembre de 2009, Considerando 3, y </w:t>
      </w:r>
      <w:r w:rsidRPr="0051766F">
        <w:rPr>
          <w:rFonts w:ascii="Verdana" w:hAnsi="Verdana"/>
          <w:i/>
          <w:sz w:val="16"/>
          <w:szCs w:val="16"/>
        </w:rPr>
        <w:t xml:space="preserve">Caso Cuya </w:t>
      </w:r>
      <w:proofErr w:type="spellStart"/>
      <w:r w:rsidRPr="0051766F">
        <w:rPr>
          <w:rFonts w:ascii="Verdana" w:hAnsi="Verdana"/>
          <w:i/>
          <w:sz w:val="16"/>
          <w:szCs w:val="16"/>
        </w:rPr>
        <w:t>Lavy</w:t>
      </w:r>
      <w:proofErr w:type="spellEnd"/>
      <w:r w:rsidRPr="0051766F">
        <w:rPr>
          <w:rFonts w:ascii="Verdana" w:hAnsi="Verdana"/>
          <w:i/>
          <w:sz w:val="16"/>
          <w:szCs w:val="16"/>
        </w:rPr>
        <w:t xml:space="preserve"> y otros Vs. Perú. Solicitud de Medidas Provisionales</w:t>
      </w:r>
      <w:r w:rsidRPr="0051766F">
        <w:rPr>
          <w:rFonts w:ascii="Verdana" w:hAnsi="Verdana"/>
          <w:sz w:val="16"/>
          <w:szCs w:val="16"/>
        </w:rPr>
        <w:t>. Resolución de la Corte Interamericana de Derechos Humanos de 12 de marzo de 2020, Considerando 5.</w:t>
      </w:r>
    </w:p>
  </w:footnote>
  <w:footnote w:id="117">
    <w:p w14:paraId="1D82CEEE"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iCs/>
          <w:sz w:val="16"/>
          <w:szCs w:val="16"/>
        </w:rPr>
        <w:t>Cfr.</w:t>
      </w:r>
      <w:r w:rsidRPr="00221D27">
        <w:rPr>
          <w:rFonts w:ascii="Verdana" w:hAnsi="Verdana"/>
          <w:sz w:val="16"/>
          <w:szCs w:val="16"/>
        </w:rPr>
        <w:t xml:space="preserve"> Instituto Latinoamericano de las Naciones Unidas para la Prevención del Delito y el Tratamiento del Delincuente (ILANUD), “El Sistema Penitenciario ante la encrucijada producto de la crisis provocada por el COVID-19”, abril 2020</w:t>
      </w:r>
      <w:r>
        <w:rPr>
          <w:rFonts w:ascii="Verdana" w:hAnsi="Verdana"/>
          <w:sz w:val="16"/>
          <w:szCs w:val="16"/>
        </w:rPr>
        <w:t>.</w:t>
      </w:r>
      <w:r w:rsidRPr="00221D27">
        <w:rPr>
          <w:rFonts w:ascii="Verdana" w:hAnsi="Verdana"/>
          <w:sz w:val="16"/>
          <w:szCs w:val="16"/>
        </w:rPr>
        <w:t xml:space="preserve"> </w:t>
      </w:r>
      <w:r>
        <w:rPr>
          <w:rFonts w:ascii="Verdana" w:hAnsi="Verdana"/>
          <w:sz w:val="16"/>
          <w:szCs w:val="16"/>
        </w:rPr>
        <w:t>D</w:t>
      </w:r>
      <w:r w:rsidRPr="00221D27">
        <w:rPr>
          <w:rFonts w:ascii="Verdana" w:hAnsi="Verdana"/>
          <w:sz w:val="16"/>
          <w:szCs w:val="16"/>
        </w:rPr>
        <w:t xml:space="preserve">isponible en: </w:t>
      </w:r>
      <w:hyperlink r:id="rId11" w:history="1">
        <w:r w:rsidRPr="00221D27">
          <w:rPr>
            <w:rStyle w:val="Hipervnculo"/>
            <w:rFonts w:ascii="Verdana" w:hAnsi="Verdana"/>
            <w:sz w:val="16"/>
            <w:szCs w:val="16"/>
          </w:rPr>
          <w:t>https://www.ilanud.or.cr/wp-content/uploads/2020/04/ILANUD-COVID-19.pdf</w:t>
        </w:r>
      </w:hyperlink>
      <w:r w:rsidRPr="00221D27">
        <w:rPr>
          <w:rFonts w:ascii="Verdana" w:hAnsi="Verdana"/>
          <w:sz w:val="16"/>
          <w:szCs w:val="16"/>
        </w:rPr>
        <w:t>.</w:t>
      </w:r>
    </w:p>
  </w:footnote>
  <w:footnote w:id="118">
    <w:p w14:paraId="3E494E03"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El CICR precisó que “[d]</w:t>
      </w:r>
      <w:proofErr w:type="spellStart"/>
      <w:r w:rsidRPr="00221D27">
        <w:rPr>
          <w:rFonts w:ascii="Verdana" w:hAnsi="Verdana"/>
          <w:sz w:val="16"/>
          <w:szCs w:val="16"/>
        </w:rPr>
        <w:t>atos</w:t>
      </w:r>
      <w:proofErr w:type="spellEnd"/>
      <w:r w:rsidRPr="00221D27">
        <w:rPr>
          <w:rFonts w:ascii="Verdana" w:hAnsi="Verdana"/>
          <w:sz w:val="16"/>
          <w:szCs w:val="16"/>
        </w:rPr>
        <w:t xml:space="preserve"> sobre población no encarcelada muestran que el número de básico de reproducción (RO= número de casos secundarios infectados del caso primario) para COVID-19 está entre 2 y 2.5”, mientras que, en lugares de detención, “el RO se presume que será significativamente mayor”. </w:t>
      </w:r>
      <w:r w:rsidRPr="00221D27">
        <w:rPr>
          <w:rFonts w:ascii="Verdana" w:hAnsi="Verdana"/>
          <w:i/>
          <w:sz w:val="16"/>
          <w:szCs w:val="16"/>
        </w:rPr>
        <w:t xml:space="preserve">Cfr. </w:t>
      </w:r>
      <w:r w:rsidRPr="00221D27">
        <w:rPr>
          <w:rFonts w:ascii="Verdana" w:hAnsi="Verdana"/>
          <w:sz w:val="16"/>
          <w:szCs w:val="16"/>
        </w:rPr>
        <w:t>Comité Internacional de la Cruz Roja</w:t>
      </w:r>
      <w:r>
        <w:rPr>
          <w:rFonts w:ascii="Verdana" w:hAnsi="Verdana"/>
          <w:sz w:val="16"/>
          <w:szCs w:val="16"/>
        </w:rPr>
        <w:t xml:space="preserve"> (CICR)</w:t>
      </w:r>
      <w:r w:rsidRPr="00221D27">
        <w:rPr>
          <w:rFonts w:ascii="Verdana" w:hAnsi="Verdana"/>
          <w:sz w:val="16"/>
          <w:szCs w:val="16"/>
        </w:rPr>
        <w:t xml:space="preserve">, “Respuestas de salud en detención al COVID-19”, 17 de marzo de 2020. Disponible en: </w:t>
      </w:r>
      <w:hyperlink r:id="rId12" w:history="1">
        <w:r w:rsidRPr="00221D27">
          <w:rPr>
            <w:rStyle w:val="Hipervnculo"/>
            <w:rFonts w:ascii="Verdana" w:hAnsi="Verdana"/>
            <w:sz w:val="16"/>
            <w:szCs w:val="16"/>
          </w:rPr>
          <w:t>https://www.icrc.org/es/download/file/114942/respuesta_de_salud_covid19.pdf</w:t>
        </w:r>
      </w:hyperlink>
      <w:r w:rsidRPr="00221D27">
        <w:rPr>
          <w:rFonts w:ascii="Verdana" w:hAnsi="Verdana"/>
          <w:sz w:val="16"/>
          <w:szCs w:val="16"/>
        </w:rPr>
        <w:t xml:space="preserve"> </w:t>
      </w:r>
    </w:p>
  </w:footnote>
  <w:footnote w:id="119">
    <w:p w14:paraId="1D42A2DB" w14:textId="77777777" w:rsidR="003C0CFF" w:rsidRPr="00221D27" w:rsidRDefault="003C0CFF" w:rsidP="003C0CFF">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i/>
          <w:iCs/>
          <w:sz w:val="16"/>
          <w:szCs w:val="16"/>
          <w:lang w:val="es-AR"/>
        </w:rPr>
        <w:t xml:space="preserve"> </w:t>
      </w:r>
      <w:r w:rsidRPr="00221D27">
        <w:rPr>
          <w:rFonts w:ascii="Verdana" w:hAnsi="Verdana"/>
          <w:i/>
          <w:iCs/>
          <w:sz w:val="16"/>
          <w:szCs w:val="16"/>
          <w:lang w:val="es-AR"/>
        </w:rPr>
        <w:tab/>
        <w:t>Cfr.</w:t>
      </w:r>
      <w:r w:rsidRPr="00221D27">
        <w:rPr>
          <w:rFonts w:ascii="Verdana" w:hAnsi="Verdana"/>
          <w:sz w:val="16"/>
          <w:szCs w:val="16"/>
          <w:lang w:val="es-AR"/>
        </w:rPr>
        <w:t xml:space="preserve"> Declaración No. 1/20, “COVID-19 y Derechos Humanos: los problemas y desafíos deben ser abordados con perspectiva de derechos humanos y respetando las obligaciones internacionales”, </w:t>
      </w:r>
      <w:r w:rsidRPr="00221D27">
        <w:rPr>
          <w:rFonts w:ascii="Verdana" w:hAnsi="Verdana"/>
          <w:i/>
          <w:iCs/>
          <w:sz w:val="16"/>
          <w:szCs w:val="16"/>
          <w:lang w:val="es-AR"/>
        </w:rPr>
        <w:t>supra</w:t>
      </w:r>
      <w:r>
        <w:rPr>
          <w:rFonts w:ascii="Verdana" w:hAnsi="Verdana"/>
          <w:sz w:val="16"/>
          <w:szCs w:val="16"/>
          <w:lang w:val="es-AR"/>
        </w:rPr>
        <w:t xml:space="preserve"> nota.</w:t>
      </w:r>
      <w:r w:rsidRPr="00221D27">
        <w:rPr>
          <w:rFonts w:ascii="Verdana" w:hAnsi="Verdana"/>
          <w:sz w:val="16"/>
          <w:szCs w:val="16"/>
          <w:lang w:val="es-AR"/>
        </w:rPr>
        <w:t xml:space="preserve"> </w:t>
      </w:r>
    </w:p>
  </w:footnote>
  <w:footnote w:id="120">
    <w:p w14:paraId="206E7644" w14:textId="77777777" w:rsidR="003C0CFF" w:rsidRPr="0011499C" w:rsidRDefault="003C0CFF" w:rsidP="003C0CFF">
      <w:pPr>
        <w:pStyle w:val="Textonotapie"/>
        <w:jc w:val="both"/>
        <w:rPr>
          <w:rFonts w:ascii="Verdana" w:hAnsi="Verdana"/>
          <w:sz w:val="16"/>
          <w:szCs w:val="16"/>
          <w:highlight w:val="red"/>
        </w:rPr>
      </w:pPr>
      <w:r w:rsidRPr="000C5155">
        <w:rPr>
          <w:rStyle w:val="Refdenotaalpie"/>
          <w:szCs w:val="16"/>
        </w:rPr>
        <w:footnoteRef/>
      </w:r>
      <w:r w:rsidRPr="000C5155">
        <w:rPr>
          <w:rFonts w:ascii="Verdana" w:hAnsi="Verdana"/>
          <w:sz w:val="16"/>
          <w:szCs w:val="16"/>
        </w:rPr>
        <w:t xml:space="preserve"> </w:t>
      </w:r>
      <w:r w:rsidRPr="000C5155">
        <w:rPr>
          <w:rFonts w:ascii="Verdana" w:hAnsi="Verdana"/>
          <w:sz w:val="16"/>
          <w:szCs w:val="16"/>
        </w:rPr>
        <w:tab/>
      </w:r>
      <w:r w:rsidRPr="000C5155">
        <w:rPr>
          <w:rFonts w:ascii="Verdana" w:hAnsi="Verdana"/>
          <w:i/>
          <w:iCs/>
          <w:sz w:val="16"/>
          <w:szCs w:val="16"/>
        </w:rPr>
        <w:t>Cfr. Caso Neira Alegría y otros Vs. Perú. Fondo.</w:t>
      </w:r>
      <w:r w:rsidRPr="000C5155">
        <w:rPr>
          <w:rFonts w:ascii="Verdana" w:hAnsi="Verdana"/>
          <w:sz w:val="16"/>
          <w:szCs w:val="16"/>
        </w:rPr>
        <w:t xml:space="preserve"> Sentencia de 19 de enero de 1995. Serie C No. 20, párr. 60, y </w:t>
      </w:r>
      <w:r w:rsidRPr="000C5155">
        <w:rPr>
          <w:rFonts w:ascii="Verdana" w:hAnsi="Verdana"/>
          <w:i/>
          <w:sz w:val="16"/>
          <w:szCs w:val="16"/>
        </w:rPr>
        <w:t>Caso López y otros Vs. Argentina. Excepciones Preliminares, Fondo, Reparaciones y Costas</w:t>
      </w:r>
      <w:r w:rsidRPr="000C5155">
        <w:rPr>
          <w:rFonts w:ascii="Verdana" w:hAnsi="Verdana"/>
          <w:sz w:val="16"/>
          <w:szCs w:val="16"/>
        </w:rPr>
        <w:t>. Sentencia de 25 de noviembre de 2019. Serie C No. 396, párr. 90.</w:t>
      </w:r>
    </w:p>
  </w:footnote>
  <w:footnote w:id="121">
    <w:p w14:paraId="48BBC5DA" w14:textId="77777777" w:rsidR="003C0CFF" w:rsidRPr="00DD2B51" w:rsidRDefault="003C0CFF" w:rsidP="003C0CFF">
      <w:pPr>
        <w:pStyle w:val="Textonotapie"/>
        <w:jc w:val="both"/>
        <w:rPr>
          <w:rFonts w:ascii="Verdana" w:hAnsi="Verdana"/>
          <w:sz w:val="16"/>
          <w:szCs w:val="16"/>
        </w:rPr>
      </w:pPr>
      <w:r w:rsidRPr="00DD2B51">
        <w:rPr>
          <w:rStyle w:val="Refdenotaalpie"/>
          <w:szCs w:val="16"/>
        </w:rPr>
        <w:footnoteRef/>
      </w:r>
      <w:r w:rsidRPr="00DD2B51">
        <w:rPr>
          <w:rFonts w:ascii="Verdana" w:hAnsi="Verdana"/>
          <w:sz w:val="16"/>
          <w:szCs w:val="16"/>
        </w:rPr>
        <w:t xml:space="preserve"> </w:t>
      </w:r>
      <w:r w:rsidRPr="00DD2B51">
        <w:rPr>
          <w:rFonts w:ascii="Verdana" w:hAnsi="Verdana"/>
          <w:sz w:val="16"/>
          <w:szCs w:val="16"/>
        </w:rPr>
        <w:tab/>
      </w:r>
      <w:r w:rsidRPr="00DD2B51">
        <w:rPr>
          <w:rFonts w:ascii="Verdana" w:hAnsi="Verdana"/>
          <w:i/>
          <w:iCs/>
          <w:sz w:val="16"/>
          <w:szCs w:val="16"/>
        </w:rPr>
        <w:t>Cfr</w:t>
      </w:r>
      <w:r w:rsidRPr="00DD2B51">
        <w:rPr>
          <w:rFonts w:ascii="Verdana" w:hAnsi="Verdana"/>
          <w:sz w:val="16"/>
          <w:szCs w:val="16"/>
        </w:rPr>
        <w:t xml:space="preserve">. </w:t>
      </w:r>
      <w:r w:rsidRPr="00DD2B51">
        <w:rPr>
          <w:rFonts w:ascii="Verdana" w:hAnsi="Verdana"/>
          <w:i/>
          <w:sz w:val="16"/>
          <w:szCs w:val="16"/>
        </w:rPr>
        <w:t xml:space="preserve">Asunto de Determinados Centros Penitenciarios de Venezuela. Centro Penitenciario de la Región Centro Occidental (Cárcel de </w:t>
      </w:r>
      <w:proofErr w:type="spellStart"/>
      <w:r w:rsidRPr="00DD2B51">
        <w:rPr>
          <w:rFonts w:ascii="Verdana" w:hAnsi="Verdana"/>
          <w:i/>
          <w:sz w:val="16"/>
          <w:szCs w:val="16"/>
        </w:rPr>
        <w:t>Uribana</w:t>
      </w:r>
      <w:proofErr w:type="spellEnd"/>
      <w:r w:rsidRPr="00DD2B51">
        <w:rPr>
          <w:rFonts w:ascii="Verdana" w:hAnsi="Verdana"/>
          <w:i/>
          <w:sz w:val="16"/>
          <w:szCs w:val="16"/>
        </w:rPr>
        <w:t>). Medidas Provisionales</w:t>
      </w:r>
      <w:r w:rsidRPr="00DD2B51">
        <w:rPr>
          <w:rFonts w:ascii="Verdana" w:hAnsi="Verdana"/>
          <w:sz w:val="16"/>
          <w:szCs w:val="16"/>
        </w:rPr>
        <w:t xml:space="preserve">. Resolución de la Corte Interamericana de Derechos Humanos del 13 de febrero de 2013, Considerando 7; y </w:t>
      </w:r>
      <w:r w:rsidRPr="00DD2B51">
        <w:rPr>
          <w:rFonts w:ascii="Verdana" w:hAnsi="Verdana"/>
          <w:i/>
          <w:sz w:val="16"/>
          <w:szCs w:val="16"/>
        </w:rPr>
        <w:t xml:space="preserve">Asunto del Complejo Penitenciario de Curado respecto de Brasil. Medidas Provisionales. </w:t>
      </w:r>
      <w:r w:rsidRPr="00DD2B51">
        <w:rPr>
          <w:rFonts w:ascii="Verdana" w:hAnsi="Verdana"/>
          <w:sz w:val="16"/>
          <w:szCs w:val="16"/>
        </w:rPr>
        <w:t>Resolución de la Corte Interamericana de Derechos Humanos de 28 de noviembre de 2018, Considerando 53.</w:t>
      </w:r>
    </w:p>
  </w:footnote>
  <w:footnote w:id="122">
    <w:p w14:paraId="66A20A0B" w14:textId="77777777" w:rsidR="003C0CFF" w:rsidRPr="00221D27" w:rsidRDefault="003C0CFF" w:rsidP="003C0CFF">
      <w:pPr>
        <w:pStyle w:val="Textonotapie"/>
        <w:jc w:val="both"/>
        <w:rPr>
          <w:rFonts w:ascii="Verdana" w:hAnsi="Verdana"/>
          <w:sz w:val="16"/>
          <w:szCs w:val="16"/>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lang w:val="es"/>
        </w:rPr>
        <w:tab/>
      </w:r>
      <w:r w:rsidRPr="00415030">
        <w:rPr>
          <w:rFonts w:ascii="Verdana" w:hAnsi="Verdana"/>
          <w:i/>
          <w:sz w:val="16"/>
          <w:szCs w:val="16"/>
        </w:rPr>
        <w:t xml:space="preserve">Cfr. Caso Chinchilla Sandoval y otros Vs. Guatemala. Excepción Preliminar, Fondo, Reparaciones y Costas. </w:t>
      </w:r>
      <w:r w:rsidRPr="00415030">
        <w:rPr>
          <w:rFonts w:ascii="Verdana" w:hAnsi="Verdana"/>
          <w:sz w:val="16"/>
          <w:szCs w:val="16"/>
        </w:rPr>
        <w:t xml:space="preserve">Sentencia de 29 de febrero de 2016. Serie C No. 312, </w:t>
      </w:r>
      <w:proofErr w:type="spellStart"/>
      <w:r w:rsidRPr="00415030">
        <w:rPr>
          <w:rFonts w:ascii="Verdana" w:hAnsi="Verdana"/>
          <w:sz w:val="16"/>
          <w:szCs w:val="16"/>
        </w:rPr>
        <w:t>párrs</w:t>
      </w:r>
      <w:proofErr w:type="spellEnd"/>
      <w:r w:rsidRPr="00415030">
        <w:rPr>
          <w:rFonts w:ascii="Verdana" w:hAnsi="Verdana"/>
          <w:sz w:val="16"/>
          <w:szCs w:val="16"/>
        </w:rPr>
        <w:t>. 171 y 188.</w:t>
      </w:r>
    </w:p>
  </w:footnote>
  <w:footnote w:id="123">
    <w:p w14:paraId="71683DA1"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415030">
        <w:rPr>
          <w:rFonts w:ascii="Verdana" w:hAnsi="Verdana"/>
          <w:sz w:val="16"/>
          <w:szCs w:val="16"/>
        </w:rPr>
        <w:t xml:space="preserve">Contenidos, entre otros en: ONU, Reglas mínimas para el tratamiento de los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y ONU, Conjunto de Principios para la protección de todas las personas sometidas a cualquier forma de detención o prisión. Adoptado por la Asamblea General de la ONU en su resolución 43/173, de 9 de diciembre de 1988. </w:t>
      </w:r>
      <w:r w:rsidRPr="00415030">
        <w:rPr>
          <w:rFonts w:ascii="Verdana" w:hAnsi="Verdana"/>
          <w:i/>
          <w:iCs/>
          <w:sz w:val="16"/>
          <w:szCs w:val="16"/>
        </w:rPr>
        <w:t>Cfr. Caso Pacheco Teruel y otros Vs. Honduras. Fondo, Reparaciones y Costas.</w:t>
      </w:r>
      <w:r w:rsidRPr="00415030">
        <w:rPr>
          <w:rFonts w:ascii="Verdana" w:hAnsi="Verdana"/>
          <w:sz w:val="16"/>
          <w:szCs w:val="16"/>
        </w:rPr>
        <w:t xml:space="preserve"> Sentencia de 27 de abril de 2012. Serie C No. 241, párr. 67.</w:t>
      </w:r>
    </w:p>
  </w:footnote>
  <w:footnote w:id="124">
    <w:p w14:paraId="4711506F" w14:textId="77777777" w:rsidR="003C0CFF" w:rsidRPr="0011499C" w:rsidRDefault="003C0CFF" w:rsidP="003C0CFF">
      <w:pPr>
        <w:pStyle w:val="Textonotapie"/>
        <w:jc w:val="both"/>
        <w:rPr>
          <w:rFonts w:ascii="Verdana" w:hAnsi="Verdana"/>
          <w:sz w:val="16"/>
          <w:szCs w:val="16"/>
          <w:highlight w:val="red"/>
        </w:rPr>
      </w:pPr>
      <w:r w:rsidRPr="00415030">
        <w:rPr>
          <w:rStyle w:val="Refdenotaalpie"/>
          <w:szCs w:val="16"/>
        </w:rPr>
        <w:footnoteRef/>
      </w:r>
      <w:r w:rsidRPr="00415030">
        <w:rPr>
          <w:rFonts w:ascii="Verdana" w:hAnsi="Verdana"/>
          <w:sz w:val="16"/>
          <w:szCs w:val="16"/>
        </w:rPr>
        <w:t xml:space="preserve"> </w:t>
      </w:r>
      <w:r w:rsidRPr="00415030">
        <w:rPr>
          <w:rFonts w:ascii="Verdana" w:hAnsi="Verdana"/>
          <w:sz w:val="16"/>
          <w:szCs w:val="16"/>
        </w:rPr>
        <w:tab/>
        <w:t xml:space="preserve">Entre otros aspectos, la Corte ha detallado que todas las celdas deben contar con suficiente luz natural o artificial, ventilación y adecuadas condiciones de higiene y que los servicios sanitarios deben contar con condiciones de higiene y privacidad. </w:t>
      </w:r>
      <w:r w:rsidRPr="00415030">
        <w:rPr>
          <w:rFonts w:ascii="Verdana" w:hAnsi="Verdana"/>
          <w:i/>
          <w:iCs/>
          <w:sz w:val="16"/>
          <w:szCs w:val="16"/>
        </w:rPr>
        <w:t xml:space="preserve">Cfr. Caso Montero Aranguren y otros (Retén de Catia) Vs. Venezuela. Excepción Preliminar, Fondo, Reparaciones y Costas. </w:t>
      </w:r>
      <w:r w:rsidRPr="00415030">
        <w:rPr>
          <w:rFonts w:ascii="Verdana" w:hAnsi="Verdana"/>
          <w:iCs/>
          <w:sz w:val="16"/>
          <w:szCs w:val="16"/>
        </w:rPr>
        <w:t xml:space="preserve">Sentencia de 5 de julio de 2006. </w:t>
      </w:r>
      <w:r w:rsidRPr="00415030">
        <w:rPr>
          <w:rFonts w:ascii="Verdana" w:hAnsi="Verdana"/>
          <w:sz w:val="16"/>
          <w:szCs w:val="16"/>
        </w:rPr>
        <w:t>Serie C No.150,</w:t>
      </w:r>
      <w:r w:rsidRPr="00415030">
        <w:rPr>
          <w:rFonts w:ascii="Verdana" w:hAnsi="Verdana"/>
          <w:i/>
          <w:iCs/>
          <w:sz w:val="16"/>
          <w:szCs w:val="16"/>
        </w:rPr>
        <w:t xml:space="preserve"> </w:t>
      </w:r>
      <w:r w:rsidRPr="00415030">
        <w:rPr>
          <w:rFonts w:ascii="Verdana" w:hAnsi="Verdana"/>
          <w:sz w:val="16"/>
          <w:szCs w:val="16"/>
        </w:rPr>
        <w:t>párr. 146</w:t>
      </w:r>
      <w:r>
        <w:rPr>
          <w:rFonts w:ascii="Verdana" w:hAnsi="Verdana"/>
          <w:sz w:val="16"/>
          <w:szCs w:val="16"/>
        </w:rPr>
        <w:t>;</w:t>
      </w:r>
      <w:r w:rsidRPr="00415030">
        <w:rPr>
          <w:rFonts w:ascii="Verdana" w:hAnsi="Verdana"/>
          <w:sz w:val="16"/>
          <w:szCs w:val="16"/>
        </w:rPr>
        <w:t xml:space="preserve"> </w:t>
      </w:r>
      <w:r w:rsidRPr="00415030">
        <w:rPr>
          <w:rFonts w:ascii="Verdana" w:hAnsi="Verdana"/>
          <w:i/>
          <w:iCs/>
          <w:sz w:val="16"/>
          <w:szCs w:val="16"/>
        </w:rPr>
        <w:t xml:space="preserve">Caso del Penal Miguel Castro </w:t>
      </w:r>
      <w:proofErr w:type="spellStart"/>
      <w:r w:rsidRPr="00415030">
        <w:rPr>
          <w:rFonts w:ascii="Verdana" w:hAnsi="Verdana"/>
          <w:i/>
          <w:iCs/>
          <w:sz w:val="16"/>
          <w:szCs w:val="16"/>
        </w:rPr>
        <w:t>Castro</w:t>
      </w:r>
      <w:proofErr w:type="spellEnd"/>
      <w:r w:rsidRPr="00415030">
        <w:rPr>
          <w:rFonts w:ascii="Verdana" w:hAnsi="Verdana"/>
          <w:sz w:val="16"/>
          <w:szCs w:val="16"/>
        </w:rPr>
        <w:t xml:space="preserve">, </w:t>
      </w:r>
      <w:r w:rsidRPr="00415030">
        <w:rPr>
          <w:rFonts w:ascii="Verdana" w:hAnsi="Verdana"/>
          <w:i/>
          <w:iCs/>
          <w:sz w:val="16"/>
          <w:szCs w:val="16"/>
        </w:rPr>
        <w:t>supra</w:t>
      </w:r>
      <w:r w:rsidRPr="00415030">
        <w:rPr>
          <w:rFonts w:ascii="Verdana" w:hAnsi="Verdana"/>
          <w:sz w:val="16"/>
          <w:szCs w:val="16"/>
        </w:rPr>
        <w:t xml:space="preserve"> nota 1,</w:t>
      </w:r>
      <w:r w:rsidRPr="00415030">
        <w:rPr>
          <w:rFonts w:ascii="Verdana" w:hAnsi="Verdana"/>
          <w:i/>
          <w:iCs/>
          <w:sz w:val="16"/>
          <w:szCs w:val="16"/>
        </w:rPr>
        <w:t xml:space="preserve"> </w:t>
      </w:r>
      <w:r w:rsidRPr="00415030">
        <w:rPr>
          <w:rFonts w:ascii="Verdana" w:hAnsi="Verdana"/>
          <w:sz w:val="16"/>
          <w:szCs w:val="16"/>
        </w:rPr>
        <w:t xml:space="preserve">párr. 315, y </w:t>
      </w:r>
      <w:r w:rsidRPr="00415030">
        <w:rPr>
          <w:rFonts w:ascii="Verdana" w:hAnsi="Verdana"/>
          <w:i/>
          <w:iCs/>
          <w:sz w:val="16"/>
          <w:szCs w:val="16"/>
        </w:rPr>
        <w:t>Caso Pacheco Teruel y otros Vs. Honduras, supra</w:t>
      </w:r>
      <w:r w:rsidRPr="00415030">
        <w:rPr>
          <w:rFonts w:ascii="Verdana" w:hAnsi="Verdana"/>
          <w:sz w:val="16"/>
          <w:szCs w:val="16"/>
        </w:rPr>
        <w:t xml:space="preserve"> nota, párr. 67.</w:t>
      </w:r>
    </w:p>
  </w:footnote>
  <w:footnote w:id="125">
    <w:p w14:paraId="7E479168" w14:textId="77777777" w:rsidR="003C0CFF" w:rsidRPr="0011499C" w:rsidRDefault="003C0CFF" w:rsidP="003C0CFF">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Cantoral Benavides Vs. Perú. Fondo</w:t>
      </w:r>
      <w:r w:rsidRPr="002E2BC9">
        <w:rPr>
          <w:rFonts w:ascii="Verdana" w:hAnsi="Verdana"/>
          <w:sz w:val="16"/>
          <w:szCs w:val="16"/>
        </w:rPr>
        <w:t xml:space="preserve">. Sentencia de 18 de agosto de 2000. Serie C No. 69, </w:t>
      </w:r>
      <w:proofErr w:type="spellStart"/>
      <w:r w:rsidRPr="002E2BC9">
        <w:rPr>
          <w:rFonts w:ascii="Verdana" w:hAnsi="Verdana"/>
          <w:sz w:val="16"/>
          <w:szCs w:val="16"/>
        </w:rPr>
        <w:t>párrs</w:t>
      </w:r>
      <w:proofErr w:type="spellEnd"/>
      <w:r w:rsidRPr="002E2BC9">
        <w:rPr>
          <w:rFonts w:ascii="Verdana" w:hAnsi="Verdana"/>
          <w:sz w:val="16"/>
          <w:szCs w:val="16"/>
        </w:rPr>
        <w:t xml:space="preserve">. 85 y 86.,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126">
    <w:p w14:paraId="1AA22FE1" w14:textId="77777777" w:rsidR="003C0CFF" w:rsidRPr="0011499C" w:rsidRDefault="003C0CFF" w:rsidP="003C0CFF">
      <w:pPr>
        <w:pStyle w:val="Textonotapie"/>
        <w:jc w:val="both"/>
        <w:rPr>
          <w:rFonts w:ascii="Verdana" w:hAnsi="Verdana"/>
          <w:sz w:val="16"/>
          <w:szCs w:val="16"/>
          <w:highlight w:val="red"/>
        </w:rPr>
      </w:pPr>
      <w:r w:rsidRPr="002E2BC9">
        <w:rPr>
          <w:rStyle w:val="Refdenotaalpie"/>
          <w:szCs w:val="16"/>
        </w:rPr>
        <w:footnoteRef/>
      </w:r>
      <w:r w:rsidRPr="002E2BC9">
        <w:rPr>
          <w:rFonts w:ascii="Verdana" w:hAnsi="Verdana"/>
          <w:sz w:val="16"/>
          <w:szCs w:val="16"/>
        </w:rPr>
        <w:t xml:space="preserve"> </w:t>
      </w:r>
      <w:r w:rsidRPr="002E2BC9">
        <w:rPr>
          <w:rFonts w:ascii="Verdana" w:hAnsi="Verdana"/>
          <w:sz w:val="16"/>
          <w:szCs w:val="16"/>
        </w:rPr>
        <w:tab/>
      </w:r>
      <w:r w:rsidRPr="002E2BC9">
        <w:rPr>
          <w:rFonts w:ascii="Verdana" w:hAnsi="Verdana"/>
          <w:i/>
          <w:iCs/>
          <w:sz w:val="16"/>
          <w:szCs w:val="16"/>
        </w:rPr>
        <w:t>Cfr</w:t>
      </w:r>
      <w:r w:rsidRPr="002E2BC9">
        <w:rPr>
          <w:rFonts w:ascii="Verdana" w:hAnsi="Verdana"/>
          <w:sz w:val="16"/>
          <w:szCs w:val="16"/>
        </w:rPr>
        <w:t xml:space="preserve">. </w:t>
      </w:r>
      <w:r w:rsidRPr="002E2BC9">
        <w:rPr>
          <w:rFonts w:ascii="Verdana" w:hAnsi="Verdana"/>
          <w:i/>
          <w:sz w:val="16"/>
          <w:szCs w:val="16"/>
        </w:rPr>
        <w:t>Caso Vélez Loor Vs. Panamá. Excepciones Preliminares, Fondo, Reparaciones y Costas</w:t>
      </w:r>
      <w:r w:rsidRPr="002E2BC9">
        <w:rPr>
          <w:rFonts w:ascii="Verdana" w:hAnsi="Verdana"/>
          <w:sz w:val="16"/>
          <w:szCs w:val="16"/>
        </w:rPr>
        <w:t xml:space="preserve">. Sentencia de 23 de noviembre de 2010. Serie C No. 218, </w:t>
      </w:r>
      <w:proofErr w:type="spellStart"/>
      <w:r w:rsidRPr="002E2BC9">
        <w:rPr>
          <w:rFonts w:ascii="Verdana" w:hAnsi="Verdana"/>
          <w:sz w:val="16"/>
          <w:szCs w:val="16"/>
        </w:rPr>
        <w:t>párrs</w:t>
      </w:r>
      <w:proofErr w:type="spellEnd"/>
      <w:r w:rsidRPr="002E2BC9">
        <w:rPr>
          <w:rFonts w:ascii="Verdana" w:hAnsi="Verdana"/>
          <w:sz w:val="16"/>
          <w:szCs w:val="16"/>
        </w:rPr>
        <w:t xml:space="preserve">. 215 y 216, y </w:t>
      </w:r>
      <w:r w:rsidRPr="002E2BC9">
        <w:rPr>
          <w:rFonts w:ascii="Verdana" w:hAnsi="Verdana"/>
          <w:i/>
          <w:iCs/>
          <w:sz w:val="16"/>
          <w:szCs w:val="16"/>
        </w:rPr>
        <w:t>Caso Pacheco Teruel y otros Vs. Honduras, supra</w:t>
      </w:r>
      <w:r w:rsidRPr="002E2BC9">
        <w:rPr>
          <w:rFonts w:ascii="Verdana" w:hAnsi="Verdana"/>
          <w:sz w:val="16"/>
          <w:szCs w:val="16"/>
        </w:rPr>
        <w:t xml:space="preserve"> nota, párr. 67.</w:t>
      </w:r>
    </w:p>
  </w:footnote>
  <w:footnote w:id="127">
    <w:p w14:paraId="5B139032" w14:textId="77777777" w:rsidR="003C0CFF" w:rsidRPr="009C672D" w:rsidRDefault="003C0CFF" w:rsidP="003C0CFF">
      <w:pPr>
        <w:pStyle w:val="Textonotapie"/>
        <w:jc w:val="both"/>
        <w:rPr>
          <w:rFonts w:ascii="Verdana" w:hAnsi="Verdana"/>
          <w:sz w:val="16"/>
          <w:szCs w:val="16"/>
        </w:rPr>
      </w:pPr>
      <w:r w:rsidRPr="00F33782">
        <w:rPr>
          <w:rStyle w:val="Refdenotaalpie"/>
          <w:szCs w:val="16"/>
        </w:rPr>
        <w:footnoteRef/>
      </w:r>
      <w:r w:rsidRPr="00F33782">
        <w:rPr>
          <w:rFonts w:ascii="Verdana" w:hAnsi="Verdana"/>
          <w:sz w:val="16"/>
          <w:szCs w:val="16"/>
        </w:rPr>
        <w:t xml:space="preserve"> </w:t>
      </w:r>
      <w:r w:rsidRPr="00F33782">
        <w:rPr>
          <w:rFonts w:ascii="Verdana" w:hAnsi="Verdana"/>
          <w:sz w:val="16"/>
          <w:szCs w:val="16"/>
        </w:rPr>
        <w:tab/>
      </w:r>
      <w:r w:rsidRPr="00F33782">
        <w:rPr>
          <w:rFonts w:ascii="Verdana" w:hAnsi="Verdana"/>
          <w:i/>
          <w:iCs/>
          <w:sz w:val="16"/>
          <w:szCs w:val="16"/>
        </w:rPr>
        <w:t>Cfr. Caso López Álvarez Vs. Honduras. Fondo, Reparaciones y Costas.</w:t>
      </w:r>
      <w:r w:rsidRPr="00F33782">
        <w:rPr>
          <w:rFonts w:ascii="Verdana" w:hAnsi="Verdana"/>
          <w:sz w:val="16"/>
          <w:szCs w:val="16"/>
        </w:rPr>
        <w:t xml:space="preserve"> Sentencia de 1 de febrero </w:t>
      </w:r>
      <w:r w:rsidRPr="009C672D">
        <w:rPr>
          <w:rFonts w:ascii="Verdana" w:hAnsi="Verdana"/>
          <w:sz w:val="16"/>
          <w:szCs w:val="16"/>
        </w:rPr>
        <w:t xml:space="preserve">de 2006. Serie C No. 141, párr. 209, y </w:t>
      </w:r>
      <w:r w:rsidRPr="009C672D">
        <w:rPr>
          <w:rFonts w:ascii="Verdana" w:hAnsi="Verdana"/>
          <w:i/>
          <w:iCs/>
          <w:sz w:val="16"/>
          <w:szCs w:val="16"/>
        </w:rPr>
        <w:t>Caso Pacheco Teruel y otros Vs. Honduras, supra</w:t>
      </w:r>
      <w:r w:rsidRPr="009C672D">
        <w:rPr>
          <w:rFonts w:ascii="Verdana" w:hAnsi="Verdana"/>
          <w:sz w:val="16"/>
          <w:szCs w:val="16"/>
        </w:rPr>
        <w:t xml:space="preserve"> nota, párr. 67.</w:t>
      </w:r>
    </w:p>
  </w:footnote>
  <w:footnote w:id="128">
    <w:p w14:paraId="188FB69E" w14:textId="77777777" w:rsidR="003C0CFF" w:rsidRPr="009C672D" w:rsidRDefault="003C0CFF" w:rsidP="003C0CFF">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sz w:val="16"/>
          <w:szCs w:val="16"/>
        </w:rPr>
        <w:t>Cfr</w:t>
      </w:r>
      <w:r w:rsidRPr="009C672D">
        <w:rPr>
          <w:rFonts w:ascii="Verdana" w:hAnsi="Verdana"/>
          <w:iCs/>
          <w:sz w:val="16"/>
          <w:szCs w:val="16"/>
        </w:rPr>
        <w:t xml:space="preserve">. </w:t>
      </w:r>
      <w:r w:rsidRPr="009C672D">
        <w:rPr>
          <w:rFonts w:ascii="Verdana" w:hAnsi="Verdana"/>
          <w:i/>
          <w:iCs/>
          <w:sz w:val="16"/>
          <w:szCs w:val="16"/>
        </w:rPr>
        <w:t>Caso Tibi Vs. Ecuador. Excepciones Preliminares, Fondo, Reparaciones y Costas</w:t>
      </w:r>
      <w:r w:rsidRPr="009C672D">
        <w:rPr>
          <w:rFonts w:ascii="Verdana" w:hAnsi="Verdana"/>
          <w:iCs/>
          <w:sz w:val="16"/>
          <w:szCs w:val="16"/>
        </w:rPr>
        <w:t xml:space="preserve">. Sentencia de 7 de septiembre de 2004. Serie C No. 114, párr. 156; </w:t>
      </w:r>
      <w:r w:rsidRPr="009C672D">
        <w:rPr>
          <w:rFonts w:ascii="Verdana" w:hAnsi="Verdana"/>
          <w:i/>
          <w:sz w:val="16"/>
          <w:szCs w:val="16"/>
        </w:rPr>
        <w:t xml:space="preserve">Caso del Penal Miguel Castro </w:t>
      </w:r>
      <w:proofErr w:type="spellStart"/>
      <w:r w:rsidRPr="009C672D">
        <w:rPr>
          <w:rFonts w:ascii="Verdana" w:hAnsi="Verdana"/>
          <w:i/>
          <w:sz w:val="16"/>
          <w:szCs w:val="16"/>
        </w:rPr>
        <w:t>Castro</w:t>
      </w:r>
      <w:proofErr w:type="spellEnd"/>
      <w:r w:rsidRPr="009C672D">
        <w:rPr>
          <w:rFonts w:ascii="Verdana" w:hAnsi="Verdana"/>
          <w:i/>
          <w:sz w:val="16"/>
          <w:szCs w:val="16"/>
        </w:rPr>
        <w:t xml:space="preserve"> Vs. Perú</w:t>
      </w:r>
      <w:r w:rsidRPr="009C672D">
        <w:rPr>
          <w:rFonts w:ascii="Verdana" w:hAnsi="Verdana"/>
          <w:iCs/>
          <w:sz w:val="16"/>
          <w:szCs w:val="16"/>
        </w:rPr>
        <w:t xml:space="preserve">, supra </w:t>
      </w:r>
      <w:r w:rsidRPr="009C672D">
        <w:rPr>
          <w:rFonts w:ascii="Verdana" w:hAnsi="Verdana"/>
          <w:sz w:val="16"/>
          <w:szCs w:val="16"/>
        </w:rPr>
        <w:t xml:space="preserve">nota 1, párr. 301; </w:t>
      </w:r>
      <w:r w:rsidRPr="009C672D">
        <w:rPr>
          <w:rFonts w:ascii="Verdana" w:hAnsi="Verdana"/>
          <w:i/>
          <w:sz w:val="16"/>
          <w:szCs w:val="16"/>
        </w:rPr>
        <w:t>Caso Pacheco Teruel y otros Vs. Honduras, supra</w:t>
      </w:r>
      <w:r w:rsidRPr="009C672D">
        <w:rPr>
          <w:rFonts w:ascii="Verdana" w:hAnsi="Verdana"/>
          <w:sz w:val="16"/>
          <w:szCs w:val="16"/>
        </w:rPr>
        <w:t xml:space="preserve"> nota, párr. 67, y </w:t>
      </w:r>
      <w:r w:rsidRPr="009C672D">
        <w:rPr>
          <w:rFonts w:ascii="Verdana" w:hAnsi="Verdana"/>
          <w:i/>
          <w:iCs/>
          <w:sz w:val="16"/>
          <w:szCs w:val="16"/>
        </w:rPr>
        <w:t>Caso Chinchilla Sandoval y otros Vs. Guatemala, supra</w:t>
      </w:r>
      <w:r w:rsidRPr="009C672D">
        <w:rPr>
          <w:rFonts w:ascii="Verdana" w:hAnsi="Verdana"/>
          <w:sz w:val="16"/>
          <w:szCs w:val="16"/>
        </w:rPr>
        <w:t xml:space="preserve"> nota, párr. 189.</w:t>
      </w:r>
    </w:p>
  </w:footnote>
  <w:footnote w:id="129">
    <w:p w14:paraId="5C5D86D1" w14:textId="77777777" w:rsidR="003C0CFF" w:rsidRPr="009C672D" w:rsidRDefault="003C0CFF" w:rsidP="003C0CFF">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lang w:val="es"/>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w:t>
      </w:r>
      <w:proofErr w:type="spellStart"/>
      <w:r w:rsidRPr="009C672D">
        <w:rPr>
          <w:rFonts w:ascii="Verdana" w:hAnsi="Verdana"/>
          <w:sz w:val="16"/>
          <w:szCs w:val="16"/>
        </w:rPr>
        <w:t>párrs</w:t>
      </w:r>
      <w:proofErr w:type="spellEnd"/>
      <w:r w:rsidRPr="009C672D">
        <w:rPr>
          <w:rFonts w:ascii="Verdana" w:hAnsi="Verdana"/>
          <w:sz w:val="16"/>
          <w:szCs w:val="16"/>
        </w:rPr>
        <w:t>. 184 y 185.</w:t>
      </w:r>
    </w:p>
  </w:footnote>
  <w:footnote w:id="130">
    <w:p w14:paraId="0B09DB58" w14:textId="77777777" w:rsidR="003C0CFF" w:rsidRPr="00221D27" w:rsidRDefault="003C0CFF" w:rsidP="003C0CFF">
      <w:pPr>
        <w:pStyle w:val="Textonotapie"/>
        <w:jc w:val="both"/>
        <w:rPr>
          <w:rFonts w:ascii="Verdana" w:hAnsi="Verdana"/>
          <w:sz w:val="16"/>
          <w:szCs w:val="16"/>
        </w:rPr>
      </w:pPr>
      <w:r w:rsidRPr="009C672D">
        <w:rPr>
          <w:rStyle w:val="Refdenotaalpie"/>
          <w:szCs w:val="16"/>
        </w:rPr>
        <w:footnoteRef/>
      </w:r>
      <w:r w:rsidRPr="009C672D">
        <w:rPr>
          <w:rFonts w:ascii="Verdana" w:hAnsi="Verdana"/>
          <w:sz w:val="16"/>
          <w:szCs w:val="16"/>
        </w:rPr>
        <w:t xml:space="preserve"> </w:t>
      </w:r>
      <w:r w:rsidRPr="009C672D">
        <w:rPr>
          <w:rFonts w:ascii="Verdana" w:hAnsi="Verdana"/>
          <w:sz w:val="16"/>
          <w:szCs w:val="16"/>
        </w:rPr>
        <w:tab/>
      </w:r>
      <w:r w:rsidRPr="009C672D">
        <w:rPr>
          <w:rFonts w:ascii="Verdana" w:hAnsi="Verdana"/>
          <w:i/>
          <w:iCs/>
          <w:sz w:val="16"/>
          <w:szCs w:val="16"/>
        </w:rPr>
        <w:t>Cfr. Caso Chinchilla Sandoval y otros Vs. Guatemala, supra</w:t>
      </w:r>
      <w:r w:rsidRPr="009C672D">
        <w:rPr>
          <w:rFonts w:ascii="Verdana" w:hAnsi="Verdana"/>
          <w:sz w:val="16"/>
          <w:szCs w:val="16"/>
        </w:rPr>
        <w:t xml:space="preserve"> nota, párr. </w:t>
      </w:r>
      <w:r w:rsidRPr="009C672D">
        <w:rPr>
          <w:rFonts w:ascii="Verdana" w:hAnsi="Verdana"/>
          <w:sz w:val="16"/>
          <w:szCs w:val="16"/>
          <w:lang w:val="es-ES"/>
        </w:rPr>
        <w:t>199.</w:t>
      </w:r>
      <w:r w:rsidRPr="00221D27">
        <w:rPr>
          <w:rFonts w:ascii="Verdana" w:hAnsi="Verdana"/>
          <w:sz w:val="16"/>
          <w:szCs w:val="16"/>
          <w:lang w:val="es-ES"/>
        </w:rPr>
        <w:t xml:space="preserve"> </w:t>
      </w:r>
    </w:p>
  </w:footnote>
  <w:footnote w:id="131">
    <w:p w14:paraId="1430632A" w14:textId="77777777" w:rsidR="003C0CFF" w:rsidRPr="006349BA" w:rsidRDefault="003C0CFF" w:rsidP="003C0CFF">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Cfr. C</w:t>
      </w:r>
      <w:r w:rsidRPr="006349BA">
        <w:rPr>
          <w:rFonts w:ascii="Verdana" w:hAnsi="Verdana" w:cs="Arial"/>
          <w:i/>
          <w:iCs/>
          <w:sz w:val="16"/>
          <w:szCs w:val="16"/>
          <w:shd w:val="clear" w:color="auto" w:fill="FFFFFF"/>
        </w:rPr>
        <w:t>aso Barrios Altos y Caso La Cantuta Vs. Perú. Supervisión de Cumplimiento de Sentencia.</w:t>
      </w:r>
      <w:r w:rsidRPr="006349BA">
        <w:rPr>
          <w:rFonts w:ascii="Verdana" w:hAnsi="Verdana" w:cs="Arial"/>
          <w:sz w:val="16"/>
          <w:szCs w:val="16"/>
          <w:shd w:val="clear" w:color="auto" w:fill="FFFFFF"/>
        </w:rPr>
        <w:t xml:space="preserve"> Resolución de la Corte Interamericana de Derechos Humanos de 30 de mayo de 2018, Considerando 52.</w:t>
      </w:r>
    </w:p>
  </w:footnote>
  <w:footnote w:id="132">
    <w:p w14:paraId="1F58EB78" w14:textId="77777777" w:rsidR="003C0CFF" w:rsidRPr="00221D27" w:rsidRDefault="003C0CFF" w:rsidP="003C0CFF">
      <w:pPr>
        <w:pStyle w:val="Textonotapie"/>
        <w:jc w:val="both"/>
        <w:rPr>
          <w:rFonts w:ascii="Verdana" w:hAnsi="Verdana"/>
          <w:sz w:val="16"/>
          <w:szCs w:val="16"/>
        </w:rPr>
      </w:pPr>
      <w:r w:rsidRPr="006349BA">
        <w:rPr>
          <w:rStyle w:val="Refdenotaalpie"/>
          <w:szCs w:val="16"/>
        </w:rPr>
        <w:footnoteRef/>
      </w:r>
      <w:r w:rsidRPr="006349BA">
        <w:rPr>
          <w:rFonts w:ascii="Verdana" w:hAnsi="Verdana"/>
          <w:sz w:val="16"/>
          <w:szCs w:val="16"/>
        </w:rPr>
        <w:t xml:space="preserve"> </w:t>
      </w:r>
      <w:r w:rsidRPr="006349BA">
        <w:rPr>
          <w:rFonts w:ascii="Verdana" w:hAnsi="Verdana"/>
          <w:sz w:val="16"/>
          <w:szCs w:val="16"/>
        </w:rPr>
        <w:tab/>
      </w:r>
      <w:r w:rsidRPr="006349BA">
        <w:rPr>
          <w:rFonts w:ascii="Verdana" w:hAnsi="Verdana"/>
          <w:i/>
          <w:iCs/>
          <w:sz w:val="16"/>
          <w:szCs w:val="16"/>
        </w:rPr>
        <w:t xml:space="preserve">Cfr. </w:t>
      </w:r>
      <w:r w:rsidRPr="006349BA">
        <w:rPr>
          <w:rFonts w:ascii="Verdana" w:hAnsi="Verdana"/>
          <w:i/>
          <w:iCs/>
          <w:sz w:val="16"/>
          <w:szCs w:val="16"/>
          <w:shd w:val="clear" w:color="auto" w:fill="FFFFFF"/>
        </w:rPr>
        <w:t>Caso Barrios Altos y Caso La Cantuta Vs. Perú, supra nota</w:t>
      </w:r>
      <w:r w:rsidRPr="006349BA">
        <w:rPr>
          <w:rFonts w:ascii="Verdana" w:hAnsi="Verdana"/>
          <w:sz w:val="16"/>
          <w:szCs w:val="16"/>
          <w:shd w:val="clear" w:color="auto" w:fill="FFFFFF"/>
        </w:rPr>
        <w:t>, Considerandos 53.</w:t>
      </w:r>
    </w:p>
  </w:footnote>
  <w:footnote w:id="133">
    <w:p w14:paraId="314E30B0"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 xml:space="preserve">Los intervinientes comunes no precisaron si el señor Arturo Chumpitaz Aguirre presenta afecciones de este tipo. </w:t>
      </w:r>
    </w:p>
  </w:footnote>
  <w:footnote w:id="134">
    <w:p w14:paraId="1FAE9E77" w14:textId="77777777" w:rsidR="003C0CFF" w:rsidRPr="00221D27" w:rsidRDefault="003C0CFF" w:rsidP="003C0CFF">
      <w:pPr>
        <w:pStyle w:val="Textonotapie"/>
        <w:jc w:val="both"/>
        <w:rPr>
          <w:rFonts w:ascii="Verdana" w:hAnsi="Verdana"/>
          <w:sz w:val="16"/>
          <w:szCs w:val="16"/>
          <w:lang w:val="es-AR"/>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Pr>
          <w:rFonts w:ascii="Verdana" w:hAnsi="Verdana"/>
          <w:sz w:val="16"/>
          <w:szCs w:val="16"/>
        </w:rPr>
        <w:t>La información científica disponible indica que</w:t>
      </w:r>
      <w:r w:rsidRPr="00221D27">
        <w:rPr>
          <w:rFonts w:ascii="Verdana" w:hAnsi="Verdana"/>
          <w:sz w:val="16"/>
          <w:szCs w:val="16"/>
        </w:rPr>
        <w:t xml:space="preserve"> “el riesgo de enfermarse gravemente a causa del COVID-19 aumenta con la edad”. Así, “las personas en sus 50 tienen mayor riesgo de enfermarse gravemente que las personas en sus 40” y “las personas en sus 60 o 70, en general, tienen mayor riesgo de enfermarse gravemente que las personas en sus 50”.</w:t>
      </w:r>
      <w:r>
        <w:rPr>
          <w:rFonts w:ascii="Verdana" w:hAnsi="Verdana"/>
          <w:sz w:val="16"/>
          <w:szCs w:val="16"/>
        </w:rPr>
        <w:t xml:space="preserve"> </w:t>
      </w:r>
      <w:r w:rsidRPr="00221D27">
        <w:rPr>
          <w:rFonts w:ascii="Verdana" w:hAnsi="Verdana"/>
          <w:i/>
          <w:sz w:val="16"/>
          <w:szCs w:val="16"/>
        </w:rPr>
        <w:t xml:space="preserve">Cfr. </w:t>
      </w:r>
      <w:r w:rsidRPr="00221D27">
        <w:rPr>
          <w:rFonts w:ascii="Verdana" w:hAnsi="Verdana"/>
          <w:sz w:val="16"/>
          <w:szCs w:val="16"/>
          <w:lang w:val="es-AR"/>
        </w:rPr>
        <w:t xml:space="preserve">Centro para el Control y la Prevención de Enfermedades (CDC), “Enfermedad del coronavirus 2019 (COVID-19). Adultos mayores”, 25 de junio de 2020. Disponible en: </w:t>
      </w:r>
      <w:hyperlink r:id="rId13" w:history="1">
        <w:r w:rsidRPr="00221D27">
          <w:rPr>
            <w:rStyle w:val="Hipervnculo"/>
            <w:rFonts w:ascii="Verdana" w:hAnsi="Verdana"/>
            <w:sz w:val="16"/>
            <w:szCs w:val="16"/>
          </w:rPr>
          <w:t>https://espanol.cdc.gov/coronavirus/2019-ncov/need-extra-precautions/older-adults.html</w:t>
        </w:r>
      </w:hyperlink>
      <w:r>
        <w:rPr>
          <w:rFonts w:ascii="Verdana" w:hAnsi="Verdana"/>
          <w:sz w:val="16"/>
          <w:szCs w:val="16"/>
          <w:lang w:val="es-AR"/>
        </w:rPr>
        <w:t>.</w:t>
      </w:r>
    </w:p>
  </w:footnote>
  <w:footnote w:id="135">
    <w:p w14:paraId="0901FC7F"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sz w:val="16"/>
          <w:szCs w:val="16"/>
        </w:rPr>
        <w:t xml:space="preserve">Cfr. </w:t>
      </w:r>
      <w:r w:rsidRPr="00221D27">
        <w:rPr>
          <w:rFonts w:ascii="Verdana" w:hAnsi="Verdana"/>
          <w:sz w:val="16"/>
          <w:szCs w:val="16"/>
        </w:rPr>
        <w:t>Organización Mundial de la Salud, “COVID-19: v</w:t>
      </w:r>
      <w:r>
        <w:rPr>
          <w:rFonts w:ascii="Verdana" w:hAnsi="Verdana"/>
          <w:sz w:val="16"/>
          <w:szCs w:val="16"/>
        </w:rPr>
        <w:t xml:space="preserve">ulnerable and </w:t>
      </w:r>
      <w:proofErr w:type="spellStart"/>
      <w:r>
        <w:rPr>
          <w:rFonts w:ascii="Verdana" w:hAnsi="Verdana"/>
          <w:sz w:val="16"/>
          <w:szCs w:val="16"/>
        </w:rPr>
        <w:t>high</w:t>
      </w:r>
      <w:proofErr w:type="spellEnd"/>
      <w:r>
        <w:rPr>
          <w:rFonts w:ascii="Verdana" w:hAnsi="Verdana"/>
          <w:sz w:val="16"/>
          <w:szCs w:val="16"/>
        </w:rPr>
        <w:t xml:space="preserve"> </w:t>
      </w:r>
      <w:proofErr w:type="spellStart"/>
      <w:r>
        <w:rPr>
          <w:rFonts w:ascii="Verdana" w:hAnsi="Verdana"/>
          <w:sz w:val="16"/>
          <w:szCs w:val="16"/>
        </w:rPr>
        <w:t>risk</w:t>
      </w:r>
      <w:proofErr w:type="spellEnd"/>
      <w:r>
        <w:rPr>
          <w:rFonts w:ascii="Verdana" w:hAnsi="Verdana"/>
          <w:sz w:val="16"/>
          <w:szCs w:val="16"/>
        </w:rPr>
        <w:t xml:space="preserve"> </w:t>
      </w:r>
      <w:proofErr w:type="spellStart"/>
      <w:r>
        <w:rPr>
          <w:rFonts w:ascii="Verdana" w:hAnsi="Verdana"/>
          <w:sz w:val="16"/>
          <w:szCs w:val="16"/>
        </w:rPr>
        <w:t>groups</w:t>
      </w:r>
      <w:proofErr w:type="spellEnd"/>
      <w:r>
        <w:rPr>
          <w:rFonts w:ascii="Verdana" w:hAnsi="Verdana"/>
          <w:sz w:val="16"/>
          <w:szCs w:val="16"/>
        </w:rPr>
        <w:t>”. D</w:t>
      </w:r>
      <w:r w:rsidRPr="00221D27">
        <w:rPr>
          <w:rFonts w:ascii="Verdana" w:hAnsi="Verdana"/>
          <w:sz w:val="16"/>
          <w:szCs w:val="16"/>
        </w:rPr>
        <w:t xml:space="preserve">isponible en: </w:t>
      </w:r>
      <w:hyperlink r:id="rId14" w:history="1">
        <w:r w:rsidRPr="00221D27">
          <w:rPr>
            <w:rStyle w:val="Hipervnculo"/>
            <w:rFonts w:ascii="Verdana" w:hAnsi="Verdana"/>
            <w:sz w:val="16"/>
            <w:szCs w:val="16"/>
          </w:rPr>
          <w:t>https://www.who.int/westernpacific/emergencies/covid-19/information/high-risk-groups</w:t>
        </w:r>
      </w:hyperlink>
      <w:r>
        <w:rPr>
          <w:rFonts w:ascii="Verdana" w:hAnsi="Verdana"/>
          <w:sz w:val="16"/>
          <w:szCs w:val="16"/>
        </w:rPr>
        <w:t>.</w:t>
      </w:r>
    </w:p>
  </w:footnote>
  <w:footnote w:id="136">
    <w:p w14:paraId="2C404FA2"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t xml:space="preserve">Los intervinientes comunes no adjuntaron constancia o informe médico que dé cuenta de dicha afirmación. </w:t>
      </w:r>
    </w:p>
  </w:footnote>
  <w:footnote w:id="137">
    <w:p w14:paraId="3A3BB5DF"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sz w:val="16"/>
          <w:szCs w:val="16"/>
          <w:lang w:val="es-CR"/>
        </w:rPr>
        <w:t xml:space="preserve">De los escritos más recientes presentados por el Estado y los intervinientes comunes, de 9 y 16 de junio, respectivamente, surge que </w:t>
      </w:r>
      <w:r>
        <w:rPr>
          <w:rFonts w:ascii="Verdana" w:hAnsi="Verdana"/>
          <w:sz w:val="16"/>
          <w:szCs w:val="16"/>
          <w:lang w:val="es-CR"/>
        </w:rPr>
        <w:t>dos</w:t>
      </w:r>
      <w:r w:rsidRPr="00221D27">
        <w:rPr>
          <w:rFonts w:ascii="Verdana" w:hAnsi="Verdana"/>
          <w:sz w:val="16"/>
          <w:szCs w:val="16"/>
          <w:lang w:val="es-CR"/>
        </w:rPr>
        <w:t xml:space="preserve"> de los propuestos beneficiarios se encontraban “estables”</w:t>
      </w:r>
      <w:r>
        <w:rPr>
          <w:rFonts w:ascii="Verdana" w:hAnsi="Verdana"/>
          <w:sz w:val="16"/>
          <w:szCs w:val="16"/>
          <w:lang w:val="es-CR"/>
        </w:rPr>
        <w:t>;</w:t>
      </w:r>
      <w:r w:rsidRPr="00221D27">
        <w:rPr>
          <w:rFonts w:ascii="Verdana" w:hAnsi="Verdana"/>
          <w:sz w:val="16"/>
          <w:szCs w:val="16"/>
          <w:lang w:val="es-CR"/>
        </w:rPr>
        <w:t xml:space="preserve"> </w:t>
      </w:r>
      <w:r>
        <w:rPr>
          <w:rFonts w:ascii="Verdana" w:hAnsi="Verdana"/>
          <w:sz w:val="16"/>
          <w:szCs w:val="16"/>
          <w:lang w:val="es-CR"/>
        </w:rPr>
        <w:t>un tercero refería</w:t>
      </w:r>
      <w:r w:rsidRPr="00221D27">
        <w:rPr>
          <w:rFonts w:ascii="Verdana" w:hAnsi="Verdana"/>
          <w:sz w:val="16"/>
          <w:szCs w:val="16"/>
          <w:lang w:val="es-CR"/>
        </w:rPr>
        <w:t xml:space="preserve"> encontrarse bien, e incluso los intervinientes afirmaron que </w:t>
      </w:r>
      <w:r>
        <w:rPr>
          <w:rFonts w:ascii="Verdana" w:hAnsi="Verdana"/>
          <w:sz w:val="16"/>
          <w:szCs w:val="16"/>
          <w:lang w:val="es-CR"/>
        </w:rPr>
        <w:t xml:space="preserve">los restantes </w:t>
      </w:r>
      <w:r w:rsidRPr="00221D27">
        <w:rPr>
          <w:rFonts w:ascii="Verdana" w:hAnsi="Verdana"/>
          <w:sz w:val="16"/>
          <w:szCs w:val="16"/>
          <w:lang w:val="es-CR"/>
        </w:rPr>
        <w:t xml:space="preserve">dos se encontraban “relativamente recuperados”. </w:t>
      </w:r>
    </w:p>
  </w:footnote>
  <w:footnote w:id="138">
    <w:p w14:paraId="1FBCF272"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C0FC0">
        <w:rPr>
          <w:rFonts w:ascii="Verdana" w:hAnsi="Verdana"/>
          <w:sz w:val="16"/>
          <w:szCs w:val="16"/>
        </w:rPr>
        <w:t>El Estado se refirió a las medidas adoptadas por las direcciones de los tres centros penitenciarios en que se encuentran los propuestos beneficiarios, así como a aquellas adoptadas por el Instituto Nacional Penitenciario, el Ministerio de Justicia y Derechos Humanos, el Poder Judicial, el Ministerio Público y la Defensa Pública, entre otras (</w:t>
      </w:r>
      <w:r w:rsidRPr="002C0FC0">
        <w:rPr>
          <w:rFonts w:ascii="Verdana" w:hAnsi="Verdana"/>
          <w:i/>
          <w:sz w:val="16"/>
          <w:szCs w:val="16"/>
        </w:rPr>
        <w:t xml:space="preserve">supra </w:t>
      </w:r>
      <w:r w:rsidRPr="002C0FC0">
        <w:rPr>
          <w:rFonts w:ascii="Verdana" w:hAnsi="Verdana"/>
          <w:sz w:val="16"/>
          <w:szCs w:val="16"/>
        </w:rPr>
        <w:t>Considerando 10 de la Resolución).</w:t>
      </w:r>
    </w:p>
  </w:footnote>
  <w:footnote w:id="139">
    <w:p w14:paraId="2EADCF5D" w14:textId="77777777" w:rsidR="003C0CFF" w:rsidRPr="00221D27" w:rsidRDefault="003C0CFF" w:rsidP="003C0CFF">
      <w:pPr>
        <w:pStyle w:val="Textonotapie"/>
        <w:jc w:val="both"/>
        <w:rPr>
          <w:rFonts w:ascii="Verdana" w:hAnsi="Verdana"/>
          <w:sz w:val="16"/>
          <w:szCs w:val="16"/>
        </w:rPr>
      </w:pPr>
      <w:r w:rsidRPr="00221D27">
        <w:rPr>
          <w:rStyle w:val="Refdenotaalpie"/>
          <w:szCs w:val="16"/>
        </w:rPr>
        <w:footnoteRef/>
      </w:r>
      <w:r w:rsidRPr="00221D27">
        <w:rPr>
          <w:rFonts w:ascii="Verdana" w:hAnsi="Verdana"/>
          <w:sz w:val="16"/>
          <w:szCs w:val="16"/>
        </w:rPr>
        <w:t xml:space="preserve"> </w:t>
      </w:r>
      <w:r w:rsidRPr="00221D27">
        <w:rPr>
          <w:rFonts w:ascii="Verdana" w:hAnsi="Verdana"/>
          <w:sz w:val="16"/>
          <w:szCs w:val="16"/>
        </w:rPr>
        <w:tab/>
      </w:r>
      <w:r w:rsidRPr="00221D27">
        <w:rPr>
          <w:rFonts w:ascii="Verdana" w:hAnsi="Verdana"/>
          <w:i/>
          <w:sz w:val="16"/>
          <w:szCs w:val="16"/>
        </w:rPr>
        <w:t xml:space="preserve">Cfr. </w:t>
      </w:r>
      <w:r w:rsidRPr="00221D27">
        <w:rPr>
          <w:rFonts w:ascii="Verdana" w:hAnsi="Verdana"/>
          <w:sz w:val="16"/>
          <w:szCs w:val="16"/>
        </w:rPr>
        <w:t>Defensoría del Pueblo</w:t>
      </w:r>
      <w:r>
        <w:rPr>
          <w:rFonts w:ascii="Verdana" w:hAnsi="Verdana"/>
          <w:sz w:val="16"/>
          <w:szCs w:val="16"/>
        </w:rPr>
        <w:t xml:space="preserve"> del Perú</w:t>
      </w:r>
      <w:r w:rsidRPr="00221D27">
        <w:rPr>
          <w:rFonts w:ascii="Verdana" w:hAnsi="Verdana"/>
          <w:sz w:val="16"/>
          <w:szCs w:val="16"/>
        </w:rPr>
        <w:t xml:space="preserve">, “Defensoría del Pueblo: urgen acciones inmediatas para preservar la vida, seguridad y orden en centros penitenciarios”, comunicado de 27 de abril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DA63" w14:textId="77777777" w:rsidR="009B20E5" w:rsidRDefault="009B20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5C4"/>
    <w:multiLevelType w:val="hybridMultilevel"/>
    <w:tmpl w:val="EE84CEC0"/>
    <w:lvl w:ilvl="0" w:tplc="A648C0FA">
      <w:start w:val="39"/>
      <w:numFmt w:val="decimal"/>
      <w:lvlText w:val="%1."/>
      <w:lvlJc w:val="left"/>
      <w:pPr>
        <w:ind w:left="72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743519"/>
    <w:multiLevelType w:val="hybridMultilevel"/>
    <w:tmpl w:val="4568054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413F"/>
    <w:multiLevelType w:val="hybridMultilevel"/>
    <w:tmpl w:val="9C528478"/>
    <w:lvl w:ilvl="0" w:tplc="04090017">
      <w:start w:val="1"/>
      <w:numFmt w:val="lowerLetter"/>
      <w:lvlText w:val="%1)"/>
      <w:lvlJc w:val="left"/>
      <w:pPr>
        <w:ind w:left="720" w:hanging="360"/>
      </w:pPr>
      <w:rPr>
        <w:rFonts w:hint="default"/>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8D039A9"/>
    <w:multiLevelType w:val="hybridMultilevel"/>
    <w:tmpl w:val="9678EF96"/>
    <w:lvl w:ilvl="0" w:tplc="B37C1A4A">
      <w:start w:val="19"/>
      <w:numFmt w:val="decimal"/>
      <w:lvlText w:val="%1."/>
      <w:lvlJc w:val="left"/>
      <w:pPr>
        <w:ind w:left="720" w:hanging="360"/>
      </w:pPr>
      <w:rPr>
        <w:rFonts w:ascii="Verdana" w:hAnsi="Verdana"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D91F86"/>
    <w:multiLevelType w:val="hybridMultilevel"/>
    <w:tmpl w:val="C0CCF132"/>
    <w:lvl w:ilvl="0" w:tplc="91667A14">
      <w:start w:val="234"/>
      <w:numFmt w:val="bullet"/>
      <w:lvlText w:val=""/>
      <w:lvlJc w:val="left"/>
      <w:pPr>
        <w:ind w:left="720" w:hanging="360"/>
      </w:pPr>
      <w:rPr>
        <w:rFonts w:ascii="Symbol" w:eastAsia="MS Mincho"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E13"/>
    <w:multiLevelType w:val="hybridMultilevel"/>
    <w:tmpl w:val="F64696B0"/>
    <w:lvl w:ilvl="0" w:tplc="4FF4D20C">
      <w:start w:val="1"/>
      <w:numFmt w:val="lowerLetter"/>
      <w:lvlText w:val="%1."/>
      <w:lvlJc w:val="left"/>
      <w:pPr>
        <w:ind w:left="720" w:hanging="360"/>
      </w:pPr>
      <w:rPr>
        <w:rFonts w:hint="default"/>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0E51FD"/>
    <w:multiLevelType w:val="hybridMultilevel"/>
    <w:tmpl w:val="0B9A6770"/>
    <w:lvl w:ilvl="0" w:tplc="0409001B">
      <w:start w:val="1"/>
      <w:numFmt w:val="lowerRoman"/>
      <w:lvlText w:val="%1."/>
      <w:lvlJc w:val="right"/>
      <w:pPr>
        <w:ind w:left="720" w:hanging="360"/>
      </w:pPr>
      <w:rPr>
        <w:rFont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FB18DE"/>
    <w:multiLevelType w:val="hybridMultilevel"/>
    <w:tmpl w:val="E2D6B47A"/>
    <w:lvl w:ilvl="0" w:tplc="559811B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334249"/>
    <w:multiLevelType w:val="hybridMultilevel"/>
    <w:tmpl w:val="D8EA1E52"/>
    <w:lvl w:ilvl="0" w:tplc="140A000F">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2E4071"/>
    <w:multiLevelType w:val="hybridMultilevel"/>
    <w:tmpl w:val="F8CAE47A"/>
    <w:lvl w:ilvl="0" w:tplc="140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61C93"/>
    <w:multiLevelType w:val="hybridMultilevel"/>
    <w:tmpl w:val="9EAE1B70"/>
    <w:lvl w:ilvl="0" w:tplc="F04AFE5C">
      <w:start w:val="1"/>
      <w:numFmt w:val="decimal"/>
      <w:lvlText w:val="%1."/>
      <w:lvlJc w:val="left"/>
      <w:pPr>
        <w:ind w:left="720" w:hanging="360"/>
      </w:pPr>
      <w:rPr>
        <w:rFonts w:ascii="Verdana" w:hAnsi="Verdana"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54A"/>
    <w:multiLevelType w:val="hybridMultilevel"/>
    <w:tmpl w:val="C65EBC00"/>
    <w:lvl w:ilvl="0" w:tplc="140A000F">
      <w:start w:val="1"/>
      <w:numFmt w:val="decimal"/>
      <w:lvlText w:val="%1."/>
      <w:lvlJc w:val="left"/>
      <w:pPr>
        <w:ind w:left="-204" w:hanging="360"/>
      </w:pPr>
    </w:lvl>
    <w:lvl w:ilvl="1" w:tplc="340A0019" w:tentative="1">
      <w:start w:val="1"/>
      <w:numFmt w:val="lowerLetter"/>
      <w:lvlText w:val="%2."/>
      <w:lvlJc w:val="left"/>
      <w:pPr>
        <w:ind w:left="516" w:hanging="360"/>
      </w:pPr>
    </w:lvl>
    <w:lvl w:ilvl="2" w:tplc="340A001B" w:tentative="1">
      <w:start w:val="1"/>
      <w:numFmt w:val="lowerRoman"/>
      <w:lvlText w:val="%3."/>
      <w:lvlJc w:val="right"/>
      <w:pPr>
        <w:ind w:left="1236" w:hanging="180"/>
      </w:pPr>
    </w:lvl>
    <w:lvl w:ilvl="3" w:tplc="340A000F" w:tentative="1">
      <w:start w:val="1"/>
      <w:numFmt w:val="decimal"/>
      <w:lvlText w:val="%4."/>
      <w:lvlJc w:val="left"/>
      <w:pPr>
        <w:ind w:left="1956" w:hanging="360"/>
      </w:pPr>
    </w:lvl>
    <w:lvl w:ilvl="4" w:tplc="340A0019" w:tentative="1">
      <w:start w:val="1"/>
      <w:numFmt w:val="lowerLetter"/>
      <w:lvlText w:val="%5."/>
      <w:lvlJc w:val="left"/>
      <w:pPr>
        <w:ind w:left="2676" w:hanging="360"/>
      </w:pPr>
    </w:lvl>
    <w:lvl w:ilvl="5" w:tplc="340A001B" w:tentative="1">
      <w:start w:val="1"/>
      <w:numFmt w:val="lowerRoman"/>
      <w:lvlText w:val="%6."/>
      <w:lvlJc w:val="right"/>
      <w:pPr>
        <w:ind w:left="3396" w:hanging="180"/>
      </w:pPr>
    </w:lvl>
    <w:lvl w:ilvl="6" w:tplc="340A000F" w:tentative="1">
      <w:start w:val="1"/>
      <w:numFmt w:val="decimal"/>
      <w:lvlText w:val="%7."/>
      <w:lvlJc w:val="left"/>
      <w:pPr>
        <w:ind w:left="4116" w:hanging="360"/>
      </w:pPr>
    </w:lvl>
    <w:lvl w:ilvl="7" w:tplc="340A0019" w:tentative="1">
      <w:start w:val="1"/>
      <w:numFmt w:val="lowerLetter"/>
      <w:lvlText w:val="%8."/>
      <w:lvlJc w:val="left"/>
      <w:pPr>
        <w:ind w:left="4836" w:hanging="360"/>
      </w:pPr>
    </w:lvl>
    <w:lvl w:ilvl="8" w:tplc="340A001B" w:tentative="1">
      <w:start w:val="1"/>
      <w:numFmt w:val="lowerRoman"/>
      <w:lvlText w:val="%9."/>
      <w:lvlJc w:val="right"/>
      <w:pPr>
        <w:ind w:left="5556" w:hanging="180"/>
      </w:pPr>
    </w:lvl>
  </w:abstractNum>
  <w:abstractNum w:abstractNumId="12" w15:restartNumberingAfterBreak="0">
    <w:nsid w:val="287F4E84"/>
    <w:multiLevelType w:val="hybridMultilevel"/>
    <w:tmpl w:val="152C9538"/>
    <w:lvl w:ilvl="0" w:tplc="506CC2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F175E"/>
    <w:multiLevelType w:val="hybridMultilevel"/>
    <w:tmpl w:val="2890A9E0"/>
    <w:lvl w:ilvl="0" w:tplc="0409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88C2136"/>
    <w:multiLevelType w:val="hybridMultilevel"/>
    <w:tmpl w:val="66EE4F34"/>
    <w:lvl w:ilvl="0" w:tplc="D04EFF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C1A03"/>
    <w:multiLevelType w:val="hybridMultilevel"/>
    <w:tmpl w:val="EA3EF3F4"/>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16" w15:restartNumberingAfterBreak="0">
    <w:nsid w:val="45EF281E"/>
    <w:multiLevelType w:val="hybridMultilevel"/>
    <w:tmpl w:val="E306F7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B7719"/>
    <w:multiLevelType w:val="hybridMultilevel"/>
    <w:tmpl w:val="38B03504"/>
    <w:lvl w:ilvl="0" w:tplc="3F9CA10A">
      <w:start w:val="1"/>
      <w:numFmt w:val="lowerLetter"/>
      <w:lvlText w:val="%1."/>
      <w:lvlJc w:val="left"/>
      <w:pPr>
        <w:ind w:left="720" w:hanging="360"/>
      </w:pPr>
      <w:rPr>
        <w:rFont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9739E2"/>
    <w:multiLevelType w:val="hybridMultilevel"/>
    <w:tmpl w:val="51C446C4"/>
    <w:lvl w:ilvl="0" w:tplc="EC2ABBBE">
      <w:start w:val="1"/>
      <w:numFmt w:val="upperLetter"/>
      <w:lvlText w:val="%1)"/>
      <w:lvlJc w:val="left"/>
      <w:pPr>
        <w:ind w:left="873" w:hanging="360"/>
      </w:pPr>
      <w:rPr>
        <w:rFonts w:hint="default"/>
      </w:rPr>
    </w:lvl>
    <w:lvl w:ilvl="1" w:tplc="140A0019">
      <w:start w:val="1"/>
      <w:numFmt w:val="lowerLetter"/>
      <w:lvlText w:val="%2."/>
      <w:lvlJc w:val="left"/>
      <w:pPr>
        <w:ind w:left="1593" w:hanging="360"/>
      </w:pPr>
    </w:lvl>
    <w:lvl w:ilvl="2" w:tplc="140A001B" w:tentative="1">
      <w:start w:val="1"/>
      <w:numFmt w:val="lowerRoman"/>
      <w:lvlText w:val="%3."/>
      <w:lvlJc w:val="right"/>
      <w:pPr>
        <w:ind w:left="2313" w:hanging="180"/>
      </w:pPr>
    </w:lvl>
    <w:lvl w:ilvl="3" w:tplc="140A000F" w:tentative="1">
      <w:start w:val="1"/>
      <w:numFmt w:val="decimal"/>
      <w:lvlText w:val="%4."/>
      <w:lvlJc w:val="left"/>
      <w:pPr>
        <w:ind w:left="3033" w:hanging="360"/>
      </w:pPr>
    </w:lvl>
    <w:lvl w:ilvl="4" w:tplc="140A0019" w:tentative="1">
      <w:start w:val="1"/>
      <w:numFmt w:val="lowerLetter"/>
      <w:lvlText w:val="%5."/>
      <w:lvlJc w:val="left"/>
      <w:pPr>
        <w:ind w:left="3753" w:hanging="360"/>
      </w:pPr>
    </w:lvl>
    <w:lvl w:ilvl="5" w:tplc="140A001B" w:tentative="1">
      <w:start w:val="1"/>
      <w:numFmt w:val="lowerRoman"/>
      <w:lvlText w:val="%6."/>
      <w:lvlJc w:val="right"/>
      <w:pPr>
        <w:ind w:left="4473" w:hanging="180"/>
      </w:pPr>
    </w:lvl>
    <w:lvl w:ilvl="6" w:tplc="140A000F" w:tentative="1">
      <w:start w:val="1"/>
      <w:numFmt w:val="decimal"/>
      <w:lvlText w:val="%7."/>
      <w:lvlJc w:val="left"/>
      <w:pPr>
        <w:ind w:left="5193" w:hanging="360"/>
      </w:pPr>
    </w:lvl>
    <w:lvl w:ilvl="7" w:tplc="140A0019" w:tentative="1">
      <w:start w:val="1"/>
      <w:numFmt w:val="lowerLetter"/>
      <w:lvlText w:val="%8."/>
      <w:lvlJc w:val="left"/>
      <w:pPr>
        <w:ind w:left="5913" w:hanging="360"/>
      </w:pPr>
    </w:lvl>
    <w:lvl w:ilvl="8" w:tplc="140A001B" w:tentative="1">
      <w:start w:val="1"/>
      <w:numFmt w:val="lowerRoman"/>
      <w:lvlText w:val="%9."/>
      <w:lvlJc w:val="right"/>
      <w:pPr>
        <w:ind w:left="6633" w:hanging="180"/>
      </w:pPr>
    </w:lvl>
  </w:abstractNum>
  <w:abstractNum w:abstractNumId="19" w15:restartNumberingAfterBreak="0">
    <w:nsid w:val="53C3288C"/>
    <w:multiLevelType w:val="hybridMultilevel"/>
    <w:tmpl w:val="355C6C3C"/>
    <w:lvl w:ilvl="0" w:tplc="6EFEA1B2">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B11183"/>
    <w:multiLevelType w:val="hybridMultilevel"/>
    <w:tmpl w:val="32C4F120"/>
    <w:lvl w:ilvl="0" w:tplc="A61AD386">
      <w:start w:val="51"/>
      <w:numFmt w:val="decimal"/>
      <w:lvlText w:val="%1."/>
      <w:lvlJc w:val="left"/>
      <w:pPr>
        <w:ind w:left="72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91F3D60"/>
    <w:multiLevelType w:val="hybridMultilevel"/>
    <w:tmpl w:val="865E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3DA6"/>
    <w:multiLevelType w:val="multilevel"/>
    <w:tmpl w:val="EFBA677A"/>
    <w:lvl w:ilvl="0">
      <w:start w:val="1"/>
      <w:numFmt w:val="decimal"/>
      <w:lvlText w:val="%1."/>
      <w:lvlJc w:val="left"/>
      <w:pPr>
        <w:tabs>
          <w:tab w:val="num" w:pos="1800"/>
        </w:tabs>
        <w:ind w:left="1800" w:hanging="360"/>
      </w:pPr>
      <w:rPr>
        <w:rFonts w:ascii="Verdana" w:hAnsi="Verdana" w:hint="default"/>
        <w:b w:val="0"/>
        <w:i w:val="0"/>
        <w:color w:val="auto"/>
        <w:sz w:val="20"/>
      </w:rPr>
    </w:lvl>
    <w:lvl w:ilvl="1">
      <w:start w:val="1"/>
      <w:numFmt w:val="lowerLetter"/>
      <w:lvlText w:val="%2."/>
      <w:lvlJc w:val="left"/>
      <w:pPr>
        <w:tabs>
          <w:tab w:val="num" w:pos="1134"/>
        </w:tabs>
        <w:ind w:left="567" w:firstLine="0"/>
      </w:pPr>
      <w:rPr>
        <w:rFonts w:ascii="Verdana" w:eastAsia="Times New Roman" w:hAnsi="Verdana" w:cs="Times New Roman" w:hint="default"/>
        <w:color w:val="auto"/>
      </w:rPr>
    </w:lvl>
    <w:lvl w:ilvl="2">
      <w:start w:val="1"/>
      <w:numFmt w:val="lowerRoman"/>
      <w:lvlText w:val="%3."/>
      <w:lvlJc w:val="right"/>
      <w:pPr>
        <w:tabs>
          <w:tab w:val="num" w:pos="1985"/>
        </w:tabs>
        <w:ind w:left="851" w:firstLine="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2A64E7"/>
    <w:multiLevelType w:val="hybridMultilevel"/>
    <w:tmpl w:val="93AA7D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C07"/>
    <w:multiLevelType w:val="hybridMultilevel"/>
    <w:tmpl w:val="2890A9E0"/>
    <w:lvl w:ilvl="0" w:tplc="0409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2F90590"/>
    <w:multiLevelType w:val="hybridMultilevel"/>
    <w:tmpl w:val="6C14C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03A6F"/>
    <w:multiLevelType w:val="hybridMultilevel"/>
    <w:tmpl w:val="B32A0420"/>
    <w:lvl w:ilvl="0" w:tplc="011AABA2">
      <w:start w:val="1"/>
      <w:numFmt w:val="decimal"/>
      <w:lvlText w:val="%1."/>
      <w:lvlJc w:val="left"/>
      <w:pPr>
        <w:ind w:left="791" w:hanging="360"/>
      </w:pPr>
      <w:rPr>
        <w:color w:val="auto"/>
      </w:rPr>
    </w:lvl>
    <w:lvl w:ilvl="1" w:tplc="140A0017">
      <w:start w:val="1"/>
      <w:numFmt w:val="lowerLetter"/>
      <w:lvlText w:val="%2)"/>
      <w:lvlJc w:val="left"/>
      <w:pPr>
        <w:ind w:left="720" w:hanging="360"/>
      </w:pPr>
      <w:rPr>
        <w:rFonts w:hint="default"/>
      </w:r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7" w15:restartNumberingAfterBreak="0">
    <w:nsid w:val="7ADF01EA"/>
    <w:multiLevelType w:val="hybridMultilevel"/>
    <w:tmpl w:val="B60A0E12"/>
    <w:lvl w:ilvl="0" w:tplc="04090017">
      <w:start w:val="1"/>
      <w:numFmt w:val="lowerLetter"/>
      <w:lvlText w:val="%1)"/>
      <w:lvlJc w:val="left"/>
      <w:pPr>
        <w:ind w:left="720" w:hanging="360"/>
      </w:pPr>
      <w:rPr>
        <w:rFont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BE97B02"/>
    <w:multiLevelType w:val="hybridMultilevel"/>
    <w:tmpl w:val="F40E6822"/>
    <w:lvl w:ilvl="0" w:tplc="48541686">
      <w:start w:val="1"/>
      <w:numFmt w:val="decimal"/>
      <w:lvlText w:val="%1."/>
      <w:lvlJc w:val="left"/>
      <w:pPr>
        <w:ind w:left="72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FB52358"/>
    <w:multiLevelType w:val="hybridMultilevel"/>
    <w:tmpl w:val="4198C36A"/>
    <w:lvl w:ilvl="0" w:tplc="71FA1320">
      <w:start w:val="19"/>
      <w:numFmt w:val="decimal"/>
      <w:lvlText w:val="%1."/>
      <w:lvlJc w:val="left"/>
      <w:pPr>
        <w:ind w:left="873" w:hanging="360"/>
      </w:pPr>
      <w:rPr>
        <w:rFonts w:ascii="Verdana" w:hAnsi="Verdana"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8"/>
  </w:num>
  <w:num w:numId="3">
    <w:abstractNumId w:val="25"/>
  </w:num>
  <w:num w:numId="4">
    <w:abstractNumId w:val="8"/>
  </w:num>
  <w:num w:numId="5">
    <w:abstractNumId w:val="13"/>
  </w:num>
  <w:num w:numId="6">
    <w:abstractNumId w:val="6"/>
  </w:num>
  <w:num w:numId="7">
    <w:abstractNumId w:val="23"/>
  </w:num>
  <w:num w:numId="8">
    <w:abstractNumId w:val="5"/>
  </w:num>
  <w:num w:numId="9">
    <w:abstractNumId w:val="2"/>
  </w:num>
  <w:num w:numId="10">
    <w:abstractNumId w:val="24"/>
  </w:num>
  <w:num w:numId="11">
    <w:abstractNumId w:val="10"/>
  </w:num>
  <w:num w:numId="12">
    <w:abstractNumId w:val="21"/>
  </w:num>
  <w:num w:numId="13">
    <w:abstractNumId w:val="17"/>
  </w:num>
  <w:num w:numId="14">
    <w:abstractNumId w:val="27"/>
  </w:num>
  <w:num w:numId="15">
    <w:abstractNumId w:val="26"/>
  </w:num>
  <w:num w:numId="16">
    <w:abstractNumId w:val="1"/>
  </w:num>
  <w:num w:numId="17">
    <w:abstractNumId w:val="14"/>
  </w:num>
  <w:num w:numId="18">
    <w:abstractNumId w:val="16"/>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9"/>
  </w:num>
  <w:num w:numId="24">
    <w:abstractNumId w:val="0"/>
  </w:num>
  <w:num w:numId="25">
    <w:abstractNumId w:val="20"/>
  </w:num>
  <w:num w:numId="26">
    <w:abstractNumId w:val="7"/>
  </w:num>
  <w:num w:numId="27">
    <w:abstractNumId w:val="11"/>
  </w:num>
  <w:num w:numId="28">
    <w:abstractNumId w:val="29"/>
  </w:num>
  <w:num w:numId="29">
    <w:abstractNumId w:val="19"/>
  </w:num>
  <w:num w:numId="3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CF"/>
    <w:rsid w:val="000004F5"/>
    <w:rsid w:val="00002392"/>
    <w:rsid w:val="0000254C"/>
    <w:rsid w:val="000028DC"/>
    <w:rsid w:val="00005DB1"/>
    <w:rsid w:val="000066F3"/>
    <w:rsid w:val="00006C8A"/>
    <w:rsid w:val="0000718B"/>
    <w:rsid w:val="00015CF9"/>
    <w:rsid w:val="00017BD6"/>
    <w:rsid w:val="00022FDF"/>
    <w:rsid w:val="00024F95"/>
    <w:rsid w:val="000272FF"/>
    <w:rsid w:val="0003258A"/>
    <w:rsid w:val="00033537"/>
    <w:rsid w:val="0003373E"/>
    <w:rsid w:val="00033ABF"/>
    <w:rsid w:val="00041738"/>
    <w:rsid w:val="00044F9D"/>
    <w:rsid w:val="00054EBF"/>
    <w:rsid w:val="000566FE"/>
    <w:rsid w:val="0005695D"/>
    <w:rsid w:val="000623C4"/>
    <w:rsid w:val="0006371C"/>
    <w:rsid w:val="000654E4"/>
    <w:rsid w:val="00065914"/>
    <w:rsid w:val="00066EE2"/>
    <w:rsid w:val="00073042"/>
    <w:rsid w:val="00073EAF"/>
    <w:rsid w:val="00077CFD"/>
    <w:rsid w:val="00083922"/>
    <w:rsid w:val="00084BDD"/>
    <w:rsid w:val="00087DCC"/>
    <w:rsid w:val="00087F6D"/>
    <w:rsid w:val="000918A8"/>
    <w:rsid w:val="00094B67"/>
    <w:rsid w:val="000A0728"/>
    <w:rsid w:val="000A2FC6"/>
    <w:rsid w:val="000A4514"/>
    <w:rsid w:val="000A52C1"/>
    <w:rsid w:val="000A627F"/>
    <w:rsid w:val="000B02FF"/>
    <w:rsid w:val="000B12CC"/>
    <w:rsid w:val="000B4429"/>
    <w:rsid w:val="000B6C9C"/>
    <w:rsid w:val="000C3F13"/>
    <w:rsid w:val="000C5155"/>
    <w:rsid w:val="000C6739"/>
    <w:rsid w:val="000C764D"/>
    <w:rsid w:val="000D03F5"/>
    <w:rsid w:val="000D09E3"/>
    <w:rsid w:val="000D1DB8"/>
    <w:rsid w:val="000D310B"/>
    <w:rsid w:val="000D3258"/>
    <w:rsid w:val="000D5627"/>
    <w:rsid w:val="000D6FF8"/>
    <w:rsid w:val="000D7F83"/>
    <w:rsid w:val="000F190D"/>
    <w:rsid w:val="000F3C99"/>
    <w:rsid w:val="000F5C77"/>
    <w:rsid w:val="000F6CE3"/>
    <w:rsid w:val="000F754E"/>
    <w:rsid w:val="00100107"/>
    <w:rsid w:val="00100FF0"/>
    <w:rsid w:val="001021A7"/>
    <w:rsid w:val="00103585"/>
    <w:rsid w:val="001061A3"/>
    <w:rsid w:val="001077FD"/>
    <w:rsid w:val="001123A6"/>
    <w:rsid w:val="001133E5"/>
    <w:rsid w:val="001168CA"/>
    <w:rsid w:val="001173FD"/>
    <w:rsid w:val="00117959"/>
    <w:rsid w:val="00122B02"/>
    <w:rsid w:val="00125B03"/>
    <w:rsid w:val="001270C1"/>
    <w:rsid w:val="00127E14"/>
    <w:rsid w:val="001322A3"/>
    <w:rsid w:val="00133B50"/>
    <w:rsid w:val="001349F7"/>
    <w:rsid w:val="0013634E"/>
    <w:rsid w:val="00136C72"/>
    <w:rsid w:val="00136F48"/>
    <w:rsid w:val="00140A54"/>
    <w:rsid w:val="0014103B"/>
    <w:rsid w:val="00141350"/>
    <w:rsid w:val="001449C8"/>
    <w:rsid w:val="00145AA0"/>
    <w:rsid w:val="00145EB2"/>
    <w:rsid w:val="00147907"/>
    <w:rsid w:val="0015129A"/>
    <w:rsid w:val="00152BC9"/>
    <w:rsid w:val="00154901"/>
    <w:rsid w:val="00154A7C"/>
    <w:rsid w:val="00154E3E"/>
    <w:rsid w:val="0016020A"/>
    <w:rsid w:val="00165FCD"/>
    <w:rsid w:val="00176C0A"/>
    <w:rsid w:val="001818C6"/>
    <w:rsid w:val="00183E95"/>
    <w:rsid w:val="00184638"/>
    <w:rsid w:val="001910D8"/>
    <w:rsid w:val="00194070"/>
    <w:rsid w:val="00194BEF"/>
    <w:rsid w:val="001950C9"/>
    <w:rsid w:val="00195BB0"/>
    <w:rsid w:val="001A0E56"/>
    <w:rsid w:val="001A7A68"/>
    <w:rsid w:val="001B1DF6"/>
    <w:rsid w:val="001B6660"/>
    <w:rsid w:val="001B6EE2"/>
    <w:rsid w:val="001C1D34"/>
    <w:rsid w:val="001C67A9"/>
    <w:rsid w:val="001D1320"/>
    <w:rsid w:val="001D2620"/>
    <w:rsid w:val="001D2C0E"/>
    <w:rsid w:val="001D79AB"/>
    <w:rsid w:val="001E118F"/>
    <w:rsid w:val="001E67F6"/>
    <w:rsid w:val="001E794C"/>
    <w:rsid w:val="001F3C17"/>
    <w:rsid w:val="001F75D9"/>
    <w:rsid w:val="002005EC"/>
    <w:rsid w:val="00200C7A"/>
    <w:rsid w:val="00200E3F"/>
    <w:rsid w:val="002033E3"/>
    <w:rsid w:val="00203C7F"/>
    <w:rsid w:val="00204121"/>
    <w:rsid w:val="00205ED7"/>
    <w:rsid w:val="002070E7"/>
    <w:rsid w:val="00211775"/>
    <w:rsid w:val="002156E1"/>
    <w:rsid w:val="00221D27"/>
    <w:rsid w:val="002237C4"/>
    <w:rsid w:val="002273EA"/>
    <w:rsid w:val="00234D64"/>
    <w:rsid w:val="002407F7"/>
    <w:rsid w:val="002409E3"/>
    <w:rsid w:val="00244C18"/>
    <w:rsid w:val="00247D89"/>
    <w:rsid w:val="0025030D"/>
    <w:rsid w:val="00250696"/>
    <w:rsid w:val="00250A1A"/>
    <w:rsid w:val="00251059"/>
    <w:rsid w:val="00252474"/>
    <w:rsid w:val="00266909"/>
    <w:rsid w:val="00270828"/>
    <w:rsid w:val="002804D4"/>
    <w:rsid w:val="0028140E"/>
    <w:rsid w:val="0028202D"/>
    <w:rsid w:val="00282EBE"/>
    <w:rsid w:val="002855E7"/>
    <w:rsid w:val="00287CD8"/>
    <w:rsid w:val="002907CD"/>
    <w:rsid w:val="00293E84"/>
    <w:rsid w:val="002959DB"/>
    <w:rsid w:val="002A17DF"/>
    <w:rsid w:val="002A56AD"/>
    <w:rsid w:val="002A70D6"/>
    <w:rsid w:val="002A731A"/>
    <w:rsid w:val="002B2363"/>
    <w:rsid w:val="002B38AB"/>
    <w:rsid w:val="002B4210"/>
    <w:rsid w:val="002B4EFF"/>
    <w:rsid w:val="002C0CD5"/>
    <w:rsid w:val="002C371D"/>
    <w:rsid w:val="002C4C73"/>
    <w:rsid w:val="002C67ED"/>
    <w:rsid w:val="002E0D74"/>
    <w:rsid w:val="002E2163"/>
    <w:rsid w:val="002E2BC9"/>
    <w:rsid w:val="002E5209"/>
    <w:rsid w:val="002E7CBA"/>
    <w:rsid w:val="002F701E"/>
    <w:rsid w:val="0030110F"/>
    <w:rsid w:val="00306623"/>
    <w:rsid w:val="00312FE3"/>
    <w:rsid w:val="0031331F"/>
    <w:rsid w:val="003145C7"/>
    <w:rsid w:val="003168DE"/>
    <w:rsid w:val="00320573"/>
    <w:rsid w:val="00322373"/>
    <w:rsid w:val="0032428B"/>
    <w:rsid w:val="0032798D"/>
    <w:rsid w:val="003334D9"/>
    <w:rsid w:val="003358C9"/>
    <w:rsid w:val="00336BA0"/>
    <w:rsid w:val="00337FEC"/>
    <w:rsid w:val="0034129A"/>
    <w:rsid w:val="00342BAA"/>
    <w:rsid w:val="0034331E"/>
    <w:rsid w:val="00345670"/>
    <w:rsid w:val="00354C79"/>
    <w:rsid w:val="00357359"/>
    <w:rsid w:val="00362D00"/>
    <w:rsid w:val="003668BB"/>
    <w:rsid w:val="00367D75"/>
    <w:rsid w:val="00371322"/>
    <w:rsid w:val="00372A7B"/>
    <w:rsid w:val="003757C5"/>
    <w:rsid w:val="00375AD7"/>
    <w:rsid w:val="00377BAD"/>
    <w:rsid w:val="003816AB"/>
    <w:rsid w:val="00381E00"/>
    <w:rsid w:val="00384189"/>
    <w:rsid w:val="003918FB"/>
    <w:rsid w:val="00394F5C"/>
    <w:rsid w:val="00395069"/>
    <w:rsid w:val="003A0E1D"/>
    <w:rsid w:val="003B03DE"/>
    <w:rsid w:val="003B323B"/>
    <w:rsid w:val="003B6997"/>
    <w:rsid w:val="003B7C9F"/>
    <w:rsid w:val="003C0CFF"/>
    <w:rsid w:val="003C496A"/>
    <w:rsid w:val="003C69E0"/>
    <w:rsid w:val="003D0699"/>
    <w:rsid w:val="003D13A2"/>
    <w:rsid w:val="003D2AC2"/>
    <w:rsid w:val="003D3824"/>
    <w:rsid w:val="003D3C26"/>
    <w:rsid w:val="003D403E"/>
    <w:rsid w:val="003D469B"/>
    <w:rsid w:val="003D5E54"/>
    <w:rsid w:val="003D6412"/>
    <w:rsid w:val="003D66FD"/>
    <w:rsid w:val="003E0C65"/>
    <w:rsid w:val="003E5A68"/>
    <w:rsid w:val="003F0B58"/>
    <w:rsid w:val="003F3880"/>
    <w:rsid w:val="003F52E0"/>
    <w:rsid w:val="003F60EA"/>
    <w:rsid w:val="003F7641"/>
    <w:rsid w:val="00400231"/>
    <w:rsid w:val="00401687"/>
    <w:rsid w:val="00405CA0"/>
    <w:rsid w:val="0041018F"/>
    <w:rsid w:val="00411DA9"/>
    <w:rsid w:val="004122BB"/>
    <w:rsid w:val="004125AD"/>
    <w:rsid w:val="0041294A"/>
    <w:rsid w:val="00414CB1"/>
    <w:rsid w:val="00415030"/>
    <w:rsid w:val="00420F80"/>
    <w:rsid w:val="00421239"/>
    <w:rsid w:val="004232DB"/>
    <w:rsid w:val="004236C5"/>
    <w:rsid w:val="00423A47"/>
    <w:rsid w:val="00435E4E"/>
    <w:rsid w:val="0043767C"/>
    <w:rsid w:val="004409C9"/>
    <w:rsid w:val="004517B8"/>
    <w:rsid w:val="00453A40"/>
    <w:rsid w:val="004550E6"/>
    <w:rsid w:val="0045649F"/>
    <w:rsid w:val="0046086E"/>
    <w:rsid w:val="00460B75"/>
    <w:rsid w:val="0046136B"/>
    <w:rsid w:val="00467BB7"/>
    <w:rsid w:val="004712BC"/>
    <w:rsid w:val="0047407F"/>
    <w:rsid w:val="00476CE6"/>
    <w:rsid w:val="00482404"/>
    <w:rsid w:val="004832C5"/>
    <w:rsid w:val="00483752"/>
    <w:rsid w:val="0048419C"/>
    <w:rsid w:val="004843EA"/>
    <w:rsid w:val="00486A06"/>
    <w:rsid w:val="0049016B"/>
    <w:rsid w:val="004921D8"/>
    <w:rsid w:val="00493981"/>
    <w:rsid w:val="00494633"/>
    <w:rsid w:val="00494E98"/>
    <w:rsid w:val="0049773B"/>
    <w:rsid w:val="004A2769"/>
    <w:rsid w:val="004A7D42"/>
    <w:rsid w:val="004B0A97"/>
    <w:rsid w:val="004B4D59"/>
    <w:rsid w:val="004B4E58"/>
    <w:rsid w:val="004C2F87"/>
    <w:rsid w:val="004C3CC0"/>
    <w:rsid w:val="004C76AE"/>
    <w:rsid w:val="004D068C"/>
    <w:rsid w:val="004D4CA7"/>
    <w:rsid w:val="004D73AB"/>
    <w:rsid w:val="004E2753"/>
    <w:rsid w:val="004E3A04"/>
    <w:rsid w:val="004E4E4C"/>
    <w:rsid w:val="004E5984"/>
    <w:rsid w:val="004E5ACF"/>
    <w:rsid w:val="004F30F1"/>
    <w:rsid w:val="005012C7"/>
    <w:rsid w:val="00505444"/>
    <w:rsid w:val="0050629B"/>
    <w:rsid w:val="00507B5C"/>
    <w:rsid w:val="00514F53"/>
    <w:rsid w:val="005157D7"/>
    <w:rsid w:val="00517372"/>
    <w:rsid w:val="0051766F"/>
    <w:rsid w:val="00521AEC"/>
    <w:rsid w:val="005237D1"/>
    <w:rsid w:val="00524C25"/>
    <w:rsid w:val="0052533B"/>
    <w:rsid w:val="005255DC"/>
    <w:rsid w:val="00531A15"/>
    <w:rsid w:val="00532AB1"/>
    <w:rsid w:val="00533249"/>
    <w:rsid w:val="005347B0"/>
    <w:rsid w:val="0053652E"/>
    <w:rsid w:val="00540619"/>
    <w:rsid w:val="00544102"/>
    <w:rsid w:val="005458EF"/>
    <w:rsid w:val="0054702E"/>
    <w:rsid w:val="0055076D"/>
    <w:rsid w:val="00551BFF"/>
    <w:rsid w:val="00553683"/>
    <w:rsid w:val="00554F8C"/>
    <w:rsid w:val="00557680"/>
    <w:rsid w:val="005633F2"/>
    <w:rsid w:val="00563427"/>
    <w:rsid w:val="00565BEE"/>
    <w:rsid w:val="00567B27"/>
    <w:rsid w:val="00567D48"/>
    <w:rsid w:val="00571549"/>
    <w:rsid w:val="0057696F"/>
    <w:rsid w:val="00577444"/>
    <w:rsid w:val="005823C6"/>
    <w:rsid w:val="00592133"/>
    <w:rsid w:val="00592470"/>
    <w:rsid w:val="00592805"/>
    <w:rsid w:val="00595AED"/>
    <w:rsid w:val="00597DDE"/>
    <w:rsid w:val="005A1E82"/>
    <w:rsid w:val="005A2D4A"/>
    <w:rsid w:val="005A4F8F"/>
    <w:rsid w:val="005B0EBF"/>
    <w:rsid w:val="005B35EC"/>
    <w:rsid w:val="005B4C36"/>
    <w:rsid w:val="005C076E"/>
    <w:rsid w:val="005C39B0"/>
    <w:rsid w:val="005C55AF"/>
    <w:rsid w:val="005C6ED1"/>
    <w:rsid w:val="005D0EAE"/>
    <w:rsid w:val="005D1291"/>
    <w:rsid w:val="005D3D41"/>
    <w:rsid w:val="005D78D0"/>
    <w:rsid w:val="005E043F"/>
    <w:rsid w:val="005E05B0"/>
    <w:rsid w:val="005E7D12"/>
    <w:rsid w:val="005F0033"/>
    <w:rsid w:val="005F11F0"/>
    <w:rsid w:val="005F2466"/>
    <w:rsid w:val="005F4383"/>
    <w:rsid w:val="005F46DC"/>
    <w:rsid w:val="005F5399"/>
    <w:rsid w:val="005F6A8E"/>
    <w:rsid w:val="005F7734"/>
    <w:rsid w:val="005F77C7"/>
    <w:rsid w:val="006001FD"/>
    <w:rsid w:val="00600B01"/>
    <w:rsid w:val="00614134"/>
    <w:rsid w:val="006146A8"/>
    <w:rsid w:val="00615EF1"/>
    <w:rsid w:val="00617A7E"/>
    <w:rsid w:val="00625B29"/>
    <w:rsid w:val="00625F11"/>
    <w:rsid w:val="00627F25"/>
    <w:rsid w:val="006306E4"/>
    <w:rsid w:val="0063317A"/>
    <w:rsid w:val="006331EB"/>
    <w:rsid w:val="006336B9"/>
    <w:rsid w:val="00633FF5"/>
    <w:rsid w:val="006349BA"/>
    <w:rsid w:val="0063730B"/>
    <w:rsid w:val="0064084B"/>
    <w:rsid w:val="00640948"/>
    <w:rsid w:val="00641D5D"/>
    <w:rsid w:val="00643029"/>
    <w:rsid w:val="006445B6"/>
    <w:rsid w:val="00644CB7"/>
    <w:rsid w:val="00645700"/>
    <w:rsid w:val="00645F6C"/>
    <w:rsid w:val="00650D13"/>
    <w:rsid w:val="00650FF1"/>
    <w:rsid w:val="00651917"/>
    <w:rsid w:val="0065352C"/>
    <w:rsid w:val="00655205"/>
    <w:rsid w:val="00655B1C"/>
    <w:rsid w:val="00663706"/>
    <w:rsid w:val="00666898"/>
    <w:rsid w:val="00666A69"/>
    <w:rsid w:val="00667AC6"/>
    <w:rsid w:val="00667DA5"/>
    <w:rsid w:val="006704FF"/>
    <w:rsid w:val="00673579"/>
    <w:rsid w:val="00674B35"/>
    <w:rsid w:val="00676751"/>
    <w:rsid w:val="006769D9"/>
    <w:rsid w:val="0067754A"/>
    <w:rsid w:val="00680F42"/>
    <w:rsid w:val="00682B01"/>
    <w:rsid w:val="0068438C"/>
    <w:rsid w:val="00687B8B"/>
    <w:rsid w:val="0069110A"/>
    <w:rsid w:val="00692D78"/>
    <w:rsid w:val="00694655"/>
    <w:rsid w:val="00694E2C"/>
    <w:rsid w:val="006953FE"/>
    <w:rsid w:val="006A155A"/>
    <w:rsid w:val="006A47B5"/>
    <w:rsid w:val="006A5091"/>
    <w:rsid w:val="006A6043"/>
    <w:rsid w:val="006A6318"/>
    <w:rsid w:val="006A75CD"/>
    <w:rsid w:val="006B013B"/>
    <w:rsid w:val="006B037D"/>
    <w:rsid w:val="006B183C"/>
    <w:rsid w:val="006B5DCC"/>
    <w:rsid w:val="006C2793"/>
    <w:rsid w:val="006C2817"/>
    <w:rsid w:val="006C2B99"/>
    <w:rsid w:val="006C3C78"/>
    <w:rsid w:val="006C453A"/>
    <w:rsid w:val="006C736D"/>
    <w:rsid w:val="006D0F32"/>
    <w:rsid w:val="006D3736"/>
    <w:rsid w:val="006D50A3"/>
    <w:rsid w:val="006D58F8"/>
    <w:rsid w:val="006D5E13"/>
    <w:rsid w:val="006D627E"/>
    <w:rsid w:val="006D7430"/>
    <w:rsid w:val="006D7C72"/>
    <w:rsid w:val="006E2457"/>
    <w:rsid w:val="006E24C5"/>
    <w:rsid w:val="006E25C0"/>
    <w:rsid w:val="006E27F2"/>
    <w:rsid w:val="006E339D"/>
    <w:rsid w:val="006E3FA3"/>
    <w:rsid w:val="006E4B12"/>
    <w:rsid w:val="006E4D8F"/>
    <w:rsid w:val="006E5E43"/>
    <w:rsid w:val="006E7F60"/>
    <w:rsid w:val="006F13D9"/>
    <w:rsid w:val="006F1D5F"/>
    <w:rsid w:val="006F30F3"/>
    <w:rsid w:val="006F3165"/>
    <w:rsid w:val="007000EB"/>
    <w:rsid w:val="007018E1"/>
    <w:rsid w:val="0070245E"/>
    <w:rsid w:val="007056C3"/>
    <w:rsid w:val="00710C99"/>
    <w:rsid w:val="00711165"/>
    <w:rsid w:val="00716611"/>
    <w:rsid w:val="00722038"/>
    <w:rsid w:val="007232A6"/>
    <w:rsid w:val="00723F79"/>
    <w:rsid w:val="00723FDE"/>
    <w:rsid w:val="00724763"/>
    <w:rsid w:val="00725280"/>
    <w:rsid w:val="00727941"/>
    <w:rsid w:val="00731408"/>
    <w:rsid w:val="00733306"/>
    <w:rsid w:val="007338CE"/>
    <w:rsid w:val="00737BAC"/>
    <w:rsid w:val="00740295"/>
    <w:rsid w:val="00740422"/>
    <w:rsid w:val="00742EA6"/>
    <w:rsid w:val="00743E0B"/>
    <w:rsid w:val="00745E8E"/>
    <w:rsid w:val="007463DE"/>
    <w:rsid w:val="0074736D"/>
    <w:rsid w:val="00751AD5"/>
    <w:rsid w:val="007548C9"/>
    <w:rsid w:val="00756AAA"/>
    <w:rsid w:val="0075793F"/>
    <w:rsid w:val="00763E8F"/>
    <w:rsid w:val="00771D0F"/>
    <w:rsid w:val="00772D14"/>
    <w:rsid w:val="00786342"/>
    <w:rsid w:val="007936CF"/>
    <w:rsid w:val="00795433"/>
    <w:rsid w:val="00796199"/>
    <w:rsid w:val="007A29C9"/>
    <w:rsid w:val="007A60D4"/>
    <w:rsid w:val="007A72AF"/>
    <w:rsid w:val="007A75E3"/>
    <w:rsid w:val="007B6FBC"/>
    <w:rsid w:val="007C047B"/>
    <w:rsid w:val="007C08A3"/>
    <w:rsid w:val="007C2FF7"/>
    <w:rsid w:val="007C5299"/>
    <w:rsid w:val="007D1499"/>
    <w:rsid w:val="007D3BF3"/>
    <w:rsid w:val="007D400D"/>
    <w:rsid w:val="007D56DC"/>
    <w:rsid w:val="007D7522"/>
    <w:rsid w:val="007D7EA6"/>
    <w:rsid w:val="007E1BCC"/>
    <w:rsid w:val="007E3C79"/>
    <w:rsid w:val="007E491F"/>
    <w:rsid w:val="007E615F"/>
    <w:rsid w:val="00803FA4"/>
    <w:rsid w:val="008042A9"/>
    <w:rsid w:val="00805F4B"/>
    <w:rsid w:val="00807067"/>
    <w:rsid w:val="008078A6"/>
    <w:rsid w:val="00813A97"/>
    <w:rsid w:val="00813AED"/>
    <w:rsid w:val="00814848"/>
    <w:rsid w:val="0082712A"/>
    <w:rsid w:val="00833CA0"/>
    <w:rsid w:val="00835BA0"/>
    <w:rsid w:val="00837F66"/>
    <w:rsid w:val="00843592"/>
    <w:rsid w:val="008464F6"/>
    <w:rsid w:val="00846A32"/>
    <w:rsid w:val="0084709F"/>
    <w:rsid w:val="00852CEA"/>
    <w:rsid w:val="00854FC2"/>
    <w:rsid w:val="0085562E"/>
    <w:rsid w:val="008568AE"/>
    <w:rsid w:val="00861045"/>
    <w:rsid w:val="00865DB8"/>
    <w:rsid w:val="00866236"/>
    <w:rsid w:val="00866A1F"/>
    <w:rsid w:val="008806D6"/>
    <w:rsid w:val="00880C61"/>
    <w:rsid w:val="00883F6E"/>
    <w:rsid w:val="0088400F"/>
    <w:rsid w:val="00884825"/>
    <w:rsid w:val="00885049"/>
    <w:rsid w:val="00894130"/>
    <w:rsid w:val="008958B6"/>
    <w:rsid w:val="008969ED"/>
    <w:rsid w:val="00897D30"/>
    <w:rsid w:val="00897F1B"/>
    <w:rsid w:val="008A321C"/>
    <w:rsid w:val="008A423C"/>
    <w:rsid w:val="008A4589"/>
    <w:rsid w:val="008A4618"/>
    <w:rsid w:val="008A4B05"/>
    <w:rsid w:val="008B4859"/>
    <w:rsid w:val="008D0635"/>
    <w:rsid w:val="008D089D"/>
    <w:rsid w:val="008D793C"/>
    <w:rsid w:val="008F1549"/>
    <w:rsid w:val="008F451C"/>
    <w:rsid w:val="008F71E3"/>
    <w:rsid w:val="00901C91"/>
    <w:rsid w:val="0090253A"/>
    <w:rsid w:val="009030C6"/>
    <w:rsid w:val="00906595"/>
    <w:rsid w:val="009068FE"/>
    <w:rsid w:val="009125EE"/>
    <w:rsid w:val="00913A8E"/>
    <w:rsid w:val="00921A4C"/>
    <w:rsid w:val="0092243E"/>
    <w:rsid w:val="00922FDC"/>
    <w:rsid w:val="0092538C"/>
    <w:rsid w:val="00925567"/>
    <w:rsid w:val="0092626D"/>
    <w:rsid w:val="009271D6"/>
    <w:rsid w:val="00930C5D"/>
    <w:rsid w:val="00930CAF"/>
    <w:rsid w:val="00932A21"/>
    <w:rsid w:val="00933E11"/>
    <w:rsid w:val="00933FF2"/>
    <w:rsid w:val="0093627E"/>
    <w:rsid w:val="00937B20"/>
    <w:rsid w:val="0094195B"/>
    <w:rsid w:val="00942348"/>
    <w:rsid w:val="00944F10"/>
    <w:rsid w:val="009471EC"/>
    <w:rsid w:val="00953BCF"/>
    <w:rsid w:val="00954AA2"/>
    <w:rsid w:val="00955C60"/>
    <w:rsid w:val="0096021A"/>
    <w:rsid w:val="00960616"/>
    <w:rsid w:val="009638B4"/>
    <w:rsid w:val="0096434C"/>
    <w:rsid w:val="009644AB"/>
    <w:rsid w:val="00964F75"/>
    <w:rsid w:val="00970E68"/>
    <w:rsid w:val="009731CA"/>
    <w:rsid w:val="009773CA"/>
    <w:rsid w:val="00981C15"/>
    <w:rsid w:val="009834B3"/>
    <w:rsid w:val="009849CC"/>
    <w:rsid w:val="00985A65"/>
    <w:rsid w:val="0098601F"/>
    <w:rsid w:val="009900BA"/>
    <w:rsid w:val="00991868"/>
    <w:rsid w:val="00991AB0"/>
    <w:rsid w:val="00991DCA"/>
    <w:rsid w:val="00993532"/>
    <w:rsid w:val="00995000"/>
    <w:rsid w:val="009A14F0"/>
    <w:rsid w:val="009A22E1"/>
    <w:rsid w:val="009A2F2F"/>
    <w:rsid w:val="009A46AF"/>
    <w:rsid w:val="009A6904"/>
    <w:rsid w:val="009B20E5"/>
    <w:rsid w:val="009B4991"/>
    <w:rsid w:val="009B54E6"/>
    <w:rsid w:val="009B7656"/>
    <w:rsid w:val="009C048D"/>
    <w:rsid w:val="009C0D40"/>
    <w:rsid w:val="009C0E4D"/>
    <w:rsid w:val="009C672D"/>
    <w:rsid w:val="009D1149"/>
    <w:rsid w:val="009D1C70"/>
    <w:rsid w:val="009D1E5E"/>
    <w:rsid w:val="009D7401"/>
    <w:rsid w:val="009E01B9"/>
    <w:rsid w:val="009E025B"/>
    <w:rsid w:val="009E0AB7"/>
    <w:rsid w:val="009E3689"/>
    <w:rsid w:val="009E5DCF"/>
    <w:rsid w:val="009F0042"/>
    <w:rsid w:val="009F0B20"/>
    <w:rsid w:val="009F406F"/>
    <w:rsid w:val="00A13104"/>
    <w:rsid w:val="00A144B1"/>
    <w:rsid w:val="00A163D9"/>
    <w:rsid w:val="00A16542"/>
    <w:rsid w:val="00A25020"/>
    <w:rsid w:val="00A27FF0"/>
    <w:rsid w:val="00A30B91"/>
    <w:rsid w:val="00A318AB"/>
    <w:rsid w:val="00A31A98"/>
    <w:rsid w:val="00A331B4"/>
    <w:rsid w:val="00A35EA7"/>
    <w:rsid w:val="00A366C6"/>
    <w:rsid w:val="00A37471"/>
    <w:rsid w:val="00A40076"/>
    <w:rsid w:val="00A44A37"/>
    <w:rsid w:val="00A45B0F"/>
    <w:rsid w:val="00A46E26"/>
    <w:rsid w:val="00A46EB6"/>
    <w:rsid w:val="00A4735B"/>
    <w:rsid w:val="00A5185E"/>
    <w:rsid w:val="00A54342"/>
    <w:rsid w:val="00A5472B"/>
    <w:rsid w:val="00A551CF"/>
    <w:rsid w:val="00A57799"/>
    <w:rsid w:val="00A608E8"/>
    <w:rsid w:val="00A60B52"/>
    <w:rsid w:val="00A63075"/>
    <w:rsid w:val="00A63A9A"/>
    <w:rsid w:val="00A64B3B"/>
    <w:rsid w:val="00A65DC7"/>
    <w:rsid w:val="00A73BA5"/>
    <w:rsid w:val="00A75930"/>
    <w:rsid w:val="00A828FD"/>
    <w:rsid w:val="00A84AC2"/>
    <w:rsid w:val="00A86A33"/>
    <w:rsid w:val="00A92FAB"/>
    <w:rsid w:val="00A962A0"/>
    <w:rsid w:val="00A968DA"/>
    <w:rsid w:val="00A97460"/>
    <w:rsid w:val="00AA0722"/>
    <w:rsid w:val="00AA697B"/>
    <w:rsid w:val="00AB193F"/>
    <w:rsid w:val="00AB4B54"/>
    <w:rsid w:val="00AB7255"/>
    <w:rsid w:val="00AB7A20"/>
    <w:rsid w:val="00AC0066"/>
    <w:rsid w:val="00AC13C7"/>
    <w:rsid w:val="00AC167C"/>
    <w:rsid w:val="00AC2E97"/>
    <w:rsid w:val="00AC62B2"/>
    <w:rsid w:val="00AC6AE5"/>
    <w:rsid w:val="00AD02F0"/>
    <w:rsid w:val="00AD2DEB"/>
    <w:rsid w:val="00AD51AA"/>
    <w:rsid w:val="00AE1C75"/>
    <w:rsid w:val="00AE4164"/>
    <w:rsid w:val="00AE4980"/>
    <w:rsid w:val="00AE70F5"/>
    <w:rsid w:val="00AF396A"/>
    <w:rsid w:val="00AF3C2E"/>
    <w:rsid w:val="00AF5465"/>
    <w:rsid w:val="00AF74DA"/>
    <w:rsid w:val="00B0021E"/>
    <w:rsid w:val="00B03806"/>
    <w:rsid w:val="00B0399B"/>
    <w:rsid w:val="00B03C6B"/>
    <w:rsid w:val="00B066F7"/>
    <w:rsid w:val="00B0726E"/>
    <w:rsid w:val="00B13985"/>
    <w:rsid w:val="00B14943"/>
    <w:rsid w:val="00B15DC6"/>
    <w:rsid w:val="00B21F87"/>
    <w:rsid w:val="00B22734"/>
    <w:rsid w:val="00B22DD9"/>
    <w:rsid w:val="00B23740"/>
    <w:rsid w:val="00B23CE7"/>
    <w:rsid w:val="00B23FA9"/>
    <w:rsid w:val="00B25BF1"/>
    <w:rsid w:val="00B31A47"/>
    <w:rsid w:val="00B365C1"/>
    <w:rsid w:val="00B4197E"/>
    <w:rsid w:val="00B45F91"/>
    <w:rsid w:val="00B526B8"/>
    <w:rsid w:val="00B52A99"/>
    <w:rsid w:val="00B555E7"/>
    <w:rsid w:val="00B565C5"/>
    <w:rsid w:val="00B6375B"/>
    <w:rsid w:val="00B676F6"/>
    <w:rsid w:val="00B720B0"/>
    <w:rsid w:val="00B76261"/>
    <w:rsid w:val="00B77256"/>
    <w:rsid w:val="00B77DA9"/>
    <w:rsid w:val="00B816B1"/>
    <w:rsid w:val="00B849E3"/>
    <w:rsid w:val="00B853D8"/>
    <w:rsid w:val="00B87D04"/>
    <w:rsid w:val="00B90A5A"/>
    <w:rsid w:val="00B97A0E"/>
    <w:rsid w:val="00BA44B6"/>
    <w:rsid w:val="00BA492D"/>
    <w:rsid w:val="00BA4F27"/>
    <w:rsid w:val="00BA639F"/>
    <w:rsid w:val="00BB3142"/>
    <w:rsid w:val="00BB63EF"/>
    <w:rsid w:val="00BC3657"/>
    <w:rsid w:val="00BC4CFC"/>
    <w:rsid w:val="00BC5A6F"/>
    <w:rsid w:val="00BD406A"/>
    <w:rsid w:val="00BD55D1"/>
    <w:rsid w:val="00BD561A"/>
    <w:rsid w:val="00BE2389"/>
    <w:rsid w:val="00BE2654"/>
    <w:rsid w:val="00BE2C01"/>
    <w:rsid w:val="00BF0D03"/>
    <w:rsid w:val="00BF1A29"/>
    <w:rsid w:val="00BF5749"/>
    <w:rsid w:val="00C016A0"/>
    <w:rsid w:val="00C03A29"/>
    <w:rsid w:val="00C042CA"/>
    <w:rsid w:val="00C11AC8"/>
    <w:rsid w:val="00C11FF5"/>
    <w:rsid w:val="00C1214A"/>
    <w:rsid w:val="00C13445"/>
    <w:rsid w:val="00C13878"/>
    <w:rsid w:val="00C16260"/>
    <w:rsid w:val="00C1731C"/>
    <w:rsid w:val="00C17950"/>
    <w:rsid w:val="00C17E82"/>
    <w:rsid w:val="00C20488"/>
    <w:rsid w:val="00C237AA"/>
    <w:rsid w:val="00C2473F"/>
    <w:rsid w:val="00C26ED8"/>
    <w:rsid w:val="00C3034F"/>
    <w:rsid w:val="00C30A75"/>
    <w:rsid w:val="00C31100"/>
    <w:rsid w:val="00C32EA7"/>
    <w:rsid w:val="00C33A7C"/>
    <w:rsid w:val="00C355AB"/>
    <w:rsid w:val="00C36177"/>
    <w:rsid w:val="00C40F1C"/>
    <w:rsid w:val="00C41FBD"/>
    <w:rsid w:val="00C420CB"/>
    <w:rsid w:val="00C445A0"/>
    <w:rsid w:val="00C50298"/>
    <w:rsid w:val="00C502A6"/>
    <w:rsid w:val="00C512E7"/>
    <w:rsid w:val="00C5212C"/>
    <w:rsid w:val="00C524DF"/>
    <w:rsid w:val="00C537B6"/>
    <w:rsid w:val="00C56AD6"/>
    <w:rsid w:val="00C6074D"/>
    <w:rsid w:val="00C626B1"/>
    <w:rsid w:val="00C6357F"/>
    <w:rsid w:val="00C664C3"/>
    <w:rsid w:val="00C669AA"/>
    <w:rsid w:val="00C72052"/>
    <w:rsid w:val="00C743AE"/>
    <w:rsid w:val="00C74DF5"/>
    <w:rsid w:val="00C75E07"/>
    <w:rsid w:val="00C836C5"/>
    <w:rsid w:val="00C84123"/>
    <w:rsid w:val="00C8724D"/>
    <w:rsid w:val="00C94694"/>
    <w:rsid w:val="00C974C2"/>
    <w:rsid w:val="00CA7D68"/>
    <w:rsid w:val="00CB0576"/>
    <w:rsid w:val="00CB1077"/>
    <w:rsid w:val="00CB4F18"/>
    <w:rsid w:val="00CC349D"/>
    <w:rsid w:val="00CC35C3"/>
    <w:rsid w:val="00CC36E4"/>
    <w:rsid w:val="00CC62E8"/>
    <w:rsid w:val="00CC7CC7"/>
    <w:rsid w:val="00CD12E2"/>
    <w:rsid w:val="00CD1496"/>
    <w:rsid w:val="00CD60B7"/>
    <w:rsid w:val="00CD785B"/>
    <w:rsid w:val="00CF03F3"/>
    <w:rsid w:val="00CF21D6"/>
    <w:rsid w:val="00CF41AC"/>
    <w:rsid w:val="00CF4E83"/>
    <w:rsid w:val="00D010D7"/>
    <w:rsid w:val="00D04496"/>
    <w:rsid w:val="00D06192"/>
    <w:rsid w:val="00D0671D"/>
    <w:rsid w:val="00D06A5F"/>
    <w:rsid w:val="00D10531"/>
    <w:rsid w:val="00D11108"/>
    <w:rsid w:val="00D129FF"/>
    <w:rsid w:val="00D158F5"/>
    <w:rsid w:val="00D1782C"/>
    <w:rsid w:val="00D21216"/>
    <w:rsid w:val="00D30348"/>
    <w:rsid w:val="00D35C52"/>
    <w:rsid w:val="00D361DF"/>
    <w:rsid w:val="00D376EB"/>
    <w:rsid w:val="00D37E71"/>
    <w:rsid w:val="00D423DE"/>
    <w:rsid w:val="00D426D1"/>
    <w:rsid w:val="00D50A21"/>
    <w:rsid w:val="00D60E94"/>
    <w:rsid w:val="00D61ACD"/>
    <w:rsid w:val="00D63A00"/>
    <w:rsid w:val="00D64261"/>
    <w:rsid w:val="00D65E30"/>
    <w:rsid w:val="00D73DF5"/>
    <w:rsid w:val="00D746FF"/>
    <w:rsid w:val="00D74986"/>
    <w:rsid w:val="00D74C38"/>
    <w:rsid w:val="00D74D61"/>
    <w:rsid w:val="00D752C0"/>
    <w:rsid w:val="00D767E1"/>
    <w:rsid w:val="00D77F5C"/>
    <w:rsid w:val="00D809B9"/>
    <w:rsid w:val="00D81E2E"/>
    <w:rsid w:val="00D82686"/>
    <w:rsid w:val="00D848CE"/>
    <w:rsid w:val="00D86977"/>
    <w:rsid w:val="00D937BB"/>
    <w:rsid w:val="00D93D23"/>
    <w:rsid w:val="00D9572F"/>
    <w:rsid w:val="00D95857"/>
    <w:rsid w:val="00D97609"/>
    <w:rsid w:val="00DA3FDB"/>
    <w:rsid w:val="00DA698C"/>
    <w:rsid w:val="00DB0A92"/>
    <w:rsid w:val="00DB0B42"/>
    <w:rsid w:val="00DC0DE2"/>
    <w:rsid w:val="00DC49BF"/>
    <w:rsid w:val="00DC7256"/>
    <w:rsid w:val="00DD2B51"/>
    <w:rsid w:val="00DD41E2"/>
    <w:rsid w:val="00DD4C86"/>
    <w:rsid w:val="00DE647A"/>
    <w:rsid w:val="00DF1103"/>
    <w:rsid w:val="00DF4EC2"/>
    <w:rsid w:val="00DF59DF"/>
    <w:rsid w:val="00DF608C"/>
    <w:rsid w:val="00DF63E8"/>
    <w:rsid w:val="00E026FA"/>
    <w:rsid w:val="00E05518"/>
    <w:rsid w:val="00E062C1"/>
    <w:rsid w:val="00E112B2"/>
    <w:rsid w:val="00E16E09"/>
    <w:rsid w:val="00E20FBB"/>
    <w:rsid w:val="00E20FE5"/>
    <w:rsid w:val="00E23414"/>
    <w:rsid w:val="00E2379E"/>
    <w:rsid w:val="00E24D20"/>
    <w:rsid w:val="00E323EA"/>
    <w:rsid w:val="00E33DE4"/>
    <w:rsid w:val="00E423AA"/>
    <w:rsid w:val="00E43333"/>
    <w:rsid w:val="00E43614"/>
    <w:rsid w:val="00E53316"/>
    <w:rsid w:val="00E537D7"/>
    <w:rsid w:val="00E5497D"/>
    <w:rsid w:val="00E55813"/>
    <w:rsid w:val="00E6185C"/>
    <w:rsid w:val="00E61875"/>
    <w:rsid w:val="00E62C42"/>
    <w:rsid w:val="00E64B24"/>
    <w:rsid w:val="00E67035"/>
    <w:rsid w:val="00E76BCA"/>
    <w:rsid w:val="00E81DC0"/>
    <w:rsid w:val="00E82D8B"/>
    <w:rsid w:val="00E82DB0"/>
    <w:rsid w:val="00E84672"/>
    <w:rsid w:val="00E90C9D"/>
    <w:rsid w:val="00E90FC8"/>
    <w:rsid w:val="00E91C99"/>
    <w:rsid w:val="00E93986"/>
    <w:rsid w:val="00E9559B"/>
    <w:rsid w:val="00E97988"/>
    <w:rsid w:val="00EA2CD9"/>
    <w:rsid w:val="00EA39CF"/>
    <w:rsid w:val="00EA3DCE"/>
    <w:rsid w:val="00EA5F54"/>
    <w:rsid w:val="00EA6794"/>
    <w:rsid w:val="00EB0331"/>
    <w:rsid w:val="00EB0953"/>
    <w:rsid w:val="00EB6556"/>
    <w:rsid w:val="00EC0157"/>
    <w:rsid w:val="00EC20BE"/>
    <w:rsid w:val="00EC46B8"/>
    <w:rsid w:val="00EC4F67"/>
    <w:rsid w:val="00EC71E3"/>
    <w:rsid w:val="00ED1A8D"/>
    <w:rsid w:val="00ED1B2F"/>
    <w:rsid w:val="00ED2386"/>
    <w:rsid w:val="00ED28CA"/>
    <w:rsid w:val="00ED4D03"/>
    <w:rsid w:val="00ED575D"/>
    <w:rsid w:val="00ED6069"/>
    <w:rsid w:val="00EE051C"/>
    <w:rsid w:val="00EE0812"/>
    <w:rsid w:val="00EE311A"/>
    <w:rsid w:val="00EE3A32"/>
    <w:rsid w:val="00EE5D86"/>
    <w:rsid w:val="00EE68A9"/>
    <w:rsid w:val="00EF0DCC"/>
    <w:rsid w:val="00EF3D0F"/>
    <w:rsid w:val="00EF4423"/>
    <w:rsid w:val="00F04E06"/>
    <w:rsid w:val="00F111CB"/>
    <w:rsid w:val="00F11A9E"/>
    <w:rsid w:val="00F12DFC"/>
    <w:rsid w:val="00F12EDF"/>
    <w:rsid w:val="00F13F46"/>
    <w:rsid w:val="00F1711E"/>
    <w:rsid w:val="00F17DF2"/>
    <w:rsid w:val="00F20AC3"/>
    <w:rsid w:val="00F21735"/>
    <w:rsid w:val="00F32B7D"/>
    <w:rsid w:val="00F33782"/>
    <w:rsid w:val="00F36A4C"/>
    <w:rsid w:val="00F36D3A"/>
    <w:rsid w:val="00F40065"/>
    <w:rsid w:val="00F40454"/>
    <w:rsid w:val="00F404F4"/>
    <w:rsid w:val="00F43C3D"/>
    <w:rsid w:val="00F45CC1"/>
    <w:rsid w:val="00F5474D"/>
    <w:rsid w:val="00F551F1"/>
    <w:rsid w:val="00F55847"/>
    <w:rsid w:val="00F577FA"/>
    <w:rsid w:val="00F57F42"/>
    <w:rsid w:val="00F60C8D"/>
    <w:rsid w:val="00F663E6"/>
    <w:rsid w:val="00F700B5"/>
    <w:rsid w:val="00F70EF8"/>
    <w:rsid w:val="00F7383B"/>
    <w:rsid w:val="00F7397C"/>
    <w:rsid w:val="00F760A5"/>
    <w:rsid w:val="00F778D5"/>
    <w:rsid w:val="00F81E1C"/>
    <w:rsid w:val="00F82496"/>
    <w:rsid w:val="00F82F54"/>
    <w:rsid w:val="00F853E1"/>
    <w:rsid w:val="00F909BA"/>
    <w:rsid w:val="00F9326C"/>
    <w:rsid w:val="00FA1796"/>
    <w:rsid w:val="00FA4D1C"/>
    <w:rsid w:val="00FA607C"/>
    <w:rsid w:val="00FA76F5"/>
    <w:rsid w:val="00FA7E75"/>
    <w:rsid w:val="00FB4D11"/>
    <w:rsid w:val="00FB7A01"/>
    <w:rsid w:val="00FC02E5"/>
    <w:rsid w:val="00FC2DC9"/>
    <w:rsid w:val="00FC4C64"/>
    <w:rsid w:val="00FC5EBE"/>
    <w:rsid w:val="00FD08A1"/>
    <w:rsid w:val="00FD1236"/>
    <w:rsid w:val="00FD35C2"/>
    <w:rsid w:val="00FD3ABB"/>
    <w:rsid w:val="00FE0EA2"/>
    <w:rsid w:val="00FE2CB1"/>
    <w:rsid w:val="00FF36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A98"/>
  <w15:docId w15:val="{B1D92AB1-0730-423E-ADFB-8527A946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5B"/>
    <w:pPr>
      <w:spacing w:after="0" w:line="240" w:lineRule="auto"/>
    </w:pPr>
    <w:rPr>
      <w:rFonts w:ascii="Times New Roman" w:eastAsia="MS Mincho" w:hAnsi="Times New Roman" w:cs="Times New Roman"/>
      <w:sz w:val="24"/>
      <w:szCs w:val="24"/>
      <w:lang w:val="es-ES_tradnl"/>
    </w:rPr>
  </w:style>
  <w:style w:type="paragraph" w:styleId="Ttulo2">
    <w:name w:val="heading 2"/>
    <w:basedOn w:val="Normal"/>
    <w:next w:val="Normal"/>
    <w:link w:val="Ttulo2Car"/>
    <w:rsid w:val="009638B4"/>
    <w:pPr>
      <w:keepNext/>
      <w:keepLines/>
      <w:suppressAutoHyphens/>
      <w:autoSpaceDN w:val="0"/>
      <w:spacing w:before="40" w:line="251" w:lineRule="auto"/>
      <w:textAlignment w:val="baseline"/>
      <w:outlineLvl w:val="1"/>
    </w:pPr>
    <w:rPr>
      <w:rFonts w:ascii="Calibri Light" w:eastAsia="Times New Roman" w:hAnsi="Calibri Light"/>
      <w:color w:val="2F5496"/>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85B"/>
    <w:pPr>
      <w:tabs>
        <w:tab w:val="center" w:pos="4252"/>
        <w:tab w:val="right" w:pos="8504"/>
      </w:tabs>
    </w:pPr>
  </w:style>
  <w:style w:type="character" w:customStyle="1" w:styleId="EncabezadoCar">
    <w:name w:val="Encabezado Car"/>
    <w:basedOn w:val="Fuentedeprrafopredeter"/>
    <w:link w:val="Encabezado"/>
    <w:uiPriority w:val="99"/>
    <w:rsid w:val="00CD785B"/>
  </w:style>
  <w:style w:type="paragraph" w:styleId="Piedepgina">
    <w:name w:val="footer"/>
    <w:basedOn w:val="Normal"/>
    <w:link w:val="PiedepginaCar"/>
    <w:uiPriority w:val="99"/>
    <w:unhideWhenUsed/>
    <w:rsid w:val="00CD785B"/>
    <w:pPr>
      <w:tabs>
        <w:tab w:val="center" w:pos="4252"/>
        <w:tab w:val="right" w:pos="8504"/>
      </w:tabs>
    </w:pPr>
  </w:style>
  <w:style w:type="character" w:customStyle="1" w:styleId="PiedepginaCar">
    <w:name w:val="Pie de página Car"/>
    <w:basedOn w:val="Fuentedeprrafopredeter"/>
    <w:link w:val="Piedepgina"/>
    <w:uiPriority w:val="99"/>
    <w:rsid w:val="00CD785B"/>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CD785B"/>
    <w:rPr>
      <w:rFonts w:ascii="Verdana" w:hAnsi="Verdana"/>
      <w:sz w:val="16"/>
      <w:vertAlign w:val="superscript"/>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Ca,footnote text,C,ft,FA Fu?notentext"/>
    <w:basedOn w:val="Normal"/>
    <w:link w:val="TextonotapieCar"/>
    <w:qFormat/>
    <w:rsid w:val="00CD785B"/>
    <w:pPr>
      <w:widowControl w:val="0"/>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A Fu Car Car1,FA Fu Car Car Car,Footnote Text Cha Car,FA Fußnotentext Car,Ca Car"/>
    <w:basedOn w:val="Fuentedeprrafopredeter"/>
    <w:link w:val="Textonotapie"/>
    <w:qFormat/>
    <w:rsid w:val="00CD785B"/>
    <w:rPr>
      <w:rFonts w:ascii="Times New Roman" w:eastAsia="MS Mincho" w:hAnsi="Times New Roman" w:cs="Times New Roman"/>
      <w:sz w:val="20"/>
      <w:szCs w:val="20"/>
      <w:lang w:val="es-ES_tradnl"/>
    </w:rPr>
  </w:style>
  <w:style w:type="character" w:styleId="Hipervnculo">
    <w:name w:val="Hyperlink"/>
    <w:uiPriority w:val="99"/>
    <w:unhideWhenUsed/>
    <w:rsid w:val="00CD785B"/>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785B"/>
    <w:pPr>
      <w:jc w:val="both"/>
    </w:pPr>
    <w:rPr>
      <w:rFonts w:ascii="Verdana" w:eastAsiaTheme="minorHAnsi" w:hAnsi="Verdana" w:cstheme="minorBidi"/>
      <w:sz w:val="16"/>
      <w:szCs w:val="22"/>
      <w:vertAlign w:val="superscript"/>
      <w:lang w:val="es-ES"/>
    </w:rPr>
  </w:style>
  <w:style w:type="paragraph" w:styleId="Prrafodelista">
    <w:name w:val="List Paragraph"/>
    <w:aliases w:val="Footnote,List Paragraph1,Colorful List - Accent 11,Párrafo de lista1"/>
    <w:basedOn w:val="Normal"/>
    <w:link w:val="PrrafodelistaCar"/>
    <w:uiPriority w:val="34"/>
    <w:qFormat/>
    <w:rsid w:val="00CD785B"/>
    <w:pPr>
      <w:spacing w:after="200" w:line="276" w:lineRule="auto"/>
      <w:ind w:left="720"/>
      <w:contextualSpacing/>
    </w:pPr>
    <w:rPr>
      <w:rFonts w:asciiTheme="minorHAnsi" w:eastAsiaTheme="minorHAnsi" w:hAnsiTheme="minorHAnsi" w:cstheme="minorBidi"/>
      <w:sz w:val="22"/>
      <w:szCs w:val="22"/>
      <w:lang w:val="en-US"/>
    </w:rPr>
  </w:style>
  <w:style w:type="character" w:styleId="Textoennegrita">
    <w:name w:val="Strong"/>
    <w:basedOn w:val="Fuentedeprrafopredeter"/>
    <w:uiPriority w:val="22"/>
    <w:qFormat/>
    <w:rsid w:val="00CD785B"/>
    <w:rPr>
      <w:b/>
      <w:bCs/>
    </w:rPr>
  </w:style>
  <w:style w:type="character" w:customStyle="1" w:styleId="PrrafodelistaCar">
    <w:name w:val="Párrafo de lista Car"/>
    <w:aliases w:val="Footnote Car,List Paragraph1 Car,Colorful List - Accent 11 Car,Párrafo de lista1 Car"/>
    <w:link w:val="Prrafodelista"/>
    <w:uiPriority w:val="34"/>
    <w:locked/>
    <w:rsid w:val="00CD785B"/>
    <w:rPr>
      <w:lang w:val="en-US"/>
    </w:rPr>
  </w:style>
  <w:style w:type="paragraph" w:styleId="Textodeglobo">
    <w:name w:val="Balloon Text"/>
    <w:basedOn w:val="Normal"/>
    <w:link w:val="TextodegloboCar"/>
    <w:uiPriority w:val="99"/>
    <w:semiHidden/>
    <w:unhideWhenUsed/>
    <w:rsid w:val="00CD7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85B"/>
    <w:rPr>
      <w:rFonts w:ascii="Segoe UI" w:eastAsia="MS Mincho" w:hAnsi="Segoe UI" w:cs="Segoe UI"/>
      <w:sz w:val="18"/>
      <w:szCs w:val="18"/>
      <w:lang w:val="es-ES_tradnl"/>
    </w:rPr>
  </w:style>
  <w:style w:type="character" w:styleId="Refdecomentario">
    <w:name w:val="annotation reference"/>
    <w:basedOn w:val="Fuentedeprrafopredeter"/>
    <w:uiPriority w:val="99"/>
    <w:semiHidden/>
    <w:unhideWhenUsed/>
    <w:rsid w:val="00CD785B"/>
    <w:rPr>
      <w:sz w:val="16"/>
      <w:szCs w:val="16"/>
    </w:rPr>
  </w:style>
  <w:style w:type="paragraph" w:styleId="Textocomentario">
    <w:name w:val="annotation text"/>
    <w:basedOn w:val="Normal"/>
    <w:link w:val="TextocomentarioCar"/>
    <w:uiPriority w:val="99"/>
    <w:unhideWhenUsed/>
    <w:rsid w:val="00CD785B"/>
    <w:rPr>
      <w:sz w:val="20"/>
      <w:szCs w:val="20"/>
    </w:rPr>
  </w:style>
  <w:style w:type="character" w:customStyle="1" w:styleId="TextocomentarioCar">
    <w:name w:val="Texto comentario Car"/>
    <w:basedOn w:val="Fuentedeprrafopredeter"/>
    <w:link w:val="Textocomentario"/>
    <w:uiPriority w:val="99"/>
    <w:rsid w:val="00CD785B"/>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D785B"/>
    <w:rPr>
      <w:b/>
      <w:bCs/>
    </w:rPr>
  </w:style>
  <w:style w:type="character" w:customStyle="1" w:styleId="AsuntodelcomentarioCar">
    <w:name w:val="Asunto del comentario Car"/>
    <w:basedOn w:val="TextocomentarioCar"/>
    <w:link w:val="Asuntodelcomentario"/>
    <w:uiPriority w:val="99"/>
    <w:semiHidden/>
    <w:rsid w:val="00CD785B"/>
    <w:rPr>
      <w:rFonts w:ascii="Times New Roman" w:eastAsia="MS Mincho" w:hAnsi="Times New Roman" w:cs="Times New Roman"/>
      <w:b/>
      <w:bCs/>
      <w:sz w:val="20"/>
      <w:szCs w:val="20"/>
      <w:lang w:val="es-ES_tradnl"/>
    </w:rPr>
  </w:style>
  <w:style w:type="paragraph" w:styleId="Textoindependiente">
    <w:name w:val="Body Text"/>
    <w:basedOn w:val="Normal"/>
    <w:link w:val="TextoindependienteCar"/>
    <w:rsid w:val="007056C3"/>
    <w:pPr>
      <w:spacing w:after="120"/>
    </w:pPr>
    <w:rPr>
      <w:rFonts w:ascii="Times" w:eastAsia="Times" w:hAnsi="Times"/>
      <w:szCs w:val="20"/>
    </w:rPr>
  </w:style>
  <w:style w:type="character" w:customStyle="1" w:styleId="TextoindependienteCar">
    <w:name w:val="Texto independiente Car"/>
    <w:basedOn w:val="Fuentedeprrafopredeter"/>
    <w:link w:val="Textoindependiente"/>
    <w:rsid w:val="007056C3"/>
    <w:rPr>
      <w:rFonts w:ascii="Times" w:eastAsia="Times" w:hAnsi="Times" w:cs="Times New Roman"/>
      <w:sz w:val="24"/>
      <w:szCs w:val="20"/>
      <w:lang w:val="es-ES_tradnl"/>
    </w:rPr>
  </w:style>
  <w:style w:type="paragraph" w:customStyle="1" w:styleId="Default">
    <w:name w:val="Default"/>
    <w:rsid w:val="00AD51AA"/>
    <w:pPr>
      <w:autoSpaceDE w:val="0"/>
      <w:autoSpaceDN w:val="0"/>
      <w:adjustRightInd w:val="0"/>
      <w:spacing w:after="0" w:line="240" w:lineRule="auto"/>
    </w:pPr>
    <w:rPr>
      <w:rFonts w:ascii="Arial" w:hAnsi="Arial" w:cs="Arial"/>
      <w:color w:val="000000"/>
      <w:sz w:val="24"/>
      <w:szCs w:val="24"/>
      <w:lang w:val="es-CR"/>
    </w:rPr>
  </w:style>
  <w:style w:type="character" w:customStyle="1" w:styleId="Fuentedeprrafopredeter1">
    <w:name w:val="Fuente de párrafo predeter.1"/>
    <w:rsid w:val="000A0728"/>
  </w:style>
  <w:style w:type="paragraph" w:customStyle="1" w:styleId="Textocomentario1">
    <w:name w:val="Texto comentario1"/>
    <w:basedOn w:val="Normal"/>
    <w:rsid w:val="000A0728"/>
    <w:pPr>
      <w:suppressAutoHyphens/>
      <w:autoSpaceDN w:val="0"/>
      <w:textAlignment w:val="baseline"/>
    </w:pPr>
    <w:rPr>
      <w:sz w:val="20"/>
      <w:szCs w:val="20"/>
    </w:rPr>
  </w:style>
  <w:style w:type="character" w:customStyle="1" w:styleId="Refdecomentario1">
    <w:name w:val="Ref. de comentario1"/>
    <w:basedOn w:val="Fuentedeprrafopredeter1"/>
    <w:rsid w:val="000A0728"/>
    <w:rPr>
      <w:sz w:val="16"/>
      <w:szCs w:val="16"/>
    </w:rPr>
  </w:style>
  <w:style w:type="paragraph" w:customStyle="1" w:styleId="Textonotapie1">
    <w:name w:val="Texto nota pie1"/>
    <w:basedOn w:val="Normal"/>
    <w:rsid w:val="000A0728"/>
    <w:pPr>
      <w:widowControl w:val="0"/>
      <w:suppressAutoHyphens/>
      <w:autoSpaceDN w:val="0"/>
      <w:textAlignment w:val="baseline"/>
    </w:pPr>
    <w:rPr>
      <w:sz w:val="20"/>
      <w:szCs w:val="20"/>
    </w:rPr>
  </w:style>
  <w:style w:type="character" w:customStyle="1" w:styleId="Refdenotaalpie1">
    <w:name w:val="Ref. de nota al pie1"/>
    <w:rsid w:val="000A0728"/>
    <w:rPr>
      <w:rFonts w:ascii="Verdana" w:hAnsi="Verdana"/>
      <w:position w:val="0"/>
      <w:sz w:val="16"/>
      <w:vertAlign w:val="superscript"/>
    </w:rPr>
  </w:style>
  <w:style w:type="character" w:styleId="Nmerodelnea">
    <w:name w:val="line number"/>
    <w:basedOn w:val="Fuentedeprrafopredeter"/>
    <w:uiPriority w:val="99"/>
    <w:semiHidden/>
    <w:unhideWhenUsed/>
    <w:rsid w:val="00F12EDF"/>
  </w:style>
  <w:style w:type="character" w:customStyle="1" w:styleId="CharAttribute1">
    <w:name w:val="CharAttribute1"/>
    <w:rsid w:val="009849CC"/>
    <w:rPr>
      <w:rFonts w:ascii="Verdana" w:eastAsia="Verdana" w:hAnsi="Verdana"/>
      <w:b/>
    </w:rPr>
  </w:style>
  <w:style w:type="paragraph" w:styleId="Textosinformato">
    <w:name w:val="Plain Text"/>
    <w:basedOn w:val="Normal"/>
    <w:link w:val="TextosinformatoCar"/>
    <w:uiPriority w:val="99"/>
    <w:semiHidden/>
    <w:unhideWhenUsed/>
    <w:rsid w:val="009849CC"/>
    <w:rPr>
      <w:rFonts w:ascii="Consolas" w:eastAsia="Calibri" w:hAnsi="Consolas"/>
      <w:sz w:val="21"/>
      <w:szCs w:val="21"/>
      <w:lang w:val="x-none" w:eastAsia="x-none"/>
    </w:rPr>
  </w:style>
  <w:style w:type="character" w:customStyle="1" w:styleId="TextosinformatoCar">
    <w:name w:val="Texto sin formato Car"/>
    <w:basedOn w:val="Fuentedeprrafopredeter"/>
    <w:link w:val="Textosinformato"/>
    <w:uiPriority w:val="99"/>
    <w:semiHidden/>
    <w:rsid w:val="009849CC"/>
    <w:rPr>
      <w:rFonts w:ascii="Consolas" w:eastAsia="Calibri" w:hAnsi="Consolas" w:cs="Times New Roman"/>
      <w:sz w:val="21"/>
      <w:szCs w:val="21"/>
      <w:lang w:val="x-none" w:eastAsia="x-none"/>
    </w:rPr>
  </w:style>
  <w:style w:type="character" w:customStyle="1" w:styleId="Ttulo2Car">
    <w:name w:val="Título 2 Car"/>
    <w:basedOn w:val="Fuentedeprrafopredeter"/>
    <w:link w:val="Ttulo2"/>
    <w:rsid w:val="009638B4"/>
    <w:rPr>
      <w:rFonts w:ascii="Calibri Light" w:eastAsia="Times New Roman" w:hAnsi="Calibri Light" w:cs="Times New Roman"/>
      <w:color w:val="2F5496"/>
      <w:sz w:val="26"/>
      <w:szCs w:val="26"/>
    </w:rPr>
  </w:style>
  <w:style w:type="paragraph" w:styleId="NormalWeb">
    <w:name w:val="Normal (Web)"/>
    <w:basedOn w:val="Normal"/>
    <w:uiPriority w:val="99"/>
    <w:semiHidden/>
    <w:unhideWhenUsed/>
    <w:rsid w:val="003358C9"/>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679">
      <w:bodyDiv w:val="1"/>
      <w:marLeft w:val="0"/>
      <w:marRight w:val="0"/>
      <w:marTop w:val="0"/>
      <w:marBottom w:val="0"/>
      <w:divBdr>
        <w:top w:val="none" w:sz="0" w:space="0" w:color="auto"/>
        <w:left w:val="none" w:sz="0" w:space="0" w:color="auto"/>
        <w:bottom w:val="none" w:sz="0" w:space="0" w:color="auto"/>
        <w:right w:val="none" w:sz="0" w:space="0" w:color="auto"/>
      </w:divBdr>
    </w:div>
    <w:div w:id="136773871">
      <w:bodyDiv w:val="1"/>
      <w:marLeft w:val="0"/>
      <w:marRight w:val="0"/>
      <w:marTop w:val="0"/>
      <w:marBottom w:val="0"/>
      <w:divBdr>
        <w:top w:val="none" w:sz="0" w:space="0" w:color="auto"/>
        <w:left w:val="none" w:sz="0" w:space="0" w:color="auto"/>
        <w:bottom w:val="none" w:sz="0" w:space="0" w:color="auto"/>
        <w:right w:val="none" w:sz="0" w:space="0" w:color="auto"/>
      </w:divBdr>
    </w:div>
    <w:div w:id="322124009">
      <w:bodyDiv w:val="1"/>
      <w:marLeft w:val="0"/>
      <w:marRight w:val="0"/>
      <w:marTop w:val="0"/>
      <w:marBottom w:val="0"/>
      <w:divBdr>
        <w:top w:val="none" w:sz="0" w:space="0" w:color="auto"/>
        <w:left w:val="none" w:sz="0" w:space="0" w:color="auto"/>
        <w:bottom w:val="none" w:sz="0" w:space="0" w:color="auto"/>
        <w:right w:val="none" w:sz="0" w:space="0" w:color="auto"/>
      </w:divBdr>
    </w:div>
    <w:div w:id="426120774">
      <w:bodyDiv w:val="1"/>
      <w:marLeft w:val="0"/>
      <w:marRight w:val="0"/>
      <w:marTop w:val="0"/>
      <w:marBottom w:val="0"/>
      <w:divBdr>
        <w:top w:val="none" w:sz="0" w:space="0" w:color="auto"/>
        <w:left w:val="none" w:sz="0" w:space="0" w:color="auto"/>
        <w:bottom w:val="none" w:sz="0" w:space="0" w:color="auto"/>
        <w:right w:val="none" w:sz="0" w:space="0" w:color="auto"/>
      </w:divBdr>
    </w:div>
    <w:div w:id="538323403">
      <w:bodyDiv w:val="1"/>
      <w:marLeft w:val="0"/>
      <w:marRight w:val="0"/>
      <w:marTop w:val="0"/>
      <w:marBottom w:val="0"/>
      <w:divBdr>
        <w:top w:val="none" w:sz="0" w:space="0" w:color="auto"/>
        <w:left w:val="none" w:sz="0" w:space="0" w:color="auto"/>
        <w:bottom w:val="none" w:sz="0" w:space="0" w:color="auto"/>
        <w:right w:val="none" w:sz="0" w:space="0" w:color="auto"/>
      </w:divBdr>
    </w:div>
    <w:div w:id="581524905">
      <w:bodyDiv w:val="1"/>
      <w:marLeft w:val="0"/>
      <w:marRight w:val="0"/>
      <w:marTop w:val="0"/>
      <w:marBottom w:val="0"/>
      <w:divBdr>
        <w:top w:val="none" w:sz="0" w:space="0" w:color="auto"/>
        <w:left w:val="none" w:sz="0" w:space="0" w:color="auto"/>
        <w:bottom w:val="none" w:sz="0" w:space="0" w:color="auto"/>
        <w:right w:val="none" w:sz="0" w:space="0" w:color="auto"/>
      </w:divBdr>
    </w:div>
    <w:div w:id="596792071">
      <w:bodyDiv w:val="1"/>
      <w:marLeft w:val="0"/>
      <w:marRight w:val="0"/>
      <w:marTop w:val="0"/>
      <w:marBottom w:val="0"/>
      <w:divBdr>
        <w:top w:val="none" w:sz="0" w:space="0" w:color="auto"/>
        <w:left w:val="none" w:sz="0" w:space="0" w:color="auto"/>
        <w:bottom w:val="none" w:sz="0" w:space="0" w:color="auto"/>
        <w:right w:val="none" w:sz="0" w:space="0" w:color="auto"/>
      </w:divBdr>
    </w:div>
    <w:div w:id="678001472">
      <w:bodyDiv w:val="1"/>
      <w:marLeft w:val="0"/>
      <w:marRight w:val="0"/>
      <w:marTop w:val="0"/>
      <w:marBottom w:val="0"/>
      <w:divBdr>
        <w:top w:val="none" w:sz="0" w:space="0" w:color="auto"/>
        <w:left w:val="none" w:sz="0" w:space="0" w:color="auto"/>
        <w:bottom w:val="none" w:sz="0" w:space="0" w:color="auto"/>
        <w:right w:val="none" w:sz="0" w:space="0" w:color="auto"/>
      </w:divBdr>
    </w:div>
    <w:div w:id="874537099">
      <w:bodyDiv w:val="1"/>
      <w:marLeft w:val="0"/>
      <w:marRight w:val="0"/>
      <w:marTop w:val="0"/>
      <w:marBottom w:val="0"/>
      <w:divBdr>
        <w:top w:val="none" w:sz="0" w:space="0" w:color="auto"/>
        <w:left w:val="none" w:sz="0" w:space="0" w:color="auto"/>
        <w:bottom w:val="none" w:sz="0" w:space="0" w:color="auto"/>
        <w:right w:val="none" w:sz="0" w:space="0" w:color="auto"/>
      </w:divBdr>
      <w:divsChild>
        <w:div w:id="2069453541">
          <w:marLeft w:val="0"/>
          <w:marRight w:val="0"/>
          <w:marTop w:val="0"/>
          <w:marBottom w:val="0"/>
          <w:divBdr>
            <w:top w:val="none" w:sz="0" w:space="0" w:color="auto"/>
            <w:left w:val="none" w:sz="0" w:space="0" w:color="auto"/>
            <w:bottom w:val="none" w:sz="0" w:space="0" w:color="auto"/>
            <w:right w:val="none" w:sz="0" w:space="0" w:color="auto"/>
          </w:divBdr>
          <w:divsChild>
            <w:div w:id="402024108">
              <w:marLeft w:val="0"/>
              <w:marRight w:val="0"/>
              <w:marTop w:val="0"/>
              <w:marBottom w:val="0"/>
              <w:divBdr>
                <w:top w:val="none" w:sz="0" w:space="0" w:color="auto"/>
                <w:left w:val="none" w:sz="0" w:space="0" w:color="auto"/>
                <w:bottom w:val="none" w:sz="0" w:space="0" w:color="auto"/>
                <w:right w:val="none" w:sz="0" w:space="0" w:color="auto"/>
              </w:divBdr>
              <w:divsChild>
                <w:div w:id="15920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8823">
      <w:bodyDiv w:val="1"/>
      <w:marLeft w:val="0"/>
      <w:marRight w:val="0"/>
      <w:marTop w:val="0"/>
      <w:marBottom w:val="0"/>
      <w:divBdr>
        <w:top w:val="none" w:sz="0" w:space="0" w:color="auto"/>
        <w:left w:val="none" w:sz="0" w:space="0" w:color="auto"/>
        <w:bottom w:val="none" w:sz="0" w:space="0" w:color="auto"/>
        <w:right w:val="none" w:sz="0" w:space="0" w:color="auto"/>
      </w:divBdr>
    </w:div>
    <w:div w:id="947274965">
      <w:bodyDiv w:val="1"/>
      <w:marLeft w:val="0"/>
      <w:marRight w:val="0"/>
      <w:marTop w:val="0"/>
      <w:marBottom w:val="0"/>
      <w:divBdr>
        <w:top w:val="none" w:sz="0" w:space="0" w:color="auto"/>
        <w:left w:val="none" w:sz="0" w:space="0" w:color="auto"/>
        <w:bottom w:val="none" w:sz="0" w:space="0" w:color="auto"/>
        <w:right w:val="none" w:sz="0" w:space="0" w:color="auto"/>
      </w:divBdr>
    </w:div>
    <w:div w:id="957224702">
      <w:bodyDiv w:val="1"/>
      <w:marLeft w:val="0"/>
      <w:marRight w:val="0"/>
      <w:marTop w:val="0"/>
      <w:marBottom w:val="0"/>
      <w:divBdr>
        <w:top w:val="none" w:sz="0" w:space="0" w:color="auto"/>
        <w:left w:val="none" w:sz="0" w:space="0" w:color="auto"/>
        <w:bottom w:val="none" w:sz="0" w:space="0" w:color="auto"/>
        <w:right w:val="none" w:sz="0" w:space="0" w:color="auto"/>
      </w:divBdr>
    </w:div>
    <w:div w:id="1100296721">
      <w:bodyDiv w:val="1"/>
      <w:marLeft w:val="0"/>
      <w:marRight w:val="0"/>
      <w:marTop w:val="0"/>
      <w:marBottom w:val="0"/>
      <w:divBdr>
        <w:top w:val="none" w:sz="0" w:space="0" w:color="auto"/>
        <w:left w:val="none" w:sz="0" w:space="0" w:color="auto"/>
        <w:bottom w:val="none" w:sz="0" w:space="0" w:color="auto"/>
        <w:right w:val="none" w:sz="0" w:space="0" w:color="auto"/>
      </w:divBdr>
      <w:divsChild>
        <w:div w:id="1141311470">
          <w:marLeft w:val="0"/>
          <w:marRight w:val="0"/>
          <w:marTop w:val="0"/>
          <w:marBottom w:val="0"/>
          <w:divBdr>
            <w:top w:val="none" w:sz="0" w:space="0" w:color="auto"/>
            <w:left w:val="none" w:sz="0" w:space="0" w:color="auto"/>
            <w:bottom w:val="none" w:sz="0" w:space="0" w:color="auto"/>
            <w:right w:val="none" w:sz="0" w:space="0" w:color="auto"/>
          </w:divBdr>
          <w:divsChild>
            <w:div w:id="185217132">
              <w:marLeft w:val="0"/>
              <w:marRight w:val="0"/>
              <w:marTop w:val="0"/>
              <w:marBottom w:val="0"/>
              <w:divBdr>
                <w:top w:val="none" w:sz="0" w:space="0" w:color="auto"/>
                <w:left w:val="none" w:sz="0" w:space="0" w:color="auto"/>
                <w:bottom w:val="none" w:sz="0" w:space="0" w:color="auto"/>
                <w:right w:val="none" w:sz="0" w:space="0" w:color="auto"/>
              </w:divBdr>
              <w:divsChild>
                <w:div w:id="12907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2537">
      <w:bodyDiv w:val="1"/>
      <w:marLeft w:val="0"/>
      <w:marRight w:val="0"/>
      <w:marTop w:val="0"/>
      <w:marBottom w:val="0"/>
      <w:divBdr>
        <w:top w:val="none" w:sz="0" w:space="0" w:color="auto"/>
        <w:left w:val="none" w:sz="0" w:space="0" w:color="auto"/>
        <w:bottom w:val="none" w:sz="0" w:space="0" w:color="auto"/>
        <w:right w:val="none" w:sz="0" w:space="0" w:color="auto"/>
      </w:divBdr>
    </w:div>
    <w:div w:id="1494682445">
      <w:bodyDiv w:val="1"/>
      <w:marLeft w:val="0"/>
      <w:marRight w:val="0"/>
      <w:marTop w:val="0"/>
      <w:marBottom w:val="0"/>
      <w:divBdr>
        <w:top w:val="none" w:sz="0" w:space="0" w:color="auto"/>
        <w:left w:val="none" w:sz="0" w:space="0" w:color="auto"/>
        <w:bottom w:val="none" w:sz="0" w:space="0" w:color="auto"/>
        <w:right w:val="none" w:sz="0" w:space="0" w:color="auto"/>
      </w:divBdr>
      <w:divsChild>
        <w:div w:id="670331898">
          <w:marLeft w:val="0"/>
          <w:marRight w:val="0"/>
          <w:marTop w:val="0"/>
          <w:marBottom w:val="0"/>
          <w:divBdr>
            <w:top w:val="none" w:sz="0" w:space="0" w:color="auto"/>
            <w:left w:val="none" w:sz="0" w:space="0" w:color="auto"/>
            <w:bottom w:val="none" w:sz="0" w:space="0" w:color="auto"/>
            <w:right w:val="none" w:sz="0" w:space="0" w:color="auto"/>
          </w:divBdr>
          <w:divsChild>
            <w:div w:id="594634106">
              <w:marLeft w:val="0"/>
              <w:marRight w:val="0"/>
              <w:marTop w:val="0"/>
              <w:marBottom w:val="0"/>
              <w:divBdr>
                <w:top w:val="none" w:sz="0" w:space="0" w:color="auto"/>
                <w:left w:val="none" w:sz="0" w:space="0" w:color="auto"/>
                <w:bottom w:val="none" w:sz="0" w:space="0" w:color="auto"/>
                <w:right w:val="none" w:sz="0" w:space="0" w:color="auto"/>
              </w:divBdr>
              <w:divsChild>
                <w:div w:id="11166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7521">
      <w:bodyDiv w:val="1"/>
      <w:marLeft w:val="0"/>
      <w:marRight w:val="0"/>
      <w:marTop w:val="0"/>
      <w:marBottom w:val="0"/>
      <w:divBdr>
        <w:top w:val="none" w:sz="0" w:space="0" w:color="auto"/>
        <w:left w:val="none" w:sz="0" w:space="0" w:color="auto"/>
        <w:bottom w:val="none" w:sz="0" w:space="0" w:color="auto"/>
        <w:right w:val="none" w:sz="0" w:space="0" w:color="auto"/>
      </w:divBdr>
    </w:div>
    <w:div w:id="1863398499">
      <w:bodyDiv w:val="1"/>
      <w:marLeft w:val="0"/>
      <w:marRight w:val="0"/>
      <w:marTop w:val="0"/>
      <w:marBottom w:val="0"/>
      <w:divBdr>
        <w:top w:val="none" w:sz="0" w:space="0" w:color="auto"/>
        <w:left w:val="none" w:sz="0" w:space="0" w:color="auto"/>
        <w:bottom w:val="none" w:sz="0" w:space="0" w:color="auto"/>
        <w:right w:val="none" w:sz="0" w:space="0" w:color="auto"/>
      </w:divBdr>
    </w:div>
    <w:div w:id="1884557210">
      <w:bodyDiv w:val="1"/>
      <w:marLeft w:val="0"/>
      <w:marRight w:val="0"/>
      <w:marTop w:val="0"/>
      <w:marBottom w:val="0"/>
      <w:divBdr>
        <w:top w:val="none" w:sz="0" w:space="0" w:color="auto"/>
        <w:left w:val="none" w:sz="0" w:space="0" w:color="auto"/>
        <w:bottom w:val="none" w:sz="0" w:space="0" w:color="auto"/>
        <w:right w:val="none" w:sz="0" w:space="0" w:color="auto"/>
      </w:divBdr>
    </w:div>
    <w:div w:id="1904682670">
      <w:bodyDiv w:val="1"/>
      <w:marLeft w:val="0"/>
      <w:marRight w:val="0"/>
      <w:marTop w:val="0"/>
      <w:marBottom w:val="0"/>
      <w:divBdr>
        <w:top w:val="none" w:sz="0" w:space="0" w:color="auto"/>
        <w:left w:val="none" w:sz="0" w:space="0" w:color="auto"/>
        <w:bottom w:val="none" w:sz="0" w:space="0" w:color="auto"/>
        <w:right w:val="none" w:sz="0" w:space="0" w:color="auto"/>
      </w:divBdr>
    </w:div>
    <w:div w:id="1935817053">
      <w:bodyDiv w:val="1"/>
      <w:marLeft w:val="0"/>
      <w:marRight w:val="0"/>
      <w:marTop w:val="0"/>
      <w:marBottom w:val="0"/>
      <w:divBdr>
        <w:top w:val="none" w:sz="0" w:space="0" w:color="auto"/>
        <w:left w:val="none" w:sz="0" w:space="0" w:color="auto"/>
        <w:bottom w:val="none" w:sz="0" w:space="0" w:color="auto"/>
        <w:right w:val="none" w:sz="0" w:space="0" w:color="auto"/>
      </w:divBdr>
      <w:divsChild>
        <w:div w:id="715084525">
          <w:marLeft w:val="0"/>
          <w:marRight w:val="0"/>
          <w:marTop w:val="0"/>
          <w:marBottom w:val="0"/>
          <w:divBdr>
            <w:top w:val="none" w:sz="0" w:space="0" w:color="auto"/>
            <w:left w:val="none" w:sz="0" w:space="0" w:color="auto"/>
            <w:bottom w:val="none" w:sz="0" w:space="0" w:color="auto"/>
            <w:right w:val="none" w:sz="0" w:space="0" w:color="auto"/>
          </w:divBdr>
          <w:divsChild>
            <w:div w:id="960720791">
              <w:marLeft w:val="0"/>
              <w:marRight w:val="0"/>
              <w:marTop w:val="0"/>
              <w:marBottom w:val="0"/>
              <w:divBdr>
                <w:top w:val="none" w:sz="0" w:space="0" w:color="auto"/>
                <w:left w:val="none" w:sz="0" w:space="0" w:color="auto"/>
                <w:bottom w:val="none" w:sz="0" w:space="0" w:color="auto"/>
                <w:right w:val="none" w:sz="0" w:space="0" w:color="auto"/>
              </w:divBdr>
              <w:divsChild>
                <w:div w:id="617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988">
      <w:bodyDiv w:val="1"/>
      <w:marLeft w:val="0"/>
      <w:marRight w:val="0"/>
      <w:marTop w:val="0"/>
      <w:marBottom w:val="0"/>
      <w:divBdr>
        <w:top w:val="none" w:sz="0" w:space="0" w:color="auto"/>
        <w:left w:val="none" w:sz="0" w:space="0" w:color="auto"/>
        <w:bottom w:val="none" w:sz="0" w:space="0" w:color="auto"/>
        <w:right w:val="none" w:sz="0" w:space="0" w:color="auto"/>
      </w:divBdr>
      <w:divsChild>
        <w:div w:id="150026460">
          <w:marLeft w:val="0"/>
          <w:marRight w:val="0"/>
          <w:marTop w:val="0"/>
          <w:marBottom w:val="0"/>
          <w:divBdr>
            <w:top w:val="none" w:sz="0" w:space="0" w:color="auto"/>
            <w:left w:val="none" w:sz="0" w:space="0" w:color="auto"/>
            <w:bottom w:val="none" w:sz="0" w:space="0" w:color="auto"/>
            <w:right w:val="none" w:sz="0" w:space="0" w:color="auto"/>
          </w:divBdr>
          <w:divsChild>
            <w:div w:id="627784695">
              <w:marLeft w:val="0"/>
              <w:marRight w:val="0"/>
              <w:marTop w:val="0"/>
              <w:marBottom w:val="0"/>
              <w:divBdr>
                <w:top w:val="none" w:sz="0" w:space="0" w:color="auto"/>
                <w:left w:val="none" w:sz="0" w:space="0" w:color="auto"/>
                <w:bottom w:val="none" w:sz="0" w:space="0" w:color="auto"/>
                <w:right w:val="none" w:sz="0" w:space="0" w:color="auto"/>
              </w:divBdr>
              <w:divsChild>
                <w:div w:id="17420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crc.org/es/download/file/114942/respuesta_de_salud_covid19.pdf" TargetMode="External"/><Relationship Id="rId13" Type="http://schemas.openxmlformats.org/officeDocument/2006/relationships/hyperlink" Target="https://espanol.cdc.gov/coronavirus/2019-ncov/need-extra-precautions/older-adults.html" TargetMode="External"/><Relationship Id="rId3" Type="http://schemas.openxmlformats.org/officeDocument/2006/relationships/hyperlink" Target="http://www.corteidh.or.cr/supervision_de_cumplimiento.cfm" TargetMode="External"/><Relationship Id="rId7" Type="http://schemas.openxmlformats.org/officeDocument/2006/relationships/hyperlink" Target="https://www.ilanud.or.cr/wp-content/uploads/2020/04/ILANUD-COVID-19.pdf" TargetMode="External"/><Relationship Id="rId12" Type="http://schemas.openxmlformats.org/officeDocument/2006/relationships/hyperlink" Target="https://www.icrc.org/es/download/file/114942/respuesta_de_salud_covid19.pdf" TargetMode="External"/><Relationship Id="rId2" Type="http://schemas.openxmlformats.org/officeDocument/2006/relationships/hyperlink" Target="http://www.corteidh.or.cr/docs/casos/articulos/seriec_181_esp.pdf" TargetMode="External"/><Relationship Id="rId1" Type="http://schemas.openxmlformats.org/officeDocument/2006/relationships/hyperlink" Target="http://www.corteidh.or.cr/docs/casos/articulos/seriec_160_esp.pdf" TargetMode="External"/><Relationship Id="rId6" Type="http://schemas.openxmlformats.org/officeDocument/2006/relationships/hyperlink" Target="https://www.ohchr.org/SP/Issues/TruthJusticeReparation/Pages/Index.aspx" TargetMode="External"/><Relationship Id="rId11" Type="http://schemas.openxmlformats.org/officeDocument/2006/relationships/hyperlink" Target="https://www.ilanud.or.cr/wp-content/uploads/2020/04/ILANUD-COVID-19.pdf" TargetMode="External"/><Relationship Id="rId5" Type="http://schemas.openxmlformats.org/officeDocument/2006/relationships/hyperlink" Target="https://www.icrc.org/es/download/file/114942/respuesta_de_salud_covid19.pdf" TargetMode="External"/><Relationship Id="rId10" Type="http://schemas.openxmlformats.org/officeDocument/2006/relationships/hyperlink" Target="https://www.who.int/westernpacific/emergencies/covid-19/information/high-risk-groups" TargetMode="External"/><Relationship Id="rId4" Type="http://schemas.openxmlformats.org/officeDocument/2006/relationships/hyperlink" Target="https://www.ilanud.or.cr/wp-content/uploads/2020/04/ILANUD-COVID-19.pdf" TargetMode="External"/><Relationship Id="rId9" Type="http://schemas.openxmlformats.org/officeDocument/2006/relationships/hyperlink" Target="https://espanol.cdc.gov/coronavirus/2019-ncov/need-extra-precautions/older-adults.html" TargetMode="External"/><Relationship Id="rId14" Type="http://schemas.openxmlformats.org/officeDocument/2006/relationships/hyperlink" Target="https://www.who.int/westernpacific/emergencies/covid-19/information/high-risk-group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13F9-D89A-468E-BA49-9F3DDF1F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18043</Words>
  <Characters>99239</Characters>
  <Application>Microsoft Office Word</Application>
  <DocSecurity>0</DocSecurity>
  <Lines>826</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Ana Rita Ramirez</cp:lastModifiedBy>
  <cp:revision>2</cp:revision>
  <dcterms:created xsi:type="dcterms:W3CDTF">2020-08-05T00:12:00Z</dcterms:created>
  <dcterms:modified xsi:type="dcterms:W3CDTF">2020-08-05T00:12:00Z</dcterms:modified>
</cp:coreProperties>
</file>