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BE2F9" w14:textId="77777777" w:rsidR="00230F09" w:rsidRPr="0044055D" w:rsidRDefault="00230F09" w:rsidP="00EF6FFC">
      <w:pPr>
        <w:spacing w:after="0" w:line="240" w:lineRule="auto"/>
      </w:pPr>
    </w:p>
    <w:p w14:paraId="346F4B0A" w14:textId="77777777" w:rsidR="00230F09" w:rsidRPr="0044055D" w:rsidRDefault="00230F09" w:rsidP="00EF6FFC">
      <w:pPr>
        <w:spacing w:after="0" w:line="240" w:lineRule="auto"/>
      </w:pPr>
    </w:p>
    <w:p w14:paraId="3FA178FB" w14:textId="77777777" w:rsidR="00C94A69" w:rsidRPr="0044055D" w:rsidRDefault="00C94A69" w:rsidP="00B0538D">
      <w:pPr>
        <w:spacing w:after="0" w:line="240" w:lineRule="auto"/>
        <w:rPr>
          <w:rFonts w:ascii="Verdana" w:hAnsi="Verdana"/>
          <w:lang w:val="es-ES_tradnl" w:eastAsia="es-ES"/>
        </w:rPr>
      </w:pPr>
    </w:p>
    <w:p w14:paraId="223B1B3E" w14:textId="77777777" w:rsidR="00C94A69" w:rsidRPr="0044055D" w:rsidRDefault="00C94A69" w:rsidP="00B0538D">
      <w:pPr>
        <w:spacing w:after="0" w:line="240" w:lineRule="auto"/>
        <w:rPr>
          <w:rFonts w:ascii="Verdana" w:hAnsi="Verdana"/>
          <w:lang w:val="es-ES_tradnl" w:eastAsia="es-ES"/>
        </w:rPr>
      </w:pPr>
    </w:p>
    <w:p w14:paraId="5C1282B4" w14:textId="77777777" w:rsidR="00230F09" w:rsidRPr="0044055D" w:rsidRDefault="00230F09" w:rsidP="00B0538D">
      <w:pPr>
        <w:pStyle w:val="Ttulo1"/>
        <w:rPr>
          <w:sz w:val="20"/>
          <w:szCs w:val="20"/>
        </w:rPr>
      </w:pPr>
    </w:p>
    <w:p w14:paraId="597608D4" w14:textId="77777777" w:rsidR="00512760" w:rsidRPr="0044055D" w:rsidRDefault="00512760" w:rsidP="00B0538D">
      <w:pPr>
        <w:pStyle w:val="Ttulo1"/>
        <w:rPr>
          <w:sz w:val="20"/>
          <w:szCs w:val="20"/>
        </w:rPr>
      </w:pPr>
      <w:r w:rsidRPr="0044055D">
        <w:rPr>
          <w:sz w:val="20"/>
          <w:szCs w:val="20"/>
        </w:rPr>
        <w:t>Resolución de la</w:t>
      </w:r>
    </w:p>
    <w:p w14:paraId="597608D5" w14:textId="0082AD78" w:rsidR="00512760" w:rsidRPr="0044055D" w:rsidRDefault="00512760" w:rsidP="00B0538D">
      <w:pPr>
        <w:spacing w:after="0" w:line="240" w:lineRule="auto"/>
        <w:jc w:val="center"/>
        <w:rPr>
          <w:rFonts w:ascii="Verdana" w:hAnsi="Verdana"/>
          <w:b/>
          <w:caps/>
          <w:sz w:val="20"/>
          <w:szCs w:val="20"/>
          <w:lang w:val="es-ES"/>
        </w:rPr>
      </w:pPr>
      <w:r w:rsidRPr="0044055D">
        <w:rPr>
          <w:rFonts w:ascii="Verdana" w:hAnsi="Verdana"/>
          <w:b/>
          <w:caps/>
          <w:sz w:val="20"/>
          <w:szCs w:val="20"/>
          <w:lang w:val="es-ES"/>
        </w:rPr>
        <w:t>Corte Interamericana de Derechos Humanos</w:t>
      </w:r>
      <w:r w:rsidR="002D5D18" w:rsidRPr="0044055D">
        <w:rPr>
          <w:rFonts w:ascii="Verdana" w:hAnsi="Verdana"/>
          <w:b/>
          <w:caps/>
          <w:sz w:val="20"/>
          <w:szCs w:val="20"/>
          <w:lang w:val="es-ES"/>
        </w:rPr>
        <w:t>*</w:t>
      </w:r>
    </w:p>
    <w:p w14:paraId="597608D6" w14:textId="673A0784" w:rsidR="00512760" w:rsidRPr="0044055D" w:rsidRDefault="006D7391" w:rsidP="00B0538D">
      <w:pPr>
        <w:spacing w:after="0" w:line="240" w:lineRule="auto"/>
        <w:jc w:val="center"/>
        <w:rPr>
          <w:rFonts w:ascii="Verdana" w:hAnsi="Verdana"/>
          <w:b/>
          <w:caps/>
          <w:sz w:val="20"/>
          <w:szCs w:val="20"/>
          <w:lang w:val="es-ES"/>
        </w:rPr>
      </w:pPr>
      <w:r w:rsidRPr="0044055D">
        <w:rPr>
          <w:rFonts w:ascii="Verdana" w:hAnsi="Verdana"/>
          <w:b/>
          <w:caps/>
          <w:sz w:val="20"/>
          <w:szCs w:val="20"/>
          <w:lang w:val="es-ES"/>
        </w:rPr>
        <w:t>de</w:t>
      </w:r>
      <w:r w:rsidR="00512760" w:rsidRPr="0044055D">
        <w:rPr>
          <w:rFonts w:ascii="Verdana" w:hAnsi="Verdana"/>
          <w:b/>
          <w:caps/>
          <w:sz w:val="20"/>
          <w:szCs w:val="20"/>
          <w:lang w:val="es-ES"/>
        </w:rPr>
        <w:t xml:space="preserve"> </w:t>
      </w:r>
      <w:r w:rsidR="004C5B1E">
        <w:rPr>
          <w:rFonts w:ascii="Verdana" w:hAnsi="Verdana"/>
          <w:b/>
          <w:caps/>
          <w:sz w:val="20"/>
          <w:szCs w:val="20"/>
          <w:lang w:val="es-ES"/>
        </w:rPr>
        <w:t>18</w:t>
      </w:r>
      <w:r w:rsidR="00512760" w:rsidRPr="0044055D">
        <w:rPr>
          <w:rFonts w:ascii="Verdana" w:hAnsi="Verdana"/>
          <w:b/>
          <w:caps/>
          <w:sz w:val="20"/>
          <w:szCs w:val="20"/>
          <w:lang w:val="es-ES"/>
        </w:rPr>
        <w:t xml:space="preserve"> DE </w:t>
      </w:r>
      <w:r w:rsidR="004C5B1E">
        <w:rPr>
          <w:rFonts w:ascii="Verdana" w:hAnsi="Verdana"/>
          <w:b/>
          <w:caps/>
          <w:sz w:val="20"/>
          <w:szCs w:val="20"/>
          <w:lang w:val="es-ES"/>
        </w:rPr>
        <w:t>NOVIEMBRE</w:t>
      </w:r>
      <w:r w:rsidR="00C856F0" w:rsidRPr="0044055D">
        <w:rPr>
          <w:rFonts w:ascii="Verdana" w:hAnsi="Verdana"/>
          <w:b/>
          <w:caps/>
          <w:sz w:val="20"/>
          <w:szCs w:val="20"/>
          <w:lang w:val="es-ES"/>
        </w:rPr>
        <w:t xml:space="preserve"> </w:t>
      </w:r>
      <w:r w:rsidR="00E21686" w:rsidRPr="0044055D">
        <w:rPr>
          <w:rFonts w:ascii="Verdana" w:hAnsi="Verdana"/>
          <w:b/>
          <w:caps/>
          <w:sz w:val="20"/>
          <w:szCs w:val="20"/>
          <w:lang w:val="es-ES"/>
        </w:rPr>
        <w:t xml:space="preserve">DE </w:t>
      </w:r>
      <w:r w:rsidR="00912E17">
        <w:rPr>
          <w:rFonts w:ascii="Verdana" w:hAnsi="Verdana"/>
          <w:b/>
          <w:caps/>
          <w:sz w:val="20"/>
          <w:szCs w:val="20"/>
          <w:lang w:val="es-ES"/>
        </w:rPr>
        <w:t>2020</w:t>
      </w:r>
    </w:p>
    <w:p w14:paraId="597608D7" w14:textId="77777777" w:rsidR="00512760" w:rsidRPr="0044055D" w:rsidRDefault="00512760" w:rsidP="00B0538D">
      <w:pPr>
        <w:spacing w:after="0" w:line="240" w:lineRule="auto"/>
        <w:rPr>
          <w:rFonts w:ascii="Verdana" w:hAnsi="Verdana"/>
          <w:b/>
          <w:caps/>
          <w:sz w:val="20"/>
          <w:szCs w:val="20"/>
          <w:lang w:val="es-ES"/>
        </w:rPr>
      </w:pPr>
    </w:p>
    <w:p w14:paraId="597608D8" w14:textId="77777777" w:rsidR="00512760" w:rsidRPr="0044055D" w:rsidRDefault="00512760" w:rsidP="00B0538D">
      <w:pPr>
        <w:spacing w:after="0" w:line="240" w:lineRule="auto"/>
        <w:jc w:val="center"/>
        <w:rPr>
          <w:rFonts w:ascii="Verdana" w:hAnsi="Verdana"/>
          <w:b/>
          <w:caps/>
          <w:sz w:val="20"/>
          <w:szCs w:val="20"/>
          <w:lang w:val="es-ES"/>
        </w:rPr>
      </w:pPr>
      <w:r w:rsidRPr="0044055D">
        <w:rPr>
          <w:rFonts w:ascii="Verdana" w:hAnsi="Verdana" w:cs="Verdana Bold"/>
          <w:b/>
          <w:bCs/>
          <w:caps/>
          <w:sz w:val="20"/>
          <w:szCs w:val="20"/>
          <w:lang w:val="es-ES"/>
        </w:rPr>
        <w:t>Medidas Provisionales</w:t>
      </w:r>
    </w:p>
    <w:p w14:paraId="597608D9" w14:textId="0193EA97" w:rsidR="00512760" w:rsidRPr="0044055D" w:rsidRDefault="00512760" w:rsidP="00B0538D">
      <w:pPr>
        <w:spacing w:after="0" w:line="240" w:lineRule="auto"/>
        <w:jc w:val="center"/>
        <w:rPr>
          <w:rFonts w:ascii="Verdana" w:hAnsi="Verdana"/>
          <w:b/>
          <w:caps/>
          <w:sz w:val="20"/>
          <w:szCs w:val="20"/>
          <w:lang w:val="es-ES"/>
        </w:rPr>
      </w:pPr>
      <w:r w:rsidRPr="0044055D">
        <w:rPr>
          <w:rFonts w:ascii="Verdana" w:hAnsi="Verdana" w:cs="Verdana Bold"/>
          <w:b/>
          <w:bCs/>
          <w:caps/>
          <w:sz w:val="20"/>
          <w:szCs w:val="20"/>
          <w:lang w:val="es-ES"/>
        </w:rPr>
        <w:t>respecto de MÉXICO</w:t>
      </w:r>
      <w:r w:rsidR="004D1FDD" w:rsidRPr="0044055D">
        <w:rPr>
          <w:rFonts w:ascii="Verdana" w:hAnsi="Verdana"/>
          <w:b/>
          <w:caps/>
          <w:sz w:val="20"/>
          <w:szCs w:val="20"/>
          <w:lang w:val="es-ES"/>
        </w:rPr>
        <w:t>**</w:t>
      </w:r>
      <w:r w:rsidR="004D1FDD" w:rsidRPr="004D1FDD">
        <w:rPr>
          <w:rStyle w:val="Refdenotaalpie"/>
          <w:b/>
          <w:bCs/>
          <w:caps/>
          <w:color w:val="FFFFFF" w:themeColor="background1"/>
        </w:rPr>
        <w:footnoteReference w:id="2"/>
      </w:r>
    </w:p>
    <w:p w14:paraId="597608DA" w14:textId="77777777" w:rsidR="00512760" w:rsidRPr="0044055D" w:rsidRDefault="00512760" w:rsidP="00B0538D">
      <w:pPr>
        <w:spacing w:after="0" w:line="240" w:lineRule="auto"/>
        <w:rPr>
          <w:rFonts w:ascii="Verdana" w:hAnsi="Verdana"/>
          <w:b/>
          <w:caps/>
          <w:sz w:val="20"/>
          <w:szCs w:val="20"/>
          <w:lang w:val="es-ES"/>
        </w:rPr>
      </w:pPr>
    </w:p>
    <w:p w14:paraId="597608DB" w14:textId="77777777" w:rsidR="00512760" w:rsidRPr="0044055D" w:rsidRDefault="00512760" w:rsidP="00B0538D">
      <w:pPr>
        <w:spacing w:after="0" w:line="240" w:lineRule="auto"/>
        <w:jc w:val="center"/>
        <w:rPr>
          <w:rFonts w:ascii="Verdana" w:hAnsi="Verdana"/>
          <w:b/>
          <w:caps/>
          <w:sz w:val="20"/>
          <w:szCs w:val="20"/>
          <w:lang w:val="es-ES"/>
        </w:rPr>
      </w:pPr>
      <w:r w:rsidRPr="0044055D">
        <w:rPr>
          <w:rFonts w:ascii="Verdana" w:hAnsi="Verdana" w:cs="Verdana Bold"/>
          <w:b/>
          <w:bCs/>
          <w:caps/>
          <w:sz w:val="20"/>
          <w:szCs w:val="20"/>
          <w:lang w:val="es-ES"/>
        </w:rPr>
        <w:t xml:space="preserve">Asunto CASTRO RODRÍGUEZ </w:t>
      </w:r>
    </w:p>
    <w:p w14:paraId="578AA7A5" w14:textId="77777777" w:rsidR="004F0622" w:rsidRPr="0044055D" w:rsidRDefault="004F0622" w:rsidP="00B0538D">
      <w:pPr>
        <w:tabs>
          <w:tab w:val="left" w:pos="6181"/>
        </w:tabs>
        <w:spacing w:after="0" w:line="240" w:lineRule="auto"/>
        <w:jc w:val="both"/>
        <w:rPr>
          <w:rFonts w:ascii="Verdana" w:hAnsi="Verdana"/>
          <w:b/>
          <w:sz w:val="20"/>
          <w:szCs w:val="20"/>
          <w:lang w:val="es-ES"/>
        </w:rPr>
      </w:pPr>
    </w:p>
    <w:p w14:paraId="597608DE" w14:textId="40C71535" w:rsidR="00512760" w:rsidRPr="0044055D" w:rsidRDefault="00512760" w:rsidP="00B0538D">
      <w:pPr>
        <w:tabs>
          <w:tab w:val="left" w:pos="6181"/>
        </w:tabs>
        <w:spacing w:after="120" w:line="240" w:lineRule="auto"/>
        <w:jc w:val="both"/>
        <w:rPr>
          <w:rFonts w:ascii="Verdana" w:hAnsi="Verdana"/>
          <w:b/>
          <w:sz w:val="20"/>
          <w:szCs w:val="20"/>
          <w:lang w:val="es-ES"/>
        </w:rPr>
      </w:pPr>
      <w:r w:rsidRPr="0044055D">
        <w:rPr>
          <w:rFonts w:ascii="Verdana" w:hAnsi="Verdana"/>
          <w:b/>
          <w:sz w:val="20"/>
          <w:szCs w:val="20"/>
          <w:lang w:val="es-ES"/>
        </w:rPr>
        <w:t>VISTO:</w:t>
      </w:r>
    </w:p>
    <w:p w14:paraId="61B5EBDA" w14:textId="11F905C7" w:rsidR="002E6648" w:rsidRPr="0044055D" w:rsidRDefault="00512760" w:rsidP="00B0538D">
      <w:pPr>
        <w:pStyle w:val="Prrafodelista"/>
        <w:numPr>
          <w:ilvl w:val="0"/>
          <w:numId w:val="1"/>
        </w:numPr>
        <w:ind w:left="0" w:firstLine="0"/>
        <w:contextualSpacing/>
        <w:jc w:val="both"/>
        <w:rPr>
          <w:rFonts w:ascii="Verdana" w:hAnsi="Verdana" w:cs="Verdana"/>
          <w:sz w:val="20"/>
          <w:szCs w:val="20"/>
        </w:rPr>
      </w:pPr>
      <w:r w:rsidRPr="0044055D">
        <w:rPr>
          <w:rFonts w:ascii="Verdana" w:hAnsi="Verdana" w:cs="Verdana"/>
          <w:sz w:val="20"/>
          <w:szCs w:val="20"/>
          <w:lang w:val="es-ES"/>
        </w:rPr>
        <w:t xml:space="preserve">Las resoluciones dictadas por la Corte Interamericana de Derechos Humanos (en adelante “la </w:t>
      </w:r>
      <w:r w:rsidRPr="0044055D">
        <w:rPr>
          <w:rFonts w:ascii="Verdana" w:eastAsia="Batang" w:hAnsi="Verdana" w:cs="Times New Roman"/>
          <w:sz w:val="20"/>
          <w:szCs w:val="20"/>
          <w:lang w:val="es-ES" w:eastAsia="en-US"/>
        </w:rPr>
        <w:t>Corte</w:t>
      </w:r>
      <w:r w:rsidRPr="0044055D">
        <w:rPr>
          <w:rFonts w:ascii="Verdana" w:hAnsi="Verdana" w:cs="Verdana"/>
          <w:sz w:val="20"/>
          <w:szCs w:val="20"/>
          <w:lang w:val="es-ES"/>
        </w:rPr>
        <w:t xml:space="preserve"> Interamericana”, “la Corte” o “el Tribunal”) </w:t>
      </w:r>
      <w:r w:rsidR="003609A3" w:rsidRPr="0044055D">
        <w:rPr>
          <w:rFonts w:ascii="Verdana" w:hAnsi="Verdana" w:cs="Verdana"/>
          <w:sz w:val="20"/>
          <w:szCs w:val="20"/>
          <w:lang w:val="es-ES"/>
        </w:rPr>
        <w:t>el</w:t>
      </w:r>
      <w:r w:rsidR="006F7AD2" w:rsidRPr="0044055D">
        <w:rPr>
          <w:rFonts w:ascii="Verdana" w:hAnsi="Verdana" w:cs="Verdana"/>
          <w:sz w:val="20"/>
          <w:szCs w:val="20"/>
          <w:lang w:val="es-ES"/>
        </w:rPr>
        <w:t xml:space="preserve"> 13 de febrero</w:t>
      </w:r>
      <w:r w:rsidR="00306A43">
        <w:rPr>
          <w:rFonts w:ascii="Verdana" w:hAnsi="Verdana" w:cs="Verdana"/>
          <w:sz w:val="20"/>
          <w:szCs w:val="20"/>
          <w:lang w:val="es-ES"/>
        </w:rPr>
        <w:t xml:space="preserve"> y</w:t>
      </w:r>
      <w:r w:rsidR="006F7AD2" w:rsidRPr="0044055D">
        <w:rPr>
          <w:rFonts w:ascii="Verdana" w:hAnsi="Verdana" w:cs="Verdana"/>
          <w:sz w:val="20"/>
          <w:szCs w:val="20"/>
          <w:lang w:val="es-ES"/>
        </w:rPr>
        <w:t xml:space="preserve"> </w:t>
      </w:r>
      <w:r w:rsidRPr="0044055D">
        <w:rPr>
          <w:rFonts w:ascii="Verdana" w:hAnsi="Verdana" w:cs="Verdana"/>
          <w:sz w:val="20"/>
          <w:szCs w:val="20"/>
          <w:lang w:val="es-ES"/>
        </w:rPr>
        <w:t>23 de agosto de 2013</w:t>
      </w:r>
      <w:r w:rsidR="00411F7A" w:rsidRPr="0044055D">
        <w:rPr>
          <w:rFonts w:ascii="Verdana" w:hAnsi="Verdana" w:cs="Verdana"/>
          <w:sz w:val="20"/>
          <w:szCs w:val="20"/>
          <w:lang w:val="es-ES"/>
        </w:rPr>
        <w:t xml:space="preserve">, </w:t>
      </w:r>
      <w:r w:rsidR="006F7AD2" w:rsidRPr="0044055D">
        <w:rPr>
          <w:rFonts w:ascii="Verdana" w:hAnsi="Verdana" w:cs="Verdana"/>
          <w:sz w:val="20"/>
          <w:szCs w:val="20"/>
          <w:lang w:val="es-ES"/>
        </w:rPr>
        <w:t>2</w:t>
      </w:r>
      <w:r w:rsidR="00710EEE" w:rsidRPr="0044055D">
        <w:rPr>
          <w:rFonts w:ascii="Verdana" w:hAnsi="Verdana" w:cs="Verdana"/>
          <w:sz w:val="20"/>
          <w:szCs w:val="20"/>
          <w:lang w:val="es-ES"/>
        </w:rPr>
        <w:t>3</w:t>
      </w:r>
      <w:r w:rsidR="006F7AD2" w:rsidRPr="0044055D">
        <w:rPr>
          <w:rFonts w:ascii="Verdana" w:hAnsi="Verdana" w:cs="Verdana"/>
          <w:sz w:val="20"/>
          <w:szCs w:val="20"/>
          <w:lang w:val="es-ES"/>
        </w:rPr>
        <w:t xml:space="preserve"> de junio de 2015</w:t>
      </w:r>
      <w:r w:rsidR="00411F7A" w:rsidRPr="0044055D">
        <w:rPr>
          <w:rFonts w:ascii="Verdana" w:hAnsi="Verdana" w:cs="Verdana"/>
          <w:sz w:val="20"/>
          <w:szCs w:val="20"/>
          <w:lang w:val="es-ES"/>
        </w:rPr>
        <w:t xml:space="preserve"> </w:t>
      </w:r>
      <w:r w:rsidR="00D533D3" w:rsidRPr="0044055D">
        <w:rPr>
          <w:rFonts w:ascii="Verdana" w:hAnsi="Verdana" w:cs="Verdana"/>
          <w:sz w:val="20"/>
          <w:szCs w:val="20"/>
          <w:lang w:val="es-ES"/>
        </w:rPr>
        <w:t xml:space="preserve">y </w:t>
      </w:r>
      <w:r w:rsidR="00411F7A" w:rsidRPr="0044055D">
        <w:rPr>
          <w:rFonts w:ascii="Verdana" w:hAnsi="Verdana" w:cs="Verdana"/>
          <w:sz w:val="20"/>
          <w:szCs w:val="20"/>
          <w:lang w:val="es-ES"/>
        </w:rPr>
        <w:t>14 de noviembre de 2017</w:t>
      </w:r>
      <w:r w:rsidRPr="0044055D">
        <w:rPr>
          <w:rFonts w:ascii="Verdana" w:hAnsi="Verdana" w:cs="Verdana"/>
          <w:sz w:val="20"/>
          <w:szCs w:val="20"/>
          <w:lang w:val="es-ES"/>
        </w:rPr>
        <w:t xml:space="preserve"> mediante las cuales</w:t>
      </w:r>
      <w:r w:rsidR="00411F7A" w:rsidRPr="0044055D">
        <w:rPr>
          <w:rFonts w:ascii="Verdana" w:hAnsi="Verdana"/>
          <w:sz w:val="20"/>
          <w:szCs w:val="20"/>
        </w:rPr>
        <w:t xml:space="preserve"> ordenó a los Estados Unidos Mexicanos (en adelante “el Estado”, “el Estado mexicano” o “México”)</w:t>
      </w:r>
      <w:r w:rsidR="00411F7A" w:rsidRPr="0044055D">
        <w:rPr>
          <w:rFonts w:ascii="Verdana" w:hAnsi="Verdana" w:cs="Verdana"/>
          <w:sz w:val="20"/>
          <w:szCs w:val="20"/>
        </w:rPr>
        <w:t xml:space="preserve"> </w:t>
      </w:r>
      <w:r w:rsidR="00D02BC2" w:rsidRPr="0044055D">
        <w:rPr>
          <w:rFonts w:ascii="Verdana" w:hAnsi="Verdana"/>
          <w:sz w:val="20"/>
          <w:szCs w:val="20"/>
          <w:lang w:val="es-ES"/>
        </w:rPr>
        <w:t xml:space="preserve">la adopción de medidas provisionales </w:t>
      </w:r>
      <w:r w:rsidRPr="0044055D">
        <w:rPr>
          <w:rFonts w:ascii="Verdana" w:hAnsi="Verdana" w:cs="Verdana"/>
          <w:sz w:val="20"/>
          <w:szCs w:val="20"/>
        </w:rPr>
        <w:t>para proteger los derechos a la vida y a la integridad personal de Luz Estela Castro Rodríguez</w:t>
      </w:r>
      <w:r w:rsidR="00F57295" w:rsidRPr="0044055D">
        <w:rPr>
          <w:rFonts w:ascii="Verdana" w:hAnsi="Verdana" w:cs="Verdana"/>
          <w:sz w:val="20"/>
          <w:szCs w:val="20"/>
        </w:rPr>
        <w:t xml:space="preserve"> (en adelante “la beneficiaria” o “la señora Castro Rodríguez”)</w:t>
      </w:r>
      <w:r w:rsidR="00D02BC2" w:rsidRPr="0044055D">
        <w:rPr>
          <w:rFonts w:ascii="Verdana" w:hAnsi="Verdana" w:cs="Verdana"/>
          <w:sz w:val="20"/>
          <w:szCs w:val="20"/>
        </w:rPr>
        <w:t>, y se supervis</w:t>
      </w:r>
      <w:r w:rsidR="00C856F0" w:rsidRPr="0044055D">
        <w:rPr>
          <w:rFonts w:ascii="Verdana" w:hAnsi="Verdana" w:cs="Verdana"/>
          <w:sz w:val="20"/>
          <w:szCs w:val="20"/>
        </w:rPr>
        <w:t xml:space="preserve">ó su </w:t>
      </w:r>
      <w:r w:rsidR="00306A43">
        <w:rPr>
          <w:rFonts w:ascii="Verdana" w:hAnsi="Verdana" w:cs="Verdana"/>
          <w:sz w:val="20"/>
          <w:szCs w:val="20"/>
        </w:rPr>
        <w:t>implementación</w:t>
      </w:r>
      <w:r w:rsidR="00D533D3" w:rsidRPr="0044055D">
        <w:rPr>
          <w:rFonts w:ascii="Verdana" w:hAnsi="Verdana" w:cs="Verdana"/>
          <w:sz w:val="20"/>
          <w:szCs w:val="20"/>
        </w:rPr>
        <w:t>. En la última Resolución</w:t>
      </w:r>
      <w:r w:rsidR="000C355F">
        <w:rPr>
          <w:rFonts w:ascii="Verdana" w:hAnsi="Verdana" w:cs="Verdana"/>
          <w:sz w:val="20"/>
          <w:szCs w:val="20"/>
        </w:rPr>
        <w:t>,</w:t>
      </w:r>
      <w:r w:rsidR="002E6648" w:rsidRPr="0044055D">
        <w:rPr>
          <w:rFonts w:ascii="Verdana" w:hAnsi="Verdana" w:cs="Verdana"/>
          <w:sz w:val="20"/>
          <w:szCs w:val="20"/>
        </w:rPr>
        <w:t xml:space="preserve"> esta Corte resolvió, </w:t>
      </w:r>
      <w:r w:rsidR="002E6648" w:rsidRPr="0044055D">
        <w:rPr>
          <w:rFonts w:ascii="Verdana" w:hAnsi="Verdana" w:cs="Verdana"/>
          <w:i/>
          <w:sz w:val="20"/>
          <w:szCs w:val="20"/>
        </w:rPr>
        <w:t xml:space="preserve">inter </w:t>
      </w:r>
      <w:proofErr w:type="spellStart"/>
      <w:r w:rsidR="002E6648" w:rsidRPr="0044055D">
        <w:rPr>
          <w:rFonts w:ascii="Verdana" w:hAnsi="Verdana" w:cs="Verdana"/>
          <w:i/>
          <w:sz w:val="20"/>
          <w:szCs w:val="20"/>
        </w:rPr>
        <w:t>alia</w:t>
      </w:r>
      <w:proofErr w:type="spellEnd"/>
      <w:r w:rsidR="002E6648" w:rsidRPr="0044055D">
        <w:rPr>
          <w:rFonts w:ascii="Verdana" w:hAnsi="Verdana" w:cs="Verdana"/>
          <w:sz w:val="20"/>
          <w:szCs w:val="20"/>
        </w:rPr>
        <w:t xml:space="preserve">: </w:t>
      </w:r>
    </w:p>
    <w:p w14:paraId="5D0AE012" w14:textId="68609AC3" w:rsidR="002E6648" w:rsidRPr="0044055D" w:rsidRDefault="002E6648" w:rsidP="00B0538D">
      <w:pPr>
        <w:pStyle w:val="Prrafodelista"/>
        <w:ind w:left="0"/>
        <w:contextualSpacing/>
        <w:jc w:val="both"/>
        <w:rPr>
          <w:rFonts w:ascii="Verdana" w:hAnsi="Verdana" w:cs="Verdana"/>
          <w:sz w:val="20"/>
          <w:szCs w:val="20"/>
        </w:rPr>
      </w:pPr>
    </w:p>
    <w:p w14:paraId="1776706C" w14:textId="76363E41" w:rsidR="002E6648" w:rsidRPr="0044055D" w:rsidRDefault="002E6648" w:rsidP="00B0538D">
      <w:pPr>
        <w:numPr>
          <w:ilvl w:val="0"/>
          <w:numId w:val="10"/>
        </w:numPr>
        <w:spacing w:after="0" w:line="240" w:lineRule="auto"/>
        <w:ind w:left="709" w:right="855" w:firstLine="0"/>
        <w:jc w:val="both"/>
        <w:rPr>
          <w:rFonts w:ascii="Verdana" w:hAnsi="Verdana"/>
          <w:sz w:val="18"/>
          <w:szCs w:val="18"/>
        </w:rPr>
      </w:pPr>
      <w:r w:rsidRPr="0044055D">
        <w:rPr>
          <w:rFonts w:ascii="Verdana" w:hAnsi="Verdana" w:cs="Arial"/>
          <w:sz w:val="18"/>
          <w:szCs w:val="18"/>
          <w:lang w:val="es-ES"/>
        </w:rPr>
        <w:t xml:space="preserve">Mantener </w:t>
      </w:r>
      <w:r w:rsidRPr="0044055D">
        <w:rPr>
          <w:rFonts w:ascii="Verdana" w:hAnsi="Verdana"/>
          <w:sz w:val="18"/>
          <w:szCs w:val="18"/>
        </w:rPr>
        <w:t xml:space="preserve">las medidas provisionales y ordenar al Estado que adopte, de forma inmediata, las medidas actualizadas que sean necesarias y efectivas para proteger los derechos a la vida y a la integridad personal </w:t>
      </w:r>
      <w:r w:rsidRPr="0044055D">
        <w:rPr>
          <w:rFonts w:ascii="Verdana" w:eastAsia="Times New Roman" w:hAnsi="Verdana" w:cs="Arial"/>
          <w:sz w:val="18"/>
          <w:szCs w:val="18"/>
          <w:lang w:val="es-ES"/>
        </w:rPr>
        <w:t>de Luz Estela Castro Rodríguez</w:t>
      </w:r>
      <w:r w:rsidR="00222B89" w:rsidRPr="0044055D">
        <w:rPr>
          <w:rFonts w:ascii="Verdana" w:eastAsia="Times New Roman" w:hAnsi="Verdana" w:cs="Arial"/>
          <w:sz w:val="18"/>
          <w:szCs w:val="18"/>
          <w:lang w:val="es-ES"/>
        </w:rPr>
        <w:t xml:space="preserve"> […]</w:t>
      </w:r>
      <w:r w:rsidRPr="0044055D">
        <w:rPr>
          <w:rFonts w:ascii="Verdana" w:hAnsi="Verdana"/>
          <w:sz w:val="18"/>
          <w:szCs w:val="18"/>
        </w:rPr>
        <w:t xml:space="preserve">. </w:t>
      </w:r>
    </w:p>
    <w:p w14:paraId="0747710F" w14:textId="1ABDCEB0" w:rsidR="00230F09" w:rsidRPr="0044055D" w:rsidRDefault="00230F09" w:rsidP="00B0538D">
      <w:pPr>
        <w:pStyle w:val="Prrafodelista"/>
        <w:ind w:left="0"/>
        <w:contextualSpacing/>
        <w:jc w:val="both"/>
        <w:rPr>
          <w:rFonts w:ascii="Verdana" w:hAnsi="Verdana" w:cs="Verdana"/>
          <w:sz w:val="20"/>
          <w:szCs w:val="20"/>
          <w:lang w:val="es-ES"/>
        </w:rPr>
      </w:pPr>
    </w:p>
    <w:p w14:paraId="597608E8" w14:textId="739C378F" w:rsidR="001A1026" w:rsidRPr="0044055D" w:rsidRDefault="00512760" w:rsidP="00B0538D">
      <w:pPr>
        <w:pStyle w:val="Prrafodelista"/>
        <w:numPr>
          <w:ilvl w:val="0"/>
          <w:numId w:val="1"/>
        </w:numPr>
        <w:ind w:left="0" w:firstLine="0"/>
        <w:contextualSpacing/>
        <w:jc w:val="both"/>
        <w:rPr>
          <w:rFonts w:ascii="Verdana" w:hAnsi="Verdana" w:cs="Verdana"/>
          <w:sz w:val="20"/>
          <w:szCs w:val="20"/>
          <w:lang w:val="es-ES"/>
        </w:rPr>
      </w:pPr>
      <w:r w:rsidRPr="0044055D">
        <w:rPr>
          <w:rFonts w:ascii="Verdana" w:hAnsi="Verdana" w:cs="Verdana"/>
          <w:sz w:val="20"/>
          <w:szCs w:val="20"/>
          <w:lang w:val="es-ES"/>
        </w:rPr>
        <w:t>Los escritos</w:t>
      </w:r>
      <w:r w:rsidR="00E21686" w:rsidRPr="0044055D">
        <w:rPr>
          <w:rFonts w:ascii="Verdana" w:hAnsi="Verdana" w:cs="Verdana"/>
          <w:sz w:val="20"/>
          <w:szCs w:val="20"/>
          <w:lang w:val="es-ES"/>
        </w:rPr>
        <w:t xml:space="preserve"> presentados por el Estado los días</w:t>
      </w:r>
      <w:r w:rsidRPr="0044055D">
        <w:rPr>
          <w:rFonts w:ascii="Verdana" w:hAnsi="Verdana" w:cs="Verdana"/>
          <w:sz w:val="20"/>
          <w:szCs w:val="20"/>
          <w:lang w:val="es-ES"/>
        </w:rPr>
        <w:t xml:space="preserve"> </w:t>
      </w:r>
      <w:r w:rsidR="00E21686" w:rsidRPr="0044055D">
        <w:rPr>
          <w:rFonts w:ascii="Verdana" w:hAnsi="Verdana" w:cs="Verdana"/>
          <w:sz w:val="20"/>
          <w:szCs w:val="20"/>
          <w:lang w:val="es-ES"/>
        </w:rPr>
        <w:t>26 de febrero, 16 de agosto</w:t>
      </w:r>
      <w:r w:rsidR="002B0822" w:rsidRPr="0044055D">
        <w:rPr>
          <w:rFonts w:ascii="Verdana" w:hAnsi="Verdana" w:cs="Verdana"/>
          <w:sz w:val="20"/>
          <w:szCs w:val="20"/>
          <w:lang w:val="es-ES"/>
        </w:rPr>
        <w:t xml:space="preserve"> </w:t>
      </w:r>
      <w:r w:rsidR="006F5BEC">
        <w:rPr>
          <w:rFonts w:ascii="Verdana" w:hAnsi="Verdana" w:cs="Verdana"/>
          <w:sz w:val="20"/>
          <w:szCs w:val="20"/>
          <w:lang w:val="es-ES"/>
        </w:rPr>
        <w:t>y 27 de noviembre de 2018</w:t>
      </w:r>
      <w:r w:rsidR="00D54780" w:rsidRPr="00D54780">
        <w:rPr>
          <w:rFonts w:ascii="Verdana" w:hAnsi="Verdana" w:cs="Verdana"/>
          <w:sz w:val="20"/>
          <w:szCs w:val="20"/>
          <w:lang w:val="es-ES"/>
        </w:rPr>
        <w:t>,</w:t>
      </w:r>
      <w:r w:rsidR="00D54780">
        <w:rPr>
          <w:rFonts w:ascii="Verdana" w:hAnsi="Verdana" w:cs="Verdana"/>
          <w:sz w:val="20"/>
          <w:szCs w:val="20"/>
          <w:lang w:val="es-ES"/>
        </w:rPr>
        <w:t xml:space="preserve"> y</w:t>
      </w:r>
      <w:r w:rsidR="00E21686" w:rsidRPr="0044055D">
        <w:rPr>
          <w:rFonts w:ascii="Verdana" w:hAnsi="Verdana" w:cs="Verdana"/>
          <w:sz w:val="20"/>
          <w:szCs w:val="20"/>
          <w:lang w:val="es-ES"/>
        </w:rPr>
        <w:t xml:space="preserve"> 29 de marzo y 5 de noviembre de 2019</w:t>
      </w:r>
      <w:r w:rsidRPr="0044055D">
        <w:rPr>
          <w:rFonts w:ascii="Verdana" w:hAnsi="Verdana" w:cs="Verdana"/>
          <w:sz w:val="20"/>
          <w:szCs w:val="20"/>
          <w:lang w:val="es-ES"/>
        </w:rPr>
        <w:t>,</w:t>
      </w:r>
      <w:r w:rsidRPr="0044055D">
        <w:rPr>
          <w:rFonts w:ascii="Verdana" w:hAnsi="Verdana" w:cs="Verdana"/>
          <w:b/>
          <w:sz w:val="20"/>
          <w:szCs w:val="20"/>
          <w:lang w:val="es-ES"/>
        </w:rPr>
        <w:t xml:space="preserve"> </w:t>
      </w:r>
      <w:r w:rsidRPr="0044055D">
        <w:rPr>
          <w:rFonts w:ascii="Verdana" w:hAnsi="Verdana" w:cs="Verdana"/>
          <w:sz w:val="20"/>
          <w:szCs w:val="20"/>
          <w:lang w:val="es-ES"/>
        </w:rPr>
        <w:t>mediante los cuales presentó informes relacionados con la implementación de las medidas provisionales</w:t>
      </w:r>
      <w:r w:rsidR="00016CB0" w:rsidRPr="0044055D">
        <w:rPr>
          <w:rFonts w:ascii="Verdana" w:hAnsi="Verdana" w:cs="Verdana"/>
          <w:sz w:val="20"/>
          <w:szCs w:val="20"/>
          <w:lang w:val="es-ES"/>
        </w:rPr>
        <w:t xml:space="preserve"> y </w:t>
      </w:r>
      <w:r w:rsidRPr="0044055D">
        <w:rPr>
          <w:rFonts w:ascii="Verdana" w:hAnsi="Verdana" w:cs="Verdana"/>
          <w:sz w:val="20"/>
          <w:szCs w:val="20"/>
          <w:lang w:val="es-ES"/>
        </w:rPr>
        <w:t>la elaboración de</w:t>
      </w:r>
      <w:r w:rsidR="00016CB0" w:rsidRPr="0044055D">
        <w:rPr>
          <w:rFonts w:ascii="Verdana" w:hAnsi="Verdana" w:cs="Verdana"/>
          <w:sz w:val="20"/>
          <w:szCs w:val="20"/>
          <w:lang w:val="es-ES"/>
        </w:rPr>
        <w:t>l</w:t>
      </w:r>
      <w:r w:rsidRPr="0044055D">
        <w:rPr>
          <w:rFonts w:ascii="Verdana" w:hAnsi="Verdana" w:cs="Verdana"/>
          <w:sz w:val="20"/>
          <w:szCs w:val="20"/>
          <w:lang w:val="es-ES"/>
        </w:rPr>
        <w:t xml:space="preserve"> análisis de riesg</w:t>
      </w:r>
      <w:r w:rsidR="005878E6" w:rsidRPr="0044055D">
        <w:rPr>
          <w:rFonts w:ascii="Verdana" w:hAnsi="Verdana" w:cs="Verdana"/>
          <w:sz w:val="20"/>
          <w:szCs w:val="20"/>
          <w:lang w:val="es-ES"/>
        </w:rPr>
        <w:t>o.</w:t>
      </w:r>
    </w:p>
    <w:p w14:paraId="597608E9" w14:textId="77777777" w:rsidR="001A1026" w:rsidRPr="0044055D" w:rsidRDefault="001A1026" w:rsidP="00B0538D">
      <w:pPr>
        <w:pStyle w:val="Prrafodelista"/>
        <w:rPr>
          <w:rFonts w:ascii="Verdana" w:hAnsi="Verdana" w:cs="Verdana"/>
          <w:sz w:val="20"/>
          <w:szCs w:val="20"/>
          <w:lang w:val="es-ES"/>
        </w:rPr>
      </w:pPr>
    </w:p>
    <w:p w14:paraId="687C935D" w14:textId="03199E97" w:rsidR="004F7A26" w:rsidRPr="0044055D" w:rsidRDefault="00512760" w:rsidP="00B0538D">
      <w:pPr>
        <w:numPr>
          <w:ilvl w:val="0"/>
          <w:numId w:val="1"/>
        </w:numPr>
        <w:autoSpaceDE w:val="0"/>
        <w:autoSpaceDN w:val="0"/>
        <w:adjustRightInd w:val="0"/>
        <w:spacing w:after="0" w:line="240" w:lineRule="auto"/>
        <w:ind w:left="0" w:right="19" w:firstLine="0"/>
        <w:jc w:val="both"/>
        <w:rPr>
          <w:rFonts w:ascii="Verdana" w:hAnsi="Verdana" w:cs="Verdana"/>
          <w:sz w:val="20"/>
          <w:szCs w:val="20"/>
        </w:rPr>
      </w:pPr>
      <w:r w:rsidRPr="0044055D">
        <w:rPr>
          <w:rFonts w:ascii="Verdana" w:hAnsi="Verdana" w:cs="Verdana"/>
          <w:sz w:val="20"/>
          <w:szCs w:val="20"/>
          <w:lang w:val="es-ES"/>
        </w:rPr>
        <w:t xml:space="preserve">Los escritos </w:t>
      </w:r>
      <w:r w:rsidR="00241A63" w:rsidRPr="0044055D">
        <w:rPr>
          <w:rFonts w:ascii="Verdana" w:hAnsi="Verdana" w:cs="Verdana"/>
          <w:sz w:val="20"/>
          <w:szCs w:val="20"/>
          <w:lang w:val="es-ES"/>
        </w:rPr>
        <w:t xml:space="preserve">presentados por </w:t>
      </w:r>
      <w:r w:rsidR="00D54780">
        <w:rPr>
          <w:rFonts w:ascii="Verdana" w:hAnsi="Verdana" w:cs="Verdana"/>
          <w:sz w:val="20"/>
          <w:szCs w:val="20"/>
          <w:lang w:val="es-ES"/>
        </w:rPr>
        <w:t xml:space="preserve">el Centro de Derechos Humanos de las Mujeres </w:t>
      </w:r>
      <w:r w:rsidR="00D54780" w:rsidRPr="0044055D">
        <w:rPr>
          <w:rFonts w:ascii="Verdana" w:hAnsi="Verdana" w:cs="Verdana"/>
          <w:sz w:val="20"/>
          <w:szCs w:val="20"/>
          <w:lang w:val="es-ES"/>
        </w:rPr>
        <w:t>(en adelante también “las representantes”</w:t>
      </w:r>
      <w:r w:rsidR="005317CC">
        <w:rPr>
          <w:rFonts w:ascii="Verdana" w:hAnsi="Verdana" w:cs="Verdana"/>
          <w:sz w:val="20"/>
          <w:szCs w:val="20"/>
          <w:lang w:val="es-ES"/>
        </w:rPr>
        <w:t xml:space="preserve"> o “CEDEHM”</w:t>
      </w:r>
      <w:r w:rsidR="00D54780" w:rsidRPr="0044055D">
        <w:rPr>
          <w:rFonts w:ascii="Verdana" w:hAnsi="Verdana" w:cs="Verdana"/>
          <w:sz w:val="20"/>
          <w:szCs w:val="20"/>
          <w:lang w:val="es-ES"/>
        </w:rPr>
        <w:t>)</w:t>
      </w:r>
      <w:r w:rsidR="00D54780">
        <w:rPr>
          <w:rFonts w:ascii="Verdana" w:hAnsi="Verdana" w:cs="Verdana"/>
          <w:sz w:val="20"/>
          <w:szCs w:val="20"/>
          <w:lang w:val="es-ES"/>
        </w:rPr>
        <w:t>, en su calidad de</w:t>
      </w:r>
      <w:r w:rsidR="00241A63" w:rsidRPr="0044055D">
        <w:rPr>
          <w:rFonts w:ascii="Verdana" w:hAnsi="Verdana" w:cs="Verdana"/>
          <w:sz w:val="20"/>
          <w:szCs w:val="20"/>
          <w:lang w:val="es-ES"/>
        </w:rPr>
        <w:t xml:space="preserve"> representantes de la beneficiaria de las medidas provisionales</w:t>
      </w:r>
      <w:r w:rsidR="00D54780">
        <w:rPr>
          <w:rFonts w:ascii="Verdana" w:hAnsi="Verdana" w:cs="Verdana"/>
          <w:sz w:val="20"/>
          <w:szCs w:val="20"/>
          <w:lang w:val="es-ES"/>
        </w:rPr>
        <w:t>,</w:t>
      </w:r>
      <w:r w:rsidR="00241A63" w:rsidRPr="0044055D">
        <w:rPr>
          <w:rFonts w:ascii="Verdana" w:hAnsi="Verdana" w:cs="Verdana"/>
          <w:sz w:val="20"/>
          <w:szCs w:val="20"/>
          <w:lang w:val="es-ES"/>
        </w:rPr>
        <w:t xml:space="preserve"> los días 22 de diciembre de 2017, 28 de marzo y 21 de septiembre de 2018, 2 de enero</w:t>
      </w:r>
      <w:r w:rsidR="005D590F" w:rsidRPr="0044055D">
        <w:rPr>
          <w:rFonts w:ascii="Verdana" w:hAnsi="Verdana" w:cs="Verdana"/>
          <w:sz w:val="20"/>
          <w:szCs w:val="20"/>
          <w:lang w:val="es-ES"/>
        </w:rPr>
        <w:t xml:space="preserve"> </w:t>
      </w:r>
      <w:r w:rsidR="00241A63" w:rsidRPr="0044055D">
        <w:rPr>
          <w:rFonts w:ascii="Verdana" w:hAnsi="Verdana" w:cs="Verdana"/>
          <w:sz w:val="20"/>
          <w:szCs w:val="20"/>
          <w:lang w:val="es-ES"/>
        </w:rPr>
        <w:t>y 8 de mayo de 2019 y 10 de febrero de 2020, mediante los cuales remitieron observaci</w:t>
      </w:r>
      <w:r w:rsidR="00C47D02">
        <w:rPr>
          <w:rFonts w:ascii="Verdana" w:hAnsi="Verdana" w:cs="Verdana"/>
          <w:sz w:val="20"/>
          <w:szCs w:val="20"/>
          <w:lang w:val="es-ES"/>
        </w:rPr>
        <w:t>ones a los informes del Estado.</w:t>
      </w:r>
    </w:p>
    <w:p w14:paraId="4E6A77D5" w14:textId="77777777" w:rsidR="004F7A26" w:rsidRPr="0044055D" w:rsidRDefault="004F7A26" w:rsidP="00B0538D">
      <w:pPr>
        <w:autoSpaceDE w:val="0"/>
        <w:autoSpaceDN w:val="0"/>
        <w:adjustRightInd w:val="0"/>
        <w:spacing w:after="0" w:line="240" w:lineRule="auto"/>
        <w:ind w:right="19"/>
        <w:jc w:val="both"/>
        <w:rPr>
          <w:rFonts w:ascii="Verdana" w:hAnsi="Verdana" w:cs="Verdana"/>
          <w:sz w:val="20"/>
          <w:szCs w:val="20"/>
        </w:rPr>
      </w:pPr>
    </w:p>
    <w:p w14:paraId="597608EC" w14:textId="352ECD4F" w:rsidR="00512760" w:rsidRPr="0044055D" w:rsidRDefault="00B626DD" w:rsidP="00B0538D">
      <w:pPr>
        <w:pStyle w:val="Prrafodelista"/>
        <w:numPr>
          <w:ilvl w:val="0"/>
          <w:numId w:val="1"/>
        </w:numPr>
        <w:ind w:left="0" w:firstLine="0"/>
        <w:contextualSpacing/>
        <w:jc w:val="both"/>
        <w:rPr>
          <w:rFonts w:ascii="Verdana" w:hAnsi="Verdana" w:cs="Verdana"/>
          <w:sz w:val="20"/>
          <w:szCs w:val="20"/>
          <w:lang w:val="es-ES"/>
        </w:rPr>
      </w:pPr>
      <w:r w:rsidRPr="0044055D">
        <w:rPr>
          <w:rFonts w:ascii="Verdana" w:hAnsi="Verdana" w:cs="Verdana"/>
          <w:sz w:val="20"/>
          <w:szCs w:val="20"/>
          <w:lang w:val="es-ES"/>
        </w:rPr>
        <w:t>Las comunicaciones de</w:t>
      </w:r>
      <w:r w:rsidR="00512760" w:rsidRPr="0044055D">
        <w:rPr>
          <w:rFonts w:ascii="Verdana" w:hAnsi="Verdana" w:cs="Verdana"/>
          <w:sz w:val="20"/>
          <w:szCs w:val="20"/>
          <w:lang w:val="es-ES"/>
        </w:rPr>
        <w:t xml:space="preserve"> la Comisión Interamericana</w:t>
      </w:r>
      <w:r w:rsidR="00EF2CBB" w:rsidRPr="0044055D">
        <w:rPr>
          <w:rFonts w:ascii="Verdana" w:hAnsi="Verdana" w:cs="Verdana"/>
          <w:sz w:val="20"/>
          <w:szCs w:val="20"/>
          <w:lang w:val="es-ES"/>
        </w:rPr>
        <w:t xml:space="preserve"> de Derechos Humanos (en adelante</w:t>
      </w:r>
      <w:r w:rsidR="00473162" w:rsidRPr="0044055D">
        <w:rPr>
          <w:rFonts w:ascii="Verdana" w:hAnsi="Verdana" w:cs="Verdana"/>
          <w:sz w:val="20"/>
          <w:szCs w:val="20"/>
          <w:lang w:val="es-ES"/>
        </w:rPr>
        <w:t xml:space="preserve"> “la Comisión Interamericana” o </w:t>
      </w:r>
      <w:r w:rsidR="00EF2CBB" w:rsidRPr="0044055D">
        <w:rPr>
          <w:rFonts w:ascii="Verdana" w:hAnsi="Verdana" w:cs="Verdana"/>
          <w:sz w:val="20"/>
          <w:szCs w:val="20"/>
          <w:lang w:val="es-ES"/>
        </w:rPr>
        <w:t>“la Comisión”</w:t>
      </w:r>
      <w:r w:rsidR="00473162" w:rsidRPr="0044055D">
        <w:rPr>
          <w:rFonts w:ascii="Verdana" w:hAnsi="Verdana" w:cs="Verdana"/>
          <w:sz w:val="20"/>
          <w:szCs w:val="20"/>
          <w:lang w:val="es-ES"/>
        </w:rPr>
        <w:t xml:space="preserve">) </w:t>
      </w:r>
      <w:r w:rsidRPr="0044055D">
        <w:rPr>
          <w:rFonts w:ascii="Verdana" w:hAnsi="Verdana" w:cs="Verdana"/>
          <w:sz w:val="20"/>
          <w:szCs w:val="20"/>
          <w:lang w:val="es-ES"/>
        </w:rPr>
        <w:t>presentadas los días</w:t>
      </w:r>
      <w:r w:rsidR="00F0189F" w:rsidRPr="0044055D">
        <w:rPr>
          <w:rFonts w:ascii="Verdana" w:hAnsi="Verdana" w:cs="Verdana"/>
          <w:sz w:val="20"/>
          <w:szCs w:val="20"/>
          <w:lang w:val="es-ES"/>
        </w:rPr>
        <w:t xml:space="preserve"> 6 de noviembre de 2018, 28 de enero</w:t>
      </w:r>
      <w:r w:rsidR="005D590F" w:rsidRPr="0044055D">
        <w:rPr>
          <w:rFonts w:ascii="Verdana" w:hAnsi="Verdana" w:cs="Verdana"/>
          <w:sz w:val="20"/>
          <w:szCs w:val="20"/>
          <w:lang w:val="es-ES"/>
        </w:rPr>
        <w:t xml:space="preserve"> </w:t>
      </w:r>
      <w:r w:rsidR="00F0189F" w:rsidRPr="0044055D">
        <w:rPr>
          <w:rFonts w:ascii="Verdana" w:hAnsi="Verdana" w:cs="Verdana"/>
          <w:sz w:val="20"/>
          <w:szCs w:val="20"/>
          <w:lang w:val="es-ES"/>
        </w:rPr>
        <w:t>y 12 de agosto de 2019</w:t>
      </w:r>
      <w:r w:rsidR="005D590F" w:rsidRPr="0044055D">
        <w:rPr>
          <w:rFonts w:ascii="Verdana" w:hAnsi="Verdana" w:cs="Verdana"/>
          <w:sz w:val="20"/>
          <w:szCs w:val="20"/>
          <w:lang w:val="es-ES"/>
        </w:rPr>
        <w:t xml:space="preserve"> </w:t>
      </w:r>
      <w:r w:rsidR="00F0189F" w:rsidRPr="0044055D">
        <w:rPr>
          <w:rFonts w:ascii="Verdana" w:hAnsi="Verdana" w:cs="Verdana"/>
          <w:sz w:val="20"/>
          <w:szCs w:val="20"/>
          <w:lang w:val="es-ES"/>
        </w:rPr>
        <w:t>y 26 de mayo de 2020</w:t>
      </w:r>
      <w:r w:rsidRPr="0044055D">
        <w:rPr>
          <w:rFonts w:ascii="Verdana" w:hAnsi="Verdana" w:cs="Verdana"/>
          <w:sz w:val="20"/>
          <w:szCs w:val="20"/>
          <w:lang w:val="es-ES"/>
        </w:rPr>
        <w:t>, mediante las cuales remitió sus observaciones a la información proporcionada por el Estado y a las observaciones de las representantes.</w:t>
      </w:r>
    </w:p>
    <w:p w14:paraId="4C860E28" w14:textId="77777777" w:rsidR="00154190" w:rsidRPr="0044055D" w:rsidRDefault="00154190" w:rsidP="00B0538D">
      <w:pPr>
        <w:pStyle w:val="Prrafodelista"/>
        <w:rPr>
          <w:rFonts w:ascii="Verdana" w:hAnsi="Verdana" w:cs="Verdana"/>
          <w:sz w:val="20"/>
          <w:szCs w:val="20"/>
          <w:lang w:val="es-ES"/>
        </w:rPr>
      </w:pPr>
    </w:p>
    <w:p w14:paraId="2AE4CBFD" w14:textId="197FFC1B" w:rsidR="00154190" w:rsidRPr="0044055D" w:rsidRDefault="00154190" w:rsidP="00B0538D">
      <w:pPr>
        <w:pStyle w:val="Prrafodelista"/>
        <w:numPr>
          <w:ilvl w:val="0"/>
          <w:numId w:val="1"/>
        </w:numPr>
        <w:ind w:left="0" w:firstLine="0"/>
        <w:contextualSpacing/>
        <w:jc w:val="both"/>
        <w:rPr>
          <w:rFonts w:ascii="Verdana" w:hAnsi="Verdana" w:cs="Verdana"/>
          <w:sz w:val="20"/>
          <w:szCs w:val="20"/>
          <w:lang w:val="es-ES"/>
        </w:rPr>
      </w:pPr>
      <w:r w:rsidRPr="0044055D">
        <w:rPr>
          <w:rFonts w:ascii="Verdana" w:hAnsi="Verdana" w:cs="Verdana"/>
          <w:sz w:val="20"/>
          <w:szCs w:val="20"/>
          <w:lang w:val="es-ES"/>
        </w:rPr>
        <w:lastRenderedPageBreak/>
        <w:t>El escrito presentado por la Comisión Nacional de</w:t>
      </w:r>
      <w:r w:rsidR="00804542" w:rsidRPr="0044055D">
        <w:rPr>
          <w:rFonts w:ascii="Verdana" w:hAnsi="Verdana" w:cs="Verdana"/>
          <w:sz w:val="20"/>
          <w:szCs w:val="20"/>
          <w:lang w:val="es-ES"/>
        </w:rPr>
        <w:t xml:space="preserve"> los</w:t>
      </w:r>
      <w:r w:rsidRPr="0044055D">
        <w:rPr>
          <w:rFonts w:ascii="Verdana" w:hAnsi="Verdana" w:cs="Verdana"/>
          <w:sz w:val="20"/>
          <w:szCs w:val="20"/>
          <w:lang w:val="es-ES"/>
        </w:rPr>
        <w:t xml:space="preserve"> Derechos Humanos de México (en adelante “la Comisión Nacional de</w:t>
      </w:r>
      <w:r w:rsidR="00804542" w:rsidRPr="0044055D">
        <w:rPr>
          <w:rFonts w:ascii="Verdana" w:hAnsi="Verdana" w:cs="Verdana"/>
          <w:sz w:val="20"/>
          <w:szCs w:val="20"/>
          <w:lang w:val="es-ES"/>
        </w:rPr>
        <w:t xml:space="preserve"> los</w:t>
      </w:r>
      <w:r w:rsidRPr="0044055D">
        <w:rPr>
          <w:rFonts w:ascii="Verdana" w:hAnsi="Verdana" w:cs="Verdana"/>
          <w:sz w:val="20"/>
          <w:szCs w:val="20"/>
          <w:lang w:val="es-ES"/>
        </w:rPr>
        <w:t xml:space="preserve"> Derechos Humanos” o “la CNDH”) presentado el día 21 de febrero de 2018, </w:t>
      </w:r>
      <w:r w:rsidR="00C361BD" w:rsidRPr="0044055D">
        <w:rPr>
          <w:rFonts w:ascii="Verdana" w:hAnsi="Verdana" w:cs="Verdana"/>
          <w:sz w:val="20"/>
          <w:szCs w:val="20"/>
          <w:lang w:val="es-ES"/>
        </w:rPr>
        <w:t>de conformidad</w:t>
      </w:r>
      <w:r w:rsidRPr="0044055D">
        <w:rPr>
          <w:rFonts w:ascii="Verdana" w:hAnsi="Verdana" w:cs="Verdana"/>
          <w:sz w:val="20"/>
          <w:szCs w:val="20"/>
          <w:lang w:val="es-ES"/>
        </w:rPr>
        <w:t xml:space="preserve"> con lo requerido por l</w:t>
      </w:r>
      <w:r w:rsidR="00C361BD" w:rsidRPr="0044055D">
        <w:rPr>
          <w:rFonts w:ascii="Verdana" w:hAnsi="Verdana" w:cs="Verdana"/>
          <w:sz w:val="20"/>
          <w:szCs w:val="20"/>
          <w:lang w:val="es-ES"/>
        </w:rPr>
        <w:t>a Corte en el Punto Resolutivo Q</w:t>
      </w:r>
      <w:r w:rsidRPr="0044055D">
        <w:rPr>
          <w:rFonts w:ascii="Verdana" w:hAnsi="Verdana" w:cs="Verdana"/>
          <w:sz w:val="20"/>
          <w:szCs w:val="20"/>
          <w:lang w:val="es-ES"/>
        </w:rPr>
        <w:t>uinto de la Resolución de 14 de noviembre de 2017 (</w:t>
      </w:r>
      <w:r w:rsidRPr="0044055D">
        <w:rPr>
          <w:rFonts w:ascii="Verdana" w:hAnsi="Verdana" w:cs="Verdana"/>
          <w:i/>
          <w:sz w:val="20"/>
          <w:szCs w:val="20"/>
          <w:lang w:val="es-ES"/>
        </w:rPr>
        <w:t>supra</w:t>
      </w:r>
      <w:r w:rsidRPr="0044055D">
        <w:rPr>
          <w:rFonts w:ascii="Verdana" w:hAnsi="Verdana" w:cs="Verdana"/>
          <w:sz w:val="20"/>
          <w:szCs w:val="20"/>
          <w:lang w:val="es-ES"/>
        </w:rPr>
        <w:t xml:space="preserve"> Visto 1).</w:t>
      </w:r>
    </w:p>
    <w:p w14:paraId="420439ED" w14:textId="048EA0FC" w:rsidR="00A93E1F" w:rsidRPr="0044055D" w:rsidRDefault="00A93E1F" w:rsidP="00B0538D">
      <w:pPr>
        <w:autoSpaceDE w:val="0"/>
        <w:autoSpaceDN w:val="0"/>
        <w:adjustRightInd w:val="0"/>
        <w:spacing w:after="0" w:line="240" w:lineRule="auto"/>
        <w:ind w:right="19"/>
        <w:contextualSpacing/>
        <w:jc w:val="both"/>
        <w:rPr>
          <w:rFonts w:ascii="Verdana" w:hAnsi="Verdana" w:cs="Verdana"/>
          <w:sz w:val="20"/>
          <w:szCs w:val="20"/>
        </w:rPr>
      </w:pPr>
    </w:p>
    <w:p w14:paraId="4103CFFE" w14:textId="0A3CFF77" w:rsidR="00C361BD" w:rsidRPr="0044055D" w:rsidRDefault="00512760" w:rsidP="00B0538D">
      <w:pPr>
        <w:autoSpaceDE w:val="0"/>
        <w:autoSpaceDN w:val="0"/>
        <w:adjustRightInd w:val="0"/>
        <w:spacing w:line="240" w:lineRule="auto"/>
        <w:ind w:right="19"/>
        <w:jc w:val="both"/>
        <w:rPr>
          <w:rFonts w:ascii="Verdana" w:hAnsi="Verdana" w:cs="Verdana"/>
          <w:b/>
          <w:sz w:val="20"/>
          <w:szCs w:val="20"/>
          <w:lang w:val="es-ES"/>
        </w:rPr>
      </w:pPr>
      <w:r w:rsidRPr="0044055D">
        <w:rPr>
          <w:rFonts w:ascii="Verdana" w:hAnsi="Verdana" w:cs="Verdana"/>
          <w:b/>
          <w:sz w:val="20"/>
          <w:szCs w:val="20"/>
          <w:lang w:val="es-ES"/>
        </w:rPr>
        <w:t>CONSIDERANDO QUE:</w:t>
      </w:r>
    </w:p>
    <w:p w14:paraId="6B90CD95" w14:textId="1B772089" w:rsidR="0023115A" w:rsidRDefault="00241A63" w:rsidP="0023115A">
      <w:pPr>
        <w:pStyle w:val="Prrafodelista"/>
        <w:numPr>
          <w:ilvl w:val="0"/>
          <w:numId w:val="24"/>
        </w:numPr>
        <w:ind w:left="0" w:right="22" w:hanging="11"/>
        <w:contextualSpacing/>
        <w:jc w:val="both"/>
        <w:rPr>
          <w:rFonts w:ascii="Verdana" w:hAnsi="Verdana"/>
          <w:sz w:val="20"/>
          <w:szCs w:val="20"/>
          <w:lang w:val="es-MX"/>
        </w:rPr>
      </w:pPr>
      <w:r w:rsidRPr="0044055D">
        <w:rPr>
          <w:rFonts w:ascii="Verdana" w:hAnsi="Verdana"/>
          <w:sz w:val="20"/>
          <w:szCs w:val="20"/>
        </w:rPr>
        <w:t xml:space="preserve">El artículo 63.2 de la Convención Americana dispone que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 </w:t>
      </w:r>
      <w:r w:rsidRPr="0044055D">
        <w:rPr>
          <w:rFonts w:ascii="Verdana" w:hAnsi="Verdana"/>
          <w:sz w:val="20"/>
          <w:szCs w:val="20"/>
          <w:lang w:val="es-MX"/>
        </w:rPr>
        <w:t>Esta disposición está a su vez regulada en el artículo 27 del Reglamento de la Corte (en adelante también “el Reglamento”).</w:t>
      </w:r>
    </w:p>
    <w:p w14:paraId="4427E37D" w14:textId="77777777" w:rsidR="0023115A" w:rsidRDefault="0023115A" w:rsidP="0023115A">
      <w:pPr>
        <w:pStyle w:val="Prrafodelista"/>
        <w:ind w:left="0" w:right="22"/>
        <w:contextualSpacing/>
        <w:jc w:val="both"/>
        <w:rPr>
          <w:rFonts w:ascii="Verdana" w:hAnsi="Verdana"/>
          <w:sz w:val="20"/>
          <w:szCs w:val="20"/>
          <w:lang w:val="es-MX"/>
        </w:rPr>
      </w:pPr>
    </w:p>
    <w:p w14:paraId="10365E17" w14:textId="7F084390" w:rsidR="0023115A" w:rsidRPr="0023115A" w:rsidRDefault="0023115A" w:rsidP="0023115A">
      <w:pPr>
        <w:pStyle w:val="Prrafodelista"/>
        <w:numPr>
          <w:ilvl w:val="0"/>
          <w:numId w:val="24"/>
        </w:numPr>
        <w:ind w:left="0" w:right="22" w:hanging="11"/>
        <w:contextualSpacing/>
        <w:jc w:val="both"/>
        <w:rPr>
          <w:rFonts w:ascii="Verdana" w:hAnsi="Verdana"/>
          <w:sz w:val="20"/>
          <w:szCs w:val="20"/>
          <w:lang w:val="es-MX"/>
        </w:rPr>
      </w:pPr>
      <w:r w:rsidRPr="0023115A">
        <w:rPr>
          <w:rFonts w:ascii="Verdana" w:hAnsi="Verdana"/>
          <w:sz w:val="20"/>
          <w:szCs w:val="20"/>
        </w:rPr>
        <w:t>Las presentes medidas provisionales</w:t>
      </w:r>
      <w:r>
        <w:rPr>
          <w:rFonts w:ascii="Verdana" w:hAnsi="Verdana"/>
          <w:sz w:val="20"/>
          <w:szCs w:val="20"/>
        </w:rPr>
        <w:t xml:space="preserve"> fueron otorgadas por primera vez el 13 de febrero de 2013</w:t>
      </w:r>
      <w:r w:rsidRPr="0023115A">
        <w:rPr>
          <w:rFonts w:ascii="Verdana" w:hAnsi="Verdana"/>
          <w:sz w:val="20"/>
          <w:szCs w:val="20"/>
        </w:rPr>
        <w:t xml:space="preserve"> </w:t>
      </w:r>
      <w:r>
        <w:rPr>
          <w:rFonts w:ascii="Verdana" w:hAnsi="Verdana"/>
          <w:sz w:val="20"/>
          <w:szCs w:val="20"/>
        </w:rPr>
        <w:t>a solicitud de la Comisión Interamericana</w:t>
      </w:r>
      <w:r w:rsidR="005317CC">
        <w:rPr>
          <w:rFonts w:ascii="Verdana" w:hAnsi="Verdana"/>
          <w:sz w:val="20"/>
          <w:szCs w:val="20"/>
        </w:rPr>
        <w:t xml:space="preserve">, ante el peligro </w:t>
      </w:r>
      <w:r w:rsidR="005317CC">
        <w:rPr>
          <w:rFonts w:ascii="Verdana" w:hAnsi="Verdana"/>
          <w:i/>
          <w:sz w:val="20"/>
          <w:szCs w:val="20"/>
        </w:rPr>
        <w:t xml:space="preserve">prima facie </w:t>
      </w:r>
      <w:r w:rsidR="005317CC">
        <w:rPr>
          <w:rFonts w:ascii="Verdana" w:hAnsi="Verdana"/>
          <w:sz w:val="20"/>
          <w:szCs w:val="20"/>
        </w:rPr>
        <w:t>de un riesgo que presenta</w:t>
      </w:r>
      <w:r w:rsidR="007A583B">
        <w:rPr>
          <w:rFonts w:ascii="Verdana" w:hAnsi="Verdana"/>
          <w:sz w:val="20"/>
          <w:szCs w:val="20"/>
        </w:rPr>
        <w:t>ba</w:t>
      </w:r>
      <w:r w:rsidR="005317CC">
        <w:rPr>
          <w:rFonts w:ascii="Verdana" w:hAnsi="Verdana"/>
          <w:sz w:val="20"/>
          <w:szCs w:val="20"/>
        </w:rPr>
        <w:t xml:space="preserve"> la labor de la señora Castro Rodríguez dentro de las organizaciones “El Barzón” y la </w:t>
      </w:r>
      <w:r w:rsidR="005317CC">
        <w:rPr>
          <w:rFonts w:ascii="Verdana" w:hAnsi="Verdana" w:cs="Verdana"/>
          <w:sz w:val="20"/>
          <w:szCs w:val="20"/>
          <w:lang w:val="es-ES"/>
        </w:rPr>
        <w:t xml:space="preserve">CEDEHM, que hizo necesaria la adopción de medidas provisionales a efectos de evitar el posible acaecimiento de daños irreparables contra los derechos a su vida e integridad personal. Al respecto, este Tribunal hace notar que </w:t>
      </w:r>
      <w:r w:rsidR="00130A1A">
        <w:rPr>
          <w:rFonts w:ascii="Verdana" w:hAnsi="Verdana" w:cs="Verdana"/>
          <w:sz w:val="20"/>
          <w:szCs w:val="20"/>
          <w:lang w:val="es-ES"/>
        </w:rPr>
        <w:t>las circunstancias</w:t>
      </w:r>
      <w:r w:rsidR="005317CC">
        <w:rPr>
          <w:rFonts w:ascii="Verdana" w:hAnsi="Verdana" w:cs="Verdana"/>
          <w:sz w:val="20"/>
          <w:szCs w:val="20"/>
          <w:lang w:val="es-ES"/>
        </w:rPr>
        <w:t xml:space="preserve"> que le dieron lugar a la adopci</w:t>
      </w:r>
      <w:r w:rsidR="00130A1A">
        <w:rPr>
          <w:rFonts w:ascii="Verdana" w:hAnsi="Verdana" w:cs="Verdana"/>
          <w:sz w:val="20"/>
          <w:szCs w:val="20"/>
          <w:lang w:val="es-ES"/>
        </w:rPr>
        <w:t>ó</w:t>
      </w:r>
      <w:r w:rsidR="006F5BEC">
        <w:rPr>
          <w:rFonts w:ascii="Verdana" w:hAnsi="Verdana" w:cs="Verdana"/>
          <w:sz w:val="20"/>
          <w:szCs w:val="20"/>
          <w:lang w:val="es-ES"/>
        </w:rPr>
        <w:t>n de dichas medidas se relacionó</w:t>
      </w:r>
      <w:r w:rsidR="00130A1A">
        <w:rPr>
          <w:rFonts w:ascii="Verdana" w:hAnsi="Verdana" w:cs="Verdana"/>
          <w:sz w:val="20"/>
          <w:szCs w:val="20"/>
          <w:lang w:val="es-ES"/>
        </w:rPr>
        <w:t xml:space="preserve"> con hechos de violencia y amenazas directas, que presumiblemente involucraron a autoridades estatales de Chihuahua, en relación con miembros de las organizaciones antes mencionadas, así como declaraciones públicas realizadas por autoridades estatales en relación con el trabajo de la beneficiaria.</w:t>
      </w:r>
    </w:p>
    <w:p w14:paraId="03AFC5BD" w14:textId="77777777" w:rsidR="00241A63" w:rsidRPr="0044055D" w:rsidRDefault="00241A63" w:rsidP="00B0538D">
      <w:pPr>
        <w:pStyle w:val="Prrafodelista"/>
        <w:ind w:left="0" w:right="22"/>
        <w:contextualSpacing/>
        <w:jc w:val="both"/>
        <w:rPr>
          <w:rFonts w:ascii="Verdana" w:hAnsi="Verdana"/>
          <w:sz w:val="20"/>
          <w:szCs w:val="20"/>
          <w:lang w:val="es-MX"/>
        </w:rPr>
      </w:pPr>
    </w:p>
    <w:p w14:paraId="2A2F1873" w14:textId="15AC41BC" w:rsidR="00241A63" w:rsidRPr="0044055D" w:rsidRDefault="00241A63" w:rsidP="00B0538D">
      <w:pPr>
        <w:pStyle w:val="Prrafodelista"/>
        <w:numPr>
          <w:ilvl w:val="0"/>
          <w:numId w:val="24"/>
        </w:numPr>
        <w:ind w:left="0" w:right="22" w:hanging="11"/>
        <w:contextualSpacing/>
        <w:jc w:val="both"/>
        <w:rPr>
          <w:rFonts w:ascii="Verdana" w:hAnsi="Verdana"/>
          <w:sz w:val="20"/>
          <w:szCs w:val="20"/>
        </w:rPr>
      </w:pPr>
      <w:r w:rsidRPr="0044055D">
        <w:rPr>
          <w:rFonts w:ascii="Verdana" w:hAnsi="Verdana"/>
          <w:sz w:val="20"/>
          <w:szCs w:val="20"/>
          <w:lang w:val="es-MX"/>
        </w:rPr>
        <w:t>Las medidas provisionales tienen una naturaleza temporal y carácter excepcional y son dictadas siempre y cuando se reúnan los requisitos básicos de extrema gravedad, urgencia y necesidad de evitar daños irreparables a las personas. Estos tres requisitos son coexistentes y deben persistir para que la Corte mantenga la protección ordenada; si uno de ellos ha dejado de tener vigencia, corresponderá al Tribunal valorar la pertinencia de su continuación</w:t>
      </w:r>
      <w:r w:rsidRPr="0044055D">
        <w:rPr>
          <w:rFonts w:ascii="Verdana" w:hAnsi="Verdana"/>
          <w:sz w:val="20"/>
          <w:szCs w:val="20"/>
          <w:vertAlign w:val="superscript"/>
          <w:lang w:val="es-MX"/>
        </w:rPr>
        <w:footnoteReference w:id="3"/>
      </w:r>
      <w:r w:rsidRPr="0044055D">
        <w:rPr>
          <w:rFonts w:ascii="Verdana" w:hAnsi="Verdana"/>
          <w:sz w:val="20"/>
          <w:szCs w:val="20"/>
          <w:lang w:val="es-MX"/>
        </w:rPr>
        <w:t>. Así, a efectos de decidir si se mantiene la vigencia de las medidas provisionales, el Tribunal debe analizar si persiste la situación que determinó su adopción, o bien si nuevas circunstancias igualmente graves y urgentes ameritan su mantenimiento</w:t>
      </w:r>
      <w:r w:rsidRPr="0044055D">
        <w:rPr>
          <w:rFonts w:ascii="Verdana" w:hAnsi="Verdana"/>
          <w:sz w:val="20"/>
          <w:szCs w:val="20"/>
          <w:vertAlign w:val="superscript"/>
          <w:lang w:val="es-MX"/>
        </w:rPr>
        <w:footnoteReference w:id="4"/>
      </w:r>
      <w:r w:rsidRPr="0044055D">
        <w:rPr>
          <w:rFonts w:ascii="Verdana" w:hAnsi="Verdana"/>
          <w:sz w:val="20"/>
          <w:szCs w:val="20"/>
          <w:lang w:val="es-MX"/>
        </w:rPr>
        <w:t>.</w:t>
      </w:r>
    </w:p>
    <w:p w14:paraId="06F3AF6A" w14:textId="77777777" w:rsidR="00241A63" w:rsidRPr="0044055D" w:rsidRDefault="00241A63" w:rsidP="00B0538D">
      <w:pPr>
        <w:pStyle w:val="Prrafodelista"/>
        <w:rPr>
          <w:rFonts w:ascii="Verdana" w:hAnsi="Verdana"/>
          <w:sz w:val="20"/>
          <w:szCs w:val="20"/>
        </w:rPr>
      </w:pPr>
    </w:p>
    <w:p w14:paraId="15A68105" w14:textId="0BE2DB73" w:rsidR="009F3F32" w:rsidRPr="0044055D" w:rsidRDefault="00457538" w:rsidP="00C9457B">
      <w:pPr>
        <w:pStyle w:val="Prrafodelista"/>
        <w:numPr>
          <w:ilvl w:val="0"/>
          <w:numId w:val="24"/>
        </w:numPr>
        <w:ind w:left="0" w:right="22" w:hanging="11"/>
        <w:contextualSpacing/>
        <w:jc w:val="both"/>
        <w:rPr>
          <w:rFonts w:ascii="Verdana" w:hAnsi="Verdana" w:cs="Arial"/>
          <w:sz w:val="20"/>
          <w:szCs w:val="20"/>
          <w:lang w:val="es-ES"/>
        </w:rPr>
      </w:pPr>
      <w:r w:rsidRPr="0044055D">
        <w:rPr>
          <w:rFonts w:ascii="Verdana" w:hAnsi="Verdana" w:cs="Verdana"/>
          <w:sz w:val="20"/>
          <w:szCs w:val="20"/>
          <w:lang w:val="es-ES"/>
        </w:rPr>
        <w:t>D</w:t>
      </w:r>
      <w:r w:rsidR="004F6633" w:rsidRPr="0044055D">
        <w:rPr>
          <w:rFonts w:ascii="Verdana" w:hAnsi="Verdana" w:cs="Verdana"/>
          <w:sz w:val="20"/>
          <w:szCs w:val="20"/>
          <w:lang w:val="es-ES"/>
        </w:rPr>
        <w:t xml:space="preserve">e acuerdo </w:t>
      </w:r>
      <w:r w:rsidR="003609A3" w:rsidRPr="0044055D">
        <w:rPr>
          <w:rFonts w:ascii="Verdana" w:hAnsi="Verdana" w:cs="Verdana"/>
          <w:sz w:val="20"/>
          <w:szCs w:val="20"/>
          <w:lang w:val="es-ES"/>
        </w:rPr>
        <w:t>con</w:t>
      </w:r>
      <w:r w:rsidR="00683126" w:rsidRPr="0044055D">
        <w:rPr>
          <w:rFonts w:ascii="Verdana" w:hAnsi="Verdana" w:cs="Verdana"/>
          <w:sz w:val="20"/>
          <w:szCs w:val="20"/>
          <w:lang w:val="es-ES"/>
        </w:rPr>
        <w:t xml:space="preserve"> </w:t>
      </w:r>
      <w:r w:rsidR="004F6633" w:rsidRPr="0044055D">
        <w:rPr>
          <w:rFonts w:ascii="Verdana" w:hAnsi="Verdana" w:cs="Verdana"/>
          <w:sz w:val="20"/>
          <w:szCs w:val="20"/>
          <w:lang w:val="es-ES"/>
        </w:rPr>
        <w:t xml:space="preserve">lo expuesto y de conformidad </w:t>
      </w:r>
      <w:r w:rsidR="002272F5" w:rsidRPr="0044055D">
        <w:rPr>
          <w:rFonts w:ascii="Verdana" w:hAnsi="Verdana" w:cs="Verdana"/>
          <w:sz w:val="20"/>
          <w:szCs w:val="20"/>
          <w:lang w:val="es-ES"/>
        </w:rPr>
        <w:t>con</w:t>
      </w:r>
      <w:r w:rsidR="004F6633" w:rsidRPr="0044055D">
        <w:rPr>
          <w:rFonts w:ascii="Verdana" w:hAnsi="Verdana" w:cs="Verdana"/>
          <w:sz w:val="20"/>
          <w:szCs w:val="20"/>
          <w:lang w:val="es-ES"/>
        </w:rPr>
        <w:t xml:space="preserve"> lo </w:t>
      </w:r>
      <w:r w:rsidR="00F741B8" w:rsidRPr="0044055D">
        <w:rPr>
          <w:rFonts w:ascii="Verdana" w:hAnsi="Verdana" w:cs="Verdana"/>
          <w:sz w:val="20"/>
          <w:szCs w:val="20"/>
          <w:lang w:val="es-ES"/>
        </w:rPr>
        <w:t>decidido</w:t>
      </w:r>
      <w:r w:rsidR="004F6633" w:rsidRPr="0044055D">
        <w:rPr>
          <w:rFonts w:ascii="Verdana" w:hAnsi="Verdana" w:cs="Verdana"/>
          <w:sz w:val="20"/>
          <w:szCs w:val="20"/>
          <w:lang w:val="es-ES"/>
        </w:rPr>
        <w:t xml:space="preserve"> en la última Resolución (</w:t>
      </w:r>
      <w:r w:rsidR="004F6633" w:rsidRPr="0044055D">
        <w:rPr>
          <w:rFonts w:ascii="Verdana" w:hAnsi="Verdana" w:cs="Verdana"/>
          <w:i/>
          <w:sz w:val="20"/>
          <w:szCs w:val="20"/>
          <w:lang w:val="es-ES"/>
        </w:rPr>
        <w:t xml:space="preserve">supra </w:t>
      </w:r>
      <w:r w:rsidR="004F6633" w:rsidRPr="0044055D">
        <w:rPr>
          <w:rFonts w:ascii="Verdana" w:hAnsi="Verdana" w:cs="Verdana"/>
          <w:sz w:val="20"/>
          <w:szCs w:val="20"/>
          <w:lang w:val="es-ES"/>
        </w:rPr>
        <w:t xml:space="preserve">Visto 1), </w:t>
      </w:r>
      <w:r w:rsidR="007A583B">
        <w:rPr>
          <w:rFonts w:ascii="Verdana" w:hAnsi="Verdana" w:cs="Verdana"/>
          <w:sz w:val="20"/>
          <w:szCs w:val="20"/>
          <w:lang w:val="es-CR"/>
        </w:rPr>
        <w:t>a</w:t>
      </w:r>
      <w:r w:rsidR="001307CB" w:rsidRPr="001307CB">
        <w:rPr>
          <w:rFonts w:ascii="Verdana" w:hAnsi="Verdana" w:cs="Verdana"/>
          <w:sz w:val="20"/>
          <w:szCs w:val="20"/>
          <w:lang w:val="es-CR"/>
        </w:rPr>
        <w:t xml:space="preserve"> efectos de decidir si se mantiene la vigencia de las presentes medidas provisionales, la Corte examinará</w:t>
      </w:r>
      <w:r w:rsidR="001307CB">
        <w:rPr>
          <w:rFonts w:ascii="Verdana" w:hAnsi="Verdana" w:cs="Verdana"/>
          <w:sz w:val="20"/>
          <w:szCs w:val="20"/>
          <w:lang w:val="es-CR"/>
        </w:rPr>
        <w:t>:</w:t>
      </w:r>
      <w:r w:rsidR="001307CB" w:rsidRPr="001307CB">
        <w:rPr>
          <w:rFonts w:ascii="Verdana" w:hAnsi="Verdana" w:cs="Verdana"/>
          <w:sz w:val="20"/>
          <w:szCs w:val="20"/>
          <w:lang w:val="es-CR"/>
        </w:rPr>
        <w:t xml:space="preserve"> </w:t>
      </w:r>
      <w:r w:rsidR="0085252A" w:rsidRPr="0044055D">
        <w:rPr>
          <w:rFonts w:ascii="Verdana" w:hAnsi="Verdana" w:cs="Verdana"/>
          <w:sz w:val="20"/>
          <w:szCs w:val="20"/>
          <w:lang w:val="es-ES"/>
        </w:rPr>
        <w:t>a)</w:t>
      </w:r>
      <w:r w:rsidR="00BC00EA">
        <w:rPr>
          <w:rFonts w:ascii="Verdana" w:hAnsi="Verdana" w:cs="Verdana"/>
          <w:sz w:val="20"/>
          <w:szCs w:val="20"/>
          <w:lang w:val="es-ES"/>
        </w:rPr>
        <w:t xml:space="preserve"> la información presentada por las partes y las observaciones de la Comisión y</w:t>
      </w:r>
      <w:r w:rsidR="0080137D">
        <w:rPr>
          <w:rFonts w:ascii="Verdana" w:hAnsi="Verdana" w:cs="Verdana"/>
          <w:sz w:val="20"/>
          <w:szCs w:val="20"/>
          <w:lang w:val="es-ES"/>
        </w:rPr>
        <w:t>,</w:t>
      </w:r>
      <w:r w:rsidR="00BC00EA">
        <w:rPr>
          <w:rFonts w:ascii="Verdana" w:hAnsi="Verdana" w:cs="Verdana"/>
          <w:sz w:val="20"/>
          <w:szCs w:val="20"/>
          <w:lang w:val="es-ES"/>
        </w:rPr>
        <w:t xml:space="preserve"> a partir de ello</w:t>
      </w:r>
      <w:r w:rsidR="0080137D">
        <w:rPr>
          <w:rFonts w:ascii="Verdana" w:hAnsi="Verdana" w:cs="Verdana"/>
          <w:sz w:val="20"/>
          <w:szCs w:val="20"/>
          <w:lang w:val="es-ES"/>
        </w:rPr>
        <w:t>,</w:t>
      </w:r>
      <w:r w:rsidR="00BC00EA">
        <w:rPr>
          <w:rFonts w:ascii="Verdana" w:hAnsi="Verdana" w:cs="Verdana"/>
          <w:sz w:val="20"/>
          <w:szCs w:val="20"/>
          <w:lang w:val="es-ES"/>
        </w:rPr>
        <w:t xml:space="preserve"> </w:t>
      </w:r>
      <w:r w:rsidR="0080137D">
        <w:rPr>
          <w:rFonts w:ascii="Verdana" w:hAnsi="Verdana" w:cs="Arial"/>
          <w:sz w:val="20"/>
          <w:szCs w:val="20"/>
          <w:lang w:val="es-ES"/>
        </w:rPr>
        <w:t xml:space="preserve">se pronunciará sobre: </w:t>
      </w:r>
      <w:r w:rsidR="00BC00EA">
        <w:rPr>
          <w:rFonts w:ascii="Verdana" w:hAnsi="Verdana" w:cs="Verdana"/>
          <w:sz w:val="20"/>
          <w:szCs w:val="20"/>
          <w:lang w:val="es-ES"/>
        </w:rPr>
        <w:t>b</w:t>
      </w:r>
      <w:r w:rsidR="005230D0">
        <w:rPr>
          <w:rFonts w:ascii="Verdana" w:hAnsi="Verdana" w:cs="Verdana"/>
          <w:sz w:val="20"/>
          <w:szCs w:val="20"/>
          <w:lang w:val="es-ES"/>
        </w:rPr>
        <w:t>.1</w:t>
      </w:r>
      <w:r w:rsidR="00BC00EA">
        <w:rPr>
          <w:rFonts w:ascii="Verdana" w:hAnsi="Verdana" w:cs="Verdana"/>
          <w:sz w:val="20"/>
          <w:szCs w:val="20"/>
          <w:lang w:val="es-ES"/>
        </w:rPr>
        <w:t>)</w:t>
      </w:r>
      <w:r w:rsidR="00366FBC" w:rsidRPr="0044055D">
        <w:rPr>
          <w:rFonts w:ascii="Verdana" w:hAnsi="Verdana" w:cs="Verdana"/>
          <w:sz w:val="20"/>
          <w:szCs w:val="20"/>
          <w:lang w:val="es-ES"/>
        </w:rPr>
        <w:t xml:space="preserve"> </w:t>
      </w:r>
      <w:r w:rsidR="00057F7A" w:rsidRPr="0044055D">
        <w:rPr>
          <w:rFonts w:ascii="Verdana" w:hAnsi="Verdana" w:cs="Arial"/>
          <w:sz w:val="20"/>
          <w:szCs w:val="20"/>
          <w:lang w:val="es-ES"/>
        </w:rPr>
        <w:t>la</w:t>
      </w:r>
      <w:r w:rsidR="0085252A" w:rsidRPr="0044055D">
        <w:rPr>
          <w:rFonts w:ascii="Verdana" w:hAnsi="Verdana" w:cs="Arial"/>
          <w:sz w:val="20"/>
          <w:szCs w:val="20"/>
          <w:lang w:val="es-ES"/>
        </w:rPr>
        <w:t xml:space="preserve"> situaci</w:t>
      </w:r>
      <w:r w:rsidR="00D54780">
        <w:rPr>
          <w:rFonts w:ascii="Verdana" w:hAnsi="Verdana" w:cs="Arial"/>
          <w:sz w:val="20"/>
          <w:szCs w:val="20"/>
          <w:lang w:val="es-ES"/>
        </w:rPr>
        <w:t>ón de riesgo de la beneficiaria</w:t>
      </w:r>
      <w:r w:rsidR="0080137D">
        <w:rPr>
          <w:rFonts w:ascii="Verdana" w:hAnsi="Verdana" w:cs="Arial"/>
          <w:sz w:val="20"/>
          <w:szCs w:val="20"/>
          <w:lang w:val="es-ES"/>
        </w:rPr>
        <w:t>;</w:t>
      </w:r>
      <w:r w:rsidR="0085252A" w:rsidRPr="0044055D">
        <w:rPr>
          <w:rFonts w:ascii="Verdana" w:hAnsi="Verdana" w:cs="Arial"/>
          <w:sz w:val="20"/>
          <w:szCs w:val="20"/>
          <w:lang w:val="es-ES"/>
        </w:rPr>
        <w:t xml:space="preserve"> </w:t>
      </w:r>
      <w:r w:rsidR="005230D0">
        <w:rPr>
          <w:rFonts w:ascii="Verdana" w:hAnsi="Verdana" w:cs="Arial"/>
          <w:sz w:val="20"/>
          <w:szCs w:val="20"/>
          <w:lang w:val="es-ES"/>
        </w:rPr>
        <w:t>b.2</w:t>
      </w:r>
      <w:r w:rsidR="001543A6" w:rsidRPr="0044055D">
        <w:rPr>
          <w:rFonts w:ascii="Verdana" w:hAnsi="Verdana" w:cs="Arial"/>
          <w:sz w:val="20"/>
          <w:szCs w:val="20"/>
          <w:lang w:val="es-ES"/>
        </w:rPr>
        <w:t>) la</w:t>
      </w:r>
      <w:r w:rsidR="00057F7A" w:rsidRPr="0044055D">
        <w:rPr>
          <w:rFonts w:ascii="Verdana" w:hAnsi="Verdana" w:cs="Arial"/>
          <w:sz w:val="20"/>
          <w:szCs w:val="20"/>
          <w:lang w:val="es-ES"/>
        </w:rPr>
        <w:t xml:space="preserve"> implementación de las medidas de protección por parte del Estado</w:t>
      </w:r>
      <w:r w:rsidR="00D54780">
        <w:rPr>
          <w:rFonts w:ascii="Verdana" w:hAnsi="Verdana" w:cs="Arial"/>
          <w:sz w:val="20"/>
          <w:szCs w:val="20"/>
          <w:lang w:val="es-ES"/>
        </w:rPr>
        <w:t>; y</w:t>
      </w:r>
      <w:r w:rsidR="00BC00EA">
        <w:rPr>
          <w:rFonts w:ascii="Verdana" w:hAnsi="Verdana" w:cs="Arial"/>
          <w:sz w:val="20"/>
          <w:szCs w:val="20"/>
          <w:lang w:val="es-ES"/>
        </w:rPr>
        <w:t xml:space="preserve"> </w:t>
      </w:r>
      <w:r w:rsidR="005230D0">
        <w:rPr>
          <w:rFonts w:ascii="Verdana" w:hAnsi="Verdana" w:cs="Arial"/>
          <w:sz w:val="20"/>
          <w:szCs w:val="20"/>
          <w:lang w:val="es-ES"/>
        </w:rPr>
        <w:t>b.3</w:t>
      </w:r>
      <w:r w:rsidR="00D54780">
        <w:rPr>
          <w:rFonts w:ascii="Verdana" w:hAnsi="Verdana" w:cs="Arial"/>
          <w:sz w:val="20"/>
          <w:szCs w:val="20"/>
          <w:lang w:val="es-ES"/>
        </w:rPr>
        <w:t xml:space="preserve">) la </w:t>
      </w:r>
      <w:r w:rsidR="00BC00EA">
        <w:rPr>
          <w:rFonts w:ascii="Verdana" w:hAnsi="Verdana" w:cs="Arial"/>
          <w:sz w:val="20"/>
          <w:szCs w:val="20"/>
          <w:lang w:val="es-ES"/>
        </w:rPr>
        <w:t xml:space="preserve">presentación de </w:t>
      </w:r>
      <w:r w:rsidR="00D54780">
        <w:rPr>
          <w:rFonts w:ascii="Verdana" w:hAnsi="Verdana" w:cs="Arial"/>
          <w:sz w:val="20"/>
          <w:szCs w:val="20"/>
          <w:lang w:val="es-ES"/>
        </w:rPr>
        <w:t>información sobre acciones de investigación</w:t>
      </w:r>
      <w:r w:rsidR="00C361BD" w:rsidRPr="0044055D">
        <w:rPr>
          <w:rFonts w:ascii="Verdana" w:hAnsi="Verdana" w:cs="Arial"/>
          <w:sz w:val="20"/>
          <w:szCs w:val="20"/>
        </w:rPr>
        <w:t>.</w:t>
      </w:r>
    </w:p>
    <w:p w14:paraId="2E6D2F8E" w14:textId="6C59BFF8" w:rsidR="00DC270C" w:rsidRDefault="00DC270C" w:rsidP="00B0538D">
      <w:pPr>
        <w:pStyle w:val="Prrafodelista"/>
        <w:tabs>
          <w:tab w:val="left" w:pos="709"/>
        </w:tabs>
        <w:ind w:left="0"/>
        <w:contextualSpacing/>
        <w:jc w:val="both"/>
        <w:rPr>
          <w:rFonts w:ascii="Verdana" w:hAnsi="Verdana" w:cs="Arial"/>
          <w:sz w:val="20"/>
          <w:szCs w:val="20"/>
          <w:lang w:val="es-ES"/>
        </w:rPr>
      </w:pPr>
    </w:p>
    <w:p w14:paraId="5697E6C4" w14:textId="7BC0EF6B" w:rsidR="001543A6" w:rsidRPr="00BC00EA" w:rsidRDefault="00BC00EA" w:rsidP="00BC00EA">
      <w:pPr>
        <w:pStyle w:val="Prrafodelista"/>
        <w:numPr>
          <w:ilvl w:val="0"/>
          <w:numId w:val="25"/>
        </w:numPr>
        <w:ind w:left="0" w:firstLine="0"/>
        <w:jc w:val="both"/>
        <w:rPr>
          <w:rFonts w:ascii="Verdana" w:hAnsi="Verdana" w:cs="Arial"/>
          <w:b/>
          <w:i/>
          <w:sz w:val="20"/>
          <w:szCs w:val="20"/>
        </w:rPr>
      </w:pPr>
      <w:r w:rsidRPr="00BC00EA">
        <w:rPr>
          <w:rFonts w:ascii="Verdana" w:hAnsi="Verdana" w:cs="Arial"/>
          <w:b/>
          <w:i/>
          <w:sz w:val="20"/>
          <w:szCs w:val="20"/>
        </w:rPr>
        <w:t>Información presentada por las partes y observaciones de la Comisión</w:t>
      </w:r>
    </w:p>
    <w:p w14:paraId="3E6C3EED" w14:textId="77777777" w:rsidR="00D54780" w:rsidRDefault="00D54780" w:rsidP="00D54780">
      <w:pPr>
        <w:pStyle w:val="Prrafodelista"/>
        <w:ind w:left="0" w:right="22"/>
        <w:contextualSpacing/>
        <w:jc w:val="both"/>
        <w:rPr>
          <w:rFonts w:ascii="Verdana" w:eastAsia="Times New Roman" w:hAnsi="Verdana" w:cs="Arial"/>
          <w:sz w:val="20"/>
          <w:szCs w:val="20"/>
          <w:lang w:val="es-ES"/>
        </w:rPr>
      </w:pPr>
    </w:p>
    <w:p w14:paraId="0B4DF050" w14:textId="7AD45275" w:rsidR="00663F26" w:rsidRPr="0044055D" w:rsidRDefault="00912E17" w:rsidP="00B0538D">
      <w:pPr>
        <w:pStyle w:val="Prrafodelista"/>
        <w:numPr>
          <w:ilvl w:val="0"/>
          <w:numId w:val="24"/>
        </w:numPr>
        <w:ind w:left="0" w:right="22" w:hanging="11"/>
        <w:contextualSpacing/>
        <w:jc w:val="both"/>
        <w:rPr>
          <w:rFonts w:ascii="Verdana" w:eastAsia="Times New Roman" w:hAnsi="Verdana" w:cs="Arial"/>
          <w:sz w:val="20"/>
          <w:szCs w:val="20"/>
          <w:lang w:val="es-ES"/>
        </w:rPr>
      </w:pPr>
      <w:r>
        <w:rPr>
          <w:rFonts w:ascii="Verdana" w:eastAsia="Times New Roman" w:hAnsi="Verdana" w:cs="Arial"/>
          <w:sz w:val="20"/>
          <w:szCs w:val="20"/>
          <w:lang w:val="es-ES"/>
        </w:rPr>
        <w:lastRenderedPageBreak/>
        <w:t>En sus informes,</w:t>
      </w:r>
      <w:r w:rsidR="00663F26" w:rsidRPr="0044055D">
        <w:rPr>
          <w:rFonts w:ascii="Verdana" w:eastAsia="Times New Roman" w:hAnsi="Verdana" w:cs="Arial"/>
          <w:sz w:val="20"/>
          <w:szCs w:val="20"/>
          <w:lang w:val="es-ES"/>
        </w:rPr>
        <w:t xml:space="preserve"> el </w:t>
      </w:r>
      <w:r w:rsidR="00663F26" w:rsidRPr="00912E17">
        <w:rPr>
          <w:rFonts w:ascii="Verdana" w:eastAsia="Times New Roman" w:hAnsi="Verdana" w:cs="Arial"/>
          <w:b/>
          <w:i/>
          <w:sz w:val="20"/>
          <w:szCs w:val="20"/>
          <w:lang w:val="es-ES"/>
        </w:rPr>
        <w:t>Estado</w:t>
      </w:r>
      <w:r w:rsidR="00663F26" w:rsidRPr="0044055D">
        <w:rPr>
          <w:rFonts w:ascii="Verdana" w:eastAsia="Times New Roman" w:hAnsi="Verdana" w:cs="Arial"/>
          <w:sz w:val="20"/>
          <w:szCs w:val="20"/>
          <w:lang w:val="es-ES"/>
        </w:rPr>
        <w:t xml:space="preserve"> presentó la siguiente información respecto a </w:t>
      </w:r>
      <w:r>
        <w:rPr>
          <w:rFonts w:ascii="Verdana" w:eastAsia="Times New Roman" w:hAnsi="Verdana" w:cs="Arial"/>
          <w:sz w:val="20"/>
          <w:szCs w:val="20"/>
          <w:lang w:val="es-ES"/>
        </w:rPr>
        <w:t>las acciones</w:t>
      </w:r>
      <w:r w:rsidR="00663F26" w:rsidRPr="0044055D">
        <w:rPr>
          <w:rFonts w:ascii="Verdana" w:eastAsia="Times New Roman" w:hAnsi="Verdana" w:cs="Arial"/>
          <w:sz w:val="20"/>
          <w:szCs w:val="20"/>
          <w:lang w:val="es-ES"/>
        </w:rPr>
        <w:t xml:space="preserve"> </w:t>
      </w:r>
      <w:r>
        <w:rPr>
          <w:rFonts w:ascii="Verdana" w:eastAsia="Times New Roman" w:hAnsi="Verdana" w:cs="Arial"/>
          <w:sz w:val="20"/>
          <w:szCs w:val="20"/>
          <w:lang w:val="es-ES"/>
        </w:rPr>
        <w:t xml:space="preserve">adoptadas en cumplimiento a las medidas ordenadas en la resolución del Tribunal de 14 de noviembre de 2017 </w:t>
      </w:r>
      <w:r w:rsidRPr="0044055D">
        <w:rPr>
          <w:rFonts w:ascii="Verdana" w:hAnsi="Verdana" w:cs="Verdana"/>
          <w:sz w:val="20"/>
          <w:szCs w:val="20"/>
          <w:lang w:val="es-ES"/>
        </w:rPr>
        <w:t>(</w:t>
      </w:r>
      <w:r w:rsidRPr="0044055D">
        <w:rPr>
          <w:rFonts w:ascii="Verdana" w:hAnsi="Verdana" w:cs="Verdana"/>
          <w:i/>
          <w:sz w:val="20"/>
          <w:szCs w:val="20"/>
          <w:lang w:val="es-ES"/>
        </w:rPr>
        <w:t>supra</w:t>
      </w:r>
      <w:r w:rsidRPr="0044055D">
        <w:rPr>
          <w:rFonts w:ascii="Verdana" w:hAnsi="Verdana" w:cs="Verdana"/>
          <w:sz w:val="20"/>
          <w:szCs w:val="20"/>
          <w:lang w:val="es-ES"/>
        </w:rPr>
        <w:t xml:space="preserve"> Visto 1)</w:t>
      </w:r>
      <w:r w:rsidR="00663F26" w:rsidRPr="0044055D">
        <w:rPr>
          <w:rFonts w:ascii="Verdana" w:eastAsia="Times New Roman" w:hAnsi="Verdana" w:cs="Arial"/>
          <w:sz w:val="20"/>
          <w:szCs w:val="20"/>
          <w:lang w:val="es-ES"/>
        </w:rPr>
        <w:t>:</w:t>
      </w:r>
    </w:p>
    <w:p w14:paraId="29EA7EB5" w14:textId="77777777" w:rsidR="00663F26" w:rsidRPr="00912E17" w:rsidRDefault="00663F26" w:rsidP="00B0538D">
      <w:pPr>
        <w:pStyle w:val="Prrafodelista"/>
        <w:ind w:left="0" w:right="22"/>
        <w:contextualSpacing/>
        <w:jc w:val="both"/>
        <w:rPr>
          <w:rFonts w:ascii="Verdana" w:hAnsi="Verdana"/>
          <w:sz w:val="18"/>
          <w:szCs w:val="20"/>
          <w:lang w:val="es-ES"/>
        </w:rPr>
      </w:pPr>
    </w:p>
    <w:p w14:paraId="73603E80" w14:textId="4FEBF1B0" w:rsidR="00BA57BD" w:rsidRPr="0044055D" w:rsidRDefault="00663F26" w:rsidP="007A5BDF">
      <w:pPr>
        <w:pStyle w:val="Prrafodelista"/>
        <w:numPr>
          <w:ilvl w:val="0"/>
          <w:numId w:val="18"/>
        </w:numPr>
        <w:autoSpaceDE w:val="0"/>
        <w:autoSpaceDN w:val="0"/>
        <w:adjustRightInd w:val="0"/>
        <w:jc w:val="both"/>
        <w:rPr>
          <w:rFonts w:ascii="Verdana" w:hAnsi="Verdana"/>
          <w:sz w:val="18"/>
          <w:szCs w:val="18"/>
          <w:lang w:val="es-ES"/>
        </w:rPr>
      </w:pPr>
      <w:r w:rsidRPr="0044055D">
        <w:rPr>
          <w:rFonts w:ascii="Verdana" w:hAnsi="Verdana"/>
          <w:sz w:val="18"/>
          <w:szCs w:val="20"/>
        </w:rPr>
        <w:t>En</w:t>
      </w:r>
      <w:r w:rsidRPr="0044055D">
        <w:rPr>
          <w:rFonts w:ascii="Verdana" w:eastAsia="Times New Roman" w:hAnsi="Verdana" w:cs="Arial"/>
          <w:sz w:val="18"/>
          <w:szCs w:val="18"/>
          <w:lang w:val="es-ES"/>
        </w:rPr>
        <w:t xml:space="preserve"> febrero de 2018,</w:t>
      </w:r>
      <w:r w:rsidR="00B862FC">
        <w:rPr>
          <w:rFonts w:ascii="Verdana" w:eastAsia="Times New Roman" w:hAnsi="Verdana" w:cs="Arial"/>
          <w:sz w:val="18"/>
          <w:szCs w:val="18"/>
          <w:lang w:val="es-ES"/>
        </w:rPr>
        <w:t xml:space="preserve"> en relación con el análisis de riesgo,</w:t>
      </w:r>
      <w:r w:rsidRPr="0044055D">
        <w:rPr>
          <w:rFonts w:ascii="Verdana" w:eastAsia="Times New Roman" w:hAnsi="Verdana" w:cs="Arial"/>
          <w:sz w:val="18"/>
          <w:szCs w:val="18"/>
          <w:lang w:val="es-ES"/>
        </w:rPr>
        <w:t xml:space="preserve"> </w:t>
      </w:r>
      <w:r w:rsidRPr="0044055D">
        <w:rPr>
          <w:rFonts w:ascii="Verdana" w:eastAsia="Times New Roman" w:hAnsi="Verdana" w:cs="Times New Roman"/>
          <w:bCs/>
          <w:sz w:val="18"/>
          <w:szCs w:val="18"/>
        </w:rPr>
        <w:t xml:space="preserve">informó </w:t>
      </w:r>
      <w:r w:rsidRPr="0044055D">
        <w:rPr>
          <w:rFonts w:ascii="Verdana" w:eastAsia="Times New Roman" w:hAnsi="Verdana" w:cs="Times New Roman"/>
          <w:bCs/>
          <w:sz w:val="18"/>
          <w:szCs w:val="18"/>
          <w:lang w:val="es-CR"/>
        </w:rPr>
        <w:t>que “</w:t>
      </w:r>
      <w:r w:rsidRPr="0044055D">
        <w:rPr>
          <w:rFonts w:ascii="Verdana" w:hAnsi="Verdana"/>
          <w:sz w:val="18"/>
          <w:szCs w:val="18"/>
        </w:rPr>
        <w:t>el personal del Mecanismo para la Protección a Personas Defensoras de Derechos Humanos y Periodistas […] entabló contacto con la beneficiaria para llevar a cabo el [referido] análisis de riesgo”, de modo que “el 03 de diciembre del 2017, se llevó a cabo la entrevista con la beneficiaria con el fin de recabar la información necesaria”. En tal sentido, indicó que, a partir de la referida entrevista, “se realizó el análisis de toda la información obtenida, derivando de ello la Evaluación de Riesgo</w:t>
      </w:r>
      <w:r w:rsidR="00DA3351">
        <w:rPr>
          <w:rFonts w:ascii="Verdana" w:hAnsi="Verdana"/>
          <w:sz w:val="18"/>
          <w:szCs w:val="18"/>
        </w:rPr>
        <w:t xml:space="preserve"> </w:t>
      </w:r>
      <w:r w:rsidRPr="0044055D">
        <w:rPr>
          <w:rFonts w:ascii="Verdana" w:hAnsi="Verdana"/>
          <w:sz w:val="18"/>
          <w:szCs w:val="18"/>
        </w:rPr>
        <w:t>[, en la cual] se determinó que la ponderación de riesgo en el presente caso arroja un nivel extraordinario</w:t>
      </w:r>
      <w:r w:rsidR="00BA57BD" w:rsidRPr="0044055D">
        <w:rPr>
          <w:rFonts w:ascii="Verdana" w:hAnsi="Verdana"/>
          <w:sz w:val="18"/>
          <w:szCs w:val="18"/>
        </w:rPr>
        <w:t>”</w:t>
      </w:r>
      <w:r w:rsidRPr="0044055D">
        <w:rPr>
          <w:rFonts w:ascii="Verdana" w:hAnsi="Verdana"/>
          <w:sz w:val="18"/>
          <w:szCs w:val="18"/>
        </w:rPr>
        <w:t xml:space="preserve">, por lo que </w:t>
      </w:r>
      <w:r w:rsidR="00BA57BD" w:rsidRPr="0044055D">
        <w:rPr>
          <w:rFonts w:ascii="Verdana" w:hAnsi="Verdana"/>
          <w:sz w:val="18"/>
          <w:szCs w:val="18"/>
          <w:lang w:val="es-ES"/>
        </w:rPr>
        <w:t xml:space="preserve">se propusieron </w:t>
      </w:r>
      <w:r w:rsidR="00DA3351">
        <w:rPr>
          <w:rFonts w:ascii="Verdana" w:hAnsi="Verdana"/>
          <w:sz w:val="18"/>
          <w:szCs w:val="18"/>
          <w:lang w:val="es-ES"/>
        </w:rPr>
        <w:t>algunas medidas de protección</w:t>
      </w:r>
      <w:r w:rsidR="00BA57BD" w:rsidRPr="0044055D">
        <w:rPr>
          <w:rFonts w:ascii="Verdana" w:hAnsi="Verdana"/>
          <w:sz w:val="18"/>
          <w:szCs w:val="18"/>
          <w:vertAlign w:val="superscript"/>
          <w:lang w:val="es-ES"/>
        </w:rPr>
        <w:footnoteReference w:id="5"/>
      </w:r>
      <w:r w:rsidR="00BA57BD" w:rsidRPr="0044055D">
        <w:rPr>
          <w:rFonts w:ascii="Verdana" w:hAnsi="Verdana"/>
          <w:sz w:val="18"/>
          <w:szCs w:val="18"/>
          <w:lang w:val="es-ES"/>
        </w:rPr>
        <w:t>. Asimismo, informó que “el 19 de diciembre de 2017 se entregó a la beneficiaria la medida de seguridad consistente en un botón de pánico</w:t>
      </w:r>
      <w:r w:rsidR="009E0A55">
        <w:rPr>
          <w:rFonts w:ascii="Verdana" w:hAnsi="Verdana"/>
          <w:sz w:val="18"/>
          <w:szCs w:val="18"/>
          <w:lang w:val="es-ES"/>
        </w:rPr>
        <w:t>”</w:t>
      </w:r>
      <w:r w:rsidR="00BA57BD" w:rsidRPr="0044055D">
        <w:rPr>
          <w:rFonts w:ascii="Verdana" w:hAnsi="Verdana"/>
          <w:sz w:val="18"/>
          <w:szCs w:val="18"/>
          <w:lang w:val="es-ES"/>
        </w:rPr>
        <w:t>.</w:t>
      </w:r>
    </w:p>
    <w:p w14:paraId="102ABD97" w14:textId="00D480DD" w:rsidR="00663F26" w:rsidRPr="0044055D" w:rsidRDefault="00663F26" w:rsidP="00B0538D">
      <w:pPr>
        <w:pStyle w:val="Prrafodelista"/>
        <w:ind w:left="795"/>
        <w:jc w:val="both"/>
        <w:rPr>
          <w:rFonts w:ascii="Verdana" w:eastAsia="Times New Roman" w:hAnsi="Verdana" w:cs="Arial"/>
          <w:sz w:val="18"/>
          <w:szCs w:val="20"/>
          <w:lang w:val="es-ES"/>
        </w:rPr>
      </w:pPr>
    </w:p>
    <w:p w14:paraId="326A129F" w14:textId="00592043" w:rsidR="00DA3351" w:rsidRPr="00DA3351" w:rsidRDefault="00BE110B" w:rsidP="005C2A09">
      <w:pPr>
        <w:pStyle w:val="Prrafodelista"/>
        <w:numPr>
          <w:ilvl w:val="0"/>
          <w:numId w:val="18"/>
        </w:numPr>
        <w:autoSpaceDE w:val="0"/>
        <w:autoSpaceDN w:val="0"/>
        <w:adjustRightInd w:val="0"/>
        <w:jc w:val="both"/>
        <w:rPr>
          <w:rFonts w:ascii="Verdana" w:hAnsi="Verdana"/>
          <w:b/>
          <w:sz w:val="18"/>
          <w:szCs w:val="18"/>
        </w:rPr>
      </w:pPr>
      <w:r w:rsidRPr="0044055D">
        <w:rPr>
          <w:rFonts w:ascii="Verdana" w:hAnsi="Verdana"/>
          <w:sz w:val="18"/>
          <w:szCs w:val="18"/>
          <w:lang w:val="es-ES"/>
        </w:rPr>
        <w:t>En agosto de 2018,</w:t>
      </w:r>
      <w:r w:rsidR="00B862FC">
        <w:rPr>
          <w:rFonts w:ascii="Verdana" w:hAnsi="Verdana"/>
          <w:sz w:val="18"/>
          <w:szCs w:val="18"/>
          <w:lang w:val="es-ES"/>
        </w:rPr>
        <w:t xml:space="preserve"> presentó un análisis actualizado de la situación de riesgo y</w:t>
      </w:r>
      <w:r w:rsidRPr="0044055D">
        <w:rPr>
          <w:rFonts w:ascii="Verdana" w:hAnsi="Verdana"/>
          <w:sz w:val="18"/>
          <w:szCs w:val="18"/>
          <w:lang w:val="es-ES"/>
        </w:rPr>
        <w:t xml:space="preserve"> señaló que </w:t>
      </w:r>
      <w:r w:rsidRPr="0044055D">
        <w:rPr>
          <w:rFonts w:ascii="Verdana" w:hAnsi="Verdana"/>
          <w:sz w:val="18"/>
          <w:szCs w:val="20"/>
        </w:rPr>
        <w:t>“se han realizado recordatorios a l</w:t>
      </w:r>
      <w:r w:rsidR="00B12677">
        <w:rPr>
          <w:rFonts w:ascii="Verdana" w:hAnsi="Verdana"/>
          <w:sz w:val="18"/>
          <w:szCs w:val="20"/>
        </w:rPr>
        <w:t>a</w:t>
      </w:r>
      <w:r w:rsidRPr="0044055D">
        <w:rPr>
          <w:rFonts w:ascii="Verdana" w:hAnsi="Verdana"/>
          <w:sz w:val="18"/>
          <w:szCs w:val="20"/>
        </w:rPr>
        <w:t>s representantes de la beneficiaria reiterando que, en caso de que su equipo presente fallas o existan dudas sobre su funcionamiento, se reporte a la Unidad para la Def</w:t>
      </w:r>
      <w:r w:rsidR="00DA3351">
        <w:rPr>
          <w:rFonts w:ascii="Verdana" w:hAnsi="Verdana"/>
          <w:sz w:val="18"/>
          <w:szCs w:val="20"/>
        </w:rPr>
        <w:t>ensa de los Derechos Humanos</w:t>
      </w:r>
      <w:r w:rsidR="005E60B1">
        <w:rPr>
          <w:rFonts w:ascii="Verdana" w:hAnsi="Verdana"/>
          <w:sz w:val="18"/>
          <w:szCs w:val="20"/>
        </w:rPr>
        <w:t>”</w:t>
      </w:r>
      <w:r w:rsidRPr="0044055D">
        <w:rPr>
          <w:rFonts w:ascii="Verdana" w:hAnsi="Verdana"/>
          <w:sz w:val="18"/>
          <w:szCs w:val="20"/>
        </w:rPr>
        <w:t xml:space="preserve">. </w:t>
      </w:r>
      <w:r w:rsidR="005C2A09" w:rsidRPr="0044055D">
        <w:rPr>
          <w:rFonts w:ascii="Verdana" w:hAnsi="Verdana"/>
          <w:sz w:val="18"/>
          <w:szCs w:val="20"/>
        </w:rPr>
        <w:t xml:space="preserve">Asimismo, respecto de las medidas empleadas para acabar con la campaña de desprestigio en contra de la beneficiaria, </w:t>
      </w:r>
      <w:r w:rsidR="005C2A09" w:rsidRPr="0044055D">
        <w:rPr>
          <w:rFonts w:ascii="Verdana" w:hAnsi="Verdana"/>
          <w:sz w:val="18"/>
          <w:szCs w:val="18"/>
          <w:lang w:val="es-ES"/>
        </w:rPr>
        <w:t xml:space="preserve">indicó que </w:t>
      </w:r>
      <w:r w:rsidR="00DA3351" w:rsidRPr="0044055D">
        <w:rPr>
          <w:rFonts w:ascii="Verdana" w:hAnsi="Verdana"/>
          <w:sz w:val="18"/>
          <w:szCs w:val="18"/>
        </w:rPr>
        <w:t>la Junta de Gobierno del Mecanismo ha aprobado los Lineamientos para el Reconocimiento a la Labor de Personas Defensoras y Periodistas, como una herramienta de política pública dirigida principalmente a servidoras y servidores públicos</w:t>
      </w:r>
      <w:r w:rsidR="00DA3351">
        <w:rPr>
          <w:rFonts w:ascii="Verdana" w:hAnsi="Verdana"/>
          <w:sz w:val="18"/>
          <w:szCs w:val="18"/>
        </w:rPr>
        <w:t>, y detalló las medidas adoptadas para la prevención de agresio</w:t>
      </w:r>
      <w:r w:rsidR="003A6F30">
        <w:rPr>
          <w:rFonts w:ascii="Verdana" w:hAnsi="Verdana"/>
          <w:sz w:val="18"/>
          <w:szCs w:val="18"/>
        </w:rPr>
        <w:t>nes contra personas defensoras</w:t>
      </w:r>
      <w:r w:rsidR="005E60B1">
        <w:rPr>
          <w:rFonts w:ascii="Verdana" w:hAnsi="Verdana"/>
          <w:sz w:val="18"/>
          <w:szCs w:val="18"/>
        </w:rPr>
        <w:t>.</w:t>
      </w:r>
    </w:p>
    <w:p w14:paraId="60A5E668" w14:textId="77777777" w:rsidR="00C51A91" w:rsidRPr="0044055D" w:rsidRDefault="00C51A91" w:rsidP="00C51A91">
      <w:pPr>
        <w:pStyle w:val="Prrafodelista"/>
        <w:rPr>
          <w:rFonts w:ascii="Verdana" w:eastAsia="Times New Roman" w:hAnsi="Verdana" w:cs="Arial"/>
          <w:sz w:val="18"/>
          <w:szCs w:val="20"/>
          <w:lang w:val="es-ES"/>
        </w:rPr>
      </w:pPr>
    </w:p>
    <w:p w14:paraId="2A0DFA64" w14:textId="32B937F2" w:rsidR="00DA3351" w:rsidRPr="003A6F30" w:rsidRDefault="00663F26" w:rsidP="002E2C33">
      <w:pPr>
        <w:pStyle w:val="Prrafodelista"/>
        <w:numPr>
          <w:ilvl w:val="0"/>
          <w:numId w:val="18"/>
        </w:numPr>
        <w:autoSpaceDE w:val="0"/>
        <w:autoSpaceDN w:val="0"/>
        <w:adjustRightInd w:val="0"/>
        <w:jc w:val="both"/>
        <w:rPr>
          <w:rFonts w:ascii="Verdana" w:hAnsi="Verdana"/>
          <w:b/>
          <w:strike/>
          <w:sz w:val="18"/>
          <w:szCs w:val="18"/>
        </w:rPr>
      </w:pPr>
      <w:r w:rsidRPr="0044055D">
        <w:rPr>
          <w:rFonts w:ascii="Verdana" w:eastAsia="Times New Roman" w:hAnsi="Verdana" w:cs="Arial"/>
          <w:sz w:val="18"/>
          <w:szCs w:val="20"/>
          <w:lang w:val="es-ES"/>
        </w:rPr>
        <w:t xml:space="preserve">En noviembre de 2018, </w:t>
      </w:r>
      <w:r w:rsidRPr="0044055D">
        <w:rPr>
          <w:rFonts w:ascii="Verdana" w:hAnsi="Verdana" w:cs="Verdana"/>
          <w:sz w:val="18"/>
          <w:szCs w:val="20"/>
          <w:lang w:val="es-ES"/>
        </w:rPr>
        <w:t>se refirió a los hechos informados por parte de las representantes de la beneficiaria en relación a su situación de seguridad, particularmente respecto de lo ocurrido el 6 de septiembre de 2018 e indicó que la Unidad para la Defensa de Derechos Humanos de la Secretaría de Gobernación (</w:t>
      </w:r>
      <w:r w:rsidR="00274929">
        <w:rPr>
          <w:rFonts w:ascii="Verdana" w:hAnsi="Verdana" w:cs="Verdana"/>
          <w:sz w:val="18"/>
          <w:szCs w:val="20"/>
          <w:lang w:val="es-ES"/>
        </w:rPr>
        <w:t>en adelante “</w:t>
      </w:r>
      <w:r w:rsidRPr="0044055D">
        <w:rPr>
          <w:rFonts w:ascii="Verdana" w:hAnsi="Verdana" w:cs="Verdana"/>
          <w:sz w:val="18"/>
          <w:szCs w:val="20"/>
          <w:lang w:val="es-ES"/>
        </w:rPr>
        <w:t>UDDH</w:t>
      </w:r>
      <w:r w:rsidR="00274929">
        <w:rPr>
          <w:rFonts w:ascii="Verdana" w:hAnsi="Verdana" w:cs="Verdana"/>
          <w:sz w:val="18"/>
          <w:szCs w:val="20"/>
          <w:lang w:val="es-ES"/>
        </w:rPr>
        <w:t>”</w:t>
      </w:r>
      <w:r w:rsidRPr="0044055D">
        <w:rPr>
          <w:rFonts w:ascii="Verdana" w:hAnsi="Verdana" w:cs="Verdana"/>
          <w:sz w:val="18"/>
          <w:szCs w:val="20"/>
          <w:lang w:val="es-ES"/>
        </w:rPr>
        <w:t>) “</w:t>
      </w:r>
      <w:r w:rsidRPr="0044055D">
        <w:rPr>
          <w:rFonts w:ascii="Verdana" w:hAnsi="Verdana"/>
          <w:sz w:val="18"/>
          <w:szCs w:val="20"/>
        </w:rPr>
        <w:t xml:space="preserve">hizo del conocimiento de la Fiscalía General del estado de Chihuahua el incidente”. </w:t>
      </w:r>
      <w:r w:rsidR="00917A04" w:rsidRPr="0044055D">
        <w:rPr>
          <w:rFonts w:ascii="Verdana" w:hAnsi="Verdana"/>
          <w:sz w:val="18"/>
          <w:szCs w:val="20"/>
          <w:lang w:val="es-CR"/>
        </w:rPr>
        <w:t>Asimismo, en</w:t>
      </w:r>
      <w:r w:rsidR="00917A04" w:rsidRPr="0044055D">
        <w:rPr>
          <w:rFonts w:ascii="Verdana" w:hAnsi="Verdana"/>
          <w:sz w:val="18"/>
          <w:szCs w:val="20"/>
          <w:lang w:val="es-ES"/>
        </w:rPr>
        <w:t xml:space="preserve"> cuanto a la cancelación de la reunión en septiembre de 2018, indicó que </w:t>
      </w:r>
      <w:r w:rsidR="00917A04" w:rsidRPr="0044055D">
        <w:rPr>
          <w:rFonts w:ascii="Verdana" w:hAnsi="Verdana"/>
          <w:sz w:val="18"/>
          <w:szCs w:val="20"/>
        </w:rPr>
        <w:t xml:space="preserve">“esta tuvo que ser cancelada y reagendada debido a que algunas de las autoridades convocadas </w:t>
      </w:r>
      <w:r w:rsidR="005E60B1">
        <w:rPr>
          <w:rFonts w:ascii="Verdana" w:hAnsi="Verdana"/>
          <w:sz w:val="18"/>
          <w:szCs w:val="20"/>
        </w:rPr>
        <w:t xml:space="preserve">[a] </w:t>
      </w:r>
      <w:r w:rsidR="00917A04" w:rsidRPr="0044055D">
        <w:rPr>
          <w:rFonts w:ascii="Verdana" w:hAnsi="Verdana"/>
          <w:sz w:val="18"/>
          <w:szCs w:val="20"/>
        </w:rPr>
        <w:t>dichas reuniones expresaron que no contaban con información suficiente para hacer frente al desahogo de dichos compromisos”</w:t>
      </w:r>
      <w:r w:rsidR="00DB0E34">
        <w:rPr>
          <w:rFonts w:ascii="Verdana" w:hAnsi="Verdana"/>
          <w:sz w:val="18"/>
          <w:szCs w:val="20"/>
        </w:rPr>
        <w:t>.</w:t>
      </w:r>
    </w:p>
    <w:p w14:paraId="69C6E10D" w14:textId="77777777" w:rsidR="009A5CAA" w:rsidRPr="00D041A5" w:rsidRDefault="009A5CAA" w:rsidP="009A5CAA">
      <w:pPr>
        <w:pStyle w:val="Prrafodelista"/>
        <w:autoSpaceDE w:val="0"/>
        <w:autoSpaceDN w:val="0"/>
        <w:adjustRightInd w:val="0"/>
        <w:ind w:left="795"/>
        <w:jc w:val="both"/>
        <w:rPr>
          <w:rFonts w:ascii="Verdana" w:hAnsi="Verdana"/>
          <w:sz w:val="18"/>
          <w:szCs w:val="18"/>
        </w:rPr>
      </w:pPr>
    </w:p>
    <w:p w14:paraId="4297898F" w14:textId="39D13616" w:rsidR="00820822" w:rsidRPr="0044055D" w:rsidRDefault="00886228" w:rsidP="000C2F6B">
      <w:pPr>
        <w:pStyle w:val="Prrafodelista"/>
        <w:numPr>
          <w:ilvl w:val="0"/>
          <w:numId w:val="18"/>
        </w:numPr>
        <w:autoSpaceDE w:val="0"/>
        <w:autoSpaceDN w:val="0"/>
        <w:adjustRightInd w:val="0"/>
        <w:jc w:val="both"/>
        <w:rPr>
          <w:rFonts w:ascii="Verdana" w:hAnsi="Verdana"/>
          <w:b/>
          <w:sz w:val="18"/>
          <w:szCs w:val="18"/>
        </w:rPr>
      </w:pPr>
      <w:r w:rsidRPr="0044055D">
        <w:rPr>
          <w:rFonts w:ascii="Verdana" w:hAnsi="Verdana"/>
          <w:sz w:val="18"/>
          <w:szCs w:val="18"/>
        </w:rPr>
        <w:t>En marzo de 2019, se refirió a las medidas empleadas para acabar con la campaña de desprestigio en contra de la beneficiaria e indicó que “la Unidad para la Defensa de los Derechos Humanos […] determinó solicitar el apoyo de la Comisión Nacional de Derechos Humanos […] para […] llevar a cabo el diagnóstico solicitado por la beneficiaria y sus representantes.</w:t>
      </w:r>
      <w:r w:rsidR="007F7116">
        <w:rPr>
          <w:rFonts w:ascii="Verdana" w:hAnsi="Verdana"/>
          <w:sz w:val="18"/>
          <w:szCs w:val="18"/>
        </w:rPr>
        <w:t xml:space="preserve"> […]</w:t>
      </w:r>
      <w:r w:rsidRPr="0044055D">
        <w:rPr>
          <w:rFonts w:ascii="Verdana" w:hAnsi="Verdana"/>
          <w:sz w:val="18"/>
          <w:szCs w:val="18"/>
        </w:rPr>
        <w:t xml:space="preserve"> Lo anterior, en razón del amplio conocimiento en los temas de derecho a la libertad de expresión y agravios a periodistas y personas defensoras de derechos humanos con la que cuenta la CNDH”. </w:t>
      </w:r>
      <w:r w:rsidR="00820822" w:rsidRPr="0044055D">
        <w:rPr>
          <w:rFonts w:ascii="Verdana" w:hAnsi="Verdana"/>
          <w:sz w:val="18"/>
          <w:szCs w:val="18"/>
        </w:rPr>
        <w:t xml:space="preserve">Asimismo, </w:t>
      </w:r>
      <w:r w:rsidR="00820822" w:rsidRPr="0044055D">
        <w:rPr>
          <w:rFonts w:ascii="Verdana" w:hAnsi="Verdana"/>
          <w:sz w:val="18"/>
          <w:szCs w:val="20"/>
        </w:rPr>
        <w:t>informó que en la reunión llevada a cabo el 21 de marzo de ese año con diversas autoridades estatales, la beneficiaria y sus representantes, se acordó “el cumplimiento de las recomendaciones realizadas por la CNDH” y señaló que “[a] más tardar en un mes se informar[</w:t>
      </w:r>
      <w:proofErr w:type="spellStart"/>
      <w:r w:rsidR="00820822" w:rsidRPr="0044055D">
        <w:rPr>
          <w:rFonts w:ascii="Verdana" w:hAnsi="Verdana"/>
          <w:sz w:val="18"/>
          <w:szCs w:val="20"/>
        </w:rPr>
        <w:t>ía</w:t>
      </w:r>
      <w:proofErr w:type="spellEnd"/>
      <w:r w:rsidR="00820822" w:rsidRPr="0044055D">
        <w:rPr>
          <w:rFonts w:ascii="Verdana" w:hAnsi="Verdana"/>
          <w:sz w:val="18"/>
          <w:szCs w:val="20"/>
        </w:rPr>
        <w:t>]</w:t>
      </w:r>
      <w:r w:rsidR="007F7116">
        <w:rPr>
          <w:rFonts w:ascii="Verdana" w:hAnsi="Verdana"/>
          <w:sz w:val="18"/>
          <w:szCs w:val="20"/>
        </w:rPr>
        <w:t xml:space="preserve"> formalmente</w:t>
      </w:r>
      <w:r w:rsidR="00820822" w:rsidRPr="0044055D">
        <w:rPr>
          <w:rFonts w:ascii="Verdana" w:hAnsi="Verdana"/>
          <w:sz w:val="18"/>
          <w:szCs w:val="20"/>
        </w:rPr>
        <w:t xml:space="preserve"> a la beneficiaria a través de sus representantes la forma en que se implementará cada una de ellas”.</w:t>
      </w:r>
    </w:p>
    <w:p w14:paraId="1B49A517" w14:textId="77777777" w:rsidR="00820822" w:rsidRPr="0044055D" w:rsidRDefault="00820822" w:rsidP="00820822">
      <w:pPr>
        <w:pStyle w:val="Prrafodelista"/>
        <w:autoSpaceDE w:val="0"/>
        <w:autoSpaceDN w:val="0"/>
        <w:adjustRightInd w:val="0"/>
        <w:ind w:left="795"/>
        <w:jc w:val="both"/>
        <w:rPr>
          <w:rFonts w:ascii="Verdana" w:hAnsi="Verdana"/>
          <w:b/>
          <w:sz w:val="18"/>
          <w:szCs w:val="18"/>
        </w:rPr>
      </w:pPr>
    </w:p>
    <w:p w14:paraId="4C81E565" w14:textId="3CD97D10" w:rsidR="009D3C2A" w:rsidRPr="0044055D" w:rsidRDefault="009D3C2A" w:rsidP="009D3C2A">
      <w:pPr>
        <w:pStyle w:val="Prrafodelista"/>
        <w:numPr>
          <w:ilvl w:val="0"/>
          <w:numId w:val="18"/>
        </w:numPr>
        <w:ind w:right="22"/>
        <w:contextualSpacing/>
        <w:jc w:val="both"/>
        <w:rPr>
          <w:rFonts w:ascii="Verdana" w:hAnsi="Verdana"/>
          <w:b/>
          <w:sz w:val="18"/>
          <w:szCs w:val="20"/>
        </w:rPr>
      </w:pPr>
      <w:r w:rsidRPr="0044055D">
        <w:rPr>
          <w:rFonts w:ascii="Verdana" w:hAnsi="Verdana"/>
          <w:sz w:val="18"/>
          <w:szCs w:val="20"/>
        </w:rPr>
        <w:t>En noviembre de 2019, el Estado se refirió a la implementación de</w:t>
      </w:r>
      <w:r w:rsidR="009C5DFE">
        <w:rPr>
          <w:rFonts w:ascii="Verdana" w:hAnsi="Verdana"/>
          <w:sz w:val="18"/>
          <w:szCs w:val="20"/>
        </w:rPr>
        <w:t xml:space="preserve"> las medidas recomendadas por la</w:t>
      </w:r>
      <w:r w:rsidRPr="0044055D">
        <w:rPr>
          <w:rFonts w:ascii="Verdana" w:hAnsi="Verdana"/>
          <w:sz w:val="18"/>
          <w:szCs w:val="20"/>
        </w:rPr>
        <w:t xml:space="preserve"> CNDH y señaló que “las medidas consistentes en cámaras de circuito cerrado y botón de pánico, […] siguen vigentes y seguirán implementándose”. Asimismo, respecto al “portón abatible eléctrico con sistema manual y láminas de control solar y seguridad con efecto espejo”, informó que “la UDDH se encuentra en espera de realizar las adecuaciones administrativas al contrato de prestación de servicios”</w:t>
      </w:r>
      <w:r w:rsidR="007F7116">
        <w:rPr>
          <w:rFonts w:ascii="Verdana" w:hAnsi="Verdana"/>
          <w:sz w:val="18"/>
          <w:szCs w:val="20"/>
        </w:rPr>
        <w:t>.</w:t>
      </w:r>
      <w:r w:rsidRPr="0044055D">
        <w:rPr>
          <w:rFonts w:ascii="Verdana" w:hAnsi="Verdana"/>
          <w:sz w:val="18"/>
          <w:szCs w:val="20"/>
        </w:rPr>
        <w:t xml:space="preserve"> Respecto a “los rondines con bitácora y las cámaras del centro de comando, computación, comunicación y control”, informó que “la UDDH solicitó a la Fiscalía informar sobre la posibilidad de llevar a cabo la implementación de estas medidas en </w:t>
      </w:r>
      <w:r w:rsidRPr="0044055D">
        <w:rPr>
          <w:rFonts w:ascii="Verdana" w:hAnsi="Verdana"/>
          <w:sz w:val="18"/>
          <w:szCs w:val="20"/>
        </w:rPr>
        <w:lastRenderedPageBreak/>
        <w:t>favor de la beneficiaria”. Por otra parte, respecto a “las medidas consistentes en mantener un diálogo con autoridades y convocar reuniones periódicas”</w:t>
      </w:r>
      <w:r w:rsidR="00D041A5">
        <w:rPr>
          <w:rFonts w:ascii="Verdana" w:hAnsi="Verdana"/>
          <w:sz w:val="18"/>
          <w:szCs w:val="20"/>
        </w:rPr>
        <w:t>,</w:t>
      </w:r>
      <w:r w:rsidRPr="0044055D">
        <w:rPr>
          <w:rFonts w:ascii="Verdana" w:hAnsi="Verdana"/>
          <w:sz w:val="18"/>
          <w:szCs w:val="20"/>
        </w:rPr>
        <w:t xml:space="preserve"> informó que “la UDDH ha reiterado su total compromiso, como instancia competente para este propósito</w:t>
      </w:r>
      <w:r w:rsidR="007F7116">
        <w:rPr>
          <w:rFonts w:ascii="Verdana" w:hAnsi="Verdana"/>
          <w:sz w:val="18"/>
          <w:szCs w:val="20"/>
        </w:rPr>
        <w:t>”.</w:t>
      </w:r>
      <w:r w:rsidRPr="0044055D">
        <w:rPr>
          <w:rFonts w:ascii="Verdana" w:hAnsi="Verdana"/>
          <w:sz w:val="18"/>
          <w:szCs w:val="20"/>
        </w:rPr>
        <w:t xml:space="preserve"> </w:t>
      </w:r>
    </w:p>
    <w:p w14:paraId="3BD203D8" w14:textId="77777777" w:rsidR="00917A04" w:rsidRPr="0044055D" w:rsidRDefault="00917A04" w:rsidP="00917A04">
      <w:pPr>
        <w:pStyle w:val="Prrafodelista"/>
        <w:ind w:left="0" w:right="22"/>
        <w:contextualSpacing/>
        <w:jc w:val="both"/>
        <w:rPr>
          <w:rFonts w:ascii="Verdana" w:hAnsi="Verdana"/>
          <w:sz w:val="18"/>
          <w:szCs w:val="20"/>
          <w:lang w:val="es-ES"/>
        </w:rPr>
      </w:pPr>
    </w:p>
    <w:p w14:paraId="6A9F6D2C" w14:textId="6F1C1ED2" w:rsidR="001543A6" w:rsidRPr="00A84C69" w:rsidRDefault="00C3674C" w:rsidP="00B0538D">
      <w:pPr>
        <w:pStyle w:val="Prrafodelista"/>
        <w:numPr>
          <w:ilvl w:val="0"/>
          <w:numId w:val="24"/>
        </w:numPr>
        <w:ind w:left="0" w:right="22" w:hanging="11"/>
        <w:contextualSpacing/>
        <w:jc w:val="both"/>
        <w:rPr>
          <w:rFonts w:ascii="Verdana" w:eastAsia="Times New Roman" w:hAnsi="Verdana" w:cs="Arial"/>
          <w:sz w:val="20"/>
          <w:szCs w:val="20"/>
          <w:lang w:val="es-ES"/>
        </w:rPr>
      </w:pPr>
      <w:r w:rsidRPr="00A84C69">
        <w:rPr>
          <w:rFonts w:ascii="Verdana" w:eastAsia="Times New Roman" w:hAnsi="Verdana" w:cs="Arial"/>
          <w:sz w:val="20"/>
          <w:szCs w:val="20"/>
          <w:lang w:val="es-CR"/>
        </w:rPr>
        <w:t>Por su parte,</w:t>
      </w:r>
      <w:r w:rsidR="001543A6" w:rsidRPr="00A84C69">
        <w:rPr>
          <w:rFonts w:ascii="Verdana" w:eastAsia="Times New Roman" w:hAnsi="Verdana" w:cs="Arial"/>
          <w:sz w:val="20"/>
          <w:szCs w:val="20"/>
          <w:lang w:val="es-ES"/>
        </w:rPr>
        <w:t xml:space="preserve"> las </w:t>
      </w:r>
      <w:r w:rsidR="001543A6" w:rsidRPr="00D041A5">
        <w:rPr>
          <w:rFonts w:ascii="Verdana" w:eastAsia="Times New Roman" w:hAnsi="Verdana" w:cs="Arial"/>
          <w:b/>
          <w:i/>
          <w:sz w:val="20"/>
          <w:szCs w:val="20"/>
          <w:lang w:val="es-ES"/>
        </w:rPr>
        <w:t>representantes</w:t>
      </w:r>
      <w:r w:rsidR="001543A6" w:rsidRPr="00A84C69">
        <w:rPr>
          <w:rFonts w:ascii="Verdana" w:eastAsia="Times New Roman" w:hAnsi="Verdana" w:cs="Arial"/>
          <w:sz w:val="20"/>
          <w:szCs w:val="20"/>
          <w:lang w:val="es-ES"/>
        </w:rPr>
        <w:t xml:space="preserve"> </w:t>
      </w:r>
      <w:r w:rsidRPr="00A84C69">
        <w:rPr>
          <w:rFonts w:ascii="Verdana" w:eastAsia="Times New Roman" w:hAnsi="Verdana" w:cs="Arial"/>
          <w:sz w:val="20"/>
          <w:szCs w:val="20"/>
          <w:lang w:val="es-ES"/>
        </w:rPr>
        <w:t>presentaron las siguientes observaciones respecto a la información proporcionada por el Estado</w:t>
      </w:r>
      <w:r w:rsidR="00D041A5">
        <w:rPr>
          <w:rFonts w:ascii="Verdana" w:eastAsia="Times New Roman" w:hAnsi="Verdana" w:cs="Arial"/>
          <w:sz w:val="20"/>
          <w:szCs w:val="20"/>
          <w:lang w:val="es-ES"/>
        </w:rPr>
        <w:t>,</w:t>
      </w:r>
      <w:r w:rsidRPr="00A84C69">
        <w:rPr>
          <w:rFonts w:ascii="Verdana" w:eastAsia="Times New Roman" w:hAnsi="Verdana" w:cs="Arial"/>
          <w:sz w:val="20"/>
          <w:szCs w:val="20"/>
          <w:lang w:val="es-ES"/>
        </w:rPr>
        <w:t xml:space="preserve"> y los nuevos hechos ocurridos en relación con la señora Castro Rodríguez:</w:t>
      </w:r>
    </w:p>
    <w:p w14:paraId="012C28B9" w14:textId="77777777" w:rsidR="001543A6" w:rsidRPr="0044055D" w:rsidRDefault="001543A6" w:rsidP="00B0538D">
      <w:pPr>
        <w:spacing w:after="0" w:line="240" w:lineRule="auto"/>
        <w:ind w:right="567"/>
        <w:jc w:val="both"/>
        <w:rPr>
          <w:rFonts w:ascii="Verdana" w:eastAsia="Times New Roman" w:hAnsi="Verdana" w:cs="Arial"/>
          <w:sz w:val="20"/>
          <w:szCs w:val="20"/>
          <w:lang w:val="es-ES"/>
        </w:rPr>
      </w:pPr>
    </w:p>
    <w:p w14:paraId="1622FEBA" w14:textId="5DE4DE4B" w:rsidR="001543A6" w:rsidRPr="00875DD8" w:rsidRDefault="001543A6" w:rsidP="00B0538D">
      <w:pPr>
        <w:pStyle w:val="Prrafodelista"/>
        <w:numPr>
          <w:ilvl w:val="0"/>
          <w:numId w:val="42"/>
        </w:numPr>
        <w:autoSpaceDE w:val="0"/>
        <w:autoSpaceDN w:val="0"/>
        <w:adjustRightInd w:val="0"/>
        <w:jc w:val="both"/>
        <w:rPr>
          <w:rFonts w:ascii="Verdana" w:hAnsi="Verdana" w:cs="Verdana"/>
          <w:sz w:val="18"/>
          <w:szCs w:val="18"/>
          <w:lang w:val="es-ES"/>
        </w:rPr>
      </w:pPr>
      <w:r w:rsidRPr="00875DD8">
        <w:rPr>
          <w:rFonts w:ascii="Verdana" w:eastAsia="Times New Roman" w:hAnsi="Verdana" w:cs="Arial"/>
          <w:sz w:val="18"/>
          <w:szCs w:val="18"/>
          <w:lang w:val="es-ES" w:eastAsia="es-CR"/>
        </w:rPr>
        <w:t xml:space="preserve">En diciembre de 2017, señalaron que “[l]a beneficiaria ha sido víctima de una continua campaña de descrédito desde columnas de opinión política de diversos medios de comunicación, en donde diariamente se denuesta su persona [y l]as calumnias han alcanzado incluso a su esposo”. Por ello, manifestaron “su preocupación debido al ambiente de permisibilidad a agredir a la beneficiaria, que fomenta el continuo descrédito de Luz Estela Castro Rodríguez”. En tal sentido, recordaron que “en Chihuahua existen antecedentes de agresiones mortales en contra de personas defensoras de derechos humanos”. Asimismo, informaron que el 5 de diciembre </w:t>
      </w:r>
      <w:r w:rsidR="00875DD8" w:rsidRPr="00875DD8">
        <w:rPr>
          <w:rStyle w:val="Refdecomentario"/>
          <w:rFonts w:ascii="Verdana" w:eastAsiaTheme="minorEastAsia" w:hAnsi="Verdana" w:cstheme="minorBidi"/>
          <w:sz w:val="18"/>
          <w:szCs w:val="18"/>
          <w:lang w:val="es-CR" w:eastAsia="es-CR"/>
        </w:rPr>
        <w:t xml:space="preserve">de 2017, </w:t>
      </w:r>
      <w:r w:rsidRPr="00875DD8">
        <w:rPr>
          <w:rFonts w:ascii="Verdana" w:eastAsia="Times New Roman" w:hAnsi="Verdana" w:cs="Arial"/>
          <w:sz w:val="18"/>
          <w:szCs w:val="18"/>
          <w:lang w:val="es-ES" w:eastAsia="es-CR"/>
        </w:rPr>
        <w:t xml:space="preserve">la beneficiaria </w:t>
      </w:r>
      <w:r w:rsidRPr="00875DD8">
        <w:rPr>
          <w:rFonts w:ascii="Verdana" w:hAnsi="Verdana"/>
          <w:sz w:val="18"/>
          <w:szCs w:val="18"/>
        </w:rPr>
        <w:t>“fue agredida verbalmente por parte de un Juez del estado de Chihuahua</w:t>
      </w:r>
      <w:r w:rsidR="002E551A">
        <w:rPr>
          <w:rFonts w:ascii="Verdana" w:hAnsi="Verdana"/>
          <w:sz w:val="18"/>
          <w:szCs w:val="18"/>
        </w:rPr>
        <w:t>”.</w:t>
      </w:r>
      <w:r w:rsidR="00D041A5" w:rsidRPr="00875DD8">
        <w:rPr>
          <w:rFonts w:ascii="Verdana" w:hAnsi="Verdana"/>
          <w:sz w:val="18"/>
          <w:szCs w:val="18"/>
        </w:rPr>
        <w:t xml:space="preserve"> </w:t>
      </w:r>
      <w:r w:rsidR="00981829">
        <w:rPr>
          <w:rFonts w:ascii="Verdana" w:eastAsia="Times New Roman" w:hAnsi="Verdana" w:cs="Arial"/>
          <w:sz w:val="18"/>
          <w:szCs w:val="18"/>
        </w:rPr>
        <w:t>R</w:t>
      </w:r>
      <w:r w:rsidR="00F85519" w:rsidRPr="00875DD8">
        <w:rPr>
          <w:rFonts w:ascii="Verdana" w:eastAsia="Times New Roman" w:hAnsi="Verdana" w:cs="Arial"/>
          <w:sz w:val="18"/>
          <w:szCs w:val="18"/>
          <w:lang w:val="es-ES"/>
        </w:rPr>
        <w:t>especto</w:t>
      </w:r>
      <w:r w:rsidR="008C4405" w:rsidRPr="00875DD8">
        <w:rPr>
          <w:rFonts w:ascii="Verdana" w:eastAsia="Times New Roman" w:hAnsi="Verdana" w:cs="Arial"/>
          <w:sz w:val="18"/>
          <w:szCs w:val="18"/>
          <w:lang w:val="es-ES"/>
        </w:rPr>
        <w:t xml:space="preserve"> a la información presentada por el Estado</w:t>
      </w:r>
      <w:r w:rsidR="008C4405" w:rsidRPr="00875DD8">
        <w:rPr>
          <w:rFonts w:ascii="Verdana" w:eastAsia="Times New Roman" w:hAnsi="Verdana" w:cs="Arial"/>
          <w:sz w:val="18"/>
          <w:szCs w:val="18"/>
          <w:lang w:val="es-CR"/>
        </w:rPr>
        <w:t xml:space="preserve">, observaron que “no </w:t>
      </w:r>
      <w:r w:rsidR="008C4405" w:rsidRPr="00875DD8">
        <w:rPr>
          <w:rFonts w:ascii="Verdana" w:hAnsi="Verdana"/>
          <w:sz w:val="18"/>
          <w:szCs w:val="18"/>
        </w:rPr>
        <w:t>se valoró la infraestructura del lugar donde [en ese momento] labora[</w:t>
      </w:r>
      <w:proofErr w:type="spellStart"/>
      <w:r w:rsidR="008C4405" w:rsidRPr="00875DD8">
        <w:rPr>
          <w:rFonts w:ascii="Verdana" w:hAnsi="Verdana"/>
          <w:sz w:val="18"/>
          <w:szCs w:val="18"/>
        </w:rPr>
        <w:t>ba</w:t>
      </w:r>
      <w:proofErr w:type="spellEnd"/>
      <w:r w:rsidR="008C4405" w:rsidRPr="00875DD8">
        <w:rPr>
          <w:rFonts w:ascii="Verdana" w:hAnsi="Verdana"/>
          <w:sz w:val="18"/>
          <w:szCs w:val="18"/>
        </w:rPr>
        <w:t>] Luz Estela Castro Rodríguez y a partir del cual solicitó que se le otorgara un botón de emergencia, el</w:t>
      </w:r>
      <w:r w:rsidR="00D041A5" w:rsidRPr="00875DD8">
        <w:rPr>
          <w:rFonts w:ascii="Verdana" w:hAnsi="Verdana"/>
          <w:sz w:val="18"/>
          <w:szCs w:val="18"/>
        </w:rPr>
        <w:t xml:space="preserve"> cual no ha[</w:t>
      </w:r>
      <w:proofErr w:type="spellStart"/>
      <w:r w:rsidR="00D041A5" w:rsidRPr="00875DD8">
        <w:rPr>
          <w:rFonts w:ascii="Verdana" w:hAnsi="Verdana"/>
          <w:sz w:val="18"/>
          <w:szCs w:val="18"/>
        </w:rPr>
        <w:t>bía</w:t>
      </w:r>
      <w:proofErr w:type="spellEnd"/>
      <w:r w:rsidR="00D041A5" w:rsidRPr="00875DD8">
        <w:rPr>
          <w:rFonts w:ascii="Verdana" w:hAnsi="Verdana"/>
          <w:sz w:val="18"/>
          <w:szCs w:val="18"/>
        </w:rPr>
        <w:t>] sido entregado”</w:t>
      </w:r>
      <w:r w:rsidR="008C4405" w:rsidRPr="00875DD8">
        <w:rPr>
          <w:rFonts w:ascii="Verdana" w:hAnsi="Verdana"/>
          <w:sz w:val="18"/>
          <w:szCs w:val="18"/>
        </w:rPr>
        <w:t>.</w:t>
      </w:r>
    </w:p>
    <w:p w14:paraId="5792DDEB" w14:textId="77777777" w:rsidR="001543A6" w:rsidRPr="0044055D" w:rsidRDefault="001543A6" w:rsidP="00B0538D">
      <w:pPr>
        <w:pStyle w:val="Prrafodelista"/>
        <w:ind w:left="795"/>
        <w:jc w:val="both"/>
        <w:rPr>
          <w:rFonts w:ascii="Verdana" w:eastAsia="Times New Roman" w:hAnsi="Verdana" w:cs="Arial"/>
          <w:b/>
          <w:sz w:val="18"/>
          <w:szCs w:val="18"/>
          <w:lang w:val="es-ES" w:eastAsia="es-CR"/>
        </w:rPr>
      </w:pPr>
    </w:p>
    <w:p w14:paraId="38585621" w14:textId="4E345EDF" w:rsidR="001543A6" w:rsidRPr="0044055D" w:rsidRDefault="001543A6" w:rsidP="00B0538D">
      <w:pPr>
        <w:pStyle w:val="Prrafodelista"/>
        <w:numPr>
          <w:ilvl w:val="0"/>
          <w:numId w:val="42"/>
        </w:numPr>
        <w:autoSpaceDE w:val="0"/>
        <w:autoSpaceDN w:val="0"/>
        <w:adjustRightInd w:val="0"/>
        <w:jc w:val="both"/>
        <w:rPr>
          <w:rFonts w:ascii="Verdana" w:eastAsia="Times New Roman" w:hAnsi="Verdana" w:cs="Arial"/>
          <w:sz w:val="18"/>
          <w:szCs w:val="18"/>
          <w:lang w:val="es-ES" w:eastAsia="es-CR"/>
        </w:rPr>
      </w:pPr>
      <w:r w:rsidRPr="0044055D">
        <w:rPr>
          <w:rFonts w:ascii="Verdana" w:eastAsia="Times New Roman" w:hAnsi="Verdana" w:cs="Arial"/>
          <w:sz w:val="18"/>
          <w:szCs w:val="18"/>
          <w:lang w:val="es-ES" w:eastAsia="es-CR"/>
        </w:rPr>
        <w:t xml:space="preserve">En marzo de 2018, </w:t>
      </w:r>
      <w:r w:rsidRPr="0044055D">
        <w:rPr>
          <w:rFonts w:ascii="Verdana" w:eastAsia="Times New Roman" w:hAnsi="Verdana" w:cs="Arial"/>
          <w:sz w:val="18"/>
          <w:szCs w:val="18"/>
          <w:lang w:val="es-ES"/>
        </w:rPr>
        <w:t xml:space="preserve">reiteraron “el nivel de riesgo extraordinario en el que se encuentra la beneficiaria, de acuerdo al resultado que le fue notificado verbalmente sobre la evaluación realizada en diciembre pasado por el Mecanismo para la Protección a Personas Defensoras de Derechos Humanos y Periodistas”, en el cual “se valoraron las actuales circunstancias de Luz Estela Castro como integrante del Consejo de la Judicatura del Estado de Chihuahua”. </w:t>
      </w:r>
      <w:r w:rsidR="00BF3217" w:rsidRPr="0044055D">
        <w:rPr>
          <w:rFonts w:ascii="Verdana" w:eastAsia="Times New Roman" w:hAnsi="Verdana" w:cs="Arial"/>
          <w:sz w:val="18"/>
          <w:szCs w:val="18"/>
          <w:lang w:val="es-ES" w:eastAsia="es-CR"/>
        </w:rPr>
        <w:t xml:space="preserve">Asimismo, respecto de las medidas de protección adoptadas a favor de la beneficiaria indicaron </w:t>
      </w:r>
      <w:r w:rsidR="00D041A5">
        <w:rPr>
          <w:rFonts w:ascii="Verdana" w:hAnsi="Verdana"/>
          <w:sz w:val="18"/>
          <w:szCs w:val="18"/>
        </w:rPr>
        <w:t xml:space="preserve">que </w:t>
      </w:r>
      <w:r w:rsidR="00BF3217" w:rsidRPr="0044055D">
        <w:rPr>
          <w:rFonts w:ascii="Verdana" w:hAnsi="Verdana"/>
          <w:sz w:val="18"/>
          <w:szCs w:val="18"/>
        </w:rPr>
        <w:t xml:space="preserve">las medidas de protección propuestas por el Mecanismo para la Protección a Personas Defensoras de Derechos Humanos y Periodistas “no </w:t>
      </w:r>
      <w:proofErr w:type="spellStart"/>
      <w:r w:rsidR="00BF3217" w:rsidRPr="0044055D">
        <w:rPr>
          <w:rFonts w:ascii="Verdana" w:hAnsi="Verdana"/>
          <w:sz w:val="18"/>
          <w:szCs w:val="18"/>
        </w:rPr>
        <w:t>inclu</w:t>
      </w:r>
      <w:proofErr w:type="spellEnd"/>
      <w:r w:rsidR="00BF3217" w:rsidRPr="0044055D">
        <w:rPr>
          <w:rFonts w:ascii="Verdana" w:hAnsi="Verdana"/>
          <w:sz w:val="18"/>
          <w:szCs w:val="18"/>
        </w:rPr>
        <w:t>[</w:t>
      </w:r>
      <w:proofErr w:type="spellStart"/>
      <w:r w:rsidR="00BF3217" w:rsidRPr="0044055D">
        <w:rPr>
          <w:rFonts w:ascii="Verdana" w:hAnsi="Verdana"/>
          <w:sz w:val="18"/>
          <w:szCs w:val="18"/>
        </w:rPr>
        <w:t>ía</w:t>
      </w:r>
      <w:proofErr w:type="spellEnd"/>
      <w:r w:rsidR="00BF3217" w:rsidRPr="0044055D">
        <w:rPr>
          <w:rFonts w:ascii="Verdana" w:hAnsi="Verdana"/>
          <w:sz w:val="18"/>
          <w:szCs w:val="18"/>
        </w:rPr>
        <w:t>] acciones suficientes o adecuadas” a las circunstancias de la beneficiaria en ese momento “como integrante del Consejo de la Judicatura del Estado de Chihuahua”,</w:t>
      </w:r>
      <w:r w:rsidR="00D041A5">
        <w:rPr>
          <w:rFonts w:ascii="Verdana" w:hAnsi="Verdana"/>
          <w:sz w:val="18"/>
          <w:szCs w:val="18"/>
        </w:rPr>
        <w:t xml:space="preserve"> ni eran suficientes para atender la intensa campaña de desprestigio de la que era objeto</w:t>
      </w:r>
      <w:r w:rsidR="002E551A">
        <w:rPr>
          <w:rFonts w:ascii="Verdana" w:hAnsi="Verdana"/>
          <w:sz w:val="18"/>
          <w:szCs w:val="18"/>
        </w:rPr>
        <w:t>.</w:t>
      </w:r>
      <w:r w:rsidR="00BF3217" w:rsidRPr="0044055D">
        <w:rPr>
          <w:rFonts w:ascii="Verdana" w:hAnsi="Verdana"/>
          <w:sz w:val="18"/>
          <w:szCs w:val="18"/>
        </w:rPr>
        <w:t xml:space="preserve"> </w:t>
      </w:r>
    </w:p>
    <w:p w14:paraId="2FECF260" w14:textId="77777777" w:rsidR="001543A6" w:rsidRPr="0044055D" w:rsidRDefault="001543A6" w:rsidP="00B0538D">
      <w:pPr>
        <w:pStyle w:val="Prrafodelista"/>
        <w:rPr>
          <w:rFonts w:ascii="Verdana" w:eastAsia="Times New Roman" w:hAnsi="Verdana" w:cs="Arial"/>
          <w:sz w:val="18"/>
          <w:szCs w:val="18"/>
          <w:lang w:val="es-ES" w:eastAsia="es-CR"/>
        </w:rPr>
      </w:pPr>
    </w:p>
    <w:p w14:paraId="301B242B" w14:textId="5F5F0259" w:rsidR="001543A6" w:rsidRPr="0044055D" w:rsidRDefault="001543A6" w:rsidP="00802656">
      <w:pPr>
        <w:pStyle w:val="Prrafodelista"/>
        <w:numPr>
          <w:ilvl w:val="0"/>
          <w:numId w:val="42"/>
        </w:numPr>
        <w:autoSpaceDE w:val="0"/>
        <w:autoSpaceDN w:val="0"/>
        <w:adjustRightInd w:val="0"/>
        <w:jc w:val="both"/>
        <w:rPr>
          <w:rFonts w:ascii="Verdana" w:eastAsia="Times New Roman" w:hAnsi="Verdana" w:cs="Arial"/>
          <w:sz w:val="18"/>
          <w:szCs w:val="18"/>
          <w:lang w:val="es-ES"/>
        </w:rPr>
      </w:pPr>
      <w:r w:rsidRPr="0044055D">
        <w:rPr>
          <w:rFonts w:ascii="Verdana" w:eastAsia="Times New Roman" w:hAnsi="Verdana" w:cs="Arial"/>
          <w:sz w:val="18"/>
          <w:szCs w:val="18"/>
          <w:lang w:val="es-ES" w:eastAsia="es-CR"/>
        </w:rPr>
        <w:t xml:space="preserve">En septiembre de 2018, </w:t>
      </w:r>
      <w:r w:rsidRPr="0044055D">
        <w:rPr>
          <w:rFonts w:ascii="Verdana" w:eastAsia="Times New Roman" w:hAnsi="Verdana" w:cs="Arial"/>
          <w:sz w:val="18"/>
          <w:szCs w:val="18"/>
          <w:lang w:val="es-ES"/>
        </w:rPr>
        <w:t>informaron acerca de “un incidente que se suscitó en el lugar de trabajo de la beneficiaria el 6 de septiembre de 2018, alrededor de las 17:30 horas el guardia de la seguridad privada adscrita al Tribunal Superior de Justicia, inició una ronda de vigilancia al rededor del edificio sede de esa institución, cuando […] advirti</w:t>
      </w:r>
      <w:r w:rsidR="00497CF8">
        <w:rPr>
          <w:rFonts w:ascii="Verdana" w:eastAsia="Times New Roman" w:hAnsi="Verdana" w:cs="Arial"/>
          <w:sz w:val="18"/>
          <w:szCs w:val="18"/>
          <w:lang w:val="es-ES"/>
        </w:rPr>
        <w:t>ó la presencia de sujetos armado</w:t>
      </w:r>
      <w:r w:rsidRPr="0044055D">
        <w:rPr>
          <w:rFonts w:ascii="Verdana" w:eastAsia="Times New Roman" w:hAnsi="Verdana" w:cs="Arial"/>
          <w:sz w:val="18"/>
          <w:szCs w:val="18"/>
          <w:lang w:val="es-ES"/>
        </w:rPr>
        <w:t xml:space="preserve">s a bordo </w:t>
      </w:r>
      <w:r w:rsidR="00D041A5">
        <w:rPr>
          <w:rFonts w:ascii="Verdana" w:eastAsia="Times New Roman" w:hAnsi="Verdana" w:cs="Arial"/>
          <w:sz w:val="18"/>
          <w:szCs w:val="18"/>
          <w:lang w:val="es-ES"/>
        </w:rPr>
        <w:t xml:space="preserve">de una camioneta de lujo, tipo </w:t>
      </w:r>
      <w:r w:rsidR="00EA31ED">
        <w:rPr>
          <w:rFonts w:ascii="Verdana" w:eastAsia="Times New Roman" w:hAnsi="Verdana" w:cs="Arial"/>
          <w:sz w:val="18"/>
          <w:szCs w:val="18"/>
          <w:lang w:val="es-ES"/>
        </w:rPr>
        <w:t>‘</w:t>
      </w:r>
      <w:proofErr w:type="spellStart"/>
      <w:r w:rsidR="00D041A5">
        <w:rPr>
          <w:rFonts w:ascii="Verdana" w:eastAsia="Times New Roman" w:hAnsi="Verdana" w:cs="Arial"/>
          <w:sz w:val="18"/>
          <w:szCs w:val="18"/>
          <w:lang w:val="es-ES"/>
        </w:rPr>
        <w:t>Escalade</w:t>
      </w:r>
      <w:proofErr w:type="spellEnd"/>
      <w:r w:rsidR="00EA31ED">
        <w:rPr>
          <w:rFonts w:ascii="Verdana" w:eastAsia="Times New Roman" w:hAnsi="Verdana" w:cs="Arial"/>
          <w:sz w:val="18"/>
          <w:szCs w:val="18"/>
          <w:lang w:val="es-ES"/>
        </w:rPr>
        <w:t>’</w:t>
      </w:r>
      <w:r w:rsidRPr="0044055D">
        <w:rPr>
          <w:rFonts w:ascii="Verdana" w:eastAsia="Times New Roman" w:hAnsi="Verdana" w:cs="Arial"/>
          <w:sz w:val="18"/>
          <w:szCs w:val="18"/>
          <w:lang w:val="es-ES"/>
        </w:rPr>
        <w:t xml:space="preserve">, de color gris con placas de circulación del estado de Querétaro. Al menos uno de los sujetos utilizaba que aparentemente estaban vigilando el edificio del Tribunal”. Asimismo, </w:t>
      </w:r>
      <w:r w:rsidRPr="0044055D">
        <w:rPr>
          <w:rFonts w:ascii="Verdana" w:hAnsi="Verdana"/>
          <w:sz w:val="18"/>
          <w:szCs w:val="18"/>
        </w:rPr>
        <w:t xml:space="preserve">señalaron que “la campaña de descrédito en contra de la beneficiaria no ha cesado, razón por la que </w:t>
      </w:r>
      <w:proofErr w:type="spellStart"/>
      <w:r w:rsidRPr="0044055D">
        <w:rPr>
          <w:rFonts w:ascii="Verdana" w:hAnsi="Verdana"/>
          <w:sz w:val="18"/>
          <w:szCs w:val="18"/>
        </w:rPr>
        <w:t>insist</w:t>
      </w:r>
      <w:proofErr w:type="spellEnd"/>
      <w:r w:rsidRPr="0044055D">
        <w:rPr>
          <w:rFonts w:ascii="Verdana" w:hAnsi="Verdana"/>
          <w:sz w:val="18"/>
          <w:szCs w:val="18"/>
        </w:rPr>
        <w:t>[</w:t>
      </w:r>
      <w:proofErr w:type="spellStart"/>
      <w:r w:rsidR="00EA31ED">
        <w:rPr>
          <w:rFonts w:ascii="Verdana" w:hAnsi="Verdana"/>
          <w:sz w:val="18"/>
          <w:szCs w:val="18"/>
        </w:rPr>
        <w:t>ieron</w:t>
      </w:r>
      <w:proofErr w:type="spellEnd"/>
      <w:r w:rsidRPr="0044055D">
        <w:rPr>
          <w:rFonts w:ascii="Verdana" w:hAnsi="Verdana"/>
          <w:sz w:val="18"/>
          <w:szCs w:val="18"/>
        </w:rPr>
        <w:t>] en la importancia de que se cumplan con los acuerdos alcanzados en la ú</w:t>
      </w:r>
      <w:r w:rsidR="00D041A5">
        <w:rPr>
          <w:rFonts w:ascii="Verdana" w:hAnsi="Verdana"/>
          <w:sz w:val="18"/>
          <w:szCs w:val="18"/>
        </w:rPr>
        <w:t>ltima reunión de trabajo”</w:t>
      </w:r>
      <w:r w:rsidR="00D041A5">
        <w:rPr>
          <w:rFonts w:ascii="Verdana" w:hAnsi="Verdana"/>
          <w:sz w:val="18"/>
          <w:szCs w:val="20"/>
        </w:rPr>
        <w:t>.</w:t>
      </w:r>
      <w:r w:rsidR="00150900" w:rsidRPr="0044055D">
        <w:rPr>
          <w:rFonts w:ascii="Verdana" w:hAnsi="Verdana"/>
          <w:b/>
          <w:sz w:val="18"/>
          <w:szCs w:val="20"/>
        </w:rPr>
        <w:t xml:space="preserve"> </w:t>
      </w:r>
      <w:r w:rsidR="00150900" w:rsidRPr="0044055D">
        <w:rPr>
          <w:rFonts w:ascii="Verdana" w:hAnsi="Verdana"/>
          <w:sz w:val="18"/>
          <w:szCs w:val="20"/>
        </w:rPr>
        <w:t xml:space="preserve">Finalmente, señalaron que “[l]a evaluación realizada por la Comisión Nacional de Derechos Humanos […] consideró diez medidas adicionales que deberían ser implementadas a favor de la beneficiaria”, </w:t>
      </w:r>
      <w:r w:rsidR="00D041A5">
        <w:rPr>
          <w:rFonts w:ascii="Verdana" w:hAnsi="Verdana"/>
          <w:sz w:val="18"/>
          <w:szCs w:val="20"/>
        </w:rPr>
        <w:t>y señalaron la falta de cumplimiento de las mismas</w:t>
      </w:r>
      <w:r w:rsidR="00EA31ED">
        <w:rPr>
          <w:rFonts w:ascii="Verdana" w:hAnsi="Verdana"/>
          <w:sz w:val="18"/>
          <w:szCs w:val="20"/>
        </w:rPr>
        <w:t>.</w:t>
      </w:r>
    </w:p>
    <w:p w14:paraId="239397D7" w14:textId="77777777" w:rsidR="00BF3217" w:rsidRPr="0044055D" w:rsidRDefault="00BF3217" w:rsidP="00BF3217">
      <w:pPr>
        <w:pStyle w:val="Prrafodelista"/>
        <w:rPr>
          <w:rFonts w:ascii="Verdana" w:eastAsia="Times New Roman" w:hAnsi="Verdana" w:cs="Arial"/>
          <w:sz w:val="18"/>
          <w:szCs w:val="18"/>
          <w:lang w:val="es-ES"/>
        </w:rPr>
      </w:pPr>
    </w:p>
    <w:p w14:paraId="76E9FD46" w14:textId="0160DEF4" w:rsidR="001543A6" w:rsidRPr="0044055D" w:rsidRDefault="001543A6" w:rsidP="000C2F6B">
      <w:pPr>
        <w:pStyle w:val="Prrafodelista"/>
        <w:numPr>
          <w:ilvl w:val="0"/>
          <w:numId w:val="42"/>
        </w:numPr>
        <w:autoSpaceDE w:val="0"/>
        <w:autoSpaceDN w:val="0"/>
        <w:adjustRightInd w:val="0"/>
        <w:jc w:val="both"/>
        <w:rPr>
          <w:rFonts w:ascii="Verdana" w:hAnsi="Verdana"/>
          <w:sz w:val="18"/>
          <w:szCs w:val="20"/>
          <w:lang w:val="es-ES"/>
        </w:rPr>
      </w:pPr>
      <w:r w:rsidRPr="0044055D">
        <w:rPr>
          <w:rFonts w:ascii="Verdana" w:eastAsia="Times New Roman" w:hAnsi="Verdana" w:cs="Arial"/>
          <w:sz w:val="18"/>
          <w:szCs w:val="18"/>
          <w:lang w:val="es-ES"/>
        </w:rPr>
        <w:t xml:space="preserve">En mayo de 2019, </w:t>
      </w:r>
      <w:r w:rsidRPr="0044055D">
        <w:rPr>
          <w:rFonts w:ascii="Verdana" w:hAnsi="Verdana"/>
          <w:sz w:val="18"/>
          <w:szCs w:val="18"/>
        </w:rPr>
        <w:t>reiteraron “su extrema preocupación por la</w:t>
      </w:r>
      <w:r w:rsidR="00EA31ED">
        <w:rPr>
          <w:rFonts w:ascii="Verdana" w:hAnsi="Verdana"/>
          <w:sz w:val="18"/>
          <w:szCs w:val="18"/>
        </w:rPr>
        <w:t>[</w:t>
      </w:r>
      <w:r w:rsidRPr="0044055D">
        <w:rPr>
          <w:rFonts w:ascii="Verdana" w:hAnsi="Verdana"/>
          <w:sz w:val="18"/>
          <w:szCs w:val="18"/>
        </w:rPr>
        <w:t>s</w:t>
      </w:r>
      <w:r w:rsidR="00EA31ED">
        <w:rPr>
          <w:rFonts w:ascii="Verdana" w:hAnsi="Verdana"/>
          <w:sz w:val="18"/>
          <w:szCs w:val="18"/>
        </w:rPr>
        <w:t>]</w:t>
      </w:r>
      <w:r w:rsidRPr="0044055D">
        <w:rPr>
          <w:rFonts w:ascii="Verdana" w:hAnsi="Verdana"/>
          <w:sz w:val="18"/>
          <w:szCs w:val="18"/>
        </w:rPr>
        <w:t xml:space="preserve"> constantes campañas de desprestigio que han ido en aumento, colocando en grave riesgo a la beneficiaria, por cual </w:t>
      </w:r>
      <w:proofErr w:type="spellStart"/>
      <w:r w:rsidRPr="0044055D">
        <w:rPr>
          <w:rFonts w:ascii="Verdana" w:hAnsi="Verdana"/>
          <w:sz w:val="18"/>
          <w:szCs w:val="18"/>
        </w:rPr>
        <w:t>urgi</w:t>
      </w:r>
      <w:proofErr w:type="spellEnd"/>
      <w:r w:rsidRPr="0044055D">
        <w:rPr>
          <w:rFonts w:ascii="Verdana" w:hAnsi="Verdana"/>
          <w:sz w:val="18"/>
          <w:szCs w:val="18"/>
        </w:rPr>
        <w:t>[</w:t>
      </w:r>
      <w:proofErr w:type="spellStart"/>
      <w:r w:rsidRPr="0044055D">
        <w:rPr>
          <w:rFonts w:ascii="Verdana" w:hAnsi="Verdana"/>
          <w:sz w:val="18"/>
          <w:szCs w:val="18"/>
        </w:rPr>
        <w:t>eron</w:t>
      </w:r>
      <w:proofErr w:type="spellEnd"/>
      <w:r w:rsidRPr="0044055D">
        <w:rPr>
          <w:rFonts w:ascii="Verdana" w:hAnsi="Verdana"/>
          <w:sz w:val="18"/>
          <w:szCs w:val="18"/>
        </w:rPr>
        <w:t xml:space="preserve">] al Estado a atender las solicitudes hechas por la beneficiaria y sus representantes en la reunión de 21 de marzo </w:t>
      </w:r>
      <w:r w:rsidR="00EA31ED">
        <w:rPr>
          <w:rFonts w:ascii="Verdana" w:hAnsi="Verdana"/>
          <w:sz w:val="18"/>
          <w:szCs w:val="18"/>
        </w:rPr>
        <w:t>[</w:t>
      </w:r>
      <w:r w:rsidRPr="0044055D">
        <w:rPr>
          <w:rFonts w:ascii="Verdana" w:hAnsi="Verdana"/>
          <w:sz w:val="18"/>
          <w:szCs w:val="18"/>
        </w:rPr>
        <w:t>de 2019</w:t>
      </w:r>
      <w:r w:rsidR="00EA31ED">
        <w:rPr>
          <w:rFonts w:ascii="Verdana" w:hAnsi="Verdana"/>
          <w:sz w:val="18"/>
          <w:szCs w:val="18"/>
        </w:rPr>
        <w:t>]</w:t>
      </w:r>
      <w:r w:rsidRPr="0044055D">
        <w:rPr>
          <w:rFonts w:ascii="Verdana" w:hAnsi="Verdana"/>
          <w:sz w:val="18"/>
          <w:szCs w:val="18"/>
        </w:rPr>
        <w:t xml:space="preserve"> y a responder eficazmente la situación con seriedad actual”. En tal sentido informaron que las “campañas en contra de Luz Estela Castro Rodríguez, se intensificaron a partir del proceso de selección de jueces, juezas, magistrados y magistradas para integrarse al poder judicial del estado de Chihuahua”, ya que “la beneficiaria, como titular de la Comisión de Carrera Judicial, ha realizado una labor sin precedentes para garan</w:t>
      </w:r>
      <w:r w:rsidR="003A6F30">
        <w:rPr>
          <w:rFonts w:ascii="Verdana" w:hAnsi="Verdana"/>
          <w:sz w:val="18"/>
          <w:szCs w:val="18"/>
        </w:rPr>
        <w:t>tizar la elección independiente</w:t>
      </w:r>
      <w:r w:rsidR="00EA31ED">
        <w:rPr>
          <w:rFonts w:ascii="Verdana" w:hAnsi="Verdana"/>
          <w:sz w:val="18"/>
          <w:szCs w:val="18"/>
        </w:rPr>
        <w:t>”</w:t>
      </w:r>
      <w:r w:rsidR="003A6F30">
        <w:rPr>
          <w:rFonts w:ascii="Verdana" w:hAnsi="Verdana"/>
          <w:sz w:val="18"/>
          <w:szCs w:val="18"/>
        </w:rPr>
        <w:t>.</w:t>
      </w:r>
      <w:r w:rsidRPr="0044055D">
        <w:rPr>
          <w:rFonts w:ascii="Verdana" w:hAnsi="Verdana"/>
          <w:sz w:val="18"/>
          <w:szCs w:val="18"/>
        </w:rPr>
        <w:t xml:space="preserve"> </w:t>
      </w:r>
      <w:r w:rsidR="005230D0">
        <w:rPr>
          <w:rFonts w:ascii="Verdana" w:hAnsi="Verdana"/>
          <w:sz w:val="18"/>
          <w:szCs w:val="20"/>
        </w:rPr>
        <w:t>R</w:t>
      </w:r>
      <w:r w:rsidR="00820822" w:rsidRPr="0044055D">
        <w:rPr>
          <w:rFonts w:ascii="Verdana" w:hAnsi="Verdana"/>
          <w:sz w:val="18"/>
          <w:szCs w:val="20"/>
        </w:rPr>
        <w:t>especto a la implementación de las medidas recomendadas por la CNDH, alegaron no haber sido informadas respecto a la forma en que se implementaría cada una de esas medidas, ni tener conocimiento de si había existido algún impedimento p</w:t>
      </w:r>
      <w:r w:rsidR="005230D0">
        <w:rPr>
          <w:rFonts w:ascii="Verdana" w:hAnsi="Verdana"/>
          <w:sz w:val="18"/>
          <w:szCs w:val="20"/>
        </w:rPr>
        <w:t>ara cumplir el referido acuerdo</w:t>
      </w:r>
      <w:r w:rsidR="00EA31ED">
        <w:rPr>
          <w:rFonts w:ascii="Verdana" w:hAnsi="Verdana"/>
          <w:sz w:val="18"/>
          <w:szCs w:val="20"/>
        </w:rPr>
        <w:t>.</w:t>
      </w:r>
    </w:p>
    <w:p w14:paraId="09A64E49" w14:textId="77777777" w:rsidR="001543A6" w:rsidRPr="0044055D" w:rsidRDefault="001543A6" w:rsidP="00B0538D">
      <w:pPr>
        <w:pStyle w:val="Prrafodelista"/>
        <w:autoSpaceDE w:val="0"/>
        <w:autoSpaceDN w:val="0"/>
        <w:adjustRightInd w:val="0"/>
        <w:ind w:left="795"/>
        <w:jc w:val="both"/>
        <w:rPr>
          <w:rFonts w:ascii="Verdana" w:hAnsi="Verdana"/>
          <w:sz w:val="18"/>
          <w:szCs w:val="18"/>
        </w:rPr>
      </w:pPr>
    </w:p>
    <w:p w14:paraId="4C15F0B4" w14:textId="125F34C2" w:rsidR="001543A6" w:rsidRPr="0044055D" w:rsidRDefault="001543A6" w:rsidP="00B0538D">
      <w:pPr>
        <w:pStyle w:val="Prrafodelista"/>
        <w:numPr>
          <w:ilvl w:val="0"/>
          <w:numId w:val="42"/>
        </w:numPr>
        <w:autoSpaceDE w:val="0"/>
        <w:autoSpaceDN w:val="0"/>
        <w:adjustRightInd w:val="0"/>
        <w:jc w:val="both"/>
        <w:rPr>
          <w:rFonts w:ascii="Verdana" w:hAnsi="Verdana"/>
          <w:sz w:val="18"/>
          <w:szCs w:val="18"/>
        </w:rPr>
      </w:pPr>
      <w:r w:rsidRPr="0044055D">
        <w:rPr>
          <w:rFonts w:ascii="Verdana" w:hAnsi="Verdana"/>
          <w:sz w:val="18"/>
          <w:szCs w:val="18"/>
        </w:rPr>
        <w:t>En febrero de 2020, informaron que “luego de más de dos años en los que la beneficiaria estuvo sometida a constantes campañas de desprestigio y descalificación y, frente a la inacción total del Estado, Luz Estela Castro Rodríguez tuvo que renunciar al Consejo de la Judicatura del Estado de Chihuahua para atender su salud</w:t>
      </w:r>
      <w:r w:rsidR="00981829">
        <w:rPr>
          <w:rFonts w:ascii="Verdana" w:hAnsi="Verdana"/>
          <w:sz w:val="18"/>
          <w:szCs w:val="18"/>
        </w:rPr>
        <w:t>,</w:t>
      </w:r>
      <w:r w:rsidRPr="0044055D">
        <w:rPr>
          <w:rFonts w:ascii="Verdana" w:hAnsi="Verdana"/>
          <w:sz w:val="18"/>
          <w:szCs w:val="18"/>
        </w:rPr>
        <w:t xml:space="preserve"> [de modo que] se ha incorporado de nueva cuenta a sus labores de defensa de derechos humanos desde la Sociedad Civil”. </w:t>
      </w:r>
      <w:r w:rsidR="006012B7" w:rsidRPr="0044055D">
        <w:rPr>
          <w:rFonts w:ascii="Verdana" w:hAnsi="Verdana"/>
          <w:sz w:val="18"/>
          <w:szCs w:val="18"/>
        </w:rPr>
        <w:t xml:space="preserve">Asimismo, se refirieron a la implementación de las medidas recomendadas por la CNDH y </w:t>
      </w:r>
      <w:r w:rsidR="002F4683" w:rsidRPr="0044055D">
        <w:rPr>
          <w:rFonts w:ascii="Verdana" w:hAnsi="Verdana"/>
          <w:sz w:val="18"/>
          <w:szCs w:val="20"/>
        </w:rPr>
        <w:t>reiteraron que “la Secretaría de Gobernación a través de la Unidad de Defensa de Derechos Humanos y del Mecanismo Nacional de Protección de Defensores y Periodistas se comprometió a informar formalmente a la beneficiar</w:t>
      </w:r>
      <w:r w:rsidR="005230D0">
        <w:rPr>
          <w:rFonts w:ascii="Verdana" w:hAnsi="Verdana"/>
          <w:sz w:val="18"/>
          <w:szCs w:val="20"/>
        </w:rPr>
        <w:t>i</w:t>
      </w:r>
      <w:r w:rsidR="002F4683" w:rsidRPr="0044055D">
        <w:rPr>
          <w:rFonts w:ascii="Verdana" w:hAnsi="Verdana"/>
          <w:sz w:val="18"/>
          <w:szCs w:val="20"/>
        </w:rPr>
        <w:t>a a través de sus representantes la forma en la que se implementará cada una de [estas medidas] a más tardar el 21 de abril 2019”. Sin embargo, señalaron que “[a]l día de la fecha, no conta[</w:t>
      </w:r>
      <w:proofErr w:type="spellStart"/>
      <w:r w:rsidR="002F4683" w:rsidRPr="0044055D">
        <w:rPr>
          <w:rFonts w:ascii="Verdana" w:hAnsi="Verdana"/>
          <w:sz w:val="18"/>
          <w:szCs w:val="20"/>
        </w:rPr>
        <w:t>ban</w:t>
      </w:r>
      <w:proofErr w:type="spellEnd"/>
      <w:r w:rsidR="002F4683" w:rsidRPr="0044055D">
        <w:rPr>
          <w:rFonts w:ascii="Verdana" w:hAnsi="Verdana"/>
          <w:sz w:val="18"/>
          <w:szCs w:val="20"/>
        </w:rPr>
        <w:t>] con ninguna información respecto a si se aceptarán o no las me</w:t>
      </w:r>
      <w:r w:rsidR="005230D0">
        <w:rPr>
          <w:rFonts w:ascii="Verdana" w:hAnsi="Verdana"/>
          <w:sz w:val="18"/>
          <w:szCs w:val="20"/>
        </w:rPr>
        <w:t>didas recomendadas por la CNDH”</w:t>
      </w:r>
      <w:r w:rsidR="00AB6923">
        <w:rPr>
          <w:rFonts w:ascii="Verdana" w:hAnsi="Verdana"/>
          <w:sz w:val="18"/>
          <w:szCs w:val="20"/>
        </w:rPr>
        <w:t>.</w:t>
      </w:r>
    </w:p>
    <w:p w14:paraId="70E3493C" w14:textId="77777777" w:rsidR="008C4405" w:rsidRPr="0044055D" w:rsidRDefault="008C4405" w:rsidP="00B0538D">
      <w:pPr>
        <w:pStyle w:val="Prrafodelista"/>
        <w:rPr>
          <w:rFonts w:ascii="Verdana" w:hAnsi="Verdana"/>
          <w:sz w:val="18"/>
          <w:szCs w:val="18"/>
        </w:rPr>
      </w:pPr>
    </w:p>
    <w:p w14:paraId="62CCCEA5" w14:textId="2D6E3E64" w:rsidR="001543A6" w:rsidRPr="0044055D" w:rsidRDefault="005230D0" w:rsidP="00B0538D">
      <w:pPr>
        <w:pStyle w:val="Prrafodelista"/>
        <w:numPr>
          <w:ilvl w:val="0"/>
          <w:numId w:val="24"/>
        </w:numPr>
        <w:ind w:left="0" w:right="22" w:hanging="11"/>
        <w:contextualSpacing/>
        <w:jc w:val="both"/>
        <w:rPr>
          <w:rFonts w:ascii="Verdana" w:hAnsi="Verdana"/>
          <w:sz w:val="20"/>
          <w:szCs w:val="20"/>
        </w:rPr>
      </w:pPr>
      <w:r>
        <w:rPr>
          <w:rFonts w:ascii="Verdana" w:hAnsi="Verdana"/>
          <w:sz w:val="20"/>
          <w:szCs w:val="20"/>
        </w:rPr>
        <w:t>L</w:t>
      </w:r>
      <w:r w:rsidR="001543A6" w:rsidRPr="0044055D">
        <w:rPr>
          <w:rFonts w:ascii="Verdana" w:hAnsi="Verdana"/>
          <w:sz w:val="20"/>
          <w:szCs w:val="20"/>
        </w:rPr>
        <w:t>a Comisión</w:t>
      </w:r>
      <w:r>
        <w:rPr>
          <w:rFonts w:ascii="Verdana" w:hAnsi="Verdana"/>
          <w:sz w:val="20"/>
          <w:szCs w:val="20"/>
        </w:rPr>
        <w:t xml:space="preserve"> Interamericana</w:t>
      </w:r>
      <w:r w:rsidR="001543A6" w:rsidRPr="0044055D">
        <w:rPr>
          <w:rFonts w:ascii="Verdana" w:hAnsi="Verdana"/>
          <w:sz w:val="20"/>
          <w:szCs w:val="20"/>
        </w:rPr>
        <w:t xml:space="preserve"> recordó que “la descalificación de la labor de las personas defensoras a través de un contexto de estigmatización puede producir además de cargas psicológicas, un clima de hostilidad que dificulte sus labores y conlleva en muchas ocasiones que enfrenten una mayor situación de riesgo”</w:t>
      </w:r>
      <w:r w:rsidR="000F59CB">
        <w:rPr>
          <w:rFonts w:ascii="Verdana" w:hAnsi="Verdana"/>
          <w:sz w:val="20"/>
          <w:szCs w:val="20"/>
        </w:rPr>
        <w:t>.</w:t>
      </w:r>
      <w:r w:rsidR="001543A6" w:rsidRPr="0044055D">
        <w:rPr>
          <w:rFonts w:ascii="Verdana" w:hAnsi="Verdana"/>
          <w:b/>
          <w:sz w:val="20"/>
          <w:szCs w:val="20"/>
        </w:rPr>
        <w:t xml:space="preserve"> </w:t>
      </w:r>
      <w:r w:rsidR="001543A6" w:rsidRPr="0044055D">
        <w:rPr>
          <w:rFonts w:ascii="Verdana" w:hAnsi="Verdana"/>
          <w:sz w:val="20"/>
          <w:szCs w:val="20"/>
        </w:rPr>
        <w:t>Asimismo, en su más reciente escrito de observaciones de mayo de 2020, la Comisión se refirió a lo informado por l</w:t>
      </w:r>
      <w:r w:rsidR="00B12677">
        <w:rPr>
          <w:rFonts w:ascii="Verdana" w:hAnsi="Verdana"/>
          <w:sz w:val="20"/>
          <w:szCs w:val="20"/>
        </w:rPr>
        <w:t>a</w:t>
      </w:r>
      <w:r w:rsidR="001543A6" w:rsidRPr="0044055D">
        <w:rPr>
          <w:rFonts w:ascii="Verdana" w:hAnsi="Verdana"/>
          <w:sz w:val="20"/>
          <w:szCs w:val="20"/>
        </w:rPr>
        <w:t>s representantes sobre la renuncia de la señora Castro Rodríguez al Consejo de la Judicatura del Estado de Chihuahua y su reincorporación a las labore</w:t>
      </w:r>
      <w:r w:rsidR="009E4638">
        <w:rPr>
          <w:rFonts w:ascii="Verdana" w:hAnsi="Verdana"/>
          <w:sz w:val="20"/>
          <w:szCs w:val="20"/>
        </w:rPr>
        <w:t>s de</w:t>
      </w:r>
      <w:r w:rsidR="001543A6" w:rsidRPr="0044055D">
        <w:rPr>
          <w:rFonts w:ascii="Verdana" w:hAnsi="Verdana"/>
          <w:sz w:val="20"/>
          <w:szCs w:val="20"/>
        </w:rPr>
        <w:t xml:space="preserve"> defensora de derechos humanos desde la sociedad civil</w:t>
      </w:r>
      <w:r>
        <w:rPr>
          <w:rFonts w:ascii="Verdana" w:hAnsi="Verdana"/>
          <w:sz w:val="20"/>
          <w:szCs w:val="20"/>
        </w:rPr>
        <w:t>,</w:t>
      </w:r>
      <w:r w:rsidR="001543A6" w:rsidRPr="0044055D">
        <w:rPr>
          <w:rFonts w:ascii="Verdana" w:hAnsi="Verdana"/>
          <w:sz w:val="20"/>
          <w:szCs w:val="20"/>
        </w:rPr>
        <w:t xml:space="preserve"> y al respecto señaló que “dada[s] las nuevas circunstancias resultaría necesario obtener información sobre si se han presentado eventos de riesgo concretos a la fecha y si son pertinentes adecuaciones a los esquemas de protección implementados”</w:t>
      </w:r>
      <w:r w:rsidR="000F59CB">
        <w:rPr>
          <w:rFonts w:ascii="Verdana" w:hAnsi="Verdana"/>
          <w:sz w:val="20"/>
          <w:szCs w:val="20"/>
        </w:rPr>
        <w:t>.</w:t>
      </w:r>
    </w:p>
    <w:p w14:paraId="0AD05DD9" w14:textId="77777777" w:rsidR="00587F69" w:rsidRDefault="00587F69" w:rsidP="00F8190F">
      <w:pPr>
        <w:spacing w:after="0" w:line="240" w:lineRule="auto"/>
        <w:rPr>
          <w:rFonts w:ascii="Verdana" w:eastAsia="Calibri" w:hAnsi="Verdana" w:cs="Times"/>
          <w:sz w:val="20"/>
          <w:szCs w:val="20"/>
          <w:lang w:val="es-ES_tradnl" w:eastAsia="es-ES"/>
        </w:rPr>
      </w:pPr>
    </w:p>
    <w:p w14:paraId="0D435270" w14:textId="46D916E4" w:rsidR="005230D0" w:rsidRPr="005230D0" w:rsidRDefault="005230D0" w:rsidP="005230D0">
      <w:pPr>
        <w:pStyle w:val="Prrafodelista"/>
        <w:numPr>
          <w:ilvl w:val="0"/>
          <w:numId w:val="25"/>
        </w:numPr>
        <w:ind w:left="0" w:firstLine="0"/>
        <w:jc w:val="both"/>
        <w:rPr>
          <w:rFonts w:ascii="Verdana" w:hAnsi="Verdana" w:cs="Arial"/>
          <w:b/>
          <w:i/>
          <w:sz w:val="20"/>
          <w:szCs w:val="20"/>
        </w:rPr>
      </w:pPr>
      <w:r>
        <w:rPr>
          <w:rFonts w:ascii="Verdana" w:hAnsi="Verdana" w:cs="Arial"/>
          <w:b/>
          <w:i/>
          <w:sz w:val="20"/>
          <w:szCs w:val="20"/>
        </w:rPr>
        <w:t>Consideraciones de la Corte</w:t>
      </w:r>
    </w:p>
    <w:p w14:paraId="7BAA7A96" w14:textId="77777777" w:rsidR="005230D0" w:rsidRDefault="005230D0" w:rsidP="00F8190F">
      <w:pPr>
        <w:spacing w:after="0" w:line="240" w:lineRule="auto"/>
        <w:rPr>
          <w:rFonts w:ascii="Verdana" w:eastAsia="Calibri" w:hAnsi="Verdana" w:cs="Times"/>
          <w:sz w:val="20"/>
          <w:szCs w:val="20"/>
          <w:lang w:val="es-ES_tradnl" w:eastAsia="es-ES"/>
        </w:rPr>
      </w:pPr>
    </w:p>
    <w:p w14:paraId="1EF473DE" w14:textId="06E1D3DE" w:rsidR="00C30089" w:rsidRPr="00587F69" w:rsidRDefault="00587F69" w:rsidP="007B6DF2">
      <w:pPr>
        <w:spacing w:after="0" w:line="240" w:lineRule="auto"/>
        <w:ind w:left="720"/>
        <w:jc w:val="both"/>
        <w:rPr>
          <w:rFonts w:ascii="Verdana" w:hAnsi="Verdana" w:cs="Arial"/>
          <w:i/>
          <w:sz w:val="20"/>
          <w:szCs w:val="20"/>
        </w:rPr>
      </w:pPr>
      <w:r>
        <w:rPr>
          <w:rFonts w:ascii="Verdana" w:hAnsi="Verdana" w:cs="Arial"/>
          <w:i/>
          <w:sz w:val="20"/>
          <w:szCs w:val="20"/>
        </w:rPr>
        <w:t xml:space="preserve">B.1. </w:t>
      </w:r>
      <w:r w:rsidR="00C30089" w:rsidRPr="00587F69">
        <w:rPr>
          <w:rFonts w:ascii="Verdana" w:hAnsi="Verdana" w:cs="Arial"/>
          <w:i/>
          <w:sz w:val="20"/>
          <w:szCs w:val="20"/>
        </w:rPr>
        <w:t>Situación de riesgo de la beneficiaria</w:t>
      </w:r>
    </w:p>
    <w:p w14:paraId="230DD4C8" w14:textId="77777777" w:rsidR="00C30089" w:rsidRPr="00F8190F" w:rsidRDefault="00C30089" w:rsidP="00C30089">
      <w:pPr>
        <w:spacing w:after="0" w:line="240" w:lineRule="auto"/>
        <w:jc w:val="both"/>
        <w:rPr>
          <w:rFonts w:ascii="Verdana" w:hAnsi="Verdana" w:cs="Arial"/>
          <w:sz w:val="20"/>
          <w:szCs w:val="20"/>
        </w:rPr>
      </w:pPr>
    </w:p>
    <w:p w14:paraId="64A8BAEB" w14:textId="32961091" w:rsidR="00C30089" w:rsidRPr="00981332" w:rsidRDefault="00C30089" w:rsidP="000C2F6B">
      <w:pPr>
        <w:pStyle w:val="Prrafodelista"/>
        <w:numPr>
          <w:ilvl w:val="0"/>
          <w:numId w:val="24"/>
        </w:numPr>
        <w:ind w:left="0" w:firstLine="0"/>
        <w:jc w:val="both"/>
        <w:rPr>
          <w:rFonts w:ascii="Verdana" w:hAnsi="Verdana" w:cs="Arial"/>
          <w:i/>
          <w:sz w:val="20"/>
          <w:szCs w:val="20"/>
        </w:rPr>
      </w:pPr>
      <w:r w:rsidRPr="00981332">
        <w:rPr>
          <w:rFonts w:ascii="Verdana" w:hAnsi="Verdana"/>
          <w:sz w:val="20"/>
          <w:szCs w:val="20"/>
        </w:rPr>
        <w:t>La Corte debe evaluar, teniendo presente la temporalidad y excepcionalidad propia de las medidas provisionales dispuestas, si existen elementos de juicio suficientes para colegir que se mantiene la situación de gravedad y urgencia “extrema”, relativa al riesgo de “daños irreparables” en perjuicio de la persona beneficiaria.</w:t>
      </w:r>
      <w:r w:rsidR="004A6519">
        <w:rPr>
          <w:rFonts w:ascii="Verdana" w:hAnsi="Verdana"/>
          <w:sz w:val="20"/>
          <w:szCs w:val="20"/>
        </w:rPr>
        <w:t xml:space="preserve"> </w:t>
      </w:r>
      <w:r w:rsidR="004A6519" w:rsidRPr="00981332">
        <w:rPr>
          <w:rFonts w:ascii="Verdana" w:hAnsi="Verdana"/>
          <w:sz w:val="20"/>
          <w:szCs w:val="20"/>
        </w:rPr>
        <w:t>Por ello, este Tribunal considera necesario</w:t>
      </w:r>
      <w:r w:rsidR="004A6519">
        <w:rPr>
          <w:rFonts w:ascii="Verdana" w:hAnsi="Verdana"/>
          <w:sz w:val="20"/>
          <w:szCs w:val="20"/>
        </w:rPr>
        <w:t xml:space="preserve"> pronunciarse sobre</w:t>
      </w:r>
      <w:r w:rsidR="004A6519" w:rsidRPr="00981332">
        <w:rPr>
          <w:rFonts w:ascii="Verdana" w:hAnsi="Verdana"/>
          <w:sz w:val="20"/>
          <w:szCs w:val="20"/>
        </w:rPr>
        <w:t xml:space="preserve"> la situación de riesgo de la beneficiaria, y la necesidad de mantenimiento de las medidas provisionales y su implementación.</w:t>
      </w:r>
      <w:r w:rsidRPr="00981332">
        <w:rPr>
          <w:rFonts w:ascii="Verdana" w:hAnsi="Verdana"/>
          <w:sz w:val="20"/>
          <w:szCs w:val="20"/>
        </w:rPr>
        <w:t xml:space="preserve"> </w:t>
      </w:r>
      <w:r w:rsidR="004A6519">
        <w:rPr>
          <w:rFonts w:ascii="Verdana" w:hAnsi="Verdana"/>
          <w:sz w:val="20"/>
          <w:szCs w:val="20"/>
        </w:rPr>
        <w:t>Ahora bien, e</w:t>
      </w:r>
      <w:r w:rsidRPr="00981332">
        <w:rPr>
          <w:rFonts w:ascii="Verdana" w:hAnsi="Verdana"/>
          <w:sz w:val="20"/>
          <w:szCs w:val="20"/>
        </w:rPr>
        <w:t>ste Tribunal hace notar que las presentes medidas han estado vigentes durante aproximadamente siete años (</w:t>
      </w:r>
      <w:r w:rsidRPr="00981332">
        <w:rPr>
          <w:rFonts w:ascii="Verdana" w:hAnsi="Verdana"/>
          <w:i/>
          <w:sz w:val="20"/>
          <w:szCs w:val="20"/>
        </w:rPr>
        <w:t>supra</w:t>
      </w:r>
      <w:r w:rsidRPr="00981332">
        <w:rPr>
          <w:rFonts w:ascii="Verdana" w:hAnsi="Verdana"/>
          <w:sz w:val="20"/>
          <w:szCs w:val="20"/>
        </w:rPr>
        <w:t xml:space="preserve"> Visto 1 y Considerando 1) y han transcurrido casi tres años desde que, en su anterior Resolución, la Corte determinara su continuidad respecto de la señora Castro Rodríguez.</w:t>
      </w:r>
      <w:r w:rsidR="004A6519">
        <w:rPr>
          <w:rFonts w:ascii="Verdana" w:hAnsi="Verdana"/>
          <w:sz w:val="20"/>
          <w:szCs w:val="20"/>
        </w:rPr>
        <w:t xml:space="preserve"> En ese sentido, e</w:t>
      </w:r>
      <w:r w:rsidRPr="00981332">
        <w:rPr>
          <w:rFonts w:ascii="Verdana" w:hAnsi="Verdana"/>
          <w:sz w:val="20"/>
          <w:szCs w:val="20"/>
        </w:rPr>
        <w:t>l Tribunal resalta que</w:t>
      </w:r>
      <w:r w:rsidR="008D01F8" w:rsidRPr="00981332">
        <w:rPr>
          <w:rFonts w:ascii="Verdana" w:hAnsi="Verdana"/>
          <w:sz w:val="20"/>
          <w:szCs w:val="20"/>
        </w:rPr>
        <w:t>,</w:t>
      </w:r>
      <w:r w:rsidRPr="00981332">
        <w:rPr>
          <w:rFonts w:ascii="Verdana" w:hAnsi="Verdana"/>
          <w:sz w:val="20"/>
          <w:szCs w:val="20"/>
        </w:rPr>
        <w:t xml:space="preserve"> en la presente Resolución, si bien se examinará la información y observaciones presentadas por el Estado, l</w:t>
      </w:r>
      <w:r w:rsidR="00B12677">
        <w:rPr>
          <w:rFonts w:ascii="Verdana" w:hAnsi="Verdana"/>
          <w:sz w:val="20"/>
          <w:szCs w:val="20"/>
        </w:rPr>
        <w:t>a</w:t>
      </w:r>
      <w:r w:rsidRPr="00981332">
        <w:rPr>
          <w:rFonts w:ascii="Verdana" w:hAnsi="Verdana"/>
          <w:sz w:val="20"/>
          <w:szCs w:val="20"/>
        </w:rPr>
        <w:t>s representantes y la Comisión, respectivamente, se tomará en cuenta, para efectos de evaluar el mantenimiento o no de las presentes medidas provisionales, aquello que resulte pertinente respecto a la situación actual de las mismas.</w:t>
      </w:r>
      <w:r w:rsidR="008D01F8" w:rsidRPr="00981332">
        <w:rPr>
          <w:rFonts w:ascii="Verdana" w:hAnsi="Verdana"/>
          <w:sz w:val="20"/>
          <w:szCs w:val="20"/>
        </w:rPr>
        <w:t xml:space="preserve"> </w:t>
      </w:r>
    </w:p>
    <w:p w14:paraId="3817C767" w14:textId="77777777" w:rsidR="00C30089" w:rsidRDefault="00C30089" w:rsidP="00C30089">
      <w:pPr>
        <w:spacing w:after="0" w:line="240" w:lineRule="auto"/>
        <w:jc w:val="both"/>
        <w:rPr>
          <w:rFonts w:ascii="Verdana" w:hAnsi="Verdana" w:cs="Arial"/>
          <w:sz w:val="20"/>
          <w:szCs w:val="20"/>
        </w:rPr>
      </w:pPr>
    </w:p>
    <w:p w14:paraId="034981D4" w14:textId="4B3D6DD4" w:rsidR="00C30089" w:rsidRPr="00812161" w:rsidRDefault="004A6519" w:rsidP="00C30089">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cs="Verdana"/>
          <w:sz w:val="20"/>
          <w:szCs w:val="20"/>
          <w:lang w:val="es-ES"/>
        </w:rPr>
        <w:t>En relación con lo anterior</w:t>
      </w:r>
      <w:r w:rsidR="00973258">
        <w:rPr>
          <w:rFonts w:ascii="Verdana" w:hAnsi="Verdana" w:cs="Verdana"/>
          <w:sz w:val="20"/>
          <w:szCs w:val="20"/>
          <w:lang w:val="es-ES"/>
        </w:rPr>
        <w:t xml:space="preserve">, el Tribunal </w:t>
      </w:r>
      <w:r w:rsidR="00C30089">
        <w:rPr>
          <w:rFonts w:ascii="Verdana" w:hAnsi="Verdana" w:cs="Verdana"/>
          <w:sz w:val="20"/>
          <w:szCs w:val="20"/>
          <w:lang w:val="es-ES"/>
        </w:rPr>
        <w:t>observa que, de la información remitida por l</w:t>
      </w:r>
      <w:r w:rsidR="00B12677">
        <w:rPr>
          <w:rFonts w:ascii="Verdana" w:hAnsi="Verdana" w:cs="Verdana"/>
          <w:sz w:val="20"/>
          <w:szCs w:val="20"/>
          <w:lang w:val="es-ES"/>
        </w:rPr>
        <w:t>a</w:t>
      </w:r>
      <w:r w:rsidR="00C30089">
        <w:rPr>
          <w:rFonts w:ascii="Verdana" w:hAnsi="Verdana" w:cs="Verdana"/>
          <w:sz w:val="20"/>
          <w:szCs w:val="20"/>
          <w:lang w:val="es-ES"/>
        </w:rPr>
        <w:t>s representantes, se desprende que la señora Castro Rodríguez</w:t>
      </w:r>
      <w:r w:rsidR="00875DD8">
        <w:rPr>
          <w:rFonts w:ascii="Verdana" w:hAnsi="Verdana" w:cs="Verdana"/>
          <w:sz w:val="20"/>
          <w:szCs w:val="20"/>
          <w:lang w:val="es-ES"/>
        </w:rPr>
        <w:t xml:space="preserve"> presuntamente</w:t>
      </w:r>
      <w:r w:rsidR="00C30089">
        <w:rPr>
          <w:rFonts w:ascii="Verdana" w:hAnsi="Verdana" w:cs="Verdana"/>
          <w:sz w:val="20"/>
          <w:szCs w:val="20"/>
          <w:lang w:val="es-ES"/>
        </w:rPr>
        <w:t>: i) ha</w:t>
      </w:r>
      <w:r w:rsidR="00175FE3">
        <w:rPr>
          <w:rFonts w:ascii="Verdana" w:hAnsi="Verdana" w:cs="Verdana"/>
          <w:sz w:val="20"/>
          <w:szCs w:val="20"/>
          <w:lang w:val="es-ES"/>
        </w:rPr>
        <w:t>bría</w:t>
      </w:r>
      <w:r w:rsidR="00C30089">
        <w:rPr>
          <w:rFonts w:ascii="Verdana" w:hAnsi="Verdana" w:cs="Verdana"/>
          <w:sz w:val="20"/>
          <w:szCs w:val="20"/>
          <w:lang w:val="es-ES"/>
        </w:rPr>
        <w:t xml:space="preserve"> sido víctima de una continua campaña de desprestigio en su contra</w:t>
      </w:r>
      <w:r w:rsidR="0004184F">
        <w:rPr>
          <w:rFonts w:ascii="Verdana" w:hAnsi="Verdana" w:cs="Verdana"/>
          <w:sz w:val="20"/>
          <w:szCs w:val="20"/>
          <w:lang w:val="es-ES"/>
        </w:rPr>
        <w:t xml:space="preserve"> desde diversos medios de comunicación, en donde se ha</w:t>
      </w:r>
      <w:r w:rsidR="00875DD8">
        <w:rPr>
          <w:rFonts w:ascii="Verdana" w:hAnsi="Verdana" w:cs="Verdana"/>
          <w:sz w:val="20"/>
          <w:szCs w:val="20"/>
          <w:lang w:val="es-ES"/>
        </w:rPr>
        <w:t>bría</w:t>
      </w:r>
      <w:r w:rsidR="0004184F">
        <w:rPr>
          <w:rFonts w:ascii="Verdana" w:hAnsi="Verdana" w:cs="Verdana"/>
          <w:sz w:val="20"/>
          <w:szCs w:val="20"/>
          <w:lang w:val="es-ES"/>
        </w:rPr>
        <w:t xml:space="preserve"> denostado su persona</w:t>
      </w:r>
      <w:r w:rsidR="00C30089">
        <w:rPr>
          <w:rFonts w:ascii="Verdana" w:hAnsi="Verdana" w:cs="Verdana"/>
          <w:sz w:val="20"/>
          <w:szCs w:val="20"/>
          <w:lang w:val="es-ES"/>
        </w:rPr>
        <w:t xml:space="preserve">; ii) </w:t>
      </w:r>
      <w:r w:rsidR="00875DD8">
        <w:rPr>
          <w:rFonts w:ascii="Verdana" w:hAnsi="Verdana" w:cs="Verdana"/>
          <w:sz w:val="20"/>
          <w:szCs w:val="20"/>
          <w:lang w:val="es-ES"/>
        </w:rPr>
        <w:t>habría sido</w:t>
      </w:r>
      <w:r w:rsidR="00C30089">
        <w:rPr>
          <w:rFonts w:ascii="Verdana" w:hAnsi="Verdana" w:cs="Verdana"/>
          <w:sz w:val="20"/>
          <w:szCs w:val="20"/>
          <w:lang w:val="es-ES"/>
        </w:rPr>
        <w:t xml:space="preserve"> agredida verbal</w:t>
      </w:r>
      <w:r w:rsidR="0004184F">
        <w:rPr>
          <w:rFonts w:ascii="Verdana" w:hAnsi="Verdana" w:cs="Verdana"/>
          <w:sz w:val="20"/>
          <w:szCs w:val="20"/>
          <w:lang w:val="es-ES"/>
        </w:rPr>
        <w:t>mente por parte de un juez del E</w:t>
      </w:r>
      <w:r w:rsidR="00C30089">
        <w:rPr>
          <w:rFonts w:ascii="Verdana" w:hAnsi="Verdana" w:cs="Verdana"/>
          <w:sz w:val="20"/>
          <w:szCs w:val="20"/>
          <w:lang w:val="es-ES"/>
        </w:rPr>
        <w:t>stado de Chihuahua,</w:t>
      </w:r>
      <w:r w:rsidR="0004184F">
        <w:rPr>
          <w:rFonts w:ascii="Verdana" w:hAnsi="Verdana" w:cs="Verdana"/>
          <w:sz w:val="20"/>
          <w:szCs w:val="20"/>
          <w:lang w:val="es-ES"/>
        </w:rPr>
        <w:t xml:space="preserve"> </w:t>
      </w:r>
      <w:r w:rsidR="008542E2">
        <w:rPr>
          <w:rFonts w:ascii="Verdana" w:hAnsi="Verdana" w:cs="Verdana"/>
          <w:sz w:val="20"/>
          <w:szCs w:val="20"/>
          <w:lang w:val="es-ES"/>
        </w:rPr>
        <w:t>mientras era</w:t>
      </w:r>
      <w:r w:rsidR="0004184F">
        <w:rPr>
          <w:rFonts w:ascii="Verdana" w:hAnsi="Verdana" w:cs="Verdana"/>
          <w:sz w:val="20"/>
          <w:szCs w:val="20"/>
          <w:lang w:val="es-ES"/>
        </w:rPr>
        <w:t xml:space="preserve"> integrante del Consejo de la Judicatura </w:t>
      </w:r>
      <w:r>
        <w:rPr>
          <w:rFonts w:ascii="Verdana" w:hAnsi="Verdana" w:cs="Verdana"/>
          <w:sz w:val="20"/>
          <w:szCs w:val="20"/>
          <w:lang w:val="es-ES"/>
        </w:rPr>
        <w:t>del Estado</w:t>
      </w:r>
      <w:r w:rsidR="008402AE">
        <w:rPr>
          <w:rFonts w:ascii="Verdana" w:hAnsi="Verdana" w:cs="Verdana"/>
          <w:sz w:val="20"/>
          <w:szCs w:val="20"/>
          <w:lang w:val="es-ES"/>
        </w:rPr>
        <w:t>;</w:t>
      </w:r>
      <w:r w:rsidR="00C30089">
        <w:rPr>
          <w:rFonts w:ascii="Verdana" w:hAnsi="Verdana" w:cs="Verdana"/>
          <w:sz w:val="20"/>
          <w:szCs w:val="20"/>
          <w:lang w:val="es-ES"/>
        </w:rPr>
        <w:t xml:space="preserve"> y iii) </w:t>
      </w:r>
      <w:r w:rsidR="0004184F">
        <w:rPr>
          <w:rFonts w:ascii="Verdana" w:hAnsi="Verdana" w:cs="Verdana"/>
          <w:sz w:val="20"/>
          <w:szCs w:val="20"/>
          <w:lang w:val="es-ES"/>
        </w:rPr>
        <w:t xml:space="preserve">el 6 de septiembre de 2018, se </w:t>
      </w:r>
      <w:r w:rsidR="00875DD8">
        <w:rPr>
          <w:rFonts w:ascii="Verdana" w:hAnsi="Verdana" w:cs="Verdana"/>
          <w:sz w:val="20"/>
          <w:szCs w:val="20"/>
          <w:lang w:val="es-ES"/>
        </w:rPr>
        <w:t>habría advertido</w:t>
      </w:r>
      <w:r w:rsidR="0004184F">
        <w:rPr>
          <w:rFonts w:ascii="Verdana" w:hAnsi="Verdana" w:cs="Verdana"/>
          <w:sz w:val="20"/>
          <w:szCs w:val="20"/>
          <w:lang w:val="es-ES"/>
        </w:rPr>
        <w:t xml:space="preserve"> la presencia de </w:t>
      </w:r>
      <w:r w:rsidR="00C30089">
        <w:rPr>
          <w:rFonts w:ascii="Verdana" w:hAnsi="Verdana" w:cs="Verdana"/>
          <w:sz w:val="20"/>
          <w:szCs w:val="20"/>
          <w:lang w:val="es-ES"/>
        </w:rPr>
        <w:t>sujetos armados</w:t>
      </w:r>
      <w:r w:rsidR="0004184F">
        <w:rPr>
          <w:rFonts w:ascii="Verdana" w:hAnsi="Verdana" w:cs="Verdana"/>
          <w:sz w:val="20"/>
          <w:szCs w:val="20"/>
          <w:lang w:val="es-ES"/>
        </w:rPr>
        <w:t xml:space="preserve"> a bordo de una camioneta, que aparentemente estaban vigilando</w:t>
      </w:r>
      <w:r w:rsidR="00C30089">
        <w:rPr>
          <w:rFonts w:ascii="Verdana" w:hAnsi="Verdana" w:cs="Verdana"/>
          <w:sz w:val="20"/>
          <w:szCs w:val="20"/>
          <w:lang w:val="es-ES"/>
        </w:rPr>
        <w:t xml:space="preserve"> </w:t>
      </w:r>
      <w:r w:rsidR="0004184F">
        <w:rPr>
          <w:rFonts w:ascii="Verdana" w:hAnsi="Verdana" w:cs="Verdana"/>
          <w:sz w:val="20"/>
          <w:szCs w:val="20"/>
          <w:lang w:val="es-ES"/>
        </w:rPr>
        <w:t xml:space="preserve">el Tribunal Superior de Justicia, </w:t>
      </w:r>
      <w:r w:rsidR="00C30089">
        <w:rPr>
          <w:rFonts w:ascii="Verdana" w:hAnsi="Verdana" w:cs="Verdana"/>
          <w:sz w:val="20"/>
          <w:szCs w:val="20"/>
          <w:lang w:val="es-ES"/>
        </w:rPr>
        <w:t>su antiguo lugar de trabajo</w:t>
      </w:r>
      <w:r w:rsidR="00B0211F">
        <w:rPr>
          <w:rFonts w:ascii="Verdana" w:hAnsi="Verdana" w:cs="Verdana"/>
          <w:sz w:val="20"/>
          <w:szCs w:val="20"/>
          <w:lang w:val="es-ES"/>
        </w:rPr>
        <w:t>.</w:t>
      </w:r>
      <w:r w:rsidR="00C30089">
        <w:rPr>
          <w:rFonts w:ascii="Verdana" w:hAnsi="Verdana" w:cs="Verdana"/>
          <w:sz w:val="20"/>
          <w:szCs w:val="20"/>
          <w:lang w:val="es-ES"/>
        </w:rPr>
        <w:t xml:space="preserve"> Asimismo, la Corte advierte que, </w:t>
      </w:r>
      <w:r w:rsidR="00C30089" w:rsidRPr="0035170A">
        <w:rPr>
          <w:rFonts w:ascii="Verdana" w:hAnsi="Verdana" w:cs="Verdana"/>
          <w:color w:val="000000"/>
          <w:sz w:val="20"/>
          <w:szCs w:val="20"/>
        </w:rPr>
        <w:t xml:space="preserve">de acuerdo a lo informado por las representantes en su último escrito de observaciones de febrero de 2020, la </w:t>
      </w:r>
      <w:r w:rsidR="00584ED4">
        <w:rPr>
          <w:rFonts w:ascii="Verdana" w:hAnsi="Verdana" w:cs="Verdana"/>
          <w:color w:val="000000"/>
          <w:sz w:val="20"/>
          <w:szCs w:val="20"/>
        </w:rPr>
        <w:t>beneficiaria</w:t>
      </w:r>
      <w:r w:rsidR="00C30089" w:rsidRPr="0035170A">
        <w:rPr>
          <w:rFonts w:ascii="Verdana" w:hAnsi="Verdana" w:cs="Verdana"/>
          <w:color w:val="000000"/>
          <w:sz w:val="20"/>
          <w:szCs w:val="20"/>
        </w:rPr>
        <w:t xml:space="preserve"> renunció al Consejo de la Judicatura </w:t>
      </w:r>
      <w:r w:rsidR="00584ED4">
        <w:rPr>
          <w:rFonts w:ascii="Verdana" w:hAnsi="Verdana" w:cs="Verdana"/>
          <w:color w:val="000000"/>
          <w:sz w:val="20"/>
          <w:szCs w:val="20"/>
        </w:rPr>
        <w:t xml:space="preserve">por motivos de salud, “luego de dos </w:t>
      </w:r>
      <w:r w:rsidR="00584ED4">
        <w:rPr>
          <w:rFonts w:ascii="Verdana" w:hAnsi="Verdana" w:cs="Verdana"/>
          <w:color w:val="000000"/>
          <w:sz w:val="20"/>
          <w:szCs w:val="20"/>
        </w:rPr>
        <w:lastRenderedPageBreak/>
        <w:t>años en los que la beneficiaria estuvo sometida a constantes campañas de desprestigio y descalificación”, por lo que a</w:t>
      </w:r>
      <w:r w:rsidR="00C30089" w:rsidRPr="0035170A">
        <w:rPr>
          <w:rFonts w:ascii="Verdana" w:hAnsi="Verdana" w:cs="Verdana"/>
          <w:color w:val="000000"/>
          <w:sz w:val="20"/>
          <w:szCs w:val="20"/>
        </w:rPr>
        <w:t>ctualmente se encontraría trabajando como defensora de derechos humanos desde la sociedad civil</w:t>
      </w:r>
      <w:r w:rsidR="00C30089">
        <w:rPr>
          <w:rFonts w:ascii="Verdana" w:hAnsi="Verdana" w:cs="Verdana"/>
          <w:color w:val="000000"/>
          <w:sz w:val="20"/>
          <w:szCs w:val="20"/>
        </w:rPr>
        <w:t xml:space="preserve">. </w:t>
      </w:r>
      <w:r w:rsidR="00C84AED">
        <w:rPr>
          <w:rFonts w:ascii="Verdana" w:hAnsi="Verdana" w:cs="Verdana"/>
          <w:color w:val="000000"/>
          <w:sz w:val="20"/>
          <w:szCs w:val="20"/>
        </w:rPr>
        <w:t>Estos hechos no han sido controvertidos por el Estado.</w:t>
      </w:r>
    </w:p>
    <w:p w14:paraId="36065977" w14:textId="77777777" w:rsidR="00C30089" w:rsidRPr="00812161" w:rsidRDefault="00C30089" w:rsidP="00C30089">
      <w:pPr>
        <w:pStyle w:val="Prrafodelista"/>
        <w:rPr>
          <w:rFonts w:ascii="Verdana" w:hAnsi="Verdana" w:cs="Verdana"/>
          <w:color w:val="000000"/>
          <w:sz w:val="20"/>
          <w:szCs w:val="20"/>
        </w:rPr>
      </w:pPr>
    </w:p>
    <w:p w14:paraId="638493AF" w14:textId="24E111A1" w:rsidR="000E785A" w:rsidRPr="00FC45CF" w:rsidRDefault="00C84AED" w:rsidP="00C30089">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cs="Verdana"/>
          <w:color w:val="000000"/>
          <w:sz w:val="20"/>
          <w:szCs w:val="20"/>
        </w:rPr>
        <w:t>A</w:t>
      </w:r>
      <w:r w:rsidR="00F67D58">
        <w:rPr>
          <w:rFonts w:ascii="Verdana" w:hAnsi="Verdana" w:cs="Verdana"/>
          <w:color w:val="000000"/>
          <w:sz w:val="20"/>
          <w:szCs w:val="20"/>
        </w:rPr>
        <w:t>l</w:t>
      </w:r>
      <w:r>
        <w:rPr>
          <w:rFonts w:ascii="Verdana" w:hAnsi="Verdana" w:cs="Verdana"/>
          <w:color w:val="000000"/>
          <w:sz w:val="20"/>
          <w:szCs w:val="20"/>
        </w:rPr>
        <w:t xml:space="preserve"> respecto, l</w:t>
      </w:r>
      <w:r w:rsidR="00584ED4">
        <w:rPr>
          <w:rFonts w:ascii="Verdana" w:hAnsi="Verdana" w:cs="Verdana"/>
          <w:color w:val="000000"/>
          <w:sz w:val="20"/>
          <w:szCs w:val="20"/>
        </w:rPr>
        <w:t>a Corte recuerda que las presentes medidas provisionales tienen origen</w:t>
      </w:r>
      <w:r w:rsidR="00981332">
        <w:rPr>
          <w:rFonts w:ascii="Verdana" w:hAnsi="Verdana" w:cs="Verdana"/>
          <w:color w:val="000000"/>
          <w:sz w:val="20"/>
          <w:szCs w:val="20"/>
        </w:rPr>
        <w:t xml:space="preserve"> en la situación de riesgo </w:t>
      </w:r>
      <w:r w:rsidR="001E5B89">
        <w:rPr>
          <w:rFonts w:ascii="Verdana" w:hAnsi="Verdana" w:cs="Verdana"/>
          <w:color w:val="000000"/>
          <w:sz w:val="20"/>
          <w:szCs w:val="20"/>
        </w:rPr>
        <w:t xml:space="preserve">en </w:t>
      </w:r>
      <w:r w:rsidR="00981332">
        <w:rPr>
          <w:rFonts w:ascii="Verdana" w:hAnsi="Verdana" w:cs="Verdana"/>
          <w:color w:val="000000"/>
          <w:sz w:val="20"/>
          <w:szCs w:val="20"/>
        </w:rPr>
        <w:t>que la señora Castro Rodríguez se encontraba como defensora de derechos humanos</w:t>
      </w:r>
      <w:r w:rsidR="001E5B89">
        <w:rPr>
          <w:rFonts w:ascii="Verdana" w:hAnsi="Verdana" w:cs="Verdana"/>
          <w:color w:val="000000"/>
          <w:sz w:val="20"/>
          <w:szCs w:val="20"/>
        </w:rPr>
        <w:t>, en particular por los diversos</w:t>
      </w:r>
      <w:r w:rsidR="00981332">
        <w:rPr>
          <w:rFonts w:ascii="Verdana" w:hAnsi="Verdana" w:cs="Verdana"/>
          <w:color w:val="000000"/>
          <w:sz w:val="20"/>
          <w:szCs w:val="20"/>
        </w:rPr>
        <w:t xml:space="preserve"> hechos que involucraban a autoridades estatales de Chihuahua </w:t>
      </w:r>
      <w:r w:rsidR="00196143">
        <w:rPr>
          <w:rFonts w:ascii="Verdana" w:hAnsi="Verdana" w:cs="Verdana"/>
          <w:color w:val="000000"/>
          <w:sz w:val="20"/>
          <w:szCs w:val="20"/>
        </w:rPr>
        <w:t xml:space="preserve">con </w:t>
      </w:r>
      <w:r w:rsidR="00981332">
        <w:rPr>
          <w:rFonts w:ascii="Verdana" w:hAnsi="Verdana" w:cs="Verdana"/>
          <w:color w:val="000000"/>
          <w:sz w:val="20"/>
          <w:szCs w:val="20"/>
        </w:rPr>
        <w:t>relación a las organizaciones CEDHEM y “El Barzón”, en las que ella trabajaba.</w:t>
      </w:r>
      <w:r w:rsidR="0077609B">
        <w:rPr>
          <w:rFonts w:ascii="Verdana" w:hAnsi="Verdana" w:cs="Verdana"/>
          <w:color w:val="000000"/>
          <w:sz w:val="20"/>
          <w:szCs w:val="20"/>
        </w:rPr>
        <w:t xml:space="preserve"> </w:t>
      </w:r>
      <w:r w:rsidR="000E785A">
        <w:rPr>
          <w:rFonts w:ascii="Verdana" w:hAnsi="Verdana" w:cs="Verdana"/>
          <w:color w:val="000000"/>
          <w:sz w:val="20"/>
          <w:szCs w:val="20"/>
        </w:rPr>
        <w:t>L</w:t>
      </w:r>
      <w:r w:rsidR="001E5B89">
        <w:rPr>
          <w:rFonts w:ascii="Verdana" w:hAnsi="Verdana" w:cs="Verdana"/>
          <w:color w:val="000000"/>
          <w:sz w:val="20"/>
          <w:szCs w:val="20"/>
        </w:rPr>
        <w:t xml:space="preserve">os hechos </w:t>
      </w:r>
      <w:r w:rsidR="00180DAB">
        <w:rPr>
          <w:rFonts w:ascii="Verdana" w:hAnsi="Verdana" w:cs="Verdana"/>
          <w:color w:val="000000"/>
          <w:sz w:val="20"/>
          <w:szCs w:val="20"/>
        </w:rPr>
        <w:t xml:space="preserve">que dieron origen a la adopción de las presentes medidas </w:t>
      </w:r>
      <w:r w:rsidR="001E5B89">
        <w:rPr>
          <w:rFonts w:ascii="Verdana" w:hAnsi="Verdana" w:cs="Verdana"/>
          <w:color w:val="000000"/>
          <w:sz w:val="20"/>
          <w:szCs w:val="20"/>
        </w:rPr>
        <w:t>incluyeron amenazas y declaraciones realizadas respecto de sus actividades como defensora, así como actos de violencia y amenazas contra otros dirigentes de las organizaciones en que ella participa.</w:t>
      </w:r>
      <w:r w:rsidR="000E785A">
        <w:rPr>
          <w:rFonts w:ascii="Verdana" w:hAnsi="Verdana" w:cs="Verdana"/>
          <w:color w:val="000000"/>
          <w:sz w:val="20"/>
          <w:szCs w:val="20"/>
        </w:rPr>
        <w:t xml:space="preserve"> En ese sentido,</w:t>
      </w:r>
      <w:r w:rsidR="001E5B89">
        <w:rPr>
          <w:rFonts w:ascii="Verdana" w:hAnsi="Verdana" w:cs="Verdana"/>
          <w:color w:val="000000"/>
          <w:sz w:val="20"/>
          <w:szCs w:val="20"/>
        </w:rPr>
        <w:t xml:space="preserve"> </w:t>
      </w:r>
      <w:r w:rsidR="000E785A">
        <w:rPr>
          <w:rFonts w:ascii="Verdana" w:hAnsi="Verdana" w:cs="Verdana"/>
          <w:color w:val="000000"/>
          <w:sz w:val="20"/>
          <w:szCs w:val="20"/>
        </w:rPr>
        <w:t>e</w:t>
      </w:r>
      <w:r w:rsidR="00C30089" w:rsidRPr="003D2B02">
        <w:rPr>
          <w:rFonts w:ascii="Verdana" w:hAnsi="Verdana" w:cs="Verdana"/>
          <w:color w:val="000000"/>
          <w:sz w:val="20"/>
          <w:szCs w:val="20"/>
        </w:rPr>
        <w:t>l Tribunal consi</w:t>
      </w:r>
      <w:r w:rsidR="001E5B89">
        <w:rPr>
          <w:rFonts w:ascii="Verdana" w:hAnsi="Verdana" w:cs="Verdana"/>
          <w:color w:val="000000"/>
          <w:sz w:val="20"/>
          <w:szCs w:val="20"/>
        </w:rPr>
        <w:t xml:space="preserve">dera que </w:t>
      </w:r>
      <w:r w:rsidR="00D479D8">
        <w:rPr>
          <w:rFonts w:ascii="Verdana" w:hAnsi="Verdana" w:cs="Verdana"/>
          <w:color w:val="000000"/>
          <w:sz w:val="20"/>
          <w:szCs w:val="20"/>
        </w:rPr>
        <w:t>las constantes críticas en contra de su trabajo y su persona</w:t>
      </w:r>
      <w:r w:rsidR="00981829">
        <w:rPr>
          <w:rFonts w:ascii="Verdana" w:hAnsi="Verdana" w:cs="Verdana"/>
          <w:color w:val="000000"/>
          <w:sz w:val="20"/>
          <w:szCs w:val="20"/>
        </w:rPr>
        <w:t>,</w:t>
      </w:r>
      <w:r w:rsidR="00D479D8">
        <w:rPr>
          <w:rFonts w:ascii="Verdana" w:hAnsi="Verdana" w:cs="Verdana"/>
          <w:color w:val="000000"/>
          <w:sz w:val="20"/>
          <w:szCs w:val="20"/>
        </w:rPr>
        <w:t xml:space="preserve"> por parte de</w:t>
      </w:r>
      <w:r w:rsidR="001E5B89">
        <w:rPr>
          <w:rFonts w:ascii="Verdana" w:hAnsi="Verdana" w:cs="Verdana"/>
          <w:color w:val="000000"/>
          <w:sz w:val="20"/>
          <w:szCs w:val="20"/>
        </w:rPr>
        <w:t xml:space="preserve"> medios de comunicación</w:t>
      </w:r>
      <w:r w:rsidR="00981829">
        <w:rPr>
          <w:rFonts w:ascii="Verdana" w:hAnsi="Verdana" w:cs="Verdana"/>
          <w:color w:val="000000"/>
          <w:sz w:val="20"/>
          <w:szCs w:val="20"/>
        </w:rPr>
        <w:t>,</w:t>
      </w:r>
      <w:r w:rsidR="001E5B89">
        <w:rPr>
          <w:rFonts w:ascii="Verdana" w:hAnsi="Verdana" w:cs="Verdana"/>
          <w:color w:val="000000"/>
          <w:sz w:val="20"/>
          <w:szCs w:val="20"/>
        </w:rPr>
        <w:t xml:space="preserve"> </w:t>
      </w:r>
      <w:r w:rsidR="000E785A">
        <w:rPr>
          <w:rFonts w:ascii="Verdana" w:hAnsi="Verdana" w:cs="Verdana"/>
          <w:color w:val="000000"/>
          <w:sz w:val="20"/>
          <w:szCs w:val="20"/>
        </w:rPr>
        <w:t xml:space="preserve">con </w:t>
      </w:r>
      <w:r w:rsidR="001E5B89">
        <w:rPr>
          <w:rFonts w:ascii="Verdana" w:hAnsi="Verdana" w:cs="Verdana"/>
          <w:color w:val="000000"/>
          <w:sz w:val="20"/>
          <w:szCs w:val="20"/>
        </w:rPr>
        <w:t>posterior</w:t>
      </w:r>
      <w:r w:rsidR="000E785A">
        <w:rPr>
          <w:rFonts w:ascii="Verdana" w:hAnsi="Verdana" w:cs="Verdana"/>
          <w:color w:val="000000"/>
          <w:sz w:val="20"/>
          <w:szCs w:val="20"/>
        </w:rPr>
        <w:t>idad</w:t>
      </w:r>
      <w:r w:rsidR="001E5B89">
        <w:rPr>
          <w:rFonts w:ascii="Verdana" w:hAnsi="Verdana" w:cs="Verdana"/>
          <w:color w:val="000000"/>
          <w:sz w:val="20"/>
          <w:szCs w:val="20"/>
        </w:rPr>
        <w:t xml:space="preserve"> a la </w:t>
      </w:r>
      <w:r w:rsidR="00981829">
        <w:rPr>
          <w:rFonts w:ascii="Verdana" w:hAnsi="Verdana" w:cs="Verdana"/>
          <w:color w:val="000000"/>
          <w:sz w:val="20"/>
          <w:szCs w:val="20"/>
        </w:rPr>
        <w:t>última Resolución de esta Corte;</w:t>
      </w:r>
      <w:r w:rsidR="001E5B89">
        <w:rPr>
          <w:rFonts w:ascii="Verdana" w:hAnsi="Verdana" w:cs="Verdana"/>
          <w:color w:val="000000"/>
          <w:sz w:val="20"/>
          <w:szCs w:val="20"/>
        </w:rPr>
        <w:t xml:space="preserve"> las</w:t>
      </w:r>
      <w:r w:rsidR="00D479D8">
        <w:rPr>
          <w:rFonts w:ascii="Verdana" w:hAnsi="Verdana" w:cs="Verdana"/>
          <w:color w:val="000000"/>
          <w:sz w:val="20"/>
          <w:szCs w:val="20"/>
        </w:rPr>
        <w:t xml:space="preserve"> </w:t>
      </w:r>
      <w:r w:rsidR="001E5B89">
        <w:rPr>
          <w:rFonts w:ascii="Verdana" w:hAnsi="Verdana" w:cs="Verdana"/>
          <w:color w:val="000000"/>
          <w:sz w:val="20"/>
          <w:szCs w:val="20"/>
        </w:rPr>
        <w:t>amenazas y amedrentamientos de los que ha</w:t>
      </w:r>
      <w:r w:rsidR="00D479D8">
        <w:rPr>
          <w:rFonts w:ascii="Verdana" w:hAnsi="Verdana" w:cs="Verdana"/>
          <w:color w:val="000000"/>
          <w:sz w:val="20"/>
          <w:szCs w:val="20"/>
        </w:rPr>
        <w:t>bría</w:t>
      </w:r>
      <w:r w:rsidR="001E5B89">
        <w:rPr>
          <w:rFonts w:ascii="Verdana" w:hAnsi="Verdana" w:cs="Verdana"/>
          <w:color w:val="000000"/>
          <w:sz w:val="20"/>
          <w:szCs w:val="20"/>
        </w:rPr>
        <w:t xml:space="preserve"> sido objeto</w:t>
      </w:r>
      <w:r w:rsidR="00233AAA">
        <w:rPr>
          <w:rFonts w:ascii="Verdana" w:hAnsi="Verdana" w:cs="Verdana"/>
          <w:color w:val="000000"/>
          <w:sz w:val="20"/>
          <w:szCs w:val="20"/>
        </w:rPr>
        <w:t xml:space="preserve"> en el marco del ejercicio </w:t>
      </w:r>
      <w:r w:rsidR="00981829">
        <w:rPr>
          <w:rFonts w:ascii="Verdana" w:hAnsi="Verdana" w:cs="Verdana"/>
          <w:color w:val="000000"/>
          <w:sz w:val="20"/>
          <w:szCs w:val="20"/>
        </w:rPr>
        <w:t>de sus funciones como Consejera;</w:t>
      </w:r>
      <w:r w:rsidR="000E785A">
        <w:rPr>
          <w:rFonts w:ascii="Verdana" w:hAnsi="Verdana" w:cs="Verdana"/>
          <w:color w:val="000000"/>
          <w:sz w:val="20"/>
          <w:szCs w:val="20"/>
        </w:rPr>
        <w:t xml:space="preserve"> </w:t>
      </w:r>
      <w:r>
        <w:rPr>
          <w:rFonts w:ascii="Verdana" w:hAnsi="Verdana" w:cs="Verdana"/>
          <w:color w:val="000000"/>
          <w:sz w:val="20"/>
          <w:szCs w:val="20"/>
        </w:rPr>
        <w:t>y</w:t>
      </w:r>
      <w:r w:rsidR="000E785A">
        <w:rPr>
          <w:rFonts w:ascii="Verdana" w:hAnsi="Verdana" w:cs="Verdana"/>
          <w:color w:val="000000"/>
          <w:sz w:val="20"/>
          <w:szCs w:val="20"/>
        </w:rPr>
        <w:t xml:space="preserve"> la</w:t>
      </w:r>
      <w:r w:rsidR="00D479D8">
        <w:rPr>
          <w:rFonts w:ascii="Verdana" w:hAnsi="Verdana" w:cs="Verdana"/>
          <w:color w:val="000000"/>
          <w:sz w:val="20"/>
          <w:szCs w:val="20"/>
        </w:rPr>
        <w:t xml:space="preserve"> posible</w:t>
      </w:r>
      <w:r w:rsidR="000E785A">
        <w:rPr>
          <w:rFonts w:ascii="Verdana" w:hAnsi="Verdana" w:cs="Verdana"/>
          <w:color w:val="000000"/>
          <w:sz w:val="20"/>
          <w:szCs w:val="20"/>
        </w:rPr>
        <w:t xml:space="preserve"> presencia de sujetos armados en las inmediaciones de las instalaciones del Tribunal Superior de Justicia</w:t>
      </w:r>
      <w:r w:rsidR="00C30089" w:rsidRPr="003D2B02">
        <w:rPr>
          <w:rFonts w:ascii="Verdana" w:hAnsi="Verdana" w:cs="Verdana"/>
          <w:color w:val="000000"/>
          <w:sz w:val="20"/>
          <w:szCs w:val="20"/>
        </w:rPr>
        <w:t>,</w:t>
      </w:r>
      <w:r w:rsidR="001E5B89">
        <w:rPr>
          <w:rFonts w:ascii="Verdana" w:hAnsi="Verdana" w:cs="Verdana"/>
          <w:color w:val="000000"/>
          <w:sz w:val="20"/>
          <w:szCs w:val="20"/>
        </w:rPr>
        <w:t xml:space="preserve"> </w:t>
      </w:r>
      <w:r w:rsidR="000E785A">
        <w:rPr>
          <w:rFonts w:ascii="Verdana" w:hAnsi="Verdana" w:cs="Verdana"/>
          <w:color w:val="000000"/>
          <w:sz w:val="20"/>
          <w:szCs w:val="20"/>
        </w:rPr>
        <w:t>denota</w:t>
      </w:r>
      <w:r w:rsidR="00D60678">
        <w:rPr>
          <w:rFonts w:ascii="Verdana" w:hAnsi="Verdana" w:cs="Verdana"/>
          <w:color w:val="000000"/>
          <w:sz w:val="20"/>
          <w:szCs w:val="20"/>
        </w:rPr>
        <w:t xml:space="preserve"> que ha existido</w:t>
      </w:r>
      <w:r>
        <w:rPr>
          <w:rFonts w:ascii="Verdana" w:hAnsi="Verdana" w:cs="Verdana"/>
          <w:color w:val="000000"/>
          <w:sz w:val="20"/>
          <w:szCs w:val="20"/>
        </w:rPr>
        <w:t xml:space="preserve"> –aunque con diferentes manifestaciones-</w:t>
      </w:r>
      <w:r w:rsidR="00D60678">
        <w:rPr>
          <w:rFonts w:ascii="Verdana" w:hAnsi="Verdana" w:cs="Verdana"/>
          <w:color w:val="000000"/>
          <w:sz w:val="20"/>
          <w:szCs w:val="20"/>
        </w:rPr>
        <w:t xml:space="preserve"> una</w:t>
      </w:r>
      <w:r w:rsidR="000E785A">
        <w:rPr>
          <w:rFonts w:ascii="Verdana" w:hAnsi="Verdana" w:cs="Verdana"/>
          <w:color w:val="000000"/>
          <w:sz w:val="20"/>
          <w:szCs w:val="20"/>
        </w:rPr>
        <w:t xml:space="preserve"> continuidad </w:t>
      </w:r>
      <w:r w:rsidR="00D60678">
        <w:rPr>
          <w:rFonts w:ascii="Verdana" w:hAnsi="Verdana" w:cs="Verdana"/>
          <w:color w:val="000000"/>
          <w:sz w:val="20"/>
          <w:szCs w:val="20"/>
        </w:rPr>
        <w:t>en</w:t>
      </w:r>
      <w:r w:rsidR="000E785A">
        <w:rPr>
          <w:rFonts w:ascii="Verdana" w:hAnsi="Verdana" w:cs="Verdana"/>
          <w:color w:val="000000"/>
          <w:sz w:val="20"/>
          <w:szCs w:val="20"/>
        </w:rPr>
        <w:t xml:space="preserve"> la situación </w:t>
      </w:r>
      <w:r>
        <w:rPr>
          <w:rFonts w:ascii="Verdana" w:hAnsi="Verdana" w:cs="Verdana"/>
          <w:color w:val="000000"/>
          <w:sz w:val="20"/>
          <w:szCs w:val="20"/>
        </w:rPr>
        <w:t xml:space="preserve">de riesgo </w:t>
      </w:r>
      <w:r w:rsidR="000E785A">
        <w:rPr>
          <w:rFonts w:ascii="Verdana" w:hAnsi="Verdana" w:cs="Verdana"/>
          <w:color w:val="000000"/>
          <w:sz w:val="20"/>
          <w:szCs w:val="20"/>
        </w:rPr>
        <w:t>que dio origen a la orden de ado</w:t>
      </w:r>
      <w:r w:rsidR="00FC45CF">
        <w:rPr>
          <w:rFonts w:ascii="Verdana" w:hAnsi="Verdana" w:cs="Verdana"/>
          <w:color w:val="000000"/>
          <w:sz w:val="20"/>
          <w:szCs w:val="20"/>
        </w:rPr>
        <w:t>pción de medidas provisionales</w:t>
      </w:r>
      <w:r>
        <w:rPr>
          <w:rFonts w:ascii="Verdana" w:hAnsi="Verdana" w:cs="Verdana"/>
          <w:color w:val="000000"/>
          <w:sz w:val="20"/>
          <w:szCs w:val="20"/>
        </w:rPr>
        <w:t xml:space="preserve"> en favor de la señora Castro Rodríguez</w:t>
      </w:r>
      <w:r w:rsidR="00FC45CF">
        <w:rPr>
          <w:rFonts w:ascii="Verdana" w:hAnsi="Verdana" w:cs="Verdana"/>
          <w:color w:val="000000"/>
          <w:sz w:val="20"/>
          <w:szCs w:val="20"/>
        </w:rPr>
        <w:t>.</w:t>
      </w:r>
    </w:p>
    <w:p w14:paraId="4BA5CCD7" w14:textId="77777777" w:rsidR="00FC45CF" w:rsidRPr="00FC45CF" w:rsidRDefault="00FC45CF" w:rsidP="00FC45CF">
      <w:pPr>
        <w:pStyle w:val="Prrafodelista"/>
        <w:ind w:left="0" w:right="22"/>
        <w:contextualSpacing/>
        <w:jc w:val="both"/>
        <w:rPr>
          <w:rFonts w:ascii="Verdana" w:hAnsi="Verdana" w:cs="Verdana"/>
          <w:sz w:val="20"/>
          <w:szCs w:val="20"/>
          <w:lang w:val="es-ES"/>
        </w:rPr>
      </w:pPr>
    </w:p>
    <w:p w14:paraId="6AF51010" w14:textId="0467A5E8" w:rsidR="00FC45CF" w:rsidRPr="000E785A" w:rsidRDefault="00C84AED" w:rsidP="00C30089">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cs="Verdana"/>
          <w:sz w:val="20"/>
          <w:szCs w:val="20"/>
          <w:lang w:val="es-ES"/>
        </w:rPr>
        <w:t>La anterior conclusión es apoyada por</w:t>
      </w:r>
      <w:r w:rsidR="00FC45CF">
        <w:rPr>
          <w:rFonts w:ascii="Verdana" w:hAnsi="Verdana" w:cs="Verdana"/>
          <w:sz w:val="20"/>
          <w:szCs w:val="20"/>
          <w:lang w:val="es-ES"/>
        </w:rPr>
        <w:t xml:space="preserve"> los diversos informes</w:t>
      </w:r>
      <w:r>
        <w:rPr>
          <w:rFonts w:ascii="Verdana" w:hAnsi="Verdana" w:cs="Verdana"/>
          <w:sz w:val="20"/>
          <w:szCs w:val="20"/>
          <w:lang w:val="es-ES"/>
        </w:rPr>
        <w:t xml:space="preserve"> que se han elaborado desde la última Resolución del Tribunal en el presente asunto,</w:t>
      </w:r>
      <w:r w:rsidR="00FC45CF">
        <w:rPr>
          <w:rFonts w:ascii="Verdana" w:hAnsi="Verdana" w:cs="Verdana"/>
          <w:sz w:val="20"/>
          <w:szCs w:val="20"/>
          <w:lang w:val="es-ES"/>
        </w:rPr>
        <w:t xml:space="preserve"> en los </w:t>
      </w:r>
      <w:r>
        <w:rPr>
          <w:rFonts w:ascii="Verdana" w:hAnsi="Verdana" w:cs="Verdana"/>
          <w:sz w:val="20"/>
          <w:szCs w:val="20"/>
          <w:lang w:val="es-ES"/>
        </w:rPr>
        <w:t>cuales</w:t>
      </w:r>
      <w:r w:rsidR="00FC45CF">
        <w:rPr>
          <w:rFonts w:ascii="Verdana" w:hAnsi="Verdana" w:cs="Verdana"/>
          <w:sz w:val="20"/>
          <w:szCs w:val="20"/>
          <w:lang w:val="es-ES"/>
        </w:rPr>
        <w:t xml:space="preserve"> se acreditó la situación de riesgo de la señora Castro Rodríguez. En particular, el</w:t>
      </w:r>
      <w:r>
        <w:rPr>
          <w:rFonts w:ascii="Verdana" w:hAnsi="Verdana" w:cs="Verdana"/>
          <w:sz w:val="20"/>
          <w:szCs w:val="20"/>
          <w:lang w:val="es-ES"/>
        </w:rPr>
        <w:t xml:space="preserve"> </w:t>
      </w:r>
      <w:r w:rsidR="00B12677">
        <w:rPr>
          <w:rFonts w:ascii="Verdana" w:hAnsi="Verdana" w:cs="Verdana"/>
          <w:sz w:val="20"/>
          <w:szCs w:val="20"/>
          <w:lang w:val="es-ES"/>
        </w:rPr>
        <w:t>T</w:t>
      </w:r>
      <w:r>
        <w:rPr>
          <w:rFonts w:ascii="Verdana" w:hAnsi="Verdana" w:cs="Verdana"/>
          <w:sz w:val="20"/>
          <w:szCs w:val="20"/>
          <w:lang w:val="es-ES"/>
        </w:rPr>
        <w:t>ribunal recuerda que el propio</w:t>
      </w:r>
      <w:r w:rsidR="00FC45CF">
        <w:rPr>
          <w:rFonts w:ascii="Verdana" w:hAnsi="Verdana" w:cs="Verdana"/>
          <w:sz w:val="20"/>
          <w:szCs w:val="20"/>
          <w:lang w:val="es-ES"/>
        </w:rPr>
        <w:t xml:space="preserve"> Estado informó que el Mecanismo de Protección para</w:t>
      </w:r>
      <w:r w:rsidR="00611A51">
        <w:rPr>
          <w:rFonts w:ascii="Verdana" w:hAnsi="Verdana" w:cs="Verdana"/>
          <w:sz w:val="20"/>
          <w:szCs w:val="20"/>
          <w:lang w:val="es-ES"/>
        </w:rPr>
        <w:t xml:space="preserve"> la Protección</w:t>
      </w:r>
      <w:r w:rsidR="00FC45CF">
        <w:rPr>
          <w:rFonts w:ascii="Verdana" w:hAnsi="Verdana" w:cs="Verdana"/>
          <w:sz w:val="20"/>
          <w:szCs w:val="20"/>
          <w:lang w:val="es-ES"/>
        </w:rPr>
        <w:t xml:space="preserve"> Personas Defensoras de Derechos Humanos y Periodistas</w:t>
      </w:r>
      <w:r>
        <w:rPr>
          <w:rFonts w:ascii="Verdana" w:hAnsi="Verdana" w:cs="Verdana"/>
          <w:sz w:val="20"/>
          <w:szCs w:val="20"/>
          <w:lang w:val="es-ES"/>
        </w:rPr>
        <w:t xml:space="preserve"> (en adelante, “M</w:t>
      </w:r>
      <w:r w:rsidR="00611A51">
        <w:rPr>
          <w:rFonts w:ascii="Verdana" w:hAnsi="Verdana" w:cs="Verdana"/>
          <w:sz w:val="20"/>
          <w:szCs w:val="20"/>
          <w:lang w:val="es-ES"/>
        </w:rPr>
        <w:t>ecanismo para la</w:t>
      </w:r>
      <w:r>
        <w:rPr>
          <w:rFonts w:ascii="Verdana" w:hAnsi="Verdana" w:cs="Verdana"/>
          <w:sz w:val="20"/>
          <w:szCs w:val="20"/>
          <w:lang w:val="es-ES"/>
        </w:rPr>
        <w:t xml:space="preserve"> Protección”)</w:t>
      </w:r>
      <w:r w:rsidR="00FC45CF">
        <w:rPr>
          <w:rFonts w:ascii="Verdana" w:hAnsi="Verdana" w:cs="Verdana"/>
          <w:sz w:val="20"/>
          <w:szCs w:val="20"/>
          <w:lang w:val="es-ES"/>
        </w:rPr>
        <w:t xml:space="preserve"> determinó que “la ponderación de riesgo en el presente caso arrojaba un nivel extraordinario”</w:t>
      </w:r>
      <w:r w:rsidR="00B12677">
        <w:rPr>
          <w:rFonts w:ascii="Verdana" w:hAnsi="Verdana" w:cs="Verdana"/>
          <w:sz w:val="20"/>
          <w:szCs w:val="20"/>
          <w:lang w:val="es-ES"/>
        </w:rPr>
        <w:t>.</w:t>
      </w:r>
      <w:r w:rsidR="00FC45CF">
        <w:rPr>
          <w:rFonts w:ascii="Verdana" w:hAnsi="Verdana" w:cs="Verdana"/>
          <w:sz w:val="20"/>
          <w:szCs w:val="20"/>
          <w:lang w:val="es-ES"/>
        </w:rPr>
        <w:t xml:space="preserve"> Asimismo, la </w:t>
      </w:r>
      <w:r>
        <w:rPr>
          <w:rFonts w:ascii="Verdana" w:hAnsi="Verdana" w:cs="Verdana"/>
          <w:sz w:val="20"/>
          <w:szCs w:val="20"/>
          <w:lang w:val="es-ES"/>
        </w:rPr>
        <w:t>CNDH</w:t>
      </w:r>
      <w:r w:rsidR="00FC45CF">
        <w:rPr>
          <w:rFonts w:ascii="Verdana" w:hAnsi="Verdana" w:cs="Verdana"/>
          <w:sz w:val="20"/>
          <w:szCs w:val="20"/>
          <w:lang w:val="es-ES"/>
        </w:rPr>
        <w:t>, en su informe enviado en respuesta de lo requerido por el Tribunal (</w:t>
      </w:r>
      <w:r w:rsidR="00FC45CF">
        <w:rPr>
          <w:rFonts w:ascii="Verdana" w:hAnsi="Verdana" w:cs="Verdana"/>
          <w:i/>
          <w:sz w:val="20"/>
          <w:szCs w:val="20"/>
          <w:lang w:val="es-ES"/>
        </w:rPr>
        <w:t>supra</w:t>
      </w:r>
      <w:r w:rsidR="00FC45CF">
        <w:rPr>
          <w:rFonts w:ascii="Verdana" w:hAnsi="Verdana" w:cs="Verdana"/>
          <w:sz w:val="20"/>
          <w:szCs w:val="20"/>
          <w:lang w:val="es-ES"/>
        </w:rPr>
        <w:t xml:space="preserve"> Visto </w:t>
      </w:r>
      <w:r w:rsidR="00B12677">
        <w:rPr>
          <w:rFonts w:ascii="Verdana" w:hAnsi="Verdana" w:cs="Verdana"/>
          <w:sz w:val="20"/>
          <w:szCs w:val="20"/>
          <w:lang w:val="es-ES"/>
        </w:rPr>
        <w:t>5</w:t>
      </w:r>
      <w:r w:rsidR="00FC45CF">
        <w:rPr>
          <w:rFonts w:ascii="Verdana" w:hAnsi="Verdana" w:cs="Verdana"/>
          <w:sz w:val="20"/>
          <w:szCs w:val="20"/>
          <w:lang w:val="es-ES"/>
        </w:rPr>
        <w:t>), concluyó que las actividades que ha realizado la beneficiaria en atención a la violencia contra las mujeres, la sitúan “en una posición de riesgo particular que se acentúa dadas las cifras de violencia contra</w:t>
      </w:r>
      <w:r w:rsidR="00B12677">
        <w:rPr>
          <w:rFonts w:ascii="Verdana" w:hAnsi="Verdana" w:cs="Verdana"/>
          <w:sz w:val="20"/>
          <w:szCs w:val="20"/>
          <w:lang w:val="es-ES"/>
        </w:rPr>
        <w:t xml:space="preserve"> las</w:t>
      </w:r>
      <w:r w:rsidR="00FC45CF">
        <w:rPr>
          <w:rFonts w:ascii="Verdana" w:hAnsi="Verdana" w:cs="Verdana"/>
          <w:sz w:val="20"/>
          <w:szCs w:val="20"/>
          <w:lang w:val="es-ES"/>
        </w:rPr>
        <w:t xml:space="preserve"> mujeres en Chihuahua, así como los registros de agresiones a defensoras en la misma entidad”</w:t>
      </w:r>
      <w:r w:rsidR="00B12677">
        <w:rPr>
          <w:rFonts w:ascii="Verdana" w:hAnsi="Verdana" w:cs="Verdana"/>
          <w:sz w:val="20"/>
          <w:szCs w:val="20"/>
          <w:lang w:val="es-ES"/>
        </w:rPr>
        <w:t>.</w:t>
      </w:r>
      <w:r w:rsidR="00FC45CF">
        <w:rPr>
          <w:rFonts w:ascii="Verdana" w:hAnsi="Verdana" w:cs="Verdana"/>
          <w:sz w:val="20"/>
          <w:szCs w:val="20"/>
          <w:lang w:val="es-ES"/>
        </w:rPr>
        <w:t xml:space="preserve"> </w:t>
      </w:r>
      <w:r w:rsidR="00611A51">
        <w:rPr>
          <w:rFonts w:ascii="Verdana" w:hAnsi="Verdana" w:cs="Verdana"/>
          <w:sz w:val="20"/>
          <w:szCs w:val="20"/>
          <w:lang w:val="es-ES"/>
        </w:rPr>
        <w:t>Atendiendo a esta situación</w:t>
      </w:r>
      <w:r w:rsidR="00FC45CF">
        <w:rPr>
          <w:rFonts w:ascii="Verdana" w:hAnsi="Verdana" w:cs="Verdana"/>
          <w:sz w:val="20"/>
          <w:szCs w:val="20"/>
          <w:lang w:val="es-ES"/>
        </w:rPr>
        <w:t xml:space="preserve">, recomendó </w:t>
      </w:r>
      <w:r w:rsidR="00FC45CF" w:rsidRPr="00FC45CF">
        <w:rPr>
          <w:rFonts w:ascii="Verdana" w:hAnsi="Verdana" w:cs="Verdana"/>
          <w:sz w:val="20"/>
          <w:szCs w:val="20"/>
          <w:lang w:val="es-ES"/>
        </w:rPr>
        <w:t>una serie de medidas de protección que podrían ser implementadas en cuanto a: i) infraestructura en la vivienda; ii) seguridad pública; iii) diálogo con autoridades, y iv) personales</w:t>
      </w:r>
      <w:r w:rsidR="00B12677">
        <w:rPr>
          <w:rFonts w:ascii="Verdana" w:hAnsi="Verdana" w:cs="Verdana"/>
          <w:sz w:val="20"/>
          <w:szCs w:val="20"/>
          <w:lang w:val="es-ES"/>
        </w:rPr>
        <w:t>.</w:t>
      </w:r>
      <w:r w:rsidR="00FC45CF">
        <w:rPr>
          <w:rFonts w:ascii="Verdana" w:hAnsi="Verdana" w:cs="Verdana"/>
          <w:sz w:val="20"/>
          <w:szCs w:val="20"/>
          <w:lang w:val="es-ES"/>
        </w:rPr>
        <w:t xml:space="preserve"> </w:t>
      </w:r>
    </w:p>
    <w:p w14:paraId="4FA00EF4" w14:textId="77777777" w:rsidR="000E785A" w:rsidRPr="000E785A" w:rsidRDefault="000E785A" w:rsidP="000E785A">
      <w:pPr>
        <w:pStyle w:val="Prrafodelista"/>
        <w:rPr>
          <w:rFonts w:ascii="Verdana" w:hAnsi="Verdana" w:cs="Verdana"/>
          <w:color w:val="000000"/>
          <w:sz w:val="20"/>
          <w:szCs w:val="20"/>
        </w:rPr>
      </w:pPr>
    </w:p>
    <w:p w14:paraId="2CA2ED98" w14:textId="6AD2EAF8" w:rsidR="00C30089" w:rsidRPr="000E785A" w:rsidRDefault="000E785A" w:rsidP="00C30089">
      <w:pPr>
        <w:pStyle w:val="Prrafodelista"/>
        <w:numPr>
          <w:ilvl w:val="0"/>
          <w:numId w:val="24"/>
        </w:numPr>
        <w:ind w:left="0" w:right="22" w:hanging="11"/>
        <w:contextualSpacing/>
        <w:jc w:val="both"/>
        <w:rPr>
          <w:rFonts w:ascii="Verdana" w:hAnsi="Verdana" w:cs="Verdana"/>
          <w:sz w:val="20"/>
          <w:szCs w:val="20"/>
          <w:lang w:val="es-ES"/>
        </w:rPr>
      </w:pPr>
      <w:r w:rsidRPr="000E785A">
        <w:rPr>
          <w:rFonts w:ascii="Verdana" w:hAnsi="Verdana"/>
          <w:sz w:val="20"/>
          <w:szCs w:val="20"/>
        </w:rPr>
        <w:t>Por otra parte,</w:t>
      </w:r>
      <w:r w:rsidR="00FC45CF">
        <w:rPr>
          <w:rFonts w:ascii="Verdana" w:hAnsi="Verdana"/>
          <w:sz w:val="20"/>
          <w:szCs w:val="20"/>
        </w:rPr>
        <w:t xml:space="preserve"> la Corte </w:t>
      </w:r>
      <w:r w:rsidR="00CD4B57">
        <w:rPr>
          <w:rFonts w:ascii="Verdana" w:hAnsi="Verdana"/>
          <w:sz w:val="20"/>
          <w:szCs w:val="20"/>
        </w:rPr>
        <w:t>recuerda</w:t>
      </w:r>
      <w:r w:rsidR="00325903">
        <w:rPr>
          <w:rFonts w:ascii="Verdana" w:hAnsi="Verdana"/>
          <w:sz w:val="20"/>
          <w:szCs w:val="20"/>
        </w:rPr>
        <w:t xml:space="preserve"> que</w:t>
      </w:r>
      <w:r w:rsidRPr="000E785A">
        <w:rPr>
          <w:rFonts w:ascii="Verdana" w:hAnsi="Verdana"/>
          <w:sz w:val="20"/>
          <w:szCs w:val="20"/>
        </w:rPr>
        <w:t xml:space="preserve"> </w:t>
      </w:r>
      <w:r w:rsidR="00CD4B57">
        <w:rPr>
          <w:rFonts w:ascii="Verdana" w:hAnsi="Verdana"/>
          <w:sz w:val="20"/>
          <w:szCs w:val="20"/>
        </w:rPr>
        <w:t>las</w:t>
      </w:r>
      <w:r w:rsidRPr="000E785A">
        <w:rPr>
          <w:rFonts w:ascii="Verdana" w:hAnsi="Verdana"/>
          <w:sz w:val="20"/>
          <w:szCs w:val="20"/>
        </w:rPr>
        <w:t xml:space="preserve"> circunstancias que denotan un riesgo específico respecto de determinadas personas </w:t>
      </w:r>
      <w:r w:rsidR="00CD4B57">
        <w:rPr>
          <w:rFonts w:ascii="Verdana" w:hAnsi="Verdana"/>
          <w:sz w:val="20"/>
          <w:szCs w:val="20"/>
        </w:rPr>
        <w:t>pueden ser</w:t>
      </w:r>
      <w:r w:rsidRPr="000E785A">
        <w:rPr>
          <w:rFonts w:ascii="Verdana" w:hAnsi="Verdana"/>
          <w:sz w:val="20"/>
          <w:szCs w:val="20"/>
        </w:rPr>
        <w:t xml:space="preserve"> evaluadas teniendo en cuenta la </w:t>
      </w:r>
      <w:r>
        <w:rPr>
          <w:rFonts w:ascii="Verdana" w:hAnsi="Verdana"/>
          <w:sz w:val="20"/>
          <w:szCs w:val="20"/>
        </w:rPr>
        <w:t>situación en la que se enmarcan. En ese sentido, no pasa desapercibido que</w:t>
      </w:r>
      <w:r w:rsidRPr="000E785A">
        <w:rPr>
          <w:rFonts w:ascii="Verdana" w:hAnsi="Verdana"/>
          <w:sz w:val="20"/>
          <w:szCs w:val="20"/>
        </w:rPr>
        <w:t xml:space="preserve"> </w:t>
      </w:r>
      <w:r>
        <w:rPr>
          <w:rFonts w:ascii="Verdana" w:hAnsi="Verdana"/>
          <w:sz w:val="20"/>
          <w:szCs w:val="20"/>
        </w:rPr>
        <w:t xml:space="preserve">la señora Castro Rodríguez </w:t>
      </w:r>
      <w:r w:rsidR="009F553A">
        <w:rPr>
          <w:rFonts w:ascii="Verdana" w:hAnsi="Verdana"/>
          <w:sz w:val="20"/>
          <w:szCs w:val="20"/>
        </w:rPr>
        <w:t>retomó</w:t>
      </w:r>
      <w:r>
        <w:rPr>
          <w:rFonts w:ascii="Verdana" w:hAnsi="Verdana"/>
          <w:sz w:val="20"/>
          <w:szCs w:val="20"/>
        </w:rPr>
        <w:t xml:space="preserve"> sus labores como defensora de derechos humanos, luego de renunciar como Consejera del Consejo de la Judicatura. Este hecho es relevante puesto que las medidas provisionales le fueron originalmente otorgadas por este Tribunal advirtiendo </w:t>
      </w:r>
      <w:r w:rsidR="00D479D8">
        <w:rPr>
          <w:rFonts w:ascii="Verdana" w:hAnsi="Verdana"/>
          <w:sz w:val="20"/>
          <w:szCs w:val="20"/>
        </w:rPr>
        <w:t>hechos de violencia y amenazas en contra de miembros de las organizaciones en la</w:t>
      </w:r>
      <w:r w:rsidR="00CD4B57">
        <w:rPr>
          <w:rFonts w:ascii="Verdana" w:hAnsi="Verdana"/>
          <w:sz w:val="20"/>
          <w:szCs w:val="20"/>
        </w:rPr>
        <w:t>s que ella</w:t>
      </w:r>
      <w:r w:rsidR="00D479D8">
        <w:rPr>
          <w:rFonts w:ascii="Verdana" w:hAnsi="Verdana"/>
          <w:sz w:val="20"/>
          <w:szCs w:val="20"/>
        </w:rPr>
        <w:t xml:space="preserve"> participaba, lo que </w:t>
      </w:r>
      <w:r w:rsidR="002D3197">
        <w:rPr>
          <w:rFonts w:ascii="Verdana" w:hAnsi="Verdana"/>
          <w:sz w:val="20"/>
          <w:szCs w:val="20"/>
        </w:rPr>
        <w:t xml:space="preserve">corroboraba </w:t>
      </w:r>
      <w:r>
        <w:rPr>
          <w:rFonts w:ascii="Verdana" w:hAnsi="Verdana"/>
          <w:sz w:val="20"/>
          <w:szCs w:val="20"/>
        </w:rPr>
        <w:t>la particular situación de riesgo que enfrentaba como defensora de derechos humanos</w:t>
      </w:r>
      <w:r w:rsidR="002D3197">
        <w:rPr>
          <w:rFonts w:ascii="Verdana" w:hAnsi="Verdana"/>
          <w:sz w:val="20"/>
          <w:szCs w:val="20"/>
        </w:rPr>
        <w:t>. Por esta razón,</w:t>
      </w:r>
      <w:r w:rsidR="004A2D10">
        <w:rPr>
          <w:rFonts w:ascii="Verdana" w:hAnsi="Verdana"/>
          <w:sz w:val="20"/>
          <w:szCs w:val="20"/>
        </w:rPr>
        <w:t xml:space="preserve"> la pertinencia del mantenimiento de las medidas provisionales debe ser considerada en relación con la situación </w:t>
      </w:r>
      <w:r w:rsidR="00325903">
        <w:rPr>
          <w:rFonts w:ascii="Verdana" w:hAnsi="Verdana"/>
          <w:sz w:val="20"/>
          <w:szCs w:val="20"/>
        </w:rPr>
        <w:t xml:space="preserve">laboral </w:t>
      </w:r>
      <w:r w:rsidR="004A2D10">
        <w:rPr>
          <w:rFonts w:ascii="Verdana" w:hAnsi="Verdana"/>
          <w:sz w:val="20"/>
          <w:szCs w:val="20"/>
        </w:rPr>
        <w:t>actual de la beneficiaria</w:t>
      </w:r>
      <w:r>
        <w:rPr>
          <w:rFonts w:ascii="Verdana" w:hAnsi="Verdana"/>
          <w:sz w:val="20"/>
          <w:szCs w:val="20"/>
        </w:rPr>
        <w:t xml:space="preserve">. Al respecto, el Tribunal recuerda que la defensa de los derechos humanos solo puede ejercerse libremente cuando las personas que la realizan no son víctimas de amenazas ni de cualquier tipo de agresiones físicas, psíquicas o morales y otros actos de hostigamiento, </w:t>
      </w:r>
      <w:r>
        <w:rPr>
          <w:rFonts w:ascii="Verdana" w:hAnsi="Verdana"/>
          <w:sz w:val="20"/>
          <w:szCs w:val="20"/>
        </w:rPr>
        <w:lastRenderedPageBreak/>
        <w:t xml:space="preserve">por lo que los Estados deben facilitar los medios necesarios para que las personas defensoras de derechos humanos puedan desarrollar libremente su </w:t>
      </w:r>
      <w:r w:rsidRPr="00196143">
        <w:rPr>
          <w:rFonts w:ascii="Verdana" w:hAnsi="Verdana"/>
          <w:sz w:val="20"/>
          <w:szCs w:val="20"/>
        </w:rPr>
        <w:t>función</w:t>
      </w:r>
      <w:r w:rsidRPr="004D1FDD">
        <w:rPr>
          <w:rStyle w:val="Refdenotaalpie"/>
          <w:sz w:val="20"/>
          <w:szCs w:val="20"/>
        </w:rPr>
        <w:footnoteReference w:id="6"/>
      </w:r>
      <w:r w:rsidR="00B12677" w:rsidRPr="00196143">
        <w:rPr>
          <w:rFonts w:ascii="Verdana" w:hAnsi="Verdana"/>
          <w:sz w:val="20"/>
          <w:szCs w:val="20"/>
        </w:rPr>
        <w:t>.</w:t>
      </w:r>
      <w:r w:rsidR="00C30089" w:rsidRPr="000E785A">
        <w:rPr>
          <w:rFonts w:ascii="Verdana" w:hAnsi="Verdana" w:cs="Verdana"/>
          <w:color w:val="000000"/>
          <w:sz w:val="20"/>
          <w:szCs w:val="20"/>
        </w:rPr>
        <w:t xml:space="preserve"> </w:t>
      </w:r>
    </w:p>
    <w:p w14:paraId="0181B604" w14:textId="31C7B8D7" w:rsidR="00C30089" w:rsidRDefault="00C30089" w:rsidP="00C30089">
      <w:pPr>
        <w:pStyle w:val="Prrafodelista"/>
        <w:ind w:left="0" w:right="22"/>
        <w:contextualSpacing/>
        <w:jc w:val="both"/>
        <w:rPr>
          <w:rFonts w:ascii="Verdana" w:hAnsi="Verdana" w:cs="Verdana"/>
          <w:sz w:val="20"/>
          <w:szCs w:val="20"/>
          <w:lang w:val="es-ES"/>
        </w:rPr>
      </w:pPr>
    </w:p>
    <w:p w14:paraId="093C2FF2" w14:textId="10C21C23" w:rsidR="00D14DBF" w:rsidRDefault="00611A51" w:rsidP="003B72C8">
      <w:pPr>
        <w:pStyle w:val="Prrafodelista"/>
        <w:numPr>
          <w:ilvl w:val="0"/>
          <w:numId w:val="24"/>
        </w:numPr>
        <w:ind w:left="0" w:right="22" w:hanging="11"/>
        <w:contextualSpacing/>
        <w:jc w:val="both"/>
        <w:rPr>
          <w:rFonts w:ascii="Verdana" w:hAnsi="Verdana" w:cs="Verdana"/>
          <w:sz w:val="20"/>
          <w:szCs w:val="20"/>
          <w:lang w:val="es-ES"/>
        </w:rPr>
      </w:pPr>
      <w:r w:rsidRPr="002D3197">
        <w:rPr>
          <w:rFonts w:ascii="Verdana" w:hAnsi="Verdana" w:cs="Verdana"/>
          <w:sz w:val="20"/>
          <w:szCs w:val="20"/>
          <w:lang w:val="es-ES"/>
        </w:rPr>
        <w:t>Ahora bien, l</w:t>
      </w:r>
      <w:r w:rsidR="00C30089" w:rsidRPr="002D3197">
        <w:rPr>
          <w:rFonts w:ascii="Verdana" w:hAnsi="Verdana" w:cs="Verdana"/>
          <w:sz w:val="20"/>
          <w:szCs w:val="20"/>
          <w:lang w:val="es-ES"/>
        </w:rPr>
        <w:t xml:space="preserve">a Corte </w:t>
      </w:r>
      <w:r w:rsidR="004A2D10" w:rsidRPr="002D3197">
        <w:rPr>
          <w:rFonts w:ascii="Verdana" w:hAnsi="Verdana" w:cs="Verdana"/>
          <w:sz w:val="20"/>
          <w:szCs w:val="20"/>
          <w:lang w:val="es-ES"/>
        </w:rPr>
        <w:t>constata y valora</w:t>
      </w:r>
      <w:r w:rsidR="00C30089" w:rsidRPr="002D3197">
        <w:rPr>
          <w:rFonts w:ascii="Verdana" w:hAnsi="Verdana" w:cs="Verdana"/>
          <w:sz w:val="20"/>
          <w:szCs w:val="20"/>
          <w:lang w:val="es-ES"/>
        </w:rPr>
        <w:t xml:space="preserve"> que el Estado ha implementado diversas medidas para la protección de la señora Castro Rodríguez, entre las que se encuentran la Evaluación de Riesgo realizada por el Mecanismo</w:t>
      </w:r>
      <w:r w:rsidR="002D3197" w:rsidRPr="002D3197">
        <w:rPr>
          <w:rFonts w:ascii="Verdana" w:hAnsi="Verdana" w:cs="Verdana"/>
          <w:sz w:val="20"/>
          <w:szCs w:val="20"/>
          <w:lang w:val="es-ES"/>
        </w:rPr>
        <w:t xml:space="preserve"> para la Protección</w:t>
      </w:r>
      <w:r w:rsidR="00C30089" w:rsidRPr="002D3197">
        <w:rPr>
          <w:rFonts w:ascii="Verdana" w:hAnsi="Verdana" w:cs="Verdana"/>
          <w:sz w:val="20"/>
          <w:szCs w:val="20"/>
          <w:lang w:val="es-ES"/>
        </w:rPr>
        <w:t xml:space="preserve"> </w:t>
      </w:r>
      <w:r w:rsidR="004A2D10" w:rsidRPr="002D3197">
        <w:rPr>
          <w:rFonts w:ascii="Verdana" w:hAnsi="Verdana" w:cs="Verdana"/>
          <w:sz w:val="20"/>
          <w:szCs w:val="20"/>
          <w:lang w:val="es-ES"/>
        </w:rPr>
        <w:t>y la adopción de un esquema de medidas de seguridad</w:t>
      </w:r>
      <w:r w:rsidR="00C30089" w:rsidRPr="002D3197">
        <w:rPr>
          <w:rFonts w:ascii="Verdana" w:hAnsi="Verdana" w:cs="Verdana"/>
          <w:sz w:val="20"/>
          <w:szCs w:val="20"/>
          <w:lang w:val="es-ES"/>
        </w:rPr>
        <w:t>.</w:t>
      </w:r>
      <w:r w:rsidR="004A2D10" w:rsidRPr="002D3197">
        <w:rPr>
          <w:rFonts w:ascii="Verdana" w:hAnsi="Verdana" w:cs="Verdana"/>
          <w:sz w:val="20"/>
          <w:szCs w:val="20"/>
          <w:lang w:val="es-ES"/>
        </w:rPr>
        <w:t xml:space="preserve"> Asimismo, el Tribunal advierte que el </w:t>
      </w:r>
      <w:r w:rsidR="00393440" w:rsidRPr="002D3197">
        <w:rPr>
          <w:rFonts w:ascii="Verdana" w:hAnsi="Verdana" w:cs="Verdana"/>
          <w:sz w:val="20"/>
          <w:szCs w:val="20"/>
          <w:lang w:val="es-ES"/>
        </w:rPr>
        <w:t xml:space="preserve">Estado se comprometió </w:t>
      </w:r>
      <w:r w:rsidR="009C2A49" w:rsidRPr="002D3197">
        <w:rPr>
          <w:rFonts w:ascii="Verdana" w:hAnsi="Verdana" w:cs="Verdana"/>
          <w:sz w:val="20"/>
          <w:szCs w:val="20"/>
          <w:lang w:val="es-ES"/>
        </w:rPr>
        <w:t xml:space="preserve">a </w:t>
      </w:r>
      <w:r w:rsidR="00393440" w:rsidRPr="002D3197">
        <w:rPr>
          <w:rFonts w:ascii="Verdana" w:hAnsi="Verdana" w:cs="Verdana"/>
          <w:sz w:val="20"/>
          <w:szCs w:val="20"/>
          <w:lang w:val="es-ES"/>
        </w:rPr>
        <w:t xml:space="preserve">implementar acciones que permitan un uso responsable de la libertad de expresión que no ponga a los defensores en una situación de vulnerabilidad y riesgo </w:t>
      </w:r>
      <w:r w:rsidRPr="002D3197">
        <w:rPr>
          <w:rFonts w:ascii="Verdana" w:hAnsi="Verdana" w:cs="Verdana"/>
          <w:sz w:val="20"/>
          <w:szCs w:val="20"/>
          <w:lang w:val="es-ES"/>
        </w:rPr>
        <w:t>y acordó dar cumplimiento a las recomendaciones de la CNDH.</w:t>
      </w:r>
      <w:r w:rsidR="00C30089" w:rsidRPr="002D3197">
        <w:rPr>
          <w:rFonts w:ascii="Verdana" w:hAnsi="Verdana" w:cs="Verdana"/>
          <w:sz w:val="20"/>
          <w:szCs w:val="20"/>
          <w:lang w:val="es-ES"/>
        </w:rPr>
        <w:t xml:space="preserve"> Sin embargo, de acuerdo a lo observado por las representantes, </w:t>
      </w:r>
      <w:r w:rsidRPr="002D3197">
        <w:rPr>
          <w:rFonts w:ascii="Verdana" w:hAnsi="Verdana" w:cs="Verdana"/>
          <w:sz w:val="20"/>
          <w:szCs w:val="20"/>
          <w:lang w:val="es-ES"/>
        </w:rPr>
        <w:t>las</w:t>
      </w:r>
      <w:r w:rsidR="00393440" w:rsidRPr="002D3197">
        <w:rPr>
          <w:rFonts w:ascii="Verdana" w:hAnsi="Verdana" w:cs="Verdana"/>
          <w:sz w:val="20"/>
          <w:szCs w:val="20"/>
          <w:lang w:val="es-ES"/>
        </w:rPr>
        <w:t xml:space="preserve"> medidas</w:t>
      </w:r>
      <w:r w:rsidR="00C30089" w:rsidRPr="002D3197">
        <w:rPr>
          <w:rFonts w:ascii="Verdana" w:hAnsi="Verdana" w:cs="Verdana"/>
          <w:sz w:val="20"/>
          <w:szCs w:val="20"/>
          <w:lang w:val="es-ES"/>
        </w:rPr>
        <w:t xml:space="preserve"> han resultado insuficientes debido a que: i) </w:t>
      </w:r>
      <w:r w:rsidR="003A6F30" w:rsidRPr="002D3197">
        <w:rPr>
          <w:rFonts w:ascii="Verdana" w:hAnsi="Verdana" w:cs="Verdana"/>
          <w:sz w:val="20"/>
          <w:szCs w:val="20"/>
          <w:lang w:val="es-ES"/>
        </w:rPr>
        <w:t>las acciones de protección del Estado son las mismas que ya habían sido implementadas</w:t>
      </w:r>
      <w:r w:rsidR="00C30089" w:rsidRPr="002D3197">
        <w:rPr>
          <w:rFonts w:ascii="Verdana" w:hAnsi="Verdana" w:cs="Verdana"/>
          <w:sz w:val="20"/>
          <w:szCs w:val="20"/>
          <w:lang w:val="es-ES"/>
        </w:rPr>
        <w:t xml:space="preserve"> antes de la última Resolución de noviembre de 2017; ii) no han tomado en cuenta las particularidades de las circunstancias</w:t>
      </w:r>
      <w:r w:rsidR="00393440" w:rsidRPr="002D3197">
        <w:rPr>
          <w:rFonts w:ascii="Verdana" w:hAnsi="Verdana" w:cs="Verdana"/>
          <w:sz w:val="20"/>
          <w:szCs w:val="20"/>
          <w:lang w:val="es-ES"/>
        </w:rPr>
        <w:t xml:space="preserve"> laborales</w:t>
      </w:r>
      <w:r w:rsidR="00C30089" w:rsidRPr="002D3197">
        <w:rPr>
          <w:rFonts w:ascii="Verdana" w:hAnsi="Verdana" w:cs="Verdana"/>
          <w:sz w:val="20"/>
          <w:szCs w:val="20"/>
          <w:lang w:val="es-ES"/>
        </w:rPr>
        <w:t xml:space="preserve"> </w:t>
      </w:r>
      <w:r w:rsidR="00393440" w:rsidRPr="002D3197">
        <w:rPr>
          <w:rFonts w:ascii="Verdana" w:hAnsi="Verdana" w:cs="Verdana"/>
          <w:sz w:val="20"/>
          <w:szCs w:val="20"/>
          <w:lang w:val="es-ES"/>
        </w:rPr>
        <w:t>de la beneficiaria</w:t>
      </w:r>
      <w:r w:rsidR="003A6F30" w:rsidRPr="002D3197">
        <w:rPr>
          <w:rFonts w:ascii="Verdana" w:hAnsi="Verdana" w:cs="Verdana"/>
          <w:sz w:val="20"/>
          <w:szCs w:val="20"/>
          <w:lang w:val="es-ES"/>
        </w:rPr>
        <w:t>, en particular cuando esta era Consejera en el Consejo de la Judicatura</w:t>
      </w:r>
      <w:r w:rsidRPr="002D3197">
        <w:rPr>
          <w:rFonts w:ascii="Verdana" w:hAnsi="Verdana" w:cs="Verdana"/>
          <w:sz w:val="20"/>
          <w:szCs w:val="20"/>
          <w:lang w:val="es-ES"/>
        </w:rPr>
        <w:t>; y iii) en relación con las recomendaciones de la CNDH, estas no han sido implementadas</w:t>
      </w:r>
      <w:r w:rsidR="00C30089" w:rsidRPr="002D3197">
        <w:rPr>
          <w:rFonts w:ascii="Verdana" w:hAnsi="Verdana" w:cs="Verdana"/>
          <w:sz w:val="20"/>
          <w:szCs w:val="20"/>
          <w:lang w:val="es-ES"/>
        </w:rPr>
        <w:t>.</w:t>
      </w:r>
    </w:p>
    <w:p w14:paraId="021EBBA7" w14:textId="51A1AEAE" w:rsidR="002D3197" w:rsidRPr="002D3197" w:rsidRDefault="002D3197" w:rsidP="002D3197">
      <w:pPr>
        <w:pStyle w:val="Prrafodelista"/>
        <w:ind w:left="0" w:right="22"/>
        <w:contextualSpacing/>
        <w:jc w:val="both"/>
        <w:rPr>
          <w:rFonts w:ascii="Verdana" w:hAnsi="Verdana" w:cs="Verdana"/>
          <w:sz w:val="20"/>
          <w:szCs w:val="20"/>
          <w:lang w:val="es-ES"/>
        </w:rPr>
      </w:pPr>
    </w:p>
    <w:p w14:paraId="4049A54C" w14:textId="6F76F70D" w:rsidR="00D14DBF" w:rsidRPr="00D14DBF" w:rsidRDefault="00D14DBF" w:rsidP="00D14DBF">
      <w:pPr>
        <w:pStyle w:val="Prrafodelista"/>
        <w:numPr>
          <w:ilvl w:val="0"/>
          <w:numId w:val="24"/>
        </w:numPr>
        <w:ind w:left="0" w:right="22" w:hanging="11"/>
        <w:contextualSpacing/>
        <w:jc w:val="both"/>
        <w:rPr>
          <w:rFonts w:ascii="Verdana" w:hAnsi="Verdana" w:cs="Verdana"/>
          <w:sz w:val="20"/>
          <w:szCs w:val="20"/>
          <w:lang w:val="es-ES"/>
        </w:rPr>
      </w:pPr>
      <w:r w:rsidRPr="00D14DBF">
        <w:rPr>
          <w:rFonts w:ascii="Verdana" w:hAnsi="Verdana"/>
          <w:sz w:val="20"/>
          <w:szCs w:val="20"/>
        </w:rPr>
        <w:t xml:space="preserve">De acuerdo a lo expuesto anteriormente, este Tribunal considera que los motivos previamente descritos resultan suficientes para mantener la vigencia de las medidas provisionales ordenadas en favor a la señora </w:t>
      </w:r>
      <w:r>
        <w:rPr>
          <w:rFonts w:ascii="Verdana" w:hAnsi="Verdana"/>
          <w:sz w:val="20"/>
          <w:szCs w:val="20"/>
        </w:rPr>
        <w:t>Castro Rodríguez</w:t>
      </w:r>
      <w:r w:rsidRPr="00D14DBF">
        <w:rPr>
          <w:rFonts w:ascii="Verdana" w:hAnsi="Verdana"/>
          <w:sz w:val="20"/>
          <w:szCs w:val="20"/>
        </w:rPr>
        <w:t xml:space="preserve">. Sin embargo, la </w:t>
      </w:r>
      <w:r w:rsidR="002D3197">
        <w:rPr>
          <w:rFonts w:ascii="Verdana" w:hAnsi="Verdana"/>
          <w:sz w:val="20"/>
          <w:szCs w:val="20"/>
        </w:rPr>
        <w:t>Corte requiere que el Estado</w:t>
      </w:r>
      <w:r w:rsidRPr="00D14DBF">
        <w:rPr>
          <w:rFonts w:ascii="Verdana" w:hAnsi="Verdana"/>
          <w:sz w:val="20"/>
          <w:szCs w:val="20"/>
        </w:rPr>
        <w:t xml:space="preserve"> realice y remita un diagnóstico actualizado de la situación de riesgo de la señora </w:t>
      </w:r>
      <w:r>
        <w:rPr>
          <w:rFonts w:ascii="Verdana" w:hAnsi="Verdana"/>
          <w:sz w:val="20"/>
          <w:szCs w:val="20"/>
        </w:rPr>
        <w:t>Castro Rodríguez</w:t>
      </w:r>
      <w:r w:rsidRPr="00D14DBF">
        <w:rPr>
          <w:rFonts w:ascii="Verdana" w:hAnsi="Verdana"/>
          <w:sz w:val="20"/>
          <w:szCs w:val="20"/>
        </w:rPr>
        <w:t xml:space="preserve">, </w:t>
      </w:r>
      <w:r>
        <w:rPr>
          <w:rFonts w:ascii="Verdana" w:hAnsi="Verdana"/>
          <w:sz w:val="20"/>
          <w:szCs w:val="20"/>
        </w:rPr>
        <w:t>el cual tome en cuenta las nuevas circunstancias laborales de la beneficiaria</w:t>
      </w:r>
      <w:r w:rsidRPr="00D14DBF">
        <w:rPr>
          <w:rFonts w:ascii="Verdana" w:hAnsi="Verdana"/>
          <w:sz w:val="20"/>
          <w:szCs w:val="20"/>
        </w:rPr>
        <w:t xml:space="preserve">, a fin de valorar la continuidad o </w:t>
      </w:r>
      <w:r w:rsidR="009B22CE">
        <w:rPr>
          <w:rFonts w:ascii="Verdana" w:hAnsi="Verdana"/>
          <w:sz w:val="20"/>
          <w:szCs w:val="20"/>
        </w:rPr>
        <w:t xml:space="preserve">el </w:t>
      </w:r>
      <w:r w:rsidRPr="00D14DBF">
        <w:rPr>
          <w:rFonts w:ascii="Verdana" w:hAnsi="Verdana"/>
          <w:sz w:val="20"/>
          <w:szCs w:val="20"/>
        </w:rPr>
        <w:t>cese de la situación de extrema gravedad y urgencia en relación con el riesgo de dañ</w:t>
      </w:r>
      <w:r w:rsidR="002D3197">
        <w:rPr>
          <w:rFonts w:ascii="Verdana" w:hAnsi="Verdana"/>
          <w:sz w:val="20"/>
          <w:szCs w:val="20"/>
        </w:rPr>
        <w:t>os irreparables en su perjuicio</w:t>
      </w:r>
      <w:r w:rsidRPr="00D14DBF">
        <w:rPr>
          <w:rFonts w:ascii="Verdana" w:hAnsi="Verdana"/>
          <w:sz w:val="20"/>
          <w:szCs w:val="20"/>
        </w:rPr>
        <w:t>. Asimismo, este Tribunal considera pertinente que l</w:t>
      </w:r>
      <w:r w:rsidR="00B12677">
        <w:rPr>
          <w:rFonts w:ascii="Verdana" w:hAnsi="Verdana"/>
          <w:sz w:val="20"/>
          <w:szCs w:val="20"/>
        </w:rPr>
        <w:t>a</w:t>
      </w:r>
      <w:r w:rsidRPr="00D14DBF">
        <w:rPr>
          <w:rFonts w:ascii="Verdana" w:hAnsi="Verdana"/>
          <w:sz w:val="20"/>
          <w:szCs w:val="20"/>
        </w:rPr>
        <w:t>s representantes y la Comisión, al presentar sus observaciones, expresen consideraciones puntuales sobre lo indicado</w:t>
      </w:r>
      <w:r>
        <w:rPr>
          <w:rFonts w:ascii="Verdana" w:hAnsi="Verdana"/>
          <w:sz w:val="20"/>
          <w:szCs w:val="20"/>
        </w:rPr>
        <w:t xml:space="preserve"> y se pronuncien sobre la necesidad del mantenimiento de las medidas</w:t>
      </w:r>
      <w:r w:rsidRPr="00D14DBF">
        <w:rPr>
          <w:rFonts w:ascii="Verdana" w:hAnsi="Verdana"/>
          <w:sz w:val="20"/>
          <w:szCs w:val="20"/>
        </w:rPr>
        <w:t>.</w:t>
      </w:r>
    </w:p>
    <w:p w14:paraId="159BBB99" w14:textId="2085AAA2" w:rsidR="00D14DBF" w:rsidRDefault="00D14DBF" w:rsidP="00C30089">
      <w:pPr>
        <w:pStyle w:val="Prrafodelista"/>
        <w:rPr>
          <w:rFonts w:ascii="Verdana" w:hAnsi="Verdana" w:cs="Verdana"/>
          <w:sz w:val="20"/>
          <w:szCs w:val="20"/>
          <w:lang w:val="es-ES"/>
        </w:rPr>
      </w:pPr>
    </w:p>
    <w:p w14:paraId="6ECD6536" w14:textId="00A599BE" w:rsidR="00C30089" w:rsidRPr="007B6DF2" w:rsidRDefault="007B6DF2" w:rsidP="007B6DF2">
      <w:pPr>
        <w:tabs>
          <w:tab w:val="left" w:pos="709"/>
        </w:tabs>
        <w:ind w:left="720"/>
        <w:contextualSpacing/>
        <w:jc w:val="both"/>
        <w:rPr>
          <w:rFonts w:ascii="Verdana" w:hAnsi="Verdana" w:cs="Arial"/>
          <w:i/>
          <w:sz w:val="20"/>
          <w:szCs w:val="20"/>
          <w:lang w:val="es-ES"/>
        </w:rPr>
      </w:pPr>
      <w:r>
        <w:rPr>
          <w:rFonts w:ascii="Verdana" w:hAnsi="Verdana" w:cs="Arial"/>
          <w:i/>
          <w:sz w:val="20"/>
          <w:szCs w:val="20"/>
          <w:lang w:val="es-ES"/>
        </w:rPr>
        <w:t>B.2. I</w:t>
      </w:r>
      <w:r w:rsidR="00C30089" w:rsidRPr="007B6DF2">
        <w:rPr>
          <w:rFonts w:ascii="Verdana" w:hAnsi="Verdana" w:cs="Arial"/>
          <w:i/>
          <w:sz w:val="20"/>
          <w:szCs w:val="20"/>
          <w:lang w:val="es-ES"/>
        </w:rPr>
        <w:t>mplementación de las medidas</w:t>
      </w:r>
      <w:r>
        <w:rPr>
          <w:rFonts w:ascii="Verdana" w:hAnsi="Verdana" w:cs="Arial"/>
          <w:i/>
          <w:sz w:val="20"/>
          <w:szCs w:val="20"/>
          <w:lang w:val="es-ES"/>
        </w:rPr>
        <w:t xml:space="preserve"> de protección por parte del Estado</w:t>
      </w:r>
    </w:p>
    <w:p w14:paraId="58B0CA64" w14:textId="77777777" w:rsidR="00C30089" w:rsidRPr="0065796C" w:rsidRDefault="00C30089" w:rsidP="00C30089">
      <w:pPr>
        <w:spacing w:after="0" w:line="240" w:lineRule="auto"/>
        <w:jc w:val="both"/>
        <w:rPr>
          <w:rFonts w:ascii="Verdana" w:hAnsi="Verdana" w:cs="Arial"/>
          <w:sz w:val="20"/>
          <w:szCs w:val="20"/>
        </w:rPr>
      </w:pPr>
    </w:p>
    <w:p w14:paraId="76C65817" w14:textId="4EDFB886" w:rsidR="00D14DBF" w:rsidRPr="00D14DBF" w:rsidRDefault="00611A51" w:rsidP="00C30089">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sz w:val="20"/>
          <w:szCs w:val="20"/>
        </w:rPr>
        <w:t>Habiendo quedado establecida</w:t>
      </w:r>
      <w:r w:rsidR="00D14DBF" w:rsidRPr="00D14DBF">
        <w:rPr>
          <w:rFonts w:ascii="Verdana" w:hAnsi="Verdana"/>
          <w:sz w:val="20"/>
          <w:szCs w:val="20"/>
        </w:rPr>
        <w:t xml:space="preserve"> la necesidad de mantenimiento de las medidas provisionales, resulta procedente que la Corte evalúe cómo se ha dado cumplimiento a las mismas, según lo indicado por el Estado en sus informes y las observaciones de l</w:t>
      </w:r>
      <w:r w:rsidR="00B12677">
        <w:rPr>
          <w:rFonts w:ascii="Verdana" w:hAnsi="Verdana"/>
          <w:sz w:val="20"/>
          <w:szCs w:val="20"/>
        </w:rPr>
        <w:t>a</w:t>
      </w:r>
      <w:r w:rsidR="00D14DBF" w:rsidRPr="00D14DBF">
        <w:rPr>
          <w:rFonts w:ascii="Verdana" w:hAnsi="Verdana"/>
          <w:sz w:val="20"/>
          <w:szCs w:val="20"/>
        </w:rPr>
        <w:t>s representantes y la Comisión.</w:t>
      </w:r>
    </w:p>
    <w:p w14:paraId="6EE5C940" w14:textId="77777777" w:rsidR="00D14DBF" w:rsidRPr="00D14DBF" w:rsidRDefault="00D14DBF" w:rsidP="00D14DBF">
      <w:pPr>
        <w:pStyle w:val="Prrafodelista"/>
        <w:ind w:left="0" w:right="22"/>
        <w:contextualSpacing/>
        <w:jc w:val="both"/>
        <w:rPr>
          <w:rFonts w:ascii="Verdana" w:hAnsi="Verdana" w:cs="Verdana"/>
          <w:sz w:val="20"/>
          <w:szCs w:val="20"/>
          <w:lang w:val="es-ES"/>
        </w:rPr>
      </w:pPr>
    </w:p>
    <w:p w14:paraId="11514F40" w14:textId="5D3F5892" w:rsidR="00C30089" w:rsidRDefault="0098290A" w:rsidP="00C30089">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cs="Verdana"/>
          <w:sz w:val="20"/>
          <w:szCs w:val="20"/>
          <w:lang w:val="es-ES"/>
        </w:rPr>
        <w:t>Al respecto</w:t>
      </w:r>
      <w:r w:rsidR="00611A51">
        <w:rPr>
          <w:rFonts w:ascii="Verdana" w:hAnsi="Verdana" w:cs="Verdana"/>
          <w:sz w:val="20"/>
          <w:szCs w:val="20"/>
          <w:lang w:val="es-ES"/>
        </w:rPr>
        <w:t>, l</w:t>
      </w:r>
      <w:r w:rsidR="00F2100A">
        <w:rPr>
          <w:rFonts w:ascii="Verdana" w:hAnsi="Verdana" w:cs="Verdana"/>
          <w:sz w:val="20"/>
          <w:szCs w:val="20"/>
          <w:lang w:val="es-ES"/>
        </w:rPr>
        <w:t>a Corte recuerda que, d</w:t>
      </w:r>
      <w:r w:rsidR="00C30089" w:rsidRPr="006B6E7D">
        <w:rPr>
          <w:rFonts w:ascii="Verdana" w:hAnsi="Verdana" w:cs="Verdana"/>
          <w:sz w:val="20"/>
          <w:szCs w:val="20"/>
          <w:lang w:val="es-ES"/>
        </w:rPr>
        <w:t xml:space="preserve">e conformidad con lo señalado en la Resolución de 14 de noviembre de 2017, </w:t>
      </w:r>
      <w:r w:rsidR="00F2100A">
        <w:rPr>
          <w:rFonts w:ascii="Verdana" w:hAnsi="Verdana" w:cs="Verdana"/>
          <w:sz w:val="20"/>
          <w:szCs w:val="20"/>
          <w:lang w:val="es-ES"/>
        </w:rPr>
        <w:t>se</w:t>
      </w:r>
      <w:r w:rsidR="00C30089" w:rsidRPr="006B6E7D">
        <w:rPr>
          <w:rFonts w:ascii="Verdana" w:hAnsi="Verdana" w:cs="Verdana"/>
          <w:sz w:val="20"/>
          <w:szCs w:val="20"/>
          <w:lang w:val="es-ES"/>
        </w:rPr>
        <w:t xml:space="preserve"> ordenó al Estado</w:t>
      </w:r>
      <w:r w:rsidR="00F2100A">
        <w:rPr>
          <w:rFonts w:ascii="Verdana" w:hAnsi="Verdana" w:cs="Verdana"/>
          <w:sz w:val="20"/>
          <w:szCs w:val="20"/>
          <w:lang w:val="es-ES"/>
        </w:rPr>
        <w:t xml:space="preserve"> lo siguiente: i</w:t>
      </w:r>
      <w:r w:rsidR="00C30089" w:rsidRPr="006B6E7D">
        <w:rPr>
          <w:rFonts w:ascii="Verdana" w:hAnsi="Verdana" w:cs="Verdana"/>
          <w:sz w:val="20"/>
          <w:szCs w:val="20"/>
          <w:lang w:val="es-ES"/>
        </w:rPr>
        <w:t>) con la participación de l</w:t>
      </w:r>
      <w:r w:rsidR="00B12677">
        <w:rPr>
          <w:rFonts w:ascii="Verdana" w:hAnsi="Verdana" w:cs="Verdana"/>
          <w:sz w:val="20"/>
          <w:szCs w:val="20"/>
          <w:lang w:val="es-ES"/>
        </w:rPr>
        <w:t>a</w:t>
      </w:r>
      <w:r w:rsidR="00C30089" w:rsidRPr="006B6E7D">
        <w:rPr>
          <w:rFonts w:ascii="Verdana" w:hAnsi="Verdana" w:cs="Verdana"/>
          <w:sz w:val="20"/>
          <w:szCs w:val="20"/>
          <w:lang w:val="es-ES"/>
        </w:rPr>
        <w:t xml:space="preserve">s representantes de la beneficiaria, realizar las gestiones pertinentes para adoptar un nuevo esquema de seguridad de la señora Castro Rodríguez, </w:t>
      </w:r>
      <w:r w:rsidR="00C30089" w:rsidRPr="006B6E7D">
        <w:rPr>
          <w:rFonts w:ascii="Verdana" w:hAnsi="Verdana"/>
          <w:sz w:val="20"/>
          <w:szCs w:val="20"/>
        </w:rPr>
        <w:t>con el fin de garantizar la integridad personal y la vida de la beneficiaria, tomando en cuenta el cambio en sus circunstancias actuales</w:t>
      </w:r>
      <w:r w:rsidR="00F2100A">
        <w:rPr>
          <w:rFonts w:ascii="Verdana" w:hAnsi="Verdana" w:cs="Verdana"/>
          <w:sz w:val="20"/>
          <w:szCs w:val="20"/>
          <w:lang w:val="es-ES"/>
        </w:rPr>
        <w:t>, e ii</w:t>
      </w:r>
      <w:r w:rsidR="00C30089" w:rsidRPr="006B6E7D">
        <w:rPr>
          <w:rFonts w:ascii="Verdana" w:hAnsi="Verdana" w:cs="Verdana"/>
          <w:sz w:val="20"/>
          <w:szCs w:val="20"/>
          <w:lang w:val="es-ES"/>
        </w:rPr>
        <w:t xml:space="preserve">) </w:t>
      </w:r>
      <w:r w:rsidR="00C30089">
        <w:rPr>
          <w:rFonts w:ascii="Verdana" w:hAnsi="Verdana"/>
          <w:sz w:val="20"/>
          <w:szCs w:val="20"/>
        </w:rPr>
        <w:t>informar</w:t>
      </w:r>
      <w:r w:rsidR="00C30089" w:rsidRPr="006B6E7D">
        <w:rPr>
          <w:rFonts w:ascii="Verdana" w:hAnsi="Verdana"/>
          <w:sz w:val="20"/>
          <w:szCs w:val="20"/>
        </w:rPr>
        <w:t xml:space="preserve"> a la Corte sobre las acciones emprendidas y avances alcanzados, y en particular, sobre </w:t>
      </w:r>
      <w:r w:rsidR="00C30089">
        <w:rPr>
          <w:rFonts w:ascii="Verdana" w:hAnsi="Verdana" w:cs="Arial"/>
          <w:sz w:val="20"/>
          <w:szCs w:val="20"/>
          <w:lang w:val="es-ES"/>
        </w:rPr>
        <w:t>el cronograma que se seguiría</w:t>
      </w:r>
      <w:r w:rsidR="00C30089" w:rsidRPr="006B6E7D">
        <w:rPr>
          <w:rFonts w:ascii="Verdana" w:hAnsi="Verdana" w:cs="Arial"/>
          <w:sz w:val="20"/>
          <w:szCs w:val="20"/>
          <w:lang w:val="es-ES"/>
        </w:rPr>
        <w:t xml:space="preserve"> para implementar las medidas de protección y sobre las reuniones periódicas de coordinación entre la beneficiaria, sus representantes y las autoridades a cargo de éstas</w:t>
      </w:r>
      <w:r w:rsidR="00C30089" w:rsidRPr="006B6E7D">
        <w:rPr>
          <w:rFonts w:ascii="Verdana" w:hAnsi="Verdana" w:cs="Verdana"/>
          <w:sz w:val="20"/>
          <w:szCs w:val="20"/>
          <w:lang w:val="es-ES"/>
        </w:rPr>
        <w:t>.</w:t>
      </w:r>
    </w:p>
    <w:p w14:paraId="7759F375" w14:textId="77777777" w:rsidR="00C30089" w:rsidRDefault="00C30089" w:rsidP="00C30089">
      <w:pPr>
        <w:pStyle w:val="Prrafodelista"/>
        <w:ind w:left="0" w:right="22"/>
        <w:contextualSpacing/>
        <w:jc w:val="both"/>
        <w:rPr>
          <w:rFonts w:ascii="Verdana" w:hAnsi="Verdana" w:cs="Verdana"/>
          <w:sz w:val="20"/>
          <w:szCs w:val="20"/>
          <w:lang w:val="es-ES"/>
        </w:rPr>
      </w:pPr>
    </w:p>
    <w:p w14:paraId="67E66AF7" w14:textId="02A56C41" w:rsidR="00C30089" w:rsidRDefault="00E72A38" w:rsidP="000C2F6B">
      <w:pPr>
        <w:pStyle w:val="Prrafodelista"/>
        <w:numPr>
          <w:ilvl w:val="0"/>
          <w:numId w:val="24"/>
        </w:numPr>
        <w:ind w:left="0" w:right="22" w:hanging="11"/>
        <w:contextualSpacing/>
        <w:jc w:val="both"/>
        <w:rPr>
          <w:rFonts w:ascii="Verdana" w:hAnsi="Verdana" w:cs="Verdana"/>
          <w:sz w:val="20"/>
          <w:szCs w:val="20"/>
          <w:lang w:val="es-ES"/>
        </w:rPr>
      </w:pPr>
      <w:r w:rsidRPr="00983886">
        <w:rPr>
          <w:rFonts w:ascii="Verdana" w:hAnsi="Verdana" w:cs="Verdana"/>
          <w:sz w:val="20"/>
          <w:szCs w:val="20"/>
          <w:lang w:val="es-ES"/>
        </w:rPr>
        <w:t>El Estado hizo referencia a las medidas puntuales adoptadas tendientes a evaluar el riesgo en que se encontraba la señora Castro Rodr</w:t>
      </w:r>
      <w:r w:rsidR="009B22CE">
        <w:rPr>
          <w:rFonts w:ascii="Verdana" w:hAnsi="Verdana" w:cs="Verdana"/>
          <w:sz w:val="20"/>
          <w:szCs w:val="20"/>
          <w:lang w:val="es-ES"/>
        </w:rPr>
        <w:t>í</w:t>
      </w:r>
      <w:r w:rsidRPr="00983886">
        <w:rPr>
          <w:rFonts w:ascii="Verdana" w:hAnsi="Verdana" w:cs="Verdana"/>
          <w:sz w:val="20"/>
          <w:szCs w:val="20"/>
          <w:lang w:val="es-ES"/>
        </w:rPr>
        <w:t>guez, e informó sobre</w:t>
      </w:r>
      <w:r w:rsidR="00C30089" w:rsidRPr="00983886">
        <w:rPr>
          <w:rFonts w:ascii="Verdana" w:hAnsi="Verdana" w:cs="Verdana"/>
          <w:sz w:val="20"/>
          <w:szCs w:val="20"/>
          <w:lang w:val="es-ES"/>
        </w:rPr>
        <w:t xml:space="preserve"> </w:t>
      </w:r>
      <w:r w:rsidRPr="00983886">
        <w:rPr>
          <w:rFonts w:ascii="Verdana" w:hAnsi="Verdana" w:cs="Verdana"/>
          <w:sz w:val="20"/>
          <w:szCs w:val="20"/>
          <w:lang w:val="es-ES"/>
        </w:rPr>
        <w:t xml:space="preserve">la adopción de un conjunto de </w:t>
      </w:r>
      <w:r w:rsidR="00C30089" w:rsidRPr="00983886">
        <w:rPr>
          <w:rFonts w:ascii="Verdana" w:hAnsi="Verdana" w:cs="Verdana"/>
          <w:sz w:val="20"/>
          <w:szCs w:val="20"/>
          <w:lang w:val="es-ES"/>
        </w:rPr>
        <w:t xml:space="preserve">medidas para la protección de la </w:t>
      </w:r>
      <w:r w:rsidRPr="00983886">
        <w:rPr>
          <w:rFonts w:ascii="Verdana" w:hAnsi="Verdana" w:cs="Verdana"/>
          <w:sz w:val="20"/>
          <w:szCs w:val="20"/>
          <w:lang w:val="es-ES"/>
        </w:rPr>
        <w:t>b</w:t>
      </w:r>
      <w:r w:rsidR="00983886" w:rsidRPr="00983886">
        <w:rPr>
          <w:rFonts w:ascii="Verdana" w:hAnsi="Verdana" w:cs="Verdana"/>
          <w:sz w:val="20"/>
          <w:szCs w:val="20"/>
          <w:lang w:val="es-ES"/>
        </w:rPr>
        <w:t>eneficiaria</w:t>
      </w:r>
      <w:r w:rsidR="00233AAA">
        <w:rPr>
          <w:rFonts w:ascii="Verdana" w:hAnsi="Verdana" w:cs="Verdana"/>
          <w:sz w:val="20"/>
          <w:szCs w:val="20"/>
          <w:lang w:val="es-ES"/>
        </w:rPr>
        <w:t xml:space="preserve"> (</w:t>
      </w:r>
      <w:r w:rsidR="00233AAA" w:rsidRPr="00233AAA">
        <w:rPr>
          <w:rFonts w:ascii="Verdana" w:hAnsi="Verdana" w:cs="Verdana"/>
          <w:i/>
          <w:sz w:val="20"/>
          <w:szCs w:val="20"/>
          <w:lang w:val="es-ES"/>
        </w:rPr>
        <w:t>supra</w:t>
      </w:r>
      <w:r w:rsidR="00233AAA">
        <w:rPr>
          <w:rFonts w:ascii="Verdana" w:hAnsi="Verdana" w:cs="Verdana"/>
          <w:sz w:val="20"/>
          <w:szCs w:val="20"/>
          <w:lang w:val="es-ES"/>
        </w:rPr>
        <w:t xml:space="preserve"> Considerando </w:t>
      </w:r>
      <w:r w:rsidR="001C164F">
        <w:rPr>
          <w:rFonts w:ascii="Verdana" w:hAnsi="Verdana" w:cs="Verdana"/>
          <w:sz w:val="20"/>
          <w:szCs w:val="20"/>
          <w:lang w:val="es-ES"/>
        </w:rPr>
        <w:t>5</w:t>
      </w:r>
      <w:r w:rsidR="00233AAA">
        <w:rPr>
          <w:rFonts w:ascii="Verdana" w:hAnsi="Verdana" w:cs="Verdana"/>
          <w:sz w:val="20"/>
          <w:szCs w:val="20"/>
          <w:lang w:val="es-ES"/>
        </w:rPr>
        <w:t>)</w:t>
      </w:r>
      <w:r w:rsidR="00983886" w:rsidRPr="00983886">
        <w:rPr>
          <w:rFonts w:ascii="Verdana" w:hAnsi="Verdana" w:cs="Verdana"/>
          <w:sz w:val="20"/>
          <w:szCs w:val="20"/>
          <w:lang w:val="es-ES"/>
        </w:rPr>
        <w:t>.</w:t>
      </w:r>
      <w:r w:rsidR="000C2F6B">
        <w:rPr>
          <w:rFonts w:ascii="Verdana" w:hAnsi="Verdana" w:cs="Verdana"/>
          <w:sz w:val="20"/>
          <w:szCs w:val="20"/>
          <w:lang w:val="es-ES"/>
        </w:rPr>
        <w:t xml:space="preserve"> En particular,</w:t>
      </w:r>
      <w:r w:rsidR="00983886" w:rsidRPr="00983886">
        <w:rPr>
          <w:rFonts w:ascii="Verdana" w:hAnsi="Verdana" w:cs="Verdana"/>
          <w:sz w:val="20"/>
          <w:szCs w:val="20"/>
          <w:lang w:val="es-ES"/>
        </w:rPr>
        <w:t xml:space="preserve"> </w:t>
      </w:r>
      <w:r w:rsidR="000C2F6B">
        <w:rPr>
          <w:rFonts w:ascii="Verdana" w:hAnsi="Verdana" w:cs="Verdana"/>
          <w:sz w:val="20"/>
          <w:szCs w:val="20"/>
          <w:lang w:val="es-ES"/>
        </w:rPr>
        <w:t xml:space="preserve">se refirió a las medidas adoptadas por parte del Mecanismo para la Protección para </w:t>
      </w:r>
      <w:r w:rsidR="000C2F6B">
        <w:rPr>
          <w:rFonts w:ascii="Verdana" w:hAnsi="Verdana" w:cs="Verdana"/>
          <w:sz w:val="20"/>
          <w:szCs w:val="20"/>
          <w:lang w:val="es-ES"/>
        </w:rPr>
        <w:lastRenderedPageBreak/>
        <w:t>llevar a cabo un análisis de riesgo; informó que se le había entregado a la beneficiaria un botón de pánico, el cual sin embargo habría estado apagado por un largo periodo de tiempo</w:t>
      </w:r>
      <w:r w:rsidR="00F44AD3">
        <w:rPr>
          <w:rFonts w:ascii="Verdana" w:hAnsi="Verdana" w:cs="Verdana"/>
          <w:sz w:val="20"/>
          <w:szCs w:val="20"/>
          <w:lang w:val="es-ES"/>
        </w:rPr>
        <w:t>,</w:t>
      </w:r>
      <w:r w:rsidR="00142E1D">
        <w:rPr>
          <w:rFonts w:ascii="Verdana" w:hAnsi="Verdana" w:cs="Verdana"/>
          <w:sz w:val="20"/>
          <w:szCs w:val="20"/>
          <w:lang w:val="es-ES"/>
        </w:rPr>
        <w:t xml:space="preserve"> y</w:t>
      </w:r>
      <w:r w:rsidR="000C2F6B">
        <w:rPr>
          <w:rFonts w:ascii="Verdana" w:hAnsi="Verdana" w:cs="Verdana"/>
          <w:sz w:val="20"/>
          <w:szCs w:val="20"/>
          <w:lang w:val="es-ES"/>
        </w:rPr>
        <w:t xml:space="preserve"> en relación con la adopción de medidas adoptadas para terminar con la campaña de desprestigio, informó que se han adoptado diversas </w:t>
      </w:r>
      <w:r w:rsidR="00142E1D">
        <w:rPr>
          <w:rFonts w:ascii="Verdana" w:hAnsi="Verdana" w:cs="Verdana"/>
          <w:sz w:val="20"/>
          <w:szCs w:val="20"/>
          <w:lang w:val="es-ES"/>
        </w:rPr>
        <w:t>acciones</w:t>
      </w:r>
      <w:r w:rsidR="000C2F6B">
        <w:rPr>
          <w:rFonts w:ascii="Verdana" w:hAnsi="Verdana" w:cs="Verdana"/>
          <w:sz w:val="20"/>
          <w:szCs w:val="20"/>
          <w:lang w:val="es-ES"/>
        </w:rPr>
        <w:t xml:space="preserve"> para fortalecer el mecanismo antes mencionado</w:t>
      </w:r>
      <w:r w:rsidR="00F44AD3">
        <w:rPr>
          <w:rFonts w:ascii="Verdana" w:hAnsi="Verdana" w:cs="Verdana"/>
          <w:sz w:val="20"/>
          <w:szCs w:val="20"/>
          <w:lang w:val="es-ES"/>
        </w:rPr>
        <w:t>.</w:t>
      </w:r>
      <w:r w:rsidR="008542E2">
        <w:rPr>
          <w:rFonts w:ascii="Verdana" w:hAnsi="Verdana" w:cs="Verdana"/>
          <w:b/>
          <w:sz w:val="20"/>
          <w:szCs w:val="20"/>
          <w:lang w:val="es-ES"/>
        </w:rPr>
        <w:t xml:space="preserve"> </w:t>
      </w:r>
      <w:r w:rsidR="008542E2">
        <w:rPr>
          <w:rFonts w:ascii="Verdana" w:hAnsi="Verdana" w:cs="Verdana"/>
          <w:sz w:val="20"/>
          <w:szCs w:val="20"/>
          <w:lang w:val="es-ES"/>
        </w:rPr>
        <w:t>Estas medidas incluyeron la realización de foros de diálogo para fomentar un ejercicio responsable de la libertad de expresión</w:t>
      </w:r>
      <w:r w:rsidR="00F44AD3">
        <w:rPr>
          <w:rFonts w:ascii="Verdana" w:hAnsi="Verdana" w:cs="Verdana"/>
          <w:sz w:val="20"/>
          <w:szCs w:val="20"/>
          <w:lang w:val="es-ES"/>
        </w:rPr>
        <w:t>.</w:t>
      </w:r>
      <w:r w:rsidR="008542E2">
        <w:rPr>
          <w:rFonts w:ascii="Verdana" w:hAnsi="Verdana" w:cs="Verdana"/>
          <w:sz w:val="20"/>
          <w:szCs w:val="20"/>
          <w:lang w:val="es-ES"/>
        </w:rPr>
        <w:t xml:space="preserve"> El Estado también informó que las medidas consistentes en cámaras de circuito cerrado y botón de pánico seguirán implementándose, y que otras medidas se encuentran en proceso de ejecución</w:t>
      </w:r>
      <w:r w:rsidR="00F44AD3">
        <w:rPr>
          <w:rFonts w:ascii="Verdana" w:hAnsi="Verdana" w:cs="Verdana"/>
          <w:sz w:val="20"/>
          <w:szCs w:val="20"/>
          <w:lang w:val="es-ES"/>
        </w:rPr>
        <w:t>.</w:t>
      </w:r>
    </w:p>
    <w:p w14:paraId="715C3377" w14:textId="77777777" w:rsidR="00983886" w:rsidRPr="00983886" w:rsidRDefault="00983886" w:rsidP="00983886">
      <w:pPr>
        <w:pStyle w:val="Prrafodelista"/>
        <w:rPr>
          <w:rFonts w:ascii="Verdana" w:hAnsi="Verdana" w:cs="Verdana"/>
          <w:sz w:val="20"/>
          <w:szCs w:val="20"/>
          <w:lang w:val="es-ES"/>
        </w:rPr>
      </w:pPr>
    </w:p>
    <w:p w14:paraId="0C05A619" w14:textId="1B1C48A3" w:rsidR="00233AAA" w:rsidRDefault="00543193" w:rsidP="000C2F6B">
      <w:pPr>
        <w:pStyle w:val="Prrafodelista"/>
        <w:numPr>
          <w:ilvl w:val="0"/>
          <w:numId w:val="24"/>
        </w:numPr>
        <w:ind w:left="0" w:right="22" w:hanging="11"/>
        <w:contextualSpacing/>
        <w:jc w:val="both"/>
        <w:rPr>
          <w:rFonts w:ascii="Verdana" w:hAnsi="Verdana" w:cs="Verdana"/>
          <w:sz w:val="20"/>
          <w:szCs w:val="20"/>
          <w:lang w:val="es-ES"/>
        </w:rPr>
      </w:pPr>
      <w:r>
        <w:rPr>
          <w:rFonts w:ascii="Verdana" w:hAnsi="Verdana" w:cs="Verdana"/>
          <w:sz w:val="20"/>
          <w:szCs w:val="20"/>
          <w:lang w:val="es-ES"/>
        </w:rPr>
        <w:t>D</w:t>
      </w:r>
      <w:r w:rsidR="00983886">
        <w:rPr>
          <w:rFonts w:ascii="Verdana" w:hAnsi="Verdana" w:cs="Verdana"/>
          <w:sz w:val="20"/>
          <w:szCs w:val="20"/>
          <w:lang w:val="es-ES"/>
        </w:rPr>
        <w:t>e acuerdo con lo manifestado por las representantes, el Estado incumplió en su compromiso de adoptar un nuevo esquema de seguridad que permitiera garantizar la seguridad de la señora Castro Rodríguez, así como de presentar un cronograma para la implementación de las medidas</w:t>
      </w:r>
      <w:r w:rsidR="00B9456B">
        <w:rPr>
          <w:rFonts w:ascii="Verdana" w:hAnsi="Verdana" w:cs="Verdana"/>
          <w:sz w:val="20"/>
          <w:szCs w:val="20"/>
          <w:lang w:val="es-ES"/>
        </w:rPr>
        <w:t>.</w:t>
      </w:r>
      <w:r w:rsidR="00983886">
        <w:rPr>
          <w:rFonts w:ascii="Verdana" w:hAnsi="Verdana" w:cs="Verdana"/>
          <w:sz w:val="20"/>
          <w:szCs w:val="20"/>
          <w:lang w:val="es-ES"/>
        </w:rPr>
        <w:t xml:space="preserve"> Al respecto, manifestaron que </w:t>
      </w:r>
      <w:r w:rsidR="004A4041">
        <w:rPr>
          <w:rFonts w:ascii="Verdana" w:hAnsi="Verdana" w:cs="Verdana"/>
          <w:sz w:val="20"/>
          <w:szCs w:val="20"/>
          <w:lang w:val="es-ES"/>
        </w:rPr>
        <w:t>las</w:t>
      </w:r>
      <w:r w:rsidR="009F553A">
        <w:rPr>
          <w:rFonts w:ascii="Verdana" w:hAnsi="Verdana" w:cs="Verdana"/>
          <w:sz w:val="20"/>
          <w:szCs w:val="20"/>
          <w:lang w:val="es-ES"/>
        </w:rPr>
        <w:t xml:space="preserve"> medidas adoptadas por el Estado ya se encontraban implementadas y</w:t>
      </w:r>
      <w:r w:rsidR="00137155">
        <w:rPr>
          <w:rFonts w:ascii="Verdana" w:hAnsi="Verdana" w:cs="Verdana"/>
          <w:sz w:val="20"/>
          <w:szCs w:val="20"/>
          <w:lang w:val="es-ES"/>
        </w:rPr>
        <w:t>,</w:t>
      </w:r>
      <w:r w:rsidR="009F553A">
        <w:rPr>
          <w:rFonts w:ascii="Verdana" w:hAnsi="Verdana" w:cs="Verdana"/>
          <w:sz w:val="20"/>
          <w:szCs w:val="20"/>
          <w:lang w:val="es-ES"/>
        </w:rPr>
        <w:t xml:space="preserve"> por lo tanto</w:t>
      </w:r>
      <w:r w:rsidR="00137155">
        <w:rPr>
          <w:rFonts w:ascii="Verdana" w:hAnsi="Verdana" w:cs="Verdana"/>
          <w:sz w:val="20"/>
          <w:szCs w:val="20"/>
          <w:lang w:val="es-ES"/>
        </w:rPr>
        <w:t>,</w:t>
      </w:r>
      <w:r w:rsidR="009F553A">
        <w:rPr>
          <w:rFonts w:ascii="Verdana" w:hAnsi="Verdana" w:cs="Verdana"/>
          <w:sz w:val="20"/>
          <w:szCs w:val="20"/>
          <w:lang w:val="es-ES"/>
        </w:rPr>
        <w:t xml:space="preserve"> incumplieron con la obligación de adoptar un nuevo esquema de seguridad que contemplara su protección en el ambiente laboral mientras se desempeñaba como Consejera</w:t>
      </w:r>
      <w:r w:rsidR="00B9456B">
        <w:rPr>
          <w:rFonts w:ascii="Verdana" w:hAnsi="Verdana" w:cs="Verdana"/>
          <w:sz w:val="20"/>
          <w:szCs w:val="20"/>
          <w:lang w:val="es-ES"/>
        </w:rPr>
        <w:t>.</w:t>
      </w:r>
      <w:r w:rsidR="009F553A">
        <w:rPr>
          <w:rFonts w:ascii="Verdana" w:hAnsi="Verdana" w:cs="Verdana"/>
          <w:sz w:val="20"/>
          <w:szCs w:val="20"/>
          <w:lang w:val="es-ES"/>
        </w:rPr>
        <w:t xml:space="preserve"> Asimismo, las representantes manifestaron que el Estado habría incumplido con ejecutar las recomendaciones emitidas por la CNDH en su informe de 2018</w:t>
      </w:r>
      <w:r w:rsidR="0098290A">
        <w:rPr>
          <w:rFonts w:ascii="Verdana" w:hAnsi="Verdana" w:cs="Verdana"/>
          <w:sz w:val="20"/>
          <w:szCs w:val="20"/>
          <w:lang w:val="es-ES"/>
        </w:rPr>
        <w:t>, a pesar de haberse comprometido a implementarlas</w:t>
      </w:r>
      <w:r w:rsidR="009F553A">
        <w:rPr>
          <w:rFonts w:ascii="Verdana" w:hAnsi="Verdana" w:cs="Verdana"/>
          <w:sz w:val="20"/>
          <w:szCs w:val="20"/>
          <w:lang w:val="es-ES"/>
        </w:rPr>
        <w:t>.</w:t>
      </w:r>
      <w:r w:rsidR="00233AAA">
        <w:rPr>
          <w:rFonts w:ascii="Verdana" w:hAnsi="Verdana" w:cs="Verdana"/>
          <w:sz w:val="20"/>
          <w:szCs w:val="20"/>
          <w:lang w:val="es-ES"/>
        </w:rPr>
        <w:t xml:space="preserve"> </w:t>
      </w:r>
      <w:r w:rsidR="0098290A">
        <w:rPr>
          <w:rFonts w:ascii="Verdana" w:hAnsi="Verdana" w:cs="Verdana"/>
          <w:sz w:val="20"/>
          <w:szCs w:val="20"/>
          <w:lang w:val="es-ES"/>
        </w:rPr>
        <w:t>Por su parte, l</w:t>
      </w:r>
      <w:r w:rsidR="00233AAA">
        <w:rPr>
          <w:rFonts w:ascii="Verdana" w:hAnsi="Verdana" w:cs="Verdana"/>
          <w:sz w:val="20"/>
          <w:szCs w:val="20"/>
          <w:lang w:val="es-ES"/>
        </w:rPr>
        <w:t>a Comisión se pronunció respecto a la falta de claridad sobre las acciones emprendidas por el Estado, y la falta de cumplimiento por parte del Estado de los acuerdos alcanzados</w:t>
      </w:r>
      <w:r w:rsidR="00B9456B">
        <w:rPr>
          <w:rFonts w:ascii="Verdana" w:hAnsi="Verdana" w:cs="Verdana"/>
          <w:sz w:val="20"/>
          <w:szCs w:val="20"/>
          <w:lang w:val="es-ES"/>
        </w:rPr>
        <w:t>.</w:t>
      </w:r>
    </w:p>
    <w:p w14:paraId="760D8A5D" w14:textId="77777777" w:rsidR="00233AAA" w:rsidRPr="00233AAA" w:rsidRDefault="00233AAA" w:rsidP="00233AAA">
      <w:pPr>
        <w:pStyle w:val="Prrafodelista"/>
        <w:rPr>
          <w:rFonts w:ascii="Verdana" w:hAnsi="Verdana" w:cs="Verdana"/>
          <w:sz w:val="20"/>
          <w:szCs w:val="20"/>
          <w:lang w:val="es-ES"/>
        </w:rPr>
      </w:pPr>
    </w:p>
    <w:p w14:paraId="23137797" w14:textId="403599FA" w:rsidR="002D3197" w:rsidRPr="002C767D" w:rsidRDefault="00233AAA" w:rsidP="00D96CDE">
      <w:pPr>
        <w:pStyle w:val="Prrafodelista"/>
        <w:numPr>
          <w:ilvl w:val="0"/>
          <w:numId w:val="24"/>
        </w:numPr>
        <w:ind w:left="0" w:right="22" w:hanging="11"/>
        <w:contextualSpacing/>
        <w:jc w:val="both"/>
        <w:rPr>
          <w:rFonts w:ascii="Verdana" w:hAnsi="Verdana"/>
          <w:sz w:val="20"/>
          <w:szCs w:val="20"/>
        </w:rPr>
      </w:pPr>
      <w:r w:rsidRPr="002C767D">
        <w:rPr>
          <w:rFonts w:ascii="Verdana" w:hAnsi="Verdana"/>
          <w:sz w:val="20"/>
          <w:szCs w:val="20"/>
        </w:rPr>
        <w:t xml:space="preserve">Ante las diversas dificultades señaladas </w:t>
      </w:r>
      <w:r w:rsidR="0098290A" w:rsidRPr="002C767D">
        <w:rPr>
          <w:rFonts w:ascii="Verdana" w:hAnsi="Verdana"/>
          <w:sz w:val="20"/>
          <w:szCs w:val="20"/>
        </w:rPr>
        <w:t>por l</w:t>
      </w:r>
      <w:r w:rsidR="00B12677">
        <w:rPr>
          <w:rFonts w:ascii="Verdana" w:hAnsi="Verdana"/>
          <w:sz w:val="20"/>
          <w:szCs w:val="20"/>
        </w:rPr>
        <w:t>a</w:t>
      </w:r>
      <w:r w:rsidR="0098290A" w:rsidRPr="002C767D">
        <w:rPr>
          <w:rFonts w:ascii="Verdana" w:hAnsi="Verdana"/>
          <w:sz w:val="20"/>
          <w:szCs w:val="20"/>
        </w:rPr>
        <w:t xml:space="preserve">s representantes </w:t>
      </w:r>
      <w:r w:rsidRPr="002C767D">
        <w:rPr>
          <w:rFonts w:ascii="Verdana" w:hAnsi="Verdana"/>
          <w:sz w:val="20"/>
          <w:szCs w:val="20"/>
        </w:rPr>
        <w:t>respecto a la implementación de las medidas,</w:t>
      </w:r>
      <w:r w:rsidR="0098290A" w:rsidRPr="002C767D">
        <w:rPr>
          <w:rFonts w:ascii="Verdana" w:hAnsi="Verdana"/>
          <w:sz w:val="20"/>
          <w:szCs w:val="20"/>
        </w:rPr>
        <w:t xml:space="preserve"> y considerando el cambio del estatus laboral de la señora Castro Rodríguez,</w:t>
      </w:r>
      <w:r w:rsidRPr="002C767D">
        <w:rPr>
          <w:rFonts w:ascii="Verdana" w:hAnsi="Verdana"/>
          <w:sz w:val="20"/>
          <w:szCs w:val="20"/>
        </w:rPr>
        <w:t xml:space="preserve"> este Tribunal</w:t>
      </w:r>
      <w:r w:rsidR="0098290A" w:rsidRPr="002C767D">
        <w:rPr>
          <w:rFonts w:ascii="Verdana" w:hAnsi="Verdana"/>
          <w:sz w:val="20"/>
          <w:szCs w:val="20"/>
        </w:rPr>
        <w:t xml:space="preserve"> considera</w:t>
      </w:r>
      <w:r w:rsidRPr="002C767D">
        <w:rPr>
          <w:rFonts w:ascii="Verdana" w:hAnsi="Verdana"/>
          <w:sz w:val="20"/>
          <w:szCs w:val="20"/>
        </w:rPr>
        <w:t xml:space="preserve"> </w:t>
      </w:r>
      <w:r w:rsidR="00543193" w:rsidRPr="002C767D">
        <w:rPr>
          <w:rFonts w:ascii="Verdana" w:hAnsi="Verdana" w:cs="Verdana"/>
          <w:sz w:val="20"/>
          <w:szCs w:val="20"/>
          <w:lang w:val="es-ES"/>
        </w:rPr>
        <w:t xml:space="preserve">que el adecuado cumplimiento de las medidas de </w:t>
      </w:r>
      <w:r w:rsidR="0098290A" w:rsidRPr="002C767D">
        <w:rPr>
          <w:rFonts w:ascii="Verdana" w:hAnsi="Verdana" w:cs="Verdana"/>
          <w:sz w:val="20"/>
          <w:szCs w:val="20"/>
          <w:lang w:val="es-ES"/>
        </w:rPr>
        <w:t xml:space="preserve">protección requiere </w:t>
      </w:r>
      <w:r w:rsidRPr="002C767D">
        <w:rPr>
          <w:rFonts w:ascii="Verdana" w:hAnsi="Verdana"/>
          <w:sz w:val="20"/>
          <w:szCs w:val="20"/>
        </w:rPr>
        <w:t>que exista una</w:t>
      </w:r>
      <w:r w:rsidR="0098290A" w:rsidRPr="002C767D">
        <w:rPr>
          <w:rFonts w:ascii="Verdana" w:hAnsi="Verdana"/>
          <w:sz w:val="20"/>
          <w:szCs w:val="20"/>
        </w:rPr>
        <w:t xml:space="preserve"> nueva</w:t>
      </w:r>
      <w:r w:rsidRPr="002C767D">
        <w:rPr>
          <w:rFonts w:ascii="Verdana" w:hAnsi="Verdana"/>
          <w:sz w:val="20"/>
          <w:szCs w:val="20"/>
        </w:rPr>
        <w:t xml:space="preserve"> concertación y diálogo para favorecer una real coordinación de la implementación de las medidas, a fin de superar razonablemente los inconvenientes que se presenten, y así hacer efectivas las obligaciones estatales de protección. Por ello, la Corte considera relevante que</w:t>
      </w:r>
      <w:r w:rsidR="002C767D" w:rsidRPr="002C767D">
        <w:rPr>
          <w:rFonts w:ascii="Verdana" w:hAnsi="Verdana"/>
          <w:sz w:val="20"/>
          <w:szCs w:val="20"/>
        </w:rPr>
        <w:t>: i)</w:t>
      </w:r>
      <w:r w:rsidRPr="002C767D">
        <w:rPr>
          <w:rFonts w:ascii="Verdana" w:hAnsi="Verdana"/>
          <w:sz w:val="20"/>
          <w:szCs w:val="20"/>
        </w:rPr>
        <w:t xml:space="preserve"> las partes continúen con prácticas de coordinación conjunta y espacios de concertación mediante la celebración de reuniones entre la beneficiaria y sus representantes y autoridades estatales</w:t>
      </w:r>
      <w:r w:rsidR="002C767D" w:rsidRPr="002C767D">
        <w:rPr>
          <w:rFonts w:ascii="Verdana" w:hAnsi="Verdana"/>
          <w:sz w:val="20"/>
          <w:szCs w:val="20"/>
        </w:rPr>
        <w:t xml:space="preserve">, y ii) el Estado remita </w:t>
      </w:r>
      <w:r w:rsidR="002C767D">
        <w:rPr>
          <w:rFonts w:ascii="Verdana" w:hAnsi="Verdana"/>
          <w:sz w:val="20"/>
          <w:szCs w:val="20"/>
        </w:rPr>
        <w:t>información</w:t>
      </w:r>
      <w:r w:rsidR="002C767D" w:rsidRPr="002C767D">
        <w:rPr>
          <w:rFonts w:ascii="Verdana" w:hAnsi="Verdana"/>
          <w:sz w:val="20"/>
          <w:szCs w:val="20"/>
        </w:rPr>
        <w:t xml:space="preserve"> sobre las medidas que ha </w:t>
      </w:r>
      <w:r w:rsidR="002C767D">
        <w:rPr>
          <w:rFonts w:ascii="Verdana" w:hAnsi="Verdana"/>
          <w:sz w:val="20"/>
          <w:szCs w:val="20"/>
        </w:rPr>
        <w:t>implementado para garantizar los</w:t>
      </w:r>
      <w:r w:rsidR="002C767D" w:rsidRPr="002C767D">
        <w:rPr>
          <w:rFonts w:ascii="Verdana" w:hAnsi="Verdana"/>
          <w:sz w:val="20"/>
          <w:szCs w:val="20"/>
        </w:rPr>
        <w:t xml:space="preserve"> derechos a la vida e integridad personal</w:t>
      </w:r>
      <w:r w:rsidR="002C767D">
        <w:rPr>
          <w:rFonts w:ascii="Verdana" w:hAnsi="Verdana"/>
          <w:sz w:val="20"/>
          <w:szCs w:val="20"/>
        </w:rPr>
        <w:t xml:space="preserve"> de la señora Castro Rodríguez</w:t>
      </w:r>
      <w:r w:rsidR="002C767D" w:rsidRPr="002C767D">
        <w:rPr>
          <w:rFonts w:ascii="Verdana" w:hAnsi="Verdana"/>
          <w:sz w:val="20"/>
          <w:szCs w:val="20"/>
        </w:rPr>
        <w:t>, particularmente sobre aquellas ordenadas por la CNDH en el año 2018</w:t>
      </w:r>
      <w:r w:rsidRPr="002C767D">
        <w:rPr>
          <w:rFonts w:ascii="Verdana" w:hAnsi="Verdana"/>
          <w:sz w:val="20"/>
          <w:szCs w:val="20"/>
        </w:rPr>
        <w:t xml:space="preserve">. </w:t>
      </w:r>
      <w:r w:rsidR="002C767D">
        <w:rPr>
          <w:rFonts w:ascii="Verdana" w:hAnsi="Verdana"/>
          <w:sz w:val="20"/>
          <w:szCs w:val="20"/>
        </w:rPr>
        <w:t>La Corte advierte la importante de</w:t>
      </w:r>
      <w:r w:rsidRPr="002C767D">
        <w:rPr>
          <w:rFonts w:ascii="Verdana" w:hAnsi="Verdana"/>
          <w:sz w:val="20"/>
          <w:szCs w:val="20"/>
        </w:rPr>
        <w:t xml:space="preserve"> que tanto el Estado en sus informes, como l</w:t>
      </w:r>
      <w:r w:rsidR="00B12677">
        <w:rPr>
          <w:rFonts w:ascii="Verdana" w:hAnsi="Verdana"/>
          <w:sz w:val="20"/>
          <w:szCs w:val="20"/>
        </w:rPr>
        <w:t>a</w:t>
      </w:r>
      <w:r w:rsidRPr="002C767D">
        <w:rPr>
          <w:rFonts w:ascii="Verdana" w:hAnsi="Verdana"/>
          <w:sz w:val="20"/>
          <w:szCs w:val="20"/>
        </w:rPr>
        <w:t>s representantes y la Comisión en sus observaciones, se refieran de manera precisa sobre las medidas adoptadas para subsanar dichas dificultades, de modo que remitan información actualizada sobre los avances de las mismas.</w:t>
      </w:r>
    </w:p>
    <w:p w14:paraId="41FC3D88" w14:textId="3D4ED56E" w:rsidR="007B6DF2" w:rsidRPr="007B6DF2" w:rsidRDefault="007B6DF2" w:rsidP="007B6DF2">
      <w:pPr>
        <w:spacing w:after="0" w:line="240" w:lineRule="auto"/>
        <w:rPr>
          <w:rFonts w:ascii="Verdana" w:hAnsi="Verdana"/>
          <w:sz w:val="20"/>
          <w:szCs w:val="20"/>
        </w:rPr>
      </w:pPr>
    </w:p>
    <w:p w14:paraId="6E0EB7B2" w14:textId="16D2ADB5" w:rsidR="007B6DF2" w:rsidRPr="007B6DF2" w:rsidRDefault="007B6DF2" w:rsidP="007B6DF2">
      <w:pPr>
        <w:tabs>
          <w:tab w:val="left" w:pos="709"/>
        </w:tabs>
        <w:spacing w:after="0" w:line="240" w:lineRule="auto"/>
        <w:ind w:left="720"/>
        <w:contextualSpacing/>
        <w:jc w:val="both"/>
        <w:rPr>
          <w:rFonts w:ascii="Verdana" w:hAnsi="Verdana" w:cs="Arial"/>
          <w:i/>
          <w:sz w:val="20"/>
          <w:szCs w:val="20"/>
          <w:lang w:val="es-ES"/>
        </w:rPr>
      </w:pPr>
      <w:r>
        <w:rPr>
          <w:rFonts w:ascii="Verdana" w:hAnsi="Verdana" w:cs="Arial"/>
          <w:i/>
          <w:sz w:val="20"/>
          <w:szCs w:val="20"/>
          <w:lang w:val="es-ES"/>
        </w:rPr>
        <w:t>B.3. Presentación de información sobre acciones de investigación</w:t>
      </w:r>
    </w:p>
    <w:p w14:paraId="0C227306" w14:textId="77777777" w:rsidR="0035170A" w:rsidRPr="007B6DF2" w:rsidRDefault="0035170A" w:rsidP="007B6DF2">
      <w:pPr>
        <w:pStyle w:val="Prrafodelista"/>
        <w:ind w:left="0"/>
        <w:contextualSpacing/>
        <w:jc w:val="both"/>
        <w:rPr>
          <w:rFonts w:ascii="Verdana" w:hAnsi="Verdana"/>
          <w:sz w:val="20"/>
          <w:szCs w:val="20"/>
          <w:lang w:val="es-ES"/>
        </w:rPr>
      </w:pPr>
    </w:p>
    <w:p w14:paraId="5B07C0DA" w14:textId="126D0C4C" w:rsidR="005108E0" w:rsidRPr="00D54780" w:rsidRDefault="005108E0" w:rsidP="005108E0">
      <w:pPr>
        <w:pStyle w:val="Prrafodelista"/>
        <w:numPr>
          <w:ilvl w:val="0"/>
          <w:numId w:val="24"/>
        </w:numPr>
        <w:ind w:left="0" w:firstLine="0"/>
        <w:contextualSpacing/>
        <w:jc w:val="both"/>
        <w:rPr>
          <w:rFonts w:ascii="Verdana" w:hAnsi="Verdana"/>
          <w:bCs/>
          <w:color w:val="000000" w:themeColor="text1"/>
          <w:sz w:val="20"/>
          <w:szCs w:val="20"/>
          <w:lang w:val="es-CR"/>
        </w:rPr>
      </w:pPr>
      <w:r w:rsidRPr="005108E0">
        <w:rPr>
          <w:rFonts w:ascii="Verdana" w:hAnsi="Verdana"/>
          <w:sz w:val="20"/>
          <w:szCs w:val="20"/>
        </w:rPr>
        <w:t xml:space="preserve">Este Tribunal reitera lo aclarado en su Resolución de 23 de junio de 2015, en la cual se indicó que </w:t>
      </w:r>
      <w:r w:rsidRPr="005108E0">
        <w:rPr>
          <w:rFonts w:ascii="Verdana" w:hAnsi="Verdana" w:cs="Verdana"/>
          <w:color w:val="000000"/>
          <w:sz w:val="20"/>
          <w:szCs w:val="20"/>
        </w:rPr>
        <w:t>“el análisis de la efectividad de las investigaciones y procedimientos referentes a los hechos que motiva[n] [las] medidas provisionales corresponde […] al examen del fondo del caso”</w:t>
      </w:r>
      <w:r w:rsidRPr="0035170A">
        <w:rPr>
          <w:rStyle w:val="Refdenotaalpie"/>
          <w:sz w:val="20"/>
          <w:szCs w:val="20"/>
        </w:rPr>
        <w:footnoteReference w:id="7"/>
      </w:r>
      <w:r w:rsidRPr="005108E0">
        <w:rPr>
          <w:rFonts w:ascii="Verdana" w:hAnsi="Verdana" w:cs="Verdana"/>
          <w:color w:val="000000"/>
          <w:sz w:val="20"/>
          <w:szCs w:val="20"/>
        </w:rPr>
        <w:t>.</w:t>
      </w:r>
      <w:r w:rsidRPr="005108E0">
        <w:rPr>
          <w:rFonts w:ascii="Verdana" w:hAnsi="Verdana"/>
          <w:sz w:val="20"/>
          <w:szCs w:val="20"/>
        </w:rPr>
        <w:t xml:space="preserve"> Pese a ello, el Estado ha continuado informando sobre investigaciones</w:t>
      </w:r>
      <w:r>
        <w:rPr>
          <w:rFonts w:ascii="Verdana" w:hAnsi="Verdana"/>
          <w:sz w:val="20"/>
          <w:szCs w:val="20"/>
        </w:rPr>
        <w:t xml:space="preserve"> penales</w:t>
      </w:r>
      <w:r w:rsidRPr="005108E0">
        <w:rPr>
          <w:rFonts w:ascii="Verdana" w:hAnsi="Verdana"/>
          <w:sz w:val="20"/>
          <w:szCs w:val="20"/>
        </w:rPr>
        <w:t>, y l</w:t>
      </w:r>
      <w:r w:rsidR="00B12677">
        <w:rPr>
          <w:rFonts w:ascii="Verdana" w:hAnsi="Verdana"/>
          <w:sz w:val="20"/>
          <w:szCs w:val="20"/>
        </w:rPr>
        <w:t>a</w:t>
      </w:r>
      <w:r w:rsidRPr="005108E0">
        <w:rPr>
          <w:rFonts w:ascii="Verdana" w:hAnsi="Verdana"/>
          <w:sz w:val="20"/>
          <w:szCs w:val="20"/>
        </w:rPr>
        <w:t>s representantes haciendo observaciones al respecto.</w:t>
      </w:r>
    </w:p>
    <w:p w14:paraId="59DD1016" w14:textId="77777777" w:rsidR="00D54780" w:rsidRPr="005108E0" w:rsidRDefault="00D54780" w:rsidP="00D54780">
      <w:pPr>
        <w:pStyle w:val="Prrafodelista"/>
        <w:ind w:left="0"/>
        <w:contextualSpacing/>
        <w:jc w:val="both"/>
        <w:rPr>
          <w:rFonts w:ascii="Verdana" w:hAnsi="Verdana"/>
          <w:bCs/>
          <w:color w:val="000000" w:themeColor="text1"/>
          <w:sz w:val="20"/>
          <w:szCs w:val="20"/>
          <w:lang w:val="es-CR"/>
        </w:rPr>
      </w:pPr>
    </w:p>
    <w:p w14:paraId="729EAB4D" w14:textId="137A6F2D" w:rsidR="005108E0" w:rsidRDefault="005108E0" w:rsidP="005108E0">
      <w:pPr>
        <w:pStyle w:val="Prrafodelista"/>
        <w:numPr>
          <w:ilvl w:val="0"/>
          <w:numId w:val="24"/>
        </w:numPr>
        <w:ind w:left="0" w:firstLine="0"/>
        <w:contextualSpacing/>
        <w:jc w:val="both"/>
        <w:rPr>
          <w:rFonts w:ascii="Verdana" w:hAnsi="Verdana"/>
          <w:bCs/>
          <w:color w:val="000000" w:themeColor="text1"/>
          <w:sz w:val="20"/>
          <w:szCs w:val="20"/>
          <w:lang w:val="es-CR"/>
        </w:rPr>
      </w:pPr>
      <w:r>
        <w:rPr>
          <w:rFonts w:ascii="Verdana" w:hAnsi="Verdana"/>
          <w:color w:val="000000" w:themeColor="text1"/>
          <w:sz w:val="20"/>
          <w:szCs w:val="20"/>
          <w:lang w:val="es-CO"/>
        </w:rPr>
        <w:t>La Corte, al igual que en decisiones anteriores, considera pertinente dejar sentado que “</w:t>
      </w:r>
      <w:r>
        <w:rPr>
          <w:rFonts w:ascii="Verdana" w:hAnsi="Verdana"/>
          <w:color w:val="000000" w:themeColor="text1"/>
          <w:sz w:val="20"/>
          <w:szCs w:val="20"/>
          <w:lang w:val="es-CR"/>
        </w:rPr>
        <w:t xml:space="preserve">independientemente de la existencia de medidas provisionales específicas, el Estado se encuentra especialmente obligado a garantizar los derechos de las personas en situación de riesgo y debe impulsar las investigaciones necesarias para esclarecer los hechos y, en su </w:t>
      </w:r>
      <w:r>
        <w:rPr>
          <w:rFonts w:ascii="Verdana" w:hAnsi="Verdana"/>
          <w:color w:val="000000" w:themeColor="text1"/>
          <w:sz w:val="20"/>
          <w:szCs w:val="20"/>
          <w:lang w:val="es-CR"/>
        </w:rPr>
        <w:lastRenderedPageBreak/>
        <w:t>caso, sancionar a los responsables”</w:t>
      </w:r>
      <w:r>
        <w:rPr>
          <w:rStyle w:val="Refdenotaalpie"/>
          <w:color w:val="000000" w:themeColor="text1"/>
          <w:sz w:val="20"/>
        </w:rPr>
        <w:footnoteReference w:id="8"/>
      </w:r>
      <w:r>
        <w:rPr>
          <w:rFonts w:ascii="Verdana" w:hAnsi="Verdana"/>
          <w:color w:val="000000" w:themeColor="text1"/>
          <w:sz w:val="20"/>
          <w:szCs w:val="20"/>
          <w:lang w:val="es-CR"/>
        </w:rPr>
        <w:t xml:space="preserve">. </w:t>
      </w:r>
      <w:r>
        <w:rPr>
          <w:rFonts w:ascii="Verdana" w:hAnsi="Verdana"/>
          <w:sz w:val="20"/>
          <w:szCs w:val="20"/>
          <w:lang w:val="es-CR"/>
        </w:rPr>
        <w:t>No obstante, reitera que el análisis de la efectividad de las investigaciones y procedimientos referentes a los hechos que motivan las medidas provisionales no corresponde analizarlo en el marco de las mismas</w:t>
      </w:r>
      <w:r>
        <w:rPr>
          <w:rStyle w:val="Refdenotaalpie"/>
          <w:sz w:val="20"/>
        </w:rPr>
        <w:footnoteReference w:id="9"/>
      </w:r>
      <w:r>
        <w:rPr>
          <w:rFonts w:ascii="Verdana" w:hAnsi="Verdana"/>
          <w:sz w:val="20"/>
          <w:szCs w:val="20"/>
          <w:lang w:val="es-CR"/>
        </w:rPr>
        <w:t xml:space="preserve">. Además, recuerda que el incumplimiento del deber de investigar no es </w:t>
      </w:r>
      <w:r>
        <w:rPr>
          <w:rFonts w:ascii="Verdana" w:hAnsi="Verdana"/>
          <w:i/>
          <w:sz w:val="20"/>
          <w:szCs w:val="20"/>
          <w:lang w:val="es-CR"/>
        </w:rPr>
        <w:t>per se</w:t>
      </w:r>
      <w:r>
        <w:rPr>
          <w:rFonts w:ascii="Verdana" w:hAnsi="Verdana"/>
          <w:sz w:val="20"/>
          <w:szCs w:val="20"/>
          <w:lang w:val="es-CR"/>
        </w:rPr>
        <w:t xml:space="preserve"> </w:t>
      </w:r>
      <w:proofErr w:type="spellStart"/>
      <w:r>
        <w:rPr>
          <w:rFonts w:ascii="Verdana" w:hAnsi="Verdana"/>
          <w:sz w:val="20"/>
          <w:szCs w:val="20"/>
          <w:lang w:val="es-CR"/>
        </w:rPr>
        <w:t>motivo</w:t>
      </w:r>
      <w:proofErr w:type="spellEnd"/>
      <w:r>
        <w:rPr>
          <w:rFonts w:ascii="Verdana" w:hAnsi="Verdana"/>
          <w:sz w:val="20"/>
          <w:szCs w:val="20"/>
          <w:lang w:val="es-CR"/>
        </w:rPr>
        <w:t xml:space="preserve"> suficiente para mantener las medidas provisionales</w:t>
      </w:r>
      <w:r>
        <w:rPr>
          <w:rFonts w:ascii="Verdana" w:hAnsi="Verdana"/>
          <w:sz w:val="20"/>
          <w:szCs w:val="20"/>
          <w:vertAlign w:val="superscript"/>
        </w:rPr>
        <w:footnoteReference w:id="10"/>
      </w:r>
      <w:r>
        <w:rPr>
          <w:rFonts w:ascii="Verdana" w:hAnsi="Verdana"/>
          <w:sz w:val="20"/>
          <w:szCs w:val="20"/>
          <w:lang w:val="es-CR"/>
        </w:rPr>
        <w:t>. Por tanto, la Corte no considerará la información y observaciones relativas a las investigaciones.</w:t>
      </w:r>
    </w:p>
    <w:p w14:paraId="20551BA7" w14:textId="77777777" w:rsidR="00B54112" w:rsidRPr="0044055D" w:rsidRDefault="00B54112" w:rsidP="00B0538D">
      <w:pPr>
        <w:pStyle w:val="Prrafodelista"/>
        <w:ind w:left="0"/>
        <w:contextualSpacing/>
        <w:jc w:val="both"/>
        <w:rPr>
          <w:rFonts w:ascii="Verdana" w:hAnsi="Verdana" w:cs="Arial"/>
          <w:sz w:val="20"/>
          <w:szCs w:val="20"/>
          <w:lang w:val="es-CR"/>
        </w:rPr>
      </w:pPr>
    </w:p>
    <w:p w14:paraId="59760938" w14:textId="4CD55DB7" w:rsidR="00512760" w:rsidRPr="0044055D" w:rsidRDefault="00512760" w:rsidP="00B0538D">
      <w:pPr>
        <w:autoSpaceDE w:val="0"/>
        <w:autoSpaceDN w:val="0"/>
        <w:adjustRightInd w:val="0"/>
        <w:spacing w:after="0" w:line="240" w:lineRule="auto"/>
        <w:ind w:right="19"/>
        <w:jc w:val="both"/>
        <w:rPr>
          <w:rFonts w:ascii="Verdana" w:hAnsi="Verdana" w:cs="Arial"/>
          <w:b/>
          <w:sz w:val="20"/>
          <w:szCs w:val="20"/>
          <w:lang w:val="es-ES"/>
        </w:rPr>
      </w:pPr>
      <w:r w:rsidRPr="0044055D">
        <w:rPr>
          <w:rFonts w:ascii="Verdana" w:hAnsi="Verdana" w:cs="Arial"/>
          <w:b/>
          <w:sz w:val="20"/>
          <w:szCs w:val="20"/>
          <w:lang w:val="es-ES"/>
        </w:rPr>
        <w:t>POR TANTO</w:t>
      </w:r>
      <w:r w:rsidR="009C0413" w:rsidRPr="0044055D">
        <w:rPr>
          <w:rFonts w:ascii="Verdana" w:hAnsi="Verdana" w:cs="Arial"/>
          <w:b/>
          <w:sz w:val="20"/>
          <w:szCs w:val="20"/>
          <w:lang w:val="es-ES"/>
        </w:rPr>
        <w:t>,</w:t>
      </w:r>
    </w:p>
    <w:p w14:paraId="59760939" w14:textId="77777777" w:rsidR="00512760" w:rsidRPr="0044055D" w:rsidRDefault="00512760" w:rsidP="00B0538D">
      <w:pPr>
        <w:autoSpaceDE w:val="0"/>
        <w:autoSpaceDN w:val="0"/>
        <w:adjustRightInd w:val="0"/>
        <w:spacing w:after="0" w:line="240" w:lineRule="auto"/>
        <w:ind w:right="19"/>
        <w:jc w:val="both"/>
        <w:rPr>
          <w:rFonts w:ascii="Verdana" w:hAnsi="Verdana" w:cs="Arial"/>
          <w:b/>
          <w:sz w:val="20"/>
          <w:szCs w:val="20"/>
          <w:lang w:val="es-ES"/>
        </w:rPr>
      </w:pPr>
    </w:p>
    <w:p w14:paraId="5976093B" w14:textId="2DDE1D28" w:rsidR="00512760" w:rsidRPr="0044055D" w:rsidRDefault="00512760" w:rsidP="00B0538D">
      <w:pPr>
        <w:autoSpaceDE w:val="0"/>
        <w:autoSpaceDN w:val="0"/>
        <w:adjustRightInd w:val="0"/>
        <w:spacing w:after="0" w:line="240" w:lineRule="auto"/>
        <w:ind w:right="19"/>
        <w:jc w:val="both"/>
        <w:rPr>
          <w:rFonts w:ascii="Verdana" w:hAnsi="Verdana" w:cs="Arial"/>
          <w:b/>
          <w:sz w:val="20"/>
          <w:szCs w:val="20"/>
          <w:lang w:val="es-ES"/>
        </w:rPr>
      </w:pPr>
      <w:r w:rsidRPr="0044055D">
        <w:rPr>
          <w:rFonts w:ascii="Verdana" w:hAnsi="Verdana" w:cs="Arial"/>
          <w:b/>
          <w:sz w:val="20"/>
          <w:szCs w:val="20"/>
          <w:lang w:val="es-ES"/>
        </w:rPr>
        <w:t xml:space="preserve">LA CORTE INTERAMERICANA DE DERECHOS HUMANOS, </w:t>
      </w:r>
    </w:p>
    <w:p w14:paraId="2FB71CEF" w14:textId="77777777" w:rsidR="00230F09" w:rsidRPr="0044055D" w:rsidRDefault="00230F09" w:rsidP="00B0538D">
      <w:pPr>
        <w:autoSpaceDE w:val="0"/>
        <w:autoSpaceDN w:val="0"/>
        <w:adjustRightInd w:val="0"/>
        <w:spacing w:after="0" w:line="240" w:lineRule="auto"/>
        <w:ind w:right="19"/>
        <w:jc w:val="both"/>
        <w:rPr>
          <w:rFonts w:ascii="Verdana" w:hAnsi="Verdana" w:cs="Arial"/>
          <w:b/>
          <w:sz w:val="20"/>
          <w:szCs w:val="20"/>
          <w:lang w:val="es-ES"/>
        </w:rPr>
      </w:pPr>
    </w:p>
    <w:p w14:paraId="5976093C" w14:textId="7A1E1010" w:rsidR="00512760" w:rsidRPr="0044055D" w:rsidRDefault="00512760" w:rsidP="00B0538D">
      <w:pPr>
        <w:autoSpaceDE w:val="0"/>
        <w:autoSpaceDN w:val="0"/>
        <w:adjustRightInd w:val="0"/>
        <w:spacing w:after="0" w:line="240" w:lineRule="auto"/>
        <w:ind w:right="19"/>
        <w:jc w:val="both"/>
        <w:rPr>
          <w:rFonts w:ascii="Verdana" w:hAnsi="Verdana" w:cs="Arial"/>
          <w:sz w:val="20"/>
          <w:szCs w:val="20"/>
          <w:lang w:val="es-ES"/>
        </w:rPr>
      </w:pPr>
      <w:r w:rsidRPr="0044055D">
        <w:rPr>
          <w:rFonts w:ascii="Verdana" w:hAnsi="Verdana" w:cs="Arial"/>
          <w:sz w:val="20"/>
          <w:szCs w:val="20"/>
          <w:lang w:val="es-ES"/>
        </w:rPr>
        <w:t>en uso de las atribuciones que le confieren los artículos 63.2 de la Convención Americana sobre Derechos Humanos</w:t>
      </w:r>
      <w:r w:rsidR="002C6464" w:rsidRPr="0044055D">
        <w:rPr>
          <w:rFonts w:ascii="Verdana" w:hAnsi="Verdana" w:cs="Arial"/>
          <w:sz w:val="20"/>
          <w:szCs w:val="20"/>
          <w:lang w:val="es-ES"/>
        </w:rPr>
        <w:t>,</w:t>
      </w:r>
      <w:r w:rsidR="005C1B5F" w:rsidRPr="0044055D">
        <w:rPr>
          <w:rFonts w:ascii="Verdana" w:hAnsi="Verdana" w:cs="Arial"/>
          <w:sz w:val="20"/>
          <w:szCs w:val="20"/>
          <w:lang w:val="es-ES"/>
        </w:rPr>
        <w:t xml:space="preserve"> </w:t>
      </w:r>
      <w:r w:rsidR="002C6464" w:rsidRPr="0044055D">
        <w:rPr>
          <w:rFonts w:ascii="Verdana" w:hAnsi="Verdana" w:cs="Arial"/>
          <w:sz w:val="20"/>
          <w:szCs w:val="20"/>
          <w:lang w:val="es-ES"/>
        </w:rPr>
        <w:t>y</w:t>
      </w:r>
      <w:r w:rsidRPr="0044055D">
        <w:rPr>
          <w:rFonts w:ascii="Verdana" w:hAnsi="Verdana" w:cs="Arial"/>
          <w:sz w:val="20"/>
          <w:szCs w:val="20"/>
          <w:lang w:val="es-ES"/>
        </w:rPr>
        <w:t xml:space="preserve"> 27 y 31 del Reglamento del Tribunal,</w:t>
      </w:r>
    </w:p>
    <w:p w14:paraId="5976093D" w14:textId="77777777" w:rsidR="00512760" w:rsidRPr="0044055D" w:rsidRDefault="00512760" w:rsidP="00B0538D">
      <w:pPr>
        <w:autoSpaceDE w:val="0"/>
        <w:autoSpaceDN w:val="0"/>
        <w:adjustRightInd w:val="0"/>
        <w:spacing w:after="0" w:line="240" w:lineRule="auto"/>
        <w:ind w:right="19"/>
        <w:jc w:val="both"/>
        <w:rPr>
          <w:rFonts w:ascii="Verdana" w:hAnsi="Verdana" w:cs="Arial"/>
          <w:sz w:val="20"/>
          <w:szCs w:val="20"/>
          <w:lang w:val="es-ES"/>
        </w:rPr>
      </w:pPr>
    </w:p>
    <w:p w14:paraId="5976093E" w14:textId="40C42C91" w:rsidR="00512760" w:rsidRPr="0044055D" w:rsidRDefault="00512760" w:rsidP="00B0538D">
      <w:pPr>
        <w:autoSpaceDE w:val="0"/>
        <w:autoSpaceDN w:val="0"/>
        <w:adjustRightInd w:val="0"/>
        <w:spacing w:after="0" w:line="240" w:lineRule="auto"/>
        <w:ind w:right="19"/>
        <w:jc w:val="both"/>
        <w:rPr>
          <w:rFonts w:ascii="Verdana" w:hAnsi="Verdana" w:cs="Arial"/>
          <w:b/>
          <w:sz w:val="20"/>
          <w:szCs w:val="20"/>
          <w:lang w:val="es-ES"/>
        </w:rPr>
      </w:pPr>
      <w:r w:rsidRPr="0044055D">
        <w:rPr>
          <w:rFonts w:ascii="Verdana" w:hAnsi="Verdana" w:cs="Arial"/>
          <w:b/>
          <w:sz w:val="20"/>
          <w:szCs w:val="20"/>
          <w:lang w:val="es-ES"/>
        </w:rPr>
        <w:t>RESUELVE:</w:t>
      </w:r>
    </w:p>
    <w:p w14:paraId="5976093F" w14:textId="77777777" w:rsidR="00512760" w:rsidRPr="0044055D" w:rsidRDefault="00512760" w:rsidP="00B0538D">
      <w:pPr>
        <w:autoSpaceDE w:val="0"/>
        <w:autoSpaceDN w:val="0"/>
        <w:adjustRightInd w:val="0"/>
        <w:spacing w:after="0" w:line="240" w:lineRule="auto"/>
        <w:ind w:right="19"/>
        <w:jc w:val="both"/>
        <w:rPr>
          <w:rFonts w:ascii="Verdana" w:hAnsi="Verdana" w:cs="Arial"/>
          <w:sz w:val="20"/>
          <w:szCs w:val="20"/>
          <w:lang w:val="es-ES"/>
        </w:rPr>
      </w:pPr>
    </w:p>
    <w:p w14:paraId="316652B4" w14:textId="1E310C92" w:rsidR="00A7025B" w:rsidRPr="0034634A" w:rsidRDefault="0086659E" w:rsidP="0034634A">
      <w:pPr>
        <w:pStyle w:val="Prrafodelista"/>
        <w:numPr>
          <w:ilvl w:val="0"/>
          <w:numId w:val="46"/>
        </w:numPr>
        <w:ind w:left="0" w:right="-6" w:firstLine="0"/>
        <w:jc w:val="both"/>
        <w:rPr>
          <w:rFonts w:ascii="Verdana" w:hAnsi="Verdana"/>
          <w:sz w:val="20"/>
          <w:szCs w:val="20"/>
        </w:rPr>
      </w:pPr>
      <w:r w:rsidRPr="0034634A">
        <w:rPr>
          <w:rFonts w:ascii="Verdana" w:hAnsi="Verdana" w:cs="Arial"/>
          <w:sz w:val="20"/>
          <w:szCs w:val="20"/>
          <w:lang w:val="es-ES"/>
        </w:rPr>
        <w:t>M</w:t>
      </w:r>
      <w:r w:rsidR="00512760" w:rsidRPr="0034634A">
        <w:rPr>
          <w:rFonts w:ascii="Verdana" w:hAnsi="Verdana" w:cs="Arial"/>
          <w:sz w:val="20"/>
          <w:szCs w:val="20"/>
          <w:lang w:val="es-ES"/>
        </w:rPr>
        <w:t>anten</w:t>
      </w:r>
      <w:r w:rsidRPr="0034634A">
        <w:rPr>
          <w:rFonts w:ascii="Verdana" w:hAnsi="Verdana" w:cs="Arial"/>
          <w:sz w:val="20"/>
          <w:szCs w:val="20"/>
          <w:lang w:val="es-ES"/>
        </w:rPr>
        <w:t>er</w:t>
      </w:r>
      <w:r w:rsidR="00512760" w:rsidRPr="0034634A">
        <w:rPr>
          <w:rFonts w:ascii="Verdana" w:hAnsi="Verdana" w:cs="Arial"/>
          <w:sz w:val="20"/>
          <w:szCs w:val="20"/>
          <w:lang w:val="es-ES"/>
        </w:rPr>
        <w:t xml:space="preserve"> </w:t>
      </w:r>
      <w:r w:rsidR="007D4F9D" w:rsidRPr="0034634A">
        <w:rPr>
          <w:rFonts w:ascii="Verdana" w:hAnsi="Verdana"/>
          <w:sz w:val="20"/>
          <w:szCs w:val="20"/>
        </w:rPr>
        <w:t xml:space="preserve">las medidas </w:t>
      </w:r>
      <w:r w:rsidR="00894C84" w:rsidRPr="0034634A">
        <w:rPr>
          <w:rFonts w:ascii="Verdana" w:hAnsi="Verdana"/>
          <w:sz w:val="20"/>
          <w:szCs w:val="20"/>
        </w:rPr>
        <w:t>provisionales y ordenar al</w:t>
      </w:r>
      <w:r w:rsidRPr="0034634A">
        <w:rPr>
          <w:rFonts w:ascii="Verdana" w:hAnsi="Verdana"/>
          <w:sz w:val="20"/>
          <w:szCs w:val="20"/>
        </w:rPr>
        <w:t xml:space="preserve"> Estado </w:t>
      </w:r>
      <w:r w:rsidR="00894C84" w:rsidRPr="0034634A">
        <w:rPr>
          <w:rFonts w:ascii="Verdana" w:hAnsi="Verdana"/>
          <w:sz w:val="20"/>
          <w:szCs w:val="20"/>
        </w:rPr>
        <w:t xml:space="preserve">que </w:t>
      </w:r>
      <w:r w:rsidR="006D6149" w:rsidRPr="0034634A">
        <w:rPr>
          <w:rFonts w:ascii="Verdana" w:hAnsi="Verdana"/>
          <w:sz w:val="20"/>
          <w:szCs w:val="20"/>
        </w:rPr>
        <w:t xml:space="preserve">continúe </w:t>
      </w:r>
      <w:r w:rsidR="007D4F9D" w:rsidRPr="0034634A">
        <w:rPr>
          <w:rFonts w:ascii="Verdana" w:hAnsi="Verdana"/>
          <w:sz w:val="20"/>
          <w:szCs w:val="20"/>
        </w:rPr>
        <w:t>adopt</w:t>
      </w:r>
      <w:r w:rsidR="006D6149" w:rsidRPr="0034634A">
        <w:rPr>
          <w:rFonts w:ascii="Verdana" w:hAnsi="Verdana"/>
          <w:sz w:val="20"/>
          <w:szCs w:val="20"/>
        </w:rPr>
        <w:t>ando</w:t>
      </w:r>
      <w:r w:rsidR="007D4F9D" w:rsidRPr="0034634A">
        <w:rPr>
          <w:rFonts w:ascii="Verdana" w:hAnsi="Verdana"/>
          <w:sz w:val="20"/>
          <w:szCs w:val="20"/>
        </w:rPr>
        <w:t xml:space="preserve"> las medidas que sean necesarias y efectivas para proteger los derechos a la vida y a la integridad personal </w:t>
      </w:r>
      <w:r w:rsidR="00512760" w:rsidRPr="0034634A">
        <w:rPr>
          <w:rFonts w:ascii="Verdana" w:eastAsia="Times New Roman" w:hAnsi="Verdana" w:cs="Arial"/>
          <w:sz w:val="20"/>
          <w:szCs w:val="20"/>
          <w:lang w:val="es-ES"/>
        </w:rPr>
        <w:t>de Luz Estela Castro Rodríguez</w:t>
      </w:r>
      <w:r w:rsidR="00A7025B" w:rsidRPr="0034634A">
        <w:rPr>
          <w:rFonts w:ascii="Verdana" w:eastAsia="Times New Roman" w:hAnsi="Verdana" w:cs="Arial"/>
          <w:sz w:val="20"/>
          <w:szCs w:val="20"/>
          <w:lang w:val="es-ES"/>
        </w:rPr>
        <w:t xml:space="preserve">, </w:t>
      </w:r>
      <w:r w:rsidR="009859F2" w:rsidRPr="0034634A">
        <w:rPr>
          <w:rFonts w:ascii="Verdana" w:hAnsi="Verdana"/>
          <w:sz w:val="20"/>
          <w:szCs w:val="20"/>
        </w:rPr>
        <w:t>tomando en consideración la situación y las circunstancias particulares del caso</w:t>
      </w:r>
      <w:r w:rsidR="007151E1" w:rsidRPr="0034634A">
        <w:rPr>
          <w:rFonts w:ascii="Verdana" w:hAnsi="Verdana"/>
          <w:sz w:val="20"/>
          <w:szCs w:val="20"/>
        </w:rPr>
        <w:t>.</w:t>
      </w:r>
    </w:p>
    <w:p w14:paraId="1E771A69" w14:textId="77777777" w:rsidR="00A7025B" w:rsidRPr="0044055D" w:rsidRDefault="00A7025B" w:rsidP="00B0538D">
      <w:pPr>
        <w:spacing w:after="0" w:line="240" w:lineRule="auto"/>
        <w:ind w:right="-6"/>
        <w:jc w:val="both"/>
        <w:rPr>
          <w:rFonts w:ascii="Verdana" w:hAnsi="Verdana"/>
          <w:sz w:val="20"/>
          <w:szCs w:val="20"/>
        </w:rPr>
      </w:pPr>
    </w:p>
    <w:p w14:paraId="35F3BF18" w14:textId="6331F89C" w:rsidR="00B81354" w:rsidRPr="0044055D" w:rsidRDefault="00B81354" w:rsidP="0034634A">
      <w:pPr>
        <w:numPr>
          <w:ilvl w:val="0"/>
          <w:numId w:val="46"/>
        </w:numPr>
        <w:spacing w:after="0" w:line="240" w:lineRule="auto"/>
        <w:ind w:left="0" w:right="-6" w:firstLine="0"/>
        <w:jc w:val="both"/>
        <w:rPr>
          <w:rFonts w:ascii="Verdana" w:hAnsi="Verdana"/>
          <w:sz w:val="20"/>
          <w:szCs w:val="20"/>
        </w:rPr>
      </w:pPr>
      <w:r w:rsidRPr="0044055D">
        <w:rPr>
          <w:rFonts w:ascii="Verdana" w:hAnsi="Verdana"/>
          <w:sz w:val="20"/>
          <w:szCs w:val="20"/>
        </w:rPr>
        <w:t>Requerir al Estado que realice un análisis actualizado sobre la situación de riesgo de la beneficiaria,</w:t>
      </w:r>
      <w:r w:rsidR="00A02003">
        <w:rPr>
          <w:rFonts w:ascii="Verdana" w:hAnsi="Verdana"/>
          <w:sz w:val="20"/>
          <w:szCs w:val="20"/>
        </w:rPr>
        <w:t xml:space="preserve"> y remita un informe sobre las medidas que ha implementado,</w:t>
      </w:r>
      <w:r w:rsidRPr="0044055D">
        <w:rPr>
          <w:rFonts w:ascii="Verdana" w:hAnsi="Verdana"/>
          <w:sz w:val="20"/>
          <w:szCs w:val="20"/>
        </w:rPr>
        <w:t xml:space="preserve"> de conf</w:t>
      </w:r>
      <w:r w:rsidR="002C767D">
        <w:rPr>
          <w:rFonts w:ascii="Verdana" w:hAnsi="Verdana"/>
          <w:sz w:val="20"/>
          <w:szCs w:val="20"/>
        </w:rPr>
        <w:t>ormidad con lo establecido en los</w:t>
      </w:r>
      <w:r w:rsidRPr="0044055D">
        <w:rPr>
          <w:rFonts w:ascii="Verdana" w:hAnsi="Verdana"/>
          <w:sz w:val="20"/>
          <w:szCs w:val="20"/>
        </w:rPr>
        <w:t xml:space="preserve"> Considerando</w:t>
      </w:r>
      <w:r w:rsidR="002C767D">
        <w:rPr>
          <w:rFonts w:ascii="Verdana" w:hAnsi="Verdana"/>
          <w:sz w:val="20"/>
          <w:szCs w:val="20"/>
        </w:rPr>
        <w:t>s</w:t>
      </w:r>
      <w:r w:rsidRPr="0044055D">
        <w:rPr>
          <w:rFonts w:ascii="Verdana" w:hAnsi="Verdana"/>
          <w:sz w:val="20"/>
          <w:szCs w:val="20"/>
        </w:rPr>
        <w:t xml:space="preserve"> </w:t>
      </w:r>
      <w:r w:rsidR="002C767D">
        <w:rPr>
          <w:rFonts w:ascii="Verdana" w:hAnsi="Verdana"/>
          <w:sz w:val="20"/>
          <w:szCs w:val="20"/>
        </w:rPr>
        <w:t>14 y 19</w:t>
      </w:r>
      <w:r w:rsidRPr="0044055D">
        <w:rPr>
          <w:rFonts w:ascii="Verdana" w:hAnsi="Verdana"/>
          <w:sz w:val="20"/>
          <w:szCs w:val="20"/>
        </w:rPr>
        <w:t xml:space="preserve"> de la presente Resolución. </w:t>
      </w:r>
    </w:p>
    <w:p w14:paraId="7ECC2DE4" w14:textId="77777777" w:rsidR="00B81354" w:rsidRPr="0044055D" w:rsidRDefault="00B81354" w:rsidP="00B0538D">
      <w:pPr>
        <w:pStyle w:val="Prrafodelista"/>
        <w:rPr>
          <w:rFonts w:ascii="Verdana" w:eastAsia="Times New Roman" w:hAnsi="Verdana" w:cs="Arial"/>
          <w:sz w:val="20"/>
          <w:szCs w:val="20"/>
          <w:lang w:val="es-ES"/>
        </w:rPr>
      </w:pPr>
    </w:p>
    <w:p w14:paraId="5EA8F809" w14:textId="3548E677" w:rsidR="007D4F9D" w:rsidRPr="0044055D" w:rsidRDefault="0086659E" w:rsidP="0034634A">
      <w:pPr>
        <w:numPr>
          <w:ilvl w:val="0"/>
          <w:numId w:val="46"/>
        </w:numPr>
        <w:spacing w:after="0" w:line="240" w:lineRule="auto"/>
        <w:ind w:left="0" w:right="-6" w:firstLine="0"/>
        <w:jc w:val="both"/>
        <w:rPr>
          <w:rFonts w:ascii="Verdana" w:hAnsi="Verdana"/>
          <w:sz w:val="20"/>
          <w:szCs w:val="20"/>
        </w:rPr>
      </w:pPr>
      <w:r w:rsidRPr="0044055D">
        <w:rPr>
          <w:rFonts w:ascii="Verdana" w:eastAsia="Times New Roman" w:hAnsi="Verdana" w:cs="Arial"/>
          <w:sz w:val="20"/>
          <w:szCs w:val="20"/>
          <w:lang w:val="es-ES"/>
        </w:rPr>
        <w:t>Requerir al Estado que</w:t>
      </w:r>
      <w:r w:rsidR="007D4F9D" w:rsidRPr="0044055D">
        <w:rPr>
          <w:rFonts w:ascii="Verdana" w:hAnsi="Verdana"/>
          <w:sz w:val="20"/>
          <w:szCs w:val="20"/>
        </w:rPr>
        <w:t xml:space="preserve"> realice, de acuerdo a sus competencias, todas las gestiones pertinentes para que las medidas de protección </w:t>
      </w:r>
      <w:r w:rsidR="001B7A82" w:rsidRPr="0044055D">
        <w:rPr>
          <w:rFonts w:ascii="Verdana" w:hAnsi="Verdana"/>
          <w:sz w:val="20"/>
          <w:szCs w:val="20"/>
        </w:rPr>
        <w:t>acordadas</w:t>
      </w:r>
      <w:r w:rsidR="007D4F9D" w:rsidRPr="0044055D">
        <w:rPr>
          <w:rFonts w:ascii="Verdana" w:hAnsi="Verdana"/>
          <w:sz w:val="20"/>
          <w:szCs w:val="20"/>
        </w:rPr>
        <w:t xml:space="preserve"> se planifiquen e implementen con la participación de la beneficiaria de las mismas o sus representantes, de manera tal que </w:t>
      </w:r>
      <w:r w:rsidR="00B35BB1" w:rsidRPr="0044055D">
        <w:rPr>
          <w:rFonts w:ascii="Verdana" w:hAnsi="Verdana"/>
          <w:sz w:val="20"/>
          <w:szCs w:val="20"/>
        </w:rPr>
        <w:t>estas</w:t>
      </w:r>
      <w:r w:rsidR="007D4F9D" w:rsidRPr="0044055D">
        <w:rPr>
          <w:rFonts w:ascii="Verdana" w:hAnsi="Verdana"/>
          <w:sz w:val="20"/>
          <w:szCs w:val="20"/>
        </w:rPr>
        <w:t xml:space="preserve"> se brinden de forma diligente y efectiva, de conformidad con </w:t>
      </w:r>
      <w:r w:rsidR="00EB708D" w:rsidRPr="0044055D">
        <w:rPr>
          <w:rFonts w:ascii="Verdana" w:hAnsi="Verdana"/>
          <w:sz w:val="20"/>
          <w:szCs w:val="20"/>
        </w:rPr>
        <w:t xml:space="preserve">el </w:t>
      </w:r>
      <w:r w:rsidR="007D4F9D" w:rsidRPr="0044055D">
        <w:rPr>
          <w:rFonts w:ascii="Verdana" w:hAnsi="Verdana"/>
          <w:sz w:val="20"/>
          <w:szCs w:val="20"/>
        </w:rPr>
        <w:t xml:space="preserve">Considerando </w:t>
      </w:r>
      <w:r w:rsidR="002C767D">
        <w:rPr>
          <w:rFonts w:ascii="Verdana" w:hAnsi="Verdana"/>
          <w:sz w:val="20"/>
          <w:szCs w:val="20"/>
        </w:rPr>
        <w:t>19</w:t>
      </w:r>
      <w:r w:rsidR="002C6464" w:rsidRPr="0044055D">
        <w:rPr>
          <w:rFonts w:ascii="Verdana" w:hAnsi="Verdana"/>
          <w:sz w:val="20"/>
          <w:szCs w:val="20"/>
        </w:rPr>
        <w:t xml:space="preserve"> </w:t>
      </w:r>
      <w:r w:rsidR="001B7A82" w:rsidRPr="0044055D">
        <w:rPr>
          <w:rFonts w:ascii="Verdana" w:hAnsi="Verdana"/>
          <w:sz w:val="20"/>
          <w:szCs w:val="20"/>
        </w:rPr>
        <w:t>de la presente Resolución</w:t>
      </w:r>
      <w:r w:rsidR="007D4F9D" w:rsidRPr="0044055D">
        <w:rPr>
          <w:rFonts w:ascii="Verdana" w:hAnsi="Verdana"/>
          <w:sz w:val="20"/>
          <w:szCs w:val="20"/>
        </w:rPr>
        <w:t xml:space="preserve">. </w:t>
      </w:r>
    </w:p>
    <w:p w14:paraId="5A3CE18B" w14:textId="4FA93F1D" w:rsidR="00A7025B" w:rsidRPr="0044055D" w:rsidRDefault="00977821" w:rsidP="00B0538D">
      <w:pPr>
        <w:tabs>
          <w:tab w:val="left" w:pos="3288"/>
        </w:tabs>
        <w:spacing w:after="0" w:line="240" w:lineRule="auto"/>
        <w:ind w:right="-6"/>
        <w:jc w:val="both"/>
        <w:rPr>
          <w:rFonts w:ascii="Verdana" w:hAnsi="Verdana"/>
          <w:sz w:val="20"/>
          <w:szCs w:val="20"/>
        </w:rPr>
      </w:pPr>
      <w:r w:rsidRPr="0044055D">
        <w:rPr>
          <w:rFonts w:ascii="Verdana" w:hAnsi="Verdana"/>
          <w:sz w:val="20"/>
          <w:szCs w:val="20"/>
        </w:rPr>
        <w:tab/>
      </w:r>
    </w:p>
    <w:p w14:paraId="54C8606F" w14:textId="31D52D36" w:rsidR="00230F09" w:rsidRPr="0044055D" w:rsidRDefault="00040880" w:rsidP="0034634A">
      <w:pPr>
        <w:numPr>
          <w:ilvl w:val="0"/>
          <w:numId w:val="46"/>
        </w:numPr>
        <w:spacing w:after="0" w:line="240" w:lineRule="auto"/>
        <w:ind w:left="0" w:right="-6" w:firstLine="0"/>
        <w:jc w:val="both"/>
        <w:rPr>
          <w:rFonts w:ascii="Verdana" w:hAnsi="Verdana"/>
          <w:sz w:val="20"/>
          <w:szCs w:val="20"/>
        </w:rPr>
      </w:pPr>
      <w:r>
        <w:rPr>
          <w:rFonts w:ascii="Verdana" w:hAnsi="Verdana" w:cs="Verdana"/>
          <w:color w:val="000000"/>
          <w:sz w:val="20"/>
          <w:szCs w:val="20"/>
        </w:rPr>
        <w:t>Solicitar a</w:t>
      </w:r>
      <w:r w:rsidR="00230F09" w:rsidRPr="0044055D">
        <w:rPr>
          <w:rFonts w:ascii="Verdana" w:hAnsi="Verdana" w:cs="Verdana"/>
          <w:color w:val="000000"/>
          <w:sz w:val="20"/>
          <w:szCs w:val="20"/>
        </w:rPr>
        <w:t>l Estado</w:t>
      </w:r>
      <w:r>
        <w:rPr>
          <w:rFonts w:ascii="Verdana" w:hAnsi="Verdana" w:cs="Verdana"/>
          <w:color w:val="000000"/>
          <w:sz w:val="20"/>
          <w:szCs w:val="20"/>
        </w:rPr>
        <w:t xml:space="preserve"> que</w:t>
      </w:r>
      <w:r w:rsidR="00230F09" w:rsidRPr="0044055D">
        <w:rPr>
          <w:rFonts w:ascii="Verdana" w:hAnsi="Verdana" w:cs="Verdana"/>
          <w:color w:val="000000"/>
          <w:sz w:val="20"/>
          <w:szCs w:val="20"/>
        </w:rPr>
        <w:t xml:space="preserve"> presente información completa y pormenorizada sobre las actuaciones realizadas para dar cumplimiento a las medidas provisionales decretadas, en atención a los Considerandos </w:t>
      </w:r>
      <w:r w:rsidR="002C767D">
        <w:rPr>
          <w:rFonts w:ascii="Verdana" w:hAnsi="Verdana" w:cs="Verdana"/>
          <w:color w:val="000000"/>
          <w:sz w:val="20"/>
          <w:szCs w:val="20"/>
        </w:rPr>
        <w:t>14 y 19</w:t>
      </w:r>
      <w:r w:rsidR="00230F09" w:rsidRPr="0044055D">
        <w:rPr>
          <w:rFonts w:ascii="Verdana" w:hAnsi="Verdana" w:cs="Verdana"/>
          <w:color w:val="000000"/>
          <w:sz w:val="20"/>
          <w:szCs w:val="20"/>
        </w:rPr>
        <w:t xml:space="preserve"> de la present</w:t>
      </w:r>
      <w:r w:rsidR="00B47B26" w:rsidRPr="0044055D">
        <w:rPr>
          <w:rFonts w:ascii="Verdana" w:hAnsi="Verdana" w:cs="Verdana"/>
          <w:color w:val="000000"/>
          <w:sz w:val="20"/>
          <w:szCs w:val="20"/>
        </w:rPr>
        <w:t xml:space="preserve">e Resolución, a más tardar el </w:t>
      </w:r>
      <w:r w:rsidR="00D92EF0">
        <w:rPr>
          <w:rFonts w:ascii="Verdana" w:hAnsi="Verdana" w:cs="Verdana"/>
          <w:color w:val="000000"/>
          <w:sz w:val="20"/>
          <w:szCs w:val="20"/>
        </w:rPr>
        <w:t>5</w:t>
      </w:r>
      <w:r w:rsidR="00230F09" w:rsidRPr="0044055D">
        <w:rPr>
          <w:rFonts w:ascii="Verdana" w:hAnsi="Verdana" w:cs="Verdana"/>
          <w:color w:val="000000"/>
          <w:sz w:val="20"/>
          <w:szCs w:val="20"/>
        </w:rPr>
        <w:t xml:space="preserve"> de </w:t>
      </w:r>
      <w:r w:rsidR="00D92EF0">
        <w:rPr>
          <w:rFonts w:ascii="Verdana" w:hAnsi="Verdana" w:cs="Verdana"/>
          <w:color w:val="000000"/>
          <w:sz w:val="20"/>
          <w:szCs w:val="20"/>
        </w:rPr>
        <w:t>abril</w:t>
      </w:r>
      <w:r w:rsidR="00230F09" w:rsidRPr="0044055D">
        <w:rPr>
          <w:rFonts w:ascii="Verdana" w:hAnsi="Verdana" w:cs="Verdana"/>
          <w:color w:val="000000"/>
          <w:sz w:val="20"/>
          <w:szCs w:val="20"/>
        </w:rPr>
        <w:t xml:space="preserve"> </w:t>
      </w:r>
      <w:r w:rsidR="00B47B26" w:rsidRPr="0044055D">
        <w:rPr>
          <w:rFonts w:ascii="Verdana" w:hAnsi="Verdana" w:cs="Verdana"/>
          <w:color w:val="000000"/>
          <w:sz w:val="20"/>
          <w:szCs w:val="20"/>
        </w:rPr>
        <w:t>de 2021</w:t>
      </w:r>
      <w:r w:rsidR="00230F09" w:rsidRPr="0044055D">
        <w:rPr>
          <w:rFonts w:ascii="Verdana" w:hAnsi="Verdana" w:cs="Verdana"/>
          <w:color w:val="000000"/>
          <w:sz w:val="20"/>
          <w:szCs w:val="20"/>
        </w:rPr>
        <w:t xml:space="preserve">. Asimismo, </w:t>
      </w:r>
      <w:r w:rsidR="0034634A">
        <w:rPr>
          <w:rFonts w:ascii="Verdana" w:hAnsi="Verdana" w:cs="Verdana"/>
          <w:color w:val="000000"/>
          <w:sz w:val="20"/>
          <w:szCs w:val="20"/>
        </w:rPr>
        <w:t xml:space="preserve">solicita que </w:t>
      </w:r>
      <w:r w:rsidR="00230F09" w:rsidRPr="0044055D">
        <w:rPr>
          <w:rFonts w:ascii="Verdana" w:hAnsi="Verdana" w:cs="Verdana"/>
          <w:color w:val="000000"/>
          <w:sz w:val="20"/>
          <w:szCs w:val="20"/>
        </w:rPr>
        <w:t xml:space="preserve">continúe informando a la Corte Interamericana de Derechos Humanos cada cuatro meses, contados a partir de la remisión de </w:t>
      </w:r>
      <w:r w:rsidR="00DD6C98">
        <w:rPr>
          <w:rFonts w:ascii="Verdana" w:hAnsi="Verdana" w:cs="Verdana"/>
          <w:color w:val="000000"/>
          <w:sz w:val="20"/>
          <w:szCs w:val="20"/>
        </w:rPr>
        <w:t>dicho</w:t>
      </w:r>
      <w:r w:rsidR="00230F09" w:rsidRPr="0044055D">
        <w:rPr>
          <w:rFonts w:ascii="Verdana" w:hAnsi="Verdana" w:cs="Verdana"/>
          <w:color w:val="000000"/>
          <w:sz w:val="20"/>
          <w:szCs w:val="20"/>
        </w:rPr>
        <w:t xml:space="preserve"> informe, sobre las medidas provisionales adoptadas. </w:t>
      </w:r>
    </w:p>
    <w:p w14:paraId="5083E88D" w14:textId="77777777" w:rsidR="006475B4" w:rsidRPr="0044055D" w:rsidRDefault="006475B4" w:rsidP="00B0538D">
      <w:pPr>
        <w:pStyle w:val="Prrafodelista"/>
        <w:rPr>
          <w:rFonts w:ascii="Verdana" w:hAnsi="Verdana"/>
          <w:b/>
          <w:spacing w:val="-4"/>
          <w:sz w:val="20"/>
          <w:szCs w:val="20"/>
        </w:rPr>
      </w:pPr>
    </w:p>
    <w:p w14:paraId="4C7C4C0F" w14:textId="79EA68E3" w:rsidR="00305362" w:rsidRPr="0044055D" w:rsidRDefault="00116EA5" w:rsidP="0034634A">
      <w:pPr>
        <w:numPr>
          <w:ilvl w:val="0"/>
          <w:numId w:val="46"/>
        </w:numPr>
        <w:spacing w:after="0" w:line="240" w:lineRule="auto"/>
        <w:ind w:left="0" w:right="-6" w:firstLine="0"/>
        <w:jc w:val="both"/>
        <w:rPr>
          <w:rFonts w:ascii="Verdana" w:hAnsi="Verdana"/>
          <w:sz w:val="20"/>
          <w:szCs w:val="20"/>
        </w:rPr>
      </w:pPr>
      <w:r>
        <w:rPr>
          <w:rFonts w:ascii="Verdana" w:hAnsi="Verdana" w:cs="Arial"/>
          <w:sz w:val="20"/>
          <w:szCs w:val="20"/>
          <w:lang w:val="es-ES"/>
        </w:rPr>
        <w:t>Requerir a</w:t>
      </w:r>
      <w:r w:rsidRPr="0044055D">
        <w:rPr>
          <w:rFonts w:ascii="Verdana" w:hAnsi="Verdana" w:cs="Arial"/>
          <w:sz w:val="20"/>
          <w:szCs w:val="20"/>
          <w:lang w:val="es-ES"/>
        </w:rPr>
        <w:t xml:space="preserve"> </w:t>
      </w:r>
      <w:r w:rsidR="007D4F9D" w:rsidRPr="0044055D">
        <w:rPr>
          <w:rFonts w:ascii="Verdana" w:hAnsi="Verdana" w:cs="Arial"/>
          <w:sz w:val="20"/>
          <w:szCs w:val="20"/>
          <w:lang w:val="es-ES"/>
        </w:rPr>
        <w:t>l</w:t>
      </w:r>
      <w:r w:rsidR="00B12677">
        <w:rPr>
          <w:rFonts w:ascii="Verdana" w:hAnsi="Verdana" w:cs="Arial"/>
          <w:sz w:val="20"/>
          <w:szCs w:val="20"/>
          <w:lang w:val="es-ES"/>
        </w:rPr>
        <w:t>a</w:t>
      </w:r>
      <w:r w:rsidR="007D4F9D" w:rsidRPr="0044055D">
        <w:rPr>
          <w:rFonts w:ascii="Verdana" w:hAnsi="Verdana" w:cs="Arial"/>
          <w:sz w:val="20"/>
          <w:szCs w:val="20"/>
          <w:lang w:val="es-ES"/>
        </w:rPr>
        <w:t xml:space="preserve">s representantes de </w:t>
      </w:r>
      <w:r w:rsidR="00F22BAA" w:rsidRPr="0044055D">
        <w:rPr>
          <w:rFonts w:ascii="Verdana" w:hAnsi="Verdana" w:cs="Arial"/>
          <w:sz w:val="20"/>
          <w:szCs w:val="20"/>
          <w:lang w:val="es-ES"/>
        </w:rPr>
        <w:t>la beneficiaria</w:t>
      </w:r>
      <w:r w:rsidR="007D4F9D" w:rsidRPr="0044055D">
        <w:rPr>
          <w:rFonts w:ascii="Verdana" w:hAnsi="Verdana" w:cs="Arial"/>
          <w:sz w:val="20"/>
          <w:szCs w:val="20"/>
          <w:lang w:val="es-ES"/>
        </w:rPr>
        <w:t xml:space="preserve"> </w:t>
      </w:r>
      <w:r>
        <w:rPr>
          <w:rFonts w:ascii="Verdana" w:hAnsi="Verdana" w:cs="Arial"/>
          <w:sz w:val="20"/>
          <w:szCs w:val="20"/>
          <w:lang w:val="es-ES"/>
        </w:rPr>
        <w:t xml:space="preserve">que </w:t>
      </w:r>
      <w:r w:rsidR="007D4F9D" w:rsidRPr="0044055D">
        <w:rPr>
          <w:rFonts w:ascii="Verdana" w:hAnsi="Verdana" w:cs="Arial"/>
          <w:sz w:val="20"/>
          <w:szCs w:val="20"/>
          <w:lang w:val="es-ES"/>
        </w:rPr>
        <w:t xml:space="preserve">presenten sus observaciones al informe del Estado dentro del plazo de cuatro semanas, contado a partir </w:t>
      </w:r>
      <w:r w:rsidR="007D4F9D" w:rsidRPr="0044055D">
        <w:rPr>
          <w:rFonts w:ascii="Verdana" w:hAnsi="Verdana" w:cs="Arial"/>
          <w:sz w:val="20"/>
          <w:szCs w:val="20"/>
        </w:rPr>
        <w:t>de la notificación de los informes estatales que se indican en el punto resolutivo anterior</w:t>
      </w:r>
      <w:r w:rsidR="000C1AF7" w:rsidRPr="0044055D">
        <w:rPr>
          <w:rFonts w:ascii="Verdana" w:hAnsi="Verdana" w:cs="Arial"/>
          <w:sz w:val="20"/>
          <w:szCs w:val="20"/>
          <w:lang w:val="es-ES"/>
        </w:rPr>
        <w:t>.</w:t>
      </w:r>
      <w:r w:rsidR="00301C98" w:rsidRPr="0044055D">
        <w:rPr>
          <w:rFonts w:ascii="Verdana" w:hAnsi="Verdana" w:cs="Arial"/>
          <w:sz w:val="20"/>
          <w:szCs w:val="20"/>
          <w:lang w:val="es-ES"/>
        </w:rPr>
        <w:t xml:space="preserve"> </w:t>
      </w:r>
      <w:r w:rsidR="00305362" w:rsidRPr="0044055D">
        <w:rPr>
          <w:rFonts w:ascii="Verdana" w:hAnsi="Verdana" w:cs="Arial"/>
          <w:sz w:val="20"/>
          <w:szCs w:val="20"/>
          <w:lang w:val="es-ES"/>
        </w:rPr>
        <w:t xml:space="preserve">Asimismo, la Comisión Interamericana de Derechos Humanos podrá presentar sus observaciones a los escritos del </w:t>
      </w:r>
      <w:r w:rsidR="00305362" w:rsidRPr="0044055D">
        <w:rPr>
          <w:rFonts w:ascii="Verdana" w:hAnsi="Verdana" w:cs="Arial"/>
          <w:sz w:val="20"/>
          <w:szCs w:val="20"/>
          <w:lang w:val="es-ES"/>
        </w:rPr>
        <w:lastRenderedPageBreak/>
        <w:t xml:space="preserve">Estado y de </w:t>
      </w:r>
      <w:proofErr w:type="gramStart"/>
      <w:r w:rsidR="00305362" w:rsidRPr="0044055D">
        <w:rPr>
          <w:rFonts w:ascii="Verdana" w:hAnsi="Verdana" w:cs="Arial"/>
          <w:sz w:val="20"/>
          <w:szCs w:val="20"/>
          <w:lang w:val="es-ES"/>
        </w:rPr>
        <w:t>l</w:t>
      </w:r>
      <w:r w:rsidR="00B12677">
        <w:rPr>
          <w:rFonts w:ascii="Verdana" w:hAnsi="Verdana" w:cs="Arial"/>
          <w:sz w:val="20"/>
          <w:szCs w:val="20"/>
          <w:lang w:val="es-ES"/>
        </w:rPr>
        <w:t>a</w:t>
      </w:r>
      <w:r w:rsidR="00305362" w:rsidRPr="0044055D">
        <w:rPr>
          <w:rFonts w:ascii="Verdana" w:hAnsi="Verdana" w:cs="Arial"/>
          <w:sz w:val="20"/>
          <w:szCs w:val="20"/>
          <w:lang w:val="es-ES"/>
        </w:rPr>
        <w:t>s representantes mencionados anteriormente</w:t>
      </w:r>
      <w:proofErr w:type="gramEnd"/>
      <w:r w:rsidR="00305362" w:rsidRPr="0044055D">
        <w:rPr>
          <w:rFonts w:ascii="Verdana" w:hAnsi="Verdana" w:cs="Arial"/>
          <w:sz w:val="20"/>
          <w:szCs w:val="20"/>
          <w:lang w:val="es-ES"/>
        </w:rPr>
        <w:t xml:space="preserve"> dentro de un plazo de dos semanas, contado a partir de la recepción del respectivo escrito de observaciones de l</w:t>
      </w:r>
      <w:r w:rsidR="00B12677">
        <w:rPr>
          <w:rFonts w:ascii="Verdana" w:hAnsi="Verdana" w:cs="Arial"/>
          <w:sz w:val="20"/>
          <w:szCs w:val="20"/>
          <w:lang w:val="es-ES"/>
        </w:rPr>
        <w:t>a</w:t>
      </w:r>
      <w:r w:rsidR="00305362" w:rsidRPr="0044055D">
        <w:rPr>
          <w:rFonts w:ascii="Verdana" w:hAnsi="Verdana" w:cs="Arial"/>
          <w:sz w:val="20"/>
          <w:szCs w:val="20"/>
          <w:lang w:val="es-ES"/>
        </w:rPr>
        <w:t>s representantes.</w:t>
      </w:r>
    </w:p>
    <w:p w14:paraId="08D92E38" w14:textId="77777777" w:rsidR="00A7025B" w:rsidRPr="0044055D" w:rsidRDefault="00A7025B" w:rsidP="00B0538D">
      <w:pPr>
        <w:pStyle w:val="Prrafodelista"/>
        <w:rPr>
          <w:rFonts w:ascii="Verdana" w:hAnsi="Verdana"/>
          <w:sz w:val="20"/>
          <w:szCs w:val="20"/>
        </w:rPr>
      </w:pPr>
    </w:p>
    <w:p w14:paraId="6D22769E" w14:textId="45BFD953" w:rsidR="004C5B1E" w:rsidRDefault="00305362" w:rsidP="0034634A">
      <w:pPr>
        <w:numPr>
          <w:ilvl w:val="0"/>
          <w:numId w:val="46"/>
        </w:numPr>
        <w:spacing w:after="0" w:line="240" w:lineRule="auto"/>
        <w:ind w:left="0" w:right="-6" w:firstLine="0"/>
        <w:jc w:val="both"/>
        <w:rPr>
          <w:rFonts w:ascii="Verdana" w:hAnsi="Verdana"/>
          <w:sz w:val="20"/>
          <w:szCs w:val="20"/>
        </w:rPr>
      </w:pPr>
      <w:r w:rsidRPr="0044055D">
        <w:rPr>
          <w:rFonts w:ascii="Verdana" w:hAnsi="Verdana"/>
          <w:sz w:val="20"/>
          <w:szCs w:val="20"/>
        </w:rPr>
        <w:t>Que la Secretaría notifique la presente Resolución al Estado, a la Comisión Interamericana de Derechos Humanos y a l</w:t>
      </w:r>
      <w:r w:rsidR="00B12677">
        <w:rPr>
          <w:rFonts w:ascii="Verdana" w:hAnsi="Verdana"/>
          <w:sz w:val="20"/>
          <w:szCs w:val="20"/>
        </w:rPr>
        <w:t>a</w:t>
      </w:r>
      <w:r w:rsidRPr="0044055D">
        <w:rPr>
          <w:rFonts w:ascii="Verdana" w:hAnsi="Verdana"/>
          <w:sz w:val="20"/>
          <w:szCs w:val="20"/>
        </w:rPr>
        <w:t>s representantes de la beneficiaria</w:t>
      </w:r>
      <w:r w:rsidR="00B47B26" w:rsidRPr="0044055D">
        <w:rPr>
          <w:rFonts w:ascii="Verdana" w:hAnsi="Verdana"/>
          <w:sz w:val="20"/>
          <w:szCs w:val="20"/>
        </w:rPr>
        <w:t>.</w:t>
      </w:r>
    </w:p>
    <w:p w14:paraId="4AC120ED" w14:textId="77777777" w:rsidR="004C5B1E" w:rsidRDefault="004C5B1E">
      <w:pPr>
        <w:rPr>
          <w:rFonts w:ascii="Verdana" w:hAnsi="Verdana"/>
          <w:sz w:val="20"/>
          <w:szCs w:val="20"/>
        </w:rPr>
      </w:pPr>
      <w:r>
        <w:rPr>
          <w:rFonts w:ascii="Verdana" w:hAnsi="Verdana"/>
          <w:sz w:val="20"/>
          <w:szCs w:val="20"/>
        </w:rPr>
        <w:br w:type="page"/>
      </w:r>
    </w:p>
    <w:p w14:paraId="6E1A47B6" w14:textId="1C9FCCCE" w:rsidR="004C5B1E" w:rsidRPr="000C50B5" w:rsidRDefault="004C5B1E" w:rsidP="00297815">
      <w:pPr>
        <w:keepNext/>
        <w:spacing w:after="0" w:line="240" w:lineRule="auto"/>
        <w:jc w:val="both"/>
        <w:outlineLvl w:val="0"/>
        <w:rPr>
          <w:rFonts w:ascii="Verdana" w:hAnsi="Verdana"/>
          <w:sz w:val="20"/>
          <w:szCs w:val="20"/>
          <w:lang w:val="es-ES"/>
        </w:rPr>
      </w:pPr>
      <w:r w:rsidRPr="000C50B5">
        <w:rPr>
          <w:rFonts w:ascii="Verdana" w:eastAsia="Times" w:hAnsi="Verdana" w:cs="Courier New"/>
          <w:noProof/>
          <w:sz w:val="20"/>
          <w:szCs w:val="20"/>
          <w:lang w:val="es-AR"/>
        </w:rPr>
        <w:lastRenderedPageBreak/>
        <w:t xml:space="preserve">Corte IDH. </w:t>
      </w:r>
      <w:r w:rsidRPr="000C50B5">
        <w:rPr>
          <w:rFonts w:ascii="Verdana" w:eastAsia="Times" w:hAnsi="Verdana"/>
          <w:bCs/>
          <w:i/>
          <w:sz w:val="20"/>
          <w:szCs w:val="20"/>
        </w:rPr>
        <w:t xml:space="preserve">Asunto Castro Rodríguez respecto de México. </w:t>
      </w:r>
      <w:r w:rsidRPr="000C50B5">
        <w:rPr>
          <w:rFonts w:ascii="Verdana" w:eastAsia="Times" w:hAnsi="Verdana" w:cs="Courier New"/>
          <w:noProof/>
          <w:sz w:val="20"/>
          <w:szCs w:val="20"/>
        </w:rPr>
        <w:t>Medidas Provisionales</w:t>
      </w:r>
      <w:r w:rsidRPr="000C50B5">
        <w:rPr>
          <w:rFonts w:ascii="Verdana" w:hAnsi="Verdana" w:cs="Arial"/>
          <w:sz w:val="20"/>
          <w:szCs w:val="20"/>
        </w:rPr>
        <w:t xml:space="preserve">. </w:t>
      </w:r>
      <w:r w:rsidRPr="000C50B5">
        <w:rPr>
          <w:rFonts w:ascii="Verdana" w:hAnsi="Verdana"/>
          <w:sz w:val="20"/>
          <w:szCs w:val="20"/>
          <w:lang w:val="es-ES"/>
        </w:rPr>
        <w:t>Resolución de la Corte Interamericana de Derechos Humanos de 18 de noviembre</w:t>
      </w:r>
      <w:r w:rsidRPr="000C50B5">
        <w:rPr>
          <w:rFonts w:ascii="Verdana" w:hAnsi="Verdana"/>
          <w:sz w:val="20"/>
          <w:szCs w:val="20"/>
        </w:rPr>
        <w:t xml:space="preserve"> de 2020</w:t>
      </w:r>
      <w:r w:rsidRPr="000C50B5">
        <w:rPr>
          <w:rFonts w:ascii="Verdana" w:hAnsi="Verdana"/>
          <w:sz w:val="20"/>
          <w:szCs w:val="20"/>
          <w:lang w:val="es-ES"/>
        </w:rPr>
        <w:t xml:space="preserve">. </w:t>
      </w:r>
      <w:r w:rsidRPr="000C50B5">
        <w:rPr>
          <w:rFonts w:ascii="Verdana" w:hAnsi="Verdana"/>
          <w:iCs/>
          <w:sz w:val="20"/>
          <w:szCs w:val="20"/>
        </w:rPr>
        <w:t>Resolución adoptada en San José de Costa Rica por medio de sesión virtual.</w:t>
      </w:r>
    </w:p>
    <w:p w14:paraId="013DFCDE" w14:textId="77777777" w:rsidR="004C5B1E" w:rsidRPr="000C50B5" w:rsidRDefault="004C5B1E" w:rsidP="004C5B1E">
      <w:pPr>
        <w:spacing w:after="0" w:line="240" w:lineRule="auto"/>
        <w:jc w:val="center"/>
        <w:rPr>
          <w:rFonts w:ascii="Verdana" w:eastAsia="Times" w:hAnsi="Verdana"/>
          <w:sz w:val="20"/>
          <w:szCs w:val="20"/>
          <w:lang w:val="es-ES"/>
        </w:rPr>
      </w:pPr>
    </w:p>
    <w:p w14:paraId="421A8BEB" w14:textId="77777777" w:rsidR="004C5B1E" w:rsidRPr="000C50B5" w:rsidRDefault="004C5B1E" w:rsidP="004C5B1E">
      <w:pPr>
        <w:spacing w:after="0" w:line="240" w:lineRule="auto"/>
        <w:jc w:val="center"/>
        <w:rPr>
          <w:rFonts w:ascii="Verdana" w:eastAsia="Times" w:hAnsi="Verdana"/>
          <w:sz w:val="20"/>
          <w:szCs w:val="20"/>
          <w:lang w:val="es-ES"/>
        </w:rPr>
      </w:pPr>
    </w:p>
    <w:p w14:paraId="50ACFA17" w14:textId="77777777" w:rsidR="004C5B1E" w:rsidRPr="000C50B5" w:rsidRDefault="004C5B1E" w:rsidP="004C5B1E">
      <w:pPr>
        <w:spacing w:after="0" w:line="240" w:lineRule="auto"/>
        <w:jc w:val="center"/>
        <w:rPr>
          <w:rFonts w:ascii="Verdana" w:eastAsia="Times" w:hAnsi="Verdana"/>
          <w:sz w:val="20"/>
          <w:szCs w:val="20"/>
          <w:lang w:val="es-ES"/>
        </w:rPr>
      </w:pPr>
    </w:p>
    <w:p w14:paraId="17033187" w14:textId="77777777" w:rsidR="004C5B1E" w:rsidRPr="000C50B5" w:rsidRDefault="004C5B1E" w:rsidP="004C5B1E">
      <w:pPr>
        <w:spacing w:after="0" w:line="240" w:lineRule="auto"/>
        <w:jc w:val="center"/>
        <w:rPr>
          <w:rFonts w:ascii="Verdana" w:eastAsia="Times" w:hAnsi="Verdana"/>
          <w:sz w:val="20"/>
          <w:szCs w:val="20"/>
          <w:lang w:val="es-ES"/>
        </w:rPr>
      </w:pPr>
    </w:p>
    <w:p w14:paraId="708FD478" w14:textId="77777777" w:rsidR="004C5B1E" w:rsidRPr="000C50B5" w:rsidRDefault="004C5B1E" w:rsidP="004C5B1E">
      <w:pPr>
        <w:spacing w:after="0" w:line="240" w:lineRule="auto"/>
        <w:jc w:val="center"/>
        <w:rPr>
          <w:rFonts w:ascii="Verdana" w:hAnsi="Verdana"/>
          <w:sz w:val="20"/>
          <w:szCs w:val="20"/>
          <w:lang w:val="pt-BR"/>
        </w:rPr>
      </w:pPr>
      <w:r w:rsidRPr="000C50B5">
        <w:rPr>
          <w:rFonts w:ascii="Verdana" w:hAnsi="Verdana"/>
          <w:sz w:val="20"/>
          <w:szCs w:val="20"/>
          <w:lang w:val="pt-BR"/>
        </w:rPr>
        <w:t xml:space="preserve">Elizabeth </w:t>
      </w:r>
      <w:proofErr w:type="spellStart"/>
      <w:r w:rsidRPr="000C50B5">
        <w:rPr>
          <w:rFonts w:ascii="Verdana" w:hAnsi="Verdana"/>
          <w:sz w:val="20"/>
          <w:szCs w:val="20"/>
          <w:lang w:val="pt-BR"/>
        </w:rPr>
        <w:t>Odio</w:t>
      </w:r>
      <w:proofErr w:type="spellEnd"/>
      <w:r w:rsidRPr="000C50B5">
        <w:rPr>
          <w:rFonts w:ascii="Verdana" w:hAnsi="Verdana"/>
          <w:sz w:val="20"/>
          <w:szCs w:val="20"/>
          <w:lang w:val="pt-BR"/>
        </w:rPr>
        <w:t xml:space="preserve"> Benito</w:t>
      </w:r>
    </w:p>
    <w:p w14:paraId="58D6E3EC" w14:textId="77777777" w:rsidR="004C5B1E" w:rsidRPr="000C50B5" w:rsidRDefault="004C5B1E" w:rsidP="004C5B1E">
      <w:pPr>
        <w:spacing w:after="0" w:line="240" w:lineRule="auto"/>
        <w:jc w:val="center"/>
        <w:rPr>
          <w:rFonts w:ascii="Verdana" w:hAnsi="Verdana"/>
          <w:sz w:val="20"/>
          <w:szCs w:val="20"/>
          <w:lang w:val="pt-BR"/>
        </w:rPr>
      </w:pPr>
      <w:r w:rsidRPr="000C50B5">
        <w:rPr>
          <w:rFonts w:ascii="Verdana" w:hAnsi="Verdana"/>
          <w:sz w:val="20"/>
          <w:szCs w:val="20"/>
          <w:lang w:val="pt-BR"/>
        </w:rPr>
        <w:t>Presidenta</w:t>
      </w:r>
    </w:p>
    <w:p w14:paraId="46F2B6F7" w14:textId="77777777" w:rsidR="004C5B1E" w:rsidRPr="000C50B5" w:rsidRDefault="004C5B1E" w:rsidP="004C5B1E">
      <w:pPr>
        <w:spacing w:after="0" w:line="240" w:lineRule="auto"/>
        <w:rPr>
          <w:rFonts w:ascii="Verdana" w:hAnsi="Verdana"/>
          <w:sz w:val="20"/>
          <w:szCs w:val="20"/>
          <w:lang w:val="pt-BR"/>
        </w:rPr>
      </w:pPr>
    </w:p>
    <w:p w14:paraId="68620096" w14:textId="3F27EB4A" w:rsidR="004C5B1E" w:rsidRDefault="004C5B1E" w:rsidP="004C5B1E">
      <w:pPr>
        <w:spacing w:after="0" w:line="240" w:lineRule="auto"/>
        <w:rPr>
          <w:rFonts w:ascii="Verdana" w:hAnsi="Verdana"/>
          <w:sz w:val="20"/>
          <w:szCs w:val="20"/>
          <w:lang w:val="pt-BR"/>
        </w:rPr>
      </w:pPr>
    </w:p>
    <w:p w14:paraId="797A4BAC" w14:textId="77777777" w:rsidR="000C50B5" w:rsidRPr="000C50B5" w:rsidRDefault="000C50B5" w:rsidP="004C5B1E">
      <w:pPr>
        <w:spacing w:after="0" w:line="240" w:lineRule="auto"/>
        <w:rPr>
          <w:rFonts w:ascii="Verdana" w:hAnsi="Verdana"/>
          <w:sz w:val="20"/>
          <w:szCs w:val="20"/>
          <w:lang w:val="pt-BR"/>
        </w:rPr>
      </w:pPr>
    </w:p>
    <w:p w14:paraId="09D9932F" w14:textId="77777777" w:rsidR="004C5B1E" w:rsidRPr="000C50B5" w:rsidRDefault="004C5B1E" w:rsidP="004C5B1E">
      <w:pPr>
        <w:spacing w:after="0" w:line="240" w:lineRule="auto"/>
        <w:rPr>
          <w:rFonts w:ascii="Verdana" w:hAnsi="Verdana"/>
          <w:sz w:val="20"/>
          <w:szCs w:val="20"/>
          <w:lang w:val="pt-BR"/>
        </w:rPr>
      </w:pPr>
    </w:p>
    <w:p w14:paraId="7AF03309" w14:textId="77777777" w:rsidR="004C5B1E" w:rsidRPr="000C50B5" w:rsidRDefault="004C5B1E" w:rsidP="004C5B1E">
      <w:pPr>
        <w:spacing w:after="0" w:line="240" w:lineRule="auto"/>
        <w:rPr>
          <w:rFonts w:ascii="Verdana" w:hAnsi="Verdana"/>
          <w:sz w:val="20"/>
          <w:szCs w:val="20"/>
          <w:lang w:val="pt-BR"/>
        </w:rPr>
      </w:pPr>
    </w:p>
    <w:p w14:paraId="6BE2CC9D" w14:textId="316D1F89" w:rsidR="004C5B1E" w:rsidRPr="000C50B5" w:rsidRDefault="004C5B1E" w:rsidP="004C5B1E">
      <w:pPr>
        <w:spacing w:after="0" w:line="240" w:lineRule="auto"/>
        <w:rPr>
          <w:rFonts w:ascii="Verdana" w:hAnsi="Verdana"/>
          <w:sz w:val="20"/>
          <w:szCs w:val="20"/>
          <w:lang w:val="pt-BR"/>
        </w:rPr>
      </w:pPr>
      <w:r w:rsidRPr="000C50B5">
        <w:rPr>
          <w:rFonts w:ascii="Verdana" w:hAnsi="Verdana"/>
          <w:sz w:val="20"/>
          <w:szCs w:val="20"/>
          <w:lang w:val="pt-BR"/>
        </w:rPr>
        <w:t>L. Patricio Pazmiño Freire</w:t>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t>Eduardo Vio Grossi</w:t>
      </w:r>
    </w:p>
    <w:p w14:paraId="76D0960C" w14:textId="77777777" w:rsidR="004C5B1E" w:rsidRPr="000C50B5" w:rsidRDefault="004C5B1E" w:rsidP="004C5B1E">
      <w:pPr>
        <w:spacing w:after="0" w:line="240" w:lineRule="auto"/>
        <w:rPr>
          <w:rFonts w:ascii="Verdana" w:hAnsi="Verdana"/>
          <w:sz w:val="20"/>
          <w:szCs w:val="20"/>
          <w:lang w:val="pt-BR"/>
        </w:rPr>
      </w:pPr>
    </w:p>
    <w:p w14:paraId="3B1943AB" w14:textId="77777777" w:rsidR="004C5B1E" w:rsidRPr="000C50B5" w:rsidRDefault="004C5B1E" w:rsidP="004C5B1E">
      <w:pPr>
        <w:spacing w:after="0" w:line="240" w:lineRule="auto"/>
        <w:rPr>
          <w:rFonts w:ascii="Verdana" w:hAnsi="Verdana"/>
          <w:sz w:val="20"/>
          <w:szCs w:val="20"/>
          <w:lang w:val="pt-BR"/>
        </w:rPr>
      </w:pPr>
    </w:p>
    <w:p w14:paraId="5345D3F5" w14:textId="2CFB72AE" w:rsidR="004C5B1E" w:rsidRDefault="004C5B1E" w:rsidP="004C5B1E">
      <w:pPr>
        <w:spacing w:after="0" w:line="240" w:lineRule="auto"/>
        <w:rPr>
          <w:rFonts w:ascii="Verdana" w:hAnsi="Verdana"/>
          <w:sz w:val="20"/>
          <w:szCs w:val="20"/>
          <w:lang w:val="pt-BR"/>
        </w:rPr>
      </w:pPr>
    </w:p>
    <w:p w14:paraId="456B5AA6" w14:textId="77777777" w:rsidR="000C50B5" w:rsidRPr="000C50B5" w:rsidRDefault="000C50B5" w:rsidP="004C5B1E">
      <w:pPr>
        <w:spacing w:after="0" w:line="240" w:lineRule="auto"/>
        <w:rPr>
          <w:rFonts w:ascii="Verdana" w:hAnsi="Verdana"/>
          <w:sz w:val="20"/>
          <w:szCs w:val="20"/>
          <w:lang w:val="pt-BR"/>
        </w:rPr>
      </w:pPr>
    </w:p>
    <w:p w14:paraId="3375C7A6" w14:textId="77777777" w:rsidR="004C5B1E" w:rsidRPr="000C50B5" w:rsidRDefault="004C5B1E" w:rsidP="004C5B1E">
      <w:pPr>
        <w:spacing w:after="0" w:line="240" w:lineRule="auto"/>
        <w:rPr>
          <w:rFonts w:ascii="Verdana" w:hAnsi="Verdana"/>
          <w:sz w:val="20"/>
          <w:szCs w:val="20"/>
          <w:lang w:val="pt-BR"/>
        </w:rPr>
      </w:pPr>
    </w:p>
    <w:p w14:paraId="48790884" w14:textId="479CCD18" w:rsidR="004C5B1E" w:rsidRPr="000C50B5" w:rsidRDefault="004C5B1E" w:rsidP="004C5B1E">
      <w:pPr>
        <w:spacing w:after="0" w:line="240" w:lineRule="auto"/>
        <w:rPr>
          <w:rFonts w:ascii="Verdana" w:hAnsi="Verdana"/>
          <w:sz w:val="20"/>
          <w:szCs w:val="20"/>
          <w:lang w:val="pt-BR"/>
        </w:rPr>
      </w:pPr>
      <w:r w:rsidRPr="000C50B5">
        <w:rPr>
          <w:rFonts w:ascii="Verdana" w:eastAsia="Times" w:hAnsi="Verdana"/>
          <w:sz w:val="20"/>
          <w:szCs w:val="20"/>
          <w:lang w:val="pt-BR"/>
        </w:rPr>
        <w:t xml:space="preserve">Humberto </w:t>
      </w:r>
      <w:proofErr w:type="spellStart"/>
      <w:r w:rsidRPr="000C50B5">
        <w:rPr>
          <w:rFonts w:ascii="Verdana" w:eastAsia="Times" w:hAnsi="Verdana"/>
          <w:sz w:val="20"/>
          <w:szCs w:val="20"/>
          <w:lang w:val="pt-BR"/>
        </w:rPr>
        <w:t>Antonio</w:t>
      </w:r>
      <w:proofErr w:type="spellEnd"/>
      <w:r w:rsidRPr="000C50B5">
        <w:rPr>
          <w:rFonts w:ascii="Verdana" w:eastAsia="Times" w:hAnsi="Verdana"/>
          <w:sz w:val="20"/>
          <w:szCs w:val="20"/>
          <w:lang w:val="pt-BR"/>
        </w:rPr>
        <w:t xml:space="preserve"> </w:t>
      </w:r>
      <w:proofErr w:type="spellStart"/>
      <w:r w:rsidRPr="000C50B5">
        <w:rPr>
          <w:rFonts w:ascii="Verdana" w:eastAsia="Times" w:hAnsi="Verdana"/>
          <w:sz w:val="20"/>
          <w:szCs w:val="20"/>
          <w:lang w:val="pt-BR"/>
        </w:rPr>
        <w:t>Sierra</w:t>
      </w:r>
      <w:proofErr w:type="spellEnd"/>
      <w:r w:rsidRPr="000C50B5">
        <w:rPr>
          <w:rFonts w:ascii="Verdana" w:eastAsia="Times" w:hAnsi="Verdana"/>
          <w:sz w:val="20"/>
          <w:szCs w:val="20"/>
          <w:lang w:val="pt-BR"/>
        </w:rPr>
        <w:t xml:space="preserve"> Porto</w:t>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Pr="000C50B5">
        <w:rPr>
          <w:rFonts w:ascii="Verdana" w:hAnsi="Verdana"/>
          <w:sz w:val="20"/>
          <w:szCs w:val="20"/>
          <w:lang w:val="pt-BR"/>
        </w:rPr>
        <w:tab/>
      </w:r>
      <w:r w:rsidR="000C50B5">
        <w:rPr>
          <w:rFonts w:ascii="Verdana" w:hAnsi="Verdana"/>
          <w:sz w:val="20"/>
          <w:szCs w:val="20"/>
          <w:lang w:val="pt-BR"/>
        </w:rPr>
        <w:t xml:space="preserve">      </w:t>
      </w:r>
      <w:r w:rsidRPr="000C50B5">
        <w:rPr>
          <w:rFonts w:ascii="Verdana" w:hAnsi="Verdana"/>
          <w:sz w:val="20"/>
          <w:szCs w:val="20"/>
          <w:lang w:val="pt-BR"/>
        </w:rPr>
        <w:t xml:space="preserve">Eugenio </w:t>
      </w:r>
      <w:proofErr w:type="spellStart"/>
      <w:r w:rsidRPr="000C50B5">
        <w:rPr>
          <w:rFonts w:ascii="Verdana" w:hAnsi="Verdana"/>
          <w:sz w:val="20"/>
          <w:szCs w:val="20"/>
          <w:lang w:val="pt-BR"/>
        </w:rPr>
        <w:t>Raúl</w:t>
      </w:r>
      <w:proofErr w:type="spellEnd"/>
      <w:r w:rsidRPr="000C50B5">
        <w:rPr>
          <w:rFonts w:ascii="Verdana" w:hAnsi="Verdana"/>
          <w:sz w:val="20"/>
          <w:szCs w:val="20"/>
          <w:lang w:val="pt-BR"/>
        </w:rPr>
        <w:t xml:space="preserve"> </w:t>
      </w:r>
      <w:proofErr w:type="spellStart"/>
      <w:r w:rsidRPr="000C50B5">
        <w:rPr>
          <w:rFonts w:ascii="Verdana" w:hAnsi="Verdana"/>
          <w:sz w:val="20"/>
          <w:szCs w:val="20"/>
          <w:lang w:val="pt-BR"/>
        </w:rPr>
        <w:t>Zaffaroni</w:t>
      </w:r>
      <w:proofErr w:type="spellEnd"/>
    </w:p>
    <w:p w14:paraId="6648884B" w14:textId="77777777" w:rsidR="004C5B1E" w:rsidRPr="000C50B5" w:rsidRDefault="004C5B1E" w:rsidP="004C5B1E">
      <w:pPr>
        <w:spacing w:after="0" w:line="240" w:lineRule="auto"/>
        <w:rPr>
          <w:rFonts w:ascii="Verdana" w:hAnsi="Verdana"/>
          <w:sz w:val="20"/>
          <w:szCs w:val="20"/>
          <w:lang w:val="pt-BR"/>
        </w:rPr>
      </w:pPr>
    </w:p>
    <w:p w14:paraId="5A785672" w14:textId="77777777" w:rsidR="004C5B1E" w:rsidRPr="000C50B5" w:rsidRDefault="004C5B1E" w:rsidP="004C5B1E">
      <w:pPr>
        <w:spacing w:after="0" w:line="240" w:lineRule="auto"/>
        <w:rPr>
          <w:rFonts w:ascii="Verdana" w:hAnsi="Verdana"/>
          <w:sz w:val="20"/>
          <w:szCs w:val="20"/>
          <w:lang w:val="pt-BR"/>
        </w:rPr>
      </w:pPr>
    </w:p>
    <w:p w14:paraId="55994082" w14:textId="1A3F195F" w:rsidR="004C5B1E" w:rsidRDefault="004C5B1E" w:rsidP="004C5B1E">
      <w:pPr>
        <w:spacing w:after="0" w:line="240" w:lineRule="auto"/>
        <w:rPr>
          <w:rFonts w:ascii="Verdana" w:hAnsi="Verdana"/>
          <w:sz w:val="20"/>
          <w:szCs w:val="20"/>
          <w:lang w:val="pt-BR"/>
        </w:rPr>
      </w:pPr>
    </w:p>
    <w:p w14:paraId="01BD0B36" w14:textId="77777777" w:rsidR="0081294D" w:rsidRDefault="0081294D" w:rsidP="004C5B1E">
      <w:pPr>
        <w:spacing w:after="0" w:line="240" w:lineRule="auto"/>
        <w:rPr>
          <w:rFonts w:ascii="Verdana" w:hAnsi="Verdana"/>
          <w:sz w:val="20"/>
          <w:szCs w:val="20"/>
          <w:lang w:val="pt-BR"/>
        </w:rPr>
      </w:pPr>
    </w:p>
    <w:p w14:paraId="6FABFFB6" w14:textId="77777777" w:rsidR="000C50B5" w:rsidRPr="000C50B5" w:rsidRDefault="000C50B5" w:rsidP="004C5B1E">
      <w:pPr>
        <w:spacing w:after="0" w:line="240" w:lineRule="auto"/>
        <w:rPr>
          <w:rFonts w:ascii="Verdana" w:hAnsi="Verdana"/>
          <w:sz w:val="20"/>
          <w:szCs w:val="20"/>
          <w:lang w:val="pt-BR"/>
        </w:rPr>
      </w:pPr>
    </w:p>
    <w:p w14:paraId="734CA70C" w14:textId="77777777" w:rsidR="004C5B1E" w:rsidRPr="000C50B5" w:rsidRDefault="004C5B1E" w:rsidP="004C5B1E">
      <w:pPr>
        <w:spacing w:after="0" w:line="240" w:lineRule="auto"/>
        <w:rPr>
          <w:rFonts w:ascii="Verdana" w:hAnsi="Verdana"/>
          <w:sz w:val="20"/>
          <w:szCs w:val="20"/>
          <w:lang w:val="pt-BR"/>
        </w:rPr>
      </w:pPr>
    </w:p>
    <w:p w14:paraId="5EB15FCF" w14:textId="548CED95" w:rsidR="004C5B1E" w:rsidRPr="000C50B5" w:rsidRDefault="004C5B1E" w:rsidP="004C5B1E">
      <w:pPr>
        <w:spacing w:after="0" w:line="240" w:lineRule="auto"/>
        <w:jc w:val="center"/>
        <w:rPr>
          <w:rFonts w:ascii="Verdana" w:hAnsi="Verdana"/>
          <w:sz w:val="20"/>
          <w:szCs w:val="20"/>
          <w:lang w:val="pt-BR"/>
        </w:rPr>
      </w:pPr>
      <w:r w:rsidRPr="000C50B5">
        <w:rPr>
          <w:rFonts w:ascii="Verdana" w:hAnsi="Verdana"/>
          <w:sz w:val="20"/>
          <w:szCs w:val="20"/>
          <w:lang w:val="pt-BR"/>
        </w:rPr>
        <w:t>Ricardo C. Pérez Manrique</w:t>
      </w:r>
    </w:p>
    <w:p w14:paraId="55B56A21" w14:textId="77777777" w:rsidR="004C5B1E" w:rsidRPr="000C50B5" w:rsidRDefault="004C5B1E" w:rsidP="004C5B1E">
      <w:pPr>
        <w:spacing w:after="0" w:line="240" w:lineRule="auto"/>
        <w:rPr>
          <w:rFonts w:ascii="Verdana" w:hAnsi="Verdana"/>
          <w:sz w:val="20"/>
          <w:szCs w:val="20"/>
          <w:lang w:val="pt-BR"/>
        </w:rPr>
      </w:pPr>
    </w:p>
    <w:p w14:paraId="2BB55D57" w14:textId="77777777" w:rsidR="004C5B1E" w:rsidRPr="000C50B5" w:rsidRDefault="004C5B1E" w:rsidP="004C5B1E">
      <w:pPr>
        <w:spacing w:after="0" w:line="240" w:lineRule="auto"/>
        <w:rPr>
          <w:rFonts w:ascii="Verdana" w:hAnsi="Verdana"/>
          <w:sz w:val="20"/>
          <w:szCs w:val="20"/>
          <w:lang w:val="pt-BR"/>
        </w:rPr>
      </w:pPr>
    </w:p>
    <w:p w14:paraId="67CA94EA" w14:textId="77777777" w:rsidR="004C5B1E" w:rsidRPr="000C50B5" w:rsidRDefault="004C5B1E" w:rsidP="004C5B1E">
      <w:pPr>
        <w:spacing w:after="0" w:line="240" w:lineRule="auto"/>
        <w:rPr>
          <w:rFonts w:ascii="Verdana" w:eastAsia="Times" w:hAnsi="Verdana"/>
          <w:sz w:val="20"/>
          <w:szCs w:val="20"/>
          <w:lang w:val="pt-BR"/>
        </w:rPr>
      </w:pPr>
    </w:p>
    <w:p w14:paraId="61BFCBB1" w14:textId="77777777" w:rsidR="004C5B1E" w:rsidRPr="000C50B5" w:rsidRDefault="004C5B1E" w:rsidP="004C5B1E">
      <w:pPr>
        <w:spacing w:after="0" w:line="240" w:lineRule="auto"/>
        <w:rPr>
          <w:rFonts w:ascii="Verdana" w:eastAsia="Times" w:hAnsi="Verdana"/>
          <w:sz w:val="20"/>
          <w:szCs w:val="20"/>
          <w:lang w:val="pt-BR"/>
        </w:rPr>
      </w:pPr>
    </w:p>
    <w:p w14:paraId="15F63AB7" w14:textId="77777777" w:rsidR="004C5B1E" w:rsidRPr="000C50B5" w:rsidRDefault="004C5B1E" w:rsidP="004C5B1E">
      <w:pPr>
        <w:spacing w:after="0" w:line="240" w:lineRule="auto"/>
        <w:rPr>
          <w:rFonts w:ascii="Verdana" w:eastAsia="Times" w:hAnsi="Verdana"/>
          <w:sz w:val="20"/>
          <w:szCs w:val="20"/>
          <w:lang w:val="pt-BR"/>
        </w:rPr>
      </w:pPr>
    </w:p>
    <w:p w14:paraId="22374A29" w14:textId="77777777" w:rsidR="004C5B1E" w:rsidRPr="000C50B5" w:rsidRDefault="004C5B1E" w:rsidP="004C5B1E">
      <w:pPr>
        <w:spacing w:after="0" w:line="240" w:lineRule="auto"/>
        <w:jc w:val="center"/>
        <w:rPr>
          <w:rFonts w:ascii="Verdana" w:eastAsia="Times" w:hAnsi="Verdana"/>
          <w:sz w:val="20"/>
          <w:szCs w:val="20"/>
          <w:lang w:val="pt-BR"/>
        </w:rPr>
      </w:pPr>
      <w:r w:rsidRPr="000C50B5">
        <w:rPr>
          <w:rFonts w:ascii="Verdana" w:eastAsia="Times" w:hAnsi="Verdana"/>
          <w:sz w:val="20"/>
          <w:szCs w:val="20"/>
          <w:lang w:val="pt-BR"/>
        </w:rPr>
        <w:t xml:space="preserve">Pablo Saavedra </w:t>
      </w:r>
      <w:proofErr w:type="spellStart"/>
      <w:r w:rsidRPr="000C50B5">
        <w:rPr>
          <w:rFonts w:ascii="Verdana" w:eastAsia="Times" w:hAnsi="Verdana"/>
          <w:sz w:val="20"/>
          <w:szCs w:val="20"/>
          <w:lang w:val="pt-BR"/>
        </w:rPr>
        <w:t>Alessandri</w:t>
      </w:r>
      <w:proofErr w:type="spellEnd"/>
    </w:p>
    <w:p w14:paraId="3E24CBE7" w14:textId="77777777" w:rsidR="004C5B1E" w:rsidRPr="000C50B5" w:rsidRDefault="004C5B1E" w:rsidP="004C5B1E">
      <w:pPr>
        <w:spacing w:after="0" w:line="240" w:lineRule="auto"/>
        <w:jc w:val="center"/>
        <w:rPr>
          <w:rFonts w:ascii="Verdana" w:eastAsia="Times" w:hAnsi="Verdana"/>
          <w:sz w:val="20"/>
          <w:szCs w:val="20"/>
          <w:lang w:val="pt-BR"/>
        </w:rPr>
      </w:pPr>
      <w:r w:rsidRPr="000C50B5">
        <w:rPr>
          <w:rFonts w:ascii="Verdana" w:eastAsia="Times" w:hAnsi="Verdana"/>
          <w:sz w:val="20"/>
          <w:szCs w:val="20"/>
          <w:lang w:val="pt-BR"/>
        </w:rPr>
        <w:t>Secretario</w:t>
      </w:r>
    </w:p>
    <w:p w14:paraId="24AF41EC" w14:textId="77777777" w:rsidR="004C5B1E" w:rsidRPr="000C50B5" w:rsidRDefault="004C5B1E" w:rsidP="004C5B1E">
      <w:pPr>
        <w:spacing w:after="0" w:line="240" w:lineRule="auto"/>
        <w:rPr>
          <w:rFonts w:ascii="Verdana" w:eastAsia="Times" w:hAnsi="Verdana"/>
          <w:sz w:val="20"/>
          <w:szCs w:val="20"/>
          <w:lang w:val="pt-BR"/>
        </w:rPr>
      </w:pPr>
    </w:p>
    <w:p w14:paraId="7280CEE0" w14:textId="77777777" w:rsidR="004C5B1E" w:rsidRPr="000C50B5" w:rsidRDefault="004C5B1E" w:rsidP="004C5B1E">
      <w:pPr>
        <w:spacing w:after="0" w:line="240" w:lineRule="auto"/>
        <w:rPr>
          <w:rFonts w:ascii="Verdana" w:eastAsia="Times" w:hAnsi="Verdana"/>
          <w:sz w:val="20"/>
          <w:szCs w:val="20"/>
          <w:lang w:val="pt-BR"/>
        </w:rPr>
      </w:pPr>
    </w:p>
    <w:p w14:paraId="528D66E7" w14:textId="77777777" w:rsidR="004C5B1E" w:rsidRPr="000C50B5" w:rsidRDefault="004C5B1E" w:rsidP="004C5B1E">
      <w:pPr>
        <w:spacing w:after="0" w:line="240" w:lineRule="auto"/>
        <w:rPr>
          <w:rFonts w:ascii="Verdana" w:eastAsia="Times" w:hAnsi="Verdana"/>
          <w:sz w:val="20"/>
          <w:szCs w:val="20"/>
          <w:lang w:val="pt-BR"/>
        </w:rPr>
      </w:pPr>
    </w:p>
    <w:p w14:paraId="15B18BC1" w14:textId="77777777" w:rsidR="004C5B1E" w:rsidRPr="000C50B5" w:rsidRDefault="004C5B1E" w:rsidP="004C5B1E">
      <w:pPr>
        <w:spacing w:after="0" w:line="240" w:lineRule="auto"/>
        <w:rPr>
          <w:rFonts w:ascii="Verdana" w:eastAsia="Times" w:hAnsi="Verdana"/>
          <w:sz w:val="20"/>
          <w:szCs w:val="20"/>
          <w:lang w:val="pt-BR"/>
        </w:rPr>
      </w:pPr>
    </w:p>
    <w:p w14:paraId="574B2ACD" w14:textId="77777777" w:rsidR="004C5B1E" w:rsidRPr="000C50B5" w:rsidRDefault="004C5B1E" w:rsidP="004C5B1E">
      <w:pPr>
        <w:spacing w:after="0" w:line="240" w:lineRule="auto"/>
        <w:rPr>
          <w:rFonts w:ascii="Verdana" w:eastAsia="Times" w:hAnsi="Verdana"/>
          <w:sz w:val="20"/>
          <w:szCs w:val="20"/>
          <w:lang w:val="pt-BR"/>
        </w:rPr>
      </w:pPr>
      <w:proofErr w:type="spellStart"/>
      <w:r w:rsidRPr="000C50B5">
        <w:rPr>
          <w:rFonts w:ascii="Verdana" w:eastAsia="Times" w:hAnsi="Verdana"/>
          <w:sz w:val="20"/>
          <w:szCs w:val="20"/>
          <w:lang w:val="pt-BR"/>
        </w:rPr>
        <w:t>Comuníquese</w:t>
      </w:r>
      <w:proofErr w:type="spellEnd"/>
      <w:r w:rsidRPr="000C50B5">
        <w:rPr>
          <w:rFonts w:ascii="Verdana" w:eastAsia="Times" w:hAnsi="Verdana"/>
          <w:sz w:val="20"/>
          <w:szCs w:val="20"/>
          <w:lang w:val="pt-BR"/>
        </w:rPr>
        <w:t xml:space="preserve"> y </w:t>
      </w:r>
      <w:proofErr w:type="spellStart"/>
      <w:r w:rsidRPr="000C50B5">
        <w:rPr>
          <w:rFonts w:ascii="Verdana" w:eastAsia="Times" w:hAnsi="Verdana"/>
          <w:sz w:val="20"/>
          <w:szCs w:val="20"/>
          <w:lang w:val="pt-BR"/>
        </w:rPr>
        <w:t>ejecútese</w:t>
      </w:r>
      <w:proofErr w:type="spellEnd"/>
      <w:r w:rsidRPr="000C50B5">
        <w:rPr>
          <w:rFonts w:ascii="Verdana" w:eastAsia="Times" w:hAnsi="Verdana"/>
          <w:sz w:val="20"/>
          <w:szCs w:val="20"/>
          <w:lang w:val="pt-BR"/>
        </w:rPr>
        <w:t>,</w:t>
      </w:r>
    </w:p>
    <w:p w14:paraId="79B5E372" w14:textId="77777777" w:rsidR="004C5B1E" w:rsidRPr="000C50B5" w:rsidRDefault="004C5B1E" w:rsidP="004C5B1E">
      <w:pPr>
        <w:spacing w:after="0" w:line="240" w:lineRule="auto"/>
        <w:rPr>
          <w:rFonts w:ascii="Verdana" w:eastAsia="Times" w:hAnsi="Verdana"/>
          <w:sz w:val="20"/>
          <w:szCs w:val="20"/>
          <w:lang w:val="pt-BR"/>
        </w:rPr>
      </w:pPr>
    </w:p>
    <w:p w14:paraId="51E3789C" w14:textId="77777777" w:rsidR="004C5B1E" w:rsidRPr="000C50B5" w:rsidRDefault="004C5B1E" w:rsidP="004C5B1E">
      <w:pPr>
        <w:spacing w:after="0" w:line="240" w:lineRule="auto"/>
        <w:rPr>
          <w:rFonts w:ascii="Verdana" w:eastAsia="Times" w:hAnsi="Verdana"/>
          <w:sz w:val="20"/>
          <w:szCs w:val="20"/>
          <w:lang w:val="pt-BR"/>
        </w:rPr>
      </w:pPr>
    </w:p>
    <w:p w14:paraId="1E96DD9A" w14:textId="77777777" w:rsidR="004C5B1E" w:rsidRPr="000C50B5" w:rsidRDefault="004C5B1E" w:rsidP="004C5B1E">
      <w:pPr>
        <w:spacing w:after="0" w:line="240" w:lineRule="auto"/>
        <w:rPr>
          <w:rFonts w:ascii="Verdana" w:eastAsia="Times" w:hAnsi="Verdana"/>
          <w:sz w:val="20"/>
          <w:szCs w:val="20"/>
          <w:lang w:val="pt-BR"/>
        </w:rPr>
      </w:pPr>
    </w:p>
    <w:p w14:paraId="1CC02A20" w14:textId="77777777" w:rsidR="004C5B1E" w:rsidRPr="000C50B5" w:rsidRDefault="004C5B1E" w:rsidP="004C5B1E">
      <w:pPr>
        <w:spacing w:after="0" w:line="240" w:lineRule="auto"/>
        <w:rPr>
          <w:rFonts w:ascii="Verdana" w:eastAsia="Times" w:hAnsi="Verdana"/>
          <w:sz w:val="20"/>
          <w:szCs w:val="20"/>
          <w:lang w:val="pt-BR"/>
        </w:rPr>
      </w:pPr>
    </w:p>
    <w:p w14:paraId="131CC48D" w14:textId="77777777" w:rsidR="004C5B1E" w:rsidRPr="000C50B5" w:rsidRDefault="004C5B1E" w:rsidP="004C5B1E">
      <w:pPr>
        <w:spacing w:after="0" w:line="240" w:lineRule="auto"/>
        <w:ind w:left="4248" w:firstLine="708"/>
        <w:jc w:val="center"/>
        <w:rPr>
          <w:rFonts w:ascii="Verdana" w:eastAsia="Times" w:hAnsi="Verdana"/>
          <w:sz w:val="20"/>
          <w:szCs w:val="20"/>
          <w:lang w:val="pt-BR"/>
        </w:rPr>
      </w:pPr>
      <w:r w:rsidRPr="000C50B5">
        <w:rPr>
          <w:rFonts w:ascii="Verdana" w:eastAsia="Times" w:hAnsi="Verdana"/>
          <w:sz w:val="20"/>
          <w:szCs w:val="20"/>
          <w:lang w:val="pt-BR"/>
        </w:rPr>
        <w:t xml:space="preserve">Elizabeth </w:t>
      </w:r>
      <w:proofErr w:type="spellStart"/>
      <w:r w:rsidRPr="000C50B5">
        <w:rPr>
          <w:rFonts w:ascii="Verdana" w:eastAsia="Times" w:hAnsi="Verdana"/>
          <w:sz w:val="20"/>
          <w:szCs w:val="20"/>
          <w:lang w:val="pt-BR"/>
        </w:rPr>
        <w:t>Odio</w:t>
      </w:r>
      <w:proofErr w:type="spellEnd"/>
      <w:r w:rsidRPr="000C50B5">
        <w:rPr>
          <w:rFonts w:ascii="Verdana" w:eastAsia="Times" w:hAnsi="Verdana"/>
          <w:sz w:val="20"/>
          <w:szCs w:val="20"/>
          <w:lang w:val="pt-BR"/>
        </w:rPr>
        <w:t xml:space="preserve"> Benito</w:t>
      </w:r>
    </w:p>
    <w:p w14:paraId="51AD0E2B" w14:textId="77777777" w:rsidR="004C5B1E" w:rsidRPr="000C50B5" w:rsidRDefault="004C5B1E" w:rsidP="004C5B1E">
      <w:pPr>
        <w:spacing w:after="0" w:line="240" w:lineRule="auto"/>
        <w:ind w:left="4248" w:firstLine="708"/>
        <w:jc w:val="center"/>
        <w:rPr>
          <w:rFonts w:ascii="Verdana" w:eastAsia="Times" w:hAnsi="Verdana"/>
          <w:sz w:val="20"/>
          <w:szCs w:val="20"/>
          <w:lang w:val="pt-BR"/>
        </w:rPr>
      </w:pPr>
      <w:r w:rsidRPr="000C50B5">
        <w:rPr>
          <w:rFonts w:ascii="Verdana" w:eastAsia="Times" w:hAnsi="Verdana"/>
          <w:sz w:val="20"/>
          <w:szCs w:val="20"/>
          <w:lang w:val="pt-BR"/>
        </w:rPr>
        <w:t>Presidenta</w:t>
      </w:r>
    </w:p>
    <w:p w14:paraId="77056341" w14:textId="77777777" w:rsidR="004C5B1E" w:rsidRPr="000C50B5" w:rsidRDefault="004C5B1E" w:rsidP="004C5B1E">
      <w:pPr>
        <w:spacing w:after="0" w:line="240" w:lineRule="auto"/>
        <w:rPr>
          <w:rFonts w:ascii="Verdana" w:eastAsia="Times" w:hAnsi="Verdana"/>
          <w:sz w:val="20"/>
          <w:szCs w:val="20"/>
          <w:lang w:val="pt-BR"/>
        </w:rPr>
      </w:pPr>
    </w:p>
    <w:p w14:paraId="24BDBA70" w14:textId="77777777" w:rsidR="004C5B1E" w:rsidRPr="000C50B5" w:rsidRDefault="004C5B1E" w:rsidP="004C5B1E">
      <w:pPr>
        <w:spacing w:after="0" w:line="240" w:lineRule="auto"/>
        <w:rPr>
          <w:rFonts w:ascii="Verdana" w:eastAsia="Times" w:hAnsi="Verdana"/>
          <w:sz w:val="20"/>
          <w:szCs w:val="20"/>
          <w:lang w:val="pt-BR"/>
        </w:rPr>
      </w:pPr>
    </w:p>
    <w:p w14:paraId="1DA61E0D" w14:textId="77777777" w:rsidR="004C5B1E" w:rsidRPr="000C50B5" w:rsidRDefault="004C5B1E" w:rsidP="004C5B1E">
      <w:pPr>
        <w:spacing w:after="0" w:line="240" w:lineRule="auto"/>
        <w:rPr>
          <w:rFonts w:ascii="Verdana" w:eastAsia="Times" w:hAnsi="Verdana"/>
          <w:sz w:val="20"/>
          <w:szCs w:val="20"/>
          <w:lang w:val="pt-BR"/>
        </w:rPr>
      </w:pPr>
    </w:p>
    <w:p w14:paraId="08DB9784" w14:textId="77777777" w:rsidR="004C5B1E" w:rsidRPr="000C50B5" w:rsidRDefault="004C5B1E" w:rsidP="004C5B1E">
      <w:pPr>
        <w:spacing w:after="0" w:line="240" w:lineRule="auto"/>
        <w:rPr>
          <w:rFonts w:ascii="Verdana" w:eastAsia="Times" w:hAnsi="Verdana"/>
          <w:sz w:val="20"/>
          <w:szCs w:val="20"/>
          <w:lang w:val="pt-BR"/>
        </w:rPr>
      </w:pPr>
    </w:p>
    <w:p w14:paraId="6B505EAB" w14:textId="77777777" w:rsidR="004C5B1E" w:rsidRPr="000C50B5" w:rsidRDefault="004C5B1E" w:rsidP="004C5B1E">
      <w:pPr>
        <w:spacing w:after="0" w:line="240" w:lineRule="auto"/>
        <w:rPr>
          <w:rFonts w:ascii="Verdana" w:eastAsia="Times" w:hAnsi="Verdana"/>
          <w:sz w:val="20"/>
          <w:szCs w:val="20"/>
          <w:lang w:val="pt-BR"/>
        </w:rPr>
      </w:pPr>
      <w:r w:rsidRPr="000C50B5">
        <w:rPr>
          <w:rFonts w:ascii="Verdana" w:eastAsia="Times" w:hAnsi="Verdana"/>
          <w:sz w:val="20"/>
          <w:szCs w:val="20"/>
          <w:lang w:val="pt-BR"/>
        </w:rPr>
        <w:t xml:space="preserve">Pablo Saavedra </w:t>
      </w:r>
      <w:proofErr w:type="spellStart"/>
      <w:r w:rsidRPr="000C50B5">
        <w:rPr>
          <w:rFonts w:ascii="Verdana" w:eastAsia="Times" w:hAnsi="Verdana"/>
          <w:sz w:val="20"/>
          <w:szCs w:val="20"/>
          <w:lang w:val="pt-BR"/>
        </w:rPr>
        <w:t>Alessandri</w:t>
      </w:r>
      <w:proofErr w:type="spellEnd"/>
    </w:p>
    <w:p w14:paraId="054CBD69" w14:textId="77777777" w:rsidR="004C5B1E" w:rsidRPr="000C50B5" w:rsidRDefault="004C5B1E" w:rsidP="004C5B1E">
      <w:pPr>
        <w:spacing w:after="0" w:line="240" w:lineRule="auto"/>
        <w:rPr>
          <w:rFonts w:ascii="Verdana" w:hAnsi="Verdana"/>
          <w:sz w:val="20"/>
          <w:szCs w:val="20"/>
        </w:rPr>
      </w:pPr>
      <w:r w:rsidRPr="000C50B5">
        <w:rPr>
          <w:rFonts w:ascii="Verdana" w:eastAsia="Times" w:hAnsi="Verdana"/>
          <w:sz w:val="20"/>
          <w:szCs w:val="20"/>
          <w:lang w:val="pt-BR"/>
        </w:rPr>
        <w:tab/>
      </w:r>
      <w:r w:rsidRPr="000C50B5">
        <w:rPr>
          <w:rFonts w:ascii="Verdana" w:eastAsia="Times" w:hAnsi="Verdana"/>
          <w:sz w:val="20"/>
          <w:szCs w:val="20"/>
        </w:rPr>
        <w:t>Secretario</w:t>
      </w:r>
    </w:p>
    <w:sectPr w:rsidR="004C5B1E" w:rsidRPr="000C50B5" w:rsidSect="008402AE">
      <w:headerReference w:type="default" r:id="rId11"/>
      <w:footerReference w:type="defaul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9087" w14:textId="77777777" w:rsidR="00354D7B" w:rsidRDefault="00354D7B" w:rsidP="00512760">
      <w:pPr>
        <w:spacing w:after="0" w:line="240" w:lineRule="auto"/>
      </w:pPr>
      <w:r>
        <w:separator/>
      </w:r>
    </w:p>
  </w:endnote>
  <w:endnote w:type="continuationSeparator" w:id="0">
    <w:p w14:paraId="70ABB2D8" w14:textId="77777777" w:rsidR="00354D7B" w:rsidRDefault="00354D7B" w:rsidP="00512760">
      <w:pPr>
        <w:spacing w:after="0" w:line="240" w:lineRule="auto"/>
      </w:pPr>
      <w:r>
        <w:continuationSeparator/>
      </w:r>
    </w:p>
  </w:endnote>
  <w:endnote w:type="continuationNotice" w:id="1">
    <w:p w14:paraId="3E52BA48" w14:textId="77777777" w:rsidR="00354D7B" w:rsidRDefault="00354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550781"/>
      <w:docPartObj>
        <w:docPartGallery w:val="Page Numbers (Bottom of Page)"/>
        <w:docPartUnique/>
      </w:docPartObj>
    </w:sdtPr>
    <w:sdtEndPr/>
    <w:sdtContent>
      <w:p w14:paraId="67818D97" w14:textId="16C6229A" w:rsidR="006754C8" w:rsidRDefault="006754C8">
        <w:pPr>
          <w:pStyle w:val="Piedepgina"/>
          <w:jc w:val="center"/>
        </w:pPr>
        <w:r>
          <w:fldChar w:fldCharType="begin"/>
        </w:r>
        <w:r>
          <w:instrText>PAGE   \* MERGEFORMAT</w:instrText>
        </w:r>
        <w:r>
          <w:fldChar w:fldCharType="separate"/>
        </w:r>
        <w:r w:rsidR="00BF01B9" w:rsidRPr="00BF01B9">
          <w:rPr>
            <w:noProof/>
            <w:lang w:val="es-ES"/>
          </w:rPr>
          <w:t>11</w:t>
        </w:r>
        <w:r>
          <w:fldChar w:fldCharType="end"/>
        </w:r>
      </w:p>
    </w:sdtContent>
  </w:sdt>
  <w:p w14:paraId="005BEB6D" w14:textId="77777777" w:rsidR="006754C8" w:rsidRDefault="006754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11330"/>
      <w:docPartObj>
        <w:docPartGallery w:val="Page Numbers (Bottom of Page)"/>
        <w:docPartUnique/>
      </w:docPartObj>
    </w:sdtPr>
    <w:sdtEndPr/>
    <w:sdtContent>
      <w:p w14:paraId="1341751E" w14:textId="0C9EED8C" w:rsidR="008642EA" w:rsidRDefault="008642EA">
        <w:pPr>
          <w:pStyle w:val="Piedepgina"/>
          <w:jc w:val="center"/>
        </w:pPr>
        <w:r>
          <w:fldChar w:fldCharType="begin"/>
        </w:r>
        <w:r>
          <w:instrText>PAGE   \* MERGEFORMAT</w:instrText>
        </w:r>
        <w:r>
          <w:fldChar w:fldCharType="separate"/>
        </w:r>
        <w:r w:rsidR="00BF01B9" w:rsidRPr="00BF01B9">
          <w:rPr>
            <w:noProof/>
            <w:lang w:val="es-ES"/>
          </w:rPr>
          <w:t>1</w:t>
        </w:r>
        <w:r>
          <w:fldChar w:fldCharType="end"/>
        </w:r>
      </w:p>
    </w:sdtContent>
  </w:sdt>
  <w:p w14:paraId="3B06E9BB" w14:textId="77777777" w:rsidR="008642EA" w:rsidRDefault="008642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1770C" w14:textId="77777777" w:rsidR="00354D7B" w:rsidRDefault="00354D7B" w:rsidP="00512760">
      <w:pPr>
        <w:spacing w:after="0" w:line="240" w:lineRule="auto"/>
      </w:pPr>
      <w:r>
        <w:separator/>
      </w:r>
    </w:p>
  </w:footnote>
  <w:footnote w:type="continuationSeparator" w:id="0">
    <w:p w14:paraId="14338309" w14:textId="77777777" w:rsidR="00354D7B" w:rsidRDefault="00354D7B" w:rsidP="00512760">
      <w:pPr>
        <w:spacing w:after="0" w:line="240" w:lineRule="auto"/>
      </w:pPr>
      <w:r>
        <w:continuationSeparator/>
      </w:r>
    </w:p>
  </w:footnote>
  <w:footnote w:type="continuationNotice" w:id="1">
    <w:p w14:paraId="296DA2F2" w14:textId="77777777" w:rsidR="00354D7B" w:rsidRDefault="00354D7B">
      <w:pPr>
        <w:spacing w:after="0" w:line="240" w:lineRule="auto"/>
      </w:pPr>
    </w:p>
  </w:footnote>
  <w:footnote w:id="2">
    <w:p w14:paraId="229B4CF8" w14:textId="77777777" w:rsidR="004D1FDD" w:rsidRDefault="004D1FDD" w:rsidP="004D1FDD">
      <w:pPr>
        <w:pStyle w:val="Textoindependiente2"/>
        <w:spacing w:after="0" w:line="240" w:lineRule="auto"/>
        <w:jc w:val="both"/>
        <w:rPr>
          <w:rFonts w:ascii="Verdana" w:hAnsi="Verdana"/>
          <w:sz w:val="16"/>
          <w:szCs w:val="16"/>
        </w:rPr>
      </w:pPr>
      <w:r w:rsidRPr="002D5D18">
        <w:rPr>
          <w:rFonts w:ascii="Verdana" w:hAnsi="Verdana"/>
          <w:sz w:val="16"/>
          <w:szCs w:val="16"/>
        </w:rPr>
        <w:t>*</w:t>
      </w:r>
      <w:r>
        <w:rPr>
          <w:rFonts w:ascii="Verdana" w:hAnsi="Verdana"/>
          <w:sz w:val="16"/>
          <w:szCs w:val="16"/>
        </w:rPr>
        <w:tab/>
      </w:r>
      <w:r w:rsidRPr="002D5D18">
        <w:rPr>
          <w:rFonts w:ascii="Verdana" w:hAnsi="Verdana"/>
          <w:sz w:val="16"/>
          <w:szCs w:val="16"/>
        </w:rPr>
        <w:t>Debido a las circunstancias excepcionales ocasionadas por la pandemia COVID-19, esta Resolución fue deli</w:t>
      </w:r>
      <w:r>
        <w:rPr>
          <w:rFonts w:ascii="Verdana" w:hAnsi="Verdana"/>
          <w:sz w:val="16"/>
          <w:szCs w:val="16"/>
        </w:rPr>
        <w:t>berada y aprobada durante el 138</w:t>
      </w:r>
      <w:r w:rsidRPr="002D5D18">
        <w:rPr>
          <w:rFonts w:ascii="Verdana" w:hAnsi="Verdana"/>
          <w:sz w:val="16"/>
          <w:szCs w:val="16"/>
        </w:rPr>
        <w:t xml:space="preserve"> Período Ordinario de Sesiones, el cual se llevó a cabo de forma no presencial utilizando medios tecnológicos de conformidad con lo establecido en el Reglamento de la Corte.</w:t>
      </w:r>
    </w:p>
    <w:p w14:paraId="3AE47CB8" w14:textId="77777777" w:rsidR="004D1FDD" w:rsidRPr="00BB4070" w:rsidRDefault="004D1FDD" w:rsidP="004D1FDD">
      <w:pPr>
        <w:pStyle w:val="Textoindependiente2"/>
        <w:spacing w:after="0" w:line="240" w:lineRule="auto"/>
        <w:jc w:val="both"/>
        <w:rPr>
          <w:rFonts w:ascii="Verdana" w:hAnsi="Verdana"/>
          <w:sz w:val="16"/>
          <w:szCs w:val="16"/>
        </w:rPr>
      </w:pPr>
      <w:r w:rsidRPr="002D5D18">
        <w:rPr>
          <w:rFonts w:ascii="Verdana" w:hAnsi="Verdana"/>
          <w:sz w:val="16"/>
          <w:szCs w:val="16"/>
        </w:rPr>
        <w:t>**</w:t>
      </w:r>
      <w:r>
        <w:rPr>
          <w:rFonts w:ascii="Verdana" w:hAnsi="Verdana"/>
          <w:sz w:val="16"/>
          <w:szCs w:val="16"/>
        </w:rPr>
        <w:tab/>
      </w:r>
      <w:r w:rsidRPr="00BB4070">
        <w:rPr>
          <w:rFonts w:ascii="Verdana" w:hAnsi="Verdana"/>
          <w:sz w:val="16"/>
          <w:szCs w:val="16"/>
        </w:rPr>
        <w:t xml:space="preserve">El Juez Eduardo Ferrer Mac-Gregor </w:t>
      </w:r>
      <w:proofErr w:type="spellStart"/>
      <w:r w:rsidRPr="00BB4070">
        <w:rPr>
          <w:rFonts w:ascii="Verdana" w:hAnsi="Verdana"/>
          <w:sz w:val="16"/>
          <w:szCs w:val="16"/>
        </w:rPr>
        <w:t>Poisot</w:t>
      </w:r>
      <w:proofErr w:type="spellEnd"/>
      <w:r w:rsidRPr="00BB4070">
        <w:rPr>
          <w:rFonts w:ascii="Verdana" w:hAnsi="Verdana"/>
          <w:sz w:val="16"/>
          <w:szCs w:val="16"/>
        </w:rPr>
        <w:t>, de nacionalidad mexicana, no participó en el conocimiento y deliberación de la presente Resolución, de conformidad con lo dispuesto en el artículo 19.1 del Reglamento de la Corte.</w:t>
      </w:r>
    </w:p>
  </w:footnote>
  <w:footnote w:id="3">
    <w:p w14:paraId="6BC9ACB8" w14:textId="0152DC17" w:rsidR="000C2F6B" w:rsidRPr="00BB4070" w:rsidRDefault="000C2F6B" w:rsidP="008F26CC">
      <w:pPr>
        <w:pStyle w:val="Textonotapie"/>
      </w:pPr>
      <w:r w:rsidRPr="00BB4070">
        <w:rPr>
          <w:rStyle w:val="Refdenotaalpie"/>
        </w:rPr>
        <w:footnoteRef/>
      </w:r>
      <w:r w:rsidRPr="00BB4070">
        <w:t xml:space="preserve"> </w:t>
      </w:r>
      <w:r w:rsidRPr="00BB4070">
        <w:tab/>
      </w:r>
      <w:r w:rsidRPr="00BB4070">
        <w:rPr>
          <w:i/>
          <w:iCs/>
        </w:rPr>
        <w:t>Cfr.</w:t>
      </w:r>
      <w:r w:rsidRPr="00BB4070">
        <w:rPr>
          <w:iCs/>
        </w:rPr>
        <w:t xml:space="preserve"> </w:t>
      </w:r>
      <w:r w:rsidRPr="00BB4070">
        <w:rPr>
          <w:i/>
          <w:iCs/>
        </w:rPr>
        <w:t>Asunto Álvarez y otros</w:t>
      </w:r>
      <w:r w:rsidR="008F26CC">
        <w:rPr>
          <w:i/>
          <w:iCs/>
        </w:rPr>
        <w:t xml:space="preserve"> respecto de Colombia</w:t>
      </w:r>
      <w:r w:rsidRPr="00BB4070">
        <w:rPr>
          <w:i/>
          <w:iCs/>
        </w:rPr>
        <w:t>.</w:t>
      </w:r>
      <w:r w:rsidRPr="00BB4070">
        <w:rPr>
          <w:iCs/>
        </w:rPr>
        <w:t xml:space="preserve"> </w:t>
      </w:r>
      <w:r w:rsidRPr="008402AE">
        <w:rPr>
          <w:i/>
          <w:iCs/>
        </w:rPr>
        <w:t>Medidas Provisionales</w:t>
      </w:r>
      <w:r w:rsidRPr="00BB4070">
        <w:t xml:space="preserve">. Resolución de la Corte Interamericana de Derechos Humanos de 22 de mayo de 2013, Considerando 2, y </w:t>
      </w:r>
      <w:r w:rsidRPr="00BB4070">
        <w:rPr>
          <w:i/>
        </w:rPr>
        <w:t xml:space="preserve">Asunto </w:t>
      </w:r>
      <w:r w:rsidR="007A583B">
        <w:rPr>
          <w:i/>
        </w:rPr>
        <w:t xml:space="preserve">Integrantes de la Comunidad Indígena de </w:t>
      </w:r>
      <w:proofErr w:type="spellStart"/>
      <w:r w:rsidR="007A583B">
        <w:rPr>
          <w:i/>
        </w:rPr>
        <w:t>Choréachi</w:t>
      </w:r>
      <w:proofErr w:type="spellEnd"/>
      <w:r w:rsidR="007A583B">
        <w:rPr>
          <w:i/>
        </w:rPr>
        <w:t xml:space="preserve"> respecto de México</w:t>
      </w:r>
      <w:r w:rsidRPr="00BB4070">
        <w:rPr>
          <w:i/>
        </w:rPr>
        <w:t xml:space="preserve">. </w:t>
      </w:r>
      <w:r w:rsidRPr="008402AE">
        <w:rPr>
          <w:i/>
        </w:rPr>
        <w:t>Medidas</w:t>
      </w:r>
      <w:r w:rsidR="007A583B" w:rsidRPr="008402AE">
        <w:rPr>
          <w:i/>
        </w:rPr>
        <w:t xml:space="preserve"> Provisionales</w:t>
      </w:r>
      <w:r w:rsidR="007A583B">
        <w:t>.</w:t>
      </w:r>
      <w:r w:rsidRPr="00BB4070">
        <w:t xml:space="preserve"> Resolución de la Corte Interamericana de Derechos Humanos de </w:t>
      </w:r>
      <w:r w:rsidR="008F26CC">
        <w:t>10</w:t>
      </w:r>
      <w:r w:rsidRPr="00BB4070">
        <w:t xml:space="preserve"> de </w:t>
      </w:r>
      <w:r w:rsidR="008F26CC">
        <w:t>junio</w:t>
      </w:r>
      <w:r w:rsidRPr="00BB4070">
        <w:t xml:space="preserve"> de 20</w:t>
      </w:r>
      <w:r w:rsidR="008F26CC">
        <w:t>20</w:t>
      </w:r>
      <w:r w:rsidRPr="00BB4070">
        <w:t xml:space="preserve">, Considerando </w:t>
      </w:r>
      <w:r w:rsidR="008F26CC">
        <w:t>2</w:t>
      </w:r>
      <w:r w:rsidRPr="00BB4070">
        <w:t>.</w:t>
      </w:r>
    </w:p>
  </w:footnote>
  <w:footnote w:id="4">
    <w:p w14:paraId="5F4CA8A5" w14:textId="36B40CE1" w:rsidR="008F26CC" w:rsidRPr="008402AE" w:rsidRDefault="000C2F6B" w:rsidP="00DB0E34">
      <w:pPr>
        <w:pStyle w:val="Textonotapie"/>
        <w:rPr>
          <w:i/>
        </w:rPr>
      </w:pPr>
      <w:r w:rsidRPr="00BB4070">
        <w:rPr>
          <w:rStyle w:val="Refdenotaalpie"/>
        </w:rPr>
        <w:footnoteRef/>
      </w:r>
      <w:r w:rsidRPr="00BB4070">
        <w:t xml:space="preserve"> </w:t>
      </w:r>
      <w:r w:rsidRPr="00BB4070">
        <w:tab/>
      </w:r>
      <w:r w:rsidRPr="00BB4070">
        <w:rPr>
          <w:i/>
          <w:iCs/>
        </w:rPr>
        <w:t xml:space="preserve">Cfr. </w:t>
      </w:r>
      <w:r w:rsidRPr="008F26CC">
        <w:rPr>
          <w:i/>
          <w:iCs/>
        </w:rPr>
        <w:t>Asunto Gladys Lanza Ochoa</w:t>
      </w:r>
      <w:r w:rsidR="008F26CC" w:rsidRPr="008402AE">
        <w:rPr>
          <w:i/>
          <w:iCs/>
        </w:rPr>
        <w:t xml:space="preserve"> </w:t>
      </w:r>
      <w:r w:rsidRPr="008402AE">
        <w:rPr>
          <w:i/>
          <w:iCs/>
        </w:rPr>
        <w:t>respecto de Honduras</w:t>
      </w:r>
      <w:r w:rsidRPr="00BB4070">
        <w:t>.</w:t>
      </w:r>
      <w:r w:rsidR="008F26CC">
        <w:t xml:space="preserve"> </w:t>
      </w:r>
      <w:r w:rsidR="008F26CC" w:rsidRPr="008402AE">
        <w:rPr>
          <w:i/>
        </w:rPr>
        <w:t>Medidas Provisionales.</w:t>
      </w:r>
      <w:r w:rsidR="008F26CC">
        <w:t xml:space="preserve"> </w:t>
      </w:r>
      <w:r w:rsidRPr="00BB4070">
        <w:t xml:space="preserve"> Resolución de la Corte Interamericana de Derechos Humanos de 23 de noviembre de 2016, Considerando 3, y</w:t>
      </w:r>
      <w:r w:rsidR="008F26CC">
        <w:t xml:space="preserve"> </w:t>
      </w:r>
      <w:r w:rsidR="008F26CC" w:rsidRPr="00BB4070">
        <w:rPr>
          <w:i/>
        </w:rPr>
        <w:t xml:space="preserve">Asunto </w:t>
      </w:r>
      <w:r w:rsidR="008F26CC">
        <w:rPr>
          <w:i/>
        </w:rPr>
        <w:t xml:space="preserve">Integrantes de la Comunidad Indígena de </w:t>
      </w:r>
      <w:proofErr w:type="spellStart"/>
      <w:r w:rsidR="008F26CC">
        <w:rPr>
          <w:i/>
        </w:rPr>
        <w:t>Choréachi</w:t>
      </w:r>
      <w:proofErr w:type="spellEnd"/>
      <w:r w:rsidR="008F26CC">
        <w:rPr>
          <w:i/>
        </w:rPr>
        <w:t xml:space="preserve"> respecto de México</w:t>
      </w:r>
      <w:r w:rsidR="008F26CC" w:rsidRPr="00BB4070">
        <w:rPr>
          <w:i/>
        </w:rPr>
        <w:t xml:space="preserve">. </w:t>
      </w:r>
      <w:r w:rsidR="008F26CC" w:rsidRPr="00D14A16">
        <w:rPr>
          <w:i/>
        </w:rPr>
        <w:t>Medidas Provisionales</w:t>
      </w:r>
      <w:r w:rsidR="008F26CC">
        <w:t>.</w:t>
      </w:r>
      <w:r w:rsidR="008F26CC" w:rsidRPr="00BB4070">
        <w:t xml:space="preserve"> Resolución de la Corte Interamericana de Derechos Humanos de </w:t>
      </w:r>
      <w:r w:rsidR="008F26CC">
        <w:t>10</w:t>
      </w:r>
      <w:r w:rsidR="008F26CC" w:rsidRPr="00BB4070">
        <w:t xml:space="preserve"> de </w:t>
      </w:r>
      <w:r w:rsidR="008F26CC">
        <w:t>junio</w:t>
      </w:r>
      <w:r w:rsidR="008F26CC" w:rsidRPr="00BB4070">
        <w:t xml:space="preserve"> de 20</w:t>
      </w:r>
      <w:r w:rsidR="008F26CC">
        <w:t>20</w:t>
      </w:r>
      <w:r w:rsidR="008F26CC" w:rsidRPr="00BB4070">
        <w:t xml:space="preserve">, Considerando </w:t>
      </w:r>
      <w:r w:rsidR="008F26CC">
        <w:t>2</w:t>
      </w:r>
      <w:r w:rsidR="008F26CC" w:rsidRPr="00BB4070">
        <w:t>.</w:t>
      </w:r>
    </w:p>
    <w:p w14:paraId="32F410D8" w14:textId="10181E1C" w:rsidR="000C2F6B" w:rsidRPr="00BB4070" w:rsidRDefault="000C2F6B" w:rsidP="00DB0E34">
      <w:pPr>
        <w:pStyle w:val="Textonotapie"/>
      </w:pPr>
    </w:p>
  </w:footnote>
  <w:footnote w:id="5">
    <w:p w14:paraId="4E4AB8C0" w14:textId="413C8BDC" w:rsidR="000C2F6B" w:rsidRPr="00DA3351" w:rsidRDefault="000C2F6B" w:rsidP="00DB0E34">
      <w:pPr>
        <w:pStyle w:val="Textonotapie"/>
        <w:rPr>
          <w:lang w:val="es-CR"/>
        </w:rPr>
      </w:pPr>
      <w:r w:rsidRPr="00DA3351">
        <w:rPr>
          <w:rStyle w:val="Refdenotaalpie"/>
        </w:rPr>
        <w:footnoteRef/>
      </w:r>
      <w:r w:rsidRPr="00DA3351">
        <w:t xml:space="preserve"> </w:t>
      </w:r>
      <w:r w:rsidRPr="00DA3351">
        <w:rPr>
          <w:lang w:val="es-CR"/>
        </w:rPr>
        <w:tab/>
      </w:r>
      <w:r w:rsidR="00DA3351" w:rsidRPr="00DA3351">
        <w:rPr>
          <w:lang w:val="es-CR"/>
        </w:rPr>
        <w:t xml:space="preserve">Dichas medidas incluyeron lo siguiente: </w:t>
      </w:r>
      <w:r w:rsidR="00DA3351" w:rsidRPr="00DA3351">
        <w:t xml:space="preserve">i) continuar con el arrendamiento de línea y equipo de telefonía celular con aplicación de localización para sistema de reacción inmediata, botón de pánico; ii) continuar con la infraestructura en su entorno residencial y </w:t>
      </w:r>
      <w:proofErr w:type="spellStart"/>
      <w:r w:rsidR="00DA3351" w:rsidRPr="00DA3351">
        <w:t>iii</w:t>
      </w:r>
      <w:proofErr w:type="spellEnd"/>
      <w:r w:rsidR="00DA3351" w:rsidRPr="00DA3351">
        <w:t xml:space="preserve">) vigilancia </w:t>
      </w:r>
      <w:proofErr w:type="spellStart"/>
      <w:r w:rsidR="00DA3351" w:rsidRPr="00DA3351">
        <w:t>bitacorada</w:t>
      </w:r>
      <w:proofErr w:type="spellEnd"/>
      <w:r w:rsidR="00DA3351" w:rsidRPr="00DA3351">
        <w:t xml:space="preserve"> en los domicilios residenciales de sus tres hermanas, así como números de emergencia a cargo de la Fiscalía General del Estado de Chihuahua.</w:t>
      </w:r>
    </w:p>
  </w:footnote>
  <w:footnote w:id="6">
    <w:p w14:paraId="35E67722" w14:textId="48CE6425" w:rsidR="000C2F6B" w:rsidRPr="004A2D10" w:rsidRDefault="000C2F6B" w:rsidP="00DB0E34">
      <w:pPr>
        <w:pStyle w:val="Textonotapie"/>
      </w:pPr>
      <w:r>
        <w:rPr>
          <w:rStyle w:val="Refdenotaalpie"/>
        </w:rPr>
        <w:footnoteRef/>
      </w:r>
      <w:r>
        <w:t xml:space="preserve"> </w:t>
      </w:r>
      <w:r>
        <w:tab/>
      </w:r>
      <w:r w:rsidRPr="00611A51">
        <w:rPr>
          <w:i/>
        </w:rPr>
        <w:t xml:space="preserve">Cfr. </w:t>
      </w:r>
      <w:r w:rsidRPr="00611A51">
        <w:rPr>
          <w:i/>
          <w:shd w:val="clear" w:color="auto" w:fill="FFFFFF"/>
        </w:rPr>
        <w:t>Caso García y familiares Vs. Guatemala. Fondo, Reparaciones y Costas.</w:t>
      </w:r>
      <w:r w:rsidRPr="004A2D10">
        <w:rPr>
          <w:shd w:val="clear" w:color="auto" w:fill="FFFFFF"/>
        </w:rPr>
        <w:t xml:space="preserve"> Sentencia de 29 noviembre de 2012 Serie C No. 258, párr. 182, y </w:t>
      </w:r>
      <w:r w:rsidRPr="00611A51">
        <w:rPr>
          <w:i/>
          <w:shd w:val="clear" w:color="auto" w:fill="FFFFFF"/>
        </w:rPr>
        <w:t>Caso Defensor de Derechos Humanos y otros Vs. Guatemala. Excepciones Preliminares, Fondo, Reparaciones y Costas.</w:t>
      </w:r>
      <w:r w:rsidRPr="004A2D10">
        <w:rPr>
          <w:shd w:val="clear" w:color="auto" w:fill="FFFFFF"/>
        </w:rPr>
        <w:t xml:space="preserve"> Sentencia de 28 de agosto de 2014. Serie C No. 283, párr. 143.</w:t>
      </w:r>
    </w:p>
  </w:footnote>
  <w:footnote w:id="7">
    <w:p w14:paraId="7ABA155E" w14:textId="77777777" w:rsidR="000C2F6B" w:rsidRPr="00BB4070" w:rsidRDefault="000C2F6B" w:rsidP="00DB0E34">
      <w:pPr>
        <w:pStyle w:val="Textonotapie"/>
      </w:pPr>
      <w:r w:rsidRPr="00BB4070">
        <w:rPr>
          <w:rStyle w:val="Refdenotaalpie"/>
        </w:rPr>
        <w:footnoteRef/>
      </w:r>
      <w:r w:rsidRPr="00BB4070">
        <w:t xml:space="preserve"> </w:t>
      </w:r>
      <w:r w:rsidRPr="00BB4070">
        <w:tab/>
      </w:r>
      <w:r w:rsidRPr="00BB4070">
        <w:rPr>
          <w:i/>
          <w:iCs/>
        </w:rPr>
        <w:t xml:space="preserve">Cfr. Asunto Castro Rodríguez respecto de México. </w:t>
      </w:r>
      <w:r w:rsidRPr="00BB4070">
        <w:t>Resolución de la Corte Interamericana de Derechos Humanos de 23 de junio de 2015, párr. 27.</w:t>
      </w:r>
    </w:p>
  </w:footnote>
  <w:footnote w:id="8">
    <w:p w14:paraId="4C1E9CD9" w14:textId="4B754BED" w:rsidR="000C2F6B" w:rsidRPr="005108E0" w:rsidRDefault="000C2F6B" w:rsidP="00DB0E34">
      <w:pPr>
        <w:spacing w:after="0" w:line="240" w:lineRule="auto"/>
        <w:jc w:val="both"/>
        <w:rPr>
          <w:rFonts w:ascii="Verdana" w:eastAsia="Times New Roman" w:hAnsi="Verdana" w:cs="Times New Roman"/>
          <w:sz w:val="16"/>
          <w:szCs w:val="16"/>
          <w:lang w:val="es-ES_tradnl" w:eastAsia="es-ES_tradnl"/>
        </w:rPr>
      </w:pPr>
      <w:r w:rsidRPr="005108E0">
        <w:rPr>
          <w:rStyle w:val="Refdenotaalpie"/>
        </w:rPr>
        <w:footnoteRef/>
      </w:r>
      <w:r w:rsidRPr="005108E0">
        <w:rPr>
          <w:rFonts w:ascii="Verdana" w:hAnsi="Verdana"/>
          <w:sz w:val="16"/>
          <w:szCs w:val="16"/>
        </w:rPr>
        <w:t xml:space="preserve"> </w:t>
      </w:r>
      <w:r w:rsidRPr="005108E0">
        <w:rPr>
          <w:rFonts w:ascii="Verdana" w:hAnsi="Verdana"/>
          <w:sz w:val="16"/>
          <w:szCs w:val="16"/>
        </w:rPr>
        <w:tab/>
      </w:r>
      <w:r w:rsidRPr="005108E0">
        <w:rPr>
          <w:rFonts w:ascii="Verdana" w:hAnsi="Verdana"/>
          <w:i/>
          <w:sz w:val="16"/>
          <w:szCs w:val="16"/>
        </w:rPr>
        <w:t>Cfr</w:t>
      </w:r>
      <w:r w:rsidRPr="005108E0">
        <w:rPr>
          <w:rFonts w:ascii="Verdana" w:hAnsi="Verdana"/>
          <w:sz w:val="16"/>
          <w:szCs w:val="16"/>
        </w:rPr>
        <w:t>.</w:t>
      </w:r>
      <w:r w:rsidRPr="005108E0">
        <w:rPr>
          <w:rFonts w:ascii="Verdana" w:hAnsi="Verdana"/>
          <w:b/>
          <w:sz w:val="16"/>
          <w:szCs w:val="16"/>
        </w:rPr>
        <w:t xml:space="preserve"> </w:t>
      </w:r>
      <w:r w:rsidRPr="005108E0">
        <w:rPr>
          <w:rStyle w:val="Textoennegrita"/>
          <w:rFonts w:ascii="Verdana" w:hAnsi="Verdana"/>
          <w:b w:val="0"/>
          <w:i/>
          <w:sz w:val="16"/>
          <w:szCs w:val="16"/>
          <w:shd w:val="clear" w:color="auto" w:fill="FFFFFF"/>
        </w:rPr>
        <w:t>Caso Fernández Ortega y otros</w:t>
      </w:r>
      <w:r w:rsidR="00B9456B">
        <w:rPr>
          <w:rStyle w:val="Textoennegrita"/>
          <w:rFonts w:ascii="Verdana" w:hAnsi="Verdana"/>
          <w:b w:val="0"/>
          <w:i/>
          <w:sz w:val="16"/>
          <w:szCs w:val="16"/>
          <w:shd w:val="clear" w:color="auto" w:fill="FFFFFF"/>
        </w:rPr>
        <w:t xml:space="preserve"> Vs. México</w:t>
      </w:r>
      <w:r w:rsidRPr="005108E0">
        <w:rPr>
          <w:rStyle w:val="Textoennegrita"/>
          <w:rFonts w:ascii="Verdana" w:hAnsi="Verdana"/>
          <w:b w:val="0"/>
          <w:i/>
          <w:sz w:val="16"/>
          <w:szCs w:val="16"/>
          <w:shd w:val="clear" w:color="auto" w:fill="FFFFFF"/>
        </w:rPr>
        <w:t>. Medidas Provisionales</w:t>
      </w:r>
      <w:r w:rsidRPr="005108E0">
        <w:rPr>
          <w:rStyle w:val="Textoennegrita"/>
          <w:rFonts w:ascii="Verdana" w:hAnsi="Verdana"/>
          <w:b w:val="0"/>
          <w:sz w:val="16"/>
          <w:szCs w:val="16"/>
          <w:shd w:val="clear" w:color="auto" w:fill="FFFFFF"/>
        </w:rPr>
        <w:t>. Resolución de la Corte</w:t>
      </w:r>
      <w:r w:rsidR="00B9456B">
        <w:rPr>
          <w:rStyle w:val="Textoennegrita"/>
          <w:rFonts w:ascii="Verdana" w:hAnsi="Verdana"/>
          <w:b w:val="0"/>
          <w:sz w:val="16"/>
          <w:szCs w:val="16"/>
          <w:shd w:val="clear" w:color="auto" w:fill="FFFFFF"/>
        </w:rPr>
        <w:t xml:space="preserve"> Interamericana de Derechos Humanos</w:t>
      </w:r>
      <w:r w:rsidRPr="005108E0">
        <w:rPr>
          <w:rStyle w:val="Textoennegrita"/>
          <w:rFonts w:ascii="Verdana" w:hAnsi="Verdana"/>
          <w:b w:val="0"/>
          <w:sz w:val="16"/>
          <w:szCs w:val="16"/>
          <w:shd w:val="clear" w:color="auto" w:fill="FFFFFF"/>
        </w:rPr>
        <w:t xml:space="preserve"> de 20 de febrero de 2012, Considerando 31, y</w:t>
      </w:r>
      <w:r w:rsidRPr="005108E0">
        <w:rPr>
          <w:rStyle w:val="Textoennegrita"/>
          <w:rFonts w:ascii="Verdana" w:hAnsi="Verdana"/>
          <w:i/>
          <w:sz w:val="16"/>
          <w:szCs w:val="16"/>
        </w:rPr>
        <w:t xml:space="preserve"> </w:t>
      </w:r>
      <w:r w:rsidRPr="005108E0">
        <w:rPr>
          <w:rFonts w:ascii="Verdana" w:eastAsia="Times New Roman" w:hAnsi="Verdana" w:cs="Arial"/>
          <w:i/>
          <w:sz w:val="16"/>
          <w:szCs w:val="16"/>
          <w:shd w:val="clear" w:color="auto" w:fill="FFFFFF"/>
          <w:lang w:val="es-ES_tradnl" w:eastAsia="es-ES_tradnl"/>
        </w:rPr>
        <w:t>Asunto Almanza Suárez respecto de Colombia. Medidas Provisionales.</w:t>
      </w:r>
      <w:r w:rsidRPr="005108E0">
        <w:rPr>
          <w:rFonts w:ascii="Verdana" w:eastAsia="Times New Roman" w:hAnsi="Verdana" w:cs="Arial"/>
          <w:sz w:val="16"/>
          <w:szCs w:val="16"/>
          <w:shd w:val="clear" w:color="auto" w:fill="FFFFFF"/>
          <w:lang w:val="es-ES_tradnl" w:eastAsia="es-ES_tradnl"/>
        </w:rPr>
        <w:t xml:space="preserve"> Resolución de la Corte Interamericana de Derechos Humanos de 8 de octubre de 2020, Considerando 26.</w:t>
      </w:r>
    </w:p>
  </w:footnote>
  <w:footnote w:id="9">
    <w:p w14:paraId="4D741A68" w14:textId="1602CAA1" w:rsidR="000C2F6B" w:rsidRDefault="000C2F6B" w:rsidP="00DB0E34">
      <w:pPr>
        <w:pStyle w:val="Textonotapie"/>
      </w:pPr>
      <w:r>
        <w:rPr>
          <w:rStyle w:val="Refdenotaalpie"/>
        </w:rPr>
        <w:footnoteRef/>
      </w:r>
      <w:r>
        <w:t xml:space="preserve"> </w:t>
      </w:r>
      <w:r>
        <w:tab/>
      </w:r>
      <w:r w:rsidRPr="009859F2">
        <w:rPr>
          <w:i/>
        </w:rPr>
        <w:t>Cfr. Asunto del Internado Judicial de Monagas (“La Pica”)</w:t>
      </w:r>
      <w:r w:rsidR="00B9456B">
        <w:rPr>
          <w:i/>
        </w:rPr>
        <w:t xml:space="preserve"> respecto de Venezuela</w:t>
      </w:r>
      <w:r w:rsidRPr="009859F2">
        <w:rPr>
          <w:i/>
        </w:rPr>
        <w:t>. Medidas Provisionales.</w:t>
      </w:r>
      <w:r>
        <w:t xml:space="preserve"> Resolución de la Corte</w:t>
      </w:r>
      <w:r w:rsidR="00B9456B">
        <w:t xml:space="preserve"> Interamericana de Derechos Humanos</w:t>
      </w:r>
      <w:r>
        <w:t xml:space="preserve"> de 3 de julio de 2007, Considerando 23</w:t>
      </w:r>
      <w:r w:rsidR="009859F2">
        <w:t>,</w:t>
      </w:r>
      <w:r>
        <w:t xml:space="preserve"> y </w:t>
      </w:r>
      <w:r w:rsidRPr="009859F2">
        <w:rPr>
          <w:rFonts w:eastAsia="Times New Roman" w:cs="Arial"/>
          <w:i/>
          <w:shd w:val="clear" w:color="auto" w:fill="FFFFFF"/>
          <w:lang w:eastAsia="es-ES_tradnl"/>
        </w:rPr>
        <w:t>Asunto Almanza Suárez respecto de Colombia. Medidas Provisionales.</w:t>
      </w:r>
      <w:r w:rsidRPr="005108E0">
        <w:rPr>
          <w:rFonts w:eastAsia="Times New Roman" w:cs="Arial"/>
          <w:shd w:val="clear" w:color="auto" w:fill="FFFFFF"/>
          <w:lang w:eastAsia="es-ES_tradnl"/>
        </w:rPr>
        <w:t xml:space="preserve"> Resolución de la Corte Interamericana de Derechos Humanos de 8 de octubre de 2020, Considerando 26.</w:t>
      </w:r>
    </w:p>
  </w:footnote>
  <w:footnote w:id="10">
    <w:p w14:paraId="7A25DEFF" w14:textId="0658D079" w:rsidR="000C2F6B" w:rsidRDefault="000C2F6B" w:rsidP="0034634A">
      <w:pPr>
        <w:pStyle w:val="Textonotapie"/>
        <w:rPr>
          <w:bCs/>
          <w:lang w:val="es-CR"/>
        </w:rPr>
      </w:pPr>
      <w:r>
        <w:rPr>
          <w:rStyle w:val="CharAttribute33"/>
        </w:rPr>
        <w:footnoteRef/>
      </w:r>
      <w:r w:rsidRPr="005108E0">
        <w:rPr>
          <w:rStyle w:val="CharAttribute31"/>
        </w:rPr>
        <w:t xml:space="preserve"> </w:t>
      </w:r>
      <w:r w:rsidRPr="005108E0">
        <w:rPr>
          <w:rStyle w:val="CharAttribute31"/>
        </w:rPr>
        <w:tab/>
      </w:r>
      <w:r w:rsidRPr="005108E0">
        <w:rPr>
          <w:rStyle w:val="CharAttribute31"/>
          <w:i/>
        </w:rPr>
        <w:t>Cfr.</w:t>
      </w:r>
      <w:r w:rsidRPr="005108E0">
        <w:rPr>
          <w:rStyle w:val="CharAttribute31"/>
        </w:rPr>
        <w:t xml:space="preserve"> </w:t>
      </w:r>
      <w:r w:rsidRPr="005108E0">
        <w:rPr>
          <w:rStyle w:val="CharAttribute31"/>
          <w:i/>
        </w:rPr>
        <w:t>Caso del Tribunal Constitucional</w:t>
      </w:r>
      <w:r w:rsidR="00B9456B">
        <w:rPr>
          <w:rStyle w:val="CharAttribute31"/>
          <w:i/>
        </w:rPr>
        <w:t xml:space="preserve"> respecto de Perú</w:t>
      </w:r>
      <w:r w:rsidRPr="005108E0">
        <w:rPr>
          <w:rStyle w:val="CharAttribute31"/>
          <w:i/>
        </w:rPr>
        <w:t>. Medidas Provisionales.</w:t>
      </w:r>
      <w:r w:rsidRPr="005108E0">
        <w:rPr>
          <w:rStyle w:val="CharAttribute31"/>
        </w:rPr>
        <w:t xml:space="preserve"> Resolución de la Corte</w:t>
      </w:r>
      <w:r w:rsidR="00B9456B">
        <w:rPr>
          <w:rStyle w:val="CharAttribute31"/>
        </w:rPr>
        <w:t xml:space="preserve"> Interamericana de Derechos Humanos</w:t>
      </w:r>
      <w:r w:rsidRPr="005108E0">
        <w:rPr>
          <w:rStyle w:val="CharAttribute31"/>
        </w:rPr>
        <w:t xml:space="preserve"> de 14 de marzo de 2001, Considerando 4, y</w:t>
      </w:r>
      <w:r>
        <w:rPr>
          <w:rStyle w:val="Textoennegrita"/>
          <w:i/>
          <w:color w:val="000000"/>
          <w:shd w:val="clear" w:color="auto" w:fill="FFFFFF"/>
          <w:lang w:val="es-CR"/>
        </w:rPr>
        <w:t xml:space="preserve"> </w:t>
      </w:r>
      <w:r w:rsidRPr="005108E0">
        <w:rPr>
          <w:rFonts w:eastAsia="Times New Roman" w:cs="Arial"/>
          <w:i/>
          <w:shd w:val="clear" w:color="auto" w:fill="FFFFFF"/>
          <w:lang w:eastAsia="es-ES_tradnl"/>
        </w:rPr>
        <w:t>Asunto Almanza Suárez respecto de Colombia. Medidas Provisionales.</w:t>
      </w:r>
      <w:r w:rsidRPr="005108E0">
        <w:rPr>
          <w:rFonts w:eastAsia="Times New Roman" w:cs="Arial"/>
          <w:shd w:val="clear" w:color="auto" w:fill="FFFFFF"/>
          <w:lang w:eastAsia="es-ES_tradnl"/>
        </w:rPr>
        <w:t xml:space="preserve"> Resolución de la Corte Interamericana de Derechos Humanos de 8 de octubre de 2020, Considerando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040"/>
      <w:docPartObj>
        <w:docPartGallery w:val="Page Numbers (Top of Page)"/>
        <w:docPartUnique/>
      </w:docPartObj>
    </w:sdtPr>
    <w:sdtEndPr>
      <w:rPr>
        <w:rFonts w:ascii="Verdana" w:hAnsi="Verdana"/>
        <w:sz w:val="20"/>
        <w:szCs w:val="20"/>
      </w:rPr>
    </w:sdtEndPr>
    <w:sdtContent>
      <w:p w14:paraId="59760954" w14:textId="7E1B9619" w:rsidR="000C2F6B" w:rsidRPr="00CD1C2D" w:rsidRDefault="00E1038A">
        <w:pPr>
          <w:pStyle w:val="Encabezado"/>
          <w:jc w:val="center"/>
          <w:rPr>
            <w:rFonts w:ascii="Verdana" w:hAnsi="Verdana"/>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E10"/>
    <w:multiLevelType w:val="hybridMultilevel"/>
    <w:tmpl w:val="9D9855F4"/>
    <w:lvl w:ilvl="0" w:tplc="FBD6CF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3E8F"/>
    <w:multiLevelType w:val="hybridMultilevel"/>
    <w:tmpl w:val="D4ECF104"/>
    <w:lvl w:ilvl="0" w:tplc="E8E42CD4">
      <w:start w:val="1"/>
      <w:numFmt w:val="lowerRoman"/>
      <w:lvlText w:val="%1)"/>
      <w:lvlJc w:val="left"/>
      <w:pPr>
        <w:ind w:left="795" w:hanging="360"/>
      </w:pPr>
      <w:rPr>
        <w:rFonts w:ascii="Verdana" w:eastAsia="Times New Roman" w:hAnsi="Verdana" w:cs="Arial"/>
        <w:b w:val="0"/>
        <w:sz w:val="18"/>
        <w:szCs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3D40ABA"/>
    <w:multiLevelType w:val="hybridMultilevel"/>
    <w:tmpl w:val="6AA4A722"/>
    <w:lvl w:ilvl="0" w:tplc="0C0A0019">
      <w:start w:val="1"/>
      <w:numFmt w:val="lowerLetter"/>
      <w:lvlText w:val="%1."/>
      <w:lvlJc w:val="left"/>
      <w:pPr>
        <w:ind w:left="1570" w:hanging="360"/>
      </w:p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3" w15:restartNumberingAfterBreak="0">
    <w:nsid w:val="04F71D2B"/>
    <w:multiLevelType w:val="hybridMultilevel"/>
    <w:tmpl w:val="8E7A4F2C"/>
    <w:lvl w:ilvl="0" w:tplc="0E02AB6A">
      <w:numFmt w:val="bullet"/>
      <w:lvlText w:val=""/>
      <w:lvlJc w:val="left"/>
      <w:pPr>
        <w:ind w:left="720" w:hanging="360"/>
      </w:pPr>
      <w:rPr>
        <w:rFonts w:ascii="Symbol" w:eastAsia="Times"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9E3B75"/>
    <w:multiLevelType w:val="hybridMultilevel"/>
    <w:tmpl w:val="690ED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C2C4A"/>
    <w:multiLevelType w:val="hybridMultilevel"/>
    <w:tmpl w:val="E236B3D0"/>
    <w:lvl w:ilvl="0" w:tplc="AD2E3720">
      <w:start w:val="1"/>
      <w:numFmt w:val="lowerLetter"/>
      <w:lvlText w:val="%1."/>
      <w:lvlJc w:val="left"/>
      <w:pPr>
        <w:ind w:left="15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95265"/>
    <w:multiLevelType w:val="hybridMultilevel"/>
    <w:tmpl w:val="9F04EBB6"/>
    <w:lvl w:ilvl="0" w:tplc="D99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D630D"/>
    <w:multiLevelType w:val="hybridMultilevel"/>
    <w:tmpl w:val="D4ECF104"/>
    <w:lvl w:ilvl="0" w:tplc="E8E42CD4">
      <w:start w:val="1"/>
      <w:numFmt w:val="lowerRoman"/>
      <w:lvlText w:val="%1)"/>
      <w:lvlJc w:val="left"/>
      <w:pPr>
        <w:ind w:left="795" w:hanging="360"/>
      </w:pPr>
      <w:rPr>
        <w:rFonts w:ascii="Verdana" w:eastAsia="Times New Roman" w:hAnsi="Verdana" w:cs="Arial"/>
        <w:b w:val="0"/>
        <w:sz w:val="18"/>
        <w:szCs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11DF3A3F"/>
    <w:multiLevelType w:val="hybridMultilevel"/>
    <w:tmpl w:val="20DAA4C8"/>
    <w:lvl w:ilvl="0" w:tplc="109C8E56">
      <w:start w:val="1"/>
      <w:numFmt w:val="lowerRoman"/>
      <w:lvlText w:val="%1)"/>
      <w:lvlJc w:val="left"/>
      <w:pPr>
        <w:ind w:left="1429" w:hanging="720"/>
      </w:pPr>
      <w:rPr>
        <w:rFonts w:ascii="Verdana" w:eastAsiaTheme="minorEastAsia" w:hAnsi="Verdana" w:cs="Arial"/>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9" w15:restartNumberingAfterBreak="0">
    <w:nsid w:val="11E4073A"/>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226078E9"/>
    <w:multiLevelType w:val="hybridMultilevel"/>
    <w:tmpl w:val="E38066A6"/>
    <w:lvl w:ilvl="0" w:tplc="4A8C5554">
      <w:start w:val="1"/>
      <w:numFmt w:val="decimal"/>
      <w:lvlText w:val="%1."/>
      <w:lvlJc w:val="left"/>
      <w:pPr>
        <w:tabs>
          <w:tab w:val="num" w:pos="567"/>
        </w:tabs>
        <w:ind w:left="0" w:firstLine="0"/>
      </w:pPr>
      <w:rPr>
        <w:rFonts w:ascii="Verdana" w:hAnsi="Verdana" w:hint="default"/>
        <w:b w:val="0"/>
        <w:i w:val="0"/>
        <w:strike w:val="0"/>
        <w:dstrike w:val="0"/>
        <w:color w:val="auto"/>
        <w:sz w:val="20"/>
        <w:szCs w:val="20"/>
        <w:u w:val="none"/>
        <w:effect w:val="none"/>
        <w:lang w:val="es-CR"/>
      </w:rPr>
    </w:lvl>
    <w:lvl w:ilvl="1" w:tplc="9752BD62">
      <w:start w:val="1"/>
      <w:numFmt w:val="lowerRoman"/>
      <w:lvlText w:val="%2."/>
      <w:lvlJc w:val="right"/>
      <w:pPr>
        <w:ind w:left="1440" w:hanging="360"/>
      </w:pPr>
      <w:rPr>
        <w:b w:val="0"/>
      </w:rPr>
    </w:lvl>
    <w:lvl w:ilvl="2" w:tplc="0C0A000F">
      <w:start w:val="1"/>
      <w:numFmt w:val="decimal"/>
      <w:lvlText w:val="%3."/>
      <w:lvlJc w:val="left"/>
      <w:pPr>
        <w:tabs>
          <w:tab w:val="num" w:pos="2340"/>
        </w:tabs>
        <w:ind w:left="2340" w:hanging="360"/>
      </w:pPr>
      <w:rPr>
        <w:b w:val="0"/>
        <w:i w:val="0"/>
        <w:strike w:val="0"/>
        <w:dstrike w:val="0"/>
        <w:sz w:val="20"/>
        <w:szCs w:val="20"/>
        <w:u w:val="none"/>
        <w:effect w:val="none"/>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35B1C00"/>
    <w:multiLevelType w:val="hybridMultilevel"/>
    <w:tmpl w:val="BEA07474"/>
    <w:lvl w:ilvl="0" w:tplc="EB6EA0CA">
      <w:start w:val="1"/>
      <w:numFmt w:val="decimal"/>
      <w:lvlText w:val="%1."/>
      <w:lvlJc w:val="left"/>
      <w:pPr>
        <w:ind w:left="1080" w:hanging="72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152E2"/>
    <w:multiLevelType w:val="hybridMultilevel"/>
    <w:tmpl w:val="ACFE175C"/>
    <w:lvl w:ilvl="0" w:tplc="8EC6D2F6">
      <w:start w:val="1"/>
      <w:numFmt w:val="lowerRoman"/>
      <w:lvlText w:val="%1)"/>
      <w:lvlJc w:val="left"/>
      <w:pPr>
        <w:ind w:left="795" w:hanging="360"/>
      </w:pPr>
      <w:rPr>
        <w:rFonts w:ascii="Verdana" w:eastAsia="Times New Roman" w:hAnsi="Verdana" w:cs="Arial"/>
        <w:b w:val="0"/>
        <w:sz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2A04031A"/>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2B564A0A"/>
    <w:multiLevelType w:val="hybridMultilevel"/>
    <w:tmpl w:val="9336EF72"/>
    <w:lvl w:ilvl="0" w:tplc="9F064242">
      <w:start w:val="1"/>
      <w:numFmt w:val="lowerLetter"/>
      <w:lvlText w:val="%1."/>
      <w:lvlJc w:val="left"/>
      <w:pPr>
        <w:ind w:left="15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00A34"/>
    <w:multiLevelType w:val="hybridMultilevel"/>
    <w:tmpl w:val="ACFE175C"/>
    <w:lvl w:ilvl="0" w:tplc="8EC6D2F6">
      <w:start w:val="1"/>
      <w:numFmt w:val="lowerRoman"/>
      <w:lvlText w:val="%1)"/>
      <w:lvlJc w:val="left"/>
      <w:pPr>
        <w:ind w:left="795" w:hanging="360"/>
      </w:pPr>
      <w:rPr>
        <w:rFonts w:ascii="Verdana" w:eastAsia="Times New Roman" w:hAnsi="Verdana" w:cs="Arial"/>
        <w:b w:val="0"/>
        <w:sz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CFB54B4"/>
    <w:multiLevelType w:val="hybridMultilevel"/>
    <w:tmpl w:val="9F04EBB6"/>
    <w:lvl w:ilvl="0" w:tplc="D99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B641D"/>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3C165A71"/>
    <w:multiLevelType w:val="hybridMultilevel"/>
    <w:tmpl w:val="B10C97FA"/>
    <w:lvl w:ilvl="0" w:tplc="180ABA2A">
      <w:start w:val="1"/>
      <w:numFmt w:val="decimal"/>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90D58"/>
    <w:multiLevelType w:val="hybridMultilevel"/>
    <w:tmpl w:val="222401FA"/>
    <w:lvl w:ilvl="0" w:tplc="6F28D28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CD310A"/>
    <w:multiLevelType w:val="hybridMultilevel"/>
    <w:tmpl w:val="E954B966"/>
    <w:lvl w:ilvl="0" w:tplc="286E47B4">
      <w:start w:val="1"/>
      <w:numFmt w:val="lowerRoman"/>
      <w:lvlText w:val="%1)"/>
      <w:lvlJc w:val="left"/>
      <w:pPr>
        <w:ind w:left="795" w:hanging="360"/>
      </w:pPr>
      <w:rPr>
        <w:rFonts w:ascii="Verdana" w:eastAsia="Times New Roman" w:hAnsi="Verdana" w:cs="Arial"/>
        <w:b w:val="0"/>
        <w:sz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A5F54EC"/>
    <w:multiLevelType w:val="hybridMultilevel"/>
    <w:tmpl w:val="C65C6E2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FB346A5"/>
    <w:multiLevelType w:val="hybridMultilevel"/>
    <w:tmpl w:val="D8DCF4E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1F200D1"/>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539C4131"/>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591F3D60"/>
    <w:multiLevelType w:val="hybridMultilevel"/>
    <w:tmpl w:val="8F927E4C"/>
    <w:lvl w:ilvl="0" w:tplc="C1124E78">
      <w:start w:val="2"/>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6A4D9E"/>
    <w:multiLevelType w:val="hybridMultilevel"/>
    <w:tmpl w:val="0A025158"/>
    <w:lvl w:ilvl="0" w:tplc="3828D760">
      <w:numFmt w:val="bullet"/>
      <w:lvlText w:val=""/>
      <w:lvlJc w:val="left"/>
      <w:pPr>
        <w:ind w:left="720" w:hanging="360"/>
      </w:pPr>
      <w:rPr>
        <w:rFonts w:ascii="Symbol" w:eastAsia="Times"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B936DAF"/>
    <w:multiLevelType w:val="hybridMultilevel"/>
    <w:tmpl w:val="FC3297E4"/>
    <w:lvl w:ilvl="0" w:tplc="9B1E4EDA">
      <w:start w:val="1"/>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8" w15:restartNumberingAfterBreak="0">
    <w:nsid w:val="5BE6604B"/>
    <w:multiLevelType w:val="hybridMultilevel"/>
    <w:tmpl w:val="D7206F56"/>
    <w:lvl w:ilvl="0" w:tplc="04090011">
      <w:start w:val="1"/>
      <w:numFmt w:val="decimal"/>
      <w:lvlText w:val="%1)"/>
      <w:lvlJc w:val="left"/>
      <w:pPr>
        <w:ind w:left="1570" w:hanging="360"/>
      </w:pPr>
      <w:rPr>
        <w:lang w:val="es-ES"/>
      </w:rPr>
    </w:lvl>
    <w:lvl w:ilvl="1" w:tplc="0C0A0019">
      <w:start w:val="1"/>
      <w:numFmt w:val="lowerLetter"/>
      <w:lvlText w:val="%2."/>
      <w:lvlJc w:val="left"/>
      <w:pPr>
        <w:ind w:left="2290" w:hanging="360"/>
      </w:pPr>
    </w:lvl>
    <w:lvl w:ilvl="2" w:tplc="0C0A001B">
      <w:start w:val="1"/>
      <w:numFmt w:val="lowerRoman"/>
      <w:lvlText w:val="%3."/>
      <w:lvlJc w:val="right"/>
      <w:pPr>
        <w:ind w:left="3010" w:hanging="180"/>
      </w:pPr>
    </w:lvl>
    <w:lvl w:ilvl="3" w:tplc="0C0A000F">
      <w:start w:val="1"/>
      <w:numFmt w:val="decimal"/>
      <w:lvlText w:val="%4."/>
      <w:lvlJc w:val="left"/>
      <w:pPr>
        <w:ind w:left="3730" w:hanging="360"/>
      </w:pPr>
    </w:lvl>
    <w:lvl w:ilvl="4" w:tplc="0C0A0019">
      <w:start w:val="1"/>
      <w:numFmt w:val="lowerLetter"/>
      <w:lvlText w:val="%5."/>
      <w:lvlJc w:val="left"/>
      <w:pPr>
        <w:ind w:left="4450" w:hanging="360"/>
      </w:pPr>
    </w:lvl>
    <w:lvl w:ilvl="5" w:tplc="0C0A001B">
      <w:start w:val="1"/>
      <w:numFmt w:val="lowerRoman"/>
      <w:lvlText w:val="%6."/>
      <w:lvlJc w:val="right"/>
      <w:pPr>
        <w:ind w:left="5170" w:hanging="180"/>
      </w:pPr>
    </w:lvl>
    <w:lvl w:ilvl="6" w:tplc="0C0A000F">
      <w:start w:val="1"/>
      <w:numFmt w:val="decimal"/>
      <w:lvlText w:val="%7."/>
      <w:lvlJc w:val="left"/>
      <w:pPr>
        <w:ind w:left="5890" w:hanging="360"/>
      </w:pPr>
    </w:lvl>
    <w:lvl w:ilvl="7" w:tplc="0C0A0019">
      <w:start w:val="1"/>
      <w:numFmt w:val="lowerLetter"/>
      <w:lvlText w:val="%8."/>
      <w:lvlJc w:val="left"/>
      <w:pPr>
        <w:ind w:left="6610" w:hanging="360"/>
      </w:pPr>
    </w:lvl>
    <w:lvl w:ilvl="8" w:tplc="0C0A001B">
      <w:start w:val="1"/>
      <w:numFmt w:val="lowerRoman"/>
      <w:lvlText w:val="%9."/>
      <w:lvlJc w:val="right"/>
      <w:pPr>
        <w:ind w:left="7330" w:hanging="180"/>
      </w:pPr>
    </w:lvl>
  </w:abstractNum>
  <w:abstractNum w:abstractNumId="29" w15:restartNumberingAfterBreak="0">
    <w:nsid w:val="5CD40139"/>
    <w:multiLevelType w:val="hybridMultilevel"/>
    <w:tmpl w:val="C2BEA6B0"/>
    <w:lvl w:ilvl="0" w:tplc="180ABA2A">
      <w:start w:val="1"/>
      <w:numFmt w:val="decimal"/>
      <w:lvlText w:val="%1."/>
      <w:lvlJc w:val="left"/>
      <w:pPr>
        <w:ind w:left="1080" w:hanging="72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3107BB"/>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635178F8"/>
    <w:multiLevelType w:val="hybridMultilevel"/>
    <w:tmpl w:val="ACFE175C"/>
    <w:lvl w:ilvl="0" w:tplc="8EC6D2F6">
      <w:start w:val="1"/>
      <w:numFmt w:val="lowerRoman"/>
      <w:lvlText w:val="%1)"/>
      <w:lvlJc w:val="left"/>
      <w:pPr>
        <w:ind w:left="795" w:hanging="360"/>
      </w:pPr>
      <w:rPr>
        <w:rFonts w:ascii="Verdana" w:eastAsia="Times New Roman" w:hAnsi="Verdana" w:cs="Arial"/>
        <w:b w:val="0"/>
        <w:sz w:val="1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647111FA"/>
    <w:multiLevelType w:val="hybridMultilevel"/>
    <w:tmpl w:val="6754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572D7"/>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66603CD0"/>
    <w:multiLevelType w:val="hybridMultilevel"/>
    <w:tmpl w:val="EB942612"/>
    <w:lvl w:ilvl="0" w:tplc="E83A9E88">
      <w:start w:val="1"/>
      <w:numFmt w:val="decimal"/>
      <w:lvlText w:val="%1."/>
      <w:lvlJc w:val="left"/>
      <w:pPr>
        <w:tabs>
          <w:tab w:val="num" w:pos="680"/>
        </w:tabs>
        <w:ind w:left="0" w:firstLine="0"/>
      </w:pPr>
      <w:rPr>
        <w:b w:val="0"/>
        <w:i w:val="0"/>
        <w:strike w:val="0"/>
        <w:dstrike w:val="0"/>
        <w:sz w:val="20"/>
        <w:szCs w:val="20"/>
        <w:u w:val="none"/>
        <w:effect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9DA0ECE"/>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BE45B5C"/>
    <w:multiLevelType w:val="hybridMultilevel"/>
    <w:tmpl w:val="9300F50E"/>
    <w:lvl w:ilvl="0" w:tplc="DDB4BF60">
      <w:start w:val="1"/>
      <w:numFmt w:val="decimal"/>
      <w:lvlText w:val="%1."/>
      <w:lvlJc w:val="left"/>
      <w:pPr>
        <w:ind w:left="785" w:hanging="360"/>
      </w:pPr>
      <w:rPr>
        <w:b w:val="0"/>
        <w:i w:val="0"/>
        <w:sz w:val="20"/>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CC22669"/>
    <w:multiLevelType w:val="hybridMultilevel"/>
    <w:tmpl w:val="D8DCF4E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3AF6443"/>
    <w:multiLevelType w:val="hybridMultilevel"/>
    <w:tmpl w:val="20DAA4C8"/>
    <w:lvl w:ilvl="0" w:tplc="109C8E56">
      <w:start w:val="1"/>
      <w:numFmt w:val="lowerRoman"/>
      <w:lvlText w:val="%1)"/>
      <w:lvlJc w:val="left"/>
      <w:pPr>
        <w:ind w:left="1287" w:hanging="720"/>
      </w:pPr>
      <w:rPr>
        <w:rFonts w:ascii="Verdana" w:eastAsiaTheme="minorEastAsia" w:hAnsi="Verdana" w:cs="Arial"/>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9" w15:restartNumberingAfterBreak="0">
    <w:nsid w:val="75E648F1"/>
    <w:multiLevelType w:val="hybridMultilevel"/>
    <w:tmpl w:val="20EC6172"/>
    <w:lvl w:ilvl="0" w:tplc="AD16C05A">
      <w:start w:val="1"/>
      <w:numFmt w:val="lowerLetter"/>
      <w:lvlText w:val="%1."/>
      <w:lvlJc w:val="left"/>
      <w:pPr>
        <w:ind w:left="1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34908"/>
    <w:multiLevelType w:val="hybridMultilevel"/>
    <w:tmpl w:val="4484E3C6"/>
    <w:lvl w:ilvl="0" w:tplc="BBAE747E">
      <w:start w:val="1"/>
      <w:numFmt w:val="decimal"/>
      <w:lvlText w:val="%1."/>
      <w:lvlJc w:val="left"/>
      <w:pPr>
        <w:ind w:left="72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95CED"/>
    <w:multiLevelType w:val="hybridMultilevel"/>
    <w:tmpl w:val="BF0CDDEA"/>
    <w:lvl w:ilvl="0" w:tplc="11EAC46E">
      <w:start w:val="1"/>
      <w:numFmt w:val="lowerRoman"/>
      <w:lvlText w:val="%1)"/>
      <w:lvlJc w:val="left"/>
      <w:pPr>
        <w:ind w:left="795" w:hanging="360"/>
      </w:pPr>
      <w:rPr>
        <w:rFonts w:ascii="Verdana" w:eastAsia="Times New Roman" w:hAnsi="Verdana" w:cs="Arial"/>
        <w:b w:val="0"/>
        <w:strike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7D0E42F4"/>
    <w:multiLevelType w:val="hybridMultilevel"/>
    <w:tmpl w:val="FB3E3512"/>
    <w:lvl w:ilvl="0" w:tplc="46221270">
      <w:start w:val="1"/>
      <w:numFmt w:val="lowerLetter"/>
      <w:lvlText w:val="%1)"/>
      <w:lvlJc w:val="left"/>
      <w:pPr>
        <w:ind w:left="1080" w:hanging="360"/>
      </w:pPr>
      <w:rPr>
        <w:rFonts w:hint="default"/>
        <w:b w:val="0"/>
        <w:i/>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29"/>
  </w:num>
  <w:num w:numId="2">
    <w:abstractNumId w:val="2"/>
  </w:num>
  <w:num w:numId="3">
    <w:abstractNumId w:val="5"/>
  </w:num>
  <w:num w:numId="4">
    <w:abstractNumId w:val="39"/>
  </w:num>
  <w:num w:numId="5">
    <w:abstractNumId w:val="14"/>
  </w:num>
  <w:num w:numId="6">
    <w:abstractNumId w:val="0"/>
  </w:num>
  <w:num w:numId="7">
    <w:abstractNumId w:val="40"/>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6"/>
  </w:num>
  <w:num w:numId="11">
    <w:abstractNumId w:val="9"/>
  </w:num>
  <w:num w:numId="12">
    <w:abstractNumId w:val="11"/>
  </w:num>
  <w:num w:numId="13">
    <w:abstractNumId w:val="27"/>
  </w:num>
  <w:num w:numId="14">
    <w:abstractNumId w:val="19"/>
  </w:num>
  <w:num w:numId="15">
    <w:abstractNumId w:val="8"/>
  </w:num>
  <w:num w:numId="16">
    <w:abstractNumId w:val="3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num>
  <w:num w:numId="20">
    <w:abstractNumId w:val="4"/>
  </w:num>
  <w:num w:numId="21">
    <w:abstractNumId w:val="18"/>
  </w:num>
  <w:num w:numId="22">
    <w:abstractNumId w:val="1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7"/>
  </w:num>
  <w:num w:numId="26">
    <w:abstractNumId w:val="13"/>
  </w:num>
  <w:num w:numId="27">
    <w:abstractNumId w:val="17"/>
  </w:num>
  <w:num w:numId="28">
    <w:abstractNumId w:val="35"/>
  </w:num>
  <w:num w:numId="29">
    <w:abstractNumId w:val="24"/>
  </w:num>
  <w:num w:numId="30">
    <w:abstractNumId w:val="30"/>
  </w:num>
  <w:num w:numId="31">
    <w:abstractNumId w:val="23"/>
  </w:num>
  <w:num w:numId="32">
    <w:abstractNumId w:val="20"/>
  </w:num>
  <w:num w:numId="33">
    <w:abstractNumId w:val="15"/>
  </w:num>
  <w:num w:numId="34">
    <w:abstractNumId w:val="31"/>
  </w:num>
  <w:num w:numId="35">
    <w:abstractNumId w:val="7"/>
  </w:num>
  <w:num w:numId="36">
    <w:abstractNumId w:val="12"/>
  </w:num>
  <w:num w:numId="37">
    <w:abstractNumId w:val="1"/>
  </w:num>
  <w:num w:numId="38">
    <w:abstractNumId w:val="21"/>
  </w:num>
  <w:num w:numId="39">
    <w:abstractNumId w:val="42"/>
  </w:num>
  <w:num w:numId="40">
    <w:abstractNumId w:val="3"/>
  </w:num>
  <w:num w:numId="41">
    <w:abstractNumId w:val="26"/>
  </w:num>
  <w:num w:numId="42">
    <w:abstractNumId w:val="33"/>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60"/>
    <w:rsid w:val="000063E6"/>
    <w:rsid w:val="000067BC"/>
    <w:rsid w:val="00010E3E"/>
    <w:rsid w:val="00011C1A"/>
    <w:rsid w:val="0001383C"/>
    <w:rsid w:val="00013D8E"/>
    <w:rsid w:val="0001620A"/>
    <w:rsid w:val="00016AE4"/>
    <w:rsid w:val="00016CB0"/>
    <w:rsid w:val="00021B4A"/>
    <w:rsid w:val="00024987"/>
    <w:rsid w:val="00030015"/>
    <w:rsid w:val="00030462"/>
    <w:rsid w:val="00030682"/>
    <w:rsid w:val="000342AF"/>
    <w:rsid w:val="00034E4E"/>
    <w:rsid w:val="00035707"/>
    <w:rsid w:val="00035F1B"/>
    <w:rsid w:val="000366F1"/>
    <w:rsid w:val="00040880"/>
    <w:rsid w:val="0004184F"/>
    <w:rsid w:val="00045520"/>
    <w:rsid w:val="000467CA"/>
    <w:rsid w:val="00053F6C"/>
    <w:rsid w:val="00054671"/>
    <w:rsid w:val="00057F7A"/>
    <w:rsid w:val="000630FF"/>
    <w:rsid w:val="0006426B"/>
    <w:rsid w:val="0006447C"/>
    <w:rsid w:val="000653AE"/>
    <w:rsid w:val="00065660"/>
    <w:rsid w:val="00065987"/>
    <w:rsid w:val="000660FD"/>
    <w:rsid w:val="0006681C"/>
    <w:rsid w:val="000670DC"/>
    <w:rsid w:val="00073EF3"/>
    <w:rsid w:val="0008362A"/>
    <w:rsid w:val="00084171"/>
    <w:rsid w:val="0008465C"/>
    <w:rsid w:val="00084F89"/>
    <w:rsid w:val="00095078"/>
    <w:rsid w:val="000A209F"/>
    <w:rsid w:val="000A300A"/>
    <w:rsid w:val="000A5CD1"/>
    <w:rsid w:val="000A5CF6"/>
    <w:rsid w:val="000B0EF4"/>
    <w:rsid w:val="000C14C4"/>
    <w:rsid w:val="000C1AF7"/>
    <w:rsid w:val="000C2F6B"/>
    <w:rsid w:val="000C355F"/>
    <w:rsid w:val="000C3571"/>
    <w:rsid w:val="000C3C07"/>
    <w:rsid w:val="000C50B5"/>
    <w:rsid w:val="000D1EEF"/>
    <w:rsid w:val="000D2DE1"/>
    <w:rsid w:val="000D453F"/>
    <w:rsid w:val="000D5F5B"/>
    <w:rsid w:val="000E06CD"/>
    <w:rsid w:val="000E1654"/>
    <w:rsid w:val="000E5FEE"/>
    <w:rsid w:val="000E65D1"/>
    <w:rsid w:val="000E785A"/>
    <w:rsid w:val="000F10FA"/>
    <w:rsid w:val="000F59CB"/>
    <w:rsid w:val="000F5B7C"/>
    <w:rsid w:val="00100F0F"/>
    <w:rsid w:val="00103F85"/>
    <w:rsid w:val="00103FBD"/>
    <w:rsid w:val="00106AB2"/>
    <w:rsid w:val="0011061A"/>
    <w:rsid w:val="00116EA5"/>
    <w:rsid w:val="0011728F"/>
    <w:rsid w:val="00120CB4"/>
    <w:rsid w:val="00122226"/>
    <w:rsid w:val="001238AA"/>
    <w:rsid w:val="00123912"/>
    <w:rsid w:val="00123A4F"/>
    <w:rsid w:val="00124F09"/>
    <w:rsid w:val="00127988"/>
    <w:rsid w:val="00127A8E"/>
    <w:rsid w:val="001307CB"/>
    <w:rsid w:val="00130A1A"/>
    <w:rsid w:val="00132296"/>
    <w:rsid w:val="00135A12"/>
    <w:rsid w:val="00135FDD"/>
    <w:rsid w:val="00136209"/>
    <w:rsid w:val="00137155"/>
    <w:rsid w:val="00137B4A"/>
    <w:rsid w:val="001404FD"/>
    <w:rsid w:val="00142E1D"/>
    <w:rsid w:val="001469D6"/>
    <w:rsid w:val="00146B4C"/>
    <w:rsid w:val="00150900"/>
    <w:rsid w:val="00151699"/>
    <w:rsid w:val="00151F74"/>
    <w:rsid w:val="0015384C"/>
    <w:rsid w:val="00154190"/>
    <w:rsid w:val="001543A6"/>
    <w:rsid w:val="00156A92"/>
    <w:rsid w:val="00156DEB"/>
    <w:rsid w:val="00160816"/>
    <w:rsid w:val="00164178"/>
    <w:rsid w:val="0016426C"/>
    <w:rsid w:val="00171F10"/>
    <w:rsid w:val="0017289D"/>
    <w:rsid w:val="0017409A"/>
    <w:rsid w:val="001743EA"/>
    <w:rsid w:val="00175FE3"/>
    <w:rsid w:val="00176318"/>
    <w:rsid w:val="00180DAB"/>
    <w:rsid w:val="00180DE2"/>
    <w:rsid w:val="00183D98"/>
    <w:rsid w:val="00185719"/>
    <w:rsid w:val="001868EB"/>
    <w:rsid w:val="00187064"/>
    <w:rsid w:val="00191DB2"/>
    <w:rsid w:val="001925E8"/>
    <w:rsid w:val="00194CDE"/>
    <w:rsid w:val="00194D21"/>
    <w:rsid w:val="00195C55"/>
    <w:rsid w:val="00196143"/>
    <w:rsid w:val="001A1026"/>
    <w:rsid w:val="001A336B"/>
    <w:rsid w:val="001A54EC"/>
    <w:rsid w:val="001B6175"/>
    <w:rsid w:val="001B7A82"/>
    <w:rsid w:val="001C0234"/>
    <w:rsid w:val="001C164F"/>
    <w:rsid w:val="001C2A53"/>
    <w:rsid w:val="001C522D"/>
    <w:rsid w:val="001C5ED0"/>
    <w:rsid w:val="001C7F3C"/>
    <w:rsid w:val="001D05D3"/>
    <w:rsid w:val="001D0BAA"/>
    <w:rsid w:val="001E362F"/>
    <w:rsid w:val="001E3D5E"/>
    <w:rsid w:val="001E4A97"/>
    <w:rsid w:val="001E5B89"/>
    <w:rsid w:val="001F0A53"/>
    <w:rsid w:val="001F10D4"/>
    <w:rsid w:val="001F696A"/>
    <w:rsid w:val="002002F5"/>
    <w:rsid w:val="002017CD"/>
    <w:rsid w:val="00201FE2"/>
    <w:rsid w:val="00202D1C"/>
    <w:rsid w:val="002036B8"/>
    <w:rsid w:val="00204D14"/>
    <w:rsid w:val="0020525F"/>
    <w:rsid w:val="002059AF"/>
    <w:rsid w:val="002066D1"/>
    <w:rsid w:val="00206833"/>
    <w:rsid w:val="00206AFB"/>
    <w:rsid w:val="00210871"/>
    <w:rsid w:val="00211986"/>
    <w:rsid w:val="00222B89"/>
    <w:rsid w:val="00223203"/>
    <w:rsid w:val="0022541D"/>
    <w:rsid w:val="00225D66"/>
    <w:rsid w:val="00225F40"/>
    <w:rsid w:val="002267DA"/>
    <w:rsid w:val="002272F5"/>
    <w:rsid w:val="00230F09"/>
    <w:rsid w:val="0023115A"/>
    <w:rsid w:val="002338C5"/>
    <w:rsid w:val="00233AAA"/>
    <w:rsid w:val="0023523A"/>
    <w:rsid w:val="00235913"/>
    <w:rsid w:val="0023668D"/>
    <w:rsid w:val="00241A63"/>
    <w:rsid w:val="00242552"/>
    <w:rsid w:val="002569B4"/>
    <w:rsid w:val="00260E2A"/>
    <w:rsid w:val="002659CF"/>
    <w:rsid w:val="00270A13"/>
    <w:rsid w:val="00270FA5"/>
    <w:rsid w:val="00274929"/>
    <w:rsid w:val="00274C11"/>
    <w:rsid w:val="0028239E"/>
    <w:rsid w:val="00282663"/>
    <w:rsid w:val="002845EC"/>
    <w:rsid w:val="00291C4E"/>
    <w:rsid w:val="0029683D"/>
    <w:rsid w:val="00297815"/>
    <w:rsid w:val="002A3C8E"/>
    <w:rsid w:val="002A5314"/>
    <w:rsid w:val="002A5B8E"/>
    <w:rsid w:val="002A7189"/>
    <w:rsid w:val="002B043D"/>
    <w:rsid w:val="002B0822"/>
    <w:rsid w:val="002B16B4"/>
    <w:rsid w:val="002B1898"/>
    <w:rsid w:val="002B35D7"/>
    <w:rsid w:val="002B7D28"/>
    <w:rsid w:val="002C0356"/>
    <w:rsid w:val="002C0E0D"/>
    <w:rsid w:val="002C4004"/>
    <w:rsid w:val="002C6464"/>
    <w:rsid w:val="002C675D"/>
    <w:rsid w:val="002C7402"/>
    <w:rsid w:val="002C7646"/>
    <w:rsid w:val="002C767D"/>
    <w:rsid w:val="002C7D18"/>
    <w:rsid w:val="002D1313"/>
    <w:rsid w:val="002D3197"/>
    <w:rsid w:val="002D4E17"/>
    <w:rsid w:val="002D5D18"/>
    <w:rsid w:val="002E0C4D"/>
    <w:rsid w:val="002E2C33"/>
    <w:rsid w:val="002E35E3"/>
    <w:rsid w:val="002E3926"/>
    <w:rsid w:val="002E551A"/>
    <w:rsid w:val="002E6648"/>
    <w:rsid w:val="002F331A"/>
    <w:rsid w:val="002F4683"/>
    <w:rsid w:val="00300669"/>
    <w:rsid w:val="00301C98"/>
    <w:rsid w:val="00303FCD"/>
    <w:rsid w:val="00305362"/>
    <w:rsid w:val="00306825"/>
    <w:rsid w:val="00306A43"/>
    <w:rsid w:val="0031034D"/>
    <w:rsid w:val="00322FAA"/>
    <w:rsid w:val="00323C13"/>
    <w:rsid w:val="00324E2E"/>
    <w:rsid w:val="0032564B"/>
    <w:rsid w:val="00325903"/>
    <w:rsid w:val="003272FD"/>
    <w:rsid w:val="00331B9F"/>
    <w:rsid w:val="00332224"/>
    <w:rsid w:val="0033725B"/>
    <w:rsid w:val="00337B38"/>
    <w:rsid w:val="00337CA7"/>
    <w:rsid w:val="00341615"/>
    <w:rsid w:val="00343765"/>
    <w:rsid w:val="00345058"/>
    <w:rsid w:val="0034634A"/>
    <w:rsid w:val="0034693A"/>
    <w:rsid w:val="003473C9"/>
    <w:rsid w:val="0035170A"/>
    <w:rsid w:val="00353527"/>
    <w:rsid w:val="003545DC"/>
    <w:rsid w:val="00354D7B"/>
    <w:rsid w:val="003609A3"/>
    <w:rsid w:val="00365A27"/>
    <w:rsid w:val="00366FBC"/>
    <w:rsid w:val="00367625"/>
    <w:rsid w:val="003735B2"/>
    <w:rsid w:val="003746B8"/>
    <w:rsid w:val="00374CB5"/>
    <w:rsid w:val="003810E7"/>
    <w:rsid w:val="0038227F"/>
    <w:rsid w:val="0038701B"/>
    <w:rsid w:val="00393440"/>
    <w:rsid w:val="00393BDD"/>
    <w:rsid w:val="00395A5E"/>
    <w:rsid w:val="00396091"/>
    <w:rsid w:val="003969A3"/>
    <w:rsid w:val="003969A8"/>
    <w:rsid w:val="003A03A9"/>
    <w:rsid w:val="003A1948"/>
    <w:rsid w:val="003A1B74"/>
    <w:rsid w:val="003A69FC"/>
    <w:rsid w:val="003A6F30"/>
    <w:rsid w:val="003A7E41"/>
    <w:rsid w:val="003B062D"/>
    <w:rsid w:val="003B285F"/>
    <w:rsid w:val="003B40CD"/>
    <w:rsid w:val="003B432C"/>
    <w:rsid w:val="003C2269"/>
    <w:rsid w:val="003C6F16"/>
    <w:rsid w:val="003C764D"/>
    <w:rsid w:val="003D0841"/>
    <w:rsid w:val="003D0C0D"/>
    <w:rsid w:val="003D1BF6"/>
    <w:rsid w:val="003D2519"/>
    <w:rsid w:val="003D32AE"/>
    <w:rsid w:val="003D3D27"/>
    <w:rsid w:val="003D400B"/>
    <w:rsid w:val="003D4023"/>
    <w:rsid w:val="003D4CE2"/>
    <w:rsid w:val="003E61E4"/>
    <w:rsid w:val="003E73AB"/>
    <w:rsid w:val="0040127F"/>
    <w:rsid w:val="004037C0"/>
    <w:rsid w:val="00406835"/>
    <w:rsid w:val="0040787E"/>
    <w:rsid w:val="00411F7A"/>
    <w:rsid w:val="00412C71"/>
    <w:rsid w:val="00417068"/>
    <w:rsid w:val="00417A89"/>
    <w:rsid w:val="00422EBC"/>
    <w:rsid w:val="004269FC"/>
    <w:rsid w:val="00426A4A"/>
    <w:rsid w:val="00430790"/>
    <w:rsid w:val="0043096E"/>
    <w:rsid w:val="00430BD7"/>
    <w:rsid w:val="00432689"/>
    <w:rsid w:val="0043341D"/>
    <w:rsid w:val="0043410E"/>
    <w:rsid w:val="004342E8"/>
    <w:rsid w:val="00436C97"/>
    <w:rsid w:val="0044055D"/>
    <w:rsid w:val="00440647"/>
    <w:rsid w:val="00441464"/>
    <w:rsid w:val="004422E6"/>
    <w:rsid w:val="004430B5"/>
    <w:rsid w:val="00444018"/>
    <w:rsid w:val="0044559A"/>
    <w:rsid w:val="00446E7B"/>
    <w:rsid w:val="00453907"/>
    <w:rsid w:val="00454F6B"/>
    <w:rsid w:val="004552B5"/>
    <w:rsid w:val="00455986"/>
    <w:rsid w:val="004571CA"/>
    <w:rsid w:val="00457538"/>
    <w:rsid w:val="00464827"/>
    <w:rsid w:val="0047075C"/>
    <w:rsid w:val="00471434"/>
    <w:rsid w:val="00472FF0"/>
    <w:rsid w:val="00473008"/>
    <w:rsid w:val="00473162"/>
    <w:rsid w:val="00474473"/>
    <w:rsid w:val="00485C9B"/>
    <w:rsid w:val="00493867"/>
    <w:rsid w:val="004944CF"/>
    <w:rsid w:val="00497CF8"/>
    <w:rsid w:val="004A2D10"/>
    <w:rsid w:val="004A324A"/>
    <w:rsid w:val="004A352C"/>
    <w:rsid w:val="004A4041"/>
    <w:rsid w:val="004A44DC"/>
    <w:rsid w:val="004A6519"/>
    <w:rsid w:val="004B31FF"/>
    <w:rsid w:val="004B439A"/>
    <w:rsid w:val="004B7031"/>
    <w:rsid w:val="004B7A95"/>
    <w:rsid w:val="004B7E99"/>
    <w:rsid w:val="004C2030"/>
    <w:rsid w:val="004C3B06"/>
    <w:rsid w:val="004C4A07"/>
    <w:rsid w:val="004C5635"/>
    <w:rsid w:val="004C5B1E"/>
    <w:rsid w:val="004C6842"/>
    <w:rsid w:val="004D0C5E"/>
    <w:rsid w:val="004D1FDD"/>
    <w:rsid w:val="004D505A"/>
    <w:rsid w:val="004D54C1"/>
    <w:rsid w:val="004E12DE"/>
    <w:rsid w:val="004E428E"/>
    <w:rsid w:val="004F0094"/>
    <w:rsid w:val="004F0622"/>
    <w:rsid w:val="004F6633"/>
    <w:rsid w:val="004F6C8F"/>
    <w:rsid w:val="004F6CA9"/>
    <w:rsid w:val="004F7A26"/>
    <w:rsid w:val="004F7B97"/>
    <w:rsid w:val="005011A6"/>
    <w:rsid w:val="00506EC7"/>
    <w:rsid w:val="005076BA"/>
    <w:rsid w:val="0051080F"/>
    <w:rsid w:val="005108E0"/>
    <w:rsid w:val="00511572"/>
    <w:rsid w:val="00512550"/>
    <w:rsid w:val="00512760"/>
    <w:rsid w:val="00512831"/>
    <w:rsid w:val="0051287D"/>
    <w:rsid w:val="00515DF7"/>
    <w:rsid w:val="00521AA3"/>
    <w:rsid w:val="005230D0"/>
    <w:rsid w:val="00524889"/>
    <w:rsid w:val="00524C8A"/>
    <w:rsid w:val="00525CA5"/>
    <w:rsid w:val="00526F56"/>
    <w:rsid w:val="0053076F"/>
    <w:rsid w:val="005317CC"/>
    <w:rsid w:val="00537242"/>
    <w:rsid w:val="00537390"/>
    <w:rsid w:val="00540FEF"/>
    <w:rsid w:val="0054292B"/>
    <w:rsid w:val="00543193"/>
    <w:rsid w:val="00546800"/>
    <w:rsid w:val="00547D3F"/>
    <w:rsid w:val="00547E32"/>
    <w:rsid w:val="005512C4"/>
    <w:rsid w:val="00553C3A"/>
    <w:rsid w:val="00556CD7"/>
    <w:rsid w:val="0056315C"/>
    <w:rsid w:val="00564769"/>
    <w:rsid w:val="00566EA5"/>
    <w:rsid w:val="00570A22"/>
    <w:rsid w:val="005736AD"/>
    <w:rsid w:val="00574262"/>
    <w:rsid w:val="00575C6E"/>
    <w:rsid w:val="00576FA4"/>
    <w:rsid w:val="0058064C"/>
    <w:rsid w:val="0058398C"/>
    <w:rsid w:val="00584ED4"/>
    <w:rsid w:val="0058535D"/>
    <w:rsid w:val="00586E54"/>
    <w:rsid w:val="005878E6"/>
    <w:rsid w:val="00587F69"/>
    <w:rsid w:val="00593B9F"/>
    <w:rsid w:val="005974FF"/>
    <w:rsid w:val="005A03FF"/>
    <w:rsid w:val="005A0A89"/>
    <w:rsid w:val="005A2E22"/>
    <w:rsid w:val="005C1B5F"/>
    <w:rsid w:val="005C2A09"/>
    <w:rsid w:val="005C4550"/>
    <w:rsid w:val="005C58BA"/>
    <w:rsid w:val="005C5C71"/>
    <w:rsid w:val="005C76A9"/>
    <w:rsid w:val="005D0222"/>
    <w:rsid w:val="005D590F"/>
    <w:rsid w:val="005E60B1"/>
    <w:rsid w:val="005F36DF"/>
    <w:rsid w:val="006012B7"/>
    <w:rsid w:val="00602293"/>
    <w:rsid w:val="00602CDA"/>
    <w:rsid w:val="006040D4"/>
    <w:rsid w:val="006042FA"/>
    <w:rsid w:val="0060436C"/>
    <w:rsid w:val="00607120"/>
    <w:rsid w:val="006103F7"/>
    <w:rsid w:val="00610CA8"/>
    <w:rsid w:val="00610DCF"/>
    <w:rsid w:val="00611A51"/>
    <w:rsid w:val="0061207D"/>
    <w:rsid w:val="00616490"/>
    <w:rsid w:val="006216E8"/>
    <w:rsid w:val="006239DA"/>
    <w:rsid w:val="006242B6"/>
    <w:rsid w:val="00624688"/>
    <w:rsid w:val="006257E5"/>
    <w:rsid w:val="00627376"/>
    <w:rsid w:val="00631D09"/>
    <w:rsid w:val="00633B3F"/>
    <w:rsid w:val="0063734F"/>
    <w:rsid w:val="006418B8"/>
    <w:rsid w:val="00642513"/>
    <w:rsid w:val="00642CB3"/>
    <w:rsid w:val="00643ACA"/>
    <w:rsid w:val="006450FA"/>
    <w:rsid w:val="006464CB"/>
    <w:rsid w:val="006475B4"/>
    <w:rsid w:val="00647938"/>
    <w:rsid w:val="00647988"/>
    <w:rsid w:val="00650A53"/>
    <w:rsid w:val="006525E6"/>
    <w:rsid w:val="0065796C"/>
    <w:rsid w:val="00660496"/>
    <w:rsid w:val="00660647"/>
    <w:rsid w:val="0066067B"/>
    <w:rsid w:val="00663F26"/>
    <w:rsid w:val="006660D1"/>
    <w:rsid w:val="006715FF"/>
    <w:rsid w:val="00673A9B"/>
    <w:rsid w:val="00673B19"/>
    <w:rsid w:val="006754C8"/>
    <w:rsid w:val="00680995"/>
    <w:rsid w:val="00683126"/>
    <w:rsid w:val="00685707"/>
    <w:rsid w:val="00687A30"/>
    <w:rsid w:val="00687D3F"/>
    <w:rsid w:val="0069075F"/>
    <w:rsid w:val="00690F58"/>
    <w:rsid w:val="006934AB"/>
    <w:rsid w:val="006A2B89"/>
    <w:rsid w:val="006A50AD"/>
    <w:rsid w:val="006B0EC4"/>
    <w:rsid w:val="006B6E7D"/>
    <w:rsid w:val="006C1778"/>
    <w:rsid w:val="006C3116"/>
    <w:rsid w:val="006C4171"/>
    <w:rsid w:val="006C45DC"/>
    <w:rsid w:val="006C6484"/>
    <w:rsid w:val="006D1392"/>
    <w:rsid w:val="006D1C90"/>
    <w:rsid w:val="006D35D9"/>
    <w:rsid w:val="006D6149"/>
    <w:rsid w:val="006D7391"/>
    <w:rsid w:val="006D7E76"/>
    <w:rsid w:val="006E0126"/>
    <w:rsid w:val="006E1580"/>
    <w:rsid w:val="006E52BA"/>
    <w:rsid w:val="006F0C15"/>
    <w:rsid w:val="006F10B1"/>
    <w:rsid w:val="006F342A"/>
    <w:rsid w:val="006F50E2"/>
    <w:rsid w:val="006F5BEC"/>
    <w:rsid w:val="006F7032"/>
    <w:rsid w:val="006F783A"/>
    <w:rsid w:val="006F7AD2"/>
    <w:rsid w:val="006F7E43"/>
    <w:rsid w:val="00701DDD"/>
    <w:rsid w:val="0070603B"/>
    <w:rsid w:val="0070654D"/>
    <w:rsid w:val="00710EEE"/>
    <w:rsid w:val="007151E1"/>
    <w:rsid w:val="007167CA"/>
    <w:rsid w:val="0072151C"/>
    <w:rsid w:val="00723800"/>
    <w:rsid w:val="00723C5F"/>
    <w:rsid w:val="0072466A"/>
    <w:rsid w:val="00725661"/>
    <w:rsid w:val="00725BED"/>
    <w:rsid w:val="007261D8"/>
    <w:rsid w:val="00727B5B"/>
    <w:rsid w:val="007358C2"/>
    <w:rsid w:val="00746A74"/>
    <w:rsid w:val="00747578"/>
    <w:rsid w:val="00747994"/>
    <w:rsid w:val="00751F5B"/>
    <w:rsid w:val="0075205B"/>
    <w:rsid w:val="0075325C"/>
    <w:rsid w:val="00756BD3"/>
    <w:rsid w:val="007606CD"/>
    <w:rsid w:val="007612E1"/>
    <w:rsid w:val="0076161E"/>
    <w:rsid w:val="00762259"/>
    <w:rsid w:val="007631FF"/>
    <w:rsid w:val="00764866"/>
    <w:rsid w:val="00767767"/>
    <w:rsid w:val="00773664"/>
    <w:rsid w:val="00774A38"/>
    <w:rsid w:val="00774D28"/>
    <w:rsid w:val="0077609B"/>
    <w:rsid w:val="007771AF"/>
    <w:rsid w:val="00782343"/>
    <w:rsid w:val="007851C7"/>
    <w:rsid w:val="007873F3"/>
    <w:rsid w:val="0079265E"/>
    <w:rsid w:val="00796A79"/>
    <w:rsid w:val="00797C55"/>
    <w:rsid w:val="007A0FB6"/>
    <w:rsid w:val="007A3303"/>
    <w:rsid w:val="007A583B"/>
    <w:rsid w:val="007A5BDF"/>
    <w:rsid w:val="007A6321"/>
    <w:rsid w:val="007A67E2"/>
    <w:rsid w:val="007B225E"/>
    <w:rsid w:val="007B2BC7"/>
    <w:rsid w:val="007B6DF2"/>
    <w:rsid w:val="007B71EB"/>
    <w:rsid w:val="007C082F"/>
    <w:rsid w:val="007C1BFA"/>
    <w:rsid w:val="007C3C5F"/>
    <w:rsid w:val="007C46B0"/>
    <w:rsid w:val="007C47C4"/>
    <w:rsid w:val="007C5201"/>
    <w:rsid w:val="007D4F9D"/>
    <w:rsid w:val="007D64A6"/>
    <w:rsid w:val="007E67DC"/>
    <w:rsid w:val="007E71FA"/>
    <w:rsid w:val="007F2834"/>
    <w:rsid w:val="007F3CC5"/>
    <w:rsid w:val="007F7116"/>
    <w:rsid w:val="007F7346"/>
    <w:rsid w:val="008002DC"/>
    <w:rsid w:val="0080137D"/>
    <w:rsid w:val="00802656"/>
    <w:rsid w:val="00802DFB"/>
    <w:rsid w:val="00804542"/>
    <w:rsid w:val="008059C0"/>
    <w:rsid w:val="0080707B"/>
    <w:rsid w:val="00807A49"/>
    <w:rsid w:val="008100CB"/>
    <w:rsid w:val="008103F2"/>
    <w:rsid w:val="0081157E"/>
    <w:rsid w:val="00811787"/>
    <w:rsid w:val="00811B66"/>
    <w:rsid w:val="00811CB2"/>
    <w:rsid w:val="0081294D"/>
    <w:rsid w:val="0081336F"/>
    <w:rsid w:val="00813819"/>
    <w:rsid w:val="00816539"/>
    <w:rsid w:val="00817E7F"/>
    <w:rsid w:val="00820822"/>
    <w:rsid w:val="008224E5"/>
    <w:rsid w:val="00822712"/>
    <w:rsid w:val="00824162"/>
    <w:rsid w:val="008265E3"/>
    <w:rsid w:val="0083320F"/>
    <w:rsid w:val="00837F1D"/>
    <w:rsid w:val="008402AE"/>
    <w:rsid w:val="00844621"/>
    <w:rsid w:val="0085252A"/>
    <w:rsid w:val="00853527"/>
    <w:rsid w:val="008542E2"/>
    <w:rsid w:val="0085740A"/>
    <w:rsid w:val="008603CC"/>
    <w:rsid w:val="00860E44"/>
    <w:rsid w:val="008613AA"/>
    <w:rsid w:val="008642EA"/>
    <w:rsid w:val="00866152"/>
    <w:rsid w:val="0086659E"/>
    <w:rsid w:val="0086758D"/>
    <w:rsid w:val="00872581"/>
    <w:rsid w:val="00872B0E"/>
    <w:rsid w:val="00875060"/>
    <w:rsid w:val="00875DD8"/>
    <w:rsid w:val="00876DC4"/>
    <w:rsid w:val="008773C2"/>
    <w:rsid w:val="00884E6E"/>
    <w:rsid w:val="00886228"/>
    <w:rsid w:val="00892053"/>
    <w:rsid w:val="008928B9"/>
    <w:rsid w:val="00894068"/>
    <w:rsid w:val="00894C84"/>
    <w:rsid w:val="0089619A"/>
    <w:rsid w:val="008A47F8"/>
    <w:rsid w:val="008A58A3"/>
    <w:rsid w:val="008A6551"/>
    <w:rsid w:val="008A6E94"/>
    <w:rsid w:val="008A7883"/>
    <w:rsid w:val="008B026A"/>
    <w:rsid w:val="008B67B1"/>
    <w:rsid w:val="008C1F59"/>
    <w:rsid w:val="008C4405"/>
    <w:rsid w:val="008C749E"/>
    <w:rsid w:val="008D01F8"/>
    <w:rsid w:val="008D7117"/>
    <w:rsid w:val="008D7667"/>
    <w:rsid w:val="008E36FF"/>
    <w:rsid w:val="008E3F95"/>
    <w:rsid w:val="008E4E63"/>
    <w:rsid w:val="008E5C8E"/>
    <w:rsid w:val="008F1273"/>
    <w:rsid w:val="008F2050"/>
    <w:rsid w:val="008F26CC"/>
    <w:rsid w:val="008F469C"/>
    <w:rsid w:val="008F6BDB"/>
    <w:rsid w:val="008F755A"/>
    <w:rsid w:val="00903D25"/>
    <w:rsid w:val="00904DDF"/>
    <w:rsid w:val="00905E81"/>
    <w:rsid w:val="00906A13"/>
    <w:rsid w:val="00910CB6"/>
    <w:rsid w:val="00912E17"/>
    <w:rsid w:val="00915AC6"/>
    <w:rsid w:val="00916217"/>
    <w:rsid w:val="00917A04"/>
    <w:rsid w:val="009213F9"/>
    <w:rsid w:val="00921B7E"/>
    <w:rsid w:val="00923A16"/>
    <w:rsid w:val="00924285"/>
    <w:rsid w:val="00926CDC"/>
    <w:rsid w:val="00933F56"/>
    <w:rsid w:val="00934C5A"/>
    <w:rsid w:val="00936004"/>
    <w:rsid w:val="00936D54"/>
    <w:rsid w:val="00937DD8"/>
    <w:rsid w:val="00941480"/>
    <w:rsid w:val="009473A9"/>
    <w:rsid w:val="009520CD"/>
    <w:rsid w:val="00953AB6"/>
    <w:rsid w:val="00955F5D"/>
    <w:rsid w:val="00955F76"/>
    <w:rsid w:val="00957154"/>
    <w:rsid w:val="009620D8"/>
    <w:rsid w:val="00962F5B"/>
    <w:rsid w:val="00963EE2"/>
    <w:rsid w:val="00971104"/>
    <w:rsid w:val="00973258"/>
    <w:rsid w:val="009749FB"/>
    <w:rsid w:val="009759EA"/>
    <w:rsid w:val="00977821"/>
    <w:rsid w:val="00981323"/>
    <w:rsid w:val="00981332"/>
    <w:rsid w:val="00981829"/>
    <w:rsid w:val="0098290A"/>
    <w:rsid w:val="00983886"/>
    <w:rsid w:val="00984253"/>
    <w:rsid w:val="009844EB"/>
    <w:rsid w:val="009846FB"/>
    <w:rsid w:val="009859F2"/>
    <w:rsid w:val="009901B1"/>
    <w:rsid w:val="00991BCB"/>
    <w:rsid w:val="00996666"/>
    <w:rsid w:val="00997306"/>
    <w:rsid w:val="009A1A76"/>
    <w:rsid w:val="009A1E83"/>
    <w:rsid w:val="009A2520"/>
    <w:rsid w:val="009A2B0B"/>
    <w:rsid w:val="009A365C"/>
    <w:rsid w:val="009A54B0"/>
    <w:rsid w:val="009A5CAA"/>
    <w:rsid w:val="009A7A49"/>
    <w:rsid w:val="009A7A97"/>
    <w:rsid w:val="009B22CE"/>
    <w:rsid w:val="009B42BD"/>
    <w:rsid w:val="009B4BF7"/>
    <w:rsid w:val="009B72E7"/>
    <w:rsid w:val="009B7E3E"/>
    <w:rsid w:val="009C0413"/>
    <w:rsid w:val="009C2A49"/>
    <w:rsid w:val="009C5DFE"/>
    <w:rsid w:val="009C6C9C"/>
    <w:rsid w:val="009D1AE6"/>
    <w:rsid w:val="009D3C2A"/>
    <w:rsid w:val="009D3EBD"/>
    <w:rsid w:val="009D53FA"/>
    <w:rsid w:val="009E0A55"/>
    <w:rsid w:val="009E1259"/>
    <w:rsid w:val="009E4638"/>
    <w:rsid w:val="009E509D"/>
    <w:rsid w:val="009E5E06"/>
    <w:rsid w:val="009F29C4"/>
    <w:rsid w:val="009F2A5D"/>
    <w:rsid w:val="009F3F32"/>
    <w:rsid w:val="009F553A"/>
    <w:rsid w:val="009F78A8"/>
    <w:rsid w:val="009F7F27"/>
    <w:rsid w:val="00A02003"/>
    <w:rsid w:val="00A0342D"/>
    <w:rsid w:val="00A136E8"/>
    <w:rsid w:val="00A21935"/>
    <w:rsid w:val="00A22D6C"/>
    <w:rsid w:val="00A2363B"/>
    <w:rsid w:val="00A26EC6"/>
    <w:rsid w:val="00A34874"/>
    <w:rsid w:val="00A352AB"/>
    <w:rsid w:val="00A35B32"/>
    <w:rsid w:val="00A35CAA"/>
    <w:rsid w:val="00A42714"/>
    <w:rsid w:val="00A4331A"/>
    <w:rsid w:val="00A454F5"/>
    <w:rsid w:val="00A45D6E"/>
    <w:rsid w:val="00A50A23"/>
    <w:rsid w:val="00A56202"/>
    <w:rsid w:val="00A6571E"/>
    <w:rsid w:val="00A65A97"/>
    <w:rsid w:val="00A66D57"/>
    <w:rsid w:val="00A679A8"/>
    <w:rsid w:val="00A67F13"/>
    <w:rsid w:val="00A7025B"/>
    <w:rsid w:val="00A7536E"/>
    <w:rsid w:val="00A779DD"/>
    <w:rsid w:val="00A81055"/>
    <w:rsid w:val="00A83053"/>
    <w:rsid w:val="00A84C69"/>
    <w:rsid w:val="00A85A81"/>
    <w:rsid w:val="00A867B6"/>
    <w:rsid w:val="00A90480"/>
    <w:rsid w:val="00A90A86"/>
    <w:rsid w:val="00A90CBE"/>
    <w:rsid w:val="00A93E1F"/>
    <w:rsid w:val="00AA5E36"/>
    <w:rsid w:val="00AA67C5"/>
    <w:rsid w:val="00AA6FCD"/>
    <w:rsid w:val="00AA7D3E"/>
    <w:rsid w:val="00AB2290"/>
    <w:rsid w:val="00AB5920"/>
    <w:rsid w:val="00AB5AEB"/>
    <w:rsid w:val="00AB6923"/>
    <w:rsid w:val="00AB7FC1"/>
    <w:rsid w:val="00AC0919"/>
    <w:rsid w:val="00AC1D48"/>
    <w:rsid w:val="00AC3D44"/>
    <w:rsid w:val="00AC5183"/>
    <w:rsid w:val="00AC77C2"/>
    <w:rsid w:val="00AD13AF"/>
    <w:rsid w:val="00AD4054"/>
    <w:rsid w:val="00AD43D9"/>
    <w:rsid w:val="00AD7DD6"/>
    <w:rsid w:val="00AE021E"/>
    <w:rsid w:val="00AE1593"/>
    <w:rsid w:val="00AE33D4"/>
    <w:rsid w:val="00AE5646"/>
    <w:rsid w:val="00AE734C"/>
    <w:rsid w:val="00AF243F"/>
    <w:rsid w:val="00AF3C5C"/>
    <w:rsid w:val="00AF7AC1"/>
    <w:rsid w:val="00B0211F"/>
    <w:rsid w:val="00B03C12"/>
    <w:rsid w:val="00B0532C"/>
    <w:rsid w:val="00B0538D"/>
    <w:rsid w:val="00B058E5"/>
    <w:rsid w:val="00B11B2E"/>
    <w:rsid w:val="00B12677"/>
    <w:rsid w:val="00B13304"/>
    <w:rsid w:val="00B14556"/>
    <w:rsid w:val="00B15A10"/>
    <w:rsid w:val="00B15A8F"/>
    <w:rsid w:val="00B24397"/>
    <w:rsid w:val="00B249E3"/>
    <w:rsid w:val="00B25D50"/>
    <w:rsid w:val="00B26773"/>
    <w:rsid w:val="00B274ED"/>
    <w:rsid w:val="00B35BB1"/>
    <w:rsid w:val="00B37F51"/>
    <w:rsid w:val="00B40BF6"/>
    <w:rsid w:val="00B4186B"/>
    <w:rsid w:val="00B42AA4"/>
    <w:rsid w:val="00B43F20"/>
    <w:rsid w:val="00B460A6"/>
    <w:rsid w:val="00B47B26"/>
    <w:rsid w:val="00B54112"/>
    <w:rsid w:val="00B55A2A"/>
    <w:rsid w:val="00B626DD"/>
    <w:rsid w:val="00B64222"/>
    <w:rsid w:val="00B66448"/>
    <w:rsid w:val="00B670B0"/>
    <w:rsid w:val="00B70281"/>
    <w:rsid w:val="00B7075C"/>
    <w:rsid w:val="00B71888"/>
    <w:rsid w:val="00B7205E"/>
    <w:rsid w:val="00B81354"/>
    <w:rsid w:val="00B8337E"/>
    <w:rsid w:val="00B862FC"/>
    <w:rsid w:val="00B869A8"/>
    <w:rsid w:val="00B9000D"/>
    <w:rsid w:val="00B90FE5"/>
    <w:rsid w:val="00B93F0C"/>
    <w:rsid w:val="00B9456B"/>
    <w:rsid w:val="00B96A05"/>
    <w:rsid w:val="00B97867"/>
    <w:rsid w:val="00B97AFC"/>
    <w:rsid w:val="00BA0997"/>
    <w:rsid w:val="00BA3596"/>
    <w:rsid w:val="00BA38AF"/>
    <w:rsid w:val="00BA435C"/>
    <w:rsid w:val="00BA4D65"/>
    <w:rsid w:val="00BA57BD"/>
    <w:rsid w:val="00BA5E70"/>
    <w:rsid w:val="00BA7852"/>
    <w:rsid w:val="00BA7EDF"/>
    <w:rsid w:val="00BB1301"/>
    <w:rsid w:val="00BB176E"/>
    <w:rsid w:val="00BB4070"/>
    <w:rsid w:val="00BB57C3"/>
    <w:rsid w:val="00BC00EA"/>
    <w:rsid w:val="00BC07F2"/>
    <w:rsid w:val="00BC24BC"/>
    <w:rsid w:val="00BC3A84"/>
    <w:rsid w:val="00BC4D15"/>
    <w:rsid w:val="00BC4EEF"/>
    <w:rsid w:val="00BC5EBC"/>
    <w:rsid w:val="00BC66A7"/>
    <w:rsid w:val="00BD1F5F"/>
    <w:rsid w:val="00BD2A8C"/>
    <w:rsid w:val="00BD6AF0"/>
    <w:rsid w:val="00BE110B"/>
    <w:rsid w:val="00BE1AF2"/>
    <w:rsid w:val="00BE2FBB"/>
    <w:rsid w:val="00BE5845"/>
    <w:rsid w:val="00BE646F"/>
    <w:rsid w:val="00BE73CE"/>
    <w:rsid w:val="00BF01B9"/>
    <w:rsid w:val="00BF2DAF"/>
    <w:rsid w:val="00BF3217"/>
    <w:rsid w:val="00BF4001"/>
    <w:rsid w:val="00BF5921"/>
    <w:rsid w:val="00BF617F"/>
    <w:rsid w:val="00BF7E5A"/>
    <w:rsid w:val="00C004EC"/>
    <w:rsid w:val="00C02254"/>
    <w:rsid w:val="00C026ED"/>
    <w:rsid w:val="00C03B2D"/>
    <w:rsid w:val="00C03EBB"/>
    <w:rsid w:val="00C11F0F"/>
    <w:rsid w:val="00C13065"/>
    <w:rsid w:val="00C16800"/>
    <w:rsid w:val="00C16C94"/>
    <w:rsid w:val="00C205DD"/>
    <w:rsid w:val="00C21F8C"/>
    <w:rsid w:val="00C2440C"/>
    <w:rsid w:val="00C254D7"/>
    <w:rsid w:val="00C27DFA"/>
    <w:rsid w:val="00C30089"/>
    <w:rsid w:val="00C33364"/>
    <w:rsid w:val="00C355B1"/>
    <w:rsid w:val="00C35644"/>
    <w:rsid w:val="00C361BD"/>
    <w:rsid w:val="00C3674C"/>
    <w:rsid w:val="00C368B9"/>
    <w:rsid w:val="00C36B80"/>
    <w:rsid w:val="00C43E70"/>
    <w:rsid w:val="00C44515"/>
    <w:rsid w:val="00C479B0"/>
    <w:rsid w:val="00C47D02"/>
    <w:rsid w:val="00C51A91"/>
    <w:rsid w:val="00C53F36"/>
    <w:rsid w:val="00C54DFA"/>
    <w:rsid w:val="00C57708"/>
    <w:rsid w:val="00C61894"/>
    <w:rsid w:val="00C70959"/>
    <w:rsid w:val="00C74B2D"/>
    <w:rsid w:val="00C76036"/>
    <w:rsid w:val="00C80D06"/>
    <w:rsid w:val="00C82173"/>
    <w:rsid w:val="00C82BFB"/>
    <w:rsid w:val="00C84AED"/>
    <w:rsid w:val="00C856F0"/>
    <w:rsid w:val="00C86897"/>
    <w:rsid w:val="00C93DCE"/>
    <w:rsid w:val="00C94049"/>
    <w:rsid w:val="00C9457B"/>
    <w:rsid w:val="00C94A69"/>
    <w:rsid w:val="00C9779A"/>
    <w:rsid w:val="00CA472F"/>
    <w:rsid w:val="00CB0413"/>
    <w:rsid w:val="00CB5DFB"/>
    <w:rsid w:val="00CB69BB"/>
    <w:rsid w:val="00CB7691"/>
    <w:rsid w:val="00CC2D69"/>
    <w:rsid w:val="00CC3A85"/>
    <w:rsid w:val="00CC7DDE"/>
    <w:rsid w:val="00CD16D2"/>
    <w:rsid w:val="00CD1C2D"/>
    <w:rsid w:val="00CD4B57"/>
    <w:rsid w:val="00CD775E"/>
    <w:rsid w:val="00CE0E7F"/>
    <w:rsid w:val="00CE1BD1"/>
    <w:rsid w:val="00CE1FFC"/>
    <w:rsid w:val="00CE79EC"/>
    <w:rsid w:val="00CF150B"/>
    <w:rsid w:val="00CF2351"/>
    <w:rsid w:val="00CF2675"/>
    <w:rsid w:val="00CF5CEF"/>
    <w:rsid w:val="00D00B19"/>
    <w:rsid w:val="00D02BC2"/>
    <w:rsid w:val="00D03639"/>
    <w:rsid w:val="00D041A5"/>
    <w:rsid w:val="00D06423"/>
    <w:rsid w:val="00D06BD8"/>
    <w:rsid w:val="00D1224B"/>
    <w:rsid w:val="00D140B9"/>
    <w:rsid w:val="00D1466C"/>
    <w:rsid w:val="00D14DBF"/>
    <w:rsid w:val="00D17D63"/>
    <w:rsid w:val="00D25694"/>
    <w:rsid w:val="00D2678C"/>
    <w:rsid w:val="00D3489B"/>
    <w:rsid w:val="00D40109"/>
    <w:rsid w:val="00D40997"/>
    <w:rsid w:val="00D4312E"/>
    <w:rsid w:val="00D43385"/>
    <w:rsid w:val="00D4368E"/>
    <w:rsid w:val="00D43B65"/>
    <w:rsid w:val="00D479D8"/>
    <w:rsid w:val="00D47A5C"/>
    <w:rsid w:val="00D53230"/>
    <w:rsid w:val="00D533D3"/>
    <w:rsid w:val="00D54780"/>
    <w:rsid w:val="00D56719"/>
    <w:rsid w:val="00D60678"/>
    <w:rsid w:val="00D61570"/>
    <w:rsid w:val="00D61717"/>
    <w:rsid w:val="00D65B28"/>
    <w:rsid w:val="00D70D27"/>
    <w:rsid w:val="00D73AE4"/>
    <w:rsid w:val="00D73ECA"/>
    <w:rsid w:val="00D75061"/>
    <w:rsid w:val="00D808C2"/>
    <w:rsid w:val="00D824A9"/>
    <w:rsid w:val="00D82CD7"/>
    <w:rsid w:val="00D82DA8"/>
    <w:rsid w:val="00D92D66"/>
    <w:rsid w:val="00D92EF0"/>
    <w:rsid w:val="00D93FCF"/>
    <w:rsid w:val="00D94B7D"/>
    <w:rsid w:val="00DA0C9B"/>
    <w:rsid w:val="00DA2D0C"/>
    <w:rsid w:val="00DA2E49"/>
    <w:rsid w:val="00DA3351"/>
    <w:rsid w:val="00DA34D3"/>
    <w:rsid w:val="00DA4A33"/>
    <w:rsid w:val="00DA557D"/>
    <w:rsid w:val="00DA6573"/>
    <w:rsid w:val="00DB0E34"/>
    <w:rsid w:val="00DC26C7"/>
    <w:rsid w:val="00DC270C"/>
    <w:rsid w:val="00DD2448"/>
    <w:rsid w:val="00DD5149"/>
    <w:rsid w:val="00DD5899"/>
    <w:rsid w:val="00DD67AB"/>
    <w:rsid w:val="00DD6C98"/>
    <w:rsid w:val="00DD760E"/>
    <w:rsid w:val="00DE2C9C"/>
    <w:rsid w:val="00DE517E"/>
    <w:rsid w:val="00DF0CA5"/>
    <w:rsid w:val="00DF339E"/>
    <w:rsid w:val="00DF4690"/>
    <w:rsid w:val="00DF4D23"/>
    <w:rsid w:val="00DF646D"/>
    <w:rsid w:val="00DF71C0"/>
    <w:rsid w:val="00E01975"/>
    <w:rsid w:val="00E0479E"/>
    <w:rsid w:val="00E076C8"/>
    <w:rsid w:val="00E07F99"/>
    <w:rsid w:val="00E1038A"/>
    <w:rsid w:val="00E157A8"/>
    <w:rsid w:val="00E21029"/>
    <w:rsid w:val="00E21686"/>
    <w:rsid w:val="00E235B9"/>
    <w:rsid w:val="00E25698"/>
    <w:rsid w:val="00E25A55"/>
    <w:rsid w:val="00E26A45"/>
    <w:rsid w:val="00E33FB2"/>
    <w:rsid w:val="00E43ADF"/>
    <w:rsid w:val="00E449F5"/>
    <w:rsid w:val="00E45087"/>
    <w:rsid w:val="00E454EB"/>
    <w:rsid w:val="00E4711C"/>
    <w:rsid w:val="00E50F66"/>
    <w:rsid w:val="00E52505"/>
    <w:rsid w:val="00E53723"/>
    <w:rsid w:val="00E56ABF"/>
    <w:rsid w:val="00E61607"/>
    <w:rsid w:val="00E66C39"/>
    <w:rsid w:val="00E72A38"/>
    <w:rsid w:val="00E7380C"/>
    <w:rsid w:val="00E75D0E"/>
    <w:rsid w:val="00E7678F"/>
    <w:rsid w:val="00E7722A"/>
    <w:rsid w:val="00E80CAC"/>
    <w:rsid w:val="00E820A0"/>
    <w:rsid w:val="00E90721"/>
    <w:rsid w:val="00E910E6"/>
    <w:rsid w:val="00E92AD8"/>
    <w:rsid w:val="00E93208"/>
    <w:rsid w:val="00EA31ED"/>
    <w:rsid w:val="00EA38D9"/>
    <w:rsid w:val="00EA4BE0"/>
    <w:rsid w:val="00EA5EBF"/>
    <w:rsid w:val="00EB002E"/>
    <w:rsid w:val="00EB09B3"/>
    <w:rsid w:val="00EB2E7E"/>
    <w:rsid w:val="00EB4857"/>
    <w:rsid w:val="00EB6B30"/>
    <w:rsid w:val="00EB708D"/>
    <w:rsid w:val="00EB7776"/>
    <w:rsid w:val="00EC2F7D"/>
    <w:rsid w:val="00EC3AA5"/>
    <w:rsid w:val="00ED5BC3"/>
    <w:rsid w:val="00ED7C21"/>
    <w:rsid w:val="00EE4AA8"/>
    <w:rsid w:val="00EF2CBB"/>
    <w:rsid w:val="00EF4242"/>
    <w:rsid w:val="00EF6FFC"/>
    <w:rsid w:val="00EF70B5"/>
    <w:rsid w:val="00F0189F"/>
    <w:rsid w:val="00F0289B"/>
    <w:rsid w:val="00F045DC"/>
    <w:rsid w:val="00F065C1"/>
    <w:rsid w:val="00F11B07"/>
    <w:rsid w:val="00F11FE5"/>
    <w:rsid w:val="00F15BAA"/>
    <w:rsid w:val="00F15D40"/>
    <w:rsid w:val="00F16B22"/>
    <w:rsid w:val="00F17CE9"/>
    <w:rsid w:val="00F2100A"/>
    <w:rsid w:val="00F22BAA"/>
    <w:rsid w:val="00F2374F"/>
    <w:rsid w:val="00F23872"/>
    <w:rsid w:val="00F23E9C"/>
    <w:rsid w:val="00F23F36"/>
    <w:rsid w:val="00F2538E"/>
    <w:rsid w:val="00F2592F"/>
    <w:rsid w:val="00F25C4E"/>
    <w:rsid w:val="00F2784A"/>
    <w:rsid w:val="00F30735"/>
    <w:rsid w:val="00F318E4"/>
    <w:rsid w:val="00F34766"/>
    <w:rsid w:val="00F40AA3"/>
    <w:rsid w:val="00F41058"/>
    <w:rsid w:val="00F41075"/>
    <w:rsid w:val="00F421B0"/>
    <w:rsid w:val="00F433C7"/>
    <w:rsid w:val="00F43452"/>
    <w:rsid w:val="00F443F9"/>
    <w:rsid w:val="00F44AD3"/>
    <w:rsid w:val="00F44AF1"/>
    <w:rsid w:val="00F455E5"/>
    <w:rsid w:val="00F52A41"/>
    <w:rsid w:val="00F56AAC"/>
    <w:rsid w:val="00F57295"/>
    <w:rsid w:val="00F6376F"/>
    <w:rsid w:val="00F66494"/>
    <w:rsid w:val="00F67D58"/>
    <w:rsid w:val="00F700E4"/>
    <w:rsid w:val="00F71763"/>
    <w:rsid w:val="00F73C3D"/>
    <w:rsid w:val="00F741B8"/>
    <w:rsid w:val="00F8190F"/>
    <w:rsid w:val="00F81C74"/>
    <w:rsid w:val="00F81D28"/>
    <w:rsid w:val="00F81FE0"/>
    <w:rsid w:val="00F85519"/>
    <w:rsid w:val="00F9115E"/>
    <w:rsid w:val="00F96CC1"/>
    <w:rsid w:val="00FA07D0"/>
    <w:rsid w:val="00FA0A3C"/>
    <w:rsid w:val="00FA181E"/>
    <w:rsid w:val="00FA1ECA"/>
    <w:rsid w:val="00FA4E0F"/>
    <w:rsid w:val="00FA5824"/>
    <w:rsid w:val="00FA613A"/>
    <w:rsid w:val="00FB0E5D"/>
    <w:rsid w:val="00FB27A5"/>
    <w:rsid w:val="00FB29FA"/>
    <w:rsid w:val="00FB42C6"/>
    <w:rsid w:val="00FB6190"/>
    <w:rsid w:val="00FB6791"/>
    <w:rsid w:val="00FC45CF"/>
    <w:rsid w:val="00FD5565"/>
    <w:rsid w:val="00FD6D86"/>
    <w:rsid w:val="00FD7B63"/>
    <w:rsid w:val="00FE0391"/>
    <w:rsid w:val="00FE0BD6"/>
    <w:rsid w:val="00FE548C"/>
    <w:rsid w:val="00FF09EC"/>
    <w:rsid w:val="00FF5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608D1"/>
  <w15:docId w15:val="{414BA37C-6811-48E2-ADA2-450BF42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512760"/>
    <w:pPr>
      <w:keepNext/>
      <w:spacing w:after="0" w:line="240" w:lineRule="auto"/>
      <w:jc w:val="center"/>
      <w:outlineLvl w:val="0"/>
    </w:pPr>
    <w:rPr>
      <w:rFonts w:ascii="Verdana" w:eastAsia="Calibri" w:hAnsi="Verdana" w:cs="Times New Roman"/>
      <w:b/>
      <w:bCs/>
      <w:caps/>
      <w:sz w:val="28"/>
      <w:szCs w:val="28"/>
      <w:lang w:val="es-ES_tradnl" w:eastAsia="es-ES"/>
    </w:rPr>
  </w:style>
  <w:style w:type="paragraph" w:styleId="Ttulo2">
    <w:name w:val="heading 2"/>
    <w:basedOn w:val="Normal"/>
    <w:next w:val="Normal"/>
    <w:link w:val="Ttulo2Car"/>
    <w:uiPriority w:val="9"/>
    <w:unhideWhenUsed/>
    <w:qFormat/>
    <w:rsid w:val="000C14C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12760"/>
    <w:rPr>
      <w:rFonts w:ascii="Verdana" w:eastAsia="Calibri" w:hAnsi="Verdana" w:cs="Times New Roman"/>
      <w:b/>
      <w:bCs/>
      <w:caps/>
      <w:sz w:val="28"/>
      <w:szCs w:val="28"/>
      <w:lang w:val="es-ES_tradnl" w:eastAsia="es-ES"/>
    </w:rPr>
  </w:style>
  <w:style w:type="paragraph" w:styleId="Prrafodelista">
    <w:name w:val="List Paragraph"/>
    <w:aliases w:val="Footnote,Párrafo de lista1,Colorful List - Accent 11,List Paragraph2,List Paragraph1,Lista vistosa - Énfasis 11"/>
    <w:basedOn w:val="Normal"/>
    <w:link w:val="PrrafodelistaCar"/>
    <w:uiPriority w:val="99"/>
    <w:qFormat/>
    <w:rsid w:val="00512760"/>
    <w:pPr>
      <w:spacing w:after="0" w:line="240" w:lineRule="auto"/>
      <w:ind w:left="720"/>
    </w:pPr>
    <w:rPr>
      <w:rFonts w:ascii="Times" w:eastAsia="Calibri" w:hAnsi="Times" w:cs="Times"/>
      <w:sz w:val="24"/>
      <w:szCs w:val="24"/>
      <w:lang w:val="es-ES_tradnl" w:eastAsia="es-E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link w:val="4GChar"/>
    <w:qFormat/>
    <w:rsid w:val="00512760"/>
    <w:rPr>
      <w:rFonts w:ascii="Verdana" w:hAnsi="Verdana" w:cs="Verdana"/>
      <w:sz w:val="16"/>
      <w:szCs w:val="16"/>
      <w:vertAlign w:val="superscript"/>
    </w:rPr>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footnote text,C"/>
    <w:basedOn w:val="Normal"/>
    <w:link w:val="TextonotapieCar"/>
    <w:autoRedefine/>
    <w:qFormat/>
    <w:rsid w:val="00DA3351"/>
    <w:pPr>
      <w:tabs>
        <w:tab w:val="left" w:pos="720"/>
      </w:tabs>
      <w:spacing w:after="0" w:line="240" w:lineRule="auto"/>
      <w:jc w:val="both"/>
    </w:pPr>
    <w:rPr>
      <w:rFonts w:ascii="Verdana" w:eastAsia="Calibri" w:hAnsi="Verdana" w:cs="Times New Roman"/>
      <w:sz w:val="16"/>
      <w:szCs w:val="16"/>
      <w:lang w:val="es-ES_tradnl" w:eastAsia="es-ES"/>
    </w:rPr>
  </w:style>
  <w:style w:type="character" w:customStyle="1" w:styleId="TextonotapieCar">
    <w:name w:val="Texto nota pie Car"/>
    <w:aliases w:val="FA Fu Car1,Footnote Text Char Char Char Char Char Car,Footnote Text Char Char Char Char Car,Footnote reference Car,Footnote Text Char Char Char Car,FA Fu Car Car1,FA Fu Car Car Car,Footnote Text Cha Car,FA Fußnotentext Car,Ca Car"/>
    <w:basedOn w:val="Fuentedeprrafopredeter"/>
    <w:link w:val="Textonotapie"/>
    <w:qFormat/>
    <w:rsid w:val="00DA3351"/>
    <w:rPr>
      <w:rFonts w:ascii="Verdana" w:eastAsia="Calibri" w:hAnsi="Verdana" w:cs="Times New Roman"/>
      <w:sz w:val="16"/>
      <w:szCs w:val="16"/>
      <w:lang w:val="es-ES_tradnl" w:eastAsia="es-ES"/>
    </w:rPr>
  </w:style>
  <w:style w:type="paragraph" w:styleId="Textoindependiente2">
    <w:name w:val="Body Text 2"/>
    <w:basedOn w:val="Normal"/>
    <w:link w:val="Textoindependiente2Car"/>
    <w:rsid w:val="00512760"/>
    <w:pPr>
      <w:spacing w:after="120" w:line="480" w:lineRule="auto"/>
    </w:pPr>
    <w:rPr>
      <w:rFonts w:ascii="Times" w:eastAsia="Times" w:hAnsi="Times" w:cs="Times New Roman"/>
      <w:sz w:val="24"/>
      <w:szCs w:val="20"/>
      <w:lang w:val="es-ES_tradnl" w:eastAsia="es-ES"/>
    </w:rPr>
  </w:style>
  <w:style w:type="character" w:customStyle="1" w:styleId="Textoindependiente2Car">
    <w:name w:val="Texto independiente 2 Car"/>
    <w:basedOn w:val="Fuentedeprrafopredeter"/>
    <w:link w:val="Textoindependiente2"/>
    <w:rsid w:val="00512760"/>
    <w:rPr>
      <w:rFonts w:ascii="Times" w:eastAsia="Times" w:hAnsi="Times" w:cs="Times New Roman"/>
      <w:sz w:val="24"/>
      <w:szCs w:val="20"/>
      <w:lang w:val="es-ES_tradnl" w:eastAsia="es-ES"/>
    </w:rPr>
  </w:style>
  <w:style w:type="character" w:styleId="Textoennegrita">
    <w:name w:val="Strong"/>
    <w:basedOn w:val="Fuentedeprrafopredeter"/>
    <w:uiPriority w:val="22"/>
    <w:qFormat/>
    <w:rsid w:val="00512760"/>
    <w:rPr>
      <w:b/>
      <w:bCs/>
    </w:rPr>
  </w:style>
  <w:style w:type="paragraph" w:styleId="Textodeglobo">
    <w:name w:val="Balloon Text"/>
    <w:basedOn w:val="Normal"/>
    <w:link w:val="TextodegloboCar"/>
    <w:uiPriority w:val="99"/>
    <w:semiHidden/>
    <w:unhideWhenUsed/>
    <w:rsid w:val="005127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60"/>
    <w:rPr>
      <w:rFonts w:ascii="Tahoma" w:eastAsiaTheme="minorEastAsia" w:hAnsi="Tahoma" w:cs="Tahoma"/>
      <w:sz w:val="16"/>
      <w:szCs w:val="16"/>
      <w:lang w:val="es-CR" w:eastAsia="es-CR"/>
    </w:rPr>
  </w:style>
  <w:style w:type="character" w:styleId="Refdecomentario">
    <w:name w:val="annotation reference"/>
    <w:basedOn w:val="Fuentedeprrafopredeter"/>
    <w:uiPriority w:val="99"/>
    <w:semiHidden/>
    <w:unhideWhenUsed/>
    <w:rsid w:val="00934C5A"/>
    <w:rPr>
      <w:sz w:val="16"/>
      <w:szCs w:val="16"/>
    </w:rPr>
  </w:style>
  <w:style w:type="paragraph" w:styleId="Textocomentario">
    <w:name w:val="annotation text"/>
    <w:basedOn w:val="Normal"/>
    <w:link w:val="TextocomentarioCar"/>
    <w:uiPriority w:val="99"/>
    <w:semiHidden/>
    <w:unhideWhenUsed/>
    <w:rsid w:val="00934C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4C5A"/>
    <w:rPr>
      <w:rFonts w:eastAsiaTheme="minorEastAsia"/>
      <w:sz w:val="20"/>
      <w:szCs w:val="20"/>
      <w:lang w:val="es-CR" w:eastAsia="es-CR"/>
    </w:rPr>
  </w:style>
  <w:style w:type="paragraph" w:styleId="Asuntodelcomentario">
    <w:name w:val="annotation subject"/>
    <w:basedOn w:val="Textocomentario"/>
    <w:next w:val="Textocomentario"/>
    <w:link w:val="AsuntodelcomentarioCar"/>
    <w:uiPriority w:val="99"/>
    <w:semiHidden/>
    <w:unhideWhenUsed/>
    <w:rsid w:val="00934C5A"/>
    <w:rPr>
      <w:b/>
      <w:bCs/>
    </w:rPr>
  </w:style>
  <w:style w:type="character" w:customStyle="1" w:styleId="AsuntodelcomentarioCar">
    <w:name w:val="Asunto del comentario Car"/>
    <w:basedOn w:val="TextocomentarioCar"/>
    <w:link w:val="Asuntodelcomentario"/>
    <w:uiPriority w:val="99"/>
    <w:semiHidden/>
    <w:rsid w:val="00934C5A"/>
    <w:rPr>
      <w:rFonts w:eastAsiaTheme="minorEastAsia"/>
      <w:b/>
      <w:bCs/>
      <w:sz w:val="20"/>
      <w:szCs w:val="20"/>
      <w:lang w:val="es-CR" w:eastAsia="es-CR"/>
    </w:rPr>
  </w:style>
  <w:style w:type="paragraph" w:styleId="Encabezado">
    <w:name w:val="header"/>
    <w:basedOn w:val="Normal"/>
    <w:link w:val="EncabezadoCar"/>
    <w:uiPriority w:val="99"/>
    <w:unhideWhenUsed/>
    <w:rsid w:val="00BC4EE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4EEF"/>
    <w:rPr>
      <w:rFonts w:eastAsiaTheme="minorEastAsia"/>
      <w:lang w:val="es-CR" w:eastAsia="es-CR"/>
    </w:rPr>
  </w:style>
  <w:style w:type="paragraph" w:styleId="Piedepgina">
    <w:name w:val="footer"/>
    <w:basedOn w:val="Normal"/>
    <w:link w:val="PiedepginaCar"/>
    <w:uiPriority w:val="99"/>
    <w:unhideWhenUsed/>
    <w:rsid w:val="00BC4EE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C4EEF"/>
    <w:rPr>
      <w:rFonts w:eastAsiaTheme="minorEastAsia"/>
      <w:lang w:val="es-CR" w:eastAsia="es-CR"/>
    </w:rPr>
  </w:style>
  <w:style w:type="paragraph" w:styleId="Revisin">
    <w:name w:val="Revision"/>
    <w:hidden/>
    <w:uiPriority w:val="99"/>
    <w:semiHidden/>
    <w:rsid w:val="00D82DA8"/>
    <w:pPr>
      <w:spacing w:after="0" w:line="240" w:lineRule="auto"/>
    </w:pPr>
  </w:style>
  <w:style w:type="character" w:styleId="Hipervnculo">
    <w:name w:val="Hyperlink"/>
    <w:basedOn w:val="Fuentedeprrafopredeter"/>
    <w:uiPriority w:val="99"/>
    <w:unhideWhenUsed/>
    <w:rsid w:val="00B25D50"/>
    <w:rPr>
      <w:color w:val="0000FF" w:themeColor="hyperlink"/>
      <w:u w:val="single"/>
    </w:rPr>
  </w:style>
  <w:style w:type="character" w:customStyle="1" w:styleId="Ttulo2Car">
    <w:name w:val="Título 2 Car"/>
    <w:basedOn w:val="Fuentedeprrafopredeter"/>
    <w:link w:val="Ttulo2"/>
    <w:uiPriority w:val="9"/>
    <w:rsid w:val="000C14C4"/>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4A44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basedOn w:val="Fuentedeprrafopredeter"/>
    <w:uiPriority w:val="99"/>
    <w:locked/>
    <w:rsid w:val="00204D14"/>
    <w:rPr>
      <w:rFonts w:ascii="Verdana" w:hAnsi="Verdana"/>
      <w:lang w:eastAsia="es-ES"/>
    </w:rPr>
  </w:style>
  <w:style w:type="paragraph" w:styleId="Sinespaciado">
    <w:name w:val="No Spacing"/>
    <w:uiPriority w:val="1"/>
    <w:qFormat/>
    <w:rsid w:val="00457538"/>
    <w:pPr>
      <w:spacing w:after="0" w:line="240" w:lineRule="auto"/>
    </w:pPr>
  </w:style>
  <w:style w:type="paragraph" w:customStyle="1" w:styleId="textbox">
    <w:name w:val="textbox"/>
    <w:basedOn w:val="Normal"/>
    <w:rsid w:val="002C7646"/>
    <w:pPr>
      <w:spacing w:before="100" w:beforeAutospacing="1" w:after="100" w:afterAutospacing="1" w:line="240" w:lineRule="auto"/>
    </w:pPr>
    <w:rPr>
      <w:rFonts w:ascii="Times New Roman" w:hAnsi="Times New Roman" w:cs="Times New Roman"/>
      <w:sz w:val="24"/>
      <w:szCs w:val="24"/>
      <w:lang w:val="en-US" w:eastAsia="en-US"/>
    </w:rPr>
  </w:style>
  <w:style w:type="character" w:styleId="Nmerodelnea">
    <w:name w:val="line number"/>
    <w:basedOn w:val="Fuentedeprrafopredeter"/>
    <w:uiPriority w:val="99"/>
    <w:semiHidden/>
    <w:unhideWhenUsed/>
    <w:rsid w:val="006F0C15"/>
  </w:style>
  <w:style w:type="character" w:customStyle="1" w:styleId="PrrafodelistaCar">
    <w:name w:val="Párrafo de lista Car"/>
    <w:aliases w:val="Footnote Car,Párrafo de lista1 Car,Colorful List - Accent 11 Car,List Paragraph2 Car,List Paragraph1 Car,Lista vistosa - Énfasis 11 Car"/>
    <w:link w:val="Prrafodelista"/>
    <w:uiPriority w:val="99"/>
    <w:locked/>
    <w:rsid w:val="00241A63"/>
    <w:rPr>
      <w:rFonts w:ascii="Times" w:eastAsia="Calibri" w:hAnsi="Times" w:cs="Times"/>
      <w:sz w:val="24"/>
      <w:szCs w:val="24"/>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08E0"/>
    <w:pPr>
      <w:spacing w:after="0" w:line="240" w:lineRule="auto"/>
      <w:jc w:val="both"/>
    </w:pPr>
    <w:rPr>
      <w:rFonts w:ascii="Verdana" w:hAnsi="Verdana" w:cs="Verdana"/>
      <w:sz w:val="16"/>
      <w:szCs w:val="16"/>
      <w:vertAlign w:val="superscript"/>
    </w:rPr>
  </w:style>
  <w:style w:type="paragraph" w:customStyle="1" w:styleId="ParaAttribute3">
    <w:name w:val="ParaAttribute3"/>
    <w:rsid w:val="005108E0"/>
    <w:pPr>
      <w:widowControl w:val="0"/>
      <w:wordWrap w:val="0"/>
      <w:spacing w:after="0" w:line="240" w:lineRule="auto"/>
      <w:jc w:val="both"/>
    </w:pPr>
    <w:rPr>
      <w:rFonts w:ascii="Times New Roman" w:eastAsia="Batang" w:hAnsi="Times New Roman" w:cs="Times New Roman"/>
      <w:sz w:val="20"/>
      <w:szCs w:val="20"/>
      <w:lang w:val="en-US" w:eastAsia="en-US"/>
    </w:rPr>
  </w:style>
  <w:style w:type="character" w:customStyle="1" w:styleId="CharAttribute31">
    <w:name w:val="CharAttribute31"/>
    <w:rsid w:val="005108E0"/>
    <w:rPr>
      <w:rFonts w:ascii="Verdana" w:eastAsia="Verdana" w:hAnsi="Verdana" w:hint="default"/>
      <w:sz w:val="16"/>
    </w:rPr>
  </w:style>
  <w:style w:type="character" w:customStyle="1" w:styleId="CharAttribute33">
    <w:name w:val="CharAttribute33"/>
    <w:rsid w:val="005108E0"/>
    <w:rPr>
      <w:rFonts w:ascii="Verdana" w:eastAsia="Verdana" w:hAnsi="Verdana" w:hint="default"/>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3979">
      <w:bodyDiv w:val="1"/>
      <w:marLeft w:val="0"/>
      <w:marRight w:val="0"/>
      <w:marTop w:val="0"/>
      <w:marBottom w:val="0"/>
      <w:divBdr>
        <w:top w:val="none" w:sz="0" w:space="0" w:color="auto"/>
        <w:left w:val="none" w:sz="0" w:space="0" w:color="auto"/>
        <w:bottom w:val="none" w:sz="0" w:space="0" w:color="auto"/>
        <w:right w:val="none" w:sz="0" w:space="0" w:color="auto"/>
      </w:divBdr>
    </w:div>
    <w:div w:id="195625465">
      <w:bodyDiv w:val="1"/>
      <w:marLeft w:val="0"/>
      <w:marRight w:val="0"/>
      <w:marTop w:val="0"/>
      <w:marBottom w:val="0"/>
      <w:divBdr>
        <w:top w:val="none" w:sz="0" w:space="0" w:color="auto"/>
        <w:left w:val="none" w:sz="0" w:space="0" w:color="auto"/>
        <w:bottom w:val="none" w:sz="0" w:space="0" w:color="auto"/>
        <w:right w:val="none" w:sz="0" w:space="0" w:color="auto"/>
      </w:divBdr>
    </w:div>
    <w:div w:id="327752887">
      <w:bodyDiv w:val="1"/>
      <w:marLeft w:val="0"/>
      <w:marRight w:val="0"/>
      <w:marTop w:val="0"/>
      <w:marBottom w:val="0"/>
      <w:divBdr>
        <w:top w:val="none" w:sz="0" w:space="0" w:color="auto"/>
        <w:left w:val="none" w:sz="0" w:space="0" w:color="auto"/>
        <w:bottom w:val="none" w:sz="0" w:space="0" w:color="auto"/>
        <w:right w:val="none" w:sz="0" w:space="0" w:color="auto"/>
      </w:divBdr>
    </w:div>
    <w:div w:id="570190532">
      <w:bodyDiv w:val="1"/>
      <w:marLeft w:val="0"/>
      <w:marRight w:val="0"/>
      <w:marTop w:val="0"/>
      <w:marBottom w:val="0"/>
      <w:divBdr>
        <w:top w:val="none" w:sz="0" w:space="0" w:color="auto"/>
        <w:left w:val="none" w:sz="0" w:space="0" w:color="auto"/>
        <w:bottom w:val="none" w:sz="0" w:space="0" w:color="auto"/>
        <w:right w:val="none" w:sz="0" w:space="0" w:color="auto"/>
      </w:divBdr>
    </w:div>
    <w:div w:id="673994459">
      <w:bodyDiv w:val="1"/>
      <w:marLeft w:val="0"/>
      <w:marRight w:val="0"/>
      <w:marTop w:val="0"/>
      <w:marBottom w:val="0"/>
      <w:divBdr>
        <w:top w:val="none" w:sz="0" w:space="0" w:color="auto"/>
        <w:left w:val="none" w:sz="0" w:space="0" w:color="auto"/>
        <w:bottom w:val="none" w:sz="0" w:space="0" w:color="auto"/>
        <w:right w:val="none" w:sz="0" w:space="0" w:color="auto"/>
      </w:divBdr>
    </w:div>
    <w:div w:id="774054000">
      <w:bodyDiv w:val="1"/>
      <w:marLeft w:val="0"/>
      <w:marRight w:val="0"/>
      <w:marTop w:val="0"/>
      <w:marBottom w:val="0"/>
      <w:divBdr>
        <w:top w:val="none" w:sz="0" w:space="0" w:color="auto"/>
        <w:left w:val="none" w:sz="0" w:space="0" w:color="auto"/>
        <w:bottom w:val="none" w:sz="0" w:space="0" w:color="auto"/>
        <w:right w:val="none" w:sz="0" w:space="0" w:color="auto"/>
      </w:divBdr>
    </w:div>
    <w:div w:id="1006254122">
      <w:bodyDiv w:val="1"/>
      <w:marLeft w:val="0"/>
      <w:marRight w:val="0"/>
      <w:marTop w:val="0"/>
      <w:marBottom w:val="0"/>
      <w:divBdr>
        <w:top w:val="none" w:sz="0" w:space="0" w:color="auto"/>
        <w:left w:val="none" w:sz="0" w:space="0" w:color="auto"/>
        <w:bottom w:val="none" w:sz="0" w:space="0" w:color="auto"/>
        <w:right w:val="none" w:sz="0" w:space="0" w:color="auto"/>
      </w:divBdr>
    </w:div>
    <w:div w:id="1064722474">
      <w:bodyDiv w:val="1"/>
      <w:marLeft w:val="0"/>
      <w:marRight w:val="0"/>
      <w:marTop w:val="0"/>
      <w:marBottom w:val="0"/>
      <w:divBdr>
        <w:top w:val="none" w:sz="0" w:space="0" w:color="auto"/>
        <w:left w:val="none" w:sz="0" w:space="0" w:color="auto"/>
        <w:bottom w:val="none" w:sz="0" w:space="0" w:color="auto"/>
        <w:right w:val="none" w:sz="0" w:space="0" w:color="auto"/>
      </w:divBdr>
    </w:div>
    <w:div w:id="1226257487">
      <w:bodyDiv w:val="1"/>
      <w:marLeft w:val="0"/>
      <w:marRight w:val="0"/>
      <w:marTop w:val="0"/>
      <w:marBottom w:val="0"/>
      <w:divBdr>
        <w:top w:val="none" w:sz="0" w:space="0" w:color="auto"/>
        <w:left w:val="none" w:sz="0" w:space="0" w:color="auto"/>
        <w:bottom w:val="none" w:sz="0" w:space="0" w:color="auto"/>
        <w:right w:val="none" w:sz="0" w:space="0" w:color="auto"/>
      </w:divBdr>
    </w:div>
    <w:div w:id="1468862842">
      <w:bodyDiv w:val="1"/>
      <w:marLeft w:val="0"/>
      <w:marRight w:val="0"/>
      <w:marTop w:val="0"/>
      <w:marBottom w:val="0"/>
      <w:divBdr>
        <w:top w:val="none" w:sz="0" w:space="0" w:color="auto"/>
        <w:left w:val="none" w:sz="0" w:space="0" w:color="auto"/>
        <w:bottom w:val="none" w:sz="0" w:space="0" w:color="auto"/>
        <w:right w:val="none" w:sz="0" w:space="0" w:color="auto"/>
      </w:divBdr>
    </w:div>
    <w:div w:id="1707606241">
      <w:bodyDiv w:val="1"/>
      <w:marLeft w:val="0"/>
      <w:marRight w:val="0"/>
      <w:marTop w:val="0"/>
      <w:marBottom w:val="0"/>
      <w:divBdr>
        <w:top w:val="none" w:sz="0" w:space="0" w:color="auto"/>
        <w:left w:val="none" w:sz="0" w:space="0" w:color="auto"/>
        <w:bottom w:val="none" w:sz="0" w:space="0" w:color="auto"/>
        <w:right w:val="none" w:sz="0" w:space="0" w:color="auto"/>
      </w:divBdr>
    </w:div>
    <w:div w:id="1761682873">
      <w:bodyDiv w:val="1"/>
      <w:marLeft w:val="0"/>
      <w:marRight w:val="0"/>
      <w:marTop w:val="0"/>
      <w:marBottom w:val="0"/>
      <w:divBdr>
        <w:top w:val="none" w:sz="0" w:space="0" w:color="auto"/>
        <w:left w:val="none" w:sz="0" w:space="0" w:color="auto"/>
        <w:bottom w:val="none" w:sz="0" w:space="0" w:color="auto"/>
        <w:right w:val="none" w:sz="0" w:space="0" w:color="auto"/>
      </w:divBdr>
    </w:div>
    <w:div w:id="1790318634">
      <w:bodyDiv w:val="1"/>
      <w:marLeft w:val="0"/>
      <w:marRight w:val="0"/>
      <w:marTop w:val="0"/>
      <w:marBottom w:val="0"/>
      <w:divBdr>
        <w:top w:val="none" w:sz="0" w:space="0" w:color="auto"/>
        <w:left w:val="none" w:sz="0" w:space="0" w:color="auto"/>
        <w:bottom w:val="none" w:sz="0" w:space="0" w:color="auto"/>
        <w:right w:val="none" w:sz="0" w:space="0" w:color="auto"/>
      </w:divBdr>
    </w:div>
    <w:div w:id="1938321482">
      <w:bodyDiv w:val="1"/>
      <w:marLeft w:val="0"/>
      <w:marRight w:val="0"/>
      <w:marTop w:val="0"/>
      <w:marBottom w:val="0"/>
      <w:divBdr>
        <w:top w:val="none" w:sz="0" w:space="0" w:color="auto"/>
        <w:left w:val="none" w:sz="0" w:space="0" w:color="auto"/>
        <w:bottom w:val="none" w:sz="0" w:space="0" w:color="auto"/>
        <w:right w:val="none" w:sz="0" w:space="0" w:color="auto"/>
      </w:divBdr>
    </w:div>
    <w:div w:id="1953778033">
      <w:bodyDiv w:val="1"/>
      <w:marLeft w:val="0"/>
      <w:marRight w:val="0"/>
      <w:marTop w:val="0"/>
      <w:marBottom w:val="0"/>
      <w:divBdr>
        <w:top w:val="none" w:sz="0" w:space="0" w:color="auto"/>
        <w:left w:val="none" w:sz="0" w:space="0" w:color="auto"/>
        <w:bottom w:val="none" w:sz="0" w:space="0" w:color="auto"/>
        <w:right w:val="none" w:sz="0" w:space="0" w:color="auto"/>
      </w:divBdr>
    </w:div>
    <w:div w:id="1963804572">
      <w:bodyDiv w:val="1"/>
      <w:marLeft w:val="0"/>
      <w:marRight w:val="0"/>
      <w:marTop w:val="0"/>
      <w:marBottom w:val="0"/>
      <w:divBdr>
        <w:top w:val="none" w:sz="0" w:space="0" w:color="auto"/>
        <w:left w:val="none" w:sz="0" w:space="0" w:color="auto"/>
        <w:bottom w:val="none" w:sz="0" w:space="0" w:color="auto"/>
        <w:right w:val="none" w:sz="0" w:space="0" w:color="auto"/>
      </w:divBdr>
    </w:div>
    <w:div w:id="2058311096">
      <w:bodyDiv w:val="1"/>
      <w:marLeft w:val="0"/>
      <w:marRight w:val="0"/>
      <w:marTop w:val="0"/>
      <w:marBottom w:val="0"/>
      <w:divBdr>
        <w:top w:val="none" w:sz="0" w:space="0" w:color="auto"/>
        <w:left w:val="none" w:sz="0" w:space="0" w:color="auto"/>
        <w:bottom w:val="none" w:sz="0" w:space="0" w:color="auto"/>
        <w:right w:val="none" w:sz="0" w:space="0" w:color="auto"/>
      </w:divBdr>
    </w:div>
    <w:div w:id="20765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4333EB-3E66-407B-9C9D-8A89249AA2EB}">
  <ds:schemaRefs>
    <ds:schemaRef ds:uri="http://schemas.openxmlformats.org/officeDocument/2006/bibliography"/>
  </ds:schemaRefs>
</ds:datastoreItem>
</file>

<file path=customXml/itemProps2.xml><?xml version="1.0" encoding="utf-8"?>
<ds:datastoreItem xmlns:ds="http://schemas.openxmlformats.org/officeDocument/2006/customXml" ds:itemID="{70B24484-6A88-4027-B018-3A46D077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32C68C-3142-43D1-814C-44E9CBDE9507}">
  <ds:schemaRefs>
    <ds:schemaRef ds:uri="http://schemas.microsoft.com/sharepoint/v3/contenttype/forms"/>
  </ds:schemaRefs>
</ds:datastoreItem>
</file>

<file path=customXml/itemProps4.xml><?xml version="1.0" encoding="utf-8"?>
<ds:datastoreItem xmlns:ds="http://schemas.openxmlformats.org/officeDocument/2006/customXml" ds:itemID="{8BCC874C-D7DA-453D-AA8A-D4FC5B495DA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5033</Words>
  <Characters>27687</Characters>
  <Application>Microsoft Office Word</Application>
  <DocSecurity>4</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Ana Rita Ramirez</cp:lastModifiedBy>
  <cp:revision>2</cp:revision>
  <cp:lastPrinted>2020-12-11T19:53:00Z</cp:lastPrinted>
  <dcterms:created xsi:type="dcterms:W3CDTF">2020-12-11T22:30:00Z</dcterms:created>
  <dcterms:modified xsi:type="dcterms:W3CDTF">2020-12-11T22:30:00Z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