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DFDC1" w14:textId="77777777" w:rsidR="002859C6" w:rsidRDefault="002859C6" w:rsidP="002859C6">
      <w:pPr>
        <w:tabs>
          <w:tab w:val="left" w:pos="567"/>
        </w:tabs>
        <w:spacing w:after="0" w:line="240" w:lineRule="auto"/>
        <w:jc w:val="center"/>
        <w:rPr>
          <w:rFonts w:ascii="Verdana" w:hAnsi="Verdana"/>
          <w:b/>
          <w:spacing w:val="-4"/>
          <w:sz w:val="20"/>
          <w:lang w:val="es-MX"/>
        </w:rPr>
      </w:pPr>
      <w:bookmarkStart w:id="0" w:name="_GoBack"/>
      <w:bookmarkEnd w:id="0"/>
    </w:p>
    <w:p w14:paraId="6DB99782" w14:textId="77777777" w:rsidR="002E629A" w:rsidRDefault="002E629A" w:rsidP="002859C6">
      <w:pPr>
        <w:tabs>
          <w:tab w:val="left" w:pos="567"/>
        </w:tabs>
        <w:spacing w:after="0" w:line="240" w:lineRule="auto"/>
        <w:jc w:val="center"/>
        <w:rPr>
          <w:rFonts w:ascii="Verdana" w:hAnsi="Verdana"/>
          <w:b/>
          <w:spacing w:val="-4"/>
          <w:sz w:val="20"/>
          <w:lang w:val="es-MX"/>
        </w:rPr>
      </w:pPr>
    </w:p>
    <w:p w14:paraId="17D7488C" w14:textId="77777777" w:rsidR="002E629A" w:rsidRDefault="002E629A" w:rsidP="002859C6">
      <w:pPr>
        <w:tabs>
          <w:tab w:val="left" w:pos="567"/>
        </w:tabs>
        <w:spacing w:after="0" w:line="240" w:lineRule="auto"/>
        <w:jc w:val="center"/>
        <w:rPr>
          <w:rFonts w:ascii="Verdana" w:hAnsi="Verdana"/>
          <w:b/>
          <w:spacing w:val="-4"/>
          <w:sz w:val="20"/>
          <w:lang w:val="es-MX"/>
        </w:rPr>
      </w:pPr>
    </w:p>
    <w:p w14:paraId="668CAE93" w14:textId="77777777" w:rsidR="003E5C21" w:rsidRDefault="003E5C21" w:rsidP="002859C6">
      <w:pPr>
        <w:tabs>
          <w:tab w:val="left" w:pos="567"/>
        </w:tabs>
        <w:spacing w:after="0" w:line="240" w:lineRule="auto"/>
        <w:jc w:val="center"/>
        <w:rPr>
          <w:rFonts w:ascii="Verdana" w:hAnsi="Verdana"/>
          <w:b/>
          <w:spacing w:val="-4"/>
          <w:sz w:val="20"/>
          <w:lang w:val="es-MX"/>
        </w:rPr>
      </w:pPr>
    </w:p>
    <w:p w14:paraId="3E1238F6" w14:textId="77777777" w:rsidR="002859C6" w:rsidRPr="00BB5131" w:rsidRDefault="002859C6" w:rsidP="002859C6">
      <w:pPr>
        <w:tabs>
          <w:tab w:val="left" w:pos="567"/>
        </w:tabs>
        <w:spacing w:after="0" w:line="240" w:lineRule="auto"/>
        <w:jc w:val="center"/>
        <w:rPr>
          <w:rFonts w:ascii="Verdana" w:hAnsi="Verdana"/>
          <w:b/>
          <w:spacing w:val="-4"/>
          <w:sz w:val="20"/>
          <w:lang w:val="es-MX"/>
        </w:rPr>
      </w:pPr>
      <w:r w:rsidRPr="00BB5131">
        <w:rPr>
          <w:rFonts w:ascii="Verdana" w:hAnsi="Verdana"/>
          <w:b/>
          <w:spacing w:val="-4"/>
          <w:sz w:val="20"/>
          <w:lang w:val="es-MX"/>
        </w:rPr>
        <w:t xml:space="preserve">RESOLUCIÓN DE LA </w:t>
      </w:r>
    </w:p>
    <w:p w14:paraId="5C1FFCFF" w14:textId="77777777" w:rsidR="002859C6" w:rsidRPr="00BB5131" w:rsidRDefault="002859C6" w:rsidP="002859C6">
      <w:pPr>
        <w:tabs>
          <w:tab w:val="left" w:pos="567"/>
        </w:tabs>
        <w:spacing w:after="0" w:line="240" w:lineRule="auto"/>
        <w:jc w:val="center"/>
        <w:rPr>
          <w:rFonts w:ascii="Verdana" w:hAnsi="Verdana"/>
          <w:b/>
          <w:spacing w:val="-4"/>
          <w:sz w:val="20"/>
          <w:lang w:val="es-ES"/>
        </w:rPr>
      </w:pPr>
      <w:r w:rsidRPr="00BB5131">
        <w:rPr>
          <w:rFonts w:ascii="Verdana" w:hAnsi="Verdana"/>
          <w:b/>
          <w:spacing w:val="-4"/>
          <w:sz w:val="20"/>
          <w:lang w:val="es-MX"/>
        </w:rPr>
        <w:t>CORTE INTERAMERICANA DE DERECHOS HUMANOS</w:t>
      </w:r>
      <w:r w:rsidR="00EE1DBE" w:rsidRPr="00BB5131">
        <w:rPr>
          <w:rStyle w:val="FootnoteReference"/>
          <w:b/>
          <w:caps/>
          <w:lang w:val="es-ES"/>
        </w:rPr>
        <w:footnoteReference w:customMarkFollows="1" w:id="2"/>
        <w:t>*</w:t>
      </w:r>
    </w:p>
    <w:p w14:paraId="5239B55A" w14:textId="77777777" w:rsidR="002859C6" w:rsidRPr="00BB5131" w:rsidRDefault="002859C6" w:rsidP="002859C6">
      <w:pPr>
        <w:tabs>
          <w:tab w:val="left" w:pos="567"/>
        </w:tabs>
        <w:spacing w:after="0" w:line="240" w:lineRule="auto"/>
        <w:jc w:val="center"/>
        <w:rPr>
          <w:rFonts w:ascii="Garamond" w:hAnsi="Garamond"/>
          <w:b/>
          <w:spacing w:val="-4"/>
          <w:sz w:val="24"/>
          <w:lang w:val="es-ES_tradnl"/>
        </w:rPr>
      </w:pPr>
    </w:p>
    <w:p w14:paraId="0AEF1B0F" w14:textId="3AC825B3" w:rsidR="002859C6" w:rsidRPr="00BB5131" w:rsidRDefault="002859C6" w:rsidP="002859C6">
      <w:pPr>
        <w:tabs>
          <w:tab w:val="left" w:pos="567"/>
        </w:tabs>
        <w:spacing w:after="0" w:line="240" w:lineRule="auto"/>
        <w:jc w:val="center"/>
        <w:rPr>
          <w:rFonts w:ascii="Verdana" w:hAnsi="Verdana"/>
          <w:b/>
          <w:spacing w:val="-4"/>
          <w:sz w:val="20"/>
          <w:lang w:val="es-MX"/>
        </w:rPr>
      </w:pPr>
      <w:r w:rsidRPr="00BB5131">
        <w:rPr>
          <w:rFonts w:ascii="Verdana" w:hAnsi="Verdana"/>
          <w:b/>
          <w:spacing w:val="-4"/>
          <w:sz w:val="20"/>
          <w:lang w:val="es-MX"/>
        </w:rPr>
        <w:t xml:space="preserve">DE </w:t>
      </w:r>
      <w:r w:rsidR="00015BDC">
        <w:rPr>
          <w:rFonts w:ascii="Verdana" w:hAnsi="Verdana"/>
          <w:b/>
          <w:spacing w:val="-4"/>
          <w:sz w:val="20"/>
          <w:lang w:val="es-GT"/>
        </w:rPr>
        <w:t>25</w:t>
      </w:r>
      <w:r w:rsidRPr="00BB5131">
        <w:rPr>
          <w:rFonts w:ascii="Verdana" w:hAnsi="Verdana"/>
          <w:b/>
          <w:spacing w:val="-4"/>
          <w:sz w:val="20"/>
          <w:lang w:val="es-GT"/>
        </w:rPr>
        <w:t xml:space="preserve"> DE MARZO </w:t>
      </w:r>
      <w:r w:rsidRPr="00BB5131">
        <w:rPr>
          <w:rFonts w:ascii="Verdana" w:hAnsi="Verdana"/>
          <w:b/>
          <w:spacing w:val="-4"/>
          <w:sz w:val="20"/>
          <w:lang w:val="es-MX"/>
        </w:rPr>
        <w:t>DE 2017</w:t>
      </w:r>
    </w:p>
    <w:p w14:paraId="11EDCE5E" w14:textId="77777777" w:rsidR="002859C6" w:rsidRPr="00BB5131" w:rsidRDefault="002859C6" w:rsidP="002859C6">
      <w:pPr>
        <w:tabs>
          <w:tab w:val="left" w:pos="567"/>
        </w:tabs>
        <w:spacing w:after="0" w:line="240" w:lineRule="auto"/>
        <w:jc w:val="center"/>
        <w:rPr>
          <w:rFonts w:ascii="Verdana" w:hAnsi="Verdana"/>
          <w:b/>
          <w:spacing w:val="-4"/>
          <w:sz w:val="20"/>
          <w:lang w:val="es-MX"/>
        </w:rPr>
      </w:pPr>
    </w:p>
    <w:p w14:paraId="6B129D4D" w14:textId="77777777" w:rsidR="002859C6" w:rsidRPr="00BB5131" w:rsidRDefault="002859C6" w:rsidP="002859C6">
      <w:pPr>
        <w:tabs>
          <w:tab w:val="left" w:pos="567"/>
        </w:tabs>
        <w:spacing w:after="0" w:line="240" w:lineRule="auto"/>
        <w:jc w:val="center"/>
        <w:rPr>
          <w:rFonts w:ascii="Verdana" w:hAnsi="Verdana"/>
          <w:b/>
          <w:spacing w:val="-4"/>
          <w:sz w:val="20"/>
          <w:lang w:val="es-MX"/>
        </w:rPr>
      </w:pPr>
      <w:r w:rsidRPr="00BB5131">
        <w:rPr>
          <w:rFonts w:ascii="Verdana" w:hAnsi="Verdana"/>
          <w:b/>
          <w:spacing w:val="-4"/>
          <w:sz w:val="20"/>
          <w:lang w:val="es-MX"/>
        </w:rPr>
        <w:t xml:space="preserve">SOLICITUD DE MEDIDAS PROVISIONALES </w:t>
      </w:r>
    </w:p>
    <w:p w14:paraId="442972CE" w14:textId="4660F605" w:rsidR="002859C6" w:rsidRPr="00BB5131" w:rsidRDefault="002859C6" w:rsidP="002859C6">
      <w:pPr>
        <w:tabs>
          <w:tab w:val="left" w:pos="567"/>
        </w:tabs>
        <w:spacing w:after="0" w:line="240" w:lineRule="auto"/>
        <w:jc w:val="center"/>
        <w:rPr>
          <w:rFonts w:ascii="Verdana" w:hAnsi="Verdana"/>
          <w:b/>
          <w:spacing w:val="-4"/>
          <w:sz w:val="20"/>
          <w:lang w:val="es-MX"/>
        </w:rPr>
      </w:pPr>
      <w:r w:rsidRPr="00BB5131">
        <w:rPr>
          <w:rFonts w:ascii="Verdana" w:hAnsi="Verdana"/>
          <w:b/>
          <w:spacing w:val="-4"/>
          <w:sz w:val="20"/>
          <w:lang w:val="es-MX"/>
        </w:rPr>
        <w:t xml:space="preserve">RESPECTO </w:t>
      </w:r>
      <w:r w:rsidR="003E3A74" w:rsidRPr="00BB5131">
        <w:rPr>
          <w:rFonts w:ascii="Verdana" w:hAnsi="Verdana"/>
          <w:b/>
          <w:spacing w:val="-4"/>
          <w:sz w:val="20"/>
          <w:lang w:val="es-MX"/>
        </w:rPr>
        <w:t xml:space="preserve">DE </w:t>
      </w:r>
      <w:r w:rsidRPr="00BB5131">
        <w:rPr>
          <w:rFonts w:ascii="Verdana" w:hAnsi="Verdana"/>
          <w:b/>
          <w:spacing w:val="-4"/>
          <w:sz w:val="20"/>
          <w:lang w:val="es-MX"/>
        </w:rPr>
        <w:t>M</w:t>
      </w:r>
      <w:r w:rsidR="003E3A74" w:rsidRPr="00BB5131">
        <w:rPr>
          <w:rFonts w:ascii="Verdana" w:hAnsi="Verdana"/>
          <w:b/>
          <w:spacing w:val="-4"/>
          <w:sz w:val="20"/>
          <w:lang w:val="es-MX"/>
        </w:rPr>
        <w:t>É</w:t>
      </w:r>
      <w:r w:rsidRPr="00BB5131">
        <w:rPr>
          <w:rFonts w:ascii="Verdana" w:hAnsi="Verdana"/>
          <w:b/>
          <w:spacing w:val="-4"/>
          <w:sz w:val="20"/>
          <w:lang w:val="es-MX"/>
        </w:rPr>
        <w:t>XICO</w:t>
      </w:r>
    </w:p>
    <w:p w14:paraId="05262EF8" w14:textId="77777777" w:rsidR="002859C6" w:rsidRPr="00BB5131" w:rsidRDefault="002859C6" w:rsidP="002859C6">
      <w:pPr>
        <w:tabs>
          <w:tab w:val="left" w:pos="567"/>
        </w:tabs>
        <w:spacing w:after="0" w:line="240" w:lineRule="auto"/>
        <w:jc w:val="center"/>
        <w:rPr>
          <w:rFonts w:ascii="Verdana" w:hAnsi="Verdana"/>
          <w:b/>
          <w:spacing w:val="-4"/>
          <w:sz w:val="20"/>
          <w:lang w:val="es-MX"/>
        </w:rPr>
      </w:pPr>
    </w:p>
    <w:p w14:paraId="24E48350" w14:textId="77777777" w:rsidR="002859C6" w:rsidRPr="00BB5131" w:rsidRDefault="00531EFA" w:rsidP="005456A5">
      <w:pPr>
        <w:tabs>
          <w:tab w:val="left" w:pos="567"/>
        </w:tabs>
        <w:spacing w:after="0" w:line="240" w:lineRule="auto"/>
        <w:jc w:val="center"/>
        <w:rPr>
          <w:rFonts w:ascii="Verdana" w:hAnsi="Verdana"/>
          <w:b/>
          <w:spacing w:val="-4"/>
          <w:sz w:val="20"/>
          <w:lang w:val="es-MX"/>
        </w:rPr>
      </w:pPr>
      <w:r w:rsidRPr="00BB5131">
        <w:rPr>
          <w:rFonts w:ascii="Verdana" w:hAnsi="Verdana"/>
          <w:b/>
          <w:spacing w:val="-4"/>
          <w:sz w:val="20"/>
          <w:lang w:val="es-MX"/>
        </w:rPr>
        <w:t xml:space="preserve">ASUNTO INTEGRANTES DE LA COMUNIDAD </w:t>
      </w:r>
      <w:r w:rsidR="003E5C21" w:rsidRPr="00BB5131">
        <w:rPr>
          <w:rFonts w:ascii="Verdana" w:hAnsi="Verdana"/>
          <w:b/>
          <w:spacing w:val="-4"/>
          <w:sz w:val="20"/>
          <w:lang w:val="es-MX"/>
        </w:rPr>
        <w:t>I</w:t>
      </w:r>
      <w:r w:rsidRPr="00BB5131">
        <w:rPr>
          <w:rFonts w:ascii="Verdana" w:hAnsi="Verdana"/>
          <w:b/>
          <w:spacing w:val="-4"/>
          <w:sz w:val="20"/>
          <w:lang w:val="es-MX"/>
        </w:rPr>
        <w:t>ND</w:t>
      </w:r>
      <w:r w:rsidR="003E5C21" w:rsidRPr="00BB5131">
        <w:rPr>
          <w:rFonts w:ascii="Verdana" w:hAnsi="Verdana"/>
          <w:b/>
          <w:spacing w:val="-4"/>
          <w:sz w:val="20"/>
          <w:lang w:val="es-MX"/>
        </w:rPr>
        <w:t>Í</w:t>
      </w:r>
      <w:r w:rsidRPr="00BB5131">
        <w:rPr>
          <w:rFonts w:ascii="Verdana" w:hAnsi="Verdana"/>
          <w:b/>
          <w:spacing w:val="-4"/>
          <w:sz w:val="20"/>
          <w:lang w:val="es-MX"/>
        </w:rPr>
        <w:t>GENA DE CHORÉACHI</w:t>
      </w:r>
    </w:p>
    <w:p w14:paraId="087D723D" w14:textId="77777777" w:rsidR="002859C6" w:rsidRPr="00BB5131" w:rsidRDefault="002859C6" w:rsidP="005456A5">
      <w:pPr>
        <w:tabs>
          <w:tab w:val="left" w:pos="567"/>
        </w:tabs>
        <w:spacing w:before="240" w:after="240" w:line="240" w:lineRule="auto"/>
        <w:jc w:val="both"/>
        <w:rPr>
          <w:rFonts w:ascii="Verdana" w:hAnsi="Verdana"/>
          <w:b/>
          <w:spacing w:val="-4"/>
          <w:sz w:val="20"/>
          <w:lang w:val="es-MX"/>
        </w:rPr>
      </w:pPr>
      <w:r w:rsidRPr="00BB5131">
        <w:rPr>
          <w:lang w:val="es-ES"/>
        </w:rPr>
        <w:tab/>
      </w:r>
      <w:r w:rsidRPr="00BB5131">
        <w:rPr>
          <w:rFonts w:ascii="Verdana" w:hAnsi="Verdana"/>
          <w:b/>
          <w:spacing w:val="-4"/>
          <w:sz w:val="20"/>
          <w:lang w:val="es-MX"/>
        </w:rPr>
        <w:t>VISTO:</w:t>
      </w:r>
    </w:p>
    <w:p w14:paraId="4F943173" w14:textId="498C36E1" w:rsidR="002859C6" w:rsidRPr="00BB5131" w:rsidRDefault="002859C6" w:rsidP="00403B91">
      <w:pPr>
        <w:pStyle w:val="Prrafodelista1"/>
        <w:numPr>
          <w:ilvl w:val="0"/>
          <w:numId w:val="1"/>
        </w:numPr>
        <w:tabs>
          <w:tab w:val="num" w:pos="0"/>
        </w:tabs>
        <w:spacing w:before="120" w:after="120"/>
        <w:ind w:left="0" w:firstLine="0"/>
        <w:contextualSpacing w:val="0"/>
        <w:jc w:val="both"/>
        <w:rPr>
          <w:spacing w:val="-4"/>
          <w:sz w:val="20"/>
          <w:lang w:val="es-MX"/>
        </w:rPr>
      </w:pPr>
      <w:r w:rsidRPr="00BB5131">
        <w:rPr>
          <w:rFonts w:eastAsia="MS Mincho"/>
          <w:sz w:val="20"/>
          <w:szCs w:val="20"/>
          <w:lang w:val="es-VE"/>
        </w:rPr>
        <w:t xml:space="preserve">El escrito de 18 de marzo de </w:t>
      </w:r>
      <w:r w:rsidR="005456A5" w:rsidRPr="00BB5131">
        <w:rPr>
          <w:rFonts w:eastAsia="MS Mincho"/>
          <w:sz w:val="20"/>
          <w:szCs w:val="20"/>
          <w:lang w:val="es-VE"/>
        </w:rPr>
        <w:t>2017</w:t>
      </w:r>
      <w:r w:rsidR="00E31BA2" w:rsidRPr="00BB5131">
        <w:rPr>
          <w:rFonts w:eastAsia="MS Mincho"/>
          <w:sz w:val="20"/>
          <w:szCs w:val="20"/>
          <w:lang w:val="es-VE"/>
        </w:rPr>
        <w:t>, y</w:t>
      </w:r>
      <w:r w:rsidR="0047705E" w:rsidRPr="00BB5131">
        <w:rPr>
          <w:rFonts w:eastAsia="MS Mincho"/>
          <w:sz w:val="20"/>
          <w:szCs w:val="20"/>
          <w:lang w:val="es-VE"/>
        </w:rPr>
        <w:t xml:space="preserve"> sus anexos enviados el día 20 de marzo</w:t>
      </w:r>
      <w:r w:rsidRPr="00BB5131">
        <w:rPr>
          <w:rFonts w:eastAsia="MS Mincho"/>
          <w:sz w:val="20"/>
          <w:szCs w:val="20"/>
          <w:lang w:val="es-GT"/>
        </w:rPr>
        <w:t xml:space="preserve">, mediante </w:t>
      </w:r>
      <w:r w:rsidR="0047705E" w:rsidRPr="00BB5131">
        <w:rPr>
          <w:rFonts w:eastAsia="MS Mincho"/>
          <w:sz w:val="20"/>
          <w:szCs w:val="20"/>
          <w:lang w:val="es-GT"/>
        </w:rPr>
        <w:t>los cuales</w:t>
      </w:r>
      <w:r w:rsidRPr="00BB5131">
        <w:rPr>
          <w:rFonts w:eastAsia="MS Mincho"/>
          <w:sz w:val="20"/>
          <w:szCs w:val="20"/>
          <w:lang w:val="es-GT"/>
        </w:rPr>
        <w:t xml:space="preserve"> </w:t>
      </w:r>
      <w:r w:rsidRPr="00BB5131">
        <w:rPr>
          <w:spacing w:val="-4"/>
          <w:sz w:val="20"/>
          <w:lang w:val="es-MX"/>
        </w:rPr>
        <w:t xml:space="preserve">la Comisión Interamericana de Derechos Humanos (en adelante “la Comisión”, “la Comisión Interamericana” o “la CIDH”) sometió a la Corte Interamericana de Derechos Humanos (en adelante “la Corte Interamericana” o “la Corte”) una solicitud de medidas provisionales, de conformidad con los artículos 63.2 de la Convención Americana sobre Derechos Humanos (en adelante “la Convención Americana” o “la Convención”) y 27 del Reglamento de la Corte Interamericana, con la finalidad de que ésta ordene al Estado de </w:t>
      </w:r>
      <w:r w:rsidR="0047705E" w:rsidRPr="00BB5131">
        <w:rPr>
          <w:spacing w:val="-4"/>
          <w:sz w:val="20"/>
          <w:lang w:val="es-MX"/>
        </w:rPr>
        <w:t>México</w:t>
      </w:r>
      <w:r w:rsidRPr="00BB5131">
        <w:rPr>
          <w:spacing w:val="-4"/>
          <w:sz w:val="20"/>
          <w:lang w:val="es-MX"/>
        </w:rPr>
        <w:t xml:space="preserve"> (en adelante “el Estado”, “el Estado </w:t>
      </w:r>
      <w:r w:rsidR="005456A5" w:rsidRPr="00BB5131">
        <w:rPr>
          <w:spacing w:val="-4"/>
          <w:sz w:val="20"/>
          <w:lang w:val="es-MX"/>
        </w:rPr>
        <w:t>mexicano</w:t>
      </w:r>
      <w:r w:rsidRPr="00BB5131">
        <w:rPr>
          <w:spacing w:val="-4"/>
          <w:sz w:val="20"/>
          <w:lang w:val="es-MX"/>
        </w:rPr>
        <w:t>” o “</w:t>
      </w:r>
      <w:r w:rsidR="0047705E" w:rsidRPr="00BB5131">
        <w:rPr>
          <w:spacing w:val="-4"/>
          <w:sz w:val="20"/>
          <w:lang w:val="es-MX"/>
        </w:rPr>
        <w:t>México</w:t>
      </w:r>
      <w:r w:rsidRPr="00BB5131">
        <w:rPr>
          <w:spacing w:val="-4"/>
          <w:sz w:val="20"/>
          <w:lang w:val="es-MX"/>
        </w:rPr>
        <w:t xml:space="preserve">”) proteger la vida e integridad personal </w:t>
      </w:r>
      <w:r w:rsidR="005456A5" w:rsidRPr="00BB5131">
        <w:rPr>
          <w:spacing w:val="-4"/>
          <w:sz w:val="20"/>
          <w:lang w:val="es-MX"/>
        </w:rPr>
        <w:t xml:space="preserve">de los integrantes de la </w:t>
      </w:r>
      <w:r w:rsidR="005913F8" w:rsidRPr="00BB5131">
        <w:rPr>
          <w:spacing w:val="-4"/>
          <w:sz w:val="20"/>
          <w:lang w:val="es-MX"/>
        </w:rPr>
        <w:t>C</w:t>
      </w:r>
      <w:r w:rsidR="005456A5" w:rsidRPr="00BB5131">
        <w:rPr>
          <w:spacing w:val="-4"/>
          <w:sz w:val="20"/>
          <w:lang w:val="es-MX"/>
        </w:rPr>
        <w:t xml:space="preserve">omunidad indígena de </w:t>
      </w:r>
      <w:proofErr w:type="spellStart"/>
      <w:r w:rsidR="005456A5" w:rsidRPr="00BB5131">
        <w:rPr>
          <w:spacing w:val="-4"/>
          <w:sz w:val="20"/>
          <w:lang w:val="es-MX"/>
        </w:rPr>
        <w:t>Chor</w:t>
      </w:r>
      <w:r w:rsidR="00AF2445" w:rsidRPr="00BB5131">
        <w:rPr>
          <w:spacing w:val="-4"/>
          <w:sz w:val="20"/>
          <w:lang w:val="es-MX"/>
        </w:rPr>
        <w:t>éachi</w:t>
      </w:r>
      <w:proofErr w:type="spellEnd"/>
      <w:r w:rsidR="005456A5" w:rsidRPr="00BB5131">
        <w:rPr>
          <w:spacing w:val="-4"/>
          <w:sz w:val="20"/>
          <w:lang w:val="es-MX"/>
        </w:rPr>
        <w:t>, ubicada en la Sierra Tarahumara, estado de Chihuahua, México</w:t>
      </w:r>
      <w:r w:rsidRPr="00BB5131">
        <w:rPr>
          <w:spacing w:val="-4"/>
          <w:sz w:val="20"/>
          <w:lang w:val="es-MX"/>
        </w:rPr>
        <w:t>.</w:t>
      </w:r>
    </w:p>
    <w:p w14:paraId="0339F7D3" w14:textId="2A35EBA2" w:rsidR="00403B91" w:rsidRPr="00BB5131" w:rsidRDefault="004A78E5" w:rsidP="00377734">
      <w:pPr>
        <w:pStyle w:val="Prrafodelista1"/>
        <w:numPr>
          <w:ilvl w:val="0"/>
          <w:numId w:val="1"/>
        </w:numPr>
        <w:tabs>
          <w:tab w:val="num" w:pos="0"/>
        </w:tabs>
        <w:spacing w:before="120" w:after="120"/>
        <w:ind w:left="0" w:firstLine="0"/>
        <w:contextualSpacing w:val="0"/>
        <w:jc w:val="both"/>
        <w:rPr>
          <w:spacing w:val="-4"/>
          <w:sz w:val="20"/>
          <w:lang w:val="es-MX"/>
        </w:rPr>
      </w:pPr>
      <w:r w:rsidRPr="00BB5131">
        <w:rPr>
          <w:spacing w:val="-4"/>
          <w:sz w:val="20"/>
          <w:lang w:val="es-MX"/>
        </w:rPr>
        <w:t>La nota de la Secretaría de la Corte (en adelante “la Secretaría”) de 21 de marzo de 2017, mediante la cual, siguiendo instrucciones del Pleno del Tribunal, se solicitó al Estado que, a más tardar el 24 de marzo de 2017, remitiera información precisa sobre la situación planteada por la Comisión</w:t>
      </w:r>
      <w:r w:rsidR="00377734" w:rsidRPr="00BB5131">
        <w:rPr>
          <w:spacing w:val="-4"/>
          <w:sz w:val="20"/>
          <w:lang w:val="es-MX"/>
        </w:rPr>
        <w:t xml:space="preserve">, y que permita identificar con certeza la Comunidad indígena de </w:t>
      </w:r>
      <w:proofErr w:type="spellStart"/>
      <w:r w:rsidR="00377734" w:rsidRPr="00BB5131">
        <w:rPr>
          <w:spacing w:val="-4"/>
          <w:sz w:val="20"/>
          <w:lang w:val="es-MX"/>
        </w:rPr>
        <w:t>Choréachi</w:t>
      </w:r>
      <w:proofErr w:type="spellEnd"/>
      <w:r w:rsidRPr="00BB5131">
        <w:rPr>
          <w:spacing w:val="-4"/>
          <w:sz w:val="20"/>
          <w:lang w:val="es-MX"/>
        </w:rPr>
        <w:t xml:space="preserve">, así como sobre las medidas específicas adoptadas por el Estado al respecto. </w:t>
      </w:r>
    </w:p>
    <w:p w14:paraId="61E51478" w14:textId="204ABA1F" w:rsidR="004A78E5" w:rsidRPr="00BB5131" w:rsidRDefault="00E31BA2" w:rsidP="004A78E5">
      <w:pPr>
        <w:pStyle w:val="Prrafodelista1"/>
        <w:numPr>
          <w:ilvl w:val="0"/>
          <w:numId w:val="1"/>
        </w:numPr>
        <w:tabs>
          <w:tab w:val="num" w:pos="0"/>
        </w:tabs>
        <w:spacing w:before="120" w:after="120"/>
        <w:ind w:left="0" w:firstLine="0"/>
        <w:contextualSpacing w:val="0"/>
        <w:jc w:val="both"/>
        <w:rPr>
          <w:spacing w:val="-4"/>
          <w:sz w:val="20"/>
          <w:lang w:val="es-MX"/>
        </w:rPr>
      </w:pPr>
      <w:r w:rsidRPr="00BB5131">
        <w:rPr>
          <w:spacing w:val="-4"/>
          <w:sz w:val="20"/>
          <w:lang w:val="es-MX"/>
        </w:rPr>
        <w:t>El Escrito de 24 de marzo</w:t>
      </w:r>
      <w:r w:rsidR="004A78E5" w:rsidRPr="00BB5131">
        <w:rPr>
          <w:spacing w:val="-4"/>
          <w:sz w:val="20"/>
          <w:lang w:val="es-MX"/>
        </w:rPr>
        <w:t xml:space="preserve"> y sus anexos, presentado</w:t>
      </w:r>
      <w:r w:rsidRPr="00BB5131">
        <w:rPr>
          <w:spacing w:val="-4"/>
          <w:sz w:val="20"/>
          <w:lang w:val="es-MX"/>
        </w:rPr>
        <w:t>s</w:t>
      </w:r>
      <w:r w:rsidR="004A78E5" w:rsidRPr="00BB5131">
        <w:rPr>
          <w:spacing w:val="-4"/>
          <w:sz w:val="20"/>
          <w:lang w:val="es-MX"/>
        </w:rPr>
        <w:t xml:space="preserve"> por el Estado de México, </w:t>
      </w:r>
      <w:r w:rsidR="005820FB" w:rsidRPr="00BB5131">
        <w:rPr>
          <w:spacing w:val="-4"/>
          <w:sz w:val="20"/>
          <w:lang w:val="es-MX"/>
        </w:rPr>
        <w:t>mediante los cuales</w:t>
      </w:r>
      <w:r w:rsidR="004A78E5" w:rsidRPr="00BB5131">
        <w:rPr>
          <w:spacing w:val="-4"/>
          <w:sz w:val="20"/>
          <w:lang w:val="es-MX"/>
        </w:rPr>
        <w:t xml:space="preserve"> se refirió a la solicitud de medidas provisionales presentada por la Comisión.</w:t>
      </w:r>
    </w:p>
    <w:p w14:paraId="2C4F2FFD" w14:textId="77777777" w:rsidR="005456A5" w:rsidRPr="00BB5131" w:rsidRDefault="005456A5" w:rsidP="005456A5">
      <w:pPr>
        <w:tabs>
          <w:tab w:val="left" w:pos="567"/>
        </w:tabs>
        <w:spacing w:before="240" w:after="240" w:line="240" w:lineRule="auto"/>
        <w:jc w:val="both"/>
        <w:rPr>
          <w:rFonts w:ascii="Verdana" w:hAnsi="Verdana"/>
          <w:b/>
          <w:spacing w:val="-4"/>
          <w:sz w:val="20"/>
          <w:lang w:val="es-MX"/>
        </w:rPr>
      </w:pPr>
      <w:r w:rsidRPr="00BB5131">
        <w:rPr>
          <w:rFonts w:ascii="Verdana" w:hAnsi="Verdana"/>
          <w:b/>
          <w:spacing w:val="-4"/>
          <w:sz w:val="20"/>
          <w:lang w:val="es-MX"/>
        </w:rPr>
        <w:t xml:space="preserve">CONSIDERANDO QUE: </w:t>
      </w:r>
    </w:p>
    <w:p w14:paraId="74F0D912" w14:textId="77777777" w:rsidR="005456A5" w:rsidRPr="00BB5131" w:rsidRDefault="005456A5" w:rsidP="00565992">
      <w:pPr>
        <w:pStyle w:val="Prrafodelista1"/>
        <w:numPr>
          <w:ilvl w:val="0"/>
          <w:numId w:val="1"/>
        </w:numPr>
        <w:tabs>
          <w:tab w:val="num" w:pos="0"/>
        </w:tabs>
        <w:spacing w:before="120" w:after="120"/>
        <w:ind w:left="0" w:firstLine="0"/>
        <w:contextualSpacing w:val="0"/>
        <w:jc w:val="both"/>
        <w:rPr>
          <w:sz w:val="20"/>
          <w:szCs w:val="20"/>
        </w:rPr>
      </w:pPr>
      <w:r w:rsidRPr="00BB5131">
        <w:rPr>
          <w:sz w:val="20"/>
          <w:szCs w:val="20"/>
        </w:rPr>
        <w:t xml:space="preserve">México es Estado Parte en la Convención Americana sobre Derechos Humanos (en adelante “la Convención Americana” o “la Convención”) desde el 24 de marzo de 1981 y, de </w:t>
      </w:r>
      <w:r w:rsidRPr="00BB5131">
        <w:rPr>
          <w:sz w:val="20"/>
          <w:lang w:val="es-ES_tradnl"/>
        </w:rPr>
        <w:t>acuerdo</w:t>
      </w:r>
      <w:r w:rsidRPr="00BB5131">
        <w:rPr>
          <w:sz w:val="20"/>
          <w:szCs w:val="20"/>
        </w:rPr>
        <w:t xml:space="preserve"> con el artículo 62 de la misma, reconoció la competencia contenciosa de la Corte el 16 de diciembre de 1998.</w:t>
      </w:r>
    </w:p>
    <w:p w14:paraId="56C47169" w14:textId="28E7BB2C" w:rsidR="009B6BD5" w:rsidRPr="00BB5131" w:rsidRDefault="005456A5" w:rsidP="009B6BD5">
      <w:pPr>
        <w:pStyle w:val="Prrafodelista1"/>
        <w:numPr>
          <w:ilvl w:val="0"/>
          <w:numId w:val="1"/>
        </w:numPr>
        <w:tabs>
          <w:tab w:val="num" w:pos="0"/>
        </w:tabs>
        <w:spacing w:before="120" w:after="120"/>
        <w:ind w:left="0" w:firstLine="0"/>
        <w:contextualSpacing w:val="0"/>
        <w:jc w:val="both"/>
        <w:rPr>
          <w:sz w:val="20"/>
        </w:rPr>
      </w:pPr>
      <w:r w:rsidRPr="00BB5131">
        <w:rPr>
          <w:sz w:val="20"/>
        </w:rPr>
        <w:t>E</w:t>
      </w:r>
      <w:r w:rsidRPr="00BB5131">
        <w:rPr>
          <w:sz w:val="20"/>
          <w:lang w:val="es-ES_tradnl"/>
        </w:rPr>
        <w:t xml:space="preserve">l artículo 63.2 de la Convención establece que </w:t>
      </w:r>
      <w:r w:rsidRPr="00BB5131">
        <w:rPr>
          <w:i/>
          <w:sz w:val="20"/>
          <w:lang w:val="es-ES_tradnl"/>
        </w:rPr>
        <w:t>“</w:t>
      </w:r>
      <w:r w:rsidRPr="00BB5131">
        <w:rPr>
          <w:sz w:val="20"/>
          <w:lang w:val="es-ES_tradnl"/>
        </w:rPr>
        <w:t>[e]n casos de extrema gravedad y urgencia, y cuando se haga necesario evitar daños irreparables a las personas”, la Corte podrá tomar, a solicitud de la Comisión, las medidas provisionales que considere pertinentes en los asuntos que aún no estén sometidos a su conocimiento.</w:t>
      </w:r>
      <w:r w:rsidR="009B6BD5" w:rsidRPr="00BB5131">
        <w:rPr>
          <w:sz w:val="20"/>
          <w:lang w:val="es-ES_tradnl"/>
        </w:rPr>
        <w:t xml:space="preserve"> </w:t>
      </w:r>
      <w:r w:rsidR="009B6BD5" w:rsidRPr="00BB5131">
        <w:rPr>
          <w:sz w:val="20"/>
        </w:rPr>
        <w:t xml:space="preserve">Asimismo, </w:t>
      </w:r>
      <w:r w:rsidR="009B6BD5" w:rsidRPr="00BB5131">
        <w:rPr>
          <w:sz w:val="20"/>
        </w:rPr>
        <w:lastRenderedPageBreak/>
        <w:t>el artículo 27.2 del Reglamento de la Corte señala que: “</w:t>
      </w:r>
      <w:r w:rsidR="00E370F7" w:rsidRPr="00BB5131">
        <w:rPr>
          <w:sz w:val="20"/>
        </w:rPr>
        <w:t>[s]</w:t>
      </w:r>
      <w:r w:rsidR="009B6BD5" w:rsidRPr="00BB5131">
        <w:rPr>
          <w:sz w:val="20"/>
        </w:rPr>
        <w:t>i se tratare de asuntos aún no sometidos a su conocimiento, la Corte podrá actuar a solicitud de la Comisión”.</w:t>
      </w:r>
    </w:p>
    <w:p w14:paraId="493FBC4F" w14:textId="77777777" w:rsidR="005456A5" w:rsidRPr="00BB5131" w:rsidRDefault="005456A5" w:rsidP="00565992">
      <w:pPr>
        <w:pStyle w:val="Prrafodelista1"/>
        <w:numPr>
          <w:ilvl w:val="0"/>
          <w:numId w:val="1"/>
        </w:numPr>
        <w:tabs>
          <w:tab w:val="num" w:pos="0"/>
        </w:tabs>
        <w:spacing w:before="120" w:after="120"/>
        <w:ind w:left="0" w:firstLine="0"/>
        <w:contextualSpacing w:val="0"/>
        <w:jc w:val="both"/>
        <w:rPr>
          <w:sz w:val="20"/>
          <w:lang w:val="es-GT"/>
        </w:rPr>
      </w:pPr>
      <w:r w:rsidRPr="00BB5131">
        <w:rPr>
          <w:sz w:val="20"/>
          <w:lang w:val="es-GT"/>
        </w:rPr>
        <w:t>En el Derecho Internacional de los Derechos Humanos las medidas provisionales 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 la prevención de daños irreparables a las personas. De esta manera, las medidas provisionales se transforman en una verdadera garantía jurisdiccional de carácter preventivo</w:t>
      </w:r>
      <w:r w:rsidRPr="00BB5131">
        <w:rPr>
          <w:rStyle w:val="FootnoteReference"/>
          <w:sz w:val="20"/>
        </w:rPr>
        <w:footnoteReference w:id="3"/>
      </w:r>
      <w:r w:rsidRPr="00BB5131">
        <w:rPr>
          <w:sz w:val="20"/>
          <w:lang w:val="es-GT"/>
        </w:rPr>
        <w:t xml:space="preserve">. </w:t>
      </w:r>
    </w:p>
    <w:p w14:paraId="2D280382" w14:textId="77777777" w:rsidR="005456A5" w:rsidRPr="00BB5131" w:rsidRDefault="005456A5" w:rsidP="00565992">
      <w:pPr>
        <w:pStyle w:val="Prrafodelista1"/>
        <w:numPr>
          <w:ilvl w:val="0"/>
          <w:numId w:val="1"/>
        </w:numPr>
        <w:tabs>
          <w:tab w:val="num" w:pos="0"/>
        </w:tabs>
        <w:spacing w:before="120" w:after="120"/>
        <w:ind w:left="0" w:firstLine="0"/>
        <w:contextualSpacing w:val="0"/>
        <w:jc w:val="both"/>
        <w:rPr>
          <w:sz w:val="20"/>
          <w:lang w:val="es-GT"/>
        </w:rPr>
      </w:pPr>
      <w:r w:rsidRPr="00BB5131">
        <w:rPr>
          <w:sz w:val="20"/>
          <w:lang w:val="es-GT"/>
        </w:rPr>
        <w:t>La disposición establecida en el artículo 63.2 de la Convención confiere un carácter obligatorio a la adopción, por parte del Estado, de las medidas provisionales que le ordene este Tribunal</w:t>
      </w:r>
      <w:r w:rsidR="00353C71" w:rsidRPr="00BB5131">
        <w:rPr>
          <w:sz w:val="20"/>
          <w:lang w:val="es-GT"/>
        </w:rPr>
        <w:t xml:space="preserve">. Adicionalmente estos </w:t>
      </w:r>
      <w:r w:rsidRPr="00BB5131">
        <w:rPr>
          <w:sz w:val="20"/>
          <w:lang w:val="es-GT"/>
        </w:rPr>
        <w:t>deben cumplir sus obligaciones convencionales de buena fe (</w:t>
      </w:r>
      <w:r w:rsidRPr="00BB5131">
        <w:rPr>
          <w:i/>
          <w:sz w:val="20"/>
          <w:lang w:val="es-GT"/>
        </w:rPr>
        <w:t xml:space="preserve">pacta </w:t>
      </w:r>
      <w:proofErr w:type="spellStart"/>
      <w:r w:rsidRPr="00BB5131">
        <w:rPr>
          <w:i/>
          <w:sz w:val="20"/>
          <w:lang w:val="es-GT"/>
        </w:rPr>
        <w:t>sunt</w:t>
      </w:r>
      <w:proofErr w:type="spellEnd"/>
      <w:r w:rsidRPr="00BB5131">
        <w:rPr>
          <w:i/>
          <w:sz w:val="20"/>
          <w:lang w:val="es-GT"/>
        </w:rPr>
        <w:t xml:space="preserve"> </w:t>
      </w:r>
      <w:proofErr w:type="spellStart"/>
      <w:r w:rsidRPr="00BB5131">
        <w:rPr>
          <w:i/>
          <w:sz w:val="20"/>
          <w:lang w:val="es-GT"/>
        </w:rPr>
        <w:t>servanda</w:t>
      </w:r>
      <w:proofErr w:type="spellEnd"/>
      <w:r w:rsidRPr="00BB5131">
        <w:rPr>
          <w:sz w:val="20"/>
          <w:lang w:val="es-GT"/>
        </w:rPr>
        <w:t>)</w:t>
      </w:r>
      <w:r w:rsidRPr="00BB5131">
        <w:rPr>
          <w:rStyle w:val="FootnoteReference"/>
          <w:sz w:val="20"/>
        </w:rPr>
        <w:footnoteReference w:id="4"/>
      </w:r>
      <w:r w:rsidRPr="00BB5131">
        <w:rPr>
          <w:sz w:val="20"/>
          <w:lang w:val="es-GT"/>
        </w:rPr>
        <w:t>.</w:t>
      </w:r>
    </w:p>
    <w:p w14:paraId="731B5FC6" w14:textId="77777777" w:rsidR="005456A5" w:rsidRPr="00BB5131" w:rsidRDefault="007720E3" w:rsidP="00565992">
      <w:pPr>
        <w:pStyle w:val="Prrafodelista1"/>
        <w:numPr>
          <w:ilvl w:val="0"/>
          <w:numId w:val="1"/>
        </w:numPr>
        <w:tabs>
          <w:tab w:val="num" w:pos="0"/>
        </w:tabs>
        <w:spacing w:before="120" w:after="120"/>
        <w:ind w:left="0" w:firstLine="0"/>
        <w:contextualSpacing w:val="0"/>
        <w:jc w:val="both"/>
        <w:rPr>
          <w:sz w:val="20"/>
          <w:lang w:val="es-ES_tradnl"/>
        </w:rPr>
      </w:pPr>
      <w:r w:rsidRPr="00BB5131">
        <w:rPr>
          <w:rFonts w:eastAsia="Times"/>
          <w:sz w:val="20"/>
          <w:szCs w:val="20"/>
          <w:lang w:val="es-ES_tradnl" w:eastAsia="es-ES"/>
        </w:rPr>
        <w:t>L</w:t>
      </w:r>
      <w:r w:rsidR="005456A5" w:rsidRPr="00BB5131">
        <w:rPr>
          <w:rFonts w:eastAsia="Times"/>
          <w:sz w:val="20"/>
          <w:szCs w:val="20"/>
          <w:lang w:val="es-ES_tradnl" w:eastAsia="es-ES"/>
        </w:rPr>
        <w:t xml:space="preserve">a Corte verifica que la presente solicitud de medidas provisionales no se relaciona con un caso en conocimiento de la Corte. Asimismo, la Comisión informó que no ha recibido una petición individual sobre el fondo del caso, por lo que la medida atendería a la dimensión tutelar de dicho mecanismo. </w:t>
      </w:r>
    </w:p>
    <w:p w14:paraId="7C362F0E" w14:textId="77777777" w:rsidR="00565992" w:rsidRPr="00BB5131" w:rsidRDefault="00565992" w:rsidP="00565992">
      <w:pPr>
        <w:pStyle w:val="ListParagraph"/>
        <w:numPr>
          <w:ilvl w:val="0"/>
          <w:numId w:val="2"/>
        </w:numPr>
        <w:tabs>
          <w:tab w:val="left" w:pos="567"/>
        </w:tabs>
        <w:spacing w:before="240" w:after="240"/>
        <w:ind w:left="1066" w:hanging="357"/>
        <w:contextualSpacing w:val="0"/>
        <w:jc w:val="both"/>
        <w:rPr>
          <w:rFonts w:ascii="Verdana" w:hAnsi="Verdana"/>
          <w:b/>
          <w:i/>
          <w:spacing w:val="-4"/>
          <w:sz w:val="20"/>
          <w:lang w:val="es-MX"/>
        </w:rPr>
      </w:pPr>
      <w:r w:rsidRPr="00BB5131">
        <w:rPr>
          <w:rFonts w:ascii="Verdana" w:hAnsi="Verdana"/>
          <w:b/>
          <w:i/>
          <w:spacing w:val="-4"/>
          <w:sz w:val="20"/>
          <w:lang w:val="es-MX"/>
        </w:rPr>
        <w:t>Solicitud presentada por la Comisión</w:t>
      </w:r>
    </w:p>
    <w:p w14:paraId="45B81D4D" w14:textId="0D606081" w:rsidR="00D46A61" w:rsidRPr="00BB5131" w:rsidRDefault="00D46A61" w:rsidP="00403B91">
      <w:pPr>
        <w:pStyle w:val="Prrafodelista1"/>
        <w:numPr>
          <w:ilvl w:val="0"/>
          <w:numId w:val="1"/>
        </w:numPr>
        <w:tabs>
          <w:tab w:val="num" w:pos="0"/>
        </w:tabs>
        <w:spacing w:before="120" w:after="120"/>
        <w:ind w:left="0" w:firstLine="0"/>
        <w:contextualSpacing w:val="0"/>
        <w:jc w:val="both"/>
        <w:rPr>
          <w:rFonts w:cs="Arial"/>
          <w:sz w:val="20"/>
          <w:szCs w:val="20"/>
          <w:lang w:val="es-ES_tradnl"/>
        </w:rPr>
      </w:pPr>
      <w:r w:rsidRPr="00BB5131">
        <w:rPr>
          <w:sz w:val="20"/>
          <w:szCs w:val="20"/>
        </w:rPr>
        <w:t xml:space="preserve">La Comisión </w:t>
      </w:r>
      <w:r w:rsidR="00B268C1" w:rsidRPr="00BB5131">
        <w:rPr>
          <w:sz w:val="20"/>
          <w:szCs w:val="20"/>
        </w:rPr>
        <w:t>sostuvo</w:t>
      </w:r>
      <w:r w:rsidRPr="00BB5131">
        <w:rPr>
          <w:sz w:val="20"/>
          <w:szCs w:val="20"/>
        </w:rPr>
        <w:t xml:space="preserve"> que la </w:t>
      </w:r>
      <w:r w:rsidR="002D1751" w:rsidRPr="00BB5131">
        <w:rPr>
          <w:sz w:val="20"/>
          <w:szCs w:val="20"/>
        </w:rPr>
        <w:t>C</w:t>
      </w:r>
      <w:r w:rsidRPr="00BB5131">
        <w:rPr>
          <w:sz w:val="20"/>
          <w:szCs w:val="20"/>
        </w:rPr>
        <w:t xml:space="preserve">omunidad </w:t>
      </w:r>
      <w:r w:rsidR="00B268C1" w:rsidRPr="00BB5131">
        <w:rPr>
          <w:sz w:val="20"/>
          <w:szCs w:val="20"/>
        </w:rPr>
        <w:t xml:space="preserve">indígena </w:t>
      </w:r>
      <w:proofErr w:type="spellStart"/>
      <w:r w:rsidRPr="00BB5131">
        <w:rPr>
          <w:sz w:val="20"/>
          <w:szCs w:val="20"/>
        </w:rPr>
        <w:t>Choréachi</w:t>
      </w:r>
      <w:proofErr w:type="spellEnd"/>
      <w:r w:rsidRPr="00BB5131">
        <w:rPr>
          <w:sz w:val="20"/>
          <w:szCs w:val="20"/>
        </w:rPr>
        <w:t xml:space="preserve"> se encuentra ubicada </w:t>
      </w:r>
      <w:r w:rsidR="00B268C1" w:rsidRPr="00BB5131">
        <w:rPr>
          <w:sz w:val="20"/>
          <w:szCs w:val="20"/>
        </w:rPr>
        <w:t>“</w:t>
      </w:r>
      <w:r w:rsidRPr="00BB5131">
        <w:rPr>
          <w:sz w:val="20"/>
          <w:szCs w:val="20"/>
        </w:rPr>
        <w:t xml:space="preserve">en el municipio de Guadalupe y Calvo, en el estado de Chihuahua, México” y está integrada por </w:t>
      </w:r>
      <w:proofErr w:type="spellStart"/>
      <w:r w:rsidRPr="00BB5131">
        <w:rPr>
          <w:sz w:val="20"/>
          <w:szCs w:val="20"/>
        </w:rPr>
        <w:t>rarámuri</w:t>
      </w:r>
      <w:proofErr w:type="spellEnd"/>
      <w:r w:rsidRPr="00BB5131">
        <w:rPr>
          <w:sz w:val="20"/>
          <w:szCs w:val="20"/>
        </w:rPr>
        <w:t xml:space="preserve"> o tarahumaras,</w:t>
      </w:r>
      <w:r w:rsidR="0030133E" w:rsidRPr="00BB5131">
        <w:rPr>
          <w:sz w:val="20"/>
          <w:szCs w:val="20"/>
        </w:rPr>
        <w:t xml:space="preserve"> </w:t>
      </w:r>
      <w:r w:rsidRPr="00BB5131">
        <w:rPr>
          <w:sz w:val="20"/>
          <w:szCs w:val="20"/>
        </w:rPr>
        <w:t>“</w:t>
      </w:r>
      <w:proofErr w:type="gramStart"/>
      <w:r w:rsidRPr="00BB5131">
        <w:rPr>
          <w:sz w:val="20"/>
          <w:szCs w:val="20"/>
        </w:rPr>
        <w:t>c[</w:t>
      </w:r>
      <w:proofErr w:type="spellStart"/>
      <w:proofErr w:type="gramEnd"/>
      <w:r w:rsidRPr="00BB5131">
        <w:rPr>
          <w:sz w:val="20"/>
          <w:szCs w:val="20"/>
        </w:rPr>
        <w:t>ontando</w:t>
      </w:r>
      <w:proofErr w:type="spellEnd"/>
      <w:r w:rsidRPr="00BB5131">
        <w:rPr>
          <w:sz w:val="20"/>
          <w:szCs w:val="20"/>
        </w:rPr>
        <w:t xml:space="preserve">] con una población aproximada de 800 hombres y mujeres, de los cuales aproximadamente 250 son niños y niñas”. </w:t>
      </w:r>
      <w:r w:rsidR="00403B91" w:rsidRPr="00BB5131">
        <w:rPr>
          <w:sz w:val="20"/>
          <w:szCs w:val="20"/>
        </w:rPr>
        <w:t>La Comisión afirmó que e</w:t>
      </w:r>
      <w:r w:rsidRPr="00BB5131">
        <w:rPr>
          <w:sz w:val="20"/>
          <w:szCs w:val="20"/>
        </w:rPr>
        <w:t xml:space="preserve">sta </w:t>
      </w:r>
      <w:r w:rsidR="00403B91" w:rsidRPr="00BB5131">
        <w:rPr>
          <w:sz w:val="20"/>
          <w:szCs w:val="20"/>
        </w:rPr>
        <w:t>C</w:t>
      </w:r>
      <w:r w:rsidRPr="00BB5131">
        <w:rPr>
          <w:sz w:val="20"/>
          <w:szCs w:val="20"/>
        </w:rPr>
        <w:t>omunidad “es denominada una ‘comunidad de hecho’ en tanto no cuenta con reconocimiento legal del Estado mexicano sobre la posesión ancestral de su territorio”. Adicionalmente</w:t>
      </w:r>
      <w:r w:rsidR="00403B91" w:rsidRPr="00BB5131">
        <w:rPr>
          <w:sz w:val="20"/>
          <w:szCs w:val="20"/>
        </w:rPr>
        <w:t xml:space="preserve">, </w:t>
      </w:r>
      <w:r w:rsidR="00B268C1" w:rsidRPr="00BB5131">
        <w:rPr>
          <w:sz w:val="20"/>
          <w:szCs w:val="20"/>
        </w:rPr>
        <w:t>indicó</w:t>
      </w:r>
      <w:r w:rsidR="00403B91" w:rsidRPr="00BB5131">
        <w:rPr>
          <w:sz w:val="20"/>
          <w:szCs w:val="20"/>
        </w:rPr>
        <w:t xml:space="preserve"> que</w:t>
      </w:r>
      <w:r w:rsidRPr="00BB5131">
        <w:rPr>
          <w:sz w:val="20"/>
          <w:szCs w:val="20"/>
        </w:rPr>
        <w:t xml:space="preserve"> </w:t>
      </w:r>
      <w:r w:rsidR="00B268C1" w:rsidRPr="00BB5131">
        <w:rPr>
          <w:sz w:val="20"/>
          <w:szCs w:val="20"/>
        </w:rPr>
        <w:t>“</w:t>
      </w:r>
      <w:r w:rsidR="00403B91" w:rsidRPr="00BB5131">
        <w:rPr>
          <w:sz w:val="20"/>
          <w:szCs w:val="20"/>
        </w:rPr>
        <w:t xml:space="preserve">en la actualidad existe una </w:t>
      </w:r>
      <w:proofErr w:type="spellStart"/>
      <w:proofErr w:type="gramStart"/>
      <w:r w:rsidR="00403B91" w:rsidRPr="00BB5131">
        <w:rPr>
          <w:sz w:val="20"/>
          <w:szCs w:val="20"/>
        </w:rPr>
        <w:t>dispu</w:t>
      </w:r>
      <w:proofErr w:type="spellEnd"/>
      <w:r w:rsidR="00AB4172" w:rsidRPr="00BB5131">
        <w:rPr>
          <w:sz w:val="20"/>
          <w:szCs w:val="20"/>
        </w:rPr>
        <w:t>[</w:t>
      </w:r>
      <w:proofErr w:type="spellStart"/>
      <w:proofErr w:type="gramEnd"/>
      <w:r w:rsidR="00403B91" w:rsidRPr="00BB5131">
        <w:rPr>
          <w:sz w:val="20"/>
          <w:szCs w:val="20"/>
        </w:rPr>
        <w:t>ta</w:t>
      </w:r>
      <w:proofErr w:type="spellEnd"/>
      <w:r w:rsidR="00AB4172" w:rsidRPr="00BB5131">
        <w:rPr>
          <w:sz w:val="20"/>
          <w:szCs w:val="20"/>
        </w:rPr>
        <w:t>]</w:t>
      </w:r>
      <w:r w:rsidR="00403B91" w:rsidRPr="00BB5131">
        <w:rPr>
          <w:sz w:val="20"/>
          <w:szCs w:val="20"/>
        </w:rPr>
        <w:t xml:space="preserve"> ante un tribunal agrario interno por un área que sería parte del territorio ancestral de los </w:t>
      </w:r>
      <w:proofErr w:type="spellStart"/>
      <w:r w:rsidR="00403B91" w:rsidRPr="00BB5131">
        <w:rPr>
          <w:sz w:val="20"/>
          <w:szCs w:val="20"/>
        </w:rPr>
        <w:t>rarámuri</w:t>
      </w:r>
      <w:proofErr w:type="spellEnd"/>
      <w:r w:rsidR="00403B91" w:rsidRPr="00BB5131">
        <w:rPr>
          <w:sz w:val="20"/>
          <w:szCs w:val="20"/>
        </w:rPr>
        <w:t xml:space="preserve"> de </w:t>
      </w:r>
      <w:proofErr w:type="spellStart"/>
      <w:r w:rsidR="00403B91" w:rsidRPr="00BB5131">
        <w:rPr>
          <w:sz w:val="20"/>
          <w:szCs w:val="20"/>
        </w:rPr>
        <w:t>Choréachi</w:t>
      </w:r>
      <w:proofErr w:type="spellEnd"/>
      <w:r w:rsidR="00403B91" w:rsidRPr="00BB5131">
        <w:rPr>
          <w:sz w:val="20"/>
          <w:szCs w:val="20"/>
        </w:rPr>
        <w:t xml:space="preserve">, debido a una dotación de tierras realizada por las autoridades del Estado en 1969, a una </w:t>
      </w:r>
      <w:r w:rsidR="00AB4172" w:rsidRPr="00BB5131">
        <w:rPr>
          <w:sz w:val="20"/>
          <w:szCs w:val="20"/>
        </w:rPr>
        <w:t>‘</w:t>
      </w:r>
      <w:r w:rsidR="00403B91" w:rsidRPr="00BB5131">
        <w:rPr>
          <w:sz w:val="20"/>
          <w:szCs w:val="20"/>
        </w:rPr>
        <w:t>comunidad mestiza</w:t>
      </w:r>
      <w:r w:rsidR="00AB4172" w:rsidRPr="00BB5131">
        <w:rPr>
          <w:sz w:val="20"/>
          <w:szCs w:val="20"/>
        </w:rPr>
        <w:t>’</w:t>
      </w:r>
      <w:r w:rsidR="00403B91" w:rsidRPr="00BB5131">
        <w:rPr>
          <w:sz w:val="20"/>
          <w:szCs w:val="20"/>
        </w:rPr>
        <w:t xml:space="preserve"> denominada </w:t>
      </w:r>
      <w:r w:rsidR="00AB4172" w:rsidRPr="00BB5131">
        <w:rPr>
          <w:sz w:val="20"/>
          <w:szCs w:val="20"/>
        </w:rPr>
        <w:t>‘</w:t>
      </w:r>
      <w:r w:rsidR="00403B91" w:rsidRPr="00BB5131">
        <w:rPr>
          <w:sz w:val="20"/>
          <w:szCs w:val="20"/>
        </w:rPr>
        <w:t>Coloradas de los Chávez</w:t>
      </w:r>
      <w:r w:rsidR="00AB4172" w:rsidRPr="00BB5131">
        <w:rPr>
          <w:sz w:val="20"/>
          <w:szCs w:val="20"/>
        </w:rPr>
        <w:t>’</w:t>
      </w:r>
      <w:r w:rsidR="00403B91" w:rsidRPr="00BB5131">
        <w:rPr>
          <w:sz w:val="20"/>
          <w:szCs w:val="20"/>
        </w:rPr>
        <w:t xml:space="preserve">. Según lo alegado, si bien dicha </w:t>
      </w:r>
      <w:r w:rsidR="00B268C1" w:rsidRPr="00BB5131">
        <w:rPr>
          <w:sz w:val="20"/>
          <w:szCs w:val="20"/>
        </w:rPr>
        <w:t>c</w:t>
      </w:r>
      <w:r w:rsidR="00403B91" w:rsidRPr="00BB5131">
        <w:rPr>
          <w:sz w:val="20"/>
          <w:szCs w:val="20"/>
        </w:rPr>
        <w:t>omunidad nunca habría tenido posesión sobre dicho territorio, se les habría otorgado un permiso para talar el bosque ubicado en los territorios ancestrales</w:t>
      </w:r>
      <w:r w:rsidR="00AB4172" w:rsidRPr="00BB5131">
        <w:rPr>
          <w:sz w:val="20"/>
          <w:szCs w:val="20"/>
        </w:rPr>
        <w:t>”.</w:t>
      </w:r>
      <w:r w:rsidR="00403B91" w:rsidRPr="00BB5131">
        <w:rPr>
          <w:sz w:val="20"/>
          <w:szCs w:val="20"/>
        </w:rPr>
        <w:t xml:space="preserve"> </w:t>
      </w:r>
    </w:p>
    <w:p w14:paraId="4348FE7F" w14:textId="3E98AE85" w:rsidR="005456A5" w:rsidRPr="00BB5131" w:rsidRDefault="00D46A61" w:rsidP="00565992">
      <w:pPr>
        <w:pStyle w:val="Prrafodelista1"/>
        <w:numPr>
          <w:ilvl w:val="0"/>
          <w:numId w:val="1"/>
        </w:numPr>
        <w:tabs>
          <w:tab w:val="num" w:pos="0"/>
        </w:tabs>
        <w:spacing w:before="120" w:after="120"/>
        <w:ind w:left="0" w:firstLine="0"/>
        <w:contextualSpacing w:val="0"/>
        <w:jc w:val="both"/>
        <w:rPr>
          <w:lang w:val="es-MX"/>
        </w:rPr>
      </w:pPr>
      <w:r w:rsidRPr="00BB5131">
        <w:rPr>
          <w:sz w:val="20"/>
          <w:szCs w:val="20"/>
        </w:rPr>
        <w:t xml:space="preserve">La Comisión </w:t>
      </w:r>
      <w:r w:rsidR="0030133E" w:rsidRPr="00BB5131">
        <w:rPr>
          <w:sz w:val="20"/>
          <w:szCs w:val="20"/>
          <w:lang w:val="es-ES_tradnl"/>
        </w:rPr>
        <w:t>sostuvo</w:t>
      </w:r>
      <w:r w:rsidRPr="00BB5131">
        <w:rPr>
          <w:sz w:val="20"/>
          <w:szCs w:val="20"/>
          <w:lang w:val="es-ES_tradnl"/>
        </w:rPr>
        <w:t xml:space="preserve"> que desde el año 2013 hasta el presente, </w:t>
      </w:r>
      <w:r w:rsidR="00B268C1" w:rsidRPr="00BB5131">
        <w:rPr>
          <w:sz w:val="20"/>
          <w:szCs w:val="20"/>
          <w:lang w:val="es-ES_tradnl"/>
        </w:rPr>
        <w:t>la</w:t>
      </w:r>
      <w:r w:rsidRPr="00BB5131">
        <w:rPr>
          <w:sz w:val="20"/>
          <w:szCs w:val="20"/>
          <w:lang w:val="es-ES_tradnl"/>
        </w:rPr>
        <w:t xml:space="preserve"> </w:t>
      </w:r>
      <w:r w:rsidR="00030443" w:rsidRPr="00BB5131">
        <w:rPr>
          <w:sz w:val="20"/>
          <w:szCs w:val="20"/>
          <w:lang w:val="es-ES_tradnl"/>
        </w:rPr>
        <w:t>C</w:t>
      </w:r>
      <w:r w:rsidRPr="00BB5131">
        <w:rPr>
          <w:sz w:val="20"/>
          <w:szCs w:val="20"/>
          <w:lang w:val="es-ES_tradnl"/>
        </w:rPr>
        <w:t xml:space="preserve">omunidad </w:t>
      </w:r>
      <w:proofErr w:type="spellStart"/>
      <w:r w:rsidR="00B268C1" w:rsidRPr="00BB5131">
        <w:rPr>
          <w:sz w:val="20"/>
          <w:szCs w:val="20"/>
        </w:rPr>
        <w:t>Choréachi</w:t>
      </w:r>
      <w:proofErr w:type="spellEnd"/>
      <w:r w:rsidR="00B268C1" w:rsidRPr="00BB5131">
        <w:rPr>
          <w:sz w:val="20"/>
          <w:szCs w:val="20"/>
        </w:rPr>
        <w:t xml:space="preserve"> </w:t>
      </w:r>
      <w:r w:rsidR="00FC650B" w:rsidRPr="00BB5131">
        <w:rPr>
          <w:sz w:val="20"/>
          <w:szCs w:val="20"/>
        </w:rPr>
        <w:t xml:space="preserve">“viene siendo </w:t>
      </w:r>
      <w:r w:rsidR="005E2EE6" w:rsidRPr="00BB5131">
        <w:rPr>
          <w:sz w:val="20"/>
          <w:szCs w:val="20"/>
        </w:rPr>
        <w:t>objeto</w:t>
      </w:r>
      <w:r w:rsidR="00FC650B" w:rsidRPr="00BB5131">
        <w:rPr>
          <w:sz w:val="20"/>
          <w:szCs w:val="20"/>
        </w:rPr>
        <w:t xml:space="preserve"> </w:t>
      </w:r>
      <w:r w:rsidRPr="00BB5131">
        <w:rPr>
          <w:sz w:val="20"/>
          <w:szCs w:val="20"/>
        </w:rPr>
        <w:t xml:space="preserve">de graves hechos de agresiones, hostigamientos y amenazas en un contexto en el cual sostiene una disputa legal del territorio con otra </w:t>
      </w:r>
      <w:r w:rsidR="00FC650B" w:rsidRPr="00BB5131">
        <w:rPr>
          <w:sz w:val="20"/>
          <w:szCs w:val="20"/>
        </w:rPr>
        <w:t>c</w:t>
      </w:r>
      <w:r w:rsidRPr="00BB5131">
        <w:rPr>
          <w:sz w:val="20"/>
          <w:szCs w:val="20"/>
        </w:rPr>
        <w:t xml:space="preserve">omunidad, y se alega además la presencia de grupos criminales con intereses en el uso de la tierra y vinculados al narcotráfico”. </w:t>
      </w:r>
      <w:r w:rsidRPr="00BB5131">
        <w:rPr>
          <w:rFonts w:cs="Arial"/>
          <w:sz w:val="20"/>
          <w:szCs w:val="20"/>
          <w:lang w:val="es-ES_tradnl"/>
        </w:rPr>
        <w:t xml:space="preserve">Al respecto, señaló que esa “situación de riesgo extremo continúa a pesar de la adopción de medidas cautelares </w:t>
      </w:r>
      <w:r w:rsidR="00AB4172" w:rsidRPr="00BB5131">
        <w:rPr>
          <w:rFonts w:cs="Arial"/>
          <w:sz w:val="20"/>
          <w:szCs w:val="20"/>
          <w:lang w:val="es-ES_tradnl"/>
        </w:rPr>
        <w:t>[adoptadas el 6 de octubre de 2014 (</w:t>
      </w:r>
      <w:r w:rsidR="00AB4172" w:rsidRPr="00BB5131">
        <w:rPr>
          <w:i/>
          <w:sz w:val="20"/>
          <w:lang w:val="es-ES_tradnl"/>
        </w:rPr>
        <w:t>infra</w:t>
      </w:r>
      <w:r w:rsidR="00AB4172" w:rsidRPr="00BB5131">
        <w:rPr>
          <w:rFonts w:cs="Arial"/>
          <w:sz w:val="20"/>
          <w:szCs w:val="20"/>
          <w:lang w:val="es-ES_tradnl"/>
        </w:rPr>
        <w:t xml:space="preserve"> párr. *)] </w:t>
      </w:r>
      <w:r w:rsidRPr="00BB5131">
        <w:rPr>
          <w:rFonts w:cs="Arial"/>
          <w:sz w:val="20"/>
          <w:szCs w:val="20"/>
          <w:lang w:val="es-ES_tradnl"/>
        </w:rPr>
        <w:t>por parte de la C[omisión]”.</w:t>
      </w:r>
      <w:r w:rsidR="00531F7D" w:rsidRPr="00BB5131">
        <w:rPr>
          <w:rFonts w:cs="Arial"/>
          <w:sz w:val="20"/>
          <w:szCs w:val="20"/>
          <w:lang w:val="es-ES_tradnl"/>
        </w:rPr>
        <w:t xml:space="preserve"> </w:t>
      </w:r>
    </w:p>
    <w:p w14:paraId="62581AB6" w14:textId="13AA1F2D" w:rsidR="00D46A61" w:rsidRPr="00BB5131" w:rsidRDefault="0030133E" w:rsidP="00565992">
      <w:pPr>
        <w:pStyle w:val="Prrafodelista1"/>
        <w:numPr>
          <w:ilvl w:val="0"/>
          <w:numId w:val="1"/>
        </w:numPr>
        <w:tabs>
          <w:tab w:val="num" w:pos="0"/>
        </w:tabs>
        <w:spacing w:before="120" w:after="120"/>
        <w:ind w:left="0" w:firstLine="0"/>
        <w:contextualSpacing w:val="0"/>
        <w:jc w:val="both"/>
        <w:rPr>
          <w:lang w:val="es-MX"/>
        </w:rPr>
      </w:pPr>
      <w:r w:rsidRPr="00BB5131">
        <w:rPr>
          <w:sz w:val="20"/>
          <w:szCs w:val="20"/>
          <w:lang w:val="es-ES_tradnl"/>
        </w:rPr>
        <w:lastRenderedPageBreak/>
        <w:t>La Comisión r</w:t>
      </w:r>
      <w:r w:rsidR="00D46A61" w:rsidRPr="00BB5131">
        <w:rPr>
          <w:sz w:val="20"/>
          <w:szCs w:val="20"/>
          <w:lang w:val="es-ES_tradnl"/>
        </w:rPr>
        <w:t xml:space="preserve">ecordó </w:t>
      </w:r>
      <w:r w:rsidR="00030443" w:rsidRPr="00BB5131">
        <w:rPr>
          <w:sz w:val="20"/>
          <w:szCs w:val="20"/>
          <w:lang w:val="es-ES_tradnl"/>
        </w:rPr>
        <w:t xml:space="preserve">que el </w:t>
      </w:r>
      <w:r w:rsidR="00030443" w:rsidRPr="00BB5131">
        <w:rPr>
          <w:sz w:val="20"/>
          <w:szCs w:val="20"/>
        </w:rPr>
        <w:t xml:space="preserve">20 de febrero de 2014, los representantes de la Comunidad </w:t>
      </w:r>
      <w:proofErr w:type="spellStart"/>
      <w:r w:rsidR="00030443" w:rsidRPr="00BB5131">
        <w:rPr>
          <w:sz w:val="20"/>
          <w:szCs w:val="20"/>
        </w:rPr>
        <w:t>Choréachi</w:t>
      </w:r>
      <w:proofErr w:type="spellEnd"/>
      <w:r w:rsidR="00030443" w:rsidRPr="00BB5131">
        <w:rPr>
          <w:sz w:val="20"/>
          <w:szCs w:val="20"/>
        </w:rPr>
        <w:t xml:space="preserve"> le solicitaron</w:t>
      </w:r>
      <w:r w:rsidR="00D46A61" w:rsidRPr="00BB5131">
        <w:rPr>
          <w:sz w:val="20"/>
          <w:szCs w:val="20"/>
        </w:rPr>
        <w:t xml:space="preserve"> que otorgara medidas cautelares a favor de </w:t>
      </w:r>
      <w:r w:rsidR="00030443" w:rsidRPr="00BB5131">
        <w:rPr>
          <w:sz w:val="20"/>
          <w:szCs w:val="20"/>
        </w:rPr>
        <w:t xml:space="preserve">sus representados </w:t>
      </w:r>
      <w:r w:rsidR="00D46A61" w:rsidRPr="00BB5131">
        <w:rPr>
          <w:sz w:val="20"/>
          <w:szCs w:val="20"/>
        </w:rPr>
        <w:t xml:space="preserve">así como a favor de varios “integrantes de la comunidad que se encontrarían en una situación particular de riesgo por haber recibido amenazas directas”, y de </w:t>
      </w:r>
      <w:r w:rsidR="006D67AA" w:rsidRPr="00BB5131">
        <w:rPr>
          <w:sz w:val="20"/>
          <w:szCs w:val="20"/>
        </w:rPr>
        <w:t>“</w:t>
      </w:r>
      <w:r w:rsidR="00D46A61" w:rsidRPr="00BB5131">
        <w:rPr>
          <w:sz w:val="20"/>
          <w:szCs w:val="20"/>
        </w:rPr>
        <w:t>dos integrantes de la organización Alianza Sierra Madre (ASMAC)</w:t>
      </w:r>
      <w:r w:rsidR="006D67AA" w:rsidRPr="00BB5131">
        <w:rPr>
          <w:sz w:val="20"/>
          <w:szCs w:val="20"/>
        </w:rPr>
        <w:t>”</w:t>
      </w:r>
      <w:r w:rsidR="00D46A61" w:rsidRPr="00BB5131">
        <w:rPr>
          <w:sz w:val="20"/>
          <w:szCs w:val="20"/>
        </w:rPr>
        <w:t>.</w:t>
      </w:r>
      <w:r w:rsidR="00176C41" w:rsidRPr="00BB5131">
        <w:rPr>
          <w:sz w:val="20"/>
          <w:szCs w:val="20"/>
        </w:rPr>
        <w:t xml:space="preserve"> </w:t>
      </w:r>
      <w:r w:rsidR="003E3985" w:rsidRPr="00BB5131">
        <w:rPr>
          <w:sz w:val="20"/>
          <w:szCs w:val="20"/>
        </w:rPr>
        <w:t>Ello en razón de “la situación de violencia que amenaza</w:t>
      </w:r>
      <w:r w:rsidR="006608FD" w:rsidRPr="00BB5131">
        <w:rPr>
          <w:sz w:val="20"/>
          <w:szCs w:val="20"/>
        </w:rPr>
        <w:t xml:space="preserve"> </w:t>
      </w:r>
      <w:r w:rsidR="003E3985" w:rsidRPr="00BB5131">
        <w:rPr>
          <w:sz w:val="20"/>
          <w:szCs w:val="20"/>
        </w:rPr>
        <w:t xml:space="preserve">[…] a los miembros de la comunidad […] y que tendría como objeto amedrentar a la [misma]”. Añadieron que </w:t>
      </w:r>
      <w:r w:rsidR="006608FD" w:rsidRPr="00BB5131">
        <w:rPr>
          <w:sz w:val="20"/>
          <w:szCs w:val="20"/>
        </w:rPr>
        <w:t>se los integrantes de la Comunidad que fueron individualizados, habrían recibido “amenazas de muerte y otros hostigamientos […] como consecuencia de las acciones de justicia emprendidas por la comunidad por [los] hechos de violencia”. Finalmente, indicaron que los dos integrantes de ASMAC también habían recibido amenazas de muerte “al ser ‘el vínculo directo entre la comunidad indígena y las autoridades del Estado’”.</w:t>
      </w:r>
    </w:p>
    <w:p w14:paraId="6905AA61" w14:textId="08A47D2B" w:rsidR="00D46A61" w:rsidRPr="00BB5131" w:rsidRDefault="00D46A61" w:rsidP="00565992">
      <w:pPr>
        <w:pStyle w:val="Prrafodelista1"/>
        <w:numPr>
          <w:ilvl w:val="0"/>
          <w:numId w:val="1"/>
        </w:numPr>
        <w:tabs>
          <w:tab w:val="num" w:pos="0"/>
        </w:tabs>
        <w:spacing w:before="120" w:after="120"/>
        <w:ind w:left="0" w:firstLine="0"/>
        <w:contextualSpacing w:val="0"/>
        <w:jc w:val="both"/>
        <w:rPr>
          <w:lang w:val="es-MX"/>
        </w:rPr>
      </w:pPr>
      <w:r w:rsidRPr="00BB5131">
        <w:rPr>
          <w:sz w:val="20"/>
          <w:szCs w:val="20"/>
        </w:rPr>
        <w:t xml:space="preserve">El 6 de octubre de 2014 la Comisión “solicitó al Estado mexicano la adopción de medidas cautelares para proteger la vida e integridad personal del señor Prudencio Ramos </w:t>
      </w:r>
      <w:proofErr w:type="spellStart"/>
      <w:r w:rsidRPr="00BB5131">
        <w:rPr>
          <w:sz w:val="20"/>
          <w:szCs w:val="20"/>
        </w:rPr>
        <w:t>Ramos</w:t>
      </w:r>
      <w:proofErr w:type="spellEnd"/>
      <w:r w:rsidRPr="00BB5131">
        <w:rPr>
          <w:sz w:val="20"/>
          <w:szCs w:val="20"/>
        </w:rPr>
        <w:t xml:space="preserve">, la señora Ángela Ayala Ramos y sus </w:t>
      </w:r>
      <w:r w:rsidR="00030443" w:rsidRPr="00BB5131">
        <w:rPr>
          <w:sz w:val="20"/>
          <w:szCs w:val="20"/>
        </w:rPr>
        <w:t>respectivos núcleos familiares”</w:t>
      </w:r>
      <w:r w:rsidR="00030443" w:rsidRPr="00BB5131">
        <w:rPr>
          <w:rStyle w:val="FootnoteReference"/>
          <w:sz w:val="20"/>
          <w:szCs w:val="20"/>
        </w:rPr>
        <w:footnoteReference w:id="5"/>
      </w:r>
      <w:r w:rsidRPr="00BB5131">
        <w:rPr>
          <w:sz w:val="20"/>
          <w:szCs w:val="20"/>
        </w:rPr>
        <w:t>.</w:t>
      </w:r>
      <w:r w:rsidR="00030443" w:rsidRPr="00BB5131">
        <w:rPr>
          <w:sz w:val="20"/>
          <w:szCs w:val="20"/>
        </w:rPr>
        <w:t xml:space="preserve"> El </w:t>
      </w:r>
      <w:r w:rsidR="00030443" w:rsidRPr="00BB5131">
        <w:rPr>
          <w:rFonts w:cs="Arial"/>
          <w:sz w:val="20"/>
          <w:szCs w:val="20"/>
          <w:lang w:val="es-ES_tradnl"/>
        </w:rPr>
        <w:t xml:space="preserve">28 de octubre de 216 la Comisión decidió ampliar las medidas cautelares “a favor de los miembros de la comunidad indígena de </w:t>
      </w:r>
      <w:proofErr w:type="spellStart"/>
      <w:r w:rsidR="00030443" w:rsidRPr="00BB5131">
        <w:rPr>
          <w:rFonts w:cs="Arial"/>
          <w:sz w:val="20"/>
          <w:szCs w:val="20"/>
          <w:lang w:val="es-ES_tradnl"/>
        </w:rPr>
        <w:t>Choréachi</w:t>
      </w:r>
      <w:proofErr w:type="spellEnd"/>
      <w:r w:rsidR="00030443" w:rsidRPr="00BB5131">
        <w:rPr>
          <w:rFonts w:cs="Arial"/>
          <w:sz w:val="20"/>
          <w:szCs w:val="20"/>
          <w:lang w:val="es-ES_tradnl"/>
        </w:rPr>
        <w:t xml:space="preserve">” luego de recibir </w:t>
      </w:r>
      <w:r w:rsidR="00030443" w:rsidRPr="00BB5131">
        <w:rPr>
          <w:sz w:val="20"/>
          <w:szCs w:val="20"/>
        </w:rPr>
        <w:t xml:space="preserve">información en julio de ese mismo año “sobre la continuidad de la situación de riesgo para las personas beneficiarias y los integrantes de la </w:t>
      </w:r>
      <w:r w:rsidR="006608FD" w:rsidRPr="00BB5131">
        <w:rPr>
          <w:sz w:val="20"/>
          <w:szCs w:val="20"/>
        </w:rPr>
        <w:t>c</w:t>
      </w:r>
      <w:r w:rsidR="00030443" w:rsidRPr="00BB5131">
        <w:rPr>
          <w:sz w:val="20"/>
          <w:szCs w:val="20"/>
        </w:rPr>
        <w:t xml:space="preserve">omunidad </w:t>
      </w:r>
      <w:r w:rsidR="00D23D7E" w:rsidRPr="00BB5131">
        <w:rPr>
          <w:sz w:val="20"/>
          <w:szCs w:val="20"/>
        </w:rPr>
        <w:t>[…]</w:t>
      </w:r>
      <w:r w:rsidR="005820FB" w:rsidRPr="00BB5131">
        <w:rPr>
          <w:sz w:val="20"/>
          <w:szCs w:val="20"/>
        </w:rPr>
        <w:t xml:space="preserve"> </w:t>
      </w:r>
      <w:r w:rsidR="00030443" w:rsidRPr="00BB5131">
        <w:rPr>
          <w:sz w:val="20"/>
          <w:szCs w:val="20"/>
        </w:rPr>
        <w:t>así como información sobre nuevos hechos”.</w:t>
      </w:r>
      <w:r w:rsidR="00AB4172" w:rsidRPr="00BB5131">
        <w:rPr>
          <w:sz w:val="20"/>
          <w:szCs w:val="20"/>
        </w:rPr>
        <w:t xml:space="preserve"> </w:t>
      </w:r>
    </w:p>
    <w:p w14:paraId="19664B85" w14:textId="39DBD327" w:rsidR="0057637A" w:rsidRPr="00BB5131" w:rsidRDefault="006608FD" w:rsidP="00565992">
      <w:pPr>
        <w:pStyle w:val="Prrafodelista1"/>
        <w:numPr>
          <w:ilvl w:val="0"/>
          <w:numId w:val="1"/>
        </w:numPr>
        <w:tabs>
          <w:tab w:val="num" w:pos="0"/>
        </w:tabs>
        <w:spacing w:before="120" w:after="120"/>
        <w:ind w:left="0" w:firstLine="0"/>
        <w:contextualSpacing w:val="0"/>
        <w:jc w:val="both"/>
        <w:rPr>
          <w:sz w:val="20"/>
          <w:szCs w:val="20"/>
        </w:rPr>
      </w:pPr>
      <w:r w:rsidRPr="00BB5131">
        <w:rPr>
          <w:sz w:val="20"/>
          <w:szCs w:val="20"/>
        </w:rPr>
        <w:t>Ahora bien, c</w:t>
      </w:r>
      <w:r w:rsidR="00A17FCE" w:rsidRPr="00BB5131">
        <w:rPr>
          <w:sz w:val="20"/>
          <w:szCs w:val="20"/>
        </w:rPr>
        <w:t xml:space="preserve">on respecto </w:t>
      </w:r>
      <w:r w:rsidR="00E6772C" w:rsidRPr="00BB5131">
        <w:rPr>
          <w:sz w:val="20"/>
          <w:szCs w:val="20"/>
        </w:rPr>
        <w:t xml:space="preserve">a los presuntos hechos de violencia que acreditan la situación de riesgo </w:t>
      </w:r>
      <w:r w:rsidR="00E6772C" w:rsidRPr="00BB5131">
        <w:rPr>
          <w:rFonts w:cs="Arial"/>
          <w:sz w:val="20"/>
          <w:szCs w:val="20"/>
          <w:lang w:val="es-ES_tradnl"/>
        </w:rPr>
        <w:t>extremo</w:t>
      </w:r>
      <w:r w:rsidR="00E6772C" w:rsidRPr="00BB5131">
        <w:rPr>
          <w:sz w:val="20"/>
          <w:szCs w:val="20"/>
        </w:rPr>
        <w:t xml:space="preserve"> que actualmente enfrenta</w:t>
      </w:r>
      <w:r w:rsidR="005B109B" w:rsidRPr="00BB5131">
        <w:rPr>
          <w:sz w:val="20"/>
          <w:szCs w:val="20"/>
        </w:rPr>
        <w:t>ría</w:t>
      </w:r>
      <w:r w:rsidR="00E6772C" w:rsidRPr="00BB5131">
        <w:rPr>
          <w:sz w:val="20"/>
          <w:szCs w:val="20"/>
        </w:rPr>
        <w:t xml:space="preserve"> la Comunidad de </w:t>
      </w:r>
      <w:proofErr w:type="spellStart"/>
      <w:r w:rsidR="00E6772C" w:rsidRPr="00BB5131">
        <w:rPr>
          <w:sz w:val="20"/>
          <w:szCs w:val="20"/>
        </w:rPr>
        <w:t>Choréachi</w:t>
      </w:r>
      <w:proofErr w:type="spellEnd"/>
      <w:r w:rsidR="00E6772C" w:rsidRPr="00BB5131">
        <w:rPr>
          <w:sz w:val="20"/>
          <w:szCs w:val="20"/>
        </w:rPr>
        <w:t xml:space="preserve">, la Comisión hizo referencia a aquellos que originaron la solicitud de Medidas Cautelares acaecidos en 2013, y a los subsecuentes que han tenido lugar hasta febrero de 2017. </w:t>
      </w:r>
      <w:r w:rsidR="0057637A" w:rsidRPr="00BB5131">
        <w:rPr>
          <w:sz w:val="20"/>
          <w:szCs w:val="20"/>
        </w:rPr>
        <w:t xml:space="preserve">Adicionalmente, se refirió a la existencia de un contexto general de riesgo en la región de la Sierra Tarahumara en </w:t>
      </w:r>
      <w:r w:rsidR="005B109B" w:rsidRPr="00BB5131">
        <w:rPr>
          <w:sz w:val="20"/>
          <w:szCs w:val="20"/>
        </w:rPr>
        <w:t>donde se ubica la Comunidad</w:t>
      </w:r>
      <w:r w:rsidR="0057637A" w:rsidRPr="00BB5131">
        <w:rPr>
          <w:sz w:val="20"/>
          <w:szCs w:val="20"/>
        </w:rPr>
        <w:t>. En concreto, mencionó los siguientes hechos:</w:t>
      </w:r>
    </w:p>
    <w:p w14:paraId="046BDF99" w14:textId="240E3C0A" w:rsidR="00EE27B1" w:rsidRPr="00BB5131" w:rsidRDefault="00F46192" w:rsidP="00EE27B1">
      <w:pPr>
        <w:pStyle w:val="Prrafodelista1"/>
        <w:numPr>
          <w:ilvl w:val="1"/>
          <w:numId w:val="5"/>
        </w:numPr>
        <w:tabs>
          <w:tab w:val="clear" w:pos="1440"/>
        </w:tabs>
        <w:spacing w:before="120" w:after="120"/>
        <w:ind w:left="567"/>
        <w:contextualSpacing w:val="0"/>
        <w:jc w:val="both"/>
        <w:rPr>
          <w:rFonts w:ascii="Cambria" w:hAnsi="Cambria" w:cs="Arial"/>
          <w:sz w:val="22"/>
          <w:lang w:val="es-ES_tradnl"/>
        </w:rPr>
      </w:pPr>
      <w:r w:rsidRPr="00BB5131">
        <w:rPr>
          <w:sz w:val="20"/>
          <w:szCs w:val="20"/>
        </w:rPr>
        <w:t>“</w:t>
      </w:r>
      <w:r w:rsidR="00EE27B1" w:rsidRPr="00BB5131">
        <w:rPr>
          <w:sz w:val="20"/>
          <w:szCs w:val="20"/>
        </w:rPr>
        <w:t xml:space="preserve">en el mes de </w:t>
      </w:r>
      <w:r w:rsidR="00EE27B1" w:rsidRPr="00BB5131">
        <w:rPr>
          <w:sz w:val="20"/>
        </w:rPr>
        <w:t>septiembre de 2013</w:t>
      </w:r>
      <w:r w:rsidR="00EE27B1" w:rsidRPr="00BB5131">
        <w:rPr>
          <w:sz w:val="20"/>
          <w:szCs w:val="20"/>
        </w:rPr>
        <w:t xml:space="preserve">, en el marco de un celebración indígena </w:t>
      </w:r>
      <w:r w:rsidR="007F7FC1" w:rsidRPr="00BB5131">
        <w:rPr>
          <w:sz w:val="20"/>
          <w:szCs w:val="20"/>
        </w:rPr>
        <w:t>en la</w:t>
      </w:r>
      <w:r w:rsidR="007F7FC1" w:rsidRPr="00BB5131">
        <w:rPr>
          <w:b/>
          <w:sz w:val="20"/>
          <w:szCs w:val="20"/>
        </w:rPr>
        <w:t xml:space="preserve"> </w:t>
      </w:r>
      <w:r w:rsidR="007F7FC1" w:rsidRPr="00BB5131">
        <w:rPr>
          <w:sz w:val="20"/>
          <w:szCs w:val="20"/>
        </w:rPr>
        <w:t xml:space="preserve">casa de la señora Ángela Ayala Ramos, </w:t>
      </w:r>
      <w:r w:rsidRPr="00BB5131">
        <w:rPr>
          <w:sz w:val="20"/>
          <w:szCs w:val="20"/>
        </w:rPr>
        <w:t>[</w:t>
      </w:r>
      <w:r w:rsidR="00AB1717" w:rsidRPr="00BB5131">
        <w:rPr>
          <w:sz w:val="20"/>
          <w:szCs w:val="20"/>
        </w:rPr>
        <w:t>supuestos</w:t>
      </w:r>
      <w:r w:rsidRPr="00BB5131">
        <w:rPr>
          <w:sz w:val="20"/>
          <w:szCs w:val="20"/>
        </w:rPr>
        <w:t>]</w:t>
      </w:r>
      <w:r w:rsidR="00AB1717" w:rsidRPr="00BB5131">
        <w:rPr>
          <w:sz w:val="20"/>
          <w:szCs w:val="20"/>
        </w:rPr>
        <w:t xml:space="preserve"> </w:t>
      </w:r>
      <w:r w:rsidR="007F7FC1" w:rsidRPr="00BB5131">
        <w:rPr>
          <w:sz w:val="20"/>
          <w:szCs w:val="20"/>
        </w:rPr>
        <w:t>miembros de la comunidad de Colorada de los Chávez habrían llegado al lugar y uno de ellos le disparó al señor Jaime Zubia Cevallos, esposo de la señora</w:t>
      </w:r>
      <w:r w:rsidRPr="00BB5131">
        <w:rPr>
          <w:sz w:val="20"/>
          <w:szCs w:val="20"/>
        </w:rPr>
        <w:t xml:space="preserve"> Ángela</w:t>
      </w:r>
      <w:r w:rsidR="007F7FC1" w:rsidRPr="00BB5131">
        <w:rPr>
          <w:sz w:val="20"/>
          <w:szCs w:val="20"/>
        </w:rPr>
        <w:t xml:space="preserve"> Ayala Ramos, a causa de lo cual el señor Cevallos falleció</w:t>
      </w:r>
      <w:r w:rsidRPr="00BB5131">
        <w:rPr>
          <w:sz w:val="20"/>
          <w:szCs w:val="20"/>
        </w:rPr>
        <w:t>”</w:t>
      </w:r>
      <w:r w:rsidR="005820FB" w:rsidRPr="00BB5131">
        <w:rPr>
          <w:sz w:val="20"/>
          <w:szCs w:val="20"/>
        </w:rPr>
        <w:t>;</w:t>
      </w:r>
    </w:p>
    <w:p w14:paraId="396D9F7D" w14:textId="193506F8" w:rsidR="0057637A" w:rsidRPr="00BB5131" w:rsidRDefault="00F46192" w:rsidP="00EE27B1">
      <w:pPr>
        <w:pStyle w:val="Prrafodelista1"/>
        <w:numPr>
          <w:ilvl w:val="1"/>
          <w:numId w:val="5"/>
        </w:numPr>
        <w:tabs>
          <w:tab w:val="clear" w:pos="1440"/>
        </w:tabs>
        <w:spacing w:before="120" w:after="120"/>
        <w:ind w:left="567"/>
        <w:contextualSpacing w:val="0"/>
        <w:jc w:val="both"/>
        <w:rPr>
          <w:rFonts w:ascii="Cambria" w:hAnsi="Cambria" w:cs="Arial"/>
          <w:sz w:val="22"/>
          <w:lang w:val="es-ES_tradnl"/>
        </w:rPr>
      </w:pPr>
      <w:r w:rsidRPr="00BB5131">
        <w:rPr>
          <w:sz w:val="20"/>
          <w:szCs w:val="20"/>
        </w:rPr>
        <w:t>“</w:t>
      </w:r>
      <w:r w:rsidR="00EE27B1" w:rsidRPr="00BB5131">
        <w:rPr>
          <w:sz w:val="20"/>
          <w:szCs w:val="20"/>
        </w:rPr>
        <w:t xml:space="preserve">un segundo asesinato </w:t>
      </w:r>
      <w:r w:rsidRPr="00BB5131">
        <w:rPr>
          <w:sz w:val="20"/>
          <w:szCs w:val="20"/>
        </w:rPr>
        <w:t>[</w:t>
      </w:r>
      <w:r w:rsidR="00EE27B1" w:rsidRPr="00BB5131">
        <w:rPr>
          <w:sz w:val="20"/>
          <w:szCs w:val="20"/>
        </w:rPr>
        <w:t>habría</w:t>
      </w:r>
      <w:r w:rsidRPr="00BB5131">
        <w:rPr>
          <w:sz w:val="20"/>
          <w:szCs w:val="20"/>
        </w:rPr>
        <w:t>]</w:t>
      </w:r>
      <w:r w:rsidR="00EE27B1" w:rsidRPr="00BB5131">
        <w:rPr>
          <w:sz w:val="20"/>
          <w:szCs w:val="20"/>
        </w:rPr>
        <w:t xml:space="preserve"> </w:t>
      </w:r>
      <w:proofErr w:type="spellStart"/>
      <w:r w:rsidR="00EE27B1" w:rsidRPr="00BB5131">
        <w:rPr>
          <w:sz w:val="20"/>
          <w:szCs w:val="20"/>
        </w:rPr>
        <w:t>ocurri</w:t>
      </w:r>
      <w:proofErr w:type="spellEnd"/>
      <w:r w:rsidRPr="00BB5131">
        <w:rPr>
          <w:sz w:val="20"/>
          <w:szCs w:val="20"/>
        </w:rPr>
        <w:t>[</w:t>
      </w:r>
      <w:r w:rsidR="00EE27B1" w:rsidRPr="00BB5131">
        <w:rPr>
          <w:sz w:val="20"/>
          <w:szCs w:val="20"/>
        </w:rPr>
        <w:t>do</w:t>
      </w:r>
      <w:r w:rsidRPr="00BB5131">
        <w:rPr>
          <w:sz w:val="20"/>
          <w:szCs w:val="20"/>
        </w:rPr>
        <w:t>]</w:t>
      </w:r>
      <w:r w:rsidR="00EE27B1" w:rsidRPr="00BB5131">
        <w:rPr>
          <w:sz w:val="20"/>
          <w:szCs w:val="20"/>
        </w:rPr>
        <w:t xml:space="preserve"> en </w:t>
      </w:r>
      <w:r w:rsidRPr="00BB5131">
        <w:rPr>
          <w:sz w:val="20"/>
          <w:szCs w:val="20"/>
        </w:rPr>
        <w:t>[…]</w:t>
      </w:r>
      <w:r w:rsidR="00EE27B1" w:rsidRPr="00BB5131">
        <w:rPr>
          <w:sz w:val="20"/>
          <w:szCs w:val="20"/>
        </w:rPr>
        <w:t xml:space="preserve"> noviembre de 2013, cuando supuestamente un miembro de la familia Loera Chávez habría llegado a la casa del señor Socorro Ayala Ramos y le disparó en la cabeza</w:t>
      </w:r>
      <w:r w:rsidRPr="00BB5131">
        <w:rPr>
          <w:sz w:val="20"/>
          <w:szCs w:val="20"/>
        </w:rPr>
        <w:t xml:space="preserve"> y luego como en siete ocasiones cuando se encontraba en el suelo”</w:t>
      </w:r>
      <w:r w:rsidR="00EE27B1" w:rsidRPr="00BB5131">
        <w:rPr>
          <w:sz w:val="20"/>
          <w:szCs w:val="20"/>
        </w:rPr>
        <w:t>;</w:t>
      </w:r>
    </w:p>
    <w:p w14:paraId="3D8C4D03" w14:textId="7B3ED5EB" w:rsidR="00AC2247" w:rsidRPr="00BB5131" w:rsidRDefault="00F46192" w:rsidP="00AC2247">
      <w:pPr>
        <w:pStyle w:val="Prrafodelista1"/>
        <w:numPr>
          <w:ilvl w:val="1"/>
          <w:numId w:val="5"/>
        </w:numPr>
        <w:tabs>
          <w:tab w:val="clear" w:pos="1440"/>
        </w:tabs>
        <w:spacing w:before="120" w:after="120"/>
        <w:ind w:left="567"/>
        <w:contextualSpacing w:val="0"/>
        <w:jc w:val="both"/>
        <w:rPr>
          <w:sz w:val="20"/>
          <w:szCs w:val="20"/>
          <w:lang w:val="es-ES_tradnl"/>
        </w:rPr>
      </w:pPr>
      <w:r w:rsidRPr="00BB5131">
        <w:rPr>
          <w:sz w:val="20"/>
          <w:szCs w:val="20"/>
          <w:lang w:val="es-ES_tradnl"/>
        </w:rPr>
        <w:t>“[</w:t>
      </w:r>
      <w:r w:rsidR="00AC2247" w:rsidRPr="00BB5131">
        <w:rPr>
          <w:sz w:val="20"/>
          <w:szCs w:val="20"/>
          <w:lang w:val="es-ES_tradnl"/>
        </w:rPr>
        <w:t>e</w:t>
      </w:r>
      <w:r w:rsidRPr="00BB5131">
        <w:rPr>
          <w:sz w:val="20"/>
          <w:szCs w:val="20"/>
          <w:lang w:val="es-ES_tradnl"/>
        </w:rPr>
        <w:t>]</w:t>
      </w:r>
      <w:r w:rsidR="00AC2247" w:rsidRPr="00BB5131">
        <w:rPr>
          <w:sz w:val="20"/>
          <w:szCs w:val="20"/>
          <w:lang w:val="es-ES_tradnl"/>
        </w:rPr>
        <w:t xml:space="preserve">l </w:t>
      </w:r>
      <w:r w:rsidR="00AC2247" w:rsidRPr="00BB5131">
        <w:rPr>
          <w:sz w:val="20"/>
          <w:lang w:val="es-ES_tradnl"/>
        </w:rPr>
        <w:t>16 de septiembre de 2014</w:t>
      </w:r>
      <w:r w:rsidR="00AC2247" w:rsidRPr="00BB5131">
        <w:rPr>
          <w:sz w:val="20"/>
          <w:szCs w:val="20"/>
          <w:lang w:val="es-ES_tradnl"/>
        </w:rPr>
        <w:t xml:space="preserve"> un sujeto armado se habría presentado en la casa del señor Prudencio Ramos </w:t>
      </w:r>
      <w:proofErr w:type="spellStart"/>
      <w:r w:rsidR="00AC2247" w:rsidRPr="00BB5131">
        <w:rPr>
          <w:sz w:val="20"/>
          <w:szCs w:val="20"/>
          <w:lang w:val="es-ES_tradnl"/>
        </w:rPr>
        <w:t>Ramos</w:t>
      </w:r>
      <w:proofErr w:type="spellEnd"/>
      <w:r w:rsidR="00AC2247" w:rsidRPr="00BB5131">
        <w:rPr>
          <w:sz w:val="20"/>
          <w:szCs w:val="20"/>
          <w:lang w:val="es-ES_tradnl"/>
        </w:rPr>
        <w:t xml:space="preserve">, portando una </w:t>
      </w:r>
      <w:r w:rsidRPr="00BB5131">
        <w:rPr>
          <w:sz w:val="20"/>
          <w:szCs w:val="20"/>
          <w:lang w:val="es-ES_tradnl"/>
        </w:rPr>
        <w:t>‘</w:t>
      </w:r>
      <w:r w:rsidR="00AC2247" w:rsidRPr="00BB5131">
        <w:rPr>
          <w:sz w:val="20"/>
          <w:szCs w:val="20"/>
          <w:lang w:val="es-ES_tradnl"/>
        </w:rPr>
        <w:t>cuerna de chivo</w:t>
      </w:r>
      <w:r w:rsidRPr="00BB5131">
        <w:rPr>
          <w:sz w:val="20"/>
          <w:szCs w:val="20"/>
          <w:lang w:val="es-ES_tradnl"/>
        </w:rPr>
        <w:t>’</w:t>
      </w:r>
      <w:r w:rsidR="00AC2247" w:rsidRPr="00BB5131">
        <w:rPr>
          <w:sz w:val="20"/>
          <w:szCs w:val="20"/>
          <w:lang w:val="es-ES_tradnl"/>
        </w:rPr>
        <w:t xml:space="preserve"> y </w:t>
      </w:r>
      <w:r w:rsidR="00AC2247" w:rsidRPr="00BB5131">
        <w:rPr>
          <w:rFonts w:cs="Arial"/>
          <w:sz w:val="20"/>
          <w:szCs w:val="20"/>
          <w:lang w:val="es-ES_tradnl"/>
        </w:rPr>
        <w:t>diciendo</w:t>
      </w:r>
      <w:r w:rsidR="00AC2247" w:rsidRPr="00BB5131">
        <w:rPr>
          <w:sz w:val="20"/>
          <w:szCs w:val="20"/>
          <w:lang w:val="es-ES_tradnl"/>
        </w:rPr>
        <w:t xml:space="preserve"> en repetidas ocasiones </w:t>
      </w:r>
      <w:r w:rsidRPr="00BB5131">
        <w:rPr>
          <w:sz w:val="20"/>
          <w:szCs w:val="20"/>
          <w:lang w:val="es-ES_tradnl"/>
        </w:rPr>
        <w:t>‘</w:t>
      </w:r>
      <w:r w:rsidR="00AC2247" w:rsidRPr="00BB5131">
        <w:rPr>
          <w:sz w:val="20"/>
          <w:szCs w:val="20"/>
          <w:lang w:val="es-ES_tradnl"/>
        </w:rPr>
        <w:t>¿dónde está ese cabrón de Prudencio para llevármelo?</w:t>
      </w:r>
      <w:r w:rsidRPr="00BB5131">
        <w:rPr>
          <w:sz w:val="20"/>
          <w:szCs w:val="20"/>
          <w:lang w:val="es-ES_tradnl"/>
        </w:rPr>
        <w:t>’. La familia del señor Ramos habría tenido que resguardarse en el monte y alertar a otros miembros de la familia por temor a que les hicieran algo</w:t>
      </w:r>
      <w:r w:rsidR="002F63C7" w:rsidRPr="00BB5131">
        <w:rPr>
          <w:sz w:val="20"/>
          <w:szCs w:val="20"/>
          <w:lang w:val="es-ES_tradnl"/>
        </w:rPr>
        <w:t>”</w:t>
      </w:r>
      <w:r w:rsidR="00AC2247" w:rsidRPr="00BB5131">
        <w:rPr>
          <w:sz w:val="20"/>
          <w:szCs w:val="20"/>
          <w:lang w:val="es-ES_tradnl"/>
        </w:rPr>
        <w:t>;</w:t>
      </w:r>
    </w:p>
    <w:p w14:paraId="4A733452" w14:textId="2C521380" w:rsidR="0057637A" w:rsidRPr="00BB5131" w:rsidRDefault="002F63C7" w:rsidP="00AC2247">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lang w:val="es-ES_tradnl"/>
        </w:rPr>
        <w:t>“[</w:t>
      </w:r>
      <w:r w:rsidR="00AC2247" w:rsidRPr="00BB5131">
        <w:rPr>
          <w:rFonts w:cs="Arial"/>
          <w:sz w:val="20"/>
          <w:szCs w:val="20"/>
          <w:lang w:val="es-ES_tradnl"/>
        </w:rPr>
        <w:t>e</w:t>
      </w:r>
      <w:r w:rsidRPr="00BB5131">
        <w:rPr>
          <w:rFonts w:cs="Arial"/>
          <w:sz w:val="20"/>
          <w:szCs w:val="20"/>
          <w:lang w:val="es-ES_tradnl"/>
        </w:rPr>
        <w:t>]</w:t>
      </w:r>
      <w:r w:rsidR="00AC2247" w:rsidRPr="00BB5131">
        <w:rPr>
          <w:rFonts w:cs="Arial"/>
          <w:sz w:val="20"/>
          <w:szCs w:val="20"/>
          <w:lang w:val="es-ES_tradnl"/>
        </w:rPr>
        <w:t xml:space="preserve">l mismo </w:t>
      </w:r>
      <w:r w:rsidR="00AC2247" w:rsidRPr="00BB5131">
        <w:rPr>
          <w:sz w:val="20"/>
          <w:lang w:val="es-ES_tradnl"/>
        </w:rPr>
        <w:t>16 de septiembre</w:t>
      </w:r>
      <w:r w:rsidR="00AC2247" w:rsidRPr="00BB5131">
        <w:rPr>
          <w:rFonts w:cs="Arial"/>
          <w:sz w:val="20"/>
          <w:szCs w:val="20"/>
          <w:lang w:val="es-ES_tradnl"/>
        </w:rPr>
        <w:t xml:space="preserve">, la señora Ángela Ayala Ramos denunció que había visto pasar a </w:t>
      </w:r>
      <w:r w:rsidRPr="00BB5131">
        <w:rPr>
          <w:rFonts w:cs="Arial"/>
          <w:sz w:val="20"/>
          <w:szCs w:val="20"/>
          <w:lang w:val="es-ES_tradnl"/>
        </w:rPr>
        <w:t>‘</w:t>
      </w:r>
      <w:r w:rsidR="00AC2247" w:rsidRPr="00BB5131">
        <w:rPr>
          <w:rFonts w:cs="Arial"/>
          <w:sz w:val="20"/>
          <w:szCs w:val="20"/>
          <w:lang w:val="es-ES_tradnl"/>
        </w:rPr>
        <w:t>dos hombres armados, vestidos de soldados y con pasamontañas</w:t>
      </w:r>
      <w:r w:rsidRPr="00BB5131">
        <w:rPr>
          <w:rFonts w:cs="Arial"/>
          <w:sz w:val="20"/>
          <w:szCs w:val="20"/>
          <w:lang w:val="es-ES_tradnl"/>
        </w:rPr>
        <w:t>’</w:t>
      </w:r>
      <w:r w:rsidR="00AC2247" w:rsidRPr="00BB5131">
        <w:rPr>
          <w:rFonts w:cs="Arial"/>
          <w:sz w:val="20"/>
          <w:szCs w:val="20"/>
          <w:lang w:val="es-ES_tradnl"/>
        </w:rPr>
        <w:t xml:space="preserve"> a </w:t>
      </w:r>
      <w:r w:rsidR="00AC2247" w:rsidRPr="00BB5131">
        <w:rPr>
          <w:rFonts w:cs="Arial"/>
          <w:sz w:val="20"/>
          <w:szCs w:val="20"/>
          <w:lang w:val="es-ES_tradnl"/>
        </w:rPr>
        <w:lastRenderedPageBreak/>
        <w:t xml:space="preserve">quienes identificó como miembros de la familia de </w:t>
      </w:r>
      <w:r w:rsidR="00AE6B20" w:rsidRPr="00BB5131">
        <w:rPr>
          <w:rFonts w:cs="Arial"/>
          <w:sz w:val="20"/>
          <w:szCs w:val="20"/>
        </w:rPr>
        <w:t>G.L</w:t>
      </w:r>
      <w:r w:rsidR="00AC2247" w:rsidRPr="00BB5131">
        <w:rPr>
          <w:rFonts w:cs="Arial"/>
          <w:sz w:val="20"/>
          <w:szCs w:val="20"/>
          <w:lang w:val="es-ES_tradnl"/>
        </w:rPr>
        <w:t>. En la noche de ese mismo día, habría vuelto a ver a uno de los hombres armados</w:t>
      </w:r>
      <w:r w:rsidRPr="00BB5131">
        <w:rPr>
          <w:rFonts w:cs="Arial"/>
          <w:sz w:val="20"/>
          <w:szCs w:val="20"/>
          <w:lang w:val="es-ES_tradnl"/>
        </w:rPr>
        <w:t>”</w:t>
      </w:r>
      <w:r w:rsidR="00AC2247" w:rsidRPr="00BB5131">
        <w:rPr>
          <w:rFonts w:cs="Arial"/>
          <w:sz w:val="20"/>
          <w:szCs w:val="20"/>
          <w:lang w:val="es-ES_tradnl"/>
        </w:rPr>
        <w:t>;</w:t>
      </w:r>
    </w:p>
    <w:p w14:paraId="40AB0B86" w14:textId="63C2EE4A" w:rsidR="00AC2247" w:rsidRPr="00BB5131" w:rsidRDefault="002F63C7" w:rsidP="00AC2247">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CF63F2" w:rsidRPr="00BB5131">
        <w:rPr>
          <w:rFonts w:cs="Arial"/>
          <w:sz w:val="20"/>
          <w:szCs w:val="20"/>
        </w:rPr>
        <w:t>[</w:t>
      </w:r>
      <w:r w:rsidR="00AC2247" w:rsidRPr="00BB5131">
        <w:rPr>
          <w:rFonts w:cs="Arial"/>
          <w:sz w:val="20"/>
          <w:szCs w:val="20"/>
        </w:rPr>
        <w:t>e</w:t>
      </w:r>
      <w:r w:rsidR="00CF63F2" w:rsidRPr="00BB5131">
        <w:rPr>
          <w:rFonts w:cs="Arial"/>
          <w:sz w:val="20"/>
          <w:szCs w:val="20"/>
        </w:rPr>
        <w:t>]</w:t>
      </w:r>
      <w:r w:rsidR="00AC2247" w:rsidRPr="00BB5131">
        <w:rPr>
          <w:rFonts w:cs="Arial"/>
          <w:sz w:val="20"/>
          <w:szCs w:val="20"/>
        </w:rPr>
        <w:t xml:space="preserve">l </w:t>
      </w:r>
      <w:r w:rsidR="00AC2247" w:rsidRPr="00BB5131">
        <w:rPr>
          <w:sz w:val="20"/>
        </w:rPr>
        <w:t>6 de diciembre de 2014</w:t>
      </w:r>
      <w:r w:rsidR="00AC2247" w:rsidRPr="00BB5131">
        <w:rPr>
          <w:rFonts w:cs="Arial"/>
          <w:sz w:val="20"/>
          <w:szCs w:val="20"/>
        </w:rPr>
        <w:t xml:space="preserve"> la señora Ángela Ayala se encontraba en Chihuahua y </w:t>
      </w:r>
      <w:r w:rsidR="00AC2247" w:rsidRPr="00BB5131">
        <w:rPr>
          <w:rFonts w:cs="Arial"/>
          <w:sz w:val="20"/>
          <w:szCs w:val="20"/>
          <w:lang w:val="es-ES_tradnl"/>
        </w:rPr>
        <w:t>habría</w:t>
      </w:r>
      <w:r w:rsidR="00AC2247" w:rsidRPr="00BB5131">
        <w:rPr>
          <w:rFonts w:cs="Arial"/>
          <w:sz w:val="20"/>
          <w:szCs w:val="20"/>
        </w:rPr>
        <w:t xml:space="preserve"> sido advertida por un familiar que </w:t>
      </w:r>
      <w:r w:rsidRPr="00BB5131">
        <w:rPr>
          <w:rFonts w:cs="Arial"/>
          <w:sz w:val="20"/>
          <w:szCs w:val="20"/>
        </w:rPr>
        <w:t>‘</w:t>
      </w:r>
      <w:r w:rsidR="00AC2247" w:rsidRPr="00BB5131">
        <w:rPr>
          <w:rFonts w:cs="Arial"/>
          <w:sz w:val="20"/>
          <w:szCs w:val="20"/>
        </w:rPr>
        <w:t xml:space="preserve">tuviera cuidado a su regreso porque la familia de </w:t>
      </w:r>
      <w:r w:rsidR="00AE6B20" w:rsidRPr="00BB5131">
        <w:rPr>
          <w:rFonts w:cs="Arial"/>
          <w:sz w:val="20"/>
          <w:szCs w:val="20"/>
        </w:rPr>
        <w:t xml:space="preserve">G.L. </w:t>
      </w:r>
      <w:proofErr w:type="spellStart"/>
      <w:r w:rsidR="00AC2247" w:rsidRPr="00BB5131">
        <w:rPr>
          <w:rFonts w:cs="Arial"/>
          <w:sz w:val="20"/>
          <w:szCs w:val="20"/>
        </w:rPr>
        <w:t>habí</w:t>
      </w:r>
      <w:proofErr w:type="spellEnd"/>
      <w:r w:rsidR="00AB1717" w:rsidRPr="00BB5131">
        <w:rPr>
          <w:rFonts w:cs="Arial"/>
          <w:sz w:val="20"/>
          <w:szCs w:val="20"/>
        </w:rPr>
        <w:t>[</w:t>
      </w:r>
      <w:r w:rsidR="00AC2247" w:rsidRPr="00BB5131">
        <w:rPr>
          <w:rFonts w:cs="Arial"/>
          <w:sz w:val="20"/>
          <w:szCs w:val="20"/>
        </w:rPr>
        <w:t>a</w:t>
      </w:r>
      <w:r w:rsidR="00AB1717" w:rsidRPr="00BB5131">
        <w:rPr>
          <w:rFonts w:cs="Arial"/>
          <w:sz w:val="20"/>
          <w:szCs w:val="20"/>
        </w:rPr>
        <w:t>]</w:t>
      </w:r>
      <w:r w:rsidR="00AC2247" w:rsidRPr="00BB5131">
        <w:rPr>
          <w:rFonts w:cs="Arial"/>
          <w:sz w:val="20"/>
          <w:szCs w:val="20"/>
        </w:rPr>
        <w:t xml:space="preserve"> matado un día antes a dos muchachos, parientes de Prudencio Ayala (integrante de la comunidad de </w:t>
      </w:r>
      <w:proofErr w:type="spellStart"/>
      <w:r w:rsidR="00AC2247" w:rsidRPr="00BB5131">
        <w:rPr>
          <w:rFonts w:cs="Arial"/>
          <w:sz w:val="20"/>
          <w:szCs w:val="20"/>
        </w:rPr>
        <w:t>Choréachi</w:t>
      </w:r>
      <w:proofErr w:type="spellEnd"/>
      <w:r w:rsidR="00AC2247" w:rsidRPr="00BB5131">
        <w:rPr>
          <w:rFonts w:cs="Arial"/>
          <w:sz w:val="20"/>
          <w:szCs w:val="20"/>
        </w:rPr>
        <w:t>)</w:t>
      </w:r>
      <w:r w:rsidR="00CF63F2" w:rsidRPr="00BB5131">
        <w:rPr>
          <w:rFonts w:cs="Arial"/>
          <w:sz w:val="20"/>
          <w:szCs w:val="20"/>
        </w:rPr>
        <w:t>’</w:t>
      </w:r>
      <w:r w:rsidR="00AC2247" w:rsidRPr="00BB5131">
        <w:rPr>
          <w:rFonts w:cs="Arial"/>
          <w:sz w:val="20"/>
          <w:szCs w:val="20"/>
        </w:rPr>
        <w:t>”;</w:t>
      </w:r>
      <w:r w:rsidR="00024292" w:rsidRPr="00BB5131">
        <w:rPr>
          <w:rFonts w:cs="Arial"/>
          <w:color w:val="1F497D" w:themeColor="text2"/>
          <w:sz w:val="20"/>
          <w:szCs w:val="20"/>
        </w:rPr>
        <w:t xml:space="preserve"> </w:t>
      </w:r>
    </w:p>
    <w:p w14:paraId="7CE5F66F" w14:textId="51A4E8B6" w:rsidR="00EE27B1" w:rsidRPr="00BB5131" w:rsidRDefault="00CF63F2" w:rsidP="00AC2247">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AC2247" w:rsidRPr="00BB5131">
        <w:rPr>
          <w:rFonts w:cs="Arial"/>
          <w:sz w:val="20"/>
          <w:szCs w:val="20"/>
        </w:rPr>
        <w:t>e</w:t>
      </w:r>
      <w:r w:rsidRPr="00BB5131">
        <w:rPr>
          <w:rFonts w:cs="Arial"/>
          <w:sz w:val="20"/>
          <w:szCs w:val="20"/>
        </w:rPr>
        <w:t>]</w:t>
      </w:r>
      <w:r w:rsidR="00AC2247" w:rsidRPr="00BB5131">
        <w:rPr>
          <w:rFonts w:cs="Arial"/>
          <w:sz w:val="20"/>
          <w:szCs w:val="20"/>
        </w:rPr>
        <w:t xml:space="preserve">l </w:t>
      </w:r>
      <w:r w:rsidR="00AC2247" w:rsidRPr="00BB5131">
        <w:rPr>
          <w:sz w:val="20"/>
        </w:rPr>
        <w:t>16 de diciembre de 2014</w:t>
      </w:r>
      <w:r w:rsidR="00AC2247" w:rsidRPr="00BB5131">
        <w:rPr>
          <w:rFonts w:cs="Arial"/>
          <w:sz w:val="20"/>
          <w:szCs w:val="20"/>
        </w:rPr>
        <w:t xml:space="preserve"> se habría presentado un enfrentamiento entre miembros de la comunidad Coloradas de los Chávez y otra denominada </w:t>
      </w:r>
      <w:proofErr w:type="spellStart"/>
      <w:r w:rsidR="00AC2247" w:rsidRPr="00BB5131">
        <w:rPr>
          <w:rFonts w:cs="Arial"/>
          <w:sz w:val="20"/>
          <w:szCs w:val="20"/>
        </w:rPr>
        <w:t>Barbechitos</w:t>
      </w:r>
      <w:proofErr w:type="spellEnd"/>
      <w:r w:rsidR="00AC2247" w:rsidRPr="00BB5131">
        <w:rPr>
          <w:rFonts w:cs="Arial"/>
          <w:sz w:val="20"/>
          <w:szCs w:val="20"/>
        </w:rPr>
        <w:t xml:space="preserve">, en una zona contigua a la comunidad de </w:t>
      </w:r>
      <w:proofErr w:type="spellStart"/>
      <w:r w:rsidR="00AC2247" w:rsidRPr="00BB5131">
        <w:rPr>
          <w:rFonts w:cs="Arial"/>
          <w:sz w:val="20"/>
          <w:szCs w:val="20"/>
        </w:rPr>
        <w:t>Choréachi</w:t>
      </w:r>
      <w:proofErr w:type="spellEnd"/>
      <w:r w:rsidR="003409AB" w:rsidRPr="00BB5131">
        <w:rPr>
          <w:rFonts w:cs="Arial"/>
          <w:sz w:val="20"/>
          <w:szCs w:val="20"/>
        </w:rPr>
        <w:t>”</w:t>
      </w:r>
      <w:r w:rsidR="00AC2247" w:rsidRPr="00BB5131">
        <w:rPr>
          <w:rFonts w:cs="Arial"/>
          <w:sz w:val="20"/>
          <w:szCs w:val="20"/>
        </w:rPr>
        <w:t xml:space="preserve">. La Comisión indicó que los representantes habían señalado que </w:t>
      </w:r>
      <w:r w:rsidR="003409AB" w:rsidRPr="00BB5131">
        <w:rPr>
          <w:rFonts w:cs="Arial"/>
          <w:sz w:val="20"/>
          <w:szCs w:val="20"/>
        </w:rPr>
        <w:t>“</w:t>
      </w:r>
      <w:r w:rsidR="00AC2247" w:rsidRPr="00BB5131">
        <w:rPr>
          <w:rFonts w:cs="Arial"/>
          <w:sz w:val="20"/>
          <w:szCs w:val="20"/>
        </w:rPr>
        <w:t xml:space="preserve">la comunidad de </w:t>
      </w:r>
      <w:proofErr w:type="spellStart"/>
      <w:r w:rsidR="00AC2247" w:rsidRPr="00BB5131">
        <w:rPr>
          <w:rFonts w:cs="Arial"/>
          <w:sz w:val="20"/>
          <w:szCs w:val="20"/>
        </w:rPr>
        <w:t>Choréachi</w:t>
      </w:r>
      <w:proofErr w:type="spellEnd"/>
      <w:r w:rsidR="00AC2247" w:rsidRPr="00BB5131">
        <w:rPr>
          <w:rFonts w:cs="Arial"/>
          <w:sz w:val="20"/>
          <w:szCs w:val="20"/>
        </w:rPr>
        <w:t xml:space="preserve"> había quedado en medio del conflicto derivado de estos hechos, en tanto algunos de los supuestos agresores </w:t>
      </w:r>
      <w:r w:rsidR="003409AB" w:rsidRPr="00BB5131">
        <w:rPr>
          <w:rFonts w:cs="Arial"/>
          <w:sz w:val="20"/>
          <w:szCs w:val="20"/>
        </w:rPr>
        <w:t>-[</w:t>
      </w:r>
      <w:r w:rsidR="00AB1717" w:rsidRPr="00BB5131">
        <w:rPr>
          <w:rFonts w:cs="Arial"/>
          <w:sz w:val="20"/>
          <w:szCs w:val="20"/>
        </w:rPr>
        <w:t>que estarían</w:t>
      </w:r>
      <w:r w:rsidR="003409AB" w:rsidRPr="00BB5131">
        <w:rPr>
          <w:rFonts w:cs="Arial"/>
          <w:sz w:val="20"/>
          <w:szCs w:val="20"/>
        </w:rPr>
        <w:t>]</w:t>
      </w:r>
      <w:r w:rsidR="00AB1717" w:rsidRPr="00BB5131">
        <w:rPr>
          <w:rFonts w:cs="Arial"/>
          <w:sz w:val="20"/>
          <w:szCs w:val="20"/>
        </w:rPr>
        <w:t xml:space="preserve"> </w:t>
      </w:r>
      <w:r w:rsidR="00AC2247" w:rsidRPr="00BB5131">
        <w:rPr>
          <w:rFonts w:cs="Arial"/>
          <w:sz w:val="20"/>
          <w:szCs w:val="20"/>
        </w:rPr>
        <w:t>vinculados con el señor G</w:t>
      </w:r>
      <w:r w:rsidR="00AE6B20" w:rsidRPr="00BB5131">
        <w:rPr>
          <w:rFonts w:cs="Arial"/>
          <w:sz w:val="20"/>
          <w:szCs w:val="20"/>
        </w:rPr>
        <w:t>.</w:t>
      </w:r>
      <w:r w:rsidR="00AC2247" w:rsidRPr="00BB5131">
        <w:rPr>
          <w:rFonts w:cs="Arial"/>
          <w:sz w:val="20"/>
          <w:szCs w:val="20"/>
        </w:rPr>
        <w:t>L</w:t>
      </w:r>
      <w:r w:rsidR="00AE6B20" w:rsidRPr="00BB5131">
        <w:rPr>
          <w:rFonts w:cs="Arial"/>
          <w:sz w:val="20"/>
          <w:szCs w:val="20"/>
        </w:rPr>
        <w:t>.</w:t>
      </w:r>
      <w:r w:rsidR="003409AB" w:rsidRPr="00BB5131">
        <w:rPr>
          <w:rFonts w:cs="Arial"/>
          <w:sz w:val="20"/>
          <w:szCs w:val="20"/>
        </w:rPr>
        <w:t>-</w:t>
      </w:r>
      <w:r w:rsidR="00AC2247" w:rsidRPr="00BB5131">
        <w:rPr>
          <w:rFonts w:cs="Arial"/>
          <w:sz w:val="20"/>
          <w:szCs w:val="20"/>
        </w:rPr>
        <w:t xml:space="preserve"> se habrían refugiado en la comunidad. En vista de esto, se habría generado un extremo temor para los pobladores lo que habría obligado a varias familias a desplazarse fuera de la comunidad para resguardarse</w:t>
      </w:r>
      <w:r w:rsidR="003409AB" w:rsidRPr="00BB5131">
        <w:rPr>
          <w:rFonts w:cs="Arial"/>
          <w:sz w:val="20"/>
          <w:szCs w:val="20"/>
        </w:rPr>
        <w:t>”</w:t>
      </w:r>
      <w:r w:rsidR="00AC2247" w:rsidRPr="00BB5131">
        <w:rPr>
          <w:rFonts w:cs="Arial"/>
          <w:sz w:val="20"/>
          <w:szCs w:val="20"/>
        </w:rPr>
        <w:t>;</w:t>
      </w:r>
    </w:p>
    <w:p w14:paraId="1D2BE99A" w14:textId="3261110E" w:rsidR="00AC2247" w:rsidRPr="00BB5131" w:rsidRDefault="003409AB" w:rsidP="00AC2247">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AC2247" w:rsidRPr="00BB5131">
        <w:rPr>
          <w:rFonts w:cs="Arial"/>
          <w:sz w:val="20"/>
          <w:szCs w:val="20"/>
        </w:rPr>
        <w:t>e</w:t>
      </w:r>
      <w:r w:rsidRPr="00BB5131">
        <w:rPr>
          <w:rFonts w:cs="Arial"/>
          <w:sz w:val="20"/>
          <w:szCs w:val="20"/>
        </w:rPr>
        <w:t>]</w:t>
      </w:r>
      <w:r w:rsidR="00AC2247" w:rsidRPr="00BB5131">
        <w:rPr>
          <w:rFonts w:cs="Arial"/>
          <w:sz w:val="20"/>
          <w:szCs w:val="20"/>
        </w:rPr>
        <w:t xml:space="preserve">l </w:t>
      </w:r>
      <w:r w:rsidR="00AC2247" w:rsidRPr="00BB5131">
        <w:rPr>
          <w:sz w:val="20"/>
        </w:rPr>
        <w:t>12 de enero de 2015</w:t>
      </w:r>
      <w:r w:rsidR="00AC2247" w:rsidRPr="00BB5131">
        <w:rPr>
          <w:rFonts w:cs="Arial"/>
          <w:sz w:val="20"/>
          <w:szCs w:val="20"/>
        </w:rPr>
        <w:t xml:space="preserve"> el señor Prudencio Ramos denunció a la organización ASMAC que mientras se dirigía ese día a la casa del señor Prudencio Ayala, había observado </w:t>
      </w:r>
      <w:r w:rsidRPr="00BB5131">
        <w:rPr>
          <w:rFonts w:cs="Arial"/>
          <w:sz w:val="20"/>
          <w:szCs w:val="20"/>
        </w:rPr>
        <w:t>‘</w:t>
      </w:r>
      <w:r w:rsidR="00AC2247" w:rsidRPr="00BB5131">
        <w:rPr>
          <w:rFonts w:cs="Arial"/>
          <w:sz w:val="20"/>
          <w:szCs w:val="20"/>
        </w:rPr>
        <w:t xml:space="preserve">un grupo de personas pertenecientes a la comunidad de Coloradas de los Chávez por lo que se resguardó por temor a ser agredido, </w:t>
      </w:r>
      <w:r w:rsidR="00991552" w:rsidRPr="00BB5131">
        <w:rPr>
          <w:rFonts w:cs="Arial"/>
          <w:sz w:val="20"/>
          <w:szCs w:val="20"/>
        </w:rPr>
        <w:t>[y]</w:t>
      </w:r>
      <w:r w:rsidR="00AC2247" w:rsidRPr="00BB5131">
        <w:rPr>
          <w:rFonts w:cs="Arial"/>
          <w:sz w:val="20"/>
          <w:szCs w:val="20"/>
        </w:rPr>
        <w:t xml:space="preserve"> en lo que estuvo ahí </w:t>
      </w:r>
      <w:r w:rsidR="00991552" w:rsidRPr="00BB5131">
        <w:rPr>
          <w:rFonts w:cs="Arial"/>
          <w:sz w:val="20"/>
          <w:szCs w:val="20"/>
        </w:rPr>
        <w:t>[</w:t>
      </w:r>
      <w:r w:rsidR="00AC2247" w:rsidRPr="00BB5131">
        <w:rPr>
          <w:rFonts w:cs="Arial"/>
          <w:sz w:val="20"/>
          <w:szCs w:val="20"/>
        </w:rPr>
        <w:t>habría escuchado</w:t>
      </w:r>
      <w:r w:rsidR="00991552" w:rsidRPr="00BB5131">
        <w:rPr>
          <w:rFonts w:cs="Arial"/>
          <w:sz w:val="20"/>
          <w:szCs w:val="20"/>
        </w:rPr>
        <w:t>]</w:t>
      </w:r>
      <w:r w:rsidR="00AC2247" w:rsidRPr="00BB5131">
        <w:rPr>
          <w:rFonts w:cs="Arial"/>
          <w:sz w:val="20"/>
          <w:szCs w:val="20"/>
        </w:rPr>
        <w:t xml:space="preserve"> que </w:t>
      </w:r>
      <w:r w:rsidR="00991552" w:rsidRPr="00BB5131">
        <w:rPr>
          <w:rFonts w:cs="Arial"/>
          <w:sz w:val="20"/>
          <w:szCs w:val="20"/>
        </w:rPr>
        <w:t>[</w:t>
      </w:r>
      <w:r w:rsidR="00AC2247" w:rsidRPr="00BB5131">
        <w:rPr>
          <w:rFonts w:cs="Arial"/>
          <w:sz w:val="20"/>
          <w:szCs w:val="20"/>
        </w:rPr>
        <w:t>estas personas</w:t>
      </w:r>
      <w:r w:rsidR="00991552" w:rsidRPr="00BB5131">
        <w:rPr>
          <w:rFonts w:cs="Arial"/>
          <w:sz w:val="20"/>
          <w:szCs w:val="20"/>
        </w:rPr>
        <w:t>]</w:t>
      </w:r>
      <w:r w:rsidR="00AC2247" w:rsidRPr="00BB5131">
        <w:rPr>
          <w:rFonts w:cs="Arial"/>
          <w:sz w:val="20"/>
          <w:szCs w:val="20"/>
        </w:rPr>
        <w:t xml:space="preserve"> hablaban de Prudencio Ayala</w:t>
      </w:r>
      <w:r w:rsidRPr="00BB5131">
        <w:rPr>
          <w:rFonts w:cs="Arial"/>
          <w:sz w:val="20"/>
          <w:szCs w:val="20"/>
        </w:rPr>
        <w:t>’</w:t>
      </w:r>
      <w:r w:rsidR="00AC2247" w:rsidRPr="00BB5131">
        <w:rPr>
          <w:rFonts w:cs="Arial"/>
          <w:sz w:val="20"/>
          <w:szCs w:val="20"/>
        </w:rPr>
        <w:t>”;</w:t>
      </w:r>
    </w:p>
    <w:p w14:paraId="38AD745D" w14:textId="24E49F25" w:rsidR="00AC2247" w:rsidRPr="00BB5131" w:rsidRDefault="003409AB" w:rsidP="00AC2247">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AC2247" w:rsidRPr="00BB5131">
        <w:rPr>
          <w:rFonts w:cs="Arial"/>
          <w:sz w:val="20"/>
          <w:szCs w:val="20"/>
        </w:rPr>
        <w:t>e</w:t>
      </w:r>
      <w:r w:rsidRPr="00BB5131">
        <w:rPr>
          <w:rFonts w:cs="Arial"/>
          <w:sz w:val="20"/>
          <w:szCs w:val="20"/>
        </w:rPr>
        <w:t>]</w:t>
      </w:r>
      <w:r w:rsidR="00AC2247" w:rsidRPr="00BB5131">
        <w:rPr>
          <w:rFonts w:cs="Arial"/>
          <w:sz w:val="20"/>
          <w:szCs w:val="20"/>
        </w:rPr>
        <w:t xml:space="preserve">l </w:t>
      </w:r>
      <w:r w:rsidR="00AC2247" w:rsidRPr="00BB5131">
        <w:rPr>
          <w:sz w:val="20"/>
        </w:rPr>
        <w:t>14 de enero de 2015</w:t>
      </w:r>
      <w:r w:rsidR="00AC2247" w:rsidRPr="00BB5131">
        <w:rPr>
          <w:rFonts w:cs="Arial"/>
          <w:sz w:val="20"/>
          <w:szCs w:val="20"/>
        </w:rPr>
        <w:t xml:space="preserve"> el señor Prudencio Ramos denunció </w:t>
      </w:r>
      <w:r w:rsidRPr="00BB5131">
        <w:rPr>
          <w:rFonts w:cs="Arial"/>
          <w:sz w:val="20"/>
          <w:szCs w:val="20"/>
        </w:rPr>
        <w:t xml:space="preserve">a la organización ASMAC </w:t>
      </w:r>
      <w:r w:rsidR="00AC2247" w:rsidRPr="00BB5131">
        <w:rPr>
          <w:rFonts w:cs="Arial"/>
          <w:sz w:val="20"/>
          <w:szCs w:val="20"/>
        </w:rPr>
        <w:t xml:space="preserve">que se había percatado durante horas de la mañana que </w:t>
      </w:r>
      <w:r w:rsidRPr="00BB5131">
        <w:rPr>
          <w:rFonts w:cs="Arial"/>
          <w:sz w:val="20"/>
          <w:szCs w:val="20"/>
        </w:rPr>
        <w:t>‘</w:t>
      </w:r>
      <w:r w:rsidR="00AC2247" w:rsidRPr="00BB5131">
        <w:rPr>
          <w:rFonts w:cs="Arial"/>
          <w:sz w:val="20"/>
          <w:szCs w:val="20"/>
        </w:rPr>
        <w:t>un grupo de 40 personas armadas […] transitaban</w:t>
      </w:r>
      <w:r w:rsidR="00B1156C" w:rsidRPr="00BB5131">
        <w:rPr>
          <w:rFonts w:cs="Arial"/>
          <w:sz w:val="20"/>
          <w:szCs w:val="20"/>
        </w:rPr>
        <w:t xml:space="preserve"> […]</w:t>
      </w:r>
      <w:r w:rsidR="00AC2247" w:rsidRPr="00BB5131">
        <w:rPr>
          <w:rFonts w:cs="Arial"/>
          <w:sz w:val="20"/>
          <w:szCs w:val="20"/>
        </w:rPr>
        <w:t xml:space="preserve"> </w:t>
      </w:r>
      <w:r w:rsidR="00991552" w:rsidRPr="00BB5131">
        <w:rPr>
          <w:rFonts w:cs="Arial"/>
          <w:sz w:val="20"/>
          <w:szCs w:val="20"/>
        </w:rPr>
        <w:t>[</w:t>
      </w:r>
      <w:r w:rsidR="00AC2247" w:rsidRPr="00BB5131">
        <w:rPr>
          <w:rFonts w:cs="Arial"/>
          <w:sz w:val="20"/>
          <w:szCs w:val="20"/>
        </w:rPr>
        <w:t>por áreas de la comunidad</w:t>
      </w:r>
      <w:r w:rsidR="00991552" w:rsidRPr="00BB5131">
        <w:rPr>
          <w:rFonts w:cs="Arial"/>
          <w:sz w:val="20"/>
          <w:szCs w:val="20"/>
        </w:rPr>
        <w:t>]</w:t>
      </w:r>
      <w:r w:rsidR="00AC2247" w:rsidRPr="00BB5131">
        <w:rPr>
          <w:rFonts w:cs="Arial"/>
          <w:sz w:val="20"/>
          <w:szCs w:val="20"/>
        </w:rPr>
        <w:t xml:space="preserve"> y que más tarde </w:t>
      </w:r>
      <w:r w:rsidR="00991552" w:rsidRPr="00BB5131">
        <w:rPr>
          <w:rFonts w:cs="Arial"/>
          <w:sz w:val="20"/>
          <w:szCs w:val="20"/>
        </w:rPr>
        <w:t>[</w:t>
      </w:r>
      <w:r w:rsidR="00AC2247" w:rsidRPr="00BB5131">
        <w:rPr>
          <w:rFonts w:cs="Arial"/>
          <w:sz w:val="20"/>
          <w:szCs w:val="20"/>
        </w:rPr>
        <w:t>los había visto</w:t>
      </w:r>
      <w:r w:rsidR="00991552" w:rsidRPr="00BB5131">
        <w:rPr>
          <w:rFonts w:cs="Arial"/>
          <w:sz w:val="20"/>
          <w:szCs w:val="20"/>
        </w:rPr>
        <w:t>]</w:t>
      </w:r>
      <w:r w:rsidR="00AC2247" w:rsidRPr="00BB5131">
        <w:rPr>
          <w:rFonts w:cs="Arial"/>
          <w:sz w:val="20"/>
          <w:szCs w:val="20"/>
        </w:rPr>
        <w:t xml:space="preserve"> pasar de regreso, </w:t>
      </w:r>
      <w:r w:rsidR="00991552" w:rsidRPr="00BB5131">
        <w:rPr>
          <w:rFonts w:cs="Arial"/>
          <w:sz w:val="20"/>
          <w:szCs w:val="20"/>
        </w:rPr>
        <w:t>[</w:t>
      </w:r>
      <w:r w:rsidR="00AC2247" w:rsidRPr="00BB5131">
        <w:rPr>
          <w:rFonts w:cs="Arial"/>
          <w:sz w:val="20"/>
          <w:szCs w:val="20"/>
        </w:rPr>
        <w:t>y que</w:t>
      </w:r>
      <w:r w:rsidR="00991552" w:rsidRPr="00BB5131">
        <w:rPr>
          <w:rFonts w:cs="Arial"/>
          <w:sz w:val="20"/>
          <w:szCs w:val="20"/>
        </w:rPr>
        <w:t>]</w:t>
      </w:r>
      <w:r w:rsidR="00AC2247" w:rsidRPr="00BB5131">
        <w:rPr>
          <w:rFonts w:cs="Arial"/>
          <w:sz w:val="20"/>
          <w:szCs w:val="20"/>
        </w:rPr>
        <w:t xml:space="preserve"> supo por una mujer que habló con ellos, que andaban preguntando por Prudencio Ayala</w:t>
      </w:r>
      <w:r w:rsidR="00B1156C" w:rsidRPr="00BB5131">
        <w:rPr>
          <w:rFonts w:cs="Arial"/>
          <w:sz w:val="20"/>
          <w:szCs w:val="20"/>
        </w:rPr>
        <w:t>’</w:t>
      </w:r>
      <w:r w:rsidR="00AC2247" w:rsidRPr="00BB5131">
        <w:rPr>
          <w:rFonts w:cs="Arial"/>
          <w:sz w:val="20"/>
          <w:szCs w:val="20"/>
        </w:rPr>
        <w:t xml:space="preserve">. En vista de esto, el señor Prudencio Ayala habría tenido que permanecer </w:t>
      </w:r>
      <w:r w:rsidR="00B1156C" w:rsidRPr="00BB5131">
        <w:rPr>
          <w:rFonts w:cs="Arial"/>
          <w:sz w:val="20"/>
          <w:szCs w:val="20"/>
        </w:rPr>
        <w:t>‘</w:t>
      </w:r>
      <w:r w:rsidR="00AC2247" w:rsidRPr="00BB5131">
        <w:rPr>
          <w:rFonts w:cs="Arial"/>
          <w:sz w:val="20"/>
          <w:szCs w:val="20"/>
        </w:rPr>
        <w:t>escondido</w:t>
      </w:r>
      <w:r w:rsidR="00B1156C" w:rsidRPr="00BB5131">
        <w:rPr>
          <w:rFonts w:cs="Arial"/>
          <w:sz w:val="20"/>
          <w:szCs w:val="20"/>
        </w:rPr>
        <w:t>’”</w:t>
      </w:r>
      <w:r w:rsidR="00AC2247" w:rsidRPr="00BB5131">
        <w:rPr>
          <w:rFonts w:cs="Arial"/>
          <w:sz w:val="20"/>
          <w:szCs w:val="20"/>
        </w:rPr>
        <w:t>.</w:t>
      </w:r>
      <w:r w:rsidR="00B1156C" w:rsidRPr="00BB5131">
        <w:rPr>
          <w:rFonts w:cs="Arial"/>
          <w:sz w:val="20"/>
          <w:szCs w:val="20"/>
        </w:rPr>
        <w:t xml:space="preserve"> La Comisión a</w:t>
      </w:r>
      <w:r w:rsidR="00630764" w:rsidRPr="00BB5131">
        <w:rPr>
          <w:rFonts w:cs="Arial"/>
          <w:sz w:val="20"/>
          <w:szCs w:val="20"/>
        </w:rPr>
        <w:t>gregó</w:t>
      </w:r>
      <w:r w:rsidR="00B1156C" w:rsidRPr="00BB5131">
        <w:rPr>
          <w:rFonts w:cs="Arial"/>
          <w:sz w:val="20"/>
          <w:szCs w:val="20"/>
        </w:rPr>
        <w:t xml:space="preserve"> que los r</w:t>
      </w:r>
      <w:r w:rsidR="00630764" w:rsidRPr="00BB5131">
        <w:rPr>
          <w:rFonts w:cs="Arial"/>
          <w:sz w:val="20"/>
          <w:szCs w:val="20"/>
        </w:rPr>
        <w:t>epresentantes</w:t>
      </w:r>
      <w:r w:rsidR="00B1156C" w:rsidRPr="00BB5131">
        <w:rPr>
          <w:rFonts w:cs="Arial"/>
          <w:sz w:val="20"/>
          <w:szCs w:val="20"/>
        </w:rPr>
        <w:t xml:space="preserve"> indicaron</w:t>
      </w:r>
      <w:r w:rsidR="00AC2247" w:rsidRPr="00BB5131">
        <w:rPr>
          <w:rFonts w:cs="Arial"/>
          <w:sz w:val="20"/>
          <w:szCs w:val="20"/>
        </w:rPr>
        <w:t xml:space="preserve"> que </w:t>
      </w:r>
      <w:r w:rsidR="00B1156C" w:rsidRPr="00BB5131">
        <w:rPr>
          <w:rFonts w:cs="Arial"/>
          <w:sz w:val="20"/>
          <w:szCs w:val="20"/>
        </w:rPr>
        <w:t>“</w:t>
      </w:r>
      <w:r w:rsidR="00AC2247" w:rsidRPr="00BB5131">
        <w:rPr>
          <w:rFonts w:cs="Arial"/>
          <w:sz w:val="20"/>
          <w:szCs w:val="20"/>
        </w:rPr>
        <w:t>para ese momento, ya eran dos los hermanos del señor Prudencio Ayala que habían sido asesinados</w:t>
      </w:r>
      <w:r w:rsidR="00B1156C" w:rsidRPr="00BB5131">
        <w:rPr>
          <w:rFonts w:cs="Arial"/>
          <w:sz w:val="20"/>
          <w:szCs w:val="20"/>
        </w:rPr>
        <w:t>”</w:t>
      </w:r>
      <w:r w:rsidR="00630764" w:rsidRPr="00BB5131">
        <w:rPr>
          <w:rFonts w:cs="Arial"/>
          <w:sz w:val="20"/>
          <w:szCs w:val="20"/>
        </w:rPr>
        <w:t>;</w:t>
      </w:r>
    </w:p>
    <w:p w14:paraId="7155EF32" w14:textId="3E807D76" w:rsidR="00630764" w:rsidRPr="00BB5131" w:rsidRDefault="00B1156C" w:rsidP="00630764">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630764" w:rsidRPr="00BB5131">
        <w:rPr>
          <w:rFonts w:cs="Arial"/>
          <w:sz w:val="20"/>
          <w:szCs w:val="20"/>
        </w:rPr>
        <w:t xml:space="preserve">dos miembros de la comunidad denunciaron </w:t>
      </w:r>
      <w:proofErr w:type="gramStart"/>
      <w:r w:rsidR="00630764" w:rsidRPr="00BB5131">
        <w:rPr>
          <w:rFonts w:cs="Arial"/>
          <w:sz w:val="20"/>
          <w:szCs w:val="20"/>
        </w:rPr>
        <w:t>a</w:t>
      </w:r>
      <w:r w:rsidRPr="00BB5131">
        <w:rPr>
          <w:rFonts w:cs="Arial"/>
          <w:sz w:val="20"/>
          <w:szCs w:val="20"/>
        </w:rPr>
        <w:t>[</w:t>
      </w:r>
      <w:proofErr w:type="spellStart"/>
      <w:proofErr w:type="gramEnd"/>
      <w:r w:rsidRPr="00BB5131">
        <w:rPr>
          <w:rFonts w:cs="Arial"/>
          <w:sz w:val="20"/>
          <w:szCs w:val="20"/>
        </w:rPr>
        <w:t>nte</w:t>
      </w:r>
      <w:proofErr w:type="spellEnd"/>
      <w:r w:rsidRPr="00BB5131">
        <w:rPr>
          <w:rFonts w:cs="Arial"/>
          <w:sz w:val="20"/>
          <w:szCs w:val="20"/>
        </w:rPr>
        <w:t>]</w:t>
      </w:r>
      <w:r w:rsidR="00630764" w:rsidRPr="00BB5131">
        <w:rPr>
          <w:rFonts w:cs="Arial"/>
          <w:sz w:val="20"/>
          <w:szCs w:val="20"/>
        </w:rPr>
        <w:t xml:space="preserve"> la organización ASMAC que desde los primeros días </w:t>
      </w:r>
      <w:r w:rsidRPr="00BB5131">
        <w:rPr>
          <w:rFonts w:cs="Arial"/>
          <w:sz w:val="20"/>
          <w:szCs w:val="20"/>
        </w:rPr>
        <w:t>[…]</w:t>
      </w:r>
      <w:r w:rsidR="00630764" w:rsidRPr="00BB5131">
        <w:rPr>
          <w:rFonts w:cs="Arial"/>
          <w:sz w:val="20"/>
          <w:szCs w:val="20"/>
        </w:rPr>
        <w:t xml:space="preserve"> de </w:t>
      </w:r>
      <w:r w:rsidR="00630764" w:rsidRPr="00BB5131">
        <w:rPr>
          <w:sz w:val="20"/>
        </w:rPr>
        <w:t>octubre de 2015</w:t>
      </w:r>
      <w:r w:rsidR="00630764" w:rsidRPr="00BB5131">
        <w:rPr>
          <w:rFonts w:cs="Arial"/>
          <w:sz w:val="20"/>
          <w:szCs w:val="20"/>
        </w:rPr>
        <w:t xml:space="preserve">, continuaban los hostigamientos en contra de la comunidad porque se negaba a permitir el cultivo de amapola en su territorio. </w:t>
      </w:r>
      <w:r w:rsidRPr="00BB5131">
        <w:rPr>
          <w:rFonts w:cs="Arial"/>
          <w:sz w:val="20"/>
          <w:szCs w:val="20"/>
        </w:rPr>
        <w:t>[Los]</w:t>
      </w:r>
      <w:r w:rsidR="00630764" w:rsidRPr="00BB5131">
        <w:rPr>
          <w:rFonts w:cs="Arial"/>
          <w:sz w:val="20"/>
          <w:szCs w:val="20"/>
        </w:rPr>
        <w:t xml:space="preserve"> </w:t>
      </w:r>
      <w:proofErr w:type="gramStart"/>
      <w:r w:rsidR="00630764" w:rsidRPr="00BB5131">
        <w:rPr>
          <w:rFonts w:cs="Arial"/>
          <w:sz w:val="20"/>
          <w:szCs w:val="20"/>
        </w:rPr>
        <w:t>señor</w:t>
      </w:r>
      <w:r w:rsidRPr="00BB5131">
        <w:rPr>
          <w:rFonts w:cs="Arial"/>
          <w:sz w:val="20"/>
          <w:szCs w:val="20"/>
        </w:rPr>
        <w:t>[</w:t>
      </w:r>
      <w:proofErr w:type="gramEnd"/>
      <w:r w:rsidRPr="00BB5131">
        <w:rPr>
          <w:rFonts w:cs="Arial"/>
          <w:sz w:val="20"/>
          <w:szCs w:val="20"/>
        </w:rPr>
        <w:t>es]</w:t>
      </w:r>
      <w:r w:rsidR="00630764" w:rsidRPr="00BB5131">
        <w:rPr>
          <w:rFonts w:cs="Arial"/>
          <w:sz w:val="20"/>
          <w:szCs w:val="20"/>
        </w:rPr>
        <w:t xml:space="preserve"> Prudencio Ayala y Juan Ontiveros (comisario de policía de la comunidad) denunciaron que los supuestos agresores habían estado matando a los animales de la comunidad. También el señor Prudencio Ayala denunció que la familia de </w:t>
      </w:r>
      <w:r w:rsidR="00AE6B20" w:rsidRPr="00BB5131">
        <w:rPr>
          <w:rFonts w:cs="Arial"/>
          <w:sz w:val="20"/>
          <w:szCs w:val="20"/>
        </w:rPr>
        <w:t xml:space="preserve">G.L </w:t>
      </w:r>
      <w:r w:rsidR="00630764" w:rsidRPr="00BB5131">
        <w:rPr>
          <w:rFonts w:cs="Arial"/>
          <w:sz w:val="20"/>
          <w:szCs w:val="20"/>
        </w:rPr>
        <w:t xml:space="preserve">habría dicho que </w:t>
      </w:r>
      <w:r w:rsidRPr="00BB5131">
        <w:rPr>
          <w:rFonts w:cs="Arial"/>
          <w:sz w:val="20"/>
          <w:szCs w:val="20"/>
        </w:rPr>
        <w:t>‘</w:t>
      </w:r>
      <w:r w:rsidR="00630764" w:rsidRPr="00BB5131">
        <w:rPr>
          <w:rFonts w:cs="Arial"/>
          <w:sz w:val="20"/>
          <w:szCs w:val="20"/>
        </w:rPr>
        <w:t>no l</w:t>
      </w:r>
      <w:r w:rsidRPr="00BB5131">
        <w:rPr>
          <w:rFonts w:cs="Arial"/>
          <w:sz w:val="20"/>
          <w:szCs w:val="20"/>
        </w:rPr>
        <w:t>[e]</w:t>
      </w:r>
      <w:r w:rsidR="00630764" w:rsidRPr="00BB5131">
        <w:rPr>
          <w:rFonts w:cs="Arial"/>
          <w:sz w:val="20"/>
          <w:szCs w:val="20"/>
        </w:rPr>
        <w:t xml:space="preserve"> deja</w:t>
      </w:r>
      <w:r w:rsidR="00991552" w:rsidRPr="00BB5131">
        <w:rPr>
          <w:rFonts w:cs="Arial"/>
          <w:sz w:val="20"/>
          <w:szCs w:val="20"/>
        </w:rPr>
        <w:t>[</w:t>
      </w:r>
      <w:proofErr w:type="spellStart"/>
      <w:r w:rsidR="00630764" w:rsidRPr="00BB5131">
        <w:rPr>
          <w:rFonts w:cs="Arial"/>
          <w:sz w:val="20"/>
          <w:szCs w:val="20"/>
        </w:rPr>
        <w:t>ba</w:t>
      </w:r>
      <w:proofErr w:type="spellEnd"/>
      <w:r w:rsidR="00991552" w:rsidRPr="00BB5131">
        <w:rPr>
          <w:rFonts w:cs="Arial"/>
          <w:sz w:val="20"/>
          <w:szCs w:val="20"/>
        </w:rPr>
        <w:t>]</w:t>
      </w:r>
      <w:r w:rsidR="00630764" w:rsidRPr="00BB5131">
        <w:rPr>
          <w:rFonts w:cs="Arial"/>
          <w:sz w:val="20"/>
          <w:szCs w:val="20"/>
        </w:rPr>
        <w:t xml:space="preserve"> el rancho, lo iban a sacar con toda su familia y que </w:t>
      </w:r>
      <w:r w:rsidR="00991552" w:rsidRPr="00BB5131">
        <w:rPr>
          <w:rFonts w:cs="Arial"/>
          <w:sz w:val="20"/>
          <w:szCs w:val="20"/>
        </w:rPr>
        <w:t>[</w:t>
      </w:r>
      <w:r w:rsidR="00630764" w:rsidRPr="00BB5131">
        <w:rPr>
          <w:rFonts w:cs="Arial"/>
          <w:sz w:val="20"/>
          <w:szCs w:val="20"/>
        </w:rPr>
        <w:t>iban</w:t>
      </w:r>
      <w:r w:rsidR="00991552" w:rsidRPr="00BB5131">
        <w:rPr>
          <w:rFonts w:cs="Arial"/>
          <w:sz w:val="20"/>
          <w:szCs w:val="20"/>
        </w:rPr>
        <w:t>]</w:t>
      </w:r>
      <w:r w:rsidR="00630764" w:rsidRPr="00BB5131">
        <w:rPr>
          <w:rFonts w:cs="Arial"/>
          <w:sz w:val="20"/>
          <w:szCs w:val="20"/>
        </w:rPr>
        <w:t xml:space="preserve"> a empezar con las mujeres y los niños</w:t>
      </w:r>
      <w:r w:rsidRPr="00BB5131">
        <w:rPr>
          <w:rFonts w:cs="Arial"/>
          <w:sz w:val="20"/>
          <w:szCs w:val="20"/>
        </w:rPr>
        <w:t>’</w:t>
      </w:r>
      <w:r w:rsidR="00630764" w:rsidRPr="00BB5131">
        <w:rPr>
          <w:rFonts w:cs="Arial"/>
          <w:sz w:val="20"/>
          <w:szCs w:val="20"/>
        </w:rPr>
        <w:t>”;</w:t>
      </w:r>
    </w:p>
    <w:p w14:paraId="08C64216" w14:textId="6259EE8F" w:rsidR="00630764" w:rsidRPr="00BB5131" w:rsidRDefault="00BD0CE2" w:rsidP="00630764">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630764" w:rsidRPr="00BB5131">
        <w:rPr>
          <w:rFonts w:cs="Arial"/>
          <w:sz w:val="20"/>
          <w:szCs w:val="20"/>
        </w:rPr>
        <w:t>e</w:t>
      </w:r>
      <w:r w:rsidRPr="00BB5131">
        <w:rPr>
          <w:rFonts w:cs="Arial"/>
          <w:sz w:val="20"/>
          <w:szCs w:val="20"/>
        </w:rPr>
        <w:t>]</w:t>
      </w:r>
      <w:r w:rsidR="00630764" w:rsidRPr="00BB5131">
        <w:rPr>
          <w:rFonts w:cs="Arial"/>
          <w:sz w:val="20"/>
          <w:szCs w:val="20"/>
        </w:rPr>
        <w:t xml:space="preserve">l </w:t>
      </w:r>
      <w:r w:rsidR="00630764" w:rsidRPr="00BB5131">
        <w:rPr>
          <w:sz w:val="20"/>
        </w:rPr>
        <w:t>10 de octubre de 2015</w:t>
      </w:r>
      <w:r w:rsidR="00630764" w:rsidRPr="00BB5131">
        <w:rPr>
          <w:rFonts w:cs="Arial"/>
          <w:sz w:val="20"/>
          <w:szCs w:val="20"/>
        </w:rPr>
        <w:t xml:space="preserve"> la señora Ángela Ayala </w:t>
      </w:r>
      <w:r w:rsidRPr="00BB5131">
        <w:rPr>
          <w:rFonts w:cs="Arial"/>
          <w:sz w:val="20"/>
          <w:szCs w:val="20"/>
        </w:rPr>
        <w:t>-[</w:t>
      </w:r>
      <w:r w:rsidR="00ED750A" w:rsidRPr="00BB5131">
        <w:rPr>
          <w:rFonts w:cs="Arial"/>
          <w:sz w:val="20"/>
          <w:szCs w:val="20"/>
        </w:rPr>
        <w:t xml:space="preserve">quien se </w:t>
      </w:r>
      <w:r w:rsidR="00846CC9" w:rsidRPr="00BB5131">
        <w:rPr>
          <w:rFonts w:cs="Arial"/>
          <w:sz w:val="20"/>
          <w:szCs w:val="20"/>
        </w:rPr>
        <w:t>informó</w:t>
      </w:r>
      <w:r w:rsidRPr="00BB5131">
        <w:rPr>
          <w:rFonts w:cs="Arial"/>
          <w:sz w:val="20"/>
          <w:szCs w:val="20"/>
        </w:rPr>
        <w:t>]</w:t>
      </w:r>
      <w:r w:rsidR="00ED750A" w:rsidRPr="00BB5131">
        <w:rPr>
          <w:rFonts w:cs="Arial"/>
          <w:sz w:val="20"/>
          <w:szCs w:val="20"/>
        </w:rPr>
        <w:t xml:space="preserve"> </w:t>
      </w:r>
      <w:r w:rsidR="00630764" w:rsidRPr="00BB5131">
        <w:rPr>
          <w:rFonts w:cs="Arial"/>
          <w:sz w:val="20"/>
          <w:szCs w:val="20"/>
        </w:rPr>
        <w:t>se encuentra en situación de desplazamiento fuera de la comunidad por seguridad</w:t>
      </w:r>
      <w:r w:rsidRPr="00BB5131">
        <w:rPr>
          <w:rFonts w:cs="Arial"/>
          <w:sz w:val="20"/>
          <w:szCs w:val="20"/>
        </w:rPr>
        <w:t>-</w:t>
      </w:r>
      <w:r w:rsidR="00630764" w:rsidRPr="00BB5131">
        <w:rPr>
          <w:rFonts w:cs="Arial"/>
          <w:sz w:val="20"/>
          <w:szCs w:val="20"/>
        </w:rPr>
        <w:t xml:space="preserve"> había sido informada por su hermana que </w:t>
      </w:r>
      <w:r w:rsidRPr="00BB5131">
        <w:rPr>
          <w:rFonts w:cs="Arial"/>
          <w:sz w:val="20"/>
          <w:szCs w:val="20"/>
        </w:rPr>
        <w:t>‘</w:t>
      </w:r>
      <w:r w:rsidR="00630764" w:rsidRPr="00BB5131">
        <w:rPr>
          <w:rFonts w:cs="Arial"/>
          <w:sz w:val="20"/>
          <w:szCs w:val="20"/>
        </w:rPr>
        <w:t xml:space="preserve">a media noche [habían llegado] a tocar la puerta de la casa los familiares de </w:t>
      </w:r>
      <w:r w:rsidR="00AE6B20" w:rsidRPr="00BB5131">
        <w:rPr>
          <w:rFonts w:cs="Arial"/>
          <w:sz w:val="20"/>
          <w:szCs w:val="20"/>
        </w:rPr>
        <w:t xml:space="preserve">G.L. </w:t>
      </w:r>
      <w:r w:rsidR="00630764" w:rsidRPr="00BB5131">
        <w:rPr>
          <w:rFonts w:cs="Arial"/>
          <w:sz w:val="20"/>
          <w:szCs w:val="20"/>
        </w:rPr>
        <w:t>que conforma</w:t>
      </w:r>
      <w:r w:rsidR="00991552" w:rsidRPr="00BB5131">
        <w:rPr>
          <w:rFonts w:cs="Arial"/>
          <w:sz w:val="20"/>
          <w:szCs w:val="20"/>
        </w:rPr>
        <w:t>[</w:t>
      </w:r>
      <w:r w:rsidRPr="00BB5131">
        <w:rPr>
          <w:rFonts w:cs="Arial"/>
          <w:sz w:val="20"/>
          <w:szCs w:val="20"/>
        </w:rPr>
        <w:t>r</w:t>
      </w:r>
      <w:r w:rsidR="00630764" w:rsidRPr="00BB5131">
        <w:rPr>
          <w:rFonts w:cs="Arial"/>
          <w:sz w:val="20"/>
          <w:szCs w:val="20"/>
        </w:rPr>
        <w:t>ían</w:t>
      </w:r>
      <w:r w:rsidR="00991552" w:rsidRPr="00BB5131">
        <w:rPr>
          <w:rFonts w:cs="Arial"/>
          <w:sz w:val="20"/>
          <w:szCs w:val="20"/>
        </w:rPr>
        <w:t>]</w:t>
      </w:r>
      <w:r w:rsidR="00630764" w:rsidRPr="00BB5131">
        <w:rPr>
          <w:rFonts w:cs="Arial"/>
          <w:sz w:val="20"/>
          <w:szCs w:val="20"/>
        </w:rPr>
        <w:t xml:space="preserve"> el grupo criminal de la región </w:t>
      </w:r>
      <w:r w:rsidR="00991552" w:rsidRPr="00BB5131">
        <w:rPr>
          <w:rFonts w:cs="Arial"/>
          <w:sz w:val="20"/>
          <w:szCs w:val="20"/>
        </w:rPr>
        <w:t>[</w:t>
      </w:r>
      <w:r w:rsidR="00630764" w:rsidRPr="00BB5131">
        <w:rPr>
          <w:rFonts w:cs="Arial"/>
          <w:sz w:val="20"/>
          <w:szCs w:val="20"/>
        </w:rPr>
        <w:t>y</w:t>
      </w:r>
      <w:r w:rsidR="00991552" w:rsidRPr="00BB5131">
        <w:rPr>
          <w:rFonts w:cs="Arial"/>
          <w:sz w:val="20"/>
          <w:szCs w:val="20"/>
        </w:rPr>
        <w:t>]</w:t>
      </w:r>
      <w:r w:rsidR="00630764" w:rsidRPr="00BB5131">
        <w:rPr>
          <w:rFonts w:cs="Arial"/>
          <w:sz w:val="20"/>
          <w:szCs w:val="20"/>
        </w:rPr>
        <w:t xml:space="preserve"> al no acceder a las exigencias de abrir la puerta, entonces se alejaron a una distancia de 20 metros desde donde </w:t>
      </w:r>
      <w:r w:rsidR="00DD1FE1" w:rsidRPr="00BB5131">
        <w:rPr>
          <w:rFonts w:cs="Arial"/>
          <w:sz w:val="20"/>
          <w:szCs w:val="20"/>
        </w:rPr>
        <w:t>(</w:t>
      </w:r>
      <w:r w:rsidR="00630764" w:rsidRPr="00BB5131">
        <w:rPr>
          <w:rFonts w:cs="Arial"/>
          <w:sz w:val="20"/>
          <w:szCs w:val="20"/>
        </w:rPr>
        <w:t>habrían comenzado</w:t>
      </w:r>
      <w:r w:rsidR="00DD1FE1" w:rsidRPr="00BB5131">
        <w:rPr>
          <w:rFonts w:cs="Arial"/>
          <w:sz w:val="20"/>
          <w:szCs w:val="20"/>
        </w:rPr>
        <w:t>)</w:t>
      </w:r>
      <w:r w:rsidR="00630764" w:rsidRPr="00BB5131">
        <w:rPr>
          <w:rFonts w:cs="Arial"/>
          <w:sz w:val="20"/>
          <w:szCs w:val="20"/>
        </w:rPr>
        <w:t xml:space="preserve"> a balear la casa</w:t>
      </w:r>
      <w:r w:rsidR="009F4ABB" w:rsidRPr="00BB5131">
        <w:rPr>
          <w:rFonts w:cs="Arial"/>
          <w:sz w:val="20"/>
          <w:szCs w:val="20"/>
        </w:rPr>
        <w:t>’</w:t>
      </w:r>
      <w:r w:rsidR="00630764" w:rsidRPr="00BB5131">
        <w:rPr>
          <w:rFonts w:cs="Arial"/>
          <w:sz w:val="20"/>
          <w:szCs w:val="20"/>
        </w:rPr>
        <w:t>. Se indicó que la hermana de la señora Ayala logró protegerse tirándose al piso</w:t>
      </w:r>
      <w:r w:rsidR="009F4ABB" w:rsidRPr="00BB5131">
        <w:rPr>
          <w:rFonts w:cs="Arial"/>
          <w:sz w:val="20"/>
          <w:szCs w:val="20"/>
        </w:rPr>
        <w:t>”</w:t>
      </w:r>
      <w:r w:rsidR="00630764" w:rsidRPr="00BB5131">
        <w:rPr>
          <w:rFonts w:cs="Arial"/>
          <w:sz w:val="20"/>
          <w:szCs w:val="20"/>
        </w:rPr>
        <w:t xml:space="preserve">. La Comisión también informó que los representantes habían indicado que </w:t>
      </w:r>
      <w:r w:rsidR="009F4ABB" w:rsidRPr="00BB5131">
        <w:rPr>
          <w:rFonts w:cs="Arial"/>
          <w:sz w:val="20"/>
          <w:szCs w:val="20"/>
        </w:rPr>
        <w:t>“</w:t>
      </w:r>
      <w:r w:rsidR="00630764" w:rsidRPr="00BB5131">
        <w:rPr>
          <w:rFonts w:cs="Arial"/>
          <w:sz w:val="20"/>
          <w:szCs w:val="20"/>
        </w:rPr>
        <w:t xml:space="preserve">ese mismo día, la escuela de </w:t>
      </w:r>
      <w:proofErr w:type="spellStart"/>
      <w:r w:rsidR="00630764" w:rsidRPr="00BB5131">
        <w:rPr>
          <w:rFonts w:cs="Arial"/>
          <w:sz w:val="20"/>
          <w:szCs w:val="20"/>
        </w:rPr>
        <w:t>Choréachi</w:t>
      </w:r>
      <w:proofErr w:type="spellEnd"/>
      <w:r w:rsidR="00630764" w:rsidRPr="00BB5131">
        <w:rPr>
          <w:rFonts w:cs="Arial"/>
          <w:sz w:val="20"/>
          <w:szCs w:val="20"/>
        </w:rPr>
        <w:t xml:space="preserve"> habría sido baleada y las clases </w:t>
      </w:r>
      <w:r w:rsidR="009F4ABB" w:rsidRPr="00BB5131">
        <w:rPr>
          <w:rFonts w:cs="Arial"/>
          <w:sz w:val="20"/>
          <w:szCs w:val="20"/>
        </w:rPr>
        <w:t xml:space="preserve">[…] </w:t>
      </w:r>
      <w:r w:rsidR="00630764" w:rsidRPr="00BB5131">
        <w:rPr>
          <w:rFonts w:cs="Arial"/>
          <w:sz w:val="20"/>
          <w:szCs w:val="20"/>
        </w:rPr>
        <w:t>suspendidas</w:t>
      </w:r>
      <w:r w:rsidR="009F4ABB" w:rsidRPr="00BB5131">
        <w:rPr>
          <w:rFonts w:cs="Arial"/>
          <w:sz w:val="20"/>
          <w:szCs w:val="20"/>
        </w:rPr>
        <w:t>”</w:t>
      </w:r>
      <w:r w:rsidR="00630764" w:rsidRPr="00BB5131">
        <w:rPr>
          <w:rFonts w:cs="Arial"/>
          <w:sz w:val="20"/>
          <w:szCs w:val="20"/>
        </w:rPr>
        <w:t>;</w:t>
      </w:r>
    </w:p>
    <w:p w14:paraId="38E1EF47" w14:textId="2F21C3DC" w:rsidR="00630764" w:rsidRPr="00BB5131" w:rsidRDefault="007371E2" w:rsidP="00630764">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630764" w:rsidRPr="00BB5131">
        <w:rPr>
          <w:rFonts w:cs="Arial"/>
          <w:sz w:val="20"/>
          <w:szCs w:val="20"/>
        </w:rPr>
        <w:t>e</w:t>
      </w:r>
      <w:r w:rsidRPr="00BB5131">
        <w:rPr>
          <w:rFonts w:cs="Arial"/>
          <w:sz w:val="20"/>
          <w:szCs w:val="20"/>
        </w:rPr>
        <w:t>]</w:t>
      </w:r>
      <w:r w:rsidR="00630764" w:rsidRPr="00BB5131">
        <w:rPr>
          <w:rFonts w:cs="Arial"/>
          <w:sz w:val="20"/>
          <w:szCs w:val="20"/>
        </w:rPr>
        <w:t xml:space="preserve">l </w:t>
      </w:r>
      <w:r w:rsidR="00630764" w:rsidRPr="00BB5131">
        <w:rPr>
          <w:sz w:val="20"/>
        </w:rPr>
        <w:t>9 de noviembre de 2015</w:t>
      </w:r>
      <w:r w:rsidR="00630764" w:rsidRPr="00BB5131">
        <w:rPr>
          <w:rFonts w:cs="Arial"/>
          <w:sz w:val="20"/>
          <w:szCs w:val="20"/>
        </w:rPr>
        <w:t xml:space="preserve"> la señora Ángela Ayala reiteró la información a la organización ASMAC sobre que la familia de </w:t>
      </w:r>
      <w:r w:rsidR="00AE6B20" w:rsidRPr="00BB5131">
        <w:rPr>
          <w:rFonts w:cs="Arial"/>
          <w:sz w:val="20"/>
          <w:szCs w:val="20"/>
        </w:rPr>
        <w:t xml:space="preserve">G.L. </w:t>
      </w:r>
      <w:r w:rsidR="00630764" w:rsidRPr="00BB5131">
        <w:rPr>
          <w:rFonts w:cs="Arial"/>
          <w:sz w:val="20"/>
          <w:szCs w:val="20"/>
        </w:rPr>
        <w:t xml:space="preserve">supuestamente </w:t>
      </w:r>
      <w:r w:rsidRPr="00BB5131">
        <w:rPr>
          <w:rFonts w:cs="Arial"/>
          <w:sz w:val="20"/>
          <w:szCs w:val="20"/>
        </w:rPr>
        <w:t>‘</w:t>
      </w:r>
      <w:r w:rsidR="00630764" w:rsidRPr="00BB5131">
        <w:rPr>
          <w:rFonts w:cs="Arial"/>
          <w:sz w:val="20"/>
          <w:szCs w:val="20"/>
        </w:rPr>
        <w:t xml:space="preserve">seguía </w:t>
      </w:r>
      <w:r w:rsidR="00630764" w:rsidRPr="00BB5131">
        <w:rPr>
          <w:rFonts w:cs="Arial"/>
          <w:sz w:val="20"/>
          <w:szCs w:val="20"/>
        </w:rPr>
        <w:lastRenderedPageBreak/>
        <w:t xml:space="preserve">buscándola </w:t>
      </w:r>
      <w:r w:rsidR="00991552" w:rsidRPr="00BB5131">
        <w:rPr>
          <w:rFonts w:cs="Arial"/>
          <w:sz w:val="20"/>
          <w:szCs w:val="20"/>
        </w:rPr>
        <w:t>[…]</w:t>
      </w:r>
      <w:r w:rsidR="00630764" w:rsidRPr="00BB5131">
        <w:rPr>
          <w:rFonts w:cs="Arial"/>
          <w:sz w:val="20"/>
          <w:szCs w:val="20"/>
        </w:rPr>
        <w:t xml:space="preserve"> que dejan dicho que la van a esperar para cuando regrese a su casa y que ya </w:t>
      </w:r>
      <w:r w:rsidR="00991552" w:rsidRPr="00BB5131">
        <w:rPr>
          <w:rFonts w:cs="Arial"/>
          <w:sz w:val="20"/>
          <w:szCs w:val="20"/>
        </w:rPr>
        <w:t>[</w:t>
      </w:r>
      <w:r w:rsidR="00630764" w:rsidRPr="00BB5131">
        <w:rPr>
          <w:rFonts w:cs="Arial"/>
          <w:sz w:val="20"/>
          <w:szCs w:val="20"/>
        </w:rPr>
        <w:t>sabían</w:t>
      </w:r>
      <w:r w:rsidR="00991552" w:rsidRPr="00BB5131">
        <w:rPr>
          <w:rFonts w:cs="Arial"/>
          <w:sz w:val="20"/>
          <w:szCs w:val="20"/>
        </w:rPr>
        <w:t>]</w:t>
      </w:r>
      <w:r w:rsidR="00630764" w:rsidRPr="00BB5131">
        <w:rPr>
          <w:rFonts w:cs="Arial"/>
          <w:sz w:val="20"/>
          <w:szCs w:val="20"/>
        </w:rPr>
        <w:t xml:space="preserve"> que </w:t>
      </w:r>
      <w:r w:rsidR="00991552" w:rsidRPr="00BB5131">
        <w:rPr>
          <w:rFonts w:cs="Arial"/>
          <w:sz w:val="20"/>
          <w:szCs w:val="20"/>
        </w:rPr>
        <w:t>[</w:t>
      </w:r>
      <w:r w:rsidR="00630764" w:rsidRPr="00BB5131">
        <w:rPr>
          <w:rFonts w:cs="Arial"/>
          <w:sz w:val="20"/>
          <w:szCs w:val="20"/>
        </w:rPr>
        <w:t>e</w:t>
      </w:r>
      <w:r w:rsidRPr="00BB5131">
        <w:rPr>
          <w:rFonts w:cs="Arial"/>
          <w:sz w:val="20"/>
          <w:szCs w:val="20"/>
        </w:rPr>
        <w:t>staba</w:t>
      </w:r>
      <w:r w:rsidR="00991552" w:rsidRPr="00BB5131">
        <w:rPr>
          <w:rFonts w:cs="Arial"/>
          <w:sz w:val="20"/>
          <w:szCs w:val="20"/>
        </w:rPr>
        <w:t>]</w:t>
      </w:r>
      <w:r w:rsidR="00630764" w:rsidRPr="00BB5131">
        <w:rPr>
          <w:rFonts w:cs="Arial"/>
          <w:sz w:val="20"/>
          <w:szCs w:val="20"/>
        </w:rPr>
        <w:t xml:space="preserve"> ‘bajo las faldas’ </w:t>
      </w:r>
      <w:r w:rsidR="00991552" w:rsidRPr="00BB5131">
        <w:rPr>
          <w:rFonts w:cs="Arial"/>
          <w:sz w:val="20"/>
          <w:szCs w:val="20"/>
        </w:rPr>
        <w:t>[</w:t>
      </w:r>
      <w:r w:rsidR="00630764" w:rsidRPr="00BB5131">
        <w:rPr>
          <w:rFonts w:cs="Arial"/>
          <w:sz w:val="20"/>
          <w:szCs w:val="20"/>
        </w:rPr>
        <w:t>bajo protección</w:t>
      </w:r>
      <w:r w:rsidR="00991552" w:rsidRPr="00BB5131">
        <w:rPr>
          <w:rFonts w:cs="Arial"/>
          <w:sz w:val="20"/>
          <w:szCs w:val="20"/>
        </w:rPr>
        <w:t>]</w:t>
      </w:r>
      <w:r w:rsidR="00630764" w:rsidRPr="00BB5131">
        <w:rPr>
          <w:rFonts w:cs="Arial"/>
          <w:sz w:val="20"/>
          <w:szCs w:val="20"/>
        </w:rPr>
        <w:t xml:space="preserve"> </w:t>
      </w:r>
      <w:r w:rsidR="00991552" w:rsidRPr="00BB5131">
        <w:rPr>
          <w:rFonts w:cs="Arial"/>
          <w:sz w:val="20"/>
          <w:szCs w:val="20"/>
        </w:rPr>
        <w:t>[…]</w:t>
      </w:r>
      <w:r w:rsidR="00630764" w:rsidRPr="00BB5131">
        <w:rPr>
          <w:rFonts w:cs="Arial"/>
          <w:sz w:val="20"/>
          <w:szCs w:val="20"/>
        </w:rPr>
        <w:t xml:space="preserve"> en Chihuahua</w:t>
      </w:r>
      <w:r w:rsidRPr="00BB5131">
        <w:rPr>
          <w:rFonts w:cs="Arial"/>
          <w:sz w:val="20"/>
          <w:szCs w:val="20"/>
        </w:rPr>
        <w:t>’</w:t>
      </w:r>
      <w:r w:rsidR="00630764" w:rsidRPr="00BB5131">
        <w:rPr>
          <w:rFonts w:cs="Arial"/>
          <w:sz w:val="20"/>
          <w:szCs w:val="20"/>
        </w:rPr>
        <w:t>. También denunció que habían quemado su casa y un potrero y que con frecuencia preguntaban a sus familiares dónde estaba y cuándo iba a regresar</w:t>
      </w:r>
      <w:r w:rsidRPr="00BB5131">
        <w:rPr>
          <w:rFonts w:cs="Arial"/>
          <w:sz w:val="20"/>
          <w:szCs w:val="20"/>
        </w:rPr>
        <w:t>”</w:t>
      </w:r>
      <w:r w:rsidR="00630764" w:rsidRPr="00BB5131">
        <w:rPr>
          <w:rFonts w:cs="Arial"/>
          <w:sz w:val="20"/>
          <w:szCs w:val="20"/>
        </w:rPr>
        <w:t>;</w:t>
      </w:r>
    </w:p>
    <w:p w14:paraId="4EA553DA" w14:textId="0DBDBF37" w:rsidR="00630764" w:rsidRPr="00BB5131" w:rsidRDefault="00D83506" w:rsidP="00630764">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630764" w:rsidRPr="00BB5131">
        <w:rPr>
          <w:rFonts w:cs="Arial"/>
          <w:sz w:val="20"/>
          <w:szCs w:val="20"/>
        </w:rPr>
        <w:t>e</w:t>
      </w:r>
      <w:r w:rsidRPr="00BB5131">
        <w:rPr>
          <w:rFonts w:cs="Arial"/>
          <w:sz w:val="20"/>
          <w:szCs w:val="20"/>
        </w:rPr>
        <w:t>]</w:t>
      </w:r>
      <w:r w:rsidR="00630764" w:rsidRPr="00BB5131">
        <w:rPr>
          <w:rFonts w:cs="Arial"/>
          <w:sz w:val="20"/>
          <w:szCs w:val="20"/>
        </w:rPr>
        <w:t xml:space="preserve">l </w:t>
      </w:r>
      <w:r w:rsidR="00630764" w:rsidRPr="00BB5131">
        <w:rPr>
          <w:sz w:val="20"/>
        </w:rPr>
        <w:t>16 de noviembre de 2015</w:t>
      </w:r>
      <w:r w:rsidR="00630764" w:rsidRPr="00BB5131">
        <w:rPr>
          <w:rFonts w:cs="Arial"/>
          <w:sz w:val="20"/>
          <w:szCs w:val="20"/>
        </w:rPr>
        <w:t xml:space="preserve">, la señora Ángela Ayala denunció que su hermano había recibido amenazas de muerte por parte de supuestos integrantes de Coloradas de los Chávez. Asimismo, también habrían amenazado con matar a sus dos hijos menores de edad, y que </w:t>
      </w:r>
      <w:r w:rsidRPr="00BB5131">
        <w:rPr>
          <w:rFonts w:cs="Arial"/>
          <w:sz w:val="20"/>
          <w:szCs w:val="20"/>
        </w:rPr>
        <w:t>‘</w:t>
      </w:r>
      <w:r w:rsidR="00630764" w:rsidRPr="00BB5131">
        <w:rPr>
          <w:rFonts w:cs="Arial"/>
          <w:sz w:val="20"/>
          <w:szCs w:val="20"/>
        </w:rPr>
        <w:t xml:space="preserve">lo mismo iban hacer con Sandoval Ayala Ramos, hijo mayor de </w:t>
      </w:r>
      <w:r w:rsidRPr="00BB5131">
        <w:rPr>
          <w:rFonts w:cs="Arial"/>
          <w:sz w:val="20"/>
          <w:szCs w:val="20"/>
        </w:rPr>
        <w:t xml:space="preserve">[la señora] </w:t>
      </w:r>
      <w:r w:rsidR="00630764" w:rsidRPr="00BB5131">
        <w:rPr>
          <w:rFonts w:cs="Arial"/>
          <w:sz w:val="20"/>
          <w:szCs w:val="20"/>
        </w:rPr>
        <w:t>Ángela [</w:t>
      </w:r>
      <w:r w:rsidRPr="00BB5131">
        <w:rPr>
          <w:rFonts w:cs="Arial"/>
          <w:sz w:val="20"/>
          <w:szCs w:val="20"/>
        </w:rPr>
        <w:t>…</w:t>
      </w:r>
      <w:r w:rsidR="00630764" w:rsidRPr="00BB5131">
        <w:rPr>
          <w:rFonts w:cs="Arial"/>
          <w:sz w:val="20"/>
          <w:szCs w:val="20"/>
        </w:rPr>
        <w:t xml:space="preserve">] cuando esta última fuera a </w:t>
      </w:r>
      <w:proofErr w:type="spellStart"/>
      <w:r w:rsidR="00630764" w:rsidRPr="00BB5131">
        <w:rPr>
          <w:rFonts w:cs="Arial"/>
          <w:sz w:val="20"/>
          <w:szCs w:val="20"/>
        </w:rPr>
        <w:t>Choréachi</w:t>
      </w:r>
      <w:proofErr w:type="spellEnd"/>
      <w:r w:rsidRPr="00BB5131">
        <w:rPr>
          <w:rFonts w:cs="Arial"/>
          <w:sz w:val="20"/>
          <w:szCs w:val="20"/>
        </w:rPr>
        <w:t>’</w:t>
      </w:r>
      <w:r w:rsidR="00630764" w:rsidRPr="00BB5131">
        <w:rPr>
          <w:rFonts w:cs="Arial"/>
          <w:sz w:val="20"/>
          <w:szCs w:val="20"/>
        </w:rPr>
        <w:t xml:space="preserve">. </w:t>
      </w:r>
      <w:r w:rsidRPr="00BB5131">
        <w:rPr>
          <w:rFonts w:cs="Arial"/>
          <w:sz w:val="20"/>
          <w:szCs w:val="20"/>
        </w:rPr>
        <w:t>D</w:t>
      </w:r>
      <w:r w:rsidR="00630764" w:rsidRPr="00BB5131">
        <w:rPr>
          <w:rFonts w:cs="Arial"/>
          <w:sz w:val="20"/>
          <w:szCs w:val="20"/>
        </w:rPr>
        <w:t xml:space="preserve">e acuerdo con un informante de la comunidad, </w:t>
      </w:r>
      <w:r w:rsidR="00991552" w:rsidRPr="00BB5131">
        <w:rPr>
          <w:rFonts w:cs="Arial"/>
          <w:sz w:val="20"/>
          <w:szCs w:val="20"/>
        </w:rPr>
        <w:t>“[</w:t>
      </w:r>
      <w:r w:rsidRPr="00BB5131">
        <w:rPr>
          <w:rFonts w:cs="Arial"/>
          <w:sz w:val="20"/>
          <w:szCs w:val="20"/>
        </w:rPr>
        <w:t>…</w:t>
      </w:r>
      <w:r w:rsidR="00991552" w:rsidRPr="00BB5131">
        <w:rPr>
          <w:rFonts w:cs="Arial"/>
          <w:sz w:val="20"/>
          <w:szCs w:val="20"/>
        </w:rPr>
        <w:t>]</w:t>
      </w:r>
      <w:r w:rsidRPr="00BB5131">
        <w:rPr>
          <w:rFonts w:cs="Arial"/>
          <w:sz w:val="20"/>
          <w:szCs w:val="20"/>
        </w:rPr>
        <w:t xml:space="preserve"> </w:t>
      </w:r>
      <w:r w:rsidR="00630764" w:rsidRPr="00BB5131">
        <w:rPr>
          <w:rFonts w:cs="Arial"/>
          <w:sz w:val="20"/>
          <w:szCs w:val="20"/>
        </w:rPr>
        <w:t xml:space="preserve">los Loera querían matar a Ángela ‘en cualquier camioneta que se atreviera a llegar’ y que la intención era acabarlos a todos porque Ángela no hace caso de quedarse callada, que por eso </w:t>
      </w:r>
      <w:proofErr w:type="spellStart"/>
      <w:r w:rsidR="00630764" w:rsidRPr="00BB5131">
        <w:rPr>
          <w:rFonts w:cs="Arial"/>
          <w:sz w:val="20"/>
          <w:szCs w:val="20"/>
        </w:rPr>
        <w:t>tendr</w:t>
      </w:r>
      <w:proofErr w:type="spellEnd"/>
      <w:r w:rsidR="00991552" w:rsidRPr="00BB5131">
        <w:rPr>
          <w:rFonts w:cs="Arial"/>
          <w:sz w:val="20"/>
          <w:szCs w:val="20"/>
        </w:rPr>
        <w:t>[</w:t>
      </w:r>
      <w:proofErr w:type="spellStart"/>
      <w:r w:rsidR="00630764" w:rsidRPr="00BB5131">
        <w:rPr>
          <w:rFonts w:cs="Arial"/>
          <w:sz w:val="20"/>
          <w:szCs w:val="20"/>
        </w:rPr>
        <w:t>ía</w:t>
      </w:r>
      <w:proofErr w:type="spellEnd"/>
      <w:r w:rsidR="00991552" w:rsidRPr="00BB5131">
        <w:rPr>
          <w:rFonts w:cs="Arial"/>
          <w:sz w:val="20"/>
          <w:szCs w:val="20"/>
        </w:rPr>
        <w:t>]</w:t>
      </w:r>
      <w:r w:rsidR="00630764" w:rsidRPr="00BB5131">
        <w:rPr>
          <w:rFonts w:cs="Arial"/>
          <w:sz w:val="20"/>
          <w:szCs w:val="20"/>
        </w:rPr>
        <w:t xml:space="preserve"> que pagar sufriendo con la pérdida de su familia</w:t>
      </w:r>
      <w:r w:rsidRPr="00BB5131">
        <w:rPr>
          <w:rFonts w:cs="Arial"/>
          <w:sz w:val="20"/>
          <w:szCs w:val="20"/>
        </w:rPr>
        <w:t>’</w:t>
      </w:r>
      <w:r w:rsidR="00630764" w:rsidRPr="00BB5131">
        <w:rPr>
          <w:rFonts w:cs="Arial"/>
          <w:sz w:val="20"/>
          <w:szCs w:val="20"/>
        </w:rPr>
        <w:t>”;</w:t>
      </w:r>
    </w:p>
    <w:p w14:paraId="378EC2F7" w14:textId="5B1F8361" w:rsidR="00492340" w:rsidRPr="00BB5131" w:rsidRDefault="00D83506" w:rsidP="00492340">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492340" w:rsidRPr="00BB5131">
        <w:rPr>
          <w:rFonts w:cs="Arial"/>
          <w:sz w:val="20"/>
          <w:szCs w:val="20"/>
        </w:rPr>
        <w:t xml:space="preserve">para </w:t>
      </w:r>
      <w:r w:rsidR="00492340" w:rsidRPr="00BB5131">
        <w:rPr>
          <w:sz w:val="20"/>
        </w:rPr>
        <w:t>diciembre de 2015</w:t>
      </w:r>
      <w:r w:rsidR="00492340" w:rsidRPr="00BB5131">
        <w:rPr>
          <w:rFonts w:cs="Arial"/>
          <w:sz w:val="20"/>
          <w:szCs w:val="20"/>
        </w:rPr>
        <w:t xml:space="preserve"> </w:t>
      </w:r>
      <w:r w:rsidRPr="00BB5131">
        <w:rPr>
          <w:rFonts w:cs="Arial"/>
          <w:sz w:val="20"/>
          <w:szCs w:val="20"/>
        </w:rPr>
        <w:t xml:space="preserve">[la señora] </w:t>
      </w:r>
      <w:r w:rsidR="00492340" w:rsidRPr="00BB5131">
        <w:rPr>
          <w:rFonts w:cs="Arial"/>
          <w:sz w:val="20"/>
          <w:szCs w:val="20"/>
        </w:rPr>
        <w:t xml:space="preserve">Ángela Ayala Ramos </w:t>
      </w:r>
      <w:proofErr w:type="spellStart"/>
      <w:proofErr w:type="gramStart"/>
      <w:r w:rsidR="00492340" w:rsidRPr="00BB5131">
        <w:rPr>
          <w:rFonts w:cs="Arial"/>
          <w:sz w:val="20"/>
          <w:szCs w:val="20"/>
        </w:rPr>
        <w:t>hab</w:t>
      </w:r>
      <w:proofErr w:type="spellEnd"/>
      <w:r w:rsidRPr="00BB5131">
        <w:rPr>
          <w:rFonts w:cs="Arial"/>
          <w:sz w:val="20"/>
          <w:szCs w:val="20"/>
        </w:rPr>
        <w:t>[</w:t>
      </w:r>
      <w:proofErr w:type="gramEnd"/>
      <w:r w:rsidR="00492340" w:rsidRPr="00BB5131">
        <w:rPr>
          <w:rFonts w:cs="Arial"/>
          <w:sz w:val="20"/>
          <w:szCs w:val="20"/>
        </w:rPr>
        <w:t>r</w:t>
      </w:r>
      <w:r w:rsidRPr="00BB5131">
        <w:rPr>
          <w:rFonts w:cs="Arial"/>
          <w:sz w:val="20"/>
          <w:szCs w:val="20"/>
        </w:rPr>
        <w:t>ía]</w:t>
      </w:r>
      <w:r w:rsidR="00492340" w:rsidRPr="00BB5131">
        <w:rPr>
          <w:rFonts w:cs="Arial"/>
          <w:sz w:val="20"/>
          <w:szCs w:val="20"/>
        </w:rPr>
        <w:t xml:space="preserve"> tenido que dejar la casa asignada de refugio para ella y sus hijos e hija, y se </w:t>
      </w:r>
      <w:r w:rsidRPr="00BB5131">
        <w:rPr>
          <w:rFonts w:cs="Arial"/>
          <w:sz w:val="20"/>
          <w:szCs w:val="20"/>
        </w:rPr>
        <w:t>[</w:t>
      </w:r>
      <w:r w:rsidR="00492340" w:rsidRPr="00BB5131">
        <w:rPr>
          <w:rFonts w:cs="Arial"/>
          <w:sz w:val="20"/>
          <w:szCs w:val="20"/>
        </w:rPr>
        <w:t>habría</w:t>
      </w:r>
      <w:r w:rsidRPr="00BB5131">
        <w:rPr>
          <w:rFonts w:cs="Arial"/>
          <w:sz w:val="20"/>
          <w:szCs w:val="20"/>
        </w:rPr>
        <w:t>]</w:t>
      </w:r>
      <w:r w:rsidR="00492340" w:rsidRPr="00BB5131">
        <w:rPr>
          <w:rFonts w:cs="Arial"/>
          <w:sz w:val="20"/>
          <w:szCs w:val="20"/>
        </w:rPr>
        <w:t xml:space="preserve"> </w:t>
      </w:r>
      <w:proofErr w:type="spellStart"/>
      <w:r w:rsidR="00492340" w:rsidRPr="00BB5131">
        <w:rPr>
          <w:rFonts w:cs="Arial"/>
          <w:sz w:val="20"/>
          <w:szCs w:val="20"/>
        </w:rPr>
        <w:t>traslad</w:t>
      </w:r>
      <w:proofErr w:type="spellEnd"/>
      <w:r w:rsidRPr="00BB5131">
        <w:rPr>
          <w:rFonts w:cs="Arial"/>
          <w:sz w:val="20"/>
          <w:szCs w:val="20"/>
        </w:rPr>
        <w:t>[</w:t>
      </w:r>
      <w:proofErr w:type="spellStart"/>
      <w:r w:rsidR="00492340" w:rsidRPr="00BB5131">
        <w:rPr>
          <w:rFonts w:cs="Arial"/>
          <w:sz w:val="20"/>
          <w:szCs w:val="20"/>
        </w:rPr>
        <w:t>ado</w:t>
      </w:r>
      <w:proofErr w:type="spellEnd"/>
      <w:r w:rsidRPr="00BB5131">
        <w:rPr>
          <w:rFonts w:cs="Arial"/>
          <w:sz w:val="20"/>
          <w:szCs w:val="20"/>
        </w:rPr>
        <w:t>] a otro estado”. Respecto a</w:t>
      </w:r>
      <w:r w:rsidR="00492340" w:rsidRPr="00BB5131">
        <w:rPr>
          <w:rFonts w:cs="Arial"/>
          <w:sz w:val="20"/>
          <w:szCs w:val="20"/>
        </w:rPr>
        <w:t>l señor Prudencio Ramos, la Comisión relató que había sido informad</w:t>
      </w:r>
      <w:r w:rsidR="0018406E" w:rsidRPr="00BB5131">
        <w:rPr>
          <w:rFonts w:cs="Arial"/>
          <w:sz w:val="20"/>
          <w:szCs w:val="20"/>
        </w:rPr>
        <w:t>a</w:t>
      </w:r>
      <w:r w:rsidR="00492340" w:rsidRPr="00BB5131">
        <w:rPr>
          <w:rFonts w:cs="Arial"/>
          <w:sz w:val="20"/>
          <w:szCs w:val="20"/>
        </w:rPr>
        <w:t xml:space="preserve"> que </w:t>
      </w:r>
      <w:r w:rsidR="0018406E" w:rsidRPr="00BB5131">
        <w:rPr>
          <w:rFonts w:cs="Arial"/>
          <w:sz w:val="20"/>
          <w:szCs w:val="20"/>
        </w:rPr>
        <w:t>“</w:t>
      </w:r>
      <w:r w:rsidR="00492340" w:rsidRPr="00BB5131">
        <w:rPr>
          <w:rFonts w:cs="Arial"/>
          <w:sz w:val="20"/>
          <w:szCs w:val="20"/>
        </w:rPr>
        <w:t xml:space="preserve">para esa fecha también seguía sin poder regresar a su domicilio en la </w:t>
      </w:r>
      <w:r w:rsidR="0018406E" w:rsidRPr="00BB5131">
        <w:rPr>
          <w:rFonts w:cs="Arial"/>
          <w:sz w:val="20"/>
          <w:szCs w:val="20"/>
        </w:rPr>
        <w:t>c</w:t>
      </w:r>
      <w:r w:rsidR="00492340" w:rsidRPr="00BB5131">
        <w:rPr>
          <w:rFonts w:cs="Arial"/>
          <w:sz w:val="20"/>
          <w:szCs w:val="20"/>
        </w:rPr>
        <w:t xml:space="preserve">omunidad y se encontraba </w:t>
      </w:r>
      <w:r w:rsidR="0018406E" w:rsidRPr="00BB5131">
        <w:rPr>
          <w:rFonts w:cs="Arial"/>
          <w:sz w:val="20"/>
          <w:szCs w:val="20"/>
        </w:rPr>
        <w:t>‘</w:t>
      </w:r>
      <w:r w:rsidR="00492340" w:rsidRPr="00BB5131">
        <w:rPr>
          <w:rFonts w:cs="Arial"/>
          <w:sz w:val="20"/>
          <w:szCs w:val="20"/>
        </w:rPr>
        <w:t>en una cueva junto con su familia, con severas dificultades para conseguir el sustento diario</w:t>
      </w:r>
      <w:r w:rsidR="0018406E" w:rsidRPr="00BB5131">
        <w:rPr>
          <w:rFonts w:cs="Arial"/>
          <w:sz w:val="20"/>
          <w:szCs w:val="20"/>
        </w:rPr>
        <w:t>’</w:t>
      </w:r>
      <w:r w:rsidR="00492340" w:rsidRPr="00BB5131">
        <w:rPr>
          <w:rFonts w:cs="Arial"/>
          <w:sz w:val="20"/>
          <w:szCs w:val="20"/>
        </w:rPr>
        <w:t>”;</w:t>
      </w:r>
    </w:p>
    <w:p w14:paraId="7ADA3F5D" w14:textId="44FB0BD2" w:rsidR="00492340" w:rsidRPr="00BB5131" w:rsidRDefault="0018406E" w:rsidP="00492340">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492340" w:rsidRPr="00BB5131">
        <w:rPr>
          <w:rFonts w:cs="Arial"/>
          <w:sz w:val="20"/>
          <w:szCs w:val="20"/>
        </w:rPr>
        <w:t>e</w:t>
      </w:r>
      <w:r w:rsidRPr="00BB5131">
        <w:rPr>
          <w:rFonts w:cs="Arial"/>
          <w:sz w:val="20"/>
          <w:szCs w:val="20"/>
        </w:rPr>
        <w:t>]</w:t>
      </w:r>
      <w:r w:rsidR="00492340" w:rsidRPr="00BB5131">
        <w:rPr>
          <w:rFonts w:cs="Arial"/>
          <w:sz w:val="20"/>
          <w:szCs w:val="20"/>
        </w:rPr>
        <w:t xml:space="preserve">n el mes de </w:t>
      </w:r>
      <w:r w:rsidR="00492340" w:rsidRPr="00BB5131">
        <w:rPr>
          <w:sz w:val="20"/>
        </w:rPr>
        <w:t>febrero de 2016</w:t>
      </w:r>
      <w:r w:rsidR="00492340" w:rsidRPr="00BB5131">
        <w:rPr>
          <w:rFonts w:cs="Arial"/>
          <w:sz w:val="20"/>
          <w:szCs w:val="20"/>
        </w:rPr>
        <w:t xml:space="preserve">, el ex esposo de la hermana de Ángela Ayala Ramos habría sido amenazado. Se denunció que </w:t>
      </w:r>
      <w:r w:rsidR="00026CE2" w:rsidRPr="00BB5131">
        <w:rPr>
          <w:rFonts w:cs="Arial"/>
          <w:sz w:val="20"/>
          <w:szCs w:val="20"/>
        </w:rPr>
        <w:t>sujetos</w:t>
      </w:r>
      <w:r w:rsidR="00492340" w:rsidRPr="00BB5131">
        <w:rPr>
          <w:rFonts w:cs="Arial"/>
          <w:sz w:val="20"/>
          <w:szCs w:val="20"/>
        </w:rPr>
        <w:t xml:space="preserve"> </w:t>
      </w:r>
      <w:r w:rsidR="00C503BE" w:rsidRPr="00BB5131">
        <w:rPr>
          <w:rFonts w:cs="Arial"/>
          <w:sz w:val="20"/>
          <w:szCs w:val="20"/>
        </w:rPr>
        <w:t>‘</w:t>
      </w:r>
      <w:r w:rsidR="00492340" w:rsidRPr="00BB5131">
        <w:rPr>
          <w:rFonts w:cs="Arial"/>
          <w:sz w:val="20"/>
          <w:szCs w:val="20"/>
        </w:rPr>
        <w:t>fueron hasta su casa y le preguntaron dónde estaba Santos (el hijo de la beneficiaria [Ángela Ayala Ramos]). Cuando él les respondió que no sabía, se molestaron mucho y lo insultaron</w:t>
      </w:r>
      <w:r w:rsidR="00C503BE" w:rsidRPr="00BB5131">
        <w:rPr>
          <w:rFonts w:cs="Arial"/>
          <w:sz w:val="20"/>
          <w:szCs w:val="20"/>
        </w:rPr>
        <w:t>’”</w:t>
      </w:r>
      <w:r w:rsidR="00492340" w:rsidRPr="00BB5131">
        <w:rPr>
          <w:rFonts w:cs="Arial"/>
          <w:sz w:val="20"/>
          <w:szCs w:val="20"/>
        </w:rPr>
        <w:t>;</w:t>
      </w:r>
    </w:p>
    <w:p w14:paraId="21BDD77C" w14:textId="1711E7E7" w:rsidR="00492340" w:rsidRPr="00BB5131" w:rsidRDefault="00C503BE" w:rsidP="00492340">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492340" w:rsidRPr="00BB5131">
        <w:rPr>
          <w:rFonts w:cs="Arial"/>
          <w:sz w:val="20"/>
          <w:szCs w:val="20"/>
        </w:rPr>
        <w:t>e</w:t>
      </w:r>
      <w:r w:rsidRPr="00BB5131">
        <w:rPr>
          <w:rFonts w:cs="Arial"/>
          <w:sz w:val="20"/>
          <w:szCs w:val="20"/>
        </w:rPr>
        <w:t>]</w:t>
      </w:r>
      <w:r w:rsidR="00492340" w:rsidRPr="00BB5131">
        <w:rPr>
          <w:rFonts w:cs="Arial"/>
          <w:sz w:val="20"/>
          <w:szCs w:val="20"/>
        </w:rPr>
        <w:t xml:space="preserve">l </w:t>
      </w:r>
      <w:r w:rsidR="00492340" w:rsidRPr="00BB5131">
        <w:rPr>
          <w:sz w:val="20"/>
        </w:rPr>
        <w:t>20 de mayo de 2016</w:t>
      </w:r>
      <w:r w:rsidR="00492340" w:rsidRPr="00BB5131">
        <w:rPr>
          <w:rFonts w:cs="Arial"/>
          <w:sz w:val="20"/>
          <w:szCs w:val="20"/>
        </w:rPr>
        <w:t xml:space="preserve">, la señora Ángela Ayala denunció que supuestos agresores </w:t>
      </w:r>
      <w:r w:rsidRPr="00BB5131">
        <w:rPr>
          <w:rFonts w:cs="Arial"/>
          <w:sz w:val="20"/>
          <w:szCs w:val="20"/>
        </w:rPr>
        <w:t>‘</w:t>
      </w:r>
      <w:r w:rsidR="00492340" w:rsidRPr="00BB5131">
        <w:rPr>
          <w:rFonts w:cs="Arial"/>
          <w:sz w:val="20"/>
          <w:szCs w:val="20"/>
        </w:rPr>
        <w:t xml:space="preserve">iban a comprar víveres a su </w:t>
      </w:r>
      <w:proofErr w:type="gramStart"/>
      <w:r w:rsidR="00492340" w:rsidRPr="00BB5131">
        <w:rPr>
          <w:rFonts w:cs="Arial"/>
          <w:sz w:val="20"/>
          <w:szCs w:val="20"/>
        </w:rPr>
        <w:t>tienda</w:t>
      </w:r>
      <w:r w:rsidRPr="00BB5131">
        <w:rPr>
          <w:rFonts w:cs="Arial"/>
          <w:sz w:val="20"/>
          <w:szCs w:val="20"/>
        </w:rPr>
        <w:t>[</w:t>
      </w:r>
      <w:proofErr w:type="gramEnd"/>
      <w:r w:rsidR="00492340" w:rsidRPr="00BB5131">
        <w:rPr>
          <w:rFonts w:cs="Arial"/>
          <w:sz w:val="20"/>
          <w:szCs w:val="20"/>
        </w:rPr>
        <w:t>, y que en una</w:t>
      </w:r>
      <w:r w:rsidRPr="00BB5131">
        <w:rPr>
          <w:rFonts w:cs="Arial"/>
          <w:sz w:val="20"/>
          <w:szCs w:val="20"/>
        </w:rPr>
        <w:t>]</w:t>
      </w:r>
      <w:r w:rsidR="00492340" w:rsidRPr="00BB5131">
        <w:rPr>
          <w:rFonts w:cs="Arial"/>
          <w:sz w:val="20"/>
          <w:szCs w:val="20"/>
        </w:rPr>
        <w:t xml:space="preserve"> oportunidad, estas personas habrían llegado a la tienda y cuando su hermana se negó a venderles lo que pedían </w:t>
      </w:r>
      <w:r w:rsidR="00902926" w:rsidRPr="00BB5131">
        <w:rPr>
          <w:rFonts w:cs="Arial"/>
          <w:sz w:val="20"/>
          <w:szCs w:val="20"/>
        </w:rPr>
        <w:t>‘</w:t>
      </w:r>
      <w:r w:rsidR="00492340" w:rsidRPr="00BB5131">
        <w:rPr>
          <w:rFonts w:cs="Arial"/>
          <w:sz w:val="20"/>
          <w:szCs w:val="20"/>
        </w:rPr>
        <w:t xml:space="preserve">uno de ellos se </w:t>
      </w:r>
      <w:proofErr w:type="spellStart"/>
      <w:r w:rsidR="00492340" w:rsidRPr="00BB5131">
        <w:rPr>
          <w:rFonts w:cs="Arial"/>
          <w:sz w:val="20"/>
          <w:szCs w:val="20"/>
        </w:rPr>
        <w:t>molest</w:t>
      </w:r>
      <w:proofErr w:type="spellEnd"/>
      <w:r w:rsidR="00991552" w:rsidRPr="00BB5131">
        <w:rPr>
          <w:rFonts w:cs="Arial"/>
          <w:sz w:val="20"/>
          <w:szCs w:val="20"/>
        </w:rPr>
        <w:t>[</w:t>
      </w:r>
      <w:proofErr w:type="spellStart"/>
      <w:r w:rsidR="00492340" w:rsidRPr="00BB5131">
        <w:rPr>
          <w:rFonts w:cs="Arial"/>
          <w:sz w:val="20"/>
          <w:szCs w:val="20"/>
        </w:rPr>
        <w:t>ó</w:t>
      </w:r>
      <w:proofErr w:type="spellEnd"/>
      <w:r w:rsidR="00991552" w:rsidRPr="00BB5131">
        <w:rPr>
          <w:rFonts w:cs="Arial"/>
          <w:sz w:val="20"/>
          <w:szCs w:val="20"/>
        </w:rPr>
        <w:t>]</w:t>
      </w:r>
      <w:r w:rsidR="00492340" w:rsidRPr="00BB5131">
        <w:rPr>
          <w:rFonts w:cs="Arial"/>
          <w:sz w:val="20"/>
          <w:szCs w:val="20"/>
        </w:rPr>
        <w:t xml:space="preserve"> mucho, la </w:t>
      </w:r>
      <w:proofErr w:type="spellStart"/>
      <w:r w:rsidR="00492340" w:rsidRPr="00BB5131">
        <w:rPr>
          <w:rFonts w:cs="Arial"/>
          <w:sz w:val="20"/>
          <w:szCs w:val="20"/>
        </w:rPr>
        <w:t>tom</w:t>
      </w:r>
      <w:proofErr w:type="spellEnd"/>
      <w:r w:rsidR="00991552" w:rsidRPr="00BB5131">
        <w:rPr>
          <w:rFonts w:cs="Arial"/>
          <w:sz w:val="20"/>
          <w:szCs w:val="20"/>
        </w:rPr>
        <w:t>[</w:t>
      </w:r>
      <w:proofErr w:type="spellStart"/>
      <w:r w:rsidR="00991552" w:rsidRPr="00BB5131">
        <w:rPr>
          <w:rFonts w:cs="Arial"/>
          <w:sz w:val="20"/>
          <w:szCs w:val="20"/>
        </w:rPr>
        <w:t>ó</w:t>
      </w:r>
      <w:proofErr w:type="spellEnd"/>
      <w:r w:rsidR="00991552" w:rsidRPr="00BB5131">
        <w:rPr>
          <w:rFonts w:cs="Arial"/>
          <w:sz w:val="20"/>
          <w:szCs w:val="20"/>
        </w:rPr>
        <w:t xml:space="preserve">] </w:t>
      </w:r>
      <w:r w:rsidR="00492340" w:rsidRPr="00BB5131">
        <w:rPr>
          <w:rFonts w:cs="Arial"/>
          <w:sz w:val="20"/>
          <w:szCs w:val="20"/>
        </w:rPr>
        <w:t xml:space="preserve">por el cuello y </w:t>
      </w:r>
      <w:proofErr w:type="spellStart"/>
      <w:r w:rsidR="00492340" w:rsidRPr="00BB5131">
        <w:rPr>
          <w:rFonts w:cs="Arial"/>
          <w:sz w:val="20"/>
          <w:szCs w:val="20"/>
        </w:rPr>
        <w:t>trat</w:t>
      </w:r>
      <w:proofErr w:type="spellEnd"/>
      <w:r w:rsidR="00991552" w:rsidRPr="00BB5131">
        <w:rPr>
          <w:rFonts w:cs="Arial"/>
          <w:sz w:val="20"/>
          <w:szCs w:val="20"/>
        </w:rPr>
        <w:t>[</w:t>
      </w:r>
      <w:proofErr w:type="spellStart"/>
      <w:r w:rsidR="00991552" w:rsidRPr="00BB5131">
        <w:rPr>
          <w:rFonts w:cs="Arial"/>
          <w:sz w:val="20"/>
          <w:szCs w:val="20"/>
        </w:rPr>
        <w:t>ó</w:t>
      </w:r>
      <w:proofErr w:type="spellEnd"/>
      <w:r w:rsidR="00991552" w:rsidRPr="00BB5131">
        <w:rPr>
          <w:rFonts w:cs="Arial"/>
          <w:sz w:val="20"/>
          <w:szCs w:val="20"/>
        </w:rPr>
        <w:t xml:space="preserve">] </w:t>
      </w:r>
      <w:r w:rsidR="00492340" w:rsidRPr="00BB5131">
        <w:rPr>
          <w:rFonts w:cs="Arial"/>
          <w:sz w:val="20"/>
          <w:szCs w:val="20"/>
        </w:rPr>
        <w:t xml:space="preserve"> de ahorcarla</w:t>
      </w:r>
      <w:r w:rsidR="00902926" w:rsidRPr="00BB5131">
        <w:rPr>
          <w:rFonts w:cs="Arial"/>
          <w:sz w:val="20"/>
          <w:szCs w:val="20"/>
        </w:rPr>
        <w:t>’”</w:t>
      </w:r>
      <w:r w:rsidR="00492340" w:rsidRPr="00BB5131">
        <w:rPr>
          <w:rFonts w:cs="Arial"/>
          <w:sz w:val="20"/>
          <w:szCs w:val="20"/>
        </w:rPr>
        <w:t xml:space="preserve">. </w:t>
      </w:r>
      <w:r w:rsidR="00026CE2" w:rsidRPr="00BB5131">
        <w:rPr>
          <w:rFonts w:cs="Arial"/>
          <w:sz w:val="20"/>
          <w:szCs w:val="20"/>
        </w:rPr>
        <w:t xml:space="preserve">Según la Comisión, </w:t>
      </w:r>
      <w:r w:rsidR="00902926" w:rsidRPr="00BB5131">
        <w:rPr>
          <w:rFonts w:cs="Arial"/>
          <w:sz w:val="20"/>
          <w:szCs w:val="20"/>
        </w:rPr>
        <w:t>“</w:t>
      </w:r>
      <w:r w:rsidR="00026CE2" w:rsidRPr="00BB5131">
        <w:rPr>
          <w:rFonts w:cs="Arial"/>
          <w:sz w:val="20"/>
          <w:szCs w:val="20"/>
        </w:rPr>
        <w:t>l</w:t>
      </w:r>
      <w:r w:rsidR="00492340" w:rsidRPr="00BB5131">
        <w:rPr>
          <w:rFonts w:cs="Arial"/>
          <w:sz w:val="20"/>
          <w:szCs w:val="20"/>
        </w:rPr>
        <w:t>os representantes reiteraron que estos supuestos hostigamientos tendrían como objetivo conocer información sobre el paradero de la señora Ángela Ayala</w:t>
      </w:r>
      <w:r w:rsidR="00902926" w:rsidRPr="00BB5131">
        <w:rPr>
          <w:rFonts w:cs="Arial"/>
          <w:sz w:val="20"/>
          <w:szCs w:val="20"/>
        </w:rPr>
        <w:t>”</w:t>
      </w:r>
      <w:r w:rsidR="00492340" w:rsidRPr="00BB5131">
        <w:rPr>
          <w:rFonts w:cs="Arial"/>
          <w:sz w:val="20"/>
          <w:szCs w:val="20"/>
        </w:rPr>
        <w:t>;</w:t>
      </w:r>
    </w:p>
    <w:p w14:paraId="0B007DE7" w14:textId="2556A2CD" w:rsidR="00492340" w:rsidRPr="00BB5131" w:rsidRDefault="00902926" w:rsidP="00492340">
      <w:pPr>
        <w:pStyle w:val="Prrafodelista1"/>
        <w:numPr>
          <w:ilvl w:val="1"/>
          <w:numId w:val="5"/>
        </w:numPr>
        <w:tabs>
          <w:tab w:val="clear" w:pos="1440"/>
        </w:tabs>
        <w:spacing w:before="120" w:after="120"/>
        <w:ind w:left="567"/>
        <w:contextualSpacing w:val="0"/>
        <w:jc w:val="both"/>
        <w:rPr>
          <w:rFonts w:cs="Arial"/>
          <w:sz w:val="20"/>
          <w:szCs w:val="20"/>
          <w:lang w:val="es-CL"/>
        </w:rPr>
      </w:pPr>
      <w:r w:rsidRPr="00BB5131">
        <w:rPr>
          <w:rFonts w:cs="Arial"/>
          <w:sz w:val="20"/>
          <w:szCs w:val="20"/>
          <w:lang w:val="es-CL"/>
        </w:rPr>
        <w:t>“[</w:t>
      </w:r>
      <w:r w:rsidR="00492340" w:rsidRPr="00BB5131">
        <w:rPr>
          <w:rFonts w:cs="Arial"/>
          <w:sz w:val="20"/>
          <w:szCs w:val="20"/>
          <w:lang w:val="es-CL"/>
        </w:rPr>
        <w:t>e</w:t>
      </w:r>
      <w:r w:rsidRPr="00BB5131">
        <w:rPr>
          <w:rFonts w:cs="Arial"/>
          <w:sz w:val="20"/>
          <w:szCs w:val="20"/>
          <w:lang w:val="es-CL"/>
        </w:rPr>
        <w:t>]</w:t>
      </w:r>
      <w:r w:rsidR="00492340" w:rsidRPr="00BB5131">
        <w:rPr>
          <w:rFonts w:cs="Arial"/>
          <w:sz w:val="20"/>
          <w:szCs w:val="20"/>
          <w:lang w:val="es-CL"/>
        </w:rPr>
        <w:t xml:space="preserve">l </w:t>
      </w:r>
      <w:r w:rsidR="00492340" w:rsidRPr="00BB5131">
        <w:rPr>
          <w:sz w:val="20"/>
          <w:lang w:val="es-CL"/>
        </w:rPr>
        <w:t>30 de mayo de 2016</w:t>
      </w:r>
      <w:r w:rsidR="00492340" w:rsidRPr="00BB5131">
        <w:rPr>
          <w:rFonts w:cs="Arial"/>
          <w:sz w:val="20"/>
          <w:szCs w:val="20"/>
          <w:lang w:val="es-CL"/>
        </w:rPr>
        <w:t xml:space="preserve">, </w:t>
      </w:r>
      <w:r w:rsidRPr="00BB5131">
        <w:rPr>
          <w:rFonts w:cs="Arial"/>
          <w:sz w:val="20"/>
          <w:szCs w:val="20"/>
          <w:lang w:val="es-CL"/>
        </w:rPr>
        <w:t>‘</w:t>
      </w:r>
      <w:r w:rsidR="00492340" w:rsidRPr="00BB5131">
        <w:rPr>
          <w:rFonts w:cs="Arial"/>
          <w:sz w:val="20"/>
          <w:szCs w:val="20"/>
          <w:lang w:val="es-CL"/>
        </w:rPr>
        <w:t>alrededor de 10 sujetos armados</w:t>
      </w:r>
      <w:r w:rsidRPr="00BB5131">
        <w:rPr>
          <w:rFonts w:cs="Arial"/>
          <w:sz w:val="20"/>
          <w:szCs w:val="20"/>
          <w:lang w:val="es-CL"/>
        </w:rPr>
        <w:t>’</w:t>
      </w:r>
      <w:r w:rsidR="00492340" w:rsidRPr="00BB5131">
        <w:rPr>
          <w:rFonts w:cs="Arial"/>
          <w:sz w:val="20"/>
          <w:szCs w:val="20"/>
          <w:lang w:val="es-CL"/>
        </w:rPr>
        <w:t xml:space="preserve"> </w:t>
      </w:r>
      <w:r w:rsidRPr="00BB5131">
        <w:rPr>
          <w:rFonts w:cs="Arial"/>
          <w:sz w:val="20"/>
          <w:szCs w:val="20"/>
          <w:lang w:val="es-CL"/>
        </w:rPr>
        <w:t>[</w:t>
      </w:r>
      <w:r w:rsidR="00492340" w:rsidRPr="00BB5131">
        <w:rPr>
          <w:rFonts w:cs="Arial"/>
          <w:sz w:val="20"/>
          <w:szCs w:val="20"/>
          <w:lang w:val="es-CL"/>
        </w:rPr>
        <w:t xml:space="preserve">que </w:t>
      </w:r>
      <w:r w:rsidR="00EC7396" w:rsidRPr="00BB5131">
        <w:rPr>
          <w:rFonts w:cs="Arial"/>
          <w:sz w:val="20"/>
          <w:szCs w:val="20"/>
          <w:lang w:val="es-CL"/>
        </w:rPr>
        <w:t>se alega son</w:t>
      </w:r>
      <w:r w:rsidRPr="00BB5131">
        <w:rPr>
          <w:rFonts w:cs="Arial"/>
          <w:sz w:val="20"/>
          <w:szCs w:val="20"/>
          <w:lang w:val="es-CL"/>
        </w:rPr>
        <w:t>]</w:t>
      </w:r>
      <w:r w:rsidR="00492340" w:rsidRPr="00BB5131">
        <w:rPr>
          <w:rFonts w:cs="Arial"/>
          <w:sz w:val="20"/>
          <w:szCs w:val="20"/>
          <w:lang w:val="es-CL"/>
        </w:rPr>
        <w:t xml:space="preserve"> </w:t>
      </w:r>
      <w:r w:rsidR="00492340" w:rsidRPr="00BB5131">
        <w:rPr>
          <w:rFonts w:cs="Arial"/>
          <w:sz w:val="20"/>
          <w:szCs w:val="20"/>
        </w:rPr>
        <w:t>parte</w:t>
      </w:r>
      <w:r w:rsidR="00492340" w:rsidRPr="00BB5131">
        <w:rPr>
          <w:rFonts w:cs="Arial"/>
          <w:sz w:val="20"/>
          <w:szCs w:val="20"/>
          <w:lang w:val="es-CL"/>
        </w:rPr>
        <w:t xml:space="preserve"> del supuesto grupo agresor, se habrían presentado en la casa de Porfirio Cruz Ramos, segundo Gobernador de </w:t>
      </w:r>
      <w:proofErr w:type="spellStart"/>
      <w:r w:rsidR="00492340" w:rsidRPr="00BB5131">
        <w:rPr>
          <w:rFonts w:cs="Arial"/>
          <w:sz w:val="20"/>
          <w:szCs w:val="20"/>
          <w:lang w:val="es-CL"/>
        </w:rPr>
        <w:t>Choréachi</w:t>
      </w:r>
      <w:proofErr w:type="spellEnd"/>
      <w:r w:rsidR="00492340" w:rsidRPr="00BB5131">
        <w:rPr>
          <w:rFonts w:cs="Arial"/>
          <w:sz w:val="20"/>
          <w:szCs w:val="20"/>
          <w:lang w:val="es-CL"/>
        </w:rPr>
        <w:t xml:space="preserve"> y </w:t>
      </w:r>
      <w:r w:rsidRPr="00BB5131">
        <w:rPr>
          <w:rFonts w:cs="Arial"/>
          <w:sz w:val="20"/>
          <w:szCs w:val="20"/>
          <w:lang w:val="es-CL"/>
        </w:rPr>
        <w:t>‘</w:t>
      </w:r>
      <w:r w:rsidR="00492340" w:rsidRPr="00BB5131">
        <w:rPr>
          <w:rFonts w:cs="Arial"/>
          <w:sz w:val="20"/>
          <w:szCs w:val="20"/>
          <w:lang w:val="es-CL"/>
        </w:rPr>
        <w:t>dispararon balazos a la puerta con armas de grueso calibre</w:t>
      </w:r>
      <w:r w:rsidRPr="00BB5131">
        <w:rPr>
          <w:rFonts w:cs="Arial"/>
          <w:sz w:val="20"/>
          <w:szCs w:val="20"/>
          <w:lang w:val="es-CL"/>
        </w:rPr>
        <w:t>’</w:t>
      </w:r>
      <w:r w:rsidR="00492340" w:rsidRPr="00BB5131">
        <w:rPr>
          <w:rFonts w:cs="Arial"/>
          <w:sz w:val="20"/>
          <w:szCs w:val="20"/>
          <w:lang w:val="es-CL"/>
        </w:rPr>
        <w:t xml:space="preserve">. </w:t>
      </w:r>
      <w:r w:rsidRPr="00BB5131">
        <w:rPr>
          <w:rFonts w:cs="Arial"/>
          <w:sz w:val="20"/>
          <w:szCs w:val="20"/>
          <w:lang w:val="es-CL"/>
        </w:rPr>
        <w:t>[</w:t>
      </w:r>
      <w:r w:rsidR="00E91E74" w:rsidRPr="00BB5131">
        <w:rPr>
          <w:rFonts w:cs="Arial"/>
          <w:sz w:val="20"/>
          <w:szCs w:val="20"/>
          <w:lang w:val="es-CL"/>
        </w:rPr>
        <w:t>L</w:t>
      </w:r>
      <w:r w:rsidRPr="00BB5131">
        <w:rPr>
          <w:rFonts w:cs="Arial"/>
          <w:sz w:val="20"/>
          <w:szCs w:val="20"/>
          <w:lang w:val="es-CL"/>
        </w:rPr>
        <w:t>]</w:t>
      </w:r>
      <w:r w:rsidR="00492340" w:rsidRPr="00BB5131">
        <w:rPr>
          <w:rFonts w:cs="Arial"/>
          <w:sz w:val="20"/>
          <w:szCs w:val="20"/>
          <w:lang w:val="es-CL"/>
        </w:rPr>
        <w:t xml:space="preserve">os hombres habrían también robado cobijas, zapatos y huaraches de los niños, algunos trastes y dinero. Por estos hechos, el señor Cruz se habría tenido que desplazar con su familia </w:t>
      </w:r>
      <w:r w:rsidRPr="00BB5131">
        <w:rPr>
          <w:rFonts w:cs="Arial"/>
          <w:sz w:val="20"/>
          <w:szCs w:val="20"/>
          <w:lang w:val="es-CL"/>
        </w:rPr>
        <w:t>‘</w:t>
      </w:r>
      <w:r w:rsidR="00492340" w:rsidRPr="00BB5131">
        <w:rPr>
          <w:rFonts w:cs="Arial"/>
          <w:sz w:val="20"/>
          <w:szCs w:val="20"/>
          <w:lang w:val="es-CL"/>
        </w:rPr>
        <w:t>al monte donde permanecieron escondidos</w:t>
      </w:r>
      <w:r w:rsidRPr="00BB5131">
        <w:rPr>
          <w:rFonts w:cs="Arial"/>
          <w:sz w:val="20"/>
          <w:szCs w:val="20"/>
          <w:lang w:val="es-CL"/>
        </w:rPr>
        <w:t>’</w:t>
      </w:r>
      <w:r w:rsidR="00492340" w:rsidRPr="00BB5131">
        <w:rPr>
          <w:rFonts w:cs="Arial"/>
          <w:sz w:val="20"/>
          <w:szCs w:val="20"/>
          <w:lang w:val="es-CL"/>
        </w:rPr>
        <w:t>. Al día siguiente, el mismo grupo de personas habría regresado a la casa y prendió fuego a las cobijas y demás pertenencias</w:t>
      </w:r>
      <w:r w:rsidRPr="00BB5131">
        <w:rPr>
          <w:rFonts w:cs="Arial"/>
          <w:sz w:val="20"/>
          <w:szCs w:val="20"/>
          <w:lang w:val="es-CL"/>
        </w:rPr>
        <w:t xml:space="preserve">”. Según la Comisión, los representantes destacaron que “al denunciar estos hechos ante el comisario de policía de la comunidad, Juan Ontiveros Ramos, ‘[él] también habría relatado que debió abandonar su casa, ‘porque una persona de </w:t>
      </w:r>
      <w:proofErr w:type="spellStart"/>
      <w:r w:rsidRPr="00BB5131">
        <w:rPr>
          <w:rFonts w:cs="Arial"/>
          <w:sz w:val="20"/>
          <w:szCs w:val="20"/>
          <w:lang w:val="es-CL"/>
        </w:rPr>
        <w:t>Choréachi</w:t>
      </w:r>
      <w:proofErr w:type="spellEnd"/>
      <w:r w:rsidRPr="00BB5131">
        <w:rPr>
          <w:rFonts w:cs="Arial"/>
          <w:sz w:val="20"/>
          <w:szCs w:val="20"/>
          <w:lang w:val="es-CL"/>
        </w:rPr>
        <w:t xml:space="preserve"> le dijo que los agresores lo andaban buscando para matarlo, por ‘andar denunciando en Guadalupe y Calvo’ sobre el asesinato de </w:t>
      </w:r>
      <w:r w:rsidR="00991552" w:rsidRPr="00BB5131">
        <w:rPr>
          <w:rFonts w:cs="Arial"/>
          <w:sz w:val="20"/>
          <w:szCs w:val="20"/>
          <w:lang w:val="es-CL"/>
        </w:rPr>
        <w:t>[</w:t>
      </w:r>
      <w:r w:rsidRPr="00BB5131">
        <w:rPr>
          <w:rFonts w:cs="Arial"/>
          <w:sz w:val="20"/>
          <w:szCs w:val="20"/>
          <w:lang w:val="es-CL"/>
        </w:rPr>
        <w:t>otro gobernador</w:t>
      </w:r>
      <w:r w:rsidR="00991552" w:rsidRPr="00BB5131">
        <w:rPr>
          <w:rFonts w:cs="Arial"/>
          <w:sz w:val="20"/>
          <w:szCs w:val="20"/>
          <w:lang w:val="es-CL"/>
        </w:rPr>
        <w:t>]</w:t>
      </w:r>
      <w:r w:rsidRPr="00BB5131">
        <w:rPr>
          <w:rFonts w:cs="Arial"/>
          <w:sz w:val="20"/>
          <w:szCs w:val="20"/>
          <w:lang w:val="es-CL"/>
        </w:rPr>
        <w:t>’”</w:t>
      </w:r>
      <w:r w:rsidR="00492340" w:rsidRPr="00BB5131">
        <w:rPr>
          <w:rFonts w:cs="Arial"/>
          <w:sz w:val="20"/>
          <w:szCs w:val="20"/>
          <w:lang w:val="es-CL"/>
        </w:rPr>
        <w:t>;</w:t>
      </w:r>
    </w:p>
    <w:p w14:paraId="2CEAAFD5" w14:textId="5A5AD3F4" w:rsidR="00492340" w:rsidRPr="00BB5131" w:rsidRDefault="00902926" w:rsidP="00492340">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492340" w:rsidRPr="00BB5131">
        <w:rPr>
          <w:rFonts w:cs="Arial"/>
          <w:sz w:val="20"/>
          <w:szCs w:val="20"/>
        </w:rPr>
        <w:t>e</w:t>
      </w:r>
      <w:r w:rsidRPr="00BB5131">
        <w:rPr>
          <w:rFonts w:cs="Arial"/>
          <w:sz w:val="20"/>
          <w:szCs w:val="20"/>
        </w:rPr>
        <w:t>]</w:t>
      </w:r>
      <w:r w:rsidR="00492340" w:rsidRPr="00BB5131">
        <w:rPr>
          <w:rFonts w:cs="Arial"/>
          <w:sz w:val="20"/>
          <w:szCs w:val="20"/>
        </w:rPr>
        <w:t xml:space="preserve">n </w:t>
      </w:r>
      <w:r w:rsidRPr="00BB5131">
        <w:rPr>
          <w:rFonts w:cs="Arial"/>
          <w:sz w:val="20"/>
          <w:szCs w:val="20"/>
        </w:rPr>
        <w:t>[…]</w:t>
      </w:r>
      <w:r w:rsidR="00492340" w:rsidRPr="00BB5131">
        <w:rPr>
          <w:rFonts w:cs="Arial"/>
          <w:sz w:val="20"/>
          <w:szCs w:val="20"/>
        </w:rPr>
        <w:t xml:space="preserve"> </w:t>
      </w:r>
      <w:r w:rsidR="00492340" w:rsidRPr="00BB5131">
        <w:rPr>
          <w:sz w:val="20"/>
        </w:rPr>
        <w:t>junio de 2016</w:t>
      </w:r>
      <w:r w:rsidR="00492340" w:rsidRPr="00BB5131">
        <w:rPr>
          <w:rFonts w:cs="Arial"/>
          <w:sz w:val="20"/>
          <w:szCs w:val="20"/>
        </w:rPr>
        <w:t xml:space="preserve">, se habrían registrado nuevos hechos de violencia en la </w:t>
      </w:r>
      <w:r w:rsidR="00010548" w:rsidRPr="00BB5131">
        <w:rPr>
          <w:rFonts w:cs="Arial"/>
          <w:sz w:val="20"/>
          <w:szCs w:val="20"/>
        </w:rPr>
        <w:t>c</w:t>
      </w:r>
      <w:r w:rsidR="00EC7396" w:rsidRPr="00BB5131">
        <w:rPr>
          <w:rFonts w:cs="Arial"/>
          <w:sz w:val="20"/>
          <w:szCs w:val="20"/>
        </w:rPr>
        <w:t xml:space="preserve">omunidad </w:t>
      </w:r>
      <w:r w:rsidR="00492340" w:rsidRPr="00BB5131">
        <w:rPr>
          <w:rFonts w:cs="Arial"/>
          <w:sz w:val="20"/>
          <w:szCs w:val="20"/>
        </w:rPr>
        <w:t xml:space="preserve">dando como resultado </w:t>
      </w:r>
      <w:r w:rsidR="00010548" w:rsidRPr="00BB5131">
        <w:rPr>
          <w:rFonts w:cs="Arial"/>
          <w:sz w:val="20"/>
          <w:szCs w:val="20"/>
        </w:rPr>
        <w:t>[</w:t>
      </w:r>
      <w:r w:rsidR="00EC7396" w:rsidRPr="00BB5131">
        <w:rPr>
          <w:rFonts w:cs="Arial"/>
          <w:sz w:val="20"/>
          <w:szCs w:val="20"/>
        </w:rPr>
        <w:t xml:space="preserve">el </w:t>
      </w:r>
      <w:r w:rsidR="00D90D89" w:rsidRPr="00BB5131">
        <w:rPr>
          <w:rFonts w:cs="Arial"/>
          <w:sz w:val="20"/>
          <w:szCs w:val="20"/>
        </w:rPr>
        <w:t>fallecimiento</w:t>
      </w:r>
      <w:r w:rsidR="00EC7396" w:rsidRPr="00BB5131">
        <w:rPr>
          <w:rFonts w:cs="Arial"/>
          <w:sz w:val="20"/>
          <w:szCs w:val="20"/>
        </w:rPr>
        <w:t xml:space="preserve"> de</w:t>
      </w:r>
      <w:r w:rsidR="00010548" w:rsidRPr="00BB5131">
        <w:rPr>
          <w:rFonts w:cs="Arial"/>
          <w:sz w:val="20"/>
          <w:szCs w:val="20"/>
        </w:rPr>
        <w:t>]</w:t>
      </w:r>
      <w:r w:rsidR="00492340" w:rsidRPr="00BB5131">
        <w:rPr>
          <w:rFonts w:cs="Arial"/>
          <w:sz w:val="20"/>
          <w:szCs w:val="20"/>
        </w:rPr>
        <w:t xml:space="preserve"> tres personas</w:t>
      </w:r>
      <w:r w:rsidR="00010548" w:rsidRPr="00BB5131">
        <w:rPr>
          <w:rFonts w:cs="Arial"/>
          <w:sz w:val="20"/>
          <w:szCs w:val="20"/>
        </w:rPr>
        <w:t xml:space="preserve"> […]”</w:t>
      </w:r>
      <w:r w:rsidR="00492340" w:rsidRPr="00BB5131">
        <w:rPr>
          <w:rFonts w:cs="Arial"/>
          <w:sz w:val="20"/>
          <w:szCs w:val="20"/>
        </w:rPr>
        <w:t xml:space="preserve">. </w:t>
      </w:r>
      <w:r w:rsidR="00EC7396" w:rsidRPr="00BB5131">
        <w:rPr>
          <w:rFonts w:cs="Arial"/>
          <w:sz w:val="20"/>
          <w:szCs w:val="20"/>
        </w:rPr>
        <w:t>Según la Comisión, l</w:t>
      </w:r>
      <w:r w:rsidR="000B2BEE" w:rsidRPr="00BB5131">
        <w:rPr>
          <w:rFonts w:cs="Arial"/>
          <w:sz w:val="20"/>
          <w:szCs w:val="20"/>
        </w:rPr>
        <w:t xml:space="preserve">os representantes sostuvieron </w:t>
      </w:r>
      <w:r w:rsidR="00492340" w:rsidRPr="00BB5131">
        <w:rPr>
          <w:rFonts w:cs="Arial"/>
          <w:sz w:val="20"/>
          <w:szCs w:val="20"/>
        </w:rPr>
        <w:t xml:space="preserve">que </w:t>
      </w:r>
      <w:r w:rsidR="000B2BEE" w:rsidRPr="00BB5131">
        <w:rPr>
          <w:rFonts w:cs="Arial"/>
          <w:sz w:val="20"/>
          <w:szCs w:val="20"/>
        </w:rPr>
        <w:t>“</w:t>
      </w:r>
      <w:r w:rsidR="00492340" w:rsidRPr="00BB5131">
        <w:rPr>
          <w:rFonts w:cs="Arial"/>
          <w:sz w:val="20"/>
          <w:szCs w:val="20"/>
        </w:rPr>
        <w:t xml:space="preserve">si bien no </w:t>
      </w:r>
      <w:proofErr w:type="spellStart"/>
      <w:proofErr w:type="gramStart"/>
      <w:r w:rsidR="00492340" w:rsidRPr="00BB5131">
        <w:rPr>
          <w:rFonts w:cs="Arial"/>
          <w:sz w:val="20"/>
          <w:szCs w:val="20"/>
        </w:rPr>
        <w:t>contab</w:t>
      </w:r>
      <w:proofErr w:type="spellEnd"/>
      <w:r w:rsidR="000B2BEE" w:rsidRPr="00BB5131">
        <w:rPr>
          <w:rFonts w:cs="Arial"/>
          <w:sz w:val="20"/>
          <w:szCs w:val="20"/>
        </w:rPr>
        <w:t>[</w:t>
      </w:r>
      <w:proofErr w:type="spellStart"/>
      <w:proofErr w:type="gramEnd"/>
      <w:r w:rsidR="00492340" w:rsidRPr="00BB5131">
        <w:rPr>
          <w:rFonts w:cs="Arial"/>
          <w:sz w:val="20"/>
          <w:szCs w:val="20"/>
        </w:rPr>
        <w:t>a</w:t>
      </w:r>
      <w:r w:rsidR="000B2BEE" w:rsidRPr="00BB5131">
        <w:rPr>
          <w:rFonts w:cs="Arial"/>
          <w:sz w:val="20"/>
          <w:szCs w:val="20"/>
        </w:rPr>
        <w:t>n</w:t>
      </w:r>
      <w:proofErr w:type="spellEnd"/>
      <w:r w:rsidR="000B2BEE" w:rsidRPr="00BB5131">
        <w:rPr>
          <w:rFonts w:cs="Arial"/>
          <w:sz w:val="20"/>
          <w:szCs w:val="20"/>
        </w:rPr>
        <w:t>]</w:t>
      </w:r>
      <w:r w:rsidR="00492340" w:rsidRPr="00BB5131">
        <w:rPr>
          <w:rFonts w:cs="Arial"/>
          <w:sz w:val="20"/>
          <w:szCs w:val="20"/>
        </w:rPr>
        <w:t xml:space="preserve"> con información sobre la posible autoría de los hechos, ello se debía a la </w:t>
      </w:r>
      <w:r w:rsidR="000B2BEE" w:rsidRPr="00BB5131">
        <w:rPr>
          <w:rFonts w:cs="Arial"/>
          <w:sz w:val="20"/>
          <w:szCs w:val="20"/>
        </w:rPr>
        <w:t>‘</w:t>
      </w:r>
      <w:r w:rsidR="00492340" w:rsidRPr="00BB5131">
        <w:rPr>
          <w:rFonts w:cs="Arial"/>
          <w:sz w:val="20"/>
          <w:szCs w:val="20"/>
        </w:rPr>
        <w:t>falta de información y diligencia por parte de las autoridades correspondientes</w:t>
      </w:r>
      <w:r w:rsidR="000B2BEE" w:rsidRPr="00BB5131">
        <w:rPr>
          <w:rFonts w:cs="Arial"/>
          <w:sz w:val="20"/>
          <w:szCs w:val="20"/>
        </w:rPr>
        <w:t>’</w:t>
      </w:r>
      <w:r w:rsidR="00492340" w:rsidRPr="00BB5131">
        <w:rPr>
          <w:rFonts w:cs="Arial"/>
          <w:sz w:val="20"/>
          <w:szCs w:val="20"/>
        </w:rPr>
        <w:t xml:space="preserve">. </w:t>
      </w:r>
      <w:r w:rsidR="00492340" w:rsidRPr="00BB5131">
        <w:rPr>
          <w:rFonts w:cs="Arial"/>
          <w:sz w:val="20"/>
          <w:szCs w:val="20"/>
        </w:rPr>
        <w:lastRenderedPageBreak/>
        <w:t xml:space="preserve">Asimismo, </w:t>
      </w:r>
      <w:r w:rsidR="000B2BEE" w:rsidRPr="00BB5131">
        <w:rPr>
          <w:rFonts w:cs="Arial"/>
          <w:sz w:val="20"/>
          <w:szCs w:val="20"/>
        </w:rPr>
        <w:t xml:space="preserve">señalaron que </w:t>
      </w:r>
      <w:r w:rsidR="00492340" w:rsidRPr="00BB5131">
        <w:rPr>
          <w:rFonts w:cs="Arial"/>
          <w:sz w:val="20"/>
          <w:szCs w:val="20"/>
        </w:rPr>
        <w:t xml:space="preserve">las autoridades de </w:t>
      </w:r>
      <w:proofErr w:type="spellStart"/>
      <w:r w:rsidR="00492340" w:rsidRPr="00BB5131">
        <w:rPr>
          <w:rFonts w:cs="Arial"/>
          <w:sz w:val="20"/>
          <w:szCs w:val="20"/>
        </w:rPr>
        <w:t>Choréachi</w:t>
      </w:r>
      <w:proofErr w:type="spellEnd"/>
      <w:r w:rsidR="00492340" w:rsidRPr="00BB5131">
        <w:rPr>
          <w:rFonts w:cs="Arial"/>
          <w:sz w:val="20"/>
          <w:szCs w:val="20"/>
        </w:rPr>
        <w:t xml:space="preserve"> indicaron que </w:t>
      </w:r>
      <w:r w:rsidR="000B2BEE" w:rsidRPr="00BB5131">
        <w:rPr>
          <w:rFonts w:cs="Arial"/>
          <w:sz w:val="20"/>
          <w:szCs w:val="20"/>
        </w:rPr>
        <w:t>[</w:t>
      </w:r>
      <w:r w:rsidR="00EC7396" w:rsidRPr="00BB5131">
        <w:rPr>
          <w:rFonts w:cs="Arial"/>
          <w:sz w:val="20"/>
          <w:szCs w:val="20"/>
        </w:rPr>
        <w:t>los hechos</w:t>
      </w:r>
      <w:r w:rsidR="000B2BEE" w:rsidRPr="00BB5131">
        <w:rPr>
          <w:rFonts w:cs="Arial"/>
          <w:sz w:val="20"/>
          <w:szCs w:val="20"/>
        </w:rPr>
        <w:t>]</w:t>
      </w:r>
      <w:r w:rsidR="00EC7396" w:rsidRPr="00BB5131">
        <w:rPr>
          <w:rFonts w:cs="Arial"/>
          <w:sz w:val="20"/>
          <w:szCs w:val="20"/>
        </w:rPr>
        <w:t xml:space="preserve"> </w:t>
      </w:r>
      <w:r w:rsidR="00492340" w:rsidRPr="00BB5131">
        <w:rPr>
          <w:rFonts w:cs="Arial"/>
          <w:sz w:val="20"/>
          <w:szCs w:val="20"/>
        </w:rPr>
        <w:t xml:space="preserve">se habrían cometido </w:t>
      </w:r>
      <w:r w:rsidR="000B2BEE" w:rsidRPr="00BB5131">
        <w:rPr>
          <w:rFonts w:cs="Arial"/>
          <w:sz w:val="20"/>
          <w:szCs w:val="20"/>
        </w:rPr>
        <w:t>‘</w:t>
      </w:r>
      <w:r w:rsidR="00492340" w:rsidRPr="00BB5131">
        <w:rPr>
          <w:rFonts w:cs="Arial"/>
          <w:sz w:val="20"/>
          <w:szCs w:val="20"/>
        </w:rPr>
        <w:t xml:space="preserve">con armas que los </w:t>
      </w:r>
      <w:r w:rsidR="00991552" w:rsidRPr="00BB5131">
        <w:rPr>
          <w:rFonts w:cs="Arial"/>
          <w:sz w:val="20"/>
          <w:szCs w:val="20"/>
        </w:rPr>
        <w:t>[</w:t>
      </w:r>
      <w:r w:rsidR="00492340" w:rsidRPr="00BB5131">
        <w:rPr>
          <w:rFonts w:cs="Arial"/>
          <w:sz w:val="20"/>
          <w:szCs w:val="20"/>
        </w:rPr>
        <w:t>supuestos</w:t>
      </w:r>
      <w:r w:rsidR="00991552" w:rsidRPr="00BB5131">
        <w:rPr>
          <w:rFonts w:cs="Arial"/>
          <w:sz w:val="20"/>
          <w:szCs w:val="20"/>
        </w:rPr>
        <w:t>]</w:t>
      </w:r>
      <w:r w:rsidR="00492340" w:rsidRPr="00BB5131">
        <w:rPr>
          <w:rFonts w:cs="Arial"/>
          <w:sz w:val="20"/>
          <w:szCs w:val="20"/>
        </w:rPr>
        <w:t xml:space="preserve"> perpetradores habrían llevado</w:t>
      </w:r>
      <w:r w:rsidR="000B2BEE" w:rsidRPr="00BB5131">
        <w:rPr>
          <w:rFonts w:cs="Arial"/>
          <w:sz w:val="20"/>
          <w:szCs w:val="20"/>
        </w:rPr>
        <w:t>’</w:t>
      </w:r>
      <w:r w:rsidR="00492340" w:rsidRPr="00BB5131">
        <w:rPr>
          <w:rFonts w:cs="Arial"/>
          <w:sz w:val="20"/>
          <w:szCs w:val="20"/>
        </w:rPr>
        <w:t xml:space="preserve"> y quienes habrían amenazado con que </w:t>
      </w:r>
      <w:r w:rsidR="000B2BEE" w:rsidRPr="00BB5131">
        <w:rPr>
          <w:rFonts w:cs="Arial"/>
          <w:sz w:val="20"/>
          <w:szCs w:val="20"/>
        </w:rPr>
        <w:t>‘</w:t>
      </w:r>
      <w:r w:rsidR="00492340" w:rsidRPr="00BB5131">
        <w:rPr>
          <w:rFonts w:cs="Arial"/>
          <w:sz w:val="20"/>
          <w:szCs w:val="20"/>
        </w:rPr>
        <w:t xml:space="preserve">la vida comunitaria y ritual en </w:t>
      </w:r>
      <w:proofErr w:type="spellStart"/>
      <w:r w:rsidR="00492340" w:rsidRPr="00BB5131">
        <w:rPr>
          <w:rFonts w:cs="Arial"/>
          <w:sz w:val="20"/>
          <w:szCs w:val="20"/>
        </w:rPr>
        <w:t>Choréachi</w:t>
      </w:r>
      <w:proofErr w:type="spellEnd"/>
      <w:r w:rsidR="00492340" w:rsidRPr="00BB5131">
        <w:rPr>
          <w:rFonts w:cs="Arial"/>
          <w:sz w:val="20"/>
          <w:szCs w:val="20"/>
        </w:rPr>
        <w:t xml:space="preserve"> se </w:t>
      </w:r>
      <w:r w:rsidR="00991552" w:rsidRPr="00BB5131">
        <w:rPr>
          <w:rFonts w:cs="Arial"/>
          <w:sz w:val="20"/>
          <w:szCs w:val="20"/>
        </w:rPr>
        <w:t>[</w:t>
      </w:r>
      <w:r w:rsidR="00492340" w:rsidRPr="00BB5131">
        <w:rPr>
          <w:rFonts w:cs="Arial"/>
          <w:sz w:val="20"/>
          <w:szCs w:val="20"/>
        </w:rPr>
        <w:t>terminaría</w:t>
      </w:r>
      <w:r w:rsidR="00991552" w:rsidRPr="00BB5131">
        <w:rPr>
          <w:rFonts w:cs="Arial"/>
          <w:sz w:val="20"/>
          <w:szCs w:val="20"/>
        </w:rPr>
        <w:t>]</w:t>
      </w:r>
      <w:r w:rsidR="00492340" w:rsidRPr="00BB5131">
        <w:rPr>
          <w:rFonts w:cs="Arial"/>
          <w:sz w:val="20"/>
          <w:szCs w:val="20"/>
        </w:rPr>
        <w:t xml:space="preserve"> muy pronto</w:t>
      </w:r>
      <w:r w:rsidR="000B2BEE" w:rsidRPr="00BB5131">
        <w:rPr>
          <w:rFonts w:cs="Arial"/>
          <w:sz w:val="20"/>
          <w:szCs w:val="20"/>
        </w:rPr>
        <w:t>’</w:t>
      </w:r>
      <w:r w:rsidR="00492340" w:rsidRPr="00BB5131">
        <w:rPr>
          <w:rFonts w:cs="Arial"/>
          <w:sz w:val="20"/>
          <w:szCs w:val="20"/>
        </w:rPr>
        <w:t>”</w:t>
      </w:r>
      <w:r w:rsidR="00F52F76" w:rsidRPr="00BB5131">
        <w:rPr>
          <w:rFonts w:cs="Arial"/>
          <w:sz w:val="20"/>
          <w:szCs w:val="20"/>
        </w:rPr>
        <w:t>;</w:t>
      </w:r>
    </w:p>
    <w:p w14:paraId="42683899" w14:textId="3BCE1732" w:rsidR="00F52F76" w:rsidRPr="00BB5131" w:rsidRDefault="00D70DD4" w:rsidP="00F52F76">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F52F76" w:rsidRPr="00BB5131">
        <w:rPr>
          <w:rFonts w:cs="Arial"/>
          <w:sz w:val="20"/>
          <w:szCs w:val="20"/>
        </w:rPr>
        <w:t xml:space="preserve">el </w:t>
      </w:r>
      <w:r w:rsidR="00F52F76" w:rsidRPr="00BB5131">
        <w:rPr>
          <w:sz w:val="20"/>
        </w:rPr>
        <w:t>29 de enero de 2017</w:t>
      </w:r>
      <w:r w:rsidRPr="00BB5131">
        <w:rPr>
          <w:rFonts w:cs="Arial"/>
          <w:sz w:val="20"/>
          <w:szCs w:val="20"/>
        </w:rPr>
        <w:t xml:space="preserve">, </w:t>
      </w:r>
      <w:r w:rsidR="00F52F76" w:rsidRPr="00BB5131">
        <w:rPr>
          <w:rFonts w:cs="Arial"/>
          <w:sz w:val="20"/>
          <w:szCs w:val="20"/>
        </w:rPr>
        <w:t xml:space="preserve">un grupo de hombres encapuchados y armados habrían llegado a la tienda propiedad </w:t>
      </w:r>
      <w:r w:rsidR="00F52F76" w:rsidRPr="00BB5131">
        <w:rPr>
          <w:sz w:val="20"/>
        </w:rPr>
        <w:t>de la beneficiaria Ángela Ayala</w:t>
      </w:r>
      <w:r w:rsidRPr="00BB5131">
        <w:rPr>
          <w:sz w:val="20"/>
        </w:rPr>
        <w:t xml:space="preserve"> […]</w:t>
      </w:r>
      <w:r w:rsidR="00F52F76" w:rsidRPr="00BB5131">
        <w:rPr>
          <w:sz w:val="20"/>
        </w:rPr>
        <w:t xml:space="preserve"> </w:t>
      </w:r>
      <w:proofErr w:type="gramStart"/>
      <w:r w:rsidRPr="00BB5131">
        <w:rPr>
          <w:sz w:val="20"/>
        </w:rPr>
        <w:t>‘</w:t>
      </w:r>
      <w:r w:rsidR="00F52F76" w:rsidRPr="00BB5131">
        <w:rPr>
          <w:sz w:val="20"/>
        </w:rPr>
        <w:t>pregunta</w:t>
      </w:r>
      <w:r w:rsidRPr="00BB5131">
        <w:rPr>
          <w:sz w:val="20"/>
        </w:rPr>
        <w:t>[</w:t>
      </w:r>
      <w:proofErr w:type="spellStart"/>
      <w:proofErr w:type="gramEnd"/>
      <w:r w:rsidR="00F52F76" w:rsidRPr="00BB5131">
        <w:rPr>
          <w:sz w:val="20"/>
        </w:rPr>
        <w:t>ndo</w:t>
      </w:r>
      <w:proofErr w:type="spellEnd"/>
      <w:r w:rsidRPr="00BB5131">
        <w:rPr>
          <w:sz w:val="20"/>
        </w:rPr>
        <w:t xml:space="preserve"> a su hermana]</w:t>
      </w:r>
      <w:r w:rsidR="00F52F76" w:rsidRPr="00BB5131">
        <w:rPr>
          <w:sz w:val="20"/>
        </w:rPr>
        <w:t xml:space="preserve"> </w:t>
      </w:r>
      <w:r w:rsidRPr="00BB5131">
        <w:rPr>
          <w:sz w:val="20"/>
        </w:rPr>
        <w:t>dónde estaba viviendo Ángela. Maura les dijo que no sabía, pero las personas insistían y le decían que se iban a quedar a dormir ahí’. La señora Maura habría logrado escapar en un descuido de los supuestos agresores y no pudo regresar esa noche a su casa. Según el relato de la señora Maura, al día siguiente regresó a la casa ‘y se percató de que los hombres encapuchados estaban rondando la casa’”</w:t>
      </w:r>
      <w:r w:rsidR="00F52F76" w:rsidRPr="00BB5131">
        <w:rPr>
          <w:sz w:val="20"/>
        </w:rPr>
        <w:t>;</w:t>
      </w:r>
    </w:p>
    <w:p w14:paraId="33502498" w14:textId="115EB67A" w:rsidR="00F52F76" w:rsidRPr="00BB5131" w:rsidRDefault="00DA72E2" w:rsidP="00F52F76">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F52F76" w:rsidRPr="00BB5131">
        <w:rPr>
          <w:rFonts w:cs="Arial"/>
          <w:sz w:val="20"/>
          <w:szCs w:val="20"/>
        </w:rPr>
        <w:t>e</w:t>
      </w:r>
      <w:r w:rsidRPr="00BB5131">
        <w:rPr>
          <w:rFonts w:cs="Arial"/>
          <w:sz w:val="20"/>
          <w:szCs w:val="20"/>
        </w:rPr>
        <w:t>]</w:t>
      </w:r>
      <w:r w:rsidR="00F52F76" w:rsidRPr="00BB5131">
        <w:rPr>
          <w:rFonts w:cs="Arial"/>
          <w:sz w:val="20"/>
          <w:szCs w:val="20"/>
        </w:rPr>
        <w:t xml:space="preserve">l </w:t>
      </w:r>
      <w:r w:rsidRPr="00BB5131">
        <w:rPr>
          <w:rFonts w:cs="Arial"/>
          <w:sz w:val="20"/>
          <w:szCs w:val="20"/>
        </w:rPr>
        <w:t>[</w:t>
      </w:r>
      <w:r w:rsidR="00F52F76" w:rsidRPr="00BB5131">
        <w:rPr>
          <w:sz w:val="20"/>
        </w:rPr>
        <w:t>3</w:t>
      </w:r>
      <w:r w:rsidRPr="00BB5131">
        <w:rPr>
          <w:sz w:val="20"/>
        </w:rPr>
        <w:t>]</w:t>
      </w:r>
      <w:r w:rsidR="00F52F76" w:rsidRPr="00BB5131">
        <w:rPr>
          <w:sz w:val="20"/>
        </w:rPr>
        <w:t>1 de enero de 2017</w:t>
      </w:r>
      <w:r w:rsidR="00F52F76" w:rsidRPr="00BB5131">
        <w:rPr>
          <w:rFonts w:cs="Arial"/>
          <w:sz w:val="20"/>
          <w:szCs w:val="20"/>
        </w:rPr>
        <w:t xml:space="preserve"> </w:t>
      </w:r>
      <w:r w:rsidRPr="00BB5131">
        <w:rPr>
          <w:rFonts w:cs="Arial"/>
          <w:sz w:val="20"/>
          <w:szCs w:val="20"/>
        </w:rPr>
        <w:t xml:space="preserve">[…] </w:t>
      </w:r>
      <w:r w:rsidR="00F52F76" w:rsidRPr="00BB5131">
        <w:rPr>
          <w:rFonts w:cs="Arial"/>
          <w:sz w:val="20"/>
          <w:szCs w:val="20"/>
        </w:rPr>
        <w:t>autoridades tradicionales de la comunidad denunciaron a</w:t>
      </w:r>
      <w:r w:rsidR="00EC7396" w:rsidRPr="00BB5131">
        <w:rPr>
          <w:rFonts w:cs="Arial"/>
          <w:sz w:val="20"/>
          <w:szCs w:val="20"/>
        </w:rPr>
        <w:t>[</w:t>
      </w:r>
      <w:proofErr w:type="spellStart"/>
      <w:r w:rsidR="00EC7396" w:rsidRPr="00BB5131">
        <w:rPr>
          <w:rFonts w:cs="Arial"/>
          <w:sz w:val="20"/>
          <w:szCs w:val="20"/>
        </w:rPr>
        <w:t>nte</w:t>
      </w:r>
      <w:proofErr w:type="spellEnd"/>
      <w:r w:rsidR="00EC7396" w:rsidRPr="00BB5131">
        <w:rPr>
          <w:rFonts w:cs="Arial"/>
          <w:sz w:val="20"/>
          <w:szCs w:val="20"/>
        </w:rPr>
        <w:t>]</w:t>
      </w:r>
      <w:r w:rsidR="00F52F76" w:rsidRPr="00BB5131">
        <w:rPr>
          <w:rFonts w:cs="Arial"/>
          <w:sz w:val="20"/>
          <w:szCs w:val="20"/>
        </w:rPr>
        <w:t xml:space="preserve"> la organización ASMAC que algo había sucedido con Juan Ontiveros (comisario de policía de la comunidad) y su hermano Isidro Ontiveros Ramos ‘porque habían escuchado balazos por donde andaban ellos’”, y </w:t>
      </w:r>
    </w:p>
    <w:p w14:paraId="24989AFC" w14:textId="19790191" w:rsidR="00F52F76" w:rsidRPr="00BB5131" w:rsidRDefault="00DA72E2" w:rsidP="00DA72E2">
      <w:pPr>
        <w:pStyle w:val="Prrafodelista1"/>
        <w:numPr>
          <w:ilvl w:val="1"/>
          <w:numId w:val="5"/>
        </w:numPr>
        <w:tabs>
          <w:tab w:val="clear" w:pos="1440"/>
        </w:tabs>
        <w:spacing w:before="120" w:after="120"/>
        <w:ind w:left="567"/>
        <w:contextualSpacing w:val="0"/>
        <w:jc w:val="both"/>
        <w:rPr>
          <w:rFonts w:cs="Arial"/>
          <w:sz w:val="20"/>
          <w:szCs w:val="20"/>
        </w:rPr>
      </w:pPr>
      <w:r w:rsidRPr="00BB5131">
        <w:rPr>
          <w:rFonts w:cs="Arial"/>
          <w:sz w:val="20"/>
          <w:szCs w:val="20"/>
        </w:rPr>
        <w:t>“[</w:t>
      </w:r>
      <w:r w:rsidR="00F52F76" w:rsidRPr="00BB5131">
        <w:rPr>
          <w:rFonts w:cs="Arial"/>
          <w:sz w:val="20"/>
          <w:szCs w:val="20"/>
        </w:rPr>
        <w:t>e</w:t>
      </w:r>
      <w:r w:rsidRPr="00BB5131">
        <w:rPr>
          <w:rFonts w:cs="Arial"/>
          <w:sz w:val="20"/>
          <w:szCs w:val="20"/>
        </w:rPr>
        <w:t>]</w:t>
      </w:r>
      <w:r w:rsidR="00F52F76" w:rsidRPr="00BB5131">
        <w:rPr>
          <w:rFonts w:cs="Arial"/>
          <w:sz w:val="20"/>
          <w:szCs w:val="20"/>
        </w:rPr>
        <w:t xml:space="preserve">l </w:t>
      </w:r>
      <w:r w:rsidR="00F52F76" w:rsidRPr="00BB5131">
        <w:rPr>
          <w:sz w:val="20"/>
        </w:rPr>
        <w:t xml:space="preserve">1 de febrero de </w:t>
      </w:r>
      <w:proofErr w:type="gramStart"/>
      <w:r w:rsidR="00F52F76" w:rsidRPr="00BB5131">
        <w:rPr>
          <w:sz w:val="20"/>
        </w:rPr>
        <w:t xml:space="preserve">2017 </w:t>
      </w:r>
      <w:r w:rsidRPr="00BB5131">
        <w:rPr>
          <w:sz w:val="20"/>
        </w:rPr>
        <w:t>,</w:t>
      </w:r>
      <w:proofErr w:type="gramEnd"/>
      <w:r w:rsidRPr="00BB5131">
        <w:rPr>
          <w:sz w:val="20"/>
        </w:rPr>
        <w:t xml:space="preserve"> la organización ASMAC fue informada que el cuerpo sin vida de Juan Ontiveros había sido encontrado cerca de una pista de aterrizaje clandestina que exista en la comunidad. La información recibida indica que el cuerpo presentaba </w:t>
      </w:r>
      <w:r w:rsidRPr="00BB5131">
        <w:rPr>
          <w:sz w:val="20"/>
          <w:szCs w:val="20"/>
        </w:rPr>
        <w:t xml:space="preserve">heridas de arma de fuego. Respecto de estos hechos, la hermana de la señora Ángela Ayala le informó que ese día había ido a su tienda un [sujeto, familiar de un supuesto responsable de uno de los asesinatos cometidos en el 2013] y relató que ‘[…] al salir de la tienda […] vio que iba acompañado de tres encapuchados y […] se percató que se encontraron con [un miembro de la comunidad] quien iba a bordo de una </w:t>
      </w:r>
      <w:proofErr w:type="spellStart"/>
      <w:r w:rsidRPr="00BB5131">
        <w:rPr>
          <w:sz w:val="20"/>
          <w:szCs w:val="20"/>
        </w:rPr>
        <w:t>cuatrimoto</w:t>
      </w:r>
      <w:proofErr w:type="spellEnd"/>
      <w:r w:rsidRPr="00BB5131">
        <w:rPr>
          <w:sz w:val="20"/>
          <w:szCs w:val="20"/>
        </w:rPr>
        <w:t xml:space="preserve"> y que se fueron los cinco juntos rumbo a la pista clandestina. [Asimismo relató que] por el mismo camino rumbo a la pista en sentido contrario venían en una camioneta Juan e Isidro Ontiveros y [la señora] Maura ya no supo más”.</w:t>
      </w:r>
    </w:p>
    <w:p w14:paraId="0D7E7F21" w14:textId="30C8AC1D" w:rsidR="00D46A61" w:rsidRPr="00BB5131" w:rsidRDefault="00C12D9D" w:rsidP="00D46A61">
      <w:pPr>
        <w:pStyle w:val="Prrafodelista1"/>
        <w:numPr>
          <w:ilvl w:val="0"/>
          <w:numId w:val="1"/>
        </w:numPr>
        <w:tabs>
          <w:tab w:val="num" w:pos="0"/>
        </w:tabs>
        <w:spacing w:before="120" w:after="120"/>
        <w:ind w:left="0" w:firstLine="0"/>
        <w:contextualSpacing w:val="0"/>
        <w:jc w:val="both"/>
        <w:rPr>
          <w:rFonts w:cs="Arial"/>
          <w:sz w:val="20"/>
          <w:szCs w:val="20"/>
          <w:lang w:val="es-ES_tradnl"/>
        </w:rPr>
      </w:pPr>
      <w:r w:rsidRPr="00BB5131">
        <w:rPr>
          <w:rFonts w:cs="Arial"/>
          <w:sz w:val="20"/>
          <w:szCs w:val="20"/>
          <w:lang w:val="es-ES_tradnl"/>
        </w:rPr>
        <w:t>La Comisión indicó que e</w:t>
      </w:r>
      <w:r w:rsidR="00D46A61" w:rsidRPr="00BB5131">
        <w:rPr>
          <w:rFonts w:cs="Arial"/>
          <w:sz w:val="20"/>
          <w:szCs w:val="20"/>
          <w:lang w:val="es-ES_tradnl"/>
        </w:rPr>
        <w:t xml:space="preserve">l 1 de febrero de 2017 los representantes sostuvieron que existía “una extrema situación de riesgo de las personas beneficiarias y la continuidad en los hechos de amenazas, hostigamientos y otros hechos de violencia ocurridos en la región por la presencia de actores del crimen organizado, los conflictos del territorio y otros factores generadores de la situación de violencia denunciada”. Adicionalmente, “destacaron la falta de medidas de protección adecuadas por parte del Estado pese al tiempo de vigencia de las medidas cautelares” y expresaron a la Comisión </w:t>
      </w:r>
      <w:r w:rsidR="0055711F" w:rsidRPr="00BB5131">
        <w:rPr>
          <w:rFonts w:cs="Arial"/>
          <w:sz w:val="20"/>
          <w:szCs w:val="20"/>
          <w:lang w:val="es-ES_tradnl"/>
        </w:rPr>
        <w:t>“</w:t>
      </w:r>
      <w:r w:rsidR="00D46A61" w:rsidRPr="00BB5131">
        <w:rPr>
          <w:rFonts w:cs="Arial"/>
          <w:sz w:val="20"/>
          <w:szCs w:val="20"/>
          <w:lang w:val="es-ES_tradnl"/>
        </w:rPr>
        <w:t xml:space="preserve">la necesidad </w:t>
      </w:r>
      <w:r w:rsidR="0055711F" w:rsidRPr="00BB5131">
        <w:rPr>
          <w:rFonts w:cs="Arial"/>
          <w:sz w:val="20"/>
          <w:szCs w:val="20"/>
          <w:lang w:val="es-ES_tradnl"/>
        </w:rPr>
        <w:t>[</w:t>
      </w:r>
      <w:r w:rsidR="00D46A61" w:rsidRPr="00BB5131">
        <w:rPr>
          <w:rFonts w:cs="Arial"/>
          <w:sz w:val="20"/>
          <w:szCs w:val="20"/>
          <w:lang w:val="es-ES_tradnl"/>
        </w:rPr>
        <w:t>d</w:t>
      </w:r>
      <w:r w:rsidR="0055711F" w:rsidRPr="00BB5131">
        <w:rPr>
          <w:rFonts w:cs="Arial"/>
          <w:sz w:val="20"/>
          <w:szCs w:val="20"/>
          <w:lang w:val="es-ES_tradnl"/>
        </w:rPr>
        <w:t>]</w:t>
      </w:r>
      <w:r w:rsidR="00D46A61" w:rsidRPr="00BB5131">
        <w:rPr>
          <w:rFonts w:cs="Arial"/>
          <w:sz w:val="20"/>
          <w:szCs w:val="20"/>
          <w:lang w:val="es-ES_tradnl"/>
        </w:rPr>
        <w:t xml:space="preserve">e que </w:t>
      </w:r>
      <w:r w:rsidR="0055711F" w:rsidRPr="00BB5131">
        <w:rPr>
          <w:rFonts w:cs="Arial"/>
          <w:sz w:val="20"/>
          <w:szCs w:val="20"/>
          <w:lang w:val="es-ES_tradnl"/>
        </w:rPr>
        <w:t xml:space="preserve">se </w:t>
      </w:r>
      <w:proofErr w:type="spellStart"/>
      <w:proofErr w:type="gramStart"/>
      <w:r w:rsidR="0055711F" w:rsidRPr="00BB5131">
        <w:rPr>
          <w:rFonts w:cs="Arial"/>
          <w:sz w:val="20"/>
          <w:szCs w:val="20"/>
          <w:lang w:val="es-ES_tradnl"/>
        </w:rPr>
        <w:t>solicit</w:t>
      </w:r>
      <w:proofErr w:type="spellEnd"/>
      <w:r w:rsidR="0055711F" w:rsidRPr="00BB5131">
        <w:rPr>
          <w:rFonts w:cs="Arial"/>
          <w:sz w:val="20"/>
          <w:szCs w:val="20"/>
          <w:lang w:val="es-ES_tradnl"/>
        </w:rPr>
        <w:t>[</w:t>
      </w:r>
      <w:proofErr w:type="gramEnd"/>
      <w:r w:rsidR="0055711F" w:rsidRPr="00BB5131">
        <w:rPr>
          <w:rFonts w:cs="Arial"/>
          <w:sz w:val="20"/>
          <w:szCs w:val="20"/>
          <w:lang w:val="es-ES_tradnl"/>
        </w:rPr>
        <w:t>aran]</w:t>
      </w:r>
      <w:r w:rsidR="00D46A61" w:rsidRPr="00BB5131">
        <w:rPr>
          <w:rFonts w:cs="Arial"/>
          <w:sz w:val="20"/>
          <w:szCs w:val="20"/>
          <w:lang w:val="es-ES_tradnl"/>
        </w:rPr>
        <w:t xml:space="preserve"> medidas provisionales a la Corte Interamericana</w:t>
      </w:r>
      <w:r w:rsidR="0055711F" w:rsidRPr="00BB5131">
        <w:rPr>
          <w:rFonts w:cs="Arial"/>
          <w:sz w:val="20"/>
          <w:szCs w:val="20"/>
          <w:lang w:val="es-ES_tradnl"/>
        </w:rPr>
        <w:t>”</w:t>
      </w:r>
      <w:r w:rsidR="00D46A61" w:rsidRPr="00BB5131">
        <w:rPr>
          <w:rFonts w:cs="Arial"/>
          <w:sz w:val="20"/>
          <w:szCs w:val="20"/>
          <w:lang w:val="es-ES_tradnl"/>
        </w:rPr>
        <w:t>.</w:t>
      </w:r>
    </w:p>
    <w:p w14:paraId="48DFD6B3" w14:textId="26EC0153" w:rsidR="00F52F76" w:rsidRPr="00BB5131" w:rsidRDefault="00F52F76" w:rsidP="00F52F76">
      <w:pPr>
        <w:pStyle w:val="Prrafodelista1"/>
        <w:numPr>
          <w:ilvl w:val="0"/>
          <w:numId w:val="1"/>
        </w:numPr>
        <w:tabs>
          <w:tab w:val="num" w:pos="0"/>
        </w:tabs>
        <w:spacing w:before="120" w:after="120"/>
        <w:ind w:left="0" w:firstLine="0"/>
        <w:contextualSpacing w:val="0"/>
        <w:jc w:val="both"/>
        <w:rPr>
          <w:color w:val="FF0000"/>
          <w:sz w:val="20"/>
          <w:szCs w:val="20"/>
        </w:rPr>
      </w:pPr>
      <w:r w:rsidRPr="00BB5131">
        <w:rPr>
          <w:sz w:val="20"/>
          <w:szCs w:val="20"/>
        </w:rPr>
        <w:t xml:space="preserve">Según la Comisión, </w:t>
      </w:r>
      <w:r w:rsidR="0055711F" w:rsidRPr="00BB5131">
        <w:rPr>
          <w:sz w:val="20"/>
          <w:szCs w:val="20"/>
        </w:rPr>
        <w:t>“si bien el Estado mexicano ha respondido formalmente a las medidas cautelares y reiterado su disposición de dar cumplimiento a las mismas, la información aportada en el marco de dicho trámite refleja que pese al tiempo transcurrido, no se han adoptado medidas adecuadas y efectivas para atender la situación de seguridad de la comunidad, las cuales deben ser adoptadas de manera urgente y con un enfoque diferenciado que atienda las necesidades particulares de las personas beneficiarias”</w:t>
      </w:r>
      <w:r w:rsidRPr="00BB5131">
        <w:rPr>
          <w:sz w:val="20"/>
          <w:szCs w:val="20"/>
        </w:rPr>
        <w:t>.</w:t>
      </w:r>
      <w:r w:rsidR="00B777DD" w:rsidRPr="00BB5131">
        <w:rPr>
          <w:sz w:val="20"/>
          <w:szCs w:val="20"/>
        </w:rPr>
        <w:t xml:space="preserve"> </w:t>
      </w:r>
      <w:r w:rsidRPr="00BB5131">
        <w:rPr>
          <w:sz w:val="20"/>
          <w:szCs w:val="20"/>
        </w:rPr>
        <w:t>De acuerdo a lo anterior, la Comisión “</w:t>
      </w:r>
      <w:proofErr w:type="spellStart"/>
      <w:r w:rsidRPr="00BB5131">
        <w:rPr>
          <w:sz w:val="20"/>
          <w:szCs w:val="20"/>
        </w:rPr>
        <w:t>solicit</w:t>
      </w:r>
      <w:proofErr w:type="spellEnd"/>
      <w:r w:rsidRPr="00BB5131">
        <w:rPr>
          <w:sz w:val="20"/>
          <w:szCs w:val="20"/>
        </w:rPr>
        <w:t>[</w:t>
      </w:r>
      <w:proofErr w:type="spellStart"/>
      <w:r w:rsidRPr="00BB5131">
        <w:rPr>
          <w:sz w:val="20"/>
          <w:szCs w:val="20"/>
        </w:rPr>
        <w:t>ó</w:t>
      </w:r>
      <w:proofErr w:type="spellEnd"/>
      <w:r w:rsidRPr="00BB5131">
        <w:rPr>
          <w:sz w:val="20"/>
          <w:szCs w:val="20"/>
        </w:rPr>
        <w:t xml:space="preserve">] a la Corte que ordene al Estado mexicano que implemente medidas de protección en favor </w:t>
      </w:r>
      <w:r w:rsidR="000811B9" w:rsidRPr="00BB5131">
        <w:rPr>
          <w:sz w:val="20"/>
          <w:szCs w:val="20"/>
        </w:rPr>
        <w:t xml:space="preserve">[de] </w:t>
      </w:r>
      <w:r w:rsidRPr="00BB5131">
        <w:rPr>
          <w:sz w:val="20"/>
          <w:szCs w:val="20"/>
        </w:rPr>
        <w:t xml:space="preserve">los/as integrantes de la comunidad indígena de </w:t>
      </w:r>
      <w:proofErr w:type="spellStart"/>
      <w:r w:rsidRPr="00BB5131">
        <w:rPr>
          <w:sz w:val="20"/>
          <w:szCs w:val="20"/>
        </w:rPr>
        <w:t>Choréachi</w:t>
      </w:r>
      <w:proofErr w:type="spellEnd"/>
      <w:r w:rsidRPr="00BB5131">
        <w:rPr>
          <w:sz w:val="20"/>
          <w:szCs w:val="20"/>
        </w:rPr>
        <w:t xml:space="preserve">”. </w:t>
      </w:r>
    </w:p>
    <w:p w14:paraId="4E3C7654" w14:textId="1A55E400" w:rsidR="005C2699" w:rsidRPr="00BB5131" w:rsidRDefault="002F6959" w:rsidP="00EC5BAE">
      <w:pPr>
        <w:pStyle w:val="Prrafodelista1"/>
        <w:numPr>
          <w:ilvl w:val="0"/>
          <w:numId w:val="1"/>
        </w:numPr>
        <w:tabs>
          <w:tab w:val="num" w:pos="0"/>
        </w:tabs>
        <w:spacing w:before="120" w:after="120"/>
        <w:ind w:left="0" w:firstLine="0"/>
        <w:contextualSpacing w:val="0"/>
        <w:jc w:val="both"/>
        <w:rPr>
          <w:sz w:val="20"/>
          <w:szCs w:val="20"/>
        </w:rPr>
      </w:pPr>
      <w:r w:rsidRPr="00BB5131">
        <w:rPr>
          <w:sz w:val="20"/>
          <w:szCs w:val="20"/>
        </w:rPr>
        <w:t>E</w:t>
      </w:r>
      <w:r w:rsidR="006216F9" w:rsidRPr="00BB5131">
        <w:rPr>
          <w:sz w:val="20"/>
          <w:szCs w:val="20"/>
        </w:rPr>
        <w:t xml:space="preserve">l Estado </w:t>
      </w:r>
      <w:r w:rsidR="00940721" w:rsidRPr="00BB5131">
        <w:rPr>
          <w:sz w:val="20"/>
          <w:szCs w:val="20"/>
        </w:rPr>
        <w:t>indicó</w:t>
      </w:r>
      <w:r w:rsidR="008A2F2C" w:rsidRPr="00BB5131">
        <w:rPr>
          <w:sz w:val="20"/>
          <w:szCs w:val="20"/>
        </w:rPr>
        <w:t xml:space="preserve"> </w:t>
      </w:r>
      <w:r w:rsidR="00940721" w:rsidRPr="00BB5131">
        <w:rPr>
          <w:sz w:val="20"/>
          <w:szCs w:val="20"/>
        </w:rPr>
        <w:t xml:space="preserve">a) </w:t>
      </w:r>
      <w:r w:rsidR="008A2F2C" w:rsidRPr="00BB5131">
        <w:rPr>
          <w:sz w:val="20"/>
          <w:szCs w:val="20"/>
        </w:rPr>
        <w:t>que “</w:t>
      </w:r>
      <w:r w:rsidR="00940721" w:rsidRPr="00BB5131">
        <w:rPr>
          <w:sz w:val="20"/>
          <w:szCs w:val="20"/>
        </w:rPr>
        <w:t xml:space="preserve">las medidas </w:t>
      </w:r>
      <w:r w:rsidR="008A2F2C" w:rsidRPr="00BB5131">
        <w:rPr>
          <w:sz w:val="20"/>
          <w:szCs w:val="20"/>
        </w:rPr>
        <w:t>[</w:t>
      </w:r>
      <w:r w:rsidR="00940721" w:rsidRPr="00BB5131">
        <w:rPr>
          <w:sz w:val="20"/>
          <w:szCs w:val="20"/>
        </w:rPr>
        <w:t xml:space="preserve">que </w:t>
      </w:r>
      <w:r w:rsidR="008A2F2C" w:rsidRPr="00BB5131">
        <w:rPr>
          <w:sz w:val="20"/>
          <w:szCs w:val="20"/>
        </w:rPr>
        <w:t>ha</w:t>
      </w:r>
      <w:r w:rsidR="00940721" w:rsidRPr="00BB5131">
        <w:rPr>
          <w:sz w:val="20"/>
          <w:szCs w:val="20"/>
        </w:rPr>
        <w:t xml:space="preserve"> implementado</w:t>
      </w:r>
      <w:r w:rsidR="008A2F2C" w:rsidRPr="00BB5131">
        <w:rPr>
          <w:sz w:val="20"/>
          <w:szCs w:val="20"/>
        </w:rPr>
        <w:t>]</w:t>
      </w:r>
      <w:r w:rsidR="00940721" w:rsidRPr="00BB5131">
        <w:rPr>
          <w:sz w:val="20"/>
          <w:szCs w:val="20"/>
        </w:rPr>
        <w:t xml:space="preserve"> ha</w:t>
      </w:r>
      <w:r w:rsidR="008A2F2C" w:rsidRPr="00BB5131">
        <w:rPr>
          <w:sz w:val="20"/>
          <w:szCs w:val="20"/>
        </w:rPr>
        <w:t>n</w:t>
      </w:r>
      <w:r w:rsidR="00940721" w:rsidRPr="00BB5131">
        <w:rPr>
          <w:sz w:val="20"/>
          <w:szCs w:val="20"/>
        </w:rPr>
        <w:t xml:space="preserve"> sido eficaces</w:t>
      </w:r>
      <w:r w:rsidR="008A2F2C" w:rsidRPr="00BB5131">
        <w:rPr>
          <w:sz w:val="20"/>
          <w:szCs w:val="20"/>
        </w:rPr>
        <w:t>”</w:t>
      </w:r>
      <w:r w:rsidR="00940721" w:rsidRPr="00BB5131">
        <w:rPr>
          <w:sz w:val="20"/>
          <w:szCs w:val="20"/>
        </w:rPr>
        <w:t xml:space="preserve">, y b) </w:t>
      </w:r>
      <w:r w:rsidR="008A2F2C" w:rsidRPr="00BB5131">
        <w:rPr>
          <w:sz w:val="20"/>
          <w:szCs w:val="20"/>
        </w:rPr>
        <w:t>que “</w:t>
      </w:r>
      <w:r w:rsidR="00940721" w:rsidRPr="00BB5131">
        <w:rPr>
          <w:sz w:val="20"/>
          <w:szCs w:val="20"/>
        </w:rPr>
        <w:t>la solicitud de medidas provisionales por parte de la C</w:t>
      </w:r>
      <w:r w:rsidR="008A2F2C" w:rsidRPr="00BB5131">
        <w:rPr>
          <w:sz w:val="20"/>
          <w:szCs w:val="20"/>
        </w:rPr>
        <w:t>[</w:t>
      </w:r>
      <w:r w:rsidR="00940721" w:rsidRPr="00BB5131">
        <w:rPr>
          <w:sz w:val="20"/>
          <w:szCs w:val="20"/>
        </w:rPr>
        <w:t>omisión</w:t>
      </w:r>
      <w:r w:rsidR="008A2F2C" w:rsidRPr="00BB5131">
        <w:rPr>
          <w:sz w:val="20"/>
          <w:szCs w:val="20"/>
        </w:rPr>
        <w:t>]</w:t>
      </w:r>
      <w:r w:rsidR="00940721" w:rsidRPr="00BB5131">
        <w:rPr>
          <w:sz w:val="20"/>
          <w:szCs w:val="20"/>
        </w:rPr>
        <w:t xml:space="preserve"> es contraria a la naturaleza complementaria del sistema interamericano</w:t>
      </w:r>
      <w:r w:rsidR="008A2F2C" w:rsidRPr="00BB5131">
        <w:rPr>
          <w:sz w:val="20"/>
          <w:szCs w:val="20"/>
        </w:rPr>
        <w:t>”</w:t>
      </w:r>
      <w:r w:rsidR="00940721" w:rsidRPr="00BB5131">
        <w:rPr>
          <w:sz w:val="20"/>
          <w:szCs w:val="20"/>
        </w:rPr>
        <w:t xml:space="preserve">. Sobre el primer punto, </w:t>
      </w:r>
      <w:r w:rsidR="006216F9" w:rsidRPr="00BB5131">
        <w:rPr>
          <w:sz w:val="20"/>
          <w:szCs w:val="20"/>
        </w:rPr>
        <w:t xml:space="preserve">se refirió a </w:t>
      </w:r>
      <w:r w:rsidRPr="00BB5131">
        <w:rPr>
          <w:sz w:val="20"/>
          <w:szCs w:val="20"/>
        </w:rPr>
        <w:t xml:space="preserve">la adopción de </w:t>
      </w:r>
      <w:r w:rsidR="006216F9" w:rsidRPr="00BB5131">
        <w:rPr>
          <w:sz w:val="20"/>
          <w:szCs w:val="20"/>
        </w:rPr>
        <w:t xml:space="preserve">diversas medidas “desde diferentes niveles de gobierno, con impacto colectivo así como particular, y especializadas en cada temática (ya sea desde </w:t>
      </w:r>
      <w:r w:rsidR="006216F9" w:rsidRPr="00BB5131">
        <w:rPr>
          <w:sz w:val="20"/>
          <w:szCs w:val="20"/>
        </w:rPr>
        <w:lastRenderedPageBreak/>
        <w:t xml:space="preserve">el tema del conflicto agrario – ambiental, o en el tema de seguridad)”. Agregó, “en adición a las medidas individuales, y </w:t>
      </w:r>
      <w:proofErr w:type="gramStart"/>
      <w:r w:rsidR="006216F9" w:rsidRPr="00BB5131">
        <w:rPr>
          <w:sz w:val="20"/>
          <w:szCs w:val="20"/>
        </w:rPr>
        <w:t>colectivas</w:t>
      </w:r>
      <w:r w:rsidR="008A2F2C" w:rsidRPr="00BB5131">
        <w:rPr>
          <w:sz w:val="20"/>
          <w:szCs w:val="20"/>
        </w:rPr>
        <w:t>[</w:t>
      </w:r>
      <w:proofErr w:type="gramEnd"/>
      <w:r w:rsidR="008A2F2C" w:rsidRPr="00BB5131">
        <w:rPr>
          <w:sz w:val="20"/>
          <w:szCs w:val="20"/>
        </w:rPr>
        <w:t>, que ha</w:t>
      </w:r>
      <w:r w:rsidR="006216F9" w:rsidRPr="00BB5131">
        <w:rPr>
          <w:sz w:val="20"/>
          <w:szCs w:val="20"/>
        </w:rPr>
        <w:t>bía</w:t>
      </w:r>
      <w:r w:rsidR="008A2F2C" w:rsidRPr="00BB5131">
        <w:rPr>
          <w:sz w:val="20"/>
          <w:szCs w:val="20"/>
        </w:rPr>
        <w:t>]</w:t>
      </w:r>
      <w:r w:rsidR="003B262C" w:rsidRPr="00BB5131">
        <w:rPr>
          <w:sz w:val="20"/>
          <w:szCs w:val="20"/>
        </w:rPr>
        <w:t xml:space="preserve"> </w:t>
      </w:r>
      <w:r w:rsidR="006216F9" w:rsidRPr="00BB5131">
        <w:rPr>
          <w:sz w:val="20"/>
          <w:szCs w:val="20"/>
        </w:rPr>
        <w:t xml:space="preserve">llevado a cabo medidas que pretenden realizarse de manera estructural (como es el caso de las medidas </w:t>
      </w:r>
      <w:r w:rsidR="00EC7396" w:rsidRPr="00BB5131">
        <w:rPr>
          <w:sz w:val="20"/>
          <w:szCs w:val="20"/>
        </w:rPr>
        <w:t>[…]</w:t>
      </w:r>
      <w:r w:rsidR="006216F9" w:rsidRPr="00BB5131">
        <w:rPr>
          <w:sz w:val="20"/>
          <w:szCs w:val="20"/>
        </w:rPr>
        <w:t xml:space="preserve"> en el marco de la alerta decretada en Chihuahua por el Mecanismo de Defensores y Periodistas)</w:t>
      </w:r>
      <w:r w:rsidRPr="00BB5131">
        <w:rPr>
          <w:sz w:val="20"/>
          <w:szCs w:val="20"/>
        </w:rPr>
        <w:t>”</w:t>
      </w:r>
      <w:r w:rsidRPr="00BB5131">
        <w:rPr>
          <w:rStyle w:val="FootnoteReference"/>
          <w:sz w:val="20"/>
          <w:szCs w:val="20"/>
        </w:rPr>
        <w:footnoteReference w:id="6"/>
      </w:r>
      <w:r w:rsidRPr="00BB5131">
        <w:rPr>
          <w:sz w:val="20"/>
          <w:szCs w:val="20"/>
        </w:rPr>
        <w:t>.</w:t>
      </w:r>
      <w:r w:rsidR="007F2885" w:rsidRPr="00BB5131">
        <w:rPr>
          <w:sz w:val="20"/>
          <w:szCs w:val="20"/>
        </w:rPr>
        <w:t xml:space="preserve"> </w:t>
      </w:r>
      <w:r w:rsidR="0074468A" w:rsidRPr="00BB5131">
        <w:rPr>
          <w:sz w:val="20"/>
          <w:szCs w:val="20"/>
        </w:rPr>
        <w:t xml:space="preserve">Con respecto al segundo punto, </w:t>
      </w:r>
      <w:r w:rsidR="00EC5BAE" w:rsidRPr="00BB5131">
        <w:rPr>
          <w:sz w:val="20"/>
          <w:szCs w:val="20"/>
        </w:rPr>
        <w:t xml:space="preserve">arguyó, de acuerdo con lo establecido por la Corte, que </w:t>
      </w:r>
      <w:r w:rsidR="0074468A" w:rsidRPr="00BB5131">
        <w:rPr>
          <w:sz w:val="20"/>
          <w:szCs w:val="20"/>
        </w:rPr>
        <w:t xml:space="preserve">el carácter </w:t>
      </w:r>
      <w:proofErr w:type="spellStart"/>
      <w:r w:rsidR="0074468A" w:rsidRPr="00BB5131">
        <w:rPr>
          <w:sz w:val="20"/>
          <w:szCs w:val="20"/>
        </w:rPr>
        <w:t>coadyudante</w:t>
      </w:r>
      <w:proofErr w:type="spellEnd"/>
      <w:r w:rsidR="0074468A" w:rsidRPr="00BB5131">
        <w:rPr>
          <w:sz w:val="20"/>
          <w:szCs w:val="20"/>
        </w:rPr>
        <w:t xml:space="preserve"> del sistema interamericano </w:t>
      </w:r>
      <w:r w:rsidR="003B262C" w:rsidRPr="00BB5131">
        <w:rPr>
          <w:sz w:val="20"/>
          <w:szCs w:val="20"/>
        </w:rPr>
        <w:t>“</w:t>
      </w:r>
      <w:r w:rsidR="0074468A" w:rsidRPr="00BB5131">
        <w:rPr>
          <w:sz w:val="20"/>
          <w:szCs w:val="20"/>
        </w:rPr>
        <w:t>obliga</w:t>
      </w:r>
      <w:r w:rsidR="00EC5BAE" w:rsidRPr="00BB5131">
        <w:rPr>
          <w:sz w:val="20"/>
          <w:szCs w:val="20"/>
        </w:rPr>
        <w:t xml:space="preserve"> </w:t>
      </w:r>
      <w:r w:rsidR="0074468A" w:rsidRPr="00BB5131">
        <w:rPr>
          <w:sz w:val="20"/>
          <w:szCs w:val="20"/>
        </w:rPr>
        <w:t xml:space="preserve">a los órganos interamericanos </w:t>
      </w:r>
      <w:r w:rsidR="003B262C" w:rsidRPr="00BB5131">
        <w:rPr>
          <w:sz w:val="20"/>
          <w:szCs w:val="20"/>
        </w:rPr>
        <w:t>[</w:t>
      </w:r>
      <w:r w:rsidR="00EC7396" w:rsidRPr="00BB5131">
        <w:rPr>
          <w:sz w:val="20"/>
          <w:szCs w:val="20"/>
        </w:rPr>
        <w:t>a</w:t>
      </w:r>
      <w:r w:rsidR="003B262C" w:rsidRPr="00BB5131">
        <w:rPr>
          <w:sz w:val="20"/>
          <w:szCs w:val="20"/>
        </w:rPr>
        <w:t>]</w:t>
      </w:r>
      <w:r w:rsidR="00EC7396" w:rsidRPr="00BB5131">
        <w:rPr>
          <w:sz w:val="20"/>
          <w:szCs w:val="20"/>
        </w:rPr>
        <w:t xml:space="preserve"> </w:t>
      </w:r>
      <w:r w:rsidR="0074468A" w:rsidRPr="00BB5131">
        <w:rPr>
          <w:sz w:val="20"/>
          <w:szCs w:val="20"/>
        </w:rPr>
        <w:t>abstenerse de intervenir en dichos asuntos cuando los Estados actúen de conformidad con sus obligaciones de respeto y garantía de los derechos humanos</w:t>
      </w:r>
      <w:r w:rsidR="003B262C" w:rsidRPr="00BB5131">
        <w:rPr>
          <w:sz w:val="20"/>
          <w:szCs w:val="20"/>
        </w:rPr>
        <w:t xml:space="preserve">”. </w:t>
      </w:r>
      <w:r w:rsidR="00EC5BAE" w:rsidRPr="00BB5131">
        <w:rPr>
          <w:sz w:val="20"/>
          <w:szCs w:val="20"/>
        </w:rPr>
        <w:t>Consideró que</w:t>
      </w:r>
      <w:r w:rsidR="00EC7396" w:rsidRPr="00BB5131">
        <w:rPr>
          <w:sz w:val="20"/>
          <w:szCs w:val="20"/>
        </w:rPr>
        <w:t>,</w:t>
      </w:r>
      <w:r w:rsidR="00EC5BAE" w:rsidRPr="00BB5131">
        <w:rPr>
          <w:sz w:val="20"/>
          <w:szCs w:val="20"/>
        </w:rPr>
        <w:t xml:space="preserve"> en el presente asunto</w:t>
      </w:r>
      <w:r w:rsidR="00EC7396" w:rsidRPr="00BB5131">
        <w:rPr>
          <w:sz w:val="20"/>
          <w:szCs w:val="20"/>
        </w:rPr>
        <w:t>,</w:t>
      </w:r>
      <w:r w:rsidR="00EC5BAE" w:rsidRPr="00BB5131">
        <w:rPr>
          <w:sz w:val="20"/>
          <w:szCs w:val="20"/>
        </w:rPr>
        <w:t xml:space="preserve"> </w:t>
      </w:r>
      <w:r w:rsidR="003B262C" w:rsidRPr="00BB5131">
        <w:rPr>
          <w:sz w:val="20"/>
          <w:szCs w:val="20"/>
        </w:rPr>
        <w:t>“</w:t>
      </w:r>
      <w:r w:rsidR="00EC5BAE" w:rsidRPr="00BB5131">
        <w:rPr>
          <w:sz w:val="20"/>
          <w:szCs w:val="20"/>
        </w:rPr>
        <w:t>h</w:t>
      </w:r>
      <w:r w:rsidR="003B262C" w:rsidRPr="00BB5131">
        <w:rPr>
          <w:sz w:val="20"/>
          <w:szCs w:val="20"/>
        </w:rPr>
        <w:t>[</w:t>
      </w:r>
      <w:r w:rsidR="00EC5BAE" w:rsidRPr="00BB5131">
        <w:rPr>
          <w:sz w:val="20"/>
          <w:szCs w:val="20"/>
        </w:rPr>
        <w:t>a</w:t>
      </w:r>
      <w:r w:rsidR="003B262C" w:rsidRPr="00BB5131">
        <w:rPr>
          <w:sz w:val="20"/>
          <w:szCs w:val="20"/>
        </w:rPr>
        <w:t>]</w:t>
      </w:r>
      <w:r w:rsidR="00EC5BAE" w:rsidRPr="00BB5131">
        <w:rPr>
          <w:sz w:val="20"/>
          <w:szCs w:val="20"/>
        </w:rPr>
        <w:t xml:space="preserve"> implementado diversas medidas</w:t>
      </w:r>
      <w:r w:rsidR="003B262C" w:rsidRPr="00BB5131">
        <w:rPr>
          <w:sz w:val="20"/>
          <w:szCs w:val="20"/>
        </w:rPr>
        <w:t>”</w:t>
      </w:r>
      <w:r w:rsidR="00EC5BAE" w:rsidRPr="00BB5131">
        <w:rPr>
          <w:sz w:val="20"/>
          <w:szCs w:val="20"/>
        </w:rPr>
        <w:t xml:space="preserve"> sin que la existencia de riesgo implique que dichas medidas han sido ineficaces. </w:t>
      </w:r>
    </w:p>
    <w:p w14:paraId="0094648A" w14:textId="304344B1" w:rsidR="002F6959" w:rsidRPr="00BB5131" w:rsidRDefault="00EC5BAE" w:rsidP="00EC5BAE">
      <w:pPr>
        <w:pStyle w:val="Prrafodelista1"/>
        <w:numPr>
          <w:ilvl w:val="0"/>
          <w:numId w:val="1"/>
        </w:numPr>
        <w:tabs>
          <w:tab w:val="num" w:pos="0"/>
        </w:tabs>
        <w:spacing w:before="120" w:after="120"/>
        <w:ind w:left="0" w:firstLine="0"/>
        <w:contextualSpacing w:val="0"/>
        <w:jc w:val="both"/>
        <w:rPr>
          <w:sz w:val="20"/>
          <w:szCs w:val="20"/>
        </w:rPr>
      </w:pPr>
      <w:r w:rsidRPr="00BB5131">
        <w:rPr>
          <w:sz w:val="20"/>
          <w:szCs w:val="20"/>
        </w:rPr>
        <w:t xml:space="preserve">Por </w:t>
      </w:r>
      <w:r w:rsidR="005C2699" w:rsidRPr="00BB5131">
        <w:rPr>
          <w:sz w:val="20"/>
          <w:szCs w:val="20"/>
        </w:rPr>
        <w:t xml:space="preserve">último, el Estado </w:t>
      </w:r>
      <w:r w:rsidRPr="00BB5131">
        <w:rPr>
          <w:sz w:val="20"/>
          <w:szCs w:val="20"/>
        </w:rPr>
        <w:t xml:space="preserve">sostuvo que </w:t>
      </w:r>
      <w:r w:rsidR="003B262C" w:rsidRPr="00BB5131">
        <w:rPr>
          <w:sz w:val="20"/>
          <w:szCs w:val="20"/>
        </w:rPr>
        <w:t>“</w:t>
      </w:r>
      <w:r w:rsidRPr="00BB5131">
        <w:rPr>
          <w:sz w:val="20"/>
          <w:szCs w:val="20"/>
        </w:rPr>
        <w:t>la C</w:t>
      </w:r>
      <w:r w:rsidR="003B262C" w:rsidRPr="00BB5131">
        <w:rPr>
          <w:sz w:val="20"/>
          <w:szCs w:val="20"/>
        </w:rPr>
        <w:t>[</w:t>
      </w:r>
      <w:r w:rsidRPr="00BB5131">
        <w:rPr>
          <w:sz w:val="20"/>
          <w:szCs w:val="20"/>
        </w:rPr>
        <w:t>omisión</w:t>
      </w:r>
      <w:r w:rsidR="003B262C" w:rsidRPr="00BB5131">
        <w:rPr>
          <w:sz w:val="20"/>
          <w:szCs w:val="20"/>
        </w:rPr>
        <w:t>]</w:t>
      </w:r>
      <w:r w:rsidRPr="00BB5131">
        <w:rPr>
          <w:sz w:val="20"/>
          <w:szCs w:val="20"/>
        </w:rPr>
        <w:t xml:space="preserve"> pudo </w:t>
      </w:r>
      <w:r w:rsidR="003B262C" w:rsidRPr="00BB5131">
        <w:rPr>
          <w:sz w:val="20"/>
          <w:szCs w:val="20"/>
        </w:rPr>
        <w:t>[</w:t>
      </w:r>
      <w:r w:rsidR="005C2699" w:rsidRPr="00BB5131">
        <w:rPr>
          <w:sz w:val="20"/>
          <w:szCs w:val="20"/>
        </w:rPr>
        <w:t xml:space="preserve">haber </w:t>
      </w:r>
      <w:r w:rsidR="00F80D43" w:rsidRPr="00BB5131">
        <w:rPr>
          <w:sz w:val="20"/>
          <w:szCs w:val="20"/>
        </w:rPr>
        <w:t xml:space="preserve">requerido </w:t>
      </w:r>
      <w:r w:rsidR="005C2699" w:rsidRPr="00BB5131">
        <w:rPr>
          <w:sz w:val="20"/>
          <w:szCs w:val="20"/>
        </w:rPr>
        <w:t>sus</w:t>
      </w:r>
      <w:r w:rsidR="003B262C" w:rsidRPr="00BB5131">
        <w:rPr>
          <w:sz w:val="20"/>
          <w:szCs w:val="20"/>
        </w:rPr>
        <w:t>]</w:t>
      </w:r>
      <w:r w:rsidR="005C2699" w:rsidRPr="00BB5131">
        <w:rPr>
          <w:sz w:val="20"/>
          <w:szCs w:val="20"/>
        </w:rPr>
        <w:t xml:space="preserve"> </w:t>
      </w:r>
      <w:r w:rsidRPr="00BB5131">
        <w:rPr>
          <w:sz w:val="20"/>
          <w:szCs w:val="20"/>
        </w:rPr>
        <w:t>observaciones sobre la solicitud de medidas provisionales en este asunto</w:t>
      </w:r>
      <w:r w:rsidR="003B262C" w:rsidRPr="00BB5131">
        <w:rPr>
          <w:sz w:val="20"/>
          <w:szCs w:val="20"/>
        </w:rPr>
        <w:t>”</w:t>
      </w:r>
      <w:r w:rsidR="00F80D43" w:rsidRPr="00BB5131">
        <w:rPr>
          <w:sz w:val="20"/>
          <w:szCs w:val="20"/>
        </w:rPr>
        <w:t>. Además, indicó que</w:t>
      </w:r>
      <w:r w:rsidRPr="00BB5131">
        <w:rPr>
          <w:sz w:val="20"/>
          <w:szCs w:val="20"/>
        </w:rPr>
        <w:t>, como ha ocurrido en otros</w:t>
      </w:r>
      <w:r w:rsidR="005C2699" w:rsidRPr="00BB5131">
        <w:rPr>
          <w:sz w:val="20"/>
          <w:szCs w:val="20"/>
        </w:rPr>
        <w:t xml:space="preserve"> asuntos</w:t>
      </w:r>
      <w:r w:rsidR="00F80D43" w:rsidRPr="00BB5131">
        <w:rPr>
          <w:sz w:val="20"/>
          <w:szCs w:val="20"/>
        </w:rPr>
        <w:t xml:space="preserve">, </w:t>
      </w:r>
      <w:r w:rsidR="003B262C" w:rsidRPr="00BB5131">
        <w:rPr>
          <w:sz w:val="20"/>
          <w:szCs w:val="20"/>
        </w:rPr>
        <w:t>“</w:t>
      </w:r>
      <w:r w:rsidRPr="00BB5131">
        <w:rPr>
          <w:sz w:val="20"/>
          <w:szCs w:val="20"/>
        </w:rPr>
        <w:t>pudo haber convocado al Estado</w:t>
      </w:r>
      <w:r w:rsidR="003B262C" w:rsidRPr="00BB5131">
        <w:rPr>
          <w:sz w:val="20"/>
          <w:szCs w:val="20"/>
        </w:rPr>
        <w:t xml:space="preserve"> […]</w:t>
      </w:r>
      <w:r w:rsidRPr="00BB5131">
        <w:rPr>
          <w:sz w:val="20"/>
          <w:szCs w:val="20"/>
        </w:rPr>
        <w:t xml:space="preserve"> a reuniones de </w:t>
      </w:r>
      <w:proofErr w:type="gramStart"/>
      <w:r w:rsidRPr="00BB5131">
        <w:rPr>
          <w:sz w:val="20"/>
          <w:szCs w:val="20"/>
        </w:rPr>
        <w:t>trabajo</w:t>
      </w:r>
      <w:r w:rsidR="003B262C" w:rsidRPr="00BB5131">
        <w:rPr>
          <w:sz w:val="20"/>
          <w:szCs w:val="20"/>
        </w:rPr>
        <w:t>[</w:t>
      </w:r>
      <w:proofErr w:type="gramEnd"/>
      <w:r w:rsidR="00F80D43" w:rsidRPr="00BB5131">
        <w:rPr>
          <w:sz w:val="20"/>
          <w:szCs w:val="20"/>
        </w:rPr>
        <w:t>,</w:t>
      </w:r>
      <w:r w:rsidR="003B262C" w:rsidRPr="00BB5131">
        <w:rPr>
          <w:sz w:val="20"/>
          <w:szCs w:val="20"/>
        </w:rPr>
        <w:t>]</w:t>
      </w:r>
      <w:r w:rsidRPr="00BB5131">
        <w:rPr>
          <w:sz w:val="20"/>
          <w:szCs w:val="20"/>
        </w:rPr>
        <w:t xml:space="preserve"> y pudo correr traslado del documento de los representantes de fecha 1 de febrero de 2017</w:t>
      </w:r>
      <w:r w:rsidR="003B262C" w:rsidRPr="00BB5131">
        <w:rPr>
          <w:sz w:val="20"/>
          <w:szCs w:val="20"/>
        </w:rPr>
        <w:t>”</w:t>
      </w:r>
      <w:r w:rsidRPr="00BB5131">
        <w:rPr>
          <w:sz w:val="20"/>
          <w:szCs w:val="20"/>
        </w:rPr>
        <w:t xml:space="preserve">. En ese sentido, afirmó que se le había </w:t>
      </w:r>
      <w:r w:rsidR="003B262C" w:rsidRPr="00BB5131">
        <w:rPr>
          <w:sz w:val="20"/>
          <w:szCs w:val="20"/>
        </w:rPr>
        <w:t>“</w:t>
      </w:r>
      <w:proofErr w:type="spellStart"/>
      <w:proofErr w:type="gramStart"/>
      <w:r w:rsidRPr="00BB5131">
        <w:rPr>
          <w:sz w:val="20"/>
          <w:szCs w:val="20"/>
        </w:rPr>
        <w:t>neg</w:t>
      </w:r>
      <w:proofErr w:type="spellEnd"/>
      <w:r w:rsidR="003B262C" w:rsidRPr="00BB5131">
        <w:rPr>
          <w:sz w:val="20"/>
          <w:szCs w:val="20"/>
        </w:rPr>
        <w:t>[</w:t>
      </w:r>
      <w:proofErr w:type="spellStart"/>
      <w:proofErr w:type="gramEnd"/>
      <w:r w:rsidRPr="00BB5131">
        <w:rPr>
          <w:sz w:val="20"/>
          <w:szCs w:val="20"/>
        </w:rPr>
        <w:t>ado</w:t>
      </w:r>
      <w:proofErr w:type="spellEnd"/>
      <w:r w:rsidR="003B262C" w:rsidRPr="00BB5131">
        <w:rPr>
          <w:sz w:val="20"/>
          <w:szCs w:val="20"/>
        </w:rPr>
        <w:t>]</w:t>
      </w:r>
      <w:r w:rsidRPr="00BB5131">
        <w:rPr>
          <w:sz w:val="20"/>
          <w:szCs w:val="20"/>
        </w:rPr>
        <w:t xml:space="preserve"> la oportunidad de brindar sus observaciones sobre </w:t>
      </w:r>
      <w:r w:rsidR="003B262C" w:rsidRPr="00BB5131">
        <w:rPr>
          <w:sz w:val="20"/>
          <w:szCs w:val="20"/>
        </w:rPr>
        <w:t>[</w:t>
      </w:r>
      <w:r w:rsidR="005C2699" w:rsidRPr="00BB5131">
        <w:rPr>
          <w:sz w:val="20"/>
          <w:szCs w:val="20"/>
        </w:rPr>
        <w:t>este</w:t>
      </w:r>
      <w:r w:rsidR="003B262C" w:rsidRPr="00BB5131">
        <w:rPr>
          <w:sz w:val="20"/>
          <w:szCs w:val="20"/>
        </w:rPr>
        <w:t>]</w:t>
      </w:r>
      <w:r w:rsidR="005C2699" w:rsidRPr="00BB5131">
        <w:rPr>
          <w:sz w:val="20"/>
          <w:szCs w:val="20"/>
        </w:rPr>
        <w:t xml:space="preserve"> </w:t>
      </w:r>
      <w:r w:rsidRPr="00BB5131">
        <w:rPr>
          <w:sz w:val="20"/>
          <w:szCs w:val="20"/>
        </w:rPr>
        <w:t>último escrito</w:t>
      </w:r>
      <w:r w:rsidR="003B262C" w:rsidRPr="00BB5131">
        <w:rPr>
          <w:sz w:val="20"/>
          <w:szCs w:val="20"/>
        </w:rPr>
        <w:t>”</w:t>
      </w:r>
      <w:r w:rsidRPr="00BB5131">
        <w:rPr>
          <w:sz w:val="20"/>
          <w:szCs w:val="20"/>
        </w:rPr>
        <w:t>.</w:t>
      </w:r>
    </w:p>
    <w:p w14:paraId="57E1A473" w14:textId="77777777" w:rsidR="00565992" w:rsidRPr="00BB5131" w:rsidRDefault="00565992" w:rsidP="00565992">
      <w:pPr>
        <w:pStyle w:val="ListParagraph"/>
        <w:numPr>
          <w:ilvl w:val="0"/>
          <w:numId w:val="2"/>
        </w:numPr>
        <w:tabs>
          <w:tab w:val="left" w:pos="567"/>
        </w:tabs>
        <w:spacing w:before="240" w:after="240"/>
        <w:ind w:left="1066" w:hanging="357"/>
        <w:contextualSpacing w:val="0"/>
        <w:jc w:val="both"/>
        <w:rPr>
          <w:rFonts w:ascii="Verdana" w:hAnsi="Verdana"/>
          <w:b/>
          <w:i/>
          <w:spacing w:val="-4"/>
          <w:sz w:val="20"/>
          <w:lang w:val="es-MX"/>
        </w:rPr>
      </w:pPr>
      <w:r w:rsidRPr="00BB5131">
        <w:rPr>
          <w:rFonts w:ascii="Verdana" w:hAnsi="Verdana"/>
          <w:b/>
          <w:i/>
          <w:spacing w:val="-4"/>
          <w:sz w:val="20"/>
          <w:lang w:val="es-MX"/>
        </w:rPr>
        <w:t xml:space="preserve">Consideraciones de la Corte </w:t>
      </w:r>
    </w:p>
    <w:p w14:paraId="066EB0F7" w14:textId="13B50E80" w:rsidR="00565992" w:rsidRPr="00BB5131" w:rsidRDefault="00565992" w:rsidP="00565992">
      <w:pPr>
        <w:pStyle w:val="Prrafodelista1"/>
        <w:numPr>
          <w:ilvl w:val="0"/>
          <w:numId w:val="1"/>
        </w:numPr>
        <w:tabs>
          <w:tab w:val="num" w:pos="0"/>
        </w:tabs>
        <w:spacing w:before="120" w:after="120"/>
        <w:ind w:left="0" w:firstLine="0"/>
        <w:contextualSpacing w:val="0"/>
        <w:jc w:val="both"/>
        <w:rPr>
          <w:sz w:val="20"/>
          <w:szCs w:val="20"/>
        </w:rPr>
      </w:pPr>
      <w:r w:rsidRPr="00BB5131">
        <w:rPr>
          <w:sz w:val="20"/>
          <w:szCs w:val="20"/>
        </w:rPr>
        <w:t xml:space="preserve">La Corte reitera que las tres condiciones exigidas por el artículo 63.2 de la Convención para que la Corte pueda disponer de medidas provisionales deben </w:t>
      </w:r>
      <w:r w:rsidRPr="00BB5131">
        <w:rPr>
          <w:sz w:val="20"/>
          <w:lang w:val="es-MX"/>
        </w:rPr>
        <w:t>concurrir</w:t>
      </w:r>
      <w:r w:rsidRPr="00BB5131">
        <w:rPr>
          <w:sz w:val="20"/>
        </w:rPr>
        <w:t xml:space="preserve"> </w:t>
      </w:r>
      <w:r w:rsidRPr="00BB5131">
        <w:rPr>
          <w:sz w:val="20"/>
          <w:szCs w:val="20"/>
        </w:rPr>
        <w:t>en toda situación en la que se soliciten</w:t>
      </w:r>
      <w:r w:rsidRPr="00BB5131">
        <w:rPr>
          <w:rStyle w:val="FootnoteReference"/>
          <w:sz w:val="20"/>
          <w:szCs w:val="20"/>
        </w:rPr>
        <w:footnoteReference w:id="7"/>
      </w:r>
      <w:r w:rsidRPr="00BB5131">
        <w:rPr>
          <w:sz w:val="20"/>
          <w:szCs w:val="20"/>
        </w:rPr>
        <w:t>. E</w:t>
      </w:r>
      <w:r w:rsidRPr="00BB5131">
        <w:rPr>
          <w:bCs/>
          <w:sz w:val="20"/>
          <w:szCs w:val="20"/>
          <w:lang w:val="es-MX"/>
        </w:rPr>
        <w:t>n razón de su competencia, en el marco de medidas provisionales</w:t>
      </w:r>
      <w:r w:rsidR="00F80D43" w:rsidRPr="00BB5131">
        <w:rPr>
          <w:bCs/>
          <w:sz w:val="20"/>
          <w:szCs w:val="20"/>
          <w:lang w:val="es-MX"/>
        </w:rPr>
        <w:t>,</w:t>
      </w:r>
      <w:r w:rsidRPr="00BB5131">
        <w:rPr>
          <w:bCs/>
          <w:sz w:val="20"/>
          <w:szCs w:val="20"/>
          <w:lang w:val="es-MX"/>
        </w:rPr>
        <w:t xml:space="preserve"> corresponde a la Corte considerar única y estrictamente aquellos argumentos que se relacionan directamente con la extrema gravedad, urgencia y la necesidad de evitar daños irreparables a personas. Cualquier </w:t>
      </w:r>
      <w:r w:rsidRPr="00BB5131">
        <w:rPr>
          <w:bCs/>
          <w:sz w:val="20"/>
          <w:szCs w:val="20"/>
          <w:lang w:val="es-MX"/>
        </w:rPr>
        <w:lastRenderedPageBreak/>
        <w:t>otro hecho o argumento sólo puede ser analizado y resuelto, en su caso, durante la consideración del fondo de un caso contencioso</w:t>
      </w:r>
      <w:r w:rsidRPr="00BB5131">
        <w:rPr>
          <w:rStyle w:val="FootnoteReference"/>
          <w:bCs/>
          <w:sz w:val="20"/>
          <w:szCs w:val="20"/>
          <w:lang w:val="es-MX"/>
        </w:rPr>
        <w:footnoteReference w:id="8"/>
      </w:r>
      <w:r w:rsidRPr="00BB5131">
        <w:rPr>
          <w:bCs/>
          <w:sz w:val="20"/>
          <w:szCs w:val="20"/>
          <w:lang w:val="es-MX"/>
        </w:rPr>
        <w:t>.</w:t>
      </w:r>
      <w:bookmarkStart w:id="1" w:name="_Ref234930684"/>
      <w:r w:rsidRPr="00BB5131">
        <w:rPr>
          <w:bCs/>
          <w:sz w:val="20"/>
          <w:szCs w:val="20"/>
          <w:lang w:val="es-MX"/>
        </w:rPr>
        <w:t xml:space="preserve"> </w:t>
      </w:r>
      <w:bookmarkEnd w:id="1"/>
    </w:p>
    <w:p w14:paraId="5F87A2DC" w14:textId="4713FA8A" w:rsidR="00565992" w:rsidRPr="00BB5131" w:rsidRDefault="00E85E72" w:rsidP="00565992">
      <w:pPr>
        <w:pStyle w:val="Prrafodelista1"/>
        <w:numPr>
          <w:ilvl w:val="0"/>
          <w:numId w:val="1"/>
        </w:numPr>
        <w:tabs>
          <w:tab w:val="num" w:pos="0"/>
        </w:tabs>
        <w:spacing w:before="120" w:after="120"/>
        <w:ind w:left="0" w:firstLine="0"/>
        <w:contextualSpacing w:val="0"/>
        <w:jc w:val="both"/>
        <w:rPr>
          <w:lang w:val="es-MX"/>
        </w:rPr>
      </w:pPr>
      <w:r w:rsidRPr="00BB5131">
        <w:rPr>
          <w:sz w:val="20"/>
          <w:szCs w:val="20"/>
          <w:lang w:val="es-ES_tradnl"/>
        </w:rPr>
        <w:t>P</w:t>
      </w:r>
      <w:r w:rsidRPr="00BB5131">
        <w:rPr>
          <w:sz w:val="20"/>
          <w:szCs w:val="20"/>
        </w:rPr>
        <w:t xml:space="preserve">ara determinar si la situación de extrema gravedad y urgencia para evitar daños irreparables existe, es posible valorar el conjunto de factores o circunstancias políticas, históricas, culturales o de cualquier otra índole que afectan al beneficiario o lo </w:t>
      </w:r>
      <w:r w:rsidR="00F80D43" w:rsidRPr="00BB5131">
        <w:rPr>
          <w:sz w:val="20"/>
          <w:szCs w:val="20"/>
        </w:rPr>
        <w:t>ubican</w:t>
      </w:r>
      <w:r w:rsidRPr="00BB5131">
        <w:rPr>
          <w:sz w:val="20"/>
          <w:szCs w:val="20"/>
        </w:rPr>
        <w:t xml:space="preserve"> en una situación de vulnerabilidad en un determinado momento y lo expone a recibir lesiones a sus derechos. Esta situación puede crecer o decrecer en el tiempo dependiendo de un sinnúmero de variables</w:t>
      </w:r>
      <w:r w:rsidRPr="00BB5131">
        <w:rPr>
          <w:sz w:val="20"/>
          <w:szCs w:val="20"/>
          <w:vertAlign w:val="superscript"/>
        </w:rPr>
        <w:footnoteReference w:id="9"/>
      </w:r>
      <w:r w:rsidRPr="00BB5131">
        <w:rPr>
          <w:sz w:val="20"/>
          <w:szCs w:val="20"/>
        </w:rPr>
        <w:t xml:space="preserve">. </w:t>
      </w:r>
      <w:r w:rsidRPr="00BB5131">
        <w:rPr>
          <w:sz w:val="20"/>
          <w:szCs w:val="20"/>
          <w:lang w:val="es-GT"/>
        </w:rPr>
        <w:t>Por otra parte, la Corte ha sostenido que pueden existir un conjunto de factores o circunstancias que revelen graves agresiones contra un grupo de personas en particular, que sitúe a estas personas en una situación de extrema gravedad y urgencia de sufrir daños irreparables</w:t>
      </w:r>
      <w:r w:rsidRPr="00BB5131">
        <w:rPr>
          <w:sz w:val="20"/>
          <w:szCs w:val="20"/>
          <w:vertAlign w:val="superscript"/>
        </w:rPr>
        <w:footnoteReference w:id="10"/>
      </w:r>
      <w:r w:rsidRPr="00BB5131">
        <w:rPr>
          <w:sz w:val="20"/>
          <w:szCs w:val="20"/>
          <w:lang w:val="es-GT"/>
        </w:rPr>
        <w:t>.</w:t>
      </w:r>
    </w:p>
    <w:p w14:paraId="717FB56D" w14:textId="367FE0E1" w:rsidR="00750699" w:rsidRPr="00BB5131" w:rsidRDefault="00750699" w:rsidP="00E91E74">
      <w:pPr>
        <w:pStyle w:val="Prrafodelista1"/>
        <w:numPr>
          <w:ilvl w:val="0"/>
          <w:numId w:val="1"/>
        </w:numPr>
        <w:tabs>
          <w:tab w:val="num" w:pos="0"/>
        </w:tabs>
        <w:spacing w:before="120" w:after="120"/>
        <w:ind w:left="0" w:firstLine="0"/>
        <w:contextualSpacing w:val="0"/>
        <w:jc w:val="both"/>
        <w:rPr>
          <w:lang w:val="es-MX"/>
        </w:rPr>
      </w:pPr>
      <w:r w:rsidRPr="00BB5131">
        <w:rPr>
          <w:lang w:val="es-MX"/>
        </w:rPr>
        <w:t xml:space="preserve"> </w:t>
      </w:r>
      <w:r w:rsidR="00E91E74" w:rsidRPr="00BB5131">
        <w:rPr>
          <w:sz w:val="20"/>
          <w:szCs w:val="20"/>
        </w:rPr>
        <w:t xml:space="preserve">Respecto de tales requisitos, la Corte toma nota del contexto de violencia </w:t>
      </w:r>
      <w:r w:rsidR="0077155E" w:rsidRPr="00BB5131">
        <w:rPr>
          <w:sz w:val="20"/>
          <w:szCs w:val="20"/>
        </w:rPr>
        <w:t xml:space="preserve">que se presentaría </w:t>
      </w:r>
      <w:r w:rsidR="00E91E74" w:rsidRPr="00BB5131">
        <w:rPr>
          <w:sz w:val="20"/>
          <w:szCs w:val="20"/>
        </w:rPr>
        <w:t xml:space="preserve">en la región de la Sierra Tarahumara en la municipalidad de Guadalupe y Calvo con la posible presencia de “grupos del crimen organizado”, así como el recrudecimiento de la situación </w:t>
      </w:r>
      <w:r w:rsidR="0077155E" w:rsidRPr="00BB5131">
        <w:rPr>
          <w:sz w:val="20"/>
          <w:szCs w:val="20"/>
        </w:rPr>
        <w:t xml:space="preserve">que se habría presentado </w:t>
      </w:r>
      <w:r w:rsidR="00E91E74" w:rsidRPr="00BB5131">
        <w:rPr>
          <w:sz w:val="20"/>
          <w:szCs w:val="20"/>
        </w:rPr>
        <w:t xml:space="preserve">desde el </w:t>
      </w:r>
      <w:r w:rsidR="006F4CA4" w:rsidRPr="00BB5131">
        <w:rPr>
          <w:sz w:val="20"/>
          <w:szCs w:val="20"/>
        </w:rPr>
        <w:t xml:space="preserve">año 2015 </w:t>
      </w:r>
      <w:r w:rsidR="00E91E74" w:rsidRPr="00BB5131">
        <w:rPr>
          <w:sz w:val="20"/>
          <w:szCs w:val="20"/>
        </w:rPr>
        <w:t>hasta la fecha que incluye amenazas a miembros de la Comunidad así como</w:t>
      </w:r>
      <w:r w:rsidR="003119DF" w:rsidRPr="00BB5131">
        <w:rPr>
          <w:sz w:val="20"/>
          <w:szCs w:val="20"/>
        </w:rPr>
        <w:t xml:space="preserve">, en enero del presente año, </w:t>
      </w:r>
      <w:r w:rsidR="00E91E74" w:rsidRPr="00BB5131">
        <w:rPr>
          <w:sz w:val="20"/>
          <w:szCs w:val="20"/>
        </w:rPr>
        <w:t xml:space="preserve"> la muerte de uno</w:t>
      </w:r>
      <w:r w:rsidR="003119DF" w:rsidRPr="00BB5131">
        <w:rPr>
          <w:sz w:val="20"/>
          <w:szCs w:val="20"/>
        </w:rPr>
        <w:t xml:space="preserve"> </w:t>
      </w:r>
      <w:r w:rsidR="00E91E74" w:rsidRPr="00BB5131">
        <w:rPr>
          <w:sz w:val="20"/>
          <w:szCs w:val="20"/>
        </w:rPr>
        <w:t>de ellos</w:t>
      </w:r>
      <w:r w:rsidR="003119DF" w:rsidRPr="00BB5131">
        <w:rPr>
          <w:sz w:val="20"/>
          <w:szCs w:val="20"/>
        </w:rPr>
        <w:t xml:space="preserve"> </w:t>
      </w:r>
      <w:r w:rsidR="00E91E74" w:rsidRPr="00BB5131">
        <w:rPr>
          <w:sz w:val="20"/>
          <w:szCs w:val="20"/>
        </w:rPr>
        <w:t>con heridas de armas de fuego, quien ya hab</w:t>
      </w:r>
      <w:r w:rsidR="0077155E" w:rsidRPr="00BB5131">
        <w:rPr>
          <w:sz w:val="20"/>
          <w:szCs w:val="20"/>
        </w:rPr>
        <w:t>r</w:t>
      </w:r>
      <w:r w:rsidR="00E91E74" w:rsidRPr="00BB5131">
        <w:rPr>
          <w:sz w:val="20"/>
          <w:szCs w:val="20"/>
        </w:rPr>
        <w:t>ía recibido amenazas en contra de su vida. En particular, se ha</w:t>
      </w:r>
      <w:r w:rsidR="0077155E" w:rsidRPr="00BB5131">
        <w:rPr>
          <w:sz w:val="20"/>
          <w:szCs w:val="20"/>
        </w:rPr>
        <w:t>brían</w:t>
      </w:r>
      <w:r w:rsidR="00E91E74" w:rsidRPr="00BB5131">
        <w:rPr>
          <w:sz w:val="20"/>
          <w:szCs w:val="20"/>
        </w:rPr>
        <w:t xml:space="preserve"> presentado diversos hechos acontecidos respecto de la Comunidad materia de esta solicitud, especialmente: supuestos asesinatos, </w:t>
      </w:r>
      <w:r w:rsidR="00F80D43" w:rsidRPr="00BB5131">
        <w:rPr>
          <w:sz w:val="20"/>
          <w:szCs w:val="20"/>
        </w:rPr>
        <w:t xml:space="preserve">alegados </w:t>
      </w:r>
      <w:r w:rsidR="00E91E74" w:rsidRPr="00BB5131">
        <w:rPr>
          <w:sz w:val="20"/>
          <w:szCs w:val="20"/>
        </w:rPr>
        <w:t>graves hechos de agresiones, amenazas y hostigamientos, y con motivo de ello el abandono de algunos pobladores de la misma Comunidad y el temor de retornar debido a los hechos acontecidos (</w:t>
      </w:r>
      <w:r w:rsidR="00E91E74" w:rsidRPr="00BB5131">
        <w:rPr>
          <w:i/>
          <w:sz w:val="20"/>
          <w:szCs w:val="20"/>
        </w:rPr>
        <w:t>supra</w:t>
      </w:r>
      <w:r w:rsidR="00E91E74" w:rsidRPr="00BB5131">
        <w:rPr>
          <w:sz w:val="20"/>
          <w:szCs w:val="20"/>
        </w:rPr>
        <w:t xml:space="preserve"> párr. </w:t>
      </w:r>
      <w:r w:rsidR="003119DF" w:rsidRPr="00BB5131">
        <w:rPr>
          <w:sz w:val="20"/>
          <w:szCs w:val="20"/>
        </w:rPr>
        <w:t>13</w:t>
      </w:r>
      <w:r w:rsidR="00E91E74" w:rsidRPr="00BB5131">
        <w:rPr>
          <w:sz w:val="20"/>
          <w:szCs w:val="20"/>
        </w:rPr>
        <w:t>). A criterio de este Tribunal, tales hechos refleja</w:t>
      </w:r>
      <w:r w:rsidR="0077155E" w:rsidRPr="00BB5131">
        <w:rPr>
          <w:sz w:val="20"/>
          <w:szCs w:val="20"/>
        </w:rPr>
        <w:t>rían</w:t>
      </w:r>
      <w:r w:rsidR="00E91E74" w:rsidRPr="00BB5131">
        <w:rPr>
          <w:sz w:val="20"/>
          <w:szCs w:val="20"/>
        </w:rPr>
        <w:t xml:space="preserve"> una clara situación de extrema gravedad y urgencia y la posibilidad razonable de que se continúen materializando daños de carácter irreparable</w:t>
      </w:r>
      <w:r w:rsidRPr="00BB5131">
        <w:rPr>
          <w:sz w:val="20"/>
          <w:szCs w:val="20"/>
        </w:rPr>
        <w:t>.</w:t>
      </w:r>
    </w:p>
    <w:p w14:paraId="4B5FF8D4" w14:textId="77777777" w:rsidR="00750699" w:rsidRPr="00BB5131" w:rsidRDefault="00750699" w:rsidP="00364A7C">
      <w:pPr>
        <w:pStyle w:val="Prrafodelista1"/>
        <w:numPr>
          <w:ilvl w:val="0"/>
          <w:numId w:val="1"/>
        </w:numPr>
        <w:tabs>
          <w:tab w:val="num" w:pos="0"/>
        </w:tabs>
        <w:spacing w:before="120" w:after="120"/>
        <w:ind w:left="0" w:firstLine="0"/>
        <w:contextualSpacing w:val="0"/>
        <w:jc w:val="both"/>
        <w:rPr>
          <w:rFonts w:eastAsia="Times"/>
          <w:sz w:val="20"/>
          <w:szCs w:val="20"/>
          <w:lang w:val="es-ES_tradnl" w:eastAsia="es-ES"/>
        </w:rPr>
      </w:pPr>
      <w:r w:rsidRPr="00BB5131">
        <w:rPr>
          <w:rFonts w:eastAsia="Times"/>
          <w:sz w:val="20"/>
          <w:szCs w:val="20"/>
        </w:rPr>
        <w:t>Asimismo,</w:t>
      </w:r>
      <w:r w:rsidRPr="00BB5131">
        <w:rPr>
          <w:rFonts w:eastAsia="Times"/>
          <w:sz w:val="20"/>
          <w:szCs w:val="20"/>
          <w:lang w:val="es-ES_tradnl" w:eastAsia="es-ES"/>
        </w:rPr>
        <w:t xml:space="preserve"> la Corte recuerda que para garantizar efectivamente los derechos consagrados en la Convención Americana, el Estado Parte tiene la obligación,</w:t>
      </w:r>
      <w:r w:rsidRPr="00BB5131">
        <w:rPr>
          <w:rFonts w:eastAsia="Times"/>
          <w:i/>
          <w:sz w:val="20"/>
          <w:szCs w:val="20"/>
          <w:lang w:val="es-ES_tradnl" w:eastAsia="es-ES"/>
        </w:rPr>
        <w:t xml:space="preserve"> erga omnes</w:t>
      </w:r>
      <w:r w:rsidRPr="00BB5131">
        <w:rPr>
          <w:rFonts w:eastAsia="Times"/>
          <w:sz w:val="20"/>
          <w:szCs w:val="20"/>
          <w:lang w:val="es-ES_tradnl" w:eastAsia="es-ES"/>
        </w:rPr>
        <w:t>, de proteger a todas las personas que se encuentren bajo su jurisdicción. Esto significa, como lo ha dicho la Corte, que tal obligación general se impone no sólo en relación con el poder del Estado sino también en relación con actuaciones de terceros particulares, así como de otros grupos de cualquier naturaleza</w:t>
      </w:r>
      <w:r w:rsidRPr="00BB5131">
        <w:rPr>
          <w:rFonts w:eastAsia="Times"/>
          <w:sz w:val="20"/>
          <w:vertAlign w:val="superscript"/>
          <w:lang w:val="es-ES_tradnl" w:eastAsia="es-ES"/>
        </w:rPr>
        <w:footnoteReference w:id="11"/>
      </w:r>
      <w:r w:rsidRPr="00BB5131">
        <w:rPr>
          <w:rFonts w:eastAsia="Times"/>
          <w:sz w:val="20"/>
          <w:szCs w:val="20"/>
          <w:lang w:val="es-ES_tradnl" w:eastAsia="es-ES"/>
        </w:rPr>
        <w:t xml:space="preserve">. </w:t>
      </w:r>
    </w:p>
    <w:p w14:paraId="3BD9BBF3" w14:textId="4C4C740C" w:rsidR="00364A7C" w:rsidRPr="00BB5131" w:rsidRDefault="00364A7C" w:rsidP="00364A7C">
      <w:pPr>
        <w:pStyle w:val="Prrafodelista1"/>
        <w:numPr>
          <w:ilvl w:val="0"/>
          <w:numId w:val="1"/>
        </w:numPr>
        <w:tabs>
          <w:tab w:val="num" w:pos="0"/>
        </w:tabs>
        <w:spacing w:before="120" w:after="120"/>
        <w:ind w:left="0" w:firstLine="0"/>
        <w:contextualSpacing w:val="0"/>
        <w:jc w:val="both"/>
        <w:rPr>
          <w:rFonts w:eastAsia="Times"/>
          <w:sz w:val="20"/>
          <w:szCs w:val="20"/>
          <w:lang w:val="es-ES_tradnl"/>
        </w:rPr>
      </w:pPr>
      <w:r w:rsidRPr="00BB5131">
        <w:rPr>
          <w:rFonts w:eastAsia="Times"/>
          <w:sz w:val="20"/>
          <w:szCs w:val="20"/>
          <w:lang w:val="es-CL"/>
        </w:rPr>
        <w:t>Por otra parte, al ordenar medidas provisionales</w:t>
      </w:r>
      <w:r w:rsidR="00494153" w:rsidRPr="00BB5131">
        <w:rPr>
          <w:rFonts w:eastAsia="Times"/>
          <w:sz w:val="20"/>
          <w:szCs w:val="20"/>
          <w:lang w:val="es-CL"/>
        </w:rPr>
        <w:t>,</w:t>
      </w:r>
      <w:r w:rsidRPr="00BB5131">
        <w:rPr>
          <w:rFonts w:eastAsia="Times"/>
          <w:sz w:val="20"/>
          <w:szCs w:val="20"/>
          <w:lang w:val="es-CL"/>
        </w:rPr>
        <w:t xml:space="preserve"> esta Corte ha considerado indispensable, </w:t>
      </w:r>
      <w:r w:rsidRPr="00BB5131">
        <w:rPr>
          <w:rFonts w:eastAsia="Times"/>
          <w:sz w:val="20"/>
          <w:szCs w:val="20"/>
          <w:lang w:val="es-ES_tradnl" w:eastAsia="es-ES"/>
        </w:rPr>
        <w:t>como</w:t>
      </w:r>
      <w:r w:rsidRPr="00BB5131">
        <w:rPr>
          <w:rFonts w:eastAsia="Times"/>
          <w:sz w:val="20"/>
          <w:szCs w:val="20"/>
          <w:lang w:val="es-CL"/>
        </w:rPr>
        <w:t xml:space="preserve"> regla general, la individualización de las personas que corren peligro de sufrir daños irreparables a efectos de otorgarles medidas de protección</w:t>
      </w:r>
      <w:r w:rsidRPr="00BB5131">
        <w:rPr>
          <w:rFonts w:eastAsia="Times"/>
          <w:sz w:val="20"/>
          <w:szCs w:val="20"/>
          <w:lang w:val="es-ES_tradnl"/>
        </w:rPr>
        <w:t>. E</w:t>
      </w:r>
      <w:r w:rsidRPr="00BB5131">
        <w:rPr>
          <w:rFonts w:eastAsia="Times"/>
          <w:sz w:val="20"/>
          <w:szCs w:val="20"/>
          <w:lang w:val="es-CL"/>
        </w:rPr>
        <w:t xml:space="preserve">n varias oportunidades, sin embargo, ha ordenado la protección de una pluralidad de personas que no han sido previamente nominadas, pero que sí son identificables y determinables y que se encuentran en una situación de grave peligro en razón de su </w:t>
      </w:r>
      <w:r w:rsidRPr="00BB5131">
        <w:rPr>
          <w:rFonts w:eastAsia="Times"/>
          <w:sz w:val="20"/>
          <w:szCs w:val="20"/>
          <w:lang w:val="es-CL"/>
        </w:rPr>
        <w:lastRenderedPageBreak/>
        <w:t>pertenencia a un grupo o comunidad</w:t>
      </w:r>
      <w:r w:rsidRPr="00BB5131">
        <w:rPr>
          <w:rFonts w:eastAsia="Times"/>
          <w:sz w:val="20"/>
          <w:szCs w:val="20"/>
          <w:vertAlign w:val="superscript"/>
          <w:lang w:val="es-ES_tradnl"/>
        </w:rPr>
        <w:footnoteReference w:id="12"/>
      </w:r>
      <w:r w:rsidRPr="00BB5131">
        <w:rPr>
          <w:rFonts w:eastAsia="Times"/>
          <w:sz w:val="20"/>
          <w:szCs w:val="20"/>
          <w:lang w:val="es-CL"/>
        </w:rPr>
        <w:t xml:space="preserve">. Al adoptar medidas provisionales en este sentido, el Tribunal lo hace </w:t>
      </w:r>
      <w:r w:rsidRPr="00BB5131">
        <w:rPr>
          <w:rFonts w:eastAsia="Times"/>
          <w:sz w:val="20"/>
          <w:szCs w:val="20"/>
          <w:lang w:val="es-ES_tradnl"/>
        </w:rPr>
        <w:t xml:space="preserve">bajo criterios objetivos que permitirán individualizar a los beneficiarios a la hora de ejecutar las medidas. Estos criterios atienden por un lado, a vínculos de pertenencia y, por otro, a una </w:t>
      </w:r>
      <w:r w:rsidRPr="00BB5131">
        <w:rPr>
          <w:rFonts w:eastAsia="Times"/>
          <w:sz w:val="20"/>
          <w:szCs w:val="20"/>
          <w:lang w:val="es-CL"/>
        </w:rPr>
        <w:t>situación de grave peligro común para los integrantes del grupo, en razón de dicha pertenencia</w:t>
      </w:r>
      <w:r w:rsidRPr="00BB5131">
        <w:rPr>
          <w:rFonts w:eastAsia="Times"/>
          <w:sz w:val="20"/>
          <w:szCs w:val="20"/>
          <w:vertAlign w:val="superscript"/>
          <w:lang w:val="es-ES_tradnl"/>
        </w:rPr>
        <w:footnoteReference w:id="13"/>
      </w:r>
      <w:r w:rsidRPr="00BB5131">
        <w:rPr>
          <w:rFonts w:eastAsia="Times"/>
          <w:sz w:val="20"/>
          <w:szCs w:val="20"/>
          <w:lang w:val="es-ES_tradnl"/>
        </w:rPr>
        <w:t>.</w:t>
      </w:r>
    </w:p>
    <w:p w14:paraId="797D4BDB" w14:textId="7F1DB32A" w:rsidR="00056726" w:rsidRPr="00BB5131" w:rsidRDefault="00364A7C" w:rsidP="00680EE8">
      <w:pPr>
        <w:pStyle w:val="Prrafodelista1"/>
        <w:numPr>
          <w:ilvl w:val="0"/>
          <w:numId w:val="1"/>
        </w:numPr>
        <w:tabs>
          <w:tab w:val="num" w:pos="0"/>
        </w:tabs>
        <w:spacing w:before="120" w:after="120"/>
        <w:ind w:left="0" w:firstLine="0"/>
        <w:contextualSpacing w:val="0"/>
        <w:jc w:val="both"/>
        <w:rPr>
          <w:rFonts w:eastAsia="Times"/>
          <w:sz w:val="20"/>
          <w:szCs w:val="20"/>
          <w:lang w:val="es-ES_tradnl"/>
        </w:rPr>
      </w:pPr>
      <w:r w:rsidRPr="00BB5131">
        <w:rPr>
          <w:rFonts w:eastAsia="Times"/>
          <w:sz w:val="20"/>
          <w:szCs w:val="20"/>
          <w:lang w:val="es-CL"/>
        </w:rPr>
        <w:t xml:space="preserve">Al respecto, la Corte constata que la Comisión no individualizó ni precisó el número de posibles </w:t>
      </w:r>
      <w:r w:rsidRPr="00BB5131">
        <w:rPr>
          <w:rFonts w:eastAsia="Times"/>
          <w:sz w:val="20"/>
          <w:szCs w:val="20"/>
          <w:lang w:val="es-ES_tradnl"/>
        </w:rPr>
        <w:t>beneficiarios</w:t>
      </w:r>
      <w:r w:rsidR="00E15506" w:rsidRPr="00BB5131">
        <w:rPr>
          <w:rFonts w:eastAsia="Times"/>
          <w:sz w:val="20"/>
          <w:szCs w:val="20"/>
          <w:lang w:val="es-CL"/>
        </w:rPr>
        <w:t xml:space="preserve"> e indicó que</w:t>
      </w:r>
      <w:r w:rsidRPr="00BB5131">
        <w:rPr>
          <w:rFonts w:eastAsia="Times"/>
          <w:sz w:val="20"/>
          <w:szCs w:val="20"/>
          <w:lang w:val="es-ES_tradnl"/>
        </w:rPr>
        <w:t xml:space="preserve"> </w:t>
      </w:r>
      <w:r w:rsidR="00280FA7" w:rsidRPr="00BB5131">
        <w:rPr>
          <w:rFonts w:eastAsia="Times"/>
          <w:sz w:val="20"/>
          <w:szCs w:val="20"/>
          <w:lang w:val="es-ES_tradnl"/>
        </w:rPr>
        <w:t xml:space="preserve">en </w:t>
      </w:r>
      <w:r w:rsidR="00145D79" w:rsidRPr="00BB5131">
        <w:rPr>
          <w:rFonts w:eastAsia="Times"/>
          <w:sz w:val="20"/>
          <w:szCs w:val="20"/>
          <w:lang w:val="es-ES_tradnl"/>
        </w:rPr>
        <w:t xml:space="preserve">el presente asunto, los posibles beneficiarios de medidas provisionales solicitadas </w:t>
      </w:r>
      <w:r w:rsidR="00432AAE" w:rsidRPr="00BB5131">
        <w:rPr>
          <w:rFonts w:eastAsia="Times"/>
          <w:sz w:val="20"/>
          <w:szCs w:val="20"/>
          <w:lang w:val="es-ES_tradnl"/>
        </w:rPr>
        <w:t>constituyen un grupo</w:t>
      </w:r>
      <w:r w:rsidR="00145D79" w:rsidRPr="00BB5131">
        <w:rPr>
          <w:rFonts w:eastAsia="Times"/>
          <w:sz w:val="20"/>
          <w:szCs w:val="20"/>
          <w:lang w:val="es-ES_tradnl"/>
        </w:rPr>
        <w:t xml:space="preserve"> plenamente identificables por el Estado mexicano en tanto son integrantes de la </w:t>
      </w:r>
      <w:r w:rsidR="00CF3F98" w:rsidRPr="00BB5131">
        <w:rPr>
          <w:rFonts w:eastAsia="Times"/>
          <w:sz w:val="20"/>
          <w:szCs w:val="20"/>
          <w:lang w:val="es-ES_tradnl"/>
        </w:rPr>
        <w:t>C</w:t>
      </w:r>
      <w:r w:rsidR="00145D79" w:rsidRPr="00BB5131">
        <w:rPr>
          <w:rFonts w:eastAsia="Times"/>
          <w:sz w:val="20"/>
          <w:szCs w:val="20"/>
          <w:lang w:val="es-ES_tradnl"/>
        </w:rPr>
        <w:t xml:space="preserve">omunidad indígena de </w:t>
      </w:r>
      <w:proofErr w:type="spellStart"/>
      <w:r w:rsidR="00145D79" w:rsidRPr="00BB5131">
        <w:rPr>
          <w:rFonts w:eastAsia="Times"/>
          <w:sz w:val="20"/>
          <w:szCs w:val="20"/>
          <w:lang w:val="es-ES_tradnl"/>
        </w:rPr>
        <w:t>Choréachi</w:t>
      </w:r>
      <w:proofErr w:type="spellEnd"/>
      <w:r w:rsidR="00145D79" w:rsidRPr="00BB5131">
        <w:rPr>
          <w:rFonts w:eastAsia="Times"/>
          <w:sz w:val="20"/>
          <w:szCs w:val="20"/>
          <w:lang w:val="es-ES_tradnl"/>
        </w:rPr>
        <w:t xml:space="preserve"> reconocida por el Estado, y geográficamente determinada en la Sierra Tarahumara en el estado de Chihuahua, México.</w:t>
      </w:r>
      <w:r w:rsidRPr="00BB5131">
        <w:rPr>
          <w:rFonts w:eastAsia="Times"/>
          <w:sz w:val="20"/>
          <w:szCs w:val="20"/>
          <w:lang w:val="es-ES_tradnl"/>
        </w:rPr>
        <w:t xml:space="preserve"> </w:t>
      </w:r>
      <w:r w:rsidR="0094280F" w:rsidRPr="00BB5131">
        <w:rPr>
          <w:rFonts w:eastAsia="Times"/>
          <w:sz w:val="20"/>
          <w:szCs w:val="20"/>
          <w:lang w:val="es-ES_tradnl"/>
        </w:rPr>
        <w:t>Por otra parte</w:t>
      </w:r>
      <w:r w:rsidR="00056726" w:rsidRPr="00BB5131">
        <w:rPr>
          <w:rFonts w:eastAsia="Times"/>
          <w:sz w:val="20"/>
          <w:szCs w:val="20"/>
          <w:lang w:val="es-ES_tradnl"/>
        </w:rPr>
        <w:t>, el Estado señaló que “</w:t>
      </w:r>
      <w:proofErr w:type="gramStart"/>
      <w:r w:rsidR="00056726" w:rsidRPr="00BB5131">
        <w:rPr>
          <w:rFonts w:eastAsia="Times New Roman"/>
          <w:sz w:val="20"/>
          <w:szCs w:val="20"/>
          <w:lang w:val="es-CR"/>
        </w:rPr>
        <w:t>considera</w:t>
      </w:r>
      <w:r w:rsidR="00E15506" w:rsidRPr="00BB5131">
        <w:rPr>
          <w:rFonts w:eastAsia="Times New Roman"/>
          <w:sz w:val="20"/>
          <w:szCs w:val="20"/>
          <w:lang w:val="es-CR"/>
        </w:rPr>
        <w:t>[</w:t>
      </w:r>
      <w:proofErr w:type="spellStart"/>
      <w:proofErr w:type="gramEnd"/>
      <w:r w:rsidR="00E15506" w:rsidRPr="00BB5131">
        <w:rPr>
          <w:rFonts w:eastAsia="Times New Roman"/>
          <w:sz w:val="20"/>
          <w:szCs w:val="20"/>
          <w:lang w:val="es-CR"/>
        </w:rPr>
        <w:t>ba</w:t>
      </w:r>
      <w:proofErr w:type="spellEnd"/>
      <w:r w:rsidR="00E15506" w:rsidRPr="00BB5131">
        <w:rPr>
          <w:rFonts w:eastAsia="Times New Roman"/>
          <w:sz w:val="20"/>
          <w:szCs w:val="20"/>
          <w:lang w:val="es-CR"/>
        </w:rPr>
        <w:t>]</w:t>
      </w:r>
      <w:r w:rsidR="00056726" w:rsidRPr="00BB5131">
        <w:rPr>
          <w:rFonts w:eastAsia="Times New Roman"/>
          <w:sz w:val="20"/>
          <w:szCs w:val="20"/>
          <w:lang w:val="es-CR"/>
        </w:rPr>
        <w:t xml:space="preserve"> primordial informar que únicamente se cuenta con un listado en el cual están registradas 102 personas, sin que estas sean la totalidad de los habitantes de </w:t>
      </w:r>
      <w:proofErr w:type="spellStart"/>
      <w:r w:rsidR="00056726" w:rsidRPr="00BB5131">
        <w:rPr>
          <w:rFonts w:eastAsia="Times New Roman"/>
          <w:sz w:val="20"/>
          <w:szCs w:val="20"/>
          <w:lang w:val="es-CR"/>
        </w:rPr>
        <w:t>Choréachi</w:t>
      </w:r>
      <w:proofErr w:type="spellEnd"/>
      <w:r w:rsidR="00056726" w:rsidRPr="00BB5131">
        <w:rPr>
          <w:rFonts w:eastAsia="Times New Roman"/>
          <w:sz w:val="20"/>
          <w:szCs w:val="20"/>
          <w:lang w:val="es-CR"/>
        </w:rPr>
        <w:t>, lo que dificulta la implementación de la […] medida cautelar”</w:t>
      </w:r>
      <w:r w:rsidR="00E15506" w:rsidRPr="00BB5131">
        <w:rPr>
          <w:rFonts w:eastAsia="Times New Roman"/>
          <w:sz w:val="20"/>
          <w:szCs w:val="20"/>
          <w:lang w:val="es-CR"/>
        </w:rPr>
        <w:t>.</w:t>
      </w:r>
      <w:r w:rsidR="00680EE8" w:rsidRPr="00BB5131">
        <w:rPr>
          <w:rFonts w:eastAsia="Times New Roman"/>
          <w:sz w:val="20"/>
          <w:szCs w:val="20"/>
          <w:lang w:val="es-CR"/>
        </w:rPr>
        <w:t xml:space="preserve"> Al respecto, el Tribunal recuerda que en ocasiones anteriores ha ordenado la protección de una pluralidad de personas que no han sido previamente nominadas, pero que son identificables y determinables y que se encuentran en una situación de grave riesgo en razón de su pertenencia a un grupo o comunidad. </w:t>
      </w:r>
      <w:r w:rsidR="0094280F" w:rsidRPr="00BB5131">
        <w:rPr>
          <w:rFonts w:eastAsia="Times New Roman"/>
          <w:sz w:val="20"/>
          <w:szCs w:val="20"/>
          <w:lang w:val="es-CR"/>
        </w:rPr>
        <w:t xml:space="preserve">En consecuencia, </w:t>
      </w:r>
      <w:r w:rsidR="00680EE8" w:rsidRPr="00BB5131">
        <w:rPr>
          <w:rFonts w:eastAsia="Times New Roman"/>
          <w:sz w:val="20"/>
          <w:szCs w:val="20"/>
          <w:lang w:val="es-CR"/>
        </w:rPr>
        <w:t xml:space="preserve">este Tribunal </w:t>
      </w:r>
      <w:r w:rsidR="0094280F" w:rsidRPr="00BB5131">
        <w:rPr>
          <w:rFonts w:eastAsia="Times New Roman"/>
          <w:sz w:val="20"/>
          <w:szCs w:val="20"/>
          <w:lang w:val="es-CR"/>
        </w:rPr>
        <w:t>estima</w:t>
      </w:r>
      <w:r w:rsidR="00801EA5" w:rsidRPr="00BB5131">
        <w:rPr>
          <w:rFonts w:eastAsia="Times New Roman"/>
          <w:sz w:val="20"/>
          <w:szCs w:val="20"/>
          <w:lang w:val="es-CR"/>
        </w:rPr>
        <w:t>, como lo ha hecho en otros casos,</w:t>
      </w:r>
      <w:r w:rsidR="0094280F" w:rsidRPr="00BB5131">
        <w:rPr>
          <w:rFonts w:eastAsia="Times New Roman"/>
          <w:sz w:val="20"/>
          <w:szCs w:val="20"/>
          <w:lang w:val="es-CR"/>
        </w:rPr>
        <w:t xml:space="preserve"> </w:t>
      </w:r>
      <w:r w:rsidR="00680EE8" w:rsidRPr="00BB5131">
        <w:rPr>
          <w:rFonts w:eastAsia="Times New Roman"/>
          <w:sz w:val="20"/>
          <w:szCs w:val="20"/>
          <w:lang w:val="es-CR"/>
        </w:rPr>
        <w:t xml:space="preserve">que los miembros de la Comunidad indígena </w:t>
      </w:r>
      <w:proofErr w:type="spellStart"/>
      <w:r w:rsidR="00680EE8" w:rsidRPr="00BB5131">
        <w:rPr>
          <w:rFonts w:eastAsia="Times New Roman"/>
          <w:sz w:val="20"/>
          <w:szCs w:val="20"/>
          <w:lang w:val="es-CR"/>
        </w:rPr>
        <w:t>Choréachi</w:t>
      </w:r>
      <w:proofErr w:type="spellEnd"/>
      <w:r w:rsidR="00680EE8" w:rsidRPr="00BB5131">
        <w:rPr>
          <w:rFonts w:eastAsia="Times New Roman"/>
          <w:sz w:val="20"/>
          <w:szCs w:val="20"/>
          <w:lang w:val="es-CR"/>
        </w:rPr>
        <w:t xml:space="preserve"> no necesitan ser previamente nominados</w:t>
      </w:r>
      <w:r w:rsidR="0094280F" w:rsidRPr="00BB5131">
        <w:rPr>
          <w:rFonts w:eastAsia="Times New Roman"/>
          <w:sz w:val="20"/>
          <w:szCs w:val="20"/>
          <w:lang w:val="es-CR"/>
        </w:rPr>
        <w:t xml:space="preserve"> de forma individual</w:t>
      </w:r>
      <w:r w:rsidR="00680EE8" w:rsidRPr="00BB5131">
        <w:rPr>
          <w:rFonts w:eastAsia="Times"/>
          <w:sz w:val="20"/>
          <w:szCs w:val="20"/>
          <w:vertAlign w:val="superscript"/>
          <w:lang w:val="es-ES_tradnl"/>
        </w:rPr>
        <w:footnoteReference w:id="14"/>
      </w:r>
      <w:r w:rsidR="00680EE8" w:rsidRPr="00BB5131">
        <w:rPr>
          <w:rFonts w:eastAsia="Times New Roman"/>
          <w:sz w:val="20"/>
          <w:szCs w:val="20"/>
          <w:lang w:val="es-CR"/>
        </w:rPr>
        <w:t>.</w:t>
      </w:r>
    </w:p>
    <w:p w14:paraId="0EDDEE64" w14:textId="6DD75975" w:rsidR="00A275DC" w:rsidRPr="00BB5131" w:rsidRDefault="00364A7C" w:rsidP="00597FAF">
      <w:pPr>
        <w:pStyle w:val="Prrafodelista1"/>
        <w:numPr>
          <w:ilvl w:val="0"/>
          <w:numId w:val="1"/>
        </w:numPr>
        <w:tabs>
          <w:tab w:val="num" w:pos="0"/>
        </w:tabs>
        <w:spacing w:before="120" w:after="120"/>
        <w:ind w:left="0" w:firstLine="0"/>
        <w:contextualSpacing w:val="0"/>
        <w:jc w:val="both"/>
        <w:rPr>
          <w:rFonts w:eastAsia="Times"/>
          <w:sz w:val="20"/>
          <w:szCs w:val="20"/>
          <w:lang w:val="es-ES_tradnl"/>
        </w:rPr>
      </w:pPr>
      <w:r w:rsidRPr="00BB5131">
        <w:rPr>
          <w:rFonts w:eastAsia="Times"/>
          <w:sz w:val="20"/>
          <w:szCs w:val="20"/>
          <w:lang w:val="es-ES_tradnl"/>
        </w:rPr>
        <w:t xml:space="preserve">En este sentido, y </w:t>
      </w:r>
      <w:r w:rsidRPr="00BB5131">
        <w:rPr>
          <w:rFonts w:eastAsia="Times"/>
          <w:sz w:val="20"/>
          <w:szCs w:val="20"/>
          <w:lang w:val="es-CL"/>
        </w:rPr>
        <w:t>frente</w:t>
      </w:r>
      <w:r w:rsidRPr="00BB5131">
        <w:rPr>
          <w:rFonts w:eastAsia="Times"/>
          <w:sz w:val="20"/>
          <w:szCs w:val="20"/>
          <w:lang w:val="es-ES_tradnl"/>
        </w:rPr>
        <w:t xml:space="preserve"> a los requisitos previamente analizados, la Corte </w:t>
      </w:r>
      <w:r w:rsidR="0077155E" w:rsidRPr="00BB5131">
        <w:rPr>
          <w:rFonts w:eastAsia="Times"/>
          <w:sz w:val="20"/>
          <w:szCs w:val="20"/>
          <w:lang w:val="es-ES_tradnl"/>
        </w:rPr>
        <w:t xml:space="preserve">reitera que se </w:t>
      </w:r>
      <w:r w:rsidR="00432AAE" w:rsidRPr="00BB5131">
        <w:rPr>
          <w:rFonts w:eastAsia="Times"/>
          <w:sz w:val="20"/>
          <w:szCs w:val="20"/>
          <w:lang w:val="es-ES_tradnl"/>
        </w:rPr>
        <w:t xml:space="preserve">aprecia </w:t>
      </w:r>
      <w:r w:rsidR="00432AAE" w:rsidRPr="00BB5131">
        <w:rPr>
          <w:rFonts w:eastAsia="Times"/>
          <w:i/>
          <w:sz w:val="20"/>
          <w:szCs w:val="20"/>
          <w:lang w:val="es-ES_tradnl"/>
        </w:rPr>
        <w:t>prima facie</w:t>
      </w:r>
      <w:r w:rsidR="00E5116D" w:rsidRPr="00BB5131">
        <w:rPr>
          <w:rFonts w:eastAsia="Times"/>
          <w:i/>
          <w:sz w:val="20"/>
          <w:szCs w:val="20"/>
          <w:lang w:val="es-ES_tradnl"/>
        </w:rPr>
        <w:t xml:space="preserve"> </w:t>
      </w:r>
      <w:r w:rsidR="00E5116D" w:rsidRPr="00BB5131">
        <w:rPr>
          <w:rFonts w:eastAsia="Times"/>
          <w:sz w:val="20"/>
          <w:szCs w:val="20"/>
          <w:lang w:val="es-ES_tradnl"/>
        </w:rPr>
        <w:t>que, a pesar de la adopción de medidas cautelares</w:t>
      </w:r>
      <w:r w:rsidR="00EC48EA" w:rsidRPr="00BB5131">
        <w:rPr>
          <w:rFonts w:eastAsia="Times"/>
          <w:sz w:val="20"/>
          <w:szCs w:val="20"/>
          <w:lang w:val="es-ES_tradnl"/>
        </w:rPr>
        <w:t xml:space="preserve"> y de las acciones emprendidas por el Estado</w:t>
      </w:r>
      <w:r w:rsidR="00E5116D" w:rsidRPr="00BB5131">
        <w:rPr>
          <w:rFonts w:eastAsia="Times"/>
          <w:sz w:val="20"/>
          <w:szCs w:val="20"/>
          <w:lang w:val="es-ES_tradnl"/>
        </w:rPr>
        <w:t xml:space="preserve">, </w:t>
      </w:r>
      <w:r w:rsidR="00DE5C32" w:rsidRPr="00BB5131">
        <w:rPr>
          <w:rFonts w:eastAsia="Times"/>
          <w:sz w:val="20"/>
          <w:szCs w:val="20"/>
          <w:lang w:val="es-ES_tradnl"/>
        </w:rPr>
        <w:t xml:space="preserve">se </w:t>
      </w:r>
      <w:r w:rsidR="0077155E" w:rsidRPr="00BB5131">
        <w:rPr>
          <w:rFonts w:eastAsia="Times"/>
          <w:sz w:val="20"/>
          <w:szCs w:val="20"/>
          <w:lang w:val="es-ES_tradnl"/>
        </w:rPr>
        <w:t xml:space="preserve">seguiría </w:t>
      </w:r>
      <w:r w:rsidR="00DE5C32" w:rsidRPr="00BB5131">
        <w:rPr>
          <w:rFonts w:eastAsia="Times"/>
          <w:sz w:val="20"/>
          <w:szCs w:val="20"/>
          <w:lang w:val="es-ES_tradnl"/>
        </w:rPr>
        <w:t>presenta</w:t>
      </w:r>
      <w:r w:rsidR="0077155E" w:rsidRPr="00BB5131">
        <w:rPr>
          <w:rFonts w:eastAsia="Times"/>
          <w:sz w:val="20"/>
          <w:szCs w:val="20"/>
          <w:lang w:val="es-ES_tradnl"/>
        </w:rPr>
        <w:t>ndo</w:t>
      </w:r>
      <w:r w:rsidR="00DE5C32" w:rsidRPr="00BB5131">
        <w:rPr>
          <w:rFonts w:eastAsia="Times"/>
          <w:sz w:val="20"/>
          <w:szCs w:val="20"/>
          <w:lang w:val="es-ES_tradnl"/>
        </w:rPr>
        <w:t xml:space="preserve"> una situación de extrema gravedad y urgencia</w:t>
      </w:r>
      <w:r w:rsidR="00A21E6A" w:rsidRPr="00BB5131">
        <w:rPr>
          <w:rFonts w:eastAsia="Times"/>
          <w:sz w:val="20"/>
          <w:szCs w:val="20"/>
          <w:lang w:val="es-ES_tradnl"/>
        </w:rPr>
        <w:t>. Lo anterior debido a que</w:t>
      </w:r>
      <w:r w:rsidR="0077155E" w:rsidRPr="00BB5131">
        <w:rPr>
          <w:rFonts w:eastAsia="Times"/>
          <w:sz w:val="20"/>
          <w:szCs w:val="20"/>
          <w:lang w:val="es-ES_tradnl"/>
        </w:rPr>
        <w:t xml:space="preserve"> aún</w:t>
      </w:r>
      <w:r w:rsidR="00DE5C32" w:rsidRPr="00BB5131">
        <w:rPr>
          <w:rFonts w:eastAsia="Times"/>
          <w:sz w:val="20"/>
          <w:szCs w:val="20"/>
          <w:lang w:val="es-ES_tradnl"/>
        </w:rPr>
        <w:t xml:space="preserve"> </w:t>
      </w:r>
      <w:r w:rsidR="00E5116D" w:rsidRPr="00BB5131">
        <w:rPr>
          <w:rFonts w:eastAsia="Times"/>
          <w:sz w:val="20"/>
          <w:szCs w:val="20"/>
          <w:lang w:val="es-ES_tradnl"/>
        </w:rPr>
        <w:t>subsist</w:t>
      </w:r>
      <w:r w:rsidR="0077155E" w:rsidRPr="00BB5131">
        <w:rPr>
          <w:rFonts w:eastAsia="Times"/>
          <w:sz w:val="20"/>
          <w:szCs w:val="20"/>
          <w:lang w:val="es-ES_tradnl"/>
        </w:rPr>
        <w:t>iría</w:t>
      </w:r>
      <w:r w:rsidR="00E5116D" w:rsidRPr="00BB5131">
        <w:rPr>
          <w:rFonts w:eastAsia="Times"/>
          <w:sz w:val="20"/>
          <w:szCs w:val="20"/>
          <w:lang w:val="es-ES_tradnl"/>
        </w:rPr>
        <w:t xml:space="preserve"> un riesgo</w:t>
      </w:r>
      <w:r w:rsidR="00A21E6A" w:rsidRPr="00BB5131">
        <w:rPr>
          <w:rFonts w:eastAsia="Times"/>
          <w:sz w:val="20"/>
          <w:szCs w:val="20"/>
          <w:lang w:val="es-ES_tradnl"/>
        </w:rPr>
        <w:t xml:space="preserve">, ya sea en lo individual o colectivo, para los miembros de </w:t>
      </w:r>
      <w:r w:rsidR="002107DE" w:rsidRPr="00BB5131">
        <w:rPr>
          <w:rFonts w:eastAsia="Times"/>
          <w:sz w:val="20"/>
          <w:szCs w:val="20"/>
          <w:lang w:val="es-ES_tradnl"/>
        </w:rPr>
        <w:t xml:space="preserve">la </w:t>
      </w:r>
      <w:r w:rsidR="00494153" w:rsidRPr="00BB5131">
        <w:rPr>
          <w:rFonts w:eastAsia="Times"/>
          <w:sz w:val="20"/>
          <w:szCs w:val="20"/>
          <w:lang w:val="es-ES_tradnl"/>
        </w:rPr>
        <w:t>C</w:t>
      </w:r>
      <w:r w:rsidR="00A21E6A" w:rsidRPr="00BB5131">
        <w:rPr>
          <w:rFonts w:eastAsia="Times"/>
          <w:sz w:val="20"/>
          <w:szCs w:val="20"/>
          <w:lang w:val="es-ES_tradnl"/>
        </w:rPr>
        <w:t xml:space="preserve">omunidad </w:t>
      </w:r>
      <w:r w:rsidR="002107DE" w:rsidRPr="00BB5131">
        <w:rPr>
          <w:rFonts w:eastAsia="Times"/>
          <w:sz w:val="20"/>
          <w:szCs w:val="20"/>
          <w:lang w:val="es-ES_tradnl"/>
        </w:rPr>
        <w:t xml:space="preserve">de </w:t>
      </w:r>
      <w:proofErr w:type="spellStart"/>
      <w:r w:rsidR="002107DE" w:rsidRPr="00BB5131">
        <w:rPr>
          <w:rFonts w:eastAsia="Times"/>
          <w:sz w:val="20"/>
          <w:szCs w:val="20"/>
          <w:lang w:val="es-ES_tradnl"/>
        </w:rPr>
        <w:t>Choréachi</w:t>
      </w:r>
      <w:proofErr w:type="spellEnd"/>
      <w:r w:rsidR="002107DE" w:rsidRPr="00BB5131">
        <w:rPr>
          <w:rFonts w:eastAsia="Times"/>
          <w:sz w:val="20"/>
          <w:szCs w:val="20"/>
          <w:lang w:val="es-ES_tradnl"/>
        </w:rPr>
        <w:t xml:space="preserve"> </w:t>
      </w:r>
      <w:r w:rsidR="00A21E6A" w:rsidRPr="00BB5131">
        <w:rPr>
          <w:rFonts w:eastAsia="Times"/>
          <w:sz w:val="20"/>
          <w:szCs w:val="20"/>
          <w:lang w:val="es-ES_tradnl"/>
        </w:rPr>
        <w:t xml:space="preserve">de sufrir actos de agresión contra su vida e integridad personal y colectividad. Dicho riesgo </w:t>
      </w:r>
      <w:r w:rsidR="00B2182A" w:rsidRPr="00BB5131">
        <w:rPr>
          <w:rFonts w:eastAsia="Times"/>
          <w:sz w:val="20"/>
          <w:szCs w:val="20"/>
          <w:lang w:val="es-ES_tradnl"/>
        </w:rPr>
        <w:t>se ha</w:t>
      </w:r>
      <w:r w:rsidR="0077155E" w:rsidRPr="00BB5131">
        <w:rPr>
          <w:rFonts w:eastAsia="Times"/>
          <w:sz w:val="20"/>
          <w:szCs w:val="20"/>
          <w:lang w:val="es-ES_tradnl"/>
        </w:rPr>
        <w:t>bría</w:t>
      </w:r>
      <w:r w:rsidR="00B2182A" w:rsidRPr="00BB5131">
        <w:rPr>
          <w:rFonts w:eastAsia="Times"/>
          <w:sz w:val="20"/>
          <w:szCs w:val="20"/>
          <w:lang w:val="es-ES_tradnl"/>
        </w:rPr>
        <w:t xml:space="preserve"> materializado recientemente con la muerte de</w:t>
      </w:r>
      <w:r w:rsidR="00494153" w:rsidRPr="00BB5131">
        <w:rPr>
          <w:rFonts w:eastAsia="Times"/>
          <w:sz w:val="20"/>
          <w:szCs w:val="20"/>
          <w:lang w:val="es-ES_tradnl"/>
        </w:rPr>
        <w:t>l señor</w:t>
      </w:r>
      <w:r w:rsidR="00B2182A" w:rsidRPr="00BB5131">
        <w:rPr>
          <w:rFonts w:eastAsia="Times"/>
          <w:sz w:val="20"/>
          <w:szCs w:val="20"/>
          <w:lang w:val="es-ES_tradnl"/>
        </w:rPr>
        <w:t xml:space="preserve"> </w:t>
      </w:r>
      <w:r w:rsidR="00EC48EA" w:rsidRPr="00BB5131">
        <w:rPr>
          <w:rFonts w:eastAsia="Times"/>
          <w:sz w:val="20"/>
          <w:szCs w:val="20"/>
          <w:lang w:val="es-ES_tradnl"/>
        </w:rPr>
        <w:t>Juan Ontiveros</w:t>
      </w:r>
      <w:r w:rsidR="00B2182A" w:rsidRPr="00BB5131">
        <w:rPr>
          <w:rFonts w:eastAsia="Times"/>
          <w:sz w:val="20"/>
          <w:szCs w:val="20"/>
          <w:lang w:val="es-ES_tradnl"/>
        </w:rPr>
        <w:t xml:space="preserve"> y </w:t>
      </w:r>
      <w:r w:rsidR="0077155E" w:rsidRPr="00BB5131">
        <w:rPr>
          <w:rFonts w:eastAsia="Times"/>
          <w:sz w:val="20"/>
          <w:szCs w:val="20"/>
          <w:lang w:val="es-ES_tradnl"/>
        </w:rPr>
        <w:t>otras situaciones de amenazas</w:t>
      </w:r>
      <w:r w:rsidR="00B2182A" w:rsidRPr="00BB5131">
        <w:rPr>
          <w:rFonts w:eastAsia="Times"/>
          <w:sz w:val="20"/>
          <w:szCs w:val="20"/>
          <w:lang w:val="es-ES_tradnl"/>
        </w:rPr>
        <w:t xml:space="preserve"> </w:t>
      </w:r>
      <w:r w:rsidR="0077155E" w:rsidRPr="00BB5131">
        <w:rPr>
          <w:rFonts w:eastAsia="Times"/>
          <w:sz w:val="20"/>
          <w:szCs w:val="20"/>
          <w:lang w:val="es-ES_tradnl"/>
        </w:rPr>
        <w:t xml:space="preserve">que habrían </w:t>
      </w:r>
      <w:r w:rsidR="00B2182A" w:rsidRPr="00BB5131">
        <w:rPr>
          <w:rFonts w:eastAsia="Times"/>
          <w:sz w:val="20"/>
          <w:szCs w:val="20"/>
          <w:lang w:val="es-ES_tradnl"/>
        </w:rPr>
        <w:t>ocurrid</w:t>
      </w:r>
      <w:r w:rsidR="0077155E" w:rsidRPr="00BB5131">
        <w:rPr>
          <w:rFonts w:eastAsia="Times"/>
          <w:sz w:val="20"/>
          <w:szCs w:val="20"/>
          <w:lang w:val="es-ES_tradnl"/>
        </w:rPr>
        <w:t>o</w:t>
      </w:r>
      <w:r w:rsidR="00B2182A" w:rsidRPr="00BB5131">
        <w:rPr>
          <w:rFonts w:eastAsia="Times"/>
          <w:sz w:val="20"/>
          <w:szCs w:val="20"/>
          <w:lang w:val="es-ES_tradnl"/>
        </w:rPr>
        <w:t xml:space="preserve"> en el mes de enero de 2017</w:t>
      </w:r>
      <w:r w:rsidR="00EC48EA" w:rsidRPr="00BB5131">
        <w:rPr>
          <w:rFonts w:eastAsia="Times"/>
          <w:sz w:val="20"/>
          <w:szCs w:val="20"/>
          <w:lang w:val="es-ES_tradnl"/>
        </w:rPr>
        <w:t xml:space="preserve">, </w:t>
      </w:r>
      <w:r w:rsidR="0077155E" w:rsidRPr="00BB5131">
        <w:rPr>
          <w:rFonts w:eastAsia="Times"/>
          <w:sz w:val="20"/>
          <w:szCs w:val="20"/>
          <w:lang w:val="es-ES_tradnl"/>
        </w:rPr>
        <w:t xml:space="preserve">y </w:t>
      </w:r>
      <w:r w:rsidR="00EC48EA" w:rsidRPr="00BB5131">
        <w:rPr>
          <w:rFonts w:eastAsia="Times"/>
          <w:sz w:val="20"/>
          <w:szCs w:val="20"/>
          <w:lang w:val="es-ES_tradnl"/>
        </w:rPr>
        <w:t xml:space="preserve">a los cuales el Estado no hizo referencia, y que </w:t>
      </w:r>
      <w:r w:rsidR="0077155E" w:rsidRPr="00BB5131">
        <w:rPr>
          <w:rFonts w:eastAsia="Times"/>
          <w:sz w:val="20"/>
          <w:szCs w:val="20"/>
          <w:lang w:val="es-ES_tradnl"/>
        </w:rPr>
        <w:t xml:space="preserve">habrían </w:t>
      </w:r>
      <w:r w:rsidR="00EC48EA" w:rsidRPr="00BB5131">
        <w:rPr>
          <w:rFonts w:eastAsia="Times"/>
          <w:sz w:val="20"/>
          <w:szCs w:val="20"/>
          <w:lang w:val="es-ES_tradnl"/>
        </w:rPr>
        <w:t>acaeci</w:t>
      </w:r>
      <w:r w:rsidR="0077155E" w:rsidRPr="00BB5131">
        <w:rPr>
          <w:rFonts w:eastAsia="Times"/>
          <w:sz w:val="20"/>
          <w:szCs w:val="20"/>
          <w:lang w:val="es-ES_tradnl"/>
        </w:rPr>
        <w:t>do</w:t>
      </w:r>
      <w:r w:rsidR="00EC48EA" w:rsidRPr="00BB5131">
        <w:rPr>
          <w:rFonts w:eastAsia="Times"/>
          <w:sz w:val="20"/>
          <w:szCs w:val="20"/>
          <w:lang w:val="es-ES_tradnl"/>
        </w:rPr>
        <w:t xml:space="preserve"> con posterioridad a la puesta en práctica de todas las acciones </w:t>
      </w:r>
      <w:r w:rsidR="00F10A78" w:rsidRPr="00BB5131">
        <w:rPr>
          <w:rFonts w:eastAsia="Times"/>
          <w:sz w:val="20"/>
          <w:szCs w:val="20"/>
          <w:lang w:val="es-ES_tradnl"/>
        </w:rPr>
        <w:t>de protección por él indicadas</w:t>
      </w:r>
      <w:r w:rsidR="00A21E6A" w:rsidRPr="00BB5131">
        <w:rPr>
          <w:rFonts w:eastAsia="Times"/>
          <w:sz w:val="20"/>
          <w:szCs w:val="20"/>
          <w:lang w:val="es-ES_tradnl"/>
        </w:rPr>
        <w:t xml:space="preserve">. Derivado de lo anterior, y </w:t>
      </w:r>
      <w:r w:rsidR="00E5116D" w:rsidRPr="00BB5131">
        <w:rPr>
          <w:rFonts w:eastAsia="Times"/>
          <w:sz w:val="20"/>
          <w:szCs w:val="20"/>
          <w:lang w:val="es-ES_tradnl"/>
        </w:rPr>
        <w:t xml:space="preserve">con el fin de evitar </w:t>
      </w:r>
      <w:r w:rsidR="00A21E6A" w:rsidRPr="00BB5131">
        <w:rPr>
          <w:rFonts w:eastAsia="Times"/>
          <w:sz w:val="20"/>
          <w:szCs w:val="20"/>
          <w:lang w:val="es-ES_tradnl"/>
        </w:rPr>
        <w:t xml:space="preserve">que se vuelva a producir </w:t>
      </w:r>
      <w:r w:rsidR="00E5116D" w:rsidRPr="00BB5131">
        <w:rPr>
          <w:rFonts w:eastAsia="Times"/>
          <w:sz w:val="20"/>
          <w:szCs w:val="20"/>
          <w:lang w:val="es-ES_tradnl"/>
        </w:rPr>
        <w:t>un daño irreparable</w:t>
      </w:r>
      <w:r w:rsidR="00A21E6A" w:rsidRPr="00BB5131">
        <w:rPr>
          <w:rFonts w:eastAsia="Times"/>
          <w:sz w:val="20"/>
          <w:szCs w:val="20"/>
          <w:lang w:val="es-ES_tradnl"/>
        </w:rPr>
        <w:t>, como lo sería una afectación al derecho a la vida o a la integridad personal</w:t>
      </w:r>
      <w:r w:rsidR="00E5116D" w:rsidRPr="00BB5131">
        <w:rPr>
          <w:rFonts w:eastAsia="Times"/>
          <w:sz w:val="20"/>
          <w:szCs w:val="20"/>
          <w:lang w:val="es-ES_tradnl"/>
        </w:rPr>
        <w:t xml:space="preserve">, </w:t>
      </w:r>
      <w:r w:rsidR="00432AAE" w:rsidRPr="00BB5131">
        <w:rPr>
          <w:rFonts w:eastAsia="Times"/>
          <w:sz w:val="20"/>
          <w:szCs w:val="20"/>
          <w:lang w:val="es-ES_tradnl"/>
        </w:rPr>
        <w:t xml:space="preserve">la Corte </w:t>
      </w:r>
      <w:r w:rsidR="00DE5C32" w:rsidRPr="00BB5131">
        <w:rPr>
          <w:rFonts w:eastAsia="Times"/>
          <w:sz w:val="20"/>
          <w:szCs w:val="20"/>
          <w:lang w:val="es-ES_tradnl"/>
        </w:rPr>
        <w:t xml:space="preserve">considera pertinente disponer medidas provisionales de protección en favor de todos integrantes de la Comunidad indígena de </w:t>
      </w:r>
      <w:proofErr w:type="spellStart"/>
      <w:r w:rsidR="00DE5C32" w:rsidRPr="00BB5131">
        <w:rPr>
          <w:rFonts w:eastAsia="Times"/>
          <w:sz w:val="20"/>
          <w:szCs w:val="20"/>
          <w:lang w:val="es-ES_tradnl"/>
        </w:rPr>
        <w:t>Choréachi</w:t>
      </w:r>
      <w:proofErr w:type="spellEnd"/>
      <w:r w:rsidR="00DE5C32" w:rsidRPr="00BB5131">
        <w:rPr>
          <w:rFonts w:eastAsia="Times"/>
          <w:sz w:val="20"/>
          <w:szCs w:val="20"/>
          <w:lang w:val="es-ES_tradnl"/>
        </w:rPr>
        <w:t>,</w:t>
      </w:r>
      <w:r w:rsidR="00447C0D" w:rsidRPr="00BB5131">
        <w:rPr>
          <w:rFonts w:eastAsia="Times"/>
          <w:sz w:val="20"/>
          <w:szCs w:val="20"/>
          <w:lang w:val="es-ES_tradnl"/>
        </w:rPr>
        <w:t xml:space="preserve"> a fin de garantizar su </w:t>
      </w:r>
      <w:r w:rsidR="00447C0D" w:rsidRPr="00BB5131">
        <w:rPr>
          <w:rFonts w:eastAsia="Calibri"/>
          <w:spacing w:val="-4"/>
          <w:sz w:val="20"/>
          <w:lang w:val="es-CR"/>
        </w:rPr>
        <w:t>vida</w:t>
      </w:r>
      <w:r w:rsidR="00447C0D" w:rsidRPr="00BB5131">
        <w:rPr>
          <w:rFonts w:eastAsia="Times"/>
          <w:sz w:val="20"/>
          <w:szCs w:val="20"/>
          <w:lang w:val="es-ES_tradnl"/>
        </w:rPr>
        <w:t xml:space="preserve">, integridad personal, así como la seguridad colectiva de todos sus miembros. </w:t>
      </w:r>
    </w:p>
    <w:p w14:paraId="730F33AA" w14:textId="63EAA17A" w:rsidR="0005479D" w:rsidRPr="00BB5131" w:rsidRDefault="00E8530C" w:rsidP="0005479D">
      <w:pPr>
        <w:pStyle w:val="Prrafodelista1"/>
        <w:numPr>
          <w:ilvl w:val="0"/>
          <w:numId w:val="1"/>
        </w:numPr>
        <w:tabs>
          <w:tab w:val="num" w:pos="0"/>
        </w:tabs>
        <w:spacing w:before="120" w:after="120"/>
        <w:ind w:left="0" w:firstLine="0"/>
        <w:contextualSpacing w:val="0"/>
        <w:jc w:val="both"/>
        <w:rPr>
          <w:lang w:val="es-MX"/>
        </w:rPr>
      </w:pPr>
      <w:r w:rsidRPr="00BB5131">
        <w:rPr>
          <w:sz w:val="20"/>
          <w:lang w:val="es-ES_tradnl"/>
        </w:rPr>
        <w:t xml:space="preserve">A luz de lo anterior, </w:t>
      </w:r>
      <w:r w:rsidR="00494153" w:rsidRPr="00BB5131">
        <w:rPr>
          <w:rFonts w:eastAsia="Times"/>
          <w:sz w:val="20"/>
          <w:szCs w:val="20"/>
          <w:lang w:val="es-ES_tradnl"/>
        </w:rPr>
        <w:t xml:space="preserve">el Estado debe continuar implementando las medidas de protección que ya fueron dispuestas y, adicionalmente, </w:t>
      </w:r>
      <w:r w:rsidR="00D877FA" w:rsidRPr="00BB5131">
        <w:rPr>
          <w:sz w:val="20"/>
          <w:lang w:val="es-ES_tradnl"/>
        </w:rPr>
        <w:t>debe adoptar</w:t>
      </w:r>
      <w:r w:rsidR="007F2F0C" w:rsidRPr="00BB5131">
        <w:rPr>
          <w:sz w:val="20"/>
          <w:lang w:val="es-ES_tradnl"/>
        </w:rPr>
        <w:t xml:space="preserve"> todas las otras medidas que puedan ser necesarias para proteger la vida e integridad de los miembros </w:t>
      </w:r>
      <w:r w:rsidR="007F2F0C" w:rsidRPr="00BB5131">
        <w:rPr>
          <w:sz w:val="20"/>
          <w:lang w:val="es-ES_tradnl"/>
        </w:rPr>
        <w:lastRenderedPageBreak/>
        <w:t xml:space="preserve">de la Comunidad indígena de </w:t>
      </w:r>
      <w:proofErr w:type="spellStart"/>
      <w:r w:rsidR="007F2F0C" w:rsidRPr="00BB5131">
        <w:rPr>
          <w:sz w:val="20"/>
          <w:lang w:val="es-ES_tradnl"/>
        </w:rPr>
        <w:t>Choréachi</w:t>
      </w:r>
      <w:proofErr w:type="spellEnd"/>
      <w:r w:rsidR="007F2F0C" w:rsidRPr="00BB5131">
        <w:rPr>
          <w:sz w:val="20"/>
          <w:lang w:val="es-ES_tradnl"/>
        </w:rPr>
        <w:t xml:space="preserve">. Para tal efecto, </w:t>
      </w:r>
      <w:r w:rsidR="00DD3FE5" w:rsidRPr="00BB5131">
        <w:rPr>
          <w:spacing w:val="-4"/>
          <w:sz w:val="20"/>
          <w:lang w:val="es-CR"/>
        </w:rPr>
        <w:t xml:space="preserve">y </w:t>
      </w:r>
      <w:r w:rsidR="00D877FA" w:rsidRPr="00BB5131">
        <w:rPr>
          <w:spacing w:val="-4"/>
          <w:sz w:val="20"/>
          <w:lang w:val="es-CR"/>
        </w:rPr>
        <w:t>con el fin de</w:t>
      </w:r>
      <w:r w:rsidR="00DD3FE5" w:rsidRPr="00BB5131">
        <w:rPr>
          <w:rFonts w:eastAsia="Calibri"/>
          <w:spacing w:val="-4"/>
          <w:sz w:val="20"/>
          <w:lang w:val="es-CR"/>
        </w:rPr>
        <w:t xml:space="preserve"> </w:t>
      </w:r>
      <w:r w:rsidR="00F15659" w:rsidRPr="00BB5131">
        <w:rPr>
          <w:rFonts w:eastAsia="Calibri"/>
          <w:spacing w:val="-4"/>
          <w:sz w:val="20"/>
          <w:lang w:val="es-CR"/>
        </w:rPr>
        <w:t xml:space="preserve">evaluar adecuadamente la implementación de las presentes medidas a todos los beneficiarios, resulta indispensable que: a) el Estado realice un diagnóstico actualizado sobre la situación de la Comunidad y sus miembros, en el cual </w:t>
      </w:r>
      <w:r w:rsidR="00494153" w:rsidRPr="00BB5131">
        <w:rPr>
          <w:rFonts w:eastAsia="Calibri"/>
          <w:spacing w:val="-4"/>
          <w:sz w:val="20"/>
          <w:lang w:val="es-CR"/>
        </w:rPr>
        <w:t xml:space="preserve">informe </w:t>
      </w:r>
      <w:r w:rsidR="00F15659" w:rsidRPr="00BB5131">
        <w:rPr>
          <w:spacing w:val="-4"/>
          <w:sz w:val="20"/>
        </w:rPr>
        <w:t xml:space="preserve">sobre la intensidad y naturaleza </w:t>
      </w:r>
      <w:r w:rsidR="00F15659" w:rsidRPr="00BB5131">
        <w:rPr>
          <w:rFonts w:eastAsia="Calibri"/>
          <w:spacing w:val="-4"/>
          <w:sz w:val="20"/>
          <w:lang w:val="es-CR"/>
        </w:rPr>
        <w:t>de un riesgo a s</w:t>
      </w:r>
      <w:r w:rsidR="0010747E" w:rsidRPr="00BB5131">
        <w:rPr>
          <w:rFonts w:eastAsia="Calibri"/>
          <w:spacing w:val="-4"/>
          <w:sz w:val="20"/>
          <w:lang w:val="es-CR"/>
        </w:rPr>
        <w:t>u vida e integridad</w:t>
      </w:r>
      <w:r w:rsidR="00EC48EA" w:rsidRPr="00BB5131">
        <w:rPr>
          <w:rFonts w:eastAsia="Calibri"/>
          <w:spacing w:val="-4"/>
          <w:sz w:val="20"/>
          <w:lang w:val="es-CR"/>
        </w:rPr>
        <w:t>, en particular a la luz de los hechos de violencia ocurridos recientemente</w:t>
      </w:r>
      <w:r w:rsidR="0010747E" w:rsidRPr="00BB5131">
        <w:rPr>
          <w:rFonts w:eastAsia="Calibri"/>
          <w:spacing w:val="-4"/>
          <w:sz w:val="20"/>
          <w:lang w:val="es-CR"/>
        </w:rPr>
        <w:t>, y</w:t>
      </w:r>
      <w:r w:rsidR="00F15659" w:rsidRPr="00BB5131">
        <w:rPr>
          <w:rFonts w:eastAsia="Calibri"/>
          <w:spacing w:val="-4"/>
          <w:sz w:val="20"/>
          <w:lang w:val="es-CR"/>
        </w:rPr>
        <w:t xml:space="preserve"> b) </w:t>
      </w:r>
      <w:r w:rsidR="0010747E" w:rsidRPr="00BB5131">
        <w:rPr>
          <w:rFonts w:eastAsia="Calibri"/>
          <w:spacing w:val="-4"/>
          <w:sz w:val="20"/>
          <w:lang w:val="es-CR"/>
        </w:rPr>
        <w:t xml:space="preserve">de forma inmediata proceda a sostener una reunión con los representantes de la Comunidad </w:t>
      </w:r>
      <w:proofErr w:type="spellStart"/>
      <w:r w:rsidR="0010747E" w:rsidRPr="00BB5131">
        <w:rPr>
          <w:rFonts w:eastAsia="Calibri"/>
          <w:spacing w:val="-4"/>
          <w:sz w:val="20"/>
          <w:lang w:val="es-CR"/>
        </w:rPr>
        <w:t>Choréachi</w:t>
      </w:r>
      <w:proofErr w:type="spellEnd"/>
      <w:r w:rsidR="0010747E" w:rsidRPr="00BB5131">
        <w:rPr>
          <w:rFonts w:eastAsia="Calibri"/>
          <w:spacing w:val="-4"/>
          <w:sz w:val="20"/>
          <w:lang w:val="es-CR"/>
        </w:rPr>
        <w:t xml:space="preserve"> para que se coordine la adopción de medidas adicionales a las que ya viene adoptando el Estado</w:t>
      </w:r>
      <w:r w:rsidR="00021B18" w:rsidRPr="00BB5131">
        <w:rPr>
          <w:rFonts w:eastAsia="Calibri"/>
          <w:spacing w:val="-4"/>
          <w:sz w:val="20"/>
          <w:lang w:val="es-CR"/>
        </w:rPr>
        <w:t xml:space="preserve"> y que sean pertinentes para la protección de la vida e integridad de los miembros de la Comunidad</w:t>
      </w:r>
      <w:r w:rsidR="0010747E" w:rsidRPr="00BB5131">
        <w:rPr>
          <w:rFonts w:eastAsia="Calibri"/>
          <w:spacing w:val="-4"/>
          <w:sz w:val="20"/>
          <w:lang w:val="es-CR"/>
        </w:rPr>
        <w:t>.</w:t>
      </w:r>
      <w:r w:rsidR="0005479D" w:rsidRPr="00BB5131">
        <w:rPr>
          <w:rFonts w:eastAsia="Calibri"/>
          <w:spacing w:val="-4"/>
          <w:sz w:val="20"/>
          <w:lang w:val="es-CR"/>
        </w:rPr>
        <w:t xml:space="preserve"> </w:t>
      </w:r>
    </w:p>
    <w:p w14:paraId="293DE996" w14:textId="77777777" w:rsidR="004B20EF" w:rsidRPr="00BB5131" w:rsidRDefault="004B20EF" w:rsidP="004B20EF">
      <w:pPr>
        <w:tabs>
          <w:tab w:val="left" w:pos="567"/>
        </w:tabs>
        <w:spacing w:before="240" w:after="240" w:line="240" w:lineRule="auto"/>
        <w:jc w:val="both"/>
        <w:rPr>
          <w:rFonts w:ascii="Verdana" w:hAnsi="Verdana"/>
          <w:b/>
          <w:spacing w:val="-4"/>
          <w:sz w:val="20"/>
          <w:lang w:val="es-MX"/>
        </w:rPr>
      </w:pPr>
      <w:r w:rsidRPr="00BB5131">
        <w:rPr>
          <w:rFonts w:ascii="Verdana" w:hAnsi="Verdana"/>
          <w:b/>
          <w:spacing w:val="-4"/>
          <w:sz w:val="20"/>
          <w:lang w:val="es-MX"/>
        </w:rPr>
        <w:t>POR TANTO:</w:t>
      </w:r>
    </w:p>
    <w:p w14:paraId="4736D777" w14:textId="77777777" w:rsidR="004B20EF" w:rsidRPr="00BB5131" w:rsidRDefault="004B20EF" w:rsidP="004B20EF">
      <w:pPr>
        <w:tabs>
          <w:tab w:val="left" w:pos="567"/>
        </w:tabs>
        <w:spacing w:before="240" w:after="240" w:line="240" w:lineRule="auto"/>
        <w:jc w:val="both"/>
        <w:rPr>
          <w:rFonts w:ascii="Verdana" w:hAnsi="Verdana"/>
          <w:b/>
          <w:spacing w:val="-4"/>
          <w:sz w:val="20"/>
          <w:lang w:val="es-MX"/>
        </w:rPr>
      </w:pPr>
      <w:r w:rsidRPr="00BB5131">
        <w:rPr>
          <w:rFonts w:ascii="Verdana" w:hAnsi="Verdana"/>
          <w:b/>
          <w:spacing w:val="-4"/>
          <w:sz w:val="20"/>
          <w:lang w:val="es-MX"/>
        </w:rPr>
        <w:t>LA CORTE INTERAMERICANA DE DERECHOS HUMANOS,</w:t>
      </w:r>
    </w:p>
    <w:p w14:paraId="1DF4BE02" w14:textId="77777777" w:rsidR="004B20EF" w:rsidRPr="00BB5131" w:rsidRDefault="004B20EF" w:rsidP="004B20EF">
      <w:pPr>
        <w:jc w:val="both"/>
        <w:rPr>
          <w:rFonts w:ascii="Verdana" w:hAnsi="Verdana"/>
          <w:sz w:val="20"/>
          <w:lang w:val="es-MX"/>
        </w:rPr>
      </w:pPr>
      <w:r w:rsidRPr="00BB5131">
        <w:rPr>
          <w:rFonts w:ascii="Verdana" w:hAnsi="Verdana"/>
          <w:sz w:val="20"/>
          <w:lang w:val="es-MX"/>
        </w:rPr>
        <w:t>en uso de las atribuciones que le confieren el artículo 63.2 de la Convención Americana, y los artículos 27 y</w:t>
      </w:r>
      <w:r w:rsidRPr="00BB5131">
        <w:rPr>
          <w:rFonts w:ascii="Verdana" w:hAnsi="Verdana"/>
          <w:color w:val="00B050"/>
          <w:sz w:val="20"/>
          <w:lang w:val="es-MX"/>
        </w:rPr>
        <w:t xml:space="preserve"> </w:t>
      </w:r>
      <w:r w:rsidRPr="00BB5131">
        <w:rPr>
          <w:rFonts w:ascii="Verdana" w:hAnsi="Verdana"/>
          <w:sz w:val="20"/>
          <w:lang w:val="es-MX"/>
        </w:rPr>
        <w:t>31 del Reglamento,</w:t>
      </w:r>
    </w:p>
    <w:p w14:paraId="512A1B08" w14:textId="77777777" w:rsidR="004B20EF" w:rsidRPr="00BB5131" w:rsidRDefault="004B20EF" w:rsidP="004B20EF">
      <w:pPr>
        <w:tabs>
          <w:tab w:val="left" w:pos="567"/>
        </w:tabs>
        <w:spacing w:before="240" w:after="240" w:line="240" w:lineRule="auto"/>
        <w:jc w:val="both"/>
        <w:rPr>
          <w:rFonts w:ascii="Verdana" w:hAnsi="Verdana"/>
          <w:b/>
          <w:sz w:val="20"/>
        </w:rPr>
      </w:pPr>
      <w:r w:rsidRPr="00BB5131">
        <w:rPr>
          <w:rFonts w:ascii="Verdana" w:hAnsi="Verdana"/>
          <w:b/>
          <w:spacing w:val="-4"/>
          <w:sz w:val="20"/>
          <w:lang w:val="es-MX"/>
        </w:rPr>
        <w:t>RESUELVE</w:t>
      </w:r>
      <w:r w:rsidRPr="00BB5131">
        <w:rPr>
          <w:rFonts w:ascii="Verdana" w:hAnsi="Verdana"/>
          <w:b/>
          <w:sz w:val="20"/>
        </w:rPr>
        <w:t>:</w:t>
      </w:r>
    </w:p>
    <w:p w14:paraId="575BE69C" w14:textId="269DD6B5" w:rsidR="004B20EF" w:rsidRPr="00BB5131" w:rsidRDefault="004B20EF" w:rsidP="004F35DD">
      <w:pPr>
        <w:numPr>
          <w:ilvl w:val="0"/>
          <w:numId w:val="3"/>
        </w:numPr>
        <w:spacing w:before="120" w:after="120" w:line="240" w:lineRule="auto"/>
        <w:ind w:left="0" w:right="18" w:firstLine="0"/>
        <w:jc w:val="both"/>
        <w:rPr>
          <w:rFonts w:ascii="Verdana" w:hAnsi="Verdana"/>
          <w:sz w:val="20"/>
          <w:lang w:val="es-GT"/>
        </w:rPr>
      </w:pPr>
      <w:r w:rsidRPr="00BB5131">
        <w:rPr>
          <w:rFonts w:ascii="Verdana" w:hAnsi="Verdana"/>
          <w:sz w:val="20"/>
          <w:lang w:val="es-MX"/>
        </w:rPr>
        <w:t xml:space="preserve">Disponer, </w:t>
      </w:r>
      <w:r w:rsidR="00DD3FE5" w:rsidRPr="00BB5131">
        <w:rPr>
          <w:rFonts w:ascii="Verdana" w:hAnsi="Verdana"/>
          <w:sz w:val="20"/>
          <w:lang w:val="es-MX"/>
        </w:rPr>
        <w:t xml:space="preserve">que el Estado de México debe continuar implementando las medidas de protección que ya fueron dispuestas, y </w:t>
      </w:r>
      <w:r w:rsidR="004F35DD" w:rsidRPr="00BB5131">
        <w:rPr>
          <w:rFonts w:ascii="Verdana" w:hAnsi="Verdana"/>
          <w:sz w:val="20"/>
          <w:lang w:val="es-MX"/>
        </w:rPr>
        <w:t xml:space="preserve">adoptar, de manera inmediata, todas las otras acciones necesarias </w:t>
      </w:r>
      <w:r w:rsidRPr="00BB5131">
        <w:rPr>
          <w:rFonts w:ascii="Verdana" w:hAnsi="Verdana"/>
          <w:sz w:val="20"/>
          <w:lang w:val="es-MX"/>
        </w:rPr>
        <w:t xml:space="preserve">destinadas </w:t>
      </w:r>
      <w:r w:rsidR="0019417B" w:rsidRPr="00BB5131">
        <w:rPr>
          <w:rFonts w:ascii="Verdana" w:hAnsi="Verdana"/>
          <w:sz w:val="20"/>
          <w:lang w:val="es-MX"/>
        </w:rPr>
        <w:t>a</w:t>
      </w:r>
      <w:r w:rsidRPr="00BB5131">
        <w:rPr>
          <w:rFonts w:ascii="Verdana" w:hAnsi="Verdana"/>
          <w:sz w:val="20"/>
          <w:lang w:val="es-MX"/>
        </w:rPr>
        <w:t xml:space="preserve"> proteger y garantizar el respeto a la vida, </w:t>
      </w:r>
      <w:r w:rsidR="004F35DD" w:rsidRPr="00BB5131">
        <w:rPr>
          <w:rFonts w:ascii="Verdana" w:hAnsi="Verdana"/>
          <w:sz w:val="20"/>
          <w:lang w:val="es-MX"/>
        </w:rPr>
        <w:t xml:space="preserve">y a la </w:t>
      </w:r>
      <w:r w:rsidRPr="00BB5131">
        <w:rPr>
          <w:rFonts w:ascii="Verdana" w:hAnsi="Verdana"/>
          <w:sz w:val="20"/>
          <w:lang w:val="es-MX"/>
        </w:rPr>
        <w:t xml:space="preserve">integridad personal, en favor de </w:t>
      </w:r>
      <w:r w:rsidR="004F35DD" w:rsidRPr="00BB5131">
        <w:rPr>
          <w:rFonts w:ascii="Verdana" w:hAnsi="Verdana"/>
          <w:sz w:val="20"/>
          <w:lang w:val="es-MX"/>
        </w:rPr>
        <w:t xml:space="preserve">los </w:t>
      </w:r>
      <w:r w:rsidR="00483757" w:rsidRPr="00BB5131">
        <w:rPr>
          <w:rFonts w:ascii="Verdana" w:eastAsia="Times" w:hAnsi="Verdana" w:cs="Times New Roman"/>
          <w:sz w:val="20"/>
          <w:szCs w:val="20"/>
          <w:lang w:val="es-ES_tradnl"/>
        </w:rPr>
        <w:t xml:space="preserve">Integrantes de la Comunidad indígena de </w:t>
      </w:r>
      <w:proofErr w:type="spellStart"/>
      <w:r w:rsidR="00483757" w:rsidRPr="00BB5131">
        <w:rPr>
          <w:rFonts w:ascii="Verdana" w:eastAsia="Times" w:hAnsi="Verdana" w:cs="Times New Roman"/>
          <w:sz w:val="20"/>
          <w:szCs w:val="20"/>
          <w:lang w:val="es-ES_tradnl"/>
        </w:rPr>
        <w:t>Choréachi</w:t>
      </w:r>
      <w:proofErr w:type="spellEnd"/>
      <w:r w:rsidR="00713D12" w:rsidRPr="00BB5131">
        <w:rPr>
          <w:rFonts w:ascii="Verdana" w:eastAsia="Times" w:hAnsi="Verdana" w:cs="Times New Roman"/>
          <w:sz w:val="20"/>
          <w:szCs w:val="20"/>
          <w:lang w:val="es-ES_tradnl"/>
        </w:rPr>
        <w:t xml:space="preserve"> de conformidad con lo establecido en </w:t>
      </w:r>
      <w:r w:rsidR="00685684" w:rsidRPr="00BB5131">
        <w:rPr>
          <w:rFonts w:ascii="Verdana" w:eastAsia="Times" w:hAnsi="Verdana" w:cs="Times New Roman"/>
          <w:sz w:val="20"/>
          <w:szCs w:val="20"/>
          <w:lang w:val="es-ES_tradnl"/>
        </w:rPr>
        <w:t>los Considerando</w:t>
      </w:r>
      <w:r w:rsidR="00CF078F" w:rsidRPr="00BB5131">
        <w:rPr>
          <w:rFonts w:ascii="Verdana" w:eastAsia="Times" w:hAnsi="Verdana" w:cs="Times New Roman"/>
          <w:sz w:val="20"/>
          <w:szCs w:val="20"/>
          <w:lang w:val="es-ES_tradnl"/>
        </w:rPr>
        <w:t>s</w:t>
      </w:r>
      <w:r w:rsidR="00685684" w:rsidRPr="00BB5131">
        <w:rPr>
          <w:rFonts w:ascii="Verdana" w:eastAsia="Times" w:hAnsi="Verdana" w:cs="Times New Roman"/>
          <w:sz w:val="20"/>
          <w:szCs w:val="20"/>
          <w:lang w:val="es-ES_tradnl"/>
        </w:rPr>
        <w:t xml:space="preserve"> </w:t>
      </w:r>
      <w:r w:rsidR="00CF078F" w:rsidRPr="00BB5131">
        <w:rPr>
          <w:rFonts w:ascii="Verdana" w:eastAsia="Times" w:hAnsi="Verdana" w:cs="Times New Roman"/>
          <w:sz w:val="20"/>
          <w:szCs w:val="20"/>
          <w:lang w:val="es-ES_tradnl"/>
        </w:rPr>
        <w:t>20</w:t>
      </w:r>
      <w:r w:rsidR="00685684" w:rsidRPr="00BB5131">
        <w:rPr>
          <w:rFonts w:ascii="Verdana" w:eastAsia="Times" w:hAnsi="Verdana" w:cs="Times New Roman"/>
          <w:sz w:val="20"/>
          <w:szCs w:val="20"/>
          <w:lang w:val="es-ES_tradnl"/>
        </w:rPr>
        <w:t xml:space="preserve"> </w:t>
      </w:r>
      <w:r w:rsidR="00CF078F" w:rsidRPr="00BB5131">
        <w:rPr>
          <w:rFonts w:ascii="Verdana" w:eastAsia="Times" w:hAnsi="Verdana" w:cs="Times New Roman"/>
          <w:sz w:val="20"/>
          <w:szCs w:val="20"/>
          <w:lang w:val="es-ES_tradnl"/>
        </w:rPr>
        <w:t>a</w:t>
      </w:r>
      <w:r w:rsidR="00713D12" w:rsidRPr="00BB5131">
        <w:rPr>
          <w:rFonts w:ascii="Verdana" w:eastAsia="Times" w:hAnsi="Verdana" w:cs="Times New Roman"/>
          <w:sz w:val="20"/>
          <w:szCs w:val="20"/>
          <w:lang w:val="es-ES_tradnl"/>
        </w:rPr>
        <w:t xml:space="preserve"> </w:t>
      </w:r>
      <w:r w:rsidR="00CF078F" w:rsidRPr="00BB5131">
        <w:rPr>
          <w:rFonts w:ascii="Verdana" w:eastAsia="Times" w:hAnsi="Verdana" w:cs="Times New Roman"/>
          <w:sz w:val="20"/>
          <w:szCs w:val="20"/>
          <w:lang w:val="es-ES_tradnl"/>
        </w:rPr>
        <w:t>25</w:t>
      </w:r>
      <w:r w:rsidR="00713D12" w:rsidRPr="00BB5131">
        <w:rPr>
          <w:rFonts w:ascii="Verdana" w:eastAsia="Times" w:hAnsi="Verdana" w:cs="Times New Roman"/>
          <w:sz w:val="20"/>
          <w:szCs w:val="20"/>
          <w:lang w:val="es-ES_tradnl"/>
        </w:rPr>
        <w:t xml:space="preserve"> de la presente Resolución</w:t>
      </w:r>
      <w:r w:rsidR="00483757" w:rsidRPr="00BB5131">
        <w:rPr>
          <w:rFonts w:ascii="Verdana" w:eastAsia="Times" w:hAnsi="Verdana" w:cs="Times New Roman"/>
          <w:sz w:val="20"/>
          <w:szCs w:val="20"/>
          <w:lang w:val="es-ES_tradnl"/>
        </w:rPr>
        <w:t xml:space="preserve">. </w:t>
      </w:r>
    </w:p>
    <w:p w14:paraId="7BAACD4E" w14:textId="4810D364" w:rsidR="004B20EF" w:rsidRPr="00BB5131" w:rsidRDefault="004B20EF" w:rsidP="0042054E">
      <w:pPr>
        <w:numPr>
          <w:ilvl w:val="0"/>
          <w:numId w:val="3"/>
        </w:numPr>
        <w:spacing w:before="120" w:after="120" w:line="240" w:lineRule="auto"/>
        <w:ind w:left="0" w:right="18" w:firstLine="0"/>
        <w:jc w:val="both"/>
        <w:rPr>
          <w:rFonts w:ascii="Verdana" w:hAnsi="Verdana"/>
          <w:sz w:val="20"/>
          <w:szCs w:val="20"/>
          <w:lang w:val="es-GT"/>
        </w:rPr>
      </w:pPr>
      <w:r w:rsidRPr="00BB5131">
        <w:rPr>
          <w:rFonts w:ascii="Verdana" w:hAnsi="Verdana"/>
          <w:sz w:val="20"/>
          <w:szCs w:val="20"/>
          <w:lang w:val="es-GT"/>
        </w:rPr>
        <w:t>Requerir al Estado que realice las gestiones pertinentes para que las medidas de protección ordenadas en la presente Resolución se planifiquen e implementen con la participación de los beneficiarios de las mismas o sus representantes</w:t>
      </w:r>
      <w:r w:rsidR="0010747E" w:rsidRPr="00BB5131">
        <w:rPr>
          <w:rFonts w:ascii="Verdana" w:hAnsi="Verdana"/>
          <w:sz w:val="20"/>
          <w:szCs w:val="20"/>
          <w:lang w:val="es-GT"/>
        </w:rPr>
        <w:t xml:space="preserve">, de conformidad con lo establecido en el Considerando </w:t>
      </w:r>
      <w:r w:rsidR="00065040" w:rsidRPr="00BB5131">
        <w:rPr>
          <w:rFonts w:ascii="Verdana" w:hAnsi="Verdana"/>
          <w:sz w:val="20"/>
          <w:szCs w:val="20"/>
          <w:lang w:val="es-GT"/>
        </w:rPr>
        <w:t>25</w:t>
      </w:r>
      <w:r w:rsidR="0010747E" w:rsidRPr="00BB5131">
        <w:rPr>
          <w:rFonts w:ascii="Verdana" w:hAnsi="Verdana"/>
          <w:sz w:val="20"/>
          <w:szCs w:val="20"/>
          <w:lang w:val="es-GT"/>
        </w:rPr>
        <w:t xml:space="preserve"> de la presente Resolución</w:t>
      </w:r>
      <w:r w:rsidRPr="00BB5131">
        <w:rPr>
          <w:rFonts w:ascii="Verdana" w:hAnsi="Verdana"/>
          <w:sz w:val="20"/>
          <w:szCs w:val="20"/>
          <w:lang w:val="es-GT"/>
        </w:rPr>
        <w:t xml:space="preserve">, de manera tal que las referidas medidas se brinden de forma diligente y efectiva, tomando en cuenta la perspectiva indígena, así como les mantenga informados sobre el avance de su ejecución. </w:t>
      </w:r>
    </w:p>
    <w:p w14:paraId="629312FC" w14:textId="1B1D6B8F" w:rsidR="004B20EF" w:rsidRPr="00BB5131" w:rsidRDefault="004B20EF" w:rsidP="0042054E">
      <w:pPr>
        <w:numPr>
          <w:ilvl w:val="0"/>
          <w:numId w:val="3"/>
        </w:numPr>
        <w:spacing w:before="120" w:after="120" w:line="240" w:lineRule="auto"/>
        <w:ind w:left="0" w:right="18" w:firstLine="0"/>
        <w:jc w:val="both"/>
        <w:rPr>
          <w:rFonts w:ascii="Verdana" w:hAnsi="Verdana"/>
          <w:sz w:val="20"/>
          <w:szCs w:val="20"/>
          <w:lang w:val="es-GT"/>
        </w:rPr>
      </w:pPr>
      <w:r w:rsidRPr="00BB5131">
        <w:rPr>
          <w:rFonts w:ascii="Verdana" w:hAnsi="Verdana"/>
          <w:sz w:val="20"/>
          <w:szCs w:val="20"/>
          <w:lang w:val="es-ES_tradnl"/>
        </w:rPr>
        <w:t xml:space="preserve">Ordenar al </w:t>
      </w:r>
      <w:r w:rsidRPr="00BB5131">
        <w:rPr>
          <w:rFonts w:ascii="Verdana" w:hAnsi="Verdana"/>
          <w:sz w:val="20"/>
          <w:szCs w:val="20"/>
          <w:lang w:val="es-GT"/>
        </w:rPr>
        <w:t>Estado que presente</w:t>
      </w:r>
      <w:r w:rsidR="00213DB0" w:rsidRPr="00BB5131">
        <w:rPr>
          <w:rFonts w:ascii="Verdana" w:hAnsi="Verdana"/>
          <w:sz w:val="20"/>
          <w:szCs w:val="20"/>
          <w:lang w:val="es-GT"/>
        </w:rPr>
        <w:t>,</w:t>
      </w:r>
      <w:r w:rsidRPr="00BB5131">
        <w:rPr>
          <w:rFonts w:ascii="Verdana" w:hAnsi="Verdana"/>
          <w:sz w:val="20"/>
          <w:szCs w:val="20"/>
          <w:lang w:val="es-GT"/>
        </w:rPr>
        <w:t xml:space="preserve"> </w:t>
      </w:r>
      <w:r w:rsidR="00213DB0" w:rsidRPr="00BB5131">
        <w:rPr>
          <w:rFonts w:ascii="Verdana" w:hAnsi="Verdana"/>
          <w:sz w:val="20"/>
          <w:szCs w:val="20"/>
          <w:lang w:val="es-GT"/>
        </w:rPr>
        <w:t>a más tardar el 2</w:t>
      </w:r>
      <w:r w:rsidR="00801EA5" w:rsidRPr="00BB5131">
        <w:rPr>
          <w:rFonts w:ascii="Verdana" w:hAnsi="Verdana"/>
          <w:sz w:val="20"/>
          <w:szCs w:val="20"/>
          <w:lang w:val="es-GT"/>
        </w:rPr>
        <w:t>5</w:t>
      </w:r>
      <w:r w:rsidR="00213DB0" w:rsidRPr="00BB5131">
        <w:rPr>
          <w:rFonts w:ascii="Verdana" w:hAnsi="Verdana"/>
          <w:sz w:val="20"/>
          <w:szCs w:val="20"/>
          <w:lang w:val="es-GT"/>
        </w:rPr>
        <w:t xml:space="preserve"> de abril de 2017, </w:t>
      </w:r>
      <w:r w:rsidRPr="00BB5131">
        <w:rPr>
          <w:rFonts w:ascii="Verdana" w:hAnsi="Verdana"/>
          <w:sz w:val="20"/>
          <w:szCs w:val="20"/>
          <w:lang w:val="es-GT"/>
        </w:rPr>
        <w:t>un informe completo y pormenorizado sobre las actuaciones realizadas para dar cumplimiento a las medidas provisionales decretadas</w:t>
      </w:r>
      <w:r w:rsidR="00E2423A" w:rsidRPr="00BB5131">
        <w:rPr>
          <w:rFonts w:ascii="Verdana" w:hAnsi="Verdana"/>
          <w:sz w:val="20"/>
          <w:szCs w:val="20"/>
          <w:lang w:val="es-GT"/>
        </w:rPr>
        <w:t>, el cual deberá ir acompañado por el diagnóstico sobre la situación actual de riesgo de dichas comunidades</w:t>
      </w:r>
      <w:r w:rsidRPr="00BB5131">
        <w:rPr>
          <w:rFonts w:ascii="Verdana" w:hAnsi="Verdana"/>
          <w:sz w:val="20"/>
          <w:szCs w:val="20"/>
          <w:lang w:val="es-GT"/>
        </w:rPr>
        <w:t>.</w:t>
      </w:r>
      <w:r w:rsidR="008340D2" w:rsidRPr="00BB5131">
        <w:rPr>
          <w:rFonts w:ascii="Verdana" w:hAnsi="Verdana"/>
          <w:color w:val="FF0000"/>
          <w:sz w:val="20"/>
          <w:szCs w:val="20"/>
          <w:lang w:val="es-GT"/>
        </w:rPr>
        <w:t xml:space="preserve"> </w:t>
      </w:r>
    </w:p>
    <w:p w14:paraId="3F4C2BE2" w14:textId="77777777" w:rsidR="004B20EF" w:rsidRPr="00BB5131" w:rsidRDefault="004B20EF" w:rsidP="004B20EF">
      <w:pPr>
        <w:numPr>
          <w:ilvl w:val="0"/>
          <w:numId w:val="3"/>
        </w:numPr>
        <w:spacing w:before="120" w:after="120" w:line="240" w:lineRule="auto"/>
        <w:ind w:left="0" w:right="18" w:firstLine="0"/>
        <w:jc w:val="both"/>
        <w:rPr>
          <w:rFonts w:ascii="Verdana" w:hAnsi="Verdana"/>
          <w:sz w:val="20"/>
          <w:szCs w:val="20"/>
          <w:lang w:val="es-GT"/>
        </w:rPr>
      </w:pPr>
      <w:r w:rsidRPr="00BB5131">
        <w:rPr>
          <w:rFonts w:ascii="Verdana" w:hAnsi="Verdana"/>
          <w:sz w:val="20"/>
          <w:szCs w:val="20"/>
          <w:lang w:val="es-GT"/>
        </w:rPr>
        <w:t>Requerir al Estado que continúe informando a la Corte cada tres meses, contados a partir de la remisión de su último informe</w:t>
      </w:r>
      <w:r w:rsidRPr="00BB5131">
        <w:rPr>
          <w:rFonts w:ascii="Verdana" w:hAnsi="Verdana" w:cs="Arial"/>
          <w:sz w:val="20"/>
          <w:szCs w:val="20"/>
          <w:lang w:val="es-GT"/>
        </w:rPr>
        <w:t>, sobre las medidas provisionales adoptadas.</w:t>
      </w:r>
    </w:p>
    <w:p w14:paraId="683C4AE0" w14:textId="4F22C79A" w:rsidR="004B20EF" w:rsidRPr="00BB5131" w:rsidRDefault="004B20EF" w:rsidP="004B20EF">
      <w:pPr>
        <w:numPr>
          <w:ilvl w:val="0"/>
          <w:numId w:val="3"/>
        </w:numPr>
        <w:spacing w:before="120" w:after="120" w:line="240" w:lineRule="auto"/>
        <w:ind w:left="0" w:right="18" w:firstLine="0"/>
        <w:jc w:val="both"/>
        <w:rPr>
          <w:rFonts w:ascii="Verdana" w:hAnsi="Verdana"/>
          <w:sz w:val="20"/>
          <w:lang w:val="es-GT"/>
        </w:rPr>
      </w:pPr>
      <w:r w:rsidRPr="00BB5131">
        <w:rPr>
          <w:rFonts w:ascii="Verdana" w:hAnsi="Verdana" w:cs="Arial"/>
          <w:sz w:val="20"/>
          <w:szCs w:val="20"/>
          <w:lang w:val="es-ES"/>
        </w:rPr>
        <w:t>Solicitar a la representación de los beneficiarios que presenten sus observaciones dentro de un plazo de cuatro semanas contadas a partir de la notificación de los informes del Estado, así como a la Comisión Interamericana de Derechos Humanos que presente sus observaciones a dichos informes del Estado dentro de un plazo de dos semanas contadas a partir de la recepción de las observaciones de los representantes.</w:t>
      </w:r>
    </w:p>
    <w:p w14:paraId="6C11620B" w14:textId="4462C0C1" w:rsidR="004B20EF" w:rsidRPr="00BB5131" w:rsidRDefault="004B20EF" w:rsidP="004B20EF">
      <w:pPr>
        <w:numPr>
          <w:ilvl w:val="0"/>
          <w:numId w:val="3"/>
        </w:numPr>
        <w:spacing w:before="120" w:after="120" w:line="240" w:lineRule="auto"/>
        <w:ind w:left="0" w:right="18" w:firstLine="0"/>
        <w:jc w:val="both"/>
        <w:rPr>
          <w:rFonts w:ascii="Verdana" w:hAnsi="Verdana"/>
          <w:sz w:val="20"/>
          <w:lang w:val="es-ES"/>
        </w:rPr>
      </w:pPr>
      <w:r w:rsidRPr="00BB5131">
        <w:rPr>
          <w:rFonts w:ascii="Verdana" w:hAnsi="Verdana"/>
          <w:sz w:val="20"/>
          <w:szCs w:val="20"/>
          <w:lang w:val="es-GT"/>
        </w:rPr>
        <w:t>Que</w:t>
      </w:r>
      <w:r w:rsidRPr="00BB5131">
        <w:rPr>
          <w:rFonts w:ascii="Verdana" w:hAnsi="Verdana"/>
          <w:sz w:val="20"/>
          <w:lang w:val="es-MX"/>
        </w:rPr>
        <w:t xml:space="preserve"> la Secretaría de la Corte notifique la presente Resolución al Estado de </w:t>
      </w:r>
      <w:r w:rsidR="00A24401" w:rsidRPr="00BB5131">
        <w:rPr>
          <w:rFonts w:ascii="Verdana" w:hAnsi="Verdana"/>
          <w:sz w:val="20"/>
          <w:lang w:val="es-MX"/>
        </w:rPr>
        <w:t>México</w:t>
      </w:r>
      <w:r w:rsidRPr="00BB5131">
        <w:rPr>
          <w:rFonts w:ascii="Verdana" w:hAnsi="Verdana"/>
          <w:sz w:val="20"/>
          <w:lang w:val="es-MX"/>
        </w:rPr>
        <w:t xml:space="preserve"> y a la Comisión Interamericana Derechos Humanos, </w:t>
      </w:r>
      <w:r w:rsidRPr="00BB5131">
        <w:rPr>
          <w:rFonts w:ascii="Verdana" w:hAnsi="Verdana"/>
          <w:sz w:val="20"/>
          <w:lang w:val="es-CR"/>
        </w:rPr>
        <w:t>así como, por intermedio de ésta, a la representación de los beneficiarios.</w:t>
      </w:r>
    </w:p>
    <w:p w14:paraId="71EB24B2" w14:textId="77777777" w:rsidR="004B20EF" w:rsidRPr="00BB5131" w:rsidRDefault="004B20EF" w:rsidP="004B20EF">
      <w:pPr>
        <w:spacing w:before="120" w:after="120"/>
        <w:jc w:val="both"/>
        <w:rPr>
          <w:rFonts w:ascii="Verdana" w:hAnsi="Verdana"/>
          <w:sz w:val="20"/>
          <w:szCs w:val="20"/>
          <w:lang w:val="es-ES"/>
        </w:rPr>
      </w:pPr>
    </w:p>
    <w:p w14:paraId="4B26D42A" w14:textId="626C65EA" w:rsidR="00B67B4C" w:rsidRPr="008C6E98" w:rsidRDefault="00B67B4C" w:rsidP="00B67B4C">
      <w:pPr>
        <w:keepNext/>
        <w:jc w:val="both"/>
        <w:outlineLvl w:val="0"/>
        <w:rPr>
          <w:rFonts w:ascii="Verdana" w:hAnsi="Verdana"/>
          <w:sz w:val="20"/>
          <w:lang w:val="es-CR"/>
        </w:rPr>
      </w:pPr>
      <w:r>
        <w:rPr>
          <w:rFonts w:ascii="Verdana" w:hAnsi="Verdana"/>
          <w:sz w:val="20"/>
          <w:lang w:val="es-ES"/>
        </w:rPr>
        <w:lastRenderedPageBreak/>
        <w:t xml:space="preserve">Corte IDH. </w:t>
      </w:r>
      <w:r>
        <w:rPr>
          <w:rFonts w:ascii="Verdana" w:hAnsi="Verdana"/>
          <w:i/>
          <w:sz w:val="20"/>
          <w:lang w:val="es-ES"/>
        </w:rPr>
        <w:t xml:space="preserve">Asunto Integrantes de la Comunidad Indígena de </w:t>
      </w:r>
      <w:proofErr w:type="spellStart"/>
      <w:r>
        <w:rPr>
          <w:rFonts w:ascii="Verdana" w:hAnsi="Verdana"/>
          <w:i/>
          <w:sz w:val="20"/>
          <w:lang w:val="es-ES"/>
        </w:rPr>
        <w:t>Choréachi</w:t>
      </w:r>
      <w:proofErr w:type="spellEnd"/>
      <w:r w:rsidRPr="0014111E">
        <w:rPr>
          <w:rFonts w:ascii="Verdana" w:hAnsi="Verdana"/>
          <w:i/>
          <w:sz w:val="20"/>
          <w:lang w:val="es-ES"/>
        </w:rPr>
        <w:t>. Medidas Provisionales respecto de México.</w:t>
      </w:r>
      <w:r>
        <w:rPr>
          <w:rFonts w:ascii="Verdana" w:hAnsi="Verdana"/>
          <w:sz w:val="20"/>
          <w:lang w:val="es-ES"/>
        </w:rPr>
        <w:t xml:space="preserve"> Resolución de 25 de marzo de 2017.</w:t>
      </w:r>
    </w:p>
    <w:p w14:paraId="1FC9E722" w14:textId="77777777" w:rsidR="002E629A" w:rsidRDefault="002E629A" w:rsidP="002E629A">
      <w:pPr>
        <w:spacing w:after="0" w:line="240" w:lineRule="auto"/>
        <w:jc w:val="both"/>
        <w:rPr>
          <w:rFonts w:ascii="Verdana" w:hAnsi="Verdana"/>
          <w:sz w:val="20"/>
          <w:szCs w:val="20"/>
          <w:lang w:val="es-ES"/>
        </w:rPr>
      </w:pPr>
    </w:p>
    <w:p w14:paraId="3101BB53" w14:textId="77777777" w:rsidR="002E629A" w:rsidRDefault="002E629A" w:rsidP="002E629A">
      <w:pPr>
        <w:spacing w:after="0" w:line="240" w:lineRule="auto"/>
        <w:jc w:val="both"/>
        <w:rPr>
          <w:rFonts w:ascii="Verdana" w:hAnsi="Verdana"/>
          <w:sz w:val="20"/>
          <w:szCs w:val="20"/>
          <w:lang w:val="es-ES"/>
        </w:rPr>
      </w:pPr>
    </w:p>
    <w:p w14:paraId="1FB4BA6D" w14:textId="77777777" w:rsidR="002E629A" w:rsidRDefault="002E629A" w:rsidP="002E629A">
      <w:pPr>
        <w:spacing w:after="0" w:line="240" w:lineRule="auto"/>
        <w:jc w:val="both"/>
        <w:rPr>
          <w:rFonts w:ascii="Verdana" w:hAnsi="Verdana"/>
          <w:sz w:val="20"/>
          <w:szCs w:val="20"/>
          <w:lang w:val="es-ES"/>
        </w:rPr>
      </w:pPr>
    </w:p>
    <w:p w14:paraId="7360AE7A" w14:textId="77777777" w:rsidR="002E629A" w:rsidRPr="00BB5131" w:rsidRDefault="002E629A" w:rsidP="002E629A">
      <w:pPr>
        <w:spacing w:after="0" w:line="240" w:lineRule="auto"/>
        <w:jc w:val="both"/>
        <w:rPr>
          <w:rFonts w:ascii="Verdana" w:hAnsi="Verdana"/>
          <w:sz w:val="20"/>
          <w:szCs w:val="20"/>
          <w:lang w:val="es-ES"/>
        </w:rPr>
      </w:pPr>
    </w:p>
    <w:p w14:paraId="440ACE1E" w14:textId="77777777" w:rsidR="00A24401" w:rsidRPr="00BB5131" w:rsidRDefault="00A24401" w:rsidP="002E629A">
      <w:pPr>
        <w:spacing w:after="0" w:line="240" w:lineRule="auto"/>
        <w:jc w:val="center"/>
        <w:rPr>
          <w:rFonts w:ascii="Verdana" w:hAnsi="Verdana"/>
          <w:sz w:val="20"/>
          <w:szCs w:val="20"/>
          <w:lang w:val="es-ES"/>
        </w:rPr>
      </w:pPr>
      <w:r w:rsidRPr="00BB5131">
        <w:rPr>
          <w:rFonts w:ascii="Verdana" w:hAnsi="Verdana"/>
          <w:sz w:val="20"/>
          <w:szCs w:val="20"/>
          <w:lang w:val="es-ES"/>
        </w:rPr>
        <w:t>Roberto F. Caldas</w:t>
      </w:r>
    </w:p>
    <w:p w14:paraId="6D923A0D" w14:textId="77777777" w:rsidR="00A24401" w:rsidRPr="00BB5131" w:rsidRDefault="00A24401" w:rsidP="002E629A">
      <w:pPr>
        <w:spacing w:after="0" w:line="240" w:lineRule="auto"/>
        <w:jc w:val="center"/>
        <w:rPr>
          <w:rFonts w:ascii="Verdana" w:hAnsi="Verdana"/>
          <w:sz w:val="20"/>
          <w:szCs w:val="20"/>
          <w:lang w:val="es-ES"/>
        </w:rPr>
      </w:pPr>
      <w:r w:rsidRPr="00BB5131">
        <w:rPr>
          <w:rFonts w:ascii="Verdana" w:hAnsi="Verdana"/>
          <w:sz w:val="20"/>
          <w:szCs w:val="20"/>
          <w:lang w:val="es-ES"/>
        </w:rPr>
        <w:t xml:space="preserve">Presidente </w:t>
      </w:r>
    </w:p>
    <w:p w14:paraId="1DC9E6CE" w14:textId="77777777" w:rsidR="00A24401" w:rsidRDefault="00A24401" w:rsidP="002E629A">
      <w:pPr>
        <w:spacing w:after="0" w:line="240" w:lineRule="auto"/>
        <w:jc w:val="both"/>
        <w:rPr>
          <w:rFonts w:ascii="Verdana" w:hAnsi="Verdana"/>
          <w:sz w:val="20"/>
          <w:szCs w:val="20"/>
          <w:lang w:val="es-ES"/>
        </w:rPr>
      </w:pPr>
    </w:p>
    <w:p w14:paraId="5F127814" w14:textId="77777777" w:rsidR="002E629A" w:rsidRDefault="002E629A" w:rsidP="002E629A">
      <w:pPr>
        <w:spacing w:after="0" w:line="240" w:lineRule="auto"/>
        <w:jc w:val="both"/>
        <w:rPr>
          <w:rFonts w:ascii="Verdana" w:hAnsi="Verdana"/>
          <w:sz w:val="20"/>
          <w:szCs w:val="20"/>
          <w:lang w:val="es-ES"/>
        </w:rPr>
      </w:pPr>
    </w:p>
    <w:p w14:paraId="6295778C" w14:textId="77777777" w:rsidR="002E629A" w:rsidRDefault="002E629A" w:rsidP="002E629A">
      <w:pPr>
        <w:spacing w:after="0" w:line="240" w:lineRule="auto"/>
        <w:jc w:val="both"/>
        <w:rPr>
          <w:rFonts w:ascii="Verdana" w:hAnsi="Verdana"/>
          <w:sz w:val="20"/>
          <w:szCs w:val="20"/>
          <w:lang w:val="es-ES"/>
        </w:rPr>
      </w:pPr>
    </w:p>
    <w:p w14:paraId="1B181F5C" w14:textId="77777777" w:rsidR="002E629A" w:rsidRDefault="002E629A" w:rsidP="002E629A">
      <w:pPr>
        <w:spacing w:after="0" w:line="240" w:lineRule="auto"/>
        <w:jc w:val="both"/>
        <w:rPr>
          <w:rFonts w:ascii="Verdana" w:hAnsi="Verdana"/>
          <w:sz w:val="20"/>
          <w:szCs w:val="20"/>
          <w:lang w:val="es-ES"/>
        </w:rPr>
      </w:pPr>
    </w:p>
    <w:p w14:paraId="0777DCAD" w14:textId="77777777" w:rsidR="002E629A" w:rsidRPr="00BB5131" w:rsidRDefault="002E629A" w:rsidP="002E629A">
      <w:pPr>
        <w:spacing w:after="0" w:line="240" w:lineRule="auto"/>
        <w:jc w:val="both"/>
        <w:rPr>
          <w:rFonts w:ascii="Verdana" w:hAnsi="Verdana"/>
          <w:sz w:val="20"/>
          <w:szCs w:val="20"/>
          <w:lang w:val="es-ES"/>
        </w:rPr>
      </w:pPr>
    </w:p>
    <w:p w14:paraId="65A83DD5" w14:textId="77777777" w:rsidR="00A24401" w:rsidRPr="00BB5131" w:rsidRDefault="00A24401" w:rsidP="002E629A">
      <w:pPr>
        <w:spacing w:after="0" w:line="240" w:lineRule="auto"/>
        <w:jc w:val="both"/>
        <w:rPr>
          <w:rFonts w:ascii="Verdana" w:hAnsi="Verdana"/>
          <w:sz w:val="20"/>
          <w:szCs w:val="20"/>
          <w:lang w:val="es-ES"/>
        </w:rPr>
      </w:pPr>
      <w:r w:rsidRPr="00BB5131">
        <w:rPr>
          <w:rFonts w:ascii="Verdana" w:hAnsi="Verdana"/>
          <w:sz w:val="20"/>
          <w:szCs w:val="20"/>
          <w:lang w:val="es-ES"/>
        </w:rPr>
        <w:t xml:space="preserve">Eduardo Vio Grossi </w:t>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t>Humberto Antonio Sierra Porto</w:t>
      </w:r>
    </w:p>
    <w:p w14:paraId="0258FBC9" w14:textId="77777777" w:rsidR="00A24401" w:rsidRDefault="00A24401" w:rsidP="002E629A">
      <w:pPr>
        <w:spacing w:after="0" w:line="240" w:lineRule="auto"/>
        <w:jc w:val="both"/>
        <w:rPr>
          <w:rFonts w:ascii="Verdana" w:hAnsi="Verdana"/>
          <w:sz w:val="20"/>
          <w:szCs w:val="20"/>
          <w:lang w:val="es-ES"/>
        </w:rPr>
      </w:pPr>
    </w:p>
    <w:p w14:paraId="1C597A91" w14:textId="77777777" w:rsidR="002E629A" w:rsidRDefault="002E629A" w:rsidP="002E629A">
      <w:pPr>
        <w:spacing w:after="0" w:line="240" w:lineRule="auto"/>
        <w:jc w:val="both"/>
        <w:rPr>
          <w:rFonts w:ascii="Verdana" w:hAnsi="Verdana"/>
          <w:sz w:val="20"/>
          <w:szCs w:val="20"/>
          <w:lang w:val="es-ES"/>
        </w:rPr>
      </w:pPr>
    </w:p>
    <w:p w14:paraId="2FBFDC7A" w14:textId="77777777" w:rsidR="002E629A" w:rsidRDefault="002E629A" w:rsidP="002E629A">
      <w:pPr>
        <w:spacing w:after="0" w:line="240" w:lineRule="auto"/>
        <w:jc w:val="both"/>
        <w:rPr>
          <w:rFonts w:ascii="Verdana" w:hAnsi="Verdana"/>
          <w:sz w:val="20"/>
          <w:szCs w:val="20"/>
          <w:lang w:val="es-ES"/>
        </w:rPr>
      </w:pPr>
    </w:p>
    <w:p w14:paraId="6E79F8F4" w14:textId="77777777" w:rsidR="002E629A" w:rsidRPr="00BB5131" w:rsidRDefault="002E629A" w:rsidP="002E629A">
      <w:pPr>
        <w:spacing w:after="0" w:line="240" w:lineRule="auto"/>
        <w:jc w:val="both"/>
        <w:rPr>
          <w:rFonts w:ascii="Verdana" w:hAnsi="Verdana"/>
          <w:sz w:val="20"/>
          <w:szCs w:val="20"/>
          <w:lang w:val="es-ES"/>
        </w:rPr>
      </w:pPr>
    </w:p>
    <w:p w14:paraId="2ABFF49C" w14:textId="77777777" w:rsidR="00A24401" w:rsidRPr="00BB5131" w:rsidRDefault="00A24401" w:rsidP="002E629A">
      <w:pPr>
        <w:spacing w:after="0" w:line="240" w:lineRule="auto"/>
        <w:jc w:val="both"/>
        <w:rPr>
          <w:rFonts w:ascii="Verdana" w:hAnsi="Verdana"/>
          <w:sz w:val="20"/>
          <w:szCs w:val="20"/>
          <w:lang w:val="es-ES"/>
        </w:rPr>
      </w:pPr>
    </w:p>
    <w:p w14:paraId="2117CD0F" w14:textId="77777777" w:rsidR="00A24401" w:rsidRPr="00BB5131" w:rsidRDefault="00A24401" w:rsidP="002E629A">
      <w:pPr>
        <w:spacing w:after="0" w:line="240" w:lineRule="auto"/>
        <w:jc w:val="both"/>
        <w:rPr>
          <w:rFonts w:ascii="Verdana" w:hAnsi="Verdana"/>
          <w:sz w:val="20"/>
          <w:szCs w:val="20"/>
          <w:lang w:val="es-ES"/>
        </w:rPr>
      </w:pPr>
      <w:r w:rsidRPr="00BB5131">
        <w:rPr>
          <w:rFonts w:ascii="Verdana" w:hAnsi="Verdana"/>
          <w:sz w:val="20"/>
          <w:szCs w:val="20"/>
          <w:lang w:val="es-ES"/>
        </w:rPr>
        <w:t xml:space="preserve">Elizabeth Odio Benito </w:t>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t xml:space="preserve">  Eugenio Raúl </w:t>
      </w:r>
      <w:proofErr w:type="spellStart"/>
      <w:r w:rsidRPr="00BB5131">
        <w:rPr>
          <w:rFonts w:ascii="Verdana" w:hAnsi="Verdana"/>
          <w:sz w:val="20"/>
          <w:szCs w:val="20"/>
          <w:lang w:val="es-ES"/>
        </w:rPr>
        <w:t>Zaffaroni</w:t>
      </w:r>
      <w:proofErr w:type="spellEnd"/>
    </w:p>
    <w:p w14:paraId="29226E66" w14:textId="77777777" w:rsidR="00A24401" w:rsidRDefault="00A24401" w:rsidP="002E629A">
      <w:pPr>
        <w:spacing w:after="0" w:line="240" w:lineRule="auto"/>
        <w:jc w:val="both"/>
        <w:rPr>
          <w:rFonts w:ascii="Verdana" w:hAnsi="Verdana"/>
          <w:sz w:val="20"/>
          <w:szCs w:val="20"/>
          <w:lang w:val="es-ES"/>
        </w:rPr>
      </w:pPr>
    </w:p>
    <w:p w14:paraId="5850912A" w14:textId="77777777" w:rsidR="002E629A" w:rsidRDefault="002E629A" w:rsidP="002E629A">
      <w:pPr>
        <w:spacing w:after="0" w:line="240" w:lineRule="auto"/>
        <w:jc w:val="both"/>
        <w:rPr>
          <w:rFonts w:ascii="Verdana" w:hAnsi="Verdana"/>
          <w:sz w:val="20"/>
          <w:szCs w:val="20"/>
          <w:lang w:val="es-ES"/>
        </w:rPr>
      </w:pPr>
    </w:p>
    <w:p w14:paraId="25DDE116" w14:textId="77777777" w:rsidR="002E629A" w:rsidRDefault="002E629A" w:rsidP="002E629A">
      <w:pPr>
        <w:spacing w:after="0" w:line="240" w:lineRule="auto"/>
        <w:jc w:val="both"/>
        <w:rPr>
          <w:rFonts w:ascii="Verdana" w:hAnsi="Verdana"/>
          <w:sz w:val="20"/>
          <w:szCs w:val="20"/>
          <w:lang w:val="es-ES"/>
        </w:rPr>
      </w:pPr>
    </w:p>
    <w:p w14:paraId="4C10C0E3" w14:textId="77777777" w:rsidR="002E629A" w:rsidRDefault="002E629A" w:rsidP="002E629A">
      <w:pPr>
        <w:spacing w:after="0" w:line="240" w:lineRule="auto"/>
        <w:jc w:val="both"/>
        <w:rPr>
          <w:rFonts w:ascii="Verdana" w:hAnsi="Verdana"/>
          <w:sz w:val="20"/>
          <w:szCs w:val="20"/>
          <w:lang w:val="es-ES"/>
        </w:rPr>
      </w:pPr>
    </w:p>
    <w:p w14:paraId="39C4B1A3" w14:textId="77777777" w:rsidR="002E629A" w:rsidRPr="00BB5131" w:rsidRDefault="002E629A" w:rsidP="002E629A">
      <w:pPr>
        <w:spacing w:after="0" w:line="240" w:lineRule="auto"/>
        <w:jc w:val="both"/>
        <w:rPr>
          <w:rFonts w:ascii="Verdana" w:hAnsi="Verdana"/>
          <w:sz w:val="20"/>
          <w:szCs w:val="20"/>
          <w:lang w:val="es-ES"/>
        </w:rPr>
      </w:pPr>
    </w:p>
    <w:p w14:paraId="28F21081" w14:textId="77777777" w:rsidR="00A24401" w:rsidRPr="00BB5131" w:rsidRDefault="00A24401" w:rsidP="002E629A">
      <w:pPr>
        <w:spacing w:after="0" w:line="240" w:lineRule="auto"/>
        <w:rPr>
          <w:rFonts w:ascii="Verdana" w:hAnsi="Verdana"/>
          <w:sz w:val="20"/>
          <w:szCs w:val="20"/>
          <w:lang w:val="es-ES"/>
        </w:rPr>
      </w:pP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r>
      <w:r w:rsidRPr="00BB5131">
        <w:rPr>
          <w:rFonts w:ascii="Verdana" w:hAnsi="Verdana"/>
          <w:sz w:val="20"/>
          <w:szCs w:val="20"/>
          <w:lang w:val="es-ES"/>
        </w:rPr>
        <w:tab/>
        <w:t>L. Patricio Pazmiño Freire</w:t>
      </w:r>
    </w:p>
    <w:p w14:paraId="696FE958" w14:textId="77777777" w:rsidR="00A24401" w:rsidRPr="00BB5131" w:rsidRDefault="00A24401" w:rsidP="002E629A">
      <w:pPr>
        <w:spacing w:after="0" w:line="240" w:lineRule="auto"/>
        <w:jc w:val="both"/>
        <w:rPr>
          <w:rFonts w:ascii="Verdana" w:hAnsi="Verdana"/>
          <w:sz w:val="20"/>
          <w:szCs w:val="20"/>
          <w:lang w:val="es-ES"/>
        </w:rPr>
      </w:pPr>
    </w:p>
    <w:p w14:paraId="0557D5ED" w14:textId="77777777" w:rsidR="00A24401" w:rsidRPr="00BB5131" w:rsidRDefault="00A24401" w:rsidP="002E629A">
      <w:pPr>
        <w:spacing w:after="0" w:line="240" w:lineRule="auto"/>
        <w:jc w:val="both"/>
        <w:rPr>
          <w:rFonts w:ascii="Verdana" w:hAnsi="Verdana"/>
          <w:sz w:val="20"/>
          <w:szCs w:val="20"/>
          <w:lang w:val="es-ES"/>
        </w:rPr>
      </w:pPr>
    </w:p>
    <w:p w14:paraId="15B6895E" w14:textId="77777777" w:rsidR="00A24401" w:rsidRPr="00BB5131" w:rsidRDefault="00A24401" w:rsidP="002E629A">
      <w:pPr>
        <w:spacing w:after="0" w:line="240" w:lineRule="auto"/>
        <w:jc w:val="both"/>
        <w:rPr>
          <w:rFonts w:ascii="Verdana" w:hAnsi="Verdana"/>
          <w:sz w:val="20"/>
          <w:szCs w:val="20"/>
          <w:lang w:val="es-ES"/>
        </w:rPr>
      </w:pPr>
    </w:p>
    <w:p w14:paraId="16C08B55" w14:textId="77777777" w:rsidR="00A24401" w:rsidRPr="00BB5131" w:rsidRDefault="00A24401" w:rsidP="002E629A">
      <w:pPr>
        <w:spacing w:after="0" w:line="240" w:lineRule="auto"/>
        <w:jc w:val="both"/>
        <w:rPr>
          <w:rFonts w:ascii="Verdana" w:hAnsi="Verdana"/>
          <w:sz w:val="20"/>
          <w:szCs w:val="20"/>
          <w:lang w:val="es-ES"/>
        </w:rPr>
      </w:pPr>
    </w:p>
    <w:p w14:paraId="73ADE77C" w14:textId="77777777" w:rsidR="00A24401" w:rsidRPr="00BB5131" w:rsidRDefault="00A24401" w:rsidP="002E629A">
      <w:pPr>
        <w:spacing w:after="0" w:line="240" w:lineRule="auto"/>
        <w:jc w:val="both"/>
        <w:rPr>
          <w:rFonts w:ascii="Verdana" w:hAnsi="Verdana"/>
          <w:sz w:val="20"/>
          <w:szCs w:val="20"/>
          <w:lang w:val="es-ES"/>
        </w:rPr>
      </w:pPr>
    </w:p>
    <w:p w14:paraId="7196754F" w14:textId="77777777" w:rsidR="00A24401" w:rsidRPr="00BB5131" w:rsidRDefault="00A24401" w:rsidP="002E629A">
      <w:pPr>
        <w:spacing w:after="0" w:line="240" w:lineRule="auto"/>
        <w:jc w:val="center"/>
        <w:rPr>
          <w:rFonts w:ascii="Verdana" w:hAnsi="Verdana"/>
          <w:sz w:val="20"/>
          <w:szCs w:val="20"/>
          <w:lang w:val="es-ES"/>
        </w:rPr>
      </w:pPr>
      <w:r w:rsidRPr="00BB5131">
        <w:rPr>
          <w:rFonts w:ascii="Verdana" w:hAnsi="Verdana"/>
          <w:sz w:val="20"/>
          <w:szCs w:val="20"/>
          <w:lang w:val="es-ES"/>
        </w:rPr>
        <w:t>Pablo Saavedra Alessandri</w:t>
      </w:r>
    </w:p>
    <w:p w14:paraId="341F3BE1" w14:textId="77777777" w:rsidR="00A24401" w:rsidRPr="00BB5131" w:rsidRDefault="00A24401" w:rsidP="002E629A">
      <w:pPr>
        <w:spacing w:after="0" w:line="240" w:lineRule="auto"/>
        <w:jc w:val="center"/>
        <w:rPr>
          <w:rFonts w:ascii="Verdana" w:hAnsi="Verdana"/>
          <w:sz w:val="20"/>
          <w:szCs w:val="20"/>
          <w:lang w:val="es-ES"/>
        </w:rPr>
      </w:pPr>
      <w:r w:rsidRPr="00BB5131">
        <w:rPr>
          <w:rFonts w:ascii="Verdana" w:hAnsi="Verdana"/>
          <w:sz w:val="20"/>
          <w:szCs w:val="20"/>
          <w:lang w:val="es-ES"/>
        </w:rPr>
        <w:t>Secretario</w:t>
      </w:r>
    </w:p>
    <w:p w14:paraId="2D48FB09" w14:textId="77777777" w:rsidR="00A24401" w:rsidRPr="00BB5131" w:rsidRDefault="00A24401" w:rsidP="002E629A">
      <w:pPr>
        <w:spacing w:after="0" w:line="240" w:lineRule="auto"/>
        <w:rPr>
          <w:rFonts w:ascii="Verdana" w:hAnsi="Verdana"/>
          <w:sz w:val="20"/>
          <w:szCs w:val="20"/>
          <w:lang w:val="es-ES"/>
        </w:rPr>
      </w:pPr>
    </w:p>
    <w:p w14:paraId="63D34901" w14:textId="77777777" w:rsidR="00A24401" w:rsidRPr="00BB5131" w:rsidRDefault="00A24401" w:rsidP="002E629A">
      <w:pPr>
        <w:pStyle w:val="FootnoteText"/>
        <w:rPr>
          <w:rFonts w:ascii="Verdana" w:hAnsi="Verdana"/>
          <w:lang w:val="es-ES"/>
        </w:rPr>
      </w:pPr>
    </w:p>
    <w:p w14:paraId="3BA4A92B" w14:textId="77777777" w:rsidR="00A24401" w:rsidRPr="00BB5131" w:rsidRDefault="00A24401" w:rsidP="002E629A">
      <w:pPr>
        <w:pStyle w:val="FootnoteText"/>
        <w:rPr>
          <w:rFonts w:ascii="Verdana" w:hAnsi="Verdana"/>
          <w:lang w:val="es-ES"/>
        </w:rPr>
      </w:pPr>
    </w:p>
    <w:p w14:paraId="36FAAF7D" w14:textId="77777777" w:rsidR="00A24401" w:rsidRPr="00BB5131" w:rsidRDefault="00A24401" w:rsidP="002E629A">
      <w:pPr>
        <w:pStyle w:val="FootnoteText"/>
        <w:rPr>
          <w:rFonts w:ascii="Verdana" w:hAnsi="Verdana"/>
          <w:lang w:val="es-ES"/>
        </w:rPr>
      </w:pPr>
    </w:p>
    <w:p w14:paraId="4A2B1238" w14:textId="77777777" w:rsidR="00A24401" w:rsidRPr="00BB5131" w:rsidRDefault="00A24401" w:rsidP="002E629A">
      <w:pPr>
        <w:pStyle w:val="FootnoteText"/>
        <w:rPr>
          <w:rFonts w:ascii="Verdana" w:hAnsi="Verdana"/>
          <w:lang w:val="es-ES"/>
        </w:rPr>
      </w:pPr>
    </w:p>
    <w:p w14:paraId="7166D6F1" w14:textId="77777777" w:rsidR="00A24401" w:rsidRPr="00BB5131" w:rsidRDefault="00A24401" w:rsidP="002E629A">
      <w:pPr>
        <w:spacing w:after="0" w:line="240" w:lineRule="auto"/>
        <w:jc w:val="both"/>
        <w:rPr>
          <w:rFonts w:ascii="Verdana" w:hAnsi="Verdana"/>
          <w:sz w:val="20"/>
          <w:szCs w:val="20"/>
          <w:lang w:val="es-ES"/>
        </w:rPr>
      </w:pPr>
      <w:r w:rsidRPr="00BB5131">
        <w:rPr>
          <w:rFonts w:ascii="Verdana" w:hAnsi="Verdana"/>
          <w:sz w:val="20"/>
          <w:szCs w:val="20"/>
          <w:lang w:val="es-ES"/>
        </w:rPr>
        <w:t>Comuníquese y ejecútese,</w:t>
      </w:r>
    </w:p>
    <w:p w14:paraId="1150CB46" w14:textId="77777777" w:rsidR="00A24401" w:rsidRPr="00BB5131" w:rsidRDefault="00A24401" w:rsidP="002E629A">
      <w:pPr>
        <w:spacing w:after="0" w:line="240" w:lineRule="auto"/>
        <w:jc w:val="both"/>
        <w:rPr>
          <w:rFonts w:ascii="Verdana" w:hAnsi="Verdana"/>
          <w:sz w:val="20"/>
          <w:szCs w:val="20"/>
          <w:lang w:val="es-ES"/>
        </w:rPr>
      </w:pPr>
    </w:p>
    <w:p w14:paraId="6392E94F" w14:textId="77777777" w:rsidR="00A24401" w:rsidRPr="00BB5131" w:rsidRDefault="00A24401" w:rsidP="002E629A">
      <w:pPr>
        <w:spacing w:after="0" w:line="240" w:lineRule="auto"/>
        <w:jc w:val="both"/>
        <w:rPr>
          <w:rFonts w:ascii="Verdana" w:hAnsi="Verdana"/>
          <w:sz w:val="20"/>
          <w:szCs w:val="20"/>
          <w:lang w:val="es-ES"/>
        </w:rPr>
      </w:pPr>
    </w:p>
    <w:p w14:paraId="160D7456" w14:textId="77777777" w:rsidR="00A24401" w:rsidRPr="00BB5131" w:rsidRDefault="00A24401" w:rsidP="002E629A">
      <w:pPr>
        <w:spacing w:after="0" w:line="240" w:lineRule="auto"/>
        <w:jc w:val="both"/>
        <w:rPr>
          <w:rFonts w:ascii="Verdana" w:hAnsi="Verdana"/>
          <w:sz w:val="20"/>
          <w:szCs w:val="20"/>
          <w:lang w:val="es-ES"/>
        </w:rPr>
      </w:pPr>
    </w:p>
    <w:p w14:paraId="1D34CBA7" w14:textId="77777777" w:rsidR="00A24401" w:rsidRPr="00BB5131" w:rsidRDefault="00A24401" w:rsidP="002E629A">
      <w:pPr>
        <w:spacing w:after="0" w:line="240" w:lineRule="auto"/>
        <w:jc w:val="both"/>
        <w:rPr>
          <w:rFonts w:ascii="Verdana" w:hAnsi="Verdana"/>
          <w:sz w:val="20"/>
          <w:szCs w:val="20"/>
          <w:lang w:val="es-ES"/>
        </w:rPr>
      </w:pPr>
    </w:p>
    <w:p w14:paraId="0D75994B" w14:textId="77777777" w:rsidR="00A24401" w:rsidRPr="00BB5131" w:rsidRDefault="00A24401" w:rsidP="002E629A">
      <w:pPr>
        <w:spacing w:after="0" w:line="240" w:lineRule="auto"/>
        <w:jc w:val="both"/>
        <w:rPr>
          <w:rFonts w:ascii="Verdana" w:hAnsi="Verdana"/>
          <w:sz w:val="20"/>
          <w:szCs w:val="20"/>
          <w:lang w:val="es-ES"/>
        </w:rPr>
      </w:pPr>
    </w:p>
    <w:p w14:paraId="73867AA1" w14:textId="77777777" w:rsidR="00A24401" w:rsidRPr="00BB5131" w:rsidRDefault="00A24401" w:rsidP="002E629A">
      <w:pPr>
        <w:spacing w:after="0" w:line="240" w:lineRule="auto"/>
        <w:ind w:left="5664"/>
        <w:jc w:val="center"/>
        <w:rPr>
          <w:rFonts w:ascii="Verdana" w:hAnsi="Verdana"/>
          <w:sz w:val="20"/>
          <w:szCs w:val="20"/>
          <w:lang w:val="es-ES"/>
        </w:rPr>
      </w:pPr>
      <w:r w:rsidRPr="00BB5131">
        <w:rPr>
          <w:rFonts w:ascii="Verdana" w:hAnsi="Verdana"/>
          <w:sz w:val="20"/>
          <w:szCs w:val="20"/>
          <w:lang w:val="es-ES"/>
        </w:rPr>
        <w:t>Roberto F. Caldas</w:t>
      </w:r>
    </w:p>
    <w:p w14:paraId="091B6F06" w14:textId="77777777" w:rsidR="00A24401" w:rsidRPr="00BB5131" w:rsidRDefault="00A24401" w:rsidP="002E629A">
      <w:pPr>
        <w:spacing w:after="0" w:line="240" w:lineRule="auto"/>
        <w:ind w:left="5664"/>
        <w:jc w:val="center"/>
        <w:rPr>
          <w:rFonts w:ascii="Verdana" w:hAnsi="Verdana"/>
          <w:sz w:val="20"/>
          <w:szCs w:val="20"/>
          <w:lang w:val="es-ES"/>
        </w:rPr>
      </w:pPr>
      <w:r w:rsidRPr="00BB5131">
        <w:rPr>
          <w:rFonts w:ascii="Verdana" w:hAnsi="Verdana"/>
          <w:sz w:val="20"/>
          <w:szCs w:val="20"/>
          <w:lang w:val="es-ES"/>
        </w:rPr>
        <w:t>Presidente</w:t>
      </w:r>
    </w:p>
    <w:p w14:paraId="7C7EE875" w14:textId="77777777" w:rsidR="00A24401" w:rsidRPr="00BB5131" w:rsidRDefault="00A24401" w:rsidP="002E629A">
      <w:pPr>
        <w:spacing w:after="0" w:line="240" w:lineRule="auto"/>
        <w:jc w:val="both"/>
        <w:rPr>
          <w:rFonts w:ascii="Verdana" w:hAnsi="Verdana"/>
          <w:sz w:val="20"/>
          <w:szCs w:val="20"/>
          <w:lang w:val="es-ES"/>
        </w:rPr>
      </w:pPr>
    </w:p>
    <w:p w14:paraId="2BA8C1F2" w14:textId="77777777" w:rsidR="00A24401" w:rsidRPr="00BB5131" w:rsidRDefault="00A24401" w:rsidP="002E629A">
      <w:pPr>
        <w:spacing w:after="0" w:line="240" w:lineRule="auto"/>
        <w:jc w:val="both"/>
        <w:rPr>
          <w:rFonts w:ascii="Verdana" w:hAnsi="Verdana"/>
          <w:sz w:val="20"/>
          <w:szCs w:val="20"/>
          <w:lang w:val="es-ES"/>
        </w:rPr>
      </w:pPr>
    </w:p>
    <w:p w14:paraId="04253B0F" w14:textId="77777777" w:rsidR="00A24401" w:rsidRPr="00BB5131" w:rsidRDefault="00A24401" w:rsidP="002E629A">
      <w:pPr>
        <w:spacing w:after="0" w:line="240" w:lineRule="auto"/>
        <w:jc w:val="both"/>
        <w:rPr>
          <w:rFonts w:ascii="Verdana" w:hAnsi="Verdana"/>
          <w:sz w:val="20"/>
          <w:szCs w:val="20"/>
          <w:lang w:val="es-ES"/>
        </w:rPr>
      </w:pPr>
    </w:p>
    <w:p w14:paraId="23574F45" w14:textId="77777777" w:rsidR="00A24401" w:rsidRPr="00BB5131" w:rsidRDefault="00A24401" w:rsidP="002E629A">
      <w:pPr>
        <w:spacing w:after="0" w:line="240" w:lineRule="auto"/>
        <w:jc w:val="both"/>
        <w:rPr>
          <w:rFonts w:ascii="Verdana" w:hAnsi="Verdana"/>
          <w:sz w:val="20"/>
          <w:szCs w:val="20"/>
          <w:lang w:val="es-ES"/>
        </w:rPr>
      </w:pPr>
    </w:p>
    <w:p w14:paraId="6788D2F8" w14:textId="77777777" w:rsidR="00A24401" w:rsidRPr="00BB5131" w:rsidRDefault="00A24401" w:rsidP="002E629A">
      <w:pPr>
        <w:spacing w:after="0" w:line="240" w:lineRule="auto"/>
        <w:jc w:val="both"/>
        <w:rPr>
          <w:rFonts w:ascii="Verdana" w:hAnsi="Verdana"/>
          <w:sz w:val="20"/>
          <w:szCs w:val="20"/>
          <w:lang w:val="es-ES"/>
        </w:rPr>
      </w:pPr>
      <w:r w:rsidRPr="00BB5131">
        <w:rPr>
          <w:rFonts w:ascii="Verdana" w:hAnsi="Verdana"/>
          <w:sz w:val="20"/>
          <w:szCs w:val="20"/>
          <w:lang w:val="es-ES"/>
        </w:rPr>
        <w:t>Pablo Saavedra Alessandri</w:t>
      </w:r>
    </w:p>
    <w:p w14:paraId="07126A2F" w14:textId="77777777" w:rsidR="00A24401" w:rsidRPr="00213DB0" w:rsidRDefault="00A24401" w:rsidP="002E629A">
      <w:pPr>
        <w:spacing w:after="0" w:line="240" w:lineRule="auto"/>
        <w:rPr>
          <w:rFonts w:ascii="Verdana" w:hAnsi="Verdana"/>
          <w:sz w:val="20"/>
          <w:szCs w:val="20"/>
        </w:rPr>
      </w:pPr>
      <w:r w:rsidRPr="00BB5131">
        <w:rPr>
          <w:rFonts w:ascii="Verdana" w:hAnsi="Verdana"/>
          <w:sz w:val="20"/>
          <w:szCs w:val="20"/>
          <w:lang w:val="es-ES"/>
        </w:rPr>
        <w:tab/>
      </w:r>
      <w:proofErr w:type="spellStart"/>
      <w:r w:rsidRPr="00BB5131">
        <w:rPr>
          <w:rFonts w:ascii="Verdana" w:hAnsi="Verdana"/>
          <w:sz w:val="20"/>
          <w:szCs w:val="20"/>
        </w:rPr>
        <w:t>Secretario</w:t>
      </w:r>
      <w:proofErr w:type="spellEnd"/>
    </w:p>
    <w:sectPr w:rsidR="00A24401" w:rsidRPr="00213DB0" w:rsidSect="002E629A">
      <w:footerReference w:type="default" r:id="rId10"/>
      <w:pgSz w:w="12240" w:h="15840"/>
      <w:pgMar w:top="1417" w:right="1701" w:bottom="1417" w:left="1701"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72F3F" w14:textId="77777777" w:rsidR="00114D67" w:rsidRDefault="00114D67" w:rsidP="005456A5">
      <w:pPr>
        <w:spacing w:after="0" w:line="240" w:lineRule="auto"/>
      </w:pPr>
      <w:r>
        <w:separator/>
      </w:r>
    </w:p>
  </w:endnote>
  <w:endnote w:type="continuationSeparator" w:id="0">
    <w:p w14:paraId="69F02368" w14:textId="77777777" w:rsidR="00114D67" w:rsidRDefault="00114D67" w:rsidP="005456A5">
      <w:pPr>
        <w:spacing w:after="0" w:line="240" w:lineRule="auto"/>
      </w:pPr>
      <w:r>
        <w:continuationSeparator/>
      </w:r>
    </w:p>
  </w:endnote>
  <w:endnote w:type="continuationNotice" w:id="1">
    <w:p w14:paraId="46FE3241" w14:textId="77777777" w:rsidR="00114D67" w:rsidRDefault="00114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TE3AB8378t00">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71442"/>
      <w:docPartObj>
        <w:docPartGallery w:val="Page Numbers (Bottom of Page)"/>
        <w:docPartUnique/>
      </w:docPartObj>
    </w:sdtPr>
    <w:sdtEndPr>
      <w:rPr>
        <w:noProof/>
      </w:rPr>
    </w:sdtEndPr>
    <w:sdtContent>
      <w:p w14:paraId="08E62E1C" w14:textId="77777777" w:rsidR="002107DE" w:rsidRDefault="002107DE">
        <w:pPr>
          <w:pStyle w:val="Footer"/>
          <w:jc w:val="center"/>
        </w:pPr>
        <w:r>
          <w:t>-</w:t>
        </w:r>
        <w:r>
          <w:fldChar w:fldCharType="begin"/>
        </w:r>
        <w:r>
          <w:instrText xml:space="preserve"> PAGE   \* MERGEFORMAT </w:instrText>
        </w:r>
        <w:r>
          <w:fldChar w:fldCharType="separate"/>
        </w:r>
        <w:r w:rsidR="00437E3C">
          <w:rPr>
            <w:noProof/>
          </w:rPr>
          <w:t>11</w:t>
        </w:r>
        <w:r>
          <w:rPr>
            <w:noProof/>
          </w:rPr>
          <w:fldChar w:fldCharType="end"/>
        </w:r>
        <w:r>
          <w:rPr>
            <w:noProof/>
          </w:rPr>
          <w:t>-</w:t>
        </w:r>
      </w:p>
    </w:sdtContent>
  </w:sdt>
  <w:p w14:paraId="01839356" w14:textId="77777777" w:rsidR="002107DE" w:rsidRDefault="0021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91AEF" w14:textId="77777777" w:rsidR="00114D67" w:rsidRDefault="00114D67" w:rsidP="005456A5">
      <w:pPr>
        <w:spacing w:after="0" w:line="240" w:lineRule="auto"/>
      </w:pPr>
      <w:r>
        <w:separator/>
      </w:r>
    </w:p>
  </w:footnote>
  <w:footnote w:type="continuationSeparator" w:id="0">
    <w:p w14:paraId="4F6F5432" w14:textId="77777777" w:rsidR="00114D67" w:rsidRDefault="00114D67" w:rsidP="005456A5">
      <w:pPr>
        <w:spacing w:after="0" w:line="240" w:lineRule="auto"/>
      </w:pPr>
      <w:r>
        <w:continuationSeparator/>
      </w:r>
    </w:p>
  </w:footnote>
  <w:footnote w:type="continuationNotice" w:id="1">
    <w:p w14:paraId="33AE4FDD" w14:textId="77777777" w:rsidR="00114D67" w:rsidRDefault="00114D67">
      <w:pPr>
        <w:spacing w:after="0" w:line="240" w:lineRule="auto"/>
      </w:pPr>
    </w:p>
  </w:footnote>
  <w:footnote w:id="2">
    <w:p w14:paraId="1CC0214F" w14:textId="77777777" w:rsidR="002107DE" w:rsidRPr="00BB5131" w:rsidRDefault="002107DE" w:rsidP="00E31BA2">
      <w:pPr>
        <w:pStyle w:val="FootnoteText"/>
        <w:tabs>
          <w:tab w:val="left" w:pos="567"/>
        </w:tabs>
        <w:spacing w:before="120" w:after="120"/>
        <w:ind w:right="-376"/>
        <w:jc w:val="both"/>
        <w:rPr>
          <w:rFonts w:ascii="Verdana" w:hAnsi="Verdana"/>
          <w:sz w:val="16"/>
          <w:szCs w:val="16"/>
          <w:lang w:val="es-ES"/>
        </w:rPr>
      </w:pPr>
      <w:r w:rsidRPr="00BB5131">
        <w:rPr>
          <w:rStyle w:val="FootnoteReference"/>
          <w:rFonts w:ascii="Verdana" w:hAnsi="Verdana"/>
          <w:sz w:val="16"/>
          <w:szCs w:val="16"/>
          <w:lang w:val="es-ES"/>
        </w:rPr>
        <w:t>*</w:t>
      </w:r>
      <w:r w:rsidRPr="00BB5131">
        <w:rPr>
          <w:rFonts w:ascii="Verdana" w:hAnsi="Verdana"/>
          <w:sz w:val="16"/>
          <w:szCs w:val="16"/>
          <w:lang w:val="es-ES"/>
        </w:rPr>
        <w:t xml:space="preserve"> </w:t>
      </w:r>
      <w:r w:rsidRPr="00BB5131">
        <w:rPr>
          <w:rFonts w:ascii="Verdana" w:hAnsi="Verdana"/>
          <w:sz w:val="16"/>
          <w:szCs w:val="16"/>
          <w:lang w:val="es-ES"/>
        </w:rPr>
        <w:tab/>
        <w:t>El Juez Eduardo Ferrer Mac-</w:t>
      </w:r>
      <w:proofErr w:type="spellStart"/>
      <w:r w:rsidRPr="00BB5131">
        <w:rPr>
          <w:rFonts w:ascii="Verdana" w:hAnsi="Verdana"/>
          <w:sz w:val="16"/>
          <w:szCs w:val="16"/>
          <w:lang w:val="es-ES"/>
        </w:rPr>
        <w:t>Gregor</w:t>
      </w:r>
      <w:proofErr w:type="spellEnd"/>
      <w:r w:rsidRPr="00BB5131">
        <w:rPr>
          <w:rFonts w:ascii="Verdana" w:hAnsi="Verdana"/>
          <w:sz w:val="16"/>
          <w:szCs w:val="16"/>
          <w:lang w:val="es-ES"/>
        </w:rPr>
        <w:t xml:space="preserve"> </w:t>
      </w:r>
      <w:proofErr w:type="spellStart"/>
      <w:r w:rsidRPr="00BB5131">
        <w:rPr>
          <w:rFonts w:ascii="Verdana" w:hAnsi="Verdana"/>
          <w:sz w:val="16"/>
          <w:szCs w:val="16"/>
          <w:lang w:val="es-ES"/>
        </w:rPr>
        <w:t>Poisot</w:t>
      </w:r>
      <w:proofErr w:type="spellEnd"/>
      <w:r w:rsidRPr="00BB5131">
        <w:rPr>
          <w:rFonts w:ascii="Verdana" w:hAnsi="Verdana"/>
          <w:sz w:val="16"/>
          <w:szCs w:val="16"/>
          <w:lang w:val="es-ES"/>
        </w:rPr>
        <w:t>, de nacionalidad mexicana, no participó en el conocimiento y deliberación de la presente resolución, de conformidad con lo dispuesto en el artículo 19.1 del Reglamento de la Corte.</w:t>
      </w:r>
    </w:p>
  </w:footnote>
  <w:footnote w:id="3">
    <w:p w14:paraId="11CA95B7" w14:textId="6E37F20E" w:rsidR="002107DE" w:rsidRPr="00BB5131" w:rsidRDefault="002107DE" w:rsidP="00E91E74">
      <w:pPr>
        <w:pStyle w:val="FootnoteText"/>
        <w:spacing w:before="120" w:after="120"/>
        <w:ind w:right="-316"/>
        <w:jc w:val="both"/>
        <w:rPr>
          <w:rFonts w:ascii="Verdana" w:hAnsi="Verdana"/>
          <w:sz w:val="16"/>
          <w:szCs w:val="16"/>
          <w:lang w:val="es-CR"/>
        </w:rPr>
      </w:pPr>
      <w:r w:rsidRPr="00BB5131">
        <w:rPr>
          <w:rStyle w:val="FootnoteReference"/>
          <w:rFonts w:ascii="Verdana" w:hAnsi="Verdana"/>
          <w:sz w:val="16"/>
          <w:szCs w:val="16"/>
          <w:lang w:val="es-CR"/>
        </w:rPr>
        <w:footnoteRef/>
      </w:r>
      <w:r w:rsidRPr="00BB5131">
        <w:rPr>
          <w:rFonts w:ascii="Verdana" w:hAnsi="Verdana"/>
          <w:sz w:val="16"/>
          <w:szCs w:val="16"/>
          <w:lang w:val="es-CR"/>
        </w:rPr>
        <w:t xml:space="preserve"> </w:t>
      </w:r>
      <w:r w:rsidRPr="00BB5131">
        <w:rPr>
          <w:rFonts w:ascii="Verdana" w:hAnsi="Verdana"/>
          <w:sz w:val="16"/>
          <w:szCs w:val="16"/>
          <w:lang w:val="es-CR"/>
        </w:rPr>
        <w:tab/>
      </w:r>
      <w:r w:rsidRPr="00BB5131">
        <w:rPr>
          <w:rFonts w:ascii="Verdana" w:hAnsi="Verdana"/>
          <w:i/>
          <w:sz w:val="16"/>
          <w:szCs w:val="16"/>
          <w:lang w:val="es-CR"/>
        </w:rPr>
        <w:t>Cfr.</w:t>
      </w:r>
      <w:r w:rsidRPr="00BB5131">
        <w:rPr>
          <w:rFonts w:ascii="Verdana" w:hAnsi="Verdana"/>
          <w:sz w:val="16"/>
          <w:szCs w:val="16"/>
          <w:lang w:val="es-CR"/>
        </w:rPr>
        <w:t xml:space="preserve"> </w:t>
      </w:r>
      <w:r w:rsidRPr="00BB5131">
        <w:rPr>
          <w:rFonts w:ascii="Verdana" w:hAnsi="Verdana"/>
          <w:i/>
          <w:sz w:val="16"/>
          <w:szCs w:val="16"/>
          <w:lang w:val="es-CR"/>
        </w:rPr>
        <w:t>Caso del Periódico “La Nación”.</w:t>
      </w:r>
      <w:r w:rsidRPr="00BB5131">
        <w:rPr>
          <w:rFonts w:ascii="Verdana" w:hAnsi="Verdana"/>
          <w:sz w:val="16"/>
          <w:szCs w:val="16"/>
          <w:lang w:val="es-CR"/>
        </w:rPr>
        <w:t xml:space="preserve"> Medidas Provisionales respecto de Costa Rica. Resolución de la Corte Interamericana de Derechos Humanos de 7 de septiembre de 2001, Considerando 4, </w:t>
      </w:r>
      <w:r w:rsidRPr="00BB5131">
        <w:rPr>
          <w:rFonts w:ascii="Verdana" w:hAnsi="Verdana"/>
          <w:bCs/>
          <w:color w:val="000000"/>
          <w:sz w:val="16"/>
          <w:szCs w:val="16"/>
          <w:lang w:val="es-CR"/>
        </w:rPr>
        <w:t xml:space="preserve">y </w:t>
      </w:r>
      <w:r w:rsidRPr="00BB5131">
        <w:rPr>
          <w:rFonts w:ascii="Verdana" w:hAnsi="Verdana"/>
          <w:bCs/>
          <w:i/>
          <w:color w:val="000000"/>
          <w:sz w:val="16"/>
          <w:szCs w:val="16"/>
          <w:lang w:val="es-CR"/>
        </w:rPr>
        <w:t xml:space="preserve">Asunto del Instituto Penal Plácido de </w:t>
      </w:r>
      <w:proofErr w:type="spellStart"/>
      <w:r w:rsidRPr="00BB5131">
        <w:rPr>
          <w:rFonts w:ascii="Verdana" w:hAnsi="Verdana"/>
          <w:bCs/>
          <w:i/>
          <w:color w:val="000000"/>
          <w:sz w:val="16"/>
          <w:szCs w:val="16"/>
          <w:lang w:val="es-CR"/>
        </w:rPr>
        <w:t>Sá</w:t>
      </w:r>
      <w:proofErr w:type="spellEnd"/>
      <w:r w:rsidRPr="00BB5131">
        <w:rPr>
          <w:rFonts w:ascii="Verdana" w:hAnsi="Verdana"/>
          <w:bCs/>
          <w:i/>
          <w:color w:val="000000"/>
          <w:sz w:val="16"/>
          <w:szCs w:val="16"/>
          <w:lang w:val="es-CR"/>
        </w:rPr>
        <w:t xml:space="preserve"> Carvalho respecto de Brasil</w:t>
      </w:r>
      <w:r w:rsidRPr="00BB5131">
        <w:rPr>
          <w:rFonts w:ascii="Verdana" w:hAnsi="Verdana"/>
          <w:bCs/>
          <w:color w:val="000000"/>
          <w:sz w:val="16"/>
          <w:szCs w:val="16"/>
          <w:lang w:val="es-CR"/>
        </w:rPr>
        <w:t>. Medidas Provisionales. Resolución de la Corte Interamericana de Derechos Humanos de 13 de febrero de 2017</w:t>
      </w:r>
      <w:r w:rsidRPr="00BB5131">
        <w:rPr>
          <w:rFonts w:ascii="Verdana" w:hAnsi="Verdana"/>
          <w:sz w:val="16"/>
          <w:szCs w:val="16"/>
          <w:lang w:val="es-CR"/>
        </w:rPr>
        <w:t>, Considerando 4.</w:t>
      </w:r>
    </w:p>
  </w:footnote>
  <w:footnote w:id="4">
    <w:p w14:paraId="23DE41EF" w14:textId="04AF593A" w:rsidR="002107DE" w:rsidRPr="00BB5131" w:rsidRDefault="002107DE" w:rsidP="00E91E74">
      <w:pPr>
        <w:pStyle w:val="FootnoteText"/>
        <w:spacing w:before="120" w:after="120"/>
        <w:ind w:right="-316"/>
        <w:jc w:val="both"/>
        <w:rPr>
          <w:rFonts w:ascii="Verdana" w:hAnsi="Verdana"/>
          <w:sz w:val="16"/>
          <w:szCs w:val="16"/>
          <w:lang w:val="es-CR"/>
        </w:rPr>
      </w:pPr>
      <w:r w:rsidRPr="00BB5131">
        <w:rPr>
          <w:rStyle w:val="FootnoteReference"/>
          <w:rFonts w:ascii="Verdana" w:hAnsi="Verdana"/>
          <w:sz w:val="16"/>
          <w:szCs w:val="16"/>
          <w:lang w:val="es-CR"/>
        </w:rPr>
        <w:footnoteRef/>
      </w:r>
      <w:r w:rsidRPr="00BB5131">
        <w:rPr>
          <w:rFonts w:ascii="Verdana" w:hAnsi="Verdana"/>
          <w:sz w:val="16"/>
          <w:szCs w:val="16"/>
          <w:lang w:val="es-CR"/>
        </w:rPr>
        <w:t xml:space="preserve"> </w:t>
      </w:r>
      <w:r w:rsidRPr="00BB5131">
        <w:rPr>
          <w:rFonts w:ascii="Verdana" w:hAnsi="Verdana"/>
          <w:sz w:val="16"/>
          <w:szCs w:val="16"/>
          <w:lang w:val="es-CR"/>
        </w:rPr>
        <w:tab/>
      </w:r>
      <w:r w:rsidRPr="00BB5131">
        <w:rPr>
          <w:rFonts w:ascii="Verdana" w:hAnsi="Verdana"/>
          <w:i/>
          <w:iCs/>
          <w:sz w:val="16"/>
          <w:szCs w:val="16"/>
          <w:lang w:val="es-CR"/>
        </w:rPr>
        <w:t xml:space="preserve">Asunto James y otros. </w:t>
      </w:r>
      <w:r w:rsidRPr="00BB5131">
        <w:rPr>
          <w:rFonts w:ascii="Verdana" w:hAnsi="Verdana"/>
          <w:sz w:val="16"/>
          <w:szCs w:val="16"/>
          <w:lang w:val="es-CR"/>
        </w:rPr>
        <w:t xml:space="preserve">Medidas Provisionales respecto de Trinidad y Tobago. </w:t>
      </w:r>
      <w:r w:rsidRPr="00BB5131">
        <w:rPr>
          <w:rFonts w:ascii="Verdana" w:hAnsi="Verdana"/>
          <w:bCs/>
          <w:color w:val="000000"/>
          <w:sz w:val="16"/>
          <w:szCs w:val="16"/>
          <w:lang w:val="es-CR"/>
        </w:rPr>
        <w:t>Resolución de la Corte Interamericana de Derechos Humanos</w:t>
      </w:r>
      <w:r w:rsidRPr="00BB5131">
        <w:rPr>
          <w:rFonts w:ascii="Verdana" w:hAnsi="Verdana"/>
          <w:sz w:val="16"/>
          <w:szCs w:val="16"/>
          <w:lang w:val="es-CR"/>
        </w:rPr>
        <w:t xml:space="preserve"> de 14 de junio de 1998, Considerando 6, </w:t>
      </w:r>
      <w:r w:rsidRPr="00BB5131">
        <w:rPr>
          <w:rFonts w:ascii="Verdana" w:hAnsi="Verdana"/>
          <w:bCs/>
          <w:color w:val="000000"/>
          <w:sz w:val="16"/>
          <w:szCs w:val="16"/>
          <w:lang w:val="es-CR"/>
        </w:rPr>
        <w:t xml:space="preserve">y </w:t>
      </w:r>
      <w:r w:rsidRPr="00BB5131">
        <w:rPr>
          <w:rFonts w:ascii="Verdana" w:hAnsi="Verdana"/>
          <w:bCs/>
          <w:i/>
          <w:color w:val="000000"/>
          <w:sz w:val="16"/>
          <w:szCs w:val="16"/>
          <w:lang w:val="es-CR"/>
        </w:rPr>
        <w:t xml:space="preserve">Asunto Pobladores de las Comunidades del Pueblo Indígena </w:t>
      </w:r>
      <w:proofErr w:type="spellStart"/>
      <w:r w:rsidRPr="00BB5131">
        <w:rPr>
          <w:rFonts w:ascii="Verdana" w:hAnsi="Verdana"/>
          <w:bCs/>
          <w:i/>
          <w:color w:val="000000"/>
          <w:sz w:val="16"/>
          <w:szCs w:val="16"/>
          <w:lang w:val="es-CR"/>
        </w:rPr>
        <w:t>Miskitu</w:t>
      </w:r>
      <w:proofErr w:type="spellEnd"/>
      <w:r w:rsidRPr="00BB5131">
        <w:rPr>
          <w:rFonts w:ascii="Verdana" w:hAnsi="Verdana"/>
          <w:bCs/>
          <w:i/>
          <w:color w:val="000000"/>
          <w:sz w:val="16"/>
          <w:szCs w:val="16"/>
          <w:lang w:val="es-CR"/>
        </w:rPr>
        <w:t xml:space="preserve"> de la Región Costa Caribe Norte respecto de Nicaragua. </w:t>
      </w:r>
      <w:r w:rsidRPr="00BB5131">
        <w:rPr>
          <w:rFonts w:ascii="Verdana" w:hAnsi="Verdana"/>
          <w:bCs/>
          <w:color w:val="000000"/>
          <w:sz w:val="16"/>
          <w:szCs w:val="16"/>
          <w:lang w:val="es-CR"/>
        </w:rPr>
        <w:t>Solicitud de medidas provisionales. Resolución de la Corte Interamericana de Derechos Humanos de 1 de septiembre de 2016</w:t>
      </w:r>
      <w:r w:rsidRPr="00BB5131">
        <w:rPr>
          <w:rFonts w:ascii="Verdana" w:hAnsi="Verdana"/>
          <w:sz w:val="16"/>
          <w:szCs w:val="16"/>
          <w:lang w:val="es-CR"/>
        </w:rPr>
        <w:t xml:space="preserve">, Considerando 5. </w:t>
      </w:r>
    </w:p>
  </w:footnote>
  <w:footnote w:id="5">
    <w:p w14:paraId="6EA8CED0" w14:textId="007ACF21" w:rsidR="002107DE" w:rsidRPr="00BB5131" w:rsidRDefault="002107DE" w:rsidP="00E91E74">
      <w:pPr>
        <w:pStyle w:val="FootnoteText"/>
        <w:spacing w:before="120" w:after="120"/>
        <w:jc w:val="both"/>
        <w:rPr>
          <w:rFonts w:ascii="Verdana" w:hAnsi="Verdana"/>
          <w:sz w:val="16"/>
          <w:szCs w:val="16"/>
          <w:lang w:val="es-ES"/>
        </w:rPr>
      </w:pPr>
      <w:r w:rsidRPr="00BB5131">
        <w:rPr>
          <w:rStyle w:val="FootnoteReference"/>
          <w:rFonts w:ascii="Verdana" w:hAnsi="Verdana"/>
          <w:sz w:val="16"/>
          <w:szCs w:val="16"/>
        </w:rPr>
        <w:footnoteRef/>
      </w:r>
      <w:r w:rsidRPr="00BB5131">
        <w:rPr>
          <w:rFonts w:ascii="Verdana" w:hAnsi="Verdana"/>
          <w:sz w:val="16"/>
          <w:szCs w:val="16"/>
          <w:lang w:val="es-ES"/>
        </w:rPr>
        <w:t xml:space="preserve"> </w:t>
      </w:r>
      <w:r w:rsidRPr="00BB5131">
        <w:rPr>
          <w:rFonts w:ascii="Verdana" w:hAnsi="Verdana"/>
          <w:sz w:val="16"/>
          <w:szCs w:val="16"/>
          <w:lang w:val="es-CR"/>
        </w:rPr>
        <w:tab/>
      </w:r>
      <w:r w:rsidRPr="00BB5131">
        <w:rPr>
          <w:rFonts w:ascii="Verdana" w:hAnsi="Verdana"/>
          <w:sz w:val="16"/>
          <w:szCs w:val="16"/>
          <w:lang w:val="es-ES"/>
        </w:rPr>
        <w:t xml:space="preserve">Respecto a la solicitud de medidas cautelares en relación con la comunidad </w:t>
      </w:r>
      <w:proofErr w:type="spellStart"/>
      <w:r w:rsidRPr="00BB5131">
        <w:rPr>
          <w:rFonts w:ascii="Verdana" w:hAnsi="Verdana"/>
          <w:sz w:val="16"/>
          <w:szCs w:val="16"/>
          <w:lang w:val="es-ES"/>
        </w:rPr>
        <w:t>Choréachi</w:t>
      </w:r>
      <w:proofErr w:type="spellEnd"/>
      <w:r w:rsidRPr="00BB5131">
        <w:rPr>
          <w:rFonts w:ascii="Verdana" w:hAnsi="Verdana"/>
          <w:sz w:val="16"/>
          <w:szCs w:val="16"/>
          <w:lang w:val="es-ES"/>
        </w:rPr>
        <w:t xml:space="preserve"> y los integrantes de la organización ASMAC, “la Comisión consideró necesario contar con información más detallada y actualizada sobre la alegada situación de riesgo”.</w:t>
      </w:r>
    </w:p>
  </w:footnote>
  <w:footnote w:id="6">
    <w:p w14:paraId="5D12FB05" w14:textId="1681C04F" w:rsidR="002107DE" w:rsidRPr="00BB5131" w:rsidRDefault="002107DE" w:rsidP="00AE174B">
      <w:pPr>
        <w:pStyle w:val="Default"/>
        <w:jc w:val="both"/>
      </w:pPr>
      <w:r w:rsidRPr="00BB5131">
        <w:rPr>
          <w:rStyle w:val="FootnoteReference"/>
          <w:rFonts w:ascii="Verdana" w:hAnsi="Verdana"/>
          <w:sz w:val="16"/>
          <w:szCs w:val="16"/>
        </w:rPr>
        <w:footnoteRef/>
      </w:r>
      <w:r w:rsidRPr="00BB5131">
        <w:rPr>
          <w:rFonts w:ascii="Verdana" w:hAnsi="Verdana"/>
          <w:sz w:val="16"/>
          <w:szCs w:val="16"/>
        </w:rPr>
        <w:t xml:space="preserve"> </w:t>
      </w:r>
      <w:r w:rsidRPr="00BB5131">
        <w:rPr>
          <w:rFonts w:ascii="Verdana" w:hAnsi="Verdana"/>
          <w:sz w:val="16"/>
          <w:szCs w:val="16"/>
          <w:lang w:val="es-CR"/>
        </w:rPr>
        <w:tab/>
      </w:r>
      <w:r w:rsidRPr="00BB5131">
        <w:rPr>
          <w:rFonts w:ascii="Verdana" w:hAnsi="Verdana"/>
          <w:sz w:val="16"/>
          <w:szCs w:val="16"/>
        </w:rPr>
        <w:t xml:space="preserve">Resaltó en particular que habrían sido implementadas las siguientes medidas: a) “medidas iniciales” consistentes en reuniones de trabajo en las cuales se sostuvieron diversos temas relativos a la Comunidad de </w:t>
      </w:r>
      <w:proofErr w:type="spellStart"/>
      <w:r w:rsidRPr="00BB5131">
        <w:rPr>
          <w:rFonts w:ascii="Verdana" w:hAnsi="Verdana"/>
          <w:sz w:val="16"/>
          <w:szCs w:val="16"/>
        </w:rPr>
        <w:t>Choréachi</w:t>
      </w:r>
      <w:proofErr w:type="spellEnd"/>
      <w:r w:rsidRPr="00BB5131">
        <w:rPr>
          <w:rFonts w:ascii="Verdana" w:hAnsi="Verdana"/>
          <w:sz w:val="16"/>
          <w:szCs w:val="16"/>
        </w:rPr>
        <w:t xml:space="preserve"> y en un “Mecanismo de Protección de Personas Defensoras de Derechos Humanos y periodistas”, b) medidas tomadas en el contexto de una “mesa [de trabajo] agrario – ambiental” en donde “se ha abordado la problemática que dio origen al presente asunto”, y en donde “se ha se han planteado alternativas, se ha informado sobre el estatus actual de la disputa, se ha trabajado en diagnósticos y se han implementado acuerdos que han dado lugar a acciones estatales en concierto con los representantes de los beneficiarios, todo ello de manera periódica”. Lo anterior, con “[l]a presencia de diversas autoridades especializadas y de diferentes niveles”; c) medidas tomadas en una “mesa [de trabajo] sobre seguridad”, en la cual “se ha abordado el estado actual de las investigaciones en torno a los hechos denunciados en este asunto, las medidas realizadas para ejecutar las órdenes de aprehensión vigentes,</w:t>
      </w:r>
      <w:r w:rsidRPr="00BB5131">
        <w:rPr>
          <w:rFonts w:ascii="Verdana" w:hAnsi="Verdana"/>
          <w:sz w:val="16"/>
        </w:rPr>
        <w:t xml:space="preserve"> las medidas que deben tomarse para la seguridad de la comunidad en su conjunto así como en lo individual, entre otras”</w:t>
      </w:r>
      <w:r w:rsidRPr="00BB5131">
        <w:rPr>
          <w:rFonts w:ascii="Verdana" w:hAnsi="Verdana"/>
          <w:sz w:val="16"/>
          <w:szCs w:val="16"/>
        </w:rPr>
        <w:t>. Así, “[e]</w:t>
      </w:r>
      <w:proofErr w:type="spellStart"/>
      <w:r w:rsidRPr="00BB5131">
        <w:rPr>
          <w:rFonts w:ascii="Verdana" w:hAnsi="Verdana"/>
          <w:sz w:val="16"/>
          <w:szCs w:val="16"/>
        </w:rPr>
        <w:t>ntre</w:t>
      </w:r>
      <w:proofErr w:type="spellEnd"/>
      <w:r w:rsidRPr="00BB5131">
        <w:rPr>
          <w:rFonts w:ascii="Verdana" w:hAnsi="Verdana"/>
          <w:sz w:val="16"/>
          <w:szCs w:val="16"/>
        </w:rPr>
        <w:t xml:space="preserve"> las medidas de seguridad se </w:t>
      </w:r>
      <w:proofErr w:type="spellStart"/>
      <w:r w:rsidRPr="00BB5131">
        <w:rPr>
          <w:rFonts w:ascii="Verdana" w:hAnsi="Verdana"/>
          <w:sz w:val="16"/>
          <w:szCs w:val="16"/>
        </w:rPr>
        <w:t>resalt</w:t>
      </w:r>
      <w:proofErr w:type="spellEnd"/>
      <w:r w:rsidRPr="00BB5131">
        <w:rPr>
          <w:rFonts w:ascii="Verdana" w:hAnsi="Verdana"/>
          <w:sz w:val="16"/>
          <w:szCs w:val="16"/>
        </w:rPr>
        <w:t>[</w:t>
      </w:r>
      <w:proofErr w:type="spellStart"/>
      <w:r w:rsidRPr="00BB5131">
        <w:rPr>
          <w:rFonts w:ascii="Verdana" w:hAnsi="Verdana"/>
          <w:sz w:val="16"/>
          <w:szCs w:val="16"/>
        </w:rPr>
        <w:t>an</w:t>
      </w:r>
      <w:proofErr w:type="spellEnd"/>
      <w:r w:rsidRPr="00BB5131">
        <w:rPr>
          <w:rFonts w:ascii="Verdana" w:hAnsi="Verdana"/>
          <w:sz w:val="16"/>
          <w:szCs w:val="16"/>
        </w:rPr>
        <w:t xml:space="preserve">] la presencia policiaca, los operativos de las BOM, las derivadas del Mecanismo de Defensores y Periodistas como son los rondines, acompañamientos, cursos de autoprotección, medidas temporales y excepcionales de alojamiento y albergues, entre otras”; d) “la alerta decretada en Chihuahua por el Mecanismo de Defensores y Periodistas, la cual incluye un diagnóstico de la situación en Chihuahua y un Plan de Contingencia que se ha aprobado en lo general, que incluye medidas transversales para atender problemáticas como las de este asunto de manera </w:t>
      </w:r>
      <w:r w:rsidRPr="00BB5131">
        <w:rPr>
          <w:rFonts w:ascii="Verdana" w:hAnsi="Verdana"/>
          <w:sz w:val="16"/>
        </w:rPr>
        <w:t>transversal</w:t>
      </w:r>
      <w:r w:rsidRPr="00BB5131">
        <w:rPr>
          <w:rFonts w:ascii="Verdana" w:hAnsi="Verdana"/>
          <w:sz w:val="16"/>
          <w:szCs w:val="16"/>
        </w:rPr>
        <w:t xml:space="preserve"> y coordinada”; e) “la C[omisión Nacional de Derechos Humanos de México] ha dictado medidas cautelares respecto de la Comunidad, lo cual ha dado impulso al seguimiento de la situación y a medidas a cargo del Estado”, y f) “otras medidas” en el marco de “los principales programas estructurales implementados a través del Gobierno de Chihuahua”.</w:t>
      </w:r>
    </w:p>
  </w:footnote>
  <w:footnote w:id="7">
    <w:p w14:paraId="3C34D997" w14:textId="02329F7C" w:rsidR="002107DE" w:rsidRPr="00BB5131" w:rsidRDefault="002107DE" w:rsidP="00E91E74">
      <w:pPr>
        <w:pStyle w:val="FootnoteText"/>
        <w:spacing w:before="120" w:after="120"/>
        <w:jc w:val="both"/>
        <w:rPr>
          <w:rFonts w:ascii="Verdana" w:hAnsi="Verdana"/>
          <w:sz w:val="16"/>
          <w:szCs w:val="16"/>
          <w:lang w:val="es-CR"/>
        </w:rPr>
      </w:pPr>
      <w:r w:rsidRPr="00BB5131">
        <w:rPr>
          <w:rStyle w:val="FootnoteReference"/>
          <w:rFonts w:ascii="Verdana" w:hAnsi="Verdana" w:cs="Arial"/>
          <w:sz w:val="16"/>
          <w:szCs w:val="16"/>
        </w:rPr>
        <w:footnoteRef/>
      </w:r>
      <w:r w:rsidRPr="00BB5131">
        <w:rPr>
          <w:rFonts w:ascii="Verdana" w:hAnsi="Verdana"/>
          <w:sz w:val="16"/>
          <w:szCs w:val="16"/>
          <w:lang w:val="es-CR"/>
        </w:rPr>
        <w:tab/>
      </w:r>
      <w:r w:rsidRPr="00BB5131">
        <w:rPr>
          <w:rFonts w:ascii="Verdana" w:hAnsi="Verdana"/>
          <w:i/>
          <w:sz w:val="16"/>
          <w:szCs w:val="16"/>
          <w:lang w:val="es-CR"/>
        </w:rPr>
        <w:t xml:space="preserve">Cfr. </w:t>
      </w:r>
      <w:r w:rsidRPr="00BB5131">
        <w:rPr>
          <w:rFonts w:ascii="Verdana" w:hAnsi="Verdana"/>
          <w:i/>
          <w:sz w:val="16"/>
          <w:szCs w:val="16"/>
          <w:lang w:val="es-CR" w:bidi="en-US"/>
        </w:rPr>
        <w:t xml:space="preserve">Caso Carpio </w:t>
      </w:r>
      <w:proofErr w:type="spellStart"/>
      <w:r w:rsidRPr="00BB5131">
        <w:rPr>
          <w:rFonts w:ascii="Verdana" w:hAnsi="Verdana"/>
          <w:i/>
          <w:sz w:val="16"/>
          <w:szCs w:val="16"/>
          <w:lang w:val="es-CR" w:bidi="en-US"/>
        </w:rPr>
        <w:t>Nicolle</w:t>
      </w:r>
      <w:proofErr w:type="spellEnd"/>
      <w:r w:rsidRPr="00BB5131">
        <w:rPr>
          <w:rFonts w:ascii="Verdana" w:hAnsi="Verdana"/>
          <w:i/>
          <w:sz w:val="16"/>
          <w:szCs w:val="16"/>
          <w:lang w:val="es-CR" w:bidi="en-US"/>
        </w:rPr>
        <w:t xml:space="preserve">. </w:t>
      </w:r>
      <w:r w:rsidRPr="00BB5131">
        <w:rPr>
          <w:rFonts w:ascii="Verdana" w:hAnsi="Verdana"/>
          <w:sz w:val="16"/>
          <w:szCs w:val="16"/>
          <w:lang w:val="es-CR" w:bidi="en-US"/>
        </w:rPr>
        <w:t xml:space="preserve">Medidas Provisionales respecto de Guatemala. Resolución de la Corte de 6 de julio de 2009, Considerando </w:t>
      </w:r>
      <w:r w:rsidRPr="00BB5131">
        <w:rPr>
          <w:rFonts w:ascii="Verdana" w:hAnsi="Verdana"/>
          <w:sz w:val="16"/>
          <w:szCs w:val="16"/>
          <w:lang w:val="es-GT"/>
        </w:rPr>
        <w:t xml:space="preserve">14, y </w:t>
      </w:r>
      <w:r w:rsidRPr="00BB5131">
        <w:rPr>
          <w:rFonts w:ascii="Verdana" w:hAnsi="Verdana" w:cs="Arial"/>
          <w:i/>
          <w:color w:val="262626"/>
          <w:sz w:val="16"/>
          <w:szCs w:val="16"/>
          <w:lang w:val="es-GT"/>
        </w:rPr>
        <w:t xml:space="preserve">Asunto Pobladores de las Comunidades del Pueblo Indígena </w:t>
      </w:r>
      <w:proofErr w:type="spellStart"/>
      <w:r w:rsidRPr="00BB5131">
        <w:rPr>
          <w:rFonts w:ascii="Verdana" w:hAnsi="Verdana" w:cs="Arial"/>
          <w:i/>
          <w:color w:val="262626"/>
          <w:sz w:val="16"/>
          <w:szCs w:val="16"/>
          <w:lang w:val="es-GT"/>
        </w:rPr>
        <w:t>Miskitu</w:t>
      </w:r>
      <w:proofErr w:type="spellEnd"/>
      <w:r w:rsidRPr="00BB5131">
        <w:rPr>
          <w:rFonts w:ascii="Verdana" w:hAnsi="Verdana" w:cs="Arial"/>
          <w:i/>
          <w:color w:val="262626"/>
          <w:sz w:val="16"/>
          <w:szCs w:val="16"/>
          <w:lang w:val="es-GT"/>
        </w:rPr>
        <w:t xml:space="preserve"> de la Región Costa Caribe Norte respecto de Nicaragua</w:t>
      </w:r>
      <w:r w:rsidRPr="00BB5131">
        <w:rPr>
          <w:rFonts w:ascii="Verdana" w:hAnsi="Verdana" w:cs="Arial"/>
          <w:color w:val="262626"/>
          <w:sz w:val="16"/>
          <w:szCs w:val="16"/>
          <w:lang w:val="es-GT"/>
        </w:rPr>
        <w:t xml:space="preserve">, </w:t>
      </w:r>
      <w:r w:rsidRPr="00BB5131">
        <w:rPr>
          <w:rFonts w:ascii="Verdana" w:hAnsi="Verdana" w:cs="Arial"/>
          <w:i/>
          <w:color w:val="262626"/>
          <w:sz w:val="16"/>
          <w:szCs w:val="16"/>
          <w:lang w:val="es-GT"/>
        </w:rPr>
        <w:t>supra</w:t>
      </w:r>
      <w:r w:rsidRPr="00BB5131">
        <w:rPr>
          <w:rFonts w:ascii="Verdana" w:hAnsi="Verdana" w:cs="Arial"/>
          <w:color w:val="262626"/>
          <w:sz w:val="16"/>
          <w:szCs w:val="16"/>
          <w:lang w:val="es-GT"/>
        </w:rPr>
        <w:t>, Considerando 4.</w:t>
      </w:r>
    </w:p>
  </w:footnote>
  <w:footnote w:id="8">
    <w:p w14:paraId="528C497A" w14:textId="475463E9" w:rsidR="002107DE" w:rsidRPr="00BB5131" w:rsidRDefault="002107DE" w:rsidP="00E91E74">
      <w:pPr>
        <w:pStyle w:val="FootnoteText"/>
        <w:spacing w:before="120" w:after="120"/>
        <w:jc w:val="both"/>
        <w:rPr>
          <w:rFonts w:ascii="Verdana" w:hAnsi="Verdana"/>
          <w:sz w:val="16"/>
          <w:szCs w:val="16"/>
          <w:lang w:val="es-CR"/>
        </w:rPr>
      </w:pPr>
      <w:r w:rsidRPr="00BB5131">
        <w:rPr>
          <w:rStyle w:val="FootnoteReference"/>
          <w:rFonts w:ascii="Verdana" w:hAnsi="Verdana" w:cs="Arial"/>
          <w:sz w:val="16"/>
          <w:szCs w:val="16"/>
        </w:rPr>
        <w:footnoteRef/>
      </w:r>
      <w:r w:rsidRPr="00BB5131">
        <w:rPr>
          <w:rFonts w:ascii="Verdana" w:hAnsi="Verdana"/>
          <w:sz w:val="16"/>
          <w:szCs w:val="16"/>
          <w:lang w:val="es-GT"/>
        </w:rPr>
        <w:t xml:space="preserve"> </w:t>
      </w:r>
      <w:r w:rsidRPr="00BB5131">
        <w:rPr>
          <w:rFonts w:ascii="Verdana" w:hAnsi="Verdana"/>
          <w:sz w:val="16"/>
          <w:szCs w:val="16"/>
          <w:lang w:val="es-GT"/>
        </w:rPr>
        <w:tab/>
      </w:r>
      <w:r w:rsidRPr="00BB5131">
        <w:rPr>
          <w:rFonts w:ascii="Verdana" w:hAnsi="Verdana"/>
          <w:i/>
          <w:sz w:val="16"/>
          <w:szCs w:val="16"/>
          <w:lang w:val="es-ES"/>
        </w:rPr>
        <w:t>Cfr.</w:t>
      </w:r>
      <w:r w:rsidRPr="00BB5131">
        <w:rPr>
          <w:rFonts w:ascii="Verdana" w:hAnsi="Verdana"/>
          <w:sz w:val="16"/>
          <w:szCs w:val="16"/>
          <w:lang w:val="es-ES"/>
        </w:rPr>
        <w:t xml:space="preserve"> </w:t>
      </w:r>
      <w:r w:rsidRPr="00BB5131">
        <w:rPr>
          <w:rFonts w:ascii="Verdana" w:hAnsi="Verdana"/>
          <w:i/>
          <w:sz w:val="16"/>
          <w:szCs w:val="16"/>
          <w:lang w:val="es-ES"/>
        </w:rPr>
        <w:t xml:space="preserve">Asunto James y otros. </w:t>
      </w:r>
      <w:r w:rsidRPr="00BB5131">
        <w:rPr>
          <w:rFonts w:ascii="Verdana" w:hAnsi="Verdana"/>
          <w:sz w:val="16"/>
          <w:szCs w:val="16"/>
          <w:lang w:val="es-ES"/>
        </w:rPr>
        <w:t>Medidas Provisionales respecto de Trinidad y Tobago</w:t>
      </w:r>
      <w:r w:rsidRPr="00BB5131">
        <w:rPr>
          <w:rFonts w:ascii="Verdana" w:hAnsi="Verdana"/>
          <w:i/>
          <w:sz w:val="16"/>
          <w:szCs w:val="16"/>
          <w:lang w:val="es-ES"/>
        </w:rPr>
        <w:t xml:space="preserve">. </w:t>
      </w:r>
      <w:r w:rsidRPr="00BB5131">
        <w:rPr>
          <w:rFonts w:ascii="Verdana" w:hAnsi="Verdana"/>
          <w:bCs/>
          <w:color w:val="000000"/>
          <w:sz w:val="16"/>
          <w:szCs w:val="16"/>
          <w:lang w:val="es-ES"/>
        </w:rPr>
        <w:t>Resolución de la Corte Interamericana de Derechos Humanos</w:t>
      </w:r>
      <w:r w:rsidRPr="00BB5131">
        <w:rPr>
          <w:rFonts w:ascii="Verdana" w:hAnsi="Verdana"/>
          <w:sz w:val="16"/>
          <w:szCs w:val="16"/>
          <w:lang w:val="es-ES"/>
        </w:rPr>
        <w:t xml:space="preserve"> de 29 de agosto de 1998, Considerando 6, y </w:t>
      </w:r>
      <w:r w:rsidRPr="00BB5131">
        <w:rPr>
          <w:rFonts w:ascii="Verdana" w:hAnsi="Verdana" w:cs="Arial"/>
          <w:i/>
          <w:color w:val="262626"/>
          <w:sz w:val="16"/>
          <w:szCs w:val="16"/>
          <w:lang w:val="es-GT"/>
        </w:rPr>
        <w:t xml:space="preserve">Asunto Pobladores de las Comunidades del Pueblo Indígena </w:t>
      </w:r>
      <w:proofErr w:type="spellStart"/>
      <w:r w:rsidRPr="00BB5131">
        <w:rPr>
          <w:rFonts w:ascii="Verdana" w:hAnsi="Verdana" w:cs="Arial"/>
          <w:i/>
          <w:color w:val="262626"/>
          <w:sz w:val="16"/>
          <w:szCs w:val="16"/>
          <w:lang w:val="es-GT"/>
        </w:rPr>
        <w:t>Miskitu</w:t>
      </w:r>
      <w:proofErr w:type="spellEnd"/>
      <w:r w:rsidRPr="00BB5131">
        <w:rPr>
          <w:rFonts w:ascii="Verdana" w:hAnsi="Verdana" w:cs="Arial"/>
          <w:i/>
          <w:color w:val="262626"/>
          <w:sz w:val="16"/>
          <w:szCs w:val="16"/>
          <w:lang w:val="es-GT"/>
        </w:rPr>
        <w:t xml:space="preserve"> de la Región Costa Caribe Norte respecto de Nicaragua</w:t>
      </w:r>
      <w:r w:rsidRPr="00BB5131">
        <w:rPr>
          <w:rFonts w:ascii="Verdana" w:hAnsi="Verdana" w:cs="Arial"/>
          <w:color w:val="262626"/>
          <w:sz w:val="16"/>
          <w:szCs w:val="16"/>
          <w:lang w:val="es-GT"/>
        </w:rPr>
        <w:t xml:space="preserve">, </w:t>
      </w:r>
      <w:r w:rsidRPr="00BB5131">
        <w:rPr>
          <w:rFonts w:ascii="Verdana" w:hAnsi="Verdana" w:cs="Arial"/>
          <w:i/>
          <w:color w:val="262626"/>
          <w:sz w:val="16"/>
          <w:szCs w:val="16"/>
          <w:lang w:val="es-GT"/>
        </w:rPr>
        <w:t>supra</w:t>
      </w:r>
      <w:r w:rsidRPr="00BB5131">
        <w:rPr>
          <w:rFonts w:ascii="Verdana" w:hAnsi="Verdana" w:cs="Arial"/>
          <w:color w:val="262626"/>
          <w:sz w:val="16"/>
          <w:szCs w:val="16"/>
          <w:lang w:val="es-GT"/>
        </w:rPr>
        <w:t xml:space="preserve">, Considerando </w:t>
      </w:r>
      <w:r w:rsidRPr="00BB5131">
        <w:rPr>
          <w:rFonts w:ascii="Verdana" w:hAnsi="Verdana"/>
          <w:sz w:val="16"/>
          <w:szCs w:val="16"/>
          <w:lang w:val="es-ES"/>
        </w:rPr>
        <w:t>9</w:t>
      </w:r>
      <w:r w:rsidRPr="00BB5131">
        <w:rPr>
          <w:rFonts w:ascii="Verdana" w:hAnsi="Verdana" w:cs="Arial"/>
          <w:color w:val="262626"/>
          <w:sz w:val="16"/>
          <w:szCs w:val="16"/>
          <w:lang w:val="es-GT"/>
        </w:rPr>
        <w:t>.</w:t>
      </w:r>
    </w:p>
  </w:footnote>
  <w:footnote w:id="9">
    <w:p w14:paraId="6AEB9C11" w14:textId="3D0CFFAD" w:rsidR="002107DE" w:rsidRPr="00BB5131" w:rsidRDefault="002107DE" w:rsidP="00E91E74">
      <w:pPr>
        <w:pStyle w:val="FootnoteText"/>
        <w:spacing w:before="120" w:after="120"/>
        <w:jc w:val="both"/>
        <w:rPr>
          <w:rFonts w:ascii="Verdana" w:hAnsi="Verdana"/>
          <w:sz w:val="16"/>
          <w:szCs w:val="16"/>
          <w:lang w:val="es-GT"/>
        </w:rPr>
      </w:pPr>
      <w:r w:rsidRPr="00BB5131">
        <w:rPr>
          <w:rStyle w:val="FootnoteReference"/>
          <w:rFonts w:ascii="Verdana" w:hAnsi="Verdana" w:cs="Arial"/>
          <w:sz w:val="16"/>
          <w:szCs w:val="16"/>
        </w:rPr>
        <w:footnoteRef/>
      </w:r>
      <w:r w:rsidRPr="00BB5131">
        <w:rPr>
          <w:rFonts w:ascii="Verdana" w:hAnsi="Verdana"/>
          <w:sz w:val="16"/>
          <w:szCs w:val="16"/>
          <w:lang w:val="es-GT"/>
        </w:rPr>
        <w:t xml:space="preserve"> </w:t>
      </w:r>
      <w:r w:rsidRPr="00BB5131">
        <w:rPr>
          <w:rFonts w:ascii="Verdana" w:hAnsi="Verdana"/>
          <w:sz w:val="16"/>
          <w:szCs w:val="16"/>
          <w:lang w:val="es-GT"/>
        </w:rPr>
        <w:tab/>
      </w:r>
      <w:r w:rsidRPr="00BB5131">
        <w:rPr>
          <w:rFonts w:ascii="Verdana" w:hAnsi="Verdana"/>
          <w:i/>
          <w:sz w:val="16"/>
          <w:szCs w:val="16"/>
          <w:lang w:val="es-GT"/>
        </w:rPr>
        <w:t>Cfr.</w:t>
      </w:r>
      <w:r w:rsidRPr="00BB5131">
        <w:rPr>
          <w:rFonts w:ascii="Verdana" w:hAnsi="Verdana"/>
          <w:sz w:val="16"/>
          <w:szCs w:val="16"/>
          <w:lang w:val="es-GT"/>
        </w:rPr>
        <w:t xml:space="preserve"> </w:t>
      </w:r>
      <w:r w:rsidRPr="00BB5131">
        <w:rPr>
          <w:rFonts w:ascii="Verdana" w:hAnsi="Verdana"/>
          <w:i/>
          <w:sz w:val="16"/>
          <w:szCs w:val="16"/>
          <w:lang w:val="es-GT"/>
        </w:rPr>
        <w:t xml:space="preserve">Caso Carpio </w:t>
      </w:r>
      <w:proofErr w:type="spellStart"/>
      <w:r w:rsidRPr="00BB5131">
        <w:rPr>
          <w:rFonts w:ascii="Verdana" w:hAnsi="Verdana"/>
          <w:i/>
          <w:sz w:val="16"/>
          <w:szCs w:val="16"/>
          <w:lang w:val="es-GT"/>
        </w:rPr>
        <w:t>Nicolle</w:t>
      </w:r>
      <w:proofErr w:type="spellEnd"/>
      <w:r w:rsidRPr="00BB5131">
        <w:rPr>
          <w:rFonts w:ascii="Verdana" w:hAnsi="Verdana"/>
          <w:sz w:val="16"/>
          <w:szCs w:val="16"/>
          <w:lang w:val="es-GT"/>
        </w:rPr>
        <w:t xml:space="preserve">, </w:t>
      </w:r>
      <w:r w:rsidRPr="00BB5131">
        <w:rPr>
          <w:rFonts w:ascii="Verdana" w:hAnsi="Verdana"/>
          <w:i/>
          <w:sz w:val="16"/>
          <w:szCs w:val="16"/>
          <w:lang w:val="es-GT"/>
        </w:rPr>
        <w:t xml:space="preserve">supra, </w:t>
      </w:r>
      <w:r w:rsidRPr="00BB5131">
        <w:rPr>
          <w:rFonts w:ascii="Verdana" w:hAnsi="Verdana"/>
          <w:sz w:val="16"/>
          <w:szCs w:val="16"/>
          <w:lang w:val="es-GT"/>
        </w:rPr>
        <w:t>Considerando 26,</w:t>
      </w:r>
      <w:r w:rsidRPr="00BB5131">
        <w:rPr>
          <w:rFonts w:ascii="Verdana" w:hAnsi="Verdana"/>
          <w:sz w:val="16"/>
          <w:szCs w:val="16"/>
          <w:lang w:val="es-ES"/>
        </w:rPr>
        <w:t xml:space="preserve"> y </w:t>
      </w:r>
      <w:r w:rsidRPr="00BB5131">
        <w:rPr>
          <w:rFonts w:ascii="Verdana" w:hAnsi="Verdana" w:cs="Arial"/>
          <w:i/>
          <w:color w:val="262626"/>
          <w:sz w:val="16"/>
          <w:szCs w:val="16"/>
          <w:lang w:val="es-GT"/>
        </w:rPr>
        <w:t xml:space="preserve">Asunto Pobladores de las Comunidades del Pueblo Indígena </w:t>
      </w:r>
      <w:proofErr w:type="spellStart"/>
      <w:r w:rsidRPr="00BB5131">
        <w:rPr>
          <w:rFonts w:ascii="Verdana" w:hAnsi="Verdana" w:cs="Arial"/>
          <w:i/>
          <w:color w:val="262626"/>
          <w:sz w:val="16"/>
          <w:szCs w:val="16"/>
          <w:lang w:val="es-GT"/>
        </w:rPr>
        <w:t>Miskitu</w:t>
      </w:r>
      <w:proofErr w:type="spellEnd"/>
      <w:r w:rsidRPr="00BB5131">
        <w:rPr>
          <w:rFonts w:ascii="Verdana" w:hAnsi="Verdana" w:cs="Arial"/>
          <w:i/>
          <w:color w:val="262626"/>
          <w:sz w:val="16"/>
          <w:szCs w:val="16"/>
          <w:lang w:val="es-GT"/>
        </w:rPr>
        <w:t xml:space="preserve"> de la Región Costa Caribe Norte respecto de Nicaragua</w:t>
      </w:r>
      <w:r w:rsidRPr="00BB5131">
        <w:rPr>
          <w:rFonts w:ascii="Verdana" w:hAnsi="Verdana" w:cs="Arial"/>
          <w:color w:val="262626"/>
          <w:sz w:val="16"/>
          <w:szCs w:val="16"/>
          <w:lang w:val="es-GT"/>
        </w:rPr>
        <w:t xml:space="preserve">, </w:t>
      </w:r>
      <w:r w:rsidRPr="00BB5131">
        <w:rPr>
          <w:rFonts w:ascii="Verdana" w:hAnsi="Verdana" w:cs="Arial"/>
          <w:i/>
          <w:color w:val="262626"/>
          <w:sz w:val="16"/>
          <w:szCs w:val="16"/>
          <w:lang w:val="es-GT"/>
        </w:rPr>
        <w:t>supra</w:t>
      </w:r>
      <w:r w:rsidRPr="00BB5131">
        <w:rPr>
          <w:rFonts w:ascii="Verdana" w:hAnsi="Verdana" w:cs="Arial"/>
          <w:color w:val="262626"/>
          <w:sz w:val="16"/>
          <w:szCs w:val="16"/>
          <w:lang w:val="es-GT"/>
        </w:rPr>
        <w:t xml:space="preserve">, Considerando </w:t>
      </w:r>
      <w:r w:rsidRPr="00BB5131">
        <w:rPr>
          <w:rFonts w:ascii="Verdana" w:hAnsi="Verdana"/>
          <w:sz w:val="16"/>
          <w:szCs w:val="16"/>
          <w:lang w:val="es-ES"/>
        </w:rPr>
        <w:t>10</w:t>
      </w:r>
      <w:r w:rsidRPr="00BB5131">
        <w:rPr>
          <w:rFonts w:ascii="Verdana" w:hAnsi="Verdana" w:cs="Arial"/>
          <w:color w:val="262626"/>
          <w:sz w:val="16"/>
          <w:szCs w:val="16"/>
          <w:lang w:val="es-GT"/>
        </w:rPr>
        <w:t>.</w:t>
      </w:r>
    </w:p>
  </w:footnote>
  <w:footnote w:id="10">
    <w:p w14:paraId="6BCF34B4" w14:textId="21BAB404" w:rsidR="002107DE" w:rsidRPr="00BB5131" w:rsidRDefault="002107DE" w:rsidP="00E91E74">
      <w:pPr>
        <w:pStyle w:val="FootnoteText"/>
        <w:spacing w:before="120" w:after="120"/>
        <w:jc w:val="both"/>
        <w:rPr>
          <w:rFonts w:ascii="Verdana" w:hAnsi="Verdana"/>
          <w:sz w:val="16"/>
          <w:szCs w:val="16"/>
          <w:lang w:val="es-GT"/>
        </w:rPr>
      </w:pPr>
      <w:r w:rsidRPr="00BB5131">
        <w:rPr>
          <w:rStyle w:val="FootnoteReference"/>
          <w:rFonts w:ascii="Verdana" w:hAnsi="Verdana"/>
          <w:sz w:val="16"/>
          <w:szCs w:val="16"/>
        </w:rPr>
        <w:footnoteRef/>
      </w:r>
      <w:r w:rsidRPr="00BB5131">
        <w:rPr>
          <w:rFonts w:ascii="Verdana" w:hAnsi="Verdana"/>
          <w:sz w:val="16"/>
          <w:szCs w:val="16"/>
          <w:lang w:val="es-GT"/>
        </w:rPr>
        <w:t xml:space="preserve"> </w:t>
      </w:r>
      <w:r w:rsidRPr="00BB5131">
        <w:rPr>
          <w:rFonts w:ascii="Verdana" w:hAnsi="Verdana"/>
          <w:sz w:val="16"/>
          <w:szCs w:val="16"/>
          <w:lang w:val="es-GT"/>
        </w:rPr>
        <w:tab/>
      </w:r>
      <w:r w:rsidRPr="00BB5131">
        <w:rPr>
          <w:rFonts w:ascii="Verdana" w:hAnsi="Verdana"/>
          <w:i/>
          <w:sz w:val="16"/>
          <w:szCs w:val="16"/>
          <w:lang w:val="es-GT"/>
        </w:rPr>
        <w:t>Cfr.</w:t>
      </w:r>
      <w:r w:rsidRPr="00BB5131">
        <w:rPr>
          <w:rFonts w:ascii="Verdana" w:hAnsi="Verdana"/>
          <w:sz w:val="16"/>
          <w:szCs w:val="16"/>
          <w:lang w:val="es-GT"/>
        </w:rPr>
        <w:t xml:space="preserve"> </w:t>
      </w:r>
      <w:r w:rsidRPr="00BB5131">
        <w:rPr>
          <w:rFonts w:ascii="Verdana" w:hAnsi="Verdana"/>
          <w:i/>
          <w:sz w:val="16"/>
          <w:szCs w:val="16"/>
          <w:lang w:val="es-GT"/>
        </w:rPr>
        <w:t xml:space="preserve">Asunto Carpio </w:t>
      </w:r>
      <w:proofErr w:type="spellStart"/>
      <w:r w:rsidRPr="00BB5131">
        <w:rPr>
          <w:rFonts w:ascii="Verdana" w:hAnsi="Verdana"/>
          <w:i/>
          <w:sz w:val="16"/>
          <w:szCs w:val="16"/>
          <w:lang w:val="es-GT"/>
        </w:rPr>
        <w:t>Nicolle</w:t>
      </w:r>
      <w:proofErr w:type="spellEnd"/>
      <w:r w:rsidRPr="00BB5131">
        <w:rPr>
          <w:rFonts w:ascii="Verdana" w:hAnsi="Verdana"/>
          <w:i/>
          <w:sz w:val="16"/>
          <w:szCs w:val="16"/>
          <w:lang w:val="es-GT"/>
        </w:rPr>
        <w:t>, supra</w:t>
      </w:r>
      <w:r w:rsidRPr="00BB5131">
        <w:rPr>
          <w:rFonts w:ascii="Verdana" w:hAnsi="Verdana"/>
          <w:sz w:val="16"/>
          <w:szCs w:val="16"/>
          <w:lang w:val="es-GT"/>
        </w:rPr>
        <w:t xml:space="preserve">, Considerando 27, </w:t>
      </w:r>
      <w:r w:rsidRPr="00BB5131">
        <w:rPr>
          <w:rFonts w:ascii="Verdana" w:hAnsi="Verdana" w:cs="Arial"/>
          <w:i/>
          <w:color w:val="262626"/>
          <w:sz w:val="16"/>
          <w:szCs w:val="16"/>
          <w:lang w:val="es-GT"/>
        </w:rPr>
        <w:t xml:space="preserve">Asunto Pobladores de las Comunidades del Pueblo Indígena </w:t>
      </w:r>
      <w:proofErr w:type="spellStart"/>
      <w:r w:rsidRPr="00BB5131">
        <w:rPr>
          <w:rFonts w:ascii="Verdana" w:hAnsi="Verdana" w:cs="Arial"/>
          <w:i/>
          <w:color w:val="262626"/>
          <w:sz w:val="16"/>
          <w:szCs w:val="16"/>
          <w:lang w:val="es-GT"/>
        </w:rPr>
        <w:t>Miskitu</w:t>
      </w:r>
      <w:proofErr w:type="spellEnd"/>
      <w:r w:rsidRPr="00BB5131">
        <w:rPr>
          <w:rFonts w:ascii="Verdana" w:hAnsi="Verdana" w:cs="Arial"/>
          <w:i/>
          <w:color w:val="262626"/>
          <w:sz w:val="16"/>
          <w:szCs w:val="16"/>
          <w:lang w:val="es-GT"/>
        </w:rPr>
        <w:t xml:space="preserve"> de la Región Costa Caribe Norte respecto de Nicaragua</w:t>
      </w:r>
      <w:r w:rsidRPr="00BB5131">
        <w:rPr>
          <w:rFonts w:ascii="Verdana" w:hAnsi="Verdana" w:cs="Arial"/>
          <w:color w:val="262626"/>
          <w:sz w:val="16"/>
          <w:szCs w:val="16"/>
          <w:lang w:val="es-GT"/>
        </w:rPr>
        <w:t xml:space="preserve">, </w:t>
      </w:r>
      <w:r w:rsidRPr="00BB5131">
        <w:rPr>
          <w:rFonts w:ascii="Verdana" w:hAnsi="Verdana" w:cs="Arial"/>
          <w:i/>
          <w:color w:val="262626"/>
          <w:sz w:val="16"/>
          <w:szCs w:val="16"/>
          <w:lang w:val="es-GT"/>
        </w:rPr>
        <w:t>supra</w:t>
      </w:r>
      <w:r w:rsidRPr="00BB5131">
        <w:rPr>
          <w:rFonts w:ascii="Verdana" w:hAnsi="Verdana" w:cs="Arial"/>
          <w:color w:val="262626"/>
          <w:sz w:val="16"/>
          <w:szCs w:val="16"/>
          <w:lang w:val="es-GT"/>
        </w:rPr>
        <w:t xml:space="preserve">, Considerando </w:t>
      </w:r>
      <w:r w:rsidRPr="00BB5131">
        <w:rPr>
          <w:rFonts w:ascii="Verdana" w:hAnsi="Verdana"/>
          <w:sz w:val="16"/>
          <w:szCs w:val="16"/>
          <w:lang w:val="es-ES"/>
        </w:rPr>
        <w:t>10</w:t>
      </w:r>
      <w:r w:rsidRPr="00BB5131">
        <w:rPr>
          <w:rFonts w:ascii="Verdana" w:hAnsi="Verdana" w:cs="Arial"/>
          <w:color w:val="262626"/>
          <w:sz w:val="16"/>
          <w:szCs w:val="16"/>
          <w:lang w:val="es-GT"/>
        </w:rPr>
        <w:t>.</w:t>
      </w:r>
    </w:p>
  </w:footnote>
  <w:footnote w:id="11">
    <w:p w14:paraId="0725D967" w14:textId="083B3B74" w:rsidR="002107DE" w:rsidRPr="00BB5131" w:rsidRDefault="002107DE" w:rsidP="00E91E74">
      <w:pPr>
        <w:pStyle w:val="FootnoteText"/>
        <w:spacing w:before="120" w:after="120"/>
        <w:jc w:val="both"/>
        <w:rPr>
          <w:rFonts w:ascii="Verdana" w:hAnsi="Verdana"/>
          <w:sz w:val="16"/>
          <w:szCs w:val="16"/>
          <w:lang w:val="es-ES"/>
        </w:rPr>
      </w:pPr>
      <w:r w:rsidRPr="00BB5131">
        <w:rPr>
          <w:rStyle w:val="FootnoteReference"/>
          <w:rFonts w:ascii="Verdana" w:hAnsi="Verdana"/>
          <w:sz w:val="16"/>
          <w:szCs w:val="16"/>
        </w:rPr>
        <w:footnoteRef/>
      </w:r>
      <w:r w:rsidRPr="00BB5131">
        <w:rPr>
          <w:rFonts w:ascii="Verdana" w:hAnsi="Verdana"/>
          <w:sz w:val="16"/>
          <w:szCs w:val="16"/>
          <w:lang w:val="es-ES"/>
        </w:rPr>
        <w:t xml:space="preserve"> </w:t>
      </w:r>
      <w:r w:rsidRPr="00BB5131">
        <w:rPr>
          <w:rFonts w:ascii="Verdana" w:hAnsi="Verdana"/>
          <w:sz w:val="16"/>
          <w:szCs w:val="16"/>
          <w:lang w:val="es-ES"/>
        </w:rPr>
        <w:tab/>
      </w:r>
      <w:r w:rsidRPr="00BB5131">
        <w:rPr>
          <w:rFonts w:ascii="Verdana" w:hAnsi="Verdana"/>
          <w:i/>
          <w:sz w:val="16"/>
          <w:szCs w:val="16"/>
          <w:lang w:val="es-ES"/>
        </w:rPr>
        <w:t>Cfr.</w:t>
      </w:r>
      <w:r w:rsidRPr="00BB5131">
        <w:rPr>
          <w:rFonts w:ascii="Verdana" w:hAnsi="Verdana"/>
          <w:sz w:val="16"/>
          <w:szCs w:val="16"/>
          <w:lang w:val="es-ES"/>
        </w:rPr>
        <w:t xml:space="preserve"> </w:t>
      </w:r>
      <w:r w:rsidRPr="00BB5131">
        <w:rPr>
          <w:rFonts w:ascii="Verdana" w:hAnsi="Verdana"/>
          <w:i/>
          <w:sz w:val="16"/>
          <w:szCs w:val="16"/>
          <w:lang w:val="es-ES"/>
        </w:rPr>
        <w:t xml:space="preserve">Caso de las Comunidades del </w:t>
      </w:r>
      <w:proofErr w:type="spellStart"/>
      <w:r w:rsidRPr="00BB5131">
        <w:rPr>
          <w:rFonts w:ascii="Verdana" w:hAnsi="Verdana"/>
          <w:i/>
          <w:sz w:val="16"/>
          <w:szCs w:val="16"/>
          <w:lang w:val="es-ES"/>
        </w:rPr>
        <w:t>Jiguamiandó</w:t>
      </w:r>
      <w:proofErr w:type="spellEnd"/>
      <w:r w:rsidRPr="00BB5131">
        <w:rPr>
          <w:rFonts w:ascii="Verdana" w:hAnsi="Verdana"/>
          <w:i/>
          <w:sz w:val="16"/>
          <w:szCs w:val="16"/>
          <w:lang w:val="es-ES"/>
        </w:rPr>
        <w:t xml:space="preserve"> y del </w:t>
      </w:r>
      <w:proofErr w:type="spellStart"/>
      <w:r w:rsidRPr="00BB5131">
        <w:rPr>
          <w:rFonts w:ascii="Verdana" w:hAnsi="Verdana"/>
          <w:i/>
          <w:sz w:val="16"/>
          <w:szCs w:val="16"/>
          <w:lang w:val="es-ES"/>
        </w:rPr>
        <w:t>Curbaradó</w:t>
      </w:r>
      <w:proofErr w:type="spellEnd"/>
      <w:r w:rsidRPr="00BB5131">
        <w:rPr>
          <w:rFonts w:ascii="Verdana" w:hAnsi="Verdana"/>
          <w:i/>
          <w:sz w:val="16"/>
          <w:szCs w:val="16"/>
          <w:lang w:val="es-ES"/>
        </w:rPr>
        <w:t xml:space="preserve">. </w:t>
      </w:r>
      <w:r w:rsidRPr="00BB5131">
        <w:rPr>
          <w:rFonts w:ascii="Verdana" w:hAnsi="Verdana"/>
          <w:sz w:val="16"/>
          <w:szCs w:val="16"/>
          <w:lang w:val="es-ES"/>
        </w:rPr>
        <w:t xml:space="preserve">Medidas Provisionales respecto de Colombia. Resolución de la Corte Interamericana de Derechos Humanos de 6 de marzo de 2003, Considerando 11, y </w:t>
      </w:r>
      <w:r w:rsidRPr="00BB5131">
        <w:rPr>
          <w:rFonts w:ascii="Verdana" w:hAnsi="Verdana" w:cs="Arial"/>
          <w:i/>
          <w:color w:val="262626"/>
          <w:sz w:val="16"/>
          <w:szCs w:val="16"/>
          <w:lang w:val="es-GT"/>
        </w:rPr>
        <w:t xml:space="preserve">Asunto Pobladores de las Comunidades del Pueblo Indígena </w:t>
      </w:r>
      <w:proofErr w:type="spellStart"/>
      <w:r w:rsidRPr="00BB5131">
        <w:rPr>
          <w:rFonts w:ascii="Verdana" w:hAnsi="Verdana" w:cs="Arial"/>
          <w:i/>
          <w:color w:val="262626"/>
          <w:sz w:val="16"/>
          <w:szCs w:val="16"/>
          <w:lang w:val="es-GT"/>
        </w:rPr>
        <w:t>Miskitu</w:t>
      </w:r>
      <w:proofErr w:type="spellEnd"/>
      <w:r w:rsidRPr="00BB5131">
        <w:rPr>
          <w:rFonts w:ascii="Verdana" w:hAnsi="Verdana" w:cs="Arial"/>
          <w:i/>
          <w:color w:val="262626"/>
          <w:sz w:val="16"/>
          <w:szCs w:val="16"/>
          <w:lang w:val="es-GT"/>
        </w:rPr>
        <w:t xml:space="preserve"> de la Región Costa Caribe Norte respecto de Nicaragua</w:t>
      </w:r>
      <w:r w:rsidRPr="00BB5131">
        <w:rPr>
          <w:rFonts w:ascii="Verdana" w:hAnsi="Verdana" w:cs="Arial"/>
          <w:color w:val="262626"/>
          <w:sz w:val="16"/>
          <w:szCs w:val="16"/>
          <w:lang w:val="es-GT"/>
        </w:rPr>
        <w:t xml:space="preserve">, </w:t>
      </w:r>
      <w:r w:rsidRPr="00BB5131">
        <w:rPr>
          <w:rFonts w:ascii="Verdana" w:hAnsi="Verdana" w:cs="Arial"/>
          <w:i/>
          <w:color w:val="262626"/>
          <w:sz w:val="16"/>
          <w:szCs w:val="16"/>
          <w:lang w:val="es-GT"/>
        </w:rPr>
        <w:t>supra</w:t>
      </w:r>
      <w:r w:rsidRPr="00BB5131">
        <w:rPr>
          <w:rFonts w:ascii="Verdana" w:hAnsi="Verdana" w:cs="Arial"/>
          <w:color w:val="262626"/>
          <w:sz w:val="16"/>
          <w:szCs w:val="16"/>
          <w:lang w:val="es-GT"/>
        </w:rPr>
        <w:t>, Considerando</w:t>
      </w:r>
      <w:r w:rsidRPr="00BB5131">
        <w:rPr>
          <w:rFonts w:ascii="Verdana" w:hAnsi="Verdana"/>
          <w:sz w:val="16"/>
          <w:szCs w:val="16"/>
          <w:lang w:val="es-ES"/>
        </w:rPr>
        <w:t xml:space="preserve"> 12</w:t>
      </w:r>
      <w:r w:rsidRPr="00BB5131">
        <w:rPr>
          <w:rFonts w:ascii="Verdana" w:hAnsi="Verdana" w:cs="Arial"/>
          <w:color w:val="262626"/>
          <w:sz w:val="16"/>
          <w:szCs w:val="16"/>
          <w:lang w:val="es-GT"/>
        </w:rPr>
        <w:t>.</w:t>
      </w:r>
    </w:p>
  </w:footnote>
  <w:footnote w:id="12">
    <w:p w14:paraId="5211E935" w14:textId="77777777" w:rsidR="002107DE" w:rsidRPr="00BB5131" w:rsidRDefault="002107DE" w:rsidP="00E91E74">
      <w:pPr>
        <w:pStyle w:val="FootnoteText"/>
        <w:spacing w:before="120" w:after="120"/>
        <w:jc w:val="both"/>
        <w:rPr>
          <w:rFonts w:ascii="Verdana" w:hAnsi="Verdana"/>
          <w:sz w:val="16"/>
          <w:szCs w:val="16"/>
          <w:lang w:val="es-GT"/>
        </w:rPr>
      </w:pPr>
      <w:r w:rsidRPr="00BB5131">
        <w:rPr>
          <w:rStyle w:val="FootnoteReference"/>
          <w:rFonts w:ascii="Verdana" w:hAnsi="Verdana"/>
          <w:sz w:val="16"/>
          <w:szCs w:val="16"/>
        </w:rPr>
        <w:footnoteRef/>
      </w:r>
      <w:r w:rsidRPr="00BB5131">
        <w:rPr>
          <w:rFonts w:ascii="Verdana" w:hAnsi="Verdana"/>
          <w:sz w:val="16"/>
          <w:szCs w:val="16"/>
          <w:lang w:val="es-GT"/>
        </w:rPr>
        <w:tab/>
      </w:r>
      <w:r w:rsidRPr="00BB5131">
        <w:rPr>
          <w:rFonts w:ascii="Verdana" w:hAnsi="Verdana"/>
          <w:i/>
          <w:sz w:val="16"/>
          <w:szCs w:val="16"/>
          <w:lang w:val="es-GT"/>
        </w:rPr>
        <w:t xml:space="preserve">Cfr. Asunto de la Comunidad de Paz de San José de Apartadó. </w:t>
      </w:r>
      <w:r w:rsidRPr="00BB5131">
        <w:rPr>
          <w:rFonts w:ascii="Verdana" w:hAnsi="Verdana"/>
          <w:sz w:val="16"/>
          <w:szCs w:val="16"/>
          <w:lang w:val="es-GT"/>
        </w:rPr>
        <w:t xml:space="preserve">Medidas Provisionales respecto de Colombia. Resolución de la Corte Interamericana de Derechos Humanos de 24 de noviembre de 2000, Considerando séptimo; y </w:t>
      </w:r>
      <w:r w:rsidRPr="00BB5131">
        <w:rPr>
          <w:rFonts w:ascii="Verdana" w:hAnsi="Verdana" w:cs="TTE3AB8378t00"/>
          <w:i/>
          <w:sz w:val="16"/>
          <w:szCs w:val="16"/>
          <w:lang w:val="es-GT"/>
        </w:rPr>
        <w:t>Asunto del Internado Judicial Capital El Rodeo I y El Rodeo II</w:t>
      </w:r>
      <w:r w:rsidRPr="00BB5131">
        <w:rPr>
          <w:rFonts w:ascii="Verdana" w:hAnsi="Verdana" w:cs="Verdana-Bold"/>
          <w:bCs/>
          <w:sz w:val="16"/>
          <w:szCs w:val="16"/>
          <w:lang w:val="es-GT"/>
        </w:rPr>
        <w:t>.</w:t>
      </w:r>
      <w:r w:rsidRPr="00BB5131">
        <w:rPr>
          <w:rFonts w:ascii="Verdana" w:hAnsi="Verdana"/>
          <w:sz w:val="16"/>
          <w:szCs w:val="16"/>
          <w:lang w:val="es-GT"/>
        </w:rPr>
        <w:t xml:space="preserve"> </w:t>
      </w:r>
      <w:r w:rsidRPr="00BB5131">
        <w:rPr>
          <w:rFonts w:ascii="Verdana" w:hAnsi="Verdana"/>
          <w:bCs/>
          <w:sz w:val="16"/>
          <w:szCs w:val="16"/>
          <w:lang w:val="es-CR"/>
        </w:rPr>
        <w:t>Medidas Provisionales respecto de Venezuela. Resolución de la Corte Interamericana de Derechos Humanos</w:t>
      </w:r>
      <w:r w:rsidRPr="00BB5131">
        <w:rPr>
          <w:rFonts w:ascii="Verdana" w:hAnsi="Verdana"/>
          <w:b/>
          <w:bCs/>
          <w:i/>
          <w:sz w:val="16"/>
          <w:szCs w:val="16"/>
          <w:lang w:val="es-CR"/>
        </w:rPr>
        <w:t xml:space="preserve"> </w:t>
      </w:r>
      <w:r w:rsidRPr="00BB5131">
        <w:rPr>
          <w:rFonts w:ascii="Verdana" w:hAnsi="Verdana"/>
          <w:sz w:val="16"/>
          <w:szCs w:val="16"/>
          <w:lang w:val="es-GT"/>
        </w:rPr>
        <w:t>de 8 de febrero de 2008</w:t>
      </w:r>
      <w:r w:rsidRPr="00BB5131">
        <w:rPr>
          <w:rFonts w:ascii="Verdana" w:hAnsi="Verdana"/>
          <w:i/>
          <w:sz w:val="16"/>
          <w:szCs w:val="16"/>
          <w:lang w:val="es-GT"/>
        </w:rPr>
        <w:t xml:space="preserve">, </w:t>
      </w:r>
      <w:r w:rsidRPr="00BB5131">
        <w:rPr>
          <w:rFonts w:ascii="Verdana" w:hAnsi="Verdana"/>
          <w:sz w:val="16"/>
          <w:szCs w:val="16"/>
          <w:lang w:val="es-GT"/>
        </w:rPr>
        <w:t>Considerando vigésimo primero.</w:t>
      </w:r>
    </w:p>
  </w:footnote>
  <w:footnote w:id="13">
    <w:p w14:paraId="142C7737" w14:textId="4B82626B" w:rsidR="002107DE" w:rsidRPr="00BB5131" w:rsidRDefault="002107DE" w:rsidP="00E91E74">
      <w:pPr>
        <w:pStyle w:val="FootnoteText"/>
        <w:spacing w:before="120" w:after="120"/>
        <w:jc w:val="both"/>
        <w:rPr>
          <w:rFonts w:ascii="Verdana" w:hAnsi="Verdana"/>
          <w:bCs/>
          <w:color w:val="000000"/>
          <w:sz w:val="16"/>
          <w:szCs w:val="16"/>
          <w:shd w:val="clear" w:color="auto" w:fill="FFFFFF"/>
          <w:lang w:val="es-GT"/>
        </w:rPr>
      </w:pPr>
      <w:r w:rsidRPr="00BB5131">
        <w:rPr>
          <w:rStyle w:val="FootnoteReference"/>
          <w:rFonts w:ascii="Verdana" w:hAnsi="Verdana"/>
          <w:sz w:val="16"/>
          <w:szCs w:val="16"/>
        </w:rPr>
        <w:footnoteRef/>
      </w:r>
      <w:r w:rsidRPr="00BB5131">
        <w:rPr>
          <w:rFonts w:ascii="Verdana" w:hAnsi="Verdana"/>
          <w:sz w:val="16"/>
          <w:szCs w:val="16"/>
          <w:lang w:val="es-GT"/>
        </w:rPr>
        <w:t xml:space="preserve"> </w:t>
      </w:r>
      <w:r w:rsidRPr="00BB5131">
        <w:rPr>
          <w:rFonts w:ascii="Verdana" w:hAnsi="Verdana"/>
          <w:sz w:val="16"/>
          <w:szCs w:val="16"/>
          <w:lang w:val="es-GT"/>
        </w:rPr>
        <w:tab/>
      </w:r>
      <w:r w:rsidRPr="00BB5131">
        <w:rPr>
          <w:rFonts w:ascii="Verdana" w:hAnsi="Verdana"/>
          <w:i/>
          <w:sz w:val="16"/>
          <w:szCs w:val="16"/>
          <w:lang w:val="es-GT"/>
        </w:rPr>
        <w:t>Cfr.</w:t>
      </w:r>
      <w:r w:rsidRPr="00BB5131">
        <w:rPr>
          <w:rFonts w:ascii="Verdana" w:hAnsi="Verdana"/>
          <w:sz w:val="16"/>
          <w:szCs w:val="16"/>
          <w:lang w:val="es-GT"/>
        </w:rPr>
        <w:t xml:space="preserve"> </w:t>
      </w:r>
      <w:r w:rsidRPr="00BB5131">
        <w:rPr>
          <w:rFonts w:ascii="Verdana" w:hAnsi="Verdana"/>
          <w:bCs/>
          <w:i/>
          <w:color w:val="000000"/>
          <w:sz w:val="16"/>
          <w:szCs w:val="16"/>
          <w:lang w:val="es-GT"/>
        </w:rPr>
        <w:t>Asunto de la Comunidad de Paz de San José de Apartadó</w:t>
      </w:r>
      <w:r w:rsidRPr="00BB5131">
        <w:rPr>
          <w:rFonts w:ascii="Verdana" w:hAnsi="Verdana"/>
          <w:bCs/>
          <w:color w:val="000000"/>
          <w:sz w:val="16"/>
          <w:szCs w:val="16"/>
          <w:lang w:val="es-GT"/>
        </w:rPr>
        <w:t xml:space="preserve">, de 24 de noviembre de 2000, </w:t>
      </w:r>
      <w:r w:rsidRPr="00BB5131">
        <w:rPr>
          <w:rFonts w:ascii="Verdana" w:hAnsi="Verdana"/>
          <w:bCs/>
          <w:i/>
          <w:color w:val="000000"/>
          <w:sz w:val="16"/>
          <w:szCs w:val="16"/>
          <w:lang w:val="es-GT"/>
        </w:rPr>
        <w:t>supra</w:t>
      </w:r>
      <w:r w:rsidRPr="00BB5131">
        <w:rPr>
          <w:rFonts w:ascii="Verdana" w:hAnsi="Verdana"/>
          <w:bCs/>
          <w:color w:val="000000"/>
          <w:sz w:val="16"/>
          <w:szCs w:val="16"/>
          <w:lang w:val="es-GT"/>
        </w:rPr>
        <w:t xml:space="preserve">, Considerando séptimo; </w:t>
      </w:r>
      <w:r w:rsidRPr="00BB5131">
        <w:rPr>
          <w:rFonts w:ascii="Verdana" w:hAnsi="Verdana"/>
          <w:bCs/>
          <w:i/>
          <w:color w:val="000000"/>
          <w:sz w:val="16"/>
          <w:szCs w:val="16"/>
          <w:lang w:val="es-GT"/>
        </w:rPr>
        <w:t xml:space="preserve">Asunto Pueblo Indígena </w:t>
      </w:r>
      <w:proofErr w:type="spellStart"/>
      <w:r w:rsidRPr="00BB5131">
        <w:rPr>
          <w:rFonts w:ascii="Verdana" w:hAnsi="Verdana"/>
          <w:bCs/>
          <w:i/>
          <w:color w:val="000000"/>
          <w:sz w:val="16"/>
          <w:szCs w:val="16"/>
          <w:lang w:val="es-GT"/>
        </w:rPr>
        <w:t>Sarayaku</w:t>
      </w:r>
      <w:proofErr w:type="spellEnd"/>
      <w:r w:rsidRPr="00BB5131">
        <w:rPr>
          <w:rFonts w:ascii="Verdana" w:hAnsi="Verdana"/>
          <w:bCs/>
          <w:i/>
          <w:color w:val="000000"/>
          <w:sz w:val="16"/>
          <w:szCs w:val="16"/>
          <w:lang w:val="es-GT"/>
        </w:rPr>
        <w:t>, supra, Considerando noveno</w:t>
      </w:r>
      <w:r w:rsidRPr="00BB5131">
        <w:rPr>
          <w:rFonts w:ascii="Verdana" w:hAnsi="Verdana"/>
          <w:bCs/>
          <w:color w:val="000000"/>
          <w:sz w:val="16"/>
          <w:szCs w:val="16"/>
          <w:lang w:val="es-GT"/>
        </w:rPr>
        <w:t xml:space="preserve">; </w:t>
      </w:r>
      <w:r w:rsidRPr="00BB5131">
        <w:rPr>
          <w:rFonts w:ascii="Verdana" w:hAnsi="Verdana"/>
          <w:bCs/>
          <w:i/>
          <w:color w:val="000000"/>
          <w:sz w:val="16"/>
          <w:szCs w:val="16"/>
          <w:lang w:val="es-GT"/>
        </w:rPr>
        <w:t xml:space="preserve">Caso del Pueblo de </w:t>
      </w:r>
      <w:proofErr w:type="spellStart"/>
      <w:r w:rsidRPr="00BB5131">
        <w:rPr>
          <w:rFonts w:ascii="Verdana" w:hAnsi="Verdana"/>
          <w:bCs/>
          <w:i/>
          <w:color w:val="000000"/>
          <w:sz w:val="16"/>
          <w:szCs w:val="16"/>
          <w:lang w:val="es-GT"/>
        </w:rPr>
        <w:t>Saramaka</w:t>
      </w:r>
      <w:proofErr w:type="spellEnd"/>
      <w:r w:rsidRPr="00BB5131">
        <w:rPr>
          <w:rFonts w:ascii="Verdana" w:hAnsi="Verdana"/>
          <w:bCs/>
          <w:i/>
          <w:color w:val="000000"/>
          <w:sz w:val="16"/>
          <w:szCs w:val="16"/>
          <w:lang w:val="es-GT"/>
        </w:rPr>
        <w:t xml:space="preserve"> Vs. Surinam,</w:t>
      </w:r>
      <w:r w:rsidRPr="00BB5131">
        <w:rPr>
          <w:rFonts w:ascii="Verdana" w:hAnsi="Verdana"/>
          <w:bCs/>
          <w:color w:val="000000"/>
          <w:sz w:val="16"/>
          <w:szCs w:val="16"/>
          <w:lang w:val="es-GT"/>
        </w:rPr>
        <w:t xml:space="preserve"> supra, Considerandos quinto </w:t>
      </w:r>
      <w:proofErr w:type="spellStart"/>
      <w:r w:rsidRPr="00BB5131">
        <w:rPr>
          <w:rFonts w:ascii="Verdana" w:hAnsi="Verdana"/>
          <w:bCs/>
          <w:color w:val="000000"/>
          <w:sz w:val="16"/>
          <w:szCs w:val="16"/>
          <w:lang w:val="es-GT"/>
        </w:rPr>
        <w:t>a</w:t>
      </w:r>
      <w:proofErr w:type="spellEnd"/>
      <w:r w:rsidRPr="00BB5131">
        <w:rPr>
          <w:rFonts w:ascii="Verdana" w:hAnsi="Verdana"/>
          <w:bCs/>
          <w:color w:val="000000"/>
          <w:sz w:val="16"/>
          <w:szCs w:val="16"/>
          <w:lang w:val="es-GT"/>
        </w:rPr>
        <w:t xml:space="preserve"> octavo; </w:t>
      </w:r>
      <w:r w:rsidRPr="00BB5131">
        <w:rPr>
          <w:rFonts w:ascii="Verdana" w:hAnsi="Verdana"/>
          <w:sz w:val="16"/>
          <w:szCs w:val="16"/>
          <w:lang w:val="es-ES"/>
        </w:rPr>
        <w:t xml:space="preserve">y </w:t>
      </w:r>
      <w:r w:rsidRPr="00BB5131">
        <w:rPr>
          <w:rFonts w:ascii="Verdana" w:hAnsi="Verdana" w:cs="Arial"/>
          <w:i/>
          <w:color w:val="262626"/>
          <w:sz w:val="16"/>
          <w:szCs w:val="16"/>
          <w:lang w:val="es-GT"/>
        </w:rPr>
        <w:t xml:space="preserve">Asunto Pobladores de las Comunidades del Pueblo Indígena </w:t>
      </w:r>
      <w:proofErr w:type="spellStart"/>
      <w:r w:rsidRPr="00BB5131">
        <w:rPr>
          <w:rFonts w:ascii="Verdana" w:hAnsi="Verdana" w:cs="Arial"/>
          <w:i/>
          <w:color w:val="262626"/>
          <w:sz w:val="16"/>
          <w:szCs w:val="16"/>
          <w:lang w:val="es-GT"/>
        </w:rPr>
        <w:t>Miskitu</w:t>
      </w:r>
      <w:proofErr w:type="spellEnd"/>
      <w:r w:rsidRPr="00BB5131">
        <w:rPr>
          <w:rFonts w:ascii="Verdana" w:hAnsi="Verdana" w:cs="Arial"/>
          <w:i/>
          <w:color w:val="262626"/>
          <w:sz w:val="16"/>
          <w:szCs w:val="16"/>
          <w:lang w:val="es-GT"/>
        </w:rPr>
        <w:t xml:space="preserve"> de la Región Costa Caribe Norte respecto de Nicaragua</w:t>
      </w:r>
      <w:r w:rsidRPr="00BB5131">
        <w:rPr>
          <w:rFonts w:ascii="Verdana" w:hAnsi="Verdana" w:cs="Arial"/>
          <w:color w:val="262626"/>
          <w:sz w:val="16"/>
          <w:szCs w:val="16"/>
          <w:lang w:val="es-GT"/>
        </w:rPr>
        <w:t xml:space="preserve">, </w:t>
      </w:r>
      <w:r w:rsidRPr="00BB5131">
        <w:rPr>
          <w:rFonts w:ascii="Verdana" w:hAnsi="Verdana" w:cs="Arial"/>
          <w:i/>
          <w:color w:val="262626"/>
          <w:sz w:val="16"/>
          <w:szCs w:val="16"/>
          <w:lang w:val="es-GT"/>
        </w:rPr>
        <w:t>supra</w:t>
      </w:r>
      <w:r w:rsidRPr="00BB5131">
        <w:rPr>
          <w:rFonts w:ascii="Verdana" w:hAnsi="Verdana" w:cs="Arial"/>
          <w:color w:val="262626"/>
          <w:sz w:val="16"/>
          <w:szCs w:val="16"/>
          <w:lang w:val="es-GT"/>
        </w:rPr>
        <w:t xml:space="preserve">, Considerando </w:t>
      </w:r>
      <w:r w:rsidRPr="00BB5131">
        <w:rPr>
          <w:rFonts w:ascii="Verdana" w:hAnsi="Verdana"/>
          <w:sz w:val="16"/>
          <w:szCs w:val="16"/>
          <w:lang w:val="es-ES"/>
        </w:rPr>
        <w:t>15</w:t>
      </w:r>
      <w:r w:rsidRPr="00BB5131">
        <w:rPr>
          <w:rFonts w:ascii="Verdana" w:hAnsi="Verdana"/>
          <w:bCs/>
          <w:color w:val="000000"/>
          <w:sz w:val="16"/>
          <w:szCs w:val="16"/>
          <w:lang w:val="es-GT"/>
        </w:rPr>
        <w:t>.</w:t>
      </w:r>
      <w:r w:rsidRPr="00BB5131">
        <w:rPr>
          <w:rFonts w:ascii="Verdana" w:hAnsi="Verdana"/>
          <w:bCs/>
          <w:color w:val="000000"/>
          <w:sz w:val="16"/>
          <w:szCs w:val="16"/>
          <w:shd w:val="clear" w:color="auto" w:fill="FFFFFF"/>
          <w:lang w:val="es-GT"/>
        </w:rPr>
        <w:t xml:space="preserve"> </w:t>
      </w:r>
    </w:p>
  </w:footnote>
  <w:footnote w:id="14">
    <w:p w14:paraId="1BF0A594" w14:textId="17619FF4" w:rsidR="00680EE8" w:rsidRPr="00680EE8" w:rsidRDefault="00680EE8" w:rsidP="00680EE8">
      <w:pPr>
        <w:pStyle w:val="FootnoteText"/>
        <w:spacing w:before="120" w:after="120"/>
        <w:jc w:val="both"/>
        <w:rPr>
          <w:rFonts w:ascii="Verdana" w:hAnsi="Verdana"/>
          <w:bCs/>
          <w:color w:val="000000"/>
          <w:sz w:val="16"/>
          <w:szCs w:val="16"/>
          <w:shd w:val="clear" w:color="auto" w:fill="FFFFFF"/>
          <w:lang w:val="es-GT"/>
        </w:rPr>
      </w:pPr>
      <w:r w:rsidRPr="00BB5131">
        <w:rPr>
          <w:rStyle w:val="FootnoteReference"/>
          <w:rFonts w:ascii="Verdana" w:hAnsi="Verdana"/>
          <w:sz w:val="16"/>
          <w:szCs w:val="16"/>
        </w:rPr>
        <w:footnoteRef/>
      </w:r>
      <w:r w:rsidRPr="00BB5131">
        <w:rPr>
          <w:rFonts w:ascii="Verdana" w:hAnsi="Verdana"/>
          <w:sz w:val="16"/>
          <w:szCs w:val="16"/>
          <w:lang w:val="es-GT"/>
        </w:rPr>
        <w:t xml:space="preserve"> </w:t>
      </w:r>
      <w:r w:rsidRPr="00BB5131">
        <w:rPr>
          <w:rFonts w:ascii="Verdana" w:hAnsi="Verdana"/>
          <w:sz w:val="16"/>
          <w:szCs w:val="16"/>
          <w:lang w:val="es-GT"/>
        </w:rPr>
        <w:tab/>
      </w:r>
      <w:r w:rsidRPr="00BB5131">
        <w:rPr>
          <w:rFonts w:ascii="Verdana" w:hAnsi="Verdana"/>
          <w:i/>
          <w:sz w:val="16"/>
          <w:szCs w:val="16"/>
          <w:lang w:val="es-GT"/>
        </w:rPr>
        <w:t>Cfr.</w:t>
      </w:r>
      <w:r w:rsidRPr="00BB5131">
        <w:rPr>
          <w:rFonts w:ascii="Verdana" w:hAnsi="Verdana"/>
          <w:sz w:val="16"/>
          <w:szCs w:val="16"/>
          <w:lang w:val="es-GT"/>
        </w:rPr>
        <w:t xml:space="preserve"> </w:t>
      </w:r>
      <w:r w:rsidRPr="00BB5131">
        <w:rPr>
          <w:rFonts w:ascii="Verdana" w:hAnsi="Verdana"/>
          <w:bCs/>
          <w:i/>
          <w:color w:val="000000"/>
          <w:sz w:val="16"/>
          <w:szCs w:val="16"/>
          <w:lang w:val="es-GT"/>
        </w:rPr>
        <w:t>Asunto de la Comunidad de Paz de San José de Apartadó respecto Colombia</w:t>
      </w:r>
      <w:r w:rsidRPr="00BB5131">
        <w:rPr>
          <w:rFonts w:ascii="Verdana" w:hAnsi="Verdana"/>
          <w:bCs/>
          <w:color w:val="000000"/>
          <w:sz w:val="16"/>
          <w:szCs w:val="16"/>
          <w:lang w:val="es-GT"/>
        </w:rPr>
        <w:t xml:space="preserve">. Medidas Provisionales. Resolución de la Corte Interamericana de Derechos Humanos de 30 de agosto de 2010, </w:t>
      </w:r>
      <w:r w:rsidRPr="00BB5131">
        <w:rPr>
          <w:rFonts w:ascii="Verdana" w:hAnsi="Verdana" w:cs="Arial"/>
          <w:color w:val="262626"/>
          <w:sz w:val="16"/>
          <w:szCs w:val="16"/>
          <w:lang w:val="es-GT"/>
        </w:rPr>
        <w:t xml:space="preserve">Considerando </w:t>
      </w:r>
      <w:r w:rsidRPr="00BB5131">
        <w:rPr>
          <w:rFonts w:ascii="Verdana" w:hAnsi="Verdana"/>
          <w:sz w:val="16"/>
          <w:szCs w:val="16"/>
          <w:lang w:val="es-ES"/>
        </w:rPr>
        <w:t>10</w:t>
      </w:r>
      <w:r w:rsidRPr="00BB5131">
        <w:rPr>
          <w:rFonts w:ascii="Verdana" w:hAnsi="Verdana"/>
          <w:bCs/>
          <w:color w:val="000000"/>
          <w:sz w:val="16"/>
          <w:szCs w:val="16"/>
          <w:lang w:val="es-GT"/>
        </w:rPr>
        <w:t>.</w:t>
      </w:r>
      <w:r w:rsidRPr="00680EE8">
        <w:rPr>
          <w:rFonts w:ascii="Verdana" w:hAnsi="Verdana"/>
          <w:bCs/>
          <w:color w:val="000000"/>
          <w:sz w:val="16"/>
          <w:szCs w:val="16"/>
          <w:shd w:val="clear" w:color="auto" w:fill="FFFFFF"/>
          <w:lang w:val="es-G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78B"/>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628E0"/>
    <w:multiLevelType w:val="hybridMultilevel"/>
    <w:tmpl w:val="8F5665D0"/>
    <w:lvl w:ilvl="0" w:tplc="F172E020">
      <w:start w:val="1"/>
      <w:numFmt w:val="decimal"/>
      <w:lvlText w:val="%1."/>
      <w:lvlJc w:val="left"/>
      <w:pPr>
        <w:tabs>
          <w:tab w:val="num" w:pos="360"/>
        </w:tabs>
        <w:ind w:left="360" w:hanging="360"/>
      </w:pPr>
      <w:rPr>
        <w:rFonts w:ascii="Verdana" w:hAnsi="Verdana" w:hint="default"/>
        <w:b w:val="0"/>
        <w:sz w:val="20"/>
      </w:rPr>
    </w:lvl>
    <w:lvl w:ilvl="1" w:tplc="69544350">
      <w:start w:val="1"/>
      <w:numFmt w:val="lowerLetter"/>
      <w:lvlText w:val="%2."/>
      <w:lvlJc w:val="left"/>
      <w:pPr>
        <w:tabs>
          <w:tab w:val="num" w:pos="1440"/>
        </w:tabs>
        <w:ind w:left="1440" w:hanging="360"/>
      </w:pPr>
      <w:rPr>
        <w:rFonts w:ascii="Verdana" w:hAnsi="Verdana" w:hint="default"/>
        <w:b w:val="0"/>
        <w:sz w:val="20"/>
        <w:szCs w:val="20"/>
      </w:rPr>
    </w:lvl>
    <w:lvl w:ilvl="2" w:tplc="92DEE256">
      <w:start w:val="1"/>
      <w:numFmt w:val="lowerLetter"/>
      <w:lvlText w:val="%3."/>
      <w:lvlJc w:val="left"/>
      <w:pPr>
        <w:tabs>
          <w:tab w:val="num" w:pos="2340"/>
        </w:tabs>
        <w:ind w:left="2340" w:hanging="360"/>
      </w:pPr>
    </w:lvl>
    <w:lvl w:ilvl="3" w:tplc="A9E0C762">
      <w:start w:val="1"/>
      <w:numFmt w:val="lowerLetter"/>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A1A0662"/>
    <w:multiLevelType w:val="hybridMultilevel"/>
    <w:tmpl w:val="F1F60CD6"/>
    <w:lvl w:ilvl="0" w:tplc="4428324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136221"/>
    <w:multiLevelType w:val="hybridMultilevel"/>
    <w:tmpl w:val="E0CA6104"/>
    <w:lvl w:ilvl="0" w:tplc="140A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3E61485A"/>
    <w:multiLevelType w:val="hybridMultilevel"/>
    <w:tmpl w:val="D6C02E62"/>
    <w:lvl w:ilvl="0" w:tplc="2B2CA126">
      <w:start w:val="3"/>
      <w:numFmt w:val="bullet"/>
      <w:lvlText w:val="-"/>
      <w:lvlJc w:val="left"/>
      <w:pPr>
        <w:tabs>
          <w:tab w:val="num" w:pos="720"/>
        </w:tabs>
        <w:ind w:left="720" w:hanging="360"/>
      </w:pPr>
      <w:rPr>
        <w:rFonts w:ascii="Univers" w:eastAsia="MS Mincho" w:hAnsi="Univers" w:cs="Times New Roman"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0110B7"/>
    <w:multiLevelType w:val="hybridMultilevel"/>
    <w:tmpl w:val="EBC0BBF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72F90059"/>
    <w:multiLevelType w:val="hybridMultilevel"/>
    <w:tmpl w:val="1B68B286"/>
    <w:lvl w:ilvl="0" w:tplc="7346C994">
      <w:start w:val="1"/>
      <w:numFmt w:val="decimal"/>
      <w:lvlText w:val="%1."/>
      <w:lvlJc w:val="left"/>
      <w:pPr>
        <w:tabs>
          <w:tab w:val="num" w:pos="1080"/>
        </w:tabs>
        <w:ind w:left="1080" w:hanging="360"/>
      </w:pPr>
      <w:rPr>
        <w:rFonts w:ascii="Cambria" w:hAnsi="Cambria" w:hint="default"/>
        <w:b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4010E1"/>
    <w:multiLevelType w:val="hybridMultilevel"/>
    <w:tmpl w:val="B3A68B28"/>
    <w:lvl w:ilvl="0" w:tplc="004CBE9C">
      <w:start w:val="1"/>
      <w:numFmt w:val="decimal"/>
      <w:lvlText w:val="%1."/>
      <w:lvlJc w:val="left"/>
      <w:pPr>
        <w:tabs>
          <w:tab w:val="num" w:pos="360"/>
        </w:tabs>
        <w:ind w:left="360" w:hanging="360"/>
      </w:pPr>
      <w:rPr>
        <w:rFonts w:ascii="Verdana" w:hAnsi="Verdana" w:hint="default"/>
        <w:b w:val="0"/>
        <w:color w:val="auto"/>
        <w:sz w:val="20"/>
      </w:rPr>
    </w:lvl>
    <w:lvl w:ilvl="1" w:tplc="0409000F">
      <w:start w:val="1"/>
      <w:numFmt w:val="decimal"/>
      <w:lvlText w:val="%2."/>
      <w:lvlJc w:val="left"/>
      <w:pPr>
        <w:tabs>
          <w:tab w:val="num" w:pos="1440"/>
        </w:tabs>
        <w:ind w:left="1440" w:hanging="360"/>
      </w:pPr>
      <w:rPr>
        <w:b w:val="0"/>
      </w:rPr>
    </w:lvl>
    <w:lvl w:ilvl="2" w:tplc="92DEE256">
      <w:start w:val="1"/>
      <w:numFmt w:val="lowerLetter"/>
      <w:lvlText w:val="%3."/>
      <w:lvlJc w:val="left"/>
      <w:pPr>
        <w:tabs>
          <w:tab w:val="num" w:pos="2340"/>
        </w:tabs>
        <w:ind w:left="2340" w:hanging="360"/>
      </w:pPr>
    </w:lvl>
    <w:lvl w:ilvl="3" w:tplc="A9E0C762">
      <w:start w:val="1"/>
      <w:numFmt w:val="lowerLetter"/>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C6"/>
    <w:rsid w:val="00010548"/>
    <w:rsid w:val="00015BDC"/>
    <w:rsid w:val="000163CC"/>
    <w:rsid w:val="00021B18"/>
    <w:rsid w:val="00024292"/>
    <w:rsid w:val="00026CE2"/>
    <w:rsid w:val="00030443"/>
    <w:rsid w:val="0004027D"/>
    <w:rsid w:val="0005479D"/>
    <w:rsid w:val="00056726"/>
    <w:rsid w:val="00065040"/>
    <w:rsid w:val="000811B9"/>
    <w:rsid w:val="000B2BEE"/>
    <w:rsid w:val="0010747E"/>
    <w:rsid w:val="00114D67"/>
    <w:rsid w:val="001150C5"/>
    <w:rsid w:val="00120D27"/>
    <w:rsid w:val="00145D79"/>
    <w:rsid w:val="0016065D"/>
    <w:rsid w:val="00176C41"/>
    <w:rsid w:val="00176E31"/>
    <w:rsid w:val="0018406E"/>
    <w:rsid w:val="0019417B"/>
    <w:rsid w:val="001B29E2"/>
    <w:rsid w:val="001F2109"/>
    <w:rsid w:val="002107DE"/>
    <w:rsid w:val="00213DB0"/>
    <w:rsid w:val="00243C7C"/>
    <w:rsid w:val="00246A69"/>
    <w:rsid w:val="002636BC"/>
    <w:rsid w:val="002728B0"/>
    <w:rsid w:val="00280FA7"/>
    <w:rsid w:val="00282CC2"/>
    <w:rsid w:val="002859C6"/>
    <w:rsid w:val="002C7999"/>
    <w:rsid w:val="002D1751"/>
    <w:rsid w:val="002E629A"/>
    <w:rsid w:val="002F63C7"/>
    <w:rsid w:val="002F6959"/>
    <w:rsid w:val="0030133E"/>
    <w:rsid w:val="003119DF"/>
    <w:rsid w:val="0031597F"/>
    <w:rsid w:val="003409AB"/>
    <w:rsid w:val="00340CC4"/>
    <w:rsid w:val="00353C71"/>
    <w:rsid w:val="00364A7C"/>
    <w:rsid w:val="00377734"/>
    <w:rsid w:val="003B262C"/>
    <w:rsid w:val="003E3985"/>
    <w:rsid w:val="003E3A74"/>
    <w:rsid w:val="003E5C21"/>
    <w:rsid w:val="00403B91"/>
    <w:rsid w:val="0042054E"/>
    <w:rsid w:val="00432AAE"/>
    <w:rsid w:val="00437E3C"/>
    <w:rsid w:val="00447C0D"/>
    <w:rsid w:val="0047705E"/>
    <w:rsid w:val="00483757"/>
    <w:rsid w:val="00487CBE"/>
    <w:rsid w:val="00492340"/>
    <w:rsid w:val="00494153"/>
    <w:rsid w:val="004A78E5"/>
    <w:rsid w:val="004B20EF"/>
    <w:rsid w:val="004B2765"/>
    <w:rsid w:val="004B6C15"/>
    <w:rsid w:val="004F35DD"/>
    <w:rsid w:val="00513AD7"/>
    <w:rsid w:val="00523940"/>
    <w:rsid w:val="00531EFA"/>
    <w:rsid w:val="00531F7D"/>
    <w:rsid w:val="00537626"/>
    <w:rsid w:val="005456A5"/>
    <w:rsid w:val="0055711F"/>
    <w:rsid w:val="00565110"/>
    <w:rsid w:val="00565992"/>
    <w:rsid w:val="005755A8"/>
    <w:rsid w:val="0057637A"/>
    <w:rsid w:val="005820FB"/>
    <w:rsid w:val="005913F8"/>
    <w:rsid w:val="00591BF7"/>
    <w:rsid w:val="00597FAF"/>
    <w:rsid w:val="005B109B"/>
    <w:rsid w:val="005B14DE"/>
    <w:rsid w:val="005B1939"/>
    <w:rsid w:val="005C2699"/>
    <w:rsid w:val="005C74AB"/>
    <w:rsid w:val="005D2C50"/>
    <w:rsid w:val="005E0E34"/>
    <w:rsid w:val="005E2EE6"/>
    <w:rsid w:val="006216F9"/>
    <w:rsid w:val="00630764"/>
    <w:rsid w:val="00653665"/>
    <w:rsid w:val="006608FD"/>
    <w:rsid w:val="00680EE8"/>
    <w:rsid w:val="00685684"/>
    <w:rsid w:val="00687184"/>
    <w:rsid w:val="006A062E"/>
    <w:rsid w:val="006D17DA"/>
    <w:rsid w:val="006D5D5E"/>
    <w:rsid w:val="006D67AA"/>
    <w:rsid w:val="006F4CA4"/>
    <w:rsid w:val="00713D12"/>
    <w:rsid w:val="007371E2"/>
    <w:rsid w:val="0074468A"/>
    <w:rsid w:val="00750699"/>
    <w:rsid w:val="0077155E"/>
    <w:rsid w:val="007717CD"/>
    <w:rsid w:val="007720E3"/>
    <w:rsid w:val="007C499B"/>
    <w:rsid w:val="007E49D2"/>
    <w:rsid w:val="007F2885"/>
    <w:rsid w:val="007F2F0C"/>
    <w:rsid w:val="007F7FC1"/>
    <w:rsid w:val="00801EA5"/>
    <w:rsid w:val="0083291E"/>
    <w:rsid w:val="008340D2"/>
    <w:rsid w:val="00844F1F"/>
    <w:rsid w:val="00846CC9"/>
    <w:rsid w:val="0087104E"/>
    <w:rsid w:val="00892D07"/>
    <w:rsid w:val="00894865"/>
    <w:rsid w:val="008A2F2C"/>
    <w:rsid w:val="008D69EC"/>
    <w:rsid w:val="008E7DAE"/>
    <w:rsid w:val="00902926"/>
    <w:rsid w:val="00916F0B"/>
    <w:rsid w:val="009210C4"/>
    <w:rsid w:val="00933AC5"/>
    <w:rsid w:val="00940721"/>
    <w:rsid w:val="0094280F"/>
    <w:rsid w:val="009807A2"/>
    <w:rsid w:val="00991552"/>
    <w:rsid w:val="009B15E1"/>
    <w:rsid w:val="009B6BD5"/>
    <w:rsid w:val="009F4ABB"/>
    <w:rsid w:val="00A17FCE"/>
    <w:rsid w:val="00A21E6A"/>
    <w:rsid w:val="00A24401"/>
    <w:rsid w:val="00A26C6B"/>
    <w:rsid w:val="00A275DC"/>
    <w:rsid w:val="00A36CDF"/>
    <w:rsid w:val="00A40793"/>
    <w:rsid w:val="00A4386D"/>
    <w:rsid w:val="00A74A2A"/>
    <w:rsid w:val="00A84A8E"/>
    <w:rsid w:val="00AA5674"/>
    <w:rsid w:val="00AB1717"/>
    <w:rsid w:val="00AB4172"/>
    <w:rsid w:val="00AC2247"/>
    <w:rsid w:val="00AD1847"/>
    <w:rsid w:val="00AE174B"/>
    <w:rsid w:val="00AE6B20"/>
    <w:rsid w:val="00AF2445"/>
    <w:rsid w:val="00AF3E8B"/>
    <w:rsid w:val="00B10F4D"/>
    <w:rsid w:val="00B1156C"/>
    <w:rsid w:val="00B2182A"/>
    <w:rsid w:val="00B268C1"/>
    <w:rsid w:val="00B337FE"/>
    <w:rsid w:val="00B46F25"/>
    <w:rsid w:val="00B516E3"/>
    <w:rsid w:val="00B67B4C"/>
    <w:rsid w:val="00B70C29"/>
    <w:rsid w:val="00B777DD"/>
    <w:rsid w:val="00B85F84"/>
    <w:rsid w:val="00BB5131"/>
    <w:rsid w:val="00BD0CE2"/>
    <w:rsid w:val="00BD5ED0"/>
    <w:rsid w:val="00BE11F2"/>
    <w:rsid w:val="00C04D69"/>
    <w:rsid w:val="00C06EAA"/>
    <w:rsid w:val="00C12D9D"/>
    <w:rsid w:val="00C42B99"/>
    <w:rsid w:val="00C503BE"/>
    <w:rsid w:val="00C72F0F"/>
    <w:rsid w:val="00CC0615"/>
    <w:rsid w:val="00CE7D8F"/>
    <w:rsid w:val="00CF078F"/>
    <w:rsid w:val="00CF224C"/>
    <w:rsid w:val="00CF3F98"/>
    <w:rsid w:val="00CF63F2"/>
    <w:rsid w:val="00D23D7E"/>
    <w:rsid w:val="00D467D1"/>
    <w:rsid w:val="00D46A61"/>
    <w:rsid w:val="00D70DD4"/>
    <w:rsid w:val="00D83506"/>
    <w:rsid w:val="00D877FA"/>
    <w:rsid w:val="00D90D89"/>
    <w:rsid w:val="00DA72E2"/>
    <w:rsid w:val="00DB400F"/>
    <w:rsid w:val="00DD1FE1"/>
    <w:rsid w:val="00DD3FE5"/>
    <w:rsid w:val="00DE5C32"/>
    <w:rsid w:val="00E02A41"/>
    <w:rsid w:val="00E114D5"/>
    <w:rsid w:val="00E15506"/>
    <w:rsid w:val="00E2423A"/>
    <w:rsid w:val="00E31BA2"/>
    <w:rsid w:val="00E370F7"/>
    <w:rsid w:val="00E5116D"/>
    <w:rsid w:val="00E6772C"/>
    <w:rsid w:val="00E8530C"/>
    <w:rsid w:val="00E85E72"/>
    <w:rsid w:val="00E91E74"/>
    <w:rsid w:val="00EC48EA"/>
    <w:rsid w:val="00EC5BAE"/>
    <w:rsid w:val="00EC7396"/>
    <w:rsid w:val="00ED750A"/>
    <w:rsid w:val="00ED7F0C"/>
    <w:rsid w:val="00EE1DBE"/>
    <w:rsid w:val="00EE27B1"/>
    <w:rsid w:val="00EF0EFB"/>
    <w:rsid w:val="00F10A78"/>
    <w:rsid w:val="00F15659"/>
    <w:rsid w:val="00F46192"/>
    <w:rsid w:val="00F50C95"/>
    <w:rsid w:val="00F52F76"/>
    <w:rsid w:val="00F80D43"/>
    <w:rsid w:val="00F861F1"/>
    <w:rsid w:val="00FB2CEF"/>
    <w:rsid w:val="00FC650B"/>
    <w:rsid w:val="00FD11C4"/>
    <w:rsid w:val="00FD6996"/>
    <w:rsid w:val="00FE69DA"/>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E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qFormat/>
    <w:rsid w:val="005456A5"/>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456A5"/>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qFormat/>
    <w:rsid w:val="005456A5"/>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5456A5"/>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99"/>
    <w:locked/>
    <w:rsid w:val="005456A5"/>
    <w:rPr>
      <w:rFonts w:ascii="Garamond" w:eastAsia="Times" w:hAnsi="Garamond" w:cs="Times New Roman"/>
      <w:sz w:val="24"/>
      <w:szCs w:val="20"/>
      <w:lang w:val="es-ES_tradnl"/>
    </w:rPr>
  </w:style>
  <w:style w:type="paragraph" w:customStyle="1" w:styleId="Prrafodelista1">
    <w:name w:val="Párrafo de lista1"/>
    <w:basedOn w:val="Normal"/>
    <w:qFormat/>
    <w:rsid w:val="005456A5"/>
    <w:pPr>
      <w:spacing w:after="0" w:line="240" w:lineRule="auto"/>
      <w:contextualSpacing/>
    </w:pPr>
    <w:rPr>
      <w:rFonts w:ascii="Verdana" w:eastAsia="Batang" w:hAnsi="Verdana" w:cs="Times New Roman"/>
      <w:sz w:val="16"/>
      <w:lang w:val="es-ES"/>
    </w:rPr>
  </w:style>
  <w:style w:type="character" w:styleId="Strong">
    <w:name w:val="Strong"/>
    <w:basedOn w:val="DefaultParagraphFont"/>
    <w:uiPriority w:val="22"/>
    <w:qFormat/>
    <w:rsid w:val="00E85E72"/>
    <w:rPr>
      <w:b/>
      <w:bCs/>
    </w:rPr>
  </w:style>
  <w:style w:type="character" w:styleId="LineNumber">
    <w:name w:val="line number"/>
    <w:basedOn w:val="DefaultParagraphFont"/>
    <w:uiPriority w:val="99"/>
    <w:semiHidden/>
    <w:unhideWhenUsed/>
    <w:rsid w:val="00687184"/>
  </w:style>
  <w:style w:type="paragraph" w:styleId="Header">
    <w:name w:val="header"/>
    <w:basedOn w:val="Normal"/>
    <w:link w:val="HeaderChar"/>
    <w:uiPriority w:val="99"/>
    <w:unhideWhenUsed/>
    <w:rsid w:val="0068718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87184"/>
    <w:rPr>
      <w:lang w:val="en-US"/>
    </w:rPr>
  </w:style>
  <w:style w:type="paragraph" w:styleId="Footer">
    <w:name w:val="footer"/>
    <w:basedOn w:val="Normal"/>
    <w:link w:val="FooterChar"/>
    <w:uiPriority w:val="99"/>
    <w:unhideWhenUsed/>
    <w:rsid w:val="0068718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7184"/>
    <w:rPr>
      <w:lang w:val="en-US"/>
    </w:rPr>
  </w:style>
  <w:style w:type="paragraph" w:customStyle="1" w:styleId="Default">
    <w:name w:val="Default"/>
    <w:rsid w:val="002F6959"/>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CommentReference">
    <w:name w:val="annotation reference"/>
    <w:basedOn w:val="DefaultParagraphFont"/>
    <w:uiPriority w:val="99"/>
    <w:semiHidden/>
    <w:unhideWhenUsed/>
    <w:rsid w:val="00176E31"/>
    <w:rPr>
      <w:sz w:val="18"/>
      <w:szCs w:val="18"/>
    </w:rPr>
  </w:style>
  <w:style w:type="paragraph" w:styleId="CommentText">
    <w:name w:val="annotation text"/>
    <w:basedOn w:val="Normal"/>
    <w:link w:val="CommentTextChar"/>
    <w:uiPriority w:val="99"/>
    <w:semiHidden/>
    <w:unhideWhenUsed/>
    <w:rsid w:val="00176E31"/>
    <w:pPr>
      <w:spacing w:line="240" w:lineRule="auto"/>
    </w:pPr>
    <w:rPr>
      <w:sz w:val="24"/>
      <w:szCs w:val="24"/>
    </w:rPr>
  </w:style>
  <w:style w:type="character" w:customStyle="1" w:styleId="CommentTextChar">
    <w:name w:val="Comment Text Char"/>
    <w:basedOn w:val="DefaultParagraphFont"/>
    <w:link w:val="CommentText"/>
    <w:uiPriority w:val="99"/>
    <w:semiHidden/>
    <w:rsid w:val="00176E31"/>
    <w:rPr>
      <w:sz w:val="24"/>
      <w:szCs w:val="24"/>
      <w:lang w:val="en-US"/>
    </w:rPr>
  </w:style>
  <w:style w:type="paragraph" w:styleId="CommentSubject">
    <w:name w:val="annotation subject"/>
    <w:basedOn w:val="CommentText"/>
    <w:next w:val="CommentText"/>
    <w:link w:val="CommentSubjectChar"/>
    <w:uiPriority w:val="99"/>
    <w:semiHidden/>
    <w:unhideWhenUsed/>
    <w:rsid w:val="00176E31"/>
    <w:rPr>
      <w:b/>
      <w:bCs/>
      <w:sz w:val="20"/>
      <w:szCs w:val="20"/>
    </w:rPr>
  </w:style>
  <w:style w:type="character" w:customStyle="1" w:styleId="CommentSubjectChar">
    <w:name w:val="Comment Subject Char"/>
    <w:basedOn w:val="CommentTextChar"/>
    <w:link w:val="CommentSubject"/>
    <w:uiPriority w:val="99"/>
    <w:semiHidden/>
    <w:rsid w:val="00176E31"/>
    <w:rPr>
      <w:b/>
      <w:bCs/>
      <w:sz w:val="20"/>
      <w:szCs w:val="20"/>
      <w:lang w:val="en-US"/>
    </w:rPr>
  </w:style>
  <w:style w:type="paragraph" w:styleId="BalloonText">
    <w:name w:val="Balloon Text"/>
    <w:basedOn w:val="Normal"/>
    <w:link w:val="BalloonTextChar"/>
    <w:uiPriority w:val="99"/>
    <w:semiHidden/>
    <w:unhideWhenUsed/>
    <w:rsid w:val="00176E3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E31"/>
    <w:rPr>
      <w:rFonts w:ascii="Lucida Grande" w:hAnsi="Lucida Grande" w:cs="Lucida Grande"/>
      <w:sz w:val="18"/>
      <w:szCs w:val="18"/>
      <w:lang w:val="en-US"/>
    </w:rPr>
  </w:style>
  <w:style w:type="paragraph" w:styleId="BodyTextIndent">
    <w:name w:val="Body Text Indent"/>
    <w:basedOn w:val="Normal"/>
    <w:link w:val="BodyTextIndentChar"/>
    <w:rsid w:val="00DA72E2"/>
    <w:pPr>
      <w:spacing w:after="120" w:line="240" w:lineRule="auto"/>
      <w:ind w:left="36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DA72E2"/>
    <w:rPr>
      <w:rFonts w:ascii="Times New Roman" w:eastAsia="MS Mincho"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qFormat/>
    <w:rsid w:val="005456A5"/>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456A5"/>
    <w:rPr>
      <w:rFonts w:ascii="Times New Roman" w:eastAsia="MS Mincho" w:hAnsi="Times New Roman" w:cs="Times New Roman"/>
      <w:sz w:val="20"/>
      <w:szCs w:val="20"/>
      <w:lang w:val="en-US"/>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qFormat/>
    <w:rsid w:val="005456A5"/>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5456A5"/>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99"/>
    <w:locked/>
    <w:rsid w:val="005456A5"/>
    <w:rPr>
      <w:rFonts w:ascii="Garamond" w:eastAsia="Times" w:hAnsi="Garamond" w:cs="Times New Roman"/>
      <w:sz w:val="24"/>
      <w:szCs w:val="20"/>
      <w:lang w:val="es-ES_tradnl"/>
    </w:rPr>
  </w:style>
  <w:style w:type="paragraph" w:customStyle="1" w:styleId="Prrafodelista1">
    <w:name w:val="Párrafo de lista1"/>
    <w:basedOn w:val="Normal"/>
    <w:qFormat/>
    <w:rsid w:val="005456A5"/>
    <w:pPr>
      <w:spacing w:after="0" w:line="240" w:lineRule="auto"/>
      <w:contextualSpacing/>
    </w:pPr>
    <w:rPr>
      <w:rFonts w:ascii="Verdana" w:eastAsia="Batang" w:hAnsi="Verdana" w:cs="Times New Roman"/>
      <w:sz w:val="16"/>
      <w:lang w:val="es-ES"/>
    </w:rPr>
  </w:style>
  <w:style w:type="character" w:styleId="Strong">
    <w:name w:val="Strong"/>
    <w:basedOn w:val="DefaultParagraphFont"/>
    <w:uiPriority w:val="22"/>
    <w:qFormat/>
    <w:rsid w:val="00E85E72"/>
    <w:rPr>
      <w:b/>
      <w:bCs/>
    </w:rPr>
  </w:style>
  <w:style w:type="character" w:styleId="LineNumber">
    <w:name w:val="line number"/>
    <w:basedOn w:val="DefaultParagraphFont"/>
    <w:uiPriority w:val="99"/>
    <w:semiHidden/>
    <w:unhideWhenUsed/>
    <w:rsid w:val="00687184"/>
  </w:style>
  <w:style w:type="paragraph" w:styleId="Header">
    <w:name w:val="header"/>
    <w:basedOn w:val="Normal"/>
    <w:link w:val="HeaderChar"/>
    <w:uiPriority w:val="99"/>
    <w:unhideWhenUsed/>
    <w:rsid w:val="0068718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87184"/>
    <w:rPr>
      <w:lang w:val="en-US"/>
    </w:rPr>
  </w:style>
  <w:style w:type="paragraph" w:styleId="Footer">
    <w:name w:val="footer"/>
    <w:basedOn w:val="Normal"/>
    <w:link w:val="FooterChar"/>
    <w:uiPriority w:val="99"/>
    <w:unhideWhenUsed/>
    <w:rsid w:val="0068718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7184"/>
    <w:rPr>
      <w:lang w:val="en-US"/>
    </w:rPr>
  </w:style>
  <w:style w:type="paragraph" w:customStyle="1" w:styleId="Default">
    <w:name w:val="Default"/>
    <w:rsid w:val="002F6959"/>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CommentReference">
    <w:name w:val="annotation reference"/>
    <w:basedOn w:val="DefaultParagraphFont"/>
    <w:uiPriority w:val="99"/>
    <w:semiHidden/>
    <w:unhideWhenUsed/>
    <w:rsid w:val="00176E31"/>
    <w:rPr>
      <w:sz w:val="18"/>
      <w:szCs w:val="18"/>
    </w:rPr>
  </w:style>
  <w:style w:type="paragraph" w:styleId="CommentText">
    <w:name w:val="annotation text"/>
    <w:basedOn w:val="Normal"/>
    <w:link w:val="CommentTextChar"/>
    <w:uiPriority w:val="99"/>
    <w:semiHidden/>
    <w:unhideWhenUsed/>
    <w:rsid w:val="00176E31"/>
    <w:pPr>
      <w:spacing w:line="240" w:lineRule="auto"/>
    </w:pPr>
    <w:rPr>
      <w:sz w:val="24"/>
      <w:szCs w:val="24"/>
    </w:rPr>
  </w:style>
  <w:style w:type="character" w:customStyle="1" w:styleId="CommentTextChar">
    <w:name w:val="Comment Text Char"/>
    <w:basedOn w:val="DefaultParagraphFont"/>
    <w:link w:val="CommentText"/>
    <w:uiPriority w:val="99"/>
    <w:semiHidden/>
    <w:rsid w:val="00176E31"/>
    <w:rPr>
      <w:sz w:val="24"/>
      <w:szCs w:val="24"/>
      <w:lang w:val="en-US"/>
    </w:rPr>
  </w:style>
  <w:style w:type="paragraph" w:styleId="CommentSubject">
    <w:name w:val="annotation subject"/>
    <w:basedOn w:val="CommentText"/>
    <w:next w:val="CommentText"/>
    <w:link w:val="CommentSubjectChar"/>
    <w:uiPriority w:val="99"/>
    <w:semiHidden/>
    <w:unhideWhenUsed/>
    <w:rsid w:val="00176E31"/>
    <w:rPr>
      <w:b/>
      <w:bCs/>
      <w:sz w:val="20"/>
      <w:szCs w:val="20"/>
    </w:rPr>
  </w:style>
  <w:style w:type="character" w:customStyle="1" w:styleId="CommentSubjectChar">
    <w:name w:val="Comment Subject Char"/>
    <w:basedOn w:val="CommentTextChar"/>
    <w:link w:val="CommentSubject"/>
    <w:uiPriority w:val="99"/>
    <w:semiHidden/>
    <w:rsid w:val="00176E31"/>
    <w:rPr>
      <w:b/>
      <w:bCs/>
      <w:sz w:val="20"/>
      <w:szCs w:val="20"/>
      <w:lang w:val="en-US"/>
    </w:rPr>
  </w:style>
  <w:style w:type="paragraph" w:styleId="BalloonText">
    <w:name w:val="Balloon Text"/>
    <w:basedOn w:val="Normal"/>
    <w:link w:val="BalloonTextChar"/>
    <w:uiPriority w:val="99"/>
    <w:semiHidden/>
    <w:unhideWhenUsed/>
    <w:rsid w:val="00176E3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E31"/>
    <w:rPr>
      <w:rFonts w:ascii="Lucida Grande" w:hAnsi="Lucida Grande" w:cs="Lucida Grande"/>
      <w:sz w:val="18"/>
      <w:szCs w:val="18"/>
      <w:lang w:val="en-US"/>
    </w:rPr>
  </w:style>
  <w:style w:type="paragraph" w:styleId="BodyTextIndent">
    <w:name w:val="Body Text Indent"/>
    <w:basedOn w:val="Normal"/>
    <w:link w:val="BodyTextIndentChar"/>
    <w:rsid w:val="00DA72E2"/>
    <w:pPr>
      <w:spacing w:after="120" w:line="240" w:lineRule="auto"/>
      <w:ind w:left="36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DA72E2"/>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91190">
      <w:bodyDiv w:val="1"/>
      <w:marLeft w:val="0"/>
      <w:marRight w:val="0"/>
      <w:marTop w:val="0"/>
      <w:marBottom w:val="0"/>
      <w:divBdr>
        <w:top w:val="none" w:sz="0" w:space="0" w:color="auto"/>
        <w:left w:val="none" w:sz="0" w:space="0" w:color="auto"/>
        <w:bottom w:val="none" w:sz="0" w:space="0" w:color="auto"/>
        <w:right w:val="none" w:sz="0" w:space="0" w:color="auto"/>
      </w:divBdr>
    </w:div>
    <w:div w:id="489759198">
      <w:bodyDiv w:val="1"/>
      <w:marLeft w:val="0"/>
      <w:marRight w:val="0"/>
      <w:marTop w:val="0"/>
      <w:marBottom w:val="0"/>
      <w:divBdr>
        <w:top w:val="none" w:sz="0" w:space="0" w:color="auto"/>
        <w:left w:val="none" w:sz="0" w:space="0" w:color="auto"/>
        <w:bottom w:val="none" w:sz="0" w:space="0" w:color="auto"/>
        <w:right w:val="none" w:sz="0" w:space="0" w:color="auto"/>
      </w:divBdr>
    </w:div>
    <w:div w:id="793868024">
      <w:bodyDiv w:val="1"/>
      <w:marLeft w:val="0"/>
      <w:marRight w:val="0"/>
      <w:marTop w:val="0"/>
      <w:marBottom w:val="0"/>
      <w:divBdr>
        <w:top w:val="none" w:sz="0" w:space="0" w:color="auto"/>
        <w:left w:val="none" w:sz="0" w:space="0" w:color="auto"/>
        <w:bottom w:val="none" w:sz="0" w:space="0" w:color="auto"/>
        <w:right w:val="none" w:sz="0" w:space="0" w:color="auto"/>
      </w:divBdr>
    </w:div>
    <w:div w:id="956907728">
      <w:bodyDiv w:val="1"/>
      <w:marLeft w:val="0"/>
      <w:marRight w:val="0"/>
      <w:marTop w:val="0"/>
      <w:marBottom w:val="0"/>
      <w:divBdr>
        <w:top w:val="none" w:sz="0" w:space="0" w:color="auto"/>
        <w:left w:val="none" w:sz="0" w:space="0" w:color="auto"/>
        <w:bottom w:val="none" w:sz="0" w:space="0" w:color="auto"/>
        <w:right w:val="none" w:sz="0" w:space="0" w:color="auto"/>
      </w:divBdr>
    </w:div>
    <w:div w:id="1005859212">
      <w:bodyDiv w:val="1"/>
      <w:marLeft w:val="0"/>
      <w:marRight w:val="0"/>
      <w:marTop w:val="0"/>
      <w:marBottom w:val="0"/>
      <w:divBdr>
        <w:top w:val="none" w:sz="0" w:space="0" w:color="auto"/>
        <w:left w:val="none" w:sz="0" w:space="0" w:color="auto"/>
        <w:bottom w:val="none" w:sz="0" w:space="0" w:color="auto"/>
        <w:right w:val="none" w:sz="0" w:space="0" w:color="auto"/>
      </w:divBdr>
    </w:div>
    <w:div w:id="1696924553">
      <w:bodyDiv w:val="1"/>
      <w:marLeft w:val="0"/>
      <w:marRight w:val="0"/>
      <w:marTop w:val="0"/>
      <w:marBottom w:val="0"/>
      <w:divBdr>
        <w:top w:val="none" w:sz="0" w:space="0" w:color="auto"/>
        <w:left w:val="none" w:sz="0" w:space="0" w:color="auto"/>
        <w:bottom w:val="none" w:sz="0" w:space="0" w:color="auto"/>
        <w:right w:val="none" w:sz="0" w:space="0" w:color="auto"/>
      </w:divBdr>
    </w:div>
    <w:div w:id="1759325240">
      <w:bodyDiv w:val="1"/>
      <w:marLeft w:val="0"/>
      <w:marRight w:val="0"/>
      <w:marTop w:val="0"/>
      <w:marBottom w:val="0"/>
      <w:divBdr>
        <w:top w:val="none" w:sz="0" w:space="0" w:color="auto"/>
        <w:left w:val="none" w:sz="0" w:space="0" w:color="auto"/>
        <w:bottom w:val="none" w:sz="0" w:space="0" w:color="auto"/>
        <w:right w:val="none" w:sz="0" w:space="0" w:color="auto"/>
      </w:divBdr>
    </w:div>
    <w:div w:id="20086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C119-261A-4E7D-BBD9-5D74476E64BD}">
  <ds:schemaRefs>
    <ds:schemaRef ds:uri="http://schemas.openxmlformats.org/officeDocument/2006/bibliography"/>
  </ds:schemaRefs>
</ds:datastoreItem>
</file>

<file path=customXml/itemProps2.xml><?xml version="1.0" encoding="utf-8"?>
<ds:datastoreItem xmlns:ds="http://schemas.openxmlformats.org/officeDocument/2006/customXml" ds:itemID="{2405A3F0-3718-4701-BBCD-B22096CA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4774</Words>
  <Characters>26258</Characters>
  <Application>Microsoft Office Word</Application>
  <DocSecurity>4</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Julliana Saborio</cp:lastModifiedBy>
  <cp:revision>2</cp:revision>
  <cp:lastPrinted>2017-03-27T17:54:00Z</cp:lastPrinted>
  <dcterms:created xsi:type="dcterms:W3CDTF">2017-03-27T17:57:00Z</dcterms:created>
  <dcterms:modified xsi:type="dcterms:W3CDTF">2017-03-27T17:57:00Z</dcterms:modified>
</cp:coreProperties>
</file>