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600AC" w14:textId="77777777" w:rsidR="00251608" w:rsidRPr="008F3CB0" w:rsidRDefault="00251608" w:rsidP="00251608">
      <w:pPr>
        <w:tabs>
          <w:tab w:val="left" w:pos="567"/>
        </w:tabs>
        <w:spacing w:after="0" w:line="240" w:lineRule="auto"/>
        <w:jc w:val="center"/>
        <w:rPr>
          <w:rFonts w:ascii="Verdana" w:hAnsi="Verdana"/>
          <w:b/>
          <w:spacing w:val="-4"/>
          <w:sz w:val="20"/>
          <w:lang w:val="es-ES_tradnl"/>
        </w:rPr>
      </w:pPr>
    </w:p>
    <w:p w14:paraId="5F047F6E" w14:textId="77777777" w:rsidR="00251608" w:rsidRPr="008F3CB0" w:rsidRDefault="00251608" w:rsidP="00251608">
      <w:pPr>
        <w:tabs>
          <w:tab w:val="left" w:pos="567"/>
        </w:tabs>
        <w:spacing w:after="0" w:line="240" w:lineRule="auto"/>
        <w:jc w:val="center"/>
        <w:rPr>
          <w:rFonts w:ascii="Verdana" w:hAnsi="Verdana"/>
          <w:b/>
          <w:spacing w:val="-4"/>
          <w:sz w:val="20"/>
          <w:lang w:val="es-ES_tradnl"/>
        </w:rPr>
      </w:pPr>
    </w:p>
    <w:p w14:paraId="4A997A99" w14:textId="77777777" w:rsidR="00251608" w:rsidRPr="008F3CB0" w:rsidRDefault="00251608" w:rsidP="00251608">
      <w:pPr>
        <w:tabs>
          <w:tab w:val="left" w:pos="567"/>
        </w:tabs>
        <w:spacing w:after="0" w:line="240" w:lineRule="auto"/>
        <w:jc w:val="center"/>
        <w:rPr>
          <w:rFonts w:ascii="Verdana" w:hAnsi="Verdana"/>
          <w:b/>
          <w:spacing w:val="-4"/>
          <w:sz w:val="20"/>
          <w:lang w:val="es-ES_tradnl"/>
        </w:rPr>
      </w:pPr>
    </w:p>
    <w:p w14:paraId="7D011F0A" w14:textId="77777777" w:rsidR="00251608" w:rsidRPr="008F3CB0" w:rsidRDefault="00251608" w:rsidP="00251608">
      <w:pPr>
        <w:tabs>
          <w:tab w:val="left" w:pos="567"/>
        </w:tabs>
        <w:spacing w:after="0" w:line="240" w:lineRule="auto"/>
        <w:jc w:val="center"/>
        <w:rPr>
          <w:rFonts w:ascii="Verdana" w:hAnsi="Verdana"/>
          <w:b/>
          <w:spacing w:val="-4"/>
          <w:sz w:val="20"/>
          <w:lang w:val="es-ES_tradnl"/>
        </w:rPr>
      </w:pPr>
    </w:p>
    <w:p w14:paraId="2F10AC35" w14:textId="77777777" w:rsidR="00251608" w:rsidRPr="0005044D" w:rsidRDefault="00251608" w:rsidP="00251608">
      <w:pPr>
        <w:tabs>
          <w:tab w:val="left" w:pos="567"/>
        </w:tabs>
        <w:spacing w:after="0" w:line="240" w:lineRule="auto"/>
        <w:jc w:val="center"/>
        <w:rPr>
          <w:rFonts w:ascii="Verdana" w:hAnsi="Verdana"/>
          <w:b/>
          <w:spacing w:val="-4"/>
          <w:sz w:val="20"/>
          <w:lang w:val="es-ES_tradnl"/>
        </w:rPr>
      </w:pPr>
      <w:bookmarkStart w:id="0" w:name="_Hlk43126421"/>
      <w:r w:rsidRPr="0005044D">
        <w:rPr>
          <w:rFonts w:ascii="Verdana" w:hAnsi="Verdana"/>
          <w:b/>
          <w:spacing w:val="-4"/>
          <w:sz w:val="20"/>
          <w:lang w:val="es-ES_tradnl"/>
        </w:rPr>
        <w:t xml:space="preserve">RESOLUCIÓN DE LA </w:t>
      </w:r>
    </w:p>
    <w:p w14:paraId="2DAB448C" w14:textId="77777777" w:rsidR="00251608" w:rsidRPr="0005044D" w:rsidRDefault="00251608" w:rsidP="00251608">
      <w:pPr>
        <w:tabs>
          <w:tab w:val="left" w:pos="567"/>
        </w:tabs>
        <w:spacing w:after="0" w:line="240" w:lineRule="auto"/>
        <w:jc w:val="center"/>
        <w:rPr>
          <w:rFonts w:ascii="Verdana" w:hAnsi="Verdana"/>
          <w:b/>
          <w:spacing w:val="-4"/>
          <w:sz w:val="20"/>
          <w:lang w:val="es-ES_tradnl"/>
        </w:rPr>
      </w:pPr>
      <w:r w:rsidRPr="0005044D">
        <w:rPr>
          <w:rFonts w:ascii="Verdana" w:hAnsi="Verdana"/>
          <w:b/>
          <w:spacing w:val="-4"/>
          <w:sz w:val="20"/>
          <w:lang w:val="es-ES_tradnl"/>
        </w:rPr>
        <w:t>CORTE INTERAMERICANA DE DERECHOS HUMANOS</w:t>
      </w:r>
      <w:r w:rsidRPr="0005044D">
        <w:rPr>
          <w:rStyle w:val="Refdenotaalpie"/>
          <w:b/>
          <w:caps/>
          <w:lang w:val="es-ES_tradnl"/>
        </w:rPr>
        <w:footnoteReference w:customMarkFollows="1" w:id="1"/>
        <w:t>*</w:t>
      </w:r>
    </w:p>
    <w:p w14:paraId="1E7179CA" w14:textId="77777777" w:rsidR="00251608" w:rsidRPr="0005044D" w:rsidRDefault="00251608" w:rsidP="00251608">
      <w:pPr>
        <w:tabs>
          <w:tab w:val="left" w:pos="567"/>
        </w:tabs>
        <w:spacing w:after="0" w:line="240" w:lineRule="auto"/>
        <w:jc w:val="center"/>
        <w:rPr>
          <w:rFonts w:ascii="Garamond" w:hAnsi="Garamond"/>
          <w:b/>
          <w:spacing w:val="-4"/>
          <w:sz w:val="24"/>
          <w:lang w:val="es-ES_tradnl"/>
        </w:rPr>
      </w:pPr>
    </w:p>
    <w:p w14:paraId="025A0670" w14:textId="2064A807" w:rsidR="00251608" w:rsidRPr="0005044D" w:rsidRDefault="00251608" w:rsidP="00251608">
      <w:pPr>
        <w:tabs>
          <w:tab w:val="left" w:pos="567"/>
        </w:tabs>
        <w:spacing w:after="0" w:line="240" w:lineRule="auto"/>
        <w:jc w:val="center"/>
        <w:rPr>
          <w:rFonts w:ascii="Verdana" w:hAnsi="Verdana"/>
          <w:b/>
          <w:spacing w:val="-4"/>
          <w:sz w:val="20"/>
          <w:lang w:val="es-ES_tradnl"/>
        </w:rPr>
      </w:pPr>
      <w:r w:rsidRPr="0005044D">
        <w:rPr>
          <w:rFonts w:ascii="Verdana" w:hAnsi="Verdana"/>
          <w:b/>
          <w:spacing w:val="-4"/>
          <w:sz w:val="20"/>
          <w:lang w:val="es-ES_tradnl"/>
        </w:rPr>
        <w:t xml:space="preserve">DE </w:t>
      </w:r>
      <w:r w:rsidR="00780B5D" w:rsidRPr="0005044D">
        <w:rPr>
          <w:rFonts w:ascii="Verdana" w:hAnsi="Verdana"/>
          <w:b/>
          <w:spacing w:val="-4"/>
          <w:sz w:val="20"/>
          <w:lang w:val="es-ES_tradnl"/>
        </w:rPr>
        <w:t>10</w:t>
      </w:r>
      <w:r w:rsidRPr="0005044D">
        <w:rPr>
          <w:rFonts w:ascii="Verdana" w:hAnsi="Verdana"/>
          <w:b/>
          <w:spacing w:val="-4"/>
          <w:sz w:val="20"/>
          <w:lang w:val="es-ES_tradnl"/>
        </w:rPr>
        <w:t xml:space="preserve"> DE </w:t>
      </w:r>
      <w:r w:rsidR="00780B5D" w:rsidRPr="0005044D">
        <w:rPr>
          <w:rFonts w:ascii="Verdana" w:hAnsi="Verdana"/>
          <w:b/>
          <w:spacing w:val="-4"/>
          <w:sz w:val="20"/>
          <w:lang w:val="es-ES_tradnl"/>
        </w:rPr>
        <w:t>JUNIO</w:t>
      </w:r>
      <w:r w:rsidRPr="0005044D">
        <w:rPr>
          <w:rFonts w:ascii="Verdana" w:hAnsi="Verdana"/>
          <w:b/>
          <w:spacing w:val="-4"/>
          <w:sz w:val="20"/>
          <w:lang w:val="es-ES_tradnl"/>
        </w:rPr>
        <w:t xml:space="preserve"> DE 2020</w:t>
      </w:r>
    </w:p>
    <w:p w14:paraId="52B5B82D" w14:textId="77777777" w:rsidR="00251608" w:rsidRPr="0005044D" w:rsidRDefault="00251608" w:rsidP="00251608">
      <w:pPr>
        <w:tabs>
          <w:tab w:val="left" w:pos="567"/>
        </w:tabs>
        <w:spacing w:after="0" w:line="240" w:lineRule="auto"/>
        <w:jc w:val="center"/>
        <w:rPr>
          <w:rFonts w:ascii="Verdana" w:hAnsi="Verdana"/>
          <w:b/>
          <w:spacing w:val="-4"/>
          <w:sz w:val="20"/>
          <w:lang w:val="es-ES_tradnl"/>
        </w:rPr>
      </w:pPr>
    </w:p>
    <w:p w14:paraId="206766C0" w14:textId="2264493B" w:rsidR="00251608" w:rsidRPr="0005044D" w:rsidRDefault="00251608" w:rsidP="00251608">
      <w:pPr>
        <w:tabs>
          <w:tab w:val="left" w:pos="567"/>
        </w:tabs>
        <w:spacing w:after="0" w:line="240" w:lineRule="auto"/>
        <w:jc w:val="center"/>
        <w:rPr>
          <w:rFonts w:ascii="Verdana" w:hAnsi="Verdana"/>
          <w:b/>
          <w:spacing w:val="-4"/>
          <w:sz w:val="20"/>
          <w:lang w:val="es-ES_tradnl"/>
        </w:rPr>
      </w:pPr>
      <w:r w:rsidRPr="0005044D">
        <w:rPr>
          <w:rFonts w:ascii="Verdana" w:hAnsi="Verdana"/>
          <w:b/>
          <w:spacing w:val="-4"/>
          <w:sz w:val="20"/>
          <w:lang w:val="es-ES_tradnl"/>
        </w:rPr>
        <w:t xml:space="preserve">MEDIDAS PROVISIONALES </w:t>
      </w:r>
    </w:p>
    <w:p w14:paraId="39DD9A68" w14:textId="77777777" w:rsidR="00251608" w:rsidRPr="0005044D" w:rsidRDefault="00251608" w:rsidP="00251608">
      <w:pPr>
        <w:tabs>
          <w:tab w:val="left" w:pos="567"/>
        </w:tabs>
        <w:spacing w:after="0" w:line="240" w:lineRule="auto"/>
        <w:jc w:val="center"/>
        <w:rPr>
          <w:rFonts w:ascii="Verdana" w:hAnsi="Verdana"/>
          <w:b/>
          <w:spacing w:val="-4"/>
          <w:sz w:val="20"/>
          <w:lang w:val="es-ES_tradnl"/>
        </w:rPr>
      </w:pPr>
      <w:r w:rsidRPr="0005044D">
        <w:rPr>
          <w:rFonts w:ascii="Verdana" w:hAnsi="Verdana"/>
          <w:b/>
          <w:spacing w:val="-4"/>
          <w:sz w:val="20"/>
          <w:lang w:val="es-ES_tradnl"/>
        </w:rPr>
        <w:t>RESPECTO DE MÉXICO</w:t>
      </w:r>
    </w:p>
    <w:p w14:paraId="05796CA3" w14:textId="77777777" w:rsidR="00251608" w:rsidRPr="0005044D" w:rsidRDefault="00251608" w:rsidP="00251608">
      <w:pPr>
        <w:tabs>
          <w:tab w:val="left" w:pos="567"/>
        </w:tabs>
        <w:spacing w:after="0" w:line="240" w:lineRule="auto"/>
        <w:jc w:val="center"/>
        <w:rPr>
          <w:rFonts w:ascii="Verdana" w:hAnsi="Verdana"/>
          <w:b/>
          <w:spacing w:val="-4"/>
          <w:sz w:val="20"/>
          <w:lang w:val="es-ES_tradnl"/>
        </w:rPr>
      </w:pPr>
    </w:p>
    <w:p w14:paraId="1E496F6D" w14:textId="77777777" w:rsidR="00251608" w:rsidRPr="0005044D" w:rsidRDefault="00251608" w:rsidP="00251608">
      <w:pPr>
        <w:tabs>
          <w:tab w:val="left" w:pos="567"/>
        </w:tabs>
        <w:spacing w:after="0" w:line="240" w:lineRule="auto"/>
        <w:jc w:val="center"/>
        <w:rPr>
          <w:rFonts w:ascii="Verdana" w:hAnsi="Verdana"/>
          <w:b/>
          <w:spacing w:val="-4"/>
          <w:sz w:val="20"/>
          <w:lang w:val="es-ES_tradnl"/>
        </w:rPr>
      </w:pPr>
      <w:r w:rsidRPr="0005044D">
        <w:rPr>
          <w:rFonts w:ascii="Verdana" w:hAnsi="Verdana"/>
          <w:b/>
          <w:spacing w:val="-4"/>
          <w:sz w:val="20"/>
          <w:lang w:val="es-ES_tradnl"/>
        </w:rPr>
        <w:t>ASUNTO INTEGRANTES DE LA COMUNIDAD INDÍGENA DE CHORÉACHI</w:t>
      </w:r>
    </w:p>
    <w:p w14:paraId="006BF290" w14:textId="6A53D223" w:rsidR="00B609A8" w:rsidRPr="0005044D" w:rsidRDefault="00251608" w:rsidP="00251608">
      <w:pPr>
        <w:tabs>
          <w:tab w:val="left" w:pos="567"/>
        </w:tabs>
        <w:spacing w:before="240" w:after="240" w:line="240" w:lineRule="auto"/>
        <w:jc w:val="both"/>
        <w:rPr>
          <w:rFonts w:ascii="Verdana" w:hAnsi="Verdana"/>
          <w:b/>
          <w:spacing w:val="-4"/>
          <w:sz w:val="20"/>
          <w:lang w:val="es-ES_tradnl"/>
        </w:rPr>
      </w:pPr>
      <w:r w:rsidRPr="0005044D">
        <w:rPr>
          <w:rFonts w:ascii="Verdana" w:hAnsi="Verdana"/>
          <w:b/>
          <w:spacing w:val="-4"/>
          <w:sz w:val="20"/>
          <w:lang w:val="es-ES_tradnl"/>
        </w:rPr>
        <w:t>VISTO:</w:t>
      </w:r>
    </w:p>
    <w:p w14:paraId="620C12D5" w14:textId="05CCE8B0" w:rsidR="00015C8B" w:rsidRPr="0005044D" w:rsidRDefault="00B609A8" w:rsidP="005F07A7">
      <w:pPr>
        <w:pStyle w:val="Prrafodelista"/>
        <w:numPr>
          <w:ilvl w:val="0"/>
          <w:numId w:val="1"/>
        </w:numPr>
        <w:jc w:val="both"/>
        <w:rPr>
          <w:sz w:val="16"/>
        </w:rPr>
      </w:pPr>
      <w:r w:rsidRPr="0005044D">
        <w:rPr>
          <w:rFonts w:ascii="Verdana" w:hAnsi="Verdana"/>
          <w:sz w:val="20"/>
        </w:rPr>
        <w:t>La Resoluci</w:t>
      </w:r>
      <w:r w:rsidR="00BC0FD8" w:rsidRPr="0005044D">
        <w:rPr>
          <w:rFonts w:ascii="Verdana" w:hAnsi="Verdana"/>
          <w:sz w:val="20"/>
        </w:rPr>
        <w:t>ó</w:t>
      </w:r>
      <w:r w:rsidRPr="0005044D">
        <w:rPr>
          <w:rFonts w:ascii="Verdana" w:hAnsi="Verdana"/>
          <w:sz w:val="20"/>
        </w:rPr>
        <w:t>n de la Corte Interamericana de Derechos Humanos (en adelante</w:t>
      </w:r>
      <w:r w:rsidR="00153ADF" w:rsidRPr="0005044D">
        <w:rPr>
          <w:rFonts w:ascii="Verdana" w:hAnsi="Verdana"/>
          <w:sz w:val="20"/>
        </w:rPr>
        <w:t xml:space="preserve"> también</w:t>
      </w:r>
      <w:r w:rsidRPr="0005044D">
        <w:rPr>
          <w:rFonts w:ascii="Verdana" w:hAnsi="Verdana"/>
          <w:sz w:val="20"/>
        </w:rPr>
        <w:t xml:space="preserve"> “la Corte Interamericana”, “la Corte” o “el Tribunal”)</w:t>
      </w:r>
      <w:r w:rsidR="00B42238" w:rsidRPr="0005044D">
        <w:rPr>
          <w:rFonts w:ascii="Verdana" w:hAnsi="Verdana"/>
          <w:sz w:val="20"/>
        </w:rPr>
        <w:t xml:space="preserve"> de </w:t>
      </w:r>
      <w:r w:rsidR="00BC0FD8" w:rsidRPr="0005044D">
        <w:rPr>
          <w:rFonts w:ascii="Verdana" w:hAnsi="Verdana"/>
          <w:sz w:val="20"/>
        </w:rPr>
        <w:t>25 de marzo de 201</w:t>
      </w:r>
      <w:r w:rsidR="006147DC" w:rsidRPr="0005044D">
        <w:rPr>
          <w:rFonts w:ascii="Verdana" w:hAnsi="Verdana"/>
          <w:sz w:val="20"/>
        </w:rPr>
        <w:t>7</w:t>
      </w:r>
      <w:r w:rsidR="00B42238" w:rsidRPr="0005044D">
        <w:rPr>
          <w:rFonts w:ascii="Verdana" w:hAnsi="Verdana"/>
          <w:sz w:val="20"/>
        </w:rPr>
        <w:t>, mediante la cual</w:t>
      </w:r>
      <w:r w:rsidR="000F444A" w:rsidRPr="0005044D">
        <w:rPr>
          <w:rFonts w:ascii="Verdana" w:hAnsi="Verdana"/>
          <w:sz w:val="20"/>
        </w:rPr>
        <w:t xml:space="preserve"> </w:t>
      </w:r>
      <w:r w:rsidR="00293759" w:rsidRPr="0005044D">
        <w:rPr>
          <w:rFonts w:ascii="Verdana" w:hAnsi="Verdana"/>
          <w:sz w:val="20"/>
        </w:rPr>
        <w:t>dispuso</w:t>
      </w:r>
      <w:r w:rsidR="00664DEC" w:rsidRPr="0005044D">
        <w:rPr>
          <w:rFonts w:ascii="Verdana" w:hAnsi="Verdana"/>
          <w:sz w:val="20"/>
        </w:rPr>
        <w:t xml:space="preserve"> que l</w:t>
      </w:r>
      <w:r w:rsidR="00AC30EA" w:rsidRPr="0005044D">
        <w:rPr>
          <w:rFonts w:ascii="Verdana" w:hAnsi="Verdana"/>
          <w:sz w:val="20"/>
        </w:rPr>
        <w:t>os</w:t>
      </w:r>
      <w:r w:rsidR="00664DEC" w:rsidRPr="0005044D">
        <w:rPr>
          <w:rFonts w:ascii="Verdana" w:hAnsi="Verdana"/>
          <w:sz w:val="20"/>
        </w:rPr>
        <w:t xml:space="preserve"> Estado</w:t>
      </w:r>
      <w:r w:rsidR="00AC30EA" w:rsidRPr="0005044D">
        <w:rPr>
          <w:rFonts w:ascii="Verdana" w:hAnsi="Verdana"/>
          <w:sz w:val="20"/>
        </w:rPr>
        <w:t>s Unidos Mexicanos</w:t>
      </w:r>
      <w:r w:rsidR="00293759" w:rsidRPr="0005044D">
        <w:rPr>
          <w:rFonts w:ascii="Verdana" w:hAnsi="Verdana"/>
          <w:sz w:val="20"/>
        </w:rPr>
        <w:t xml:space="preserve"> (en adelante “el Estado”, “el Estado mexicano” o “México”) debía </w:t>
      </w:r>
      <w:r w:rsidR="00664DEC" w:rsidRPr="0005044D">
        <w:rPr>
          <w:rFonts w:ascii="Verdana" w:hAnsi="Verdana"/>
          <w:sz w:val="20"/>
        </w:rPr>
        <w:t xml:space="preserve">continuar implementando las medidas de protección que ya habían sido </w:t>
      </w:r>
      <w:r w:rsidR="00F11006" w:rsidRPr="0005044D">
        <w:rPr>
          <w:rFonts w:ascii="Verdana" w:hAnsi="Verdana"/>
          <w:sz w:val="20"/>
        </w:rPr>
        <w:t>dispuestas</w:t>
      </w:r>
      <w:r w:rsidR="00664DEC" w:rsidRPr="0005044D">
        <w:rPr>
          <w:rFonts w:ascii="Verdana" w:hAnsi="Verdana"/>
          <w:sz w:val="20"/>
        </w:rPr>
        <w:t xml:space="preserve"> y que adoptara, de manera inmediata, todas las otras acciones necesarias para proteger y garantizar el respeto a la vida y a la integridad personal de los integrantes de la </w:t>
      </w:r>
      <w:r w:rsidR="003D48FB" w:rsidRPr="0005044D">
        <w:rPr>
          <w:rFonts w:ascii="Verdana" w:hAnsi="Verdana"/>
          <w:sz w:val="20"/>
        </w:rPr>
        <w:t>c</w:t>
      </w:r>
      <w:r w:rsidR="00664DEC" w:rsidRPr="0005044D">
        <w:rPr>
          <w:rFonts w:ascii="Verdana" w:hAnsi="Verdana"/>
          <w:sz w:val="20"/>
        </w:rPr>
        <w:t xml:space="preserve">omunidad </w:t>
      </w:r>
      <w:r w:rsidR="003D48FB" w:rsidRPr="0005044D">
        <w:rPr>
          <w:rFonts w:ascii="Verdana" w:hAnsi="Verdana"/>
          <w:sz w:val="20"/>
        </w:rPr>
        <w:t>i</w:t>
      </w:r>
      <w:r w:rsidR="00664DEC" w:rsidRPr="0005044D">
        <w:rPr>
          <w:rFonts w:ascii="Verdana" w:hAnsi="Verdana"/>
          <w:sz w:val="20"/>
        </w:rPr>
        <w:t>ndígena de Choréachi</w:t>
      </w:r>
      <w:r w:rsidR="00992E3C" w:rsidRPr="0005044D">
        <w:rPr>
          <w:rFonts w:ascii="Verdana" w:hAnsi="Verdana"/>
          <w:sz w:val="20"/>
        </w:rPr>
        <w:t xml:space="preserve"> (en adelante </w:t>
      </w:r>
      <w:r w:rsidR="00153ADF" w:rsidRPr="0005044D">
        <w:rPr>
          <w:rFonts w:ascii="Verdana" w:hAnsi="Verdana"/>
          <w:sz w:val="20"/>
        </w:rPr>
        <w:t xml:space="preserve">también </w:t>
      </w:r>
      <w:r w:rsidR="008307FF" w:rsidRPr="0005044D">
        <w:rPr>
          <w:rFonts w:ascii="Verdana" w:hAnsi="Verdana"/>
          <w:sz w:val="20"/>
        </w:rPr>
        <w:t>“la comunidad de Choréachi”, “Choréachi” o “</w:t>
      </w:r>
      <w:r w:rsidR="00992E3C" w:rsidRPr="0005044D">
        <w:rPr>
          <w:rFonts w:ascii="Verdana" w:hAnsi="Verdana"/>
          <w:sz w:val="20"/>
        </w:rPr>
        <w:t>la comunidad”)</w:t>
      </w:r>
      <w:r w:rsidR="0015573E" w:rsidRPr="0005044D">
        <w:rPr>
          <w:lang w:val="es-AR"/>
        </w:rPr>
        <w:t xml:space="preserve"> </w:t>
      </w:r>
      <w:r w:rsidR="0015573E" w:rsidRPr="0005044D">
        <w:rPr>
          <w:rFonts w:ascii="Verdana" w:hAnsi="Verdana"/>
          <w:sz w:val="20"/>
          <w:lang w:val="es-AR"/>
        </w:rPr>
        <w:t xml:space="preserve">ubicada en la Sierra Tarahumara, </w:t>
      </w:r>
      <w:r w:rsidR="00FF3EEE" w:rsidRPr="0005044D">
        <w:rPr>
          <w:rFonts w:ascii="Verdana" w:hAnsi="Verdana"/>
          <w:sz w:val="20"/>
          <w:lang w:val="es-AR"/>
        </w:rPr>
        <w:t>e</w:t>
      </w:r>
      <w:r w:rsidR="0015573E" w:rsidRPr="0005044D">
        <w:rPr>
          <w:rFonts w:ascii="Verdana" w:hAnsi="Verdana"/>
          <w:sz w:val="20"/>
          <w:lang w:val="es-AR"/>
        </w:rPr>
        <w:t>stado de Chihuahua</w:t>
      </w:r>
      <w:r w:rsidR="00664DEC" w:rsidRPr="0005044D">
        <w:rPr>
          <w:rFonts w:ascii="Verdana" w:hAnsi="Verdana"/>
          <w:sz w:val="20"/>
        </w:rPr>
        <w:t>.</w:t>
      </w:r>
      <w:r w:rsidR="009A2ACD" w:rsidRPr="0005044D">
        <w:rPr>
          <w:rFonts w:ascii="Verdana" w:hAnsi="Verdana"/>
          <w:sz w:val="20"/>
        </w:rPr>
        <w:t xml:space="preserve"> </w:t>
      </w:r>
      <w:r w:rsidR="00AC30EA" w:rsidRPr="0005044D">
        <w:rPr>
          <w:rFonts w:ascii="Verdana" w:hAnsi="Verdana"/>
          <w:sz w:val="20"/>
        </w:rPr>
        <w:t xml:space="preserve">Dichas medidas debían planificarse e implementarse con la participación de los beneficiarios o sus representantes. </w:t>
      </w:r>
      <w:r w:rsidR="009A2ACD" w:rsidRPr="0005044D">
        <w:rPr>
          <w:rFonts w:ascii="Verdana" w:hAnsi="Verdana"/>
          <w:sz w:val="20"/>
        </w:rPr>
        <w:t>En la misma Resolución</w:t>
      </w:r>
      <w:r w:rsidR="00C857DE" w:rsidRPr="0005044D">
        <w:rPr>
          <w:rFonts w:ascii="Verdana" w:hAnsi="Verdana"/>
          <w:sz w:val="20"/>
        </w:rPr>
        <w:t xml:space="preserve"> se requirió al Estado que, a efecto de evaluar la implementación de las medidas dispuestas </w:t>
      </w:r>
      <w:r w:rsidR="00293759" w:rsidRPr="0005044D">
        <w:rPr>
          <w:rFonts w:ascii="Verdana" w:hAnsi="Verdana"/>
          <w:sz w:val="20"/>
        </w:rPr>
        <w:t>en</w:t>
      </w:r>
      <w:r w:rsidR="00C857DE" w:rsidRPr="0005044D">
        <w:rPr>
          <w:rFonts w:ascii="Verdana" w:hAnsi="Verdana"/>
          <w:sz w:val="20"/>
        </w:rPr>
        <w:t xml:space="preserve"> favor de todos los beneficiarios, “</w:t>
      </w:r>
      <w:proofErr w:type="spellStart"/>
      <w:r w:rsidR="00C857DE" w:rsidRPr="0005044D">
        <w:rPr>
          <w:rFonts w:ascii="Verdana" w:hAnsi="Verdana"/>
          <w:sz w:val="20"/>
        </w:rPr>
        <w:t>reali</w:t>
      </w:r>
      <w:proofErr w:type="spellEnd"/>
      <w:r w:rsidR="00C857DE" w:rsidRPr="0005044D">
        <w:rPr>
          <w:rFonts w:ascii="Verdana" w:hAnsi="Verdana" w:cs="Arial"/>
          <w:sz w:val="20"/>
        </w:rPr>
        <w:t>[zara]</w:t>
      </w:r>
      <w:r w:rsidR="00C857DE" w:rsidRPr="0005044D">
        <w:rPr>
          <w:rFonts w:ascii="Verdana" w:hAnsi="Verdana"/>
          <w:sz w:val="20"/>
        </w:rPr>
        <w:t xml:space="preserve"> un diagnóstico actualizado sobre la situación de la </w:t>
      </w:r>
      <w:r w:rsidR="000F444A" w:rsidRPr="0005044D">
        <w:rPr>
          <w:rFonts w:ascii="Verdana" w:hAnsi="Verdana"/>
          <w:sz w:val="20"/>
        </w:rPr>
        <w:t>C</w:t>
      </w:r>
      <w:r w:rsidR="00C857DE" w:rsidRPr="0005044D">
        <w:rPr>
          <w:rFonts w:ascii="Verdana" w:hAnsi="Verdana"/>
          <w:sz w:val="20"/>
        </w:rPr>
        <w:t xml:space="preserve">omunidad y sus miembros, en el cual </w:t>
      </w:r>
      <w:proofErr w:type="spellStart"/>
      <w:r w:rsidR="00C857DE" w:rsidRPr="0005044D">
        <w:rPr>
          <w:rFonts w:ascii="Verdana" w:hAnsi="Verdana"/>
          <w:sz w:val="20"/>
        </w:rPr>
        <w:t>inform</w:t>
      </w:r>
      <w:proofErr w:type="spellEnd"/>
      <w:r w:rsidR="00C857DE" w:rsidRPr="0005044D">
        <w:rPr>
          <w:rFonts w:ascii="Verdana" w:hAnsi="Verdana" w:cs="Arial"/>
          <w:sz w:val="20"/>
        </w:rPr>
        <w:t>[ara]</w:t>
      </w:r>
      <w:r w:rsidR="00C857DE" w:rsidRPr="0005044D">
        <w:rPr>
          <w:rFonts w:ascii="Verdana" w:hAnsi="Verdana"/>
          <w:sz w:val="20"/>
        </w:rPr>
        <w:t xml:space="preserve"> sobre la intensidad y naturaleza de un riesgo a su vida e integridad, en particular a la luz de los hechos de violencia ocurridos recientemente”.</w:t>
      </w:r>
    </w:p>
    <w:p w14:paraId="3D54BC8B" w14:textId="77777777" w:rsidR="00015C8B" w:rsidRPr="0005044D" w:rsidRDefault="00015C8B" w:rsidP="00015C8B">
      <w:pPr>
        <w:pStyle w:val="Prrafodelista"/>
        <w:ind w:left="0"/>
        <w:jc w:val="both"/>
        <w:rPr>
          <w:rFonts w:ascii="Verdana" w:hAnsi="Verdana"/>
          <w:sz w:val="20"/>
        </w:rPr>
      </w:pPr>
    </w:p>
    <w:p w14:paraId="52764C98" w14:textId="372C0212" w:rsidR="007F5EAA" w:rsidRPr="0005044D" w:rsidRDefault="00B609A8" w:rsidP="00015C8B">
      <w:pPr>
        <w:pStyle w:val="Prrafodelista"/>
        <w:numPr>
          <w:ilvl w:val="0"/>
          <w:numId w:val="1"/>
        </w:numPr>
        <w:jc w:val="both"/>
        <w:rPr>
          <w:rFonts w:ascii="Verdana" w:hAnsi="Verdana"/>
          <w:sz w:val="20"/>
        </w:rPr>
      </w:pPr>
      <w:r w:rsidRPr="0005044D">
        <w:rPr>
          <w:rFonts w:ascii="Verdana" w:hAnsi="Verdana"/>
          <w:sz w:val="20"/>
        </w:rPr>
        <w:t xml:space="preserve">Los escritos </w:t>
      </w:r>
      <w:r w:rsidR="00CD5991" w:rsidRPr="0005044D">
        <w:rPr>
          <w:rFonts w:ascii="Verdana" w:hAnsi="Verdana"/>
          <w:sz w:val="20"/>
        </w:rPr>
        <w:t>presentados</w:t>
      </w:r>
      <w:r w:rsidR="00820DD7" w:rsidRPr="0005044D">
        <w:rPr>
          <w:rFonts w:ascii="Verdana" w:hAnsi="Verdana"/>
          <w:sz w:val="20"/>
        </w:rPr>
        <w:t xml:space="preserve"> por el Estado</w:t>
      </w:r>
      <w:r w:rsidR="00CD5991" w:rsidRPr="0005044D">
        <w:rPr>
          <w:rFonts w:ascii="Verdana" w:hAnsi="Verdana"/>
          <w:sz w:val="20"/>
        </w:rPr>
        <w:t xml:space="preserve"> los días</w:t>
      </w:r>
      <w:r w:rsidR="007A55EF" w:rsidRPr="0005044D">
        <w:rPr>
          <w:rFonts w:ascii="Verdana" w:hAnsi="Verdana"/>
          <w:sz w:val="20"/>
        </w:rPr>
        <w:t xml:space="preserve"> </w:t>
      </w:r>
      <w:r w:rsidR="00F23322" w:rsidRPr="0005044D">
        <w:rPr>
          <w:rFonts w:ascii="Verdana" w:hAnsi="Verdana"/>
          <w:sz w:val="20"/>
        </w:rPr>
        <w:t>2 de mayo</w:t>
      </w:r>
      <w:r w:rsidR="007A55EF" w:rsidRPr="0005044D">
        <w:rPr>
          <w:rFonts w:ascii="Verdana" w:hAnsi="Verdana"/>
          <w:sz w:val="20"/>
        </w:rPr>
        <w:t xml:space="preserve"> y </w:t>
      </w:r>
      <w:r w:rsidR="00F23322" w:rsidRPr="0005044D">
        <w:rPr>
          <w:rFonts w:ascii="Verdana" w:hAnsi="Verdana"/>
          <w:sz w:val="20"/>
        </w:rPr>
        <w:t>10</w:t>
      </w:r>
      <w:r w:rsidR="007A55EF" w:rsidRPr="0005044D">
        <w:rPr>
          <w:rFonts w:ascii="Verdana" w:hAnsi="Verdana"/>
          <w:sz w:val="20"/>
        </w:rPr>
        <w:t xml:space="preserve"> de noviembre de 2017</w:t>
      </w:r>
      <w:r w:rsidR="00D92FD0" w:rsidRPr="0005044D">
        <w:rPr>
          <w:rFonts w:ascii="Verdana" w:hAnsi="Verdana"/>
          <w:sz w:val="20"/>
        </w:rPr>
        <w:t>;</w:t>
      </w:r>
      <w:r w:rsidR="007A55EF" w:rsidRPr="0005044D">
        <w:rPr>
          <w:rFonts w:ascii="Verdana" w:hAnsi="Verdana"/>
          <w:sz w:val="20"/>
        </w:rPr>
        <w:t xml:space="preserve"> </w:t>
      </w:r>
      <w:r w:rsidR="00F23322" w:rsidRPr="0005044D">
        <w:rPr>
          <w:rFonts w:ascii="Verdana" w:hAnsi="Verdana"/>
          <w:sz w:val="20"/>
        </w:rPr>
        <w:t>1 de febrero</w:t>
      </w:r>
      <w:r w:rsidR="007A55EF" w:rsidRPr="0005044D">
        <w:rPr>
          <w:rFonts w:ascii="Verdana" w:hAnsi="Verdana"/>
          <w:sz w:val="20"/>
        </w:rPr>
        <w:t xml:space="preserve"> y 1</w:t>
      </w:r>
      <w:r w:rsidR="00F23322" w:rsidRPr="0005044D">
        <w:rPr>
          <w:rFonts w:ascii="Verdana" w:hAnsi="Verdana"/>
          <w:sz w:val="20"/>
        </w:rPr>
        <w:t>6</w:t>
      </w:r>
      <w:r w:rsidR="007A55EF" w:rsidRPr="0005044D">
        <w:rPr>
          <w:rFonts w:ascii="Verdana" w:hAnsi="Verdana"/>
          <w:sz w:val="20"/>
        </w:rPr>
        <w:t xml:space="preserve"> de agosto de 2018</w:t>
      </w:r>
      <w:r w:rsidR="00D92FD0" w:rsidRPr="0005044D">
        <w:rPr>
          <w:rFonts w:ascii="Verdana" w:hAnsi="Verdana"/>
          <w:sz w:val="20"/>
        </w:rPr>
        <w:t>;</w:t>
      </w:r>
      <w:r w:rsidR="007A55EF" w:rsidRPr="0005044D">
        <w:rPr>
          <w:rFonts w:ascii="Verdana" w:hAnsi="Verdana"/>
          <w:sz w:val="20"/>
        </w:rPr>
        <w:t xml:space="preserve"> 1 de marzo, 24 de abril, 19 de julio</w:t>
      </w:r>
      <w:r w:rsidR="007F5EAA" w:rsidRPr="0005044D">
        <w:rPr>
          <w:rFonts w:ascii="Verdana" w:hAnsi="Verdana"/>
          <w:sz w:val="20"/>
        </w:rPr>
        <w:t xml:space="preserve"> y 21 de octubre de 2019, y 27 de enero de 2020, así como sus anexos, </w:t>
      </w:r>
      <w:r w:rsidR="00AC202C" w:rsidRPr="0005044D">
        <w:rPr>
          <w:rFonts w:ascii="Verdana" w:hAnsi="Verdana"/>
          <w:sz w:val="20"/>
        </w:rPr>
        <w:t xml:space="preserve">mediante los cuales </w:t>
      </w:r>
      <w:r w:rsidR="00820DD7" w:rsidRPr="0005044D">
        <w:rPr>
          <w:rFonts w:ascii="Verdana" w:hAnsi="Verdana"/>
          <w:sz w:val="20"/>
        </w:rPr>
        <w:t>remitió</w:t>
      </w:r>
      <w:r w:rsidR="00293759" w:rsidRPr="0005044D">
        <w:rPr>
          <w:rFonts w:ascii="Verdana" w:hAnsi="Verdana"/>
          <w:sz w:val="20"/>
        </w:rPr>
        <w:t xml:space="preserve"> </w:t>
      </w:r>
      <w:r w:rsidR="00015C8B" w:rsidRPr="0005044D">
        <w:rPr>
          <w:rFonts w:ascii="Verdana" w:hAnsi="Verdana"/>
          <w:sz w:val="20"/>
        </w:rPr>
        <w:t xml:space="preserve">sus respectivos </w:t>
      </w:r>
      <w:r w:rsidR="007F5EAA" w:rsidRPr="0005044D">
        <w:rPr>
          <w:rFonts w:ascii="Verdana" w:hAnsi="Verdana"/>
          <w:sz w:val="20"/>
        </w:rPr>
        <w:t>inform</w:t>
      </w:r>
      <w:r w:rsidR="00015C8B" w:rsidRPr="0005044D">
        <w:rPr>
          <w:rFonts w:ascii="Verdana" w:hAnsi="Verdana"/>
          <w:sz w:val="20"/>
        </w:rPr>
        <w:t>es</w:t>
      </w:r>
      <w:r w:rsidR="007F5EAA" w:rsidRPr="0005044D">
        <w:rPr>
          <w:rFonts w:ascii="Verdana" w:hAnsi="Verdana"/>
          <w:sz w:val="20"/>
        </w:rPr>
        <w:t>.</w:t>
      </w:r>
    </w:p>
    <w:p w14:paraId="4047E1F4" w14:textId="77777777" w:rsidR="00D111C2" w:rsidRPr="0005044D" w:rsidRDefault="00D111C2" w:rsidP="00015C8B">
      <w:pPr>
        <w:spacing w:after="0" w:line="240" w:lineRule="auto"/>
        <w:contextualSpacing/>
        <w:jc w:val="both"/>
        <w:rPr>
          <w:rFonts w:ascii="Verdana" w:hAnsi="Verdana"/>
          <w:sz w:val="20"/>
          <w:szCs w:val="20"/>
          <w:lang w:val="es-ES_tradnl"/>
        </w:rPr>
      </w:pPr>
    </w:p>
    <w:p w14:paraId="1652987C" w14:textId="6E153A90" w:rsidR="00F41717" w:rsidRPr="0005044D" w:rsidRDefault="00254866" w:rsidP="00015C8B">
      <w:pPr>
        <w:numPr>
          <w:ilvl w:val="0"/>
          <w:numId w:val="1"/>
        </w:numPr>
        <w:spacing w:after="0" w:line="240" w:lineRule="auto"/>
        <w:contextualSpacing/>
        <w:jc w:val="both"/>
        <w:rPr>
          <w:rFonts w:ascii="Verdana" w:hAnsi="Verdana"/>
          <w:sz w:val="20"/>
          <w:szCs w:val="20"/>
          <w:lang w:val="es-ES_tradnl"/>
        </w:rPr>
      </w:pPr>
      <w:r w:rsidRPr="0005044D">
        <w:rPr>
          <w:rFonts w:ascii="Verdana" w:hAnsi="Verdana" w:cs="Verdana"/>
          <w:color w:val="000000"/>
          <w:sz w:val="20"/>
          <w:szCs w:val="20"/>
          <w:lang w:val="es-ES_tradnl"/>
        </w:rPr>
        <w:t xml:space="preserve">Los </w:t>
      </w:r>
      <w:r w:rsidR="00D111C2" w:rsidRPr="0005044D">
        <w:rPr>
          <w:rFonts w:ascii="Verdana" w:hAnsi="Verdana" w:cs="Verdana"/>
          <w:color w:val="000000"/>
          <w:sz w:val="20"/>
          <w:szCs w:val="20"/>
          <w:lang w:val="es-ES_tradnl"/>
        </w:rPr>
        <w:t>escritos</w:t>
      </w:r>
      <w:r w:rsidR="00EA05B0" w:rsidRPr="0005044D">
        <w:rPr>
          <w:rFonts w:ascii="Verdana" w:hAnsi="Verdana" w:cs="Verdana"/>
          <w:color w:val="000000"/>
          <w:sz w:val="20"/>
          <w:szCs w:val="20"/>
          <w:lang w:val="es-ES_tradnl"/>
        </w:rPr>
        <w:t xml:space="preserve"> presentados </w:t>
      </w:r>
      <w:r w:rsidR="00153ADF" w:rsidRPr="0005044D">
        <w:rPr>
          <w:rFonts w:ascii="Verdana" w:hAnsi="Verdana" w:cs="Verdana"/>
          <w:color w:val="000000"/>
          <w:sz w:val="20"/>
          <w:szCs w:val="20"/>
          <w:lang w:val="es-ES_tradnl"/>
        </w:rPr>
        <w:t>por los representantes de los beneficiarios de las medidas provisionales (en adelante también “los representantes”)</w:t>
      </w:r>
      <w:r w:rsidR="00153ADF" w:rsidRPr="0005044D">
        <w:rPr>
          <w:rStyle w:val="Refdenotaalpie"/>
          <w:rFonts w:ascii="Verdana" w:hAnsi="Verdana"/>
          <w:color w:val="000000"/>
          <w:sz w:val="20"/>
          <w:szCs w:val="20"/>
          <w:lang w:val="es-ES_tradnl"/>
        </w:rPr>
        <w:footnoteReference w:id="2"/>
      </w:r>
      <w:r w:rsidR="00153ADF" w:rsidRPr="0005044D">
        <w:rPr>
          <w:rFonts w:ascii="Verdana" w:hAnsi="Verdana" w:cs="Verdana"/>
          <w:color w:val="000000"/>
          <w:sz w:val="20"/>
          <w:szCs w:val="20"/>
          <w:lang w:val="es-ES_tradnl"/>
        </w:rPr>
        <w:t xml:space="preserve"> </w:t>
      </w:r>
      <w:r w:rsidR="00EA05B0" w:rsidRPr="0005044D">
        <w:rPr>
          <w:rFonts w:ascii="Verdana" w:hAnsi="Verdana" w:cs="Verdana"/>
          <w:color w:val="000000"/>
          <w:sz w:val="20"/>
          <w:szCs w:val="20"/>
          <w:lang w:val="es-ES_tradnl"/>
        </w:rPr>
        <w:t>los días</w:t>
      </w:r>
      <w:r w:rsidR="00D111C2" w:rsidRPr="0005044D">
        <w:rPr>
          <w:rFonts w:ascii="Verdana" w:hAnsi="Verdana" w:cs="Verdana"/>
          <w:color w:val="000000"/>
          <w:sz w:val="20"/>
          <w:szCs w:val="20"/>
          <w:lang w:val="es-ES_tradnl"/>
        </w:rPr>
        <w:t xml:space="preserve"> </w:t>
      </w:r>
      <w:r w:rsidR="00F23322" w:rsidRPr="0005044D">
        <w:rPr>
          <w:rFonts w:ascii="Verdana" w:hAnsi="Verdana" w:cs="Verdana"/>
          <w:color w:val="000000"/>
          <w:sz w:val="20"/>
          <w:szCs w:val="20"/>
          <w:lang w:val="es-ES_tradnl"/>
        </w:rPr>
        <w:t>4</w:t>
      </w:r>
      <w:r w:rsidR="00D111C2" w:rsidRPr="0005044D">
        <w:rPr>
          <w:rFonts w:ascii="Verdana" w:hAnsi="Verdana" w:cs="Verdana"/>
          <w:color w:val="000000"/>
          <w:sz w:val="20"/>
          <w:szCs w:val="20"/>
          <w:lang w:val="es-ES_tradnl"/>
        </w:rPr>
        <w:t xml:space="preserve"> de junio y 1</w:t>
      </w:r>
      <w:r w:rsidR="00F23322" w:rsidRPr="0005044D">
        <w:rPr>
          <w:rFonts w:ascii="Verdana" w:hAnsi="Verdana" w:cs="Verdana"/>
          <w:color w:val="000000"/>
          <w:sz w:val="20"/>
          <w:szCs w:val="20"/>
          <w:lang w:val="es-ES_tradnl"/>
        </w:rPr>
        <w:t>2</w:t>
      </w:r>
      <w:r w:rsidR="00D111C2" w:rsidRPr="0005044D">
        <w:rPr>
          <w:rFonts w:ascii="Verdana" w:hAnsi="Verdana" w:cs="Verdana"/>
          <w:color w:val="000000"/>
          <w:sz w:val="20"/>
          <w:szCs w:val="20"/>
          <w:lang w:val="es-ES_tradnl"/>
        </w:rPr>
        <w:t xml:space="preserve"> de diciembre de 2017</w:t>
      </w:r>
      <w:r w:rsidR="00D92FD0" w:rsidRPr="0005044D">
        <w:rPr>
          <w:rFonts w:ascii="Verdana" w:hAnsi="Verdana" w:cs="Verdana"/>
          <w:color w:val="000000"/>
          <w:sz w:val="20"/>
          <w:szCs w:val="20"/>
          <w:lang w:val="es-ES_tradnl"/>
        </w:rPr>
        <w:t>;</w:t>
      </w:r>
      <w:r w:rsidR="00D111C2" w:rsidRPr="0005044D">
        <w:rPr>
          <w:rFonts w:ascii="Verdana" w:hAnsi="Verdana" w:cs="Verdana"/>
          <w:color w:val="000000"/>
          <w:sz w:val="20"/>
          <w:szCs w:val="20"/>
          <w:lang w:val="es-ES_tradnl"/>
        </w:rPr>
        <w:t xml:space="preserve"> 7 de marzo y 2</w:t>
      </w:r>
      <w:r w:rsidR="00F23322" w:rsidRPr="0005044D">
        <w:rPr>
          <w:rFonts w:ascii="Verdana" w:hAnsi="Verdana" w:cs="Verdana"/>
          <w:color w:val="000000"/>
          <w:sz w:val="20"/>
          <w:szCs w:val="20"/>
          <w:lang w:val="es-ES_tradnl"/>
        </w:rPr>
        <w:t>1</w:t>
      </w:r>
      <w:r w:rsidR="00D111C2" w:rsidRPr="0005044D">
        <w:rPr>
          <w:rFonts w:ascii="Verdana" w:hAnsi="Verdana" w:cs="Verdana"/>
          <w:color w:val="000000"/>
          <w:sz w:val="20"/>
          <w:szCs w:val="20"/>
          <w:lang w:val="es-ES_tradnl"/>
        </w:rPr>
        <w:t xml:space="preserve"> de septiembre de 2018</w:t>
      </w:r>
      <w:r w:rsidR="00D92FD0" w:rsidRPr="0005044D">
        <w:rPr>
          <w:rFonts w:ascii="Verdana" w:hAnsi="Verdana" w:cs="Verdana"/>
          <w:color w:val="000000"/>
          <w:sz w:val="20"/>
          <w:szCs w:val="20"/>
          <w:lang w:val="es-ES_tradnl"/>
        </w:rPr>
        <w:t>;</w:t>
      </w:r>
      <w:r w:rsidR="00D111C2" w:rsidRPr="0005044D">
        <w:rPr>
          <w:rFonts w:ascii="Verdana" w:hAnsi="Verdana" w:cs="Verdana"/>
          <w:color w:val="000000"/>
          <w:sz w:val="20"/>
          <w:szCs w:val="20"/>
          <w:lang w:val="es-ES_tradnl"/>
        </w:rPr>
        <w:t xml:space="preserve"> </w:t>
      </w:r>
      <w:r w:rsidR="00F23322" w:rsidRPr="0005044D">
        <w:rPr>
          <w:rFonts w:ascii="Verdana" w:hAnsi="Verdana" w:cs="Verdana"/>
          <w:color w:val="000000"/>
          <w:sz w:val="20"/>
          <w:szCs w:val="20"/>
          <w:lang w:val="es-ES_tradnl"/>
        </w:rPr>
        <w:t>9</w:t>
      </w:r>
      <w:r w:rsidR="00D111C2" w:rsidRPr="0005044D">
        <w:rPr>
          <w:rFonts w:ascii="Verdana" w:hAnsi="Verdana" w:cs="Verdana"/>
          <w:color w:val="000000"/>
          <w:sz w:val="20"/>
          <w:szCs w:val="20"/>
          <w:lang w:val="es-ES_tradnl"/>
        </w:rPr>
        <w:t xml:space="preserve"> de abril, 2</w:t>
      </w:r>
      <w:r w:rsidR="007A2C96" w:rsidRPr="0005044D">
        <w:rPr>
          <w:rFonts w:ascii="Verdana" w:hAnsi="Verdana" w:cs="Verdana"/>
          <w:color w:val="000000"/>
          <w:sz w:val="20"/>
          <w:szCs w:val="20"/>
          <w:lang w:val="es-ES_tradnl"/>
        </w:rPr>
        <w:t>5</w:t>
      </w:r>
      <w:r w:rsidR="00D111C2" w:rsidRPr="0005044D">
        <w:rPr>
          <w:rFonts w:ascii="Verdana" w:hAnsi="Verdana" w:cs="Verdana"/>
          <w:color w:val="000000"/>
          <w:sz w:val="20"/>
          <w:szCs w:val="20"/>
          <w:lang w:val="es-ES_tradnl"/>
        </w:rPr>
        <w:t xml:space="preserve"> de junio y 2</w:t>
      </w:r>
      <w:r w:rsidR="007A2C96" w:rsidRPr="0005044D">
        <w:rPr>
          <w:rFonts w:ascii="Verdana" w:hAnsi="Verdana" w:cs="Verdana"/>
          <w:color w:val="000000"/>
          <w:sz w:val="20"/>
          <w:szCs w:val="20"/>
          <w:lang w:val="es-ES_tradnl"/>
        </w:rPr>
        <w:t>2</w:t>
      </w:r>
      <w:r w:rsidR="00D111C2" w:rsidRPr="0005044D">
        <w:rPr>
          <w:rFonts w:ascii="Verdana" w:hAnsi="Verdana" w:cs="Verdana"/>
          <w:color w:val="000000"/>
          <w:sz w:val="20"/>
          <w:szCs w:val="20"/>
          <w:lang w:val="es-ES_tradnl"/>
        </w:rPr>
        <w:t xml:space="preserve"> de septiembre de 2019,</w:t>
      </w:r>
      <w:r w:rsidR="007E0161" w:rsidRPr="0005044D">
        <w:rPr>
          <w:rFonts w:ascii="Verdana" w:hAnsi="Verdana" w:cs="Verdana"/>
          <w:color w:val="000000"/>
          <w:sz w:val="20"/>
          <w:szCs w:val="20"/>
          <w:lang w:val="es-ES_tradnl"/>
        </w:rPr>
        <w:t xml:space="preserve"> y </w:t>
      </w:r>
      <w:r w:rsidR="004A7B88" w:rsidRPr="0005044D">
        <w:rPr>
          <w:rFonts w:ascii="Verdana" w:hAnsi="Verdana" w:cs="Verdana"/>
          <w:color w:val="000000"/>
          <w:sz w:val="20"/>
          <w:szCs w:val="20"/>
          <w:lang w:val="es-ES_tradnl"/>
        </w:rPr>
        <w:t>3</w:t>
      </w:r>
      <w:r w:rsidR="007E0161" w:rsidRPr="0005044D">
        <w:rPr>
          <w:rFonts w:ascii="Verdana" w:hAnsi="Verdana" w:cs="Verdana"/>
          <w:color w:val="000000"/>
          <w:sz w:val="20"/>
          <w:szCs w:val="20"/>
          <w:lang w:val="es-ES_tradnl"/>
        </w:rPr>
        <w:t>0 de marzo de 2020, así como sus anexos,</w:t>
      </w:r>
      <w:r w:rsidR="00D111C2" w:rsidRPr="0005044D">
        <w:rPr>
          <w:rFonts w:ascii="Verdana" w:hAnsi="Verdana" w:cs="Verdana"/>
          <w:color w:val="000000"/>
          <w:sz w:val="20"/>
          <w:szCs w:val="20"/>
          <w:lang w:val="es-ES_tradnl"/>
        </w:rPr>
        <w:t xml:space="preserve"> mediante los cuales</w:t>
      </w:r>
      <w:r w:rsidR="00153ADF" w:rsidRPr="0005044D">
        <w:rPr>
          <w:rFonts w:ascii="Verdana" w:hAnsi="Verdana" w:cs="Verdana"/>
          <w:color w:val="000000"/>
          <w:sz w:val="20"/>
          <w:szCs w:val="20"/>
          <w:lang w:val="es-ES_tradnl"/>
        </w:rPr>
        <w:t xml:space="preserve"> </w:t>
      </w:r>
      <w:r w:rsidR="00D5162B" w:rsidRPr="0005044D">
        <w:rPr>
          <w:rFonts w:ascii="Verdana" w:hAnsi="Verdana" w:cs="Verdana"/>
          <w:color w:val="000000"/>
          <w:sz w:val="20"/>
          <w:szCs w:val="20"/>
          <w:lang w:val="es-ES_tradnl"/>
        </w:rPr>
        <w:t xml:space="preserve">remitieron </w:t>
      </w:r>
      <w:r w:rsidRPr="0005044D">
        <w:rPr>
          <w:rFonts w:ascii="Verdana" w:hAnsi="Verdana" w:cs="Verdana"/>
          <w:color w:val="000000"/>
          <w:sz w:val="20"/>
          <w:szCs w:val="20"/>
          <w:lang w:val="es-ES_tradnl"/>
        </w:rPr>
        <w:t xml:space="preserve">sus observaciones a </w:t>
      </w:r>
      <w:r w:rsidR="00153ADF" w:rsidRPr="0005044D">
        <w:rPr>
          <w:rFonts w:ascii="Verdana" w:hAnsi="Verdana" w:cs="Verdana"/>
          <w:color w:val="000000"/>
          <w:sz w:val="20"/>
          <w:szCs w:val="20"/>
          <w:lang w:val="es-ES_tradnl"/>
        </w:rPr>
        <w:t>los informes d</w:t>
      </w:r>
      <w:r w:rsidRPr="0005044D">
        <w:rPr>
          <w:rFonts w:ascii="Verdana" w:hAnsi="Verdana" w:cs="Verdana"/>
          <w:color w:val="000000"/>
          <w:sz w:val="20"/>
          <w:szCs w:val="20"/>
          <w:lang w:val="es-ES_tradnl"/>
        </w:rPr>
        <w:t>el Estado</w:t>
      </w:r>
      <w:r w:rsidR="00240195" w:rsidRPr="0005044D">
        <w:rPr>
          <w:rFonts w:ascii="Verdana" w:hAnsi="Verdana" w:cs="Verdana"/>
          <w:color w:val="000000"/>
          <w:sz w:val="20"/>
          <w:szCs w:val="20"/>
          <w:lang w:val="es-ES_tradnl"/>
        </w:rPr>
        <w:t xml:space="preserve"> (</w:t>
      </w:r>
      <w:r w:rsidR="00240195" w:rsidRPr="0005044D">
        <w:rPr>
          <w:rFonts w:ascii="Verdana" w:hAnsi="Verdana" w:cs="Verdana"/>
          <w:i/>
          <w:color w:val="000000"/>
          <w:sz w:val="20"/>
          <w:szCs w:val="20"/>
          <w:lang w:val="es-ES_tradnl"/>
        </w:rPr>
        <w:t xml:space="preserve">supra </w:t>
      </w:r>
      <w:r w:rsidR="00240195" w:rsidRPr="0005044D">
        <w:rPr>
          <w:rFonts w:ascii="Verdana" w:hAnsi="Verdana" w:cs="Verdana"/>
          <w:color w:val="000000"/>
          <w:sz w:val="20"/>
          <w:szCs w:val="20"/>
          <w:lang w:val="es-ES_tradnl"/>
        </w:rPr>
        <w:t>Visto 2)</w:t>
      </w:r>
      <w:r w:rsidR="00CD5991" w:rsidRPr="0005044D">
        <w:rPr>
          <w:rFonts w:ascii="Verdana" w:hAnsi="Verdana" w:cs="Verdana"/>
          <w:color w:val="000000"/>
          <w:sz w:val="20"/>
          <w:szCs w:val="20"/>
          <w:lang w:val="es-ES_tradnl"/>
        </w:rPr>
        <w:t>.</w:t>
      </w:r>
    </w:p>
    <w:p w14:paraId="79B08C22" w14:textId="77777777" w:rsidR="00F41717" w:rsidRPr="0005044D" w:rsidRDefault="00F41717" w:rsidP="0031312F">
      <w:pPr>
        <w:pStyle w:val="Prrafodelista"/>
        <w:rPr>
          <w:rFonts w:ascii="Verdana" w:hAnsi="Verdana"/>
          <w:sz w:val="20"/>
        </w:rPr>
      </w:pPr>
    </w:p>
    <w:p w14:paraId="64845F9B" w14:textId="7BDCD123" w:rsidR="00394F33" w:rsidRPr="0005044D" w:rsidRDefault="00F41717" w:rsidP="0031312F">
      <w:pPr>
        <w:numPr>
          <w:ilvl w:val="0"/>
          <w:numId w:val="1"/>
        </w:numPr>
        <w:spacing w:after="0" w:line="240" w:lineRule="auto"/>
        <w:contextualSpacing/>
        <w:jc w:val="both"/>
        <w:rPr>
          <w:rFonts w:ascii="Verdana" w:hAnsi="Verdana"/>
          <w:sz w:val="20"/>
          <w:szCs w:val="20"/>
          <w:lang w:val="es-ES_tradnl"/>
        </w:rPr>
      </w:pPr>
      <w:r w:rsidRPr="0005044D">
        <w:rPr>
          <w:rFonts w:ascii="Verdana" w:hAnsi="Verdana"/>
          <w:sz w:val="20"/>
          <w:szCs w:val="20"/>
          <w:lang w:val="es-ES_tradnl"/>
        </w:rPr>
        <w:t xml:space="preserve">Las comunicaciones </w:t>
      </w:r>
      <w:r w:rsidR="00781F08" w:rsidRPr="0005044D">
        <w:rPr>
          <w:rFonts w:ascii="Verdana" w:hAnsi="Verdana" w:cs="Verdana"/>
          <w:color w:val="000000"/>
          <w:sz w:val="20"/>
          <w:szCs w:val="20"/>
          <w:lang w:val="es-ES_tradnl"/>
        </w:rPr>
        <w:t xml:space="preserve">de la Comisión Interamericana de Derechos Humanos (en adelante </w:t>
      </w:r>
      <w:r w:rsidR="00153ADF" w:rsidRPr="0005044D">
        <w:rPr>
          <w:rFonts w:ascii="Verdana" w:hAnsi="Verdana" w:cs="Verdana"/>
          <w:color w:val="000000"/>
          <w:sz w:val="20"/>
          <w:szCs w:val="20"/>
          <w:lang w:val="es-ES_tradnl"/>
        </w:rPr>
        <w:t xml:space="preserve">también </w:t>
      </w:r>
      <w:r w:rsidR="00781F08" w:rsidRPr="0005044D">
        <w:rPr>
          <w:rFonts w:ascii="Verdana" w:hAnsi="Verdana" w:cs="Verdana"/>
          <w:color w:val="000000"/>
          <w:sz w:val="20"/>
          <w:szCs w:val="20"/>
          <w:lang w:val="es-ES_tradnl"/>
        </w:rPr>
        <w:t>“la Comisión Interamericana” o “la Comisión”)</w:t>
      </w:r>
      <w:r w:rsidRPr="0005044D">
        <w:rPr>
          <w:rFonts w:ascii="Verdana" w:hAnsi="Verdana" w:cs="Verdana"/>
          <w:color w:val="000000"/>
          <w:sz w:val="20"/>
          <w:szCs w:val="20"/>
          <w:lang w:val="es-ES_tradnl"/>
        </w:rPr>
        <w:t xml:space="preserve"> </w:t>
      </w:r>
      <w:r w:rsidR="00153ADF" w:rsidRPr="0005044D">
        <w:rPr>
          <w:rFonts w:ascii="Verdana" w:hAnsi="Verdana" w:cs="Verdana"/>
          <w:color w:val="000000"/>
          <w:sz w:val="20"/>
          <w:szCs w:val="20"/>
          <w:lang w:val="es-ES_tradnl"/>
        </w:rPr>
        <w:t>presentadas</w:t>
      </w:r>
      <w:r w:rsidR="00A117B7" w:rsidRPr="0005044D">
        <w:rPr>
          <w:rFonts w:ascii="Verdana" w:hAnsi="Verdana" w:cs="Verdana"/>
          <w:color w:val="000000"/>
          <w:sz w:val="20"/>
          <w:szCs w:val="20"/>
          <w:lang w:val="es-ES_tradnl"/>
        </w:rPr>
        <w:t xml:space="preserve"> los días </w:t>
      </w:r>
      <w:r w:rsidR="00394F33" w:rsidRPr="0005044D">
        <w:rPr>
          <w:rFonts w:ascii="Verdana" w:hAnsi="Verdana" w:cs="Verdana"/>
          <w:color w:val="000000"/>
          <w:sz w:val="20"/>
          <w:szCs w:val="20"/>
          <w:lang w:val="es-ES_tradnl"/>
        </w:rPr>
        <w:t>2 de septiembre de 2017, 17 de diciembre de 2018</w:t>
      </w:r>
      <w:r w:rsidR="00036290" w:rsidRPr="0005044D">
        <w:rPr>
          <w:rFonts w:ascii="Verdana" w:hAnsi="Verdana" w:cs="Verdana"/>
          <w:color w:val="000000"/>
          <w:sz w:val="20"/>
          <w:szCs w:val="20"/>
          <w:lang w:val="es-ES_tradnl"/>
        </w:rPr>
        <w:t xml:space="preserve">, </w:t>
      </w:r>
      <w:r w:rsidR="00394F33" w:rsidRPr="0005044D">
        <w:rPr>
          <w:rFonts w:ascii="Verdana" w:hAnsi="Verdana" w:cs="Verdana"/>
          <w:color w:val="000000"/>
          <w:sz w:val="20"/>
          <w:szCs w:val="20"/>
          <w:lang w:val="es-ES_tradnl"/>
        </w:rPr>
        <w:t>25 de abril de 2019</w:t>
      </w:r>
      <w:r w:rsidR="00EA154C" w:rsidRPr="0005044D">
        <w:rPr>
          <w:rFonts w:ascii="Verdana" w:hAnsi="Verdana" w:cs="Verdana"/>
          <w:color w:val="000000"/>
          <w:sz w:val="20"/>
          <w:szCs w:val="20"/>
          <w:lang w:val="es-ES_tradnl"/>
        </w:rPr>
        <w:t xml:space="preserve"> </w:t>
      </w:r>
      <w:r w:rsidR="00EA154C" w:rsidRPr="0005044D">
        <w:rPr>
          <w:rFonts w:ascii="Verdana" w:hAnsi="Verdana" w:cs="Verdana"/>
          <w:sz w:val="20"/>
          <w:szCs w:val="20"/>
          <w:lang w:val="es-ES_tradnl"/>
        </w:rPr>
        <w:t xml:space="preserve">y </w:t>
      </w:r>
      <w:r w:rsidR="007A2C96" w:rsidRPr="0005044D">
        <w:rPr>
          <w:rFonts w:ascii="Verdana" w:hAnsi="Verdana" w:cs="Verdana"/>
          <w:sz w:val="20"/>
          <w:szCs w:val="20"/>
          <w:lang w:val="es-ES_tradnl"/>
        </w:rPr>
        <w:t>9</w:t>
      </w:r>
      <w:r w:rsidR="00EA154C" w:rsidRPr="0005044D">
        <w:rPr>
          <w:rFonts w:ascii="Verdana" w:hAnsi="Verdana" w:cs="Verdana"/>
          <w:sz w:val="20"/>
          <w:szCs w:val="20"/>
          <w:lang w:val="es-ES_tradnl"/>
        </w:rPr>
        <w:t xml:space="preserve"> de junio de 2020</w:t>
      </w:r>
      <w:r w:rsidR="00394F33" w:rsidRPr="0005044D">
        <w:rPr>
          <w:rFonts w:ascii="Verdana" w:hAnsi="Verdana" w:cs="Verdana"/>
          <w:color w:val="000000"/>
          <w:sz w:val="20"/>
          <w:szCs w:val="20"/>
          <w:lang w:val="es-ES_tradnl"/>
        </w:rPr>
        <w:t>, mediante l</w:t>
      </w:r>
      <w:r w:rsidR="007E0161" w:rsidRPr="0005044D">
        <w:rPr>
          <w:rFonts w:ascii="Verdana" w:hAnsi="Verdana" w:cs="Verdana"/>
          <w:color w:val="000000"/>
          <w:sz w:val="20"/>
          <w:szCs w:val="20"/>
          <w:lang w:val="es-ES_tradnl"/>
        </w:rPr>
        <w:t>a</w:t>
      </w:r>
      <w:r w:rsidR="00394F33" w:rsidRPr="0005044D">
        <w:rPr>
          <w:rFonts w:ascii="Verdana" w:hAnsi="Verdana" w:cs="Verdana"/>
          <w:color w:val="000000"/>
          <w:sz w:val="20"/>
          <w:szCs w:val="20"/>
          <w:lang w:val="es-ES_tradnl"/>
        </w:rPr>
        <w:t xml:space="preserve">s cuales </w:t>
      </w:r>
      <w:r w:rsidR="00153ADF" w:rsidRPr="0005044D">
        <w:rPr>
          <w:rFonts w:ascii="Verdana" w:hAnsi="Verdana" w:cs="Verdana"/>
          <w:color w:val="000000"/>
          <w:sz w:val="20"/>
          <w:szCs w:val="20"/>
          <w:lang w:val="es-ES_tradnl"/>
        </w:rPr>
        <w:t>remitió</w:t>
      </w:r>
      <w:r w:rsidR="00781F08" w:rsidRPr="0005044D">
        <w:rPr>
          <w:rFonts w:ascii="Verdana" w:hAnsi="Verdana" w:cs="Verdana"/>
          <w:color w:val="000000"/>
          <w:sz w:val="20"/>
          <w:szCs w:val="20"/>
          <w:lang w:val="es-ES_tradnl"/>
        </w:rPr>
        <w:t xml:space="preserve"> sus observaciones a la información </w:t>
      </w:r>
      <w:r w:rsidR="00153ADF" w:rsidRPr="0005044D">
        <w:rPr>
          <w:rFonts w:ascii="Verdana" w:hAnsi="Verdana" w:cs="Verdana"/>
          <w:color w:val="000000"/>
          <w:sz w:val="20"/>
          <w:szCs w:val="20"/>
          <w:lang w:val="es-ES_tradnl"/>
        </w:rPr>
        <w:t>proporcionada</w:t>
      </w:r>
      <w:r w:rsidR="00781F08" w:rsidRPr="0005044D">
        <w:rPr>
          <w:rFonts w:ascii="Verdana" w:hAnsi="Verdana" w:cs="Verdana"/>
          <w:color w:val="000000"/>
          <w:sz w:val="20"/>
          <w:szCs w:val="20"/>
          <w:lang w:val="es-ES_tradnl"/>
        </w:rPr>
        <w:t xml:space="preserve"> por el Estado y</w:t>
      </w:r>
      <w:r w:rsidR="007E0161" w:rsidRPr="0005044D">
        <w:rPr>
          <w:rFonts w:ascii="Verdana" w:hAnsi="Verdana" w:cs="Verdana"/>
          <w:color w:val="000000"/>
          <w:sz w:val="20"/>
          <w:szCs w:val="20"/>
          <w:lang w:val="es-ES_tradnl"/>
        </w:rPr>
        <w:t xml:space="preserve"> a las observaciones de</w:t>
      </w:r>
      <w:r w:rsidR="00781F08" w:rsidRPr="0005044D">
        <w:rPr>
          <w:rFonts w:ascii="Verdana" w:hAnsi="Verdana" w:cs="Verdana"/>
          <w:color w:val="000000"/>
          <w:sz w:val="20"/>
          <w:szCs w:val="20"/>
          <w:lang w:val="es-ES_tradnl"/>
        </w:rPr>
        <w:t xml:space="preserve"> los representantes (</w:t>
      </w:r>
      <w:r w:rsidR="00781F08" w:rsidRPr="0005044D">
        <w:rPr>
          <w:rFonts w:ascii="Verdana" w:hAnsi="Verdana" w:cs="Verdana"/>
          <w:i/>
          <w:iCs/>
          <w:color w:val="000000"/>
          <w:sz w:val="20"/>
          <w:szCs w:val="20"/>
          <w:lang w:val="es-ES_tradnl"/>
        </w:rPr>
        <w:t xml:space="preserve">supra </w:t>
      </w:r>
      <w:r w:rsidR="00781F08" w:rsidRPr="0005044D">
        <w:rPr>
          <w:rFonts w:ascii="Verdana" w:hAnsi="Verdana" w:cs="Verdana"/>
          <w:color w:val="000000"/>
          <w:sz w:val="20"/>
          <w:szCs w:val="20"/>
          <w:lang w:val="es-ES_tradnl"/>
        </w:rPr>
        <w:t>Vistos 2 y 3).</w:t>
      </w:r>
    </w:p>
    <w:bookmarkEnd w:id="0"/>
    <w:p w14:paraId="31E1EB4A" w14:textId="77777777" w:rsidR="00D41C04" w:rsidRPr="0005044D" w:rsidRDefault="00D41C04" w:rsidP="0031312F">
      <w:pPr>
        <w:spacing w:after="0" w:line="240" w:lineRule="auto"/>
        <w:contextualSpacing/>
        <w:jc w:val="both"/>
        <w:rPr>
          <w:rFonts w:ascii="Verdana" w:hAnsi="Verdana"/>
          <w:sz w:val="20"/>
          <w:szCs w:val="20"/>
          <w:lang w:val="es-ES_tradnl"/>
        </w:rPr>
      </w:pPr>
    </w:p>
    <w:p w14:paraId="4655CC1D" w14:textId="2608B19F" w:rsidR="009C313B" w:rsidRPr="0005044D" w:rsidRDefault="00394F33" w:rsidP="0031312F">
      <w:pPr>
        <w:numPr>
          <w:ilvl w:val="0"/>
          <w:numId w:val="1"/>
        </w:numPr>
        <w:spacing w:after="0" w:line="240" w:lineRule="auto"/>
        <w:contextualSpacing/>
        <w:jc w:val="both"/>
        <w:rPr>
          <w:rFonts w:ascii="Verdana" w:hAnsi="Verdana"/>
          <w:sz w:val="20"/>
          <w:szCs w:val="20"/>
          <w:lang w:val="es-ES_tradnl"/>
        </w:rPr>
      </w:pPr>
      <w:r w:rsidRPr="0005044D">
        <w:rPr>
          <w:rFonts w:ascii="Verdana" w:hAnsi="Verdana"/>
          <w:sz w:val="20"/>
          <w:szCs w:val="20"/>
          <w:lang w:val="es-ES_tradnl"/>
        </w:rPr>
        <w:t>La</w:t>
      </w:r>
      <w:r w:rsidR="00347616" w:rsidRPr="0005044D">
        <w:rPr>
          <w:rFonts w:ascii="Verdana" w:hAnsi="Verdana"/>
          <w:sz w:val="20"/>
          <w:szCs w:val="20"/>
          <w:lang w:val="es-ES_tradnl"/>
        </w:rPr>
        <w:t>s notas</w:t>
      </w:r>
      <w:r w:rsidRPr="0005044D">
        <w:rPr>
          <w:rFonts w:ascii="Verdana" w:hAnsi="Verdana"/>
          <w:sz w:val="20"/>
          <w:szCs w:val="20"/>
          <w:lang w:val="es-ES_tradnl"/>
        </w:rPr>
        <w:t xml:space="preserve"> de la </w:t>
      </w:r>
      <w:r w:rsidR="009C313B" w:rsidRPr="0005044D">
        <w:rPr>
          <w:rFonts w:ascii="Verdana" w:hAnsi="Verdana"/>
          <w:sz w:val="20"/>
          <w:szCs w:val="20"/>
          <w:lang w:val="es-ES_tradnl"/>
        </w:rPr>
        <w:t>Secretaría</w:t>
      </w:r>
      <w:r w:rsidR="001831C4" w:rsidRPr="0005044D">
        <w:rPr>
          <w:rFonts w:ascii="Verdana" w:hAnsi="Verdana"/>
          <w:sz w:val="20"/>
          <w:szCs w:val="20"/>
          <w:lang w:val="es-ES_tradnl"/>
        </w:rPr>
        <w:t xml:space="preserve"> de la Corte (en adelante</w:t>
      </w:r>
      <w:r w:rsidR="00153ADF" w:rsidRPr="0005044D">
        <w:rPr>
          <w:rFonts w:ascii="Verdana" w:hAnsi="Verdana"/>
          <w:sz w:val="20"/>
          <w:szCs w:val="20"/>
          <w:lang w:val="es-ES_tradnl"/>
        </w:rPr>
        <w:t xml:space="preserve"> también</w:t>
      </w:r>
      <w:r w:rsidR="001831C4" w:rsidRPr="0005044D">
        <w:rPr>
          <w:rFonts w:ascii="Verdana" w:hAnsi="Verdana"/>
          <w:sz w:val="20"/>
          <w:szCs w:val="20"/>
          <w:lang w:val="es-ES_tradnl"/>
        </w:rPr>
        <w:t xml:space="preserve"> “la Secretaría”)</w:t>
      </w:r>
      <w:r w:rsidRPr="0005044D">
        <w:rPr>
          <w:rFonts w:ascii="Verdana" w:hAnsi="Verdana"/>
          <w:sz w:val="20"/>
          <w:szCs w:val="20"/>
          <w:lang w:val="es-ES_tradnl"/>
        </w:rPr>
        <w:t xml:space="preserve"> de 4 de julio de 2017</w:t>
      </w:r>
      <w:r w:rsidR="00712561" w:rsidRPr="0005044D">
        <w:rPr>
          <w:rFonts w:ascii="Verdana" w:hAnsi="Verdana"/>
          <w:sz w:val="20"/>
          <w:szCs w:val="20"/>
          <w:lang w:val="es-ES_tradnl"/>
        </w:rPr>
        <w:t>,</w:t>
      </w:r>
      <w:r w:rsidR="009C313B" w:rsidRPr="0005044D">
        <w:rPr>
          <w:rFonts w:ascii="Verdana" w:hAnsi="Verdana"/>
          <w:sz w:val="20"/>
          <w:szCs w:val="20"/>
          <w:lang w:val="es-ES_tradnl"/>
        </w:rPr>
        <w:t xml:space="preserve"> 9 de abril</w:t>
      </w:r>
      <w:r w:rsidR="00712561" w:rsidRPr="0005044D">
        <w:rPr>
          <w:rFonts w:ascii="Verdana" w:hAnsi="Verdana"/>
          <w:sz w:val="20"/>
          <w:szCs w:val="20"/>
          <w:lang w:val="es-ES_tradnl"/>
        </w:rPr>
        <w:t xml:space="preserve"> y 3 de diciembre</w:t>
      </w:r>
      <w:r w:rsidR="009C313B" w:rsidRPr="0005044D">
        <w:rPr>
          <w:rFonts w:ascii="Verdana" w:hAnsi="Verdana"/>
          <w:sz w:val="20"/>
          <w:szCs w:val="20"/>
          <w:lang w:val="es-ES_tradnl"/>
        </w:rPr>
        <w:t xml:space="preserve"> de 2018</w:t>
      </w:r>
      <w:r w:rsidRPr="0005044D">
        <w:rPr>
          <w:rFonts w:ascii="Verdana" w:hAnsi="Verdana"/>
          <w:sz w:val="20"/>
          <w:szCs w:val="20"/>
          <w:lang w:val="es-ES_tradnl"/>
        </w:rPr>
        <w:t xml:space="preserve">, </w:t>
      </w:r>
      <w:r w:rsidR="005F07A7" w:rsidRPr="0005044D">
        <w:rPr>
          <w:rFonts w:ascii="Verdana" w:hAnsi="Verdana"/>
          <w:sz w:val="20"/>
          <w:szCs w:val="20"/>
          <w:lang w:val="es-ES_tradnl"/>
        </w:rPr>
        <w:t xml:space="preserve">así como las </w:t>
      </w:r>
      <w:r w:rsidR="005F07A7" w:rsidRPr="0005044D">
        <w:rPr>
          <w:rFonts w:ascii="Verdana" w:hAnsi="Verdana"/>
          <w:sz w:val="20"/>
          <w:lang w:val="es-AR"/>
        </w:rPr>
        <w:t xml:space="preserve">de 24 de julio y 3 de diciembre de 2018, y 22 de febrero de 2019, </w:t>
      </w:r>
      <w:r w:rsidRPr="0005044D">
        <w:rPr>
          <w:rFonts w:ascii="Verdana" w:hAnsi="Verdana"/>
          <w:sz w:val="20"/>
          <w:szCs w:val="20"/>
          <w:lang w:val="es-ES_tradnl"/>
        </w:rPr>
        <w:t>mediante la</w:t>
      </w:r>
      <w:r w:rsidR="009C313B" w:rsidRPr="0005044D">
        <w:rPr>
          <w:rFonts w:ascii="Verdana" w:hAnsi="Verdana"/>
          <w:sz w:val="20"/>
          <w:szCs w:val="20"/>
          <w:lang w:val="es-ES_tradnl"/>
        </w:rPr>
        <w:t>s</w:t>
      </w:r>
      <w:r w:rsidRPr="0005044D">
        <w:rPr>
          <w:rFonts w:ascii="Verdana" w:hAnsi="Verdana"/>
          <w:sz w:val="20"/>
          <w:szCs w:val="20"/>
          <w:lang w:val="es-ES_tradnl"/>
        </w:rPr>
        <w:t xml:space="preserve"> cual</w:t>
      </w:r>
      <w:r w:rsidR="009C313B" w:rsidRPr="0005044D">
        <w:rPr>
          <w:rFonts w:ascii="Verdana" w:hAnsi="Verdana"/>
          <w:sz w:val="20"/>
          <w:szCs w:val="20"/>
          <w:lang w:val="es-ES_tradnl"/>
        </w:rPr>
        <w:t xml:space="preserve">es, </w:t>
      </w:r>
      <w:r w:rsidR="00247765" w:rsidRPr="0005044D">
        <w:rPr>
          <w:rFonts w:ascii="Verdana" w:hAnsi="Verdana"/>
          <w:sz w:val="20"/>
          <w:szCs w:val="20"/>
          <w:lang w:val="es-ES_tradnl"/>
        </w:rPr>
        <w:t>con</w:t>
      </w:r>
      <w:r w:rsidR="009C313B" w:rsidRPr="0005044D">
        <w:rPr>
          <w:rFonts w:ascii="Verdana" w:hAnsi="Verdana"/>
          <w:sz w:val="20"/>
          <w:szCs w:val="20"/>
          <w:lang w:val="es-ES_tradnl"/>
        </w:rPr>
        <w:t xml:space="preserve"> instrucciones de la Presidencia de</w:t>
      </w:r>
      <w:r w:rsidR="00015C8B" w:rsidRPr="0005044D">
        <w:rPr>
          <w:rFonts w:ascii="Verdana" w:hAnsi="Verdana"/>
          <w:sz w:val="20"/>
          <w:szCs w:val="20"/>
          <w:lang w:val="es-ES_tradnl"/>
        </w:rPr>
        <w:t>l Tribunal</w:t>
      </w:r>
      <w:r w:rsidR="009C313B" w:rsidRPr="0005044D">
        <w:rPr>
          <w:rFonts w:ascii="Verdana" w:hAnsi="Verdana"/>
          <w:sz w:val="20"/>
          <w:szCs w:val="20"/>
          <w:lang w:val="es-ES_tradnl"/>
        </w:rPr>
        <w:t>,</w:t>
      </w:r>
      <w:r w:rsidRPr="0005044D">
        <w:rPr>
          <w:rFonts w:ascii="Verdana" w:hAnsi="Verdana"/>
          <w:sz w:val="20"/>
          <w:szCs w:val="20"/>
          <w:lang w:val="es-ES_tradnl"/>
        </w:rPr>
        <w:t xml:space="preserve"> </w:t>
      </w:r>
      <w:r w:rsidR="00015C8B" w:rsidRPr="0005044D">
        <w:rPr>
          <w:rFonts w:ascii="Verdana" w:hAnsi="Verdana"/>
          <w:sz w:val="20"/>
          <w:szCs w:val="20"/>
          <w:lang w:val="es-ES_tradnl"/>
        </w:rPr>
        <w:t xml:space="preserve">se </w:t>
      </w:r>
      <w:r w:rsidR="009C313B" w:rsidRPr="0005044D">
        <w:rPr>
          <w:rFonts w:ascii="Verdana" w:hAnsi="Verdana"/>
          <w:sz w:val="20"/>
          <w:szCs w:val="20"/>
          <w:lang w:val="es-ES_tradnl"/>
        </w:rPr>
        <w:t>solicitó</w:t>
      </w:r>
      <w:r w:rsidRPr="0005044D">
        <w:rPr>
          <w:rFonts w:ascii="Verdana" w:hAnsi="Verdana"/>
          <w:sz w:val="20"/>
          <w:szCs w:val="20"/>
          <w:lang w:val="es-ES_tradnl"/>
        </w:rPr>
        <w:t xml:space="preserve"> </w:t>
      </w:r>
      <w:r w:rsidR="005F07A7" w:rsidRPr="0005044D">
        <w:rPr>
          <w:rFonts w:ascii="Verdana" w:hAnsi="Verdana"/>
          <w:sz w:val="20"/>
          <w:szCs w:val="20"/>
          <w:lang w:val="es-ES_tradnl"/>
        </w:rPr>
        <w:t xml:space="preserve">respectivamente </w:t>
      </w:r>
      <w:r w:rsidRPr="0005044D">
        <w:rPr>
          <w:rFonts w:ascii="Verdana" w:hAnsi="Verdana"/>
          <w:sz w:val="20"/>
          <w:szCs w:val="20"/>
          <w:lang w:val="es-ES_tradnl"/>
        </w:rPr>
        <w:t xml:space="preserve">a la Comisión </w:t>
      </w:r>
      <w:r w:rsidR="005F07A7" w:rsidRPr="0005044D">
        <w:rPr>
          <w:rFonts w:ascii="Verdana" w:hAnsi="Verdana"/>
          <w:sz w:val="20"/>
          <w:szCs w:val="20"/>
          <w:lang w:val="es-ES_tradnl"/>
        </w:rPr>
        <w:t xml:space="preserve">y </w:t>
      </w:r>
      <w:r w:rsidR="005F07A7" w:rsidRPr="0005044D">
        <w:rPr>
          <w:rFonts w:ascii="Verdana" w:hAnsi="Verdana"/>
          <w:sz w:val="20"/>
          <w:lang w:val="es-AR"/>
        </w:rPr>
        <w:t xml:space="preserve">al Estado </w:t>
      </w:r>
      <w:r w:rsidRPr="0005044D">
        <w:rPr>
          <w:rFonts w:ascii="Verdana" w:hAnsi="Verdana"/>
          <w:sz w:val="20"/>
          <w:szCs w:val="20"/>
          <w:lang w:val="es-ES_tradnl"/>
        </w:rPr>
        <w:t>que</w:t>
      </w:r>
      <w:r w:rsidR="009C313B" w:rsidRPr="0005044D">
        <w:rPr>
          <w:rFonts w:ascii="Verdana" w:hAnsi="Verdana"/>
          <w:sz w:val="20"/>
          <w:szCs w:val="20"/>
          <w:lang w:val="es-ES_tradnl"/>
        </w:rPr>
        <w:t xml:space="preserve"> remitiera</w:t>
      </w:r>
      <w:r w:rsidR="005F07A7" w:rsidRPr="0005044D">
        <w:rPr>
          <w:rFonts w:ascii="Verdana" w:hAnsi="Verdana"/>
          <w:sz w:val="20"/>
          <w:szCs w:val="20"/>
          <w:lang w:val="es-ES_tradnl"/>
        </w:rPr>
        <w:t>n</w:t>
      </w:r>
      <w:r w:rsidR="009C313B" w:rsidRPr="0005044D">
        <w:rPr>
          <w:rFonts w:ascii="Verdana" w:hAnsi="Verdana"/>
          <w:sz w:val="20"/>
          <w:szCs w:val="20"/>
          <w:lang w:val="es-ES_tradnl"/>
        </w:rPr>
        <w:t xml:space="preserve"> a la brevedad posible sus observaciones</w:t>
      </w:r>
      <w:r w:rsidR="005F07A7" w:rsidRPr="0005044D">
        <w:rPr>
          <w:rFonts w:ascii="Verdana" w:hAnsi="Verdana"/>
          <w:sz w:val="20"/>
          <w:szCs w:val="20"/>
          <w:lang w:val="es-ES_tradnl"/>
        </w:rPr>
        <w:t xml:space="preserve"> y </w:t>
      </w:r>
      <w:r w:rsidR="005F07A7" w:rsidRPr="0005044D">
        <w:rPr>
          <w:rFonts w:ascii="Verdana" w:hAnsi="Verdana"/>
          <w:sz w:val="20"/>
          <w:lang w:val="es-AR"/>
        </w:rPr>
        <w:t>los informes trimestrales</w:t>
      </w:r>
      <w:r w:rsidR="009C313B" w:rsidRPr="0005044D">
        <w:rPr>
          <w:rFonts w:ascii="Verdana" w:hAnsi="Verdana"/>
          <w:sz w:val="20"/>
          <w:szCs w:val="20"/>
          <w:lang w:val="es-ES_tradnl"/>
        </w:rPr>
        <w:t>, en virtud de haber vencido los plazos correspondientes para su presentació</w:t>
      </w:r>
      <w:r w:rsidR="005F07A7" w:rsidRPr="0005044D">
        <w:rPr>
          <w:rFonts w:ascii="Verdana" w:hAnsi="Verdana"/>
          <w:sz w:val="20"/>
          <w:szCs w:val="20"/>
          <w:lang w:val="es-ES_tradnl"/>
        </w:rPr>
        <w:t>n</w:t>
      </w:r>
      <w:r w:rsidR="009C313B" w:rsidRPr="0005044D">
        <w:rPr>
          <w:rFonts w:ascii="Verdana" w:hAnsi="Verdana"/>
          <w:sz w:val="20"/>
          <w:szCs w:val="20"/>
          <w:lang w:val="es-ES_tradnl"/>
        </w:rPr>
        <w:t>.</w:t>
      </w:r>
    </w:p>
    <w:p w14:paraId="044AE1C8" w14:textId="77777777" w:rsidR="00BB6CAD" w:rsidRPr="0005044D" w:rsidRDefault="00BB6CAD" w:rsidP="00BB6CAD">
      <w:pPr>
        <w:spacing w:after="0" w:line="240" w:lineRule="auto"/>
        <w:contextualSpacing/>
        <w:jc w:val="both"/>
        <w:rPr>
          <w:rFonts w:ascii="Verdana" w:hAnsi="Verdana"/>
          <w:sz w:val="20"/>
          <w:szCs w:val="20"/>
          <w:lang w:val="es-ES_tradnl"/>
        </w:rPr>
      </w:pPr>
    </w:p>
    <w:p w14:paraId="0C02898C" w14:textId="7A5BF88A" w:rsidR="00153ADF" w:rsidRPr="0005044D" w:rsidRDefault="00BD2F2F" w:rsidP="00153ADF">
      <w:pPr>
        <w:numPr>
          <w:ilvl w:val="0"/>
          <w:numId w:val="1"/>
        </w:numPr>
        <w:spacing w:after="0" w:line="240" w:lineRule="auto"/>
        <w:contextualSpacing/>
        <w:jc w:val="both"/>
        <w:rPr>
          <w:rFonts w:ascii="Verdana" w:hAnsi="Verdana"/>
          <w:sz w:val="20"/>
          <w:szCs w:val="20"/>
          <w:lang w:val="es-ES_tradnl"/>
        </w:rPr>
      </w:pPr>
      <w:r w:rsidRPr="0005044D">
        <w:rPr>
          <w:rFonts w:ascii="Verdana" w:hAnsi="Verdana"/>
          <w:sz w:val="20"/>
          <w:lang w:val="es-AR"/>
        </w:rPr>
        <w:t>La solicitud formulada</w:t>
      </w:r>
      <w:r w:rsidR="00C467CB" w:rsidRPr="0005044D">
        <w:rPr>
          <w:rFonts w:ascii="Verdana" w:hAnsi="Verdana"/>
          <w:sz w:val="20"/>
          <w:lang w:val="es-AR"/>
        </w:rPr>
        <w:t xml:space="preserve"> en reiteradas oportunidades</w:t>
      </w:r>
      <w:r w:rsidRPr="0005044D">
        <w:rPr>
          <w:rFonts w:ascii="Verdana" w:hAnsi="Verdana"/>
          <w:sz w:val="20"/>
          <w:lang w:val="es-AR"/>
        </w:rPr>
        <w:t xml:space="preserve"> por los representantes </w:t>
      </w:r>
      <w:r w:rsidR="00A90955" w:rsidRPr="0005044D">
        <w:rPr>
          <w:rFonts w:ascii="Verdana" w:hAnsi="Verdana" w:cs="Verdana"/>
          <w:color w:val="000000"/>
          <w:sz w:val="20"/>
          <w:szCs w:val="20"/>
          <w:lang w:val="es-ES_tradnl"/>
        </w:rPr>
        <w:t xml:space="preserve">a la Corte para que convocara “a una audiencia pública para realizar una supervisión directa sobre el grado de cumplimiento de las presentes medidas”, </w:t>
      </w:r>
      <w:r w:rsidR="00463D8A" w:rsidRPr="0005044D">
        <w:rPr>
          <w:rFonts w:ascii="Verdana" w:hAnsi="Verdana" w:cs="Arial"/>
          <w:sz w:val="20"/>
          <w:lang w:val="es-AR"/>
        </w:rPr>
        <w:t>en razón</w:t>
      </w:r>
      <w:r w:rsidR="00BB6CAD" w:rsidRPr="0005044D">
        <w:rPr>
          <w:rFonts w:ascii="Verdana" w:hAnsi="Verdana" w:cs="Arial"/>
          <w:sz w:val="20"/>
          <w:lang w:val="es-AR"/>
        </w:rPr>
        <w:t xml:space="preserve"> </w:t>
      </w:r>
      <w:r w:rsidR="00463D8A" w:rsidRPr="0005044D">
        <w:rPr>
          <w:rFonts w:ascii="Verdana" w:hAnsi="Verdana" w:cs="Arial"/>
          <w:sz w:val="20"/>
          <w:lang w:val="es-AR"/>
        </w:rPr>
        <w:t>d</w:t>
      </w:r>
      <w:r w:rsidR="00BB6CAD" w:rsidRPr="0005044D">
        <w:rPr>
          <w:rFonts w:ascii="Verdana" w:hAnsi="Verdana" w:cs="Arial"/>
          <w:sz w:val="20"/>
          <w:lang w:val="es-AR"/>
        </w:rPr>
        <w:t xml:space="preserve">el tiempo transcurrido desde la adopción de las medidas, el </w:t>
      </w:r>
      <w:r w:rsidR="00463D8A" w:rsidRPr="0005044D">
        <w:rPr>
          <w:rFonts w:ascii="Verdana" w:hAnsi="Verdana" w:cs="Arial"/>
          <w:sz w:val="20"/>
          <w:lang w:val="es-AR"/>
        </w:rPr>
        <w:t xml:space="preserve">alegado </w:t>
      </w:r>
      <w:r w:rsidR="00BB6CAD" w:rsidRPr="0005044D">
        <w:rPr>
          <w:rFonts w:ascii="Verdana" w:hAnsi="Verdana" w:cs="Arial"/>
          <w:sz w:val="20"/>
          <w:lang w:val="es-AR"/>
        </w:rPr>
        <w:t>incumplimiento</w:t>
      </w:r>
      <w:r w:rsidR="00463D8A" w:rsidRPr="0005044D">
        <w:rPr>
          <w:rFonts w:ascii="Verdana" w:hAnsi="Verdana" w:cs="Arial"/>
          <w:sz w:val="20"/>
          <w:lang w:val="es-AR"/>
        </w:rPr>
        <w:t xml:space="preserve"> de los acuerdos alcanzados </w:t>
      </w:r>
      <w:r w:rsidR="00D57AB3" w:rsidRPr="0005044D">
        <w:rPr>
          <w:rFonts w:ascii="Verdana" w:hAnsi="Verdana" w:cs="Arial"/>
          <w:sz w:val="20"/>
          <w:lang w:val="es-AR"/>
        </w:rPr>
        <w:t xml:space="preserve">y la falta de </w:t>
      </w:r>
      <w:r w:rsidR="00463D8A" w:rsidRPr="0005044D">
        <w:rPr>
          <w:rFonts w:ascii="Verdana" w:hAnsi="Verdana" w:cs="Arial"/>
          <w:sz w:val="20"/>
          <w:lang w:val="es-AR"/>
        </w:rPr>
        <w:t>ejecución de cualquier acción encaminada a garantizar la vida e integridad de los beneficiarios</w:t>
      </w:r>
      <w:r w:rsidR="00BB6CAD" w:rsidRPr="0005044D">
        <w:rPr>
          <w:rFonts w:ascii="Verdana" w:hAnsi="Verdana" w:cs="Arial"/>
          <w:sz w:val="20"/>
          <w:lang w:val="es-AR"/>
        </w:rPr>
        <w:t xml:space="preserve">, </w:t>
      </w:r>
      <w:r w:rsidR="00463D8A" w:rsidRPr="0005044D">
        <w:rPr>
          <w:rFonts w:ascii="Verdana" w:hAnsi="Verdana" w:cs="Arial"/>
          <w:sz w:val="20"/>
          <w:lang w:val="es-AR"/>
        </w:rPr>
        <w:t xml:space="preserve">así como </w:t>
      </w:r>
      <w:r w:rsidR="00BB6CAD" w:rsidRPr="0005044D">
        <w:rPr>
          <w:rFonts w:ascii="Verdana" w:hAnsi="Verdana" w:cs="Arial"/>
          <w:sz w:val="20"/>
          <w:lang w:val="es-AR"/>
        </w:rPr>
        <w:t>la situación persistente de extrema gravedad y urgencia en la que se encontrarían los beneficiarios.</w:t>
      </w:r>
    </w:p>
    <w:p w14:paraId="5A9D96CC" w14:textId="44487BAF" w:rsidR="00240250" w:rsidRPr="0005044D" w:rsidRDefault="00240250" w:rsidP="0031312F">
      <w:pPr>
        <w:spacing w:after="0" w:line="240" w:lineRule="auto"/>
        <w:contextualSpacing/>
        <w:jc w:val="both"/>
        <w:rPr>
          <w:rFonts w:ascii="Verdana" w:hAnsi="Verdana"/>
          <w:sz w:val="20"/>
          <w:szCs w:val="20"/>
          <w:lang w:val="es-ES_tradnl"/>
        </w:rPr>
      </w:pPr>
    </w:p>
    <w:p w14:paraId="15D7CBA8" w14:textId="476F6C7C" w:rsidR="00DB2011" w:rsidRPr="0005044D" w:rsidRDefault="00DB2011" w:rsidP="00241BE7">
      <w:pPr>
        <w:numPr>
          <w:ilvl w:val="0"/>
          <w:numId w:val="1"/>
        </w:numPr>
        <w:spacing w:after="0" w:line="240" w:lineRule="auto"/>
        <w:contextualSpacing/>
        <w:jc w:val="both"/>
        <w:rPr>
          <w:rFonts w:ascii="Verdana" w:hAnsi="Verdana"/>
          <w:sz w:val="20"/>
          <w:lang w:val="es-AR"/>
        </w:rPr>
      </w:pPr>
      <w:r w:rsidRPr="0005044D">
        <w:rPr>
          <w:rFonts w:ascii="Verdana" w:hAnsi="Verdana"/>
          <w:sz w:val="20"/>
          <w:lang w:val="es-AR"/>
        </w:rPr>
        <w:t xml:space="preserve">Las observaciones del Estado </w:t>
      </w:r>
      <w:r w:rsidR="00241BE7" w:rsidRPr="0005044D">
        <w:rPr>
          <w:rFonts w:ascii="Verdana" w:hAnsi="Verdana"/>
          <w:sz w:val="20"/>
          <w:lang w:val="es-AR"/>
        </w:rPr>
        <w:t xml:space="preserve">presentadas mediante escritos de 24 de abril y 19 de julio de 2019, respecto de la solicitud de los representantes de que se convocara a una audiencia pública, oportunidades en las que pidió que no </w:t>
      </w:r>
      <w:r w:rsidRPr="0005044D">
        <w:rPr>
          <w:rFonts w:ascii="Verdana" w:hAnsi="Verdana"/>
          <w:sz w:val="20"/>
          <w:lang w:val="es-AR"/>
        </w:rPr>
        <w:t>se accediera a</w:t>
      </w:r>
      <w:r w:rsidR="00241BE7" w:rsidRPr="0005044D">
        <w:rPr>
          <w:rFonts w:ascii="Verdana" w:hAnsi="Verdana"/>
          <w:sz w:val="20"/>
          <w:lang w:val="es-AR"/>
        </w:rPr>
        <w:t xml:space="preserve"> dicho</w:t>
      </w:r>
      <w:r w:rsidRPr="0005044D">
        <w:rPr>
          <w:rFonts w:ascii="Verdana" w:hAnsi="Verdana"/>
          <w:sz w:val="20"/>
          <w:lang w:val="es-AR"/>
        </w:rPr>
        <w:t xml:space="preserve"> requerimiento</w:t>
      </w:r>
      <w:r w:rsidR="00241BE7" w:rsidRPr="0005044D">
        <w:rPr>
          <w:rFonts w:ascii="Verdana" w:hAnsi="Verdana"/>
          <w:sz w:val="20"/>
          <w:lang w:val="es-AR"/>
        </w:rPr>
        <w:t xml:space="preserve"> </w:t>
      </w:r>
      <w:r w:rsidRPr="0005044D">
        <w:rPr>
          <w:rFonts w:ascii="Verdana" w:hAnsi="Verdana"/>
          <w:sz w:val="20"/>
          <w:lang w:val="es-AR"/>
        </w:rPr>
        <w:t xml:space="preserve">en virtud del compromiso expresado para dar </w:t>
      </w:r>
      <w:r w:rsidRPr="0005044D">
        <w:rPr>
          <w:rFonts w:ascii="Verdana" w:hAnsi="Verdana" w:cs="Arial"/>
          <w:sz w:val="20"/>
          <w:lang w:val="es-AR"/>
        </w:rPr>
        <w:t>cumplimiento</w:t>
      </w:r>
      <w:r w:rsidRPr="0005044D">
        <w:rPr>
          <w:rFonts w:ascii="Verdana" w:hAnsi="Verdana"/>
          <w:sz w:val="20"/>
          <w:lang w:val="es-AR"/>
        </w:rPr>
        <w:t xml:space="preserve"> a las medidas provisionales, el trabajo realizado para la elaboración del diagnóstico y los acuerdos celebrados con los representantes</w:t>
      </w:r>
      <w:r w:rsidR="00241BE7" w:rsidRPr="0005044D">
        <w:rPr>
          <w:rFonts w:ascii="Verdana" w:hAnsi="Verdana"/>
          <w:sz w:val="20"/>
          <w:lang w:val="es-AR"/>
        </w:rPr>
        <w:t xml:space="preserve">; por su parte, mediante comunicación de 27 de enero de 2020, el Estado </w:t>
      </w:r>
      <w:r w:rsidR="00241BE7" w:rsidRPr="0005044D">
        <w:rPr>
          <w:rFonts w:ascii="Verdana" w:hAnsi="Verdana"/>
          <w:sz w:val="20"/>
          <w:szCs w:val="20"/>
          <w:lang w:val="es-ES"/>
        </w:rPr>
        <w:t>requirió que dicha audiencia</w:t>
      </w:r>
      <w:r w:rsidRPr="0005044D">
        <w:rPr>
          <w:rFonts w:ascii="Verdana" w:hAnsi="Verdana"/>
          <w:sz w:val="20"/>
          <w:lang w:val="es-AR"/>
        </w:rPr>
        <w:t xml:space="preserve"> se realizara en formato de reunión de trabajo privada por “la sensibilidad de la información que pueda proporcionarse</w:t>
      </w:r>
      <w:r w:rsidRPr="0005044D">
        <w:rPr>
          <w:rFonts w:ascii="Verdana" w:hAnsi="Verdana" w:cs="Arial"/>
          <w:sz w:val="20"/>
          <w:lang w:val="es-AR"/>
        </w:rPr>
        <w:t>”.</w:t>
      </w:r>
    </w:p>
    <w:p w14:paraId="12ACB623" w14:textId="77777777" w:rsidR="00DB2011" w:rsidRPr="0005044D" w:rsidRDefault="00DB2011" w:rsidP="00DB2011">
      <w:pPr>
        <w:pStyle w:val="Prrafodelista"/>
        <w:rPr>
          <w:rFonts w:ascii="Verdana" w:hAnsi="Verdana"/>
          <w:sz w:val="20"/>
        </w:rPr>
      </w:pPr>
    </w:p>
    <w:p w14:paraId="06D428D9" w14:textId="144E18BE" w:rsidR="00DB2011" w:rsidRPr="0005044D" w:rsidRDefault="00DB2011" w:rsidP="00DB2011">
      <w:pPr>
        <w:numPr>
          <w:ilvl w:val="0"/>
          <w:numId w:val="1"/>
        </w:numPr>
        <w:spacing w:after="0" w:line="240" w:lineRule="auto"/>
        <w:contextualSpacing/>
        <w:jc w:val="both"/>
        <w:rPr>
          <w:rFonts w:ascii="Verdana" w:hAnsi="Verdana"/>
          <w:sz w:val="20"/>
          <w:lang w:val="es-AR"/>
        </w:rPr>
      </w:pPr>
      <w:r w:rsidRPr="0005044D">
        <w:rPr>
          <w:rFonts w:ascii="Verdana" w:hAnsi="Verdana"/>
          <w:sz w:val="20"/>
          <w:lang w:val="es-AR"/>
        </w:rPr>
        <w:t xml:space="preserve">La comunicación </w:t>
      </w:r>
      <w:r w:rsidR="00CD5991" w:rsidRPr="0005044D">
        <w:rPr>
          <w:rFonts w:ascii="Verdana" w:hAnsi="Verdana"/>
          <w:sz w:val="20"/>
          <w:lang w:val="es-AR"/>
        </w:rPr>
        <w:t>de la Comisión presentada el 1</w:t>
      </w:r>
      <w:r w:rsidRPr="0005044D">
        <w:rPr>
          <w:rFonts w:ascii="Verdana" w:hAnsi="Verdana"/>
          <w:sz w:val="20"/>
          <w:lang w:val="es-AR"/>
        </w:rPr>
        <w:t>7 de julio de 2019, mediante la cual señaló que la falta de información por parte del Estado acerca de las actuaciones realizadas para dar cumplimiento a las medidas provisionales y lo indicado por los representantes resultarían relevantes al momento de decidir convocar a una audiencia pública sobre el presente asunto.</w:t>
      </w:r>
    </w:p>
    <w:p w14:paraId="2BBDB261" w14:textId="77777777" w:rsidR="00DB2011" w:rsidRPr="0005044D" w:rsidRDefault="00DB2011" w:rsidP="0031312F">
      <w:pPr>
        <w:spacing w:after="0" w:line="240" w:lineRule="auto"/>
        <w:contextualSpacing/>
        <w:jc w:val="both"/>
        <w:rPr>
          <w:rFonts w:ascii="Verdana" w:hAnsi="Verdana"/>
          <w:sz w:val="20"/>
          <w:szCs w:val="20"/>
          <w:lang w:val="es-ES_tradnl"/>
        </w:rPr>
      </w:pPr>
    </w:p>
    <w:p w14:paraId="34D0B98D" w14:textId="77777777" w:rsidR="008B3081" w:rsidRPr="0005044D" w:rsidRDefault="008B3081" w:rsidP="0031312F">
      <w:pPr>
        <w:spacing w:after="0" w:line="240" w:lineRule="auto"/>
        <w:contextualSpacing/>
        <w:jc w:val="both"/>
        <w:rPr>
          <w:rFonts w:ascii="Verdana" w:hAnsi="Verdana"/>
          <w:sz w:val="20"/>
          <w:szCs w:val="20"/>
          <w:lang w:val="es-ES_tradnl"/>
        </w:rPr>
      </w:pPr>
    </w:p>
    <w:p w14:paraId="68977D4A" w14:textId="77777777" w:rsidR="00B609A8" w:rsidRPr="0005044D" w:rsidRDefault="00B609A8" w:rsidP="0031312F">
      <w:pPr>
        <w:pStyle w:val="Ttulo4"/>
        <w:spacing w:before="0" w:line="240" w:lineRule="auto"/>
        <w:contextualSpacing/>
        <w:jc w:val="both"/>
        <w:rPr>
          <w:rFonts w:ascii="Verdana" w:hAnsi="Verdana"/>
          <w:i w:val="0"/>
          <w:color w:val="auto"/>
          <w:sz w:val="20"/>
          <w:szCs w:val="20"/>
          <w:lang w:val="es-ES_tradnl"/>
        </w:rPr>
      </w:pPr>
      <w:r w:rsidRPr="0005044D">
        <w:rPr>
          <w:rFonts w:ascii="Verdana" w:hAnsi="Verdana"/>
          <w:i w:val="0"/>
          <w:color w:val="auto"/>
          <w:sz w:val="20"/>
          <w:szCs w:val="20"/>
          <w:lang w:val="es-ES_tradnl"/>
        </w:rPr>
        <w:t>C</w:t>
      </w:r>
      <w:r w:rsidRPr="0005044D">
        <w:rPr>
          <w:rFonts w:ascii="Verdana" w:hAnsi="Verdana"/>
          <w:i w:val="0"/>
          <w:caps/>
          <w:smallCaps/>
          <w:color w:val="auto"/>
          <w:sz w:val="20"/>
          <w:szCs w:val="20"/>
          <w:lang w:val="es-ES_tradnl"/>
        </w:rPr>
        <w:t>onsiderando que:</w:t>
      </w:r>
    </w:p>
    <w:p w14:paraId="16AE6EEE" w14:textId="77777777" w:rsidR="00B609A8" w:rsidRPr="0005044D" w:rsidRDefault="00B609A8" w:rsidP="0031312F">
      <w:pPr>
        <w:spacing w:after="0" w:line="240" w:lineRule="auto"/>
        <w:contextualSpacing/>
        <w:rPr>
          <w:rFonts w:ascii="Verdana" w:hAnsi="Verdana"/>
          <w:b/>
          <w:sz w:val="20"/>
          <w:szCs w:val="20"/>
          <w:lang w:val="es-ES_tradnl"/>
        </w:rPr>
      </w:pPr>
    </w:p>
    <w:p w14:paraId="6D94B340" w14:textId="6700FE2F" w:rsidR="002A3008" w:rsidRPr="0005044D" w:rsidRDefault="0031312F" w:rsidP="00C467CB">
      <w:pPr>
        <w:pStyle w:val="Prrafodelista"/>
        <w:numPr>
          <w:ilvl w:val="0"/>
          <w:numId w:val="7"/>
        </w:numPr>
        <w:ind w:left="0" w:right="22" w:hanging="11"/>
        <w:jc w:val="both"/>
        <w:rPr>
          <w:rFonts w:ascii="Verdana" w:hAnsi="Verdana"/>
          <w:sz w:val="20"/>
          <w:lang w:val="es-MX"/>
        </w:rPr>
      </w:pPr>
      <w:r w:rsidRPr="0005044D">
        <w:rPr>
          <w:rFonts w:ascii="Verdana" w:hAnsi="Verdana"/>
          <w:sz w:val="20"/>
        </w:rPr>
        <w:t>El artículo 63.2 de la Convención Americana dispone que “[e]n casos de extrema gravedad y urgencia, y cuando se haga necesario evitar daños irreparables a las personas, la Corte, en los asuntos que esté conociendo, podrá tomar las medidas provisionales que considere pertinentes. Si se tratare de asuntos que aún no estén sometidos a su conocimiento, podrá actuar a solicitud de la Comisión”</w:t>
      </w:r>
      <w:r w:rsidR="00BE0C8F" w:rsidRPr="0005044D">
        <w:rPr>
          <w:rFonts w:ascii="Verdana" w:hAnsi="Verdana"/>
          <w:sz w:val="20"/>
        </w:rPr>
        <w:t>.</w:t>
      </w:r>
      <w:r w:rsidR="002A3008" w:rsidRPr="0005044D">
        <w:rPr>
          <w:rFonts w:ascii="Verdana" w:hAnsi="Verdana"/>
          <w:sz w:val="20"/>
        </w:rPr>
        <w:t xml:space="preserve"> </w:t>
      </w:r>
      <w:r w:rsidR="002A3008" w:rsidRPr="0005044D">
        <w:rPr>
          <w:rFonts w:ascii="Verdana" w:hAnsi="Verdana"/>
          <w:sz w:val="20"/>
          <w:lang w:val="es-MX"/>
        </w:rPr>
        <w:t>Esta disposición está a su vez regulada en el artículo 27 del Reglamento de la Corte (en adelante</w:t>
      </w:r>
      <w:r w:rsidR="000353D7" w:rsidRPr="0005044D">
        <w:rPr>
          <w:rFonts w:ascii="Verdana" w:hAnsi="Verdana"/>
          <w:sz w:val="20"/>
          <w:lang w:val="es-MX"/>
        </w:rPr>
        <w:t xml:space="preserve"> también</w:t>
      </w:r>
      <w:r w:rsidR="002A3008" w:rsidRPr="0005044D">
        <w:rPr>
          <w:rFonts w:ascii="Verdana" w:hAnsi="Verdana"/>
          <w:sz w:val="20"/>
          <w:lang w:val="es-MX"/>
        </w:rPr>
        <w:t xml:space="preserve"> “el Reglamento”).</w:t>
      </w:r>
    </w:p>
    <w:p w14:paraId="7CAD9263" w14:textId="77777777" w:rsidR="002A3008" w:rsidRPr="0005044D" w:rsidRDefault="002A3008" w:rsidP="00C467CB">
      <w:pPr>
        <w:pStyle w:val="Prrafodelista"/>
        <w:ind w:left="0" w:right="22"/>
        <w:rPr>
          <w:rFonts w:ascii="Verdana" w:hAnsi="Verdana"/>
          <w:sz w:val="20"/>
          <w:lang w:val="es-MX"/>
        </w:rPr>
      </w:pPr>
    </w:p>
    <w:p w14:paraId="5B9BF8EE" w14:textId="4F569F32" w:rsidR="00CB4F26" w:rsidRPr="0005044D" w:rsidRDefault="002A3008" w:rsidP="00CB4F26">
      <w:pPr>
        <w:pStyle w:val="Prrafodelista"/>
        <w:numPr>
          <w:ilvl w:val="0"/>
          <w:numId w:val="7"/>
        </w:numPr>
        <w:ind w:left="0" w:right="22" w:hanging="11"/>
        <w:jc w:val="both"/>
        <w:rPr>
          <w:rFonts w:ascii="Verdana" w:hAnsi="Verdana"/>
          <w:sz w:val="20"/>
        </w:rPr>
      </w:pPr>
      <w:r w:rsidRPr="0005044D">
        <w:rPr>
          <w:rFonts w:ascii="Verdana" w:hAnsi="Verdana"/>
          <w:sz w:val="20"/>
          <w:lang w:val="es-MX"/>
        </w:rPr>
        <w:t>Las medidas provisionales tienen una naturaleza temporal y carácter excepcional y son dictadas siempre y cuando se reúnan los requisitos básicos de extrema gravedad, urgencia</w:t>
      </w:r>
      <w:r w:rsidR="00BC0E59" w:rsidRPr="0005044D">
        <w:rPr>
          <w:rFonts w:ascii="Verdana" w:hAnsi="Verdana"/>
          <w:sz w:val="20"/>
          <w:lang w:val="es-MX"/>
        </w:rPr>
        <w:t xml:space="preserve"> </w:t>
      </w:r>
      <w:r w:rsidRPr="0005044D">
        <w:rPr>
          <w:rFonts w:ascii="Verdana" w:hAnsi="Verdana"/>
          <w:sz w:val="20"/>
          <w:lang w:val="es-MX"/>
        </w:rPr>
        <w:t>y necesidad de evitar daños irreparables a las personas. Estos tres requisitos son coexistentes y deben persistir para que la Corte mantenga la protección ordenada; si uno de ellos ha dejado de tener vigencia, corresponderá al Tribunal valorar la pertinencia de su continuación</w:t>
      </w:r>
      <w:r w:rsidRPr="0005044D">
        <w:rPr>
          <w:rFonts w:ascii="Verdana" w:hAnsi="Verdana"/>
          <w:sz w:val="20"/>
          <w:vertAlign w:val="superscript"/>
          <w:lang w:val="es-MX"/>
        </w:rPr>
        <w:footnoteReference w:id="3"/>
      </w:r>
      <w:r w:rsidRPr="0005044D">
        <w:rPr>
          <w:rFonts w:ascii="Verdana" w:hAnsi="Verdana"/>
          <w:sz w:val="20"/>
          <w:lang w:val="es-MX"/>
        </w:rPr>
        <w:t xml:space="preserve">. Así, a efectos de decidir si se mantiene la vigencia de las medidas provisionales, el Tribunal debe </w:t>
      </w:r>
      <w:r w:rsidRPr="0005044D">
        <w:rPr>
          <w:rFonts w:ascii="Verdana" w:hAnsi="Verdana"/>
          <w:sz w:val="20"/>
          <w:lang w:val="es-MX"/>
        </w:rPr>
        <w:lastRenderedPageBreak/>
        <w:t>analizar si persiste la situación que determinó su adopción, o bien si nuevas circunstancias igualmente graves y urgentes ameritan su mantenimiento</w:t>
      </w:r>
      <w:r w:rsidRPr="0005044D">
        <w:rPr>
          <w:rFonts w:ascii="Verdana" w:hAnsi="Verdana"/>
          <w:sz w:val="20"/>
          <w:vertAlign w:val="superscript"/>
          <w:lang w:val="es-MX"/>
        </w:rPr>
        <w:footnoteReference w:id="4"/>
      </w:r>
      <w:r w:rsidRPr="0005044D">
        <w:rPr>
          <w:rFonts w:ascii="Verdana" w:hAnsi="Verdana"/>
          <w:sz w:val="20"/>
          <w:lang w:val="es-MX"/>
        </w:rPr>
        <w:t>.</w:t>
      </w:r>
    </w:p>
    <w:p w14:paraId="796157F0" w14:textId="77777777" w:rsidR="003A67FF" w:rsidRPr="0005044D" w:rsidRDefault="003A67FF" w:rsidP="003A67FF">
      <w:pPr>
        <w:pStyle w:val="Prrafodelista"/>
        <w:rPr>
          <w:rFonts w:ascii="Verdana" w:hAnsi="Verdana"/>
          <w:sz w:val="20"/>
        </w:rPr>
      </w:pPr>
    </w:p>
    <w:p w14:paraId="47BDA696" w14:textId="00E570C6" w:rsidR="00737381" w:rsidRPr="0005044D" w:rsidRDefault="0021322B" w:rsidP="00737381">
      <w:pPr>
        <w:pStyle w:val="Prrafodelista"/>
        <w:numPr>
          <w:ilvl w:val="0"/>
          <w:numId w:val="7"/>
        </w:numPr>
        <w:ind w:left="0" w:right="22" w:hanging="11"/>
        <w:jc w:val="both"/>
        <w:rPr>
          <w:rFonts w:ascii="Verdana" w:hAnsi="Verdana"/>
          <w:sz w:val="20"/>
        </w:rPr>
      </w:pPr>
      <w:r w:rsidRPr="0005044D">
        <w:rPr>
          <w:rFonts w:ascii="Verdana" w:hAnsi="Verdana"/>
          <w:sz w:val="20"/>
        </w:rPr>
        <w:t>La Corte recuerda que estas medidas se ordenaron en razón de que</w:t>
      </w:r>
      <w:r w:rsidRPr="0005044D">
        <w:rPr>
          <w:rFonts w:ascii="Verdana" w:hAnsi="Verdana"/>
          <w:sz w:val="20"/>
          <w:lang w:val="es-AR"/>
        </w:rPr>
        <w:t xml:space="preserve"> se presentaba una situación persistente de extrema gravedad y urgencia para la comunidad </w:t>
      </w:r>
      <w:r w:rsidR="000353D7" w:rsidRPr="0005044D">
        <w:rPr>
          <w:rFonts w:ascii="Verdana" w:hAnsi="Verdana"/>
          <w:sz w:val="20"/>
        </w:rPr>
        <w:t>de Choréachi</w:t>
      </w:r>
      <w:r w:rsidRPr="0005044D">
        <w:rPr>
          <w:rFonts w:ascii="Verdana" w:hAnsi="Verdana"/>
          <w:sz w:val="20"/>
          <w:lang w:val="es-AR"/>
        </w:rPr>
        <w:t>, a pesar de la adopción de medidas cautelares y de las acciones emprendidas por el Estado.</w:t>
      </w:r>
      <w:r w:rsidRPr="0005044D">
        <w:rPr>
          <w:rFonts w:ascii="Verdana" w:hAnsi="Verdana"/>
          <w:sz w:val="20"/>
        </w:rPr>
        <w:t xml:space="preserve"> La información </w:t>
      </w:r>
      <w:r w:rsidR="00C02462" w:rsidRPr="0005044D">
        <w:rPr>
          <w:rFonts w:ascii="Verdana" w:hAnsi="Verdana"/>
          <w:sz w:val="20"/>
        </w:rPr>
        <w:t>proporcionada</w:t>
      </w:r>
      <w:r w:rsidRPr="0005044D">
        <w:rPr>
          <w:rFonts w:ascii="Verdana" w:hAnsi="Verdana"/>
          <w:sz w:val="20"/>
        </w:rPr>
        <w:t xml:space="preserve"> indicaba que habían sucedido </w:t>
      </w:r>
      <w:r w:rsidRPr="0005044D">
        <w:rPr>
          <w:rFonts w:ascii="Verdana" w:hAnsi="Verdana"/>
          <w:sz w:val="20"/>
          <w:lang w:val="es-AR"/>
        </w:rPr>
        <w:t xml:space="preserve">diversos hechos, en particular, supuestos asesinatos, alegados graves hechos de agresiones, amenazas y hostigamientos, y con motivo de ello el abandono de algunos pobladores de la misma </w:t>
      </w:r>
      <w:r w:rsidR="00FF3EEE" w:rsidRPr="0005044D">
        <w:rPr>
          <w:rFonts w:ascii="Verdana" w:hAnsi="Verdana"/>
          <w:sz w:val="20"/>
          <w:lang w:val="es-AR"/>
        </w:rPr>
        <w:t>c</w:t>
      </w:r>
      <w:r w:rsidRPr="0005044D">
        <w:rPr>
          <w:rFonts w:ascii="Verdana" w:hAnsi="Verdana"/>
          <w:sz w:val="20"/>
          <w:lang w:val="es-AR"/>
        </w:rPr>
        <w:t>omunidad y el temor de retornar debido a los hechos acontecidos</w:t>
      </w:r>
      <w:r w:rsidR="00F93C73" w:rsidRPr="0005044D">
        <w:rPr>
          <w:rStyle w:val="Refdenotaalpie"/>
          <w:rFonts w:ascii="Verdana" w:hAnsi="Verdana"/>
          <w:sz w:val="20"/>
          <w:lang w:val="es-AR"/>
        </w:rPr>
        <w:footnoteReference w:id="5"/>
      </w:r>
      <w:r w:rsidR="00F93C73" w:rsidRPr="0005044D">
        <w:rPr>
          <w:rFonts w:ascii="Verdana" w:hAnsi="Verdana"/>
          <w:sz w:val="20"/>
          <w:lang w:val="es-AR"/>
        </w:rPr>
        <w:t>.</w:t>
      </w:r>
      <w:r w:rsidRPr="0005044D">
        <w:rPr>
          <w:rFonts w:ascii="Verdana" w:hAnsi="Verdana"/>
          <w:sz w:val="20"/>
          <w:lang w:val="es-AR"/>
        </w:rPr>
        <w:t xml:space="preserve"> </w:t>
      </w:r>
      <w:r w:rsidR="00A93CDE" w:rsidRPr="0005044D">
        <w:rPr>
          <w:rFonts w:ascii="Verdana" w:hAnsi="Verdana"/>
          <w:sz w:val="20"/>
        </w:rPr>
        <w:t>En virtud de haber</w:t>
      </w:r>
      <w:r w:rsidR="0031312F" w:rsidRPr="0005044D">
        <w:rPr>
          <w:rFonts w:ascii="Verdana" w:hAnsi="Verdana"/>
          <w:sz w:val="20"/>
        </w:rPr>
        <w:t xml:space="preserve"> transcurrido </w:t>
      </w:r>
      <w:r w:rsidR="00A93CDE" w:rsidRPr="0005044D">
        <w:rPr>
          <w:rFonts w:ascii="Verdana" w:hAnsi="Verdana"/>
          <w:sz w:val="20"/>
        </w:rPr>
        <w:t xml:space="preserve">más de tres años desde </w:t>
      </w:r>
      <w:r w:rsidR="00C467CB" w:rsidRPr="0005044D">
        <w:rPr>
          <w:rFonts w:ascii="Verdana" w:hAnsi="Verdana"/>
          <w:sz w:val="20"/>
        </w:rPr>
        <w:t>la adopción de las referidas</w:t>
      </w:r>
      <w:r w:rsidR="00260F6C" w:rsidRPr="0005044D">
        <w:rPr>
          <w:rFonts w:ascii="Verdana" w:hAnsi="Verdana"/>
          <w:sz w:val="20"/>
        </w:rPr>
        <w:t xml:space="preserve"> </w:t>
      </w:r>
      <w:r w:rsidR="0031312F" w:rsidRPr="0005044D">
        <w:rPr>
          <w:rFonts w:ascii="Verdana" w:hAnsi="Verdana"/>
          <w:sz w:val="20"/>
        </w:rPr>
        <w:t>medidas provisionales</w:t>
      </w:r>
      <w:r w:rsidR="00A93CDE" w:rsidRPr="0005044D">
        <w:rPr>
          <w:rFonts w:ascii="Verdana" w:hAnsi="Verdana"/>
          <w:sz w:val="20"/>
        </w:rPr>
        <w:t xml:space="preserve"> en favor de la comunidad indígena de Choréachi, l</w:t>
      </w:r>
      <w:r w:rsidR="0031312F" w:rsidRPr="0005044D">
        <w:rPr>
          <w:rFonts w:ascii="Verdana" w:hAnsi="Verdana"/>
          <w:sz w:val="20"/>
        </w:rPr>
        <w:t xml:space="preserve">a Corte </w:t>
      </w:r>
      <w:r w:rsidR="00A93CDE" w:rsidRPr="0005044D">
        <w:rPr>
          <w:rFonts w:ascii="Verdana" w:hAnsi="Verdana"/>
          <w:sz w:val="20"/>
        </w:rPr>
        <w:t xml:space="preserve">considera oportuno realizar un examen en el presente asunto. </w:t>
      </w:r>
      <w:r w:rsidR="00260F6C" w:rsidRPr="0005044D">
        <w:rPr>
          <w:rFonts w:ascii="Verdana" w:hAnsi="Verdana"/>
          <w:sz w:val="20"/>
        </w:rPr>
        <w:t>Para el efecto, el Tribunal</w:t>
      </w:r>
      <w:r w:rsidR="00BA1B86" w:rsidRPr="0005044D">
        <w:rPr>
          <w:rFonts w:ascii="Verdana" w:hAnsi="Verdana"/>
          <w:sz w:val="20"/>
        </w:rPr>
        <w:t xml:space="preserve"> </w:t>
      </w:r>
      <w:r w:rsidR="00E75799" w:rsidRPr="0005044D">
        <w:rPr>
          <w:rFonts w:ascii="Verdana" w:hAnsi="Verdana"/>
          <w:sz w:val="20"/>
        </w:rPr>
        <w:t>tendrá en cuenta</w:t>
      </w:r>
      <w:r w:rsidR="00BA1B86" w:rsidRPr="0005044D">
        <w:rPr>
          <w:rFonts w:ascii="Verdana" w:hAnsi="Verdana"/>
          <w:sz w:val="20"/>
        </w:rPr>
        <w:t xml:space="preserve"> la información</w:t>
      </w:r>
      <w:r w:rsidR="00B301E5" w:rsidRPr="0005044D">
        <w:rPr>
          <w:rFonts w:ascii="Verdana" w:hAnsi="Verdana"/>
          <w:sz w:val="20"/>
        </w:rPr>
        <w:t xml:space="preserve"> remitida por el Estado</w:t>
      </w:r>
      <w:r w:rsidR="00BA1B86" w:rsidRPr="0005044D">
        <w:rPr>
          <w:rFonts w:ascii="Verdana" w:hAnsi="Verdana"/>
          <w:sz w:val="20"/>
        </w:rPr>
        <w:t xml:space="preserve"> y </w:t>
      </w:r>
      <w:r w:rsidR="00B301E5" w:rsidRPr="0005044D">
        <w:rPr>
          <w:rFonts w:ascii="Verdana" w:hAnsi="Verdana"/>
          <w:sz w:val="20"/>
        </w:rPr>
        <w:t xml:space="preserve">las </w:t>
      </w:r>
      <w:r w:rsidR="00BA1B86" w:rsidRPr="0005044D">
        <w:rPr>
          <w:rFonts w:ascii="Verdana" w:hAnsi="Verdana"/>
          <w:sz w:val="20"/>
        </w:rPr>
        <w:t xml:space="preserve">observaciones </w:t>
      </w:r>
      <w:r w:rsidR="00B301E5" w:rsidRPr="0005044D">
        <w:rPr>
          <w:rFonts w:ascii="Verdana" w:hAnsi="Verdana"/>
          <w:sz w:val="20"/>
        </w:rPr>
        <w:t xml:space="preserve">de los representantes y la Comisión que resultan </w:t>
      </w:r>
      <w:r w:rsidR="00BA1B86" w:rsidRPr="0005044D">
        <w:rPr>
          <w:rFonts w:ascii="Verdana" w:hAnsi="Verdana"/>
          <w:sz w:val="20"/>
        </w:rPr>
        <w:t>relevantes</w:t>
      </w:r>
      <w:r w:rsidR="00B301E5" w:rsidRPr="0005044D">
        <w:rPr>
          <w:rFonts w:ascii="Verdana" w:hAnsi="Verdana"/>
          <w:sz w:val="20"/>
        </w:rPr>
        <w:t xml:space="preserve"> y pertinentes para el examen pretendido,</w:t>
      </w:r>
      <w:r w:rsidR="00BA1B86" w:rsidRPr="0005044D">
        <w:rPr>
          <w:rFonts w:ascii="Verdana" w:hAnsi="Verdana"/>
          <w:sz w:val="20"/>
        </w:rPr>
        <w:t xml:space="preserve"> </w:t>
      </w:r>
      <w:r w:rsidR="00737381" w:rsidRPr="0005044D">
        <w:rPr>
          <w:rFonts w:ascii="Verdana" w:hAnsi="Verdana"/>
          <w:sz w:val="20"/>
        </w:rPr>
        <w:t>y</w:t>
      </w:r>
      <w:r w:rsidR="00BA1B86" w:rsidRPr="0005044D">
        <w:rPr>
          <w:rFonts w:ascii="Verdana" w:hAnsi="Verdana"/>
          <w:sz w:val="20"/>
        </w:rPr>
        <w:t xml:space="preserve"> </w:t>
      </w:r>
      <w:r w:rsidR="00E75799" w:rsidRPr="0005044D">
        <w:rPr>
          <w:rFonts w:ascii="Verdana" w:hAnsi="Verdana"/>
          <w:sz w:val="20"/>
        </w:rPr>
        <w:t>realizará</w:t>
      </w:r>
      <w:r w:rsidR="00BA1B86" w:rsidRPr="0005044D">
        <w:rPr>
          <w:rFonts w:ascii="Verdana" w:hAnsi="Verdana"/>
          <w:sz w:val="20"/>
        </w:rPr>
        <w:t xml:space="preserve"> las consideraciones </w:t>
      </w:r>
      <w:r w:rsidR="00B301E5" w:rsidRPr="0005044D">
        <w:rPr>
          <w:rFonts w:ascii="Verdana" w:hAnsi="Verdana"/>
          <w:sz w:val="20"/>
        </w:rPr>
        <w:t>del caso</w:t>
      </w:r>
      <w:r w:rsidR="00BA1B86" w:rsidRPr="0005044D">
        <w:rPr>
          <w:rFonts w:ascii="Verdana" w:hAnsi="Verdana"/>
          <w:sz w:val="20"/>
        </w:rPr>
        <w:t>.</w:t>
      </w:r>
    </w:p>
    <w:p w14:paraId="5941368F" w14:textId="77777777" w:rsidR="00737381" w:rsidRPr="0005044D" w:rsidRDefault="00737381" w:rsidP="00737381">
      <w:pPr>
        <w:pStyle w:val="Prrafodelista"/>
        <w:rPr>
          <w:rFonts w:ascii="Verdana" w:hAnsi="Verdana"/>
          <w:sz w:val="20"/>
        </w:rPr>
      </w:pPr>
    </w:p>
    <w:p w14:paraId="6AB3F934" w14:textId="0EBFCBF5" w:rsidR="00737381" w:rsidRPr="0005044D" w:rsidRDefault="00E75799" w:rsidP="00C02462">
      <w:pPr>
        <w:pStyle w:val="Prrafodelista"/>
        <w:numPr>
          <w:ilvl w:val="0"/>
          <w:numId w:val="7"/>
        </w:numPr>
        <w:ind w:left="0" w:right="22" w:hanging="11"/>
        <w:jc w:val="both"/>
        <w:rPr>
          <w:rFonts w:ascii="Verdana" w:hAnsi="Verdana"/>
          <w:sz w:val="20"/>
        </w:rPr>
      </w:pPr>
      <w:r w:rsidRPr="0005044D">
        <w:rPr>
          <w:rFonts w:ascii="Verdana" w:hAnsi="Verdana"/>
          <w:sz w:val="20"/>
        </w:rPr>
        <w:t>En primer lugar, l</w:t>
      </w:r>
      <w:r w:rsidR="00B3231B" w:rsidRPr="0005044D">
        <w:rPr>
          <w:rFonts w:ascii="Verdana" w:hAnsi="Verdana"/>
          <w:sz w:val="20"/>
        </w:rPr>
        <w:t xml:space="preserve">a Corte valora </w:t>
      </w:r>
      <w:r w:rsidR="00331BE4" w:rsidRPr="0005044D">
        <w:rPr>
          <w:rFonts w:ascii="Verdana" w:hAnsi="Verdana"/>
          <w:sz w:val="20"/>
        </w:rPr>
        <w:t xml:space="preserve">el compromiso expresado por el Estado mexicano para implementar acciones dirigidas a brindar </w:t>
      </w:r>
      <w:r w:rsidR="00FC7269" w:rsidRPr="0005044D">
        <w:rPr>
          <w:rFonts w:ascii="Verdana" w:hAnsi="Verdana"/>
          <w:sz w:val="20"/>
        </w:rPr>
        <w:t xml:space="preserve">protección </w:t>
      </w:r>
      <w:r w:rsidR="00331BE4" w:rsidRPr="0005044D">
        <w:rPr>
          <w:rFonts w:ascii="Verdana" w:hAnsi="Verdana"/>
          <w:sz w:val="20"/>
        </w:rPr>
        <w:t xml:space="preserve">a la comunidad de Choréachi. </w:t>
      </w:r>
      <w:r w:rsidR="00737381" w:rsidRPr="0005044D">
        <w:rPr>
          <w:rFonts w:ascii="Verdana" w:hAnsi="Verdana"/>
          <w:sz w:val="20"/>
        </w:rPr>
        <w:t xml:space="preserve">Asimismo, la Corte resalta que tanto el Estado como los representantes </w:t>
      </w:r>
      <w:bookmarkStart w:id="1" w:name="_Hlk40357599"/>
      <w:r w:rsidR="00737381" w:rsidRPr="0005044D">
        <w:rPr>
          <w:rFonts w:ascii="Verdana" w:hAnsi="Verdana"/>
          <w:sz w:val="20"/>
        </w:rPr>
        <w:t xml:space="preserve">han remitido información </w:t>
      </w:r>
      <w:r w:rsidR="0077569B" w:rsidRPr="0005044D">
        <w:rPr>
          <w:rFonts w:ascii="Verdana" w:hAnsi="Verdana"/>
          <w:sz w:val="20"/>
        </w:rPr>
        <w:t>referente a la realización de</w:t>
      </w:r>
      <w:r w:rsidR="00247765" w:rsidRPr="0005044D">
        <w:rPr>
          <w:rFonts w:ascii="Verdana" w:hAnsi="Verdana"/>
          <w:sz w:val="20"/>
        </w:rPr>
        <w:t>,</w:t>
      </w:r>
      <w:r w:rsidR="00737381" w:rsidRPr="0005044D">
        <w:rPr>
          <w:rFonts w:ascii="Verdana" w:hAnsi="Verdana"/>
          <w:sz w:val="20"/>
        </w:rPr>
        <w:t xml:space="preserve"> al menos</w:t>
      </w:r>
      <w:r w:rsidR="00247765" w:rsidRPr="0005044D">
        <w:rPr>
          <w:rFonts w:ascii="Verdana" w:hAnsi="Verdana"/>
          <w:sz w:val="20"/>
        </w:rPr>
        <w:t>,</w:t>
      </w:r>
      <w:r w:rsidR="00737381" w:rsidRPr="0005044D">
        <w:rPr>
          <w:rFonts w:ascii="Verdana" w:hAnsi="Verdana"/>
          <w:sz w:val="20"/>
        </w:rPr>
        <w:t xml:space="preserve"> cuatro reuniones de trabajo</w:t>
      </w:r>
      <w:r w:rsidR="00C02462" w:rsidRPr="0005044D">
        <w:rPr>
          <w:rFonts w:ascii="Verdana" w:hAnsi="Verdana"/>
          <w:sz w:val="20"/>
        </w:rPr>
        <w:t xml:space="preserve"> los días</w:t>
      </w:r>
      <w:r w:rsidR="00737381" w:rsidRPr="0005044D">
        <w:rPr>
          <w:rFonts w:ascii="Verdana" w:hAnsi="Verdana"/>
          <w:sz w:val="20"/>
        </w:rPr>
        <w:t xml:space="preserve"> 21 de abril de 2017, 13 de julio de 2017, 14 de marzo de 2018 y 22 de marzo de 2019</w:t>
      </w:r>
      <w:r w:rsidR="00737381" w:rsidRPr="0005044D">
        <w:rPr>
          <w:rStyle w:val="Refdenotaalpie"/>
          <w:rFonts w:ascii="Verdana" w:hAnsi="Verdana"/>
          <w:sz w:val="20"/>
        </w:rPr>
        <w:footnoteReference w:id="6"/>
      </w:r>
      <w:bookmarkEnd w:id="1"/>
      <w:r w:rsidR="00737381" w:rsidRPr="0005044D">
        <w:rPr>
          <w:rFonts w:ascii="Verdana" w:hAnsi="Verdana"/>
          <w:sz w:val="20"/>
        </w:rPr>
        <w:t>, en las que conjuntamente han abordado el tema de la situación que afecta a la comunidad y la</w:t>
      </w:r>
      <w:r w:rsidR="000B7AA0" w:rsidRPr="0005044D">
        <w:rPr>
          <w:rFonts w:ascii="Verdana" w:hAnsi="Verdana"/>
          <w:sz w:val="20"/>
        </w:rPr>
        <w:t xml:space="preserve"> implementación de las</w:t>
      </w:r>
      <w:r w:rsidR="00737381" w:rsidRPr="0005044D">
        <w:rPr>
          <w:rFonts w:ascii="Verdana" w:hAnsi="Verdana"/>
          <w:sz w:val="20"/>
        </w:rPr>
        <w:t xml:space="preserve"> medidas provisionales dispuestas por el Tribunal, a partir de lo cual han resultado acuerdos específicos entre</w:t>
      </w:r>
      <w:r w:rsidR="005A7C6F" w:rsidRPr="0005044D">
        <w:rPr>
          <w:rFonts w:ascii="Verdana" w:hAnsi="Verdana"/>
          <w:sz w:val="20"/>
        </w:rPr>
        <w:t xml:space="preserve"> el Estado y los </w:t>
      </w:r>
      <w:r w:rsidR="00DD7D3D" w:rsidRPr="0005044D">
        <w:rPr>
          <w:rFonts w:ascii="Verdana" w:hAnsi="Verdana"/>
          <w:sz w:val="20"/>
        </w:rPr>
        <w:t>representantes</w:t>
      </w:r>
      <w:r w:rsidR="00737381" w:rsidRPr="0005044D">
        <w:rPr>
          <w:rFonts w:ascii="Verdana" w:hAnsi="Verdana"/>
          <w:sz w:val="20"/>
        </w:rPr>
        <w:t>. Al respecto, cabe señalar que el desarrollo de tales reuniones supondría un escenario adecuado para la planificación e implementación concertada de las medidas ordenadas, como lo dispuso la Corte.</w:t>
      </w:r>
    </w:p>
    <w:p w14:paraId="6B432595" w14:textId="77777777" w:rsidR="00C02462" w:rsidRPr="0005044D" w:rsidRDefault="00C02462" w:rsidP="00C02462">
      <w:pPr>
        <w:pStyle w:val="Prrafodelista"/>
        <w:ind w:left="0" w:right="22"/>
        <w:jc w:val="both"/>
        <w:rPr>
          <w:rFonts w:ascii="Verdana" w:hAnsi="Verdana"/>
          <w:sz w:val="20"/>
        </w:rPr>
      </w:pPr>
    </w:p>
    <w:p w14:paraId="156C30A9" w14:textId="606F34C8" w:rsidR="00737381" w:rsidRPr="0005044D" w:rsidRDefault="00737381" w:rsidP="00737381">
      <w:pPr>
        <w:pStyle w:val="Prrafodelista"/>
        <w:numPr>
          <w:ilvl w:val="0"/>
          <w:numId w:val="7"/>
        </w:numPr>
        <w:ind w:left="0" w:right="22" w:hanging="11"/>
        <w:jc w:val="both"/>
        <w:rPr>
          <w:rFonts w:ascii="Verdana" w:hAnsi="Verdana"/>
          <w:sz w:val="20"/>
        </w:rPr>
      </w:pPr>
      <w:r w:rsidRPr="0005044D">
        <w:rPr>
          <w:rFonts w:ascii="Verdana" w:hAnsi="Verdana"/>
          <w:sz w:val="20"/>
        </w:rPr>
        <w:t>A partir de las reuniones sostenidas han resultado acuerdos específicos, de los que podrían derivar acciones concretas dirigidas a brindar protección a los miembros de la comunidad. En forma resumida y sin perjuicio de otras acciones que podrían haber resultado de las reuniones efectuadas, tales acuerdos consisten en</w:t>
      </w:r>
      <w:r w:rsidR="002F3673" w:rsidRPr="0005044D">
        <w:rPr>
          <w:rFonts w:ascii="Verdana" w:hAnsi="Verdana"/>
          <w:sz w:val="20"/>
        </w:rPr>
        <w:t>:</w:t>
      </w:r>
      <w:r w:rsidRPr="0005044D">
        <w:rPr>
          <w:rFonts w:ascii="Verdana" w:hAnsi="Verdana"/>
          <w:sz w:val="20"/>
        </w:rPr>
        <w:t xml:space="preserve"> (i) la realización de operativos en la comunidad, por parte de las autoridades competentes, con dos fines específicos: preservar la seguridad pública en el lugar e investigar las denuncias sobre hechos delictivos; (ii) la realización de las gestiones pertinentes para llevar a cabo una reunión de trabajo con autoridades federales cuya intervención en el presente asunto se ha considerado relevante por</w:t>
      </w:r>
      <w:r w:rsidR="00DD7D3D" w:rsidRPr="0005044D">
        <w:rPr>
          <w:rFonts w:ascii="Verdana" w:hAnsi="Verdana"/>
          <w:sz w:val="20"/>
        </w:rPr>
        <w:t xml:space="preserve"> parte del Estado y los representantes</w:t>
      </w:r>
      <w:r w:rsidRPr="0005044D">
        <w:rPr>
          <w:rFonts w:ascii="Verdana" w:eastAsiaTheme="minorHAnsi" w:hAnsi="Verdana" w:cstheme="minorBidi"/>
          <w:sz w:val="20"/>
        </w:rPr>
        <w:t>; (iii) el análisis sobre la viabilidad de presentar la problemática de la comunidad en las mesas de seguridad interinstitucionales implementada</w:t>
      </w:r>
      <w:r w:rsidR="009A2A92" w:rsidRPr="0005044D">
        <w:rPr>
          <w:rFonts w:ascii="Verdana" w:eastAsiaTheme="minorHAnsi" w:hAnsi="Verdana" w:cstheme="minorBidi"/>
          <w:sz w:val="20"/>
        </w:rPr>
        <w:t xml:space="preserve">s por las autoridades del </w:t>
      </w:r>
      <w:r w:rsidR="00FF3EEE" w:rsidRPr="0005044D">
        <w:rPr>
          <w:rFonts w:ascii="Verdana" w:eastAsiaTheme="minorHAnsi" w:hAnsi="Verdana" w:cstheme="minorBidi"/>
          <w:sz w:val="20"/>
        </w:rPr>
        <w:t>e</w:t>
      </w:r>
      <w:r w:rsidRPr="0005044D">
        <w:rPr>
          <w:rFonts w:ascii="Verdana" w:eastAsiaTheme="minorHAnsi" w:hAnsi="Verdana" w:cstheme="minorBidi"/>
          <w:sz w:val="20"/>
        </w:rPr>
        <w:t xml:space="preserve">stado de Chihuahua, y (iv) la elaboración del diagnóstico requerido por la Corte </w:t>
      </w:r>
      <w:r w:rsidRPr="0005044D">
        <w:rPr>
          <w:rFonts w:ascii="Verdana" w:hAnsi="Verdana"/>
          <w:sz w:val="20"/>
        </w:rPr>
        <w:t>con intervención de los representantes y beneficiarios.</w:t>
      </w:r>
    </w:p>
    <w:p w14:paraId="72938507" w14:textId="77777777" w:rsidR="00737381" w:rsidRPr="0005044D" w:rsidRDefault="00737381" w:rsidP="00737381">
      <w:pPr>
        <w:pStyle w:val="Prrafodelista"/>
        <w:ind w:left="0" w:right="22"/>
        <w:jc w:val="both"/>
        <w:rPr>
          <w:rFonts w:ascii="Verdana" w:hAnsi="Verdana"/>
          <w:sz w:val="20"/>
        </w:rPr>
      </w:pPr>
    </w:p>
    <w:p w14:paraId="6000CBB8" w14:textId="6170FA03" w:rsidR="00737381" w:rsidRPr="0005044D" w:rsidRDefault="00737381" w:rsidP="00737381">
      <w:pPr>
        <w:pStyle w:val="Prrafodelista"/>
        <w:numPr>
          <w:ilvl w:val="0"/>
          <w:numId w:val="7"/>
        </w:numPr>
        <w:ind w:left="0" w:right="23" w:hanging="11"/>
        <w:jc w:val="both"/>
        <w:rPr>
          <w:rFonts w:ascii="Verdana" w:hAnsi="Verdana"/>
          <w:sz w:val="20"/>
        </w:rPr>
      </w:pPr>
      <w:r w:rsidRPr="0005044D">
        <w:rPr>
          <w:rFonts w:ascii="Verdana" w:hAnsi="Verdana"/>
          <w:sz w:val="20"/>
        </w:rPr>
        <w:t xml:space="preserve">En lo que atañe al primer </w:t>
      </w:r>
      <w:bookmarkStart w:id="2" w:name="_Hlk40357914"/>
      <w:r w:rsidR="00A117B7" w:rsidRPr="0005044D">
        <w:rPr>
          <w:rFonts w:ascii="Verdana" w:hAnsi="Verdana"/>
          <w:sz w:val="20"/>
        </w:rPr>
        <w:t>acuerdo</w:t>
      </w:r>
      <w:r w:rsidRPr="0005044D">
        <w:rPr>
          <w:rFonts w:ascii="Verdana" w:hAnsi="Verdana"/>
          <w:sz w:val="20"/>
        </w:rPr>
        <w:t>, la Corte advierte que</w:t>
      </w:r>
      <w:r w:rsidR="00A73125" w:rsidRPr="0005044D">
        <w:rPr>
          <w:rFonts w:ascii="Verdana" w:hAnsi="Verdana"/>
          <w:sz w:val="20"/>
        </w:rPr>
        <w:t xml:space="preserve"> fue a partir de las observaciones efectuadas por los representantes</w:t>
      </w:r>
      <w:r w:rsidR="008307FF" w:rsidRPr="0005044D">
        <w:rPr>
          <w:rFonts w:ascii="Verdana" w:hAnsi="Verdana"/>
          <w:sz w:val="20"/>
        </w:rPr>
        <w:t xml:space="preserve"> </w:t>
      </w:r>
      <w:r w:rsidR="00E146C0" w:rsidRPr="0005044D">
        <w:rPr>
          <w:rFonts w:ascii="Verdana" w:hAnsi="Verdana"/>
          <w:sz w:val="20"/>
        </w:rPr>
        <w:t xml:space="preserve">en el escrito presentado el 4 de junio de 2017 </w:t>
      </w:r>
      <w:r w:rsidR="00A73125" w:rsidRPr="0005044D">
        <w:rPr>
          <w:rFonts w:ascii="Verdana" w:hAnsi="Verdana"/>
          <w:sz w:val="20"/>
        </w:rPr>
        <w:t xml:space="preserve">que se tuvo información sobre la realización de </w:t>
      </w:r>
      <w:bookmarkStart w:id="3" w:name="_Hlk40357948"/>
      <w:r w:rsidR="00A73125" w:rsidRPr="0005044D">
        <w:rPr>
          <w:rFonts w:ascii="Verdana" w:hAnsi="Verdana"/>
          <w:sz w:val="20"/>
        </w:rPr>
        <w:t xml:space="preserve">un operativo de resguardo de la comunidad </w:t>
      </w:r>
      <w:r w:rsidR="00A73125" w:rsidRPr="0005044D">
        <w:rPr>
          <w:rFonts w:ascii="Verdana" w:hAnsi="Verdana"/>
          <w:sz w:val="20"/>
        </w:rPr>
        <w:lastRenderedPageBreak/>
        <w:t xml:space="preserve">durante los festejos de </w:t>
      </w:r>
      <w:r w:rsidR="00FF3EEE" w:rsidRPr="0005044D">
        <w:rPr>
          <w:rFonts w:ascii="Verdana" w:hAnsi="Verdana"/>
          <w:sz w:val="20"/>
        </w:rPr>
        <w:t>S</w:t>
      </w:r>
      <w:r w:rsidR="00A73125" w:rsidRPr="0005044D">
        <w:rPr>
          <w:rFonts w:ascii="Verdana" w:hAnsi="Verdana"/>
          <w:sz w:val="20"/>
        </w:rPr>
        <w:t xml:space="preserve">emana </w:t>
      </w:r>
      <w:r w:rsidR="00FF3EEE" w:rsidRPr="0005044D">
        <w:rPr>
          <w:rFonts w:ascii="Verdana" w:hAnsi="Verdana"/>
          <w:sz w:val="20"/>
        </w:rPr>
        <w:t>S</w:t>
      </w:r>
      <w:r w:rsidR="00A73125" w:rsidRPr="0005044D">
        <w:rPr>
          <w:rFonts w:ascii="Verdana" w:hAnsi="Verdana"/>
          <w:sz w:val="20"/>
        </w:rPr>
        <w:t>anta</w:t>
      </w:r>
      <w:r w:rsidR="002D5DC6" w:rsidRPr="0005044D">
        <w:rPr>
          <w:rFonts w:ascii="Verdana" w:hAnsi="Verdana"/>
          <w:sz w:val="20"/>
        </w:rPr>
        <w:t xml:space="preserve"> </w:t>
      </w:r>
      <w:bookmarkEnd w:id="3"/>
      <w:r w:rsidR="00E146C0" w:rsidRPr="0005044D">
        <w:rPr>
          <w:rFonts w:ascii="Verdana" w:hAnsi="Verdana"/>
          <w:sz w:val="20"/>
        </w:rPr>
        <w:t>ese mismo año</w:t>
      </w:r>
      <w:r w:rsidR="00A73125" w:rsidRPr="0005044D">
        <w:rPr>
          <w:rFonts w:ascii="Verdana" w:hAnsi="Verdana"/>
          <w:sz w:val="20"/>
        </w:rPr>
        <w:t xml:space="preserve">, con posterioridad a lo cual aquellos han alegado que dichos operativos no se han efectuado conforme a lo acordado y que no se les ha brindado información sobre las fechas en que se llevarían a cabo. </w:t>
      </w:r>
      <w:r w:rsidR="002D1535" w:rsidRPr="0005044D">
        <w:rPr>
          <w:rFonts w:ascii="Verdana" w:hAnsi="Verdana"/>
          <w:sz w:val="20"/>
        </w:rPr>
        <w:t xml:space="preserve">Por su parte, el Estado </w:t>
      </w:r>
      <w:r w:rsidR="002D1535" w:rsidRPr="0005044D">
        <w:rPr>
          <w:rFonts w:ascii="Verdana" w:hAnsi="Verdana"/>
          <w:sz w:val="20"/>
          <w:lang w:val="es-GT"/>
        </w:rPr>
        <w:t xml:space="preserve">señaló que “se ha[bían] </w:t>
      </w:r>
      <w:proofErr w:type="gramStart"/>
      <w:r w:rsidR="002D1535" w:rsidRPr="0005044D">
        <w:rPr>
          <w:rFonts w:ascii="Verdana" w:hAnsi="Verdana"/>
          <w:sz w:val="20"/>
          <w:lang w:val="es-GT"/>
        </w:rPr>
        <w:t>realizado recorridos</w:t>
      </w:r>
      <w:proofErr w:type="gramEnd"/>
      <w:r w:rsidR="002D1535" w:rsidRPr="0005044D">
        <w:rPr>
          <w:rFonts w:ascii="Verdana" w:hAnsi="Verdana"/>
          <w:sz w:val="20"/>
          <w:lang w:val="es-GT"/>
        </w:rPr>
        <w:t xml:space="preserve"> en las comunidades” y que se efectuaban “rondines regulares […] por la Policía Estatal y Ministerial en la comunidad”. Sin embargo, no fueron precisadas las fechas en que tales acciones se habrían llevado a cabo ni las diligencias practicadas. </w:t>
      </w:r>
      <w:r w:rsidR="00A73125" w:rsidRPr="0005044D">
        <w:rPr>
          <w:rFonts w:ascii="Verdana" w:hAnsi="Verdana"/>
          <w:sz w:val="20"/>
        </w:rPr>
        <w:t>Además</w:t>
      </w:r>
      <w:r w:rsidRPr="0005044D">
        <w:rPr>
          <w:rFonts w:ascii="Verdana" w:hAnsi="Verdana"/>
          <w:sz w:val="20"/>
        </w:rPr>
        <w:t>, con excepción de las acciones efectuadas en el per</w:t>
      </w:r>
      <w:r w:rsidR="0049618A" w:rsidRPr="0005044D">
        <w:rPr>
          <w:rFonts w:ascii="Verdana" w:hAnsi="Verdana"/>
          <w:sz w:val="20"/>
        </w:rPr>
        <w:t>í</w:t>
      </w:r>
      <w:r w:rsidRPr="0005044D">
        <w:rPr>
          <w:rFonts w:ascii="Verdana" w:hAnsi="Verdana"/>
          <w:sz w:val="20"/>
        </w:rPr>
        <w:t>odo del 18 al 21 de abril de 2019,</w:t>
      </w:r>
      <w:r w:rsidR="001E78BA" w:rsidRPr="0005044D">
        <w:rPr>
          <w:rFonts w:ascii="Verdana" w:hAnsi="Verdana"/>
          <w:sz w:val="20"/>
        </w:rPr>
        <w:t xml:space="preserve"> </w:t>
      </w:r>
      <w:r w:rsidR="00247765" w:rsidRPr="0005044D">
        <w:rPr>
          <w:rFonts w:ascii="Verdana" w:hAnsi="Verdana"/>
          <w:sz w:val="20"/>
        </w:rPr>
        <w:t>referidas al</w:t>
      </w:r>
      <w:r w:rsidR="001E78BA" w:rsidRPr="0005044D">
        <w:rPr>
          <w:rFonts w:ascii="Verdana" w:hAnsi="Verdana"/>
          <w:sz w:val="20"/>
        </w:rPr>
        <w:t xml:space="preserve"> “resguardo de la Comunidad </w:t>
      </w:r>
      <w:r w:rsidR="001E78BA" w:rsidRPr="0005044D">
        <w:rPr>
          <w:rFonts w:ascii="Verdana" w:hAnsi="Verdana" w:cs="Arial"/>
          <w:sz w:val="20"/>
        </w:rPr>
        <w:t xml:space="preserve">[…] </w:t>
      </w:r>
      <w:r w:rsidR="001E78BA" w:rsidRPr="0005044D">
        <w:rPr>
          <w:rFonts w:ascii="Verdana" w:hAnsi="Verdana"/>
          <w:sz w:val="20"/>
        </w:rPr>
        <w:t xml:space="preserve">con el fin de otorgar seguridad preventiva </w:t>
      </w:r>
      <w:r w:rsidR="001E78BA" w:rsidRPr="0005044D">
        <w:rPr>
          <w:rFonts w:ascii="Verdana" w:hAnsi="Verdana" w:cs="Arial"/>
          <w:sz w:val="20"/>
        </w:rPr>
        <w:t>[durante]</w:t>
      </w:r>
      <w:r w:rsidR="001E78BA" w:rsidRPr="0005044D">
        <w:rPr>
          <w:rFonts w:ascii="Verdana" w:hAnsi="Verdana"/>
          <w:sz w:val="20"/>
        </w:rPr>
        <w:t xml:space="preserve"> los festejos religiosos de </w:t>
      </w:r>
      <w:r w:rsidR="00FF3EEE" w:rsidRPr="0005044D">
        <w:rPr>
          <w:rFonts w:ascii="Verdana" w:hAnsi="Verdana" w:cs="Arial"/>
          <w:sz w:val="20"/>
        </w:rPr>
        <w:t>S</w:t>
      </w:r>
      <w:r w:rsidR="001E78BA" w:rsidRPr="0005044D">
        <w:rPr>
          <w:rFonts w:ascii="Verdana" w:hAnsi="Verdana"/>
          <w:sz w:val="20"/>
        </w:rPr>
        <w:t xml:space="preserve">emana </w:t>
      </w:r>
      <w:r w:rsidR="00FF3EEE" w:rsidRPr="0005044D">
        <w:rPr>
          <w:rFonts w:ascii="Verdana" w:hAnsi="Verdana" w:cs="Arial"/>
          <w:sz w:val="20"/>
        </w:rPr>
        <w:t>S</w:t>
      </w:r>
      <w:r w:rsidR="001E78BA" w:rsidRPr="0005044D">
        <w:rPr>
          <w:rFonts w:ascii="Verdana" w:hAnsi="Verdana"/>
          <w:sz w:val="20"/>
        </w:rPr>
        <w:t>anta",</w:t>
      </w:r>
      <w:r w:rsidRPr="0005044D">
        <w:rPr>
          <w:rFonts w:ascii="Verdana" w:hAnsi="Verdana"/>
          <w:sz w:val="20"/>
        </w:rPr>
        <w:t xml:space="preserve"> </w:t>
      </w:r>
      <w:bookmarkStart w:id="4" w:name="_Hlk40305105"/>
      <w:r w:rsidRPr="0005044D">
        <w:rPr>
          <w:rFonts w:ascii="Verdana" w:hAnsi="Verdana"/>
          <w:sz w:val="20"/>
        </w:rPr>
        <w:t xml:space="preserve">el Estado no ha proporcionado información precisa concerniente a la realización de operativos dirigidos específicamente a preservar la seguridad </w:t>
      </w:r>
      <w:r w:rsidR="00A840E9" w:rsidRPr="0005044D">
        <w:rPr>
          <w:rFonts w:ascii="Verdana" w:hAnsi="Verdana"/>
          <w:sz w:val="20"/>
        </w:rPr>
        <w:t>de los integrantes</w:t>
      </w:r>
      <w:r w:rsidRPr="0005044D">
        <w:rPr>
          <w:rFonts w:ascii="Verdana" w:hAnsi="Verdana"/>
          <w:sz w:val="20"/>
        </w:rPr>
        <w:t xml:space="preserve"> en la comunidad de Choréach</w:t>
      </w:r>
      <w:bookmarkEnd w:id="2"/>
      <w:r w:rsidRPr="0005044D">
        <w:rPr>
          <w:rFonts w:ascii="Verdana" w:hAnsi="Verdana"/>
          <w:sz w:val="20"/>
        </w:rPr>
        <w:t>i</w:t>
      </w:r>
      <w:bookmarkEnd w:id="4"/>
      <w:r w:rsidRPr="0005044D">
        <w:rPr>
          <w:rFonts w:ascii="Verdana" w:hAnsi="Verdana"/>
          <w:sz w:val="20"/>
        </w:rPr>
        <w:t>. De es</w:t>
      </w:r>
      <w:r w:rsidR="0049618A" w:rsidRPr="0005044D">
        <w:rPr>
          <w:rFonts w:ascii="Verdana" w:hAnsi="Verdana"/>
          <w:sz w:val="20"/>
        </w:rPr>
        <w:t>e modo</w:t>
      </w:r>
      <w:r w:rsidRPr="0005044D">
        <w:rPr>
          <w:rFonts w:ascii="Verdana" w:hAnsi="Verdana"/>
          <w:sz w:val="20"/>
        </w:rPr>
        <w:t xml:space="preserve">, se desconoce si tales acciones se realizaron periódicamente con posterioridad a la Resolución que dispuso las medidas provisionales, así como </w:t>
      </w:r>
      <w:bookmarkStart w:id="5" w:name="_Hlk37186149"/>
      <w:r w:rsidRPr="0005044D">
        <w:rPr>
          <w:rFonts w:ascii="Verdana" w:hAnsi="Verdana"/>
          <w:sz w:val="20"/>
        </w:rPr>
        <w:t>las fechas en que se habrían efectuado, las diligencias llevadas a cabo, las autoridades que habrían intervenido, el tiempo que las autoridades habrían permanecido en la comunidad</w:t>
      </w:r>
      <w:bookmarkEnd w:id="5"/>
      <w:r w:rsidRPr="0005044D">
        <w:rPr>
          <w:rFonts w:ascii="Verdana" w:hAnsi="Verdana"/>
          <w:sz w:val="20"/>
        </w:rPr>
        <w:t xml:space="preserve"> y los resultados obtenidos.</w:t>
      </w:r>
    </w:p>
    <w:p w14:paraId="71825342" w14:textId="77777777" w:rsidR="00737381" w:rsidRPr="0005044D" w:rsidRDefault="00737381" w:rsidP="00737381">
      <w:pPr>
        <w:pStyle w:val="Prrafodelista"/>
        <w:rPr>
          <w:rFonts w:ascii="Verdana" w:hAnsi="Verdana"/>
          <w:sz w:val="20"/>
        </w:rPr>
      </w:pPr>
    </w:p>
    <w:p w14:paraId="5CF00AA0" w14:textId="79B33AD3" w:rsidR="0024120F" w:rsidRPr="0005044D" w:rsidRDefault="00D93F73" w:rsidP="00D93F73">
      <w:pPr>
        <w:pStyle w:val="Prrafodelista"/>
        <w:numPr>
          <w:ilvl w:val="0"/>
          <w:numId w:val="7"/>
        </w:numPr>
        <w:ind w:left="0" w:right="22" w:hanging="11"/>
        <w:jc w:val="both"/>
        <w:rPr>
          <w:rFonts w:ascii="Verdana" w:hAnsi="Verdana"/>
          <w:sz w:val="20"/>
        </w:rPr>
      </w:pPr>
      <w:r w:rsidRPr="0005044D">
        <w:rPr>
          <w:rFonts w:ascii="Verdana" w:hAnsi="Verdana"/>
          <w:sz w:val="20"/>
        </w:rPr>
        <w:t>Por otra parte, la Corte nota que los beneficiarios han requerido la presencia constante, en la comunidad, de las autoridades del Estado encargadas de la seguridad pública y de la recepción de denuncias, demanda que se aprecia contenida expresamente en la versión preliminar del diagnóstico remitido</w:t>
      </w:r>
      <w:r w:rsidR="005A1C6E" w:rsidRPr="0005044D">
        <w:rPr>
          <w:rFonts w:ascii="Verdana" w:hAnsi="Verdana"/>
          <w:sz w:val="20"/>
        </w:rPr>
        <w:t xml:space="preserve"> por el Estado</w:t>
      </w:r>
      <w:r w:rsidR="00E146C0" w:rsidRPr="0005044D">
        <w:rPr>
          <w:rFonts w:ascii="Verdana" w:hAnsi="Verdana"/>
          <w:sz w:val="20"/>
        </w:rPr>
        <w:t xml:space="preserve"> el 1 de marzo de 2019</w:t>
      </w:r>
      <w:r w:rsidRPr="0005044D">
        <w:rPr>
          <w:rFonts w:ascii="Verdana" w:hAnsi="Verdana"/>
          <w:sz w:val="20"/>
        </w:rPr>
        <w:t xml:space="preserve">. </w:t>
      </w:r>
      <w:r w:rsidR="0024120F" w:rsidRPr="0005044D">
        <w:rPr>
          <w:rFonts w:ascii="Verdana" w:hAnsi="Verdana"/>
          <w:sz w:val="20"/>
        </w:rPr>
        <w:t>En este sentido, la Corte valora la información proporcionada por el Estado respecto de la instalación de una sede del Ministerio Público en la comunidad, lo que constituiría un esfuerzo para brindar a los beneficiarios facilidades en el acceso al sistema de justicia y una respuesta concreta a sus demandas y exigencias</w:t>
      </w:r>
      <w:r w:rsidR="001268B8" w:rsidRPr="0005044D">
        <w:rPr>
          <w:rFonts w:ascii="Verdana" w:hAnsi="Verdana"/>
          <w:sz w:val="20"/>
        </w:rPr>
        <w:t>.</w:t>
      </w:r>
      <w:r w:rsidR="0024120F" w:rsidRPr="0005044D">
        <w:rPr>
          <w:rFonts w:ascii="Verdana" w:hAnsi="Verdana"/>
          <w:sz w:val="20"/>
        </w:rPr>
        <w:t xml:space="preserve"> </w:t>
      </w:r>
      <w:r w:rsidR="001268B8" w:rsidRPr="0005044D">
        <w:rPr>
          <w:rFonts w:ascii="Verdana" w:hAnsi="Verdana"/>
          <w:sz w:val="20"/>
        </w:rPr>
        <w:t>S</w:t>
      </w:r>
      <w:r w:rsidR="0024120F" w:rsidRPr="0005044D">
        <w:rPr>
          <w:rFonts w:ascii="Verdana" w:hAnsi="Verdana"/>
          <w:sz w:val="20"/>
        </w:rPr>
        <w:t xml:space="preserve">in embargo, los representantes señalaron que desconocen la ubicación de dicha sede. Ante ello, resulta necesario </w:t>
      </w:r>
      <w:bookmarkStart w:id="6" w:name="_Hlk37186992"/>
      <w:r w:rsidR="0024120F" w:rsidRPr="0005044D">
        <w:rPr>
          <w:rFonts w:ascii="Verdana" w:hAnsi="Verdana"/>
          <w:sz w:val="20"/>
        </w:rPr>
        <w:t xml:space="preserve">solicitar al Estado que informe sobre la fecha de apertura de la oficina del Ministerio Público en la comunidad de Choréachi, su ubicación, su integración, sus competencias, los protocolos que, de ser el caso, aplica en materia de recepción de denuncias </w:t>
      </w:r>
      <w:r w:rsidR="001268B8" w:rsidRPr="0005044D">
        <w:rPr>
          <w:rFonts w:ascii="Verdana" w:hAnsi="Verdana"/>
          <w:sz w:val="20"/>
        </w:rPr>
        <w:t xml:space="preserve">desde una perspectiva cultural apropiada </w:t>
      </w:r>
      <w:r w:rsidR="0024120F" w:rsidRPr="0005044D">
        <w:rPr>
          <w:rFonts w:ascii="Verdana" w:hAnsi="Verdana"/>
          <w:sz w:val="20"/>
        </w:rPr>
        <w:t>y atención victimológica, y las actividades que habría desarrollado desde su apertura.</w:t>
      </w:r>
      <w:bookmarkEnd w:id="6"/>
    </w:p>
    <w:p w14:paraId="6ED7517E" w14:textId="77777777" w:rsidR="0024120F" w:rsidRPr="0005044D" w:rsidRDefault="0024120F" w:rsidP="0024120F">
      <w:pPr>
        <w:pStyle w:val="Prrafodelista"/>
        <w:rPr>
          <w:rFonts w:ascii="Verdana" w:hAnsi="Verdana"/>
          <w:sz w:val="20"/>
        </w:rPr>
      </w:pPr>
    </w:p>
    <w:p w14:paraId="2513DC27" w14:textId="73D29DAF" w:rsidR="00737381" w:rsidRPr="0005044D" w:rsidRDefault="00737381" w:rsidP="00737381">
      <w:pPr>
        <w:pStyle w:val="Prrafodelista"/>
        <w:numPr>
          <w:ilvl w:val="0"/>
          <w:numId w:val="7"/>
        </w:numPr>
        <w:ind w:left="0" w:right="22" w:hanging="11"/>
        <w:jc w:val="both"/>
        <w:rPr>
          <w:rFonts w:ascii="Verdana" w:hAnsi="Verdana"/>
          <w:sz w:val="20"/>
        </w:rPr>
      </w:pPr>
      <w:r w:rsidRPr="0005044D">
        <w:rPr>
          <w:rFonts w:ascii="Verdana" w:hAnsi="Verdana"/>
          <w:sz w:val="20"/>
        </w:rPr>
        <w:t>En lo que atañe al segundo acuerdo, los representantes han insistido en la necesidad de la intervención de las autoridades federales a fin de garantizar la adecuada implementación de las medidas, para lo cual han reiterado su solicitud de reunirse y coordinar acciones con la Comisión Nacional de Seguridad y la Fiscalía General de la República (institución que sustituyó a la Procuraduría General de la República). Así, las instituciones</w:t>
      </w:r>
      <w:r w:rsidR="003954E4" w:rsidRPr="0005044D">
        <w:rPr>
          <w:rFonts w:ascii="Verdana" w:hAnsi="Verdana"/>
          <w:sz w:val="20"/>
        </w:rPr>
        <w:t xml:space="preserve"> del </w:t>
      </w:r>
      <w:r w:rsidR="00FF3EEE" w:rsidRPr="0005044D">
        <w:rPr>
          <w:rFonts w:ascii="Verdana" w:hAnsi="Verdana"/>
          <w:sz w:val="20"/>
        </w:rPr>
        <w:t>e</w:t>
      </w:r>
      <w:r w:rsidRPr="0005044D">
        <w:rPr>
          <w:rFonts w:ascii="Verdana" w:hAnsi="Verdana"/>
          <w:sz w:val="20"/>
        </w:rPr>
        <w:t>stado de Chihuahua han reconocido la necesidad de la intervención de las autoridades del gobierno federal</w:t>
      </w:r>
      <w:r w:rsidRPr="0005044D">
        <w:rPr>
          <w:rStyle w:val="Refdenotaalpie"/>
          <w:rFonts w:ascii="Verdana" w:hAnsi="Verdana"/>
          <w:sz w:val="20"/>
        </w:rPr>
        <w:footnoteReference w:id="7"/>
      </w:r>
      <w:r w:rsidRPr="0005044D">
        <w:rPr>
          <w:rFonts w:ascii="Verdana" w:hAnsi="Verdana"/>
          <w:sz w:val="20"/>
        </w:rPr>
        <w:t xml:space="preserve"> y, según informaron los representantes, habrían solicitado su colaboración sin haber obtenido respuesta. </w:t>
      </w:r>
      <w:bookmarkStart w:id="7" w:name="_Hlk40305391"/>
      <w:r w:rsidRPr="0005044D">
        <w:rPr>
          <w:rFonts w:ascii="Verdana" w:hAnsi="Verdana"/>
          <w:sz w:val="20"/>
        </w:rPr>
        <w:t xml:space="preserve">En todo caso, la información brindada </w:t>
      </w:r>
      <w:r w:rsidR="00DD7D3D" w:rsidRPr="0005044D">
        <w:rPr>
          <w:rFonts w:ascii="Verdana" w:hAnsi="Verdana"/>
          <w:sz w:val="20"/>
        </w:rPr>
        <w:t xml:space="preserve">por el Estado y los representantes </w:t>
      </w:r>
      <w:r w:rsidRPr="0005044D">
        <w:rPr>
          <w:rFonts w:ascii="Verdana" w:hAnsi="Verdana"/>
          <w:sz w:val="20"/>
        </w:rPr>
        <w:t>da cuenta de que no se ha logrado la asistencia de dichas instancias federales a las reuniones de trabajo.</w:t>
      </w:r>
    </w:p>
    <w:bookmarkEnd w:id="7"/>
    <w:p w14:paraId="05F17E64" w14:textId="77777777" w:rsidR="00737381" w:rsidRPr="0005044D" w:rsidRDefault="00737381" w:rsidP="00737381">
      <w:pPr>
        <w:pStyle w:val="Prrafodelista"/>
        <w:ind w:left="0" w:hanging="11"/>
        <w:rPr>
          <w:rFonts w:ascii="Verdana" w:hAnsi="Verdana"/>
          <w:sz w:val="20"/>
        </w:rPr>
      </w:pPr>
    </w:p>
    <w:p w14:paraId="1C8A7AFA" w14:textId="7D658777" w:rsidR="00737381" w:rsidRPr="0005044D" w:rsidRDefault="00737381" w:rsidP="00737381">
      <w:pPr>
        <w:pStyle w:val="Prrafodelista"/>
        <w:numPr>
          <w:ilvl w:val="0"/>
          <w:numId w:val="7"/>
        </w:numPr>
        <w:ind w:left="0" w:right="22" w:hanging="11"/>
        <w:jc w:val="both"/>
        <w:rPr>
          <w:rFonts w:ascii="Verdana" w:hAnsi="Verdana"/>
          <w:sz w:val="20"/>
        </w:rPr>
      </w:pPr>
      <w:r w:rsidRPr="0005044D">
        <w:rPr>
          <w:rFonts w:ascii="Verdana" w:hAnsi="Verdana"/>
          <w:sz w:val="20"/>
        </w:rPr>
        <w:t xml:space="preserve">La Corte </w:t>
      </w:r>
      <w:r w:rsidR="001D0E78" w:rsidRPr="0005044D">
        <w:rPr>
          <w:rFonts w:ascii="Verdana" w:hAnsi="Verdana"/>
          <w:sz w:val="20"/>
        </w:rPr>
        <w:t>considera</w:t>
      </w:r>
      <w:r w:rsidRPr="0005044D">
        <w:rPr>
          <w:rFonts w:ascii="Verdana" w:hAnsi="Verdana"/>
          <w:sz w:val="20"/>
        </w:rPr>
        <w:t xml:space="preserve"> que no le compete definir qué autoridades nacionales específicas deben o no intervenir en la planificación e implementación de las acciones tendientes a cumplir las medidas dispuestas. No obstante, en el presente asunto se advierte que el Estado ha señalado que la problemática de seguridad que afecta a Choréachi tendría relación con “la presencia de la delincuencia organizada que se dedica a la siembra y cosecha de plantas de marihuana y coca”, </w:t>
      </w:r>
      <w:r w:rsidR="00E13D49" w:rsidRPr="0005044D">
        <w:rPr>
          <w:rFonts w:ascii="Verdana" w:hAnsi="Verdana"/>
          <w:sz w:val="20"/>
        </w:rPr>
        <w:t>lo que</w:t>
      </w:r>
      <w:r w:rsidR="00B57C48" w:rsidRPr="0005044D">
        <w:rPr>
          <w:rFonts w:ascii="Verdana" w:hAnsi="Verdana"/>
          <w:sz w:val="20"/>
        </w:rPr>
        <w:t>,</w:t>
      </w:r>
      <w:r w:rsidR="00E13D49" w:rsidRPr="0005044D">
        <w:rPr>
          <w:rFonts w:ascii="Verdana" w:hAnsi="Verdana"/>
          <w:sz w:val="20"/>
        </w:rPr>
        <w:t xml:space="preserve"> aunado</w:t>
      </w:r>
      <w:r w:rsidRPr="0005044D">
        <w:rPr>
          <w:rFonts w:ascii="Verdana" w:hAnsi="Verdana"/>
          <w:sz w:val="20"/>
        </w:rPr>
        <w:t xml:space="preserve"> a la gravedad del contexto de violencia imperante y a las dificultades advertidas para proveer una respuesta adecuada y oportuna</w:t>
      </w:r>
      <w:r w:rsidRPr="0005044D">
        <w:rPr>
          <w:rStyle w:val="Refdenotaalpie"/>
          <w:rFonts w:ascii="Verdana" w:hAnsi="Verdana"/>
          <w:sz w:val="20"/>
        </w:rPr>
        <w:footnoteReference w:id="8"/>
      </w:r>
      <w:r w:rsidRPr="0005044D">
        <w:rPr>
          <w:rFonts w:ascii="Verdana" w:hAnsi="Verdana"/>
          <w:sz w:val="20"/>
        </w:rPr>
        <w:t xml:space="preserve">, incluido el acceso complicado a la comunidad por su posición geográfica y la distancia que la separa de la </w:t>
      </w:r>
      <w:r w:rsidRPr="0005044D">
        <w:rPr>
          <w:rFonts w:ascii="Verdana" w:hAnsi="Verdana"/>
          <w:sz w:val="20"/>
        </w:rPr>
        <w:lastRenderedPageBreak/>
        <w:t>cabecera municipal</w:t>
      </w:r>
      <w:r w:rsidRPr="0005044D">
        <w:rPr>
          <w:rStyle w:val="Refdenotaalpie"/>
          <w:rFonts w:ascii="Verdana" w:hAnsi="Verdana"/>
          <w:sz w:val="20"/>
        </w:rPr>
        <w:footnoteReference w:id="9"/>
      </w:r>
      <w:r w:rsidRPr="0005044D">
        <w:rPr>
          <w:rFonts w:ascii="Verdana" w:hAnsi="Verdana"/>
          <w:sz w:val="20"/>
        </w:rPr>
        <w:t xml:space="preserve">, podrían hacer necesaria una </w:t>
      </w:r>
      <w:r w:rsidR="00E13D49" w:rsidRPr="0005044D">
        <w:rPr>
          <w:rFonts w:ascii="Verdana" w:hAnsi="Verdana"/>
          <w:sz w:val="20"/>
        </w:rPr>
        <w:t>participación</w:t>
      </w:r>
      <w:r w:rsidRPr="0005044D">
        <w:rPr>
          <w:rFonts w:ascii="Verdana" w:hAnsi="Verdana"/>
          <w:sz w:val="20"/>
        </w:rPr>
        <w:t xml:space="preserve"> más amplia y activa por parte de las autoridades federales</w:t>
      </w:r>
      <w:r w:rsidR="00E13D49" w:rsidRPr="0005044D">
        <w:rPr>
          <w:rFonts w:ascii="Verdana" w:hAnsi="Verdana"/>
          <w:sz w:val="20"/>
        </w:rPr>
        <w:t xml:space="preserve"> en la implementación efectiva de estas medidas</w:t>
      </w:r>
      <w:r w:rsidRPr="0005044D">
        <w:rPr>
          <w:rFonts w:ascii="Verdana" w:hAnsi="Verdana"/>
          <w:sz w:val="20"/>
        </w:rPr>
        <w:t>.</w:t>
      </w:r>
    </w:p>
    <w:p w14:paraId="079C8897" w14:textId="77777777" w:rsidR="00737381" w:rsidRPr="0005044D" w:rsidRDefault="00737381" w:rsidP="00737381">
      <w:pPr>
        <w:pStyle w:val="Prrafodelista"/>
        <w:ind w:left="0" w:right="23"/>
        <w:jc w:val="both"/>
        <w:rPr>
          <w:rFonts w:ascii="Verdana" w:hAnsi="Verdana"/>
          <w:sz w:val="20"/>
        </w:rPr>
      </w:pPr>
    </w:p>
    <w:p w14:paraId="374ADC27" w14:textId="58104D1D" w:rsidR="00737381" w:rsidRPr="0005044D" w:rsidRDefault="00737381" w:rsidP="00737381">
      <w:pPr>
        <w:pStyle w:val="Prrafodelista"/>
        <w:numPr>
          <w:ilvl w:val="0"/>
          <w:numId w:val="7"/>
        </w:numPr>
        <w:ind w:left="0" w:right="22" w:hanging="11"/>
        <w:jc w:val="both"/>
        <w:rPr>
          <w:rFonts w:ascii="Verdana" w:hAnsi="Verdana"/>
          <w:sz w:val="20"/>
        </w:rPr>
      </w:pPr>
      <w:bookmarkStart w:id="8" w:name="_Hlk40305461"/>
      <w:r w:rsidRPr="0005044D">
        <w:rPr>
          <w:rFonts w:ascii="Verdana" w:hAnsi="Verdana"/>
          <w:sz w:val="20"/>
        </w:rPr>
        <w:t xml:space="preserve">Respecto del tercer </w:t>
      </w:r>
      <w:r w:rsidR="00A34EB0" w:rsidRPr="0005044D">
        <w:rPr>
          <w:rFonts w:ascii="Verdana" w:hAnsi="Verdana"/>
          <w:sz w:val="20"/>
        </w:rPr>
        <w:t>aspecto</w:t>
      </w:r>
      <w:r w:rsidRPr="0005044D">
        <w:rPr>
          <w:rFonts w:ascii="Verdana" w:hAnsi="Verdana"/>
          <w:sz w:val="20"/>
        </w:rPr>
        <w:t>, ante la ausencia de información por parte del Estado, los representantes señalaron que la presentación de la problemática de la comunidad de Choréachi en las mesas de seguridad interinstitucionales de co</w:t>
      </w:r>
      <w:r w:rsidR="000348E1" w:rsidRPr="0005044D">
        <w:rPr>
          <w:rFonts w:ascii="Verdana" w:hAnsi="Verdana"/>
          <w:sz w:val="20"/>
        </w:rPr>
        <w:t xml:space="preserve">ordinación con autoridades del </w:t>
      </w:r>
      <w:r w:rsidR="00FF3EEE" w:rsidRPr="0005044D">
        <w:rPr>
          <w:rFonts w:ascii="Verdana" w:hAnsi="Verdana"/>
          <w:sz w:val="20"/>
        </w:rPr>
        <w:t>e</w:t>
      </w:r>
      <w:r w:rsidRPr="0005044D">
        <w:rPr>
          <w:rFonts w:ascii="Verdana" w:hAnsi="Verdana"/>
          <w:sz w:val="20"/>
        </w:rPr>
        <w:t>stado de Chihuahua no ha resultado en acciones concretas</w:t>
      </w:r>
      <w:bookmarkEnd w:id="8"/>
      <w:r w:rsidRPr="0005044D">
        <w:rPr>
          <w:rFonts w:ascii="Verdana" w:hAnsi="Verdana"/>
          <w:sz w:val="20"/>
        </w:rPr>
        <w:t>.</w:t>
      </w:r>
    </w:p>
    <w:p w14:paraId="2176C3EB" w14:textId="77777777" w:rsidR="00737381" w:rsidRPr="0005044D" w:rsidRDefault="00737381" w:rsidP="00737381">
      <w:pPr>
        <w:pStyle w:val="Prrafodelista"/>
        <w:rPr>
          <w:rFonts w:ascii="Verdana" w:hAnsi="Verdana"/>
          <w:sz w:val="20"/>
        </w:rPr>
      </w:pPr>
    </w:p>
    <w:p w14:paraId="0B421563" w14:textId="4E952829" w:rsidR="00737381" w:rsidRPr="0005044D" w:rsidRDefault="00737381" w:rsidP="00737381">
      <w:pPr>
        <w:numPr>
          <w:ilvl w:val="0"/>
          <w:numId w:val="7"/>
        </w:numPr>
        <w:spacing w:after="0" w:line="240" w:lineRule="auto"/>
        <w:ind w:left="0" w:right="22" w:hanging="11"/>
        <w:contextualSpacing/>
        <w:jc w:val="both"/>
        <w:rPr>
          <w:rFonts w:ascii="Verdana" w:eastAsia="Times" w:hAnsi="Verdana" w:cs="Times New Roman"/>
          <w:sz w:val="20"/>
          <w:szCs w:val="20"/>
          <w:lang w:val="es-ES_tradnl"/>
        </w:rPr>
      </w:pPr>
      <w:r w:rsidRPr="0005044D">
        <w:rPr>
          <w:rFonts w:ascii="Verdana" w:eastAsia="Times" w:hAnsi="Verdana" w:cs="Times New Roman"/>
          <w:sz w:val="20"/>
          <w:szCs w:val="20"/>
          <w:lang w:val="es-ES_tradnl"/>
        </w:rPr>
        <w:t xml:space="preserve">En torno al cuarto </w:t>
      </w:r>
      <w:r w:rsidR="00A34EB0" w:rsidRPr="0005044D">
        <w:rPr>
          <w:rFonts w:ascii="Verdana" w:eastAsia="Times" w:hAnsi="Verdana" w:cs="Times New Roman"/>
          <w:sz w:val="20"/>
          <w:szCs w:val="20"/>
          <w:lang w:val="es-ES_tradnl"/>
        </w:rPr>
        <w:t>punto</w:t>
      </w:r>
      <w:r w:rsidRPr="0005044D">
        <w:rPr>
          <w:rFonts w:ascii="Verdana" w:eastAsia="Times" w:hAnsi="Verdana" w:cs="Times New Roman"/>
          <w:sz w:val="20"/>
          <w:szCs w:val="20"/>
          <w:lang w:val="es-ES_tradnl"/>
        </w:rPr>
        <w:t xml:space="preserve">, </w:t>
      </w:r>
      <w:r w:rsidR="005A7C6F" w:rsidRPr="0005044D">
        <w:rPr>
          <w:rFonts w:ascii="Verdana" w:eastAsia="Times" w:hAnsi="Verdana" w:cs="Times New Roman"/>
          <w:sz w:val="20"/>
          <w:szCs w:val="20"/>
          <w:lang w:val="es-ES_tradnl"/>
        </w:rPr>
        <w:t xml:space="preserve">el Estado y los </w:t>
      </w:r>
      <w:r w:rsidR="00B03C06" w:rsidRPr="0005044D">
        <w:rPr>
          <w:rFonts w:ascii="Verdana" w:eastAsia="Times" w:hAnsi="Verdana" w:cs="Times New Roman"/>
          <w:sz w:val="20"/>
          <w:szCs w:val="20"/>
          <w:lang w:val="es-ES_tradnl"/>
        </w:rPr>
        <w:t xml:space="preserve">representantes </w:t>
      </w:r>
      <w:r w:rsidRPr="0005044D">
        <w:rPr>
          <w:rFonts w:ascii="Verdana" w:eastAsia="Times" w:hAnsi="Verdana" w:cs="Times New Roman"/>
          <w:sz w:val="20"/>
          <w:szCs w:val="20"/>
          <w:lang w:val="es-ES_tradnl"/>
        </w:rPr>
        <w:t>informaron acerca del trabajo en conjunto desarrollado, así como la aplicación de</w:t>
      </w:r>
      <w:r w:rsidRPr="0005044D">
        <w:rPr>
          <w:rFonts w:ascii="Verdana" w:eastAsia="Times" w:hAnsi="Verdana" w:cs="Arial"/>
          <w:sz w:val="20"/>
          <w:szCs w:val="20"/>
          <w:lang w:val="es-ES_tradnl"/>
        </w:rPr>
        <w:t xml:space="preserve"> estándares internacionales en materia de derechos humanos de los pueblos indígenas, perspectiva de género y enfoque diferenciado para la elaboración del diagnóstico requerido por la Corte</w:t>
      </w:r>
      <w:r w:rsidR="00C25116" w:rsidRPr="0005044D">
        <w:rPr>
          <w:rFonts w:ascii="Verdana" w:eastAsia="Times" w:hAnsi="Verdana" w:cs="Arial"/>
          <w:sz w:val="20"/>
          <w:szCs w:val="20"/>
          <w:lang w:val="es-ES_tradnl"/>
        </w:rPr>
        <w:t>. Ello</w:t>
      </w:r>
      <w:r w:rsidRPr="0005044D">
        <w:rPr>
          <w:rFonts w:ascii="Verdana" w:eastAsia="Times" w:hAnsi="Verdana" w:cs="Arial"/>
          <w:sz w:val="20"/>
          <w:szCs w:val="20"/>
          <w:lang w:val="es-ES_tradnl"/>
        </w:rPr>
        <w:t xml:space="preserve"> incluyó la realización, los días 2 y 3 de diciembre de 2017, de talleres con la comunidad dirigidos a conocer la percepción de sus integrantes sobre el problema de seguridad que les afecta. </w:t>
      </w:r>
      <w:r w:rsidR="00B5793E" w:rsidRPr="0005044D">
        <w:rPr>
          <w:rFonts w:ascii="Verdana" w:eastAsia="Times" w:hAnsi="Verdana" w:cs="Arial"/>
          <w:sz w:val="20"/>
          <w:szCs w:val="20"/>
          <w:lang w:val="es-ES_tradnl"/>
        </w:rPr>
        <w:t>Asimismo</w:t>
      </w:r>
      <w:r w:rsidRPr="0005044D">
        <w:rPr>
          <w:rFonts w:ascii="Verdana" w:eastAsia="Times" w:hAnsi="Verdana" w:cs="Arial"/>
          <w:sz w:val="20"/>
          <w:szCs w:val="20"/>
          <w:lang w:val="es-ES_tradnl"/>
        </w:rPr>
        <w:t>, el Estado remitió la versión preliminar del diagnóstico el 1 de marzo de 2019, oportunidad en la que señaló que se estaban realizando las adecuaciones pertinentes para convocar a una reunión con las autoridades competentes a efecto de acordar la versión final</w:t>
      </w:r>
      <w:r w:rsidR="002F3673" w:rsidRPr="0005044D">
        <w:rPr>
          <w:rFonts w:ascii="Verdana" w:eastAsia="Times" w:hAnsi="Verdana" w:cs="Arial"/>
          <w:sz w:val="20"/>
          <w:szCs w:val="20"/>
          <w:lang w:val="es-ES_tradnl"/>
        </w:rPr>
        <w:t>.</w:t>
      </w:r>
      <w:r w:rsidRPr="0005044D">
        <w:rPr>
          <w:rFonts w:ascii="Verdana" w:eastAsia="Times" w:hAnsi="Verdana" w:cs="Arial"/>
          <w:sz w:val="20"/>
          <w:szCs w:val="20"/>
          <w:lang w:val="es-ES_tradnl"/>
        </w:rPr>
        <w:t xml:space="preserve"> </w:t>
      </w:r>
      <w:r w:rsidR="002F3673" w:rsidRPr="0005044D">
        <w:rPr>
          <w:rFonts w:ascii="Verdana" w:eastAsia="Times" w:hAnsi="Verdana" w:cs="Arial"/>
          <w:sz w:val="20"/>
          <w:szCs w:val="20"/>
          <w:lang w:val="es-ES_tradnl"/>
        </w:rPr>
        <w:t>C</w:t>
      </w:r>
      <w:r w:rsidRPr="0005044D">
        <w:rPr>
          <w:rFonts w:ascii="Verdana" w:eastAsia="Times" w:hAnsi="Verdana" w:cs="Arial"/>
          <w:sz w:val="20"/>
          <w:szCs w:val="20"/>
          <w:lang w:val="es-ES_tradnl"/>
        </w:rPr>
        <w:t>omo última información al respecto, México indicó que continuaba con los esfuerzos para finalizar el documento.</w:t>
      </w:r>
    </w:p>
    <w:p w14:paraId="013B2859" w14:textId="77777777" w:rsidR="00737381" w:rsidRPr="0005044D" w:rsidRDefault="00737381" w:rsidP="00737381">
      <w:pPr>
        <w:spacing w:after="0" w:line="240" w:lineRule="auto"/>
        <w:ind w:hanging="11"/>
        <w:contextualSpacing/>
        <w:rPr>
          <w:rFonts w:ascii="Verdana" w:eastAsia="Times" w:hAnsi="Verdana" w:cs="Arial"/>
          <w:sz w:val="20"/>
          <w:szCs w:val="20"/>
          <w:lang w:val="es-ES_tradnl"/>
        </w:rPr>
      </w:pPr>
    </w:p>
    <w:p w14:paraId="5882192B" w14:textId="736077DB" w:rsidR="001338C5" w:rsidRPr="0005044D" w:rsidRDefault="00AB5004" w:rsidP="00737381">
      <w:pPr>
        <w:numPr>
          <w:ilvl w:val="0"/>
          <w:numId w:val="7"/>
        </w:numPr>
        <w:spacing w:after="0" w:line="240" w:lineRule="auto"/>
        <w:ind w:left="0" w:right="22" w:hanging="11"/>
        <w:contextualSpacing/>
        <w:jc w:val="both"/>
        <w:rPr>
          <w:rFonts w:ascii="Verdana" w:eastAsia="Times" w:hAnsi="Verdana" w:cs="Times New Roman"/>
          <w:sz w:val="20"/>
          <w:szCs w:val="20"/>
          <w:lang w:val="es-ES_tradnl"/>
        </w:rPr>
      </w:pPr>
      <w:r w:rsidRPr="0005044D">
        <w:rPr>
          <w:rFonts w:ascii="Verdana" w:eastAsia="Times" w:hAnsi="Verdana" w:cs="Arial"/>
          <w:sz w:val="20"/>
          <w:szCs w:val="20"/>
          <w:lang w:val="es-ES_tradnl"/>
        </w:rPr>
        <w:t>En suma, a</w:t>
      </w:r>
      <w:r w:rsidR="00737381" w:rsidRPr="0005044D">
        <w:rPr>
          <w:rFonts w:ascii="Verdana" w:eastAsia="Times" w:hAnsi="Verdana" w:cs="Arial"/>
          <w:sz w:val="20"/>
          <w:szCs w:val="20"/>
          <w:lang w:val="es-ES_tradnl"/>
        </w:rPr>
        <w:t xml:space="preserve"> la presente fecha, la versión final del diagnóstico requerido a más tardar para el 25 de abril de 2017</w:t>
      </w:r>
      <w:r w:rsidR="001338C5" w:rsidRPr="0005044D">
        <w:rPr>
          <w:rFonts w:ascii="Verdana" w:eastAsia="Times" w:hAnsi="Verdana" w:cs="Arial"/>
          <w:sz w:val="20"/>
          <w:szCs w:val="20"/>
          <w:lang w:val="es-ES_tradnl"/>
        </w:rPr>
        <w:t>, de acuerdo al punto resolutivo segundo</w:t>
      </w:r>
      <w:r w:rsidR="00737381" w:rsidRPr="0005044D">
        <w:rPr>
          <w:rFonts w:ascii="Verdana" w:eastAsia="Times" w:hAnsi="Verdana" w:cs="Arial"/>
          <w:sz w:val="20"/>
          <w:szCs w:val="20"/>
          <w:lang w:val="es-ES_tradnl"/>
        </w:rPr>
        <w:t xml:space="preserve"> de la Resolución de 25 de marzo de 2017, no ha sido puesta en conocimiento de la Corte</w:t>
      </w:r>
      <w:r w:rsidRPr="0005044D">
        <w:rPr>
          <w:rFonts w:ascii="Verdana" w:eastAsia="Times" w:hAnsi="Verdana" w:cs="Arial"/>
          <w:sz w:val="20"/>
          <w:szCs w:val="20"/>
          <w:lang w:val="es-ES_tradnl"/>
        </w:rPr>
        <w:t>. E</w:t>
      </w:r>
      <w:r w:rsidR="00737381" w:rsidRPr="0005044D">
        <w:rPr>
          <w:rFonts w:ascii="Verdana" w:eastAsia="Times" w:hAnsi="Verdana" w:cs="Arial"/>
          <w:sz w:val="20"/>
          <w:szCs w:val="20"/>
          <w:lang w:val="es-ES_tradnl"/>
        </w:rPr>
        <w:t>s decir, más de tres años después</w:t>
      </w:r>
      <w:r w:rsidRPr="0005044D">
        <w:rPr>
          <w:rFonts w:ascii="Verdana" w:eastAsia="Times" w:hAnsi="Verdana" w:cs="Arial"/>
          <w:sz w:val="20"/>
          <w:szCs w:val="20"/>
          <w:lang w:val="es-ES_tradnl"/>
        </w:rPr>
        <w:t xml:space="preserve"> se encuentra pendiente la </w:t>
      </w:r>
      <w:r w:rsidR="001D0E78" w:rsidRPr="0005044D">
        <w:rPr>
          <w:rFonts w:ascii="Verdana" w:eastAsia="Times" w:hAnsi="Verdana" w:cs="Arial"/>
          <w:sz w:val="20"/>
          <w:szCs w:val="20"/>
          <w:lang w:val="es-ES_tradnl"/>
        </w:rPr>
        <w:t>remisión d</w:t>
      </w:r>
      <w:r w:rsidRPr="0005044D">
        <w:rPr>
          <w:rFonts w:ascii="Verdana" w:eastAsia="Times" w:hAnsi="Verdana" w:cs="Arial"/>
          <w:sz w:val="20"/>
          <w:szCs w:val="20"/>
          <w:lang w:val="es-ES_tradnl"/>
        </w:rPr>
        <w:t>el diagnóstico requerido</w:t>
      </w:r>
      <w:r w:rsidR="00737381" w:rsidRPr="0005044D">
        <w:rPr>
          <w:rFonts w:ascii="Verdana" w:eastAsia="Times" w:hAnsi="Verdana" w:cs="Arial"/>
          <w:sz w:val="20"/>
          <w:szCs w:val="20"/>
          <w:lang w:val="es-ES_tradnl"/>
        </w:rPr>
        <w:t>.</w:t>
      </w:r>
    </w:p>
    <w:p w14:paraId="3053BD0C" w14:textId="77777777" w:rsidR="001338C5" w:rsidRPr="0005044D" w:rsidRDefault="001338C5" w:rsidP="001338C5">
      <w:pPr>
        <w:pStyle w:val="Prrafodelista"/>
        <w:rPr>
          <w:rFonts w:ascii="Verdana" w:hAnsi="Verdana" w:cs="Arial"/>
          <w:sz w:val="20"/>
        </w:rPr>
      </w:pPr>
    </w:p>
    <w:p w14:paraId="55878658" w14:textId="5E9E6FE6" w:rsidR="00737381" w:rsidRPr="0005044D" w:rsidRDefault="00737381" w:rsidP="00737381">
      <w:pPr>
        <w:numPr>
          <w:ilvl w:val="0"/>
          <w:numId w:val="7"/>
        </w:numPr>
        <w:spacing w:after="0" w:line="240" w:lineRule="auto"/>
        <w:ind w:left="0" w:right="22" w:hanging="11"/>
        <w:contextualSpacing/>
        <w:jc w:val="both"/>
        <w:rPr>
          <w:rFonts w:ascii="Verdana" w:eastAsia="Times" w:hAnsi="Verdana" w:cs="Times New Roman"/>
          <w:sz w:val="20"/>
          <w:szCs w:val="20"/>
          <w:lang w:val="es-ES_tradnl"/>
        </w:rPr>
      </w:pPr>
      <w:r w:rsidRPr="0005044D">
        <w:rPr>
          <w:rFonts w:ascii="Verdana" w:eastAsia="Times" w:hAnsi="Verdana" w:cs="Arial"/>
          <w:sz w:val="20"/>
          <w:szCs w:val="20"/>
          <w:lang w:val="es-ES_tradnl"/>
        </w:rPr>
        <w:t xml:space="preserve">Ante ello, los representantes han manifestado </w:t>
      </w:r>
      <w:r w:rsidRPr="0005044D">
        <w:rPr>
          <w:rFonts w:ascii="Verdana" w:eastAsia="Times" w:hAnsi="Verdana" w:cs="Times New Roman"/>
          <w:sz w:val="20"/>
          <w:szCs w:val="20"/>
          <w:lang w:val="es-ES_tradnl"/>
        </w:rPr>
        <w:t xml:space="preserve">que la demora excesiva resulta injustificada y evidencia la falta de voluntad y la poca coordinación entre </w:t>
      </w:r>
      <w:r w:rsidR="003E6E5C" w:rsidRPr="0005044D">
        <w:rPr>
          <w:rFonts w:ascii="Verdana" w:eastAsia="Times" w:hAnsi="Verdana" w:cs="Times New Roman"/>
          <w:sz w:val="20"/>
          <w:szCs w:val="20"/>
          <w:lang w:val="es-ES_tradnl"/>
        </w:rPr>
        <w:t xml:space="preserve">las </w:t>
      </w:r>
      <w:r w:rsidRPr="0005044D">
        <w:rPr>
          <w:rFonts w:ascii="Verdana" w:eastAsia="Times" w:hAnsi="Verdana" w:cs="Times New Roman"/>
          <w:sz w:val="20"/>
          <w:szCs w:val="20"/>
          <w:lang w:val="es-ES_tradnl"/>
        </w:rPr>
        <w:t>autoridades. Por su parte, la Comisión señaló que la demora podría incidir en la falta de información actualizada sobre la situación de riesgo de la comunidad, pues los datos habrían sido obtenidos en diciembre de 2017, aunado a que resultaba vital que el diagnóstico incluyera los hechos de agresiones y hostigamientos denunciados durante los talleres efectuados con los propios beneficiarios.</w:t>
      </w:r>
    </w:p>
    <w:p w14:paraId="4B39B7A9" w14:textId="77777777" w:rsidR="00737381" w:rsidRPr="0005044D" w:rsidRDefault="00737381" w:rsidP="00737381">
      <w:pPr>
        <w:spacing w:after="0" w:line="240" w:lineRule="auto"/>
        <w:ind w:hanging="11"/>
        <w:contextualSpacing/>
        <w:rPr>
          <w:rFonts w:ascii="Verdana" w:eastAsia="Times" w:hAnsi="Verdana" w:cs="Times New Roman"/>
          <w:sz w:val="20"/>
          <w:szCs w:val="20"/>
          <w:lang w:val="es-ES_tradnl"/>
        </w:rPr>
      </w:pPr>
    </w:p>
    <w:p w14:paraId="00479D99" w14:textId="0030FF1A" w:rsidR="00737381" w:rsidRPr="0005044D" w:rsidRDefault="00AB5004" w:rsidP="00737381">
      <w:pPr>
        <w:numPr>
          <w:ilvl w:val="0"/>
          <w:numId w:val="7"/>
        </w:numPr>
        <w:spacing w:after="0" w:line="240" w:lineRule="auto"/>
        <w:ind w:left="0" w:right="22" w:hanging="11"/>
        <w:contextualSpacing/>
        <w:jc w:val="both"/>
        <w:rPr>
          <w:rFonts w:ascii="Verdana" w:eastAsia="Times" w:hAnsi="Verdana" w:cs="Times New Roman"/>
          <w:sz w:val="20"/>
          <w:szCs w:val="20"/>
          <w:lang w:val="es-ES_tradnl"/>
        </w:rPr>
      </w:pPr>
      <w:r w:rsidRPr="0005044D">
        <w:rPr>
          <w:rFonts w:ascii="Verdana" w:eastAsia="Times" w:hAnsi="Verdana" w:cs="Times New Roman"/>
          <w:sz w:val="20"/>
          <w:szCs w:val="20"/>
          <w:lang w:val="es-ES_tradnl"/>
        </w:rPr>
        <w:t>En razón de</w:t>
      </w:r>
      <w:r w:rsidR="00737381" w:rsidRPr="0005044D">
        <w:rPr>
          <w:rFonts w:ascii="Verdana" w:eastAsia="Times" w:hAnsi="Verdana" w:cs="Times New Roman"/>
          <w:sz w:val="20"/>
          <w:szCs w:val="20"/>
          <w:lang w:val="es-ES_tradnl"/>
        </w:rPr>
        <w:t xml:space="preserve"> lo anterior, la Corte llama la atención del Estado respecto del notorio incumplimiento de lo requerido en la Resolución de 25 de marzo de 2017, lo cual, como refieren los representantes, denotaría la falta de esfuerzos suficientes para cumplir las medidas provisionales dispuestas y, </w:t>
      </w:r>
      <w:r w:rsidR="008E2403" w:rsidRPr="0005044D">
        <w:rPr>
          <w:rFonts w:ascii="Verdana" w:eastAsia="Times" w:hAnsi="Verdana" w:cs="Times New Roman"/>
          <w:sz w:val="20"/>
          <w:szCs w:val="20"/>
          <w:lang w:val="es-ES_tradnl"/>
        </w:rPr>
        <w:t>en consecuencia</w:t>
      </w:r>
      <w:r w:rsidR="00737381" w:rsidRPr="0005044D">
        <w:rPr>
          <w:rFonts w:ascii="Verdana" w:eastAsia="Times" w:hAnsi="Verdana" w:cs="Times New Roman"/>
          <w:sz w:val="20"/>
          <w:szCs w:val="20"/>
          <w:lang w:val="es-ES_tradnl"/>
        </w:rPr>
        <w:t xml:space="preserve">, para implementar las acciones </w:t>
      </w:r>
      <w:r w:rsidR="004B10C9" w:rsidRPr="0005044D">
        <w:rPr>
          <w:rFonts w:ascii="Verdana" w:eastAsia="Times" w:hAnsi="Verdana" w:cs="Times New Roman"/>
          <w:sz w:val="20"/>
          <w:szCs w:val="20"/>
          <w:lang w:val="es-ES_tradnl"/>
        </w:rPr>
        <w:t xml:space="preserve">adecuadas y </w:t>
      </w:r>
      <w:r w:rsidR="00737381" w:rsidRPr="0005044D">
        <w:rPr>
          <w:rFonts w:ascii="Verdana" w:eastAsia="Times" w:hAnsi="Verdana" w:cs="Times New Roman"/>
          <w:sz w:val="20"/>
          <w:szCs w:val="20"/>
          <w:lang w:val="es-ES_tradnl"/>
        </w:rPr>
        <w:t xml:space="preserve">necesarias ante la situación de violencia que afronta la comunidad de Choréachi, </w:t>
      </w:r>
      <w:r w:rsidRPr="0005044D">
        <w:rPr>
          <w:rFonts w:ascii="Verdana" w:eastAsia="Times" w:hAnsi="Verdana" w:cs="Times New Roman"/>
          <w:sz w:val="20"/>
          <w:szCs w:val="20"/>
          <w:lang w:val="es-ES_tradnl"/>
        </w:rPr>
        <w:t>como se verá a continuación.</w:t>
      </w:r>
    </w:p>
    <w:p w14:paraId="5675A9D5" w14:textId="29349B50" w:rsidR="00737381" w:rsidRPr="0005044D" w:rsidRDefault="00737381" w:rsidP="00737381">
      <w:pPr>
        <w:spacing w:after="0" w:line="240" w:lineRule="auto"/>
        <w:ind w:hanging="11"/>
        <w:contextualSpacing/>
        <w:rPr>
          <w:rFonts w:ascii="Verdana" w:eastAsia="Times" w:hAnsi="Verdana" w:cs="Times New Roman"/>
          <w:sz w:val="20"/>
          <w:szCs w:val="20"/>
          <w:lang w:val="es-ES_tradnl"/>
        </w:rPr>
      </w:pPr>
    </w:p>
    <w:p w14:paraId="5F9E32B1" w14:textId="3FA7C76E" w:rsidR="00AB5004" w:rsidRPr="0005044D" w:rsidRDefault="00AB5004" w:rsidP="00AB5004">
      <w:pPr>
        <w:pStyle w:val="Prrafodelista"/>
        <w:numPr>
          <w:ilvl w:val="0"/>
          <w:numId w:val="7"/>
        </w:numPr>
        <w:ind w:left="0" w:right="22" w:hanging="11"/>
        <w:jc w:val="both"/>
        <w:rPr>
          <w:rFonts w:ascii="Verdana" w:hAnsi="Verdana"/>
          <w:sz w:val="20"/>
        </w:rPr>
      </w:pPr>
      <w:r w:rsidRPr="0005044D">
        <w:rPr>
          <w:rFonts w:ascii="Verdana" w:hAnsi="Verdana"/>
          <w:sz w:val="20"/>
        </w:rPr>
        <w:t xml:space="preserve">En efecto, de la información aportada, se advierte la ineficacia de las medidas específicas implementas por el Estado, en tanto </w:t>
      </w:r>
      <w:r w:rsidR="000707E3" w:rsidRPr="0005044D">
        <w:rPr>
          <w:rFonts w:ascii="Verdana" w:hAnsi="Verdana"/>
          <w:sz w:val="20"/>
        </w:rPr>
        <w:t xml:space="preserve">continúan sucediendo hechos de violencia y </w:t>
      </w:r>
      <w:r w:rsidRPr="0005044D">
        <w:rPr>
          <w:rFonts w:ascii="Verdana" w:hAnsi="Verdana"/>
          <w:sz w:val="20"/>
        </w:rPr>
        <w:t>persiste la situación de riesgo para los beneficiarios. Así, tales medidas consisten en</w:t>
      </w:r>
      <w:r w:rsidR="008E2403" w:rsidRPr="0005044D">
        <w:rPr>
          <w:rFonts w:ascii="Verdana" w:hAnsi="Verdana"/>
          <w:sz w:val="20"/>
        </w:rPr>
        <w:t>:</w:t>
      </w:r>
      <w:r w:rsidRPr="0005044D">
        <w:rPr>
          <w:rFonts w:ascii="Verdana" w:hAnsi="Verdana"/>
          <w:sz w:val="20"/>
        </w:rPr>
        <w:t xml:space="preserve"> (i) haber proporcionado números de teléfono “de emergencia” de autoridades federales a los representantes</w:t>
      </w:r>
      <w:r w:rsidR="008E2403" w:rsidRPr="0005044D">
        <w:rPr>
          <w:rFonts w:ascii="Verdana" w:hAnsi="Verdana"/>
          <w:sz w:val="20"/>
        </w:rPr>
        <w:t>;</w:t>
      </w:r>
      <w:r w:rsidRPr="0005044D">
        <w:rPr>
          <w:rFonts w:ascii="Verdana" w:hAnsi="Verdana"/>
          <w:sz w:val="20"/>
        </w:rPr>
        <w:t xml:space="preserve"> (ii) la renta de </w:t>
      </w:r>
      <w:r w:rsidRPr="0005044D">
        <w:rPr>
          <w:rFonts w:ascii="Verdana" w:hAnsi="Verdana" w:cs="Arial"/>
          <w:sz w:val="20"/>
        </w:rPr>
        <w:t>dos teléfonos satelitales</w:t>
      </w:r>
      <w:r w:rsidR="008E2403" w:rsidRPr="0005044D">
        <w:rPr>
          <w:rFonts w:ascii="Verdana" w:hAnsi="Verdana" w:cs="Arial"/>
          <w:sz w:val="20"/>
        </w:rPr>
        <w:t xml:space="preserve"> entregados a los beneficiarios;</w:t>
      </w:r>
      <w:r w:rsidRPr="0005044D">
        <w:rPr>
          <w:rFonts w:ascii="Verdana" w:hAnsi="Verdana" w:cs="Arial"/>
          <w:sz w:val="20"/>
        </w:rPr>
        <w:t xml:space="preserve"> (iii) la realización de operativos de seguridad durante los festejos de </w:t>
      </w:r>
      <w:r w:rsidR="00DA2A90" w:rsidRPr="0005044D">
        <w:rPr>
          <w:rFonts w:ascii="Verdana" w:hAnsi="Verdana" w:cs="Arial"/>
          <w:sz w:val="20"/>
        </w:rPr>
        <w:t>S</w:t>
      </w:r>
      <w:r w:rsidRPr="0005044D">
        <w:rPr>
          <w:rFonts w:ascii="Verdana" w:hAnsi="Verdana" w:cs="Arial"/>
          <w:sz w:val="20"/>
        </w:rPr>
        <w:t xml:space="preserve">emana </w:t>
      </w:r>
      <w:r w:rsidR="00DA2A90" w:rsidRPr="0005044D">
        <w:rPr>
          <w:rFonts w:ascii="Verdana" w:hAnsi="Verdana" w:cs="Arial"/>
          <w:sz w:val="20"/>
        </w:rPr>
        <w:t>S</w:t>
      </w:r>
      <w:r w:rsidR="008E2403" w:rsidRPr="0005044D">
        <w:rPr>
          <w:rFonts w:ascii="Verdana" w:hAnsi="Verdana" w:cs="Arial"/>
          <w:sz w:val="20"/>
        </w:rPr>
        <w:t>anta de 2017 y en abril de 2019;</w:t>
      </w:r>
      <w:r w:rsidRPr="0005044D">
        <w:rPr>
          <w:rFonts w:ascii="Verdana" w:hAnsi="Verdana" w:cs="Arial"/>
          <w:sz w:val="20"/>
        </w:rPr>
        <w:t xml:space="preserve"> (iv) el </w:t>
      </w:r>
      <w:r w:rsidRPr="0005044D">
        <w:rPr>
          <w:rFonts w:ascii="Verdana" w:hAnsi="Verdana"/>
          <w:sz w:val="20"/>
        </w:rPr>
        <w:t>acompañamiento brindado a los beneficiarios durante traslados llevados a cabo en octubre y noviembre de 2019</w:t>
      </w:r>
      <w:r w:rsidR="001F798C" w:rsidRPr="0005044D">
        <w:rPr>
          <w:rFonts w:ascii="Verdana" w:hAnsi="Verdana"/>
          <w:sz w:val="20"/>
        </w:rPr>
        <w:t>;</w:t>
      </w:r>
      <w:r w:rsidRPr="0005044D">
        <w:rPr>
          <w:rFonts w:ascii="Verdana" w:hAnsi="Verdana" w:cs="Arial"/>
          <w:sz w:val="20"/>
        </w:rPr>
        <w:t xml:space="preserve"> </w:t>
      </w:r>
      <w:r w:rsidR="00E42526" w:rsidRPr="0005044D">
        <w:rPr>
          <w:rFonts w:ascii="Verdana" w:hAnsi="Verdana" w:cs="Arial"/>
          <w:sz w:val="20"/>
        </w:rPr>
        <w:t xml:space="preserve">(v) </w:t>
      </w:r>
      <w:r w:rsidR="00E42526" w:rsidRPr="0005044D">
        <w:rPr>
          <w:rFonts w:ascii="Verdana" w:hAnsi="Verdana"/>
          <w:sz w:val="20"/>
        </w:rPr>
        <w:t xml:space="preserve">específicas diligencias de investigación de hechos </w:t>
      </w:r>
      <w:r w:rsidR="00E42526" w:rsidRPr="0005044D">
        <w:rPr>
          <w:rFonts w:ascii="Verdana" w:hAnsi="Verdana"/>
          <w:sz w:val="20"/>
        </w:rPr>
        <w:lastRenderedPageBreak/>
        <w:t xml:space="preserve">delictivos que afectan a la comunidad, incluidas acciones para lograr la ejecución de órdenes de aprehensión, una exhumación, inspecciones en distintos lugares, y entrevistas a víctimas y testigos; </w:t>
      </w:r>
      <w:r w:rsidRPr="0005044D">
        <w:rPr>
          <w:rFonts w:ascii="Verdana" w:hAnsi="Verdana" w:cs="Arial"/>
          <w:sz w:val="20"/>
        </w:rPr>
        <w:t>(v</w:t>
      </w:r>
      <w:r w:rsidR="00DA2A90" w:rsidRPr="0005044D">
        <w:rPr>
          <w:rFonts w:ascii="Verdana" w:hAnsi="Verdana" w:cs="Arial"/>
          <w:sz w:val="20"/>
        </w:rPr>
        <w:t>i</w:t>
      </w:r>
      <w:r w:rsidRPr="0005044D">
        <w:rPr>
          <w:rFonts w:ascii="Verdana" w:hAnsi="Verdana" w:cs="Arial"/>
          <w:sz w:val="20"/>
        </w:rPr>
        <w:t xml:space="preserve">) la recepción de denuncias en visitas efectuadas a </w:t>
      </w:r>
      <w:proofErr w:type="spellStart"/>
      <w:r w:rsidRPr="0005044D">
        <w:rPr>
          <w:rFonts w:ascii="Verdana" w:hAnsi="Verdana" w:cs="Arial"/>
          <w:sz w:val="20"/>
        </w:rPr>
        <w:t>Choréachi</w:t>
      </w:r>
      <w:proofErr w:type="spellEnd"/>
      <w:r w:rsidR="00E42526" w:rsidRPr="0005044D">
        <w:rPr>
          <w:rFonts w:ascii="Verdana" w:hAnsi="Verdana" w:cs="Arial"/>
          <w:sz w:val="20"/>
        </w:rPr>
        <w:t>,</w:t>
      </w:r>
      <w:r w:rsidRPr="0005044D">
        <w:rPr>
          <w:rFonts w:ascii="Verdana" w:hAnsi="Verdana" w:cs="Arial"/>
          <w:sz w:val="20"/>
        </w:rPr>
        <w:t xml:space="preserve"> y (</w:t>
      </w:r>
      <w:proofErr w:type="spellStart"/>
      <w:r w:rsidRPr="0005044D">
        <w:rPr>
          <w:rFonts w:ascii="Verdana" w:hAnsi="Verdana" w:cs="Arial"/>
          <w:sz w:val="20"/>
        </w:rPr>
        <w:t>v</w:t>
      </w:r>
      <w:r w:rsidR="00DA2A90" w:rsidRPr="0005044D">
        <w:rPr>
          <w:rFonts w:ascii="Verdana" w:hAnsi="Verdana" w:cs="Arial"/>
          <w:sz w:val="20"/>
        </w:rPr>
        <w:t>ii</w:t>
      </w:r>
      <w:proofErr w:type="spellEnd"/>
      <w:r w:rsidRPr="0005044D">
        <w:rPr>
          <w:rFonts w:ascii="Verdana" w:hAnsi="Verdana" w:cs="Arial"/>
          <w:sz w:val="20"/>
        </w:rPr>
        <w:t>) la</w:t>
      </w:r>
      <w:r w:rsidR="00B57C48" w:rsidRPr="0005044D">
        <w:rPr>
          <w:rFonts w:ascii="Verdana" w:hAnsi="Verdana" w:cs="Arial"/>
          <w:sz w:val="20"/>
        </w:rPr>
        <w:t xml:space="preserve">s acciones tendientes a instalar </w:t>
      </w:r>
      <w:r w:rsidRPr="0005044D">
        <w:rPr>
          <w:rFonts w:ascii="Verdana" w:hAnsi="Verdana" w:cs="Arial"/>
          <w:sz w:val="20"/>
        </w:rPr>
        <w:t xml:space="preserve">una sede del Ministerio Público en la localidad donde habita la comunidad, de la que los representantes </w:t>
      </w:r>
      <w:r w:rsidR="002D5DC6" w:rsidRPr="0005044D">
        <w:rPr>
          <w:rFonts w:ascii="Verdana" w:hAnsi="Verdana" w:cs="Arial"/>
          <w:sz w:val="20"/>
        </w:rPr>
        <w:t xml:space="preserve">señalaron </w:t>
      </w:r>
      <w:r w:rsidRPr="0005044D">
        <w:rPr>
          <w:rFonts w:ascii="Verdana" w:hAnsi="Verdana" w:cs="Arial"/>
          <w:sz w:val="20"/>
        </w:rPr>
        <w:t>desconoce</w:t>
      </w:r>
      <w:r w:rsidR="002D5DC6" w:rsidRPr="0005044D">
        <w:rPr>
          <w:rFonts w:ascii="Verdana" w:hAnsi="Verdana" w:cs="Arial"/>
          <w:sz w:val="20"/>
        </w:rPr>
        <w:t>r</w:t>
      </w:r>
      <w:r w:rsidRPr="0005044D">
        <w:rPr>
          <w:rFonts w:ascii="Verdana" w:hAnsi="Verdana" w:cs="Arial"/>
          <w:sz w:val="20"/>
        </w:rPr>
        <w:t xml:space="preserve"> su ubicación y funcionamiento.</w:t>
      </w:r>
    </w:p>
    <w:p w14:paraId="07DAAD79" w14:textId="4BE20CA6" w:rsidR="00BC158F" w:rsidRPr="0005044D" w:rsidRDefault="00BC158F" w:rsidP="00EE6297">
      <w:pPr>
        <w:spacing w:after="0" w:line="240" w:lineRule="auto"/>
        <w:contextualSpacing/>
        <w:rPr>
          <w:rFonts w:ascii="Verdana" w:eastAsia="Times" w:hAnsi="Verdana" w:cs="Times New Roman"/>
          <w:sz w:val="20"/>
          <w:szCs w:val="20"/>
          <w:lang w:val="es-ES_tradnl"/>
        </w:rPr>
      </w:pPr>
    </w:p>
    <w:p w14:paraId="4A5E8644" w14:textId="0E3EDA3B" w:rsidR="002802A9" w:rsidRPr="0005044D" w:rsidRDefault="00BB6CAD" w:rsidP="002802A9">
      <w:pPr>
        <w:pStyle w:val="Prrafodelista"/>
        <w:numPr>
          <w:ilvl w:val="0"/>
          <w:numId w:val="7"/>
        </w:numPr>
        <w:ind w:left="0" w:right="22" w:hanging="11"/>
        <w:jc w:val="both"/>
        <w:rPr>
          <w:rFonts w:ascii="Verdana" w:hAnsi="Verdana"/>
          <w:sz w:val="20"/>
        </w:rPr>
      </w:pPr>
      <w:r w:rsidRPr="0005044D">
        <w:rPr>
          <w:rFonts w:ascii="Verdana" w:hAnsi="Verdana"/>
          <w:sz w:val="20"/>
        </w:rPr>
        <w:t xml:space="preserve">Otro aspecto que interesa destacar es el que se relaciona con el impacto que pueden llegar a tener </w:t>
      </w:r>
      <w:r w:rsidR="00BE4D22" w:rsidRPr="0005044D">
        <w:rPr>
          <w:rFonts w:ascii="Verdana" w:hAnsi="Verdana"/>
          <w:sz w:val="20"/>
        </w:rPr>
        <w:t xml:space="preserve">cierto tipo de medidas </w:t>
      </w:r>
      <w:r w:rsidRPr="0005044D">
        <w:rPr>
          <w:rFonts w:ascii="Verdana" w:hAnsi="Verdana"/>
          <w:sz w:val="20"/>
        </w:rPr>
        <w:t>en contextos culturalmente diferentes al enfoque original en el que han sido definidas, cuestión que ha sido advertida en el presente asunto frente a la medida de “extracción” de los beneficiarios ante situaciones de riesgo a su vida e integridad personal</w:t>
      </w:r>
      <w:r w:rsidR="007D6A76" w:rsidRPr="0005044D">
        <w:rPr>
          <w:rFonts w:ascii="Verdana" w:hAnsi="Verdana"/>
          <w:sz w:val="20"/>
        </w:rPr>
        <w:t>. Dicha medida</w:t>
      </w:r>
      <w:r w:rsidRPr="0005044D">
        <w:rPr>
          <w:rFonts w:ascii="Verdana" w:hAnsi="Verdana"/>
          <w:sz w:val="20"/>
        </w:rPr>
        <w:t xml:space="preserve"> contrastaría con la identificación y vínculo de </w:t>
      </w:r>
      <w:r w:rsidR="007D6A76" w:rsidRPr="0005044D">
        <w:rPr>
          <w:rFonts w:ascii="Verdana" w:hAnsi="Verdana"/>
          <w:sz w:val="20"/>
        </w:rPr>
        <w:t>los integrantes de las comunidades indígenas</w:t>
      </w:r>
      <w:r w:rsidRPr="0005044D">
        <w:rPr>
          <w:rFonts w:ascii="Verdana" w:hAnsi="Verdana"/>
          <w:sz w:val="20"/>
        </w:rPr>
        <w:t xml:space="preserve"> con su territorio y la afectación que para su forma de vida conlleva el desplazamiento forzado fuera de su comunidad, como ha ac</w:t>
      </w:r>
      <w:r w:rsidR="00DA2A90" w:rsidRPr="0005044D">
        <w:rPr>
          <w:rFonts w:ascii="Verdana" w:hAnsi="Verdana"/>
          <w:sz w:val="20"/>
        </w:rPr>
        <w:t>a</w:t>
      </w:r>
      <w:r w:rsidRPr="0005044D">
        <w:rPr>
          <w:rFonts w:ascii="Verdana" w:hAnsi="Verdana"/>
          <w:sz w:val="20"/>
        </w:rPr>
        <w:t>ecido respecto de los beneficiarios Ángela Ayala Ramos</w:t>
      </w:r>
      <w:r w:rsidR="00E83954" w:rsidRPr="0005044D">
        <w:rPr>
          <w:rFonts w:ascii="Verdana" w:hAnsi="Verdana"/>
          <w:sz w:val="20"/>
        </w:rPr>
        <w:t xml:space="preserve">, quien retornó a la comunidad a pesar del riesgo que corría, </w:t>
      </w:r>
      <w:r w:rsidRPr="0005044D">
        <w:rPr>
          <w:rFonts w:ascii="Verdana" w:hAnsi="Verdana"/>
          <w:sz w:val="20"/>
        </w:rPr>
        <w:t>y Prudencio Ramos</w:t>
      </w:r>
      <w:r w:rsidR="002802A9" w:rsidRPr="0005044D">
        <w:rPr>
          <w:rFonts w:ascii="Verdana" w:hAnsi="Verdana"/>
          <w:sz w:val="20"/>
        </w:rPr>
        <w:t>, quien</w:t>
      </w:r>
      <w:r w:rsidR="00E83954" w:rsidRPr="0005044D">
        <w:rPr>
          <w:rFonts w:ascii="Verdana" w:hAnsi="Verdana"/>
          <w:sz w:val="20"/>
        </w:rPr>
        <w:t xml:space="preserve"> se negó a salir no obstante la situación de inseguridad existente</w:t>
      </w:r>
      <w:r w:rsidR="002D5DC6" w:rsidRPr="0005044D">
        <w:rPr>
          <w:rFonts w:ascii="Verdana" w:hAnsi="Verdana"/>
          <w:sz w:val="20"/>
          <w:vertAlign w:val="superscript"/>
        </w:rPr>
        <w:footnoteReference w:id="10"/>
      </w:r>
      <w:r w:rsidR="002802A9" w:rsidRPr="0005044D">
        <w:rPr>
          <w:rFonts w:ascii="Verdana" w:hAnsi="Verdana"/>
          <w:sz w:val="20"/>
        </w:rPr>
        <w:t>.</w:t>
      </w:r>
    </w:p>
    <w:p w14:paraId="3085ACBA" w14:textId="77777777" w:rsidR="00BB6CAD" w:rsidRPr="0005044D" w:rsidRDefault="00BB6CAD" w:rsidP="00BB6CAD">
      <w:pPr>
        <w:pStyle w:val="Prrafodelista"/>
        <w:ind w:left="0" w:hanging="11"/>
        <w:rPr>
          <w:rFonts w:ascii="Verdana" w:hAnsi="Verdana"/>
          <w:sz w:val="20"/>
        </w:rPr>
      </w:pPr>
    </w:p>
    <w:p w14:paraId="1340381C" w14:textId="420273C2" w:rsidR="00BB6CAD" w:rsidRPr="0005044D" w:rsidRDefault="00BB6CAD" w:rsidP="00BB6CAD">
      <w:pPr>
        <w:pStyle w:val="Prrafodelista"/>
        <w:numPr>
          <w:ilvl w:val="0"/>
          <w:numId w:val="7"/>
        </w:numPr>
        <w:ind w:left="0" w:right="22" w:hanging="11"/>
        <w:jc w:val="both"/>
        <w:rPr>
          <w:rFonts w:ascii="Verdana" w:hAnsi="Verdana"/>
          <w:sz w:val="20"/>
        </w:rPr>
      </w:pPr>
      <w:r w:rsidRPr="0005044D">
        <w:rPr>
          <w:rFonts w:ascii="Verdana" w:hAnsi="Verdana"/>
          <w:sz w:val="20"/>
        </w:rPr>
        <w:t xml:space="preserve">En cuanto a ello, los representantes han </w:t>
      </w:r>
      <w:r w:rsidR="007977D2" w:rsidRPr="0005044D">
        <w:rPr>
          <w:rFonts w:ascii="Verdana" w:hAnsi="Verdana"/>
          <w:sz w:val="20"/>
        </w:rPr>
        <w:t>cuestionado</w:t>
      </w:r>
      <w:r w:rsidRPr="0005044D">
        <w:rPr>
          <w:rFonts w:ascii="Verdana" w:hAnsi="Verdana"/>
          <w:sz w:val="20"/>
        </w:rPr>
        <w:t xml:space="preserve"> la falta de pertinencia cultural de las acciones que ofrece el Estado para brindar protección a los beneficiarios</w:t>
      </w:r>
      <w:r w:rsidR="009C1D48" w:rsidRPr="0005044D">
        <w:rPr>
          <w:rFonts w:ascii="Verdana" w:hAnsi="Verdana"/>
          <w:sz w:val="20"/>
        </w:rPr>
        <w:t>. A</w:t>
      </w:r>
      <w:r w:rsidRPr="0005044D">
        <w:rPr>
          <w:rFonts w:ascii="Verdana" w:hAnsi="Verdana"/>
          <w:sz w:val="20"/>
        </w:rPr>
        <w:t>simismo, la Comisión ha señalado que la pertinencia cultural debe ser factor fundamental en el diseño de las medidas de protección. Por su parte, el Estado reconoció “las limitaciones que se ha</w:t>
      </w:r>
      <w:r w:rsidRPr="0005044D">
        <w:rPr>
          <w:rFonts w:ascii="Verdana" w:hAnsi="Verdana" w:cs="Arial"/>
          <w:sz w:val="20"/>
        </w:rPr>
        <w:t>[</w:t>
      </w:r>
      <w:proofErr w:type="spellStart"/>
      <w:r w:rsidRPr="0005044D">
        <w:rPr>
          <w:rFonts w:ascii="Verdana" w:hAnsi="Verdana" w:cs="Arial"/>
          <w:sz w:val="20"/>
        </w:rPr>
        <w:t>bían</w:t>
      </w:r>
      <w:proofErr w:type="spellEnd"/>
      <w:r w:rsidRPr="0005044D">
        <w:rPr>
          <w:rFonts w:ascii="Verdana" w:hAnsi="Verdana" w:cs="Arial"/>
          <w:sz w:val="20"/>
        </w:rPr>
        <w:t>]</w:t>
      </w:r>
      <w:r w:rsidRPr="0005044D">
        <w:rPr>
          <w:rFonts w:ascii="Verdana" w:hAnsi="Verdana"/>
          <w:sz w:val="20"/>
        </w:rPr>
        <w:t xml:space="preserve"> presentado al implementar las medidas concretas en atención a las consideraciones de pertinencia cultural de los miembros de la comunidad”.</w:t>
      </w:r>
    </w:p>
    <w:p w14:paraId="3A0C2A73" w14:textId="42888F72" w:rsidR="00BB6CAD" w:rsidRPr="0005044D" w:rsidRDefault="00BB6CAD" w:rsidP="00737381">
      <w:pPr>
        <w:spacing w:after="0" w:line="240" w:lineRule="auto"/>
        <w:ind w:hanging="11"/>
        <w:contextualSpacing/>
        <w:rPr>
          <w:rFonts w:ascii="Verdana" w:eastAsia="Times" w:hAnsi="Verdana" w:cs="Times New Roman"/>
          <w:sz w:val="20"/>
          <w:szCs w:val="20"/>
          <w:lang w:val="es-ES_tradnl"/>
        </w:rPr>
      </w:pPr>
    </w:p>
    <w:p w14:paraId="0BF3EA46" w14:textId="046E3F68" w:rsidR="007977D2" w:rsidRPr="0005044D" w:rsidRDefault="007977D2" w:rsidP="007977D2">
      <w:pPr>
        <w:pStyle w:val="Prrafodelista"/>
        <w:numPr>
          <w:ilvl w:val="0"/>
          <w:numId w:val="7"/>
        </w:numPr>
        <w:ind w:left="0" w:right="22" w:hanging="11"/>
        <w:jc w:val="both"/>
        <w:rPr>
          <w:rFonts w:ascii="Verdana" w:hAnsi="Verdana"/>
          <w:sz w:val="20"/>
          <w:lang w:val="es-AR"/>
        </w:rPr>
      </w:pPr>
      <w:r w:rsidRPr="0005044D">
        <w:rPr>
          <w:rFonts w:ascii="Verdana" w:hAnsi="Verdana"/>
          <w:sz w:val="20"/>
        </w:rPr>
        <w:t>La Corte recuerda que</w:t>
      </w:r>
      <w:r w:rsidRPr="0005044D">
        <w:rPr>
          <w:rFonts w:ascii="Verdana" w:hAnsi="Verdana"/>
          <w:sz w:val="20"/>
          <w:lang w:val="es-AR"/>
        </w:rPr>
        <w:t xml:space="preserve">, en la Resolución que dispuso las presentes medidas provisionales, expresamente requirió al Estado </w:t>
      </w:r>
      <w:r w:rsidR="00E90B4F" w:rsidRPr="0005044D">
        <w:rPr>
          <w:rFonts w:ascii="Verdana" w:hAnsi="Verdana"/>
          <w:sz w:val="20"/>
          <w:lang w:val="es-AR"/>
        </w:rPr>
        <w:t>m</w:t>
      </w:r>
      <w:r w:rsidR="00C2774B" w:rsidRPr="0005044D">
        <w:rPr>
          <w:rFonts w:ascii="Verdana" w:hAnsi="Verdana"/>
          <w:sz w:val="20"/>
          <w:lang w:val="es-AR"/>
        </w:rPr>
        <w:t>e</w:t>
      </w:r>
      <w:r w:rsidRPr="0005044D">
        <w:rPr>
          <w:rFonts w:ascii="Verdana" w:hAnsi="Verdana"/>
          <w:sz w:val="20"/>
          <w:lang w:val="es-AR"/>
        </w:rPr>
        <w:t>xic</w:t>
      </w:r>
      <w:r w:rsidR="00E90B4F" w:rsidRPr="0005044D">
        <w:rPr>
          <w:rFonts w:ascii="Verdana" w:hAnsi="Verdana"/>
          <w:sz w:val="20"/>
          <w:lang w:val="es-AR"/>
        </w:rPr>
        <w:t>ano</w:t>
      </w:r>
      <w:r w:rsidRPr="0005044D">
        <w:rPr>
          <w:rFonts w:ascii="Verdana" w:hAnsi="Verdana"/>
          <w:sz w:val="20"/>
          <w:lang w:val="es-AR"/>
        </w:rPr>
        <w:t xml:space="preserve"> que en la planificación e implementación de tales medidas tomara en cuenta “la perspectiva indígena” (punto resolutivo 2), en tanto la idoneidad y efectividad de estas se encuentran fuertemente condicionadas a su pertinencia cultural</w:t>
      </w:r>
      <w:r w:rsidR="00B86011" w:rsidRPr="0005044D">
        <w:rPr>
          <w:rFonts w:ascii="Verdana" w:hAnsi="Verdana"/>
          <w:sz w:val="20"/>
          <w:lang w:val="es-AR"/>
        </w:rPr>
        <w:t>. A</w:t>
      </w:r>
      <w:r w:rsidRPr="0005044D">
        <w:rPr>
          <w:rFonts w:ascii="Verdana" w:hAnsi="Verdana"/>
          <w:sz w:val="20"/>
          <w:lang w:val="es-AR"/>
        </w:rPr>
        <w:t xml:space="preserve">unado a </w:t>
      </w:r>
      <w:r w:rsidR="00B86011" w:rsidRPr="0005044D">
        <w:rPr>
          <w:rFonts w:ascii="Verdana" w:hAnsi="Verdana"/>
          <w:sz w:val="20"/>
          <w:lang w:val="es-AR"/>
        </w:rPr>
        <w:t xml:space="preserve">ello, </w:t>
      </w:r>
      <w:r w:rsidRPr="0005044D">
        <w:rPr>
          <w:rFonts w:ascii="Verdana" w:hAnsi="Verdana"/>
          <w:sz w:val="20"/>
          <w:lang w:val="es-AR"/>
        </w:rPr>
        <w:t xml:space="preserve">el carácter indivisible e interdependiente de los derechos humanos exige que </w:t>
      </w:r>
      <w:r w:rsidR="00E86F84" w:rsidRPr="0005044D">
        <w:rPr>
          <w:rFonts w:ascii="Verdana" w:hAnsi="Verdana"/>
          <w:sz w:val="20"/>
          <w:lang w:val="es-AR"/>
        </w:rPr>
        <w:t>las herramientas dirigidas a garantizar el respeto de determinados derechos no conlleven</w:t>
      </w:r>
      <w:r w:rsidRPr="0005044D">
        <w:rPr>
          <w:rFonts w:ascii="Verdana" w:hAnsi="Verdana"/>
          <w:sz w:val="20"/>
          <w:lang w:val="es-AR"/>
        </w:rPr>
        <w:t xml:space="preserve"> inobservar o demeritar la eficacia de otros, en este caso los derechos de los pueblos indígenas y sus integrantes.</w:t>
      </w:r>
    </w:p>
    <w:p w14:paraId="0B7708E7" w14:textId="77777777" w:rsidR="007977D2" w:rsidRPr="0005044D" w:rsidRDefault="007977D2" w:rsidP="00737381">
      <w:pPr>
        <w:spacing w:after="0" w:line="240" w:lineRule="auto"/>
        <w:ind w:hanging="11"/>
        <w:contextualSpacing/>
        <w:rPr>
          <w:rFonts w:ascii="Verdana" w:eastAsia="Times" w:hAnsi="Verdana" w:cs="Times New Roman"/>
          <w:sz w:val="20"/>
          <w:szCs w:val="20"/>
          <w:lang w:val="es-AR"/>
        </w:rPr>
      </w:pPr>
    </w:p>
    <w:p w14:paraId="2779FDCE" w14:textId="0FEA1147" w:rsidR="00BE6A85" w:rsidRPr="0005044D" w:rsidRDefault="00867832" w:rsidP="007A73AC">
      <w:pPr>
        <w:pStyle w:val="Prrafodelista"/>
        <w:numPr>
          <w:ilvl w:val="0"/>
          <w:numId w:val="7"/>
        </w:numPr>
        <w:ind w:left="0" w:right="22" w:hanging="11"/>
        <w:jc w:val="both"/>
        <w:rPr>
          <w:rFonts w:ascii="Verdana" w:hAnsi="Verdana"/>
          <w:sz w:val="20"/>
        </w:rPr>
      </w:pPr>
      <w:r w:rsidRPr="0005044D">
        <w:rPr>
          <w:rFonts w:ascii="Verdana" w:hAnsi="Verdana"/>
          <w:sz w:val="20"/>
        </w:rPr>
        <w:t xml:space="preserve">Tras evaluar </w:t>
      </w:r>
      <w:r w:rsidR="00DE0B03" w:rsidRPr="0005044D">
        <w:rPr>
          <w:rFonts w:ascii="Verdana" w:hAnsi="Verdana"/>
          <w:sz w:val="20"/>
        </w:rPr>
        <w:t>l</w:t>
      </w:r>
      <w:r w:rsidRPr="0005044D">
        <w:rPr>
          <w:rFonts w:ascii="Verdana" w:hAnsi="Verdana"/>
          <w:sz w:val="20"/>
        </w:rPr>
        <w:t>a información proporcionada, l</w:t>
      </w:r>
      <w:r w:rsidR="00BE6A85" w:rsidRPr="0005044D">
        <w:rPr>
          <w:rFonts w:ascii="Verdana" w:hAnsi="Verdana"/>
          <w:sz w:val="20"/>
        </w:rPr>
        <w:t>a Corte resalta la situación de alto riesgo y vulnerabilidad que persiste para los beneficiarios, dados los hechos de extrema gravedad que han ocurrido con posterioridad a la Resolución de 25 de marzo de 2017</w:t>
      </w:r>
      <w:r w:rsidR="002D5DC6" w:rsidRPr="0005044D">
        <w:rPr>
          <w:rFonts w:ascii="Verdana" w:hAnsi="Verdana"/>
          <w:sz w:val="20"/>
        </w:rPr>
        <w:t>,</w:t>
      </w:r>
      <w:r w:rsidR="00AB1D7F" w:rsidRPr="0005044D">
        <w:rPr>
          <w:rFonts w:ascii="Verdana" w:hAnsi="Verdana" w:cs="Arial"/>
          <w:sz w:val="20"/>
        </w:rPr>
        <w:t xml:space="preserve"> a lo que se suma la dificultad y el riesgo que supone para los afectados formular las denuncias respectivas</w:t>
      </w:r>
      <w:r w:rsidR="00E83954" w:rsidRPr="0005044D">
        <w:rPr>
          <w:rFonts w:ascii="Verdana" w:hAnsi="Verdana" w:cs="Arial"/>
          <w:sz w:val="20"/>
        </w:rPr>
        <w:t>.</w:t>
      </w:r>
      <w:r w:rsidR="00BE6A85" w:rsidRPr="0005044D">
        <w:rPr>
          <w:rFonts w:ascii="Verdana" w:hAnsi="Verdana"/>
          <w:sz w:val="20"/>
        </w:rPr>
        <w:t xml:space="preserve"> </w:t>
      </w:r>
      <w:r w:rsidR="00D93F73" w:rsidRPr="0005044D">
        <w:rPr>
          <w:rFonts w:ascii="Verdana" w:hAnsi="Verdana"/>
          <w:sz w:val="20"/>
        </w:rPr>
        <w:t xml:space="preserve">En ese sentido, </w:t>
      </w:r>
      <w:r w:rsidR="001C050D" w:rsidRPr="0005044D">
        <w:rPr>
          <w:rFonts w:ascii="Verdana" w:hAnsi="Verdana"/>
          <w:sz w:val="20"/>
        </w:rPr>
        <w:t xml:space="preserve">la Corte ha recibido información </w:t>
      </w:r>
      <w:r w:rsidR="001D0E78" w:rsidRPr="0005044D">
        <w:rPr>
          <w:rFonts w:ascii="Verdana" w:hAnsi="Verdana"/>
          <w:sz w:val="20"/>
        </w:rPr>
        <w:t>en cuanto a que</w:t>
      </w:r>
      <w:r w:rsidR="001C050D" w:rsidRPr="0005044D">
        <w:rPr>
          <w:rFonts w:ascii="Verdana" w:hAnsi="Verdana"/>
          <w:sz w:val="20"/>
        </w:rPr>
        <w:t xml:space="preserve"> </w:t>
      </w:r>
      <w:r w:rsidR="00D93F73" w:rsidRPr="0005044D">
        <w:rPr>
          <w:rFonts w:ascii="Verdana" w:hAnsi="Verdana"/>
          <w:sz w:val="20"/>
        </w:rPr>
        <w:t>la comisión de delitos contra integrantes de la comunidad</w:t>
      </w:r>
      <w:r w:rsidR="001C050D" w:rsidRPr="0005044D">
        <w:rPr>
          <w:rFonts w:ascii="Verdana" w:hAnsi="Verdana"/>
          <w:sz w:val="20"/>
        </w:rPr>
        <w:t xml:space="preserve"> continúa</w:t>
      </w:r>
      <w:r w:rsidR="00D93F73" w:rsidRPr="0005044D">
        <w:rPr>
          <w:rFonts w:ascii="Verdana" w:hAnsi="Verdana"/>
          <w:sz w:val="20"/>
        </w:rPr>
        <w:t xml:space="preserve">, entre </w:t>
      </w:r>
      <w:r w:rsidR="00A117B7" w:rsidRPr="0005044D">
        <w:rPr>
          <w:rFonts w:ascii="Verdana" w:hAnsi="Verdana"/>
          <w:sz w:val="20"/>
        </w:rPr>
        <w:t>estos</w:t>
      </w:r>
      <w:r w:rsidR="0091194C" w:rsidRPr="0005044D">
        <w:rPr>
          <w:rFonts w:ascii="Verdana" w:hAnsi="Verdana"/>
          <w:sz w:val="20"/>
        </w:rPr>
        <w:t>,</w:t>
      </w:r>
      <w:r w:rsidR="00D93F73" w:rsidRPr="0005044D">
        <w:rPr>
          <w:rFonts w:ascii="Verdana" w:hAnsi="Verdana"/>
          <w:sz w:val="20"/>
        </w:rPr>
        <w:t xml:space="preserve"> muertes violentas, actos de violencia sexual, lesiones, amenazas, delitos contra el patrimonio, apropiación de tierras y otros ilícitos</w:t>
      </w:r>
      <w:r w:rsidR="00D93F73" w:rsidRPr="0005044D">
        <w:rPr>
          <w:rStyle w:val="Refdenotaalpie"/>
          <w:rFonts w:ascii="Verdana" w:hAnsi="Verdana"/>
          <w:sz w:val="20"/>
        </w:rPr>
        <w:footnoteReference w:id="11"/>
      </w:r>
      <w:r w:rsidR="00D93F73" w:rsidRPr="0005044D">
        <w:rPr>
          <w:rFonts w:ascii="Verdana" w:hAnsi="Verdana"/>
          <w:sz w:val="20"/>
        </w:rPr>
        <w:t xml:space="preserve">. </w:t>
      </w:r>
      <w:r w:rsidR="0091194C" w:rsidRPr="0005044D">
        <w:rPr>
          <w:rFonts w:ascii="Verdana" w:hAnsi="Verdana"/>
          <w:sz w:val="20"/>
        </w:rPr>
        <w:t>E</w:t>
      </w:r>
      <w:r w:rsidR="00E83954" w:rsidRPr="0005044D">
        <w:rPr>
          <w:rFonts w:ascii="Verdana" w:hAnsi="Verdana"/>
          <w:sz w:val="20"/>
        </w:rPr>
        <w:t>n e</w:t>
      </w:r>
      <w:r w:rsidR="0091194C" w:rsidRPr="0005044D">
        <w:rPr>
          <w:rFonts w:ascii="Verdana" w:hAnsi="Verdana"/>
          <w:sz w:val="20"/>
        </w:rPr>
        <w:t>specífic</w:t>
      </w:r>
      <w:r w:rsidR="00E83954" w:rsidRPr="0005044D">
        <w:rPr>
          <w:rFonts w:ascii="Verdana" w:hAnsi="Verdana"/>
          <w:sz w:val="20"/>
        </w:rPr>
        <w:t>o</w:t>
      </w:r>
      <w:r w:rsidR="00BE6A85" w:rsidRPr="0005044D">
        <w:rPr>
          <w:rFonts w:ascii="Verdana" w:hAnsi="Verdana"/>
          <w:sz w:val="20"/>
        </w:rPr>
        <w:t>, según la información brindada por los representantes</w:t>
      </w:r>
      <w:r w:rsidR="000A7B1E" w:rsidRPr="0005044D">
        <w:rPr>
          <w:rFonts w:ascii="Verdana" w:hAnsi="Verdana"/>
          <w:sz w:val="20"/>
        </w:rPr>
        <w:t>,</w:t>
      </w:r>
      <w:r w:rsidR="00BE6A85" w:rsidRPr="0005044D">
        <w:rPr>
          <w:rFonts w:ascii="Verdana" w:hAnsi="Verdana"/>
          <w:sz w:val="20"/>
        </w:rPr>
        <w:t xml:space="preserve"> y en determinados aspectos también por el Estado, cabe mencionar lo siguiente:</w:t>
      </w:r>
    </w:p>
    <w:p w14:paraId="0E0A7EFD" w14:textId="77777777" w:rsidR="00BE6A85" w:rsidRPr="0005044D" w:rsidRDefault="00BE6A85" w:rsidP="00BE6A85">
      <w:pPr>
        <w:pStyle w:val="Prrafodelista"/>
        <w:rPr>
          <w:rFonts w:ascii="Verdana" w:hAnsi="Verdana" w:cs="Arial"/>
          <w:sz w:val="20"/>
        </w:rPr>
      </w:pPr>
    </w:p>
    <w:p w14:paraId="2A6DB45F" w14:textId="706F3CC9" w:rsidR="00FB2FE4" w:rsidRPr="0005044D" w:rsidRDefault="00FB2FE4" w:rsidP="00FB2FE4">
      <w:pPr>
        <w:pStyle w:val="Prrafodelista"/>
        <w:numPr>
          <w:ilvl w:val="0"/>
          <w:numId w:val="9"/>
        </w:numPr>
        <w:ind w:right="22"/>
        <w:jc w:val="both"/>
        <w:rPr>
          <w:rFonts w:ascii="Verdana" w:hAnsi="Verdana"/>
          <w:sz w:val="20"/>
        </w:rPr>
      </w:pPr>
      <w:r w:rsidRPr="0005044D">
        <w:rPr>
          <w:rFonts w:ascii="Verdana" w:hAnsi="Verdana" w:cs="Arial"/>
          <w:sz w:val="20"/>
        </w:rPr>
        <w:t xml:space="preserve">los hechos ocurridos los días 2 y 3 de diciembre de 2017, durante el desarrollo de los talleres organizados para la elaboración del diagnóstico sobre la situación de la </w:t>
      </w:r>
      <w:r w:rsidRPr="0005044D">
        <w:rPr>
          <w:rFonts w:ascii="Verdana" w:hAnsi="Verdana" w:cs="Arial"/>
          <w:sz w:val="20"/>
        </w:rPr>
        <w:lastRenderedPageBreak/>
        <w:t>comunidad, oportunidad en la que los beneficiarios se mostraron temerosos ante la posibilidad de presentar denuncias a funcionarios de la Fiscalía General de Chihuahua, pues, según indicaron, en cuanto la comitiva se retirara del lugar, los agresores llegarían para preguntar acerca de lo habl</w:t>
      </w:r>
      <w:r w:rsidR="00B13DFF" w:rsidRPr="0005044D">
        <w:rPr>
          <w:rFonts w:ascii="Verdana" w:hAnsi="Verdana" w:cs="Arial"/>
          <w:sz w:val="20"/>
        </w:rPr>
        <w:t>ado con las autoridades. L</w:t>
      </w:r>
      <w:r w:rsidRPr="0005044D">
        <w:rPr>
          <w:rFonts w:ascii="Verdana" w:hAnsi="Verdana" w:cs="Arial"/>
          <w:sz w:val="20"/>
        </w:rPr>
        <w:t>o anterior hizo necesario recibir las denuncias en un lugar distinto a aquel en el que se desarrollaban los talleres, en virtud de lo cual se habrían denunciado al menos 13 hechos de violencia, incluida la muerte de un bebé, producto de las agresiones que se habrían cometido contra su madre mientras lo llevaba en brazos;</w:t>
      </w:r>
    </w:p>
    <w:p w14:paraId="069F8BFD" w14:textId="77777777" w:rsidR="00B13DFF" w:rsidRPr="0005044D" w:rsidRDefault="00FB2FE4" w:rsidP="00FB2FE4">
      <w:pPr>
        <w:pStyle w:val="Prrafodelista"/>
        <w:numPr>
          <w:ilvl w:val="0"/>
          <w:numId w:val="9"/>
        </w:numPr>
        <w:ind w:right="22"/>
        <w:jc w:val="both"/>
        <w:rPr>
          <w:rFonts w:ascii="Verdana" w:hAnsi="Verdana"/>
          <w:sz w:val="20"/>
        </w:rPr>
      </w:pPr>
      <w:r w:rsidRPr="0005044D">
        <w:rPr>
          <w:rFonts w:ascii="Verdana" w:hAnsi="Verdana" w:cs="Arial"/>
          <w:sz w:val="20"/>
        </w:rPr>
        <w:t>durante el desarrollo de dichos talleres los organizadores observaron en tres o cuatro oportunidades a distintas personas cuya sola presencia provocaba que los participantes interrumpieran sus intervenciones, a quienes luego identificaron como “malandros”, lo que provocó que no se abordará el tema de la existencia de grupos del crimen organizado en la región</w:t>
      </w:r>
      <w:r w:rsidRPr="0005044D">
        <w:rPr>
          <w:rStyle w:val="Refdenotaalpie"/>
          <w:rFonts w:ascii="Verdana" w:hAnsi="Verdana"/>
          <w:sz w:val="20"/>
        </w:rPr>
        <w:footnoteReference w:id="12"/>
      </w:r>
      <w:r w:rsidRPr="0005044D">
        <w:rPr>
          <w:rFonts w:ascii="Verdana" w:hAnsi="Verdana" w:cs="Arial"/>
          <w:sz w:val="20"/>
        </w:rPr>
        <w:t xml:space="preserve">; </w:t>
      </w:r>
    </w:p>
    <w:p w14:paraId="172AEC1C" w14:textId="1DB77036" w:rsidR="00B13DFF" w:rsidRPr="0005044D" w:rsidRDefault="00FB2FE4" w:rsidP="00FB2FE4">
      <w:pPr>
        <w:pStyle w:val="Prrafodelista"/>
        <w:numPr>
          <w:ilvl w:val="0"/>
          <w:numId w:val="9"/>
        </w:numPr>
        <w:ind w:right="22"/>
        <w:jc w:val="both"/>
        <w:rPr>
          <w:rFonts w:ascii="Verdana" w:hAnsi="Verdana"/>
          <w:sz w:val="20"/>
        </w:rPr>
      </w:pPr>
      <w:r w:rsidRPr="0005044D">
        <w:rPr>
          <w:rFonts w:ascii="Verdana" w:hAnsi="Verdana" w:cs="Arial"/>
          <w:sz w:val="20"/>
        </w:rPr>
        <w:t>de igual forma, integrantes del grupo de mujeres alertaron a las facilitadoras del taller acerca de la presencia de tres jóvenes enviados por el grupo agresor que observaban el desarrollo de la actividad</w:t>
      </w:r>
      <w:r w:rsidRPr="0005044D">
        <w:rPr>
          <w:rStyle w:val="Refdenotaalpie"/>
          <w:rFonts w:ascii="Verdana" w:hAnsi="Verdana"/>
          <w:sz w:val="20"/>
        </w:rPr>
        <w:footnoteReference w:id="13"/>
      </w:r>
      <w:r w:rsidRPr="0005044D">
        <w:rPr>
          <w:rFonts w:ascii="Verdana" w:hAnsi="Verdana" w:cs="Arial"/>
          <w:sz w:val="20"/>
        </w:rPr>
        <w:t>;</w:t>
      </w:r>
    </w:p>
    <w:p w14:paraId="43B65766" w14:textId="711AF9CE" w:rsidR="00BE6A85" w:rsidRPr="0005044D" w:rsidRDefault="00B13DFF" w:rsidP="00FB2FE4">
      <w:pPr>
        <w:pStyle w:val="Prrafodelista"/>
        <w:numPr>
          <w:ilvl w:val="0"/>
          <w:numId w:val="9"/>
        </w:numPr>
        <w:ind w:right="22"/>
        <w:jc w:val="both"/>
        <w:rPr>
          <w:rFonts w:ascii="Verdana" w:hAnsi="Verdana"/>
          <w:sz w:val="20"/>
        </w:rPr>
      </w:pPr>
      <w:r w:rsidRPr="0005044D">
        <w:rPr>
          <w:rFonts w:ascii="Verdana" w:hAnsi="Verdana" w:cs="Arial"/>
          <w:sz w:val="20"/>
        </w:rPr>
        <w:t>l</w:t>
      </w:r>
      <w:r w:rsidR="00BE6A85" w:rsidRPr="0005044D">
        <w:rPr>
          <w:rFonts w:ascii="Verdana" w:hAnsi="Verdana" w:cs="Arial"/>
          <w:sz w:val="20"/>
        </w:rPr>
        <w:t>a presencia permanente de personas armadas vestidas de militares que vigilan los caminos de acceso a la comunidad, quienes de acuerdo a lo informado detienen, amenazan e interrogan sobre sus actividades a los beneficiarios;</w:t>
      </w:r>
    </w:p>
    <w:p w14:paraId="51437E19" w14:textId="32EE5ADC" w:rsidR="00BE6A85" w:rsidRPr="0005044D" w:rsidRDefault="00BE6A85" w:rsidP="00BE6A85">
      <w:pPr>
        <w:pStyle w:val="Prrafodelista"/>
        <w:numPr>
          <w:ilvl w:val="0"/>
          <w:numId w:val="9"/>
        </w:numPr>
        <w:ind w:right="22"/>
        <w:jc w:val="both"/>
        <w:rPr>
          <w:rFonts w:ascii="Verdana" w:hAnsi="Verdana"/>
          <w:sz w:val="20"/>
        </w:rPr>
      </w:pPr>
      <w:r w:rsidRPr="0005044D">
        <w:rPr>
          <w:rFonts w:ascii="Verdana" w:hAnsi="Verdana" w:cs="Arial"/>
          <w:sz w:val="20"/>
        </w:rPr>
        <w:t xml:space="preserve">la </w:t>
      </w:r>
      <w:r w:rsidR="002802A9" w:rsidRPr="0005044D">
        <w:rPr>
          <w:rFonts w:ascii="Verdana" w:hAnsi="Verdana" w:cs="Arial"/>
          <w:sz w:val="20"/>
        </w:rPr>
        <w:t xml:space="preserve">alegada </w:t>
      </w:r>
      <w:r w:rsidRPr="0005044D">
        <w:rPr>
          <w:rFonts w:ascii="Verdana" w:hAnsi="Verdana" w:cs="Arial"/>
          <w:sz w:val="20"/>
        </w:rPr>
        <w:t xml:space="preserve">comisión de distintos hechos delictivos en perjuicio de la comunidad, incluidos los posibles homicidios de Francisco Cruz Ramos, ocurrido el 30 de mayo de 2018, y de Samuel </w:t>
      </w:r>
      <w:proofErr w:type="spellStart"/>
      <w:r w:rsidRPr="0005044D">
        <w:rPr>
          <w:rFonts w:ascii="Verdana" w:hAnsi="Verdana" w:cs="Arial"/>
          <w:sz w:val="20"/>
        </w:rPr>
        <w:t>Bisigochi</w:t>
      </w:r>
      <w:proofErr w:type="spellEnd"/>
      <w:r w:rsidRPr="0005044D">
        <w:rPr>
          <w:rFonts w:ascii="Verdana" w:hAnsi="Verdana" w:cs="Arial"/>
          <w:sz w:val="20"/>
        </w:rPr>
        <w:t>, sucedido el 11 de junio de 2018; por lo menos cuatro violaciones cometidas en perjuicio de dos niñas, una joven y una mujer; robo de animales y de paneles solares; quemas de casas, tala ilegal y apropiación de tierras para siembra de amapola</w:t>
      </w:r>
      <w:r w:rsidRPr="0005044D">
        <w:rPr>
          <w:rStyle w:val="Refdenotaalpie"/>
          <w:rFonts w:ascii="Verdana" w:hAnsi="Verdana"/>
          <w:sz w:val="20"/>
        </w:rPr>
        <w:footnoteReference w:id="14"/>
      </w:r>
      <w:r w:rsidR="00AB1D7F" w:rsidRPr="0005044D">
        <w:rPr>
          <w:rFonts w:ascii="Verdana" w:hAnsi="Verdana" w:cs="Arial"/>
          <w:sz w:val="20"/>
        </w:rPr>
        <w:t>;</w:t>
      </w:r>
      <w:r w:rsidRPr="0005044D">
        <w:rPr>
          <w:rFonts w:ascii="Verdana" w:hAnsi="Verdana" w:cs="Arial"/>
          <w:sz w:val="20"/>
        </w:rPr>
        <w:t xml:space="preserve"> </w:t>
      </w:r>
    </w:p>
    <w:p w14:paraId="0B91AC7C" w14:textId="5F834E84" w:rsidR="00BE6A85" w:rsidRPr="0005044D" w:rsidRDefault="00BE6A85" w:rsidP="00BE6A85">
      <w:pPr>
        <w:pStyle w:val="Prrafodelista"/>
        <w:numPr>
          <w:ilvl w:val="0"/>
          <w:numId w:val="9"/>
        </w:numPr>
        <w:ind w:right="22"/>
        <w:jc w:val="both"/>
        <w:rPr>
          <w:rFonts w:ascii="Verdana" w:hAnsi="Verdana"/>
          <w:sz w:val="20"/>
        </w:rPr>
      </w:pPr>
      <w:r w:rsidRPr="0005044D">
        <w:rPr>
          <w:rFonts w:ascii="Verdana" w:hAnsi="Verdana"/>
          <w:sz w:val="20"/>
        </w:rPr>
        <w:t xml:space="preserve">el desplazamiento forzado de integrantes de la comunidad por el temor a acciones de violencia en su contra, como habría sucedido con el </w:t>
      </w:r>
      <w:r w:rsidRPr="0005044D">
        <w:rPr>
          <w:rFonts w:ascii="Verdana" w:hAnsi="Verdana" w:cs="Arial"/>
          <w:sz w:val="20"/>
        </w:rPr>
        <w:t>señor Isidro Ontiveros Ramos</w:t>
      </w:r>
      <w:r w:rsidR="00DE0B03" w:rsidRPr="0005044D">
        <w:rPr>
          <w:rFonts w:ascii="Verdana" w:hAnsi="Verdana" w:cs="Arial"/>
          <w:sz w:val="20"/>
        </w:rPr>
        <w:t>,</w:t>
      </w:r>
      <w:r w:rsidR="00037A25" w:rsidRPr="0005044D">
        <w:rPr>
          <w:rFonts w:ascii="Verdana" w:hAnsi="Verdana" w:cs="Arial"/>
          <w:sz w:val="20"/>
        </w:rPr>
        <w:t xml:space="preserve"> y</w:t>
      </w:r>
    </w:p>
    <w:p w14:paraId="1A122747" w14:textId="3467E3D8" w:rsidR="00BE6A85" w:rsidRPr="0005044D" w:rsidRDefault="00BE6A85" w:rsidP="00BE6A85">
      <w:pPr>
        <w:pStyle w:val="Prrafodelista"/>
        <w:numPr>
          <w:ilvl w:val="0"/>
          <w:numId w:val="9"/>
        </w:numPr>
        <w:ind w:right="22"/>
        <w:jc w:val="both"/>
        <w:rPr>
          <w:rFonts w:ascii="Verdana" w:hAnsi="Verdana"/>
          <w:sz w:val="20"/>
        </w:rPr>
      </w:pPr>
      <w:r w:rsidRPr="0005044D">
        <w:rPr>
          <w:rFonts w:ascii="Verdana" w:hAnsi="Verdana" w:cs="Arial"/>
          <w:sz w:val="20"/>
        </w:rPr>
        <w:t>el impacto que la violencia habría causado en la vida de la comunidad, al impedir a sus miembros ejercer sus prácticas culturales, y el temor de que los hechos ocurridos provocarían a los beneficiarios, lo que habría incidido negativamente en la realización de las actividades más esenciales para su normal desarrollo.</w:t>
      </w:r>
    </w:p>
    <w:p w14:paraId="45798E68" w14:textId="77777777" w:rsidR="00BE6A85" w:rsidRPr="0005044D" w:rsidRDefault="00BE6A85" w:rsidP="00BE6A85">
      <w:pPr>
        <w:pStyle w:val="Prrafodelista"/>
        <w:rPr>
          <w:rFonts w:ascii="Verdana" w:hAnsi="Verdana"/>
          <w:sz w:val="20"/>
        </w:rPr>
      </w:pPr>
    </w:p>
    <w:p w14:paraId="1158C0B1" w14:textId="388807DE" w:rsidR="007D3EE3" w:rsidRPr="0005044D" w:rsidRDefault="007D3EE3" w:rsidP="000B118B">
      <w:pPr>
        <w:pStyle w:val="Prrafodelista"/>
        <w:numPr>
          <w:ilvl w:val="0"/>
          <w:numId w:val="7"/>
        </w:numPr>
        <w:ind w:left="0" w:right="22" w:hanging="11"/>
        <w:jc w:val="both"/>
        <w:rPr>
          <w:rFonts w:ascii="Verdana" w:hAnsi="Verdana"/>
          <w:sz w:val="20"/>
        </w:rPr>
      </w:pPr>
      <w:r w:rsidRPr="0005044D">
        <w:rPr>
          <w:rFonts w:ascii="Verdana" w:hAnsi="Verdana"/>
          <w:sz w:val="20"/>
        </w:rPr>
        <w:t>En cuanto a los operativos dirigidos a la investigación de hechos delictivos, el Estado ha informado sobre diversas diligencias, incluidas acciones para lograr la ejecución de órdenes de aprehensión, una exhumación, inspecciones en distintos lugares, entrevistas a víctimas y testigos, y recepción de denuncias por parte de funcionarios de la Fiscalía General de Chihuahua.</w:t>
      </w:r>
      <w:r w:rsidR="00E83954" w:rsidRPr="0005044D">
        <w:rPr>
          <w:rFonts w:ascii="Verdana" w:hAnsi="Verdana"/>
          <w:sz w:val="20"/>
        </w:rPr>
        <w:t xml:space="preserve"> </w:t>
      </w:r>
      <w:r w:rsidRPr="0005044D">
        <w:rPr>
          <w:rFonts w:ascii="Verdana" w:hAnsi="Verdana"/>
          <w:sz w:val="20"/>
        </w:rPr>
        <w:t>No obstante, también los representantes han cuestionado determinada información proporcionada por el Estado acerca de la realización de tales acciones y su efectividad</w:t>
      </w:r>
      <w:r w:rsidR="00037A25" w:rsidRPr="0005044D">
        <w:rPr>
          <w:rFonts w:ascii="Verdana" w:hAnsi="Verdana"/>
          <w:sz w:val="20"/>
        </w:rPr>
        <w:t>, como por ejemplo</w:t>
      </w:r>
      <w:r w:rsidRPr="0005044D">
        <w:rPr>
          <w:rFonts w:ascii="Verdana" w:hAnsi="Verdana"/>
          <w:sz w:val="20"/>
        </w:rPr>
        <w:t xml:space="preserve"> </w:t>
      </w:r>
      <w:r w:rsidR="00037A25" w:rsidRPr="0005044D">
        <w:rPr>
          <w:rFonts w:ascii="Verdana" w:hAnsi="Verdana"/>
          <w:sz w:val="20"/>
        </w:rPr>
        <w:t xml:space="preserve">la supuesta colusión que existiría entre autoridades y agresores, en tanto las diligencias desarrolladas el 9 de febrero de 2018 a efecto de ejecutar una orden de aprehensión resultaron infructuosas por la información que previamente la policía habría brindado al grupo agresor. </w:t>
      </w:r>
      <w:r w:rsidR="00EC359F" w:rsidRPr="0005044D">
        <w:rPr>
          <w:rFonts w:ascii="Verdana" w:hAnsi="Verdana"/>
          <w:sz w:val="20"/>
        </w:rPr>
        <w:t>En est</w:t>
      </w:r>
      <w:r w:rsidR="00D93F73" w:rsidRPr="0005044D">
        <w:rPr>
          <w:rFonts w:ascii="Verdana" w:hAnsi="Verdana"/>
          <w:sz w:val="20"/>
        </w:rPr>
        <w:t>a</w:t>
      </w:r>
      <w:r w:rsidR="00EC359F" w:rsidRPr="0005044D">
        <w:rPr>
          <w:rFonts w:ascii="Verdana" w:hAnsi="Verdana"/>
          <w:sz w:val="20"/>
        </w:rPr>
        <w:t xml:space="preserve"> </w:t>
      </w:r>
      <w:r w:rsidR="00D93F73" w:rsidRPr="0005044D">
        <w:rPr>
          <w:rFonts w:ascii="Verdana" w:hAnsi="Verdana"/>
          <w:sz w:val="20"/>
        </w:rPr>
        <w:t>línea</w:t>
      </w:r>
      <w:r w:rsidR="00EC359F" w:rsidRPr="0005044D">
        <w:rPr>
          <w:rFonts w:ascii="Verdana" w:hAnsi="Verdana"/>
          <w:sz w:val="20"/>
        </w:rPr>
        <w:t>, no se cuenta con información precisa en cuanto al avance de las investigaciones respectivas</w:t>
      </w:r>
      <w:r w:rsidR="00037A25" w:rsidRPr="0005044D">
        <w:rPr>
          <w:rFonts w:ascii="Verdana" w:hAnsi="Verdana"/>
          <w:sz w:val="20"/>
        </w:rPr>
        <w:t xml:space="preserve"> para identificar y deducir responsabilidades a los autores de </w:t>
      </w:r>
      <w:r w:rsidR="00037A25" w:rsidRPr="0005044D">
        <w:rPr>
          <w:rFonts w:ascii="Verdana" w:hAnsi="Verdana"/>
          <w:sz w:val="20"/>
        </w:rPr>
        <w:lastRenderedPageBreak/>
        <w:t>distintos delitos que afectarían a la comunidad</w:t>
      </w:r>
      <w:r w:rsidR="00037A25" w:rsidRPr="0005044D">
        <w:rPr>
          <w:rStyle w:val="Refdenotaalpie"/>
          <w:rFonts w:ascii="Verdana" w:hAnsi="Verdana"/>
          <w:sz w:val="20"/>
        </w:rPr>
        <w:footnoteReference w:id="15"/>
      </w:r>
      <w:r w:rsidR="00EC359F" w:rsidRPr="0005044D">
        <w:rPr>
          <w:rFonts w:ascii="Verdana" w:hAnsi="Verdana"/>
          <w:sz w:val="20"/>
        </w:rPr>
        <w:t>, situación que ha sido destacada especialmente por la Comisión en sus observaciones.</w:t>
      </w:r>
    </w:p>
    <w:p w14:paraId="14E50A90" w14:textId="722DB870" w:rsidR="007D3EE3" w:rsidRPr="0005044D" w:rsidRDefault="007D3EE3" w:rsidP="007D3EE3">
      <w:pPr>
        <w:pStyle w:val="Prrafodelista"/>
        <w:ind w:left="0" w:hanging="11"/>
        <w:rPr>
          <w:rFonts w:ascii="Verdana" w:hAnsi="Verdana"/>
          <w:sz w:val="20"/>
        </w:rPr>
      </w:pPr>
    </w:p>
    <w:p w14:paraId="298C39EA" w14:textId="100D5552" w:rsidR="00BC158F" w:rsidRPr="0005044D" w:rsidRDefault="00BC158F" w:rsidP="00BC158F">
      <w:pPr>
        <w:pStyle w:val="Prrafodelista"/>
        <w:numPr>
          <w:ilvl w:val="0"/>
          <w:numId w:val="7"/>
        </w:numPr>
        <w:ind w:left="0" w:right="22" w:hanging="11"/>
        <w:jc w:val="both"/>
        <w:rPr>
          <w:rFonts w:ascii="Verdana" w:hAnsi="Verdana"/>
          <w:sz w:val="20"/>
        </w:rPr>
      </w:pPr>
      <w:r w:rsidRPr="0005044D">
        <w:rPr>
          <w:rFonts w:ascii="Verdana" w:hAnsi="Verdana"/>
          <w:sz w:val="20"/>
        </w:rPr>
        <w:t xml:space="preserve">Con base en los </w:t>
      </w:r>
      <w:r w:rsidR="00DA2A90" w:rsidRPr="0005044D">
        <w:rPr>
          <w:rFonts w:ascii="Verdana" w:hAnsi="Verdana"/>
          <w:sz w:val="20"/>
        </w:rPr>
        <w:t>elementos referidos</w:t>
      </w:r>
      <w:r w:rsidRPr="0005044D">
        <w:rPr>
          <w:rFonts w:ascii="Verdana" w:hAnsi="Verdana"/>
          <w:sz w:val="20"/>
        </w:rPr>
        <w:t>, la Corte</w:t>
      </w:r>
      <w:r w:rsidR="00DA2A90" w:rsidRPr="0005044D">
        <w:rPr>
          <w:rFonts w:ascii="Verdana" w:hAnsi="Verdana"/>
          <w:sz w:val="20"/>
        </w:rPr>
        <w:t xml:space="preserve"> considera</w:t>
      </w:r>
      <w:r w:rsidRPr="0005044D">
        <w:rPr>
          <w:rFonts w:ascii="Verdana" w:hAnsi="Verdana"/>
          <w:sz w:val="20"/>
        </w:rPr>
        <w:t xml:space="preserve"> que las autoridades del Estado mexicano no han efectuado todos los esfuerzos a su alcance para brindar protección y garantizar el respeto a la vida y a la integridad personal de los integrantes de la comunidad de Choréachi. </w:t>
      </w:r>
      <w:r w:rsidRPr="0005044D">
        <w:rPr>
          <w:rFonts w:ascii="Verdana" w:hAnsi="Verdana"/>
          <w:sz w:val="20"/>
          <w:lang w:val="es-ES"/>
        </w:rPr>
        <w:t>Lo anterior se afirma a partir de haber constatado la falta de definición y concreción de medidas de protección oportunas, adecuadas y efectivas.</w:t>
      </w:r>
    </w:p>
    <w:p w14:paraId="4CE49793" w14:textId="77777777" w:rsidR="00BC158F" w:rsidRPr="0005044D" w:rsidRDefault="00BC158F" w:rsidP="00BC158F">
      <w:pPr>
        <w:pStyle w:val="Prrafodelista"/>
        <w:ind w:left="0" w:right="22"/>
        <w:jc w:val="both"/>
        <w:rPr>
          <w:rFonts w:ascii="Verdana" w:hAnsi="Verdana"/>
          <w:sz w:val="20"/>
        </w:rPr>
      </w:pPr>
    </w:p>
    <w:p w14:paraId="03968F24" w14:textId="6ACB9DCB" w:rsidR="00BC158F" w:rsidRPr="0005044D" w:rsidRDefault="00BC158F" w:rsidP="00B82315">
      <w:pPr>
        <w:pStyle w:val="Prrafodelista"/>
        <w:numPr>
          <w:ilvl w:val="0"/>
          <w:numId w:val="7"/>
        </w:numPr>
        <w:ind w:left="0" w:right="22" w:hanging="11"/>
        <w:jc w:val="both"/>
        <w:rPr>
          <w:rFonts w:ascii="Verdana" w:hAnsi="Verdana"/>
          <w:sz w:val="20"/>
        </w:rPr>
      </w:pPr>
      <w:r w:rsidRPr="0005044D">
        <w:rPr>
          <w:rFonts w:ascii="Verdana" w:hAnsi="Verdana"/>
          <w:sz w:val="20"/>
        </w:rPr>
        <w:t xml:space="preserve">En conclusión, a criterio del Tribunal, subsiste la situación de extrema gravedad y urgencia, así como la posibilidad razonable de que continúen ocurriendo daños de carácter irreparable para los beneficiarios, lo que hace exigible </w:t>
      </w:r>
      <w:bookmarkStart w:id="9" w:name="_Hlk37194432"/>
      <w:r w:rsidRPr="0005044D">
        <w:rPr>
          <w:rFonts w:ascii="Verdana" w:hAnsi="Verdana"/>
          <w:sz w:val="20"/>
        </w:rPr>
        <w:t xml:space="preserve">requerir al Estado que continúe adoptado las medidas necesarias para proteger de manera efectiva la vida y la integridad personal de los miembros de la comunidad indígena de Choréachi, y que implemente, de manera inmediata, todas aquellas </w:t>
      </w:r>
      <w:r w:rsidR="00B82315" w:rsidRPr="0005044D">
        <w:rPr>
          <w:rFonts w:ascii="Verdana" w:hAnsi="Verdana"/>
          <w:sz w:val="20"/>
        </w:rPr>
        <w:t>otras acciones que</w:t>
      </w:r>
      <w:r w:rsidR="00DA2A90" w:rsidRPr="0005044D">
        <w:rPr>
          <w:rFonts w:ascii="Verdana" w:hAnsi="Verdana"/>
          <w:sz w:val="20"/>
        </w:rPr>
        <w:t xml:space="preserve"> se </w:t>
      </w:r>
      <w:r w:rsidR="00B82315" w:rsidRPr="0005044D">
        <w:rPr>
          <w:rFonts w:ascii="Verdana" w:hAnsi="Verdana"/>
          <w:sz w:val="20"/>
        </w:rPr>
        <w:t>considere</w:t>
      </w:r>
      <w:r w:rsidRPr="0005044D">
        <w:rPr>
          <w:rFonts w:ascii="Verdana" w:hAnsi="Verdana"/>
          <w:sz w:val="20"/>
        </w:rPr>
        <w:t xml:space="preserve"> adecuadas para tales fines</w:t>
      </w:r>
      <w:bookmarkStart w:id="10" w:name="_Hlk40905759"/>
      <w:r w:rsidRPr="0005044D">
        <w:rPr>
          <w:rFonts w:ascii="Verdana" w:hAnsi="Verdana"/>
          <w:sz w:val="20"/>
        </w:rPr>
        <w:t>.</w:t>
      </w:r>
      <w:bookmarkEnd w:id="9"/>
      <w:r w:rsidR="00B82315" w:rsidRPr="0005044D">
        <w:rPr>
          <w:rFonts w:ascii="Verdana" w:hAnsi="Verdana"/>
          <w:sz w:val="20"/>
        </w:rPr>
        <w:t xml:space="preserve"> Asimismo, deviene necesario reiterar al Estado que la planificación e implementación de las medidas de protección se realice con la </w:t>
      </w:r>
      <w:r w:rsidR="00B82315" w:rsidRPr="0005044D">
        <w:rPr>
          <w:rFonts w:ascii="Verdana" w:hAnsi="Verdana"/>
          <w:sz w:val="20"/>
          <w:lang w:val="es-AR"/>
        </w:rPr>
        <w:t xml:space="preserve">participación de los beneficiarios o sus representantes, se </w:t>
      </w:r>
      <w:r w:rsidR="00B82315" w:rsidRPr="0005044D">
        <w:rPr>
          <w:rFonts w:ascii="Verdana" w:hAnsi="Verdana"/>
          <w:sz w:val="20"/>
        </w:rPr>
        <w:t xml:space="preserve">observen criterios de pertinencia cultural y se efectúen las coordinaciones </w:t>
      </w:r>
      <w:r w:rsidR="00D15EBC" w:rsidRPr="0005044D">
        <w:rPr>
          <w:rFonts w:ascii="Verdana" w:hAnsi="Verdana"/>
          <w:sz w:val="20"/>
        </w:rPr>
        <w:t>necesarias</w:t>
      </w:r>
      <w:r w:rsidR="00B82315" w:rsidRPr="0005044D">
        <w:rPr>
          <w:rFonts w:ascii="Verdana" w:hAnsi="Verdana"/>
          <w:sz w:val="20"/>
        </w:rPr>
        <w:t xml:space="preserve"> con las diversas autoridades competentes en materias de seguridad y justicia.</w:t>
      </w:r>
      <w:bookmarkEnd w:id="10"/>
    </w:p>
    <w:p w14:paraId="60325577" w14:textId="226206D6" w:rsidR="00317885" w:rsidRPr="0005044D" w:rsidRDefault="00317885" w:rsidP="0031312F">
      <w:pPr>
        <w:pStyle w:val="Prrafodelista"/>
        <w:ind w:left="0" w:hanging="11"/>
        <w:rPr>
          <w:rFonts w:ascii="Verdana" w:hAnsi="Verdana"/>
          <w:sz w:val="20"/>
        </w:rPr>
      </w:pPr>
    </w:p>
    <w:p w14:paraId="56F8D821" w14:textId="59743FA9" w:rsidR="005D5137" w:rsidRPr="0005044D" w:rsidRDefault="005D5137" w:rsidP="005D5137">
      <w:pPr>
        <w:pStyle w:val="Prrafodelista"/>
        <w:numPr>
          <w:ilvl w:val="0"/>
          <w:numId w:val="7"/>
        </w:numPr>
        <w:ind w:left="0" w:right="22" w:hanging="11"/>
        <w:jc w:val="both"/>
        <w:rPr>
          <w:rFonts w:ascii="Verdana" w:hAnsi="Verdana"/>
          <w:sz w:val="20"/>
        </w:rPr>
      </w:pPr>
      <w:r w:rsidRPr="0005044D">
        <w:rPr>
          <w:rFonts w:ascii="Verdana" w:hAnsi="Verdana"/>
          <w:sz w:val="20"/>
        </w:rPr>
        <w:t xml:space="preserve">Asimismo, la Corte estima esencial que se actualice y finalice el </w:t>
      </w:r>
      <w:r w:rsidRPr="0005044D">
        <w:rPr>
          <w:rFonts w:ascii="Verdana" w:hAnsi="Verdana"/>
          <w:sz w:val="20"/>
          <w:lang w:val="es-AR"/>
        </w:rPr>
        <w:t>diagnóstico sobre la situación actual de riesgo de dichas comunidades. P</w:t>
      </w:r>
      <w:r w:rsidRPr="0005044D">
        <w:rPr>
          <w:rFonts w:ascii="Verdana" w:hAnsi="Verdana"/>
          <w:sz w:val="20"/>
        </w:rPr>
        <w:t xml:space="preserve">ara el efecto, resulta oportuno requerir que en </w:t>
      </w:r>
      <w:r w:rsidR="004341F9" w:rsidRPr="0005044D">
        <w:rPr>
          <w:rFonts w:ascii="Verdana" w:hAnsi="Verdana"/>
          <w:sz w:val="20"/>
        </w:rPr>
        <w:t>dicho</w:t>
      </w:r>
      <w:r w:rsidRPr="0005044D">
        <w:rPr>
          <w:rFonts w:ascii="Verdana" w:hAnsi="Verdana"/>
          <w:sz w:val="20"/>
        </w:rPr>
        <w:t xml:space="preserve"> diagnóstico se incluya la evaluación sobre el impacto y efectividad de la medida de extracción y el correspondiente desplazamiento de los beneficiarios fuera de su comunidad, a la vez que se pondere otro tipo de medidas culturalmente pertinentes.</w:t>
      </w:r>
    </w:p>
    <w:p w14:paraId="3F54C424" w14:textId="6A220693" w:rsidR="00227836" w:rsidRPr="0005044D" w:rsidRDefault="00227836" w:rsidP="005D5137">
      <w:pPr>
        <w:pStyle w:val="Prrafodelista"/>
        <w:ind w:left="0" w:right="22"/>
        <w:jc w:val="both"/>
        <w:rPr>
          <w:rFonts w:ascii="Verdana" w:hAnsi="Verdana"/>
          <w:sz w:val="20"/>
        </w:rPr>
      </w:pPr>
    </w:p>
    <w:p w14:paraId="7C24CB03" w14:textId="78652BB8" w:rsidR="002F6C8C" w:rsidRPr="0005044D" w:rsidRDefault="004341F9" w:rsidP="002F6C8C">
      <w:pPr>
        <w:pStyle w:val="Prrafodelista"/>
        <w:numPr>
          <w:ilvl w:val="0"/>
          <w:numId w:val="7"/>
        </w:numPr>
        <w:ind w:left="0" w:right="22" w:hanging="11"/>
        <w:jc w:val="both"/>
        <w:rPr>
          <w:rFonts w:ascii="Verdana" w:hAnsi="Verdana"/>
          <w:sz w:val="20"/>
        </w:rPr>
      </w:pPr>
      <w:r w:rsidRPr="0005044D">
        <w:rPr>
          <w:rFonts w:ascii="Verdana" w:hAnsi="Verdana"/>
          <w:sz w:val="20"/>
        </w:rPr>
        <w:t>Por su parte</w:t>
      </w:r>
      <w:r w:rsidR="002F6C8C" w:rsidRPr="0005044D">
        <w:rPr>
          <w:rFonts w:ascii="Verdana" w:hAnsi="Verdana"/>
          <w:sz w:val="20"/>
        </w:rPr>
        <w:t xml:space="preserve">, de conformidad con el artículo 27.8 del Reglamento de la Corte, “[e]n las circunstancias que estime pertinente, </w:t>
      </w:r>
      <w:r w:rsidR="002F6C8C" w:rsidRPr="0005044D">
        <w:rPr>
          <w:rFonts w:ascii="Verdana" w:hAnsi="Verdana" w:cs="Arial"/>
          <w:sz w:val="20"/>
        </w:rPr>
        <w:t>[el Tribunal]</w:t>
      </w:r>
      <w:r w:rsidR="002F6C8C" w:rsidRPr="0005044D">
        <w:rPr>
          <w:rFonts w:ascii="Verdana" w:hAnsi="Verdana"/>
          <w:sz w:val="20"/>
        </w:rPr>
        <w:t xml:space="preserve"> podrá requerir de otras fuentes de información datos relevantes sobre el asunto, que permitan apreciar la gravedad y urgencia de la situación y la eficacia de las medidas. Para los mismos efectos, podrá también requerir los peritajes e informes que considere oportunos”. En vista de todo lo anterior y sin perjuicio del informe que presente el Estado, es pertinente solicitar a la Comisión Nacional de Derechos Humanos que presente un informe directamente a este Tribunal que incluya su valoración respecto de la situación de riesgo y</w:t>
      </w:r>
      <w:r w:rsidRPr="0005044D">
        <w:rPr>
          <w:rFonts w:ascii="Verdana" w:hAnsi="Verdana"/>
          <w:sz w:val="20"/>
        </w:rPr>
        <w:t xml:space="preserve"> las</w:t>
      </w:r>
      <w:r w:rsidR="002F6C8C" w:rsidRPr="0005044D">
        <w:rPr>
          <w:rFonts w:ascii="Verdana" w:hAnsi="Verdana"/>
          <w:sz w:val="20"/>
        </w:rPr>
        <w:t xml:space="preserve"> medidas de protección que pueden ser implementadas en favor de la comunidad indígena de Choréachi.</w:t>
      </w:r>
    </w:p>
    <w:p w14:paraId="366314B6" w14:textId="77777777" w:rsidR="002F6C8C" w:rsidRPr="0005044D" w:rsidRDefault="002F6C8C" w:rsidP="005D5137">
      <w:pPr>
        <w:pStyle w:val="Prrafodelista"/>
        <w:ind w:left="0" w:right="22"/>
        <w:jc w:val="both"/>
        <w:rPr>
          <w:rFonts w:ascii="Verdana" w:hAnsi="Verdana"/>
          <w:sz w:val="20"/>
        </w:rPr>
      </w:pPr>
    </w:p>
    <w:p w14:paraId="35031FA4" w14:textId="4AAF34D6" w:rsidR="005D5137" w:rsidRPr="0005044D" w:rsidRDefault="00D15EBC" w:rsidP="005D5137">
      <w:pPr>
        <w:pStyle w:val="Prrafodelista"/>
        <w:numPr>
          <w:ilvl w:val="0"/>
          <w:numId w:val="7"/>
        </w:numPr>
        <w:ind w:left="0" w:right="22" w:hanging="11"/>
        <w:jc w:val="both"/>
        <w:rPr>
          <w:rFonts w:ascii="Verdana" w:hAnsi="Verdana"/>
          <w:sz w:val="20"/>
        </w:rPr>
      </w:pPr>
      <w:r w:rsidRPr="0005044D">
        <w:rPr>
          <w:rFonts w:ascii="Verdana" w:hAnsi="Verdana"/>
          <w:sz w:val="20"/>
        </w:rPr>
        <w:t>De manera a</w:t>
      </w:r>
      <w:r w:rsidR="002F6C8C" w:rsidRPr="0005044D">
        <w:rPr>
          <w:rFonts w:ascii="Verdana" w:hAnsi="Verdana"/>
          <w:sz w:val="20"/>
        </w:rPr>
        <w:t>dicional, l</w:t>
      </w:r>
      <w:r w:rsidR="005D5137" w:rsidRPr="0005044D">
        <w:rPr>
          <w:rFonts w:ascii="Verdana" w:hAnsi="Verdana"/>
          <w:sz w:val="20"/>
        </w:rPr>
        <w:t>a Corte recuerda que</w:t>
      </w:r>
      <w:r w:rsidR="005D5137" w:rsidRPr="0005044D">
        <w:rPr>
          <w:rFonts w:ascii="Verdana" w:hAnsi="Verdana"/>
          <w:color w:val="FF0000"/>
          <w:sz w:val="20"/>
        </w:rPr>
        <w:t xml:space="preserve"> </w:t>
      </w:r>
      <w:r w:rsidR="005D5137" w:rsidRPr="0005044D">
        <w:rPr>
          <w:rFonts w:ascii="Verdana" w:hAnsi="Verdana"/>
          <w:sz w:val="20"/>
        </w:rPr>
        <w:t>la obligación de cumplir con las medidas provisionales ordenadas incluye el deber de informar al Tribunal, con la periodicidad que este indique, sobre la implementación de tales medidas</w:t>
      </w:r>
      <w:r w:rsidR="005D5137" w:rsidRPr="0005044D">
        <w:rPr>
          <w:rStyle w:val="Refdenotaalpie"/>
          <w:rFonts w:ascii="Verdana" w:hAnsi="Verdana"/>
          <w:sz w:val="20"/>
        </w:rPr>
        <w:footnoteReference w:id="16"/>
      </w:r>
      <w:r w:rsidR="005D5137" w:rsidRPr="0005044D">
        <w:rPr>
          <w:rFonts w:ascii="Verdana" w:hAnsi="Verdana"/>
          <w:sz w:val="20"/>
        </w:rPr>
        <w:t>. Cabe reiterar que el incumplimiento de este deber es especialmente grave, dada la naturaleza jurídica de estas medidas que buscan la prevención de daños irreparables a personas en situación de extrema gravedad y urgencia</w:t>
      </w:r>
      <w:r w:rsidR="005D5137" w:rsidRPr="0005044D">
        <w:rPr>
          <w:rStyle w:val="Refdenotaalpie"/>
          <w:rFonts w:ascii="Verdana" w:hAnsi="Verdana"/>
          <w:sz w:val="20"/>
        </w:rPr>
        <w:footnoteReference w:id="17"/>
      </w:r>
      <w:r w:rsidR="005D5137" w:rsidRPr="0005044D">
        <w:rPr>
          <w:rFonts w:ascii="Verdana" w:hAnsi="Verdana"/>
          <w:sz w:val="20"/>
        </w:rPr>
        <w:t>.</w:t>
      </w:r>
      <w:r w:rsidR="004341F9" w:rsidRPr="0005044D">
        <w:rPr>
          <w:rFonts w:ascii="Verdana" w:hAnsi="Verdana"/>
          <w:sz w:val="20"/>
        </w:rPr>
        <w:t xml:space="preserve"> </w:t>
      </w:r>
      <w:r w:rsidR="008B725D" w:rsidRPr="0005044D">
        <w:rPr>
          <w:rFonts w:ascii="Verdana" w:hAnsi="Verdana"/>
          <w:sz w:val="20"/>
        </w:rPr>
        <w:lastRenderedPageBreak/>
        <w:t>En cuanto a ello, es menester resaltar que el deber de informar constituye una obligación que requiere, para su efectivo cumplimiento, la referencia material específica, cierta, actual y detallada a los temas sobre los cuales recae dicha obligación, por lo que resulta de gran relevancia que el Estado mexicano brinde la información pertinente, precisa y detallada para que la Corte cuente con los elementos necesarios para valorar la efectividad de las medidas implementadas</w:t>
      </w:r>
      <w:r w:rsidR="008B725D" w:rsidRPr="0005044D">
        <w:rPr>
          <w:rStyle w:val="Refdenotaalpie"/>
          <w:rFonts w:ascii="Verdana" w:hAnsi="Verdana"/>
          <w:sz w:val="20"/>
        </w:rPr>
        <w:footnoteReference w:id="18"/>
      </w:r>
      <w:r w:rsidR="008B725D" w:rsidRPr="0005044D">
        <w:rPr>
          <w:rFonts w:ascii="Verdana" w:hAnsi="Verdana"/>
          <w:sz w:val="20"/>
        </w:rPr>
        <w:t>.</w:t>
      </w:r>
    </w:p>
    <w:p w14:paraId="7FA33F3B" w14:textId="2DDD2F73" w:rsidR="005D5137" w:rsidRPr="0005044D" w:rsidRDefault="005D5137" w:rsidP="005D5137">
      <w:pPr>
        <w:pStyle w:val="Prrafodelista"/>
        <w:ind w:left="0" w:right="22"/>
        <w:jc w:val="both"/>
        <w:rPr>
          <w:rFonts w:ascii="Verdana" w:hAnsi="Verdana"/>
          <w:sz w:val="20"/>
        </w:rPr>
      </w:pPr>
    </w:p>
    <w:p w14:paraId="197211C4" w14:textId="56709803" w:rsidR="008B725D" w:rsidRPr="0005044D" w:rsidRDefault="008B725D" w:rsidP="008B725D">
      <w:pPr>
        <w:pStyle w:val="Prrafodelista"/>
        <w:numPr>
          <w:ilvl w:val="0"/>
          <w:numId w:val="7"/>
        </w:numPr>
        <w:ind w:left="0" w:right="22" w:hanging="11"/>
        <w:jc w:val="both"/>
        <w:rPr>
          <w:rFonts w:ascii="Verdana" w:hAnsi="Verdana"/>
          <w:sz w:val="20"/>
        </w:rPr>
      </w:pPr>
      <w:r w:rsidRPr="0005044D">
        <w:rPr>
          <w:rFonts w:ascii="Verdana" w:hAnsi="Verdana"/>
          <w:sz w:val="20"/>
        </w:rPr>
        <w:t>Asimismo, la Corte recuerda la importancia que revisten las observaciones presentadas por los beneficiarios y sus representantes, así como por la Comisión, en tanto configuran insumos de gran relevancia para el seguimiento y verificación que realiza este Tribunal.</w:t>
      </w:r>
    </w:p>
    <w:p w14:paraId="72B7C6E0" w14:textId="77777777" w:rsidR="008B725D" w:rsidRPr="0005044D" w:rsidRDefault="008B725D" w:rsidP="008B725D">
      <w:pPr>
        <w:pStyle w:val="Prrafodelista"/>
        <w:ind w:left="0" w:right="22"/>
        <w:jc w:val="both"/>
        <w:rPr>
          <w:rFonts w:ascii="Verdana" w:hAnsi="Verdana"/>
          <w:sz w:val="20"/>
        </w:rPr>
      </w:pPr>
    </w:p>
    <w:p w14:paraId="4FD5BF02" w14:textId="6C1F91C2" w:rsidR="00227836" w:rsidRPr="0005044D" w:rsidRDefault="00227836" w:rsidP="00227836">
      <w:pPr>
        <w:pStyle w:val="Prrafodelista"/>
        <w:numPr>
          <w:ilvl w:val="0"/>
          <w:numId w:val="7"/>
        </w:numPr>
        <w:ind w:left="0" w:right="22" w:hanging="11"/>
        <w:jc w:val="both"/>
        <w:rPr>
          <w:rFonts w:ascii="Verdana" w:hAnsi="Verdana"/>
          <w:sz w:val="20"/>
        </w:rPr>
      </w:pPr>
      <w:r w:rsidRPr="0005044D">
        <w:rPr>
          <w:rFonts w:ascii="Verdana" w:hAnsi="Verdana"/>
          <w:sz w:val="20"/>
        </w:rPr>
        <w:t xml:space="preserve">Lo anterior hace necesario </w:t>
      </w:r>
      <w:bookmarkStart w:id="11" w:name="_Hlk37196310"/>
      <w:r w:rsidRPr="0005044D">
        <w:rPr>
          <w:rFonts w:ascii="Verdana" w:hAnsi="Verdana"/>
          <w:sz w:val="20"/>
        </w:rPr>
        <w:t>requerir al Estado que los informes que debe presentar periódicamente contengan información y datos más precisos acerca de</w:t>
      </w:r>
      <w:r w:rsidR="004341F9" w:rsidRPr="0005044D">
        <w:rPr>
          <w:rFonts w:ascii="Verdana" w:hAnsi="Verdana"/>
          <w:sz w:val="20"/>
        </w:rPr>
        <w:t>:</w:t>
      </w:r>
      <w:r w:rsidRPr="0005044D">
        <w:rPr>
          <w:rFonts w:ascii="Verdana" w:hAnsi="Verdana"/>
          <w:sz w:val="20"/>
        </w:rPr>
        <w:t xml:space="preserve"> (i) la planificación e implementación de las medidas de protección, con identificación de diligencias efectuadas o por efectuar, fechas de tales diligencias, autoridades responsables y, de ser el caso, resultados obtenidos; (ii) las reuniones sostenidas, las autoridades participantes, los acuerdos alcanzados y el seguimiento efectuado para su cumplimiento; (iii) los avances de las investigaciones y la determinación de las responsabilidades ante los hechos de violencia cometidos en perjuicio de la comunidad, y (iv) las acciones  que sean adoptadas ante las denuncias que a futuro sean presentadas sobre hechos de esa naturaleza.</w:t>
      </w:r>
      <w:bookmarkEnd w:id="11"/>
    </w:p>
    <w:p w14:paraId="560D8418" w14:textId="77777777" w:rsidR="00227836" w:rsidRPr="0005044D" w:rsidRDefault="00227836" w:rsidP="00227836">
      <w:pPr>
        <w:pStyle w:val="Prrafodelista"/>
        <w:rPr>
          <w:rFonts w:ascii="Verdana" w:hAnsi="Verdana"/>
          <w:sz w:val="20"/>
        </w:rPr>
      </w:pPr>
    </w:p>
    <w:p w14:paraId="52D5C6A0" w14:textId="448FEE71" w:rsidR="00E159E1" w:rsidRPr="0005044D" w:rsidRDefault="00F71B27" w:rsidP="0031312F">
      <w:pPr>
        <w:pStyle w:val="Prrafodelista"/>
        <w:numPr>
          <w:ilvl w:val="0"/>
          <w:numId w:val="7"/>
        </w:numPr>
        <w:ind w:left="0" w:right="22" w:hanging="11"/>
        <w:jc w:val="both"/>
        <w:rPr>
          <w:rFonts w:ascii="Verdana" w:hAnsi="Verdana"/>
          <w:sz w:val="20"/>
        </w:rPr>
      </w:pPr>
      <w:r w:rsidRPr="0005044D">
        <w:rPr>
          <w:rFonts w:ascii="Verdana" w:hAnsi="Verdana"/>
          <w:sz w:val="20"/>
        </w:rPr>
        <w:t xml:space="preserve">Por </w:t>
      </w:r>
      <w:r w:rsidR="002F6C8C" w:rsidRPr="0005044D">
        <w:rPr>
          <w:rFonts w:ascii="Verdana" w:hAnsi="Verdana"/>
          <w:sz w:val="20"/>
        </w:rPr>
        <w:t>último</w:t>
      </w:r>
      <w:r w:rsidRPr="0005044D">
        <w:rPr>
          <w:rFonts w:ascii="Verdana" w:hAnsi="Verdana"/>
          <w:sz w:val="20"/>
        </w:rPr>
        <w:t>,</w:t>
      </w:r>
      <w:r w:rsidR="002F6C8C" w:rsidRPr="0005044D">
        <w:rPr>
          <w:rFonts w:ascii="Verdana" w:hAnsi="Verdana"/>
          <w:sz w:val="20"/>
        </w:rPr>
        <w:t xml:space="preserve"> en lo que se refiere a la solicitud de convocar a una audiencia en el presente asunto, la Corte dispone que, una vez que existan las condiciones para </w:t>
      </w:r>
      <w:r w:rsidR="00D15EBC" w:rsidRPr="0005044D">
        <w:rPr>
          <w:rFonts w:ascii="Verdana" w:hAnsi="Verdana"/>
          <w:sz w:val="20"/>
        </w:rPr>
        <w:t xml:space="preserve">su </w:t>
      </w:r>
      <w:r w:rsidR="002F6C8C" w:rsidRPr="0005044D">
        <w:rPr>
          <w:rFonts w:ascii="Verdana" w:hAnsi="Verdana"/>
          <w:sz w:val="20"/>
        </w:rPr>
        <w:t>realización</w:t>
      </w:r>
      <w:r w:rsidR="00D15EBC" w:rsidRPr="0005044D">
        <w:rPr>
          <w:rFonts w:ascii="Verdana" w:hAnsi="Verdana"/>
          <w:sz w:val="20"/>
        </w:rPr>
        <w:t>,</w:t>
      </w:r>
      <w:r w:rsidR="002F6C8C" w:rsidRPr="0005044D">
        <w:rPr>
          <w:rFonts w:ascii="Verdana" w:hAnsi="Verdana"/>
          <w:sz w:val="20"/>
        </w:rPr>
        <w:t xml:space="preserve"> en tanto se haya superado la situación de emergencia sanitaria causada por la pandemia que actualmente afecta a nivel global, </w:t>
      </w:r>
      <w:r w:rsidR="006A05F6" w:rsidRPr="0005044D">
        <w:rPr>
          <w:rFonts w:ascii="Verdana" w:hAnsi="Verdana"/>
          <w:sz w:val="20"/>
        </w:rPr>
        <w:t xml:space="preserve">oportunamente se </w:t>
      </w:r>
      <w:r w:rsidR="002F6C8C" w:rsidRPr="0005044D">
        <w:rPr>
          <w:rFonts w:ascii="Verdana" w:hAnsi="Verdana"/>
          <w:sz w:val="20"/>
        </w:rPr>
        <w:t xml:space="preserve">evaluará la pertinencia de </w:t>
      </w:r>
      <w:r w:rsidR="006A05F6" w:rsidRPr="0005044D">
        <w:rPr>
          <w:rFonts w:ascii="Verdana" w:hAnsi="Verdana"/>
          <w:sz w:val="20"/>
        </w:rPr>
        <w:t>convocar</w:t>
      </w:r>
      <w:r w:rsidR="002F6C8C" w:rsidRPr="0005044D">
        <w:rPr>
          <w:rFonts w:ascii="Verdana" w:hAnsi="Verdana"/>
          <w:sz w:val="20"/>
        </w:rPr>
        <w:t xml:space="preserve"> </w:t>
      </w:r>
      <w:r w:rsidRPr="0005044D">
        <w:rPr>
          <w:rFonts w:ascii="Verdana" w:hAnsi="Verdana"/>
          <w:sz w:val="20"/>
        </w:rPr>
        <w:t>a una audiencia</w:t>
      </w:r>
      <w:r w:rsidR="006A725E" w:rsidRPr="0005044D">
        <w:rPr>
          <w:rFonts w:ascii="Verdana" w:hAnsi="Verdana"/>
          <w:sz w:val="20"/>
        </w:rPr>
        <w:t xml:space="preserve"> con el objeto de dar seguimiento a la implementación de las medidas provisionales ordenadas</w:t>
      </w:r>
      <w:r w:rsidR="00D455CF" w:rsidRPr="0005044D">
        <w:rPr>
          <w:rFonts w:ascii="Verdana" w:hAnsi="Verdana"/>
          <w:sz w:val="20"/>
        </w:rPr>
        <w:t>.</w:t>
      </w:r>
    </w:p>
    <w:p w14:paraId="6E31C196" w14:textId="77777777" w:rsidR="00E159E1" w:rsidRPr="0005044D" w:rsidRDefault="00E159E1" w:rsidP="0031312F">
      <w:pPr>
        <w:pStyle w:val="Prrafodelista"/>
        <w:rPr>
          <w:rFonts w:ascii="Verdana" w:hAnsi="Verdana"/>
          <w:b/>
          <w:i/>
          <w:sz w:val="20"/>
        </w:rPr>
      </w:pPr>
    </w:p>
    <w:p w14:paraId="34321FD0" w14:textId="77777777" w:rsidR="00AF34E8" w:rsidRPr="0005044D" w:rsidRDefault="00AF34E8" w:rsidP="00913AA8">
      <w:pPr>
        <w:pStyle w:val="Prrafodelista"/>
        <w:ind w:left="0" w:right="22"/>
        <w:jc w:val="both"/>
        <w:rPr>
          <w:rFonts w:ascii="Verdana" w:hAnsi="Verdana"/>
          <w:sz w:val="20"/>
        </w:rPr>
      </w:pPr>
    </w:p>
    <w:p w14:paraId="3730833E" w14:textId="77777777" w:rsidR="00B609A8" w:rsidRPr="0005044D" w:rsidRDefault="00B609A8" w:rsidP="00913AA8">
      <w:pPr>
        <w:widowControl w:val="0"/>
        <w:autoSpaceDE w:val="0"/>
        <w:autoSpaceDN w:val="0"/>
        <w:adjustRightInd w:val="0"/>
        <w:spacing w:after="0" w:line="240" w:lineRule="auto"/>
        <w:contextualSpacing/>
        <w:jc w:val="both"/>
        <w:rPr>
          <w:rFonts w:ascii="Verdana" w:hAnsi="Verdana" w:cs="Verdana"/>
          <w:b/>
          <w:sz w:val="20"/>
          <w:szCs w:val="20"/>
          <w:lang w:val="es-ES_tradnl"/>
        </w:rPr>
      </w:pPr>
      <w:r w:rsidRPr="0005044D">
        <w:rPr>
          <w:rFonts w:ascii="Verdana" w:hAnsi="Verdana" w:cs="Verdana"/>
          <w:b/>
          <w:sz w:val="20"/>
          <w:szCs w:val="20"/>
          <w:lang w:val="es-ES_tradnl"/>
        </w:rPr>
        <w:t>POR TANTO:</w:t>
      </w:r>
    </w:p>
    <w:p w14:paraId="5B27AD20" w14:textId="77777777" w:rsidR="00B609A8" w:rsidRPr="0005044D" w:rsidRDefault="00B609A8" w:rsidP="00913AA8">
      <w:pPr>
        <w:widowControl w:val="0"/>
        <w:autoSpaceDE w:val="0"/>
        <w:autoSpaceDN w:val="0"/>
        <w:adjustRightInd w:val="0"/>
        <w:spacing w:after="0" w:line="240" w:lineRule="auto"/>
        <w:contextualSpacing/>
        <w:jc w:val="both"/>
        <w:rPr>
          <w:rFonts w:ascii="Verdana" w:hAnsi="Verdana" w:cs="Verdana"/>
          <w:b/>
          <w:sz w:val="20"/>
          <w:szCs w:val="20"/>
          <w:lang w:val="es-ES_tradnl"/>
        </w:rPr>
      </w:pPr>
    </w:p>
    <w:p w14:paraId="1C298908" w14:textId="77777777" w:rsidR="00B609A8" w:rsidRPr="0005044D" w:rsidRDefault="00B609A8" w:rsidP="000A0EA1">
      <w:pPr>
        <w:widowControl w:val="0"/>
        <w:autoSpaceDE w:val="0"/>
        <w:autoSpaceDN w:val="0"/>
        <w:adjustRightInd w:val="0"/>
        <w:spacing w:beforeLines="80" w:before="192" w:after="80" w:line="240" w:lineRule="auto"/>
        <w:contextualSpacing/>
        <w:jc w:val="both"/>
        <w:rPr>
          <w:rFonts w:ascii="Verdana" w:hAnsi="Verdana" w:cs="Verdana"/>
          <w:b/>
          <w:sz w:val="20"/>
          <w:szCs w:val="20"/>
          <w:lang w:val="es-ES_tradnl"/>
        </w:rPr>
      </w:pPr>
      <w:r w:rsidRPr="0005044D">
        <w:rPr>
          <w:rFonts w:ascii="Verdana" w:hAnsi="Verdana" w:cs="Verdana"/>
          <w:b/>
          <w:sz w:val="20"/>
          <w:szCs w:val="20"/>
          <w:lang w:val="es-ES_tradnl"/>
        </w:rPr>
        <w:t>LA CORTE INTERAMERICANA DE DERECHOS HUMANOS,</w:t>
      </w:r>
    </w:p>
    <w:p w14:paraId="007ABAAC" w14:textId="77777777" w:rsidR="00B609A8" w:rsidRPr="0005044D" w:rsidRDefault="00B609A8" w:rsidP="000A0EA1">
      <w:pPr>
        <w:widowControl w:val="0"/>
        <w:autoSpaceDE w:val="0"/>
        <w:autoSpaceDN w:val="0"/>
        <w:adjustRightInd w:val="0"/>
        <w:spacing w:beforeLines="80" w:before="192" w:after="80" w:line="240" w:lineRule="auto"/>
        <w:contextualSpacing/>
        <w:jc w:val="both"/>
        <w:rPr>
          <w:rFonts w:ascii="Verdana" w:hAnsi="Verdana" w:cs="Verdana"/>
          <w:b/>
          <w:sz w:val="20"/>
          <w:szCs w:val="20"/>
          <w:lang w:val="es-ES_tradnl"/>
        </w:rPr>
      </w:pPr>
    </w:p>
    <w:p w14:paraId="7F5805E3" w14:textId="77777777" w:rsidR="00B609A8" w:rsidRPr="0005044D" w:rsidRDefault="005B47E4" w:rsidP="000A0EA1">
      <w:pPr>
        <w:widowControl w:val="0"/>
        <w:autoSpaceDE w:val="0"/>
        <w:autoSpaceDN w:val="0"/>
        <w:adjustRightInd w:val="0"/>
        <w:spacing w:beforeLines="80" w:before="192" w:after="80" w:line="240" w:lineRule="auto"/>
        <w:contextualSpacing/>
        <w:jc w:val="both"/>
        <w:rPr>
          <w:rFonts w:ascii="Verdana" w:hAnsi="Verdana" w:cs="Times"/>
          <w:sz w:val="20"/>
          <w:szCs w:val="20"/>
          <w:lang w:val="es-ES_tradnl"/>
        </w:rPr>
      </w:pPr>
      <w:r w:rsidRPr="0005044D">
        <w:rPr>
          <w:rFonts w:ascii="Verdana" w:hAnsi="Verdana" w:cs="Verdana"/>
          <w:sz w:val="20"/>
          <w:szCs w:val="20"/>
          <w:lang w:val="es-ES_tradnl"/>
        </w:rPr>
        <w:t xml:space="preserve">En </w:t>
      </w:r>
      <w:r w:rsidR="00B609A8" w:rsidRPr="0005044D">
        <w:rPr>
          <w:rFonts w:ascii="Verdana" w:hAnsi="Verdana" w:cs="Verdana"/>
          <w:sz w:val="20"/>
          <w:szCs w:val="20"/>
          <w:lang w:val="es-ES_tradnl"/>
        </w:rPr>
        <w:t>uso de sus atribuciones conferidas por el artículo 63.2 de la Convención Americana sobre Derechos Humanos y los artículos 27 y 31 del Reglamento de la Corte,</w:t>
      </w:r>
    </w:p>
    <w:p w14:paraId="6EE6D883" w14:textId="77777777" w:rsidR="00B609A8" w:rsidRPr="0005044D" w:rsidRDefault="00B609A8" w:rsidP="000A0EA1">
      <w:pPr>
        <w:spacing w:beforeLines="80" w:before="192" w:after="80" w:line="240" w:lineRule="auto"/>
        <w:ind w:right="386"/>
        <w:contextualSpacing/>
        <w:jc w:val="both"/>
        <w:rPr>
          <w:rFonts w:ascii="Verdana" w:hAnsi="Verdana"/>
          <w:b/>
          <w:sz w:val="20"/>
          <w:szCs w:val="20"/>
          <w:lang w:val="es-ES_tradnl"/>
        </w:rPr>
      </w:pPr>
    </w:p>
    <w:p w14:paraId="290D197F" w14:textId="77777777" w:rsidR="00B609A8" w:rsidRPr="0005044D" w:rsidRDefault="00B609A8" w:rsidP="000A0EA1">
      <w:pPr>
        <w:spacing w:beforeLines="80" w:before="192" w:after="80" w:line="240" w:lineRule="auto"/>
        <w:ind w:right="386"/>
        <w:contextualSpacing/>
        <w:jc w:val="both"/>
        <w:rPr>
          <w:rFonts w:ascii="Verdana" w:hAnsi="Verdana"/>
          <w:b/>
          <w:sz w:val="20"/>
          <w:szCs w:val="20"/>
          <w:lang w:val="es-ES_tradnl"/>
        </w:rPr>
      </w:pPr>
      <w:r w:rsidRPr="0005044D">
        <w:rPr>
          <w:rFonts w:ascii="Verdana" w:hAnsi="Verdana"/>
          <w:b/>
          <w:sz w:val="20"/>
          <w:szCs w:val="20"/>
          <w:lang w:val="es-ES_tradnl"/>
        </w:rPr>
        <w:t xml:space="preserve">RESUELVE: </w:t>
      </w:r>
    </w:p>
    <w:p w14:paraId="3986E492" w14:textId="77777777" w:rsidR="003922F4" w:rsidRPr="0005044D" w:rsidRDefault="003922F4" w:rsidP="000A0EA1">
      <w:pPr>
        <w:spacing w:beforeLines="80" w:before="192" w:after="80" w:line="240" w:lineRule="auto"/>
        <w:ind w:right="386"/>
        <w:contextualSpacing/>
        <w:jc w:val="both"/>
        <w:rPr>
          <w:rFonts w:ascii="Verdana" w:hAnsi="Verdana"/>
          <w:b/>
          <w:sz w:val="20"/>
          <w:szCs w:val="20"/>
          <w:lang w:val="es-ES_tradnl"/>
        </w:rPr>
      </w:pPr>
    </w:p>
    <w:p w14:paraId="61B9C588" w14:textId="3F207F9B" w:rsidR="004D6C4E" w:rsidRPr="0005044D" w:rsidRDefault="004D6C4E" w:rsidP="004D6C4E">
      <w:pPr>
        <w:pStyle w:val="Prrafodelista"/>
        <w:numPr>
          <w:ilvl w:val="0"/>
          <w:numId w:val="10"/>
        </w:numPr>
        <w:ind w:left="0" w:right="-6" w:firstLine="0"/>
        <w:jc w:val="both"/>
        <w:rPr>
          <w:rFonts w:ascii="Verdana" w:hAnsi="Verdana"/>
          <w:sz w:val="20"/>
        </w:rPr>
      </w:pPr>
      <w:r w:rsidRPr="0005044D">
        <w:rPr>
          <w:rFonts w:ascii="Verdana" w:hAnsi="Verdana"/>
          <w:sz w:val="20"/>
        </w:rPr>
        <w:t>Requerir al Estado que continúe adopta</w:t>
      </w:r>
      <w:r w:rsidR="006A7E7C" w:rsidRPr="0005044D">
        <w:rPr>
          <w:rFonts w:ascii="Verdana" w:hAnsi="Verdana"/>
          <w:sz w:val="20"/>
        </w:rPr>
        <w:t>n</w:t>
      </w:r>
      <w:r w:rsidRPr="0005044D">
        <w:rPr>
          <w:rFonts w:ascii="Verdana" w:hAnsi="Verdana"/>
          <w:sz w:val="20"/>
        </w:rPr>
        <w:t>do las medidas necesarias para proteger de manera efectiva los derechos a la vida y a la integridad personal de los integrantes de la comunidad indígena de Choréachi, y que implemente, de manera inmediata, todas aquellas otras acciones que se consideren adecuadas para tales fines</w:t>
      </w:r>
      <w:r w:rsidR="00D15EBC" w:rsidRPr="0005044D">
        <w:rPr>
          <w:rFonts w:ascii="Verdana" w:hAnsi="Verdana"/>
          <w:sz w:val="20"/>
        </w:rPr>
        <w:t>, para lo cual deberá observar criterios de pertinencia cultural y efectuar las coordinaciones necesarias con las diversas autoridades competentes en materias de seguridad y justicia.</w:t>
      </w:r>
    </w:p>
    <w:p w14:paraId="1DB79A7E" w14:textId="77777777" w:rsidR="004D6C4E" w:rsidRPr="0005044D" w:rsidRDefault="004D6C4E" w:rsidP="004D6C4E">
      <w:pPr>
        <w:pStyle w:val="Prrafodelista"/>
        <w:ind w:left="0" w:right="-6"/>
        <w:jc w:val="both"/>
        <w:rPr>
          <w:rFonts w:ascii="Verdana" w:hAnsi="Verdana"/>
          <w:sz w:val="20"/>
        </w:rPr>
      </w:pPr>
    </w:p>
    <w:p w14:paraId="1855D906" w14:textId="361F8ACE" w:rsidR="004D6C4E" w:rsidRPr="0005044D" w:rsidRDefault="004D6C4E" w:rsidP="00D15EBC">
      <w:pPr>
        <w:pStyle w:val="Prrafodelista"/>
        <w:numPr>
          <w:ilvl w:val="0"/>
          <w:numId w:val="10"/>
        </w:numPr>
        <w:ind w:left="0" w:right="-6" w:firstLine="0"/>
        <w:jc w:val="both"/>
        <w:rPr>
          <w:rFonts w:ascii="Verdana" w:hAnsi="Verdana"/>
          <w:sz w:val="20"/>
        </w:rPr>
      </w:pPr>
      <w:r w:rsidRPr="0005044D">
        <w:rPr>
          <w:rFonts w:ascii="Verdana" w:hAnsi="Verdana"/>
          <w:sz w:val="20"/>
        </w:rPr>
        <w:lastRenderedPageBreak/>
        <w:t xml:space="preserve">Requerir al Estado que continúe realizando todas las gestiones pertinentes para que las medidas de protección ordenadas se planifiquen e implementen con la participación de los beneficiarios o sus representantes, así como prever los medios para mantenerlos informados acerca del avance de la ejecución de </w:t>
      </w:r>
      <w:r w:rsidR="00044CAA" w:rsidRPr="0005044D">
        <w:rPr>
          <w:rFonts w:ascii="Verdana" w:hAnsi="Verdana"/>
          <w:sz w:val="20"/>
        </w:rPr>
        <w:t>dichas</w:t>
      </w:r>
      <w:r w:rsidRPr="0005044D">
        <w:rPr>
          <w:rFonts w:ascii="Verdana" w:hAnsi="Verdana"/>
          <w:sz w:val="20"/>
        </w:rPr>
        <w:t xml:space="preserve"> medidas.</w:t>
      </w:r>
    </w:p>
    <w:p w14:paraId="535EBAA1" w14:textId="77777777" w:rsidR="00044CAA" w:rsidRPr="0005044D" w:rsidRDefault="00044CAA" w:rsidP="00044CAA">
      <w:pPr>
        <w:pStyle w:val="Prrafodelista"/>
        <w:rPr>
          <w:rFonts w:ascii="Verdana" w:hAnsi="Verdana"/>
          <w:sz w:val="20"/>
        </w:rPr>
      </w:pPr>
    </w:p>
    <w:p w14:paraId="2E3A8BF6" w14:textId="3BBD35A9" w:rsidR="00A40505" w:rsidRPr="0005044D" w:rsidRDefault="00044CAA" w:rsidP="00A40505">
      <w:pPr>
        <w:pStyle w:val="Prrafodelista"/>
        <w:numPr>
          <w:ilvl w:val="0"/>
          <w:numId w:val="10"/>
        </w:numPr>
        <w:ind w:left="0" w:right="-6" w:firstLine="0"/>
        <w:jc w:val="both"/>
        <w:rPr>
          <w:rFonts w:ascii="Verdana" w:hAnsi="Verdana"/>
          <w:sz w:val="20"/>
        </w:rPr>
      </w:pPr>
      <w:r w:rsidRPr="0005044D">
        <w:rPr>
          <w:rFonts w:ascii="Verdana" w:hAnsi="Verdana"/>
          <w:sz w:val="20"/>
        </w:rPr>
        <w:t xml:space="preserve">Requerir al Estado que, a más tardar el </w:t>
      </w:r>
      <w:r w:rsidR="00036290" w:rsidRPr="0005044D">
        <w:rPr>
          <w:rFonts w:ascii="Verdana" w:hAnsi="Verdana"/>
          <w:sz w:val="20"/>
        </w:rPr>
        <w:t>10</w:t>
      </w:r>
      <w:r w:rsidRPr="0005044D">
        <w:rPr>
          <w:rFonts w:ascii="Verdana" w:hAnsi="Verdana"/>
          <w:sz w:val="20"/>
        </w:rPr>
        <w:t xml:space="preserve"> de </w:t>
      </w:r>
      <w:r w:rsidR="00736D1B" w:rsidRPr="0005044D">
        <w:rPr>
          <w:rFonts w:ascii="Verdana" w:hAnsi="Verdana"/>
          <w:sz w:val="20"/>
        </w:rPr>
        <w:t>ju</w:t>
      </w:r>
      <w:r w:rsidR="00036290" w:rsidRPr="0005044D">
        <w:rPr>
          <w:rFonts w:ascii="Verdana" w:hAnsi="Verdana"/>
          <w:sz w:val="20"/>
        </w:rPr>
        <w:t>l</w:t>
      </w:r>
      <w:r w:rsidR="00736D1B" w:rsidRPr="0005044D">
        <w:rPr>
          <w:rFonts w:ascii="Verdana" w:hAnsi="Verdana"/>
          <w:sz w:val="20"/>
        </w:rPr>
        <w:t>io</w:t>
      </w:r>
      <w:r w:rsidRPr="0005044D">
        <w:rPr>
          <w:rFonts w:ascii="Verdana" w:hAnsi="Verdana"/>
          <w:sz w:val="20"/>
        </w:rPr>
        <w:t xml:space="preserve"> de 2020, presente un informe completo y pormenorizado sobre la implementación de las presentes medidas provisionales, en el que deberá incluir la información </w:t>
      </w:r>
      <w:r w:rsidR="00A40505" w:rsidRPr="0005044D">
        <w:rPr>
          <w:rFonts w:ascii="Verdana" w:hAnsi="Verdana"/>
          <w:sz w:val="20"/>
        </w:rPr>
        <w:t>dispuesta</w:t>
      </w:r>
      <w:r w:rsidRPr="0005044D">
        <w:rPr>
          <w:rFonts w:ascii="Verdana" w:hAnsi="Verdana"/>
          <w:sz w:val="20"/>
        </w:rPr>
        <w:t xml:space="preserve"> en </w:t>
      </w:r>
      <w:r w:rsidR="009B5038" w:rsidRPr="0005044D">
        <w:rPr>
          <w:rFonts w:ascii="Verdana" w:hAnsi="Verdana"/>
          <w:sz w:val="20"/>
        </w:rPr>
        <w:t>el</w:t>
      </w:r>
      <w:r w:rsidRPr="0005044D">
        <w:rPr>
          <w:rFonts w:ascii="Verdana" w:hAnsi="Verdana"/>
          <w:sz w:val="20"/>
        </w:rPr>
        <w:t xml:space="preserve"> Considerando</w:t>
      </w:r>
      <w:r w:rsidR="009B5038" w:rsidRPr="0005044D">
        <w:rPr>
          <w:rFonts w:ascii="Verdana" w:hAnsi="Verdana"/>
          <w:sz w:val="20"/>
        </w:rPr>
        <w:t xml:space="preserve"> 7</w:t>
      </w:r>
      <w:r w:rsidR="00A40505" w:rsidRPr="0005044D">
        <w:rPr>
          <w:rFonts w:ascii="Verdana" w:hAnsi="Verdana"/>
          <w:sz w:val="20"/>
        </w:rPr>
        <w:t xml:space="preserve"> de la presente Resolución.</w:t>
      </w:r>
    </w:p>
    <w:p w14:paraId="1E861AB7" w14:textId="77777777" w:rsidR="00A40505" w:rsidRPr="0005044D" w:rsidRDefault="00A40505" w:rsidP="00A40505">
      <w:pPr>
        <w:pStyle w:val="Prrafodelista"/>
        <w:ind w:left="0" w:right="-6"/>
        <w:jc w:val="both"/>
        <w:rPr>
          <w:rFonts w:ascii="Verdana" w:hAnsi="Verdana"/>
          <w:sz w:val="20"/>
        </w:rPr>
      </w:pPr>
    </w:p>
    <w:p w14:paraId="1B84D6E5" w14:textId="2055822E" w:rsidR="00A40505" w:rsidRPr="0005044D" w:rsidRDefault="00A40505" w:rsidP="006A7E7C">
      <w:pPr>
        <w:pStyle w:val="Prrafodelista"/>
        <w:numPr>
          <w:ilvl w:val="0"/>
          <w:numId w:val="10"/>
        </w:numPr>
        <w:ind w:left="0" w:right="-6" w:firstLine="0"/>
        <w:jc w:val="both"/>
        <w:rPr>
          <w:rFonts w:ascii="Verdana" w:hAnsi="Verdana"/>
          <w:sz w:val="20"/>
        </w:rPr>
      </w:pPr>
      <w:r w:rsidRPr="0005044D">
        <w:rPr>
          <w:rFonts w:ascii="Verdana" w:hAnsi="Verdana"/>
          <w:sz w:val="20"/>
        </w:rPr>
        <w:t xml:space="preserve">Requerir al Estado que, a más tardar el </w:t>
      </w:r>
      <w:r w:rsidR="00736D1B" w:rsidRPr="0005044D">
        <w:rPr>
          <w:rFonts w:ascii="Verdana" w:hAnsi="Verdana"/>
          <w:sz w:val="20"/>
        </w:rPr>
        <w:t>10</w:t>
      </w:r>
      <w:r w:rsidRPr="0005044D">
        <w:rPr>
          <w:rFonts w:ascii="Verdana" w:hAnsi="Verdana"/>
          <w:sz w:val="20"/>
        </w:rPr>
        <w:t xml:space="preserve"> de </w:t>
      </w:r>
      <w:r w:rsidR="00736D1B" w:rsidRPr="0005044D">
        <w:rPr>
          <w:rFonts w:ascii="Verdana" w:hAnsi="Verdana"/>
          <w:sz w:val="20"/>
        </w:rPr>
        <w:t>julio</w:t>
      </w:r>
      <w:r w:rsidRPr="0005044D">
        <w:rPr>
          <w:rFonts w:ascii="Verdana" w:hAnsi="Verdana"/>
          <w:sz w:val="20"/>
        </w:rPr>
        <w:t xml:space="preserve"> de 2020, presente la versión final del diagnóstico sobre la situación de riesgo de la comunidad de Choréachi y sus miembros, para lo cual deberá prever la metodología apropiada a efecto de actualizar su contenido, conforme a lo establecido en el Considerando </w:t>
      </w:r>
      <w:r w:rsidR="009B5038" w:rsidRPr="0005044D">
        <w:rPr>
          <w:rFonts w:ascii="Verdana" w:hAnsi="Verdana"/>
          <w:sz w:val="20"/>
        </w:rPr>
        <w:t>2</w:t>
      </w:r>
      <w:r w:rsidR="00213C2A" w:rsidRPr="0005044D">
        <w:rPr>
          <w:rFonts w:ascii="Verdana" w:hAnsi="Verdana"/>
          <w:sz w:val="20"/>
        </w:rPr>
        <w:t>3</w:t>
      </w:r>
      <w:r w:rsidRPr="0005044D">
        <w:rPr>
          <w:rFonts w:ascii="Verdana" w:hAnsi="Verdana"/>
          <w:sz w:val="20"/>
        </w:rPr>
        <w:t xml:space="preserve"> de la presente Resolución</w:t>
      </w:r>
      <w:r w:rsidR="006A7E7C" w:rsidRPr="0005044D">
        <w:rPr>
          <w:rFonts w:ascii="Verdana" w:hAnsi="Verdana"/>
          <w:sz w:val="20"/>
        </w:rPr>
        <w:t>;</w:t>
      </w:r>
      <w:r w:rsidRPr="0005044D">
        <w:rPr>
          <w:rFonts w:ascii="Verdana" w:hAnsi="Verdana"/>
          <w:sz w:val="20"/>
        </w:rPr>
        <w:t xml:space="preserve"> a su vez, deberá incluir la evaluación sobre el impacto y efectividad de la medida de extracción </w:t>
      </w:r>
      <w:r w:rsidR="006A7E7C" w:rsidRPr="0005044D">
        <w:rPr>
          <w:rFonts w:ascii="Verdana" w:hAnsi="Verdana"/>
          <w:sz w:val="20"/>
        </w:rPr>
        <w:t>y el correspondiente desplazamiento de los beneficiarios fuera de su comunidad</w:t>
      </w:r>
      <w:r w:rsidRPr="0005044D">
        <w:rPr>
          <w:rFonts w:ascii="Verdana" w:hAnsi="Verdana"/>
          <w:sz w:val="20"/>
        </w:rPr>
        <w:t>, y ponderar otro tipo de medidas culturalmente pertinentes</w:t>
      </w:r>
      <w:r w:rsidR="006A7E7C" w:rsidRPr="0005044D">
        <w:rPr>
          <w:rFonts w:ascii="Verdana" w:hAnsi="Verdana"/>
          <w:sz w:val="20"/>
        </w:rPr>
        <w:t>. P</w:t>
      </w:r>
      <w:r w:rsidRPr="0005044D">
        <w:rPr>
          <w:rFonts w:ascii="Verdana" w:hAnsi="Verdana"/>
          <w:sz w:val="20"/>
        </w:rPr>
        <w:t>ara el efecto,</w:t>
      </w:r>
      <w:r w:rsidR="006A7E7C" w:rsidRPr="0005044D">
        <w:rPr>
          <w:rFonts w:ascii="Verdana" w:hAnsi="Verdana"/>
          <w:sz w:val="20"/>
        </w:rPr>
        <w:t xml:space="preserve"> el Estado</w:t>
      </w:r>
      <w:r w:rsidRPr="0005044D">
        <w:rPr>
          <w:rFonts w:ascii="Verdana" w:hAnsi="Verdana"/>
          <w:sz w:val="20"/>
        </w:rPr>
        <w:t xml:space="preserve"> deberá garantizar la participación de los beneficiarios o sus representantes en la elaboración de la versión final del documento.</w:t>
      </w:r>
    </w:p>
    <w:p w14:paraId="50FD5D57" w14:textId="77777777" w:rsidR="006A7E7C" w:rsidRPr="0005044D" w:rsidRDefault="006A7E7C" w:rsidP="006A7E7C">
      <w:pPr>
        <w:pStyle w:val="Prrafodelista"/>
        <w:ind w:left="0" w:right="-6"/>
        <w:jc w:val="both"/>
        <w:rPr>
          <w:rFonts w:ascii="Verdana" w:hAnsi="Verdana"/>
          <w:sz w:val="20"/>
        </w:rPr>
      </w:pPr>
    </w:p>
    <w:p w14:paraId="399B7283" w14:textId="698D0F1E" w:rsidR="00A40505" w:rsidRPr="0005044D" w:rsidRDefault="00A40505" w:rsidP="00D474E1">
      <w:pPr>
        <w:pStyle w:val="Prrafodelista"/>
        <w:numPr>
          <w:ilvl w:val="0"/>
          <w:numId w:val="10"/>
        </w:numPr>
        <w:ind w:left="0" w:right="-6" w:firstLine="0"/>
        <w:jc w:val="both"/>
        <w:rPr>
          <w:rFonts w:ascii="Verdana" w:hAnsi="Verdana"/>
          <w:sz w:val="20"/>
        </w:rPr>
      </w:pPr>
      <w:r w:rsidRPr="0005044D">
        <w:rPr>
          <w:rFonts w:ascii="Verdana" w:hAnsi="Verdana"/>
          <w:sz w:val="20"/>
        </w:rPr>
        <w:t>Requerir al Estado que</w:t>
      </w:r>
      <w:r w:rsidR="00ED01D8" w:rsidRPr="0005044D">
        <w:rPr>
          <w:rFonts w:ascii="Verdana" w:hAnsi="Verdana"/>
          <w:sz w:val="20"/>
        </w:rPr>
        <w:t xml:space="preserve">, a partir de la remisión del informe previsto en el punto resolutivo </w:t>
      </w:r>
      <w:r w:rsidR="009B5038" w:rsidRPr="0005044D">
        <w:rPr>
          <w:rFonts w:ascii="Verdana" w:hAnsi="Verdana"/>
          <w:sz w:val="20"/>
        </w:rPr>
        <w:t>3</w:t>
      </w:r>
      <w:r w:rsidR="00ED01D8" w:rsidRPr="0005044D">
        <w:rPr>
          <w:rFonts w:ascii="Verdana" w:hAnsi="Verdana"/>
          <w:sz w:val="20"/>
        </w:rPr>
        <w:t>,</w:t>
      </w:r>
      <w:r w:rsidRPr="0005044D">
        <w:rPr>
          <w:rFonts w:ascii="Verdana" w:hAnsi="Verdana"/>
          <w:sz w:val="20"/>
        </w:rPr>
        <w:t xml:space="preserve"> continúe informando a la Corte cada tres meses sobre las medidas prov</w:t>
      </w:r>
      <w:r w:rsidR="00ED01D8" w:rsidRPr="0005044D">
        <w:rPr>
          <w:rFonts w:ascii="Verdana" w:hAnsi="Verdana"/>
          <w:sz w:val="20"/>
        </w:rPr>
        <w:t>isionales adoptadas, para lo cual deberá incluir, por lo menos, la información dispuesta en el Considerando</w:t>
      </w:r>
      <w:r w:rsidR="006A05F6" w:rsidRPr="0005044D">
        <w:rPr>
          <w:rFonts w:ascii="Verdana" w:hAnsi="Verdana"/>
          <w:sz w:val="20"/>
        </w:rPr>
        <w:t xml:space="preserve"> </w:t>
      </w:r>
      <w:r w:rsidR="0038747B" w:rsidRPr="0005044D">
        <w:rPr>
          <w:rFonts w:ascii="Verdana" w:hAnsi="Verdana"/>
          <w:sz w:val="20"/>
        </w:rPr>
        <w:t>27</w:t>
      </w:r>
      <w:r w:rsidR="00ED01D8" w:rsidRPr="0005044D">
        <w:rPr>
          <w:rFonts w:ascii="Verdana" w:hAnsi="Verdana"/>
          <w:sz w:val="20"/>
        </w:rPr>
        <w:t xml:space="preserve"> de la presente Resolución.</w:t>
      </w:r>
    </w:p>
    <w:p w14:paraId="59305799" w14:textId="77777777" w:rsidR="00ED01D8" w:rsidRPr="0005044D" w:rsidRDefault="00ED01D8" w:rsidP="00D474E1">
      <w:pPr>
        <w:pStyle w:val="Prrafodelista"/>
        <w:rPr>
          <w:rFonts w:ascii="Verdana" w:hAnsi="Verdana"/>
          <w:sz w:val="20"/>
        </w:rPr>
      </w:pPr>
    </w:p>
    <w:p w14:paraId="391972EA" w14:textId="77777777" w:rsidR="00A27CBC" w:rsidRPr="0005044D" w:rsidRDefault="00ED01D8" w:rsidP="006A05F6">
      <w:pPr>
        <w:pStyle w:val="Prrafodelista"/>
        <w:numPr>
          <w:ilvl w:val="0"/>
          <w:numId w:val="10"/>
        </w:numPr>
        <w:ind w:left="0" w:right="-6" w:firstLine="0"/>
        <w:jc w:val="both"/>
        <w:rPr>
          <w:rFonts w:ascii="Verdana" w:hAnsi="Verdana"/>
          <w:sz w:val="20"/>
        </w:rPr>
      </w:pPr>
      <w:r w:rsidRPr="0005044D">
        <w:rPr>
          <w:rFonts w:ascii="Verdana" w:hAnsi="Verdana"/>
          <w:sz w:val="20"/>
        </w:rPr>
        <w:t>Solicitar a los representantes de los beneficiarios que continúen presentando sus observaciones dentro de un plazo de cuatro semanas contadas a partir de la notificación de los informes del Estado, y a la Comisión Interamericana de Derechos Humanos</w:t>
      </w:r>
      <w:r w:rsidR="006A7E7C" w:rsidRPr="0005044D">
        <w:rPr>
          <w:rFonts w:ascii="Verdana" w:hAnsi="Verdana"/>
          <w:sz w:val="20"/>
        </w:rPr>
        <w:t>,</w:t>
      </w:r>
      <w:r w:rsidRPr="0005044D">
        <w:rPr>
          <w:rFonts w:ascii="Verdana" w:hAnsi="Verdana"/>
          <w:sz w:val="20"/>
        </w:rPr>
        <w:t xml:space="preserve"> que presente sus observaciones dentro de un plazo de dos semanas contadas a partir de la recepción de las observaciones de los representantes.</w:t>
      </w:r>
    </w:p>
    <w:p w14:paraId="205A4E7B" w14:textId="77777777" w:rsidR="00A27CBC" w:rsidRPr="0005044D" w:rsidRDefault="00A27CBC" w:rsidP="00A27CBC">
      <w:pPr>
        <w:pStyle w:val="Prrafodelista"/>
        <w:rPr>
          <w:rFonts w:ascii="Verdana" w:hAnsi="Verdana"/>
          <w:strike/>
          <w:sz w:val="20"/>
        </w:rPr>
      </w:pPr>
    </w:p>
    <w:p w14:paraId="4543557F" w14:textId="59FC43E4" w:rsidR="00ED01D8" w:rsidRPr="0005044D" w:rsidRDefault="00ED01D8" w:rsidP="006A05F6">
      <w:pPr>
        <w:pStyle w:val="Prrafodelista"/>
        <w:numPr>
          <w:ilvl w:val="0"/>
          <w:numId w:val="10"/>
        </w:numPr>
        <w:ind w:left="0" w:right="-6" w:firstLine="0"/>
        <w:jc w:val="both"/>
        <w:rPr>
          <w:rFonts w:ascii="Verdana" w:hAnsi="Verdana"/>
          <w:sz w:val="20"/>
        </w:rPr>
      </w:pPr>
      <w:r w:rsidRPr="0005044D">
        <w:rPr>
          <w:rFonts w:ascii="Verdana" w:hAnsi="Verdana"/>
          <w:sz w:val="20"/>
        </w:rPr>
        <w:t xml:space="preserve">Solicitar a la Comisión Nacional de Derechos Humanos que, a más tardar el </w:t>
      </w:r>
      <w:r w:rsidR="00736D1B" w:rsidRPr="0005044D">
        <w:rPr>
          <w:rFonts w:ascii="Verdana" w:hAnsi="Verdana"/>
          <w:sz w:val="20"/>
        </w:rPr>
        <w:t>10</w:t>
      </w:r>
      <w:r w:rsidRPr="0005044D">
        <w:rPr>
          <w:rFonts w:ascii="Verdana" w:hAnsi="Verdana"/>
          <w:sz w:val="20"/>
        </w:rPr>
        <w:t xml:space="preserve"> de </w:t>
      </w:r>
      <w:r w:rsidR="00736D1B" w:rsidRPr="0005044D">
        <w:rPr>
          <w:rFonts w:ascii="Verdana" w:hAnsi="Verdana"/>
          <w:sz w:val="20"/>
        </w:rPr>
        <w:t>septiembre</w:t>
      </w:r>
      <w:r w:rsidRPr="0005044D">
        <w:rPr>
          <w:rFonts w:ascii="Verdana" w:hAnsi="Verdana"/>
          <w:sz w:val="20"/>
        </w:rPr>
        <w:t xml:space="preserve"> de 2020, presente un informe </w:t>
      </w:r>
      <w:r w:rsidR="006A7E7C" w:rsidRPr="0005044D">
        <w:rPr>
          <w:rFonts w:ascii="Verdana" w:hAnsi="Verdana"/>
          <w:sz w:val="20"/>
        </w:rPr>
        <w:t>que incluya</w:t>
      </w:r>
      <w:r w:rsidRPr="0005044D">
        <w:rPr>
          <w:rFonts w:ascii="Verdana" w:hAnsi="Verdana"/>
          <w:sz w:val="20"/>
        </w:rPr>
        <w:t xml:space="preserve"> su valoración respecto de la situación de riesgo y</w:t>
      </w:r>
      <w:r w:rsidR="006A2E09" w:rsidRPr="0005044D">
        <w:rPr>
          <w:rFonts w:ascii="Verdana" w:hAnsi="Verdana"/>
          <w:sz w:val="20"/>
        </w:rPr>
        <w:t xml:space="preserve"> las</w:t>
      </w:r>
      <w:r w:rsidRPr="0005044D">
        <w:rPr>
          <w:rFonts w:ascii="Verdana" w:hAnsi="Verdana"/>
          <w:sz w:val="20"/>
        </w:rPr>
        <w:t xml:space="preserve"> medidas de protección que pueden ser implementadas en favor de la comunidad indígena de Choréachi</w:t>
      </w:r>
      <w:r w:rsidR="006A7E7C" w:rsidRPr="0005044D">
        <w:rPr>
          <w:rFonts w:ascii="Verdana" w:hAnsi="Verdana"/>
          <w:sz w:val="20"/>
        </w:rPr>
        <w:t xml:space="preserve">, de acuerdo al Considerando </w:t>
      </w:r>
      <w:r w:rsidR="0038747B" w:rsidRPr="0005044D">
        <w:rPr>
          <w:rFonts w:ascii="Verdana" w:hAnsi="Verdana"/>
          <w:sz w:val="20"/>
        </w:rPr>
        <w:t>24</w:t>
      </w:r>
      <w:r w:rsidR="006A7E7C" w:rsidRPr="0005044D">
        <w:rPr>
          <w:rFonts w:ascii="Verdana" w:hAnsi="Verdana"/>
          <w:sz w:val="20"/>
        </w:rPr>
        <w:t xml:space="preserve"> de la presente Resolución.</w:t>
      </w:r>
    </w:p>
    <w:p w14:paraId="2E33054B" w14:textId="77777777" w:rsidR="00ED01D8" w:rsidRPr="0005044D" w:rsidRDefault="00ED01D8" w:rsidP="00D474E1">
      <w:pPr>
        <w:pStyle w:val="Prrafodelista"/>
        <w:rPr>
          <w:rFonts w:ascii="Verdana" w:hAnsi="Verdana"/>
          <w:sz w:val="20"/>
        </w:rPr>
      </w:pPr>
    </w:p>
    <w:p w14:paraId="2DBC8AC6" w14:textId="120D8FE7" w:rsidR="00B066AD" w:rsidRPr="0005044D" w:rsidRDefault="00B066AD" w:rsidP="00D474E1">
      <w:pPr>
        <w:pStyle w:val="Prrafodelista"/>
        <w:numPr>
          <w:ilvl w:val="0"/>
          <w:numId w:val="10"/>
        </w:numPr>
        <w:ind w:left="0" w:right="-6" w:firstLine="0"/>
        <w:jc w:val="both"/>
        <w:rPr>
          <w:rFonts w:ascii="Verdana" w:hAnsi="Verdana"/>
          <w:sz w:val="20"/>
        </w:rPr>
      </w:pPr>
      <w:r w:rsidRPr="0005044D">
        <w:rPr>
          <w:rFonts w:ascii="Verdana" w:hAnsi="Verdana"/>
          <w:sz w:val="20"/>
        </w:rPr>
        <w:t xml:space="preserve">Que oportunamente, una vez que se haya superado la situación de emergencia sanitaria causada por la pandemia que actualmente afecta a nivel global, </w:t>
      </w:r>
      <w:r w:rsidR="009B5038" w:rsidRPr="0005044D">
        <w:rPr>
          <w:rFonts w:ascii="Verdana" w:hAnsi="Verdana"/>
          <w:sz w:val="20"/>
        </w:rPr>
        <w:t>se evaluará la pertinencia de convocar a</w:t>
      </w:r>
      <w:r w:rsidR="00DD7D3D" w:rsidRPr="0005044D">
        <w:rPr>
          <w:rFonts w:ascii="Verdana" w:hAnsi="Verdana"/>
          <w:sz w:val="20"/>
        </w:rPr>
        <w:t xml:space="preserve"> </w:t>
      </w:r>
      <w:r w:rsidR="009B5038" w:rsidRPr="0005044D">
        <w:rPr>
          <w:rFonts w:ascii="Verdana" w:hAnsi="Verdana"/>
          <w:sz w:val="20"/>
        </w:rPr>
        <w:t>una audiencia con el objeto de dar seguimiento a la implementación de las medidas provisionales ordenadas.</w:t>
      </w:r>
    </w:p>
    <w:p w14:paraId="5940C0AA" w14:textId="77777777" w:rsidR="00D474E1" w:rsidRPr="0005044D" w:rsidRDefault="00D474E1" w:rsidP="00B066AD">
      <w:pPr>
        <w:pStyle w:val="Prrafodelista"/>
        <w:ind w:left="0" w:right="-6"/>
        <w:jc w:val="both"/>
        <w:rPr>
          <w:rFonts w:ascii="Verdana" w:hAnsi="Verdana"/>
          <w:sz w:val="20"/>
        </w:rPr>
      </w:pPr>
    </w:p>
    <w:p w14:paraId="260A1C90" w14:textId="1F264C67" w:rsidR="00C30B1C" w:rsidRPr="0005044D" w:rsidRDefault="00D474E1" w:rsidP="00D474E1">
      <w:pPr>
        <w:pStyle w:val="Prrafodelista"/>
        <w:numPr>
          <w:ilvl w:val="0"/>
          <w:numId w:val="10"/>
        </w:numPr>
        <w:ind w:left="0" w:right="-6" w:firstLine="0"/>
        <w:jc w:val="both"/>
        <w:rPr>
          <w:rFonts w:ascii="Verdana" w:hAnsi="Verdana"/>
          <w:sz w:val="20"/>
        </w:rPr>
      </w:pPr>
      <w:r w:rsidRPr="0005044D">
        <w:rPr>
          <w:rFonts w:ascii="Verdana" w:hAnsi="Verdana"/>
          <w:sz w:val="20"/>
        </w:rPr>
        <w:t xml:space="preserve">Que la </w:t>
      </w:r>
      <w:r w:rsidR="00B609A8" w:rsidRPr="0005044D">
        <w:rPr>
          <w:rFonts w:ascii="Verdana" w:hAnsi="Verdana"/>
          <w:sz w:val="20"/>
        </w:rPr>
        <w:t xml:space="preserve">Secretaría de la Corte notifique la presente Resolución a </w:t>
      </w:r>
      <w:r w:rsidRPr="0005044D">
        <w:rPr>
          <w:rFonts w:ascii="Verdana" w:hAnsi="Verdana"/>
          <w:sz w:val="20"/>
        </w:rPr>
        <w:t>México</w:t>
      </w:r>
      <w:r w:rsidR="00091F2A" w:rsidRPr="0005044D">
        <w:rPr>
          <w:rFonts w:ascii="Verdana" w:hAnsi="Verdana"/>
          <w:sz w:val="20"/>
        </w:rPr>
        <w:t>,</w:t>
      </w:r>
      <w:r w:rsidR="00B609A8" w:rsidRPr="0005044D">
        <w:rPr>
          <w:rFonts w:ascii="Verdana" w:hAnsi="Verdana"/>
          <w:sz w:val="20"/>
        </w:rPr>
        <w:t xml:space="preserve"> a la Comisión Interamericana de Derechos Humanos y a l</w:t>
      </w:r>
      <w:r w:rsidR="006A2E09" w:rsidRPr="0005044D">
        <w:rPr>
          <w:rFonts w:ascii="Verdana" w:hAnsi="Verdana"/>
          <w:sz w:val="20"/>
        </w:rPr>
        <w:t>os</w:t>
      </w:r>
      <w:r w:rsidR="00B609A8" w:rsidRPr="0005044D">
        <w:rPr>
          <w:rFonts w:ascii="Verdana" w:hAnsi="Verdana"/>
          <w:sz w:val="20"/>
        </w:rPr>
        <w:t xml:space="preserve"> representa</w:t>
      </w:r>
      <w:r w:rsidR="006A2E09" w:rsidRPr="0005044D">
        <w:rPr>
          <w:rFonts w:ascii="Verdana" w:hAnsi="Verdana"/>
          <w:sz w:val="20"/>
        </w:rPr>
        <w:t>ntes</w:t>
      </w:r>
      <w:r w:rsidR="00B609A8" w:rsidRPr="0005044D">
        <w:rPr>
          <w:rFonts w:ascii="Verdana" w:hAnsi="Verdana"/>
          <w:sz w:val="20"/>
        </w:rPr>
        <w:t xml:space="preserve"> de </w:t>
      </w:r>
      <w:r w:rsidR="00091F2A" w:rsidRPr="0005044D">
        <w:rPr>
          <w:rFonts w:ascii="Verdana" w:hAnsi="Verdana"/>
          <w:sz w:val="20"/>
        </w:rPr>
        <w:t>los beneficiarios</w:t>
      </w:r>
      <w:r w:rsidR="00E96EE5" w:rsidRPr="0005044D">
        <w:rPr>
          <w:rFonts w:ascii="Verdana" w:hAnsi="Verdana"/>
          <w:sz w:val="20"/>
        </w:rPr>
        <w:t>.</w:t>
      </w:r>
    </w:p>
    <w:p w14:paraId="3EFE0ED1" w14:textId="56AFF57E" w:rsidR="00AC7401" w:rsidRDefault="00AC7401" w:rsidP="00D474E1">
      <w:pPr>
        <w:pStyle w:val="Prrafodelista"/>
        <w:ind w:left="0"/>
        <w:jc w:val="both"/>
        <w:rPr>
          <w:rFonts w:ascii="Verdana" w:hAnsi="Verdana"/>
          <w:sz w:val="20"/>
        </w:rPr>
      </w:pPr>
    </w:p>
    <w:p w14:paraId="3769BD4A" w14:textId="6E8F838A" w:rsidR="00830612" w:rsidRDefault="00830612" w:rsidP="00D474E1">
      <w:pPr>
        <w:pStyle w:val="Prrafodelista"/>
        <w:ind w:left="0"/>
        <w:jc w:val="both"/>
        <w:rPr>
          <w:rFonts w:ascii="Verdana" w:hAnsi="Verdana"/>
          <w:sz w:val="20"/>
        </w:rPr>
      </w:pPr>
    </w:p>
    <w:p w14:paraId="12B6462A" w14:textId="75AE64A3" w:rsidR="00830612" w:rsidRDefault="00830612" w:rsidP="00D474E1">
      <w:pPr>
        <w:pStyle w:val="Prrafodelista"/>
        <w:ind w:left="0"/>
        <w:jc w:val="both"/>
        <w:rPr>
          <w:rFonts w:ascii="Verdana" w:hAnsi="Verdana"/>
          <w:sz w:val="20"/>
        </w:rPr>
      </w:pPr>
    </w:p>
    <w:p w14:paraId="3E57C7F0" w14:textId="489E0C71" w:rsidR="00830612" w:rsidRDefault="00830612" w:rsidP="00D474E1">
      <w:pPr>
        <w:pStyle w:val="Prrafodelista"/>
        <w:ind w:left="0"/>
        <w:jc w:val="both"/>
        <w:rPr>
          <w:rFonts w:ascii="Verdana" w:hAnsi="Verdana"/>
          <w:sz w:val="20"/>
        </w:rPr>
      </w:pPr>
    </w:p>
    <w:p w14:paraId="7250251D" w14:textId="07ACB01E" w:rsidR="00830612" w:rsidRDefault="00830612" w:rsidP="00D474E1">
      <w:pPr>
        <w:pStyle w:val="Prrafodelista"/>
        <w:ind w:left="0"/>
        <w:jc w:val="both"/>
        <w:rPr>
          <w:rFonts w:ascii="Verdana" w:hAnsi="Verdana"/>
          <w:sz w:val="20"/>
        </w:rPr>
      </w:pPr>
    </w:p>
    <w:p w14:paraId="06ED15A4" w14:textId="5063E488" w:rsidR="00830612" w:rsidRDefault="00830612" w:rsidP="00D474E1">
      <w:pPr>
        <w:pStyle w:val="Prrafodelista"/>
        <w:ind w:left="0"/>
        <w:jc w:val="both"/>
        <w:rPr>
          <w:rFonts w:ascii="Verdana" w:hAnsi="Verdana"/>
          <w:sz w:val="20"/>
        </w:rPr>
      </w:pPr>
    </w:p>
    <w:p w14:paraId="234318D7" w14:textId="601CA501" w:rsidR="00830612" w:rsidRDefault="00830612" w:rsidP="00D474E1">
      <w:pPr>
        <w:pStyle w:val="Prrafodelista"/>
        <w:ind w:left="0"/>
        <w:jc w:val="both"/>
        <w:rPr>
          <w:rFonts w:ascii="Verdana" w:hAnsi="Verdana"/>
          <w:sz w:val="20"/>
        </w:rPr>
      </w:pPr>
    </w:p>
    <w:p w14:paraId="45F2FA58" w14:textId="77777777" w:rsidR="00830612" w:rsidRPr="0005044D" w:rsidRDefault="00830612" w:rsidP="00D474E1">
      <w:pPr>
        <w:pStyle w:val="Prrafodelista"/>
        <w:ind w:left="0"/>
        <w:jc w:val="both"/>
        <w:rPr>
          <w:rFonts w:ascii="Verdana" w:hAnsi="Verdana"/>
          <w:sz w:val="20"/>
        </w:rPr>
      </w:pPr>
    </w:p>
    <w:p w14:paraId="35C5459F" w14:textId="57A428FD" w:rsidR="00C30B1C" w:rsidRPr="0005044D" w:rsidRDefault="00C30B1C" w:rsidP="00D474E1">
      <w:pPr>
        <w:keepNext/>
        <w:spacing w:after="0" w:line="240" w:lineRule="auto"/>
        <w:jc w:val="both"/>
        <w:outlineLvl w:val="0"/>
        <w:rPr>
          <w:rFonts w:ascii="Verdana" w:hAnsi="Verdana"/>
          <w:bCs/>
          <w:sz w:val="20"/>
          <w:szCs w:val="20"/>
          <w:lang w:val="es-ES_tradnl"/>
        </w:rPr>
      </w:pPr>
      <w:bookmarkStart w:id="12" w:name="_Hlk43126038"/>
      <w:r w:rsidRPr="0005044D">
        <w:rPr>
          <w:rFonts w:ascii="Verdana" w:hAnsi="Verdana" w:cs="Courier New"/>
          <w:noProof/>
          <w:sz w:val="20"/>
          <w:szCs w:val="20"/>
          <w:lang w:val="es-ES_tradnl"/>
        </w:rPr>
        <w:lastRenderedPageBreak/>
        <w:t xml:space="preserve">Corte IDH. </w:t>
      </w:r>
      <w:r w:rsidRPr="0005044D">
        <w:rPr>
          <w:rFonts w:ascii="Verdana" w:hAnsi="Verdana"/>
          <w:bCs/>
          <w:i/>
          <w:sz w:val="20"/>
          <w:szCs w:val="20"/>
          <w:lang w:val="es-ES_tradnl"/>
        </w:rPr>
        <w:t xml:space="preserve">Asunto </w:t>
      </w:r>
      <w:r w:rsidR="00D474E1" w:rsidRPr="0005044D">
        <w:rPr>
          <w:rFonts w:ascii="Verdana" w:hAnsi="Verdana"/>
          <w:bCs/>
          <w:i/>
          <w:sz w:val="20"/>
          <w:szCs w:val="20"/>
          <w:lang w:val="es-ES_tradnl"/>
        </w:rPr>
        <w:t>Integrantes de la comunidad indígena de Choréachi respecto de México</w:t>
      </w:r>
      <w:r w:rsidRPr="0005044D">
        <w:rPr>
          <w:rFonts w:ascii="Verdana" w:hAnsi="Verdana"/>
          <w:bCs/>
          <w:i/>
          <w:sz w:val="20"/>
          <w:szCs w:val="20"/>
          <w:lang w:val="es-ES_tradnl"/>
        </w:rPr>
        <w:t xml:space="preserve">. </w:t>
      </w:r>
      <w:r w:rsidRPr="0005044D">
        <w:rPr>
          <w:rFonts w:ascii="Verdana" w:hAnsi="Verdana"/>
          <w:bCs/>
          <w:sz w:val="20"/>
          <w:szCs w:val="20"/>
          <w:lang w:val="es-ES_tradnl"/>
        </w:rPr>
        <w:t xml:space="preserve">Resolución de la Corte Interamericana de Derechos Humanos de </w:t>
      </w:r>
      <w:r w:rsidR="00736D1B" w:rsidRPr="0005044D">
        <w:rPr>
          <w:rFonts w:ascii="Verdana" w:hAnsi="Verdana"/>
          <w:bCs/>
          <w:sz w:val="20"/>
          <w:szCs w:val="20"/>
          <w:lang w:val="es-ES_tradnl"/>
        </w:rPr>
        <w:t>10</w:t>
      </w:r>
      <w:r w:rsidRPr="0005044D">
        <w:rPr>
          <w:rFonts w:ascii="Verdana" w:hAnsi="Verdana"/>
          <w:bCs/>
          <w:sz w:val="20"/>
          <w:szCs w:val="20"/>
          <w:lang w:val="es-ES_tradnl"/>
        </w:rPr>
        <w:t xml:space="preserve"> de </w:t>
      </w:r>
      <w:r w:rsidR="00736D1B" w:rsidRPr="0005044D">
        <w:rPr>
          <w:rFonts w:ascii="Verdana" w:hAnsi="Verdana"/>
          <w:bCs/>
          <w:sz w:val="20"/>
          <w:szCs w:val="20"/>
          <w:lang w:val="es-ES_tradnl"/>
        </w:rPr>
        <w:t>junio</w:t>
      </w:r>
      <w:r w:rsidRPr="0005044D">
        <w:rPr>
          <w:rFonts w:ascii="Verdana" w:hAnsi="Verdana"/>
          <w:bCs/>
          <w:sz w:val="20"/>
          <w:szCs w:val="20"/>
          <w:lang w:val="es-ES_tradnl"/>
        </w:rPr>
        <w:t xml:space="preserve"> de 20</w:t>
      </w:r>
      <w:r w:rsidR="00D474E1" w:rsidRPr="0005044D">
        <w:rPr>
          <w:rFonts w:ascii="Verdana" w:hAnsi="Verdana"/>
          <w:bCs/>
          <w:sz w:val="20"/>
          <w:szCs w:val="20"/>
          <w:lang w:val="es-ES_tradnl"/>
        </w:rPr>
        <w:t>20</w:t>
      </w:r>
      <w:r w:rsidRPr="0005044D">
        <w:rPr>
          <w:rFonts w:ascii="Verdana" w:hAnsi="Verdana"/>
          <w:bCs/>
          <w:sz w:val="20"/>
          <w:szCs w:val="20"/>
          <w:lang w:val="es-ES_tradnl"/>
        </w:rPr>
        <w:t>.</w:t>
      </w:r>
      <w:r w:rsidR="0038747B" w:rsidRPr="0005044D">
        <w:rPr>
          <w:rFonts w:ascii="Verdana" w:hAnsi="Verdana"/>
          <w:bCs/>
          <w:sz w:val="20"/>
          <w:szCs w:val="20"/>
          <w:lang w:val="es-ES_tradnl"/>
        </w:rPr>
        <w:t xml:space="preserve"> </w:t>
      </w:r>
      <w:r w:rsidR="0038747B" w:rsidRPr="00830612">
        <w:rPr>
          <w:rFonts w:ascii="Verdana" w:hAnsi="Verdana"/>
          <w:sz w:val="20"/>
          <w:szCs w:val="20"/>
          <w:shd w:val="clear" w:color="auto" w:fill="FFFFFF"/>
          <w:lang w:val="es-CR"/>
        </w:rPr>
        <w:t>Resolución adoptada en San José de Costa Rica por medio de sesión virtual.</w:t>
      </w:r>
    </w:p>
    <w:p w14:paraId="3C382B12" w14:textId="408D6D8B" w:rsidR="00736D1B" w:rsidRPr="0005044D" w:rsidRDefault="00736D1B" w:rsidP="00736D1B">
      <w:pPr>
        <w:spacing w:after="0" w:line="240" w:lineRule="auto"/>
        <w:jc w:val="center"/>
        <w:rPr>
          <w:rFonts w:ascii="Verdana" w:hAnsi="Verdana"/>
          <w:sz w:val="20"/>
          <w:szCs w:val="20"/>
          <w:lang w:val="es-ES"/>
        </w:rPr>
      </w:pPr>
    </w:p>
    <w:p w14:paraId="51D92083" w14:textId="0512BED3" w:rsidR="00736D1B" w:rsidRPr="0005044D" w:rsidRDefault="00736D1B" w:rsidP="00736D1B">
      <w:pPr>
        <w:spacing w:after="0" w:line="240" w:lineRule="auto"/>
        <w:jc w:val="center"/>
        <w:rPr>
          <w:rFonts w:ascii="Verdana" w:hAnsi="Verdana"/>
          <w:sz w:val="20"/>
          <w:szCs w:val="20"/>
          <w:lang w:val="es-ES"/>
        </w:rPr>
      </w:pPr>
    </w:p>
    <w:p w14:paraId="11C12CAA" w14:textId="2268FDEB" w:rsidR="00736D1B" w:rsidRPr="0005044D" w:rsidRDefault="00736D1B" w:rsidP="00736D1B">
      <w:pPr>
        <w:spacing w:after="0" w:line="240" w:lineRule="auto"/>
        <w:jc w:val="center"/>
        <w:rPr>
          <w:rFonts w:ascii="Verdana" w:hAnsi="Verdana"/>
          <w:sz w:val="20"/>
          <w:szCs w:val="20"/>
          <w:lang w:val="es-ES"/>
        </w:rPr>
      </w:pPr>
    </w:p>
    <w:p w14:paraId="3ADB3EE3" w14:textId="0671FC75" w:rsidR="00736D1B" w:rsidRPr="0005044D" w:rsidRDefault="00736D1B" w:rsidP="00736D1B">
      <w:pPr>
        <w:spacing w:after="0" w:line="240" w:lineRule="auto"/>
        <w:jc w:val="center"/>
        <w:rPr>
          <w:rFonts w:ascii="Verdana" w:hAnsi="Verdana"/>
          <w:sz w:val="20"/>
          <w:szCs w:val="20"/>
          <w:lang w:val="es-ES"/>
        </w:rPr>
      </w:pPr>
    </w:p>
    <w:p w14:paraId="08086F19" w14:textId="77777777" w:rsidR="00736D1B" w:rsidRPr="0005044D" w:rsidRDefault="00736D1B" w:rsidP="00736D1B">
      <w:pPr>
        <w:spacing w:after="0" w:line="240" w:lineRule="auto"/>
        <w:jc w:val="center"/>
        <w:rPr>
          <w:rFonts w:ascii="Verdana" w:hAnsi="Verdana"/>
          <w:sz w:val="20"/>
          <w:szCs w:val="20"/>
          <w:lang w:val="es-ES"/>
        </w:rPr>
      </w:pPr>
    </w:p>
    <w:p w14:paraId="469AC363" w14:textId="77777777" w:rsidR="00736D1B" w:rsidRPr="0005044D" w:rsidRDefault="00736D1B" w:rsidP="00736D1B">
      <w:pPr>
        <w:spacing w:after="0" w:line="240" w:lineRule="auto"/>
        <w:jc w:val="center"/>
        <w:rPr>
          <w:rFonts w:ascii="Verdana" w:hAnsi="Verdana"/>
          <w:sz w:val="20"/>
          <w:szCs w:val="20"/>
          <w:lang w:val="pt-BR"/>
        </w:rPr>
      </w:pPr>
      <w:r w:rsidRPr="0005044D">
        <w:rPr>
          <w:rFonts w:ascii="Verdana" w:hAnsi="Verdana"/>
          <w:sz w:val="20"/>
          <w:szCs w:val="20"/>
          <w:lang w:val="pt-BR"/>
        </w:rPr>
        <w:t>Elizabeth Odio Benito</w:t>
      </w:r>
    </w:p>
    <w:p w14:paraId="3A46745F" w14:textId="77777777" w:rsidR="00736D1B" w:rsidRPr="0005044D" w:rsidRDefault="00736D1B" w:rsidP="00736D1B">
      <w:pPr>
        <w:spacing w:after="0" w:line="240" w:lineRule="auto"/>
        <w:jc w:val="center"/>
        <w:rPr>
          <w:rFonts w:ascii="Verdana" w:hAnsi="Verdana"/>
          <w:sz w:val="20"/>
          <w:szCs w:val="20"/>
          <w:lang w:val="pt-BR"/>
        </w:rPr>
      </w:pPr>
      <w:r w:rsidRPr="0005044D">
        <w:rPr>
          <w:rFonts w:ascii="Verdana" w:hAnsi="Verdana"/>
          <w:sz w:val="20"/>
          <w:szCs w:val="20"/>
          <w:lang w:val="pt-BR"/>
        </w:rPr>
        <w:t>Presidenta</w:t>
      </w:r>
    </w:p>
    <w:p w14:paraId="1CC5B76A" w14:textId="4C018E91" w:rsidR="00E57226" w:rsidRPr="00830612" w:rsidRDefault="00E57226" w:rsidP="00E57226">
      <w:pPr>
        <w:spacing w:after="0" w:line="240" w:lineRule="auto"/>
        <w:jc w:val="center"/>
        <w:rPr>
          <w:rFonts w:ascii="Verdana" w:hAnsi="Verdana"/>
          <w:sz w:val="20"/>
          <w:szCs w:val="20"/>
          <w:lang w:val="pt-BR"/>
        </w:rPr>
      </w:pPr>
    </w:p>
    <w:p w14:paraId="681A0C09" w14:textId="6F852605" w:rsidR="00E57226" w:rsidRPr="00830612" w:rsidRDefault="00E57226" w:rsidP="00E57226">
      <w:pPr>
        <w:spacing w:after="0" w:line="240" w:lineRule="auto"/>
        <w:jc w:val="center"/>
        <w:rPr>
          <w:rFonts w:ascii="Verdana" w:hAnsi="Verdana"/>
          <w:sz w:val="20"/>
          <w:szCs w:val="20"/>
          <w:lang w:val="pt-BR"/>
        </w:rPr>
      </w:pPr>
    </w:p>
    <w:p w14:paraId="4A4CADC1" w14:textId="62106F12" w:rsidR="00E57226" w:rsidRPr="00830612" w:rsidRDefault="00E57226" w:rsidP="00E57226">
      <w:pPr>
        <w:spacing w:after="0" w:line="240" w:lineRule="auto"/>
        <w:jc w:val="center"/>
        <w:rPr>
          <w:rFonts w:ascii="Verdana" w:hAnsi="Verdana"/>
          <w:sz w:val="20"/>
          <w:szCs w:val="20"/>
          <w:lang w:val="pt-BR"/>
        </w:rPr>
      </w:pPr>
    </w:p>
    <w:p w14:paraId="7AB2A1F2" w14:textId="17115EE8" w:rsidR="00E57226" w:rsidRPr="00830612" w:rsidRDefault="00E57226" w:rsidP="00E57226">
      <w:pPr>
        <w:spacing w:after="0" w:line="240" w:lineRule="auto"/>
        <w:jc w:val="center"/>
        <w:rPr>
          <w:rFonts w:ascii="Verdana" w:hAnsi="Verdana"/>
          <w:sz w:val="20"/>
          <w:szCs w:val="20"/>
          <w:lang w:val="pt-BR"/>
        </w:rPr>
      </w:pPr>
    </w:p>
    <w:p w14:paraId="31FBC324" w14:textId="254C9F03" w:rsidR="00E57226" w:rsidRPr="00830612" w:rsidRDefault="00E57226" w:rsidP="00E57226">
      <w:pPr>
        <w:spacing w:after="0" w:line="240" w:lineRule="auto"/>
        <w:jc w:val="center"/>
        <w:rPr>
          <w:rFonts w:ascii="Verdana" w:hAnsi="Verdana"/>
          <w:sz w:val="20"/>
          <w:szCs w:val="20"/>
          <w:lang w:val="pt-BR"/>
        </w:rPr>
      </w:pPr>
    </w:p>
    <w:p w14:paraId="1552EC5F" w14:textId="0CB03ECC" w:rsidR="00736D1B" w:rsidRPr="00830612" w:rsidRDefault="00736D1B" w:rsidP="00736D1B">
      <w:pPr>
        <w:spacing w:after="0" w:line="240" w:lineRule="auto"/>
        <w:jc w:val="both"/>
        <w:rPr>
          <w:rFonts w:ascii="Verdana" w:hAnsi="Verdana"/>
          <w:sz w:val="20"/>
          <w:szCs w:val="20"/>
          <w:lang w:val="pt-BR"/>
        </w:rPr>
      </w:pPr>
      <w:r w:rsidRPr="0005044D">
        <w:rPr>
          <w:rFonts w:ascii="Verdana" w:hAnsi="Verdana"/>
          <w:sz w:val="20"/>
          <w:szCs w:val="20"/>
          <w:lang w:val="pt-BR"/>
        </w:rPr>
        <w:t>L. Patricio Pazmiño Freire</w:t>
      </w:r>
      <w:r w:rsidRPr="00830612">
        <w:rPr>
          <w:rFonts w:ascii="Verdana" w:hAnsi="Verdana"/>
          <w:sz w:val="20"/>
          <w:szCs w:val="20"/>
          <w:lang w:val="pt-BR"/>
        </w:rPr>
        <w:tab/>
      </w:r>
      <w:r w:rsidRPr="00830612">
        <w:rPr>
          <w:rFonts w:ascii="Verdana" w:hAnsi="Verdana"/>
          <w:sz w:val="20"/>
          <w:szCs w:val="20"/>
          <w:lang w:val="pt-BR"/>
        </w:rPr>
        <w:tab/>
      </w:r>
      <w:r w:rsidRPr="00830612">
        <w:rPr>
          <w:rFonts w:ascii="Verdana" w:hAnsi="Verdana"/>
          <w:sz w:val="20"/>
          <w:szCs w:val="20"/>
          <w:lang w:val="pt-BR"/>
        </w:rPr>
        <w:tab/>
      </w:r>
      <w:r w:rsidRPr="00830612">
        <w:rPr>
          <w:rFonts w:ascii="Verdana" w:hAnsi="Verdana"/>
          <w:sz w:val="20"/>
          <w:szCs w:val="20"/>
          <w:lang w:val="pt-BR"/>
        </w:rPr>
        <w:tab/>
      </w:r>
      <w:r w:rsidRPr="00830612">
        <w:rPr>
          <w:rFonts w:ascii="Verdana" w:hAnsi="Verdana"/>
          <w:sz w:val="20"/>
          <w:szCs w:val="20"/>
          <w:lang w:val="pt-BR"/>
        </w:rPr>
        <w:tab/>
      </w:r>
      <w:r w:rsidRPr="00830612">
        <w:rPr>
          <w:rFonts w:ascii="Verdana" w:hAnsi="Verdana"/>
          <w:sz w:val="20"/>
          <w:szCs w:val="20"/>
          <w:lang w:val="pt-BR"/>
        </w:rPr>
        <w:tab/>
        <w:t xml:space="preserve">Eduardo </w:t>
      </w:r>
      <w:proofErr w:type="spellStart"/>
      <w:r w:rsidRPr="00830612">
        <w:rPr>
          <w:rFonts w:ascii="Verdana" w:hAnsi="Verdana"/>
          <w:sz w:val="20"/>
          <w:szCs w:val="20"/>
          <w:lang w:val="pt-BR"/>
        </w:rPr>
        <w:t>Vio</w:t>
      </w:r>
      <w:proofErr w:type="spellEnd"/>
      <w:r w:rsidRPr="00830612">
        <w:rPr>
          <w:rFonts w:ascii="Verdana" w:hAnsi="Verdana"/>
          <w:sz w:val="20"/>
          <w:szCs w:val="20"/>
          <w:lang w:val="pt-BR"/>
        </w:rPr>
        <w:t xml:space="preserve"> Grossi</w:t>
      </w:r>
      <w:r w:rsidRPr="00830612">
        <w:rPr>
          <w:rFonts w:ascii="Verdana" w:hAnsi="Verdana"/>
          <w:sz w:val="20"/>
          <w:szCs w:val="20"/>
          <w:lang w:val="pt-BR"/>
        </w:rPr>
        <w:tab/>
      </w:r>
      <w:r w:rsidRPr="00830612">
        <w:rPr>
          <w:rFonts w:ascii="Verdana" w:hAnsi="Verdana"/>
          <w:sz w:val="20"/>
          <w:szCs w:val="20"/>
          <w:lang w:val="pt-BR"/>
        </w:rPr>
        <w:tab/>
      </w:r>
      <w:r w:rsidRPr="00830612">
        <w:rPr>
          <w:rFonts w:ascii="Verdana" w:hAnsi="Verdana"/>
          <w:sz w:val="20"/>
          <w:szCs w:val="20"/>
          <w:lang w:val="pt-BR"/>
        </w:rPr>
        <w:tab/>
      </w:r>
      <w:r w:rsidRPr="00830612">
        <w:rPr>
          <w:rFonts w:ascii="Verdana" w:hAnsi="Verdana"/>
          <w:sz w:val="20"/>
          <w:szCs w:val="20"/>
          <w:lang w:val="pt-BR"/>
        </w:rPr>
        <w:tab/>
      </w:r>
    </w:p>
    <w:p w14:paraId="2942A34C" w14:textId="2B81FD0D" w:rsidR="00736D1B" w:rsidRPr="00830612" w:rsidRDefault="00736D1B" w:rsidP="00736D1B">
      <w:pPr>
        <w:spacing w:after="0" w:line="240" w:lineRule="auto"/>
        <w:jc w:val="both"/>
        <w:rPr>
          <w:rFonts w:ascii="Verdana" w:hAnsi="Verdana"/>
          <w:sz w:val="20"/>
          <w:szCs w:val="20"/>
          <w:lang w:val="pt-BR"/>
        </w:rPr>
      </w:pPr>
    </w:p>
    <w:p w14:paraId="7C7F6995" w14:textId="77777777" w:rsidR="00736D1B" w:rsidRPr="00830612" w:rsidRDefault="00736D1B" w:rsidP="00736D1B">
      <w:pPr>
        <w:spacing w:after="0" w:line="240" w:lineRule="auto"/>
        <w:jc w:val="both"/>
        <w:rPr>
          <w:rFonts w:ascii="Verdana" w:hAnsi="Verdana"/>
          <w:sz w:val="20"/>
          <w:szCs w:val="20"/>
          <w:lang w:val="pt-BR"/>
        </w:rPr>
      </w:pPr>
    </w:p>
    <w:p w14:paraId="3F026434" w14:textId="35411738" w:rsidR="00736D1B" w:rsidRPr="00830612" w:rsidRDefault="00736D1B" w:rsidP="00736D1B">
      <w:pPr>
        <w:spacing w:after="0" w:line="240" w:lineRule="auto"/>
        <w:jc w:val="both"/>
        <w:rPr>
          <w:rFonts w:ascii="Verdana" w:hAnsi="Verdana"/>
          <w:sz w:val="20"/>
          <w:szCs w:val="20"/>
          <w:lang w:val="pt-BR"/>
        </w:rPr>
      </w:pPr>
    </w:p>
    <w:p w14:paraId="59CAE818" w14:textId="3F4536DF" w:rsidR="00736D1B" w:rsidRPr="00830612" w:rsidRDefault="00736D1B" w:rsidP="00736D1B">
      <w:pPr>
        <w:spacing w:after="0" w:line="240" w:lineRule="auto"/>
        <w:jc w:val="both"/>
        <w:rPr>
          <w:rFonts w:ascii="Verdana" w:hAnsi="Verdana"/>
          <w:sz w:val="20"/>
          <w:szCs w:val="20"/>
          <w:lang w:val="pt-BR"/>
        </w:rPr>
      </w:pPr>
    </w:p>
    <w:p w14:paraId="5836CC51" w14:textId="0AD70769" w:rsidR="00736D1B" w:rsidRPr="00830612" w:rsidRDefault="00736D1B" w:rsidP="00736D1B">
      <w:pPr>
        <w:spacing w:after="0" w:line="240" w:lineRule="auto"/>
        <w:jc w:val="both"/>
        <w:rPr>
          <w:rFonts w:ascii="Verdana" w:hAnsi="Verdana"/>
          <w:sz w:val="20"/>
          <w:szCs w:val="20"/>
          <w:lang w:val="pt-BR"/>
        </w:rPr>
      </w:pPr>
    </w:p>
    <w:p w14:paraId="494912F8" w14:textId="77777777" w:rsidR="00736D1B" w:rsidRPr="00830612" w:rsidRDefault="00736D1B" w:rsidP="00736D1B">
      <w:pPr>
        <w:spacing w:after="0" w:line="240" w:lineRule="auto"/>
        <w:rPr>
          <w:rFonts w:ascii="Verdana" w:hAnsi="Verdana"/>
          <w:sz w:val="20"/>
          <w:szCs w:val="20"/>
          <w:lang w:val="pt-BR"/>
        </w:rPr>
      </w:pPr>
      <w:r w:rsidRPr="0005044D">
        <w:rPr>
          <w:rFonts w:ascii="Verdana" w:hAnsi="Verdana"/>
          <w:sz w:val="20"/>
          <w:szCs w:val="20"/>
          <w:lang w:val="pt-BR"/>
        </w:rPr>
        <w:t xml:space="preserve">Humberto </w:t>
      </w:r>
      <w:proofErr w:type="spellStart"/>
      <w:r w:rsidRPr="0005044D">
        <w:rPr>
          <w:rFonts w:ascii="Verdana" w:hAnsi="Verdana"/>
          <w:sz w:val="20"/>
          <w:szCs w:val="20"/>
          <w:lang w:val="pt-BR"/>
        </w:rPr>
        <w:t>Antonio</w:t>
      </w:r>
      <w:proofErr w:type="spellEnd"/>
      <w:r w:rsidRPr="0005044D">
        <w:rPr>
          <w:rFonts w:ascii="Verdana" w:hAnsi="Verdana"/>
          <w:sz w:val="20"/>
          <w:szCs w:val="20"/>
          <w:lang w:val="pt-BR"/>
        </w:rPr>
        <w:t xml:space="preserve"> </w:t>
      </w:r>
      <w:proofErr w:type="spellStart"/>
      <w:r w:rsidRPr="0005044D">
        <w:rPr>
          <w:rFonts w:ascii="Verdana" w:hAnsi="Verdana"/>
          <w:sz w:val="20"/>
          <w:szCs w:val="20"/>
          <w:lang w:val="pt-BR"/>
        </w:rPr>
        <w:t>Sierra</w:t>
      </w:r>
      <w:proofErr w:type="spellEnd"/>
      <w:r w:rsidRPr="0005044D">
        <w:rPr>
          <w:rFonts w:ascii="Verdana" w:hAnsi="Verdana"/>
          <w:sz w:val="20"/>
          <w:szCs w:val="20"/>
          <w:lang w:val="pt-BR"/>
        </w:rPr>
        <w:t xml:space="preserve"> Porto</w:t>
      </w:r>
      <w:r w:rsidRPr="00830612">
        <w:rPr>
          <w:rFonts w:ascii="Verdana" w:hAnsi="Verdana"/>
          <w:sz w:val="20"/>
          <w:szCs w:val="20"/>
          <w:lang w:val="pt-BR"/>
        </w:rPr>
        <w:t xml:space="preserve"> </w:t>
      </w:r>
      <w:r w:rsidRPr="00830612">
        <w:rPr>
          <w:rFonts w:ascii="Verdana" w:hAnsi="Verdana"/>
          <w:sz w:val="20"/>
          <w:szCs w:val="20"/>
          <w:lang w:val="pt-BR"/>
        </w:rPr>
        <w:tab/>
      </w:r>
      <w:r w:rsidRPr="00830612">
        <w:rPr>
          <w:rFonts w:ascii="Verdana" w:hAnsi="Verdana"/>
          <w:sz w:val="20"/>
          <w:szCs w:val="20"/>
          <w:lang w:val="pt-BR"/>
        </w:rPr>
        <w:tab/>
      </w:r>
      <w:r w:rsidRPr="00830612">
        <w:rPr>
          <w:rFonts w:ascii="Verdana" w:hAnsi="Verdana"/>
          <w:sz w:val="20"/>
          <w:szCs w:val="20"/>
          <w:lang w:val="pt-BR"/>
        </w:rPr>
        <w:tab/>
      </w:r>
      <w:r w:rsidRPr="00830612">
        <w:rPr>
          <w:rFonts w:ascii="Verdana" w:hAnsi="Verdana"/>
          <w:sz w:val="20"/>
          <w:szCs w:val="20"/>
          <w:lang w:val="pt-BR"/>
        </w:rPr>
        <w:tab/>
      </w:r>
      <w:r w:rsidRPr="00830612">
        <w:rPr>
          <w:rFonts w:ascii="Verdana" w:hAnsi="Verdana"/>
          <w:sz w:val="20"/>
          <w:szCs w:val="20"/>
          <w:lang w:val="pt-BR"/>
        </w:rPr>
        <w:tab/>
        <w:t xml:space="preserve">Eugenio </w:t>
      </w:r>
      <w:proofErr w:type="spellStart"/>
      <w:r w:rsidRPr="00830612">
        <w:rPr>
          <w:rFonts w:ascii="Verdana" w:hAnsi="Verdana"/>
          <w:sz w:val="20"/>
          <w:szCs w:val="20"/>
          <w:lang w:val="pt-BR"/>
        </w:rPr>
        <w:t>Raúl</w:t>
      </w:r>
      <w:proofErr w:type="spellEnd"/>
      <w:r w:rsidRPr="00830612">
        <w:rPr>
          <w:rFonts w:ascii="Verdana" w:hAnsi="Verdana"/>
          <w:sz w:val="20"/>
          <w:szCs w:val="20"/>
          <w:lang w:val="pt-BR"/>
        </w:rPr>
        <w:t xml:space="preserve"> </w:t>
      </w:r>
      <w:proofErr w:type="spellStart"/>
      <w:r w:rsidRPr="00830612">
        <w:rPr>
          <w:rFonts w:ascii="Verdana" w:hAnsi="Verdana"/>
          <w:sz w:val="20"/>
          <w:szCs w:val="20"/>
          <w:lang w:val="pt-BR"/>
        </w:rPr>
        <w:t>Zaffaroni</w:t>
      </w:r>
      <w:proofErr w:type="spellEnd"/>
    </w:p>
    <w:p w14:paraId="1369A23E" w14:textId="6CDC18C5" w:rsidR="00736D1B" w:rsidRPr="00830612" w:rsidRDefault="00736D1B" w:rsidP="00736D1B">
      <w:pPr>
        <w:spacing w:after="0" w:line="240" w:lineRule="auto"/>
        <w:jc w:val="both"/>
        <w:rPr>
          <w:rFonts w:ascii="Verdana" w:hAnsi="Verdana"/>
          <w:sz w:val="20"/>
          <w:szCs w:val="20"/>
          <w:lang w:val="pt-BR"/>
        </w:rPr>
      </w:pPr>
      <w:r w:rsidRPr="00830612">
        <w:rPr>
          <w:rFonts w:ascii="Verdana" w:hAnsi="Verdana"/>
          <w:sz w:val="20"/>
          <w:szCs w:val="20"/>
          <w:lang w:val="pt-BR"/>
        </w:rPr>
        <w:tab/>
      </w:r>
    </w:p>
    <w:p w14:paraId="5681D873" w14:textId="05884A8E" w:rsidR="00736D1B" w:rsidRPr="00830612" w:rsidRDefault="00736D1B" w:rsidP="00736D1B">
      <w:pPr>
        <w:spacing w:after="0" w:line="240" w:lineRule="auto"/>
        <w:jc w:val="both"/>
        <w:rPr>
          <w:rFonts w:ascii="Verdana" w:hAnsi="Verdana"/>
          <w:sz w:val="20"/>
          <w:szCs w:val="20"/>
          <w:lang w:val="pt-BR"/>
        </w:rPr>
      </w:pPr>
    </w:p>
    <w:p w14:paraId="4E5988E5" w14:textId="20BA6657" w:rsidR="00736D1B" w:rsidRPr="00830612" w:rsidRDefault="00736D1B" w:rsidP="00736D1B">
      <w:pPr>
        <w:spacing w:after="0" w:line="240" w:lineRule="auto"/>
        <w:jc w:val="both"/>
        <w:rPr>
          <w:rFonts w:ascii="Verdana" w:hAnsi="Verdana"/>
          <w:sz w:val="20"/>
          <w:szCs w:val="20"/>
          <w:lang w:val="pt-BR"/>
        </w:rPr>
      </w:pPr>
    </w:p>
    <w:p w14:paraId="5BE5A037" w14:textId="040259BE" w:rsidR="00736D1B" w:rsidRPr="00830612" w:rsidRDefault="00736D1B" w:rsidP="00736D1B">
      <w:pPr>
        <w:spacing w:after="0" w:line="240" w:lineRule="auto"/>
        <w:jc w:val="both"/>
        <w:rPr>
          <w:rFonts w:ascii="Verdana" w:hAnsi="Verdana"/>
          <w:sz w:val="20"/>
          <w:szCs w:val="20"/>
          <w:lang w:val="pt-BR"/>
        </w:rPr>
      </w:pPr>
    </w:p>
    <w:p w14:paraId="134054D2" w14:textId="19B8CDD2" w:rsidR="00736D1B" w:rsidRPr="00830612" w:rsidRDefault="00736D1B" w:rsidP="00736D1B">
      <w:pPr>
        <w:spacing w:after="0" w:line="240" w:lineRule="auto"/>
        <w:jc w:val="both"/>
        <w:rPr>
          <w:rFonts w:ascii="Verdana" w:hAnsi="Verdana"/>
          <w:sz w:val="20"/>
          <w:szCs w:val="20"/>
          <w:lang w:val="pt-BR"/>
        </w:rPr>
      </w:pPr>
    </w:p>
    <w:p w14:paraId="2602B2EA" w14:textId="34D5AAB3" w:rsidR="00736D1B" w:rsidRPr="00830612" w:rsidRDefault="00736D1B" w:rsidP="00736D1B">
      <w:pPr>
        <w:spacing w:after="0" w:line="240" w:lineRule="auto"/>
        <w:jc w:val="both"/>
        <w:rPr>
          <w:rFonts w:ascii="Verdana" w:hAnsi="Verdana"/>
          <w:sz w:val="20"/>
          <w:szCs w:val="20"/>
          <w:lang w:val="pt-BR"/>
        </w:rPr>
      </w:pPr>
    </w:p>
    <w:p w14:paraId="50967E71" w14:textId="0EB4A7C0" w:rsidR="00736D1B" w:rsidRPr="00830612" w:rsidRDefault="00736D1B" w:rsidP="00736D1B">
      <w:pPr>
        <w:spacing w:after="0" w:line="240" w:lineRule="auto"/>
        <w:jc w:val="center"/>
        <w:rPr>
          <w:rFonts w:ascii="Verdana" w:hAnsi="Verdana"/>
          <w:sz w:val="20"/>
          <w:szCs w:val="20"/>
          <w:lang w:val="pt-BR"/>
        </w:rPr>
      </w:pPr>
      <w:r w:rsidRPr="00830612">
        <w:rPr>
          <w:rFonts w:ascii="Verdana" w:hAnsi="Verdana"/>
          <w:sz w:val="20"/>
          <w:szCs w:val="20"/>
          <w:lang w:val="pt-BR"/>
        </w:rPr>
        <w:t>Ricardo C. Pérez Manrique</w:t>
      </w:r>
    </w:p>
    <w:p w14:paraId="387DA12C" w14:textId="42A36DCA" w:rsidR="00736D1B" w:rsidRPr="00830612" w:rsidRDefault="00736D1B" w:rsidP="00736D1B">
      <w:pPr>
        <w:spacing w:after="0" w:line="240" w:lineRule="auto"/>
        <w:jc w:val="both"/>
        <w:rPr>
          <w:rFonts w:ascii="Verdana" w:hAnsi="Verdana"/>
          <w:sz w:val="20"/>
          <w:szCs w:val="20"/>
          <w:lang w:val="pt-BR"/>
        </w:rPr>
      </w:pPr>
      <w:r w:rsidRPr="00830612">
        <w:rPr>
          <w:rFonts w:ascii="Verdana" w:hAnsi="Verdana"/>
          <w:sz w:val="20"/>
          <w:szCs w:val="20"/>
          <w:lang w:val="pt-BR"/>
        </w:rPr>
        <w:tab/>
      </w:r>
    </w:p>
    <w:p w14:paraId="469CF2F2" w14:textId="6176E40D" w:rsidR="00736D1B" w:rsidRPr="00830612" w:rsidRDefault="00736D1B" w:rsidP="00736D1B">
      <w:pPr>
        <w:spacing w:after="0" w:line="240" w:lineRule="auto"/>
        <w:jc w:val="both"/>
        <w:rPr>
          <w:rFonts w:ascii="Verdana" w:hAnsi="Verdana"/>
          <w:sz w:val="20"/>
          <w:szCs w:val="20"/>
          <w:lang w:val="pt-BR"/>
        </w:rPr>
      </w:pPr>
    </w:p>
    <w:p w14:paraId="0E20FF37" w14:textId="74C50ABF" w:rsidR="00736D1B" w:rsidRPr="00830612" w:rsidRDefault="00736D1B" w:rsidP="00736D1B">
      <w:pPr>
        <w:spacing w:after="0" w:line="240" w:lineRule="auto"/>
        <w:jc w:val="both"/>
        <w:rPr>
          <w:rFonts w:ascii="Verdana" w:hAnsi="Verdana"/>
          <w:sz w:val="20"/>
          <w:szCs w:val="20"/>
          <w:lang w:val="pt-BR"/>
        </w:rPr>
      </w:pPr>
    </w:p>
    <w:p w14:paraId="22EB9788" w14:textId="4B6FA59E" w:rsidR="00736D1B" w:rsidRPr="00830612" w:rsidRDefault="00736D1B" w:rsidP="00736D1B">
      <w:pPr>
        <w:spacing w:after="0" w:line="240" w:lineRule="auto"/>
        <w:jc w:val="both"/>
        <w:rPr>
          <w:rFonts w:ascii="Verdana" w:hAnsi="Verdana"/>
          <w:sz w:val="20"/>
          <w:szCs w:val="20"/>
          <w:lang w:val="pt-BR"/>
        </w:rPr>
      </w:pPr>
    </w:p>
    <w:p w14:paraId="4320F8E0" w14:textId="3387A99F" w:rsidR="00736D1B" w:rsidRPr="00830612" w:rsidRDefault="00736D1B" w:rsidP="00736D1B">
      <w:pPr>
        <w:spacing w:after="0" w:line="240" w:lineRule="auto"/>
        <w:jc w:val="both"/>
        <w:rPr>
          <w:rFonts w:ascii="Verdana" w:hAnsi="Verdana"/>
          <w:sz w:val="20"/>
          <w:szCs w:val="20"/>
          <w:lang w:val="pt-BR"/>
        </w:rPr>
      </w:pPr>
    </w:p>
    <w:p w14:paraId="62F87341" w14:textId="77777777" w:rsidR="00736D1B" w:rsidRPr="00830612" w:rsidRDefault="00736D1B" w:rsidP="00736D1B">
      <w:pPr>
        <w:spacing w:after="0" w:line="240" w:lineRule="auto"/>
        <w:jc w:val="both"/>
        <w:rPr>
          <w:rFonts w:ascii="Verdana" w:hAnsi="Verdana"/>
          <w:sz w:val="20"/>
          <w:szCs w:val="20"/>
          <w:lang w:val="pt-BR"/>
        </w:rPr>
      </w:pPr>
    </w:p>
    <w:p w14:paraId="706A6232" w14:textId="77777777" w:rsidR="00736D1B" w:rsidRPr="00830612" w:rsidRDefault="00736D1B" w:rsidP="00736D1B">
      <w:pPr>
        <w:spacing w:after="0" w:line="240" w:lineRule="auto"/>
        <w:jc w:val="center"/>
        <w:rPr>
          <w:rFonts w:ascii="Verdana" w:hAnsi="Verdana"/>
          <w:sz w:val="20"/>
          <w:szCs w:val="20"/>
          <w:lang w:val="pt-BR"/>
        </w:rPr>
      </w:pPr>
      <w:r w:rsidRPr="00830612">
        <w:rPr>
          <w:rFonts w:ascii="Verdana" w:hAnsi="Verdana"/>
          <w:sz w:val="20"/>
          <w:szCs w:val="20"/>
          <w:lang w:val="pt-BR"/>
        </w:rPr>
        <w:t xml:space="preserve">Pablo Saavedra </w:t>
      </w:r>
      <w:proofErr w:type="spellStart"/>
      <w:r w:rsidRPr="00830612">
        <w:rPr>
          <w:rFonts w:ascii="Verdana" w:hAnsi="Verdana"/>
          <w:sz w:val="20"/>
          <w:szCs w:val="20"/>
          <w:lang w:val="pt-BR"/>
        </w:rPr>
        <w:t>Alessandri</w:t>
      </w:r>
      <w:proofErr w:type="spellEnd"/>
    </w:p>
    <w:p w14:paraId="3C461359" w14:textId="77777777" w:rsidR="00736D1B" w:rsidRPr="00830612" w:rsidRDefault="00736D1B" w:rsidP="00736D1B">
      <w:pPr>
        <w:spacing w:after="0" w:line="240" w:lineRule="auto"/>
        <w:jc w:val="center"/>
        <w:rPr>
          <w:rFonts w:ascii="Verdana" w:hAnsi="Verdana"/>
          <w:sz w:val="20"/>
          <w:szCs w:val="20"/>
          <w:lang w:val="pt-BR"/>
        </w:rPr>
      </w:pPr>
      <w:r w:rsidRPr="00830612">
        <w:rPr>
          <w:rFonts w:ascii="Verdana" w:hAnsi="Verdana"/>
          <w:sz w:val="20"/>
          <w:szCs w:val="20"/>
          <w:lang w:val="pt-BR"/>
        </w:rPr>
        <w:t>Secretario</w:t>
      </w:r>
    </w:p>
    <w:p w14:paraId="6761087C" w14:textId="7238DE26" w:rsidR="00736D1B" w:rsidRPr="00830612" w:rsidRDefault="00736D1B" w:rsidP="00736D1B">
      <w:pPr>
        <w:spacing w:after="0" w:line="240" w:lineRule="auto"/>
        <w:rPr>
          <w:rFonts w:ascii="Verdana" w:hAnsi="Verdana"/>
          <w:sz w:val="20"/>
          <w:szCs w:val="20"/>
          <w:lang w:val="pt-BR"/>
        </w:rPr>
      </w:pPr>
    </w:p>
    <w:p w14:paraId="108F5E02" w14:textId="46642EC5" w:rsidR="00736D1B" w:rsidRPr="00830612" w:rsidRDefault="00736D1B" w:rsidP="00736D1B">
      <w:pPr>
        <w:pStyle w:val="Textonotapie"/>
        <w:rPr>
          <w:rFonts w:ascii="Verdana" w:hAnsi="Verdana"/>
          <w:lang w:val="pt-BR"/>
        </w:rPr>
      </w:pPr>
    </w:p>
    <w:p w14:paraId="671627D9" w14:textId="5BA8DA03" w:rsidR="00736D1B" w:rsidRPr="00830612" w:rsidRDefault="00736D1B" w:rsidP="00736D1B">
      <w:pPr>
        <w:pStyle w:val="Textonotapie"/>
        <w:rPr>
          <w:rFonts w:ascii="Verdana" w:hAnsi="Verdana"/>
          <w:lang w:val="pt-BR"/>
        </w:rPr>
      </w:pPr>
    </w:p>
    <w:p w14:paraId="5803A7B7" w14:textId="693970CA" w:rsidR="00736D1B" w:rsidRPr="00830612" w:rsidRDefault="00736D1B" w:rsidP="00736D1B">
      <w:pPr>
        <w:spacing w:after="0" w:line="240" w:lineRule="auto"/>
        <w:jc w:val="both"/>
        <w:rPr>
          <w:rFonts w:ascii="Verdana" w:hAnsi="Verdana"/>
          <w:sz w:val="20"/>
          <w:szCs w:val="20"/>
          <w:lang w:val="pt-BR"/>
        </w:rPr>
      </w:pPr>
      <w:proofErr w:type="spellStart"/>
      <w:r w:rsidRPr="00830612">
        <w:rPr>
          <w:rFonts w:ascii="Verdana" w:hAnsi="Verdana"/>
          <w:sz w:val="20"/>
          <w:szCs w:val="20"/>
          <w:lang w:val="pt-BR"/>
        </w:rPr>
        <w:t>Comuníquese</w:t>
      </w:r>
      <w:proofErr w:type="spellEnd"/>
      <w:r w:rsidRPr="00830612">
        <w:rPr>
          <w:rFonts w:ascii="Verdana" w:hAnsi="Verdana"/>
          <w:sz w:val="20"/>
          <w:szCs w:val="20"/>
          <w:lang w:val="pt-BR"/>
        </w:rPr>
        <w:t xml:space="preserve"> y </w:t>
      </w:r>
      <w:proofErr w:type="spellStart"/>
      <w:r w:rsidRPr="00830612">
        <w:rPr>
          <w:rFonts w:ascii="Verdana" w:hAnsi="Verdana"/>
          <w:sz w:val="20"/>
          <w:szCs w:val="20"/>
          <w:lang w:val="pt-BR"/>
        </w:rPr>
        <w:t>ejecútese</w:t>
      </w:r>
      <w:proofErr w:type="spellEnd"/>
      <w:r w:rsidRPr="00830612">
        <w:rPr>
          <w:rFonts w:ascii="Verdana" w:hAnsi="Verdana"/>
          <w:sz w:val="20"/>
          <w:szCs w:val="20"/>
          <w:lang w:val="pt-BR"/>
        </w:rPr>
        <w:t>,</w:t>
      </w:r>
    </w:p>
    <w:p w14:paraId="1F46094D" w14:textId="0D071AFD" w:rsidR="00736D1B" w:rsidRPr="00830612" w:rsidRDefault="00736D1B" w:rsidP="00736D1B">
      <w:pPr>
        <w:spacing w:after="0" w:line="240" w:lineRule="auto"/>
        <w:jc w:val="both"/>
        <w:rPr>
          <w:rFonts w:ascii="Verdana" w:hAnsi="Verdana"/>
          <w:sz w:val="20"/>
          <w:szCs w:val="20"/>
          <w:lang w:val="pt-BR"/>
        </w:rPr>
      </w:pPr>
    </w:p>
    <w:p w14:paraId="5CDF7F13" w14:textId="053C192F" w:rsidR="00736D1B" w:rsidRPr="00830612" w:rsidRDefault="00736D1B" w:rsidP="00736D1B">
      <w:pPr>
        <w:spacing w:after="0" w:line="240" w:lineRule="auto"/>
        <w:jc w:val="both"/>
        <w:rPr>
          <w:rFonts w:ascii="Verdana" w:hAnsi="Verdana"/>
          <w:sz w:val="20"/>
          <w:szCs w:val="20"/>
          <w:lang w:val="pt-BR"/>
        </w:rPr>
      </w:pPr>
    </w:p>
    <w:p w14:paraId="051AED46" w14:textId="74CCF6C2" w:rsidR="00736D1B" w:rsidRPr="00830612" w:rsidRDefault="00736D1B" w:rsidP="00736D1B">
      <w:pPr>
        <w:spacing w:after="0" w:line="240" w:lineRule="auto"/>
        <w:jc w:val="both"/>
        <w:rPr>
          <w:rFonts w:ascii="Verdana" w:hAnsi="Verdana"/>
          <w:sz w:val="20"/>
          <w:szCs w:val="20"/>
          <w:lang w:val="pt-BR"/>
        </w:rPr>
      </w:pPr>
    </w:p>
    <w:p w14:paraId="750D4316" w14:textId="77777777" w:rsidR="00736D1B" w:rsidRPr="0005044D" w:rsidRDefault="00736D1B" w:rsidP="00736D1B">
      <w:pPr>
        <w:spacing w:after="0" w:line="240" w:lineRule="auto"/>
        <w:ind w:left="6372"/>
        <w:jc w:val="center"/>
        <w:rPr>
          <w:rFonts w:ascii="Verdana" w:hAnsi="Verdana"/>
          <w:sz w:val="20"/>
          <w:szCs w:val="20"/>
          <w:lang w:val="pt-BR"/>
        </w:rPr>
      </w:pPr>
      <w:r w:rsidRPr="0005044D">
        <w:rPr>
          <w:rFonts w:ascii="Verdana" w:hAnsi="Verdana"/>
          <w:sz w:val="20"/>
          <w:szCs w:val="20"/>
          <w:lang w:val="pt-BR"/>
        </w:rPr>
        <w:t xml:space="preserve">Elizabeth </w:t>
      </w:r>
      <w:proofErr w:type="spellStart"/>
      <w:r w:rsidRPr="0005044D">
        <w:rPr>
          <w:rFonts w:ascii="Verdana" w:hAnsi="Verdana"/>
          <w:sz w:val="20"/>
          <w:szCs w:val="20"/>
          <w:lang w:val="pt-BR"/>
        </w:rPr>
        <w:t>Odio</w:t>
      </w:r>
      <w:proofErr w:type="spellEnd"/>
      <w:r w:rsidRPr="0005044D">
        <w:rPr>
          <w:rFonts w:ascii="Verdana" w:hAnsi="Verdana"/>
          <w:sz w:val="20"/>
          <w:szCs w:val="20"/>
          <w:lang w:val="pt-BR"/>
        </w:rPr>
        <w:t xml:space="preserve"> Benito</w:t>
      </w:r>
    </w:p>
    <w:p w14:paraId="18D386B9" w14:textId="1773236E" w:rsidR="00736D1B" w:rsidRPr="0005044D" w:rsidRDefault="00736D1B" w:rsidP="00736D1B">
      <w:pPr>
        <w:spacing w:after="0" w:line="240" w:lineRule="auto"/>
        <w:ind w:left="6372"/>
        <w:jc w:val="center"/>
        <w:rPr>
          <w:rFonts w:ascii="Verdana" w:hAnsi="Verdana"/>
          <w:sz w:val="20"/>
          <w:szCs w:val="20"/>
          <w:lang w:val="pt-BR"/>
        </w:rPr>
      </w:pPr>
      <w:r w:rsidRPr="0005044D">
        <w:rPr>
          <w:rFonts w:ascii="Verdana" w:hAnsi="Verdana"/>
          <w:sz w:val="20"/>
          <w:szCs w:val="20"/>
          <w:lang w:val="pt-BR"/>
        </w:rPr>
        <w:t>Presidenta</w:t>
      </w:r>
    </w:p>
    <w:p w14:paraId="05E4380F" w14:textId="77777777" w:rsidR="00736D1B" w:rsidRPr="0005044D" w:rsidRDefault="00736D1B" w:rsidP="00736D1B">
      <w:pPr>
        <w:spacing w:after="0" w:line="240" w:lineRule="auto"/>
        <w:jc w:val="both"/>
        <w:rPr>
          <w:rFonts w:ascii="Verdana" w:hAnsi="Verdana"/>
          <w:sz w:val="20"/>
          <w:szCs w:val="20"/>
          <w:lang w:val="es-ES"/>
        </w:rPr>
      </w:pPr>
    </w:p>
    <w:p w14:paraId="1F474A8D" w14:textId="3219BFDB" w:rsidR="00736D1B" w:rsidRPr="0005044D" w:rsidRDefault="00736D1B" w:rsidP="00736D1B">
      <w:pPr>
        <w:spacing w:after="0" w:line="240" w:lineRule="auto"/>
        <w:jc w:val="both"/>
        <w:rPr>
          <w:rFonts w:ascii="Verdana" w:hAnsi="Verdana"/>
          <w:sz w:val="20"/>
          <w:szCs w:val="20"/>
          <w:lang w:val="es-ES"/>
        </w:rPr>
      </w:pPr>
    </w:p>
    <w:p w14:paraId="0D03D86B" w14:textId="3F7031FB" w:rsidR="00736D1B" w:rsidRPr="0005044D" w:rsidRDefault="00736D1B" w:rsidP="00736D1B">
      <w:pPr>
        <w:spacing w:after="0" w:line="240" w:lineRule="auto"/>
        <w:jc w:val="both"/>
        <w:rPr>
          <w:rFonts w:ascii="Verdana" w:hAnsi="Verdana"/>
          <w:sz w:val="20"/>
          <w:szCs w:val="20"/>
          <w:lang w:val="es-ES"/>
        </w:rPr>
      </w:pPr>
    </w:p>
    <w:p w14:paraId="67924880" w14:textId="77777777" w:rsidR="00736D1B" w:rsidRPr="0005044D" w:rsidRDefault="00736D1B" w:rsidP="00736D1B">
      <w:pPr>
        <w:spacing w:after="0" w:line="240" w:lineRule="auto"/>
        <w:jc w:val="both"/>
        <w:rPr>
          <w:rFonts w:ascii="Verdana" w:hAnsi="Verdana"/>
          <w:sz w:val="20"/>
          <w:szCs w:val="20"/>
          <w:lang w:val="es-ES"/>
        </w:rPr>
      </w:pPr>
      <w:r w:rsidRPr="0005044D">
        <w:rPr>
          <w:rFonts w:ascii="Verdana" w:hAnsi="Verdana"/>
          <w:sz w:val="20"/>
          <w:szCs w:val="20"/>
          <w:lang w:val="es-ES"/>
        </w:rPr>
        <w:t>Pablo Saavedra Alessandri</w:t>
      </w:r>
    </w:p>
    <w:p w14:paraId="15DCFBE0" w14:textId="0868E85D" w:rsidR="00D474E1" w:rsidRPr="00736D1B" w:rsidRDefault="00736D1B" w:rsidP="00736D1B">
      <w:pPr>
        <w:spacing w:after="0" w:line="240" w:lineRule="auto"/>
        <w:rPr>
          <w:rFonts w:ascii="Verdana" w:hAnsi="Verdana"/>
          <w:sz w:val="20"/>
          <w:szCs w:val="20"/>
        </w:rPr>
      </w:pPr>
      <w:r w:rsidRPr="0005044D">
        <w:rPr>
          <w:rFonts w:ascii="Verdana" w:hAnsi="Verdana"/>
          <w:sz w:val="20"/>
          <w:szCs w:val="20"/>
          <w:lang w:val="es-ES"/>
        </w:rPr>
        <w:tab/>
      </w:r>
      <w:r w:rsidRPr="0005044D">
        <w:rPr>
          <w:rFonts w:ascii="Verdana" w:hAnsi="Verdana"/>
          <w:sz w:val="20"/>
          <w:szCs w:val="20"/>
          <w:lang w:val="es-CR"/>
        </w:rPr>
        <w:t>Secretario</w:t>
      </w:r>
      <w:bookmarkEnd w:id="12"/>
    </w:p>
    <w:sectPr w:rsidR="00D474E1" w:rsidRPr="00736D1B" w:rsidSect="0007729F">
      <w:headerReference w:type="default" r:id="rId11"/>
      <w:headerReference w:type="first" r:id="rId12"/>
      <w:pgSz w:w="12240" w:h="15840"/>
      <w:pgMar w:top="1368" w:right="1368" w:bottom="1368" w:left="13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30A9F" w14:textId="77777777" w:rsidR="00535311" w:rsidRDefault="00535311" w:rsidP="00B609A8">
      <w:pPr>
        <w:spacing w:after="0" w:line="240" w:lineRule="auto"/>
      </w:pPr>
      <w:r>
        <w:separator/>
      </w:r>
    </w:p>
  </w:endnote>
  <w:endnote w:type="continuationSeparator" w:id="0">
    <w:p w14:paraId="352E3A3E" w14:textId="77777777" w:rsidR="00535311" w:rsidRDefault="00535311" w:rsidP="00B60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9A8F1" w14:textId="77777777" w:rsidR="00535311" w:rsidRDefault="00535311" w:rsidP="00B609A8">
      <w:pPr>
        <w:spacing w:after="0" w:line="240" w:lineRule="auto"/>
      </w:pPr>
      <w:r>
        <w:separator/>
      </w:r>
    </w:p>
  </w:footnote>
  <w:footnote w:type="continuationSeparator" w:id="0">
    <w:p w14:paraId="02E04B88" w14:textId="77777777" w:rsidR="00535311" w:rsidRDefault="00535311" w:rsidP="00B609A8">
      <w:pPr>
        <w:spacing w:after="0" w:line="240" w:lineRule="auto"/>
      </w:pPr>
      <w:r>
        <w:continuationSeparator/>
      </w:r>
    </w:p>
  </w:footnote>
  <w:footnote w:id="1">
    <w:p w14:paraId="286FA5C1" w14:textId="650E153F" w:rsidR="002847A0" w:rsidRPr="000353D7" w:rsidRDefault="002847A0" w:rsidP="000F444A">
      <w:pPr>
        <w:pStyle w:val="Textonotapie"/>
        <w:tabs>
          <w:tab w:val="left" w:pos="567"/>
        </w:tabs>
        <w:spacing w:before="120" w:after="120"/>
        <w:ind w:right="6"/>
        <w:jc w:val="both"/>
        <w:rPr>
          <w:rFonts w:ascii="Verdana" w:hAnsi="Verdana"/>
          <w:sz w:val="16"/>
          <w:szCs w:val="16"/>
          <w:lang w:val="es-ES"/>
        </w:rPr>
      </w:pPr>
      <w:r w:rsidRPr="000353D7">
        <w:rPr>
          <w:rStyle w:val="Refdenotaalpie"/>
          <w:rFonts w:ascii="Verdana" w:hAnsi="Verdana"/>
          <w:sz w:val="16"/>
          <w:szCs w:val="16"/>
          <w:lang w:val="es-ES"/>
        </w:rPr>
        <w:t>*</w:t>
      </w:r>
      <w:r w:rsidRPr="000353D7">
        <w:rPr>
          <w:rFonts w:ascii="Verdana" w:hAnsi="Verdana"/>
          <w:sz w:val="16"/>
          <w:szCs w:val="16"/>
          <w:lang w:val="es-ES"/>
        </w:rPr>
        <w:t xml:space="preserve"> </w:t>
      </w:r>
      <w:r w:rsidRPr="000353D7">
        <w:rPr>
          <w:rFonts w:ascii="Verdana" w:hAnsi="Verdana"/>
          <w:sz w:val="16"/>
          <w:szCs w:val="16"/>
          <w:lang w:val="es-ES"/>
        </w:rPr>
        <w:tab/>
        <w:t>El Juez Eduardo Ferrer Mac-Gregor Poisot, de nacionalidad mexicana, no participó en el conocimiento y deliberación de la presente resolución, de conformidad con lo dispuesto en el artículo 19.1 del Reglamento de la Corte.</w:t>
      </w:r>
    </w:p>
  </w:footnote>
  <w:footnote w:id="2">
    <w:p w14:paraId="06CD8EDD" w14:textId="77777777" w:rsidR="00153ADF" w:rsidRPr="000353D7" w:rsidRDefault="00153ADF" w:rsidP="000F444A">
      <w:pPr>
        <w:pStyle w:val="Textonotapie"/>
        <w:tabs>
          <w:tab w:val="left" w:pos="567"/>
        </w:tabs>
        <w:spacing w:before="120" w:after="120"/>
        <w:jc w:val="both"/>
        <w:rPr>
          <w:rFonts w:ascii="Verdana" w:hAnsi="Verdana"/>
          <w:sz w:val="16"/>
          <w:szCs w:val="16"/>
          <w:lang w:val="es-GT"/>
        </w:rPr>
      </w:pPr>
      <w:r w:rsidRPr="000353D7">
        <w:rPr>
          <w:rStyle w:val="Refdenotaalpie"/>
          <w:rFonts w:ascii="Verdana" w:hAnsi="Verdana"/>
          <w:sz w:val="16"/>
          <w:szCs w:val="16"/>
        </w:rPr>
        <w:footnoteRef/>
      </w:r>
      <w:r w:rsidRPr="000353D7">
        <w:rPr>
          <w:rFonts w:ascii="Verdana" w:hAnsi="Verdana"/>
          <w:sz w:val="16"/>
          <w:szCs w:val="16"/>
          <w:lang w:val="es-GT"/>
        </w:rPr>
        <w:t xml:space="preserve"> </w:t>
      </w:r>
      <w:r w:rsidRPr="000353D7">
        <w:rPr>
          <w:rFonts w:ascii="Verdana" w:hAnsi="Verdana"/>
          <w:sz w:val="16"/>
          <w:szCs w:val="16"/>
          <w:lang w:val="es-GT"/>
        </w:rPr>
        <w:tab/>
        <w:t>Abogadas y Abogados para la Justicia y los Derechos Humanos (AJDH), Alianza Sierra Madre AC (ASMAC), Centro de Derechos Humanos de las Mujeres (CEDEHM) y Consultoría Técnica Comunitaria (CONTEC) fungen como representantes de los beneficiarios en el presente asunto.</w:t>
      </w:r>
    </w:p>
  </w:footnote>
  <w:footnote w:id="3">
    <w:p w14:paraId="0A6AC160" w14:textId="6B91C9D3" w:rsidR="002847A0" w:rsidRPr="00830612" w:rsidRDefault="002847A0" w:rsidP="000F444A">
      <w:pPr>
        <w:pStyle w:val="Textonotapie"/>
        <w:spacing w:before="120" w:after="120"/>
        <w:jc w:val="both"/>
        <w:rPr>
          <w:rFonts w:ascii="Verdana" w:hAnsi="Verdana"/>
          <w:sz w:val="16"/>
          <w:szCs w:val="16"/>
          <w:lang w:val="es-CR"/>
        </w:rPr>
      </w:pPr>
      <w:r w:rsidRPr="000353D7">
        <w:rPr>
          <w:rStyle w:val="Refdenotaalpie"/>
          <w:rFonts w:ascii="Verdana" w:hAnsi="Verdana"/>
          <w:sz w:val="16"/>
          <w:szCs w:val="16"/>
        </w:rPr>
        <w:footnoteRef/>
      </w:r>
      <w:r w:rsidRPr="00830612">
        <w:rPr>
          <w:rFonts w:ascii="Verdana" w:hAnsi="Verdana"/>
          <w:sz w:val="16"/>
          <w:szCs w:val="16"/>
          <w:lang w:val="es-CR"/>
        </w:rPr>
        <w:t xml:space="preserve"> </w:t>
      </w:r>
      <w:r w:rsidRPr="00830612">
        <w:rPr>
          <w:rFonts w:ascii="Verdana" w:hAnsi="Verdana"/>
          <w:sz w:val="16"/>
          <w:szCs w:val="16"/>
          <w:lang w:val="es-CR"/>
        </w:rPr>
        <w:tab/>
      </w:r>
      <w:r w:rsidRPr="00830612">
        <w:rPr>
          <w:rFonts w:ascii="Verdana" w:hAnsi="Verdana"/>
          <w:i/>
          <w:iCs/>
          <w:sz w:val="16"/>
          <w:szCs w:val="16"/>
          <w:lang w:val="es-CR"/>
        </w:rPr>
        <w:t>Cfr.</w:t>
      </w:r>
      <w:r w:rsidRPr="00830612">
        <w:rPr>
          <w:rFonts w:ascii="Verdana" w:hAnsi="Verdana"/>
          <w:iCs/>
          <w:sz w:val="16"/>
          <w:szCs w:val="16"/>
          <w:lang w:val="es-CR"/>
        </w:rPr>
        <w:t xml:space="preserve"> </w:t>
      </w:r>
      <w:r w:rsidRPr="00830612">
        <w:rPr>
          <w:rFonts w:ascii="Verdana" w:hAnsi="Verdana"/>
          <w:i/>
          <w:iCs/>
          <w:sz w:val="16"/>
          <w:szCs w:val="16"/>
          <w:lang w:val="es-CR"/>
        </w:rPr>
        <w:t>Asunto Álvarez y otros.</w:t>
      </w:r>
      <w:r w:rsidRPr="00830612">
        <w:rPr>
          <w:rFonts w:ascii="Verdana" w:hAnsi="Verdana"/>
          <w:iCs/>
          <w:sz w:val="16"/>
          <w:szCs w:val="16"/>
          <w:lang w:val="es-CR"/>
        </w:rPr>
        <w:t xml:space="preserve"> Medidas Provisionales respecto de Colombia</w:t>
      </w:r>
      <w:r w:rsidRPr="00830612">
        <w:rPr>
          <w:rFonts w:ascii="Verdana" w:hAnsi="Verdana"/>
          <w:sz w:val="16"/>
          <w:szCs w:val="16"/>
          <w:lang w:val="es-CR"/>
        </w:rPr>
        <w:t>. Resolución de la Corte</w:t>
      </w:r>
      <w:r w:rsidR="003A67FF" w:rsidRPr="00830612">
        <w:rPr>
          <w:rFonts w:ascii="Verdana" w:hAnsi="Verdana"/>
          <w:sz w:val="16"/>
          <w:szCs w:val="16"/>
          <w:lang w:val="es-CR"/>
        </w:rPr>
        <w:t xml:space="preserve"> Interamericana de Derechos Humanos </w:t>
      </w:r>
      <w:r w:rsidRPr="00830612">
        <w:rPr>
          <w:rFonts w:ascii="Verdana" w:hAnsi="Verdana"/>
          <w:sz w:val="16"/>
          <w:szCs w:val="16"/>
          <w:lang w:val="es-CR"/>
        </w:rPr>
        <w:t xml:space="preserve">de 22 de mayo de 2013, Considerando 2, y </w:t>
      </w:r>
      <w:r w:rsidR="00CB4F26" w:rsidRPr="00830612">
        <w:rPr>
          <w:rFonts w:ascii="Verdana" w:hAnsi="Verdana"/>
          <w:i/>
          <w:sz w:val="16"/>
          <w:szCs w:val="16"/>
          <w:lang w:val="es-CR"/>
        </w:rPr>
        <w:t xml:space="preserve">Asunto Mery Naranjo y otros. </w:t>
      </w:r>
      <w:r w:rsidR="00CB4F26" w:rsidRPr="00830612">
        <w:rPr>
          <w:rFonts w:ascii="Verdana" w:hAnsi="Verdana"/>
          <w:sz w:val="16"/>
          <w:szCs w:val="16"/>
          <w:lang w:val="es-CR"/>
        </w:rPr>
        <w:t>Medidas provisionales respecto de Colombia. Resolución de la Corte Interamericana de Derechos Humanos de 13 de marzo de 2019, Considerando 3.</w:t>
      </w:r>
    </w:p>
  </w:footnote>
  <w:footnote w:id="4">
    <w:p w14:paraId="3C8936DF" w14:textId="14FF66BC" w:rsidR="002847A0" w:rsidRPr="00830612" w:rsidRDefault="002847A0" w:rsidP="000F444A">
      <w:pPr>
        <w:pStyle w:val="Textonotapie"/>
        <w:spacing w:before="120" w:after="120"/>
        <w:jc w:val="both"/>
        <w:rPr>
          <w:rFonts w:ascii="Verdana" w:hAnsi="Verdana"/>
          <w:sz w:val="16"/>
          <w:szCs w:val="16"/>
          <w:lang w:val="es-CR"/>
        </w:rPr>
      </w:pPr>
      <w:r w:rsidRPr="000353D7">
        <w:rPr>
          <w:rStyle w:val="Refdenotaalpie"/>
          <w:rFonts w:ascii="Verdana" w:hAnsi="Verdana"/>
          <w:sz w:val="16"/>
          <w:szCs w:val="16"/>
        </w:rPr>
        <w:footnoteRef/>
      </w:r>
      <w:r w:rsidRPr="00830612">
        <w:rPr>
          <w:rFonts w:ascii="Verdana" w:hAnsi="Verdana"/>
          <w:sz w:val="16"/>
          <w:szCs w:val="16"/>
          <w:lang w:val="es-CR"/>
        </w:rPr>
        <w:t xml:space="preserve"> </w:t>
      </w:r>
      <w:r w:rsidRPr="00830612">
        <w:rPr>
          <w:rFonts w:ascii="Verdana" w:hAnsi="Verdana"/>
          <w:sz w:val="16"/>
          <w:szCs w:val="16"/>
          <w:lang w:val="es-CR"/>
        </w:rPr>
        <w:tab/>
      </w:r>
      <w:r w:rsidRPr="00830612">
        <w:rPr>
          <w:rFonts w:ascii="Verdana" w:hAnsi="Verdana"/>
          <w:i/>
          <w:iCs/>
          <w:sz w:val="16"/>
          <w:szCs w:val="16"/>
          <w:lang w:val="es-CR"/>
        </w:rPr>
        <w:t>Cfr. Asunto Gladys Lanza Ochoa</w:t>
      </w:r>
      <w:r w:rsidRPr="00830612">
        <w:rPr>
          <w:rFonts w:ascii="Verdana" w:hAnsi="Verdana"/>
          <w:i/>
          <w:sz w:val="16"/>
          <w:szCs w:val="16"/>
          <w:lang w:val="es-CR"/>
        </w:rPr>
        <w:t>.</w:t>
      </w:r>
      <w:r w:rsidRPr="00830612">
        <w:rPr>
          <w:rFonts w:ascii="Verdana" w:hAnsi="Verdana"/>
          <w:sz w:val="16"/>
          <w:szCs w:val="16"/>
          <w:lang w:val="es-CR"/>
        </w:rPr>
        <w:t xml:space="preserve"> </w:t>
      </w:r>
      <w:r w:rsidRPr="00830612">
        <w:rPr>
          <w:rFonts w:ascii="Verdana" w:hAnsi="Verdana"/>
          <w:iCs/>
          <w:sz w:val="16"/>
          <w:szCs w:val="16"/>
          <w:lang w:val="es-CR"/>
        </w:rPr>
        <w:t>Medidas Provisionales respecto de Honduras</w:t>
      </w:r>
      <w:r w:rsidRPr="00830612">
        <w:rPr>
          <w:rFonts w:ascii="Verdana" w:hAnsi="Verdana"/>
          <w:sz w:val="16"/>
          <w:szCs w:val="16"/>
          <w:lang w:val="es-CR"/>
        </w:rPr>
        <w:t>. Resolución de la Corte</w:t>
      </w:r>
      <w:r w:rsidR="003A67FF" w:rsidRPr="00830612">
        <w:rPr>
          <w:rFonts w:ascii="Verdana" w:hAnsi="Verdana"/>
          <w:sz w:val="16"/>
          <w:szCs w:val="16"/>
          <w:lang w:val="es-CR"/>
        </w:rPr>
        <w:t xml:space="preserve"> Interamericana de Derechos Humanos</w:t>
      </w:r>
      <w:r w:rsidRPr="00830612">
        <w:rPr>
          <w:rFonts w:ascii="Verdana" w:hAnsi="Verdana"/>
          <w:sz w:val="16"/>
          <w:szCs w:val="16"/>
          <w:lang w:val="es-CR"/>
        </w:rPr>
        <w:t xml:space="preserve"> de 23 de noviembre de 2016, Considerando 3, y </w:t>
      </w:r>
      <w:r w:rsidR="00CB4F26" w:rsidRPr="00830612">
        <w:rPr>
          <w:rFonts w:ascii="Verdana" w:hAnsi="Verdana"/>
          <w:i/>
          <w:sz w:val="16"/>
          <w:szCs w:val="16"/>
          <w:lang w:val="es-CR"/>
        </w:rPr>
        <w:t xml:space="preserve">Caso Coc Max y otros (Masacre de Xamán) Vs. </w:t>
      </w:r>
      <w:r w:rsidR="00CB4F26" w:rsidRPr="002216B6">
        <w:rPr>
          <w:rFonts w:ascii="Verdana" w:hAnsi="Verdana"/>
          <w:i/>
          <w:sz w:val="16"/>
          <w:szCs w:val="16"/>
          <w:lang w:val="es-CR"/>
        </w:rPr>
        <w:t xml:space="preserve">Guatemala. </w:t>
      </w:r>
      <w:r w:rsidR="00CB4F26" w:rsidRPr="00830612">
        <w:rPr>
          <w:rFonts w:ascii="Verdana" w:hAnsi="Verdana"/>
          <w:sz w:val="16"/>
          <w:szCs w:val="16"/>
          <w:lang w:val="es-CR"/>
        </w:rPr>
        <w:t>Medidas Provisionales.</w:t>
      </w:r>
      <w:r w:rsidR="00CB4F26" w:rsidRPr="00830612">
        <w:rPr>
          <w:rFonts w:ascii="Verdana" w:hAnsi="Verdana"/>
          <w:i/>
          <w:sz w:val="16"/>
          <w:szCs w:val="16"/>
          <w:lang w:val="es-CR"/>
        </w:rPr>
        <w:t xml:space="preserve"> </w:t>
      </w:r>
      <w:r w:rsidR="00CB4F26" w:rsidRPr="00830612">
        <w:rPr>
          <w:rFonts w:ascii="Verdana" w:hAnsi="Verdana"/>
          <w:sz w:val="16"/>
          <w:szCs w:val="16"/>
          <w:lang w:val="es-CR"/>
        </w:rPr>
        <w:t>Resolución de la Corte Interamericana de Derechos Humanos de 6 de febrero de 2019, Considerando 3.</w:t>
      </w:r>
    </w:p>
  </w:footnote>
  <w:footnote w:id="5">
    <w:p w14:paraId="5E78A7F2" w14:textId="451DFE8B" w:rsidR="002847A0" w:rsidRPr="000353D7" w:rsidRDefault="002847A0" w:rsidP="000F444A">
      <w:pPr>
        <w:pStyle w:val="Textonotapie"/>
        <w:spacing w:before="120" w:after="120"/>
        <w:jc w:val="both"/>
        <w:rPr>
          <w:rFonts w:ascii="Verdana" w:hAnsi="Verdana"/>
          <w:sz w:val="16"/>
          <w:szCs w:val="16"/>
          <w:lang w:val="es-GT"/>
        </w:rPr>
      </w:pPr>
      <w:r w:rsidRPr="000353D7">
        <w:rPr>
          <w:rStyle w:val="Refdenotaalpie"/>
          <w:rFonts w:ascii="Verdana" w:hAnsi="Verdana"/>
          <w:sz w:val="16"/>
          <w:szCs w:val="16"/>
        </w:rPr>
        <w:footnoteRef/>
      </w:r>
      <w:r w:rsidRPr="000353D7">
        <w:rPr>
          <w:rFonts w:ascii="Verdana" w:hAnsi="Verdana"/>
          <w:sz w:val="16"/>
          <w:szCs w:val="16"/>
          <w:lang w:val="es-AR"/>
        </w:rPr>
        <w:t xml:space="preserve"> </w:t>
      </w:r>
      <w:r w:rsidR="00660FCA" w:rsidRPr="000353D7">
        <w:rPr>
          <w:rFonts w:ascii="Verdana" w:hAnsi="Verdana"/>
          <w:sz w:val="16"/>
          <w:szCs w:val="16"/>
          <w:lang w:val="es-AR"/>
        </w:rPr>
        <w:tab/>
      </w:r>
      <w:r w:rsidR="00C02462" w:rsidRPr="000353D7">
        <w:rPr>
          <w:rFonts w:ascii="Verdana" w:hAnsi="Verdana"/>
          <w:i/>
          <w:sz w:val="16"/>
          <w:szCs w:val="16"/>
          <w:lang w:val="es-GT"/>
        </w:rPr>
        <w:t>Cfr</w:t>
      </w:r>
      <w:r w:rsidR="00C02462" w:rsidRPr="000353D7">
        <w:rPr>
          <w:rFonts w:ascii="Verdana" w:hAnsi="Verdana"/>
          <w:sz w:val="16"/>
          <w:szCs w:val="16"/>
          <w:lang w:val="es-GT"/>
        </w:rPr>
        <w:t xml:space="preserve">. </w:t>
      </w:r>
      <w:r w:rsidR="00C02462" w:rsidRPr="000353D7">
        <w:rPr>
          <w:rFonts w:ascii="Verdana" w:hAnsi="Verdana"/>
          <w:i/>
          <w:sz w:val="16"/>
          <w:szCs w:val="16"/>
          <w:lang w:val="es-GT"/>
        </w:rPr>
        <w:t>Asunto Integrantes de la Comunidad Indígena de Choréachi respecto de México</w:t>
      </w:r>
      <w:r w:rsidR="00C02462" w:rsidRPr="000353D7">
        <w:rPr>
          <w:rFonts w:ascii="Verdana" w:hAnsi="Verdana"/>
          <w:sz w:val="16"/>
          <w:szCs w:val="16"/>
          <w:lang w:val="es-GT"/>
        </w:rPr>
        <w:t>. Solicitud de medidas Provisionales. Resolución de la Corte Interamericana de Derechos Humanos de 25 de marzo de 2017, Considerando 13.</w:t>
      </w:r>
    </w:p>
  </w:footnote>
  <w:footnote w:id="6">
    <w:p w14:paraId="3546169E" w14:textId="776EC0E2" w:rsidR="00737381" w:rsidRPr="000353D7" w:rsidRDefault="00737381" w:rsidP="000F444A">
      <w:pPr>
        <w:pStyle w:val="Textonotapie"/>
        <w:spacing w:before="120" w:after="120"/>
        <w:jc w:val="both"/>
        <w:rPr>
          <w:rFonts w:ascii="Verdana" w:hAnsi="Verdana"/>
          <w:sz w:val="16"/>
          <w:szCs w:val="16"/>
          <w:lang w:val="es-GT"/>
        </w:rPr>
      </w:pPr>
      <w:r w:rsidRPr="000353D7">
        <w:rPr>
          <w:rStyle w:val="Refdenotaalpie"/>
          <w:rFonts w:ascii="Verdana" w:hAnsi="Verdana"/>
          <w:sz w:val="16"/>
          <w:szCs w:val="16"/>
        </w:rPr>
        <w:footnoteRef/>
      </w:r>
      <w:r w:rsidRPr="000353D7">
        <w:rPr>
          <w:rFonts w:ascii="Verdana" w:hAnsi="Verdana"/>
          <w:sz w:val="16"/>
          <w:szCs w:val="16"/>
          <w:lang w:val="es-AR"/>
        </w:rPr>
        <w:t xml:space="preserve"> </w:t>
      </w:r>
      <w:r w:rsidRPr="000353D7">
        <w:rPr>
          <w:rFonts w:ascii="Verdana" w:hAnsi="Verdana"/>
          <w:sz w:val="16"/>
          <w:szCs w:val="16"/>
          <w:lang w:val="es-GT"/>
        </w:rPr>
        <w:tab/>
        <w:t>En el informe de 21 de octubre de 2019 México se refirió a la reunión de 7 de agosto de 2019; sin embargo, no especificó si en dicha reunión se abordó el tema relativo a las medidas provisionales. Igual situación se advierte respecto de la reunión de 28 de noviembre de 2019, referida en el informe de 27 de enero de 2020.</w:t>
      </w:r>
    </w:p>
  </w:footnote>
  <w:footnote w:id="7">
    <w:p w14:paraId="65ABC6CE" w14:textId="5836A44E" w:rsidR="00737381" w:rsidRPr="00E57226" w:rsidRDefault="00737381" w:rsidP="000F444A">
      <w:pPr>
        <w:pStyle w:val="Textonotapie"/>
        <w:spacing w:before="120" w:after="120"/>
        <w:jc w:val="both"/>
        <w:rPr>
          <w:rFonts w:ascii="Verdana" w:hAnsi="Verdana"/>
          <w:sz w:val="16"/>
          <w:szCs w:val="16"/>
          <w:lang w:val="es-GT"/>
        </w:rPr>
      </w:pPr>
      <w:r w:rsidRPr="00E57226">
        <w:rPr>
          <w:rStyle w:val="Refdenotaalpie"/>
          <w:rFonts w:ascii="Verdana" w:hAnsi="Verdana"/>
          <w:sz w:val="16"/>
          <w:szCs w:val="16"/>
        </w:rPr>
        <w:footnoteRef/>
      </w:r>
      <w:r w:rsidRPr="00830612">
        <w:rPr>
          <w:rFonts w:ascii="Verdana" w:hAnsi="Verdana"/>
          <w:sz w:val="16"/>
          <w:szCs w:val="16"/>
          <w:lang w:val="es-CR"/>
        </w:rPr>
        <w:t xml:space="preserve"> </w:t>
      </w:r>
      <w:r w:rsidRPr="00830612">
        <w:rPr>
          <w:rFonts w:ascii="Verdana" w:hAnsi="Verdana"/>
          <w:sz w:val="16"/>
          <w:szCs w:val="16"/>
          <w:lang w:val="es-CR"/>
        </w:rPr>
        <w:tab/>
      </w:r>
      <w:r w:rsidRPr="00830612">
        <w:rPr>
          <w:rFonts w:ascii="Verdana" w:hAnsi="Verdana"/>
          <w:i/>
          <w:sz w:val="16"/>
          <w:szCs w:val="16"/>
          <w:lang w:val="es-CR"/>
        </w:rPr>
        <w:t>Cfr.</w:t>
      </w:r>
      <w:r w:rsidRPr="00830612">
        <w:rPr>
          <w:rFonts w:ascii="Verdana" w:hAnsi="Verdana"/>
          <w:sz w:val="16"/>
          <w:szCs w:val="16"/>
          <w:lang w:val="es-CR"/>
        </w:rPr>
        <w:t xml:space="preserve"> Minuta de trabajo de la reunion de 22 de marzo de 2019</w:t>
      </w:r>
      <w:r w:rsidR="00A117B7" w:rsidRPr="00830612">
        <w:rPr>
          <w:rFonts w:ascii="Verdana" w:hAnsi="Verdana"/>
          <w:sz w:val="16"/>
          <w:szCs w:val="16"/>
          <w:lang w:val="es-CR"/>
        </w:rPr>
        <w:t xml:space="preserve">, adjunta </w:t>
      </w:r>
      <w:r w:rsidRPr="00830612">
        <w:rPr>
          <w:rFonts w:ascii="Verdana" w:hAnsi="Verdana"/>
          <w:sz w:val="16"/>
          <w:szCs w:val="16"/>
          <w:lang w:val="es-CR"/>
        </w:rPr>
        <w:t xml:space="preserve">al escrito de observaciones de los representantes </w:t>
      </w:r>
      <w:r w:rsidR="001D0E78" w:rsidRPr="00830612">
        <w:rPr>
          <w:rFonts w:ascii="Verdana" w:hAnsi="Verdana"/>
          <w:sz w:val="16"/>
          <w:szCs w:val="16"/>
          <w:lang w:val="es-CR"/>
        </w:rPr>
        <w:t>presentado el</w:t>
      </w:r>
      <w:r w:rsidRPr="00830612">
        <w:rPr>
          <w:rFonts w:ascii="Verdana" w:hAnsi="Verdana"/>
          <w:sz w:val="16"/>
          <w:szCs w:val="16"/>
          <w:lang w:val="es-CR"/>
        </w:rPr>
        <w:t xml:space="preserve"> </w:t>
      </w:r>
      <w:r w:rsidR="00F23322" w:rsidRPr="00830612">
        <w:rPr>
          <w:rFonts w:ascii="Verdana" w:hAnsi="Verdana"/>
          <w:sz w:val="16"/>
          <w:szCs w:val="16"/>
          <w:lang w:val="es-CR"/>
        </w:rPr>
        <w:t>9</w:t>
      </w:r>
      <w:r w:rsidRPr="00830612">
        <w:rPr>
          <w:rFonts w:ascii="Verdana" w:hAnsi="Verdana"/>
          <w:sz w:val="16"/>
          <w:szCs w:val="16"/>
          <w:lang w:val="es-CR"/>
        </w:rPr>
        <w:t xml:space="preserve"> de abril de 2019.</w:t>
      </w:r>
    </w:p>
  </w:footnote>
  <w:footnote w:id="8">
    <w:p w14:paraId="328CABD2" w14:textId="090906C6" w:rsidR="00737381" w:rsidRPr="00E57226" w:rsidRDefault="00737381" w:rsidP="000F444A">
      <w:pPr>
        <w:pStyle w:val="Textonotapie"/>
        <w:spacing w:before="120" w:after="120"/>
        <w:jc w:val="both"/>
        <w:rPr>
          <w:rFonts w:ascii="Verdana" w:hAnsi="Verdana"/>
          <w:sz w:val="16"/>
          <w:szCs w:val="16"/>
          <w:lang w:val="es-GT"/>
        </w:rPr>
      </w:pPr>
      <w:r w:rsidRPr="00E57226">
        <w:rPr>
          <w:rStyle w:val="Refdenotaalpie"/>
          <w:rFonts w:ascii="Verdana" w:hAnsi="Verdana"/>
          <w:sz w:val="16"/>
          <w:szCs w:val="16"/>
        </w:rPr>
        <w:footnoteRef/>
      </w:r>
      <w:r w:rsidRPr="00830612">
        <w:rPr>
          <w:rFonts w:ascii="Verdana" w:hAnsi="Verdana"/>
          <w:sz w:val="16"/>
          <w:szCs w:val="16"/>
          <w:lang w:val="es-CR"/>
        </w:rPr>
        <w:t xml:space="preserve"> </w:t>
      </w:r>
      <w:r w:rsidRPr="00E57226">
        <w:rPr>
          <w:rFonts w:ascii="Verdana" w:hAnsi="Verdana"/>
          <w:sz w:val="16"/>
          <w:szCs w:val="16"/>
          <w:lang w:val="es-GT"/>
        </w:rPr>
        <w:tab/>
      </w:r>
      <w:r w:rsidRPr="00E57226">
        <w:rPr>
          <w:rFonts w:ascii="Verdana" w:hAnsi="Verdana"/>
          <w:i/>
          <w:sz w:val="16"/>
          <w:szCs w:val="16"/>
          <w:lang w:val="es-GT"/>
        </w:rPr>
        <w:t>Cfr.</w:t>
      </w:r>
      <w:r w:rsidRPr="00E57226">
        <w:rPr>
          <w:rFonts w:ascii="Verdana" w:hAnsi="Verdana"/>
          <w:sz w:val="16"/>
          <w:szCs w:val="16"/>
          <w:lang w:val="es-GT"/>
        </w:rPr>
        <w:t xml:space="preserve"> Versión preliminar del diagnóstico </w:t>
      </w:r>
      <w:r w:rsidRPr="00E57226">
        <w:rPr>
          <w:rFonts w:ascii="Verdana" w:hAnsi="Verdana"/>
          <w:sz w:val="16"/>
          <w:szCs w:val="16"/>
          <w:lang w:val="es-ES"/>
        </w:rPr>
        <w:t>“Condiciones de vida y seguridad de la comunidad indígena Rarámuri de Choréachi (Pino Gordo), Chihuahua, México”</w:t>
      </w:r>
      <w:r w:rsidR="001D0E78" w:rsidRPr="00E57226">
        <w:rPr>
          <w:rFonts w:ascii="Verdana" w:hAnsi="Verdana"/>
          <w:sz w:val="16"/>
          <w:szCs w:val="16"/>
          <w:lang w:val="es-ES"/>
        </w:rPr>
        <w:t xml:space="preserve">, presentado por el Estado el </w:t>
      </w:r>
      <w:r w:rsidRPr="00E57226">
        <w:rPr>
          <w:rFonts w:ascii="Verdana" w:hAnsi="Verdana"/>
          <w:sz w:val="16"/>
          <w:szCs w:val="16"/>
          <w:lang w:val="es-ES"/>
        </w:rPr>
        <w:t>1 de marzo de 2019.</w:t>
      </w:r>
    </w:p>
  </w:footnote>
  <w:footnote w:id="9">
    <w:p w14:paraId="59A86EBB" w14:textId="6A2FC4CE" w:rsidR="00737381" w:rsidRPr="000353D7" w:rsidRDefault="00737381" w:rsidP="000F444A">
      <w:pPr>
        <w:pStyle w:val="Prrafodelista"/>
        <w:spacing w:before="120" w:after="120"/>
        <w:ind w:left="0" w:right="22"/>
        <w:jc w:val="both"/>
        <w:rPr>
          <w:rFonts w:ascii="Verdana" w:hAnsi="Verdana"/>
          <w:sz w:val="16"/>
          <w:szCs w:val="16"/>
          <w:lang w:val="es-ES"/>
        </w:rPr>
      </w:pPr>
      <w:r w:rsidRPr="00E57226">
        <w:rPr>
          <w:rStyle w:val="Refdenotaalpie"/>
          <w:rFonts w:ascii="Verdana" w:hAnsi="Verdana"/>
          <w:sz w:val="16"/>
          <w:szCs w:val="16"/>
        </w:rPr>
        <w:footnoteRef/>
      </w:r>
      <w:r w:rsidRPr="00E57226">
        <w:rPr>
          <w:rFonts w:ascii="Verdana" w:hAnsi="Verdana"/>
          <w:sz w:val="16"/>
          <w:szCs w:val="16"/>
        </w:rPr>
        <w:t xml:space="preserve">  </w:t>
      </w:r>
      <w:r w:rsidRPr="00E57226">
        <w:rPr>
          <w:rFonts w:ascii="Verdana" w:hAnsi="Verdana"/>
          <w:sz w:val="16"/>
          <w:szCs w:val="16"/>
          <w:lang w:val="es-GT"/>
        </w:rPr>
        <w:tab/>
      </w:r>
      <w:r w:rsidRPr="00E57226">
        <w:rPr>
          <w:rFonts w:ascii="Verdana" w:hAnsi="Verdana"/>
          <w:sz w:val="16"/>
          <w:szCs w:val="16"/>
          <w:lang w:val="es-ES"/>
        </w:rPr>
        <w:t>El Estado</w:t>
      </w:r>
      <w:r w:rsidR="001D0E78" w:rsidRPr="00E57226">
        <w:rPr>
          <w:rFonts w:ascii="Verdana" w:hAnsi="Verdana"/>
          <w:sz w:val="16"/>
          <w:szCs w:val="16"/>
          <w:lang w:val="es-ES"/>
        </w:rPr>
        <w:t xml:space="preserve">, en el informe de 21 de octubre de 2019, señaló que </w:t>
      </w:r>
      <w:r w:rsidRPr="00E57226">
        <w:rPr>
          <w:rFonts w:ascii="Verdana" w:hAnsi="Verdana"/>
          <w:sz w:val="16"/>
          <w:szCs w:val="16"/>
          <w:lang w:val="es-ES"/>
        </w:rPr>
        <w:t>distintas autoridades gubernamentales habrían puesto de relieve el difícil acceso a la comunidad de Choréachi, derivado de la posición geográfica del lugar donde habita y que se encuentra a más de siete u ocho horas de camino de la cabecera municipal de Guadalupe y Calvo, así como el conflicto agrario que sostiene con la comunidad vecina, elementos que, en conjunción con la presencia de la delincuencia organizada dedicada a la siembra y cosecha de plantas de marihuana y coca, se habrían identificado como factores determinantes de “la comisión de delitos de todo tipo dentro de la comunidad”</w:t>
      </w:r>
      <w:r w:rsidR="001D0E78" w:rsidRPr="00E57226">
        <w:rPr>
          <w:rFonts w:ascii="Verdana" w:hAnsi="Verdana"/>
          <w:sz w:val="16"/>
          <w:szCs w:val="16"/>
          <w:lang w:val="es-ES"/>
        </w:rPr>
        <w:t>.</w:t>
      </w:r>
    </w:p>
  </w:footnote>
  <w:footnote w:id="10">
    <w:p w14:paraId="1C46B006" w14:textId="77777777" w:rsidR="002D5DC6" w:rsidRPr="000353D7" w:rsidRDefault="002D5DC6" w:rsidP="002D5DC6">
      <w:pPr>
        <w:pStyle w:val="Textonotapie"/>
        <w:spacing w:before="120" w:after="120"/>
        <w:jc w:val="both"/>
        <w:rPr>
          <w:rFonts w:ascii="Verdana" w:hAnsi="Verdana"/>
          <w:sz w:val="16"/>
          <w:szCs w:val="16"/>
          <w:lang w:val="es-AR"/>
        </w:rPr>
      </w:pPr>
      <w:r w:rsidRPr="000353D7">
        <w:rPr>
          <w:rStyle w:val="Refdenotaalpie"/>
          <w:rFonts w:ascii="Verdana" w:hAnsi="Verdana"/>
          <w:sz w:val="16"/>
          <w:szCs w:val="16"/>
        </w:rPr>
        <w:footnoteRef/>
      </w:r>
      <w:r w:rsidRPr="000353D7">
        <w:rPr>
          <w:rFonts w:ascii="Verdana" w:hAnsi="Verdana"/>
          <w:sz w:val="16"/>
          <w:szCs w:val="16"/>
          <w:lang w:val="es-AR"/>
        </w:rPr>
        <w:t xml:space="preserve"> </w:t>
      </w:r>
      <w:r w:rsidRPr="000353D7">
        <w:rPr>
          <w:rFonts w:ascii="Verdana" w:hAnsi="Verdana"/>
          <w:sz w:val="16"/>
          <w:szCs w:val="16"/>
          <w:lang w:val="es-GT"/>
        </w:rPr>
        <w:tab/>
      </w:r>
      <w:r w:rsidRPr="000353D7">
        <w:rPr>
          <w:rFonts w:ascii="Verdana" w:hAnsi="Verdana"/>
          <w:sz w:val="16"/>
          <w:szCs w:val="16"/>
          <w:lang w:val="es-AR"/>
        </w:rPr>
        <w:t xml:space="preserve">La Comisión otorgó medidas cautelares el 6 de octubre de 2014 en favor del señor Prudencio Ramos </w:t>
      </w:r>
      <w:proofErr w:type="spellStart"/>
      <w:r w:rsidRPr="000353D7">
        <w:rPr>
          <w:rFonts w:ascii="Verdana" w:hAnsi="Verdana"/>
          <w:sz w:val="16"/>
          <w:szCs w:val="16"/>
          <w:lang w:val="es-AR"/>
        </w:rPr>
        <w:t>Ramos</w:t>
      </w:r>
      <w:proofErr w:type="spellEnd"/>
      <w:r w:rsidRPr="000353D7">
        <w:rPr>
          <w:rFonts w:ascii="Verdana" w:hAnsi="Verdana"/>
          <w:sz w:val="16"/>
          <w:szCs w:val="16"/>
          <w:lang w:val="es-AR"/>
        </w:rPr>
        <w:t xml:space="preserve"> y la señora Ángela Ayala Ramos y sus respectivos núcleos familiares, las que fueron ampliadas el 28 de octubre de 2016 para los miembros de la comunidad indígena de Choréachi. </w:t>
      </w:r>
      <w:r w:rsidRPr="000353D7">
        <w:rPr>
          <w:rFonts w:ascii="Verdana" w:hAnsi="Verdana"/>
          <w:i/>
          <w:sz w:val="16"/>
          <w:szCs w:val="16"/>
          <w:lang w:val="es-AR"/>
        </w:rPr>
        <w:t>Cfr.</w:t>
      </w:r>
      <w:r w:rsidRPr="000353D7">
        <w:rPr>
          <w:rFonts w:ascii="Verdana" w:hAnsi="Verdana"/>
          <w:sz w:val="16"/>
          <w:szCs w:val="16"/>
          <w:lang w:val="es-AR"/>
        </w:rPr>
        <w:t xml:space="preserve"> CIDH, Resolución 29/2014, Medida Cautelar No. 60-14, Asunto Prudencio Ramos Ramos y otros respecto de México, 6 de octubre de 2014</w:t>
      </w:r>
      <w:r>
        <w:rPr>
          <w:rFonts w:ascii="Verdana" w:hAnsi="Verdana"/>
          <w:sz w:val="16"/>
          <w:szCs w:val="16"/>
          <w:lang w:val="es-AR"/>
        </w:rPr>
        <w:t>,</w:t>
      </w:r>
      <w:r w:rsidRPr="000353D7">
        <w:rPr>
          <w:rFonts w:ascii="Verdana" w:hAnsi="Verdana"/>
          <w:sz w:val="16"/>
          <w:szCs w:val="16"/>
          <w:lang w:val="es-AR"/>
        </w:rPr>
        <w:t xml:space="preserve"> y CIDH Resolución 51/2016, Medida Cautelar No. 60-14, Ampliación de beneficiarios a favor de integrantes de la comunidad indígena de Choréachi respecto de México, 28 de octubre de 2016.</w:t>
      </w:r>
    </w:p>
  </w:footnote>
  <w:footnote w:id="11">
    <w:p w14:paraId="639F998A" w14:textId="3403F0DD" w:rsidR="00D93F73" w:rsidRPr="000353D7" w:rsidRDefault="00D93F73" w:rsidP="000F444A">
      <w:pPr>
        <w:pStyle w:val="Textonotapie"/>
        <w:spacing w:before="120" w:after="120"/>
        <w:jc w:val="both"/>
        <w:rPr>
          <w:rFonts w:ascii="Verdana" w:hAnsi="Verdana"/>
          <w:sz w:val="16"/>
          <w:szCs w:val="16"/>
          <w:lang w:val="es-GT"/>
        </w:rPr>
      </w:pPr>
      <w:r w:rsidRPr="000353D7">
        <w:rPr>
          <w:rStyle w:val="Refdenotaalpie"/>
          <w:rFonts w:ascii="Verdana" w:hAnsi="Verdana"/>
          <w:sz w:val="16"/>
          <w:szCs w:val="16"/>
        </w:rPr>
        <w:footnoteRef/>
      </w:r>
      <w:r w:rsidRPr="000353D7">
        <w:rPr>
          <w:rFonts w:ascii="Verdana" w:hAnsi="Verdana"/>
          <w:sz w:val="16"/>
          <w:szCs w:val="16"/>
          <w:lang w:val="es-AR"/>
        </w:rPr>
        <w:t xml:space="preserve"> </w:t>
      </w:r>
      <w:r w:rsidRPr="000353D7">
        <w:rPr>
          <w:rFonts w:ascii="Verdana" w:hAnsi="Verdana"/>
          <w:sz w:val="16"/>
          <w:szCs w:val="16"/>
          <w:lang w:val="es-AR"/>
        </w:rPr>
        <w:tab/>
        <w:t>Según informaron los representantes</w:t>
      </w:r>
      <w:r w:rsidR="0000352A" w:rsidRPr="000353D7">
        <w:rPr>
          <w:rFonts w:ascii="Verdana" w:hAnsi="Verdana"/>
          <w:sz w:val="16"/>
          <w:szCs w:val="16"/>
          <w:lang w:val="es-AR"/>
        </w:rPr>
        <w:t xml:space="preserve"> </w:t>
      </w:r>
      <w:r w:rsidR="0000352A" w:rsidRPr="00E57226">
        <w:rPr>
          <w:rFonts w:ascii="Verdana" w:hAnsi="Verdana"/>
          <w:sz w:val="16"/>
          <w:szCs w:val="16"/>
          <w:lang w:val="es-AR"/>
        </w:rPr>
        <w:t xml:space="preserve">en </w:t>
      </w:r>
      <w:r w:rsidR="001D0E78" w:rsidRPr="00E57226">
        <w:rPr>
          <w:rFonts w:ascii="Verdana" w:hAnsi="Verdana"/>
          <w:sz w:val="16"/>
          <w:szCs w:val="16"/>
          <w:lang w:val="es-AR"/>
        </w:rPr>
        <w:t>el</w:t>
      </w:r>
      <w:r w:rsidR="0000352A" w:rsidRPr="00E57226">
        <w:rPr>
          <w:rFonts w:ascii="Verdana" w:hAnsi="Verdana"/>
          <w:sz w:val="16"/>
          <w:szCs w:val="16"/>
          <w:lang w:val="es-AR"/>
        </w:rPr>
        <w:t xml:space="preserve"> escrito</w:t>
      </w:r>
      <w:r w:rsidR="001D0E78" w:rsidRPr="00E57226">
        <w:rPr>
          <w:rFonts w:ascii="Verdana" w:hAnsi="Verdana"/>
          <w:sz w:val="16"/>
          <w:szCs w:val="16"/>
          <w:lang w:val="es-AR"/>
        </w:rPr>
        <w:t xml:space="preserve"> presentado el 25 de junio de </w:t>
      </w:r>
      <w:r w:rsidR="004341F9" w:rsidRPr="00E57226">
        <w:rPr>
          <w:rFonts w:ascii="Verdana" w:hAnsi="Verdana"/>
          <w:sz w:val="16"/>
          <w:szCs w:val="16"/>
          <w:lang w:val="es-AR"/>
        </w:rPr>
        <w:t>2019</w:t>
      </w:r>
      <w:r w:rsidRPr="00E57226">
        <w:rPr>
          <w:rFonts w:ascii="Verdana" w:hAnsi="Verdana"/>
          <w:sz w:val="16"/>
          <w:szCs w:val="16"/>
          <w:lang w:val="es-AR"/>
        </w:rPr>
        <w:t>, la Fiscalía Zona Sur del</w:t>
      </w:r>
      <w:r w:rsidRPr="000353D7">
        <w:rPr>
          <w:rFonts w:ascii="Verdana" w:hAnsi="Verdana"/>
          <w:sz w:val="16"/>
          <w:szCs w:val="16"/>
          <w:lang w:val="es-AR"/>
        </w:rPr>
        <w:t xml:space="preserve"> </w:t>
      </w:r>
      <w:r w:rsidR="00FF3EEE">
        <w:rPr>
          <w:rFonts w:ascii="Verdana" w:hAnsi="Verdana"/>
          <w:sz w:val="16"/>
          <w:szCs w:val="16"/>
          <w:lang w:val="es-AR"/>
        </w:rPr>
        <w:t>e</w:t>
      </w:r>
      <w:r w:rsidRPr="000353D7">
        <w:rPr>
          <w:rFonts w:ascii="Verdana" w:hAnsi="Verdana"/>
          <w:sz w:val="16"/>
          <w:szCs w:val="16"/>
          <w:lang w:val="es-AR"/>
        </w:rPr>
        <w:t>stado de Chihuahua tendría integradas 15 carpetas de investigación, de las cuales 13 corresponderían a hechos ocurridos con posterioridad a que fueran dispuestas las presentes medidas provisionales.</w:t>
      </w:r>
    </w:p>
  </w:footnote>
  <w:footnote w:id="12">
    <w:p w14:paraId="5E40ECAF" w14:textId="12CF1622" w:rsidR="00FB2FE4" w:rsidRPr="00E57226" w:rsidRDefault="00FB2FE4" w:rsidP="000F444A">
      <w:pPr>
        <w:pStyle w:val="Textonotapie"/>
        <w:spacing w:before="120" w:after="120"/>
        <w:jc w:val="both"/>
        <w:rPr>
          <w:rFonts w:ascii="Verdana" w:hAnsi="Verdana"/>
          <w:sz w:val="16"/>
          <w:szCs w:val="16"/>
          <w:lang w:val="es-GT"/>
        </w:rPr>
      </w:pPr>
      <w:r w:rsidRPr="00E57226">
        <w:rPr>
          <w:rStyle w:val="Refdenotaalpie"/>
          <w:rFonts w:ascii="Verdana" w:hAnsi="Verdana"/>
          <w:sz w:val="16"/>
          <w:szCs w:val="16"/>
        </w:rPr>
        <w:footnoteRef/>
      </w:r>
      <w:r w:rsidRPr="00E57226">
        <w:rPr>
          <w:rFonts w:ascii="Verdana" w:hAnsi="Verdana"/>
          <w:sz w:val="16"/>
          <w:szCs w:val="16"/>
          <w:lang w:val="es-AR"/>
        </w:rPr>
        <w:t xml:space="preserve"> </w:t>
      </w:r>
      <w:r w:rsidRPr="00E57226">
        <w:rPr>
          <w:rFonts w:ascii="Verdana" w:hAnsi="Verdana"/>
          <w:sz w:val="16"/>
          <w:szCs w:val="16"/>
          <w:lang w:val="es-GT"/>
        </w:rPr>
        <w:tab/>
      </w:r>
      <w:r w:rsidRPr="00E57226">
        <w:rPr>
          <w:rFonts w:ascii="Verdana" w:hAnsi="Verdana"/>
          <w:i/>
          <w:sz w:val="16"/>
          <w:szCs w:val="16"/>
          <w:lang w:val="es-GT"/>
        </w:rPr>
        <w:t>Cfr</w:t>
      </w:r>
      <w:r w:rsidRPr="00E57226">
        <w:rPr>
          <w:rFonts w:ascii="Verdana" w:hAnsi="Verdana"/>
          <w:sz w:val="16"/>
          <w:szCs w:val="16"/>
          <w:lang w:val="es-GT"/>
        </w:rPr>
        <w:t xml:space="preserve">. Versión preliminar del diagnóstico </w:t>
      </w:r>
      <w:r w:rsidRPr="00E57226">
        <w:rPr>
          <w:rFonts w:ascii="Verdana" w:hAnsi="Verdana"/>
          <w:sz w:val="16"/>
          <w:szCs w:val="16"/>
          <w:lang w:val="es-ES"/>
        </w:rPr>
        <w:t>“Condiciones de vida y seguridad de la comunidad indígena Rarámuri de Choréachi (Pino Gordo), Chihuahua, México”</w:t>
      </w:r>
      <w:r w:rsidR="00B25583" w:rsidRPr="00E57226">
        <w:rPr>
          <w:rFonts w:ascii="Verdana" w:hAnsi="Verdana"/>
          <w:sz w:val="16"/>
          <w:szCs w:val="16"/>
          <w:lang w:val="es-ES"/>
        </w:rPr>
        <w:t>, presentado por el Estado el 1 de marzo de 2019.</w:t>
      </w:r>
      <w:r w:rsidR="00522B4F" w:rsidRPr="00E57226">
        <w:rPr>
          <w:rFonts w:ascii="Verdana" w:hAnsi="Verdana"/>
          <w:sz w:val="16"/>
          <w:szCs w:val="16"/>
          <w:lang w:val="es-ES"/>
        </w:rPr>
        <w:t xml:space="preserve"> </w:t>
      </w:r>
    </w:p>
  </w:footnote>
  <w:footnote w:id="13">
    <w:p w14:paraId="7BC4E0B8" w14:textId="562FCFFC" w:rsidR="00FB2FE4" w:rsidRPr="00E57226" w:rsidRDefault="00FB2FE4" w:rsidP="000F444A">
      <w:pPr>
        <w:pStyle w:val="Textonotapie"/>
        <w:spacing w:before="120" w:after="120"/>
        <w:jc w:val="both"/>
        <w:rPr>
          <w:rFonts w:ascii="Verdana" w:hAnsi="Verdana"/>
          <w:sz w:val="16"/>
          <w:szCs w:val="16"/>
          <w:lang w:val="es-GT"/>
        </w:rPr>
      </w:pPr>
      <w:r w:rsidRPr="00E57226">
        <w:rPr>
          <w:rStyle w:val="Refdenotaalpie"/>
          <w:rFonts w:ascii="Verdana" w:hAnsi="Verdana"/>
          <w:sz w:val="16"/>
          <w:szCs w:val="16"/>
        </w:rPr>
        <w:footnoteRef/>
      </w:r>
      <w:r w:rsidRPr="00E57226">
        <w:rPr>
          <w:rFonts w:ascii="Verdana" w:hAnsi="Verdana"/>
          <w:sz w:val="16"/>
          <w:szCs w:val="16"/>
          <w:lang w:val="es-AR"/>
        </w:rPr>
        <w:t xml:space="preserve">    </w:t>
      </w:r>
      <w:r w:rsidRPr="00E57226">
        <w:rPr>
          <w:rFonts w:ascii="Verdana" w:hAnsi="Verdana"/>
          <w:sz w:val="16"/>
          <w:szCs w:val="16"/>
          <w:lang w:val="es-AR"/>
        </w:rPr>
        <w:tab/>
      </w:r>
      <w:r w:rsidRPr="00E57226">
        <w:rPr>
          <w:rFonts w:ascii="Verdana" w:hAnsi="Verdana"/>
          <w:i/>
          <w:sz w:val="16"/>
          <w:szCs w:val="16"/>
          <w:lang w:val="es-GT"/>
        </w:rPr>
        <w:t>Cfr.</w:t>
      </w:r>
      <w:r w:rsidRPr="00E57226">
        <w:rPr>
          <w:rFonts w:ascii="Verdana" w:hAnsi="Verdana"/>
          <w:sz w:val="16"/>
          <w:szCs w:val="16"/>
          <w:lang w:val="es-GT"/>
        </w:rPr>
        <w:t xml:space="preserve"> Versión preliminar del diagnóstico </w:t>
      </w:r>
      <w:r w:rsidRPr="00E57226">
        <w:rPr>
          <w:rFonts w:ascii="Verdana" w:hAnsi="Verdana"/>
          <w:sz w:val="16"/>
          <w:szCs w:val="16"/>
          <w:lang w:val="es-ES"/>
        </w:rPr>
        <w:t>“Condiciones de vida y seguridad de la comunidad indígena Rarámuri de Choréachi (Pino Gordo), Chihuahua, México”</w:t>
      </w:r>
      <w:r w:rsidR="00B25583" w:rsidRPr="00E57226">
        <w:rPr>
          <w:rFonts w:ascii="Verdana" w:hAnsi="Verdana"/>
          <w:sz w:val="16"/>
          <w:szCs w:val="16"/>
          <w:lang w:val="es-ES"/>
        </w:rPr>
        <w:t>, presentado por el Estado el 1 de marzo de 2019.</w:t>
      </w:r>
    </w:p>
  </w:footnote>
  <w:footnote w:id="14">
    <w:p w14:paraId="50D9B5CE" w14:textId="54140D91" w:rsidR="00BE6A85" w:rsidRPr="00E57226" w:rsidRDefault="00BE6A85" w:rsidP="000F444A">
      <w:pPr>
        <w:pStyle w:val="Textonotapie"/>
        <w:spacing w:before="120" w:after="120"/>
        <w:jc w:val="both"/>
        <w:rPr>
          <w:rFonts w:ascii="Verdana" w:hAnsi="Verdana"/>
          <w:sz w:val="16"/>
          <w:szCs w:val="16"/>
          <w:lang w:val="es-GT"/>
        </w:rPr>
      </w:pPr>
      <w:r w:rsidRPr="00E57226">
        <w:rPr>
          <w:rStyle w:val="Refdenotaalpie"/>
          <w:rFonts w:ascii="Verdana" w:hAnsi="Verdana"/>
          <w:sz w:val="16"/>
          <w:szCs w:val="16"/>
        </w:rPr>
        <w:footnoteRef/>
      </w:r>
      <w:r w:rsidRPr="00830612">
        <w:rPr>
          <w:rFonts w:ascii="Verdana" w:hAnsi="Verdana"/>
          <w:sz w:val="16"/>
          <w:szCs w:val="16"/>
          <w:lang w:val="es-CR"/>
        </w:rPr>
        <w:t xml:space="preserve">   </w:t>
      </w:r>
      <w:r w:rsidRPr="00830612">
        <w:rPr>
          <w:rFonts w:ascii="Verdana" w:hAnsi="Verdana"/>
          <w:sz w:val="16"/>
          <w:szCs w:val="16"/>
          <w:lang w:val="es-CR"/>
        </w:rPr>
        <w:tab/>
      </w:r>
      <w:r w:rsidRPr="00E57226">
        <w:rPr>
          <w:rFonts w:ascii="Verdana" w:hAnsi="Verdana"/>
          <w:i/>
          <w:sz w:val="16"/>
          <w:szCs w:val="16"/>
          <w:lang w:val="es-GT"/>
        </w:rPr>
        <w:t>Cfr.</w:t>
      </w:r>
      <w:r w:rsidRPr="00E57226">
        <w:rPr>
          <w:rFonts w:ascii="Verdana" w:hAnsi="Verdana"/>
          <w:sz w:val="16"/>
          <w:szCs w:val="16"/>
          <w:lang w:val="es-GT"/>
        </w:rPr>
        <w:t xml:space="preserve"> Versión preliminar del diagnóstico </w:t>
      </w:r>
      <w:r w:rsidRPr="00E57226">
        <w:rPr>
          <w:rFonts w:ascii="Verdana" w:hAnsi="Verdana"/>
          <w:sz w:val="16"/>
          <w:szCs w:val="16"/>
          <w:lang w:val="es-ES"/>
        </w:rPr>
        <w:t>“Condiciones de vida y seguridad de la comunidad indígena Rarámuri de Choréachi (Pino Gordo), Chihuahua, México”</w:t>
      </w:r>
      <w:r w:rsidR="00B25583" w:rsidRPr="00E57226">
        <w:rPr>
          <w:rFonts w:ascii="Verdana" w:hAnsi="Verdana"/>
          <w:sz w:val="16"/>
          <w:szCs w:val="16"/>
          <w:lang w:val="es-ES"/>
        </w:rPr>
        <w:t>, presentado por el Estado el 1 de marzo de 2019.</w:t>
      </w:r>
    </w:p>
  </w:footnote>
  <w:footnote w:id="15">
    <w:p w14:paraId="6E6A6BC9" w14:textId="646CAF25" w:rsidR="00037A25" w:rsidRPr="000353D7" w:rsidRDefault="00037A25" w:rsidP="000F444A">
      <w:pPr>
        <w:pStyle w:val="Textonotapie"/>
        <w:spacing w:before="120" w:after="120"/>
        <w:jc w:val="both"/>
        <w:rPr>
          <w:rFonts w:ascii="Verdana" w:hAnsi="Verdana"/>
          <w:sz w:val="16"/>
          <w:szCs w:val="16"/>
          <w:lang w:val="es-GT"/>
        </w:rPr>
      </w:pPr>
      <w:r w:rsidRPr="00E57226">
        <w:rPr>
          <w:rStyle w:val="Refdenotaalpie"/>
          <w:rFonts w:ascii="Verdana" w:hAnsi="Verdana"/>
          <w:sz w:val="16"/>
          <w:szCs w:val="16"/>
        </w:rPr>
        <w:footnoteRef/>
      </w:r>
      <w:r w:rsidRPr="00E57226">
        <w:rPr>
          <w:rFonts w:ascii="Verdana" w:hAnsi="Verdana"/>
          <w:sz w:val="16"/>
          <w:szCs w:val="16"/>
          <w:lang w:val="es-AR"/>
        </w:rPr>
        <w:t xml:space="preserve"> </w:t>
      </w:r>
      <w:r w:rsidRPr="00E57226">
        <w:rPr>
          <w:rFonts w:ascii="Verdana" w:hAnsi="Verdana"/>
          <w:sz w:val="16"/>
          <w:szCs w:val="16"/>
          <w:lang w:val="es-AR"/>
        </w:rPr>
        <w:tab/>
        <w:t>La información proporcionada por el Estado da cuenta de la aprehensión de por lo menos cuatro personas: a) el 12 de abril de 2019, el presunto responsable de la muerte del señor Juan Ontiveros Ramos; b) el 7 de octubre de 2019, el presunto responsable de la muerte de la señora Bernarda Bustillos Bejarano, y c) en el mes de noviembre de</w:t>
      </w:r>
      <w:r w:rsidRPr="000353D7">
        <w:rPr>
          <w:rFonts w:ascii="Verdana" w:hAnsi="Verdana"/>
          <w:sz w:val="16"/>
          <w:szCs w:val="16"/>
          <w:lang w:val="es-AR"/>
        </w:rPr>
        <w:t xml:space="preserve"> 2019, dos personas imputadas por dos hechos distintos de violencia sexual.</w:t>
      </w:r>
    </w:p>
  </w:footnote>
  <w:footnote w:id="16">
    <w:p w14:paraId="53E1A088" w14:textId="77777777" w:rsidR="005D5137" w:rsidRPr="000353D7" w:rsidRDefault="005D5137" w:rsidP="000F444A">
      <w:pPr>
        <w:pStyle w:val="Textonotapie"/>
        <w:spacing w:before="120" w:after="120"/>
        <w:jc w:val="both"/>
        <w:rPr>
          <w:rFonts w:ascii="Verdana" w:hAnsi="Verdana"/>
          <w:iCs/>
          <w:sz w:val="16"/>
          <w:szCs w:val="16"/>
          <w:lang w:val="es-AR"/>
        </w:rPr>
      </w:pPr>
      <w:r w:rsidRPr="000353D7">
        <w:rPr>
          <w:rStyle w:val="Refdenotaalpie"/>
          <w:rFonts w:ascii="Verdana" w:hAnsi="Verdana"/>
          <w:sz w:val="16"/>
          <w:szCs w:val="16"/>
        </w:rPr>
        <w:footnoteRef/>
      </w:r>
      <w:r w:rsidRPr="000353D7">
        <w:rPr>
          <w:rFonts w:ascii="Verdana" w:hAnsi="Verdana"/>
          <w:sz w:val="16"/>
          <w:szCs w:val="16"/>
          <w:lang w:val="es-AR"/>
        </w:rPr>
        <w:t xml:space="preserve"> </w:t>
      </w:r>
      <w:r w:rsidRPr="000353D7">
        <w:rPr>
          <w:rFonts w:ascii="Verdana" w:hAnsi="Verdana"/>
          <w:sz w:val="16"/>
          <w:szCs w:val="16"/>
          <w:lang w:val="es-AR"/>
        </w:rPr>
        <w:tab/>
      </w:r>
      <w:r w:rsidRPr="000353D7">
        <w:rPr>
          <w:rFonts w:ascii="Verdana" w:hAnsi="Verdana"/>
          <w:i/>
          <w:iCs/>
          <w:sz w:val="16"/>
          <w:szCs w:val="16"/>
          <w:lang w:val="es-AR"/>
        </w:rPr>
        <w:t xml:space="preserve">Cfr. Casos Liliana Ortega y Otras; Luisiana Ríos y Otros; Luis Uzcátegui; Marta Colomina y Liliana Velásquez. </w:t>
      </w:r>
      <w:r w:rsidRPr="000353D7">
        <w:rPr>
          <w:rFonts w:ascii="Verdana" w:hAnsi="Verdana"/>
          <w:iCs/>
          <w:sz w:val="16"/>
          <w:szCs w:val="16"/>
          <w:lang w:val="es-AR"/>
        </w:rPr>
        <w:t xml:space="preserve">Medidas Provisionales respecto de Venezuela. Resolución de la Corte Interamericana de Derechos Humanos de 4 de mayo de 2004, Considerando 7, y </w:t>
      </w:r>
      <w:r w:rsidRPr="000353D7">
        <w:rPr>
          <w:rStyle w:val="Textoennegrita"/>
          <w:rFonts w:ascii="Verdana" w:hAnsi="Verdana"/>
          <w:b w:val="0"/>
          <w:bCs w:val="0"/>
          <w:i/>
          <w:sz w:val="16"/>
          <w:szCs w:val="16"/>
          <w:shd w:val="clear" w:color="auto" w:fill="FFFFFF"/>
          <w:lang w:val="es-AR"/>
        </w:rPr>
        <w:t>Caso de los Miembros de la Aldea Chichupac y comunidades vecinas del Municipio de Rabinal, Caso Molina Theissen y otros 12 casos guatemaltecos Vs. Guatemala</w:t>
      </w:r>
      <w:r w:rsidRPr="000353D7">
        <w:rPr>
          <w:rStyle w:val="Textoennegrita"/>
          <w:rFonts w:ascii="Verdana" w:hAnsi="Verdana"/>
          <w:b w:val="0"/>
          <w:bCs w:val="0"/>
          <w:sz w:val="16"/>
          <w:szCs w:val="16"/>
          <w:shd w:val="clear" w:color="auto" w:fill="FFFFFF"/>
          <w:lang w:val="es-AR"/>
        </w:rPr>
        <w:t>. Medidas Provisionales y Supervisión de Cumplimiento de Sentencia. Resolución de la Corte Interamericana de Derechos Humanos de 14 de octubre de 2019, Considerando 13.</w:t>
      </w:r>
    </w:p>
  </w:footnote>
  <w:footnote w:id="17">
    <w:p w14:paraId="11D865F7" w14:textId="3CC69F60" w:rsidR="005D5137" w:rsidRPr="000353D7" w:rsidRDefault="005D5137" w:rsidP="000F444A">
      <w:pPr>
        <w:pStyle w:val="Textonotapie"/>
        <w:spacing w:before="120" w:after="120"/>
        <w:jc w:val="both"/>
        <w:rPr>
          <w:rFonts w:ascii="Verdana" w:hAnsi="Verdana"/>
          <w:sz w:val="16"/>
          <w:szCs w:val="16"/>
          <w:lang w:val="es-GT"/>
        </w:rPr>
      </w:pPr>
      <w:r w:rsidRPr="000353D7">
        <w:rPr>
          <w:rStyle w:val="Refdenotaalpie"/>
          <w:rFonts w:ascii="Verdana" w:hAnsi="Verdana"/>
          <w:sz w:val="16"/>
          <w:szCs w:val="16"/>
        </w:rPr>
        <w:footnoteRef/>
      </w:r>
      <w:r w:rsidRPr="000353D7">
        <w:rPr>
          <w:rFonts w:ascii="Verdana" w:hAnsi="Verdana"/>
          <w:sz w:val="16"/>
          <w:szCs w:val="16"/>
          <w:lang w:val="es-AR"/>
        </w:rPr>
        <w:t xml:space="preserve"> </w:t>
      </w:r>
      <w:r w:rsidRPr="000353D7">
        <w:rPr>
          <w:rFonts w:ascii="Verdana" w:hAnsi="Verdana"/>
          <w:sz w:val="16"/>
          <w:szCs w:val="16"/>
          <w:lang w:val="es-AR"/>
        </w:rPr>
        <w:tab/>
      </w:r>
      <w:r w:rsidRPr="000353D7">
        <w:rPr>
          <w:rFonts w:ascii="Verdana" w:hAnsi="Verdana"/>
          <w:i/>
          <w:iCs/>
          <w:sz w:val="16"/>
          <w:szCs w:val="16"/>
          <w:lang w:val="es-AR"/>
        </w:rPr>
        <w:t xml:space="preserve">Cfr. Caso de la Cárcel de Urso Branco. </w:t>
      </w:r>
      <w:r w:rsidRPr="000353D7">
        <w:rPr>
          <w:rFonts w:ascii="Verdana" w:hAnsi="Verdana"/>
          <w:iCs/>
          <w:sz w:val="16"/>
          <w:szCs w:val="16"/>
          <w:lang w:val="es-AR"/>
        </w:rPr>
        <w:t xml:space="preserve">Medidas Provisionales respecto de Brasil. Resolución de la Corte Interamericana de Derechos Humanos de 7 de julio de 2004, Considerando 16, y </w:t>
      </w:r>
      <w:r w:rsidRPr="000353D7">
        <w:rPr>
          <w:rStyle w:val="Textoennegrita"/>
          <w:rFonts w:ascii="Verdana" w:hAnsi="Verdana"/>
          <w:b w:val="0"/>
          <w:bCs w:val="0"/>
          <w:i/>
          <w:sz w:val="16"/>
          <w:szCs w:val="16"/>
          <w:shd w:val="clear" w:color="auto" w:fill="FFFFFF"/>
          <w:lang w:val="es-AR"/>
        </w:rPr>
        <w:t>Caso de los Miembros de la Aldea Chichupac y comunidades vecinas del Municipio de Rabinal, Caso Molina Theissen y otros 12 casos guatemaltecos Vs. Guatemala</w:t>
      </w:r>
      <w:r w:rsidRPr="000353D7">
        <w:rPr>
          <w:rStyle w:val="Textoennegrita"/>
          <w:rFonts w:ascii="Verdana" w:hAnsi="Verdana"/>
          <w:b w:val="0"/>
          <w:bCs w:val="0"/>
          <w:sz w:val="16"/>
          <w:szCs w:val="16"/>
          <w:shd w:val="clear" w:color="auto" w:fill="FFFFFF"/>
          <w:lang w:val="es-AR"/>
        </w:rPr>
        <w:t xml:space="preserve">, </w:t>
      </w:r>
      <w:r w:rsidR="00D15EBC" w:rsidRPr="000353D7">
        <w:rPr>
          <w:rStyle w:val="Textoennegrita"/>
          <w:rFonts w:ascii="Verdana" w:hAnsi="Verdana"/>
          <w:b w:val="0"/>
          <w:bCs w:val="0"/>
          <w:i/>
          <w:sz w:val="16"/>
          <w:szCs w:val="16"/>
          <w:shd w:val="clear" w:color="auto" w:fill="FFFFFF"/>
          <w:lang w:val="es-AR"/>
        </w:rPr>
        <w:t xml:space="preserve">supra, </w:t>
      </w:r>
      <w:r w:rsidRPr="000353D7">
        <w:rPr>
          <w:rStyle w:val="Textoennegrita"/>
          <w:rFonts w:ascii="Verdana" w:hAnsi="Verdana"/>
          <w:b w:val="0"/>
          <w:bCs w:val="0"/>
          <w:sz w:val="16"/>
          <w:szCs w:val="16"/>
          <w:shd w:val="clear" w:color="auto" w:fill="FFFFFF"/>
          <w:lang w:val="es-AR"/>
        </w:rPr>
        <w:t>Considerando 13.</w:t>
      </w:r>
    </w:p>
  </w:footnote>
  <w:footnote w:id="18">
    <w:p w14:paraId="52A14FF6" w14:textId="77777777" w:rsidR="008B725D" w:rsidRPr="00830612" w:rsidRDefault="008B725D" w:rsidP="000F444A">
      <w:pPr>
        <w:pStyle w:val="Textonotapie"/>
        <w:spacing w:before="120" w:after="120"/>
        <w:jc w:val="both"/>
        <w:rPr>
          <w:rFonts w:ascii="Verdana" w:hAnsi="Verdana"/>
          <w:sz w:val="16"/>
          <w:szCs w:val="16"/>
          <w:lang w:val="es-CR"/>
        </w:rPr>
      </w:pPr>
      <w:r w:rsidRPr="000353D7">
        <w:rPr>
          <w:rStyle w:val="Refdenotaalpie"/>
          <w:rFonts w:ascii="Verdana" w:hAnsi="Verdana"/>
          <w:sz w:val="16"/>
          <w:szCs w:val="16"/>
        </w:rPr>
        <w:footnoteRef/>
      </w:r>
      <w:r w:rsidRPr="000353D7">
        <w:rPr>
          <w:rFonts w:ascii="Verdana" w:hAnsi="Verdana"/>
          <w:sz w:val="16"/>
          <w:szCs w:val="16"/>
          <w:lang w:val="es-AR"/>
        </w:rPr>
        <w:t xml:space="preserve"> </w:t>
      </w:r>
      <w:r w:rsidRPr="000353D7">
        <w:rPr>
          <w:rFonts w:ascii="Verdana" w:hAnsi="Verdana"/>
          <w:sz w:val="16"/>
          <w:szCs w:val="16"/>
          <w:lang w:val="es-AR"/>
        </w:rPr>
        <w:tab/>
      </w:r>
      <w:r w:rsidRPr="000353D7">
        <w:rPr>
          <w:rFonts w:ascii="Verdana" w:hAnsi="Verdana"/>
          <w:i/>
          <w:sz w:val="16"/>
          <w:szCs w:val="16"/>
          <w:lang w:val="es-AR"/>
        </w:rPr>
        <w:t>Cfr. Asunto Liliana Ortega y otras.</w:t>
      </w:r>
      <w:r w:rsidRPr="000353D7">
        <w:rPr>
          <w:rFonts w:ascii="Verdana" w:hAnsi="Verdana"/>
          <w:sz w:val="16"/>
          <w:szCs w:val="16"/>
          <w:lang w:val="es-AR"/>
        </w:rPr>
        <w:t xml:space="preserve"> </w:t>
      </w:r>
      <w:r w:rsidRPr="00830612">
        <w:rPr>
          <w:rFonts w:ascii="Verdana" w:hAnsi="Verdana"/>
          <w:sz w:val="16"/>
          <w:szCs w:val="16"/>
          <w:lang w:val="es-CR"/>
        </w:rPr>
        <w:t xml:space="preserve">Medidas provisionales respecto de Venezuela. Resolución de la Corte Interamericana de Derechos Humanos de 2 de diciembre de 2003, Considerando 12, y </w:t>
      </w:r>
      <w:r w:rsidRPr="00830612">
        <w:rPr>
          <w:rFonts w:ascii="Verdana" w:hAnsi="Verdana"/>
          <w:i/>
          <w:sz w:val="16"/>
          <w:szCs w:val="16"/>
          <w:lang w:val="es-CR"/>
        </w:rPr>
        <w:t>Asunto Pobladores de las Comunidades del Pueblo Indígena Miskitu de la Región Costa Caribe Norte respecto de Nicaragua</w:t>
      </w:r>
      <w:r w:rsidRPr="00830612">
        <w:rPr>
          <w:rFonts w:ascii="Verdana" w:hAnsi="Verdana"/>
          <w:sz w:val="16"/>
          <w:szCs w:val="16"/>
          <w:lang w:val="es-CR"/>
        </w:rPr>
        <w:t>. Medidas provisionales. Resolución de la Corte Interamericana de Derechos Humanos de 23 de noviembre de 2016, Considerando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8774257"/>
      <w:docPartObj>
        <w:docPartGallery w:val="Page Numbers (Top of Page)"/>
        <w:docPartUnique/>
      </w:docPartObj>
    </w:sdtPr>
    <w:sdtEndPr>
      <w:rPr>
        <w:rFonts w:ascii="Verdana" w:hAnsi="Verdana"/>
        <w:noProof/>
        <w:sz w:val="20"/>
      </w:rPr>
    </w:sdtEndPr>
    <w:sdtContent>
      <w:p w14:paraId="3DDCF862" w14:textId="623759D8" w:rsidR="002847A0" w:rsidRPr="0042780F" w:rsidRDefault="002847A0">
        <w:pPr>
          <w:pStyle w:val="Encabezado"/>
          <w:jc w:val="center"/>
          <w:rPr>
            <w:rFonts w:ascii="Verdana" w:hAnsi="Verdana"/>
            <w:sz w:val="20"/>
          </w:rPr>
        </w:pPr>
        <w:r w:rsidRPr="0042780F">
          <w:rPr>
            <w:rFonts w:ascii="Verdana" w:hAnsi="Verdana"/>
            <w:sz w:val="20"/>
          </w:rPr>
          <w:fldChar w:fldCharType="begin"/>
        </w:r>
        <w:r w:rsidRPr="0042780F">
          <w:rPr>
            <w:rFonts w:ascii="Verdana" w:hAnsi="Verdana"/>
            <w:sz w:val="20"/>
          </w:rPr>
          <w:instrText xml:space="preserve"> PAGE   \* MERGEFORMAT </w:instrText>
        </w:r>
        <w:r w:rsidRPr="0042780F">
          <w:rPr>
            <w:rFonts w:ascii="Verdana" w:hAnsi="Verdana"/>
            <w:sz w:val="20"/>
          </w:rPr>
          <w:fldChar w:fldCharType="separate"/>
        </w:r>
        <w:r w:rsidR="00DA5121">
          <w:rPr>
            <w:rFonts w:ascii="Verdana" w:hAnsi="Verdana"/>
            <w:noProof/>
            <w:sz w:val="20"/>
          </w:rPr>
          <w:t>10</w:t>
        </w:r>
        <w:r w:rsidRPr="0042780F">
          <w:rPr>
            <w:rFonts w:ascii="Verdana" w:hAnsi="Verdana"/>
            <w:noProof/>
            <w:sz w:val="20"/>
          </w:rPr>
          <w:fldChar w:fldCharType="end"/>
        </w:r>
      </w:p>
    </w:sdtContent>
  </w:sdt>
  <w:p w14:paraId="613195C0" w14:textId="77777777" w:rsidR="002847A0" w:rsidRDefault="002847A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334A7" w14:textId="77777777" w:rsidR="002847A0" w:rsidRPr="0042780F" w:rsidRDefault="002847A0">
    <w:pPr>
      <w:pStyle w:val="Encabezado"/>
      <w:jc w:val="center"/>
      <w:rPr>
        <w:rFonts w:ascii="Verdana" w:hAnsi="Verdana"/>
        <w:sz w:val="20"/>
      </w:rPr>
    </w:pPr>
  </w:p>
  <w:p w14:paraId="5BE7CB2D" w14:textId="77777777" w:rsidR="002847A0" w:rsidRDefault="002847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758FA"/>
    <w:multiLevelType w:val="hybridMultilevel"/>
    <w:tmpl w:val="6B480096"/>
    <w:lvl w:ilvl="0" w:tplc="81C83C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747762"/>
    <w:multiLevelType w:val="hybridMultilevel"/>
    <w:tmpl w:val="06DECBDE"/>
    <w:lvl w:ilvl="0" w:tplc="466299C8">
      <w:start w:val="1"/>
      <w:numFmt w:val="decimal"/>
      <w:lvlText w:val="%1."/>
      <w:lvlJc w:val="left"/>
      <w:pPr>
        <w:tabs>
          <w:tab w:val="num" w:pos="567"/>
        </w:tabs>
        <w:ind w:left="0" w:firstLine="0"/>
      </w:pPr>
      <w:rPr>
        <w:rFonts w:ascii="Verdana" w:hAnsi="Verdana" w:hint="default"/>
        <w:b w:val="0"/>
        <w:i w:val="0"/>
        <w:strike w:val="0"/>
        <w:color w:val="auto"/>
        <w:sz w:val="20"/>
        <w:szCs w:val="20"/>
        <w:lang w:val="es-ES"/>
      </w:rPr>
    </w:lvl>
    <w:lvl w:ilvl="1" w:tplc="9752BD62">
      <w:start w:val="1"/>
      <w:numFmt w:val="lowerRoman"/>
      <w:lvlText w:val="%2."/>
      <w:lvlJc w:val="right"/>
      <w:pPr>
        <w:ind w:left="1440" w:hanging="360"/>
      </w:pPr>
      <w:rPr>
        <w:rFonts w:hint="default"/>
        <w:b w:val="0"/>
      </w:rPr>
    </w:lvl>
    <w:lvl w:ilvl="2" w:tplc="0C0A000F">
      <w:start w:val="1"/>
      <w:numFmt w:val="decimal"/>
      <w:lvlText w:val="%3."/>
      <w:lvlJc w:val="left"/>
      <w:pPr>
        <w:tabs>
          <w:tab w:val="num" w:pos="2340"/>
        </w:tabs>
        <w:ind w:left="2340" w:hanging="360"/>
      </w:pPr>
      <w:rPr>
        <w:rFonts w:hint="default"/>
        <w:b w:val="0"/>
        <w:i w:val="0"/>
        <w:strike w:val="0"/>
        <w:sz w:val="20"/>
        <w:szCs w:val="2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49335E3A"/>
    <w:multiLevelType w:val="hybridMultilevel"/>
    <w:tmpl w:val="9D7AE652"/>
    <w:lvl w:ilvl="0" w:tplc="100A0019">
      <w:start w:val="1"/>
      <w:numFmt w:val="lowerLetter"/>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49853BE3"/>
    <w:multiLevelType w:val="hybridMultilevel"/>
    <w:tmpl w:val="4242310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511E37B4"/>
    <w:multiLevelType w:val="hybridMultilevel"/>
    <w:tmpl w:val="0A048F12"/>
    <w:lvl w:ilvl="0" w:tplc="DFC0889A">
      <w:start w:val="2"/>
      <w:numFmt w:val="bullet"/>
      <w:lvlText w:val="-"/>
      <w:lvlJc w:val="left"/>
      <w:pPr>
        <w:ind w:left="720" w:hanging="360"/>
      </w:pPr>
      <w:rPr>
        <w:rFonts w:ascii="Calibri" w:eastAsiaTheme="minorHAnsi" w:hAnsi="Calibri" w:cs="Calibr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5B2977ED"/>
    <w:multiLevelType w:val="hybridMultilevel"/>
    <w:tmpl w:val="0E32F722"/>
    <w:lvl w:ilvl="0" w:tplc="832E1070">
      <w:start w:val="1"/>
      <w:numFmt w:val="decimal"/>
      <w:lvlText w:val="%1."/>
      <w:lvlJc w:val="left"/>
      <w:pPr>
        <w:ind w:left="720" w:hanging="360"/>
      </w:pPr>
      <w:rPr>
        <w:b w:val="0"/>
        <w:sz w:val="20"/>
        <w:szCs w:val="2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 w15:restartNumberingAfterBreak="0">
    <w:nsid w:val="61402C7C"/>
    <w:multiLevelType w:val="hybridMultilevel"/>
    <w:tmpl w:val="39B2C072"/>
    <w:name w:val="WW8Num2"/>
    <w:lvl w:ilvl="0" w:tplc="5FBC247A">
      <w:start w:val="1"/>
      <w:numFmt w:val="decimal"/>
      <w:lvlText w:val="%1."/>
      <w:lvlJc w:val="left"/>
      <w:pPr>
        <w:tabs>
          <w:tab w:val="num" w:pos="567"/>
        </w:tabs>
        <w:ind w:left="0" w:firstLine="0"/>
      </w:pPr>
      <w:rPr>
        <w:rFonts w:ascii="Verdana" w:hAnsi="Verdana" w:hint="default"/>
        <w:b w:val="0"/>
        <w:i w:val="0"/>
        <w:strike w:val="0"/>
        <w:sz w:val="20"/>
        <w:szCs w:val="20"/>
      </w:rPr>
    </w:lvl>
    <w:lvl w:ilvl="1" w:tplc="AB4AEBC6">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340"/>
        </w:tabs>
        <w:ind w:left="2340" w:hanging="360"/>
      </w:pPr>
      <w:rPr>
        <w:rFonts w:hint="default"/>
        <w:b w:val="0"/>
        <w:i w:val="0"/>
        <w:strike w:val="0"/>
        <w:sz w:val="20"/>
        <w:szCs w:val="2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62C97D24"/>
    <w:multiLevelType w:val="hybridMultilevel"/>
    <w:tmpl w:val="550076E0"/>
    <w:lvl w:ilvl="0" w:tplc="CB5AD450">
      <w:start w:val="1"/>
      <w:numFmt w:val="decimal"/>
      <w:lvlText w:val="%1."/>
      <w:lvlJc w:val="left"/>
      <w:pPr>
        <w:ind w:left="1080" w:hanging="720"/>
      </w:pPr>
      <w:rPr>
        <w:b w:val="0"/>
        <w:color w:val="auto"/>
        <w:sz w:val="20"/>
        <w:szCs w:val="20"/>
      </w:rPr>
    </w:lvl>
    <w:lvl w:ilvl="1" w:tplc="323EEAAC">
      <w:start w:val="1"/>
      <w:numFmt w:val="lowerRoman"/>
      <w:lvlText w:val="%2."/>
      <w:lvlJc w:val="left"/>
      <w:pPr>
        <w:ind w:left="1800" w:hanging="720"/>
      </w:pPr>
    </w:lvl>
    <w:lvl w:ilvl="2" w:tplc="B96C1A40">
      <w:start w:val="1"/>
      <w:numFmt w:val="decimal"/>
      <w:lvlText w:val="%3."/>
      <w:lvlJc w:val="left"/>
      <w:pPr>
        <w:tabs>
          <w:tab w:val="num" w:pos="2160"/>
        </w:tabs>
        <w:ind w:left="2160" w:hanging="360"/>
      </w:pPr>
    </w:lvl>
    <w:lvl w:ilvl="3" w:tplc="2C0A000F">
      <w:start w:val="1"/>
      <w:numFmt w:val="decimal"/>
      <w:lvlText w:val="%4."/>
      <w:lvlJc w:val="left"/>
      <w:pPr>
        <w:tabs>
          <w:tab w:val="num" w:pos="2880"/>
        </w:tabs>
        <w:ind w:left="2880" w:hanging="360"/>
      </w:pPr>
    </w:lvl>
    <w:lvl w:ilvl="4" w:tplc="2C0A0019">
      <w:start w:val="1"/>
      <w:numFmt w:val="decimal"/>
      <w:lvlText w:val="%5."/>
      <w:lvlJc w:val="left"/>
      <w:pPr>
        <w:tabs>
          <w:tab w:val="num" w:pos="3600"/>
        </w:tabs>
        <w:ind w:left="3600" w:hanging="360"/>
      </w:p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8" w15:restartNumberingAfterBreak="0">
    <w:nsid w:val="66603CD0"/>
    <w:multiLevelType w:val="hybridMultilevel"/>
    <w:tmpl w:val="EB942612"/>
    <w:lvl w:ilvl="0" w:tplc="E83A9E88">
      <w:start w:val="1"/>
      <w:numFmt w:val="decimal"/>
      <w:lvlText w:val="%1."/>
      <w:lvlJc w:val="left"/>
      <w:pPr>
        <w:tabs>
          <w:tab w:val="num" w:pos="680"/>
        </w:tabs>
        <w:ind w:left="0" w:firstLine="0"/>
      </w:pPr>
      <w:rPr>
        <w:rFonts w:hint="default"/>
        <w:b w:val="0"/>
        <w:i w:val="0"/>
        <w:strike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A5C0A65"/>
    <w:multiLevelType w:val="hybridMultilevel"/>
    <w:tmpl w:val="AF4C955C"/>
    <w:lvl w:ilvl="0" w:tplc="97C87ABE">
      <w:start w:val="1"/>
      <w:numFmt w:val="decimal"/>
      <w:lvlText w:val="%1."/>
      <w:lvlJc w:val="left"/>
      <w:pPr>
        <w:ind w:left="360" w:hanging="360"/>
      </w:pPr>
      <w:rPr>
        <w:rFonts w:ascii="Verdana" w:hAnsi="Verdana" w:hint="default"/>
        <w:b w:val="0"/>
        <w:i w:val="0"/>
        <w:sz w:val="20"/>
        <w:szCs w:val="2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0" w15:restartNumberingAfterBreak="0">
    <w:nsid w:val="6BE45B5C"/>
    <w:multiLevelType w:val="hybridMultilevel"/>
    <w:tmpl w:val="4E7A30A4"/>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6BF1459C"/>
    <w:multiLevelType w:val="hybridMultilevel"/>
    <w:tmpl w:val="5B6A561E"/>
    <w:lvl w:ilvl="0" w:tplc="100A0019">
      <w:start w:val="1"/>
      <w:numFmt w:val="lowerLetter"/>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6CB2306E"/>
    <w:multiLevelType w:val="hybridMultilevel"/>
    <w:tmpl w:val="EE26BF3C"/>
    <w:lvl w:ilvl="0" w:tplc="3A1A69A2">
      <w:start w:val="1"/>
      <w:numFmt w:val="lowerLetter"/>
      <w:lvlText w:val="%1)"/>
      <w:lvlJc w:val="left"/>
      <w:pPr>
        <w:ind w:left="1080" w:hanging="360"/>
      </w:pPr>
      <w:rPr>
        <w:rFonts w:cs="Verdana"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7A3F7C"/>
    <w:multiLevelType w:val="hybridMultilevel"/>
    <w:tmpl w:val="4DDEC4B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7C094A64"/>
    <w:multiLevelType w:val="hybridMultilevel"/>
    <w:tmpl w:val="EE26BF3C"/>
    <w:lvl w:ilvl="0" w:tplc="3A1A69A2">
      <w:start w:val="1"/>
      <w:numFmt w:val="lowerLetter"/>
      <w:lvlText w:val="%1)"/>
      <w:lvlJc w:val="left"/>
      <w:pPr>
        <w:ind w:left="1080" w:hanging="360"/>
      </w:pPr>
      <w:rPr>
        <w:rFonts w:cs="Verdana"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8"/>
  </w:num>
  <w:num w:numId="4">
    <w:abstractNumId w:val="4"/>
  </w:num>
  <w:num w:numId="5">
    <w:abstractNumId w:val="7"/>
  </w:num>
  <w:num w:numId="6">
    <w:abstractNumId w:val="13"/>
  </w:num>
  <w:num w:numId="7">
    <w:abstractNumId w:val="10"/>
  </w:num>
  <w:num w:numId="8">
    <w:abstractNumId w:val="2"/>
  </w:num>
  <w:num w:numId="9">
    <w:abstractNumId w:val="11"/>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activeWritingStyle w:appName="MSWord" w:lang="es-ES_tradnl" w:vendorID="64" w:dllVersion="6" w:nlCheck="1" w:checkStyle="0"/>
  <w:activeWritingStyle w:appName="MSWord" w:lang="en-US" w:vendorID="64" w:dllVersion="6" w:nlCheck="1" w:checkStyle="1"/>
  <w:activeWritingStyle w:appName="MSWord" w:lang="es-GT" w:vendorID="64" w:dllVersion="6" w:nlCheck="1" w:checkStyle="0"/>
  <w:activeWritingStyle w:appName="MSWord" w:lang="es-AR" w:vendorID="64" w:dllVersion="6" w:nlCheck="1" w:checkStyle="0"/>
  <w:activeWritingStyle w:appName="MSWord" w:lang="es-ES" w:vendorID="64" w:dllVersion="6" w:nlCheck="1" w:checkStyle="0"/>
  <w:activeWritingStyle w:appName="MSWord" w:lang="es-CR" w:vendorID="64" w:dllVersion="6"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4096" w:nlCheck="1" w:checkStyle="0"/>
  <w:activeWritingStyle w:appName="MSWord" w:lang="es-GT" w:vendorID="64" w:dllVersion="4096" w:nlCheck="1" w:checkStyle="0"/>
  <w:activeWritingStyle w:appName="MSWord" w:lang="es-ES" w:vendorID="64" w:dllVersion="4096" w:nlCheck="1" w:checkStyle="0"/>
  <w:activeWritingStyle w:appName="MSWord" w:lang="es-CR" w:vendorID="64" w:dllVersion="4096" w:nlCheck="1" w:checkStyle="0"/>
  <w:activeWritingStyle w:appName="MSWord" w:lang="pt-BR"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9A8"/>
    <w:rsid w:val="0000352A"/>
    <w:rsid w:val="000038D5"/>
    <w:rsid w:val="000045D9"/>
    <w:rsid w:val="0001372B"/>
    <w:rsid w:val="00015C8B"/>
    <w:rsid w:val="00015EBF"/>
    <w:rsid w:val="000161D0"/>
    <w:rsid w:val="00017C7A"/>
    <w:rsid w:val="00022E44"/>
    <w:rsid w:val="00024EC8"/>
    <w:rsid w:val="000348E1"/>
    <w:rsid w:val="00034A00"/>
    <w:rsid w:val="000350D9"/>
    <w:rsid w:val="000352AF"/>
    <w:rsid w:val="000353D7"/>
    <w:rsid w:val="000355C7"/>
    <w:rsid w:val="00036290"/>
    <w:rsid w:val="00036BEC"/>
    <w:rsid w:val="00036CF5"/>
    <w:rsid w:val="00037A25"/>
    <w:rsid w:val="000410AF"/>
    <w:rsid w:val="00041D12"/>
    <w:rsid w:val="00044CAA"/>
    <w:rsid w:val="00045327"/>
    <w:rsid w:val="00045F13"/>
    <w:rsid w:val="00046661"/>
    <w:rsid w:val="0004679D"/>
    <w:rsid w:val="00046E2E"/>
    <w:rsid w:val="00047886"/>
    <w:rsid w:val="0005044D"/>
    <w:rsid w:val="00050E5F"/>
    <w:rsid w:val="00056D40"/>
    <w:rsid w:val="00056F2A"/>
    <w:rsid w:val="000626CA"/>
    <w:rsid w:val="0006729D"/>
    <w:rsid w:val="00067887"/>
    <w:rsid w:val="000707E3"/>
    <w:rsid w:val="00070A21"/>
    <w:rsid w:val="00072360"/>
    <w:rsid w:val="00073FAE"/>
    <w:rsid w:val="00074E93"/>
    <w:rsid w:val="0007729F"/>
    <w:rsid w:val="000842AC"/>
    <w:rsid w:val="00084DCD"/>
    <w:rsid w:val="0008621E"/>
    <w:rsid w:val="000867D9"/>
    <w:rsid w:val="00086909"/>
    <w:rsid w:val="00086B5B"/>
    <w:rsid w:val="00090A78"/>
    <w:rsid w:val="00091F2A"/>
    <w:rsid w:val="00092165"/>
    <w:rsid w:val="00093D13"/>
    <w:rsid w:val="0009465D"/>
    <w:rsid w:val="00095C3A"/>
    <w:rsid w:val="000972FA"/>
    <w:rsid w:val="000A0EA1"/>
    <w:rsid w:val="000A261E"/>
    <w:rsid w:val="000A6483"/>
    <w:rsid w:val="000A7B1E"/>
    <w:rsid w:val="000B1B93"/>
    <w:rsid w:val="000B2E61"/>
    <w:rsid w:val="000B4986"/>
    <w:rsid w:val="000B60D3"/>
    <w:rsid w:val="000B7AA0"/>
    <w:rsid w:val="000C01C4"/>
    <w:rsid w:val="000C1BF5"/>
    <w:rsid w:val="000C48D8"/>
    <w:rsid w:val="000C4FF1"/>
    <w:rsid w:val="000C5D28"/>
    <w:rsid w:val="000D2F38"/>
    <w:rsid w:val="000D6E10"/>
    <w:rsid w:val="000E13D4"/>
    <w:rsid w:val="000E244A"/>
    <w:rsid w:val="000E39C4"/>
    <w:rsid w:val="000E42FC"/>
    <w:rsid w:val="000E6B87"/>
    <w:rsid w:val="000F118C"/>
    <w:rsid w:val="000F2FAE"/>
    <w:rsid w:val="000F440C"/>
    <w:rsid w:val="000F444A"/>
    <w:rsid w:val="000F716B"/>
    <w:rsid w:val="00100BE4"/>
    <w:rsid w:val="00103A78"/>
    <w:rsid w:val="00106024"/>
    <w:rsid w:val="00106084"/>
    <w:rsid w:val="001068A7"/>
    <w:rsid w:val="00107871"/>
    <w:rsid w:val="00120592"/>
    <w:rsid w:val="001208CD"/>
    <w:rsid w:val="00120BD4"/>
    <w:rsid w:val="00124F79"/>
    <w:rsid w:val="001268B8"/>
    <w:rsid w:val="00131FBD"/>
    <w:rsid w:val="001337C1"/>
    <w:rsid w:val="001338C5"/>
    <w:rsid w:val="00134FE3"/>
    <w:rsid w:val="00137B19"/>
    <w:rsid w:val="0014187F"/>
    <w:rsid w:val="001501B1"/>
    <w:rsid w:val="0015226B"/>
    <w:rsid w:val="00153ADF"/>
    <w:rsid w:val="001549CC"/>
    <w:rsid w:val="00154C9F"/>
    <w:rsid w:val="0015573E"/>
    <w:rsid w:val="001560B2"/>
    <w:rsid w:val="00157239"/>
    <w:rsid w:val="00160ADD"/>
    <w:rsid w:val="001647F0"/>
    <w:rsid w:val="001654FE"/>
    <w:rsid w:val="00165CFC"/>
    <w:rsid w:val="001676FF"/>
    <w:rsid w:val="00171B78"/>
    <w:rsid w:val="001831C4"/>
    <w:rsid w:val="0018674B"/>
    <w:rsid w:val="001937F5"/>
    <w:rsid w:val="001955FD"/>
    <w:rsid w:val="001A0CDE"/>
    <w:rsid w:val="001A16D1"/>
    <w:rsid w:val="001A23BD"/>
    <w:rsid w:val="001A7D58"/>
    <w:rsid w:val="001B0007"/>
    <w:rsid w:val="001B22F1"/>
    <w:rsid w:val="001C01D8"/>
    <w:rsid w:val="001C050D"/>
    <w:rsid w:val="001C0597"/>
    <w:rsid w:val="001C60D2"/>
    <w:rsid w:val="001D065E"/>
    <w:rsid w:val="001D0E78"/>
    <w:rsid w:val="001D10FA"/>
    <w:rsid w:val="001D171E"/>
    <w:rsid w:val="001D52CF"/>
    <w:rsid w:val="001D540A"/>
    <w:rsid w:val="001D788F"/>
    <w:rsid w:val="001E19D8"/>
    <w:rsid w:val="001E38EC"/>
    <w:rsid w:val="001E5943"/>
    <w:rsid w:val="001E78BA"/>
    <w:rsid w:val="001F798C"/>
    <w:rsid w:val="00200859"/>
    <w:rsid w:val="00204B0E"/>
    <w:rsid w:val="00206679"/>
    <w:rsid w:val="002071C2"/>
    <w:rsid w:val="00210321"/>
    <w:rsid w:val="0021322B"/>
    <w:rsid w:val="00213C2A"/>
    <w:rsid w:val="00217088"/>
    <w:rsid w:val="00217919"/>
    <w:rsid w:val="002216B6"/>
    <w:rsid w:val="00223275"/>
    <w:rsid w:val="002261F2"/>
    <w:rsid w:val="00227836"/>
    <w:rsid w:val="00227D4D"/>
    <w:rsid w:val="00230BF1"/>
    <w:rsid w:val="00234474"/>
    <w:rsid w:val="00236368"/>
    <w:rsid w:val="002374A1"/>
    <w:rsid w:val="002377CA"/>
    <w:rsid w:val="00237976"/>
    <w:rsid w:val="00240195"/>
    <w:rsid w:val="00240250"/>
    <w:rsid w:val="0024120F"/>
    <w:rsid w:val="00241BE7"/>
    <w:rsid w:val="00244951"/>
    <w:rsid w:val="00244BBA"/>
    <w:rsid w:val="00245664"/>
    <w:rsid w:val="00246B94"/>
    <w:rsid w:val="00247765"/>
    <w:rsid w:val="002502AD"/>
    <w:rsid w:val="00251332"/>
    <w:rsid w:val="00251608"/>
    <w:rsid w:val="00252A3E"/>
    <w:rsid w:val="00253236"/>
    <w:rsid w:val="00254726"/>
    <w:rsid w:val="00254866"/>
    <w:rsid w:val="002556EA"/>
    <w:rsid w:val="00255F1B"/>
    <w:rsid w:val="00256E73"/>
    <w:rsid w:val="00260F6C"/>
    <w:rsid w:val="0026434E"/>
    <w:rsid w:val="002706AA"/>
    <w:rsid w:val="0027078A"/>
    <w:rsid w:val="00274235"/>
    <w:rsid w:val="002742E7"/>
    <w:rsid w:val="00275530"/>
    <w:rsid w:val="00276CA5"/>
    <w:rsid w:val="002802A9"/>
    <w:rsid w:val="00280564"/>
    <w:rsid w:val="00280926"/>
    <w:rsid w:val="002843F3"/>
    <w:rsid w:val="002847A0"/>
    <w:rsid w:val="00285681"/>
    <w:rsid w:val="00286EB5"/>
    <w:rsid w:val="00291567"/>
    <w:rsid w:val="00293759"/>
    <w:rsid w:val="002944EF"/>
    <w:rsid w:val="00296F61"/>
    <w:rsid w:val="002A181F"/>
    <w:rsid w:val="002A2159"/>
    <w:rsid w:val="002A3008"/>
    <w:rsid w:val="002A3CEF"/>
    <w:rsid w:val="002A3DB1"/>
    <w:rsid w:val="002A7062"/>
    <w:rsid w:val="002B1368"/>
    <w:rsid w:val="002B1688"/>
    <w:rsid w:val="002B21A4"/>
    <w:rsid w:val="002B3182"/>
    <w:rsid w:val="002B39F2"/>
    <w:rsid w:val="002B4A0A"/>
    <w:rsid w:val="002C7A5D"/>
    <w:rsid w:val="002D1535"/>
    <w:rsid w:val="002D3624"/>
    <w:rsid w:val="002D3A3E"/>
    <w:rsid w:val="002D3AFF"/>
    <w:rsid w:val="002D3B39"/>
    <w:rsid w:val="002D443D"/>
    <w:rsid w:val="002D5DC6"/>
    <w:rsid w:val="002D732D"/>
    <w:rsid w:val="002E36EF"/>
    <w:rsid w:val="002E4681"/>
    <w:rsid w:val="002F0710"/>
    <w:rsid w:val="002F1878"/>
    <w:rsid w:val="002F3673"/>
    <w:rsid w:val="002F6434"/>
    <w:rsid w:val="002F6C8C"/>
    <w:rsid w:val="002F6E99"/>
    <w:rsid w:val="00302659"/>
    <w:rsid w:val="00305709"/>
    <w:rsid w:val="003118BB"/>
    <w:rsid w:val="00311F93"/>
    <w:rsid w:val="00312B06"/>
    <w:rsid w:val="00312BE9"/>
    <w:rsid w:val="0031312F"/>
    <w:rsid w:val="00316FA8"/>
    <w:rsid w:val="00317885"/>
    <w:rsid w:val="00325CB5"/>
    <w:rsid w:val="0032770D"/>
    <w:rsid w:val="003279EE"/>
    <w:rsid w:val="00330A98"/>
    <w:rsid w:val="003310AD"/>
    <w:rsid w:val="003311BE"/>
    <w:rsid w:val="00331BE4"/>
    <w:rsid w:val="003357AC"/>
    <w:rsid w:val="003377C3"/>
    <w:rsid w:val="00337818"/>
    <w:rsid w:val="0034092F"/>
    <w:rsid w:val="00343E34"/>
    <w:rsid w:val="00345234"/>
    <w:rsid w:val="00347616"/>
    <w:rsid w:val="00352D66"/>
    <w:rsid w:val="003556C4"/>
    <w:rsid w:val="00355B69"/>
    <w:rsid w:val="003571C2"/>
    <w:rsid w:val="0036054F"/>
    <w:rsid w:val="00360645"/>
    <w:rsid w:val="00362D14"/>
    <w:rsid w:val="0036413D"/>
    <w:rsid w:val="00367203"/>
    <w:rsid w:val="00374C01"/>
    <w:rsid w:val="00380C6C"/>
    <w:rsid w:val="00382BF3"/>
    <w:rsid w:val="003842B8"/>
    <w:rsid w:val="0038747B"/>
    <w:rsid w:val="003915AA"/>
    <w:rsid w:val="00391DAC"/>
    <w:rsid w:val="003922F4"/>
    <w:rsid w:val="00394F33"/>
    <w:rsid w:val="003954E4"/>
    <w:rsid w:val="003978F2"/>
    <w:rsid w:val="00397BC4"/>
    <w:rsid w:val="003A67FF"/>
    <w:rsid w:val="003A7367"/>
    <w:rsid w:val="003B2174"/>
    <w:rsid w:val="003B6492"/>
    <w:rsid w:val="003B6BC0"/>
    <w:rsid w:val="003C5108"/>
    <w:rsid w:val="003C60A1"/>
    <w:rsid w:val="003C60D6"/>
    <w:rsid w:val="003D2338"/>
    <w:rsid w:val="003D2CEB"/>
    <w:rsid w:val="003D48FB"/>
    <w:rsid w:val="003E04D6"/>
    <w:rsid w:val="003E0F76"/>
    <w:rsid w:val="003E2CA0"/>
    <w:rsid w:val="003E2D59"/>
    <w:rsid w:val="003E6597"/>
    <w:rsid w:val="003E662E"/>
    <w:rsid w:val="003E6E5C"/>
    <w:rsid w:val="003E76AF"/>
    <w:rsid w:val="003E7FF2"/>
    <w:rsid w:val="003F123D"/>
    <w:rsid w:val="003F4497"/>
    <w:rsid w:val="004015BE"/>
    <w:rsid w:val="0040286F"/>
    <w:rsid w:val="00412105"/>
    <w:rsid w:val="00413CFA"/>
    <w:rsid w:val="00415ADD"/>
    <w:rsid w:val="00420220"/>
    <w:rsid w:val="00424904"/>
    <w:rsid w:val="0042780F"/>
    <w:rsid w:val="004310E6"/>
    <w:rsid w:val="004330FC"/>
    <w:rsid w:val="004341F9"/>
    <w:rsid w:val="00440411"/>
    <w:rsid w:val="00441CC2"/>
    <w:rsid w:val="004430B4"/>
    <w:rsid w:val="00457D20"/>
    <w:rsid w:val="004609D1"/>
    <w:rsid w:val="00461155"/>
    <w:rsid w:val="004621B4"/>
    <w:rsid w:val="00463D8A"/>
    <w:rsid w:val="00466594"/>
    <w:rsid w:val="0047159A"/>
    <w:rsid w:val="00473771"/>
    <w:rsid w:val="00476995"/>
    <w:rsid w:val="00476A92"/>
    <w:rsid w:val="00480DF7"/>
    <w:rsid w:val="00482FE4"/>
    <w:rsid w:val="004840AF"/>
    <w:rsid w:val="00487B42"/>
    <w:rsid w:val="00490C8F"/>
    <w:rsid w:val="004924A9"/>
    <w:rsid w:val="0049618A"/>
    <w:rsid w:val="004A30DD"/>
    <w:rsid w:val="004A5A20"/>
    <w:rsid w:val="004A6D8F"/>
    <w:rsid w:val="004A7B88"/>
    <w:rsid w:val="004B10C9"/>
    <w:rsid w:val="004B1540"/>
    <w:rsid w:val="004B5243"/>
    <w:rsid w:val="004B74F7"/>
    <w:rsid w:val="004C7012"/>
    <w:rsid w:val="004D2D69"/>
    <w:rsid w:val="004D3D76"/>
    <w:rsid w:val="004D6C4E"/>
    <w:rsid w:val="004E42EC"/>
    <w:rsid w:val="004E4B39"/>
    <w:rsid w:val="004E6BF0"/>
    <w:rsid w:val="004F22F0"/>
    <w:rsid w:val="004F2394"/>
    <w:rsid w:val="004F36AC"/>
    <w:rsid w:val="004F3FDC"/>
    <w:rsid w:val="004F42A1"/>
    <w:rsid w:val="004F692F"/>
    <w:rsid w:val="004F6F13"/>
    <w:rsid w:val="005027CC"/>
    <w:rsid w:val="0050337C"/>
    <w:rsid w:val="00505077"/>
    <w:rsid w:val="005113ED"/>
    <w:rsid w:val="005143B6"/>
    <w:rsid w:val="00514D94"/>
    <w:rsid w:val="0052162D"/>
    <w:rsid w:val="005228C8"/>
    <w:rsid w:val="00522B4F"/>
    <w:rsid w:val="00527C96"/>
    <w:rsid w:val="00532371"/>
    <w:rsid w:val="00533C0A"/>
    <w:rsid w:val="00534EC4"/>
    <w:rsid w:val="00535311"/>
    <w:rsid w:val="0053757B"/>
    <w:rsid w:val="005376D2"/>
    <w:rsid w:val="00537D92"/>
    <w:rsid w:val="00545DBE"/>
    <w:rsid w:val="00547BAE"/>
    <w:rsid w:val="00557D4E"/>
    <w:rsid w:val="00563C31"/>
    <w:rsid w:val="00574728"/>
    <w:rsid w:val="005750E4"/>
    <w:rsid w:val="00577361"/>
    <w:rsid w:val="00581F0D"/>
    <w:rsid w:val="00583BCF"/>
    <w:rsid w:val="00584465"/>
    <w:rsid w:val="00586374"/>
    <w:rsid w:val="00586957"/>
    <w:rsid w:val="005A1C6E"/>
    <w:rsid w:val="005A2947"/>
    <w:rsid w:val="005A4AA4"/>
    <w:rsid w:val="005A7C6F"/>
    <w:rsid w:val="005B29D2"/>
    <w:rsid w:val="005B2EA6"/>
    <w:rsid w:val="005B47E4"/>
    <w:rsid w:val="005B5CFD"/>
    <w:rsid w:val="005D1EB7"/>
    <w:rsid w:val="005D3D6C"/>
    <w:rsid w:val="005D5137"/>
    <w:rsid w:val="005E51CB"/>
    <w:rsid w:val="005E592F"/>
    <w:rsid w:val="005E75C1"/>
    <w:rsid w:val="005F07A7"/>
    <w:rsid w:val="005F0E09"/>
    <w:rsid w:val="005F3235"/>
    <w:rsid w:val="005F54D4"/>
    <w:rsid w:val="005F7CC8"/>
    <w:rsid w:val="006107D6"/>
    <w:rsid w:val="00612660"/>
    <w:rsid w:val="00614370"/>
    <w:rsid w:val="006147DC"/>
    <w:rsid w:val="006179C3"/>
    <w:rsid w:val="006229AD"/>
    <w:rsid w:val="00622B05"/>
    <w:rsid w:val="0062525B"/>
    <w:rsid w:val="00625B2D"/>
    <w:rsid w:val="00633345"/>
    <w:rsid w:val="006344A1"/>
    <w:rsid w:val="00637307"/>
    <w:rsid w:val="006406D8"/>
    <w:rsid w:val="0064077B"/>
    <w:rsid w:val="00645D09"/>
    <w:rsid w:val="00646268"/>
    <w:rsid w:val="00646CFD"/>
    <w:rsid w:val="00646F16"/>
    <w:rsid w:val="00651B40"/>
    <w:rsid w:val="0065212F"/>
    <w:rsid w:val="0065444A"/>
    <w:rsid w:val="00655B1C"/>
    <w:rsid w:val="00660362"/>
    <w:rsid w:val="00660FCA"/>
    <w:rsid w:val="00662B93"/>
    <w:rsid w:val="00664DEC"/>
    <w:rsid w:val="00665147"/>
    <w:rsid w:val="00667334"/>
    <w:rsid w:val="00667BBA"/>
    <w:rsid w:val="00667CE6"/>
    <w:rsid w:val="00670982"/>
    <w:rsid w:val="006722ED"/>
    <w:rsid w:val="00673971"/>
    <w:rsid w:val="00674547"/>
    <w:rsid w:val="00675474"/>
    <w:rsid w:val="00677ECE"/>
    <w:rsid w:val="00682748"/>
    <w:rsid w:val="00685B45"/>
    <w:rsid w:val="0069068A"/>
    <w:rsid w:val="00693AB8"/>
    <w:rsid w:val="00694A91"/>
    <w:rsid w:val="006A05F6"/>
    <w:rsid w:val="006A2E09"/>
    <w:rsid w:val="006A725E"/>
    <w:rsid w:val="006A74A1"/>
    <w:rsid w:val="006A7E7C"/>
    <w:rsid w:val="006B07DC"/>
    <w:rsid w:val="006B39AA"/>
    <w:rsid w:val="006B4066"/>
    <w:rsid w:val="006C6F60"/>
    <w:rsid w:val="006D1DF9"/>
    <w:rsid w:val="006D1F46"/>
    <w:rsid w:val="006D5D4A"/>
    <w:rsid w:val="006E346E"/>
    <w:rsid w:val="006E4FEF"/>
    <w:rsid w:val="006F45FE"/>
    <w:rsid w:val="006F550C"/>
    <w:rsid w:val="006F56E0"/>
    <w:rsid w:val="00705F54"/>
    <w:rsid w:val="0071012B"/>
    <w:rsid w:val="00712561"/>
    <w:rsid w:val="00716476"/>
    <w:rsid w:val="00723FE5"/>
    <w:rsid w:val="00731404"/>
    <w:rsid w:val="00731D03"/>
    <w:rsid w:val="00735CE2"/>
    <w:rsid w:val="00736AA7"/>
    <w:rsid w:val="00736D1B"/>
    <w:rsid w:val="00737381"/>
    <w:rsid w:val="007403B8"/>
    <w:rsid w:val="00746CC5"/>
    <w:rsid w:val="00746CCE"/>
    <w:rsid w:val="0074778E"/>
    <w:rsid w:val="00751D3E"/>
    <w:rsid w:val="007556BF"/>
    <w:rsid w:val="00755BEE"/>
    <w:rsid w:val="00761CA5"/>
    <w:rsid w:val="00772B36"/>
    <w:rsid w:val="00772F26"/>
    <w:rsid w:val="007738B5"/>
    <w:rsid w:val="0077569B"/>
    <w:rsid w:val="00775B72"/>
    <w:rsid w:val="00780B5D"/>
    <w:rsid w:val="00781F08"/>
    <w:rsid w:val="007824E0"/>
    <w:rsid w:val="007878F9"/>
    <w:rsid w:val="00790754"/>
    <w:rsid w:val="007920E3"/>
    <w:rsid w:val="00792619"/>
    <w:rsid w:val="00793884"/>
    <w:rsid w:val="0079438F"/>
    <w:rsid w:val="007977D2"/>
    <w:rsid w:val="007A2C96"/>
    <w:rsid w:val="007A3090"/>
    <w:rsid w:val="007A4F7D"/>
    <w:rsid w:val="007A55EF"/>
    <w:rsid w:val="007A6CDD"/>
    <w:rsid w:val="007B07F7"/>
    <w:rsid w:val="007B1C7F"/>
    <w:rsid w:val="007B432E"/>
    <w:rsid w:val="007B6D84"/>
    <w:rsid w:val="007C1AE6"/>
    <w:rsid w:val="007D015F"/>
    <w:rsid w:val="007D3EE3"/>
    <w:rsid w:val="007D6A76"/>
    <w:rsid w:val="007E0161"/>
    <w:rsid w:val="007E2ED1"/>
    <w:rsid w:val="007E5F93"/>
    <w:rsid w:val="007E6B06"/>
    <w:rsid w:val="007F3D4D"/>
    <w:rsid w:val="007F4962"/>
    <w:rsid w:val="007F5EAA"/>
    <w:rsid w:val="00800424"/>
    <w:rsid w:val="008017AF"/>
    <w:rsid w:val="00802796"/>
    <w:rsid w:val="00803C95"/>
    <w:rsid w:val="00805C6C"/>
    <w:rsid w:val="0081474D"/>
    <w:rsid w:val="00815411"/>
    <w:rsid w:val="00820DD7"/>
    <w:rsid w:val="00821879"/>
    <w:rsid w:val="00823558"/>
    <w:rsid w:val="00830612"/>
    <w:rsid w:val="008307FF"/>
    <w:rsid w:val="00831153"/>
    <w:rsid w:val="008334BB"/>
    <w:rsid w:val="008357A5"/>
    <w:rsid w:val="00837B42"/>
    <w:rsid w:val="008415B5"/>
    <w:rsid w:val="0084160D"/>
    <w:rsid w:val="0084313C"/>
    <w:rsid w:val="00843882"/>
    <w:rsid w:val="00847CE4"/>
    <w:rsid w:val="00850226"/>
    <w:rsid w:val="00851FC7"/>
    <w:rsid w:val="00852822"/>
    <w:rsid w:val="00853BB3"/>
    <w:rsid w:val="0085571D"/>
    <w:rsid w:val="00857060"/>
    <w:rsid w:val="00864E40"/>
    <w:rsid w:val="00867832"/>
    <w:rsid w:val="00872050"/>
    <w:rsid w:val="008723EA"/>
    <w:rsid w:val="00877B77"/>
    <w:rsid w:val="00880E44"/>
    <w:rsid w:val="00881845"/>
    <w:rsid w:val="00882BCD"/>
    <w:rsid w:val="008842EC"/>
    <w:rsid w:val="00884487"/>
    <w:rsid w:val="0088575F"/>
    <w:rsid w:val="00892804"/>
    <w:rsid w:val="008953A3"/>
    <w:rsid w:val="008A63C6"/>
    <w:rsid w:val="008A73FF"/>
    <w:rsid w:val="008B2A8A"/>
    <w:rsid w:val="008B3081"/>
    <w:rsid w:val="008B725D"/>
    <w:rsid w:val="008C2090"/>
    <w:rsid w:val="008C4A80"/>
    <w:rsid w:val="008C6BE0"/>
    <w:rsid w:val="008C6EC5"/>
    <w:rsid w:val="008D1B11"/>
    <w:rsid w:val="008D6A99"/>
    <w:rsid w:val="008D7E8B"/>
    <w:rsid w:val="008E1873"/>
    <w:rsid w:val="008E18BE"/>
    <w:rsid w:val="008E1A63"/>
    <w:rsid w:val="008E1EF1"/>
    <w:rsid w:val="008E2403"/>
    <w:rsid w:val="008E24E1"/>
    <w:rsid w:val="008E386C"/>
    <w:rsid w:val="008E3CF7"/>
    <w:rsid w:val="008E6035"/>
    <w:rsid w:val="008E656A"/>
    <w:rsid w:val="008E7AC6"/>
    <w:rsid w:val="008F2519"/>
    <w:rsid w:val="008F3CB0"/>
    <w:rsid w:val="008F5C09"/>
    <w:rsid w:val="00900A9B"/>
    <w:rsid w:val="00900E54"/>
    <w:rsid w:val="00903028"/>
    <w:rsid w:val="009040B1"/>
    <w:rsid w:val="00904FD2"/>
    <w:rsid w:val="009070A9"/>
    <w:rsid w:val="009078B3"/>
    <w:rsid w:val="009104B7"/>
    <w:rsid w:val="00910541"/>
    <w:rsid w:val="0091194C"/>
    <w:rsid w:val="00911CAB"/>
    <w:rsid w:val="00913AA8"/>
    <w:rsid w:val="009213ED"/>
    <w:rsid w:val="00925C67"/>
    <w:rsid w:val="00926510"/>
    <w:rsid w:val="00931272"/>
    <w:rsid w:val="00931686"/>
    <w:rsid w:val="00932E83"/>
    <w:rsid w:val="00937D07"/>
    <w:rsid w:val="0094044E"/>
    <w:rsid w:val="00940DF4"/>
    <w:rsid w:val="00945549"/>
    <w:rsid w:val="0094749D"/>
    <w:rsid w:val="00947D50"/>
    <w:rsid w:val="009575CC"/>
    <w:rsid w:val="00962F32"/>
    <w:rsid w:val="00963F29"/>
    <w:rsid w:val="009641C7"/>
    <w:rsid w:val="009710F7"/>
    <w:rsid w:val="0097165B"/>
    <w:rsid w:val="00971835"/>
    <w:rsid w:val="009720C4"/>
    <w:rsid w:val="009727E6"/>
    <w:rsid w:val="009752B1"/>
    <w:rsid w:val="00983DD2"/>
    <w:rsid w:val="009871D6"/>
    <w:rsid w:val="0099074F"/>
    <w:rsid w:val="00992E3C"/>
    <w:rsid w:val="00996DDE"/>
    <w:rsid w:val="00997114"/>
    <w:rsid w:val="00997B76"/>
    <w:rsid w:val="009A275E"/>
    <w:rsid w:val="009A2A92"/>
    <w:rsid w:val="009A2ACD"/>
    <w:rsid w:val="009A2D9D"/>
    <w:rsid w:val="009B38BD"/>
    <w:rsid w:val="009B5038"/>
    <w:rsid w:val="009B6F85"/>
    <w:rsid w:val="009C1D48"/>
    <w:rsid w:val="009C313B"/>
    <w:rsid w:val="009C5472"/>
    <w:rsid w:val="009C697E"/>
    <w:rsid w:val="009C7F3E"/>
    <w:rsid w:val="009D4D68"/>
    <w:rsid w:val="009E1BC1"/>
    <w:rsid w:val="009E2004"/>
    <w:rsid w:val="009E318A"/>
    <w:rsid w:val="009E44CB"/>
    <w:rsid w:val="009E5F11"/>
    <w:rsid w:val="009E68BC"/>
    <w:rsid w:val="009F4A1A"/>
    <w:rsid w:val="009F4B94"/>
    <w:rsid w:val="009F657D"/>
    <w:rsid w:val="009F7855"/>
    <w:rsid w:val="009F7EE2"/>
    <w:rsid w:val="00A004E8"/>
    <w:rsid w:val="00A01D39"/>
    <w:rsid w:val="00A03951"/>
    <w:rsid w:val="00A105C9"/>
    <w:rsid w:val="00A117B7"/>
    <w:rsid w:val="00A1552D"/>
    <w:rsid w:val="00A172CA"/>
    <w:rsid w:val="00A229CB"/>
    <w:rsid w:val="00A25137"/>
    <w:rsid w:val="00A279D8"/>
    <w:rsid w:val="00A27CBC"/>
    <w:rsid w:val="00A27F5E"/>
    <w:rsid w:val="00A347DA"/>
    <w:rsid w:val="00A34EB0"/>
    <w:rsid w:val="00A3531D"/>
    <w:rsid w:val="00A40505"/>
    <w:rsid w:val="00A43079"/>
    <w:rsid w:val="00A43DA4"/>
    <w:rsid w:val="00A460E9"/>
    <w:rsid w:val="00A4689C"/>
    <w:rsid w:val="00A572CE"/>
    <w:rsid w:val="00A64B5A"/>
    <w:rsid w:val="00A675BD"/>
    <w:rsid w:val="00A72D0E"/>
    <w:rsid w:val="00A73125"/>
    <w:rsid w:val="00A73A1E"/>
    <w:rsid w:val="00A77172"/>
    <w:rsid w:val="00A840E9"/>
    <w:rsid w:val="00A84AD7"/>
    <w:rsid w:val="00A901CC"/>
    <w:rsid w:val="00A90955"/>
    <w:rsid w:val="00A92BAB"/>
    <w:rsid w:val="00A92DCC"/>
    <w:rsid w:val="00A93CDE"/>
    <w:rsid w:val="00AA31A4"/>
    <w:rsid w:val="00AA4C4E"/>
    <w:rsid w:val="00AB1D7F"/>
    <w:rsid w:val="00AB5004"/>
    <w:rsid w:val="00AB6B76"/>
    <w:rsid w:val="00AC1520"/>
    <w:rsid w:val="00AC202C"/>
    <w:rsid w:val="00AC23CE"/>
    <w:rsid w:val="00AC30EA"/>
    <w:rsid w:val="00AC31CC"/>
    <w:rsid w:val="00AC5D0E"/>
    <w:rsid w:val="00AC6166"/>
    <w:rsid w:val="00AC7401"/>
    <w:rsid w:val="00AD1464"/>
    <w:rsid w:val="00AD255C"/>
    <w:rsid w:val="00AD3B90"/>
    <w:rsid w:val="00AD626B"/>
    <w:rsid w:val="00AE0C9A"/>
    <w:rsid w:val="00AE3B17"/>
    <w:rsid w:val="00AE403D"/>
    <w:rsid w:val="00AE5C1E"/>
    <w:rsid w:val="00AE70BC"/>
    <w:rsid w:val="00AF17F2"/>
    <w:rsid w:val="00AF34E8"/>
    <w:rsid w:val="00AF5315"/>
    <w:rsid w:val="00AF76E0"/>
    <w:rsid w:val="00B0055A"/>
    <w:rsid w:val="00B00F7D"/>
    <w:rsid w:val="00B02028"/>
    <w:rsid w:val="00B0254D"/>
    <w:rsid w:val="00B02787"/>
    <w:rsid w:val="00B03343"/>
    <w:rsid w:val="00B03C06"/>
    <w:rsid w:val="00B045C8"/>
    <w:rsid w:val="00B066AD"/>
    <w:rsid w:val="00B11C9E"/>
    <w:rsid w:val="00B13D62"/>
    <w:rsid w:val="00B13DFF"/>
    <w:rsid w:val="00B15202"/>
    <w:rsid w:val="00B16DDA"/>
    <w:rsid w:val="00B179AB"/>
    <w:rsid w:val="00B2110E"/>
    <w:rsid w:val="00B2124C"/>
    <w:rsid w:val="00B235A9"/>
    <w:rsid w:val="00B23727"/>
    <w:rsid w:val="00B25583"/>
    <w:rsid w:val="00B261D6"/>
    <w:rsid w:val="00B27D8B"/>
    <w:rsid w:val="00B301E5"/>
    <w:rsid w:val="00B3026B"/>
    <w:rsid w:val="00B3231B"/>
    <w:rsid w:val="00B377D7"/>
    <w:rsid w:val="00B37D78"/>
    <w:rsid w:val="00B40B22"/>
    <w:rsid w:val="00B42238"/>
    <w:rsid w:val="00B51FDF"/>
    <w:rsid w:val="00B53401"/>
    <w:rsid w:val="00B53747"/>
    <w:rsid w:val="00B5793E"/>
    <w:rsid w:val="00B57C48"/>
    <w:rsid w:val="00B609A8"/>
    <w:rsid w:val="00B700C6"/>
    <w:rsid w:val="00B70A39"/>
    <w:rsid w:val="00B75084"/>
    <w:rsid w:val="00B807C3"/>
    <w:rsid w:val="00B82315"/>
    <w:rsid w:val="00B83235"/>
    <w:rsid w:val="00B840EF"/>
    <w:rsid w:val="00B84F84"/>
    <w:rsid w:val="00B86011"/>
    <w:rsid w:val="00B87CB0"/>
    <w:rsid w:val="00B915C8"/>
    <w:rsid w:val="00B94E4F"/>
    <w:rsid w:val="00BA0730"/>
    <w:rsid w:val="00BA0D77"/>
    <w:rsid w:val="00BA0E0B"/>
    <w:rsid w:val="00BA131B"/>
    <w:rsid w:val="00BA1B86"/>
    <w:rsid w:val="00BA1EAF"/>
    <w:rsid w:val="00BA473C"/>
    <w:rsid w:val="00BA783F"/>
    <w:rsid w:val="00BB12CF"/>
    <w:rsid w:val="00BB1505"/>
    <w:rsid w:val="00BB2412"/>
    <w:rsid w:val="00BB2830"/>
    <w:rsid w:val="00BB5F22"/>
    <w:rsid w:val="00BB6CAD"/>
    <w:rsid w:val="00BC0E59"/>
    <w:rsid w:val="00BC0FD8"/>
    <w:rsid w:val="00BC102A"/>
    <w:rsid w:val="00BC158F"/>
    <w:rsid w:val="00BC2F1B"/>
    <w:rsid w:val="00BC35A6"/>
    <w:rsid w:val="00BC53D6"/>
    <w:rsid w:val="00BD03F5"/>
    <w:rsid w:val="00BD2F2F"/>
    <w:rsid w:val="00BD3F88"/>
    <w:rsid w:val="00BE079A"/>
    <w:rsid w:val="00BE0C8F"/>
    <w:rsid w:val="00BE2C35"/>
    <w:rsid w:val="00BE3AF3"/>
    <w:rsid w:val="00BE44EA"/>
    <w:rsid w:val="00BE4D22"/>
    <w:rsid w:val="00BE6668"/>
    <w:rsid w:val="00BE6A85"/>
    <w:rsid w:val="00BF7604"/>
    <w:rsid w:val="00BF78DD"/>
    <w:rsid w:val="00C02462"/>
    <w:rsid w:val="00C02799"/>
    <w:rsid w:val="00C035F6"/>
    <w:rsid w:val="00C044C2"/>
    <w:rsid w:val="00C11A8C"/>
    <w:rsid w:val="00C1247C"/>
    <w:rsid w:val="00C125C8"/>
    <w:rsid w:val="00C1406E"/>
    <w:rsid w:val="00C14D53"/>
    <w:rsid w:val="00C16F5A"/>
    <w:rsid w:val="00C1747E"/>
    <w:rsid w:val="00C230D7"/>
    <w:rsid w:val="00C25116"/>
    <w:rsid w:val="00C26D4A"/>
    <w:rsid w:val="00C2774B"/>
    <w:rsid w:val="00C27831"/>
    <w:rsid w:val="00C30B1C"/>
    <w:rsid w:val="00C332B8"/>
    <w:rsid w:val="00C36B86"/>
    <w:rsid w:val="00C37B0D"/>
    <w:rsid w:val="00C411C0"/>
    <w:rsid w:val="00C4508E"/>
    <w:rsid w:val="00C467CB"/>
    <w:rsid w:val="00C510BF"/>
    <w:rsid w:val="00C5239D"/>
    <w:rsid w:val="00C55292"/>
    <w:rsid w:val="00C55BEF"/>
    <w:rsid w:val="00C56014"/>
    <w:rsid w:val="00C61189"/>
    <w:rsid w:val="00C67135"/>
    <w:rsid w:val="00C76F1C"/>
    <w:rsid w:val="00C818B7"/>
    <w:rsid w:val="00C857DE"/>
    <w:rsid w:val="00C9146A"/>
    <w:rsid w:val="00C92714"/>
    <w:rsid w:val="00C93E16"/>
    <w:rsid w:val="00C969C1"/>
    <w:rsid w:val="00C97A93"/>
    <w:rsid w:val="00C97C63"/>
    <w:rsid w:val="00CA2C70"/>
    <w:rsid w:val="00CA3C35"/>
    <w:rsid w:val="00CA56B8"/>
    <w:rsid w:val="00CA5D39"/>
    <w:rsid w:val="00CA6A02"/>
    <w:rsid w:val="00CB262D"/>
    <w:rsid w:val="00CB4F26"/>
    <w:rsid w:val="00CB55D4"/>
    <w:rsid w:val="00CB621D"/>
    <w:rsid w:val="00CB7324"/>
    <w:rsid w:val="00CC0CC9"/>
    <w:rsid w:val="00CC213A"/>
    <w:rsid w:val="00CC6B0B"/>
    <w:rsid w:val="00CC7B21"/>
    <w:rsid w:val="00CD39C3"/>
    <w:rsid w:val="00CD4C95"/>
    <w:rsid w:val="00CD5991"/>
    <w:rsid w:val="00CD7B70"/>
    <w:rsid w:val="00CE09A6"/>
    <w:rsid w:val="00CE1568"/>
    <w:rsid w:val="00CE1BE0"/>
    <w:rsid w:val="00CE3F76"/>
    <w:rsid w:val="00CE7A21"/>
    <w:rsid w:val="00CE7A99"/>
    <w:rsid w:val="00CF1A1F"/>
    <w:rsid w:val="00CF4009"/>
    <w:rsid w:val="00CF59F8"/>
    <w:rsid w:val="00CF5AC1"/>
    <w:rsid w:val="00CF75B2"/>
    <w:rsid w:val="00D0273F"/>
    <w:rsid w:val="00D0659D"/>
    <w:rsid w:val="00D10E96"/>
    <w:rsid w:val="00D111C2"/>
    <w:rsid w:val="00D115D2"/>
    <w:rsid w:val="00D1538E"/>
    <w:rsid w:val="00D15EBC"/>
    <w:rsid w:val="00D1766B"/>
    <w:rsid w:val="00D2192C"/>
    <w:rsid w:val="00D23260"/>
    <w:rsid w:val="00D233B9"/>
    <w:rsid w:val="00D260C3"/>
    <w:rsid w:val="00D262ED"/>
    <w:rsid w:val="00D3235F"/>
    <w:rsid w:val="00D37F75"/>
    <w:rsid w:val="00D41C04"/>
    <w:rsid w:val="00D455CF"/>
    <w:rsid w:val="00D474E1"/>
    <w:rsid w:val="00D504E6"/>
    <w:rsid w:val="00D506E9"/>
    <w:rsid w:val="00D50A62"/>
    <w:rsid w:val="00D5162B"/>
    <w:rsid w:val="00D53355"/>
    <w:rsid w:val="00D55E61"/>
    <w:rsid w:val="00D57AB3"/>
    <w:rsid w:val="00D6010E"/>
    <w:rsid w:val="00D631C5"/>
    <w:rsid w:val="00D653B5"/>
    <w:rsid w:val="00D67831"/>
    <w:rsid w:val="00D714C6"/>
    <w:rsid w:val="00D724ED"/>
    <w:rsid w:val="00D72518"/>
    <w:rsid w:val="00D8273D"/>
    <w:rsid w:val="00D845D7"/>
    <w:rsid w:val="00D85CDA"/>
    <w:rsid w:val="00D86354"/>
    <w:rsid w:val="00D87A6D"/>
    <w:rsid w:val="00D927B6"/>
    <w:rsid w:val="00D92D27"/>
    <w:rsid w:val="00D92FD0"/>
    <w:rsid w:val="00D93F73"/>
    <w:rsid w:val="00D96CB1"/>
    <w:rsid w:val="00DA2A90"/>
    <w:rsid w:val="00DA5121"/>
    <w:rsid w:val="00DA726A"/>
    <w:rsid w:val="00DB2011"/>
    <w:rsid w:val="00DB23ED"/>
    <w:rsid w:val="00DB499F"/>
    <w:rsid w:val="00DB74B7"/>
    <w:rsid w:val="00DB7990"/>
    <w:rsid w:val="00DC72F6"/>
    <w:rsid w:val="00DC75EA"/>
    <w:rsid w:val="00DD0C23"/>
    <w:rsid w:val="00DD24AD"/>
    <w:rsid w:val="00DD4FAE"/>
    <w:rsid w:val="00DD68A4"/>
    <w:rsid w:val="00DD7B24"/>
    <w:rsid w:val="00DD7D3D"/>
    <w:rsid w:val="00DE0B03"/>
    <w:rsid w:val="00DE3022"/>
    <w:rsid w:val="00DE440F"/>
    <w:rsid w:val="00DE4623"/>
    <w:rsid w:val="00DE4B88"/>
    <w:rsid w:val="00DF029E"/>
    <w:rsid w:val="00DF0EC4"/>
    <w:rsid w:val="00DF3B3C"/>
    <w:rsid w:val="00DF4702"/>
    <w:rsid w:val="00DF4AEC"/>
    <w:rsid w:val="00DF7549"/>
    <w:rsid w:val="00DF77F3"/>
    <w:rsid w:val="00E07271"/>
    <w:rsid w:val="00E13934"/>
    <w:rsid w:val="00E13D49"/>
    <w:rsid w:val="00E146C0"/>
    <w:rsid w:val="00E159E1"/>
    <w:rsid w:val="00E21CFC"/>
    <w:rsid w:val="00E27D14"/>
    <w:rsid w:val="00E30A13"/>
    <w:rsid w:val="00E3171E"/>
    <w:rsid w:val="00E355CE"/>
    <w:rsid w:val="00E40A21"/>
    <w:rsid w:val="00E42211"/>
    <w:rsid w:val="00E42526"/>
    <w:rsid w:val="00E432E1"/>
    <w:rsid w:val="00E51EBD"/>
    <w:rsid w:val="00E55378"/>
    <w:rsid w:val="00E5551F"/>
    <w:rsid w:val="00E57226"/>
    <w:rsid w:val="00E6266F"/>
    <w:rsid w:val="00E64B8F"/>
    <w:rsid w:val="00E66F27"/>
    <w:rsid w:val="00E75799"/>
    <w:rsid w:val="00E764E7"/>
    <w:rsid w:val="00E82C6C"/>
    <w:rsid w:val="00E83954"/>
    <w:rsid w:val="00E85B48"/>
    <w:rsid w:val="00E86F84"/>
    <w:rsid w:val="00E87BE1"/>
    <w:rsid w:val="00E90B4F"/>
    <w:rsid w:val="00E911F2"/>
    <w:rsid w:val="00E92CD5"/>
    <w:rsid w:val="00E96B73"/>
    <w:rsid w:val="00E96EE5"/>
    <w:rsid w:val="00EA05B0"/>
    <w:rsid w:val="00EA0C9F"/>
    <w:rsid w:val="00EA0EF6"/>
    <w:rsid w:val="00EA154C"/>
    <w:rsid w:val="00EA681C"/>
    <w:rsid w:val="00EA6CAA"/>
    <w:rsid w:val="00EA77C2"/>
    <w:rsid w:val="00EB1E1E"/>
    <w:rsid w:val="00EB4EF5"/>
    <w:rsid w:val="00EC2D96"/>
    <w:rsid w:val="00EC359F"/>
    <w:rsid w:val="00EC3684"/>
    <w:rsid w:val="00ED01D8"/>
    <w:rsid w:val="00ED1F15"/>
    <w:rsid w:val="00ED2CB7"/>
    <w:rsid w:val="00EE6297"/>
    <w:rsid w:val="00EE6A73"/>
    <w:rsid w:val="00EE6DDC"/>
    <w:rsid w:val="00EF663E"/>
    <w:rsid w:val="00EF7A3C"/>
    <w:rsid w:val="00F012E1"/>
    <w:rsid w:val="00F01528"/>
    <w:rsid w:val="00F02997"/>
    <w:rsid w:val="00F06663"/>
    <w:rsid w:val="00F11006"/>
    <w:rsid w:val="00F115EA"/>
    <w:rsid w:val="00F13ED8"/>
    <w:rsid w:val="00F14C1A"/>
    <w:rsid w:val="00F162CD"/>
    <w:rsid w:val="00F23322"/>
    <w:rsid w:val="00F26974"/>
    <w:rsid w:val="00F3146B"/>
    <w:rsid w:val="00F31945"/>
    <w:rsid w:val="00F33DC0"/>
    <w:rsid w:val="00F34165"/>
    <w:rsid w:val="00F359D0"/>
    <w:rsid w:val="00F41717"/>
    <w:rsid w:val="00F44A17"/>
    <w:rsid w:val="00F526E8"/>
    <w:rsid w:val="00F534FA"/>
    <w:rsid w:val="00F537A3"/>
    <w:rsid w:val="00F56314"/>
    <w:rsid w:val="00F61D04"/>
    <w:rsid w:val="00F62660"/>
    <w:rsid w:val="00F66E82"/>
    <w:rsid w:val="00F71B27"/>
    <w:rsid w:val="00F74ACA"/>
    <w:rsid w:val="00F76D88"/>
    <w:rsid w:val="00F77228"/>
    <w:rsid w:val="00F82C8F"/>
    <w:rsid w:val="00F82D92"/>
    <w:rsid w:val="00F8325D"/>
    <w:rsid w:val="00F85F69"/>
    <w:rsid w:val="00F91E9E"/>
    <w:rsid w:val="00F9205A"/>
    <w:rsid w:val="00F93C73"/>
    <w:rsid w:val="00F97A51"/>
    <w:rsid w:val="00FA03DB"/>
    <w:rsid w:val="00FA0E40"/>
    <w:rsid w:val="00FB2E18"/>
    <w:rsid w:val="00FB2FE4"/>
    <w:rsid w:val="00FB6D0D"/>
    <w:rsid w:val="00FB72DF"/>
    <w:rsid w:val="00FB7DE8"/>
    <w:rsid w:val="00FC5A15"/>
    <w:rsid w:val="00FC69BD"/>
    <w:rsid w:val="00FC7269"/>
    <w:rsid w:val="00FD1D79"/>
    <w:rsid w:val="00FD68CB"/>
    <w:rsid w:val="00FE14CC"/>
    <w:rsid w:val="00FE1A37"/>
    <w:rsid w:val="00FE39A9"/>
    <w:rsid w:val="00FE6502"/>
    <w:rsid w:val="00FF0EB2"/>
    <w:rsid w:val="00FF1663"/>
    <w:rsid w:val="00FF1EFB"/>
    <w:rsid w:val="00FF3EEE"/>
    <w:rsid w:val="00FF4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FA6AF"/>
  <w15:docId w15:val="{09AB1976-BB28-46EC-B602-5103C326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9A8"/>
  </w:style>
  <w:style w:type="paragraph" w:styleId="Ttulo1">
    <w:name w:val="heading 1"/>
    <w:basedOn w:val="Normal"/>
    <w:next w:val="Normal"/>
    <w:link w:val="Ttulo1Car"/>
    <w:qFormat/>
    <w:rsid w:val="00B609A8"/>
    <w:pPr>
      <w:keepNext/>
      <w:spacing w:after="0" w:line="240" w:lineRule="auto"/>
      <w:jc w:val="center"/>
      <w:outlineLvl w:val="0"/>
    </w:pPr>
    <w:rPr>
      <w:rFonts w:ascii="Verdana" w:eastAsia="Times New Roman" w:hAnsi="Verdana" w:cs="Times New Roman"/>
      <w:b/>
      <w:bCs/>
      <w:sz w:val="20"/>
      <w:szCs w:val="24"/>
      <w:lang w:val="es-ES" w:eastAsia="es-ES"/>
    </w:rPr>
  </w:style>
  <w:style w:type="paragraph" w:styleId="Ttulo3">
    <w:name w:val="heading 3"/>
    <w:basedOn w:val="Normal"/>
    <w:next w:val="Normal"/>
    <w:link w:val="Ttulo3Car"/>
    <w:uiPriority w:val="9"/>
    <w:unhideWhenUsed/>
    <w:qFormat/>
    <w:rsid w:val="006827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B609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609A8"/>
    <w:rPr>
      <w:rFonts w:ascii="Verdana" w:eastAsia="Times New Roman" w:hAnsi="Verdana" w:cs="Times New Roman"/>
      <w:b/>
      <w:bCs/>
      <w:sz w:val="20"/>
      <w:szCs w:val="24"/>
      <w:lang w:val="es-ES" w:eastAsia="es-ES"/>
    </w:rPr>
  </w:style>
  <w:style w:type="character" w:customStyle="1" w:styleId="Ttulo4Car">
    <w:name w:val="Título 4 Car"/>
    <w:basedOn w:val="Fuentedeprrafopredeter"/>
    <w:link w:val="Ttulo4"/>
    <w:uiPriority w:val="9"/>
    <w:semiHidden/>
    <w:rsid w:val="00B609A8"/>
    <w:rPr>
      <w:rFonts w:asciiTheme="majorHAnsi" w:eastAsiaTheme="majorEastAsia" w:hAnsiTheme="majorHAnsi" w:cstheme="majorBidi"/>
      <w:b/>
      <w:bCs/>
      <w:i/>
      <w:iCs/>
      <w:color w:val="4F81BD" w:themeColor="accent1"/>
    </w:rPr>
  </w:style>
  <w:style w:type="paragraph" w:styleId="Textonotapie">
    <w:name w:val="footnote text"/>
    <w:aliases w:val="Footnote Text Char Char Char Char Char,Footnote Text Char Char Char Char,Footnote reference,FA Fu,Footnote Text Char Char Char,Footnote Text Cha,FA Fußnotentext,FA Fuﬂnotentext,Texto nota pie Car,Footnote Text Char Char,footnote text,Ca,C"/>
    <w:basedOn w:val="Normal"/>
    <w:link w:val="TextonotapieCar1"/>
    <w:qFormat/>
    <w:rsid w:val="00B609A8"/>
    <w:pPr>
      <w:spacing w:after="0" w:line="240" w:lineRule="auto"/>
    </w:pPr>
    <w:rPr>
      <w:rFonts w:ascii="Times New Roman" w:eastAsia="MS Mincho" w:hAnsi="Times New Roman"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Texto nota pie Car Car"/>
    <w:basedOn w:val="Fuentedeprrafopredeter"/>
    <w:link w:val="Textonotapie"/>
    <w:qFormat/>
    <w:rsid w:val="00B609A8"/>
    <w:rPr>
      <w:rFonts w:ascii="Times New Roman" w:eastAsia="MS Mincho" w:hAnsi="Times New Roman" w:cs="Times New Roman"/>
      <w:sz w:val="20"/>
      <w:szCs w:val="20"/>
    </w:rPr>
  </w:style>
  <w:style w:type="character" w:styleId="Refdenotaalpie">
    <w:name w:val="footnote reference"/>
    <w:aliases w:val="Footnotes refss,Texto de nota al pie,Appel note de bas de page,Footnote number,referencia nota al pie,BVI fnr,f,Footnote symbol,Footnote,Ref. de nota al pie.,4_G,16 Point,Superscript 6 Point,Texto nota al pie,Ref,de nota al pie,norma"/>
    <w:uiPriority w:val="99"/>
    <w:qFormat/>
    <w:rsid w:val="00B609A8"/>
    <w:rPr>
      <w:rFonts w:cs="Times New Roman"/>
      <w:vertAlign w:val="superscript"/>
    </w:rPr>
  </w:style>
  <w:style w:type="paragraph" w:styleId="Prrafodelista">
    <w:name w:val="List Paragraph"/>
    <w:aliases w:val="Colorful List - Accent 11,List Paragraph2,List Paragraph1,Lista vistosa - Énfasis 11,Párrafo de lista1"/>
    <w:basedOn w:val="Normal"/>
    <w:link w:val="PrrafodelistaCar"/>
    <w:uiPriority w:val="99"/>
    <w:qFormat/>
    <w:rsid w:val="00B609A8"/>
    <w:pPr>
      <w:spacing w:after="0" w:line="240" w:lineRule="auto"/>
      <w:ind w:left="720"/>
      <w:contextualSpacing/>
    </w:pPr>
    <w:rPr>
      <w:rFonts w:ascii="Garamond" w:eastAsia="Times" w:hAnsi="Garamond" w:cs="Times New Roman"/>
      <w:sz w:val="24"/>
      <w:szCs w:val="20"/>
      <w:lang w:val="es-ES_tradnl"/>
    </w:rPr>
  </w:style>
  <w:style w:type="character" w:customStyle="1" w:styleId="PrrafodelistaCar">
    <w:name w:val="Párrafo de lista Car"/>
    <w:aliases w:val="Colorful List - Accent 11 Car,List Paragraph2 Car,List Paragraph1 Car,Lista vistosa - Énfasis 11 Car,Párrafo de lista1 Car"/>
    <w:link w:val="Prrafodelista"/>
    <w:uiPriority w:val="99"/>
    <w:locked/>
    <w:rsid w:val="00B609A8"/>
    <w:rPr>
      <w:rFonts w:ascii="Garamond" w:eastAsia="Times" w:hAnsi="Garamond" w:cs="Times New Roman"/>
      <w:sz w:val="24"/>
      <w:szCs w:val="20"/>
      <w:lang w:val="es-ES_tradnl"/>
    </w:rPr>
  </w:style>
  <w:style w:type="character" w:styleId="Textoennegrita">
    <w:name w:val="Strong"/>
    <w:basedOn w:val="Fuentedeprrafopredeter"/>
    <w:uiPriority w:val="22"/>
    <w:qFormat/>
    <w:rsid w:val="00B609A8"/>
    <w:rPr>
      <w:b/>
      <w:bCs/>
    </w:rPr>
  </w:style>
  <w:style w:type="paragraph" w:customStyle="1" w:styleId="Default">
    <w:name w:val="Default"/>
    <w:rsid w:val="00B609A8"/>
    <w:pPr>
      <w:autoSpaceDE w:val="0"/>
      <w:autoSpaceDN w:val="0"/>
      <w:adjustRightInd w:val="0"/>
      <w:spacing w:after="0" w:line="240" w:lineRule="auto"/>
    </w:pPr>
    <w:rPr>
      <w:rFonts w:ascii="Verdana" w:eastAsia="Calibri" w:hAnsi="Verdana" w:cs="Verdana"/>
      <w:color w:val="000000"/>
      <w:sz w:val="24"/>
      <w:szCs w:val="24"/>
    </w:rPr>
  </w:style>
  <w:style w:type="paragraph" w:styleId="Textoindependiente2">
    <w:name w:val="Body Text 2"/>
    <w:basedOn w:val="Normal"/>
    <w:link w:val="Textoindependiente2Car"/>
    <w:uiPriority w:val="99"/>
    <w:semiHidden/>
    <w:unhideWhenUsed/>
    <w:rsid w:val="00B609A8"/>
    <w:pPr>
      <w:spacing w:after="120" w:line="480" w:lineRule="auto"/>
    </w:pPr>
  </w:style>
  <w:style w:type="character" w:customStyle="1" w:styleId="Textoindependiente2Car">
    <w:name w:val="Texto independiente 2 Car"/>
    <w:basedOn w:val="Fuentedeprrafopredeter"/>
    <w:link w:val="Textoindependiente2"/>
    <w:uiPriority w:val="99"/>
    <w:semiHidden/>
    <w:rsid w:val="00B609A8"/>
  </w:style>
  <w:style w:type="paragraph" w:customStyle="1" w:styleId="ParaAttribute3">
    <w:name w:val="ParaAttribute3"/>
    <w:rsid w:val="00B609A8"/>
    <w:pPr>
      <w:widowControl w:val="0"/>
      <w:wordWrap w:val="0"/>
      <w:spacing w:after="0" w:line="240" w:lineRule="auto"/>
      <w:jc w:val="both"/>
    </w:pPr>
    <w:rPr>
      <w:rFonts w:ascii="Times New Roman" w:eastAsia="Batang" w:hAnsi="Times New Roman" w:cs="Times New Roman"/>
      <w:sz w:val="20"/>
      <w:szCs w:val="20"/>
    </w:rPr>
  </w:style>
  <w:style w:type="character" w:styleId="Refdecomentario">
    <w:name w:val="annotation reference"/>
    <w:basedOn w:val="Fuentedeprrafopredeter"/>
    <w:uiPriority w:val="99"/>
    <w:semiHidden/>
    <w:unhideWhenUsed/>
    <w:rsid w:val="00254866"/>
    <w:rPr>
      <w:sz w:val="16"/>
      <w:szCs w:val="16"/>
    </w:rPr>
  </w:style>
  <w:style w:type="paragraph" w:styleId="Textocomentario">
    <w:name w:val="annotation text"/>
    <w:basedOn w:val="Normal"/>
    <w:link w:val="TextocomentarioCar"/>
    <w:uiPriority w:val="99"/>
    <w:semiHidden/>
    <w:unhideWhenUsed/>
    <w:rsid w:val="002548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4866"/>
    <w:rPr>
      <w:sz w:val="20"/>
      <w:szCs w:val="20"/>
    </w:rPr>
  </w:style>
  <w:style w:type="paragraph" w:styleId="Asuntodelcomentario">
    <w:name w:val="annotation subject"/>
    <w:basedOn w:val="Textocomentario"/>
    <w:next w:val="Textocomentario"/>
    <w:link w:val="AsuntodelcomentarioCar"/>
    <w:uiPriority w:val="99"/>
    <w:semiHidden/>
    <w:unhideWhenUsed/>
    <w:rsid w:val="00254866"/>
    <w:rPr>
      <w:b/>
      <w:bCs/>
    </w:rPr>
  </w:style>
  <w:style w:type="character" w:customStyle="1" w:styleId="AsuntodelcomentarioCar">
    <w:name w:val="Asunto del comentario Car"/>
    <w:basedOn w:val="TextocomentarioCar"/>
    <w:link w:val="Asuntodelcomentario"/>
    <w:uiPriority w:val="99"/>
    <w:semiHidden/>
    <w:rsid w:val="00254866"/>
    <w:rPr>
      <w:b/>
      <w:bCs/>
      <w:sz w:val="20"/>
      <w:szCs w:val="20"/>
    </w:rPr>
  </w:style>
  <w:style w:type="paragraph" w:styleId="Textodeglobo">
    <w:name w:val="Balloon Text"/>
    <w:basedOn w:val="Normal"/>
    <w:link w:val="TextodegloboCar"/>
    <w:uiPriority w:val="99"/>
    <w:semiHidden/>
    <w:unhideWhenUsed/>
    <w:rsid w:val="002548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4866"/>
    <w:rPr>
      <w:rFonts w:ascii="Tahoma" w:hAnsi="Tahoma" w:cs="Tahoma"/>
      <w:sz w:val="16"/>
      <w:szCs w:val="16"/>
    </w:rPr>
  </w:style>
  <w:style w:type="paragraph" w:styleId="Encabezado">
    <w:name w:val="header"/>
    <w:basedOn w:val="Normal"/>
    <w:link w:val="EncabezadoCar"/>
    <w:uiPriority w:val="99"/>
    <w:unhideWhenUsed/>
    <w:rsid w:val="0042780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2780F"/>
  </w:style>
  <w:style w:type="paragraph" w:styleId="Piedepgina">
    <w:name w:val="footer"/>
    <w:basedOn w:val="Normal"/>
    <w:link w:val="PiedepginaCar"/>
    <w:uiPriority w:val="99"/>
    <w:unhideWhenUsed/>
    <w:rsid w:val="0042780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2780F"/>
  </w:style>
  <w:style w:type="paragraph" w:styleId="Revisin">
    <w:name w:val="Revision"/>
    <w:hidden/>
    <w:uiPriority w:val="99"/>
    <w:semiHidden/>
    <w:rsid w:val="003915AA"/>
    <w:pPr>
      <w:spacing w:after="0" w:line="240" w:lineRule="auto"/>
    </w:pPr>
  </w:style>
  <w:style w:type="character" w:customStyle="1" w:styleId="Ttulo3Car">
    <w:name w:val="Título 3 Car"/>
    <w:basedOn w:val="Fuentedeprrafopredeter"/>
    <w:link w:val="Ttulo3"/>
    <w:uiPriority w:val="9"/>
    <w:rsid w:val="0068274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65DE0E31EAF2439D287EEF21B08142" ma:contentTypeVersion="0" ma:contentTypeDescription="Create a new document." ma:contentTypeScope="" ma:versionID="01638f88f95378e84390226ee62acf8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F0636-DADD-4CBD-A18B-A125BF56A902}">
  <ds:schemaRefs>
    <ds:schemaRef ds:uri="http://schemas.microsoft.com/sharepoint/v3/contenttype/forms"/>
  </ds:schemaRefs>
</ds:datastoreItem>
</file>

<file path=customXml/itemProps2.xml><?xml version="1.0" encoding="utf-8"?>
<ds:datastoreItem xmlns:ds="http://schemas.openxmlformats.org/officeDocument/2006/customXml" ds:itemID="{B98C97A4-78D4-425A-ADE3-E14B387A78D4}">
  <ds:schemaRefs>
    <ds:schemaRef ds:uri="http://schemas.microsoft.com/office/2006/metadata/properties"/>
  </ds:schemaRefs>
</ds:datastoreItem>
</file>

<file path=customXml/itemProps3.xml><?xml version="1.0" encoding="utf-8"?>
<ds:datastoreItem xmlns:ds="http://schemas.openxmlformats.org/officeDocument/2006/customXml" ds:itemID="{04841540-9068-49DC-B35A-95B13DBFE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1300B5C-07E0-4026-A164-628858FB1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5043</Words>
  <Characters>27740</Characters>
  <Application>Microsoft Office Word</Application>
  <DocSecurity>0</DocSecurity>
  <Lines>231</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Ana Rita Ramirez</cp:lastModifiedBy>
  <cp:revision>2</cp:revision>
  <cp:lastPrinted>2020-06-15T21:09:00Z</cp:lastPrinted>
  <dcterms:created xsi:type="dcterms:W3CDTF">2020-06-16T16:03:00Z</dcterms:created>
  <dcterms:modified xsi:type="dcterms:W3CDTF">2020-06-16T16:03:00Z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0x0101009C65DE0E31EAF2439D287EEF21B08142</vt:lpwstr>
  </property>
</Properties>
</file>