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576B8" w14:textId="77777777" w:rsidR="003D6AF6" w:rsidRDefault="003D6AF6" w:rsidP="006808A7">
      <w:pPr>
        <w:pStyle w:val="Default"/>
        <w:spacing w:line="20" w:lineRule="atLeast"/>
        <w:jc w:val="center"/>
        <w:rPr>
          <w:b/>
          <w:bCs/>
          <w:sz w:val="20"/>
          <w:szCs w:val="20"/>
          <w:lang w:val="es-MX"/>
        </w:rPr>
      </w:pPr>
      <w:bookmarkStart w:id="0" w:name="_GoBack"/>
      <w:bookmarkEnd w:id="0"/>
    </w:p>
    <w:p w14:paraId="47F86F19" w14:textId="77777777" w:rsidR="003D6AF6" w:rsidRDefault="003D6AF6" w:rsidP="006808A7">
      <w:pPr>
        <w:pStyle w:val="Default"/>
        <w:spacing w:line="20" w:lineRule="atLeast"/>
        <w:jc w:val="center"/>
        <w:rPr>
          <w:b/>
          <w:bCs/>
          <w:sz w:val="20"/>
          <w:szCs w:val="20"/>
          <w:lang w:val="es-MX"/>
        </w:rPr>
      </w:pPr>
    </w:p>
    <w:p w14:paraId="20CAEE79" w14:textId="77777777" w:rsidR="003D6AF6" w:rsidRDefault="003D6AF6" w:rsidP="006808A7">
      <w:pPr>
        <w:pStyle w:val="Default"/>
        <w:spacing w:line="20" w:lineRule="atLeast"/>
        <w:jc w:val="center"/>
        <w:rPr>
          <w:b/>
          <w:bCs/>
          <w:sz w:val="20"/>
          <w:szCs w:val="20"/>
          <w:lang w:val="es-MX"/>
        </w:rPr>
      </w:pPr>
    </w:p>
    <w:p w14:paraId="242B4A03" w14:textId="77777777" w:rsidR="003D6AF6" w:rsidRDefault="003D6AF6" w:rsidP="006808A7">
      <w:pPr>
        <w:pStyle w:val="Default"/>
        <w:spacing w:line="20" w:lineRule="atLeast"/>
        <w:jc w:val="center"/>
        <w:rPr>
          <w:b/>
          <w:bCs/>
          <w:sz w:val="20"/>
          <w:szCs w:val="20"/>
          <w:lang w:val="es-MX"/>
        </w:rPr>
      </w:pPr>
    </w:p>
    <w:p w14:paraId="698B94D3" w14:textId="77777777" w:rsidR="006808A7" w:rsidRPr="009B1A94" w:rsidRDefault="006808A7" w:rsidP="006808A7">
      <w:pPr>
        <w:pStyle w:val="Default"/>
        <w:spacing w:line="20" w:lineRule="atLeast"/>
        <w:jc w:val="center"/>
        <w:rPr>
          <w:sz w:val="20"/>
          <w:szCs w:val="20"/>
          <w:lang w:val="es-MX"/>
        </w:rPr>
      </w:pPr>
      <w:r w:rsidRPr="009B1A94">
        <w:rPr>
          <w:b/>
          <w:bCs/>
          <w:sz w:val="20"/>
          <w:szCs w:val="20"/>
          <w:lang w:val="es-MX"/>
        </w:rPr>
        <w:t>RESOLUCIÓN DE LA</w:t>
      </w:r>
    </w:p>
    <w:p w14:paraId="27D92B1F" w14:textId="77777777" w:rsidR="006808A7" w:rsidRPr="009B1A94" w:rsidRDefault="006808A7" w:rsidP="006808A7">
      <w:pPr>
        <w:pStyle w:val="Default"/>
        <w:spacing w:line="20" w:lineRule="atLeast"/>
        <w:jc w:val="center"/>
        <w:rPr>
          <w:sz w:val="20"/>
          <w:szCs w:val="20"/>
          <w:lang w:val="es-MX"/>
        </w:rPr>
      </w:pPr>
      <w:r w:rsidRPr="009B1A94">
        <w:rPr>
          <w:b/>
          <w:bCs/>
          <w:sz w:val="20"/>
          <w:szCs w:val="20"/>
          <w:lang w:val="es-MX"/>
        </w:rPr>
        <w:t>CORTE INTERAMERICANA DE DERECHOS HUMANOS</w:t>
      </w:r>
    </w:p>
    <w:p w14:paraId="672A6659" w14:textId="77777777" w:rsidR="006808A7" w:rsidRDefault="006808A7" w:rsidP="006808A7">
      <w:pPr>
        <w:pStyle w:val="Default"/>
        <w:spacing w:line="20" w:lineRule="atLeast"/>
        <w:jc w:val="center"/>
        <w:rPr>
          <w:b/>
          <w:bCs/>
          <w:sz w:val="20"/>
          <w:szCs w:val="20"/>
          <w:lang w:val="es-MX"/>
        </w:rPr>
      </w:pPr>
    </w:p>
    <w:p w14:paraId="1829D151" w14:textId="1F4043F4" w:rsidR="00540723" w:rsidRDefault="00540723" w:rsidP="006808A7">
      <w:pPr>
        <w:pStyle w:val="Default"/>
        <w:spacing w:line="20" w:lineRule="atLeast"/>
        <w:jc w:val="center"/>
        <w:rPr>
          <w:b/>
          <w:bCs/>
          <w:sz w:val="20"/>
          <w:szCs w:val="20"/>
          <w:lang w:val="es-MX"/>
        </w:rPr>
      </w:pPr>
      <w:r>
        <w:rPr>
          <w:b/>
          <w:bCs/>
          <w:sz w:val="20"/>
          <w:szCs w:val="20"/>
          <w:lang w:val="es-MX"/>
        </w:rPr>
        <w:t>DE 6 DE FEBRERO DE 2019</w:t>
      </w:r>
    </w:p>
    <w:p w14:paraId="4F218E33" w14:textId="77777777" w:rsidR="00540723" w:rsidRDefault="00540723" w:rsidP="006808A7">
      <w:pPr>
        <w:pStyle w:val="Default"/>
        <w:spacing w:line="20" w:lineRule="atLeast"/>
        <w:jc w:val="center"/>
        <w:rPr>
          <w:b/>
          <w:bCs/>
          <w:sz w:val="20"/>
          <w:szCs w:val="20"/>
          <w:lang w:val="es-MX"/>
        </w:rPr>
      </w:pPr>
    </w:p>
    <w:p w14:paraId="6D1208D0" w14:textId="77777777" w:rsidR="006808A7" w:rsidRPr="009B1A94" w:rsidRDefault="006808A7" w:rsidP="006808A7">
      <w:pPr>
        <w:pStyle w:val="Default"/>
        <w:spacing w:line="20" w:lineRule="atLeast"/>
        <w:jc w:val="center"/>
        <w:rPr>
          <w:sz w:val="20"/>
          <w:szCs w:val="20"/>
          <w:lang w:val="es-MX"/>
        </w:rPr>
      </w:pPr>
      <w:r w:rsidRPr="009B1A94">
        <w:rPr>
          <w:b/>
          <w:bCs/>
          <w:sz w:val="20"/>
          <w:szCs w:val="20"/>
          <w:lang w:val="es-MX"/>
        </w:rPr>
        <w:t>MEDIDAS PROVISIONALES</w:t>
      </w:r>
    </w:p>
    <w:p w14:paraId="19DA6408" w14:textId="77777777" w:rsidR="006808A7" w:rsidRDefault="006808A7" w:rsidP="006808A7">
      <w:pPr>
        <w:spacing w:after="0" w:line="20" w:lineRule="atLeast"/>
        <w:jc w:val="center"/>
        <w:rPr>
          <w:rFonts w:ascii="Verdana" w:hAnsi="Verdana"/>
          <w:b/>
          <w:bCs/>
          <w:sz w:val="20"/>
          <w:szCs w:val="20"/>
        </w:rPr>
      </w:pPr>
      <w:r w:rsidRPr="009B1A94">
        <w:rPr>
          <w:rFonts w:ascii="Verdana" w:hAnsi="Verdana"/>
          <w:b/>
          <w:bCs/>
          <w:sz w:val="20"/>
          <w:szCs w:val="20"/>
          <w:lang w:val="es-MX"/>
        </w:rPr>
        <w:t xml:space="preserve">CASO COC MAX Y OTROS VS. </w:t>
      </w:r>
      <w:r w:rsidRPr="009B1A94">
        <w:rPr>
          <w:rFonts w:ascii="Verdana" w:hAnsi="Verdana"/>
          <w:b/>
          <w:bCs/>
          <w:sz w:val="20"/>
          <w:szCs w:val="20"/>
        </w:rPr>
        <w:t>GUATEMALA</w:t>
      </w:r>
    </w:p>
    <w:p w14:paraId="0A37501D" w14:textId="77777777" w:rsidR="006808A7" w:rsidRDefault="006808A7" w:rsidP="006808A7">
      <w:pPr>
        <w:spacing w:after="0" w:line="20" w:lineRule="atLeast"/>
        <w:jc w:val="both"/>
        <w:rPr>
          <w:rFonts w:ascii="Verdana" w:hAnsi="Verdana"/>
          <w:b/>
          <w:bCs/>
          <w:sz w:val="20"/>
          <w:szCs w:val="20"/>
        </w:rPr>
      </w:pPr>
    </w:p>
    <w:p w14:paraId="3DC6155A" w14:textId="77777777" w:rsidR="006808A7" w:rsidRDefault="006808A7" w:rsidP="006808A7">
      <w:pPr>
        <w:spacing w:after="0" w:line="20" w:lineRule="atLeast"/>
        <w:jc w:val="both"/>
      </w:pPr>
      <w:r>
        <w:rPr>
          <w:rFonts w:ascii="Verdana" w:hAnsi="Verdana"/>
          <w:b/>
          <w:bCs/>
          <w:sz w:val="20"/>
          <w:szCs w:val="20"/>
        </w:rPr>
        <w:t xml:space="preserve">VISTO: </w:t>
      </w:r>
    </w:p>
    <w:p w14:paraId="29D6B04F" w14:textId="77777777" w:rsidR="006808A7" w:rsidRPr="009E04E5" w:rsidRDefault="006808A7" w:rsidP="006808A7">
      <w:pPr>
        <w:pStyle w:val="Default"/>
        <w:spacing w:line="20" w:lineRule="atLeast"/>
        <w:rPr>
          <w:sz w:val="20"/>
          <w:szCs w:val="20"/>
          <w:lang w:val="es-MX"/>
        </w:rPr>
      </w:pPr>
      <w:r w:rsidRPr="009E04E5">
        <w:rPr>
          <w:sz w:val="20"/>
          <w:szCs w:val="20"/>
          <w:lang w:val="es-MX"/>
        </w:rPr>
        <w:t xml:space="preserve"> </w:t>
      </w:r>
    </w:p>
    <w:p w14:paraId="17B349C6" w14:textId="16D82F9F" w:rsidR="006808A7" w:rsidRPr="009E04E5" w:rsidRDefault="006808A7" w:rsidP="00540723">
      <w:pPr>
        <w:pStyle w:val="Default"/>
        <w:numPr>
          <w:ilvl w:val="0"/>
          <w:numId w:val="1"/>
        </w:numPr>
        <w:spacing w:line="20" w:lineRule="atLeast"/>
        <w:ind w:left="0" w:firstLine="0"/>
        <w:jc w:val="both"/>
        <w:rPr>
          <w:sz w:val="20"/>
          <w:szCs w:val="20"/>
          <w:lang w:val="es-MX"/>
        </w:rPr>
      </w:pPr>
      <w:r>
        <w:rPr>
          <w:sz w:val="20"/>
          <w:szCs w:val="20"/>
          <w:lang w:val="es-MX"/>
        </w:rPr>
        <w:t>La Resolución</w:t>
      </w:r>
      <w:r w:rsidRPr="009E04E5">
        <w:rPr>
          <w:sz w:val="20"/>
          <w:szCs w:val="20"/>
          <w:lang w:val="es-MX"/>
        </w:rPr>
        <w:t xml:space="preserve"> de la Corte Interamericana de Derechos Humanos (en adelante también “la Corte” o “Tribunal”) de </w:t>
      </w:r>
      <w:r>
        <w:rPr>
          <w:sz w:val="20"/>
          <w:szCs w:val="20"/>
          <w:lang w:val="es-MX"/>
        </w:rPr>
        <w:t xml:space="preserve">8 de febrero de 2018, </w:t>
      </w:r>
      <w:r w:rsidR="00540723">
        <w:rPr>
          <w:sz w:val="20"/>
          <w:szCs w:val="20"/>
          <w:lang w:val="es-MX"/>
        </w:rPr>
        <w:t xml:space="preserve">en la que </w:t>
      </w:r>
      <w:r>
        <w:rPr>
          <w:sz w:val="20"/>
          <w:szCs w:val="20"/>
          <w:lang w:val="es-MX"/>
        </w:rPr>
        <w:t>resolvió</w:t>
      </w:r>
      <w:r w:rsidR="00540723">
        <w:rPr>
          <w:sz w:val="20"/>
          <w:szCs w:val="20"/>
          <w:lang w:val="es-MX"/>
        </w:rPr>
        <w:t>,</w:t>
      </w:r>
      <w:r>
        <w:rPr>
          <w:sz w:val="20"/>
          <w:szCs w:val="20"/>
          <w:lang w:val="es-MX"/>
        </w:rPr>
        <w:t xml:space="preserve"> </w:t>
      </w:r>
      <w:r w:rsidRPr="009E04E5">
        <w:rPr>
          <w:sz w:val="20"/>
          <w:szCs w:val="20"/>
          <w:lang w:val="es-MX"/>
        </w:rPr>
        <w:t xml:space="preserve">entre otros: </w:t>
      </w:r>
    </w:p>
    <w:p w14:paraId="5DAB6C7B" w14:textId="77777777" w:rsidR="006808A7" w:rsidRPr="003C63A7" w:rsidRDefault="006808A7" w:rsidP="006808A7">
      <w:pPr>
        <w:pStyle w:val="ListParagraph"/>
        <w:autoSpaceDE w:val="0"/>
        <w:autoSpaceDN w:val="0"/>
        <w:adjustRightInd w:val="0"/>
        <w:spacing w:after="0" w:line="20" w:lineRule="atLeast"/>
        <w:jc w:val="both"/>
        <w:rPr>
          <w:rFonts w:ascii="Verdana" w:hAnsi="Verdana" w:cs="Verdana"/>
          <w:color w:val="000000"/>
          <w:sz w:val="16"/>
          <w:szCs w:val="16"/>
          <w:lang w:val="es-MX"/>
        </w:rPr>
      </w:pPr>
    </w:p>
    <w:p w14:paraId="5D976DAA" w14:textId="77777777" w:rsidR="006808A7" w:rsidRPr="000D5474" w:rsidRDefault="006808A7" w:rsidP="00540723">
      <w:pPr>
        <w:pStyle w:val="ListParagraph"/>
        <w:numPr>
          <w:ilvl w:val="0"/>
          <w:numId w:val="2"/>
        </w:numPr>
        <w:tabs>
          <w:tab w:val="left" w:pos="720"/>
        </w:tabs>
        <w:autoSpaceDE w:val="0"/>
        <w:autoSpaceDN w:val="0"/>
        <w:adjustRightInd w:val="0"/>
        <w:spacing w:after="0" w:line="20" w:lineRule="atLeast"/>
        <w:ind w:left="720" w:right="288" w:firstLine="0"/>
        <w:jc w:val="both"/>
        <w:rPr>
          <w:rFonts w:ascii="Verdana" w:hAnsi="Verdana" w:cs="Verdana"/>
          <w:color w:val="000000"/>
          <w:sz w:val="16"/>
          <w:szCs w:val="16"/>
          <w:lang w:val="es-MX"/>
        </w:rPr>
      </w:pPr>
      <w:r w:rsidRPr="000D5474">
        <w:rPr>
          <w:rFonts w:ascii="Verdana" w:hAnsi="Verdana" w:cs="Verdana"/>
          <w:color w:val="000000"/>
          <w:sz w:val="16"/>
          <w:szCs w:val="16"/>
          <w:lang w:val="es-MX"/>
        </w:rPr>
        <w:t xml:space="preserve">Requerir al Estado de Guatemala que adopte, de manera inmediata, las medidas de protección que sean necesarias y efectivas para garantizar la vida e integridad personal de Efraín Grave </w:t>
      </w:r>
      <w:proofErr w:type="spellStart"/>
      <w:r w:rsidRPr="000D5474">
        <w:rPr>
          <w:rFonts w:ascii="Verdana" w:hAnsi="Verdana" w:cs="Verdana"/>
          <w:color w:val="000000"/>
          <w:sz w:val="16"/>
          <w:szCs w:val="16"/>
          <w:lang w:val="es-MX"/>
        </w:rPr>
        <w:t>Morente</w:t>
      </w:r>
      <w:proofErr w:type="spellEnd"/>
      <w:r w:rsidRPr="000D5474">
        <w:rPr>
          <w:rFonts w:ascii="Verdana" w:hAnsi="Verdana" w:cs="Verdana"/>
          <w:color w:val="000000"/>
          <w:sz w:val="16"/>
          <w:szCs w:val="16"/>
          <w:lang w:val="es-MX"/>
        </w:rPr>
        <w:t xml:space="preserve">, </w:t>
      </w:r>
      <w:proofErr w:type="spellStart"/>
      <w:r w:rsidRPr="000D5474">
        <w:rPr>
          <w:rFonts w:ascii="Verdana" w:hAnsi="Verdana" w:cs="Verdana"/>
          <w:color w:val="000000"/>
          <w:sz w:val="16"/>
          <w:szCs w:val="16"/>
          <w:lang w:val="es-MX"/>
        </w:rPr>
        <w:t>Maynor</w:t>
      </w:r>
      <w:proofErr w:type="spellEnd"/>
      <w:r w:rsidRPr="000D5474">
        <w:rPr>
          <w:rFonts w:ascii="Verdana" w:hAnsi="Verdana" w:cs="Verdana"/>
          <w:color w:val="000000"/>
          <w:sz w:val="16"/>
          <w:szCs w:val="16"/>
          <w:lang w:val="es-MX"/>
        </w:rPr>
        <w:t xml:space="preserve"> Estuardo Alvarado Galeano, Karla Lorena Campos Flores, Natividad Sales Calmo y Tomás Grave </w:t>
      </w:r>
      <w:proofErr w:type="spellStart"/>
      <w:r w:rsidRPr="000D5474">
        <w:rPr>
          <w:rFonts w:ascii="Verdana" w:hAnsi="Verdana" w:cs="Verdana"/>
          <w:color w:val="000000"/>
          <w:sz w:val="16"/>
          <w:szCs w:val="16"/>
          <w:lang w:val="es-MX"/>
        </w:rPr>
        <w:t>Morente</w:t>
      </w:r>
      <w:proofErr w:type="spellEnd"/>
      <w:r w:rsidRPr="000D5474">
        <w:rPr>
          <w:rFonts w:ascii="Verdana" w:hAnsi="Verdana" w:cs="Verdana"/>
          <w:color w:val="000000"/>
          <w:sz w:val="16"/>
          <w:szCs w:val="16"/>
          <w:lang w:val="es-MX"/>
        </w:rPr>
        <w:t xml:space="preserve">, de conformidad con lo establecido en el Considerando 19 de la presente Resolución. </w:t>
      </w:r>
    </w:p>
    <w:p w14:paraId="02EB378F" w14:textId="77777777" w:rsidR="006808A7" w:rsidRPr="000D5474" w:rsidRDefault="006808A7" w:rsidP="00540723">
      <w:pPr>
        <w:pStyle w:val="ListParagraph"/>
        <w:tabs>
          <w:tab w:val="left" w:pos="720"/>
        </w:tabs>
        <w:autoSpaceDE w:val="0"/>
        <w:autoSpaceDN w:val="0"/>
        <w:adjustRightInd w:val="0"/>
        <w:spacing w:after="0" w:line="20" w:lineRule="atLeast"/>
        <w:ind w:right="288"/>
        <w:jc w:val="both"/>
        <w:rPr>
          <w:rFonts w:ascii="Verdana" w:hAnsi="Verdana" w:cs="Verdana"/>
          <w:color w:val="000000"/>
          <w:sz w:val="16"/>
          <w:szCs w:val="16"/>
          <w:lang w:val="es-MX"/>
        </w:rPr>
      </w:pPr>
    </w:p>
    <w:p w14:paraId="12EE1F8B" w14:textId="748E83A7" w:rsidR="006808A7" w:rsidRPr="000D5474" w:rsidRDefault="006808A7" w:rsidP="00540723">
      <w:pPr>
        <w:pStyle w:val="ListParagraph"/>
        <w:numPr>
          <w:ilvl w:val="0"/>
          <w:numId w:val="2"/>
        </w:numPr>
        <w:tabs>
          <w:tab w:val="left" w:pos="720"/>
        </w:tabs>
        <w:autoSpaceDE w:val="0"/>
        <w:autoSpaceDN w:val="0"/>
        <w:adjustRightInd w:val="0"/>
        <w:spacing w:after="0" w:line="20" w:lineRule="atLeast"/>
        <w:ind w:left="720" w:right="288" w:firstLine="0"/>
        <w:jc w:val="both"/>
        <w:rPr>
          <w:rFonts w:ascii="Verdana" w:hAnsi="Verdana" w:cs="Verdana"/>
          <w:color w:val="000000"/>
          <w:sz w:val="16"/>
          <w:szCs w:val="16"/>
          <w:lang w:val="es-MX"/>
        </w:rPr>
      </w:pPr>
      <w:r w:rsidRPr="000D5474">
        <w:rPr>
          <w:rFonts w:ascii="Verdana" w:hAnsi="Verdana" w:cs="Verdana"/>
          <w:color w:val="000000"/>
          <w:sz w:val="16"/>
          <w:szCs w:val="16"/>
          <w:lang w:val="es-MX"/>
        </w:rPr>
        <w:t>Orde</w:t>
      </w:r>
      <w:r>
        <w:rPr>
          <w:rFonts w:ascii="Verdana" w:hAnsi="Verdana" w:cs="Verdana"/>
          <w:color w:val="000000"/>
          <w:sz w:val="16"/>
          <w:szCs w:val="16"/>
          <w:lang w:val="es-MX"/>
        </w:rPr>
        <w:t xml:space="preserve">nar al Estado </w:t>
      </w:r>
      <w:r w:rsidR="00540723">
        <w:rPr>
          <w:rFonts w:ascii="Verdana" w:hAnsi="Verdana" w:cs="Verdana"/>
          <w:color w:val="000000"/>
          <w:sz w:val="16"/>
          <w:szCs w:val="16"/>
          <w:lang w:val="es-MX"/>
        </w:rPr>
        <w:t xml:space="preserve">[de Guatemala] </w:t>
      </w:r>
      <w:r>
        <w:rPr>
          <w:rFonts w:ascii="Verdana" w:hAnsi="Verdana" w:cs="Verdana"/>
          <w:color w:val="000000"/>
          <w:sz w:val="16"/>
          <w:szCs w:val="16"/>
          <w:lang w:val="es-MX"/>
        </w:rPr>
        <w:t>que presente</w:t>
      </w:r>
      <w:r w:rsidR="00540723">
        <w:rPr>
          <w:rFonts w:ascii="Verdana" w:hAnsi="Verdana" w:cs="Verdana"/>
          <w:color w:val="000000"/>
          <w:sz w:val="16"/>
          <w:szCs w:val="16"/>
          <w:lang w:val="es-MX"/>
        </w:rPr>
        <w:t>, a más tardar el 1 de marzo de 2018,</w:t>
      </w:r>
      <w:r>
        <w:rPr>
          <w:rFonts w:ascii="Verdana" w:hAnsi="Verdana" w:cs="Verdana"/>
          <w:color w:val="000000"/>
          <w:sz w:val="16"/>
          <w:szCs w:val="16"/>
          <w:lang w:val="es-MX"/>
        </w:rPr>
        <w:t xml:space="preserve"> </w:t>
      </w:r>
      <w:r w:rsidRPr="000D5474">
        <w:rPr>
          <w:rFonts w:ascii="Verdana" w:hAnsi="Verdana" w:cs="Verdana"/>
          <w:color w:val="000000"/>
          <w:sz w:val="16"/>
          <w:szCs w:val="16"/>
          <w:lang w:val="es-MX"/>
        </w:rPr>
        <w:t xml:space="preserve">un informe completo y detallado sobre lo dispuesto en el punto resolutivo 1 </w:t>
      </w:r>
      <w:r w:rsidR="00540723">
        <w:rPr>
          <w:rFonts w:ascii="Verdana" w:hAnsi="Verdana" w:cs="Verdana"/>
          <w:color w:val="000000"/>
          <w:sz w:val="16"/>
          <w:szCs w:val="16"/>
          <w:lang w:val="es-MX"/>
        </w:rPr>
        <w:t>[…]</w:t>
      </w:r>
      <w:r w:rsidRPr="000D5474">
        <w:rPr>
          <w:rFonts w:ascii="Verdana" w:hAnsi="Verdana" w:cs="Verdana"/>
          <w:color w:val="000000"/>
          <w:sz w:val="16"/>
          <w:szCs w:val="16"/>
          <w:lang w:val="es-MX"/>
        </w:rPr>
        <w:t xml:space="preserve">, luego de lo cual deberá continuar informando a la Corte cada tres meses, contados a partir de la remisión de su último informe, sobre las medidas provisionales adoptadas. </w:t>
      </w:r>
    </w:p>
    <w:p w14:paraId="6A05A809" w14:textId="77777777" w:rsidR="006808A7" w:rsidRPr="000D5474" w:rsidRDefault="006808A7" w:rsidP="00540723">
      <w:pPr>
        <w:pStyle w:val="ListParagraph"/>
        <w:tabs>
          <w:tab w:val="left" w:pos="720"/>
        </w:tabs>
        <w:autoSpaceDE w:val="0"/>
        <w:autoSpaceDN w:val="0"/>
        <w:adjustRightInd w:val="0"/>
        <w:spacing w:after="0" w:line="20" w:lineRule="atLeast"/>
        <w:ind w:right="288"/>
        <w:jc w:val="both"/>
        <w:rPr>
          <w:rFonts w:ascii="Verdana" w:hAnsi="Verdana" w:cs="Verdana"/>
          <w:color w:val="000000"/>
          <w:sz w:val="16"/>
          <w:szCs w:val="16"/>
          <w:lang w:val="es-MX"/>
        </w:rPr>
      </w:pPr>
    </w:p>
    <w:p w14:paraId="360FF48E" w14:textId="09A75A68" w:rsidR="006808A7" w:rsidRPr="000D5474" w:rsidRDefault="006808A7" w:rsidP="00540723">
      <w:pPr>
        <w:pStyle w:val="ListParagraph"/>
        <w:numPr>
          <w:ilvl w:val="0"/>
          <w:numId w:val="2"/>
        </w:numPr>
        <w:tabs>
          <w:tab w:val="left" w:pos="720"/>
        </w:tabs>
        <w:autoSpaceDE w:val="0"/>
        <w:autoSpaceDN w:val="0"/>
        <w:adjustRightInd w:val="0"/>
        <w:spacing w:after="0" w:line="20" w:lineRule="atLeast"/>
        <w:ind w:left="720" w:right="288" w:firstLine="0"/>
        <w:jc w:val="both"/>
        <w:rPr>
          <w:rFonts w:ascii="Verdana" w:hAnsi="Verdana" w:cs="Verdana"/>
          <w:color w:val="000000"/>
          <w:sz w:val="16"/>
          <w:szCs w:val="16"/>
          <w:lang w:val="es-MX"/>
        </w:rPr>
      </w:pPr>
      <w:r w:rsidRPr="000D5474">
        <w:rPr>
          <w:rFonts w:ascii="Verdana" w:hAnsi="Verdana" w:cs="Verdana"/>
          <w:color w:val="000000"/>
          <w:sz w:val="16"/>
          <w:szCs w:val="16"/>
          <w:lang w:val="es-MX"/>
        </w:rPr>
        <w:t>Requerir a los representantes de las personas beneficiarias que presenten sus observaciones dentro de un plazo de cuatro semanas contadas a partir de la notificación de los informes del Estado</w:t>
      </w:r>
      <w:r w:rsidR="00540723">
        <w:rPr>
          <w:rFonts w:ascii="Verdana" w:hAnsi="Verdana" w:cs="Verdana"/>
          <w:color w:val="000000"/>
          <w:sz w:val="16"/>
          <w:szCs w:val="16"/>
          <w:lang w:val="es-MX"/>
        </w:rPr>
        <w:t xml:space="preserve"> [de Guatemala]</w:t>
      </w:r>
      <w:r w:rsidRPr="000D5474">
        <w:rPr>
          <w:rFonts w:ascii="Verdana" w:hAnsi="Verdana" w:cs="Verdana"/>
          <w:color w:val="000000"/>
          <w:sz w:val="16"/>
          <w:szCs w:val="16"/>
          <w:lang w:val="es-MX"/>
        </w:rPr>
        <w:t xml:space="preserve">, así como a la Comisión Interamericana de Derechos Humanos que presente sus observaciones a dichos informes del Estado dentro de un plazo de dos semanas contadas a partir de la recepción de las observaciones de los representantes. </w:t>
      </w:r>
    </w:p>
    <w:p w14:paraId="0A6959E7" w14:textId="45C1439E" w:rsidR="006808A7" w:rsidRPr="003C63A7" w:rsidRDefault="006808A7" w:rsidP="006808A7">
      <w:pPr>
        <w:pStyle w:val="Default"/>
        <w:spacing w:line="20" w:lineRule="atLeast"/>
        <w:rPr>
          <w:lang w:val="es-MX"/>
        </w:rPr>
      </w:pPr>
    </w:p>
    <w:p w14:paraId="617380CC" w14:textId="5F1C10F4" w:rsidR="006808A7" w:rsidRPr="00BB288F" w:rsidRDefault="006808A7" w:rsidP="006808A7">
      <w:pPr>
        <w:pStyle w:val="ListParagraph"/>
        <w:numPr>
          <w:ilvl w:val="0"/>
          <w:numId w:val="1"/>
        </w:numPr>
        <w:tabs>
          <w:tab w:val="left" w:pos="0"/>
        </w:tabs>
        <w:spacing w:after="0" w:line="20" w:lineRule="atLeast"/>
        <w:ind w:left="0" w:firstLine="0"/>
        <w:jc w:val="both"/>
        <w:rPr>
          <w:rFonts w:ascii="Verdana" w:hAnsi="Verdana"/>
          <w:sz w:val="16"/>
          <w:szCs w:val="16"/>
          <w:lang w:val="es-MX"/>
        </w:rPr>
      </w:pPr>
      <w:r w:rsidRPr="00BB288F">
        <w:rPr>
          <w:rFonts w:ascii="Verdana" w:hAnsi="Verdana" w:cs="Verdana"/>
          <w:color w:val="000000"/>
          <w:sz w:val="24"/>
          <w:szCs w:val="24"/>
          <w:lang w:val="es-MX"/>
        </w:rPr>
        <w:t xml:space="preserve"> </w:t>
      </w:r>
      <w:r w:rsidRPr="00BB288F">
        <w:rPr>
          <w:rFonts w:ascii="Verdana" w:hAnsi="Verdana" w:cs="Verdana"/>
          <w:color w:val="000000"/>
          <w:sz w:val="20"/>
          <w:szCs w:val="20"/>
          <w:lang w:val="es-MX"/>
        </w:rPr>
        <w:t>Los escritos presentados por la República de Guatemala (en adelante “el Estado” o “Guatema</w:t>
      </w:r>
      <w:r>
        <w:rPr>
          <w:rFonts w:ascii="Verdana" w:hAnsi="Verdana" w:cs="Verdana"/>
          <w:color w:val="000000"/>
          <w:sz w:val="20"/>
          <w:szCs w:val="20"/>
          <w:lang w:val="es-MX"/>
        </w:rPr>
        <w:t xml:space="preserve">la”) los días 6 de abril, </w:t>
      </w:r>
      <w:r w:rsidR="00540723">
        <w:rPr>
          <w:rFonts w:ascii="Verdana" w:hAnsi="Verdana" w:cs="Verdana"/>
          <w:color w:val="000000"/>
          <w:sz w:val="20"/>
          <w:szCs w:val="20"/>
          <w:lang w:val="es-MX"/>
        </w:rPr>
        <w:t>1</w:t>
      </w:r>
      <w:r>
        <w:rPr>
          <w:rFonts w:ascii="Verdana" w:hAnsi="Verdana" w:cs="Verdana"/>
          <w:color w:val="000000"/>
          <w:sz w:val="20"/>
          <w:szCs w:val="20"/>
          <w:lang w:val="es-MX"/>
        </w:rPr>
        <w:t xml:space="preserve"> de agosto</w:t>
      </w:r>
      <w:r>
        <w:rPr>
          <w:rStyle w:val="FootnoteReference"/>
          <w:rFonts w:ascii="Verdana" w:hAnsi="Verdana" w:cs="Verdana"/>
          <w:color w:val="000000"/>
          <w:sz w:val="20"/>
          <w:szCs w:val="20"/>
          <w:lang w:val="es-MX"/>
        </w:rPr>
        <w:footnoteReference w:id="1"/>
      </w:r>
      <w:r>
        <w:rPr>
          <w:rFonts w:ascii="Verdana" w:hAnsi="Verdana" w:cs="Verdana"/>
          <w:color w:val="000000"/>
          <w:sz w:val="20"/>
          <w:szCs w:val="20"/>
          <w:lang w:val="es-MX"/>
        </w:rPr>
        <w:t xml:space="preserve"> y 18 de octubre de 2018, </w:t>
      </w:r>
      <w:r w:rsidRPr="00BB288F">
        <w:rPr>
          <w:rFonts w:ascii="Verdana" w:hAnsi="Verdana" w:cs="Verdana"/>
          <w:color w:val="000000"/>
          <w:sz w:val="20"/>
          <w:szCs w:val="20"/>
          <w:lang w:val="es-MX"/>
        </w:rPr>
        <w:t>mediante los cuales presentó información relacionada con</w:t>
      </w:r>
      <w:r w:rsidR="00540723">
        <w:rPr>
          <w:rFonts w:ascii="Verdana" w:hAnsi="Verdana" w:cs="Verdana"/>
          <w:color w:val="000000"/>
          <w:sz w:val="20"/>
          <w:szCs w:val="20"/>
          <w:lang w:val="es-MX"/>
        </w:rPr>
        <w:t xml:space="preserve"> las</w:t>
      </w:r>
      <w:r w:rsidRPr="00BB288F">
        <w:rPr>
          <w:rFonts w:ascii="Verdana" w:hAnsi="Verdana" w:cs="Verdana"/>
          <w:color w:val="000000"/>
          <w:sz w:val="20"/>
          <w:szCs w:val="20"/>
          <w:lang w:val="es-MX"/>
        </w:rPr>
        <w:t xml:space="preserve"> medidas provisionales</w:t>
      </w:r>
      <w:r w:rsidR="00540723">
        <w:rPr>
          <w:rFonts w:ascii="Verdana" w:hAnsi="Verdana" w:cs="Verdana"/>
          <w:color w:val="000000"/>
          <w:sz w:val="20"/>
          <w:szCs w:val="20"/>
          <w:lang w:val="es-MX"/>
        </w:rPr>
        <w:t xml:space="preserve"> ordenadas</w:t>
      </w:r>
      <w:r w:rsidRPr="00BB288F">
        <w:rPr>
          <w:rFonts w:ascii="Verdana" w:hAnsi="Verdana" w:cs="Verdana"/>
          <w:color w:val="000000"/>
          <w:sz w:val="20"/>
          <w:szCs w:val="20"/>
          <w:lang w:val="es-MX"/>
        </w:rPr>
        <w:t>.</w:t>
      </w:r>
    </w:p>
    <w:p w14:paraId="41C8F396" w14:textId="77777777" w:rsidR="006808A7" w:rsidRPr="00BB288F" w:rsidRDefault="006808A7" w:rsidP="006808A7">
      <w:pPr>
        <w:pStyle w:val="ListParagraph"/>
        <w:tabs>
          <w:tab w:val="left" w:pos="0"/>
        </w:tabs>
        <w:spacing w:after="0" w:line="20" w:lineRule="atLeast"/>
        <w:ind w:left="0"/>
        <w:jc w:val="both"/>
        <w:rPr>
          <w:rFonts w:ascii="Verdana" w:hAnsi="Verdana"/>
          <w:sz w:val="16"/>
          <w:szCs w:val="16"/>
          <w:lang w:val="es-MX"/>
        </w:rPr>
      </w:pPr>
    </w:p>
    <w:p w14:paraId="1E585A61" w14:textId="0AF0E350" w:rsidR="000A6417" w:rsidRDefault="006808A7" w:rsidP="003F6743">
      <w:pPr>
        <w:pStyle w:val="ListParagraph"/>
        <w:numPr>
          <w:ilvl w:val="0"/>
          <w:numId w:val="1"/>
        </w:numPr>
        <w:tabs>
          <w:tab w:val="left" w:pos="0"/>
        </w:tabs>
        <w:spacing w:after="0" w:line="20" w:lineRule="atLeast"/>
        <w:ind w:left="0" w:firstLine="0"/>
        <w:jc w:val="both"/>
        <w:rPr>
          <w:rFonts w:ascii="Verdana" w:hAnsi="Verdana"/>
          <w:sz w:val="20"/>
          <w:szCs w:val="20"/>
          <w:lang w:val="es-MX"/>
        </w:rPr>
      </w:pPr>
      <w:r>
        <w:rPr>
          <w:rFonts w:ascii="Verdana" w:hAnsi="Verdana"/>
          <w:sz w:val="20"/>
          <w:szCs w:val="20"/>
          <w:lang w:val="es-MX"/>
        </w:rPr>
        <w:t>Los escritos presentados por los representantes de las personas beneficiaria</w:t>
      </w:r>
      <w:r w:rsidRPr="00BB288F">
        <w:rPr>
          <w:rFonts w:ascii="Verdana" w:hAnsi="Verdana"/>
          <w:sz w:val="20"/>
          <w:szCs w:val="20"/>
          <w:lang w:val="es-MX"/>
        </w:rPr>
        <w:t>s de las medidas provis</w:t>
      </w:r>
      <w:r>
        <w:rPr>
          <w:rFonts w:ascii="Verdana" w:hAnsi="Verdana"/>
          <w:sz w:val="20"/>
          <w:szCs w:val="20"/>
          <w:lang w:val="es-MX"/>
        </w:rPr>
        <w:t>ionales (en adelante “lo</w:t>
      </w:r>
      <w:r w:rsidRPr="00BB288F">
        <w:rPr>
          <w:rFonts w:ascii="Verdana" w:hAnsi="Verdana"/>
          <w:sz w:val="20"/>
          <w:szCs w:val="20"/>
          <w:lang w:val="es-MX"/>
        </w:rPr>
        <w:t>s representantes”</w:t>
      </w:r>
      <w:r>
        <w:rPr>
          <w:rFonts w:ascii="Verdana" w:hAnsi="Verdana"/>
          <w:sz w:val="20"/>
          <w:szCs w:val="20"/>
          <w:lang w:val="es-MX"/>
        </w:rPr>
        <w:t xml:space="preserve">) </w:t>
      </w:r>
      <w:r w:rsidR="00540723">
        <w:rPr>
          <w:rFonts w:ascii="Verdana" w:hAnsi="Verdana"/>
          <w:sz w:val="20"/>
          <w:szCs w:val="20"/>
          <w:lang w:val="es-MX"/>
        </w:rPr>
        <w:t xml:space="preserve">los días </w:t>
      </w:r>
      <w:r>
        <w:rPr>
          <w:rFonts w:ascii="Verdana" w:hAnsi="Verdana"/>
          <w:sz w:val="20"/>
          <w:szCs w:val="20"/>
          <w:lang w:val="es-MX"/>
        </w:rPr>
        <w:t>9 de mayo y 23 de agosto de 2018 y 18 de enero de 2019</w:t>
      </w:r>
      <w:r w:rsidR="00BD30ED">
        <w:rPr>
          <w:rFonts w:ascii="Verdana" w:hAnsi="Verdana"/>
          <w:sz w:val="20"/>
          <w:szCs w:val="20"/>
          <w:lang w:val="es-MX"/>
        </w:rPr>
        <w:t>,</w:t>
      </w:r>
      <w:r>
        <w:rPr>
          <w:rFonts w:ascii="Verdana" w:hAnsi="Verdana"/>
          <w:sz w:val="20"/>
          <w:szCs w:val="20"/>
          <w:lang w:val="es-MX"/>
        </w:rPr>
        <w:t xml:space="preserve"> </w:t>
      </w:r>
      <w:r w:rsidRPr="00BB288F">
        <w:rPr>
          <w:rFonts w:ascii="Verdana" w:hAnsi="Verdana"/>
          <w:sz w:val="20"/>
          <w:szCs w:val="20"/>
          <w:lang w:val="es-MX"/>
        </w:rPr>
        <w:t xml:space="preserve">mediante los cuales remitieron sus observaciones a los informes del Estado. </w:t>
      </w:r>
    </w:p>
    <w:p w14:paraId="293C11A5" w14:textId="77777777" w:rsidR="000A6417" w:rsidRPr="000A6417" w:rsidRDefault="000A6417" w:rsidP="000A6417">
      <w:pPr>
        <w:pStyle w:val="ListParagraph"/>
        <w:rPr>
          <w:rFonts w:ascii="Verdana" w:hAnsi="Verdana"/>
          <w:b/>
          <w:sz w:val="20"/>
          <w:szCs w:val="20"/>
          <w:lang w:val="es-MX"/>
        </w:rPr>
      </w:pPr>
    </w:p>
    <w:p w14:paraId="64B8595A" w14:textId="68998ED0" w:rsidR="003F6743" w:rsidRPr="000A6417" w:rsidRDefault="003F6743" w:rsidP="003F6743">
      <w:pPr>
        <w:pStyle w:val="ListParagraph"/>
        <w:numPr>
          <w:ilvl w:val="0"/>
          <w:numId w:val="1"/>
        </w:numPr>
        <w:tabs>
          <w:tab w:val="left" w:pos="0"/>
        </w:tabs>
        <w:spacing w:after="0" w:line="20" w:lineRule="atLeast"/>
        <w:ind w:left="0" w:firstLine="0"/>
        <w:jc w:val="both"/>
        <w:rPr>
          <w:rFonts w:ascii="Verdana" w:hAnsi="Verdana"/>
          <w:sz w:val="20"/>
          <w:szCs w:val="20"/>
          <w:lang w:val="es-MX"/>
        </w:rPr>
      </w:pPr>
      <w:r w:rsidRPr="000A6417">
        <w:rPr>
          <w:rFonts w:ascii="Verdana" w:hAnsi="Verdana"/>
          <w:sz w:val="20"/>
          <w:szCs w:val="20"/>
          <w:lang w:val="es-MX"/>
        </w:rPr>
        <w:t>El escrito de la Comisión Interamericana de Derechos Humanos (en adelante</w:t>
      </w:r>
      <w:r w:rsidR="00BD30ED">
        <w:rPr>
          <w:rFonts w:ascii="Verdana" w:hAnsi="Verdana"/>
          <w:sz w:val="20"/>
          <w:szCs w:val="20"/>
          <w:lang w:val="es-MX"/>
        </w:rPr>
        <w:t xml:space="preserve"> también</w:t>
      </w:r>
      <w:r w:rsidRPr="000A6417">
        <w:rPr>
          <w:rFonts w:ascii="Verdana" w:hAnsi="Verdana"/>
          <w:sz w:val="20"/>
          <w:szCs w:val="20"/>
          <w:lang w:val="es-MX"/>
        </w:rPr>
        <w:t xml:space="preserve"> “Comisión”) de 28 de enero de 2019</w:t>
      </w:r>
      <w:r w:rsidR="000A6417">
        <w:rPr>
          <w:rFonts w:ascii="Verdana" w:hAnsi="Verdana"/>
          <w:sz w:val="20"/>
          <w:szCs w:val="20"/>
          <w:lang w:val="es-MX"/>
        </w:rPr>
        <w:t>.</w:t>
      </w:r>
    </w:p>
    <w:p w14:paraId="0D0B940D" w14:textId="77777777" w:rsidR="003F6743" w:rsidRPr="003F6743" w:rsidRDefault="003F6743" w:rsidP="003F6743">
      <w:pPr>
        <w:tabs>
          <w:tab w:val="left" w:pos="3900"/>
        </w:tabs>
        <w:spacing w:after="0" w:line="20" w:lineRule="atLeast"/>
        <w:rPr>
          <w:rFonts w:ascii="Verdana" w:hAnsi="Verdana"/>
          <w:sz w:val="20"/>
          <w:szCs w:val="20"/>
          <w:lang w:val="es-MX"/>
        </w:rPr>
      </w:pPr>
      <w:r>
        <w:rPr>
          <w:rFonts w:ascii="Verdana" w:hAnsi="Verdana"/>
          <w:sz w:val="20"/>
          <w:szCs w:val="20"/>
          <w:lang w:val="es-MX"/>
        </w:rPr>
        <w:tab/>
      </w:r>
    </w:p>
    <w:p w14:paraId="79BE1672" w14:textId="113CCDAA" w:rsidR="006808A7" w:rsidRDefault="006808A7" w:rsidP="006808A7">
      <w:pPr>
        <w:pStyle w:val="ListParagraph"/>
        <w:numPr>
          <w:ilvl w:val="0"/>
          <w:numId w:val="1"/>
        </w:numPr>
        <w:tabs>
          <w:tab w:val="left" w:pos="0"/>
        </w:tabs>
        <w:spacing w:after="0" w:line="20" w:lineRule="atLeast"/>
        <w:ind w:left="0" w:firstLine="0"/>
        <w:jc w:val="both"/>
        <w:rPr>
          <w:rFonts w:ascii="Verdana" w:hAnsi="Verdana"/>
          <w:sz w:val="20"/>
          <w:szCs w:val="20"/>
          <w:lang w:val="es-MX"/>
        </w:rPr>
      </w:pPr>
      <w:r>
        <w:rPr>
          <w:rFonts w:ascii="Verdana" w:hAnsi="Verdana"/>
          <w:sz w:val="20"/>
          <w:szCs w:val="20"/>
          <w:lang w:val="es-MX"/>
        </w:rPr>
        <w:t xml:space="preserve">Las comunicaciones de la Secretaría de la Corte </w:t>
      </w:r>
      <w:r w:rsidR="00540723">
        <w:rPr>
          <w:rFonts w:ascii="Verdana" w:hAnsi="Verdana"/>
          <w:sz w:val="20"/>
          <w:szCs w:val="20"/>
          <w:lang w:val="es-MX"/>
        </w:rPr>
        <w:t xml:space="preserve">Interamericana de Derechos Humanos (en adelante también “la Secretaría”) </w:t>
      </w:r>
      <w:r>
        <w:rPr>
          <w:rFonts w:ascii="Verdana" w:hAnsi="Verdana"/>
          <w:sz w:val="20"/>
          <w:szCs w:val="20"/>
          <w:lang w:val="es-MX"/>
        </w:rPr>
        <w:t>de 5 y 19 de marzo, 4 de abril y 13 de julio de 2018; 22 de noviembre y 1</w:t>
      </w:r>
      <w:r w:rsidR="00540723">
        <w:rPr>
          <w:rFonts w:ascii="Verdana" w:hAnsi="Verdana"/>
          <w:sz w:val="20"/>
          <w:szCs w:val="20"/>
          <w:lang w:val="es-MX"/>
        </w:rPr>
        <w:t>0</w:t>
      </w:r>
      <w:r>
        <w:rPr>
          <w:rFonts w:ascii="Verdana" w:hAnsi="Verdana"/>
          <w:sz w:val="20"/>
          <w:szCs w:val="20"/>
          <w:lang w:val="es-MX"/>
        </w:rPr>
        <w:t xml:space="preserve"> de diciembre de 2018 y 15 de enero de 2019</w:t>
      </w:r>
      <w:r w:rsidR="00BD30ED">
        <w:rPr>
          <w:rFonts w:ascii="Verdana" w:hAnsi="Verdana"/>
          <w:sz w:val="20"/>
          <w:szCs w:val="20"/>
          <w:lang w:val="es-MX"/>
        </w:rPr>
        <w:t>;</w:t>
      </w:r>
      <w:r>
        <w:rPr>
          <w:rFonts w:ascii="Verdana" w:hAnsi="Verdana"/>
          <w:sz w:val="20"/>
          <w:szCs w:val="20"/>
          <w:lang w:val="es-MX"/>
        </w:rPr>
        <w:t xml:space="preserve"> </w:t>
      </w:r>
      <w:r w:rsidR="00540723">
        <w:rPr>
          <w:rFonts w:ascii="Verdana" w:hAnsi="Verdana"/>
          <w:sz w:val="20"/>
          <w:szCs w:val="20"/>
          <w:lang w:val="es-MX"/>
        </w:rPr>
        <w:t>y 5 y 21 de junio, 13 de julio, 24 de agosto, 25 de septiembre y 18 de octubre de 2018 y 21 de enero de 2019</w:t>
      </w:r>
      <w:r w:rsidR="00BD30ED">
        <w:rPr>
          <w:rFonts w:ascii="Verdana" w:hAnsi="Verdana"/>
          <w:sz w:val="20"/>
          <w:szCs w:val="20"/>
          <w:lang w:val="es-MX"/>
        </w:rPr>
        <w:t>,</w:t>
      </w:r>
      <w:r w:rsidR="00540723">
        <w:rPr>
          <w:rFonts w:ascii="Verdana" w:hAnsi="Verdana"/>
          <w:sz w:val="20"/>
          <w:szCs w:val="20"/>
          <w:lang w:val="es-MX"/>
        </w:rPr>
        <w:t xml:space="preserve"> </w:t>
      </w:r>
      <w:r>
        <w:rPr>
          <w:rFonts w:ascii="Verdana" w:hAnsi="Verdana"/>
          <w:sz w:val="20"/>
          <w:szCs w:val="20"/>
          <w:lang w:val="es-MX"/>
        </w:rPr>
        <w:t>mediante las cuales, frente a demoras en la presentación de los informes u observaciones pertinentes, se requirió su remisión, respectivamente, a</w:t>
      </w:r>
      <w:r w:rsidR="000A6417">
        <w:rPr>
          <w:rFonts w:ascii="Verdana" w:hAnsi="Verdana"/>
          <w:sz w:val="20"/>
          <w:szCs w:val="20"/>
          <w:lang w:val="es-MX"/>
        </w:rPr>
        <w:t xml:space="preserve">l Estado, a los representantes y </w:t>
      </w:r>
      <w:r>
        <w:rPr>
          <w:rFonts w:ascii="Verdana" w:hAnsi="Verdana"/>
          <w:sz w:val="20"/>
          <w:szCs w:val="20"/>
          <w:lang w:val="es-MX"/>
        </w:rPr>
        <w:t>a la Comisión</w:t>
      </w:r>
      <w:r>
        <w:rPr>
          <w:rStyle w:val="FootnoteReference"/>
          <w:rFonts w:ascii="Verdana" w:hAnsi="Verdana" w:cs="Verdana"/>
          <w:color w:val="000000"/>
          <w:sz w:val="20"/>
          <w:szCs w:val="20"/>
          <w:lang w:val="es-MX"/>
        </w:rPr>
        <w:footnoteReference w:id="2"/>
      </w:r>
      <w:r>
        <w:rPr>
          <w:rFonts w:ascii="Verdana" w:hAnsi="Verdana"/>
          <w:sz w:val="20"/>
          <w:szCs w:val="20"/>
          <w:lang w:val="es-MX"/>
        </w:rPr>
        <w:t xml:space="preserve">. </w:t>
      </w:r>
    </w:p>
    <w:p w14:paraId="0E27B00A" w14:textId="77777777" w:rsidR="006808A7" w:rsidRDefault="006808A7" w:rsidP="006808A7">
      <w:pPr>
        <w:pStyle w:val="Default"/>
        <w:tabs>
          <w:tab w:val="left" w:pos="1290"/>
        </w:tabs>
        <w:spacing w:line="20" w:lineRule="atLeast"/>
        <w:rPr>
          <w:b/>
          <w:bCs/>
          <w:sz w:val="20"/>
          <w:szCs w:val="20"/>
          <w:lang w:val="es-MX"/>
        </w:rPr>
      </w:pPr>
      <w:r>
        <w:rPr>
          <w:b/>
          <w:bCs/>
          <w:sz w:val="20"/>
          <w:szCs w:val="20"/>
          <w:lang w:val="es-MX"/>
        </w:rPr>
        <w:lastRenderedPageBreak/>
        <w:tab/>
      </w:r>
    </w:p>
    <w:p w14:paraId="605DF530" w14:textId="77777777" w:rsidR="006808A7" w:rsidRDefault="006808A7" w:rsidP="006808A7">
      <w:pPr>
        <w:pStyle w:val="Default"/>
        <w:spacing w:line="20" w:lineRule="atLeast"/>
        <w:rPr>
          <w:b/>
          <w:bCs/>
          <w:sz w:val="20"/>
          <w:szCs w:val="20"/>
          <w:lang w:val="es-MX"/>
        </w:rPr>
      </w:pPr>
      <w:r w:rsidRPr="00523CA5">
        <w:rPr>
          <w:b/>
          <w:bCs/>
          <w:sz w:val="20"/>
          <w:szCs w:val="20"/>
          <w:lang w:val="es-MX"/>
        </w:rPr>
        <w:t xml:space="preserve">CONSIDERANDO QUE: </w:t>
      </w:r>
    </w:p>
    <w:p w14:paraId="60061E4C" w14:textId="77777777" w:rsidR="006808A7" w:rsidRPr="00523CA5" w:rsidRDefault="006808A7" w:rsidP="006808A7">
      <w:pPr>
        <w:pStyle w:val="Default"/>
        <w:spacing w:line="20" w:lineRule="atLeast"/>
        <w:rPr>
          <w:sz w:val="20"/>
          <w:szCs w:val="20"/>
          <w:lang w:val="es-MX"/>
        </w:rPr>
      </w:pPr>
    </w:p>
    <w:p w14:paraId="36BCFD71" w14:textId="77777777" w:rsidR="006808A7" w:rsidRDefault="006808A7" w:rsidP="003F6743">
      <w:pPr>
        <w:pStyle w:val="Default"/>
        <w:numPr>
          <w:ilvl w:val="0"/>
          <w:numId w:val="5"/>
        </w:numPr>
        <w:tabs>
          <w:tab w:val="left" w:pos="0"/>
        </w:tabs>
        <w:spacing w:line="20" w:lineRule="atLeast"/>
        <w:ind w:left="0" w:firstLine="0"/>
        <w:jc w:val="both"/>
        <w:rPr>
          <w:sz w:val="20"/>
          <w:szCs w:val="20"/>
          <w:lang w:val="es-MX"/>
        </w:rPr>
      </w:pPr>
      <w:r w:rsidRPr="00523CA5">
        <w:rPr>
          <w:sz w:val="20"/>
          <w:szCs w:val="20"/>
          <w:lang w:val="es-MX"/>
        </w:rPr>
        <w:t xml:space="preserve"> Guatemala es Estado parte en la Convención Americana sobre Derechos Humanos (en adelante también “la Convención Americana” o “la Convención”) desde el 25 de mayo de 1978 y reconoció la competencia de la Corte el 9 de marzo de 1987. </w:t>
      </w:r>
    </w:p>
    <w:p w14:paraId="44EAFD9C" w14:textId="77777777" w:rsidR="006808A7" w:rsidRPr="003C63A7" w:rsidRDefault="006808A7" w:rsidP="006808A7">
      <w:pPr>
        <w:pStyle w:val="Default"/>
        <w:spacing w:line="20" w:lineRule="atLeast"/>
        <w:jc w:val="both"/>
        <w:rPr>
          <w:lang w:val="es-MX"/>
        </w:rPr>
      </w:pPr>
    </w:p>
    <w:p w14:paraId="54BF70DD" w14:textId="616A08F0" w:rsidR="006808A7" w:rsidRDefault="006808A7" w:rsidP="006808A7">
      <w:pPr>
        <w:pStyle w:val="Default"/>
        <w:numPr>
          <w:ilvl w:val="0"/>
          <w:numId w:val="5"/>
        </w:numPr>
        <w:tabs>
          <w:tab w:val="left" w:pos="0"/>
        </w:tabs>
        <w:spacing w:line="20" w:lineRule="atLeast"/>
        <w:ind w:left="0" w:firstLine="0"/>
        <w:jc w:val="both"/>
        <w:rPr>
          <w:sz w:val="20"/>
          <w:szCs w:val="20"/>
          <w:lang w:val="es-MX"/>
        </w:rPr>
      </w:pPr>
      <w:r w:rsidRPr="00523CA5">
        <w:rPr>
          <w:sz w:val="20"/>
          <w:szCs w:val="20"/>
          <w:lang w:val="es-MX"/>
        </w:rPr>
        <w:t>El artículo 63.2 de la Convención Americana dispone que “[e]n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 Esta disposición está a su vez regulada en el artículo 27 del Reglamento de la Corte</w:t>
      </w:r>
      <w:r>
        <w:rPr>
          <w:sz w:val="20"/>
          <w:szCs w:val="20"/>
          <w:lang w:val="es-MX"/>
        </w:rPr>
        <w:t xml:space="preserve"> (en adelante, </w:t>
      </w:r>
      <w:r w:rsidR="00540723">
        <w:rPr>
          <w:sz w:val="20"/>
          <w:szCs w:val="20"/>
          <w:lang w:val="es-MX"/>
        </w:rPr>
        <w:t xml:space="preserve">también </w:t>
      </w:r>
      <w:r>
        <w:rPr>
          <w:sz w:val="20"/>
          <w:szCs w:val="20"/>
          <w:lang w:val="es-MX"/>
        </w:rPr>
        <w:t>“el Reglamento”)</w:t>
      </w:r>
      <w:r w:rsidRPr="00523CA5">
        <w:rPr>
          <w:sz w:val="20"/>
          <w:szCs w:val="20"/>
          <w:lang w:val="es-MX"/>
        </w:rPr>
        <w:t xml:space="preserve">. </w:t>
      </w:r>
    </w:p>
    <w:p w14:paraId="4B94D5A5" w14:textId="77777777" w:rsidR="006808A7" w:rsidRDefault="006808A7" w:rsidP="006808A7">
      <w:pPr>
        <w:pStyle w:val="Default"/>
        <w:tabs>
          <w:tab w:val="left" w:pos="0"/>
        </w:tabs>
        <w:spacing w:line="20" w:lineRule="atLeast"/>
        <w:jc w:val="both"/>
        <w:rPr>
          <w:sz w:val="20"/>
          <w:szCs w:val="20"/>
          <w:lang w:val="es-MX"/>
        </w:rPr>
      </w:pPr>
    </w:p>
    <w:p w14:paraId="741462BD" w14:textId="77777777" w:rsidR="006808A7" w:rsidRPr="009E0D7B" w:rsidRDefault="006808A7" w:rsidP="00654C98">
      <w:pPr>
        <w:pStyle w:val="Default"/>
        <w:numPr>
          <w:ilvl w:val="0"/>
          <w:numId w:val="5"/>
        </w:numPr>
        <w:tabs>
          <w:tab w:val="left" w:pos="851"/>
        </w:tabs>
        <w:spacing w:line="20" w:lineRule="atLeast"/>
        <w:ind w:left="0" w:firstLine="0"/>
        <w:jc w:val="both"/>
        <w:rPr>
          <w:lang w:val="es-MX"/>
        </w:rPr>
      </w:pPr>
      <w:r w:rsidRPr="009E0D7B">
        <w:rPr>
          <w:sz w:val="20"/>
          <w:szCs w:val="20"/>
          <w:lang w:val="es-MX"/>
        </w:rPr>
        <w:t>Las medidas provisionales tienen una naturaleza temporal y carácter excepcional, y son dictadas siempre y cuando se reúnan los requisitos básicos de extrema gravedad y urgencia, y necesidad de evitar daños irreparables a las personas. Estos tres requisitos son coexistentes y deben persistir para que la Corte mantenga la protección ordenada; si uno de ellos ha dejado de tener vigencia, corresponderá al Tribunal valorar la pertinencia de su continuación</w:t>
      </w:r>
      <w:r>
        <w:rPr>
          <w:rStyle w:val="FootnoteReference"/>
          <w:sz w:val="20"/>
          <w:szCs w:val="20"/>
          <w:lang w:val="es-MX"/>
        </w:rPr>
        <w:footnoteReference w:id="3"/>
      </w:r>
      <w:r w:rsidRPr="009E0D7B">
        <w:rPr>
          <w:sz w:val="20"/>
          <w:szCs w:val="20"/>
          <w:lang w:val="es-MX"/>
        </w:rPr>
        <w:t>. Así, a efectos de decidir si se mantiene la vigencia de las medidas provisionales, el Tribunal debe analizar si persiste la situación que determinó su adopción, o bien si nuevas circunstancias igualmente graves y urgentes ameritan su mantenimiento</w:t>
      </w:r>
      <w:r>
        <w:rPr>
          <w:rStyle w:val="FootnoteReference"/>
          <w:sz w:val="20"/>
          <w:szCs w:val="20"/>
          <w:lang w:val="es-MX"/>
        </w:rPr>
        <w:footnoteReference w:id="4"/>
      </w:r>
      <w:r w:rsidRPr="009E0D7B">
        <w:rPr>
          <w:sz w:val="20"/>
          <w:szCs w:val="20"/>
          <w:lang w:val="es-MX"/>
        </w:rPr>
        <w:t xml:space="preserve">. </w:t>
      </w:r>
    </w:p>
    <w:p w14:paraId="3DEEC669" w14:textId="77777777" w:rsidR="006808A7" w:rsidRDefault="006808A7" w:rsidP="006808A7">
      <w:pPr>
        <w:pStyle w:val="ListParagraph"/>
        <w:spacing w:after="0" w:line="20" w:lineRule="atLeast"/>
        <w:rPr>
          <w:sz w:val="20"/>
          <w:szCs w:val="20"/>
          <w:lang w:val="es-MX"/>
        </w:rPr>
      </w:pPr>
    </w:p>
    <w:p w14:paraId="4CFF24A0" w14:textId="5D63BEF5" w:rsidR="006808A7" w:rsidRPr="00C17A3C" w:rsidRDefault="006808A7" w:rsidP="006808A7">
      <w:pPr>
        <w:pStyle w:val="Default"/>
        <w:numPr>
          <w:ilvl w:val="0"/>
          <w:numId w:val="5"/>
        </w:numPr>
        <w:spacing w:line="20" w:lineRule="atLeast"/>
        <w:ind w:left="0" w:firstLine="0"/>
        <w:jc w:val="both"/>
        <w:rPr>
          <w:sz w:val="20"/>
          <w:szCs w:val="20"/>
          <w:lang w:val="es-MX"/>
        </w:rPr>
      </w:pPr>
      <w:r>
        <w:rPr>
          <w:sz w:val="20"/>
          <w:szCs w:val="20"/>
          <w:lang w:val="es-MX"/>
        </w:rPr>
        <w:t xml:space="preserve">La Corte, con base en las pautas expuestas, debe analizar la procedencia del mantenimiento o el levantamiento de las medidas ordenas. Ello se hace seguidamente, examinándose, en primer término, la información </w:t>
      </w:r>
      <w:r w:rsidR="00540723">
        <w:rPr>
          <w:sz w:val="20"/>
          <w:szCs w:val="20"/>
          <w:lang w:val="es-MX"/>
        </w:rPr>
        <w:t xml:space="preserve">y observaciones </w:t>
      </w:r>
      <w:r>
        <w:rPr>
          <w:sz w:val="20"/>
          <w:szCs w:val="20"/>
          <w:lang w:val="es-MX"/>
        </w:rPr>
        <w:t>proporcionada</w:t>
      </w:r>
      <w:r w:rsidR="00540723">
        <w:rPr>
          <w:sz w:val="20"/>
          <w:szCs w:val="20"/>
          <w:lang w:val="es-MX"/>
        </w:rPr>
        <w:t>s</w:t>
      </w:r>
      <w:r>
        <w:rPr>
          <w:sz w:val="20"/>
          <w:szCs w:val="20"/>
          <w:lang w:val="es-MX"/>
        </w:rPr>
        <w:t xml:space="preserve"> por las partes</w:t>
      </w:r>
      <w:r w:rsidR="00540723">
        <w:rPr>
          <w:sz w:val="20"/>
          <w:szCs w:val="20"/>
          <w:lang w:val="es-MX"/>
        </w:rPr>
        <w:t xml:space="preserve"> y la Comisión</w:t>
      </w:r>
      <w:r>
        <w:rPr>
          <w:sz w:val="20"/>
          <w:szCs w:val="20"/>
          <w:lang w:val="es-MX"/>
        </w:rPr>
        <w:t xml:space="preserve"> y, en segundo lugar, las consideraciones de la Corte</w:t>
      </w:r>
      <w:r w:rsidRPr="00C17A3C">
        <w:rPr>
          <w:sz w:val="20"/>
          <w:szCs w:val="20"/>
          <w:lang w:val="es-MX"/>
        </w:rPr>
        <w:t xml:space="preserve">.  </w:t>
      </w:r>
    </w:p>
    <w:p w14:paraId="3656B9AB" w14:textId="77777777" w:rsidR="006808A7" w:rsidRPr="003F6743" w:rsidRDefault="006808A7" w:rsidP="006808A7">
      <w:pPr>
        <w:pStyle w:val="Default"/>
        <w:spacing w:line="20" w:lineRule="atLeast"/>
        <w:jc w:val="both"/>
        <w:rPr>
          <w:i/>
          <w:strike/>
          <w:sz w:val="20"/>
          <w:szCs w:val="20"/>
          <w:lang w:val="es-MX"/>
        </w:rPr>
      </w:pPr>
    </w:p>
    <w:p w14:paraId="3E7211B3" w14:textId="3B34A0B4" w:rsidR="003F6743" w:rsidRPr="000A6417" w:rsidRDefault="003F6743" w:rsidP="003F6743">
      <w:pPr>
        <w:pStyle w:val="Default"/>
        <w:numPr>
          <w:ilvl w:val="0"/>
          <w:numId w:val="3"/>
        </w:numPr>
        <w:spacing w:line="20" w:lineRule="atLeast"/>
        <w:jc w:val="both"/>
        <w:rPr>
          <w:b/>
          <w:i/>
          <w:sz w:val="20"/>
          <w:szCs w:val="20"/>
          <w:lang w:val="es-MX"/>
        </w:rPr>
      </w:pPr>
      <w:r w:rsidRPr="000A6417">
        <w:rPr>
          <w:b/>
          <w:i/>
          <w:sz w:val="20"/>
          <w:szCs w:val="20"/>
          <w:lang w:val="es-MX"/>
        </w:rPr>
        <w:t>Información y observaciones presentadas por las partes y la Comisión</w:t>
      </w:r>
    </w:p>
    <w:p w14:paraId="049F31CB" w14:textId="77777777" w:rsidR="003F6743" w:rsidRPr="00C17A3C" w:rsidRDefault="003F6743" w:rsidP="006808A7">
      <w:pPr>
        <w:pStyle w:val="Default"/>
        <w:spacing w:line="20" w:lineRule="atLeast"/>
        <w:ind w:left="720"/>
        <w:jc w:val="both"/>
        <w:rPr>
          <w:b/>
          <w:sz w:val="20"/>
          <w:szCs w:val="20"/>
          <w:lang w:val="es-MX"/>
        </w:rPr>
      </w:pPr>
    </w:p>
    <w:p w14:paraId="664C116C" w14:textId="77777777" w:rsidR="006808A7" w:rsidRPr="00090B14" w:rsidRDefault="006808A7" w:rsidP="006808A7">
      <w:pPr>
        <w:pStyle w:val="Default"/>
        <w:numPr>
          <w:ilvl w:val="0"/>
          <w:numId w:val="5"/>
        </w:numPr>
        <w:spacing w:line="20" w:lineRule="atLeast"/>
        <w:ind w:left="0" w:firstLine="0"/>
        <w:jc w:val="both"/>
        <w:rPr>
          <w:sz w:val="20"/>
          <w:szCs w:val="20"/>
          <w:lang w:val="es-MX"/>
        </w:rPr>
      </w:pPr>
      <w:r w:rsidRPr="00C17A3C">
        <w:rPr>
          <w:sz w:val="20"/>
          <w:szCs w:val="20"/>
          <w:lang w:val="es-MX"/>
        </w:rPr>
        <w:t xml:space="preserve">El </w:t>
      </w:r>
      <w:r w:rsidRPr="00C17A3C">
        <w:rPr>
          <w:b/>
          <w:i/>
          <w:sz w:val="20"/>
          <w:szCs w:val="20"/>
          <w:lang w:val="es-MX"/>
        </w:rPr>
        <w:t>Estado</w:t>
      </w:r>
      <w:r>
        <w:rPr>
          <w:sz w:val="20"/>
          <w:szCs w:val="20"/>
          <w:lang w:val="es-MX"/>
        </w:rPr>
        <w:t xml:space="preserve"> informó, en primer lugar, que entre los días 7 y 11 de febrero de 2018 realizó acciones para brindar seguridad a las personas beneficiarias en su traslado de ida y regreso entre Guatemala y Costa Rica, a efectos de participar en la audiencia pública sobre el caso, que tuvo lugar el 9 de febrero de 2018 en la sede de la Corte, en San José de Costa Rica</w:t>
      </w:r>
      <w:r>
        <w:rPr>
          <w:rStyle w:val="FootnoteReference"/>
          <w:sz w:val="20"/>
          <w:szCs w:val="20"/>
          <w:lang w:val="es-MX"/>
        </w:rPr>
        <w:footnoteReference w:id="5"/>
      </w:r>
      <w:r>
        <w:rPr>
          <w:sz w:val="20"/>
          <w:szCs w:val="20"/>
          <w:lang w:val="es-MX"/>
        </w:rPr>
        <w:t xml:space="preserve">. </w:t>
      </w:r>
    </w:p>
    <w:p w14:paraId="53128261" w14:textId="77777777" w:rsidR="006808A7" w:rsidRPr="00090B14" w:rsidRDefault="006808A7" w:rsidP="006808A7">
      <w:pPr>
        <w:pStyle w:val="Default"/>
        <w:spacing w:line="20" w:lineRule="atLeast"/>
        <w:jc w:val="both"/>
        <w:rPr>
          <w:sz w:val="20"/>
          <w:szCs w:val="20"/>
          <w:lang w:val="es-MX"/>
        </w:rPr>
      </w:pPr>
    </w:p>
    <w:p w14:paraId="647F70C3" w14:textId="06092511" w:rsidR="006808A7" w:rsidRPr="00374336" w:rsidRDefault="006808A7" w:rsidP="006808A7">
      <w:pPr>
        <w:pStyle w:val="Default"/>
        <w:numPr>
          <w:ilvl w:val="0"/>
          <w:numId w:val="5"/>
        </w:numPr>
        <w:spacing w:line="20" w:lineRule="atLeast"/>
        <w:ind w:left="0" w:firstLine="0"/>
        <w:jc w:val="both"/>
        <w:rPr>
          <w:sz w:val="16"/>
          <w:szCs w:val="16"/>
          <w:lang w:val="es-MX"/>
        </w:rPr>
      </w:pPr>
      <w:r>
        <w:rPr>
          <w:sz w:val="20"/>
          <w:szCs w:val="20"/>
          <w:lang w:val="es-MX"/>
        </w:rPr>
        <w:t xml:space="preserve">Además Guatemala informó que el 12 de marzo </w:t>
      </w:r>
      <w:r w:rsidRPr="003A71BB">
        <w:rPr>
          <w:sz w:val="20"/>
          <w:szCs w:val="20"/>
          <w:lang w:val="es-MX"/>
        </w:rPr>
        <w:t>y el 24 de agosto de 2018</w:t>
      </w:r>
      <w:r>
        <w:rPr>
          <w:b/>
          <w:sz w:val="20"/>
          <w:szCs w:val="20"/>
          <w:lang w:val="es-MX"/>
        </w:rPr>
        <w:t xml:space="preserve"> </w:t>
      </w:r>
      <w:r>
        <w:rPr>
          <w:sz w:val="20"/>
          <w:szCs w:val="20"/>
          <w:lang w:val="es-MX"/>
        </w:rPr>
        <w:t>autoridades estatales mantuvieron reuniones con personas beneficiarias. En la primera reunión, conforme señaló el Estado, se acordó realizar un “análisis de riesgo” a las cinco personas beneficiarias y un “estudio situacional” en la Comunidad Aurora 8 de Octubre y en las instalaciones del Grupo de Apoyo Mutuo (GAM)</w:t>
      </w:r>
      <w:r>
        <w:rPr>
          <w:rStyle w:val="FootnoteReference"/>
          <w:sz w:val="20"/>
          <w:szCs w:val="20"/>
          <w:lang w:val="es-MX"/>
        </w:rPr>
        <w:footnoteReference w:id="6"/>
      </w:r>
      <w:r>
        <w:rPr>
          <w:sz w:val="20"/>
          <w:szCs w:val="20"/>
          <w:lang w:val="es-MX"/>
        </w:rPr>
        <w:t xml:space="preserve">. Aseveró también Guatemala </w:t>
      </w:r>
      <w:r w:rsidRPr="00374336">
        <w:rPr>
          <w:sz w:val="20"/>
          <w:szCs w:val="20"/>
          <w:lang w:val="es-MX"/>
        </w:rPr>
        <w:t xml:space="preserve">que dicho análisis </w:t>
      </w:r>
      <w:r w:rsidR="00F959C7">
        <w:rPr>
          <w:sz w:val="20"/>
          <w:szCs w:val="20"/>
          <w:lang w:val="es-MX"/>
        </w:rPr>
        <w:t xml:space="preserve">de riesgo </w:t>
      </w:r>
      <w:r w:rsidRPr="00374336">
        <w:rPr>
          <w:sz w:val="20"/>
          <w:szCs w:val="20"/>
          <w:lang w:val="es-MX"/>
        </w:rPr>
        <w:t xml:space="preserve">se realizó el 22 del mismo mes </w:t>
      </w:r>
      <w:r w:rsidR="00F959C7">
        <w:rPr>
          <w:sz w:val="20"/>
          <w:szCs w:val="20"/>
          <w:lang w:val="es-MX"/>
        </w:rPr>
        <w:t xml:space="preserve">de marzo </w:t>
      </w:r>
      <w:r w:rsidRPr="00374336">
        <w:rPr>
          <w:sz w:val="20"/>
          <w:szCs w:val="20"/>
          <w:lang w:val="es-MX"/>
        </w:rPr>
        <w:t>y que el 6 de abril de 2018 se efectuó un “estudio de seguridad” a las instalaciones del GAM</w:t>
      </w:r>
      <w:r>
        <w:rPr>
          <w:sz w:val="16"/>
          <w:szCs w:val="16"/>
          <w:lang w:val="es-MX"/>
        </w:rPr>
        <w:t>.</w:t>
      </w:r>
      <w:r>
        <w:rPr>
          <w:b/>
          <w:sz w:val="16"/>
          <w:szCs w:val="16"/>
          <w:lang w:val="es-MX"/>
        </w:rPr>
        <w:t xml:space="preserve"> </w:t>
      </w:r>
      <w:r>
        <w:rPr>
          <w:sz w:val="20"/>
          <w:szCs w:val="20"/>
          <w:lang w:val="es-MX"/>
        </w:rPr>
        <w:t xml:space="preserve">El Estado indicó que en ambos casos se determinó un “nivel de riesgo medio” y se recomendó “seguridad perimetral”. </w:t>
      </w:r>
      <w:r w:rsidRPr="004F0A30">
        <w:rPr>
          <w:sz w:val="20"/>
          <w:szCs w:val="20"/>
          <w:lang w:val="es-MX"/>
        </w:rPr>
        <w:t xml:space="preserve">En cuanto a la segunda reunión, el Estado comunicó que se acordó que </w:t>
      </w:r>
      <w:r w:rsidR="00F959C7" w:rsidRPr="00F959C7">
        <w:rPr>
          <w:sz w:val="20"/>
          <w:szCs w:val="20"/>
          <w:lang w:val="es-MX"/>
        </w:rPr>
        <w:t>l</w:t>
      </w:r>
      <w:r w:rsidR="00F959C7" w:rsidRPr="00F959C7">
        <w:rPr>
          <w:sz w:val="20"/>
          <w:szCs w:val="20"/>
          <w:lang w:val="es-CR"/>
        </w:rPr>
        <w:t>a Comisión Presidencial Coordinadora de la Política del Ejecutivo en materia de Derechos Humanos</w:t>
      </w:r>
      <w:r w:rsidR="00F959C7" w:rsidRPr="00F959C7">
        <w:rPr>
          <w:sz w:val="20"/>
          <w:szCs w:val="20"/>
          <w:lang w:val="es-MX"/>
        </w:rPr>
        <w:t xml:space="preserve"> </w:t>
      </w:r>
      <w:r w:rsidR="00F959C7">
        <w:rPr>
          <w:sz w:val="20"/>
          <w:szCs w:val="20"/>
          <w:lang w:val="es-MX"/>
        </w:rPr>
        <w:t>(</w:t>
      </w:r>
      <w:r w:rsidRPr="004F0A30">
        <w:rPr>
          <w:sz w:val="20"/>
          <w:szCs w:val="20"/>
          <w:lang w:val="es-MX"/>
        </w:rPr>
        <w:t>COPREDEH</w:t>
      </w:r>
      <w:r w:rsidR="00F959C7">
        <w:rPr>
          <w:sz w:val="20"/>
          <w:szCs w:val="20"/>
          <w:lang w:val="es-MX"/>
        </w:rPr>
        <w:t>)</w:t>
      </w:r>
      <w:r w:rsidRPr="004F0A30">
        <w:rPr>
          <w:sz w:val="20"/>
          <w:szCs w:val="20"/>
          <w:lang w:val="es-MX"/>
        </w:rPr>
        <w:t xml:space="preserve"> “realizaría las coordinaciones con el Ministerio de Gobernación para que se presenten las medidas de protección de manera adecuada”</w:t>
      </w:r>
      <w:r>
        <w:rPr>
          <w:sz w:val="20"/>
          <w:szCs w:val="20"/>
          <w:lang w:val="es-MX"/>
        </w:rPr>
        <w:t xml:space="preserve">. </w:t>
      </w:r>
    </w:p>
    <w:p w14:paraId="62486C05" w14:textId="77777777" w:rsidR="006808A7" w:rsidRPr="002865FE" w:rsidRDefault="006808A7" w:rsidP="006808A7">
      <w:pPr>
        <w:pStyle w:val="Default"/>
        <w:spacing w:line="20" w:lineRule="atLeast"/>
        <w:jc w:val="both"/>
        <w:rPr>
          <w:sz w:val="16"/>
          <w:szCs w:val="16"/>
          <w:lang w:val="es-MX"/>
        </w:rPr>
      </w:pPr>
    </w:p>
    <w:p w14:paraId="41A0D7E0" w14:textId="515F4B14" w:rsidR="006808A7" w:rsidRPr="00374336" w:rsidRDefault="006808A7" w:rsidP="006808A7">
      <w:pPr>
        <w:pStyle w:val="Default"/>
        <w:numPr>
          <w:ilvl w:val="0"/>
          <w:numId w:val="5"/>
        </w:numPr>
        <w:spacing w:line="20" w:lineRule="atLeast"/>
        <w:ind w:left="0" w:firstLine="0"/>
        <w:jc w:val="both"/>
        <w:rPr>
          <w:sz w:val="20"/>
          <w:szCs w:val="20"/>
          <w:lang w:val="es-MX"/>
        </w:rPr>
      </w:pPr>
      <w:r w:rsidRPr="00374336">
        <w:rPr>
          <w:sz w:val="20"/>
          <w:szCs w:val="20"/>
          <w:lang w:val="es-MX"/>
        </w:rPr>
        <w:t>El Estado expresó que después del 22 de marzo de 2018: a) se proporcionó a cada una de las personas beneficiarias números telefónicos de dependencias policiales, para que se comuniquen en caso de requerir apoyo policial; b) se implementa</w:t>
      </w:r>
      <w:r w:rsidRPr="00F959C7">
        <w:rPr>
          <w:sz w:val="20"/>
          <w:szCs w:val="20"/>
          <w:lang w:val="es-MX"/>
        </w:rPr>
        <w:t>r</w:t>
      </w:r>
      <w:r w:rsidR="009D61F9" w:rsidRPr="00F959C7">
        <w:rPr>
          <w:sz w:val="20"/>
          <w:szCs w:val="20"/>
          <w:lang w:val="es-MX"/>
        </w:rPr>
        <w:t>ían</w:t>
      </w:r>
      <w:r w:rsidRPr="00374336">
        <w:rPr>
          <w:sz w:val="20"/>
          <w:szCs w:val="20"/>
          <w:lang w:val="es-MX"/>
        </w:rPr>
        <w:t xml:space="preserve"> recorridos policiales circundando los domicilios de </w:t>
      </w:r>
      <w:proofErr w:type="spellStart"/>
      <w:r w:rsidRPr="00374336">
        <w:rPr>
          <w:sz w:val="20"/>
          <w:szCs w:val="20"/>
          <w:lang w:val="es-MX"/>
        </w:rPr>
        <w:t>Maynor</w:t>
      </w:r>
      <w:proofErr w:type="spellEnd"/>
      <w:r w:rsidRPr="00374336">
        <w:rPr>
          <w:sz w:val="20"/>
          <w:szCs w:val="20"/>
          <w:lang w:val="es-MX"/>
        </w:rPr>
        <w:t xml:space="preserve"> Estuardo Alvarado Galeano</w:t>
      </w:r>
      <w:r w:rsidR="009D61F9">
        <w:rPr>
          <w:sz w:val="20"/>
          <w:szCs w:val="20"/>
          <w:lang w:val="es-MX"/>
        </w:rPr>
        <w:t xml:space="preserve"> </w:t>
      </w:r>
      <w:r w:rsidR="009D61F9" w:rsidRPr="00F959C7">
        <w:rPr>
          <w:sz w:val="20"/>
          <w:szCs w:val="20"/>
          <w:lang w:val="es-MX"/>
        </w:rPr>
        <w:t>y</w:t>
      </w:r>
      <w:r w:rsidRPr="00F959C7">
        <w:rPr>
          <w:sz w:val="20"/>
          <w:szCs w:val="20"/>
          <w:lang w:val="es-MX"/>
        </w:rPr>
        <w:t xml:space="preserve"> </w:t>
      </w:r>
      <w:r w:rsidRPr="00374336">
        <w:rPr>
          <w:sz w:val="20"/>
          <w:szCs w:val="20"/>
          <w:lang w:val="es-MX"/>
        </w:rPr>
        <w:t>Karla Lo</w:t>
      </w:r>
      <w:r w:rsidR="00F959C7">
        <w:rPr>
          <w:sz w:val="20"/>
          <w:szCs w:val="20"/>
          <w:lang w:val="es-MX"/>
        </w:rPr>
        <w:t>rena Campos Flores, y c) comenzaron</w:t>
      </w:r>
      <w:r w:rsidRPr="00374336">
        <w:rPr>
          <w:sz w:val="20"/>
          <w:szCs w:val="20"/>
          <w:lang w:val="es-MX"/>
        </w:rPr>
        <w:t xml:space="preserve"> a efectuarse patrullajes dos veces al día en la Comunidad Aurora 8 de Octubre.</w:t>
      </w:r>
    </w:p>
    <w:p w14:paraId="4101652C" w14:textId="77777777" w:rsidR="006808A7" w:rsidRPr="002865FE" w:rsidRDefault="006808A7" w:rsidP="006808A7">
      <w:pPr>
        <w:pStyle w:val="Default"/>
        <w:spacing w:line="20" w:lineRule="atLeast"/>
        <w:jc w:val="both"/>
        <w:rPr>
          <w:sz w:val="20"/>
          <w:szCs w:val="20"/>
          <w:lang w:val="es-MX"/>
        </w:rPr>
      </w:pPr>
    </w:p>
    <w:p w14:paraId="381A296F" w14:textId="5A587121" w:rsidR="006808A7" w:rsidRPr="008B44DA" w:rsidRDefault="006808A7" w:rsidP="006808A7">
      <w:pPr>
        <w:pStyle w:val="Default"/>
        <w:numPr>
          <w:ilvl w:val="0"/>
          <w:numId w:val="5"/>
        </w:numPr>
        <w:spacing w:line="20" w:lineRule="atLeast"/>
        <w:ind w:left="0" w:firstLine="0"/>
        <w:jc w:val="both"/>
        <w:rPr>
          <w:sz w:val="20"/>
          <w:szCs w:val="20"/>
          <w:lang w:val="es-MX"/>
        </w:rPr>
      </w:pPr>
      <w:r>
        <w:rPr>
          <w:sz w:val="20"/>
          <w:szCs w:val="20"/>
          <w:lang w:val="es-MX"/>
        </w:rPr>
        <w:t xml:space="preserve">Los </w:t>
      </w:r>
      <w:r w:rsidRPr="008053BF">
        <w:rPr>
          <w:b/>
          <w:i/>
          <w:sz w:val="20"/>
          <w:szCs w:val="20"/>
          <w:lang w:val="es-MX"/>
        </w:rPr>
        <w:t>representantes</w:t>
      </w:r>
      <w:r>
        <w:rPr>
          <w:sz w:val="20"/>
          <w:szCs w:val="20"/>
          <w:lang w:val="es-MX"/>
        </w:rPr>
        <w:t xml:space="preserve"> confirmaron la información estatal respecto a que Guatemala “brindó apoyo”, en febrero de 2018, para el traslado de “personas que viven en la [C]</w:t>
      </w:r>
      <w:proofErr w:type="spellStart"/>
      <w:r>
        <w:rPr>
          <w:sz w:val="20"/>
          <w:szCs w:val="20"/>
          <w:lang w:val="es-MX"/>
        </w:rPr>
        <w:t>omunidad</w:t>
      </w:r>
      <w:proofErr w:type="spellEnd"/>
      <w:r>
        <w:rPr>
          <w:sz w:val="20"/>
          <w:szCs w:val="20"/>
          <w:lang w:val="es-MX"/>
        </w:rPr>
        <w:t xml:space="preserve"> [Aurora 8 de Octubre]”.</w:t>
      </w:r>
    </w:p>
    <w:p w14:paraId="4B99056E" w14:textId="77777777" w:rsidR="006808A7" w:rsidRDefault="006808A7" w:rsidP="006808A7">
      <w:pPr>
        <w:pStyle w:val="Default"/>
        <w:spacing w:line="20" w:lineRule="atLeast"/>
        <w:jc w:val="both"/>
        <w:rPr>
          <w:sz w:val="20"/>
          <w:szCs w:val="20"/>
          <w:lang w:val="es-MX"/>
        </w:rPr>
      </w:pPr>
    </w:p>
    <w:p w14:paraId="6F8DB457" w14:textId="0550BA9E" w:rsidR="006808A7" w:rsidRDefault="006808A7" w:rsidP="006808A7">
      <w:pPr>
        <w:pStyle w:val="Default"/>
        <w:numPr>
          <w:ilvl w:val="0"/>
          <w:numId w:val="5"/>
        </w:numPr>
        <w:spacing w:line="20" w:lineRule="atLeast"/>
        <w:ind w:left="0" w:firstLine="0"/>
        <w:jc w:val="both"/>
        <w:rPr>
          <w:sz w:val="20"/>
          <w:szCs w:val="20"/>
          <w:lang w:val="es-MX"/>
        </w:rPr>
      </w:pPr>
      <w:r w:rsidRPr="00FE77E9">
        <w:rPr>
          <w:sz w:val="20"/>
          <w:szCs w:val="20"/>
          <w:lang w:val="es-MX"/>
        </w:rPr>
        <w:t>Expresaron también que los días 15 de febrero y 5 de marzo de 2018 solicitaron por escrito una reunión con autoridades estatales y, al igual que el Estado, que el 12 de marzo</w:t>
      </w:r>
      <w:r w:rsidR="00ED6160">
        <w:rPr>
          <w:sz w:val="20"/>
          <w:szCs w:val="20"/>
          <w:lang w:val="es-MX"/>
        </w:rPr>
        <w:t xml:space="preserve"> siguiente</w:t>
      </w:r>
      <w:r w:rsidRPr="00FE77E9">
        <w:rPr>
          <w:sz w:val="20"/>
          <w:szCs w:val="20"/>
          <w:lang w:val="es-MX"/>
        </w:rPr>
        <w:t xml:space="preserve"> se realizó la misma. Manifestaron que en ella agentes estales señalaron que las instrucciones de la P</w:t>
      </w:r>
      <w:r w:rsidR="00093D09">
        <w:rPr>
          <w:sz w:val="20"/>
          <w:szCs w:val="20"/>
          <w:lang w:val="es-MX"/>
        </w:rPr>
        <w:t xml:space="preserve">olicía </w:t>
      </w:r>
      <w:r w:rsidRPr="00FE77E9">
        <w:rPr>
          <w:sz w:val="20"/>
          <w:szCs w:val="20"/>
          <w:lang w:val="es-MX"/>
        </w:rPr>
        <w:t>N</w:t>
      </w:r>
      <w:r w:rsidR="00093D09">
        <w:rPr>
          <w:sz w:val="20"/>
          <w:szCs w:val="20"/>
          <w:lang w:val="es-MX"/>
        </w:rPr>
        <w:t xml:space="preserve">acional </w:t>
      </w:r>
      <w:r w:rsidRPr="00FE77E9">
        <w:rPr>
          <w:sz w:val="20"/>
          <w:szCs w:val="20"/>
          <w:lang w:val="es-MX"/>
        </w:rPr>
        <w:t>C</w:t>
      </w:r>
      <w:r w:rsidR="00093D09">
        <w:rPr>
          <w:sz w:val="20"/>
          <w:szCs w:val="20"/>
          <w:lang w:val="es-MX"/>
        </w:rPr>
        <w:t>ivil</w:t>
      </w:r>
      <w:r w:rsidRPr="00FE77E9">
        <w:rPr>
          <w:sz w:val="20"/>
          <w:szCs w:val="20"/>
          <w:lang w:val="es-MX"/>
        </w:rPr>
        <w:t xml:space="preserve"> eran efectuar un análisis de riesgo, “pero que no estaban facultados para tomar ninguna acción en materia de seguridad”</w:t>
      </w:r>
      <w:r>
        <w:rPr>
          <w:sz w:val="20"/>
          <w:szCs w:val="20"/>
          <w:lang w:val="es-MX"/>
        </w:rPr>
        <w:t xml:space="preserve">. Por otra parte, confirmaron que se realizó el “estudio situacional” señalado por el Estado. </w:t>
      </w:r>
    </w:p>
    <w:p w14:paraId="1299C43A" w14:textId="77777777" w:rsidR="006808A7" w:rsidRDefault="006808A7" w:rsidP="006808A7">
      <w:pPr>
        <w:pStyle w:val="ListParagraph"/>
        <w:spacing w:after="0" w:line="20" w:lineRule="atLeast"/>
        <w:rPr>
          <w:sz w:val="20"/>
          <w:szCs w:val="20"/>
          <w:lang w:val="es-MX"/>
        </w:rPr>
      </w:pPr>
    </w:p>
    <w:p w14:paraId="6EEB6A34" w14:textId="538AD329" w:rsidR="000A6417" w:rsidRDefault="00ED6160" w:rsidP="00093D09">
      <w:pPr>
        <w:pStyle w:val="Default"/>
        <w:numPr>
          <w:ilvl w:val="0"/>
          <w:numId w:val="5"/>
        </w:numPr>
        <w:spacing w:line="20" w:lineRule="atLeast"/>
        <w:ind w:left="0" w:firstLine="0"/>
        <w:jc w:val="both"/>
        <w:rPr>
          <w:sz w:val="20"/>
          <w:szCs w:val="20"/>
          <w:lang w:val="es-MX"/>
        </w:rPr>
      </w:pPr>
      <w:r>
        <w:rPr>
          <w:sz w:val="20"/>
          <w:szCs w:val="20"/>
          <w:lang w:val="es-MX"/>
        </w:rPr>
        <w:t>L</w:t>
      </w:r>
      <w:r w:rsidR="006808A7" w:rsidRPr="008B44DA">
        <w:rPr>
          <w:sz w:val="20"/>
          <w:szCs w:val="20"/>
          <w:lang w:val="es-MX"/>
        </w:rPr>
        <w:t xml:space="preserve">os representantes: a) el 9 de mayo de 2018 destacaron que </w:t>
      </w:r>
      <w:r w:rsidR="00093D09">
        <w:rPr>
          <w:sz w:val="20"/>
          <w:szCs w:val="20"/>
          <w:lang w:val="es-MX"/>
        </w:rPr>
        <w:t>“hasta e[se] momento</w:t>
      </w:r>
      <w:r w:rsidR="006808A7" w:rsidRPr="008B44DA">
        <w:rPr>
          <w:sz w:val="20"/>
          <w:szCs w:val="20"/>
          <w:lang w:val="es-MX"/>
        </w:rPr>
        <w:t xml:space="preserve"> no se ha</w:t>
      </w:r>
      <w:r w:rsidR="00093D09">
        <w:rPr>
          <w:sz w:val="20"/>
          <w:szCs w:val="20"/>
          <w:lang w:val="es-MX"/>
        </w:rPr>
        <w:t>[</w:t>
      </w:r>
      <w:proofErr w:type="spellStart"/>
      <w:r w:rsidR="006808A7" w:rsidRPr="008B44DA">
        <w:rPr>
          <w:sz w:val="20"/>
          <w:szCs w:val="20"/>
          <w:lang w:val="es-MX"/>
        </w:rPr>
        <w:t>bía</w:t>
      </w:r>
      <w:proofErr w:type="spellEnd"/>
      <w:r w:rsidR="00093D09">
        <w:rPr>
          <w:sz w:val="20"/>
          <w:szCs w:val="20"/>
          <w:lang w:val="es-MX"/>
        </w:rPr>
        <w:t>]</w:t>
      </w:r>
      <w:r w:rsidR="006808A7" w:rsidRPr="008B44DA">
        <w:rPr>
          <w:sz w:val="20"/>
          <w:szCs w:val="20"/>
          <w:lang w:val="es-MX"/>
        </w:rPr>
        <w:t xml:space="preserve"> </w:t>
      </w:r>
      <w:r w:rsidR="00093D09">
        <w:rPr>
          <w:sz w:val="20"/>
          <w:szCs w:val="20"/>
          <w:lang w:val="es-MX"/>
        </w:rPr>
        <w:t>realizado ninguna acción” para garantizar la seguridad e integridad física de las personas beneficiarias</w:t>
      </w:r>
      <w:r w:rsidR="006808A7" w:rsidRPr="008B44DA">
        <w:rPr>
          <w:sz w:val="20"/>
          <w:szCs w:val="20"/>
          <w:lang w:val="es-MX"/>
        </w:rPr>
        <w:t>, a excepción de</w:t>
      </w:r>
      <w:r w:rsidR="006808A7">
        <w:rPr>
          <w:sz w:val="20"/>
          <w:szCs w:val="20"/>
          <w:lang w:val="es-MX"/>
        </w:rPr>
        <w:t>l</w:t>
      </w:r>
      <w:r w:rsidR="006808A7" w:rsidRPr="008B44DA">
        <w:rPr>
          <w:sz w:val="20"/>
          <w:szCs w:val="20"/>
          <w:lang w:val="es-MX"/>
        </w:rPr>
        <w:t xml:space="preserve"> “apoyo” para el traslado </w:t>
      </w:r>
      <w:r w:rsidR="006808A7">
        <w:rPr>
          <w:sz w:val="20"/>
          <w:szCs w:val="20"/>
          <w:lang w:val="es-MX"/>
        </w:rPr>
        <w:t>en febrero de 2018;</w:t>
      </w:r>
      <w:r w:rsidR="006808A7" w:rsidRPr="008B44DA">
        <w:rPr>
          <w:sz w:val="20"/>
          <w:szCs w:val="20"/>
          <w:lang w:val="es-MX"/>
        </w:rPr>
        <w:t xml:space="preserve"> b) el 23 de agosto de 2018 manifestaron que: i.- “no </w:t>
      </w:r>
      <w:r w:rsidR="006808A7" w:rsidRPr="008B44DA">
        <w:rPr>
          <w:rFonts w:cs="Gotham"/>
          <w:sz w:val="20"/>
          <w:szCs w:val="20"/>
          <w:lang w:val="es-CR"/>
        </w:rPr>
        <w:t>se ha[</w:t>
      </w:r>
      <w:proofErr w:type="spellStart"/>
      <w:r w:rsidR="006808A7" w:rsidRPr="008B44DA">
        <w:rPr>
          <w:rFonts w:cs="Gotham"/>
          <w:sz w:val="20"/>
          <w:szCs w:val="20"/>
          <w:lang w:val="es-CR"/>
        </w:rPr>
        <w:t>bía</w:t>
      </w:r>
      <w:proofErr w:type="spellEnd"/>
      <w:r w:rsidR="006808A7" w:rsidRPr="008B44DA">
        <w:rPr>
          <w:rFonts w:cs="Gotham"/>
          <w:sz w:val="20"/>
          <w:szCs w:val="20"/>
          <w:lang w:val="es-CR"/>
        </w:rPr>
        <w:t xml:space="preserve">] implementado ninguna medida de seguridad, ni para las personas de la </w:t>
      </w:r>
      <w:r w:rsidR="00093D09">
        <w:rPr>
          <w:rFonts w:cs="Gotham"/>
          <w:sz w:val="20"/>
          <w:szCs w:val="20"/>
          <w:lang w:val="es-CR"/>
        </w:rPr>
        <w:t>[C]</w:t>
      </w:r>
      <w:proofErr w:type="spellStart"/>
      <w:r w:rsidR="006808A7" w:rsidRPr="008B44DA">
        <w:rPr>
          <w:rFonts w:cs="Gotham"/>
          <w:sz w:val="20"/>
          <w:szCs w:val="20"/>
          <w:lang w:val="es-CR"/>
        </w:rPr>
        <w:t>omunidad</w:t>
      </w:r>
      <w:proofErr w:type="spellEnd"/>
      <w:r w:rsidR="006808A7" w:rsidRPr="008B44DA">
        <w:rPr>
          <w:rFonts w:cs="Gotham"/>
          <w:sz w:val="20"/>
          <w:szCs w:val="20"/>
          <w:lang w:val="es-CR"/>
        </w:rPr>
        <w:t xml:space="preserve"> </w:t>
      </w:r>
      <w:r w:rsidR="00093D09">
        <w:rPr>
          <w:rFonts w:cs="Gotham"/>
          <w:sz w:val="20"/>
          <w:szCs w:val="20"/>
          <w:lang w:val="es-CR"/>
        </w:rPr>
        <w:t xml:space="preserve">[Aurora 8 de Octubre] </w:t>
      </w:r>
      <w:r w:rsidR="006808A7" w:rsidRPr="008B44DA">
        <w:rPr>
          <w:rFonts w:cs="Gotham"/>
          <w:sz w:val="20"/>
          <w:szCs w:val="20"/>
          <w:lang w:val="es-CR"/>
        </w:rPr>
        <w:t xml:space="preserve">ni para los abogados encargados del caso”, y que ii.- </w:t>
      </w:r>
      <w:r w:rsidR="006808A7" w:rsidRPr="008B44DA">
        <w:rPr>
          <w:sz w:val="20"/>
          <w:szCs w:val="20"/>
          <w:lang w:val="es-MX"/>
        </w:rPr>
        <w:t>no se les había comunicado el resultado del “estudio situacio</w:t>
      </w:r>
      <w:r w:rsidR="006808A7">
        <w:rPr>
          <w:sz w:val="20"/>
          <w:szCs w:val="20"/>
          <w:lang w:val="es-MX"/>
        </w:rPr>
        <w:t xml:space="preserve">nal” ni del “estudio de riesgo”, </w:t>
      </w:r>
      <w:r w:rsidR="006808A7" w:rsidRPr="00CC4A78">
        <w:rPr>
          <w:sz w:val="20"/>
          <w:szCs w:val="20"/>
          <w:lang w:val="es-MX"/>
        </w:rPr>
        <w:t xml:space="preserve">y, en el mismo sentido, c) el 18 de enero de 2019 </w:t>
      </w:r>
      <w:r w:rsidR="006808A7">
        <w:rPr>
          <w:sz w:val="20"/>
          <w:szCs w:val="20"/>
          <w:lang w:val="es-MX"/>
        </w:rPr>
        <w:t>afirmaron que “hasta [esa fecha] no se ha[</w:t>
      </w:r>
      <w:proofErr w:type="spellStart"/>
      <w:r w:rsidR="006808A7">
        <w:rPr>
          <w:sz w:val="20"/>
          <w:szCs w:val="20"/>
          <w:lang w:val="es-MX"/>
        </w:rPr>
        <w:t>bía</w:t>
      </w:r>
      <w:proofErr w:type="spellEnd"/>
      <w:r w:rsidR="006808A7">
        <w:rPr>
          <w:sz w:val="20"/>
          <w:szCs w:val="20"/>
          <w:lang w:val="es-MX"/>
        </w:rPr>
        <w:t>] realizado ninguna acción para cumplir con [el] mandato” de “garantizar la se</w:t>
      </w:r>
      <w:r w:rsidR="00093D09">
        <w:rPr>
          <w:sz w:val="20"/>
          <w:szCs w:val="20"/>
          <w:lang w:val="es-MX"/>
        </w:rPr>
        <w:t xml:space="preserve">guridad e integridad física </w:t>
      </w:r>
      <w:proofErr w:type="spellStart"/>
      <w:r w:rsidR="00093D09">
        <w:rPr>
          <w:sz w:val="20"/>
          <w:szCs w:val="20"/>
          <w:lang w:val="es-MX"/>
        </w:rPr>
        <w:t xml:space="preserve">de </w:t>
      </w:r>
      <w:r w:rsidR="006808A7">
        <w:rPr>
          <w:sz w:val="20"/>
          <w:szCs w:val="20"/>
          <w:lang w:val="es-MX"/>
        </w:rPr>
        <w:t>l</w:t>
      </w:r>
      <w:proofErr w:type="spellEnd"/>
      <w:r w:rsidR="00093D09">
        <w:rPr>
          <w:sz w:val="20"/>
          <w:szCs w:val="20"/>
          <w:lang w:val="es-MX"/>
        </w:rPr>
        <w:t>[</w:t>
      </w:r>
      <w:r w:rsidR="006808A7">
        <w:rPr>
          <w:sz w:val="20"/>
          <w:szCs w:val="20"/>
          <w:lang w:val="es-MX"/>
        </w:rPr>
        <w:t>a</w:t>
      </w:r>
      <w:r w:rsidR="00093D09">
        <w:rPr>
          <w:sz w:val="20"/>
          <w:szCs w:val="20"/>
          <w:lang w:val="es-MX"/>
        </w:rPr>
        <w:t>]</w:t>
      </w:r>
      <w:r w:rsidR="006808A7">
        <w:rPr>
          <w:sz w:val="20"/>
          <w:szCs w:val="20"/>
          <w:lang w:val="es-MX"/>
        </w:rPr>
        <w:t xml:space="preserve">s </w:t>
      </w:r>
      <w:r w:rsidR="00093D09">
        <w:rPr>
          <w:sz w:val="20"/>
          <w:szCs w:val="20"/>
          <w:lang w:val="es-MX"/>
        </w:rPr>
        <w:t>[</w:t>
      </w:r>
      <w:r w:rsidR="006808A7">
        <w:rPr>
          <w:sz w:val="20"/>
          <w:szCs w:val="20"/>
          <w:lang w:val="es-MX"/>
        </w:rPr>
        <w:t xml:space="preserve">personas] </w:t>
      </w:r>
      <w:proofErr w:type="spellStart"/>
      <w:r w:rsidR="006808A7">
        <w:rPr>
          <w:sz w:val="20"/>
          <w:szCs w:val="20"/>
          <w:lang w:val="es-MX"/>
        </w:rPr>
        <w:t>beneficiari</w:t>
      </w:r>
      <w:proofErr w:type="spellEnd"/>
      <w:r w:rsidR="006808A7">
        <w:rPr>
          <w:sz w:val="20"/>
          <w:szCs w:val="20"/>
          <w:lang w:val="es-MX"/>
        </w:rPr>
        <w:t xml:space="preserve">[a]s”. </w:t>
      </w:r>
    </w:p>
    <w:p w14:paraId="0D32601D" w14:textId="77777777" w:rsidR="000A6417" w:rsidRDefault="000A6417" w:rsidP="00093D09">
      <w:pPr>
        <w:pStyle w:val="ListParagraph"/>
        <w:spacing w:after="0"/>
        <w:rPr>
          <w:b/>
          <w:sz w:val="20"/>
          <w:szCs w:val="20"/>
          <w:lang w:val="es-MX"/>
        </w:rPr>
      </w:pPr>
    </w:p>
    <w:p w14:paraId="5B088E0B" w14:textId="74E78E22" w:rsidR="00A326FF" w:rsidRPr="000A6417" w:rsidRDefault="003F6743" w:rsidP="00093D09">
      <w:pPr>
        <w:pStyle w:val="Default"/>
        <w:numPr>
          <w:ilvl w:val="0"/>
          <w:numId w:val="5"/>
        </w:numPr>
        <w:spacing w:line="20" w:lineRule="atLeast"/>
        <w:ind w:left="0" w:firstLine="0"/>
        <w:jc w:val="both"/>
        <w:rPr>
          <w:sz w:val="20"/>
          <w:szCs w:val="20"/>
          <w:lang w:val="es-MX"/>
        </w:rPr>
      </w:pPr>
      <w:r w:rsidRPr="000A6417">
        <w:rPr>
          <w:sz w:val="20"/>
          <w:szCs w:val="20"/>
          <w:lang w:val="es-MX"/>
        </w:rPr>
        <w:t xml:space="preserve">La </w:t>
      </w:r>
      <w:r w:rsidRPr="00093D09">
        <w:rPr>
          <w:b/>
          <w:i/>
          <w:sz w:val="20"/>
          <w:szCs w:val="20"/>
          <w:lang w:val="es-MX"/>
        </w:rPr>
        <w:t>Comisión</w:t>
      </w:r>
      <w:r w:rsidR="00093D09">
        <w:rPr>
          <w:i/>
          <w:sz w:val="20"/>
          <w:szCs w:val="20"/>
          <w:lang w:val="es-MX"/>
        </w:rPr>
        <w:t xml:space="preserve"> </w:t>
      </w:r>
      <w:r w:rsidR="00093D09" w:rsidRPr="00093D09">
        <w:rPr>
          <w:sz w:val="20"/>
          <w:szCs w:val="20"/>
          <w:lang w:val="es-MX"/>
        </w:rPr>
        <w:t>“</w:t>
      </w:r>
      <w:r w:rsidR="00972F73" w:rsidRPr="000A6417">
        <w:rPr>
          <w:sz w:val="20"/>
          <w:szCs w:val="20"/>
          <w:lang w:val="es-MX"/>
        </w:rPr>
        <w:t>valor</w:t>
      </w:r>
      <w:r w:rsidR="00093D09">
        <w:rPr>
          <w:sz w:val="20"/>
          <w:szCs w:val="20"/>
          <w:lang w:val="es-MX"/>
        </w:rPr>
        <w:t>[</w:t>
      </w:r>
      <w:proofErr w:type="spellStart"/>
      <w:r w:rsidR="00972F73" w:rsidRPr="000A6417">
        <w:rPr>
          <w:sz w:val="20"/>
          <w:szCs w:val="20"/>
          <w:lang w:val="es-MX"/>
        </w:rPr>
        <w:t>ó</w:t>
      </w:r>
      <w:proofErr w:type="spellEnd"/>
      <w:r w:rsidR="00093D09">
        <w:rPr>
          <w:sz w:val="20"/>
          <w:szCs w:val="20"/>
          <w:lang w:val="es-MX"/>
        </w:rPr>
        <w:t>]”</w:t>
      </w:r>
      <w:r w:rsidR="00972F73" w:rsidRPr="000A6417">
        <w:rPr>
          <w:sz w:val="20"/>
          <w:szCs w:val="20"/>
          <w:lang w:val="es-MX"/>
        </w:rPr>
        <w:t xml:space="preserve"> que el 12 de marzo de 2018 se realizara una reunión entre las partes. Por otro lado, advirtiendo la distinta información presentada por las partes, manifestó “preocupación” porque “no se habría cumplido” con visitas policiales a lugares de </w:t>
      </w:r>
      <w:r w:rsidR="00972F73" w:rsidRPr="000A6417">
        <w:rPr>
          <w:sz w:val="20"/>
          <w:szCs w:val="20"/>
          <w:lang w:val="es-MX"/>
        </w:rPr>
        <w:lastRenderedPageBreak/>
        <w:t xml:space="preserve">trabajo o residencia de las personas beneficiarias, ni con acciones de “seguridad perimetral”. También notó que </w:t>
      </w:r>
      <w:r w:rsidR="00A326FF" w:rsidRPr="000A6417">
        <w:rPr>
          <w:sz w:val="20"/>
          <w:szCs w:val="20"/>
          <w:lang w:val="es-MX"/>
        </w:rPr>
        <w:t xml:space="preserve">“no </w:t>
      </w:r>
      <w:proofErr w:type="spellStart"/>
      <w:r w:rsidR="00A326FF" w:rsidRPr="000A6417">
        <w:rPr>
          <w:sz w:val="20"/>
          <w:szCs w:val="20"/>
          <w:lang w:val="es-MX"/>
        </w:rPr>
        <w:t>identific</w:t>
      </w:r>
      <w:proofErr w:type="spellEnd"/>
      <w:r w:rsidR="00A326FF" w:rsidRPr="000A6417">
        <w:rPr>
          <w:sz w:val="20"/>
          <w:szCs w:val="20"/>
          <w:lang w:val="es-MX"/>
        </w:rPr>
        <w:t>[</w:t>
      </w:r>
      <w:proofErr w:type="spellStart"/>
      <w:r w:rsidR="00A326FF" w:rsidRPr="000A6417">
        <w:rPr>
          <w:sz w:val="20"/>
          <w:szCs w:val="20"/>
          <w:lang w:val="es-MX"/>
        </w:rPr>
        <w:t>ó</w:t>
      </w:r>
      <w:proofErr w:type="spellEnd"/>
      <w:r w:rsidR="00A326FF" w:rsidRPr="000A6417">
        <w:rPr>
          <w:sz w:val="20"/>
          <w:szCs w:val="20"/>
          <w:lang w:val="es-MX"/>
        </w:rPr>
        <w:t xml:space="preserve">] información sobre medidas </w:t>
      </w:r>
      <w:proofErr w:type="spellStart"/>
      <w:proofErr w:type="gramStart"/>
      <w:r w:rsidR="00A326FF" w:rsidRPr="000A6417">
        <w:rPr>
          <w:sz w:val="20"/>
          <w:szCs w:val="20"/>
          <w:lang w:val="es-MX"/>
        </w:rPr>
        <w:t>efecti</w:t>
      </w:r>
      <w:proofErr w:type="spellEnd"/>
      <w:r w:rsidR="00A326FF" w:rsidRPr="000A6417">
        <w:rPr>
          <w:sz w:val="20"/>
          <w:szCs w:val="20"/>
          <w:lang w:val="es-MX"/>
        </w:rPr>
        <w:t>[</w:t>
      </w:r>
      <w:proofErr w:type="gramEnd"/>
      <w:r w:rsidR="00A326FF" w:rsidRPr="000A6417">
        <w:rPr>
          <w:sz w:val="20"/>
          <w:szCs w:val="20"/>
          <w:lang w:val="es-MX"/>
        </w:rPr>
        <w:t xml:space="preserve">vas] para dar con las personas prófugas” o “sospechosas” que “estarían cerca de la </w:t>
      </w:r>
      <w:r w:rsidR="00093D09">
        <w:rPr>
          <w:sz w:val="20"/>
          <w:szCs w:val="20"/>
          <w:lang w:val="es-MX"/>
        </w:rPr>
        <w:t>[C]</w:t>
      </w:r>
      <w:proofErr w:type="spellStart"/>
      <w:r w:rsidR="00A326FF" w:rsidRPr="000A6417">
        <w:rPr>
          <w:sz w:val="20"/>
          <w:szCs w:val="20"/>
          <w:lang w:val="es-MX"/>
        </w:rPr>
        <w:t>omunidad</w:t>
      </w:r>
      <w:proofErr w:type="spellEnd"/>
      <w:r w:rsidR="00093D09">
        <w:rPr>
          <w:sz w:val="20"/>
          <w:szCs w:val="20"/>
          <w:lang w:val="es-MX"/>
        </w:rPr>
        <w:t xml:space="preserve"> [Aurora 8 de Octubre]</w:t>
      </w:r>
      <w:r w:rsidR="00A326FF" w:rsidRPr="000A6417">
        <w:rPr>
          <w:sz w:val="20"/>
          <w:szCs w:val="20"/>
          <w:lang w:val="es-MX"/>
        </w:rPr>
        <w:t xml:space="preserve">”. </w:t>
      </w:r>
    </w:p>
    <w:p w14:paraId="207CCF61" w14:textId="500CFF50" w:rsidR="003F6743" w:rsidRPr="00972F73" w:rsidRDefault="003F6743" w:rsidP="003F6743">
      <w:pPr>
        <w:tabs>
          <w:tab w:val="left" w:pos="0"/>
        </w:tabs>
        <w:spacing w:after="0" w:line="20" w:lineRule="atLeast"/>
        <w:jc w:val="both"/>
        <w:rPr>
          <w:rFonts w:ascii="Verdana" w:hAnsi="Verdana"/>
          <w:b/>
          <w:sz w:val="20"/>
          <w:szCs w:val="20"/>
          <w:lang w:val="es-MX"/>
        </w:rPr>
      </w:pPr>
    </w:p>
    <w:p w14:paraId="4B8B106B" w14:textId="77777777" w:rsidR="006808A7" w:rsidRPr="00ED1100" w:rsidRDefault="006808A7" w:rsidP="006808A7">
      <w:pPr>
        <w:pStyle w:val="ListParagraph"/>
        <w:numPr>
          <w:ilvl w:val="0"/>
          <w:numId w:val="3"/>
        </w:numPr>
        <w:tabs>
          <w:tab w:val="left" w:pos="0"/>
        </w:tabs>
        <w:spacing w:line="20" w:lineRule="atLeast"/>
        <w:jc w:val="both"/>
        <w:rPr>
          <w:rFonts w:ascii="Verdana" w:hAnsi="Verdana"/>
          <w:b/>
          <w:i/>
          <w:sz w:val="20"/>
          <w:szCs w:val="20"/>
          <w:lang w:val="es-MX"/>
        </w:rPr>
      </w:pPr>
      <w:r w:rsidRPr="00ED1100">
        <w:rPr>
          <w:rFonts w:ascii="Verdana" w:hAnsi="Verdana"/>
          <w:b/>
          <w:i/>
          <w:sz w:val="20"/>
          <w:szCs w:val="20"/>
          <w:lang w:val="es-MX"/>
        </w:rPr>
        <w:t>Consideraciones de la Corte</w:t>
      </w:r>
    </w:p>
    <w:p w14:paraId="53F61E5A" w14:textId="2A7E70ED" w:rsidR="006808A7" w:rsidRPr="00FB7F71" w:rsidRDefault="006808A7" w:rsidP="006808A7">
      <w:pPr>
        <w:pStyle w:val="Default"/>
        <w:numPr>
          <w:ilvl w:val="0"/>
          <w:numId w:val="5"/>
        </w:numPr>
        <w:spacing w:line="20" w:lineRule="atLeast"/>
        <w:ind w:left="0" w:firstLine="0"/>
        <w:jc w:val="both"/>
        <w:rPr>
          <w:sz w:val="20"/>
          <w:szCs w:val="20"/>
          <w:lang w:val="es-MX"/>
        </w:rPr>
      </w:pPr>
      <w:r>
        <w:rPr>
          <w:sz w:val="20"/>
          <w:szCs w:val="20"/>
          <w:lang w:val="es-MX"/>
        </w:rPr>
        <w:t xml:space="preserve">En primer lugar, la Corte considera pertinente referirse al </w:t>
      </w:r>
      <w:r w:rsidRPr="00FB7F71">
        <w:rPr>
          <w:i/>
          <w:sz w:val="20"/>
          <w:szCs w:val="20"/>
          <w:lang w:val="es-MX"/>
        </w:rPr>
        <w:t xml:space="preserve">deber de presentar observaciones e información </w:t>
      </w:r>
      <w:r w:rsidRPr="00FB7F71">
        <w:rPr>
          <w:sz w:val="20"/>
          <w:szCs w:val="20"/>
          <w:lang w:val="es-MX"/>
        </w:rPr>
        <w:t>de modo oportuno</w:t>
      </w:r>
      <w:r>
        <w:rPr>
          <w:sz w:val="20"/>
          <w:szCs w:val="20"/>
          <w:lang w:val="es-MX"/>
        </w:rPr>
        <w:t xml:space="preserve">. Ello pues en distintas ocasiones las partes remitieron sus presentaciones con demora </w:t>
      </w:r>
      <w:r w:rsidRPr="000A6417">
        <w:rPr>
          <w:sz w:val="20"/>
          <w:szCs w:val="20"/>
          <w:lang w:val="es-MX"/>
        </w:rPr>
        <w:t xml:space="preserve">y la Comisión </w:t>
      </w:r>
      <w:r w:rsidR="00A326FF" w:rsidRPr="000A6417">
        <w:rPr>
          <w:sz w:val="20"/>
          <w:szCs w:val="20"/>
          <w:lang w:val="es-MX"/>
        </w:rPr>
        <w:t xml:space="preserve">sólo hizo una presentación luego de que transcurriera cerca de un año desde que </w:t>
      </w:r>
      <w:r w:rsidR="00093D09">
        <w:rPr>
          <w:sz w:val="20"/>
          <w:szCs w:val="20"/>
          <w:lang w:val="es-MX"/>
        </w:rPr>
        <w:t>este Tribunal</w:t>
      </w:r>
      <w:r w:rsidR="00A326FF" w:rsidRPr="000A6417">
        <w:rPr>
          <w:sz w:val="20"/>
          <w:szCs w:val="20"/>
          <w:lang w:val="es-MX"/>
        </w:rPr>
        <w:t xml:space="preserve"> ord</w:t>
      </w:r>
      <w:r w:rsidR="00093D09">
        <w:rPr>
          <w:sz w:val="20"/>
          <w:szCs w:val="20"/>
          <w:lang w:val="es-MX"/>
        </w:rPr>
        <w:t>enara</w:t>
      </w:r>
      <w:r w:rsidR="00A326FF" w:rsidRPr="000A6417">
        <w:rPr>
          <w:sz w:val="20"/>
          <w:szCs w:val="20"/>
          <w:lang w:val="es-MX"/>
        </w:rPr>
        <w:t xml:space="preserve"> adoptar medidas provisionales.</w:t>
      </w:r>
      <w:r>
        <w:rPr>
          <w:sz w:val="20"/>
          <w:szCs w:val="20"/>
          <w:lang w:val="es-MX"/>
        </w:rPr>
        <w:t xml:space="preserve"> Al respecto, la Corte</w:t>
      </w:r>
      <w:r w:rsidRPr="00FB7F71">
        <w:rPr>
          <w:spacing w:val="-4"/>
          <w:sz w:val="20"/>
          <w:szCs w:val="20"/>
          <w:lang w:val="es-GT"/>
        </w:rPr>
        <w:t xml:space="preserve"> recuerda que la oportuna observancia de la obligación estatal de indicar al Tribunal cómo está cumpliendo cada uno de los puntos ordenados por </w:t>
      </w:r>
      <w:r w:rsidR="00093D09">
        <w:rPr>
          <w:spacing w:val="-4"/>
          <w:sz w:val="20"/>
          <w:szCs w:val="20"/>
          <w:lang w:val="es-GT"/>
        </w:rPr>
        <w:t>é</w:t>
      </w:r>
      <w:r w:rsidRPr="00FB7F71">
        <w:rPr>
          <w:spacing w:val="-4"/>
          <w:sz w:val="20"/>
          <w:szCs w:val="20"/>
          <w:lang w:val="es-GT"/>
        </w:rPr>
        <w:t>ste es fundamental para evaluar el estado del cumplimiento de las medidas provisionales en su conjunto</w:t>
      </w:r>
      <w:r>
        <w:rPr>
          <w:rStyle w:val="FootnoteReference"/>
          <w:spacing w:val="-4"/>
          <w:sz w:val="20"/>
          <w:szCs w:val="20"/>
          <w:lang w:val="es-GT"/>
        </w:rPr>
        <w:footnoteReference w:id="7"/>
      </w:r>
      <w:r w:rsidRPr="00FB7F71">
        <w:rPr>
          <w:spacing w:val="-4"/>
          <w:sz w:val="20"/>
          <w:szCs w:val="20"/>
          <w:lang w:val="es-GT"/>
        </w:rPr>
        <w:t>. En el mismo sentido, es necesario que este Tribunal reciba oportunamente las observaciones de l</w:t>
      </w:r>
      <w:r>
        <w:rPr>
          <w:spacing w:val="-4"/>
          <w:sz w:val="20"/>
          <w:szCs w:val="20"/>
          <w:lang w:val="es-GT"/>
        </w:rPr>
        <w:t>os represent</w:t>
      </w:r>
      <w:r w:rsidRPr="00FB7F71">
        <w:rPr>
          <w:spacing w:val="-4"/>
          <w:sz w:val="20"/>
          <w:szCs w:val="20"/>
          <w:lang w:val="es-GT"/>
        </w:rPr>
        <w:t>a</w:t>
      </w:r>
      <w:r>
        <w:rPr>
          <w:spacing w:val="-4"/>
          <w:sz w:val="20"/>
          <w:szCs w:val="20"/>
          <w:lang w:val="es-GT"/>
        </w:rPr>
        <w:t xml:space="preserve">ntes de las personas beneficiarias y de </w:t>
      </w:r>
      <w:r w:rsidR="00AE7B7F">
        <w:rPr>
          <w:spacing w:val="-4"/>
          <w:sz w:val="20"/>
          <w:szCs w:val="20"/>
          <w:lang w:val="es-GT"/>
        </w:rPr>
        <w:t>la</w:t>
      </w:r>
      <w:r w:rsidRPr="00FB7F71">
        <w:rPr>
          <w:spacing w:val="-4"/>
          <w:sz w:val="20"/>
          <w:szCs w:val="20"/>
          <w:lang w:val="es-GT"/>
        </w:rPr>
        <w:t xml:space="preserve"> Comisión sobre los informes presentados por el Estado, a efecto de evaluar el debido cumplimiento de las medidas provisionales otorgadas.</w:t>
      </w:r>
      <w:r w:rsidRPr="00FB7F71">
        <w:rPr>
          <w:rFonts w:ascii="Times New Roman" w:eastAsia="Times New Roman" w:hAnsi="Times New Roman"/>
          <w:lang w:val="es-CR"/>
        </w:rPr>
        <w:t xml:space="preserve"> </w:t>
      </w:r>
    </w:p>
    <w:p w14:paraId="3461D779" w14:textId="77777777" w:rsidR="006808A7" w:rsidRPr="00FB7F71" w:rsidRDefault="006808A7" w:rsidP="006808A7">
      <w:pPr>
        <w:pStyle w:val="Default"/>
        <w:spacing w:line="20" w:lineRule="atLeast"/>
        <w:jc w:val="both"/>
        <w:rPr>
          <w:sz w:val="20"/>
          <w:szCs w:val="20"/>
          <w:lang w:val="es-MX"/>
        </w:rPr>
      </w:pPr>
    </w:p>
    <w:p w14:paraId="1699B4C5" w14:textId="498940EE" w:rsidR="000A6417" w:rsidRDefault="006808A7" w:rsidP="000A6417">
      <w:pPr>
        <w:pStyle w:val="Default"/>
        <w:numPr>
          <w:ilvl w:val="0"/>
          <w:numId w:val="5"/>
        </w:numPr>
        <w:spacing w:line="20" w:lineRule="atLeast"/>
        <w:ind w:left="0" w:firstLine="0"/>
        <w:jc w:val="both"/>
        <w:rPr>
          <w:sz w:val="20"/>
          <w:szCs w:val="20"/>
          <w:lang w:val="es-MX"/>
        </w:rPr>
      </w:pPr>
      <w:r>
        <w:rPr>
          <w:sz w:val="20"/>
          <w:szCs w:val="20"/>
          <w:lang w:val="es-MX"/>
        </w:rPr>
        <w:t xml:space="preserve">En segundo término, en cuanto a la </w:t>
      </w:r>
      <w:r w:rsidRPr="00FB7F71">
        <w:rPr>
          <w:i/>
          <w:sz w:val="20"/>
          <w:szCs w:val="20"/>
          <w:lang w:val="es-MX"/>
        </w:rPr>
        <w:t>implementación de las medidas</w:t>
      </w:r>
      <w:r>
        <w:rPr>
          <w:sz w:val="20"/>
          <w:szCs w:val="20"/>
          <w:lang w:val="es-MX"/>
        </w:rPr>
        <w:t xml:space="preserve">, </w:t>
      </w:r>
      <w:r w:rsidR="00ED6160">
        <w:rPr>
          <w:sz w:val="20"/>
          <w:szCs w:val="20"/>
          <w:lang w:val="es-MX"/>
        </w:rPr>
        <w:t>la Corte</w:t>
      </w:r>
      <w:r>
        <w:rPr>
          <w:sz w:val="20"/>
          <w:szCs w:val="20"/>
          <w:lang w:val="es-MX"/>
        </w:rPr>
        <w:t xml:space="preserve"> valora la información estatal respecto a la seguridad brindada a efectos del traslado de las personas beneficiarias en febrero de 2018 (</w:t>
      </w:r>
      <w:r>
        <w:rPr>
          <w:i/>
          <w:sz w:val="20"/>
          <w:szCs w:val="20"/>
          <w:lang w:val="es-MX"/>
        </w:rPr>
        <w:t>supra</w:t>
      </w:r>
      <w:r>
        <w:rPr>
          <w:sz w:val="20"/>
          <w:szCs w:val="20"/>
          <w:lang w:val="es-MX"/>
        </w:rPr>
        <w:t xml:space="preserve"> Considerando 5), así como sobre la realización de reuniones para la concertación de las medidas con las personas beneficiarias y la realización de los estudios de riesgo y situacional</w:t>
      </w:r>
      <w:r w:rsidR="00AE7B7F">
        <w:rPr>
          <w:sz w:val="20"/>
          <w:szCs w:val="20"/>
          <w:lang w:val="es-MX"/>
        </w:rPr>
        <w:t xml:space="preserve"> (</w:t>
      </w:r>
      <w:r w:rsidR="00AE7B7F">
        <w:rPr>
          <w:i/>
          <w:sz w:val="20"/>
          <w:szCs w:val="20"/>
          <w:lang w:val="es-MX"/>
        </w:rPr>
        <w:t>supra</w:t>
      </w:r>
      <w:r w:rsidR="00AE7B7F">
        <w:rPr>
          <w:sz w:val="20"/>
          <w:szCs w:val="20"/>
          <w:lang w:val="es-MX"/>
        </w:rPr>
        <w:t xml:space="preserve"> Considerando 6)</w:t>
      </w:r>
      <w:r>
        <w:rPr>
          <w:sz w:val="20"/>
          <w:szCs w:val="20"/>
          <w:lang w:val="es-MX"/>
        </w:rPr>
        <w:t xml:space="preserve">. </w:t>
      </w:r>
    </w:p>
    <w:p w14:paraId="7E474E37" w14:textId="77777777" w:rsidR="000A6417" w:rsidRDefault="000A6417" w:rsidP="000A6417">
      <w:pPr>
        <w:pStyle w:val="ListParagraph"/>
        <w:spacing w:after="0"/>
        <w:rPr>
          <w:sz w:val="20"/>
          <w:szCs w:val="20"/>
          <w:lang w:val="es-MX"/>
        </w:rPr>
      </w:pPr>
    </w:p>
    <w:p w14:paraId="197DA0F4" w14:textId="4084AC59" w:rsidR="006808A7" w:rsidRPr="000A6417" w:rsidRDefault="00F801FF" w:rsidP="000A6417">
      <w:pPr>
        <w:pStyle w:val="Default"/>
        <w:numPr>
          <w:ilvl w:val="0"/>
          <w:numId w:val="5"/>
        </w:numPr>
        <w:spacing w:line="20" w:lineRule="atLeast"/>
        <w:ind w:left="0" w:firstLine="0"/>
        <w:jc w:val="both"/>
        <w:rPr>
          <w:sz w:val="20"/>
          <w:szCs w:val="20"/>
          <w:lang w:val="es-MX"/>
        </w:rPr>
      </w:pPr>
      <w:r>
        <w:rPr>
          <w:sz w:val="20"/>
          <w:szCs w:val="20"/>
          <w:lang w:val="es-MX"/>
        </w:rPr>
        <w:t>Este Tribunal</w:t>
      </w:r>
      <w:r w:rsidR="7F9B035C" w:rsidRPr="000A6417">
        <w:rPr>
          <w:sz w:val="20"/>
          <w:szCs w:val="20"/>
          <w:lang w:val="es-MX"/>
        </w:rPr>
        <w:t xml:space="preserve"> advierte que hay una discrepancia entre las partes respecto a la implementación de las medidas pues el Estado ha informado sobre distintas medidas de seguridad que habría</w:t>
      </w:r>
      <w:r w:rsidR="000A6417" w:rsidRPr="000A6417">
        <w:rPr>
          <w:sz w:val="20"/>
          <w:szCs w:val="20"/>
          <w:lang w:val="es-MX"/>
        </w:rPr>
        <w:t xml:space="preserve"> </w:t>
      </w:r>
      <w:r w:rsidR="7F9B035C" w:rsidRPr="000A6417">
        <w:rPr>
          <w:sz w:val="20"/>
          <w:szCs w:val="20"/>
          <w:lang w:val="es-MX"/>
        </w:rPr>
        <w:t>adopt</w:t>
      </w:r>
      <w:r w:rsidR="7F9B035C" w:rsidRPr="000A6417">
        <w:rPr>
          <w:bCs/>
          <w:sz w:val="20"/>
          <w:szCs w:val="20"/>
          <w:lang w:val="es-MX"/>
        </w:rPr>
        <w:t>ado, mientras que los representantes alegan deficiencias en su implementación</w:t>
      </w:r>
      <w:r w:rsidR="000A6417" w:rsidRPr="000A6417">
        <w:rPr>
          <w:bCs/>
          <w:sz w:val="20"/>
          <w:szCs w:val="20"/>
          <w:lang w:val="es-MX"/>
        </w:rPr>
        <w:t>.</w:t>
      </w:r>
      <w:r w:rsidR="7F9B035C" w:rsidRPr="000A6417">
        <w:rPr>
          <w:bCs/>
          <w:sz w:val="20"/>
          <w:szCs w:val="20"/>
          <w:lang w:val="es-MX"/>
        </w:rPr>
        <w:t xml:space="preserve"> </w:t>
      </w:r>
      <w:r w:rsidR="000A6417" w:rsidRPr="000A6417">
        <w:rPr>
          <w:bCs/>
          <w:sz w:val="20"/>
          <w:szCs w:val="20"/>
          <w:lang w:val="es-MX"/>
        </w:rPr>
        <w:t>N</w:t>
      </w:r>
      <w:r w:rsidR="7F9B035C" w:rsidRPr="000A6417">
        <w:rPr>
          <w:bCs/>
          <w:sz w:val="20"/>
          <w:szCs w:val="20"/>
          <w:lang w:val="es-MX"/>
        </w:rPr>
        <w:t>o obstante las posiciones disímiles de las partes, lo que le corresponde a la Corte evaluar es si</w:t>
      </w:r>
      <w:r w:rsidR="7F9B035C" w:rsidRPr="000A6417">
        <w:rPr>
          <w:b/>
          <w:bCs/>
          <w:sz w:val="20"/>
          <w:szCs w:val="20"/>
          <w:lang w:val="es-MX"/>
        </w:rPr>
        <w:t xml:space="preserve"> </w:t>
      </w:r>
      <w:r w:rsidR="7F9B035C" w:rsidRPr="000A6417">
        <w:rPr>
          <w:sz w:val="20"/>
          <w:szCs w:val="20"/>
          <w:lang w:val="es-MX"/>
        </w:rPr>
        <w:t xml:space="preserve">la </w:t>
      </w:r>
      <w:r w:rsidR="7F9B035C" w:rsidRPr="000A6417">
        <w:rPr>
          <w:iCs/>
          <w:sz w:val="20"/>
          <w:szCs w:val="20"/>
          <w:lang w:val="es-MX"/>
        </w:rPr>
        <w:t>situación de las personas beneficiarias</w:t>
      </w:r>
      <w:r w:rsidR="7F9B035C" w:rsidRPr="000A6417">
        <w:rPr>
          <w:sz w:val="20"/>
          <w:szCs w:val="20"/>
          <w:lang w:val="es-MX"/>
        </w:rPr>
        <w:t xml:space="preserve"> continúa presentado características de extrema gravedad y urgencia respecto a posibles daños irreparables. </w:t>
      </w:r>
    </w:p>
    <w:p w14:paraId="1FC39945" w14:textId="77777777" w:rsidR="006808A7" w:rsidRPr="004D0F94" w:rsidRDefault="006808A7" w:rsidP="006808A7">
      <w:pPr>
        <w:pStyle w:val="Default"/>
        <w:spacing w:line="20" w:lineRule="atLeast"/>
        <w:jc w:val="both"/>
        <w:rPr>
          <w:sz w:val="20"/>
          <w:szCs w:val="20"/>
          <w:lang w:val="es-MX"/>
        </w:rPr>
      </w:pPr>
    </w:p>
    <w:p w14:paraId="49487B4F" w14:textId="7AF32E7D" w:rsidR="006808A7" w:rsidRPr="00D048D6" w:rsidRDefault="000A6417" w:rsidP="006808A7">
      <w:pPr>
        <w:pStyle w:val="Default"/>
        <w:numPr>
          <w:ilvl w:val="0"/>
          <w:numId w:val="5"/>
        </w:numPr>
        <w:spacing w:line="20" w:lineRule="atLeast"/>
        <w:ind w:left="0" w:firstLine="0"/>
        <w:jc w:val="both"/>
        <w:rPr>
          <w:sz w:val="20"/>
          <w:szCs w:val="20"/>
          <w:lang w:val="es-MX"/>
        </w:rPr>
      </w:pPr>
      <w:r>
        <w:rPr>
          <w:sz w:val="20"/>
          <w:szCs w:val="20"/>
          <w:lang w:val="es-MX"/>
        </w:rPr>
        <w:t xml:space="preserve">En cuanto a la </w:t>
      </w:r>
      <w:r>
        <w:rPr>
          <w:i/>
          <w:sz w:val="20"/>
          <w:szCs w:val="20"/>
          <w:lang w:val="es-MX"/>
        </w:rPr>
        <w:t>situación de las personas beneficiarias</w:t>
      </w:r>
      <w:r w:rsidRPr="000A6417">
        <w:rPr>
          <w:sz w:val="20"/>
          <w:szCs w:val="20"/>
          <w:lang w:val="es-MX"/>
        </w:rPr>
        <w:t>, d</w:t>
      </w:r>
      <w:r w:rsidR="006808A7" w:rsidRPr="00776858">
        <w:rPr>
          <w:sz w:val="20"/>
          <w:szCs w:val="20"/>
          <w:lang w:val="es-MX"/>
        </w:rPr>
        <w:t>adas las características de temporalidad</w:t>
      </w:r>
      <w:r w:rsidR="006808A7">
        <w:rPr>
          <w:sz w:val="20"/>
          <w:szCs w:val="20"/>
          <w:lang w:val="es-MX"/>
        </w:rPr>
        <w:t xml:space="preserve"> de las medidas provisionales</w:t>
      </w:r>
      <w:r w:rsidR="006808A7" w:rsidRPr="00776858">
        <w:rPr>
          <w:sz w:val="20"/>
          <w:szCs w:val="20"/>
          <w:lang w:val="es-MX"/>
        </w:rPr>
        <w:t xml:space="preserve">, la evaluación de la persistencia de la situación que dio origen a las </w:t>
      </w:r>
      <w:r w:rsidR="006808A7">
        <w:rPr>
          <w:sz w:val="20"/>
          <w:szCs w:val="20"/>
          <w:lang w:val="es-MX"/>
        </w:rPr>
        <w:t>mismas</w:t>
      </w:r>
      <w:r w:rsidR="006808A7" w:rsidRPr="00776858">
        <w:rPr>
          <w:sz w:val="20"/>
          <w:szCs w:val="20"/>
          <w:lang w:val="es-MX"/>
        </w:rPr>
        <w:t xml:space="preserve"> exige una evaluación cada vez más rigurosa por parte de la Corte a medida que se va prolongando el tiempo en que dichas medidas han permanecido vigentes</w:t>
      </w:r>
      <w:r w:rsidR="006808A7">
        <w:rPr>
          <w:rStyle w:val="FootnoteReference"/>
          <w:sz w:val="20"/>
          <w:szCs w:val="20"/>
          <w:lang w:val="es-MX"/>
        </w:rPr>
        <w:footnoteReference w:id="8"/>
      </w:r>
      <w:r w:rsidR="006808A7" w:rsidRPr="00776858">
        <w:rPr>
          <w:sz w:val="20"/>
          <w:szCs w:val="20"/>
          <w:lang w:val="es-MX"/>
        </w:rPr>
        <w:t xml:space="preserve">. Este Tribunal ha señalado que, conforme a la Convención y al Reglamento, la carga procesal de demostrar </w:t>
      </w:r>
      <w:r w:rsidR="006808A7" w:rsidRPr="00776858">
        <w:rPr>
          <w:i/>
          <w:iCs/>
          <w:sz w:val="20"/>
          <w:szCs w:val="20"/>
          <w:lang w:val="es-MX"/>
        </w:rPr>
        <w:t xml:space="preserve">prima facie </w:t>
      </w:r>
      <w:r w:rsidR="006808A7">
        <w:rPr>
          <w:sz w:val="20"/>
          <w:szCs w:val="20"/>
          <w:lang w:val="es-MX"/>
        </w:rPr>
        <w:t>los</w:t>
      </w:r>
      <w:r w:rsidR="006808A7" w:rsidRPr="00776858">
        <w:rPr>
          <w:sz w:val="20"/>
          <w:szCs w:val="20"/>
          <w:lang w:val="es-MX"/>
        </w:rPr>
        <w:t xml:space="preserve"> requisitos </w:t>
      </w:r>
      <w:r w:rsidR="006808A7">
        <w:rPr>
          <w:sz w:val="20"/>
          <w:szCs w:val="20"/>
          <w:lang w:val="es-MX"/>
        </w:rPr>
        <w:t xml:space="preserve">respectivos </w:t>
      </w:r>
      <w:r w:rsidR="006808A7" w:rsidRPr="00776858">
        <w:rPr>
          <w:sz w:val="20"/>
          <w:szCs w:val="20"/>
          <w:lang w:val="es-MX"/>
        </w:rPr>
        <w:t>recae en el solicitante</w:t>
      </w:r>
      <w:r w:rsidR="006808A7">
        <w:rPr>
          <w:rStyle w:val="FootnoteReference"/>
          <w:sz w:val="20"/>
          <w:szCs w:val="20"/>
          <w:lang w:val="es-MX"/>
        </w:rPr>
        <w:footnoteReference w:id="9"/>
      </w:r>
      <w:r w:rsidR="006808A7" w:rsidRPr="00776858">
        <w:rPr>
          <w:sz w:val="20"/>
          <w:szCs w:val="20"/>
          <w:lang w:val="es-MX"/>
        </w:rPr>
        <w:t xml:space="preserve">. </w:t>
      </w:r>
      <w:r w:rsidR="006808A7">
        <w:rPr>
          <w:sz w:val="20"/>
          <w:szCs w:val="20"/>
          <w:lang w:val="es-MX"/>
        </w:rPr>
        <w:t>Aunado a ello, y en el mismo sentido, en el presente caso, en el vigésimo Considerando de su Resolución de 8 de febrero de 2018, la Corte advirtió que la orden de adoptar medidas tenía por base “</w:t>
      </w:r>
      <w:r w:rsidR="006808A7" w:rsidRPr="00A644AB">
        <w:rPr>
          <w:sz w:val="20"/>
          <w:szCs w:val="20"/>
          <w:lang w:val="es-CR"/>
        </w:rPr>
        <w:t xml:space="preserve">una valoración </w:t>
      </w:r>
      <w:r w:rsidR="006808A7" w:rsidRPr="00A644AB">
        <w:rPr>
          <w:i/>
          <w:iCs/>
          <w:sz w:val="20"/>
          <w:szCs w:val="20"/>
          <w:lang w:val="es-CR"/>
        </w:rPr>
        <w:t xml:space="preserve">prima facie </w:t>
      </w:r>
      <w:r w:rsidR="006808A7" w:rsidRPr="00A644AB">
        <w:rPr>
          <w:sz w:val="20"/>
          <w:szCs w:val="20"/>
          <w:lang w:val="es-CR"/>
        </w:rPr>
        <w:t>de las circunstancias pertinentes</w:t>
      </w:r>
      <w:r w:rsidR="006808A7">
        <w:rPr>
          <w:sz w:val="20"/>
          <w:szCs w:val="20"/>
          <w:lang w:val="es-CR"/>
        </w:rPr>
        <w:t>”, y que</w:t>
      </w:r>
      <w:r w:rsidR="006808A7" w:rsidRPr="00A644AB">
        <w:rPr>
          <w:sz w:val="20"/>
          <w:szCs w:val="20"/>
          <w:lang w:val="es-CR"/>
        </w:rPr>
        <w:t xml:space="preserve"> </w:t>
      </w:r>
      <w:r w:rsidR="006808A7">
        <w:rPr>
          <w:sz w:val="20"/>
          <w:szCs w:val="20"/>
          <w:lang w:val="es-CR"/>
        </w:rPr>
        <w:t>“</w:t>
      </w:r>
      <w:r w:rsidR="006808A7" w:rsidRPr="00A644AB">
        <w:rPr>
          <w:sz w:val="20"/>
          <w:szCs w:val="20"/>
          <w:lang w:val="es-CR"/>
        </w:rPr>
        <w:t xml:space="preserve">el eventual mantenimiento de las medidas </w:t>
      </w:r>
      <w:r w:rsidR="006808A7">
        <w:rPr>
          <w:sz w:val="20"/>
          <w:szCs w:val="20"/>
          <w:lang w:val="es-CR"/>
        </w:rPr>
        <w:t xml:space="preserve">[…] </w:t>
      </w:r>
      <w:proofErr w:type="gramStart"/>
      <w:r w:rsidR="006808A7" w:rsidRPr="00A644AB">
        <w:rPr>
          <w:sz w:val="20"/>
          <w:szCs w:val="20"/>
          <w:lang w:val="es-CR"/>
        </w:rPr>
        <w:t>exigir</w:t>
      </w:r>
      <w:r w:rsidR="006808A7">
        <w:rPr>
          <w:sz w:val="20"/>
          <w:szCs w:val="20"/>
          <w:lang w:val="es-CR"/>
        </w:rPr>
        <w:t>[</w:t>
      </w:r>
      <w:proofErr w:type="spellStart"/>
      <w:proofErr w:type="gramEnd"/>
      <w:r w:rsidR="006808A7">
        <w:rPr>
          <w:sz w:val="20"/>
          <w:szCs w:val="20"/>
          <w:lang w:val="es-CR"/>
        </w:rPr>
        <w:t>ía</w:t>
      </w:r>
      <w:proofErr w:type="spellEnd"/>
      <w:r w:rsidR="006808A7">
        <w:rPr>
          <w:sz w:val="20"/>
          <w:szCs w:val="20"/>
          <w:lang w:val="es-CR"/>
        </w:rPr>
        <w:t>]</w:t>
      </w:r>
      <w:r w:rsidR="006808A7" w:rsidRPr="00A644AB">
        <w:rPr>
          <w:sz w:val="20"/>
          <w:szCs w:val="20"/>
          <w:lang w:val="es-CR"/>
        </w:rPr>
        <w:t xml:space="preserve"> una evaluación más rigurosa de este Tribunal en cuanto a la persistencia de la situación que dio origen a las mismas</w:t>
      </w:r>
      <w:r w:rsidR="006808A7">
        <w:rPr>
          <w:sz w:val="20"/>
          <w:szCs w:val="20"/>
          <w:lang w:val="es-CR"/>
        </w:rPr>
        <w:t xml:space="preserve">”. </w:t>
      </w:r>
      <w:r w:rsidR="006808A7" w:rsidRPr="00A644AB">
        <w:rPr>
          <w:sz w:val="20"/>
          <w:szCs w:val="20"/>
          <w:lang w:val="es-CR"/>
        </w:rPr>
        <w:t xml:space="preserve"> </w:t>
      </w:r>
    </w:p>
    <w:p w14:paraId="0562CB0E" w14:textId="77777777" w:rsidR="006808A7" w:rsidRDefault="006808A7" w:rsidP="006808A7">
      <w:pPr>
        <w:pStyle w:val="ListParagraph"/>
        <w:spacing w:after="0" w:line="20" w:lineRule="atLeast"/>
        <w:rPr>
          <w:sz w:val="20"/>
          <w:szCs w:val="20"/>
          <w:lang w:val="es-MX"/>
        </w:rPr>
      </w:pPr>
    </w:p>
    <w:p w14:paraId="2D30B075" w14:textId="42AD8A63" w:rsidR="006808A7" w:rsidRDefault="006808A7" w:rsidP="006808A7">
      <w:pPr>
        <w:pStyle w:val="Default"/>
        <w:numPr>
          <w:ilvl w:val="0"/>
          <w:numId w:val="5"/>
        </w:numPr>
        <w:spacing w:line="20" w:lineRule="atLeast"/>
        <w:ind w:left="0" w:firstLine="0"/>
        <w:jc w:val="both"/>
        <w:rPr>
          <w:sz w:val="20"/>
          <w:szCs w:val="20"/>
          <w:lang w:val="es-MX"/>
        </w:rPr>
      </w:pPr>
      <w:r>
        <w:rPr>
          <w:sz w:val="20"/>
          <w:szCs w:val="20"/>
          <w:lang w:val="es-MX"/>
        </w:rPr>
        <w:lastRenderedPageBreak/>
        <w:t xml:space="preserve">Debe recordarse que la orden de adopción de medidas provisionales, dada el 8 de febrero de 2018, tuvo por base señalamientos de los representantes que indicaban que se presentaba una situación de “temor” </w:t>
      </w:r>
      <w:r w:rsidR="00F801FF">
        <w:rPr>
          <w:sz w:val="20"/>
          <w:szCs w:val="20"/>
          <w:lang w:val="es-MX"/>
        </w:rPr>
        <w:t>dada</w:t>
      </w:r>
      <w:r>
        <w:rPr>
          <w:sz w:val="20"/>
          <w:szCs w:val="20"/>
          <w:lang w:val="es-MX"/>
        </w:rPr>
        <w:t xml:space="preserve"> la “reactivación” del caso </w:t>
      </w:r>
      <w:r w:rsidR="00F82185">
        <w:rPr>
          <w:sz w:val="20"/>
          <w:szCs w:val="20"/>
          <w:lang w:val="es-MX"/>
        </w:rPr>
        <w:t>a partir de</w:t>
      </w:r>
      <w:r>
        <w:rPr>
          <w:sz w:val="20"/>
          <w:szCs w:val="20"/>
          <w:lang w:val="es-MX"/>
        </w:rPr>
        <w:t>l proces</w:t>
      </w:r>
      <w:r w:rsidR="00F82185">
        <w:rPr>
          <w:sz w:val="20"/>
          <w:szCs w:val="20"/>
          <w:lang w:val="es-MX"/>
        </w:rPr>
        <w:t>o internacional sobre el</w:t>
      </w:r>
      <w:r>
        <w:rPr>
          <w:sz w:val="20"/>
          <w:szCs w:val="20"/>
          <w:lang w:val="es-MX"/>
        </w:rPr>
        <w:t xml:space="preserve"> mismo; en particular, por la audiencia pública que tuvo lugar el 9 de febrero de 2018. Dicha situación se manifestó, conforme expresaron los representantes, en distintos hechos en las inmediaciones de la Comunidad, como la presencia de supuestas personas “prófugas”</w:t>
      </w:r>
      <w:r>
        <w:rPr>
          <w:rStyle w:val="FootnoteReference"/>
          <w:sz w:val="20"/>
          <w:szCs w:val="20"/>
          <w:lang w:val="es-MX"/>
        </w:rPr>
        <w:footnoteReference w:id="10"/>
      </w:r>
      <w:r>
        <w:rPr>
          <w:sz w:val="20"/>
          <w:szCs w:val="20"/>
          <w:lang w:val="es-MX"/>
        </w:rPr>
        <w:t xml:space="preserve">, seguimientos a Natividad Sales Calmo o la presencia de </w:t>
      </w:r>
      <w:r w:rsidR="00F82185">
        <w:rPr>
          <w:sz w:val="20"/>
          <w:szCs w:val="20"/>
          <w:lang w:val="es-MX"/>
        </w:rPr>
        <w:t>“</w:t>
      </w:r>
      <w:r>
        <w:rPr>
          <w:sz w:val="20"/>
          <w:szCs w:val="20"/>
          <w:lang w:val="es-MX"/>
        </w:rPr>
        <w:t>vehículos extraños</w:t>
      </w:r>
      <w:r w:rsidR="00F82185">
        <w:rPr>
          <w:sz w:val="20"/>
          <w:szCs w:val="20"/>
          <w:lang w:val="es-MX"/>
        </w:rPr>
        <w:t>”</w:t>
      </w:r>
      <w:r>
        <w:rPr>
          <w:sz w:val="20"/>
          <w:szCs w:val="20"/>
          <w:lang w:val="es-MX"/>
        </w:rPr>
        <w:t xml:space="preserve">. </w:t>
      </w:r>
    </w:p>
    <w:p w14:paraId="34CE0A41" w14:textId="77777777" w:rsidR="006808A7" w:rsidRDefault="006808A7" w:rsidP="006808A7">
      <w:pPr>
        <w:pStyle w:val="ListParagraph"/>
        <w:spacing w:after="0" w:line="20" w:lineRule="atLeast"/>
        <w:rPr>
          <w:sz w:val="20"/>
          <w:szCs w:val="20"/>
          <w:lang w:val="es-MX"/>
        </w:rPr>
      </w:pPr>
    </w:p>
    <w:p w14:paraId="4A9BCCA9" w14:textId="77777777" w:rsidR="006808A7" w:rsidRDefault="006808A7" w:rsidP="006808A7">
      <w:pPr>
        <w:pStyle w:val="Default"/>
        <w:numPr>
          <w:ilvl w:val="0"/>
          <w:numId w:val="5"/>
        </w:numPr>
        <w:spacing w:line="20" w:lineRule="atLeast"/>
        <w:ind w:left="0" w:firstLine="0"/>
        <w:jc w:val="both"/>
        <w:rPr>
          <w:sz w:val="20"/>
          <w:szCs w:val="20"/>
          <w:lang w:val="es-MX"/>
        </w:rPr>
      </w:pPr>
      <w:r>
        <w:rPr>
          <w:sz w:val="20"/>
          <w:szCs w:val="20"/>
          <w:lang w:val="es-MX"/>
        </w:rPr>
        <w:t>Ahora bien, luego de cerca de un año de que fuera convocada y realizada la audiencia pública en el caso, y que fuera ordenada la adopción de medidas provisionales, no se ha presentado a la Corte información alguna sobre hechos de amenazas, agresiones, hostigamientos o circunstancias de cualquier otro tipo que denoten la existencia de un riesgo sobre las personas beneficiarias. Dado lo anterior, y teniendo en cuenta el mayor rigor que corresponde en el examen de la pertinencia de las medidas (</w:t>
      </w:r>
      <w:r>
        <w:rPr>
          <w:i/>
          <w:sz w:val="20"/>
          <w:szCs w:val="20"/>
          <w:lang w:val="es-MX"/>
        </w:rPr>
        <w:t>supra</w:t>
      </w:r>
      <w:r>
        <w:rPr>
          <w:sz w:val="20"/>
          <w:szCs w:val="20"/>
          <w:lang w:val="es-MX"/>
        </w:rPr>
        <w:t xml:space="preserve"> Considerando 15), Corte considera procedente disponer el levantamiento de las medidas provisionales. </w:t>
      </w:r>
    </w:p>
    <w:p w14:paraId="62EBF3C5" w14:textId="77777777" w:rsidR="006808A7" w:rsidRDefault="006808A7" w:rsidP="006808A7">
      <w:pPr>
        <w:pStyle w:val="Default"/>
        <w:spacing w:line="20" w:lineRule="atLeast"/>
        <w:jc w:val="both"/>
        <w:rPr>
          <w:sz w:val="20"/>
          <w:szCs w:val="20"/>
          <w:lang w:val="es-MX"/>
        </w:rPr>
      </w:pPr>
    </w:p>
    <w:p w14:paraId="6A4A7652" w14:textId="04720588" w:rsidR="006808A7" w:rsidRPr="000A6417" w:rsidRDefault="7F9B035C" w:rsidP="7F9B035C">
      <w:pPr>
        <w:numPr>
          <w:ilvl w:val="0"/>
          <w:numId w:val="5"/>
        </w:numPr>
        <w:spacing w:after="0" w:line="20" w:lineRule="atLeast"/>
        <w:ind w:left="0" w:right="14" w:firstLine="0"/>
        <w:jc w:val="both"/>
        <w:rPr>
          <w:rFonts w:ascii="Verdana" w:hAnsi="Verdana"/>
          <w:bCs/>
          <w:sz w:val="20"/>
          <w:szCs w:val="20"/>
          <w:lang w:val="es-CR"/>
        </w:rPr>
      </w:pPr>
      <w:r w:rsidRPr="7F9B035C">
        <w:rPr>
          <w:rFonts w:ascii="Verdana" w:hAnsi="Verdana"/>
          <w:sz w:val="20"/>
          <w:szCs w:val="20"/>
          <w:lang w:val="es-CR"/>
        </w:rPr>
        <w:t xml:space="preserve">Sin perjuicio de lo decidido, se recuerda al Estado que el artículo 1.1 de la Convención Americana establece las obligaciones generales que tienen los Estados Parte de respetar los derechos y libertades en ella consagrados y de garantizar su libre y pleno ejercicio a toda persona que esté sujeta a su jurisdicción, las cuales se imponen no sólo en relación con el poder del Estado sino también en relación con actuaciones de terceros particulares. Por ello, el Estado conserva respecto de Efraín Grave </w:t>
      </w:r>
      <w:proofErr w:type="spellStart"/>
      <w:r w:rsidRPr="7F9B035C">
        <w:rPr>
          <w:rFonts w:ascii="Verdana" w:hAnsi="Verdana"/>
          <w:sz w:val="20"/>
          <w:szCs w:val="20"/>
          <w:lang w:val="es-CR"/>
        </w:rPr>
        <w:t>Morente</w:t>
      </w:r>
      <w:proofErr w:type="spellEnd"/>
      <w:r w:rsidRPr="7F9B035C">
        <w:rPr>
          <w:rFonts w:ascii="Verdana" w:hAnsi="Verdana"/>
          <w:sz w:val="20"/>
          <w:szCs w:val="20"/>
          <w:lang w:val="es-CR"/>
        </w:rPr>
        <w:t xml:space="preserve">, </w:t>
      </w:r>
      <w:proofErr w:type="spellStart"/>
      <w:r w:rsidRPr="7F9B035C">
        <w:rPr>
          <w:rFonts w:ascii="Verdana" w:hAnsi="Verdana"/>
          <w:sz w:val="20"/>
          <w:szCs w:val="20"/>
          <w:lang w:val="es-CR"/>
        </w:rPr>
        <w:t>Maynor</w:t>
      </w:r>
      <w:proofErr w:type="spellEnd"/>
      <w:r w:rsidRPr="7F9B035C">
        <w:rPr>
          <w:rFonts w:ascii="Verdana" w:hAnsi="Verdana"/>
          <w:sz w:val="20"/>
          <w:szCs w:val="20"/>
          <w:lang w:val="es-CR"/>
        </w:rPr>
        <w:t xml:space="preserve"> Estuardo Alvarado Galeano, Karla Lorena Campos Flores, Natividad Sales Calmo y Tomás Grave </w:t>
      </w:r>
      <w:proofErr w:type="spellStart"/>
      <w:r w:rsidRPr="7F9B035C">
        <w:rPr>
          <w:rFonts w:ascii="Verdana" w:hAnsi="Verdana"/>
          <w:sz w:val="20"/>
          <w:szCs w:val="20"/>
          <w:lang w:val="es-CR"/>
        </w:rPr>
        <w:t>Morente</w:t>
      </w:r>
      <w:proofErr w:type="spellEnd"/>
      <w:r w:rsidRPr="7F9B035C">
        <w:rPr>
          <w:rFonts w:ascii="Verdana" w:hAnsi="Verdana"/>
          <w:sz w:val="20"/>
          <w:szCs w:val="20"/>
          <w:lang w:val="es-CR"/>
        </w:rPr>
        <w:t>, la obligación de garantizar sus derechos, a través de los mecanismos internos existentes para ello que, según el caso, pudieren ser procedente</w:t>
      </w:r>
      <w:r w:rsidR="00F82185">
        <w:rPr>
          <w:rFonts w:ascii="Verdana" w:hAnsi="Verdana"/>
          <w:sz w:val="20"/>
          <w:szCs w:val="20"/>
          <w:lang w:val="es-CR"/>
        </w:rPr>
        <w:t>s</w:t>
      </w:r>
      <w:r w:rsidRPr="000A6417">
        <w:rPr>
          <w:rFonts w:ascii="Verdana" w:hAnsi="Verdana"/>
          <w:bCs/>
          <w:sz w:val="20"/>
          <w:szCs w:val="20"/>
          <w:lang w:val="es-CR"/>
        </w:rPr>
        <w:t>, así como de investigar, en su caso, hechos violatorios de sus derechos.</w:t>
      </w:r>
    </w:p>
    <w:p w14:paraId="6D98A12B" w14:textId="77777777" w:rsidR="006808A7" w:rsidRDefault="006808A7" w:rsidP="006808A7">
      <w:pPr>
        <w:tabs>
          <w:tab w:val="left" w:pos="0"/>
        </w:tabs>
        <w:spacing w:after="0" w:line="20" w:lineRule="atLeast"/>
        <w:jc w:val="both"/>
        <w:rPr>
          <w:rFonts w:ascii="Verdana" w:hAnsi="Verdana"/>
          <w:b/>
          <w:sz w:val="20"/>
          <w:szCs w:val="20"/>
          <w:lang w:val="es-MX"/>
        </w:rPr>
      </w:pPr>
    </w:p>
    <w:p w14:paraId="1EF6488D" w14:textId="77777777" w:rsidR="006808A7" w:rsidRDefault="006808A7" w:rsidP="006808A7">
      <w:pPr>
        <w:tabs>
          <w:tab w:val="left" w:pos="0"/>
        </w:tabs>
        <w:spacing w:after="0" w:line="20" w:lineRule="atLeast"/>
        <w:jc w:val="both"/>
        <w:rPr>
          <w:rFonts w:ascii="Verdana" w:hAnsi="Verdana"/>
          <w:b/>
          <w:sz w:val="20"/>
          <w:szCs w:val="20"/>
          <w:lang w:val="es-MX"/>
        </w:rPr>
      </w:pPr>
      <w:r>
        <w:rPr>
          <w:rFonts w:ascii="Verdana" w:hAnsi="Verdana"/>
          <w:b/>
          <w:sz w:val="20"/>
          <w:szCs w:val="20"/>
          <w:lang w:val="es-MX"/>
        </w:rPr>
        <w:t>POR TANTO:</w:t>
      </w:r>
    </w:p>
    <w:p w14:paraId="2946DB82" w14:textId="77777777" w:rsidR="006808A7" w:rsidRDefault="006808A7" w:rsidP="006808A7">
      <w:pPr>
        <w:tabs>
          <w:tab w:val="left" w:pos="0"/>
        </w:tabs>
        <w:spacing w:after="0" w:line="20" w:lineRule="atLeast"/>
        <w:jc w:val="both"/>
        <w:rPr>
          <w:rFonts w:ascii="Verdana" w:hAnsi="Verdana"/>
          <w:b/>
          <w:sz w:val="20"/>
          <w:szCs w:val="20"/>
          <w:lang w:val="es-MX"/>
        </w:rPr>
      </w:pPr>
    </w:p>
    <w:p w14:paraId="3AC1CF62" w14:textId="77777777" w:rsidR="006808A7" w:rsidRDefault="006808A7" w:rsidP="006808A7">
      <w:pPr>
        <w:tabs>
          <w:tab w:val="left" w:pos="0"/>
        </w:tabs>
        <w:spacing w:after="0" w:line="20" w:lineRule="atLeast"/>
        <w:jc w:val="both"/>
        <w:rPr>
          <w:rFonts w:ascii="Verdana" w:hAnsi="Verdana"/>
          <w:b/>
          <w:sz w:val="20"/>
          <w:szCs w:val="20"/>
          <w:lang w:val="es-MX"/>
        </w:rPr>
      </w:pPr>
      <w:r>
        <w:rPr>
          <w:rFonts w:ascii="Verdana" w:hAnsi="Verdana"/>
          <w:b/>
          <w:sz w:val="20"/>
          <w:szCs w:val="20"/>
          <w:lang w:val="es-MX"/>
        </w:rPr>
        <w:t>LA CORTE INTERAMERICANA DE DERECHOS HUMANOS</w:t>
      </w:r>
    </w:p>
    <w:p w14:paraId="5997CC1D" w14:textId="77777777" w:rsidR="006808A7" w:rsidRDefault="006808A7" w:rsidP="006808A7">
      <w:pPr>
        <w:tabs>
          <w:tab w:val="left" w:pos="0"/>
        </w:tabs>
        <w:spacing w:after="0" w:line="20" w:lineRule="atLeast"/>
        <w:jc w:val="both"/>
        <w:rPr>
          <w:rFonts w:ascii="Verdana" w:hAnsi="Verdana"/>
          <w:sz w:val="20"/>
          <w:szCs w:val="20"/>
          <w:lang w:val="es-MX"/>
        </w:rPr>
      </w:pPr>
    </w:p>
    <w:p w14:paraId="665B6F4C" w14:textId="160D7BA2" w:rsidR="006808A7" w:rsidRDefault="006808A7" w:rsidP="006808A7">
      <w:pPr>
        <w:tabs>
          <w:tab w:val="left" w:pos="0"/>
        </w:tabs>
        <w:spacing w:after="0" w:line="20" w:lineRule="atLeast"/>
        <w:jc w:val="both"/>
        <w:rPr>
          <w:rFonts w:ascii="Verdana" w:hAnsi="Verdana"/>
          <w:sz w:val="20"/>
          <w:szCs w:val="20"/>
          <w:lang w:val="es-MX"/>
        </w:rPr>
      </w:pPr>
      <w:r w:rsidRPr="00B32B7C">
        <w:rPr>
          <w:rFonts w:ascii="Verdana" w:hAnsi="Verdana"/>
          <w:sz w:val="20"/>
          <w:szCs w:val="20"/>
          <w:lang w:val="es-MX"/>
        </w:rPr>
        <w:t>En ejercicio de sus atribuciones de conformidad con los artículos 63.2 de la Convención Americana, y los artículos 27 y 31 del Reglamento de</w:t>
      </w:r>
      <w:r w:rsidR="00540723">
        <w:rPr>
          <w:rFonts w:ascii="Verdana" w:hAnsi="Verdana"/>
          <w:sz w:val="20"/>
          <w:szCs w:val="20"/>
          <w:lang w:val="es-MX"/>
        </w:rPr>
        <w:t xml:space="preserve"> </w:t>
      </w:r>
      <w:r w:rsidRPr="00B32B7C">
        <w:rPr>
          <w:rFonts w:ascii="Verdana" w:hAnsi="Verdana"/>
          <w:sz w:val="20"/>
          <w:szCs w:val="20"/>
          <w:lang w:val="es-MX"/>
        </w:rPr>
        <w:t>l</w:t>
      </w:r>
      <w:r w:rsidR="00540723">
        <w:rPr>
          <w:rFonts w:ascii="Verdana" w:hAnsi="Verdana"/>
          <w:sz w:val="20"/>
          <w:szCs w:val="20"/>
          <w:lang w:val="es-MX"/>
        </w:rPr>
        <w:t>a Corte</w:t>
      </w:r>
      <w:r w:rsidRPr="00B32B7C">
        <w:rPr>
          <w:rFonts w:ascii="Verdana" w:hAnsi="Verdana"/>
          <w:sz w:val="20"/>
          <w:szCs w:val="20"/>
          <w:lang w:val="es-MX"/>
        </w:rPr>
        <w:t>,</w:t>
      </w:r>
    </w:p>
    <w:p w14:paraId="110FFD37" w14:textId="77777777" w:rsidR="006808A7" w:rsidRDefault="006808A7" w:rsidP="006808A7">
      <w:pPr>
        <w:tabs>
          <w:tab w:val="left" w:pos="0"/>
        </w:tabs>
        <w:spacing w:after="0" w:line="20" w:lineRule="atLeast"/>
        <w:jc w:val="both"/>
        <w:rPr>
          <w:rFonts w:ascii="Verdana" w:hAnsi="Verdana"/>
          <w:b/>
          <w:sz w:val="20"/>
          <w:szCs w:val="20"/>
          <w:lang w:val="es-MX"/>
        </w:rPr>
      </w:pPr>
    </w:p>
    <w:p w14:paraId="64FB7D25" w14:textId="77777777" w:rsidR="006808A7" w:rsidRDefault="006808A7" w:rsidP="006808A7">
      <w:pPr>
        <w:tabs>
          <w:tab w:val="left" w:pos="0"/>
        </w:tabs>
        <w:spacing w:after="0" w:line="20" w:lineRule="atLeast"/>
        <w:jc w:val="both"/>
        <w:rPr>
          <w:rFonts w:ascii="Verdana" w:hAnsi="Verdana"/>
          <w:b/>
          <w:sz w:val="20"/>
          <w:szCs w:val="20"/>
          <w:lang w:val="es-MX"/>
        </w:rPr>
      </w:pPr>
      <w:r>
        <w:rPr>
          <w:rFonts w:ascii="Verdana" w:hAnsi="Verdana"/>
          <w:b/>
          <w:sz w:val="20"/>
          <w:szCs w:val="20"/>
          <w:lang w:val="es-MX"/>
        </w:rPr>
        <w:t xml:space="preserve">RESUELVE: </w:t>
      </w:r>
    </w:p>
    <w:p w14:paraId="6B699379" w14:textId="77777777" w:rsidR="006808A7" w:rsidRDefault="006808A7" w:rsidP="006808A7">
      <w:pPr>
        <w:tabs>
          <w:tab w:val="left" w:pos="0"/>
        </w:tabs>
        <w:spacing w:after="0" w:line="20" w:lineRule="atLeast"/>
        <w:jc w:val="both"/>
        <w:rPr>
          <w:rFonts w:ascii="Verdana" w:hAnsi="Verdana"/>
          <w:b/>
          <w:sz w:val="20"/>
          <w:szCs w:val="20"/>
          <w:lang w:val="es-MX"/>
        </w:rPr>
      </w:pPr>
    </w:p>
    <w:p w14:paraId="1AD742D6" w14:textId="77777777" w:rsidR="006808A7" w:rsidRDefault="006808A7" w:rsidP="006808A7">
      <w:pPr>
        <w:pStyle w:val="ListParagraph"/>
        <w:numPr>
          <w:ilvl w:val="0"/>
          <w:numId w:val="4"/>
        </w:numPr>
        <w:tabs>
          <w:tab w:val="left" w:pos="0"/>
        </w:tabs>
        <w:spacing w:after="0" w:line="20" w:lineRule="atLeast"/>
        <w:ind w:left="0" w:firstLine="0"/>
        <w:jc w:val="both"/>
        <w:rPr>
          <w:rFonts w:ascii="Verdana" w:hAnsi="Verdana"/>
          <w:sz w:val="20"/>
          <w:szCs w:val="20"/>
          <w:lang w:val="es-MX"/>
        </w:rPr>
      </w:pPr>
      <w:r>
        <w:rPr>
          <w:rFonts w:ascii="Verdana" w:hAnsi="Verdana"/>
          <w:sz w:val="20"/>
          <w:szCs w:val="20"/>
          <w:lang w:val="es-MX"/>
        </w:rPr>
        <w:t xml:space="preserve">Levantar las medidas provisionales ordenadas a favor de </w:t>
      </w:r>
      <w:r w:rsidRPr="0071381D">
        <w:rPr>
          <w:rFonts w:ascii="Verdana" w:hAnsi="Verdana" w:cs="Verdana"/>
          <w:color w:val="000000"/>
          <w:sz w:val="20"/>
          <w:szCs w:val="20"/>
          <w:lang w:val="es-MX"/>
        </w:rPr>
        <w:t xml:space="preserve">Efraín Grave </w:t>
      </w:r>
      <w:proofErr w:type="spellStart"/>
      <w:r w:rsidRPr="0071381D">
        <w:rPr>
          <w:rFonts w:ascii="Verdana" w:hAnsi="Verdana" w:cs="Verdana"/>
          <w:color w:val="000000"/>
          <w:sz w:val="20"/>
          <w:szCs w:val="20"/>
          <w:lang w:val="es-MX"/>
        </w:rPr>
        <w:t>Morente</w:t>
      </w:r>
      <w:proofErr w:type="spellEnd"/>
      <w:r w:rsidRPr="0071381D">
        <w:rPr>
          <w:rFonts w:ascii="Verdana" w:hAnsi="Verdana" w:cs="Verdana"/>
          <w:color w:val="000000"/>
          <w:sz w:val="20"/>
          <w:szCs w:val="20"/>
          <w:lang w:val="es-MX"/>
        </w:rPr>
        <w:t xml:space="preserve">, </w:t>
      </w:r>
      <w:proofErr w:type="spellStart"/>
      <w:r w:rsidRPr="0071381D">
        <w:rPr>
          <w:rFonts w:ascii="Verdana" w:hAnsi="Verdana" w:cs="Verdana"/>
          <w:color w:val="000000"/>
          <w:sz w:val="20"/>
          <w:szCs w:val="20"/>
          <w:lang w:val="es-MX"/>
        </w:rPr>
        <w:t>Maynor</w:t>
      </w:r>
      <w:proofErr w:type="spellEnd"/>
      <w:r w:rsidRPr="0071381D">
        <w:rPr>
          <w:rFonts w:ascii="Verdana" w:hAnsi="Verdana" w:cs="Verdana"/>
          <w:color w:val="000000"/>
          <w:sz w:val="20"/>
          <w:szCs w:val="20"/>
          <w:lang w:val="es-MX"/>
        </w:rPr>
        <w:t xml:space="preserve"> Estuardo Alvarado Galeano, Karla Lorena Campos Flores, Natividad Sales Calmo y Tomás Grave </w:t>
      </w:r>
      <w:proofErr w:type="spellStart"/>
      <w:r w:rsidRPr="0071381D">
        <w:rPr>
          <w:rFonts w:ascii="Verdana" w:hAnsi="Verdana" w:cs="Verdana"/>
          <w:color w:val="000000"/>
          <w:sz w:val="20"/>
          <w:szCs w:val="20"/>
          <w:lang w:val="es-MX"/>
        </w:rPr>
        <w:t>Morente</w:t>
      </w:r>
      <w:proofErr w:type="spellEnd"/>
      <w:r w:rsidRPr="0071381D">
        <w:rPr>
          <w:rFonts w:ascii="Verdana" w:hAnsi="Verdana" w:cs="Verdana"/>
          <w:color w:val="000000"/>
          <w:sz w:val="20"/>
          <w:szCs w:val="20"/>
          <w:lang w:val="es-MX"/>
        </w:rPr>
        <w:t>.</w:t>
      </w:r>
    </w:p>
    <w:p w14:paraId="3FE9F23F" w14:textId="77777777" w:rsidR="006808A7" w:rsidRPr="0071381D" w:rsidRDefault="006808A7" w:rsidP="006808A7">
      <w:pPr>
        <w:pStyle w:val="ListParagraph"/>
        <w:tabs>
          <w:tab w:val="left" w:pos="0"/>
        </w:tabs>
        <w:spacing w:after="0" w:line="20" w:lineRule="atLeast"/>
        <w:ind w:left="0"/>
        <w:jc w:val="both"/>
        <w:rPr>
          <w:rFonts w:ascii="Verdana" w:hAnsi="Verdana"/>
          <w:sz w:val="20"/>
          <w:szCs w:val="20"/>
          <w:lang w:val="es-MX"/>
        </w:rPr>
      </w:pPr>
    </w:p>
    <w:p w14:paraId="5AE3894F" w14:textId="77777777" w:rsidR="006808A7" w:rsidRDefault="006808A7" w:rsidP="006808A7">
      <w:pPr>
        <w:pStyle w:val="ListParagraph"/>
        <w:numPr>
          <w:ilvl w:val="0"/>
          <w:numId w:val="4"/>
        </w:numPr>
        <w:tabs>
          <w:tab w:val="left" w:pos="0"/>
        </w:tabs>
        <w:spacing w:after="0" w:line="20" w:lineRule="atLeast"/>
        <w:ind w:left="0" w:firstLine="0"/>
        <w:jc w:val="both"/>
        <w:rPr>
          <w:rFonts w:ascii="Verdana" w:hAnsi="Verdana"/>
          <w:sz w:val="20"/>
          <w:szCs w:val="20"/>
          <w:lang w:val="es-MX"/>
        </w:rPr>
      </w:pPr>
      <w:r>
        <w:rPr>
          <w:rFonts w:ascii="Verdana" w:hAnsi="Verdana"/>
          <w:sz w:val="20"/>
          <w:szCs w:val="20"/>
          <w:lang w:val="es-MX"/>
        </w:rPr>
        <w:t>Indicar que e</w:t>
      </w:r>
      <w:r w:rsidRPr="0071381D">
        <w:rPr>
          <w:rFonts w:ascii="Verdana" w:hAnsi="Verdana"/>
          <w:sz w:val="20"/>
          <w:szCs w:val="20"/>
          <w:lang w:val="es-MX"/>
        </w:rPr>
        <w:t xml:space="preserve">n los términos del artículo 1.1 de la Convención Americana sobre Derechos Humanos, el levantamiento de las medidas provisionales en este caso no implica que el Estado quede relevado de sus obligaciones convencionales de protección, de conformidad con el Considerando </w:t>
      </w:r>
      <w:r>
        <w:rPr>
          <w:rFonts w:ascii="Verdana" w:hAnsi="Verdana"/>
          <w:sz w:val="20"/>
          <w:szCs w:val="20"/>
          <w:lang w:val="es-MX"/>
        </w:rPr>
        <w:t>18</w:t>
      </w:r>
      <w:r w:rsidRPr="0071381D">
        <w:rPr>
          <w:rFonts w:ascii="Verdana" w:hAnsi="Verdana"/>
          <w:sz w:val="20"/>
          <w:szCs w:val="20"/>
          <w:lang w:val="es-MX"/>
        </w:rPr>
        <w:t xml:space="preserve"> de la presente Resolución. </w:t>
      </w:r>
    </w:p>
    <w:p w14:paraId="1F72F646" w14:textId="77777777" w:rsidR="006808A7" w:rsidRPr="0071381D" w:rsidRDefault="006808A7" w:rsidP="006808A7">
      <w:pPr>
        <w:pStyle w:val="ListParagraph"/>
        <w:tabs>
          <w:tab w:val="left" w:pos="0"/>
        </w:tabs>
        <w:spacing w:after="0" w:line="20" w:lineRule="atLeast"/>
        <w:ind w:left="0"/>
        <w:jc w:val="both"/>
        <w:rPr>
          <w:rFonts w:ascii="Verdana" w:hAnsi="Verdana"/>
          <w:sz w:val="20"/>
          <w:szCs w:val="20"/>
          <w:lang w:val="es-MX"/>
        </w:rPr>
      </w:pPr>
    </w:p>
    <w:p w14:paraId="08CE6F91" w14:textId="22452820" w:rsidR="006808A7" w:rsidRPr="000A6417" w:rsidRDefault="006808A7" w:rsidP="006808A7">
      <w:pPr>
        <w:pStyle w:val="Default"/>
        <w:numPr>
          <w:ilvl w:val="0"/>
          <w:numId w:val="4"/>
        </w:numPr>
        <w:tabs>
          <w:tab w:val="left" w:pos="0"/>
        </w:tabs>
        <w:spacing w:line="20" w:lineRule="atLeast"/>
        <w:ind w:left="0" w:firstLine="0"/>
        <w:jc w:val="both"/>
        <w:rPr>
          <w:sz w:val="20"/>
          <w:szCs w:val="20"/>
          <w:lang w:val="es-MX"/>
        </w:rPr>
      </w:pPr>
      <w:r w:rsidRPr="000A6417">
        <w:rPr>
          <w:sz w:val="20"/>
          <w:szCs w:val="20"/>
          <w:lang w:val="es-MX"/>
        </w:rPr>
        <w:t xml:space="preserve">Disponer que la Secretaría de la Corte Interamericana de Derechos Humanos notifique la presente Resolución a Guatemala, a la Comisión Interamericana de Derechos Humanos y a las representantes. </w:t>
      </w:r>
    </w:p>
    <w:p w14:paraId="2F05BCF4" w14:textId="77777777" w:rsidR="00051D76" w:rsidRPr="00051D76" w:rsidRDefault="00051D76" w:rsidP="00051D76">
      <w:pPr>
        <w:ind w:left="360"/>
        <w:jc w:val="both"/>
        <w:rPr>
          <w:rFonts w:ascii="Verdana" w:hAnsi="Verdana"/>
          <w:sz w:val="20"/>
          <w:lang w:val="es-ES"/>
        </w:rPr>
      </w:pPr>
    </w:p>
    <w:p w14:paraId="0A2EB73C" w14:textId="77777777" w:rsidR="00051D76" w:rsidRPr="00051D76" w:rsidRDefault="00051D76" w:rsidP="00051D76">
      <w:pPr>
        <w:ind w:left="360"/>
        <w:jc w:val="both"/>
        <w:rPr>
          <w:rFonts w:ascii="Verdana" w:hAnsi="Verdana"/>
          <w:sz w:val="20"/>
          <w:lang w:val="es-ES"/>
        </w:rPr>
      </w:pPr>
      <w:r w:rsidRPr="00051D76">
        <w:rPr>
          <w:rFonts w:ascii="Verdana" w:hAnsi="Verdana"/>
          <w:sz w:val="20"/>
          <w:lang w:val="es-ES"/>
        </w:rPr>
        <w:t xml:space="preserve">Corte IDH. </w:t>
      </w:r>
      <w:r w:rsidRPr="00051D76">
        <w:rPr>
          <w:rFonts w:ascii="Verdana" w:hAnsi="Verdana"/>
          <w:i/>
          <w:sz w:val="20"/>
          <w:lang w:val="es-ES"/>
        </w:rPr>
        <w:t xml:space="preserve">Caso </w:t>
      </w:r>
      <w:proofErr w:type="spellStart"/>
      <w:r w:rsidRPr="00051D76">
        <w:rPr>
          <w:rFonts w:ascii="Verdana" w:hAnsi="Verdana"/>
          <w:i/>
          <w:sz w:val="20"/>
          <w:lang w:val="es-ES"/>
        </w:rPr>
        <w:t>Coc</w:t>
      </w:r>
      <w:proofErr w:type="spellEnd"/>
      <w:r w:rsidRPr="00051D76">
        <w:rPr>
          <w:rFonts w:ascii="Verdana" w:hAnsi="Verdana"/>
          <w:i/>
          <w:sz w:val="20"/>
          <w:lang w:val="es-ES"/>
        </w:rPr>
        <w:t xml:space="preserve"> Max y otros Vs. Guatemala.</w:t>
      </w:r>
      <w:r w:rsidRPr="00051D76">
        <w:rPr>
          <w:rFonts w:ascii="Verdana" w:hAnsi="Verdana"/>
          <w:sz w:val="20"/>
          <w:lang w:val="es-ES"/>
        </w:rPr>
        <w:t xml:space="preserve"> Medidas Provisionales. Resolución de la Corte Interamericana de Derechos Humanos de 6 de febrero de 2019.</w:t>
      </w:r>
    </w:p>
    <w:p w14:paraId="3D381D10" w14:textId="77777777" w:rsidR="00051D76" w:rsidRPr="00051D76" w:rsidRDefault="00051D76" w:rsidP="00051D76">
      <w:pPr>
        <w:ind w:left="360"/>
        <w:rPr>
          <w:rFonts w:ascii="Verdana" w:hAnsi="Verdana"/>
          <w:strike/>
          <w:sz w:val="20"/>
          <w:lang w:val="pt-BR"/>
        </w:rPr>
      </w:pPr>
    </w:p>
    <w:p w14:paraId="3F5D4BCD" w14:textId="77777777" w:rsidR="00051D76" w:rsidRPr="00051D76" w:rsidRDefault="00051D76" w:rsidP="00051D76">
      <w:pPr>
        <w:spacing w:after="0"/>
        <w:ind w:left="360"/>
        <w:jc w:val="center"/>
        <w:rPr>
          <w:rFonts w:ascii="Verdana" w:hAnsi="Verdana"/>
          <w:sz w:val="20"/>
          <w:lang w:val="pt-BR"/>
        </w:rPr>
      </w:pPr>
    </w:p>
    <w:p w14:paraId="7931DBB9" w14:textId="77777777" w:rsidR="00051D76" w:rsidRPr="00051D76" w:rsidRDefault="00051D76" w:rsidP="00051D76">
      <w:pPr>
        <w:spacing w:after="0"/>
        <w:ind w:left="360"/>
        <w:rPr>
          <w:rFonts w:ascii="Verdana" w:hAnsi="Verdana"/>
          <w:sz w:val="20"/>
          <w:lang w:val="pt-BR"/>
        </w:rPr>
      </w:pPr>
    </w:p>
    <w:p w14:paraId="08C749C3" w14:textId="77777777" w:rsidR="00051D76" w:rsidRPr="00051D76" w:rsidRDefault="00051D76" w:rsidP="00051D76">
      <w:pPr>
        <w:spacing w:after="0"/>
        <w:ind w:left="360"/>
        <w:jc w:val="center"/>
        <w:rPr>
          <w:rFonts w:ascii="Verdana" w:hAnsi="Verdana"/>
          <w:sz w:val="20"/>
          <w:lang w:val="pt-BR"/>
        </w:rPr>
      </w:pPr>
      <w:r w:rsidRPr="00051D76">
        <w:rPr>
          <w:rFonts w:ascii="Verdana" w:hAnsi="Verdana"/>
          <w:sz w:val="20"/>
          <w:lang w:val="pt-BR"/>
        </w:rPr>
        <w:t>Eduardo Ferrer Mac-Gregor Poisot</w:t>
      </w:r>
    </w:p>
    <w:p w14:paraId="60657390" w14:textId="77777777" w:rsidR="00051D76" w:rsidRPr="00051D76" w:rsidRDefault="00051D76" w:rsidP="00051D76">
      <w:pPr>
        <w:spacing w:after="0"/>
        <w:ind w:left="360"/>
        <w:jc w:val="center"/>
        <w:rPr>
          <w:rFonts w:ascii="Verdana" w:hAnsi="Verdana"/>
          <w:sz w:val="20"/>
          <w:lang w:val="es-CR"/>
        </w:rPr>
      </w:pPr>
      <w:r w:rsidRPr="00051D76">
        <w:rPr>
          <w:rFonts w:ascii="Verdana" w:hAnsi="Verdana"/>
          <w:sz w:val="20"/>
          <w:lang w:val="es-ES"/>
        </w:rPr>
        <w:t xml:space="preserve">Presidente </w:t>
      </w:r>
    </w:p>
    <w:p w14:paraId="2F0F3E38" w14:textId="77777777" w:rsidR="00051D76" w:rsidRPr="00051D76" w:rsidRDefault="00051D76" w:rsidP="00051D76">
      <w:pPr>
        <w:spacing w:after="0"/>
        <w:ind w:left="360"/>
        <w:rPr>
          <w:rFonts w:ascii="Verdana" w:hAnsi="Verdana"/>
          <w:sz w:val="20"/>
          <w:lang w:val="es-CR"/>
        </w:rPr>
      </w:pPr>
    </w:p>
    <w:p w14:paraId="0D642045" w14:textId="77777777" w:rsidR="00051D76" w:rsidRPr="00051D76" w:rsidRDefault="00051D76" w:rsidP="00051D76">
      <w:pPr>
        <w:spacing w:after="0"/>
        <w:ind w:left="360"/>
        <w:rPr>
          <w:rFonts w:ascii="Verdana" w:hAnsi="Verdana"/>
          <w:sz w:val="20"/>
          <w:lang w:val="es-CR"/>
        </w:rPr>
      </w:pPr>
    </w:p>
    <w:p w14:paraId="5536A60C" w14:textId="77777777" w:rsidR="00051D76" w:rsidRPr="00051D76" w:rsidRDefault="00051D76" w:rsidP="00051D76">
      <w:pPr>
        <w:spacing w:after="0"/>
        <w:ind w:left="360"/>
        <w:rPr>
          <w:rFonts w:ascii="Verdana" w:hAnsi="Verdana"/>
          <w:sz w:val="20"/>
          <w:lang w:val="es-CR"/>
        </w:rPr>
      </w:pPr>
    </w:p>
    <w:p w14:paraId="2C8CEFEE" w14:textId="77777777" w:rsidR="00051D76" w:rsidRPr="00051D76" w:rsidRDefault="00051D76" w:rsidP="00051D76">
      <w:pPr>
        <w:spacing w:after="0"/>
        <w:ind w:left="360"/>
        <w:rPr>
          <w:rFonts w:ascii="Verdana" w:hAnsi="Verdana"/>
          <w:sz w:val="20"/>
          <w:lang w:val="es-CR"/>
        </w:rPr>
      </w:pPr>
    </w:p>
    <w:p w14:paraId="35DD4192" w14:textId="77777777" w:rsidR="00051D76" w:rsidRPr="00051D76" w:rsidRDefault="00051D76" w:rsidP="00051D76">
      <w:pPr>
        <w:spacing w:after="0"/>
        <w:ind w:left="360"/>
        <w:rPr>
          <w:rFonts w:ascii="Verdana" w:hAnsi="Verdana"/>
          <w:sz w:val="20"/>
          <w:lang w:val="es-CR"/>
        </w:rPr>
      </w:pPr>
    </w:p>
    <w:p w14:paraId="04295C27" w14:textId="47AD262F" w:rsidR="00051D76" w:rsidRPr="00051D76" w:rsidRDefault="00051D76" w:rsidP="00051D76">
      <w:pPr>
        <w:spacing w:after="0"/>
        <w:ind w:left="360"/>
        <w:rPr>
          <w:rFonts w:ascii="Verdana" w:hAnsi="Verdana"/>
          <w:sz w:val="20"/>
          <w:lang w:val="es-CR"/>
        </w:rPr>
      </w:pPr>
      <w:r w:rsidRPr="00051D76">
        <w:rPr>
          <w:rFonts w:ascii="Verdana" w:hAnsi="Verdana"/>
          <w:sz w:val="20"/>
          <w:lang w:val="es-CR"/>
        </w:rPr>
        <w:t xml:space="preserve"> Eduardo Vio Grossi</w:t>
      </w:r>
      <w:r>
        <w:rPr>
          <w:rFonts w:ascii="Verdana" w:hAnsi="Verdana"/>
          <w:sz w:val="20"/>
          <w:lang w:val="es-CR"/>
        </w:rPr>
        <w:t xml:space="preserve">    </w:t>
      </w:r>
      <w:r w:rsidRPr="00051D76">
        <w:rPr>
          <w:rFonts w:ascii="Verdana" w:hAnsi="Verdana"/>
          <w:sz w:val="20"/>
          <w:lang w:val="es-CR"/>
        </w:rPr>
        <w:tab/>
      </w:r>
      <w:r w:rsidRPr="00051D76">
        <w:rPr>
          <w:rFonts w:ascii="Verdana" w:hAnsi="Verdana"/>
          <w:sz w:val="20"/>
          <w:lang w:val="es-CR"/>
        </w:rPr>
        <w:tab/>
      </w:r>
      <w:r w:rsidRPr="00051D76">
        <w:rPr>
          <w:rFonts w:ascii="Verdana" w:hAnsi="Verdana"/>
          <w:sz w:val="20"/>
          <w:lang w:val="es-CR"/>
        </w:rPr>
        <w:tab/>
      </w:r>
      <w:r w:rsidRPr="00051D76">
        <w:rPr>
          <w:rFonts w:ascii="Verdana" w:hAnsi="Verdana"/>
          <w:sz w:val="20"/>
          <w:lang w:val="es-CR"/>
        </w:rPr>
        <w:tab/>
        <w:t xml:space="preserve">              </w:t>
      </w:r>
      <w:r>
        <w:rPr>
          <w:rFonts w:ascii="Verdana" w:hAnsi="Verdana"/>
          <w:sz w:val="20"/>
          <w:lang w:val="es-CR"/>
        </w:rPr>
        <w:t xml:space="preserve">            </w:t>
      </w:r>
      <w:r w:rsidRPr="00051D76">
        <w:rPr>
          <w:rFonts w:ascii="Verdana" w:hAnsi="Verdana"/>
          <w:sz w:val="20"/>
          <w:lang w:val="es-ES"/>
        </w:rPr>
        <w:t xml:space="preserve">Humberto </w:t>
      </w:r>
      <w:r w:rsidRPr="00051D76">
        <w:rPr>
          <w:rFonts w:ascii="Verdana" w:hAnsi="Verdana"/>
          <w:caps/>
          <w:sz w:val="20"/>
          <w:lang w:val="es-ES"/>
        </w:rPr>
        <w:t xml:space="preserve">A. </w:t>
      </w:r>
      <w:r w:rsidRPr="00051D76">
        <w:rPr>
          <w:rFonts w:ascii="Verdana" w:hAnsi="Verdana"/>
          <w:sz w:val="20"/>
          <w:lang w:val="es-ES"/>
        </w:rPr>
        <w:t>Sierra Porto</w:t>
      </w:r>
    </w:p>
    <w:p w14:paraId="23B83D4E" w14:textId="77777777" w:rsidR="00051D76" w:rsidRPr="00051D76" w:rsidRDefault="00051D76" w:rsidP="00051D76">
      <w:pPr>
        <w:spacing w:after="0"/>
        <w:ind w:left="360"/>
        <w:rPr>
          <w:rFonts w:ascii="Verdana" w:hAnsi="Verdana"/>
          <w:sz w:val="20"/>
          <w:lang w:val="es-ES"/>
        </w:rPr>
      </w:pPr>
    </w:p>
    <w:p w14:paraId="6E14968D" w14:textId="77777777" w:rsidR="00051D76" w:rsidRPr="00051D76" w:rsidRDefault="00051D76" w:rsidP="00051D76">
      <w:pPr>
        <w:spacing w:after="0"/>
        <w:ind w:left="360"/>
        <w:rPr>
          <w:rFonts w:ascii="Verdana" w:hAnsi="Verdana"/>
          <w:sz w:val="20"/>
          <w:lang w:val="es-ES"/>
        </w:rPr>
      </w:pPr>
    </w:p>
    <w:p w14:paraId="26E0886D" w14:textId="77777777" w:rsidR="00051D76" w:rsidRPr="00051D76" w:rsidRDefault="00051D76" w:rsidP="00051D76">
      <w:pPr>
        <w:spacing w:after="0"/>
        <w:ind w:left="360"/>
        <w:rPr>
          <w:rFonts w:ascii="Verdana" w:hAnsi="Verdana"/>
          <w:sz w:val="20"/>
          <w:lang w:val="es-ES"/>
        </w:rPr>
      </w:pPr>
    </w:p>
    <w:p w14:paraId="0EDE71FA" w14:textId="77777777" w:rsidR="00051D76" w:rsidRPr="00051D76" w:rsidRDefault="00051D76" w:rsidP="00051D76">
      <w:pPr>
        <w:spacing w:after="0"/>
        <w:ind w:left="360"/>
        <w:rPr>
          <w:rFonts w:ascii="Verdana" w:hAnsi="Verdana"/>
          <w:sz w:val="20"/>
          <w:lang w:val="es-ES"/>
        </w:rPr>
      </w:pPr>
    </w:p>
    <w:p w14:paraId="06C73607" w14:textId="209D2550" w:rsidR="00051D76" w:rsidRPr="00051D76" w:rsidRDefault="00051D76" w:rsidP="00051D76">
      <w:pPr>
        <w:spacing w:after="0"/>
        <w:ind w:left="360"/>
        <w:rPr>
          <w:rFonts w:ascii="Verdana" w:hAnsi="Verdana"/>
          <w:sz w:val="20"/>
          <w:lang w:val="es-ES"/>
        </w:rPr>
      </w:pPr>
      <w:r w:rsidRPr="00051D76">
        <w:rPr>
          <w:rFonts w:ascii="Verdana" w:hAnsi="Verdana"/>
          <w:sz w:val="20"/>
          <w:lang w:val="es-ES"/>
        </w:rPr>
        <w:t>Elizabeth Odio Benito</w:t>
      </w:r>
      <w:r w:rsidRPr="00051D76">
        <w:rPr>
          <w:rFonts w:ascii="Verdana" w:hAnsi="Verdana"/>
          <w:sz w:val="20"/>
          <w:lang w:val="es-ES"/>
        </w:rPr>
        <w:tab/>
        <w:t xml:space="preserve">                                     </w:t>
      </w:r>
      <w:r>
        <w:rPr>
          <w:rFonts w:ascii="Verdana" w:hAnsi="Verdana"/>
          <w:sz w:val="20"/>
          <w:lang w:val="es-ES"/>
        </w:rPr>
        <w:t xml:space="preserve">                      </w:t>
      </w:r>
      <w:r w:rsidRPr="00051D76">
        <w:rPr>
          <w:rFonts w:ascii="Verdana" w:hAnsi="Verdana"/>
          <w:sz w:val="20"/>
          <w:lang w:val="es-ES"/>
        </w:rPr>
        <w:t xml:space="preserve">Eugenio Raúl </w:t>
      </w:r>
      <w:proofErr w:type="spellStart"/>
      <w:r w:rsidRPr="00051D76">
        <w:rPr>
          <w:rFonts w:ascii="Verdana" w:hAnsi="Verdana"/>
          <w:sz w:val="20"/>
          <w:lang w:val="es-ES"/>
        </w:rPr>
        <w:t>Zaffaroni</w:t>
      </w:r>
      <w:proofErr w:type="spellEnd"/>
      <w:r w:rsidRPr="00051D76">
        <w:rPr>
          <w:rFonts w:ascii="Verdana" w:hAnsi="Verdana"/>
          <w:sz w:val="20"/>
          <w:lang w:val="es-ES"/>
        </w:rPr>
        <w:tab/>
      </w:r>
    </w:p>
    <w:p w14:paraId="06D75CA4" w14:textId="77777777" w:rsidR="00051D76" w:rsidRPr="00051D76" w:rsidRDefault="00051D76" w:rsidP="00051D76">
      <w:pPr>
        <w:spacing w:after="0"/>
        <w:ind w:left="360"/>
        <w:rPr>
          <w:rFonts w:ascii="Verdana" w:hAnsi="Verdana"/>
          <w:sz w:val="20"/>
          <w:lang w:val="es-ES"/>
        </w:rPr>
      </w:pPr>
    </w:p>
    <w:p w14:paraId="034384F5" w14:textId="77777777" w:rsidR="00051D76" w:rsidRPr="00051D76" w:rsidRDefault="00051D76" w:rsidP="00051D76">
      <w:pPr>
        <w:spacing w:after="0"/>
        <w:ind w:left="360"/>
        <w:rPr>
          <w:rFonts w:ascii="Verdana" w:hAnsi="Verdana"/>
          <w:sz w:val="20"/>
          <w:lang w:val="es-ES"/>
        </w:rPr>
      </w:pPr>
    </w:p>
    <w:p w14:paraId="50506C0A" w14:textId="77777777" w:rsidR="00051D76" w:rsidRPr="00051D76" w:rsidRDefault="00051D76" w:rsidP="00051D76">
      <w:pPr>
        <w:spacing w:after="0"/>
        <w:ind w:left="360"/>
        <w:rPr>
          <w:rFonts w:ascii="Verdana" w:hAnsi="Verdana"/>
          <w:sz w:val="20"/>
          <w:lang w:val="es-ES"/>
        </w:rPr>
      </w:pPr>
    </w:p>
    <w:p w14:paraId="384DAEF3" w14:textId="5B8A6972" w:rsidR="00051D76" w:rsidRPr="00051D76" w:rsidRDefault="00051D76" w:rsidP="00051D76">
      <w:pPr>
        <w:spacing w:after="0"/>
        <w:ind w:left="360"/>
        <w:rPr>
          <w:rFonts w:ascii="Verdana" w:hAnsi="Verdana"/>
          <w:sz w:val="20"/>
          <w:lang w:val="es-ES"/>
        </w:rPr>
      </w:pPr>
      <w:r w:rsidRPr="00051D76">
        <w:rPr>
          <w:rFonts w:ascii="Verdana" w:hAnsi="Verdana"/>
          <w:sz w:val="20"/>
          <w:lang w:val="es-ES"/>
        </w:rPr>
        <w:t xml:space="preserve">L. Patricio Pazmiño Freire                           </w:t>
      </w:r>
      <w:r>
        <w:rPr>
          <w:rFonts w:ascii="Verdana" w:hAnsi="Verdana"/>
          <w:sz w:val="20"/>
          <w:lang w:val="es-ES"/>
        </w:rPr>
        <w:t xml:space="preserve">                          </w:t>
      </w:r>
      <w:r w:rsidRPr="00051D76">
        <w:rPr>
          <w:rFonts w:ascii="Verdana" w:hAnsi="Verdana"/>
          <w:sz w:val="20"/>
          <w:lang w:val="es-ES"/>
        </w:rPr>
        <w:t>Ricardo C. Pérez Manrique</w:t>
      </w:r>
    </w:p>
    <w:p w14:paraId="173D7FAA" w14:textId="77777777" w:rsidR="00051D76" w:rsidRPr="00051D76" w:rsidRDefault="00051D76" w:rsidP="00051D76">
      <w:pPr>
        <w:spacing w:after="0"/>
        <w:ind w:left="360"/>
        <w:rPr>
          <w:rFonts w:ascii="Verdana" w:hAnsi="Verdana"/>
          <w:sz w:val="20"/>
          <w:lang w:val="es-ES"/>
        </w:rPr>
      </w:pPr>
    </w:p>
    <w:p w14:paraId="54913D31" w14:textId="77777777" w:rsidR="00051D76" w:rsidRPr="00051D76" w:rsidRDefault="00051D76" w:rsidP="00051D76">
      <w:pPr>
        <w:spacing w:after="0"/>
        <w:ind w:left="360"/>
        <w:jc w:val="both"/>
        <w:rPr>
          <w:rFonts w:ascii="Verdana" w:hAnsi="Verdana"/>
          <w:sz w:val="20"/>
          <w:lang w:val="es-CR"/>
        </w:rPr>
      </w:pPr>
    </w:p>
    <w:p w14:paraId="62E5547E" w14:textId="77777777" w:rsidR="00051D76" w:rsidRPr="00051D76" w:rsidRDefault="00051D76" w:rsidP="00051D76">
      <w:pPr>
        <w:spacing w:after="0"/>
        <w:ind w:left="360"/>
        <w:jc w:val="both"/>
        <w:rPr>
          <w:rFonts w:ascii="Verdana" w:hAnsi="Verdana"/>
          <w:sz w:val="20"/>
          <w:lang w:val="es-CR"/>
        </w:rPr>
      </w:pPr>
    </w:p>
    <w:p w14:paraId="12E761DC" w14:textId="77777777" w:rsidR="00051D76" w:rsidRPr="00051D76" w:rsidRDefault="00051D76" w:rsidP="00051D76">
      <w:pPr>
        <w:spacing w:after="0"/>
        <w:ind w:left="360"/>
        <w:jc w:val="both"/>
        <w:rPr>
          <w:rFonts w:ascii="Verdana" w:hAnsi="Verdana"/>
          <w:sz w:val="20"/>
          <w:lang w:val="es-CR"/>
        </w:rPr>
      </w:pPr>
    </w:p>
    <w:p w14:paraId="51A1E09B" w14:textId="77777777" w:rsidR="00051D76" w:rsidRPr="00051D76" w:rsidRDefault="00051D76" w:rsidP="00051D76">
      <w:pPr>
        <w:spacing w:after="0"/>
        <w:ind w:left="360"/>
        <w:jc w:val="center"/>
        <w:rPr>
          <w:rFonts w:ascii="Verdana" w:hAnsi="Verdana"/>
          <w:sz w:val="20"/>
          <w:lang w:val="es-ES"/>
        </w:rPr>
      </w:pPr>
      <w:r w:rsidRPr="00051D76">
        <w:rPr>
          <w:rFonts w:ascii="Verdana" w:hAnsi="Verdana"/>
          <w:sz w:val="20"/>
          <w:lang w:val="es-ES"/>
        </w:rPr>
        <w:t>Pablo Saavedra Alessandri</w:t>
      </w:r>
    </w:p>
    <w:p w14:paraId="4A32702D" w14:textId="77777777" w:rsidR="00051D76" w:rsidRPr="00051D76" w:rsidRDefault="00051D76" w:rsidP="00051D76">
      <w:pPr>
        <w:spacing w:after="0"/>
        <w:ind w:left="360"/>
        <w:jc w:val="center"/>
        <w:rPr>
          <w:rFonts w:ascii="Verdana" w:hAnsi="Verdana"/>
          <w:sz w:val="20"/>
          <w:lang w:val="es-ES"/>
        </w:rPr>
      </w:pPr>
      <w:r w:rsidRPr="00051D76">
        <w:rPr>
          <w:rFonts w:ascii="Verdana" w:hAnsi="Verdana"/>
          <w:sz w:val="20"/>
          <w:lang w:val="es-ES"/>
        </w:rPr>
        <w:t>Secretario</w:t>
      </w:r>
    </w:p>
    <w:p w14:paraId="0C064E56" w14:textId="77777777" w:rsidR="00051D76" w:rsidRPr="00051D76" w:rsidRDefault="00051D76" w:rsidP="00051D76">
      <w:pPr>
        <w:spacing w:after="0"/>
        <w:ind w:left="360"/>
        <w:jc w:val="center"/>
        <w:rPr>
          <w:rFonts w:ascii="Verdana" w:hAnsi="Verdana"/>
          <w:sz w:val="20"/>
          <w:lang w:val="es-ES"/>
        </w:rPr>
      </w:pPr>
    </w:p>
    <w:p w14:paraId="68F7E081" w14:textId="77777777" w:rsidR="00051D76" w:rsidRPr="0019261A" w:rsidRDefault="00051D76" w:rsidP="00051D76">
      <w:pPr>
        <w:pStyle w:val="FootnoteText"/>
        <w:ind w:left="360"/>
        <w:rPr>
          <w:rFonts w:ascii="Verdana" w:hAnsi="Verdana"/>
          <w:lang w:val="es-ES"/>
        </w:rPr>
      </w:pPr>
    </w:p>
    <w:p w14:paraId="086C9599" w14:textId="77777777" w:rsidR="00051D76" w:rsidRPr="0019261A" w:rsidRDefault="00051D76" w:rsidP="00051D76">
      <w:pPr>
        <w:pStyle w:val="FootnoteText"/>
        <w:ind w:left="360"/>
        <w:rPr>
          <w:rFonts w:ascii="Verdana" w:hAnsi="Verdana"/>
          <w:lang w:val="es-ES"/>
        </w:rPr>
      </w:pPr>
    </w:p>
    <w:p w14:paraId="48B3D52A" w14:textId="77777777" w:rsidR="00051D76" w:rsidRPr="00051D76" w:rsidRDefault="00051D76" w:rsidP="00051D76">
      <w:pPr>
        <w:spacing w:after="0"/>
        <w:ind w:left="360"/>
        <w:jc w:val="both"/>
        <w:rPr>
          <w:rFonts w:ascii="Verdana" w:hAnsi="Verdana"/>
          <w:sz w:val="20"/>
          <w:lang w:val="es-ES"/>
        </w:rPr>
      </w:pPr>
      <w:r w:rsidRPr="00051D76">
        <w:rPr>
          <w:rFonts w:ascii="Verdana" w:hAnsi="Verdana"/>
          <w:sz w:val="20"/>
          <w:lang w:val="es-ES"/>
        </w:rPr>
        <w:t>Comuníquese y ejecútese,</w:t>
      </w:r>
    </w:p>
    <w:p w14:paraId="36058A25" w14:textId="77777777" w:rsidR="00051D76" w:rsidRPr="00051D76" w:rsidRDefault="00051D76" w:rsidP="00051D76">
      <w:pPr>
        <w:spacing w:after="0"/>
        <w:ind w:left="360"/>
        <w:rPr>
          <w:rFonts w:ascii="Verdana" w:hAnsi="Verdana"/>
          <w:sz w:val="20"/>
          <w:lang w:val="es-ES"/>
        </w:rPr>
      </w:pPr>
    </w:p>
    <w:p w14:paraId="20ACA19A" w14:textId="77777777" w:rsidR="00051D76" w:rsidRPr="00051D76" w:rsidRDefault="00051D76" w:rsidP="00051D76">
      <w:pPr>
        <w:spacing w:after="0"/>
        <w:ind w:left="360"/>
        <w:jc w:val="right"/>
        <w:rPr>
          <w:rFonts w:ascii="Verdana" w:hAnsi="Verdana"/>
          <w:sz w:val="20"/>
          <w:lang w:val="es-ES"/>
        </w:rPr>
      </w:pPr>
    </w:p>
    <w:p w14:paraId="19C04D0A" w14:textId="4E5F5F3D" w:rsidR="00051D76" w:rsidRPr="00051D76" w:rsidRDefault="00051D76" w:rsidP="00051D76">
      <w:pPr>
        <w:spacing w:after="0"/>
        <w:ind w:left="360"/>
        <w:jc w:val="center"/>
        <w:rPr>
          <w:rFonts w:ascii="Verdana" w:hAnsi="Verdana"/>
          <w:sz w:val="20"/>
          <w:lang w:val="es-ES"/>
        </w:rPr>
      </w:pPr>
      <w:r w:rsidRPr="00051D76">
        <w:rPr>
          <w:rFonts w:ascii="Verdana" w:hAnsi="Verdana"/>
          <w:sz w:val="20"/>
          <w:lang w:val="es-ES"/>
        </w:rPr>
        <w:t xml:space="preserve">                                                   </w:t>
      </w:r>
      <w:r>
        <w:rPr>
          <w:rFonts w:ascii="Verdana" w:hAnsi="Verdana"/>
          <w:sz w:val="20"/>
          <w:lang w:val="es-ES"/>
        </w:rPr>
        <w:t xml:space="preserve">                            </w:t>
      </w:r>
      <w:r w:rsidRPr="00051D76">
        <w:rPr>
          <w:rFonts w:ascii="Verdana" w:hAnsi="Verdana"/>
          <w:sz w:val="20"/>
          <w:lang w:val="es-ES"/>
        </w:rPr>
        <w:t>Eduardo Ferrer Mac-</w:t>
      </w:r>
      <w:proofErr w:type="spellStart"/>
      <w:r w:rsidRPr="00051D76">
        <w:rPr>
          <w:rFonts w:ascii="Verdana" w:hAnsi="Verdana"/>
          <w:sz w:val="20"/>
          <w:lang w:val="es-ES"/>
        </w:rPr>
        <w:t>Gregor</w:t>
      </w:r>
      <w:proofErr w:type="spellEnd"/>
      <w:r w:rsidRPr="00051D76">
        <w:rPr>
          <w:rFonts w:ascii="Verdana" w:hAnsi="Verdana"/>
          <w:sz w:val="20"/>
          <w:lang w:val="es-ES"/>
        </w:rPr>
        <w:t xml:space="preserve"> </w:t>
      </w:r>
      <w:proofErr w:type="spellStart"/>
      <w:r w:rsidRPr="00051D76">
        <w:rPr>
          <w:rFonts w:ascii="Verdana" w:hAnsi="Verdana"/>
          <w:sz w:val="20"/>
          <w:lang w:val="es-ES"/>
        </w:rPr>
        <w:t>Poisot</w:t>
      </w:r>
      <w:proofErr w:type="spellEnd"/>
    </w:p>
    <w:p w14:paraId="0158460A" w14:textId="72369A56" w:rsidR="00051D76" w:rsidRPr="00051D76" w:rsidRDefault="00051D76" w:rsidP="00051D76">
      <w:pPr>
        <w:spacing w:after="0"/>
        <w:ind w:left="360"/>
        <w:rPr>
          <w:rFonts w:ascii="Verdana" w:hAnsi="Verdana"/>
          <w:sz w:val="20"/>
          <w:lang w:val="es-CR"/>
        </w:rPr>
      </w:pPr>
      <w:r w:rsidRPr="00051D76">
        <w:rPr>
          <w:rFonts w:ascii="Verdana" w:hAnsi="Verdana"/>
          <w:sz w:val="20"/>
          <w:lang w:val="es-ES"/>
        </w:rPr>
        <w:t xml:space="preserve">      </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sidRPr="00051D76">
        <w:rPr>
          <w:rFonts w:ascii="Verdana" w:hAnsi="Verdana"/>
          <w:sz w:val="20"/>
          <w:lang w:val="es-ES"/>
        </w:rPr>
        <w:t xml:space="preserve">Presidente </w:t>
      </w:r>
    </w:p>
    <w:p w14:paraId="32839319" w14:textId="77777777" w:rsidR="00051D76" w:rsidRPr="00051D76" w:rsidRDefault="00051D76" w:rsidP="00051D76">
      <w:pPr>
        <w:spacing w:after="0"/>
        <w:ind w:left="360"/>
        <w:jc w:val="center"/>
        <w:rPr>
          <w:rFonts w:ascii="Verdana" w:hAnsi="Verdana"/>
          <w:sz w:val="20"/>
          <w:lang w:val="es-ES"/>
        </w:rPr>
      </w:pPr>
    </w:p>
    <w:p w14:paraId="7CAEF907" w14:textId="77777777" w:rsidR="00051D76" w:rsidRPr="00051D76" w:rsidRDefault="00051D76" w:rsidP="00051D76">
      <w:pPr>
        <w:spacing w:after="0"/>
        <w:ind w:left="360"/>
        <w:jc w:val="both"/>
        <w:rPr>
          <w:rFonts w:ascii="Verdana" w:hAnsi="Verdana"/>
          <w:sz w:val="20"/>
          <w:lang w:val="es-ES"/>
        </w:rPr>
      </w:pPr>
    </w:p>
    <w:p w14:paraId="5F9469CE" w14:textId="77777777" w:rsidR="00051D76" w:rsidRPr="00051D76" w:rsidRDefault="00051D76" w:rsidP="00051D76">
      <w:pPr>
        <w:spacing w:after="0"/>
        <w:ind w:left="360"/>
        <w:jc w:val="both"/>
        <w:rPr>
          <w:rFonts w:ascii="Verdana" w:hAnsi="Verdana"/>
          <w:sz w:val="20"/>
          <w:lang w:val="es-ES"/>
        </w:rPr>
      </w:pPr>
      <w:r w:rsidRPr="00051D76">
        <w:rPr>
          <w:rFonts w:ascii="Verdana" w:hAnsi="Verdana"/>
          <w:sz w:val="20"/>
          <w:lang w:val="es-ES"/>
        </w:rPr>
        <w:t>Pablo Saavedra Alessandri</w:t>
      </w:r>
    </w:p>
    <w:p w14:paraId="5BABE76A" w14:textId="33CBD020" w:rsidR="00051D76" w:rsidRPr="00051D76" w:rsidRDefault="00051D76" w:rsidP="00051D76">
      <w:pPr>
        <w:spacing w:after="0"/>
        <w:ind w:left="360"/>
        <w:rPr>
          <w:lang w:val="es-ES"/>
        </w:rPr>
      </w:pPr>
      <w:r w:rsidRPr="00051D76">
        <w:rPr>
          <w:rFonts w:ascii="Verdana" w:hAnsi="Verdana"/>
          <w:sz w:val="20"/>
          <w:lang w:val="es-ES"/>
        </w:rPr>
        <w:tab/>
      </w:r>
      <w:r>
        <w:rPr>
          <w:rFonts w:ascii="Verdana" w:hAnsi="Verdana"/>
          <w:sz w:val="20"/>
          <w:lang w:val="es-ES"/>
        </w:rPr>
        <w:t xml:space="preserve">      </w:t>
      </w:r>
      <w:r w:rsidRPr="00051D76">
        <w:rPr>
          <w:rFonts w:ascii="Verdana" w:hAnsi="Verdana"/>
          <w:sz w:val="20"/>
          <w:lang w:val="pt-BR"/>
        </w:rPr>
        <w:t>Secretario</w:t>
      </w:r>
    </w:p>
    <w:p w14:paraId="61CDCEAD" w14:textId="77777777" w:rsidR="00EA691B" w:rsidRPr="006808A7" w:rsidRDefault="000901FA" w:rsidP="00051D76">
      <w:pPr>
        <w:spacing w:after="0"/>
        <w:rPr>
          <w:lang w:val="es-MX"/>
        </w:rPr>
      </w:pPr>
    </w:p>
    <w:sectPr w:rsidR="00EA691B" w:rsidRPr="006808A7" w:rsidSect="00BD30E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FC736" w14:textId="77777777" w:rsidR="000D731E" w:rsidRDefault="000D731E" w:rsidP="006808A7">
      <w:pPr>
        <w:spacing w:after="0" w:line="240" w:lineRule="auto"/>
      </w:pPr>
      <w:r>
        <w:separator/>
      </w:r>
    </w:p>
  </w:endnote>
  <w:endnote w:type="continuationSeparator" w:id="0">
    <w:p w14:paraId="54FC7B20" w14:textId="77777777" w:rsidR="000D731E" w:rsidRDefault="000D731E" w:rsidP="0068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469165"/>
      <w:docPartObj>
        <w:docPartGallery w:val="Page Numbers (Bottom of Page)"/>
        <w:docPartUnique/>
      </w:docPartObj>
    </w:sdtPr>
    <w:sdtEndPr>
      <w:rPr>
        <w:noProof/>
      </w:rPr>
    </w:sdtEndPr>
    <w:sdtContent>
      <w:p w14:paraId="559AE699" w14:textId="77777777" w:rsidR="00736537" w:rsidRDefault="00991C58">
        <w:pPr>
          <w:pStyle w:val="Footer"/>
          <w:jc w:val="center"/>
        </w:pPr>
        <w:r>
          <w:fldChar w:fldCharType="begin"/>
        </w:r>
        <w:r>
          <w:instrText xml:space="preserve"> PAGE   \* MERGEFORMAT </w:instrText>
        </w:r>
        <w:r>
          <w:fldChar w:fldCharType="separate"/>
        </w:r>
        <w:r w:rsidR="000901FA">
          <w:rPr>
            <w:noProof/>
          </w:rPr>
          <w:t>1</w:t>
        </w:r>
        <w:r>
          <w:rPr>
            <w:noProof/>
          </w:rPr>
          <w:fldChar w:fldCharType="end"/>
        </w:r>
      </w:p>
    </w:sdtContent>
  </w:sdt>
  <w:p w14:paraId="07459315" w14:textId="77777777" w:rsidR="00736537" w:rsidRDefault="00090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82A39" w14:textId="77777777" w:rsidR="000D731E" w:rsidRDefault="000D731E" w:rsidP="006808A7">
      <w:pPr>
        <w:spacing w:after="0" w:line="240" w:lineRule="auto"/>
      </w:pPr>
      <w:r>
        <w:separator/>
      </w:r>
    </w:p>
  </w:footnote>
  <w:footnote w:type="continuationSeparator" w:id="0">
    <w:p w14:paraId="69C8FC6A" w14:textId="77777777" w:rsidR="000D731E" w:rsidRDefault="000D731E" w:rsidP="006808A7">
      <w:pPr>
        <w:spacing w:after="0" w:line="240" w:lineRule="auto"/>
      </w:pPr>
      <w:r>
        <w:continuationSeparator/>
      </w:r>
    </w:p>
  </w:footnote>
  <w:footnote w:id="1">
    <w:p w14:paraId="603C5F2D" w14:textId="541268B5" w:rsidR="006808A7" w:rsidRPr="00606FC2" w:rsidRDefault="006808A7" w:rsidP="006808A7">
      <w:pPr>
        <w:pStyle w:val="FootnoteText"/>
        <w:jc w:val="both"/>
        <w:rPr>
          <w:rFonts w:ascii="Verdana" w:hAnsi="Verdana"/>
          <w:sz w:val="16"/>
          <w:szCs w:val="16"/>
          <w:lang w:val="es-CR"/>
        </w:rPr>
      </w:pPr>
      <w:r w:rsidRPr="00606FC2">
        <w:rPr>
          <w:rStyle w:val="FootnoteReference"/>
          <w:rFonts w:ascii="Verdana" w:hAnsi="Verdana"/>
          <w:sz w:val="16"/>
          <w:szCs w:val="16"/>
        </w:rPr>
        <w:footnoteRef/>
      </w:r>
      <w:r w:rsidRPr="00606FC2">
        <w:rPr>
          <w:rFonts w:ascii="Verdana" w:hAnsi="Verdana"/>
          <w:sz w:val="16"/>
          <w:szCs w:val="16"/>
          <w:lang w:val="es-CR"/>
        </w:rPr>
        <w:t xml:space="preserve"> El 17 de agosto de 2018, a solicitud de la Secretaría de la Corte</w:t>
      </w:r>
      <w:r w:rsidR="00540723">
        <w:rPr>
          <w:rFonts w:ascii="Verdana" w:hAnsi="Verdana"/>
          <w:sz w:val="16"/>
          <w:szCs w:val="16"/>
          <w:lang w:val="es-CR"/>
        </w:rPr>
        <w:t xml:space="preserve"> Interamericana de Derechos Humanos</w:t>
      </w:r>
      <w:r w:rsidRPr="00606FC2">
        <w:rPr>
          <w:rFonts w:ascii="Verdana" w:hAnsi="Verdana"/>
          <w:sz w:val="16"/>
          <w:szCs w:val="16"/>
          <w:lang w:val="es-CR"/>
        </w:rPr>
        <w:t xml:space="preserve">, el Estado remitió una aclaración respecto a su informe del día </w:t>
      </w:r>
      <w:r w:rsidR="00540723">
        <w:rPr>
          <w:rFonts w:ascii="Verdana" w:hAnsi="Verdana"/>
          <w:sz w:val="16"/>
          <w:szCs w:val="16"/>
          <w:lang w:val="es-CR"/>
        </w:rPr>
        <w:t>1</w:t>
      </w:r>
      <w:r w:rsidRPr="00606FC2">
        <w:rPr>
          <w:rFonts w:ascii="Verdana" w:hAnsi="Verdana"/>
          <w:sz w:val="16"/>
          <w:szCs w:val="16"/>
          <w:lang w:val="es-CR"/>
        </w:rPr>
        <w:t xml:space="preserve"> del mismo mes.</w:t>
      </w:r>
    </w:p>
  </w:footnote>
  <w:footnote w:id="2">
    <w:p w14:paraId="3F58D0AC" w14:textId="389C393D" w:rsidR="006808A7" w:rsidRPr="00627D54" w:rsidRDefault="006808A7" w:rsidP="006808A7">
      <w:pPr>
        <w:pStyle w:val="FootnoteText"/>
        <w:jc w:val="both"/>
        <w:rPr>
          <w:rFonts w:ascii="Verdana" w:hAnsi="Verdana"/>
          <w:sz w:val="16"/>
          <w:szCs w:val="16"/>
          <w:lang w:val="es-CR"/>
        </w:rPr>
      </w:pPr>
      <w:r w:rsidRPr="00627D54">
        <w:rPr>
          <w:rStyle w:val="FootnoteReference"/>
          <w:rFonts w:ascii="Verdana" w:hAnsi="Verdana"/>
          <w:sz w:val="16"/>
          <w:szCs w:val="16"/>
        </w:rPr>
        <w:footnoteRef/>
      </w:r>
      <w:r w:rsidRPr="00627D54">
        <w:rPr>
          <w:rFonts w:ascii="Verdana" w:hAnsi="Verdana"/>
          <w:sz w:val="16"/>
          <w:szCs w:val="16"/>
          <w:lang w:val="es-CR"/>
        </w:rPr>
        <w:t xml:space="preserve"> </w:t>
      </w:r>
      <w:r>
        <w:rPr>
          <w:rFonts w:ascii="Verdana" w:hAnsi="Verdana"/>
          <w:sz w:val="16"/>
          <w:szCs w:val="16"/>
          <w:lang w:val="es-CR"/>
        </w:rPr>
        <w:t>En particular, interesa destacar que p</w:t>
      </w:r>
      <w:r w:rsidRPr="00627D54">
        <w:rPr>
          <w:rFonts w:ascii="Verdana" w:hAnsi="Verdana"/>
          <w:sz w:val="16"/>
          <w:szCs w:val="16"/>
          <w:lang w:val="es-CR"/>
        </w:rPr>
        <w:t>or medio de una comunicación de la Secretaría de 15 de enero de 2019 se recordó al Estado que el 18 de enero de 2019 venc</w:t>
      </w:r>
      <w:r w:rsidR="00ED6160">
        <w:rPr>
          <w:rFonts w:ascii="Verdana" w:hAnsi="Verdana"/>
          <w:sz w:val="16"/>
          <w:szCs w:val="16"/>
          <w:lang w:val="es-CR"/>
        </w:rPr>
        <w:t>er</w:t>
      </w:r>
      <w:r w:rsidRPr="00627D54">
        <w:rPr>
          <w:rFonts w:ascii="Verdana" w:hAnsi="Verdana"/>
          <w:sz w:val="16"/>
          <w:szCs w:val="16"/>
          <w:lang w:val="es-CR"/>
        </w:rPr>
        <w:t>ía el plazo para que remitiera su informe trimestral, de acuerdo al punto resolutivo 2 de la Resolución de la Corte de 8 de febrero de 2018 (</w:t>
      </w:r>
      <w:r w:rsidRPr="00627D54">
        <w:rPr>
          <w:rFonts w:ascii="Verdana" w:hAnsi="Verdana"/>
          <w:i/>
          <w:sz w:val="16"/>
          <w:szCs w:val="16"/>
          <w:lang w:val="es-CR"/>
        </w:rPr>
        <w:t>supra</w:t>
      </w:r>
      <w:r w:rsidRPr="00627D54">
        <w:rPr>
          <w:rFonts w:ascii="Verdana" w:hAnsi="Verdana"/>
          <w:sz w:val="16"/>
          <w:szCs w:val="16"/>
          <w:lang w:val="es-CR"/>
        </w:rPr>
        <w:t xml:space="preserve"> Visto 1). Se solicitó al Estado la remisión puntual de su informe. El 15 de enero de 2019, además, mediante comunicaciones de la Secretaría, se informó a las partes y a la Comisión que la Corte podría examinar las medidas provisionales en su 129 Periodo Ordinario de Sesiones, que iniciaría el 28 de enero de</w:t>
      </w:r>
      <w:r w:rsidR="00540723">
        <w:rPr>
          <w:rFonts w:ascii="Verdana" w:hAnsi="Verdana"/>
          <w:sz w:val="16"/>
          <w:szCs w:val="16"/>
          <w:lang w:val="es-CR"/>
        </w:rPr>
        <w:t xml:space="preserve"> 2019</w:t>
      </w:r>
      <w:r w:rsidRPr="00627D54">
        <w:rPr>
          <w:rFonts w:ascii="Verdana" w:hAnsi="Verdana"/>
          <w:sz w:val="16"/>
          <w:szCs w:val="16"/>
          <w:lang w:val="es-CR"/>
        </w:rPr>
        <w:t>. Se</w:t>
      </w:r>
      <w:r>
        <w:rPr>
          <w:rFonts w:ascii="Verdana" w:hAnsi="Verdana"/>
          <w:sz w:val="16"/>
          <w:szCs w:val="16"/>
          <w:lang w:val="es-CR"/>
        </w:rPr>
        <w:t xml:space="preserve"> solicitó</w:t>
      </w:r>
      <w:r w:rsidRPr="00627D54">
        <w:rPr>
          <w:rFonts w:ascii="Verdana" w:hAnsi="Verdana"/>
          <w:sz w:val="16"/>
          <w:szCs w:val="16"/>
          <w:lang w:val="es-CR"/>
        </w:rPr>
        <w:t xml:space="preserve"> a la Comisi</w:t>
      </w:r>
      <w:r>
        <w:rPr>
          <w:rFonts w:ascii="Verdana" w:hAnsi="Verdana"/>
          <w:sz w:val="16"/>
          <w:szCs w:val="16"/>
          <w:lang w:val="es-CR"/>
        </w:rPr>
        <w:t xml:space="preserve">ón y los representantes que, en caso de que considerasen pertinente presentar información u observaciones, lo hicieran a más tardar el 24 de enero de 2019. Lo anterior, </w:t>
      </w:r>
      <w:r w:rsidRPr="00627D54">
        <w:rPr>
          <w:rFonts w:ascii="Verdana" w:hAnsi="Verdana"/>
          <w:sz w:val="16"/>
          <w:szCs w:val="16"/>
          <w:lang w:val="es-CR"/>
        </w:rPr>
        <w:t>de forma independiente a los plazos establecidos en la Resolución de la Corte de 8 de febrero de 2018.</w:t>
      </w:r>
      <w:r>
        <w:rPr>
          <w:rFonts w:ascii="Verdana" w:hAnsi="Verdana"/>
          <w:sz w:val="16"/>
          <w:szCs w:val="16"/>
          <w:lang w:val="es-CR"/>
        </w:rPr>
        <w:t xml:space="preserve"> Pese a lo expuesto, luego de las comunicaciones de la Secretaría referidas</w:t>
      </w:r>
      <w:r w:rsidRPr="000A6417">
        <w:rPr>
          <w:rFonts w:ascii="Verdana" w:hAnsi="Verdana"/>
          <w:sz w:val="16"/>
          <w:szCs w:val="16"/>
          <w:lang w:val="es-CR"/>
        </w:rPr>
        <w:t xml:space="preserve">, </w:t>
      </w:r>
      <w:r w:rsidR="003F6743" w:rsidRPr="000A6417">
        <w:rPr>
          <w:rFonts w:ascii="Verdana" w:hAnsi="Verdana"/>
          <w:sz w:val="16"/>
          <w:szCs w:val="16"/>
          <w:lang w:val="es-CR"/>
        </w:rPr>
        <w:t xml:space="preserve">el Estado no presentó información. </w:t>
      </w:r>
      <w:r>
        <w:rPr>
          <w:rFonts w:ascii="Verdana" w:hAnsi="Verdana"/>
          <w:sz w:val="16"/>
          <w:szCs w:val="16"/>
          <w:lang w:val="es-CR"/>
        </w:rPr>
        <w:t>Los representantes</w:t>
      </w:r>
      <w:r w:rsidRPr="003F6743">
        <w:rPr>
          <w:rFonts w:ascii="Verdana" w:hAnsi="Verdana"/>
          <w:b/>
          <w:sz w:val="16"/>
          <w:szCs w:val="16"/>
          <w:lang w:val="es-CR"/>
        </w:rPr>
        <w:t xml:space="preserve"> </w:t>
      </w:r>
      <w:r w:rsidR="003F6743" w:rsidRPr="000A6417">
        <w:rPr>
          <w:rFonts w:ascii="Verdana" w:hAnsi="Verdana"/>
          <w:sz w:val="16"/>
          <w:szCs w:val="16"/>
          <w:lang w:val="es-CR"/>
        </w:rPr>
        <w:t xml:space="preserve">y la Comisión </w:t>
      </w:r>
      <w:r>
        <w:rPr>
          <w:rFonts w:ascii="Verdana" w:hAnsi="Verdana"/>
          <w:sz w:val="16"/>
          <w:szCs w:val="16"/>
          <w:lang w:val="es-CR"/>
        </w:rPr>
        <w:t>presentaron observaciones</w:t>
      </w:r>
      <w:r w:rsidRPr="003F6743">
        <w:rPr>
          <w:rFonts w:ascii="Verdana" w:hAnsi="Verdana"/>
          <w:b/>
          <w:sz w:val="16"/>
          <w:szCs w:val="16"/>
          <w:lang w:val="es-CR"/>
        </w:rPr>
        <w:t xml:space="preserve"> </w:t>
      </w:r>
      <w:r w:rsidR="003F6743" w:rsidRPr="000A6417">
        <w:rPr>
          <w:rFonts w:ascii="Verdana" w:hAnsi="Verdana"/>
          <w:sz w:val="16"/>
          <w:szCs w:val="16"/>
          <w:lang w:val="es-CR"/>
        </w:rPr>
        <w:t>los días</w:t>
      </w:r>
      <w:r w:rsidR="00ED6160">
        <w:rPr>
          <w:rFonts w:ascii="Verdana" w:hAnsi="Verdana"/>
          <w:sz w:val="16"/>
          <w:szCs w:val="16"/>
          <w:lang w:val="es-CR"/>
        </w:rPr>
        <w:t xml:space="preserve"> </w:t>
      </w:r>
      <w:r>
        <w:rPr>
          <w:rFonts w:ascii="Verdana" w:hAnsi="Verdana"/>
          <w:sz w:val="16"/>
          <w:szCs w:val="16"/>
          <w:lang w:val="es-CR"/>
        </w:rPr>
        <w:t xml:space="preserve">18 </w:t>
      </w:r>
      <w:r w:rsidR="003F6743" w:rsidRPr="000A6417">
        <w:rPr>
          <w:rFonts w:ascii="Verdana" w:hAnsi="Verdana"/>
          <w:sz w:val="16"/>
          <w:szCs w:val="16"/>
          <w:lang w:val="es-CR"/>
        </w:rPr>
        <w:t>y 28</w:t>
      </w:r>
      <w:r w:rsidR="003F6743" w:rsidRPr="003F6743">
        <w:rPr>
          <w:rFonts w:ascii="Verdana" w:hAnsi="Verdana"/>
          <w:b/>
          <w:sz w:val="16"/>
          <w:szCs w:val="16"/>
          <w:lang w:val="es-CR"/>
        </w:rPr>
        <w:t xml:space="preserve"> </w:t>
      </w:r>
      <w:r>
        <w:rPr>
          <w:rFonts w:ascii="Verdana" w:hAnsi="Verdana"/>
          <w:sz w:val="16"/>
          <w:szCs w:val="16"/>
          <w:lang w:val="es-CR"/>
        </w:rPr>
        <w:t>de enero de 2019</w:t>
      </w:r>
      <w:r w:rsidR="003F6743" w:rsidRPr="000A6417">
        <w:rPr>
          <w:rFonts w:ascii="Verdana" w:hAnsi="Verdana"/>
          <w:sz w:val="16"/>
          <w:szCs w:val="16"/>
          <w:lang w:val="es-CR"/>
        </w:rPr>
        <w:t>, respectivamente</w:t>
      </w:r>
      <w:r>
        <w:rPr>
          <w:rFonts w:ascii="Verdana" w:hAnsi="Verdana"/>
          <w:sz w:val="16"/>
          <w:szCs w:val="16"/>
          <w:lang w:val="es-CR"/>
        </w:rPr>
        <w:t>.</w:t>
      </w:r>
    </w:p>
  </w:footnote>
  <w:footnote w:id="3">
    <w:p w14:paraId="43465B36" w14:textId="5C4CB1E0" w:rsidR="006808A7" w:rsidRPr="00606FC2" w:rsidRDefault="006808A7" w:rsidP="006808A7">
      <w:pPr>
        <w:pStyle w:val="FootnoteText"/>
        <w:jc w:val="both"/>
        <w:rPr>
          <w:rFonts w:ascii="Verdana" w:hAnsi="Verdana"/>
          <w:sz w:val="16"/>
          <w:szCs w:val="16"/>
          <w:lang w:val="es-MX"/>
        </w:rPr>
      </w:pPr>
      <w:r w:rsidRPr="00606FC2">
        <w:rPr>
          <w:rStyle w:val="FootnoteReference"/>
          <w:rFonts w:ascii="Verdana" w:hAnsi="Verdana"/>
          <w:sz w:val="16"/>
          <w:szCs w:val="16"/>
        </w:rPr>
        <w:footnoteRef/>
      </w:r>
      <w:r w:rsidRPr="00606FC2">
        <w:rPr>
          <w:rFonts w:ascii="Verdana" w:hAnsi="Verdana"/>
          <w:sz w:val="16"/>
          <w:szCs w:val="16"/>
          <w:lang w:val="es-MX"/>
        </w:rPr>
        <w:t xml:space="preserve"> </w:t>
      </w:r>
      <w:r w:rsidRPr="00606FC2">
        <w:rPr>
          <w:rFonts w:ascii="Verdana" w:hAnsi="Verdana"/>
          <w:i/>
          <w:iCs/>
          <w:sz w:val="16"/>
          <w:szCs w:val="16"/>
          <w:lang w:val="es-MX"/>
        </w:rPr>
        <w:t>Cfr.</w:t>
      </w:r>
      <w:r w:rsidRPr="00606FC2">
        <w:rPr>
          <w:rFonts w:ascii="Verdana" w:hAnsi="Verdana"/>
          <w:iCs/>
          <w:sz w:val="16"/>
          <w:szCs w:val="16"/>
          <w:lang w:val="es-MX"/>
        </w:rPr>
        <w:t xml:space="preserve"> </w:t>
      </w:r>
      <w:r w:rsidRPr="00606FC2">
        <w:rPr>
          <w:rFonts w:ascii="Verdana" w:hAnsi="Verdana"/>
          <w:i/>
          <w:iCs/>
          <w:sz w:val="16"/>
          <w:szCs w:val="16"/>
          <w:lang w:val="es-MX"/>
        </w:rPr>
        <w:t>Asunto Álvarez y otros.</w:t>
      </w:r>
      <w:r w:rsidRPr="00606FC2">
        <w:rPr>
          <w:rFonts w:ascii="Verdana" w:hAnsi="Verdana"/>
          <w:iCs/>
          <w:sz w:val="16"/>
          <w:szCs w:val="16"/>
          <w:lang w:val="es-MX"/>
        </w:rPr>
        <w:t xml:space="preserve"> Medidas Provisionales respecto de Colombia</w:t>
      </w:r>
      <w:r w:rsidRPr="00606FC2">
        <w:rPr>
          <w:rFonts w:ascii="Verdana" w:hAnsi="Verdana"/>
          <w:sz w:val="16"/>
          <w:szCs w:val="16"/>
          <w:lang w:val="es-MX"/>
        </w:rPr>
        <w:t xml:space="preserve">. Resolución de la Corte de 22 de mayo de 2013, Considerando 2, y </w:t>
      </w:r>
      <w:r w:rsidR="00540723" w:rsidRPr="00540723">
        <w:rPr>
          <w:rFonts w:ascii="Verdana" w:hAnsi="Verdana"/>
          <w:i/>
          <w:sz w:val="16"/>
          <w:szCs w:val="16"/>
          <w:lang w:val="es-MX"/>
        </w:rPr>
        <w:t xml:space="preserve">Caso </w:t>
      </w:r>
      <w:proofErr w:type="spellStart"/>
      <w:r w:rsidR="00540723" w:rsidRPr="00540723">
        <w:rPr>
          <w:rFonts w:ascii="Verdana" w:hAnsi="Verdana"/>
          <w:i/>
          <w:sz w:val="16"/>
          <w:szCs w:val="16"/>
          <w:lang w:val="es-MX"/>
        </w:rPr>
        <w:t>Bámaca</w:t>
      </w:r>
      <w:proofErr w:type="spellEnd"/>
      <w:r w:rsidR="00540723" w:rsidRPr="00540723">
        <w:rPr>
          <w:rFonts w:ascii="Verdana" w:hAnsi="Verdana"/>
          <w:i/>
          <w:sz w:val="16"/>
          <w:szCs w:val="16"/>
          <w:lang w:val="es-MX"/>
        </w:rPr>
        <w:t xml:space="preserve"> Velásquez Vs. Guatemala.</w:t>
      </w:r>
      <w:r w:rsidR="00540723" w:rsidRPr="00540723">
        <w:rPr>
          <w:rFonts w:ascii="Verdana" w:hAnsi="Verdana"/>
          <w:sz w:val="16"/>
          <w:szCs w:val="16"/>
          <w:lang w:val="es-MX"/>
        </w:rPr>
        <w:t xml:space="preserve"> Medidas Provisionales. Resolución de la Corte de 22 de noviembre de 2018</w:t>
      </w:r>
      <w:r w:rsidR="00540723">
        <w:rPr>
          <w:rFonts w:ascii="Verdana" w:hAnsi="Verdana"/>
          <w:sz w:val="16"/>
          <w:szCs w:val="16"/>
          <w:lang w:val="es-MX"/>
        </w:rPr>
        <w:t>, Considerando 3.</w:t>
      </w:r>
      <w:r w:rsidRPr="00606FC2">
        <w:rPr>
          <w:rFonts w:ascii="Verdana" w:hAnsi="Verdana"/>
          <w:sz w:val="16"/>
          <w:szCs w:val="16"/>
          <w:lang w:val="es-MX"/>
        </w:rPr>
        <w:t xml:space="preserve">  </w:t>
      </w:r>
    </w:p>
  </w:footnote>
  <w:footnote w:id="4">
    <w:p w14:paraId="3D4C5004" w14:textId="623842F3" w:rsidR="006808A7" w:rsidRPr="00606FC2" w:rsidRDefault="006808A7" w:rsidP="006808A7">
      <w:pPr>
        <w:pStyle w:val="FootnoteText"/>
        <w:jc w:val="both"/>
        <w:rPr>
          <w:rFonts w:ascii="Verdana" w:hAnsi="Verdana"/>
          <w:sz w:val="16"/>
          <w:szCs w:val="16"/>
          <w:lang w:val="es-MX"/>
        </w:rPr>
      </w:pPr>
      <w:r w:rsidRPr="00606FC2">
        <w:rPr>
          <w:rStyle w:val="FootnoteReference"/>
          <w:rFonts w:ascii="Verdana" w:hAnsi="Verdana"/>
          <w:sz w:val="16"/>
          <w:szCs w:val="16"/>
        </w:rPr>
        <w:footnoteRef/>
      </w:r>
      <w:r w:rsidRPr="00606FC2">
        <w:rPr>
          <w:rFonts w:ascii="Verdana" w:hAnsi="Verdana"/>
          <w:sz w:val="16"/>
          <w:szCs w:val="16"/>
          <w:lang w:val="es-MX"/>
        </w:rPr>
        <w:t xml:space="preserve"> </w:t>
      </w:r>
      <w:r w:rsidRPr="00606FC2">
        <w:rPr>
          <w:rFonts w:ascii="Verdana" w:hAnsi="Verdana"/>
          <w:i/>
          <w:iCs/>
          <w:sz w:val="16"/>
          <w:szCs w:val="16"/>
          <w:lang w:val="es-MX"/>
        </w:rPr>
        <w:t>Cfr. Asunto Gladys Lanza Ochoa</w:t>
      </w:r>
      <w:r w:rsidRPr="00606FC2">
        <w:rPr>
          <w:rFonts w:ascii="Verdana" w:hAnsi="Verdana"/>
          <w:i/>
          <w:sz w:val="16"/>
          <w:szCs w:val="16"/>
          <w:lang w:val="es-MX"/>
        </w:rPr>
        <w:t>.</w:t>
      </w:r>
      <w:r w:rsidRPr="00606FC2">
        <w:rPr>
          <w:rFonts w:ascii="Verdana" w:hAnsi="Verdana"/>
          <w:sz w:val="16"/>
          <w:szCs w:val="16"/>
          <w:lang w:val="es-MX"/>
        </w:rPr>
        <w:t xml:space="preserve"> </w:t>
      </w:r>
      <w:r w:rsidRPr="00606FC2">
        <w:rPr>
          <w:rFonts w:ascii="Verdana" w:hAnsi="Verdana"/>
          <w:iCs/>
          <w:sz w:val="16"/>
          <w:szCs w:val="16"/>
          <w:lang w:val="es-MX"/>
        </w:rPr>
        <w:t>Medidas Provisionales respecto de Honduras</w:t>
      </w:r>
      <w:r w:rsidRPr="00606FC2">
        <w:rPr>
          <w:rFonts w:ascii="Verdana" w:hAnsi="Verdana"/>
          <w:sz w:val="16"/>
          <w:szCs w:val="16"/>
          <w:lang w:val="es-MX"/>
        </w:rPr>
        <w:t xml:space="preserve">. Resolución de la Corte de 23 de noviembre de 2016, Considerando 3, y </w:t>
      </w:r>
      <w:r w:rsidR="00540723" w:rsidRPr="00540723">
        <w:rPr>
          <w:rFonts w:ascii="Verdana" w:hAnsi="Verdana"/>
          <w:i/>
          <w:sz w:val="16"/>
          <w:szCs w:val="16"/>
          <w:lang w:val="es-MX"/>
        </w:rPr>
        <w:t xml:space="preserve">Caso </w:t>
      </w:r>
      <w:proofErr w:type="spellStart"/>
      <w:r w:rsidR="00540723" w:rsidRPr="00540723">
        <w:rPr>
          <w:rFonts w:ascii="Verdana" w:hAnsi="Verdana"/>
          <w:i/>
          <w:sz w:val="16"/>
          <w:szCs w:val="16"/>
          <w:lang w:val="es-MX"/>
        </w:rPr>
        <w:t>Bámaca</w:t>
      </w:r>
      <w:proofErr w:type="spellEnd"/>
      <w:r w:rsidR="00540723" w:rsidRPr="00540723">
        <w:rPr>
          <w:rFonts w:ascii="Verdana" w:hAnsi="Verdana"/>
          <w:i/>
          <w:sz w:val="16"/>
          <w:szCs w:val="16"/>
          <w:lang w:val="es-MX"/>
        </w:rPr>
        <w:t xml:space="preserve"> Velásquez Vs. Guatemala</w:t>
      </w:r>
      <w:r w:rsidR="009106FD">
        <w:rPr>
          <w:rFonts w:ascii="Verdana" w:hAnsi="Verdana"/>
          <w:i/>
          <w:sz w:val="16"/>
          <w:szCs w:val="16"/>
          <w:lang w:val="es-MX"/>
        </w:rPr>
        <w:t>, supra,</w:t>
      </w:r>
      <w:r w:rsidR="00540723">
        <w:rPr>
          <w:rFonts w:ascii="Verdana" w:hAnsi="Verdana"/>
          <w:sz w:val="16"/>
          <w:szCs w:val="16"/>
          <w:lang w:val="es-MX"/>
        </w:rPr>
        <w:t xml:space="preserve"> Considerando 3.</w:t>
      </w:r>
    </w:p>
  </w:footnote>
  <w:footnote w:id="5">
    <w:p w14:paraId="74B58E2A" w14:textId="057317ED" w:rsidR="006808A7" w:rsidRPr="00606FC2" w:rsidRDefault="006808A7" w:rsidP="006808A7">
      <w:pPr>
        <w:pStyle w:val="FootnoteText"/>
        <w:jc w:val="both"/>
        <w:rPr>
          <w:rFonts w:ascii="Verdana" w:hAnsi="Verdana"/>
          <w:sz w:val="16"/>
          <w:szCs w:val="16"/>
          <w:lang w:val="es-CR"/>
        </w:rPr>
      </w:pPr>
      <w:r w:rsidRPr="00606FC2">
        <w:rPr>
          <w:rStyle w:val="FootnoteReference"/>
          <w:rFonts w:ascii="Verdana" w:hAnsi="Verdana"/>
          <w:sz w:val="16"/>
          <w:szCs w:val="16"/>
        </w:rPr>
        <w:footnoteRef/>
      </w:r>
      <w:r w:rsidRPr="00606FC2">
        <w:rPr>
          <w:rFonts w:ascii="Verdana" w:hAnsi="Verdana"/>
          <w:sz w:val="16"/>
          <w:szCs w:val="16"/>
          <w:lang w:val="es-CR"/>
        </w:rPr>
        <w:t xml:space="preserve"> </w:t>
      </w:r>
      <w:r w:rsidRPr="00606FC2">
        <w:rPr>
          <w:rFonts w:ascii="Verdana" w:hAnsi="Verdana"/>
          <w:sz w:val="16"/>
          <w:szCs w:val="16"/>
          <w:lang w:val="es-MX"/>
        </w:rPr>
        <w:t>En particular, Guatemala indicó que: a) el 7 de febrero de 2018 personal de l</w:t>
      </w:r>
      <w:r w:rsidRPr="00606FC2">
        <w:rPr>
          <w:rFonts w:ascii="Verdana" w:hAnsi="Verdana"/>
          <w:sz w:val="16"/>
          <w:szCs w:val="16"/>
          <w:lang w:val="es-CR"/>
        </w:rPr>
        <w:t xml:space="preserve">a Comisión Presidencial Coordinadora de la Política del Ejecutivo en materia de Derechos Humanos (COPREDEH) en “coordinación con la División de Protección a Personas y Seguridad” (DPPS) acompañó a Efraín Grave </w:t>
      </w:r>
      <w:proofErr w:type="spellStart"/>
      <w:r w:rsidRPr="00606FC2">
        <w:rPr>
          <w:rFonts w:ascii="Verdana" w:hAnsi="Verdana"/>
          <w:sz w:val="16"/>
          <w:szCs w:val="16"/>
          <w:lang w:val="es-CR"/>
        </w:rPr>
        <w:t>Morente</w:t>
      </w:r>
      <w:proofErr w:type="spellEnd"/>
      <w:r w:rsidRPr="00606FC2">
        <w:rPr>
          <w:rFonts w:ascii="Verdana" w:hAnsi="Verdana"/>
          <w:sz w:val="16"/>
          <w:szCs w:val="16"/>
          <w:lang w:val="es-CR"/>
        </w:rPr>
        <w:t xml:space="preserve">, Tomás Grave </w:t>
      </w:r>
      <w:proofErr w:type="spellStart"/>
      <w:r w:rsidRPr="00606FC2">
        <w:rPr>
          <w:rFonts w:ascii="Verdana" w:hAnsi="Verdana"/>
          <w:sz w:val="16"/>
          <w:szCs w:val="16"/>
          <w:lang w:val="es-CR"/>
        </w:rPr>
        <w:t>Morente</w:t>
      </w:r>
      <w:proofErr w:type="spellEnd"/>
      <w:r w:rsidRPr="00606FC2">
        <w:rPr>
          <w:rFonts w:ascii="Verdana" w:hAnsi="Verdana"/>
          <w:sz w:val="16"/>
          <w:szCs w:val="16"/>
          <w:lang w:val="es-CR"/>
        </w:rPr>
        <w:t xml:space="preserve"> y Natividad Sales Calmo a un hotel en la Ciudad de Guatemala, en el que pernoctaron bajo el “resguardo perimetral” de la Policía Nacional Civil (PNC); b) el día siguiente, personal de la PNC </w:t>
      </w:r>
      <w:r w:rsidR="00540723">
        <w:rPr>
          <w:rFonts w:ascii="Verdana" w:hAnsi="Verdana"/>
          <w:sz w:val="16"/>
          <w:szCs w:val="16"/>
          <w:lang w:val="es-CR"/>
        </w:rPr>
        <w:t xml:space="preserve">y de COPREDEH </w:t>
      </w:r>
      <w:r w:rsidRPr="00606FC2">
        <w:rPr>
          <w:rFonts w:ascii="Verdana" w:hAnsi="Verdana"/>
          <w:sz w:val="16"/>
          <w:szCs w:val="16"/>
          <w:lang w:val="es-CR"/>
        </w:rPr>
        <w:t xml:space="preserve">acompañó a las personas nombradas al aeropuerto; c) </w:t>
      </w:r>
      <w:r w:rsidRPr="00606FC2">
        <w:rPr>
          <w:rFonts w:ascii="Verdana" w:hAnsi="Verdana"/>
          <w:sz w:val="16"/>
          <w:szCs w:val="16"/>
          <w:lang w:val="es-MX"/>
        </w:rPr>
        <w:t>el 10 del mismo mes, personal de COPREDEH y de</w:t>
      </w:r>
      <w:r w:rsidR="00540723">
        <w:rPr>
          <w:rFonts w:ascii="Verdana" w:hAnsi="Verdana"/>
          <w:sz w:val="16"/>
          <w:szCs w:val="16"/>
          <w:lang w:val="es-MX"/>
        </w:rPr>
        <w:t xml:space="preserve"> la</w:t>
      </w:r>
      <w:r w:rsidRPr="00606FC2">
        <w:rPr>
          <w:rFonts w:ascii="Verdana" w:hAnsi="Verdana"/>
          <w:sz w:val="16"/>
          <w:szCs w:val="16"/>
          <w:lang w:val="es-MX"/>
        </w:rPr>
        <w:t xml:space="preserve"> DPPS recibieron a todas las personas beneficiarias en el aeropuerto La Aurora, en Guatemala; </w:t>
      </w:r>
      <w:r w:rsidR="00540723" w:rsidRPr="00606FC2">
        <w:rPr>
          <w:rFonts w:ascii="Verdana" w:hAnsi="Verdana"/>
          <w:sz w:val="16"/>
          <w:szCs w:val="16"/>
          <w:lang w:val="es-CR"/>
        </w:rPr>
        <w:t xml:space="preserve">Efraín Grave </w:t>
      </w:r>
      <w:proofErr w:type="spellStart"/>
      <w:r w:rsidR="00540723" w:rsidRPr="00606FC2">
        <w:rPr>
          <w:rFonts w:ascii="Verdana" w:hAnsi="Verdana"/>
          <w:sz w:val="16"/>
          <w:szCs w:val="16"/>
          <w:lang w:val="es-CR"/>
        </w:rPr>
        <w:t>Morente</w:t>
      </w:r>
      <w:proofErr w:type="spellEnd"/>
      <w:r w:rsidR="00540723" w:rsidRPr="00606FC2">
        <w:rPr>
          <w:rFonts w:ascii="Verdana" w:hAnsi="Verdana"/>
          <w:sz w:val="16"/>
          <w:szCs w:val="16"/>
          <w:lang w:val="es-CR"/>
        </w:rPr>
        <w:t xml:space="preserve">, Tomás Grave </w:t>
      </w:r>
      <w:proofErr w:type="spellStart"/>
      <w:r w:rsidR="00540723" w:rsidRPr="00606FC2">
        <w:rPr>
          <w:rFonts w:ascii="Verdana" w:hAnsi="Verdana"/>
          <w:sz w:val="16"/>
          <w:szCs w:val="16"/>
          <w:lang w:val="es-CR"/>
        </w:rPr>
        <w:t>Morente</w:t>
      </w:r>
      <w:proofErr w:type="spellEnd"/>
      <w:r w:rsidR="00540723" w:rsidRPr="00606FC2">
        <w:rPr>
          <w:rFonts w:ascii="Verdana" w:hAnsi="Verdana"/>
          <w:sz w:val="16"/>
          <w:szCs w:val="16"/>
          <w:lang w:val="es-CR"/>
        </w:rPr>
        <w:t xml:space="preserve"> y Natividad Sales Calmo </w:t>
      </w:r>
      <w:r w:rsidRPr="00606FC2">
        <w:rPr>
          <w:rFonts w:ascii="Verdana" w:hAnsi="Verdana"/>
          <w:sz w:val="16"/>
          <w:szCs w:val="16"/>
          <w:lang w:val="es-MX"/>
        </w:rPr>
        <w:t>pernoctaron en un hotel bajo “resguardo perimetral” de agentes de la PNC, y d) el día siguiente se trasladó a las mismas tres personas a la Comunidad “Aurora 8 de Octubre” utili</w:t>
      </w:r>
      <w:r w:rsidR="00540723">
        <w:rPr>
          <w:rFonts w:ascii="Verdana" w:hAnsi="Verdana"/>
          <w:sz w:val="16"/>
          <w:szCs w:val="16"/>
          <w:lang w:val="es-MX"/>
        </w:rPr>
        <w:t>zando en tal desplazamiento un “</w:t>
      </w:r>
      <w:r w:rsidRPr="00606FC2">
        <w:rPr>
          <w:rFonts w:ascii="Verdana" w:hAnsi="Verdana"/>
          <w:sz w:val="16"/>
          <w:szCs w:val="16"/>
          <w:lang w:val="es-MX"/>
        </w:rPr>
        <w:t>sistema de resguardo</w:t>
      </w:r>
      <w:r w:rsidR="00540723">
        <w:rPr>
          <w:rFonts w:ascii="Verdana" w:hAnsi="Verdana"/>
          <w:sz w:val="16"/>
          <w:szCs w:val="16"/>
          <w:lang w:val="es-MX"/>
        </w:rPr>
        <w:t xml:space="preserve"> denominado ‘traslado por cordillera’”</w:t>
      </w:r>
      <w:r w:rsidRPr="00606FC2">
        <w:rPr>
          <w:rFonts w:ascii="Verdana" w:hAnsi="Verdana"/>
          <w:sz w:val="16"/>
          <w:szCs w:val="16"/>
          <w:lang w:val="es-MX"/>
        </w:rPr>
        <w:t xml:space="preserve">. </w:t>
      </w:r>
    </w:p>
  </w:footnote>
  <w:footnote w:id="6">
    <w:p w14:paraId="42E5F2AD" w14:textId="77777777" w:rsidR="006808A7" w:rsidRPr="00606FC2" w:rsidRDefault="006808A7" w:rsidP="006808A7">
      <w:pPr>
        <w:pStyle w:val="FootnoteText"/>
        <w:jc w:val="both"/>
        <w:rPr>
          <w:rFonts w:ascii="Verdana" w:hAnsi="Verdana"/>
          <w:sz w:val="16"/>
          <w:szCs w:val="16"/>
          <w:lang w:val="es-CR"/>
        </w:rPr>
      </w:pPr>
      <w:r w:rsidRPr="00606FC2">
        <w:rPr>
          <w:rStyle w:val="FootnoteReference"/>
          <w:rFonts w:ascii="Verdana" w:hAnsi="Verdana"/>
          <w:sz w:val="16"/>
          <w:szCs w:val="16"/>
        </w:rPr>
        <w:footnoteRef/>
      </w:r>
      <w:r w:rsidRPr="00606FC2">
        <w:rPr>
          <w:rFonts w:ascii="Verdana" w:hAnsi="Verdana"/>
          <w:sz w:val="16"/>
          <w:szCs w:val="16"/>
          <w:lang w:val="es-CR"/>
        </w:rPr>
        <w:t xml:space="preserve"> Cabe aclarar que tres personas beneficiarias (</w:t>
      </w:r>
      <w:r w:rsidRPr="00606FC2">
        <w:rPr>
          <w:rFonts w:ascii="Verdana" w:hAnsi="Verdana" w:cs="Verdana"/>
          <w:color w:val="000000"/>
          <w:sz w:val="16"/>
          <w:szCs w:val="16"/>
          <w:lang w:val="es-MX"/>
        </w:rPr>
        <w:t xml:space="preserve">Natividad Sales Calmo, Tomás Grave </w:t>
      </w:r>
      <w:proofErr w:type="spellStart"/>
      <w:r w:rsidRPr="00606FC2">
        <w:rPr>
          <w:rFonts w:ascii="Verdana" w:hAnsi="Verdana" w:cs="Verdana"/>
          <w:color w:val="000000"/>
          <w:sz w:val="16"/>
          <w:szCs w:val="16"/>
          <w:lang w:val="es-MX"/>
        </w:rPr>
        <w:t>Morente</w:t>
      </w:r>
      <w:proofErr w:type="spellEnd"/>
      <w:r w:rsidRPr="00606FC2">
        <w:rPr>
          <w:rFonts w:ascii="Verdana" w:hAnsi="Verdana" w:cs="Verdana"/>
          <w:color w:val="000000"/>
          <w:sz w:val="16"/>
          <w:szCs w:val="16"/>
          <w:lang w:val="es-MX"/>
        </w:rPr>
        <w:t xml:space="preserve"> y Efraín Grave </w:t>
      </w:r>
      <w:proofErr w:type="spellStart"/>
      <w:r w:rsidRPr="00606FC2">
        <w:rPr>
          <w:rFonts w:ascii="Verdana" w:hAnsi="Verdana" w:cs="Verdana"/>
          <w:color w:val="000000"/>
          <w:sz w:val="16"/>
          <w:szCs w:val="16"/>
          <w:lang w:val="es-MX"/>
        </w:rPr>
        <w:t>Morente</w:t>
      </w:r>
      <w:proofErr w:type="spellEnd"/>
      <w:r w:rsidRPr="00606FC2">
        <w:rPr>
          <w:rFonts w:ascii="Verdana" w:hAnsi="Verdana" w:cs="Verdana"/>
          <w:color w:val="000000"/>
          <w:sz w:val="16"/>
          <w:szCs w:val="16"/>
          <w:lang w:val="es-MX"/>
        </w:rPr>
        <w:t>) integran</w:t>
      </w:r>
      <w:r w:rsidRPr="00606FC2">
        <w:rPr>
          <w:rFonts w:ascii="Verdana" w:hAnsi="Verdana"/>
          <w:sz w:val="16"/>
          <w:szCs w:val="16"/>
          <w:lang w:val="es-CR"/>
        </w:rPr>
        <w:t xml:space="preserve"> la Comunidad Aurora 8 de Octubre</w:t>
      </w:r>
      <w:r w:rsidRPr="00606FC2">
        <w:rPr>
          <w:rFonts w:ascii="Verdana" w:hAnsi="Verdana"/>
          <w:sz w:val="16"/>
          <w:szCs w:val="16"/>
          <w:lang w:val="es-MX"/>
        </w:rPr>
        <w:t xml:space="preserve"> y las otras dos (</w:t>
      </w:r>
      <w:proofErr w:type="spellStart"/>
      <w:r w:rsidRPr="00606FC2">
        <w:rPr>
          <w:rFonts w:ascii="Verdana" w:hAnsi="Verdana" w:cs="Verdana"/>
          <w:color w:val="000000"/>
          <w:sz w:val="16"/>
          <w:szCs w:val="16"/>
          <w:lang w:val="es-MX"/>
        </w:rPr>
        <w:t>Maynor</w:t>
      </w:r>
      <w:proofErr w:type="spellEnd"/>
      <w:r w:rsidRPr="00606FC2">
        <w:rPr>
          <w:rFonts w:ascii="Verdana" w:hAnsi="Verdana" w:cs="Verdana"/>
          <w:color w:val="000000"/>
          <w:sz w:val="16"/>
          <w:szCs w:val="16"/>
          <w:lang w:val="es-MX"/>
        </w:rPr>
        <w:t xml:space="preserve"> Estuardo Alvarado Galeano, Karla Lorena Campos Flores)</w:t>
      </w:r>
      <w:r w:rsidRPr="00606FC2">
        <w:rPr>
          <w:rFonts w:ascii="Verdana" w:hAnsi="Verdana"/>
          <w:sz w:val="16"/>
          <w:szCs w:val="16"/>
          <w:lang w:val="es-MX"/>
        </w:rPr>
        <w:t xml:space="preserve"> el GAM. </w:t>
      </w:r>
    </w:p>
  </w:footnote>
  <w:footnote w:id="7">
    <w:p w14:paraId="21C8D590" w14:textId="1D79BD89" w:rsidR="006808A7" w:rsidRPr="00606FC2" w:rsidRDefault="006808A7" w:rsidP="006808A7">
      <w:pPr>
        <w:pStyle w:val="FootnoteText"/>
        <w:jc w:val="both"/>
        <w:rPr>
          <w:rFonts w:ascii="Verdana" w:hAnsi="Verdana"/>
          <w:sz w:val="16"/>
          <w:szCs w:val="16"/>
          <w:lang w:val="es-GT"/>
        </w:rPr>
      </w:pPr>
      <w:r w:rsidRPr="00606FC2">
        <w:rPr>
          <w:rStyle w:val="FootnoteReference"/>
          <w:rFonts w:ascii="Verdana" w:hAnsi="Verdana"/>
          <w:sz w:val="16"/>
          <w:szCs w:val="16"/>
        </w:rPr>
        <w:footnoteRef/>
      </w:r>
      <w:r w:rsidRPr="00606FC2">
        <w:rPr>
          <w:rFonts w:ascii="Verdana" w:hAnsi="Verdana"/>
          <w:sz w:val="16"/>
          <w:szCs w:val="16"/>
          <w:lang w:val="es-CR"/>
        </w:rPr>
        <w:t xml:space="preserve"> </w:t>
      </w:r>
      <w:r w:rsidRPr="00606FC2">
        <w:rPr>
          <w:rFonts w:ascii="Verdana" w:hAnsi="Verdana"/>
          <w:i/>
          <w:iCs/>
          <w:sz w:val="16"/>
          <w:szCs w:val="16"/>
          <w:lang w:val="es-GT"/>
        </w:rPr>
        <w:t>Cfr.</w:t>
      </w:r>
      <w:r w:rsidRPr="00606FC2">
        <w:rPr>
          <w:rFonts w:ascii="Verdana" w:hAnsi="Verdana"/>
          <w:sz w:val="16"/>
          <w:szCs w:val="16"/>
          <w:lang w:val="es-GT"/>
        </w:rPr>
        <w:t xml:space="preserve"> </w:t>
      </w:r>
      <w:r w:rsidRPr="00606FC2">
        <w:rPr>
          <w:rFonts w:ascii="Verdana" w:hAnsi="Verdana"/>
          <w:i/>
          <w:sz w:val="16"/>
          <w:szCs w:val="16"/>
          <w:lang w:val="es-GT"/>
        </w:rPr>
        <w:t>Caso Cinco Pensionistas Vs. Perú</w:t>
      </w:r>
      <w:r w:rsidRPr="00606FC2">
        <w:rPr>
          <w:rFonts w:ascii="Verdana" w:hAnsi="Verdana"/>
          <w:sz w:val="16"/>
          <w:szCs w:val="16"/>
          <w:lang w:val="es-GT"/>
        </w:rPr>
        <w:t xml:space="preserve">. Supervisión de Cumplimiento de Sentencia. Resolución de la Corte de 17 de noviembre de 2004, Considerando </w:t>
      </w:r>
      <w:r>
        <w:rPr>
          <w:rFonts w:ascii="Verdana" w:hAnsi="Verdana"/>
          <w:sz w:val="16"/>
          <w:szCs w:val="16"/>
          <w:lang w:val="es-GT"/>
        </w:rPr>
        <w:t>5</w:t>
      </w:r>
      <w:r w:rsidRPr="00606FC2">
        <w:rPr>
          <w:rFonts w:ascii="Verdana" w:hAnsi="Verdana"/>
          <w:sz w:val="16"/>
          <w:szCs w:val="16"/>
          <w:lang w:val="es-GT"/>
        </w:rPr>
        <w:t xml:space="preserve">, y </w:t>
      </w:r>
      <w:r w:rsidR="00AE7B7F" w:rsidRPr="00AE7B7F">
        <w:rPr>
          <w:rFonts w:ascii="Verdana" w:hAnsi="Verdana"/>
          <w:i/>
          <w:sz w:val="16"/>
          <w:szCs w:val="16"/>
          <w:lang w:val="es-GT"/>
        </w:rPr>
        <w:t>Asunto de la Fundación de Antropología Forense de Guatemala respecto de Guatemala</w:t>
      </w:r>
      <w:r w:rsidR="00AE7B7F" w:rsidRPr="00AE7B7F">
        <w:rPr>
          <w:rFonts w:ascii="Verdana" w:hAnsi="Verdana"/>
          <w:sz w:val="16"/>
          <w:szCs w:val="16"/>
          <w:lang w:val="es-GT"/>
        </w:rPr>
        <w:t>. Medidas Provisionales. Resolución de la Corte Interamericana de Derechos Humanos de 18 de noviembre de 2015</w:t>
      </w:r>
      <w:r w:rsidRPr="00606FC2">
        <w:rPr>
          <w:rFonts w:ascii="Verdana" w:hAnsi="Verdana"/>
          <w:sz w:val="16"/>
          <w:szCs w:val="16"/>
          <w:lang w:val="es-GT"/>
        </w:rPr>
        <w:t xml:space="preserve">, Considerando </w:t>
      </w:r>
      <w:r w:rsidR="00AE7B7F">
        <w:rPr>
          <w:rFonts w:ascii="Verdana" w:hAnsi="Verdana"/>
          <w:sz w:val="16"/>
          <w:szCs w:val="16"/>
          <w:lang w:val="es-GT"/>
        </w:rPr>
        <w:t>9</w:t>
      </w:r>
      <w:r w:rsidRPr="00606FC2">
        <w:rPr>
          <w:rFonts w:ascii="Verdana" w:hAnsi="Verdana"/>
          <w:sz w:val="16"/>
          <w:szCs w:val="16"/>
          <w:lang w:val="es-GT"/>
        </w:rPr>
        <w:t>.</w:t>
      </w:r>
    </w:p>
  </w:footnote>
  <w:footnote w:id="8">
    <w:p w14:paraId="586C3F28" w14:textId="2BC31574" w:rsidR="006808A7" w:rsidRPr="00606FC2" w:rsidRDefault="006808A7" w:rsidP="006808A7">
      <w:pPr>
        <w:pStyle w:val="FootnoteText"/>
        <w:jc w:val="both"/>
        <w:rPr>
          <w:rFonts w:ascii="Verdana" w:hAnsi="Verdana"/>
          <w:sz w:val="16"/>
          <w:szCs w:val="16"/>
          <w:lang w:val="es-MX"/>
        </w:rPr>
      </w:pPr>
      <w:r w:rsidRPr="00606FC2">
        <w:rPr>
          <w:rStyle w:val="FootnoteReference"/>
          <w:rFonts w:ascii="Verdana" w:hAnsi="Verdana"/>
          <w:sz w:val="16"/>
          <w:szCs w:val="16"/>
        </w:rPr>
        <w:footnoteRef/>
      </w:r>
      <w:r w:rsidRPr="00606FC2">
        <w:rPr>
          <w:rFonts w:ascii="Verdana" w:hAnsi="Verdana"/>
          <w:sz w:val="16"/>
          <w:szCs w:val="16"/>
          <w:lang w:val="es-MX"/>
        </w:rPr>
        <w:t xml:space="preserve"> </w:t>
      </w:r>
      <w:r w:rsidRPr="00606FC2">
        <w:rPr>
          <w:rFonts w:ascii="Verdana" w:hAnsi="Verdana"/>
          <w:i/>
          <w:iCs/>
          <w:sz w:val="16"/>
          <w:szCs w:val="16"/>
          <w:lang w:val="es-MX"/>
        </w:rPr>
        <w:t>Cfr. Asunto James y Otros</w:t>
      </w:r>
      <w:r w:rsidRPr="00606FC2">
        <w:rPr>
          <w:rFonts w:ascii="Verdana" w:hAnsi="Verdana"/>
          <w:sz w:val="16"/>
          <w:szCs w:val="16"/>
          <w:lang w:val="es-MX"/>
        </w:rPr>
        <w:t xml:space="preserve">. </w:t>
      </w:r>
      <w:r w:rsidRPr="00606FC2">
        <w:rPr>
          <w:rFonts w:ascii="Verdana" w:hAnsi="Verdana"/>
          <w:i/>
          <w:iCs/>
          <w:sz w:val="16"/>
          <w:szCs w:val="16"/>
          <w:lang w:val="es-MX"/>
        </w:rPr>
        <w:t>Medidas Provisionales respecto de Trinidad y Tobago</w:t>
      </w:r>
      <w:r w:rsidRPr="00606FC2">
        <w:rPr>
          <w:rFonts w:ascii="Verdana" w:hAnsi="Verdana"/>
          <w:sz w:val="16"/>
          <w:szCs w:val="16"/>
          <w:lang w:val="es-MX"/>
        </w:rPr>
        <w:t xml:space="preserve">. Resolución de la Corte de 29 de agosto de 1998, Considerando 6, y </w:t>
      </w:r>
      <w:r w:rsidR="00F82185" w:rsidRPr="00F82185">
        <w:rPr>
          <w:rFonts w:ascii="Verdana" w:hAnsi="Verdana"/>
          <w:i/>
          <w:sz w:val="16"/>
          <w:szCs w:val="16"/>
          <w:lang w:val="es-MX"/>
        </w:rPr>
        <w:t xml:space="preserve">Caso </w:t>
      </w:r>
      <w:proofErr w:type="spellStart"/>
      <w:r w:rsidR="00F82185" w:rsidRPr="00F82185">
        <w:rPr>
          <w:rFonts w:ascii="Verdana" w:hAnsi="Verdana"/>
          <w:i/>
          <w:sz w:val="16"/>
          <w:szCs w:val="16"/>
          <w:lang w:val="es-MX"/>
        </w:rPr>
        <w:t>Bámaca</w:t>
      </w:r>
      <w:proofErr w:type="spellEnd"/>
      <w:r w:rsidR="00F82185" w:rsidRPr="00F82185">
        <w:rPr>
          <w:rFonts w:ascii="Verdana" w:hAnsi="Verdana"/>
          <w:i/>
          <w:sz w:val="16"/>
          <w:szCs w:val="16"/>
          <w:lang w:val="es-MX"/>
        </w:rPr>
        <w:t xml:space="preserve"> Velásquez Vs. Guatemal</w:t>
      </w:r>
      <w:r w:rsidR="003D6AF6">
        <w:rPr>
          <w:rFonts w:ascii="Verdana" w:hAnsi="Verdana"/>
          <w:i/>
          <w:sz w:val="16"/>
          <w:szCs w:val="16"/>
          <w:lang w:val="es-MX"/>
        </w:rPr>
        <w:t>a</w:t>
      </w:r>
      <w:r w:rsidR="009106FD">
        <w:rPr>
          <w:rFonts w:ascii="Verdana" w:hAnsi="Verdana"/>
          <w:i/>
          <w:sz w:val="16"/>
          <w:szCs w:val="16"/>
          <w:lang w:val="es-MX"/>
        </w:rPr>
        <w:t>, supr</w:t>
      </w:r>
      <w:r w:rsidR="00F82185" w:rsidRPr="00F82185">
        <w:rPr>
          <w:rFonts w:ascii="Verdana" w:hAnsi="Verdana"/>
          <w:i/>
          <w:sz w:val="16"/>
          <w:szCs w:val="16"/>
          <w:lang w:val="es-MX"/>
        </w:rPr>
        <w:t>a</w:t>
      </w:r>
      <w:r w:rsidR="009106FD">
        <w:rPr>
          <w:rFonts w:ascii="Verdana" w:hAnsi="Verdana"/>
          <w:i/>
          <w:sz w:val="16"/>
          <w:szCs w:val="16"/>
          <w:lang w:val="es-MX"/>
        </w:rPr>
        <w:t>,</w:t>
      </w:r>
      <w:r w:rsidRPr="00606FC2">
        <w:rPr>
          <w:rFonts w:ascii="Verdana" w:hAnsi="Verdana"/>
          <w:sz w:val="16"/>
          <w:szCs w:val="16"/>
          <w:lang w:val="es-MX"/>
        </w:rPr>
        <w:t xml:space="preserve"> Considerando </w:t>
      </w:r>
      <w:r w:rsidR="00F82185">
        <w:rPr>
          <w:rFonts w:ascii="Verdana" w:hAnsi="Verdana"/>
          <w:sz w:val="16"/>
          <w:szCs w:val="16"/>
          <w:lang w:val="es-MX"/>
        </w:rPr>
        <w:t>4</w:t>
      </w:r>
      <w:r w:rsidRPr="00606FC2">
        <w:rPr>
          <w:rFonts w:ascii="Verdana" w:hAnsi="Verdana"/>
          <w:sz w:val="16"/>
          <w:szCs w:val="16"/>
          <w:lang w:val="es-MX"/>
        </w:rPr>
        <w:t xml:space="preserve">.  </w:t>
      </w:r>
    </w:p>
  </w:footnote>
  <w:footnote w:id="9">
    <w:p w14:paraId="038EFBF5" w14:textId="43655C77" w:rsidR="006808A7" w:rsidRPr="00606FC2" w:rsidRDefault="006808A7" w:rsidP="006808A7">
      <w:pPr>
        <w:pStyle w:val="FootnoteText"/>
        <w:jc w:val="both"/>
        <w:rPr>
          <w:rFonts w:ascii="Verdana" w:hAnsi="Verdana"/>
          <w:sz w:val="16"/>
          <w:szCs w:val="16"/>
          <w:lang w:val="es-MX"/>
        </w:rPr>
      </w:pPr>
      <w:r w:rsidRPr="00606FC2">
        <w:rPr>
          <w:rStyle w:val="FootnoteReference"/>
          <w:rFonts w:ascii="Verdana" w:hAnsi="Verdana"/>
          <w:sz w:val="16"/>
          <w:szCs w:val="16"/>
        </w:rPr>
        <w:footnoteRef/>
      </w:r>
      <w:r w:rsidRPr="00606FC2">
        <w:rPr>
          <w:rFonts w:ascii="Verdana" w:hAnsi="Verdana"/>
          <w:sz w:val="16"/>
          <w:szCs w:val="16"/>
          <w:lang w:val="es-MX"/>
        </w:rPr>
        <w:t xml:space="preserve"> </w:t>
      </w:r>
      <w:r w:rsidRPr="00606FC2">
        <w:rPr>
          <w:rFonts w:ascii="Verdana" w:hAnsi="Verdana"/>
          <w:i/>
          <w:iCs/>
          <w:sz w:val="16"/>
          <w:szCs w:val="16"/>
          <w:lang w:val="es-MX"/>
        </w:rPr>
        <w:t xml:space="preserve">Cfr. Asunto Belfort </w:t>
      </w:r>
      <w:proofErr w:type="spellStart"/>
      <w:r w:rsidRPr="00606FC2">
        <w:rPr>
          <w:rFonts w:ascii="Verdana" w:hAnsi="Verdana"/>
          <w:i/>
          <w:iCs/>
          <w:sz w:val="16"/>
          <w:szCs w:val="16"/>
          <w:lang w:val="es-MX"/>
        </w:rPr>
        <w:t>Istúriz</w:t>
      </w:r>
      <w:proofErr w:type="spellEnd"/>
      <w:r w:rsidRPr="00606FC2">
        <w:rPr>
          <w:rFonts w:ascii="Verdana" w:hAnsi="Verdana"/>
          <w:i/>
          <w:iCs/>
          <w:sz w:val="16"/>
          <w:szCs w:val="16"/>
          <w:lang w:val="es-MX"/>
        </w:rPr>
        <w:t xml:space="preserve"> y otros. Medidas Provisionales respecto de Venezuela</w:t>
      </w:r>
      <w:r w:rsidRPr="00606FC2">
        <w:rPr>
          <w:rFonts w:ascii="Verdana" w:hAnsi="Verdana"/>
          <w:sz w:val="16"/>
          <w:szCs w:val="16"/>
          <w:lang w:val="es-MX"/>
        </w:rPr>
        <w:t xml:space="preserve">. Resolución de la Corte de 15 de abril de 2010, Considerando 5, y </w:t>
      </w:r>
      <w:r w:rsidR="00F82185" w:rsidRPr="00F82185">
        <w:rPr>
          <w:rFonts w:ascii="Verdana" w:hAnsi="Verdana"/>
          <w:i/>
          <w:sz w:val="16"/>
          <w:szCs w:val="16"/>
          <w:lang w:val="es-MX"/>
        </w:rPr>
        <w:t xml:space="preserve">Caso </w:t>
      </w:r>
      <w:proofErr w:type="spellStart"/>
      <w:r w:rsidR="00F82185" w:rsidRPr="00F82185">
        <w:rPr>
          <w:rFonts w:ascii="Verdana" w:hAnsi="Verdana"/>
          <w:i/>
          <w:sz w:val="16"/>
          <w:szCs w:val="16"/>
          <w:lang w:val="es-MX"/>
        </w:rPr>
        <w:t>Bámaca</w:t>
      </w:r>
      <w:proofErr w:type="spellEnd"/>
      <w:r w:rsidR="00F82185" w:rsidRPr="00F82185">
        <w:rPr>
          <w:rFonts w:ascii="Verdana" w:hAnsi="Verdana"/>
          <w:i/>
          <w:sz w:val="16"/>
          <w:szCs w:val="16"/>
          <w:lang w:val="es-MX"/>
        </w:rPr>
        <w:t xml:space="preserve"> Velásquez Vs. Guatemala</w:t>
      </w:r>
      <w:r w:rsidR="009106FD">
        <w:rPr>
          <w:rFonts w:ascii="Verdana" w:hAnsi="Verdana"/>
          <w:i/>
          <w:sz w:val="16"/>
          <w:szCs w:val="16"/>
          <w:lang w:val="es-MX"/>
        </w:rPr>
        <w:t>, supra</w:t>
      </w:r>
      <w:r w:rsidR="00F82185" w:rsidRPr="00606FC2">
        <w:rPr>
          <w:rFonts w:ascii="Verdana" w:hAnsi="Verdana"/>
          <w:sz w:val="16"/>
          <w:szCs w:val="16"/>
          <w:lang w:val="es-MX"/>
        </w:rPr>
        <w:t xml:space="preserve">, Considerando </w:t>
      </w:r>
      <w:r w:rsidR="00F82185">
        <w:rPr>
          <w:rFonts w:ascii="Verdana" w:hAnsi="Verdana"/>
          <w:sz w:val="16"/>
          <w:szCs w:val="16"/>
          <w:lang w:val="es-MX"/>
        </w:rPr>
        <w:t>4</w:t>
      </w:r>
      <w:r w:rsidRPr="00606FC2">
        <w:rPr>
          <w:rFonts w:ascii="Verdana" w:hAnsi="Verdana"/>
          <w:sz w:val="16"/>
          <w:szCs w:val="16"/>
          <w:lang w:val="es-MX"/>
        </w:rPr>
        <w:t xml:space="preserve">.  </w:t>
      </w:r>
    </w:p>
  </w:footnote>
  <w:footnote w:id="10">
    <w:p w14:paraId="4B0CB054" w14:textId="77777777" w:rsidR="006808A7" w:rsidRPr="00AB7302" w:rsidRDefault="006808A7" w:rsidP="006808A7">
      <w:pPr>
        <w:pStyle w:val="FootnoteText"/>
        <w:jc w:val="both"/>
        <w:rPr>
          <w:b/>
          <w:lang w:val="es-CR"/>
        </w:rPr>
      </w:pPr>
      <w:r w:rsidRPr="00606FC2">
        <w:rPr>
          <w:rStyle w:val="FootnoteReference"/>
          <w:rFonts w:ascii="Verdana" w:hAnsi="Verdana"/>
          <w:sz w:val="16"/>
          <w:szCs w:val="16"/>
        </w:rPr>
        <w:footnoteRef/>
      </w:r>
      <w:r w:rsidRPr="00606FC2">
        <w:rPr>
          <w:rFonts w:ascii="Verdana" w:hAnsi="Verdana"/>
          <w:sz w:val="16"/>
          <w:szCs w:val="16"/>
          <w:lang w:val="es-CR"/>
        </w:rPr>
        <w:t xml:space="preserve"> Cabe recordar que los hechos del caso al que se vinculan las medidas provisionales involucran la muerte violenta de varias personas de la Comunidad Aurora 8 de Octubre por acciones de militares, algunos de los cuales permanecían prófugos (</w:t>
      </w:r>
      <w:r w:rsidRPr="00606FC2">
        <w:rPr>
          <w:rFonts w:ascii="Verdana" w:hAnsi="Verdana"/>
          <w:i/>
          <w:sz w:val="16"/>
          <w:szCs w:val="16"/>
          <w:lang w:val="es-CR"/>
        </w:rPr>
        <w:t>cfr.</w:t>
      </w:r>
      <w:r w:rsidRPr="00606FC2">
        <w:rPr>
          <w:rFonts w:ascii="Verdana" w:hAnsi="Verdana"/>
          <w:sz w:val="16"/>
          <w:szCs w:val="16"/>
          <w:lang w:val="es-CR"/>
        </w:rPr>
        <w:t xml:space="preserve"> </w:t>
      </w:r>
      <w:r w:rsidRPr="00606FC2">
        <w:rPr>
          <w:rStyle w:val="Strong"/>
          <w:rFonts w:ascii="Verdana" w:hAnsi="Verdana"/>
          <w:b w:val="0"/>
          <w:i/>
          <w:sz w:val="16"/>
          <w:szCs w:val="16"/>
          <w:lang w:val="es-CR"/>
        </w:rPr>
        <w:t xml:space="preserve">Caso </w:t>
      </w:r>
      <w:proofErr w:type="spellStart"/>
      <w:r w:rsidRPr="00606FC2">
        <w:rPr>
          <w:rStyle w:val="Strong"/>
          <w:rFonts w:ascii="Verdana" w:hAnsi="Verdana"/>
          <w:b w:val="0"/>
          <w:i/>
          <w:sz w:val="16"/>
          <w:szCs w:val="16"/>
          <w:lang w:val="es-CR"/>
        </w:rPr>
        <w:t>Coc</w:t>
      </w:r>
      <w:proofErr w:type="spellEnd"/>
      <w:r w:rsidRPr="00606FC2">
        <w:rPr>
          <w:rStyle w:val="Strong"/>
          <w:rFonts w:ascii="Verdana" w:hAnsi="Verdana"/>
          <w:b w:val="0"/>
          <w:i/>
          <w:sz w:val="16"/>
          <w:szCs w:val="16"/>
          <w:lang w:val="es-CR"/>
        </w:rPr>
        <w:t xml:space="preserve"> Max y otros (Masacre de </w:t>
      </w:r>
      <w:proofErr w:type="spellStart"/>
      <w:r w:rsidRPr="00606FC2">
        <w:rPr>
          <w:rStyle w:val="Strong"/>
          <w:rFonts w:ascii="Verdana" w:hAnsi="Verdana"/>
          <w:b w:val="0"/>
          <w:i/>
          <w:sz w:val="16"/>
          <w:szCs w:val="16"/>
          <w:lang w:val="es-CR"/>
        </w:rPr>
        <w:t>Xamán</w:t>
      </w:r>
      <w:proofErr w:type="spellEnd"/>
      <w:r w:rsidRPr="00606FC2">
        <w:rPr>
          <w:rStyle w:val="Strong"/>
          <w:rFonts w:ascii="Verdana" w:hAnsi="Verdana"/>
          <w:b w:val="0"/>
          <w:i/>
          <w:sz w:val="16"/>
          <w:szCs w:val="16"/>
          <w:lang w:val="es-CR"/>
        </w:rPr>
        <w:t>) Vs. Guatemala. Fondo, Reparaciones y Costas.</w:t>
      </w:r>
      <w:r w:rsidRPr="00606FC2">
        <w:rPr>
          <w:rStyle w:val="Strong"/>
          <w:rFonts w:ascii="Verdana" w:hAnsi="Verdana"/>
          <w:b w:val="0"/>
          <w:sz w:val="16"/>
          <w:szCs w:val="16"/>
          <w:lang w:val="es-CR"/>
        </w:rPr>
        <w:t xml:space="preserve"> Sentencia de 22 de agosto de 2018. </w:t>
      </w:r>
      <w:r w:rsidRPr="000A6417">
        <w:rPr>
          <w:rStyle w:val="Strong"/>
          <w:rFonts w:ascii="Verdana" w:hAnsi="Verdana"/>
          <w:b w:val="0"/>
          <w:sz w:val="16"/>
          <w:szCs w:val="16"/>
          <w:lang w:val="es-CR"/>
        </w:rPr>
        <w:t xml:space="preserve">Serie C No. 356, </w:t>
      </w:r>
      <w:proofErr w:type="spellStart"/>
      <w:r w:rsidRPr="000A6417">
        <w:rPr>
          <w:rStyle w:val="Strong"/>
          <w:rFonts w:ascii="Verdana" w:hAnsi="Verdana"/>
          <w:b w:val="0"/>
          <w:sz w:val="16"/>
          <w:szCs w:val="16"/>
          <w:lang w:val="es-CR"/>
        </w:rPr>
        <w:t>párrs</w:t>
      </w:r>
      <w:proofErr w:type="spellEnd"/>
      <w:r w:rsidRPr="000A6417">
        <w:rPr>
          <w:rStyle w:val="Strong"/>
          <w:rFonts w:ascii="Verdana" w:hAnsi="Verdana"/>
          <w:b w:val="0"/>
          <w:sz w:val="16"/>
          <w:szCs w:val="16"/>
          <w:lang w:val="es-CR"/>
        </w:rPr>
        <w:t xml:space="preserve">. </w:t>
      </w:r>
      <w:r w:rsidRPr="00606FC2">
        <w:rPr>
          <w:rStyle w:val="Strong"/>
          <w:rFonts w:ascii="Verdana" w:hAnsi="Verdana"/>
          <w:b w:val="0"/>
          <w:sz w:val="16"/>
          <w:szCs w:val="16"/>
        </w:rPr>
        <w:t>36, 37 y 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33EB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9279DE"/>
    <w:multiLevelType w:val="hybridMultilevel"/>
    <w:tmpl w:val="16704A5C"/>
    <w:lvl w:ilvl="0" w:tplc="74987BF8">
      <w:start w:val="1"/>
      <w:numFmt w:val="decimal"/>
      <w:lvlText w:val="%1."/>
      <w:lvlJc w:val="left"/>
      <w:pPr>
        <w:ind w:left="720" w:hanging="360"/>
      </w:pPr>
      <w:rPr>
        <w:rFonts w:hint="default"/>
        <w:b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631E4877"/>
    <w:multiLevelType w:val="hybridMultilevel"/>
    <w:tmpl w:val="10AA9C0A"/>
    <w:lvl w:ilvl="0" w:tplc="1996F4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E420AB"/>
    <w:multiLevelType w:val="hybridMultilevel"/>
    <w:tmpl w:val="99F49BAA"/>
    <w:lvl w:ilvl="0" w:tplc="1D78E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B44430"/>
    <w:multiLevelType w:val="hybridMultilevel"/>
    <w:tmpl w:val="E146EACE"/>
    <w:lvl w:ilvl="0" w:tplc="6EF40604">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A7"/>
    <w:rsid w:val="00006970"/>
    <w:rsid w:val="00051D76"/>
    <w:rsid w:val="000901FA"/>
    <w:rsid w:val="00093D09"/>
    <w:rsid w:val="000A6417"/>
    <w:rsid w:val="000D731E"/>
    <w:rsid w:val="0016468E"/>
    <w:rsid w:val="003D6AF6"/>
    <w:rsid w:val="003F6743"/>
    <w:rsid w:val="004B3D24"/>
    <w:rsid w:val="00540723"/>
    <w:rsid w:val="00654C98"/>
    <w:rsid w:val="006808A7"/>
    <w:rsid w:val="00767E04"/>
    <w:rsid w:val="008A5395"/>
    <w:rsid w:val="009106FD"/>
    <w:rsid w:val="00972F73"/>
    <w:rsid w:val="00991C58"/>
    <w:rsid w:val="009D5170"/>
    <w:rsid w:val="009D61F9"/>
    <w:rsid w:val="00A326FF"/>
    <w:rsid w:val="00AE7B7F"/>
    <w:rsid w:val="00B42D42"/>
    <w:rsid w:val="00BD30ED"/>
    <w:rsid w:val="00C72319"/>
    <w:rsid w:val="00E11923"/>
    <w:rsid w:val="00ED6160"/>
    <w:rsid w:val="00F801FF"/>
    <w:rsid w:val="00F82185"/>
    <w:rsid w:val="00F959C7"/>
    <w:rsid w:val="7F9B035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A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08A7"/>
    <w:pPr>
      <w:autoSpaceDE w:val="0"/>
      <w:autoSpaceDN w:val="0"/>
      <w:adjustRightInd w:val="0"/>
      <w:spacing w:after="0" w:line="240" w:lineRule="auto"/>
    </w:pPr>
    <w:rPr>
      <w:rFonts w:ascii="Verdana" w:hAnsi="Verdana" w:cs="Verdana"/>
      <w:color w:val="000000"/>
      <w:sz w:val="24"/>
      <w:szCs w:val="24"/>
      <w:lang w:val="en-US"/>
    </w:rPr>
  </w:style>
  <w:style w:type="paragraph" w:styleId="ListParagraph">
    <w:name w:val="List Paragraph"/>
    <w:basedOn w:val="Normal"/>
    <w:uiPriority w:val="34"/>
    <w:qFormat/>
    <w:rsid w:val="006808A7"/>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basedOn w:val="Normal"/>
    <w:link w:val="FootnoteTextChar"/>
    <w:unhideWhenUsed/>
    <w:rsid w:val="006808A7"/>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6808A7"/>
    <w:rPr>
      <w:sz w:val="20"/>
      <w:szCs w:val="20"/>
      <w:lang w:val="en-U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basedOn w:val="DefaultParagraphFont"/>
    <w:uiPriority w:val="99"/>
    <w:semiHidden/>
    <w:unhideWhenUsed/>
    <w:rsid w:val="006808A7"/>
    <w:rPr>
      <w:vertAlign w:val="superscript"/>
    </w:rPr>
  </w:style>
  <w:style w:type="character" w:styleId="Strong">
    <w:name w:val="Strong"/>
    <w:basedOn w:val="DefaultParagraphFont"/>
    <w:uiPriority w:val="22"/>
    <w:qFormat/>
    <w:rsid w:val="006808A7"/>
    <w:rPr>
      <w:b/>
      <w:bCs/>
    </w:rPr>
  </w:style>
  <w:style w:type="paragraph" w:styleId="Header">
    <w:name w:val="header"/>
    <w:basedOn w:val="Normal"/>
    <w:link w:val="HeaderChar"/>
    <w:uiPriority w:val="99"/>
    <w:unhideWhenUsed/>
    <w:rsid w:val="006808A7"/>
    <w:pPr>
      <w:tabs>
        <w:tab w:val="center" w:pos="4419"/>
        <w:tab w:val="right" w:pos="8838"/>
      </w:tabs>
      <w:spacing w:after="0" w:line="240" w:lineRule="auto"/>
    </w:pPr>
  </w:style>
  <w:style w:type="character" w:customStyle="1" w:styleId="HeaderChar">
    <w:name w:val="Header Char"/>
    <w:basedOn w:val="DefaultParagraphFont"/>
    <w:link w:val="Header"/>
    <w:uiPriority w:val="99"/>
    <w:rsid w:val="006808A7"/>
    <w:rPr>
      <w:lang w:val="en-US"/>
    </w:rPr>
  </w:style>
  <w:style w:type="paragraph" w:styleId="Footer">
    <w:name w:val="footer"/>
    <w:basedOn w:val="Normal"/>
    <w:link w:val="FooterChar"/>
    <w:uiPriority w:val="99"/>
    <w:unhideWhenUsed/>
    <w:rsid w:val="006808A7"/>
    <w:pPr>
      <w:tabs>
        <w:tab w:val="center" w:pos="4419"/>
        <w:tab w:val="right" w:pos="8838"/>
      </w:tabs>
      <w:spacing w:after="0" w:line="240" w:lineRule="auto"/>
    </w:pPr>
  </w:style>
  <w:style w:type="character" w:customStyle="1" w:styleId="FooterChar">
    <w:name w:val="Footer Char"/>
    <w:basedOn w:val="DefaultParagraphFont"/>
    <w:link w:val="Footer"/>
    <w:uiPriority w:val="99"/>
    <w:rsid w:val="006808A7"/>
    <w:rPr>
      <w:lang w:val="en-US"/>
    </w:rPr>
  </w:style>
  <w:style w:type="character" w:styleId="LineNumber">
    <w:name w:val="line number"/>
    <w:basedOn w:val="DefaultParagraphFont"/>
    <w:uiPriority w:val="99"/>
    <w:semiHidden/>
    <w:unhideWhenUsed/>
    <w:rsid w:val="006808A7"/>
  </w:style>
  <w:style w:type="paragraph" w:styleId="BalloonText">
    <w:name w:val="Balloon Text"/>
    <w:basedOn w:val="Normal"/>
    <w:link w:val="BalloonTextChar"/>
    <w:uiPriority w:val="99"/>
    <w:semiHidden/>
    <w:unhideWhenUsed/>
    <w:rsid w:val="00BD3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0E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A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08A7"/>
    <w:pPr>
      <w:autoSpaceDE w:val="0"/>
      <w:autoSpaceDN w:val="0"/>
      <w:adjustRightInd w:val="0"/>
      <w:spacing w:after="0" w:line="240" w:lineRule="auto"/>
    </w:pPr>
    <w:rPr>
      <w:rFonts w:ascii="Verdana" w:hAnsi="Verdana" w:cs="Verdana"/>
      <w:color w:val="000000"/>
      <w:sz w:val="24"/>
      <w:szCs w:val="24"/>
      <w:lang w:val="en-US"/>
    </w:rPr>
  </w:style>
  <w:style w:type="paragraph" w:styleId="ListParagraph">
    <w:name w:val="List Paragraph"/>
    <w:basedOn w:val="Normal"/>
    <w:uiPriority w:val="34"/>
    <w:qFormat/>
    <w:rsid w:val="006808A7"/>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basedOn w:val="Normal"/>
    <w:link w:val="FootnoteTextChar"/>
    <w:unhideWhenUsed/>
    <w:rsid w:val="006808A7"/>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6808A7"/>
    <w:rPr>
      <w:sz w:val="20"/>
      <w:szCs w:val="20"/>
      <w:lang w:val="en-U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basedOn w:val="DefaultParagraphFont"/>
    <w:uiPriority w:val="99"/>
    <w:semiHidden/>
    <w:unhideWhenUsed/>
    <w:rsid w:val="006808A7"/>
    <w:rPr>
      <w:vertAlign w:val="superscript"/>
    </w:rPr>
  </w:style>
  <w:style w:type="character" w:styleId="Strong">
    <w:name w:val="Strong"/>
    <w:basedOn w:val="DefaultParagraphFont"/>
    <w:uiPriority w:val="22"/>
    <w:qFormat/>
    <w:rsid w:val="006808A7"/>
    <w:rPr>
      <w:b/>
      <w:bCs/>
    </w:rPr>
  </w:style>
  <w:style w:type="paragraph" w:styleId="Header">
    <w:name w:val="header"/>
    <w:basedOn w:val="Normal"/>
    <w:link w:val="HeaderChar"/>
    <w:uiPriority w:val="99"/>
    <w:unhideWhenUsed/>
    <w:rsid w:val="006808A7"/>
    <w:pPr>
      <w:tabs>
        <w:tab w:val="center" w:pos="4419"/>
        <w:tab w:val="right" w:pos="8838"/>
      </w:tabs>
      <w:spacing w:after="0" w:line="240" w:lineRule="auto"/>
    </w:pPr>
  </w:style>
  <w:style w:type="character" w:customStyle="1" w:styleId="HeaderChar">
    <w:name w:val="Header Char"/>
    <w:basedOn w:val="DefaultParagraphFont"/>
    <w:link w:val="Header"/>
    <w:uiPriority w:val="99"/>
    <w:rsid w:val="006808A7"/>
    <w:rPr>
      <w:lang w:val="en-US"/>
    </w:rPr>
  </w:style>
  <w:style w:type="paragraph" w:styleId="Footer">
    <w:name w:val="footer"/>
    <w:basedOn w:val="Normal"/>
    <w:link w:val="FooterChar"/>
    <w:uiPriority w:val="99"/>
    <w:unhideWhenUsed/>
    <w:rsid w:val="006808A7"/>
    <w:pPr>
      <w:tabs>
        <w:tab w:val="center" w:pos="4419"/>
        <w:tab w:val="right" w:pos="8838"/>
      </w:tabs>
      <w:spacing w:after="0" w:line="240" w:lineRule="auto"/>
    </w:pPr>
  </w:style>
  <w:style w:type="character" w:customStyle="1" w:styleId="FooterChar">
    <w:name w:val="Footer Char"/>
    <w:basedOn w:val="DefaultParagraphFont"/>
    <w:link w:val="Footer"/>
    <w:uiPriority w:val="99"/>
    <w:rsid w:val="006808A7"/>
    <w:rPr>
      <w:lang w:val="en-US"/>
    </w:rPr>
  </w:style>
  <w:style w:type="character" w:styleId="LineNumber">
    <w:name w:val="line number"/>
    <w:basedOn w:val="DefaultParagraphFont"/>
    <w:uiPriority w:val="99"/>
    <w:semiHidden/>
    <w:unhideWhenUsed/>
    <w:rsid w:val="006808A7"/>
  </w:style>
  <w:style w:type="paragraph" w:styleId="BalloonText">
    <w:name w:val="Balloon Text"/>
    <w:basedOn w:val="Normal"/>
    <w:link w:val="BalloonTextChar"/>
    <w:uiPriority w:val="99"/>
    <w:semiHidden/>
    <w:unhideWhenUsed/>
    <w:rsid w:val="00BD3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0E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196E-4BA0-4347-8722-570C0103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2321</Words>
  <Characters>12769</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2019-02-08T19:58:00Z</cp:lastPrinted>
  <dcterms:created xsi:type="dcterms:W3CDTF">2019-02-08T20:01:00Z</dcterms:created>
  <dcterms:modified xsi:type="dcterms:W3CDTF">2019-02-08T20:01:00Z</dcterms:modified>
</cp:coreProperties>
</file>