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3CEF0" w14:textId="77777777" w:rsidR="0048575A" w:rsidRDefault="0048575A" w:rsidP="00E604E5">
      <w:pPr>
        <w:tabs>
          <w:tab w:val="left" w:pos="567"/>
        </w:tabs>
        <w:spacing w:after="0" w:line="240" w:lineRule="auto"/>
        <w:jc w:val="center"/>
        <w:rPr>
          <w:rFonts w:ascii="Verdana" w:hAnsi="Verdana"/>
          <w:b/>
          <w:spacing w:val="-4"/>
          <w:sz w:val="20"/>
          <w:szCs w:val="20"/>
          <w:lang w:val="es-MX"/>
        </w:rPr>
      </w:pPr>
    </w:p>
    <w:p w14:paraId="6C86C343" w14:textId="77777777" w:rsidR="0048575A" w:rsidRDefault="0048575A" w:rsidP="00E604E5">
      <w:pPr>
        <w:tabs>
          <w:tab w:val="left" w:pos="567"/>
        </w:tabs>
        <w:spacing w:after="0" w:line="240" w:lineRule="auto"/>
        <w:jc w:val="center"/>
        <w:rPr>
          <w:rFonts w:ascii="Verdana" w:hAnsi="Verdana"/>
          <w:b/>
          <w:spacing w:val="-4"/>
          <w:sz w:val="20"/>
          <w:szCs w:val="20"/>
          <w:lang w:val="es-MX"/>
        </w:rPr>
      </w:pPr>
    </w:p>
    <w:p w14:paraId="0F076024" w14:textId="77777777" w:rsidR="0048575A" w:rsidRDefault="0048575A" w:rsidP="00E604E5">
      <w:pPr>
        <w:tabs>
          <w:tab w:val="left" w:pos="567"/>
        </w:tabs>
        <w:spacing w:after="0" w:line="240" w:lineRule="auto"/>
        <w:jc w:val="center"/>
        <w:rPr>
          <w:rFonts w:ascii="Verdana" w:hAnsi="Verdana"/>
          <w:b/>
          <w:spacing w:val="-4"/>
          <w:sz w:val="20"/>
          <w:szCs w:val="20"/>
          <w:lang w:val="es-MX"/>
        </w:rPr>
      </w:pPr>
    </w:p>
    <w:p w14:paraId="18BD13BB" w14:textId="08FDE358" w:rsidR="0038765A" w:rsidRPr="007865FC" w:rsidRDefault="0038765A" w:rsidP="00E604E5">
      <w:pPr>
        <w:tabs>
          <w:tab w:val="left" w:pos="567"/>
        </w:tabs>
        <w:spacing w:after="0" w:line="240" w:lineRule="auto"/>
        <w:jc w:val="center"/>
        <w:rPr>
          <w:rFonts w:ascii="Verdana" w:hAnsi="Verdana"/>
          <w:b/>
          <w:spacing w:val="-4"/>
          <w:sz w:val="20"/>
          <w:szCs w:val="20"/>
          <w:lang w:val="es-MX"/>
        </w:rPr>
      </w:pPr>
      <w:bookmarkStart w:id="0" w:name="_Hlk36730543"/>
      <w:bookmarkStart w:id="1" w:name="_GoBack"/>
      <w:r w:rsidRPr="007865FC">
        <w:rPr>
          <w:rFonts w:ascii="Verdana" w:hAnsi="Verdana"/>
          <w:b/>
          <w:spacing w:val="-4"/>
          <w:sz w:val="20"/>
          <w:szCs w:val="20"/>
          <w:lang w:val="es-MX"/>
        </w:rPr>
        <w:t>RESOLUCIÓN DE LA</w:t>
      </w:r>
    </w:p>
    <w:p w14:paraId="28AAB9BD" w14:textId="32DD5066" w:rsidR="0038765A" w:rsidRPr="007865FC" w:rsidRDefault="00AF4D0B" w:rsidP="00E604E5">
      <w:pPr>
        <w:tabs>
          <w:tab w:val="left" w:pos="567"/>
        </w:tabs>
        <w:spacing w:after="0" w:line="240" w:lineRule="auto"/>
        <w:jc w:val="center"/>
        <w:rPr>
          <w:rFonts w:ascii="Verdana" w:hAnsi="Verdana"/>
          <w:b/>
          <w:spacing w:val="-4"/>
          <w:sz w:val="20"/>
          <w:szCs w:val="20"/>
          <w:lang w:val="es-MX"/>
        </w:rPr>
      </w:pPr>
      <w:r>
        <w:rPr>
          <w:rFonts w:ascii="Verdana" w:hAnsi="Verdana"/>
          <w:b/>
          <w:spacing w:val="-4"/>
          <w:sz w:val="20"/>
          <w:szCs w:val="20"/>
          <w:lang w:val="es-MX"/>
        </w:rPr>
        <w:t>PRESIDENTA DE LA CORTE</w:t>
      </w:r>
      <w:r w:rsidR="0038765A" w:rsidRPr="007865FC">
        <w:rPr>
          <w:rFonts w:ascii="Verdana" w:hAnsi="Verdana"/>
          <w:b/>
          <w:spacing w:val="-4"/>
          <w:sz w:val="20"/>
          <w:szCs w:val="20"/>
          <w:lang w:val="es-MX"/>
        </w:rPr>
        <w:t xml:space="preserve"> INTERAMERICANA DE DERECHOS HUMANOS</w:t>
      </w:r>
    </w:p>
    <w:p w14:paraId="38A4421B" w14:textId="77777777" w:rsidR="0038765A" w:rsidRPr="007865FC" w:rsidRDefault="0038765A" w:rsidP="00E604E5">
      <w:pPr>
        <w:tabs>
          <w:tab w:val="left" w:pos="567"/>
        </w:tabs>
        <w:spacing w:after="0" w:line="240" w:lineRule="auto"/>
        <w:jc w:val="center"/>
        <w:rPr>
          <w:rFonts w:ascii="Verdana" w:hAnsi="Verdana"/>
          <w:b/>
          <w:spacing w:val="-4"/>
          <w:sz w:val="20"/>
          <w:szCs w:val="20"/>
          <w:lang w:val="es-ES_tradnl"/>
        </w:rPr>
      </w:pPr>
    </w:p>
    <w:p w14:paraId="1088D35D" w14:textId="6A872DF8" w:rsidR="0038765A" w:rsidRPr="007865FC" w:rsidRDefault="0038765A" w:rsidP="00E604E5">
      <w:pPr>
        <w:tabs>
          <w:tab w:val="left" w:pos="567"/>
        </w:tabs>
        <w:spacing w:after="0" w:line="240" w:lineRule="auto"/>
        <w:jc w:val="center"/>
        <w:rPr>
          <w:rFonts w:ascii="Verdana" w:hAnsi="Verdana"/>
          <w:b/>
          <w:spacing w:val="-4"/>
          <w:sz w:val="20"/>
          <w:szCs w:val="20"/>
          <w:lang w:val="es-MX"/>
        </w:rPr>
      </w:pPr>
      <w:r w:rsidRPr="007865FC">
        <w:rPr>
          <w:rFonts w:ascii="Verdana" w:hAnsi="Verdana"/>
          <w:b/>
          <w:spacing w:val="-4"/>
          <w:sz w:val="20"/>
          <w:szCs w:val="20"/>
          <w:lang w:val="es-MX"/>
        </w:rPr>
        <w:t>DE</w:t>
      </w:r>
      <w:r w:rsidR="00275EBB" w:rsidRPr="007865FC">
        <w:rPr>
          <w:rFonts w:ascii="Verdana" w:hAnsi="Verdana"/>
          <w:b/>
          <w:spacing w:val="-4"/>
          <w:sz w:val="20"/>
          <w:szCs w:val="20"/>
          <w:lang w:val="es-MX"/>
        </w:rPr>
        <w:t xml:space="preserve"> </w:t>
      </w:r>
      <w:r w:rsidR="00CD1CF9">
        <w:rPr>
          <w:rFonts w:ascii="Verdana" w:hAnsi="Verdana"/>
          <w:b/>
          <w:spacing w:val="-4"/>
          <w:sz w:val="20"/>
          <w:szCs w:val="20"/>
          <w:lang w:val="es-MX"/>
        </w:rPr>
        <w:t>2</w:t>
      </w:r>
      <w:r w:rsidR="00275EBB" w:rsidRPr="007865FC">
        <w:rPr>
          <w:rFonts w:ascii="Verdana" w:hAnsi="Verdana"/>
          <w:b/>
          <w:spacing w:val="-4"/>
          <w:sz w:val="20"/>
          <w:szCs w:val="20"/>
          <w:lang w:val="es-MX"/>
        </w:rPr>
        <w:t xml:space="preserve"> </w:t>
      </w:r>
      <w:r w:rsidRPr="007865FC">
        <w:rPr>
          <w:rFonts w:ascii="Verdana" w:hAnsi="Verdana"/>
          <w:b/>
          <w:spacing w:val="-4"/>
          <w:sz w:val="20"/>
          <w:szCs w:val="20"/>
          <w:lang w:val="es-GT"/>
        </w:rPr>
        <w:t xml:space="preserve">DE </w:t>
      </w:r>
      <w:r w:rsidR="00A4345A">
        <w:rPr>
          <w:rFonts w:ascii="Verdana" w:hAnsi="Verdana"/>
          <w:b/>
          <w:spacing w:val="-4"/>
          <w:sz w:val="20"/>
          <w:szCs w:val="20"/>
          <w:lang w:val="es-GT"/>
        </w:rPr>
        <w:t>ABRIL</w:t>
      </w:r>
      <w:r w:rsidRPr="007865FC">
        <w:rPr>
          <w:rFonts w:ascii="Verdana" w:hAnsi="Verdana"/>
          <w:b/>
          <w:spacing w:val="-4"/>
          <w:sz w:val="20"/>
          <w:szCs w:val="20"/>
          <w:lang w:val="es-MX"/>
        </w:rPr>
        <w:t xml:space="preserve"> </w:t>
      </w:r>
      <w:r w:rsidR="00275EBB" w:rsidRPr="007865FC">
        <w:rPr>
          <w:rFonts w:ascii="Verdana" w:hAnsi="Verdana"/>
          <w:b/>
          <w:spacing w:val="-4"/>
          <w:sz w:val="20"/>
          <w:szCs w:val="20"/>
          <w:lang w:val="es-MX"/>
        </w:rPr>
        <w:t>DE 2020</w:t>
      </w:r>
    </w:p>
    <w:p w14:paraId="6C214A2F" w14:textId="77777777" w:rsidR="0038765A" w:rsidRPr="007865FC" w:rsidRDefault="0038765A" w:rsidP="00E604E5">
      <w:pPr>
        <w:tabs>
          <w:tab w:val="left" w:pos="567"/>
        </w:tabs>
        <w:spacing w:after="0" w:line="240" w:lineRule="auto"/>
        <w:jc w:val="center"/>
        <w:rPr>
          <w:rFonts w:ascii="Verdana" w:hAnsi="Verdana"/>
          <w:b/>
          <w:spacing w:val="-4"/>
          <w:sz w:val="20"/>
          <w:szCs w:val="20"/>
          <w:lang w:val="es-MX"/>
        </w:rPr>
      </w:pPr>
    </w:p>
    <w:p w14:paraId="582547A2" w14:textId="352F3E7B" w:rsidR="00EE4370" w:rsidRDefault="00EE4370" w:rsidP="00E604E5">
      <w:pPr>
        <w:tabs>
          <w:tab w:val="left" w:pos="567"/>
        </w:tabs>
        <w:spacing w:after="0" w:line="240" w:lineRule="auto"/>
        <w:jc w:val="center"/>
        <w:rPr>
          <w:rFonts w:ascii="Verdana" w:hAnsi="Verdana"/>
          <w:b/>
          <w:spacing w:val="-4"/>
          <w:sz w:val="20"/>
          <w:szCs w:val="20"/>
          <w:lang w:val="es-MX"/>
        </w:rPr>
      </w:pPr>
      <w:r>
        <w:rPr>
          <w:rFonts w:ascii="Verdana" w:hAnsi="Verdana"/>
          <w:b/>
          <w:spacing w:val="-4"/>
          <w:sz w:val="20"/>
          <w:szCs w:val="20"/>
          <w:lang w:val="es-MX"/>
        </w:rPr>
        <w:t>ADOPCIÓN DE MEDIDAS URGENTES</w:t>
      </w:r>
    </w:p>
    <w:p w14:paraId="2939FD13" w14:textId="77777777" w:rsidR="00EE4370" w:rsidRDefault="00EE4370" w:rsidP="00E604E5">
      <w:pPr>
        <w:tabs>
          <w:tab w:val="left" w:pos="567"/>
        </w:tabs>
        <w:spacing w:after="0" w:line="240" w:lineRule="auto"/>
        <w:jc w:val="center"/>
        <w:rPr>
          <w:rFonts w:ascii="Verdana" w:hAnsi="Verdana"/>
          <w:b/>
          <w:spacing w:val="-4"/>
          <w:sz w:val="20"/>
          <w:szCs w:val="20"/>
          <w:lang w:val="es-MX"/>
        </w:rPr>
      </w:pPr>
    </w:p>
    <w:p w14:paraId="5427DE24" w14:textId="77777777" w:rsidR="00DD29C1" w:rsidRPr="007865FC" w:rsidRDefault="00DD29C1" w:rsidP="00E604E5">
      <w:pPr>
        <w:tabs>
          <w:tab w:val="left" w:pos="567"/>
        </w:tabs>
        <w:spacing w:after="0" w:line="240" w:lineRule="auto"/>
        <w:jc w:val="center"/>
        <w:rPr>
          <w:rFonts w:ascii="Verdana" w:hAnsi="Verdana"/>
          <w:b/>
          <w:spacing w:val="-4"/>
          <w:sz w:val="20"/>
          <w:szCs w:val="20"/>
          <w:lang w:val="es-MX"/>
        </w:rPr>
      </w:pPr>
      <w:r w:rsidRPr="007865FC">
        <w:rPr>
          <w:rFonts w:ascii="Verdana" w:hAnsi="Verdana"/>
          <w:b/>
          <w:spacing w:val="-4"/>
          <w:sz w:val="20"/>
          <w:szCs w:val="20"/>
          <w:lang w:val="es-MX"/>
        </w:rPr>
        <w:t>AMPLIACIÓN DE MEDIDAS PROVISIONALES</w:t>
      </w:r>
    </w:p>
    <w:p w14:paraId="1881E8AB" w14:textId="23D4A71F" w:rsidR="00DD29C1" w:rsidRPr="007865FC" w:rsidRDefault="00B40384" w:rsidP="00E604E5">
      <w:pPr>
        <w:tabs>
          <w:tab w:val="left" w:pos="567"/>
        </w:tabs>
        <w:spacing w:after="0" w:line="240" w:lineRule="auto"/>
        <w:jc w:val="center"/>
        <w:rPr>
          <w:rFonts w:ascii="Verdana" w:hAnsi="Verdana"/>
          <w:b/>
          <w:spacing w:val="-4"/>
          <w:sz w:val="20"/>
          <w:szCs w:val="20"/>
          <w:lang w:val="es-MX"/>
        </w:rPr>
      </w:pPr>
      <w:r w:rsidRPr="007865FC">
        <w:rPr>
          <w:rFonts w:ascii="Verdana" w:hAnsi="Verdana"/>
          <w:b/>
          <w:spacing w:val="-4"/>
          <w:sz w:val="20"/>
          <w:szCs w:val="20"/>
          <w:lang w:val="es-MX"/>
        </w:rPr>
        <w:t>RESPECTO DE</w:t>
      </w:r>
      <w:r w:rsidR="005A2CBA">
        <w:rPr>
          <w:rFonts w:ascii="Verdana" w:hAnsi="Verdana"/>
          <w:b/>
          <w:spacing w:val="-4"/>
          <w:sz w:val="20"/>
          <w:szCs w:val="20"/>
          <w:lang w:val="es-MX"/>
        </w:rPr>
        <w:t xml:space="preserve"> COLOMBIA</w:t>
      </w:r>
    </w:p>
    <w:p w14:paraId="4AC79694" w14:textId="77777777" w:rsidR="00DD29C1" w:rsidRPr="007865FC" w:rsidRDefault="00DD29C1" w:rsidP="00E604E5">
      <w:pPr>
        <w:tabs>
          <w:tab w:val="left" w:pos="567"/>
        </w:tabs>
        <w:spacing w:after="0" w:line="240" w:lineRule="auto"/>
        <w:jc w:val="center"/>
        <w:rPr>
          <w:rFonts w:ascii="Verdana" w:hAnsi="Verdana"/>
          <w:b/>
          <w:spacing w:val="-4"/>
          <w:sz w:val="20"/>
          <w:szCs w:val="20"/>
          <w:lang w:val="es-MX"/>
        </w:rPr>
      </w:pPr>
    </w:p>
    <w:p w14:paraId="2226F655" w14:textId="20E8BAAB" w:rsidR="0038765A" w:rsidRPr="007865FC" w:rsidRDefault="00AF4D0B" w:rsidP="005A2CBA">
      <w:pPr>
        <w:tabs>
          <w:tab w:val="left" w:pos="567"/>
        </w:tabs>
        <w:spacing w:after="0" w:line="240" w:lineRule="auto"/>
        <w:jc w:val="center"/>
        <w:rPr>
          <w:rFonts w:ascii="Verdana" w:hAnsi="Verdana"/>
          <w:b/>
          <w:spacing w:val="-4"/>
          <w:sz w:val="20"/>
          <w:szCs w:val="20"/>
          <w:lang w:val="es-MX"/>
        </w:rPr>
      </w:pPr>
      <w:r>
        <w:rPr>
          <w:rFonts w:ascii="Verdana" w:hAnsi="Verdana"/>
          <w:b/>
          <w:spacing w:val="-4"/>
          <w:sz w:val="20"/>
          <w:szCs w:val="20"/>
          <w:lang w:val="es-MX"/>
        </w:rPr>
        <w:t>CASO</w:t>
      </w:r>
      <w:r w:rsidR="00DD29C1" w:rsidRPr="007865FC">
        <w:rPr>
          <w:rFonts w:ascii="Verdana" w:hAnsi="Verdana"/>
          <w:b/>
          <w:spacing w:val="-4"/>
          <w:sz w:val="20"/>
          <w:szCs w:val="20"/>
          <w:lang w:val="es-MX"/>
        </w:rPr>
        <w:t xml:space="preserve"> </w:t>
      </w:r>
      <w:r w:rsidR="005A2CBA">
        <w:rPr>
          <w:rFonts w:ascii="Verdana" w:hAnsi="Verdana"/>
          <w:b/>
          <w:spacing w:val="-4"/>
          <w:sz w:val="20"/>
          <w:szCs w:val="20"/>
          <w:lang w:val="es-MX"/>
        </w:rPr>
        <w:t>19 COMERCIANTES</w:t>
      </w:r>
    </w:p>
    <w:bookmarkEnd w:id="0"/>
    <w:bookmarkEnd w:id="1"/>
    <w:p w14:paraId="4BC4D001" w14:textId="77777777" w:rsidR="0038765A" w:rsidRPr="007865FC" w:rsidRDefault="0038765A" w:rsidP="00E604E5">
      <w:pPr>
        <w:tabs>
          <w:tab w:val="left" w:pos="567"/>
        </w:tabs>
        <w:spacing w:after="0" w:line="240" w:lineRule="auto"/>
        <w:jc w:val="both"/>
        <w:rPr>
          <w:rFonts w:ascii="Verdana" w:hAnsi="Verdana"/>
          <w:b/>
          <w:spacing w:val="-4"/>
          <w:sz w:val="20"/>
          <w:szCs w:val="20"/>
          <w:lang w:val="es-GT"/>
        </w:rPr>
      </w:pPr>
    </w:p>
    <w:p w14:paraId="586C87E2" w14:textId="77777777" w:rsidR="0038765A" w:rsidRPr="007865FC" w:rsidRDefault="0038765A" w:rsidP="00EE4370">
      <w:pPr>
        <w:tabs>
          <w:tab w:val="left" w:pos="567"/>
        </w:tabs>
        <w:spacing w:before="240" w:after="240" w:line="240" w:lineRule="auto"/>
        <w:jc w:val="both"/>
        <w:rPr>
          <w:rFonts w:ascii="Verdana" w:hAnsi="Verdana"/>
          <w:b/>
          <w:spacing w:val="-4"/>
          <w:sz w:val="20"/>
          <w:szCs w:val="20"/>
          <w:lang w:val="es-MX"/>
        </w:rPr>
      </w:pPr>
      <w:r w:rsidRPr="007865FC">
        <w:rPr>
          <w:rFonts w:ascii="Verdana" w:hAnsi="Verdana"/>
          <w:b/>
          <w:spacing w:val="-4"/>
          <w:sz w:val="20"/>
          <w:szCs w:val="20"/>
          <w:lang w:val="es-MX"/>
        </w:rPr>
        <w:t>VISTO:</w:t>
      </w:r>
    </w:p>
    <w:p w14:paraId="79BCA444" w14:textId="27505F67" w:rsidR="003C1096" w:rsidRPr="0004594A" w:rsidRDefault="00AF4D0B" w:rsidP="0004594A">
      <w:pPr>
        <w:numPr>
          <w:ilvl w:val="0"/>
          <w:numId w:val="9"/>
        </w:numPr>
        <w:tabs>
          <w:tab w:val="left" w:pos="0"/>
        </w:tabs>
        <w:spacing w:before="120" w:after="120" w:line="240" w:lineRule="auto"/>
        <w:ind w:left="0" w:right="18" w:firstLine="0"/>
        <w:jc w:val="both"/>
        <w:rPr>
          <w:rFonts w:ascii="Verdana" w:hAnsi="Verdana"/>
          <w:spacing w:val="-4"/>
          <w:sz w:val="20"/>
          <w:szCs w:val="20"/>
          <w:lang w:val="es-CR"/>
        </w:rPr>
      </w:pPr>
      <w:r w:rsidRPr="00EE4370">
        <w:rPr>
          <w:rFonts w:ascii="Verdana" w:hAnsi="Verdana"/>
          <w:spacing w:val="-4"/>
          <w:sz w:val="20"/>
          <w:szCs w:val="20"/>
          <w:lang w:val="es-CR"/>
        </w:rPr>
        <w:t>La Sentencia de fondo, reparaciones y costas dictada por la Corte Interamericana de Derechos Humanos (en adelante “la Corte Interamericana”, “la Corte” o “el Tribunal”) el 5 de julio de 2004</w:t>
      </w:r>
      <w:r w:rsidR="00D47026">
        <w:rPr>
          <w:rFonts w:ascii="Verdana" w:hAnsi="Verdana"/>
          <w:spacing w:val="-4"/>
          <w:sz w:val="20"/>
          <w:szCs w:val="20"/>
          <w:lang w:val="es-CR"/>
        </w:rPr>
        <w:t>,</w:t>
      </w:r>
      <w:r w:rsidR="003C1096">
        <w:rPr>
          <w:rFonts w:ascii="Verdana" w:hAnsi="Verdana"/>
          <w:spacing w:val="-4"/>
          <w:sz w:val="20"/>
          <w:szCs w:val="20"/>
          <w:lang w:val="es-CR"/>
        </w:rPr>
        <w:t xml:space="preserve"> mediante la cual se declaró que el Estado había violado </w:t>
      </w:r>
      <w:r w:rsidR="003C1096" w:rsidRPr="003C1096">
        <w:rPr>
          <w:rFonts w:ascii="Verdana" w:hAnsi="Verdana"/>
          <w:spacing w:val="-4"/>
          <w:sz w:val="20"/>
          <w:szCs w:val="20"/>
          <w:lang w:val="es-CR"/>
        </w:rPr>
        <w:t>los derechos a la libertad personal, a la integridad personal y a la vida</w:t>
      </w:r>
      <w:r w:rsidR="003C1096">
        <w:rPr>
          <w:rFonts w:ascii="Verdana" w:hAnsi="Verdana"/>
          <w:spacing w:val="-4"/>
          <w:sz w:val="20"/>
          <w:szCs w:val="20"/>
          <w:lang w:val="es-CR"/>
        </w:rPr>
        <w:t xml:space="preserve"> en perjuicio de </w:t>
      </w:r>
      <w:r w:rsidR="003C1096" w:rsidRPr="003C1096">
        <w:rPr>
          <w:rFonts w:ascii="Verdana" w:hAnsi="Verdana"/>
          <w:spacing w:val="-4"/>
          <w:sz w:val="20"/>
          <w:szCs w:val="20"/>
          <w:lang w:val="es-CR"/>
        </w:rPr>
        <w:t>Antonio Flórez Contreras</w:t>
      </w:r>
      <w:r w:rsidR="003C1096">
        <w:rPr>
          <w:rFonts w:ascii="Verdana" w:hAnsi="Verdana"/>
          <w:spacing w:val="-4"/>
          <w:sz w:val="20"/>
          <w:szCs w:val="20"/>
          <w:lang w:val="es-CR"/>
        </w:rPr>
        <w:t xml:space="preserve"> y de otras </w:t>
      </w:r>
      <w:r w:rsidR="007E253C">
        <w:rPr>
          <w:rFonts w:ascii="Verdana" w:hAnsi="Verdana"/>
          <w:spacing w:val="-4"/>
          <w:sz w:val="20"/>
          <w:szCs w:val="20"/>
          <w:lang w:val="es-CR"/>
        </w:rPr>
        <w:t xml:space="preserve">18 personas, y que se había violado el derecho a la integridad personal de sus familiares, dentro de los cuales se encontraba la señora </w:t>
      </w:r>
      <w:r w:rsidR="007E253C" w:rsidRPr="00307843">
        <w:rPr>
          <w:rFonts w:ascii="Verdana" w:hAnsi="Verdana"/>
          <w:sz w:val="20"/>
          <w:szCs w:val="20"/>
          <w:lang w:val="es-CR"/>
        </w:rPr>
        <w:t>Nery del Socorro Flórez</w:t>
      </w:r>
      <w:r w:rsidR="00DE555E">
        <w:rPr>
          <w:rFonts w:ascii="Verdana" w:hAnsi="Verdana"/>
          <w:sz w:val="20"/>
          <w:szCs w:val="20"/>
          <w:lang w:val="es-CR"/>
        </w:rPr>
        <w:t xml:space="preserve"> Contreras</w:t>
      </w:r>
      <w:r w:rsidR="007E253C" w:rsidRPr="00307843">
        <w:rPr>
          <w:rFonts w:ascii="Verdana" w:hAnsi="Verdana"/>
          <w:sz w:val="20"/>
          <w:szCs w:val="20"/>
          <w:lang w:val="es-CR"/>
        </w:rPr>
        <w:t>, hermana de la víctima Antonio Flórez Contreras</w:t>
      </w:r>
      <w:r w:rsidR="007E253C">
        <w:rPr>
          <w:rFonts w:ascii="Verdana" w:hAnsi="Verdana"/>
          <w:sz w:val="20"/>
          <w:szCs w:val="20"/>
          <w:lang w:val="es-CR"/>
        </w:rPr>
        <w:t xml:space="preserve">. </w:t>
      </w:r>
      <w:r w:rsidR="0004594A" w:rsidRPr="0004594A">
        <w:rPr>
          <w:rFonts w:ascii="Verdana" w:hAnsi="Verdana"/>
          <w:spacing w:val="-4"/>
          <w:sz w:val="20"/>
          <w:szCs w:val="20"/>
          <w:lang w:val="es-CR"/>
        </w:rPr>
        <w:t>Además</w:t>
      </w:r>
      <w:r w:rsidR="0004594A">
        <w:rPr>
          <w:rFonts w:ascii="Verdana" w:hAnsi="Verdana"/>
          <w:sz w:val="20"/>
          <w:szCs w:val="20"/>
          <w:lang w:val="es-CR"/>
        </w:rPr>
        <w:t>, la Corte ordenó en el punto resolutivo 11 de dicha Sentencia que el Estado debía “</w:t>
      </w:r>
      <w:r w:rsidR="0004594A" w:rsidRPr="0004594A">
        <w:rPr>
          <w:rFonts w:ascii="Verdana" w:hAnsi="Verdana"/>
          <w:spacing w:val="-4"/>
          <w:sz w:val="20"/>
          <w:szCs w:val="20"/>
          <w:lang w:val="es-CR"/>
        </w:rPr>
        <w:t xml:space="preserve">ocuparse particularmente de garantizar la vida, integridad y seguridad de las personas que rindieron </w:t>
      </w:r>
      <w:r w:rsidR="00BF3797" w:rsidRPr="0004594A">
        <w:rPr>
          <w:rFonts w:ascii="Verdana" w:hAnsi="Verdana"/>
          <w:spacing w:val="-4"/>
          <w:sz w:val="20"/>
          <w:szCs w:val="20"/>
          <w:lang w:val="es-CR"/>
        </w:rPr>
        <w:t>declaración</w:t>
      </w:r>
      <w:r w:rsidR="0004594A" w:rsidRPr="0004594A">
        <w:rPr>
          <w:rFonts w:ascii="Verdana" w:hAnsi="Verdana"/>
          <w:spacing w:val="-4"/>
          <w:sz w:val="20"/>
          <w:szCs w:val="20"/>
          <w:lang w:val="es-CR"/>
        </w:rPr>
        <w:t xml:space="preserve"> ante el Tribunal y sus familias</w:t>
      </w:r>
      <w:r w:rsidR="0004594A">
        <w:rPr>
          <w:rFonts w:ascii="Verdana" w:hAnsi="Verdana"/>
          <w:spacing w:val="-4"/>
          <w:sz w:val="20"/>
          <w:szCs w:val="20"/>
          <w:lang w:val="es-CR"/>
        </w:rPr>
        <w:t xml:space="preserve">”. En el proceso ante la Corte, rindieron declaración </w:t>
      </w:r>
      <w:r w:rsidR="0004594A" w:rsidRPr="0004594A">
        <w:rPr>
          <w:rFonts w:ascii="Verdana" w:hAnsi="Verdana"/>
          <w:spacing w:val="-4"/>
          <w:sz w:val="20"/>
          <w:szCs w:val="20"/>
          <w:lang w:val="es-CR"/>
        </w:rPr>
        <w:t>testimonial Salomón Flórez Contreras</w:t>
      </w:r>
      <w:r w:rsidR="0004594A">
        <w:rPr>
          <w:rFonts w:ascii="Verdana" w:hAnsi="Verdana"/>
          <w:spacing w:val="-4"/>
          <w:sz w:val="20"/>
          <w:szCs w:val="20"/>
          <w:lang w:val="es-CR"/>
        </w:rPr>
        <w:t xml:space="preserve"> y </w:t>
      </w:r>
      <w:r w:rsidR="0004594A" w:rsidRPr="0004594A">
        <w:rPr>
          <w:rFonts w:ascii="Verdana" w:hAnsi="Verdana"/>
          <w:spacing w:val="-4"/>
          <w:sz w:val="20"/>
          <w:szCs w:val="20"/>
          <w:lang w:val="es-CR"/>
        </w:rPr>
        <w:t>Lina Noralba Navarro Flórez</w:t>
      </w:r>
      <w:r w:rsidR="00CC570B">
        <w:rPr>
          <w:rFonts w:ascii="Verdana" w:hAnsi="Verdana"/>
          <w:spacing w:val="-4"/>
          <w:sz w:val="20"/>
          <w:szCs w:val="20"/>
          <w:lang w:val="es-CR"/>
        </w:rPr>
        <w:t>, hermano y sobrina respectivamente de Antonio Flórez Contreras</w:t>
      </w:r>
      <w:r w:rsidR="0004594A">
        <w:rPr>
          <w:rFonts w:ascii="Verdana" w:hAnsi="Verdana"/>
          <w:spacing w:val="-4"/>
          <w:sz w:val="20"/>
          <w:szCs w:val="20"/>
          <w:lang w:val="es-CR"/>
        </w:rPr>
        <w:t>.</w:t>
      </w:r>
    </w:p>
    <w:p w14:paraId="6BAACAD7" w14:textId="0F2BEC34" w:rsidR="0004594A" w:rsidRPr="0004594A" w:rsidRDefault="002F7DE6" w:rsidP="00CF0335">
      <w:pPr>
        <w:numPr>
          <w:ilvl w:val="0"/>
          <w:numId w:val="9"/>
        </w:numPr>
        <w:tabs>
          <w:tab w:val="left" w:pos="0"/>
        </w:tabs>
        <w:spacing w:before="120" w:after="120" w:line="240" w:lineRule="auto"/>
        <w:ind w:left="0" w:right="18" w:firstLine="0"/>
        <w:jc w:val="both"/>
        <w:rPr>
          <w:rFonts w:ascii="Verdana" w:hAnsi="Verdana"/>
          <w:spacing w:val="-4"/>
          <w:sz w:val="20"/>
          <w:szCs w:val="20"/>
          <w:lang w:val="es-CR"/>
        </w:rPr>
      </w:pPr>
      <w:r w:rsidRPr="0004594A">
        <w:rPr>
          <w:rFonts w:ascii="Verdana" w:hAnsi="Verdana"/>
          <w:spacing w:val="-4"/>
          <w:sz w:val="20"/>
          <w:szCs w:val="20"/>
          <w:lang w:val="es-CR"/>
        </w:rPr>
        <w:t xml:space="preserve">Las </w:t>
      </w:r>
      <w:r w:rsidR="003B5A33" w:rsidRPr="0004594A">
        <w:rPr>
          <w:rFonts w:ascii="Verdana" w:hAnsi="Verdana"/>
          <w:spacing w:val="-4"/>
          <w:sz w:val="20"/>
          <w:szCs w:val="20"/>
          <w:lang w:val="es-CR"/>
        </w:rPr>
        <w:t>Resoluciones dictadas por l</w:t>
      </w:r>
      <w:r w:rsidR="00D47026">
        <w:rPr>
          <w:rFonts w:ascii="Verdana" w:hAnsi="Verdana"/>
          <w:spacing w:val="-4"/>
          <w:sz w:val="20"/>
          <w:szCs w:val="20"/>
          <w:lang w:val="es-CR"/>
        </w:rPr>
        <w:t>a</w:t>
      </w:r>
      <w:r w:rsidR="003B5A33" w:rsidRPr="0004594A">
        <w:rPr>
          <w:rFonts w:ascii="Verdana" w:hAnsi="Verdana"/>
          <w:spacing w:val="-4"/>
          <w:sz w:val="20"/>
          <w:szCs w:val="20"/>
          <w:lang w:val="es-CR"/>
        </w:rPr>
        <w:t xml:space="preserve"> Presiden</w:t>
      </w:r>
      <w:r w:rsidR="00D47026">
        <w:rPr>
          <w:rFonts w:ascii="Verdana" w:hAnsi="Verdana"/>
          <w:spacing w:val="-4"/>
          <w:sz w:val="20"/>
          <w:szCs w:val="20"/>
          <w:lang w:val="es-CR"/>
        </w:rPr>
        <w:t>cia</w:t>
      </w:r>
      <w:r w:rsidR="003B5A33" w:rsidRPr="0004594A">
        <w:rPr>
          <w:rFonts w:ascii="Verdana" w:hAnsi="Verdana"/>
          <w:spacing w:val="-4"/>
          <w:sz w:val="20"/>
          <w:szCs w:val="20"/>
          <w:lang w:val="es-CR"/>
        </w:rPr>
        <w:t xml:space="preserve"> de la Corte el 30 de julio de 2004, 28 de abril de 2006 y 6 de febrero de 2007, así como las resoluciones de la Corte de </w:t>
      </w:r>
      <w:r w:rsidR="00604D5F" w:rsidRPr="0004594A">
        <w:rPr>
          <w:rFonts w:ascii="Verdana" w:hAnsi="Verdana"/>
          <w:spacing w:val="-4"/>
          <w:sz w:val="20"/>
          <w:szCs w:val="20"/>
          <w:lang w:val="es-CR"/>
        </w:rPr>
        <w:t xml:space="preserve">3 de septiembre de 2004, </w:t>
      </w:r>
      <w:r w:rsidR="003B5A33" w:rsidRPr="0004594A">
        <w:rPr>
          <w:rFonts w:ascii="Verdana" w:hAnsi="Verdana"/>
          <w:spacing w:val="-4"/>
          <w:sz w:val="20"/>
          <w:szCs w:val="20"/>
          <w:lang w:val="es-CR"/>
        </w:rPr>
        <w:t>4 de julio de 2006, 12 de mayo de 2007, 8 de julio de 2009, 26 de agosto de 2010 y 26 de junio de 2012</w:t>
      </w:r>
      <w:r w:rsidR="00D47026">
        <w:rPr>
          <w:rFonts w:ascii="Verdana" w:hAnsi="Verdana"/>
          <w:spacing w:val="-4"/>
          <w:sz w:val="20"/>
          <w:szCs w:val="20"/>
          <w:lang w:val="es-CR"/>
        </w:rPr>
        <w:t>,</w:t>
      </w:r>
      <w:r w:rsidR="0004594A" w:rsidRPr="0004594A">
        <w:rPr>
          <w:rFonts w:ascii="Verdana" w:hAnsi="Verdana"/>
          <w:spacing w:val="-4"/>
          <w:sz w:val="20"/>
          <w:szCs w:val="20"/>
          <w:lang w:val="es-CR"/>
        </w:rPr>
        <w:t xml:space="preserve"> mediante las cuales se ordenaron la adopción de </w:t>
      </w:r>
      <w:r w:rsidR="0004594A" w:rsidRPr="0004594A">
        <w:rPr>
          <w:rFonts w:ascii="Verdana" w:hAnsi="Verdana"/>
          <w:sz w:val="20"/>
          <w:lang w:val="es-CR"/>
        </w:rPr>
        <w:t>las medidas necesarias para proteger los derechos a la vida y a la integridad personal</w:t>
      </w:r>
      <w:r w:rsidR="0004594A">
        <w:rPr>
          <w:rFonts w:ascii="Verdana" w:hAnsi="Verdana"/>
          <w:sz w:val="20"/>
          <w:lang w:val="es-CR"/>
        </w:rPr>
        <w:t xml:space="preserve"> de determinadas víctimas y familiares del caso.</w:t>
      </w:r>
    </w:p>
    <w:p w14:paraId="521BF891" w14:textId="4E51D890" w:rsidR="00355DA0" w:rsidRPr="00B77346" w:rsidRDefault="00B77346" w:rsidP="003079E4">
      <w:pPr>
        <w:numPr>
          <w:ilvl w:val="0"/>
          <w:numId w:val="9"/>
        </w:numPr>
        <w:tabs>
          <w:tab w:val="left" w:pos="0"/>
        </w:tabs>
        <w:spacing w:before="120" w:after="120" w:line="240" w:lineRule="auto"/>
        <w:ind w:left="0" w:right="18" w:firstLine="0"/>
        <w:jc w:val="both"/>
        <w:rPr>
          <w:rFonts w:ascii="Verdana" w:hAnsi="Verdana"/>
          <w:spacing w:val="-4"/>
          <w:sz w:val="20"/>
          <w:lang w:val="es-CR"/>
        </w:rPr>
      </w:pPr>
      <w:r>
        <w:rPr>
          <w:rFonts w:ascii="Verdana" w:hAnsi="Verdana"/>
          <w:spacing w:val="-4"/>
          <w:sz w:val="20"/>
          <w:szCs w:val="20"/>
          <w:lang w:val="es-CR"/>
        </w:rPr>
        <w:t xml:space="preserve">El </w:t>
      </w:r>
      <w:r w:rsidR="009125B4" w:rsidRPr="00355DA0">
        <w:rPr>
          <w:rFonts w:ascii="Verdana" w:hAnsi="Verdana"/>
          <w:spacing w:val="-4"/>
          <w:sz w:val="20"/>
          <w:szCs w:val="20"/>
          <w:lang w:val="es-CR"/>
        </w:rPr>
        <w:t>escrito de 5 de febrero de 2020</w:t>
      </w:r>
      <w:r w:rsidR="00EE4370" w:rsidRPr="00355DA0">
        <w:rPr>
          <w:rFonts w:ascii="Verdana" w:hAnsi="Verdana"/>
          <w:spacing w:val="-4"/>
          <w:sz w:val="20"/>
          <w:szCs w:val="20"/>
          <w:lang w:val="es-CR"/>
        </w:rPr>
        <w:t xml:space="preserve"> </w:t>
      </w:r>
      <w:r w:rsidR="009125B4" w:rsidRPr="00355DA0">
        <w:rPr>
          <w:rFonts w:ascii="Verdana" w:hAnsi="Verdana"/>
          <w:spacing w:val="-4"/>
          <w:sz w:val="20"/>
          <w:szCs w:val="20"/>
          <w:lang w:val="es-CR"/>
        </w:rPr>
        <w:t xml:space="preserve">presentado por los representantes </w:t>
      </w:r>
      <w:r w:rsidR="00164C4C">
        <w:rPr>
          <w:rFonts w:ascii="Verdana" w:hAnsi="Verdana"/>
          <w:spacing w:val="-4"/>
          <w:sz w:val="20"/>
          <w:szCs w:val="20"/>
          <w:lang w:val="es-CR"/>
        </w:rPr>
        <w:t xml:space="preserve">de las </w:t>
      </w:r>
      <w:r w:rsidR="00B20743">
        <w:rPr>
          <w:rFonts w:ascii="Verdana" w:hAnsi="Verdana"/>
          <w:spacing w:val="-4"/>
          <w:sz w:val="20"/>
          <w:szCs w:val="20"/>
          <w:lang w:val="es-CR"/>
        </w:rPr>
        <w:t>víctimas del caso</w:t>
      </w:r>
      <w:r w:rsidR="00B50A83" w:rsidRPr="00355DA0">
        <w:rPr>
          <w:rFonts w:ascii="Verdana" w:hAnsi="Verdana"/>
          <w:spacing w:val="-4"/>
          <w:sz w:val="20"/>
          <w:szCs w:val="20"/>
          <w:lang w:val="es-CR"/>
        </w:rPr>
        <w:t xml:space="preserve"> </w:t>
      </w:r>
      <w:r w:rsidR="009125B4" w:rsidRPr="00355DA0">
        <w:rPr>
          <w:rFonts w:ascii="Verdana" w:hAnsi="Verdana"/>
          <w:spacing w:val="-4"/>
          <w:sz w:val="20"/>
          <w:szCs w:val="20"/>
          <w:lang w:val="es-CR"/>
        </w:rPr>
        <w:t>(en adelante “los representantes”)</w:t>
      </w:r>
      <w:r w:rsidR="00D47026">
        <w:rPr>
          <w:rFonts w:ascii="Verdana" w:hAnsi="Verdana"/>
          <w:spacing w:val="-4"/>
          <w:sz w:val="20"/>
          <w:szCs w:val="20"/>
          <w:lang w:val="es-CR"/>
        </w:rPr>
        <w:t>,</w:t>
      </w:r>
      <w:r w:rsidR="009125B4" w:rsidRPr="00355DA0">
        <w:rPr>
          <w:rFonts w:ascii="Verdana" w:hAnsi="Verdana"/>
          <w:spacing w:val="-4"/>
          <w:sz w:val="20"/>
          <w:szCs w:val="20"/>
          <w:lang w:val="es-CR"/>
        </w:rPr>
        <w:t xml:space="preserve"> </w:t>
      </w:r>
      <w:r w:rsidR="00B50A83" w:rsidRPr="00355DA0">
        <w:rPr>
          <w:rFonts w:ascii="Verdana" w:hAnsi="Verdana"/>
          <w:spacing w:val="-4"/>
          <w:sz w:val="20"/>
          <w:szCs w:val="20"/>
          <w:lang w:val="es-CR"/>
        </w:rPr>
        <w:t xml:space="preserve">mediante </w:t>
      </w:r>
      <w:r w:rsidR="0004594A" w:rsidRPr="00355DA0">
        <w:rPr>
          <w:rFonts w:ascii="Verdana" w:hAnsi="Verdana"/>
          <w:spacing w:val="-4"/>
          <w:sz w:val="20"/>
          <w:szCs w:val="20"/>
          <w:lang w:val="es-CR"/>
        </w:rPr>
        <w:t xml:space="preserve">el cual informaron que los familiares de la víctima Antonio Flórez Contreras fueron </w:t>
      </w:r>
      <w:r w:rsidR="00CC570B" w:rsidRPr="00355DA0">
        <w:rPr>
          <w:rFonts w:ascii="Verdana" w:hAnsi="Verdana"/>
          <w:spacing w:val="-4"/>
          <w:sz w:val="20"/>
          <w:szCs w:val="20"/>
          <w:lang w:val="es-CR"/>
        </w:rPr>
        <w:t>“</w:t>
      </w:r>
      <w:r w:rsidR="0004594A" w:rsidRPr="00355DA0">
        <w:rPr>
          <w:rFonts w:ascii="Verdana" w:hAnsi="Verdana"/>
          <w:spacing w:val="-4"/>
          <w:sz w:val="20"/>
          <w:szCs w:val="20"/>
          <w:lang w:val="es-CR"/>
        </w:rPr>
        <w:t>blanco de hostigamiento y de distintos ataques violentos</w:t>
      </w:r>
      <w:r w:rsidR="00CC570B" w:rsidRPr="00355DA0">
        <w:rPr>
          <w:rFonts w:ascii="Verdana" w:hAnsi="Verdana"/>
          <w:spacing w:val="-4"/>
          <w:sz w:val="20"/>
          <w:szCs w:val="20"/>
          <w:lang w:val="es-CR"/>
        </w:rPr>
        <w:t>”</w:t>
      </w:r>
      <w:r w:rsidR="0004594A" w:rsidRPr="00355DA0">
        <w:rPr>
          <w:rFonts w:ascii="Verdana" w:hAnsi="Verdana"/>
          <w:spacing w:val="-4"/>
          <w:sz w:val="20"/>
          <w:szCs w:val="20"/>
          <w:lang w:val="es-CR"/>
        </w:rPr>
        <w:t xml:space="preserve"> luego de que participaran a la audiencia de supervisión </w:t>
      </w:r>
      <w:r w:rsidR="00CC570B" w:rsidRPr="00355DA0">
        <w:rPr>
          <w:rFonts w:ascii="Verdana" w:hAnsi="Verdana"/>
          <w:spacing w:val="-4"/>
          <w:sz w:val="20"/>
          <w:szCs w:val="20"/>
          <w:lang w:val="es-CR"/>
        </w:rPr>
        <w:t xml:space="preserve">de cumplimiento </w:t>
      </w:r>
      <w:r w:rsidR="00A6190E">
        <w:rPr>
          <w:rFonts w:ascii="Verdana" w:hAnsi="Verdana"/>
          <w:spacing w:val="-4"/>
          <w:sz w:val="20"/>
          <w:szCs w:val="20"/>
          <w:lang w:val="es-CR"/>
        </w:rPr>
        <w:t xml:space="preserve">de la Sentencia </w:t>
      </w:r>
      <w:r w:rsidR="00CC570B" w:rsidRPr="00355DA0">
        <w:rPr>
          <w:rFonts w:ascii="Verdana" w:hAnsi="Verdana"/>
          <w:spacing w:val="-4"/>
          <w:sz w:val="20"/>
          <w:szCs w:val="20"/>
          <w:lang w:val="es-CR"/>
        </w:rPr>
        <w:t>del caso</w:t>
      </w:r>
      <w:r w:rsidR="00D47026">
        <w:rPr>
          <w:rFonts w:ascii="Verdana" w:hAnsi="Verdana"/>
          <w:spacing w:val="-4"/>
          <w:sz w:val="20"/>
          <w:szCs w:val="20"/>
          <w:lang w:val="es-CR"/>
        </w:rPr>
        <w:t>,</w:t>
      </w:r>
      <w:r w:rsidR="00CC570B" w:rsidRPr="00355DA0">
        <w:rPr>
          <w:rFonts w:ascii="Verdana" w:hAnsi="Verdana"/>
          <w:spacing w:val="-4"/>
          <w:sz w:val="20"/>
          <w:szCs w:val="20"/>
          <w:lang w:val="es-CR"/>
        </w:rPr>
        <w:t xml:space="preserve"> la cual tuvo lugar en septiembre de 2019. Detallaron varios hechos de intimidación y violencia de los cuales fueron objeto de noviembre de 2019 a enero de 2020. En el referido escrito</w:t>
      </w:r>
      <w:r w:rsidR="00D47026">
        <w:rPr>
          <w:rFonts w:ascii="Verdana" w:hAnsi="Verdana"/>
          <w:spacing w:val="-4"/>
          <w:sz w:val="20"/>
          <w:szCs w:val="20"/>
          <w:lang w:val="es-CR"/>
        </w:rPr>
        <w:t>,</w:t>
      </w:r>
      <w:r w:rsidR="00CC570B" w:rsidRPr="00355DA0">
        <w:rPr>
          <w:rFonts w:ascii="Verdana" w:hAnsi="Verdana"/>
          <w:spacing w:val="-4"/>
          <w:sz w:val="20"/>
          <w:szCs w:val="20"/>
          <w:lang w:val="es-CR"/>
        </w:rPr>
        <w:t xml:space="preserve"> indicaron que las personas que reporta</w:t>
      </w:r>
      <w:r w:rsidR="00D47026">
        <w:rPr>
          <w:rFonts w:ascii="Verdana" w:hAnsi="Verdana"/>
          <w:spacing w:val="-4"/>
          <w:sz w:val="20"/>
          <w:szCs w:val="20"/>
          <w:lang w:val="es-CR"/>
        </w:rPr>
        <w:t>ro</w:t>
      </w:r>
      <w:r w:rsidR="00CC570B" w:rsidRPr="00355DA0">
        <w:rPr>
          <w:rFonts w:ascii="Verdana" w:hAnsi="Verdana"/>
          <w:spacing w:val="-4"/>
          <w:sz w:val="20"/>
          <w:szCs w:val="20"/>
          <w:lang w:val="es-CR"/>
        </w:rPr>
        <w:t>n estos ataques no figuran como beneficiar</w:t>
      </w:r>
      <w:r w:rsidR="00E269A5">
        <w:rPr>
          <w:rFonts w:ascii="Verdana" w:hAnsi="Verdana"/>
          <w:spacing w:val="-4"/>
          <w:sz w:val="20"/>
          <w:szCs w:val="20"/>
          <w:lang w:val="es-CR"/>
        </w:rPr>
        <w:t>i</w:t>
      </w:r>
      <w:r w:rsidR="00CC570B" w:rsidRPr="00355DA0">
        <w:rPr>
          <w:rFonts w:ascii="Verdana" w:hAnsi="Verdana"/>
          <w:spacing w:val="-4"/>
          <w:sz w:val="20"/>
          <w:szCs w:val="20"/>
          <w:lang w:val="es-CR"/>
        </w:rPr>
        <w:t xml:space="preserve">as de las medidas provisionales vigentes en relación con este caso. </w:t>
      </w:r>
      <w:r w:rsidR="00355DA0" w:rsidRPr="00355DA0">
        <w:rPr>
          <w:rFonts w:ascii="Verdana" w:hAnsi="Verdana"/>
          <w:spacing w:val="-4"/>
          <w:sz w:val="20"/>
          <w:szCs w:val="20"/>
          <w:lang w:val="es-CR"/>
        </w:rPr>
        <w:t>Asimismo</w:t>
      </w:r>
      <w:r w:rsidR="00D47026">
        <w:rPr>
          <w:rFonts w:ascii="Verdana" w:hAnsi="Verdana"/>
          <w:spacing w:val="-4"/>
          <w:sz w:val="20"/>
          <w:szCs w:val="20"/>
          <w:lang w:val="es-CR"/>
        </w:rPr>
        <w:t>,</w:t>
      </w:r>
      <w:r w:rsidR="00355DA0" w:rsidRPr="00355DA0">
        <w:rPr>
          <w:rFonts w:ascii="Verdana" w:hAnsi="Verdana"/>
          <w:spacing w:val="-4"/>
          <w:sz w:val="20"/>
          <w:szCs w:val="20"/>
          <w:lang w:val="es-CR"/>
        </w:rPr>
        <w:t xml:space="preserve"> solicitaron a la Corte que inste al Estado</w:t>
      </w:r>
      <w:r w:rsidR="00355DA0">
        <w:rPr>
          <w:rFonts w:ascii="Verdana" w:hAnsi="Verdana"/>
          <w:spacing w:val="-4"/>
          <w:sz w:val="20"/>
          <w:szCs w:val="20"/>
          <w:lang w:val="es-CR"/>
        </w:rPr>
        <w:t xml:space="preserve"> </w:t>
      </w:r>
      <w:r w:rsidR="004E5F5C">
        <w:rPr>
          <w:rFonts w:ascii="Verdana" w:hAnsi="Verdana"/>
          <w:spacing w:val="-4"/>
          <w:sz w:val="20"/>
          <w:szCs w:val="20"/>
          <w:lang w:val="es-CR"/>
        </w:rPr>
        <w:t xml:space="preserve">a </w:t>
      </w:r>
      <w:r w:rsidR="00355DA0" w:rsidRPr="00355DA0">
        <w:rPr>
          <w:rFonts w:ascii="Verdana" w:hAnsi="Verdana"/>
          <w:spacing w:val="-4"/>
          <w:sz w:val="20"/>
          <w:lang w:val="es-CR"/>
        </w:rPr>
        <w:t>asegurar que los familiares cuenten con las garantías necesarias de seguridad</w:t>
      </w:r>
      <w:r w:rsidR="00355DA0">
        <w:rPr>
          <w:rFonts w:ascii="Verdana" w:hAnsi="Verdana"/>
          <w:spacing w:val="-4"/>
          <w:sz w:val="20"/>
          <w:lang w:val="es-CR"/>
        </w:rPr>
        <w:t xml:space="preserve"> y que “estar[</w:t>
      </w:r>
      <w:proofErr w:type="spellStart"/>
      <w:r w:rsidR="00355DA0">
        <w:rPr>
          <w:rFonts w:ascii="Verdana" w:hAnsi="Verdana"/>
          <w:spacing w:val="-4"/>
          <w:sz w:val="20"/>
          <w:lang w:val="es-CR"/>
        </w:rPr>
        <w:t>án</w:t>
      </w:r>
      <w:proofErr w:type="spellEnd"/>
      <w:r w:rsidR="00355DA0">
        <w:rPr>
          <w:rFonts w:ascii="Verdana" w:hAnsi="Verdana"/>
          <w:spacing w:val="-4"/>
          <w:sz w:val="20"/>
          <w:lang w:val="es-CR"/>
        </w:rPr>
        <w:t>]</w:t>
      </w:r>
      <w:r w:rsidR="00355DA0" w:rsidRPr="00355DA0">
        <w:rPr>
          <w:rFonts w:ascii="Verdana" w:hAnsi="Verdana"/>
          <w:spacing w:val="-4"/>
          <w:sz w:val="20"/>
          <w:szCs w:val="20"/>
          <w:lang w:val="es-CR"/>
        </w:rPr>
        <w:t xml:space="preserve"> valorando la procedencia de solicitar la ampliación de las medidas provisionales</w:t>
      </w:r>
      <w:r w:rsidR="00355DA0">
        <w:rPr>
          <w:rFonts w:ascii="Verdana" w:hAnsi="Verdana"/>
          <w:spacing w:val="-4"/>
          <w:sz w:val="20"/>
          <w:szCs w:val="20"/>
          <w:lang w:val="es-CR"/>
        </w:rPr>
        <w:t>”.</w:t>
      </w:r>
    </w:p>
    <w:p w14:paraId="7795EEB3" w14:textId="6317F1F9" w:rsidR="00B77346" w:rsidRDefault="00B77346" w:rsidP="004A6037">
      <w:pPr>
        <w:numPr>
          <w:ilvl w:val="0"/>
          <w:numId w:val="9"/>
        </w:numPr>
        <w:tabs>
          <w:tab w:val="left" w:pos="0"/>
        </w:tabs>
        <w:spacing w:before="120" w:after="120" w:line="240" w:lineRule="auto"/>
        <w:ind w:left="0" w:right="18" w:firstLine="0"/>
        <w:jc w:val="both"/>
        <w:rPr>
          <w:rFonts w:ascii="Verdana" w:hAnsi="Verdana"/>
          <w:spacing w:val="-4"/>
          <w:sz w:val="20"/>
          <w:lang w:val="es-CR"/>
        </w:rPr>
      </w:pPr>
      <w:r w:rsidRPr="00B77346">
        <w:rPr>
          <w:rFonts w:ascii="Verdana" w:hAnsi="Verdana"/>
          <w:spacing w:val="-4"/>
          <w:sz w:val="20"/>
          <w:szCs w:val="20"/>
          <w:lang w:val="es-CR"/>
        </w:rPr>
        <w:t xml:space="preserve">La nota de Secretaría de 7 de febrero de 2020 mediante la cual, siguiendo instrucciones de la </w:t>
      </w:r>
      <w:proofErr w:type="gramStart"/>
      <w:r w:rsidRPr="00B77346">
        <w:rPr>
          <w:rFonts w:ascii="Verdana" w:hAnsi="Verdana"/>
          <w:spacing w:val="-4"/>
          <w:sz w:val="20"/>
          <w:szCs w:val="20"/>
          <w:lang w:val="es-CR"/>
        </w:rPr>
        <w:t>Presidenta</w:t>
      </w:r>
      <w:proofErr w:type="gramEnd"/>
      <w:r w:rsidR="008A1F23">
        <w:rPr>
          <w:rFonts w:ascii="Verdana" w:hAnsi="Verdana"/>
          <w:spacing w:val="-4"/>
          <w:sz w:val="20"/>
          <w:szCs w:val="20"/>
          <w:lang w:val="es-CR"/>
        </w:rPr>
        <w:t xml:space="preserve"> de la Corte</w:t>
      </w:r>
      <w:r w:rsidRPr="00B77346">
        <w:rPr>
          <w:rFonts w:ascii="Verdana" w:hAnsi="Verdana"/>
          <w:spacing w:val="-4"/>
          <w:sz w:val="20"/>
          <w:szCs w:val="20"/>
          <w:lang w:val="es-CR"/>
        </w:rPr>
        <w:t xml:space="preserve">, </w:t>
      </w:r>
      <w:r w:rsidRPr="00B77346">
        <w:rPr>
          <w:rFonts w:ascii="Verdana" w:hAnsi="Verdana"/>
          <w:spacing w:val="-4"/>
          <w:sz w:val="20"/>
          <w:lang w:val="es-CR"/>
        </w:rPr>
        <w:t>se requirió al Estado remitir, a más tardar el 14 de febrero de 2020, un informe en el cual se refi</w:t>
      </w:r>
      <w:r w:rsidR="008A1F23">
        <w:rPr>
          <w:rFonts w:ascii="Verdana" w:hAnsi="Verdana"/>
          <w:spacing w:val="-4"/>
          <w:sz w:val="20"/>
          <w:lang w:val="es-CR"/>
        </w:rPr>
        <w:t>ri</w:t>
      </w:r>
      <w:r w:rsidRPr="00B77346">
        <w:rPr>
          <w:rFonts w:ascii="Verdana" w:hAnsi="Verdana"/>
          <w:spacing w:val="-4"/>
          <w:sz w:val="20"/>
          <w:lang w:val="es-CR"/>
        </w:rPr>
        <w:t>era a la situación de “hostigamiento” y “ataques violentos” indicados por los representantes en el referido escrito de 5</w:t>
      </w:r>
      <w:r>
        <w:rPr>
          <w:rFonts w:ascii="Verdana" w:hAnsi="Verdana"/>
          <w:spacing w:val="-4"/>
          <w:sz w:val="20"/>
          <w:lang w:val="es-CR"/>
        </w:rPr>
        <w:t xml:space="preserve"> </w:t>
      </w:r>
      <w:r w:rsidRPr="00B77346">
        <w:rPr>
          <w:rFonts w:ascii="Verdana" w:hAnsi="Verdana"/>
          <w:spacing w:val="-4"/>
          <w:sz w:val="20"/>
          <w:lang w:val="es-CR"/>
        </w:rPr>
        <w:t>de febrero, así como las medidas que está tomando al respecto.</w:t>
      </w:r>
      <w:r w:rsidR="00D25E16">
        <w:rPr>
          <w:rFonts w:ascii="Verdana" w:hAnsi="Verdana"/>
          <w:spacing w:val="-4"/>
          <w:sz w:val="20"/>
          <w:lang w:val="es-CR"/>
        </w:rPr>
        <w:t xml:space="preserve"> </w:t>
      </w:r>
    </w:p>
    <w:p w14:paraId="4AD71DEA" w14:textId="11241C4C" w:rsidR="00D25E16" w:rsidRPr="00D25E16" w:rsidRDefault="00D25E16" w:rsidP="00D25E16">
      <w:pPr>
        <w:numPr>
          <w:ilvl w:val="0"/>
          <w:numId w:val="9"/>
        </w:numPr>
        <w:tabs>
          <w:tab w:val="left" w:pos="0"/>
        </w:tabs>
        <w:spacing w:before="120" w:after="120" w:line="240" w:lineRule="auto"/>
        <w:ind w:left="0" w:right="18" w:firstLine="0"/>
        <w:jc w:val="both"/>
        <w:rPr>
          <w:rFonts w:ascii="Verdana" w:hAnsi="Verdana"/>
          <w:spacing w:val="-4"/>
          <w:sz w:val="20"/>
          <w:szCs w:val="20"/>
          <w:lang w:val="es-CR"/>
        </w:rPr>
      </w:pPr>
      <w:r w:rsidRPr="00D25E16">
        <w:rPr>
          <w:rFonts w:ascii="Verdana" w:hAnsi="Verdana"/>
          <w:spacing w:val="-4"/>
          <w:sz w:val="20"/>
          <w:szCs w:val="20"/>
          <w:lang w:val="es-CR"/>
        </w:rPr>
        <w:lastRenderedPageBreak/>
        <w:t xml:space="preserve">La nota de Secretaría de </w:t>
      </w:r>
      <w:r>
        <w:rPr>
          <w:rFonts w:ascii="Verdana" w:hAnsi="Verdana"/>
          <w:spacing w:val="-4"/>
          <w:sz w:val="20"/>
          <w:szCs w:val="20"/>
          <w:lang w:val="es-CR"/>
        </w:rPr>
        <w:t>20</w:t>
      </w:r>
      <w:r w:rsidRPr="00D25E16">
        <w:rPr>
          <w:rFonts w:ascii="Verdana" w:hAnsi="Verdana"/>
          <w:spacing w:val="-4"/>
          <w:sz w:val="20"/>
          <w:szCs w:val="20"/>
          <w:lang w:val="es-CR"/>
        </w:rPr>
        <w:t xml:space="preserve"> de febrero de 2020 mediante la cual, siguiendo instrucciones de la </w:t>
      </w:r>
      <w:proofErr w:type="gramStart"/>
      <w:r w:rsidRPr="00D25E16">
        <w:rPr>
          <w:rFonts w:ascii="Verdana" w:hAnsi="Verdana"/>
          <w:spacing w:val="-4"/>
          <w:sz w:val="20"/>
          <w:szCs w:val="20"/>
          <w:lang w:val="es-CR"/>
        </w:rPr>
        <w:t>Presidenta</w:t>
      </w:r>
      <w:proofErr w:type="gramEnd"/>
      <w:r w:rsidR="008A1F23">
        <w:rPr>
          <w:rFonts w:ascii="Verdana" w:hAnsi="Verdana"/>
          <w:spacing w:val="-4"/>
          <w:sz w:val="20"/>
          <w:szCs w:val="20"/>
          <w:lang w:val="es-CR"/>
        </w:rPr>
        <w:t xml:space="preserve"> de la Corte</w:t>
      </w:r>
      <w:r w:rsidRPr="00D25E16">
        <w:rPr>
          <w:rFonts w:ascii="Verdana" w:hAnsi="Verdana"/>
          <w:spacing w:val="-4"/>
          <w:sz w:val="20"/>
          <w:szCs w:val="20"/>
          <w:lang w:val="es-CR"/>
        </w:rPr>
        <w:t>, se recordó al Estado que el 14 de febrero de 2020 venció el plazo para que remitiera el informe sobre los hechos reportados por los representantes</w:t>
      </w:r>
      <w:r w:rsidR="008A1F23">
        <w:rPr>
          <w:rFonts w:ascii="Verdana" w:hAnsi="Verdana"/>
          <w:spacing w:val="-4"/>
          <w:sz w:val="20"/>
          <w:szCs w:val="20"/>
          <w:lang w:val="es-CR"/>
        </w:rPr>
        <w:t>,</w:t>
      </w:r>
      <w:r w:rsidRPr="00D25E16">
        <w:rPr>
          <w:rFonts w:ascii="Verdana" w:hAnsi="Verdana"/>
          <w:spacing w:val="-4"/>
          <w:sz w:val="20"/>
          <w:szCs w:val="20"/>
          <w:lang w:val="es-CR"/>
        </w:rPr>
        <w:t xml:space="preserve"> sin que haya sido recibido y requirió al Estado la remisión de dicho</w:t>
      </w:r>
      <w:r>
        <w:rPr>
          <w:rFonts w:ascii="Verdana" w:hAnsi="Verdana"/>
          <w:spacing w:val="-4"/>
          <w:sz w:val="20"/>
          <w:szCs w:val="20"/>
          <w:lang w:val="es-CR"/>
        </w:rPr>
        <w:t xml:space="preserve"> </w:t>
      </w:r>
      <w:r w:rsidRPr="00D25E16">
        <w:rPr>
          <w:rFonts w:ascii="Verdana" w:hAnsi="Verdana"/>
          <w:spacing w:val="-4"/>
          <w:sz w:val="20"/>
          <w:szCs w:val="20"/>
          <w:lang w:val="es-CR"/>
        </w:rPr>
        <w:t>informe a la mayor brevedad posible</w:t>
      </w:r>
      <w:r>
        <w:rPr>
          <w:rFonts w:ascii="Verdana" w:hAnsi="Verdana"/>
          <w:spacing w:val="-4"/>
          <w:sz w:val="20"/>
          <w:szCs w:val="20"/>
          <w:lang w:val="es-CR"/>
        </w:rPr>
        <w:t>.</w:t>
      </w:r>
    </w:p>
    <w:p w14:paraId="0212B680" w14:textId="1A6F8FBE" w:rsidR="009125B4" w:rsidRPr="009125B4" w:rsidRDefault="009125B4" w:rsidP="00EE4370">
      <w:pPr>
        <w:numPr>
          <w:ilvl w:val="0"/>
          <w:numId w:val="9"/>
        </w:numPr>
        <w:tabs>
          <w:tab w:val="left" w:pos="0"/>
        </w:tabs>
        <w:spacing w:before="120" w:after="120" w:line="240" w:lineRule="auto"/>
        <w:ind w:left="0" w:right="18" w:firstLine="0"/>
        <w:jc w:val="both"/>
        <w:rPr>
          <w:rFonts w:ascii="Verdana" w:hAnsi="Verdana"/>
          <w:b/>
          <w:spacing w:val="-4"/>
          <w:sz w:val="20"/>
          <w:szCs w:val="20"/>
          <w:lang w:val="es-CR"/>
        </w:rPr>
      </w:pPr>
      <w:r>
        <w:rPr>
          <w:rFonts w:ascii="Verdana" w:hAnsi="Verdana"/>
          <w:spacing w:val="-4"/>
          <w:sz w:val="20"/>
          <w:szCs w:val="20"/>
          <w:lang w:val="es-CR"/>
        </w:rPr>
        <w:t xml:space="preserve">Los </w:t>
      </w:r>
      <w:r w:rsidR="00B50A83">
        <w:rPr>
          <w:rFonts w:ascii="Verdana" w:hAnsi="Verdana"/>
          <w:spacing w:val="-4"/>
          <w:sz w:val="20"/>
          <w:szCs w:val="20"/>
          <w:lang w:val="es-CR"/>
        </w:rPr>
        <w:t>escritos</w:t>
      </w:r>
      <w:r>
        <w:rPr>
          <w:rFonts w:ascii="Verdana" w:hAnsi="Verdana"/>
          <w:spacing w:val="-4"/>
          <w:sz w:val="20"/>
          <w:szCs w:val="20"/>
          <w:lang w:val="es-CR"/>
        </w:rPr>
        <w:t xml:space="preserve"> presentados por el Estado </w:t>
      </w:r>
      <w:r w:rsidR="00B50A83">
        <w:rPr>
          <w:rFonts w:ascii="Verdana" w:hAnsi="Verdana"/>
          <w:spacing w:val="-4"/>
          <w:sz w:val="20"/>
          <w:szCs w:val="20"/>
          <w:lang w:val="es-CR"/>
        </w:rPr>
        <w:t>los d</w:t>
      </w:r>
      <w:r w:rsidR="00CC570B">
        <w:rPr>
          <w:rFonts w:ascii="Verdana" w:hAnsi="Verdana"/>
          <w:spacing w:val="-4"/>
          <w:sz w:val="20"/>
          <w:szCs w:val="20"/>
          <w:lang w:val="es-CR"/>
        </w:rPr>
        <w:t>ía</w:t>
      </w:r>
      <w:r w:rsidR="00B50A83">
        <w:rPr>
          <w:rFonts w:ascii="Verdana" w:hAnsi="Verdana"/>
          <w:spacing w:val="-4"/>
          <w:sz w:val="20"/>
          <w:szCs w:val="20"/>
          <w:lang w:val="es-CR"/>
        </w:rPr>
        <w:t>s</w:t>
      </w:r>
      <w:r>
        <w:rPr>
          <w:rFonts w:ascii="Verdana" w:hAnsi="Verdana"/>
          <w:spacing w:val="-4"/>
          <w:sz w:val="20"/>
          <w:szCs w:val="20"/>
          <w:lang w:val="es-CR"/>
        </w:rPr>
        <w:t xml:space="preserve"> 26 </w:t>
      </w:r>
      <w:r w:rsidR="00CC570B">
        <w:rPr>
          <w:rFonts w:ascii="Verdana" w:hAnsi="Verdana"/>
          <w:spacing w:val="-4"/>
          <w:sz w:val="20"/>
          <w:szCs w:val="20"/>
          <w:lang w:val="es-CR"/>
        </w:rPr>
        <w:t>de febrero y 5 de marzo de 2020</w:t>
      </w:r>
      <w:r w:rsidR="008A1F23">
        <w:rPr>
          <w:rFonts w:ascii="Verdana" w:hAnsi="Verdana"/>
          <w:spacing w:val="-4"/>
          <w:sz w:val="20"/>
          <w:szCs w:val="20"/>
          <w:lang w:val="es-CR"/>
        </w:rPr>
        <w:t>,</w:t>
      </w:r>
      <w:r w:rsidR="00CC570B">
        <w:rPr>
          <w:rFonts w:ascii="Verdana" w:hAnsi="Verdana"/>
          <w:spacing w:val="-4"/>
          <w:sz w:val="20"/>
          <w:szCs w:val="20"/>
          <w:lang w:val="es-CR"/>
        </w:rPr>
        <w:t xml:space="preserve"> mediante los cuales presentó sus observaciones a los hechos reportados por los representantes</w:t>
      </w:r>
      <w:r w:rsidR="00A6190E">
        <w:rPr>
          <w:rFonts w:ascii="Verdana" w:hAnsi="Verdana"/>
          <w:spacing w:val="-4"/>
          <w:sz w:val="20"/>
          <w:szCs w:val="20"/>
          <w:lang w:val="es-CR"/>
        </w:rPr>
        <w:t xml:space="preserve"> en el marco de la supervisión de cumplimiento de la Sentencia</w:t>
      </w:r>
      <w:r w:rsidR="00CC570B">
        <w:rPr>
          <w:rFonts w:ascii="Verdana" w:hAnsi="Verdana"/>
          <w:spacing w:val="-4"/>
          <w:sz w:val="20"/>
          <w:szCs w:val="20"/>
          <w:lang w:val="es-CR"/>
        </w:rPr>
        <w:t xml:space="preserve">.  </w:t>
      </w:r>
    </w:p>
    <w:p w14:paraId="7BCD48D9" w14:textId="1E28E017" w:rsidR="00EF4D8B" w:rsidRPr="00EF4D8B" w:rsidRDefault="009125B4" w:rsidP="003C1096">
      <w:pPr>
        <w:numPr>
          <w:ilvl w:val="0"/>
          <w:numId w:val="9"/>
        </w:numPr>
        <w:tabs>
          <w:tab w:val="left" w:pos="0"/>
        </w:tabs>
        <w:spacing w:before="120" w:after="120" w:line="240" w:lineRule="auto"/>
        <w:ind w:left="0" w:right="18" w:firstLine="0"/>
        <w:jc w:val="both"/>
        <w:rPr>
          <w:rFonts w:ascii="Verdana" w:hAnsi="Verdana"/>
          <w:b/>
          <w:sz w:val="20"/>
          <w:szCs w:val="20"/>
          <w:lang w:val="es-CR"/>
        </w:rPr>
      </w:pPr>
      <w:r>
        <w:rPr>
          <w:rFonts w:ascii="Verdana" w:hAnsi="Verdana"/>
          <w:sz w:val="20"/>
          <w:szCs w:val="20"/>
          <w:lang w:val="es-DO"/>
        </w:rPr>
        <w:t xml:space="preserve">El escrito de 30 </w:t>
      </w:r>
      <w:r w:rsidRPr="003C1096">
        <w:rPr>
          <w:rFonts w:ascii="Verdana" w:hAnsi="Verdana"/>
          <w:spacing w:val="-4"/>
          <w:sz w:val="20"/>
          <w:szCs w:val="20"/>
          <w:lang w:val="es-CR"/>
        </w:rPr>
        <w:t>de</w:t>
      </w:r>
      <w:r>
        <w:rPr>
          <w:rFonts w:ascii="Verdana" w:hAnsi="Verdana"/>
          <w:sz w:val="20"/>
          <w:szCs w:val="20"/>
          <w:lang w:val="es-DO"/>
        </w:rPr>
        <w:t xml:space="preserve"> marzo de 2020</w:t>
      </w:r>
      <w:r w:rsidR="00897173" w:rsidRPr="007865FC">
        <w:rPr>
          <w:rFonts w:ascii="Verdana" w:hAnsi="Verdana"/>
          <w:sz w:val="20"/>
          <w:szCs w:val="20"/>
          <w:lang w:val="es-DO"/>
        </w:rPr>
        <w:t xml:space="preserve">, mediante </w:t>
      </w:r>
      <w:r w:rsidR="00B50A83">
        <w:rPr>
          <w:rFonts w:ascii="Verdana" w:hAnsi="Verdana"/>
          <w:sz w:val="20"/>
          <w:szCs w:val="20"/>
          <w:lang w:val="es-DO"/>
        </w:rPr>
        <w:t>el</w:t>
      </w:r>
      <w:r w:rsidR="00897173" w:rsidRPr="007865FC">
        <w:rPr>
          <w:rFonts w:ascii="Verdana" w:hAnsi="Verdana"/>
          <w:sz w:val="20"/>
          <w:szCs w:val="20"/>
          <w:lang w:val="es-DO"/>
        </w:rPr>
        <w:t xml:space="preserve"> cual </w:t>
      </w:r>
      <w:r w:rsidR="00307843">
        <w:rPr>
          <w:rFonts w:ascii="Verdana" w:hAnsi="Verdana"/>
          <w:sz w:val="20"/>
          <w:szCs w:val="20"/>
          <w:lang w:val="es-DO"/>
        </w:rPr>
        <w:t>los representantes solicitaron</w:t>
      </w:r>
      <w:r w:rsidR="00A6190E">
        <w:rPr>
          <w:rFonts w:ascii="Verdana" w:hAnsi="Verdana"/>
          <w:sz w:val="20"/>
          <w:szCs w:val="20"/>
          <w:lang w:val="es-DO"/>
        </w:rPr>
        <w:t xml:space="preserve"> </w:t>
      </w:r>
      <w:r w:rsidR="00307843">
        <w:rPr>
          <w:rFonts w:ascii="Verdana" w:hAnsi="Verdana"/>
          <w:sz w:val="20"/>
          <w:szCs w:val="20"/>
          <w:lang w:val="es-DO"/>
        </w:rPr>
        <w:t xml:space="preserve">la ampliación </w:t>
      </w:r>
      <w:r w:rsidR="00307843" w:rsidRPr="00307843">
        <w:rPr>
          <w:rFonts w:ascii="Verdana" w:hAnsi="Verdana"/>
          <w:sz w:val="20"/>
          <w:szCs w:val="20"/>
          <w:lang w:val="es-CR"/>
        </w:rPr>
        <w:t>de las medidas</w:t>
      </w:r>
      <w:r w:rsidR="00EF4D8B">
        <w:rPr>
          <w:rFonts w:ascii="Verdana" w:hAnsi="Verdana"/>
          <w:sz w:val="20"/>
          <w:szCs w:val="20"/>
          <w:lang w:val="es-CR"/>
        </w:rPr>
        <w:t xml:space="preserve"> provisionales </w:t>
      </w:r>
      <w:r w:rsidR="00307843" w:rsidRPr="00307843">
        <w:rPr>
          <w:rFonts w:ascii="Verdana" w:hAnsi="Verdana"/>
          <w:sz w:val="20"/>
          <w:szCs w:val="20"/>
          <w:lang w:val="es-CR"/>
        </w:rPr>
        <w:t xml:space="preserve">a favor </w:t>
      </w:r>
      <w:r w:rsidR="003C1096">
        <w:rPr>
          <w:rFonts w:ascii="Verdana" w:hAnsi="Verdana"/>
          <w:sz w:val="20"/>
          <w:szCs w:val="20"/>
          <w:lang w:val="es-CR"/>
        </w:rPr>
        <w:t xml:space="preserve">de </w:t>
      </w:r>
      <w:r w:rsidR="00307843" w:rsidRPr="00307843">
        <w:rPr>
          <w:rFonts w:ascii="Verdana" w:hAnsi="Verdana"/>
          <w:sz w:val="20"/>
          <w:szCs w:val="20"/>
          <w:lang w:val="es-CR"/>
        </w:rPr>
        <w:t>Nery del Socorro Flórez</w:t>
      </w:r>
      <w:r w:rsidR="00DE555E">
        <w:rPr>
          <w:rFonts w:ascii="Verdana" w:hAnsi="Verdana"/>
          <w:sz w:val="20"/>
          <w:szCs w:val="20"/>
          <w:lang w:val="es-CR"/>
        </w:rPr>
        <w:t xml:space="preserve"> Contreras</w:t>
      </w:r>
      <w:r w:rsidR="00307843" w:rsidRPr="00307843">
        <w:rPr>
          <w:rFonts w:ascii="Verdana" w:hAnsi="Verdana"/>
          <w:sz w:val="20"/>
          <w:szCs w:val="20"/>
          <w:lang w:val="es-CR"/>
        </w:rPr>
        <w:t>, hermana de la víctima Antonio Flórez Contreras</w:t>
      </w:r>
      <w:r w:rsidR="003C1096">
        <w:rPr>
          <w:rFonts w:ascii="Verdana" w:hAnsi="Verdana"/>
          <w:sz w:val="20"/>
          <w:szCs w:val="20"/>
          <w:lang w:val="es-CR"/>
        </w:rPr>
        <w:t xml:space="preserve">, de sus hijas e hijo, </w:t>
      </w:r>
      <w:proofErr w:type="spellStart"/>
      <w:r w:rsidR="003C1096" w:rsidRPr="003C1096">
        <w:rPr>
          <w:rFonts w:ascii="Verdana" w:hAnsi="Verdana"/>
          <w:sz w:val="20"/>
          <w:szCs w:val="20"/>
          <w:lang w:val="es-CR"/>
        </w:rPr>
        <w:t>Shercy</w:t>
      </w:r>
      <w:proofErr w:type="spellEnd"/>
      <w:r w:rsidR="003C1096" w:rsidRPr="003C1096">
        <w:rPr>
          <w:rFonts w:ascii="Verdana" w:hAnsi="Verdana"/>
          <w:sz w:val="20"/>
          <w:szCs w:val="20"/>
          <w:lang w:val="es-CR"/>
        </w:rPr>
        <w:t xml:space="preserve"> Pamela Romero Flórez, </w:t>
      </w:r>
      <w:proofErr w:type="spellStart"/>
      <w:r w:rsidR="003C1096" w:rsidRPr="003C1096">
        <w:rPr>
          <w:rFonts w:ascii="Verdana" w:hAnsi="Verdana"/>
          <w:sz w:val="20"/>
          <w:szCs w:val="20"/>
          <w:lang w:val="es-CR"/>
        </w:rPr>
        <w:t>Maichol</w:t>
      </w:r>
      <w:proofErr w:type="spellEnd"/>
      <w:r w:rsidR="003C1096" w:rsidRPr="003C1096">
        <w:rPr>
          <w:rFonts w:ascii="Verdana" w:hAnsi="Verdana"/>
          <w:sz w:val="20"/>
          <w:szCs w:val="20"/>
          <w:lang w:val="es-CR"/>
        </w:rPr>
        <w:t xml:space="preserve"> </w:t>
      </w:r>
      <w:proofErr w:type="spellStart"/>
      <w:r w:rsidR="003C1096" w:rsidRPr="003C1096">
        <w:rPr>
          <w:rFonts w:ascii="Verdana" w:hAnsi="Verdana"/>
          <w:sz w:val="20"/>
          <w:szCs w:val="20"/>
          <w:lang w:val="es-CR"/>
        </w:rPr>
        <w:t>Edilio</w:t>
      </w:r>
      <w:proofErr w:type="spellEnd"/>
      <w:r w:rsidR="003C1096" w:rsidRPr="003C1096">
        <w:rPr>
          <w:rFonts w:ascii="Verdana" w:hAnsi="Verdana"/>
          <w:sz w:val="20"/>
          <w:szCs w:val="20"/>
          <w:lang w:val="es-CR"/>
        </w:rPr>
        <w:t xml:space="preserve"> Romero Flórez, Ingrith Johanna Romero Flórez, Geraldine Romero Flórez y Tatiana Romero Flórez</w:t>
      </w:r>
      <w:r w:rsidR="008A1F23">
        <w:rPr>
          <w:rFonts w:ascii="Verdana" w:hAnsi="Verdana"/>
          <w:sz w:val="20"/>
          <w:szCs w:val="20"/>
          <w:lang w:val="es-CR"/>
        </w:rPr>
        <w:t>,</w:t>
      </w:r>
      <w:r w:rsidR="003C1096">
        <w:rPr>
          <w:rFonts w:ascii="Verdana" w:hAnsi="Verdana"/>
          <w:sz w:val="20"/>
          <w:szCs w:val="20"/>
          <w:lang w:val="es-CR"/>
        </w:rPr>
        <w:t xml:space="preserve"> así como de</w:t>
      </w:r>
      <w:r w:rsidR="00A6190E">
        <w:rPr>
          <w:rFonts w:ascii="Verdana" w:hAnsi="Verdana"/>
          <w:sz w:val="20"/>
          <w:szCs w:val="20"/>
          <w:lang w:val="es-CR"/>
        </w:rPr>
        <w:t xml:space="preserve"> sus</w:t>
      </w:r>
      <w:r w:rsidR="003C1096">
        <w:rPr>
          <w:rFonts w:ascii="Verdana" w:hAnsi="Verdana"/>
          <w:sz w:val="20"/>
          <w:szCs w:val="20"/>
          <w:lang w:val="es-CR"/>
        </w:rPr>
        <w:t xml:space="preserve"> respectivos grupos familiares</w:t>
      </w:r>
      <w:r w:rsidR="00BE6179">
        <w:rPr>
          <w:rFonts w:ascii="Verdana" w:hAnsi="Verdana"/>
          <w:sz w:val="20"/>
          <w:szCs w:val="20"/>
          <w:lang w:val="es-CR"/>
        </w:rPr>
        <w:t>,</w:t>
      </w:r>
      <w:r w:rsidR="00BE6179" w:rsidRPr="00BE6179">
        <w:rPr>
          <w:rFonts w:ascii="Verdana" w:hAnsi="Verdana"/>
          <w:sz w:val="20"/>
          <w:szCs w:val="20"/>
          <w:lang w:val="es-DO"/>
        </w:rPr>
        <w:t xml:space="preserve"> </w:t>
      </w:r>
      <w:r w:rsidR="00BE6179">
        <w:rPr>
          <w:rFonts w:ascii="Verdana" w:hAnsi="Verdana"/>
          <w:sz w:val="20"/>
          <w:szCs w:val="20"/>
          <w:lang w:val="es-DO"/>
        </w:rPr>
        <w:t>con base en los hechos reportados en su escrito de 5 de febrero y frente a la falta de acciones por parte del Estado.</w:t>
      </w:r>
    </w:p>
    <w:p w14:paraId="75C260A5" w14:textId="77777777" w:rsidR="0038765A" w:rsidRPr="007865FC" w:rsidRDefault="0038765A" w:rsidP="00EE4370">
      <w:pPr>
        <w:tabs>
          <w:tab w:val="left" w:pos="567"/>
        </w:tabs>
        <w:spacing w:before="240" w:after="240" w:line="240" w:lineRule="auto"/>
        <w:jc w:val="both"/>
        <w:rPr>
          <w:rFonts w:ascii="Verdana" w:hAnsi="Verdana"/>
          <w:b/>
          <w:spacing w:val="-4"/>
          <w:sz w:val="20"/>
          <w:szCs w:val="20"/>
          <w:lang w:val="es-MX"/>
        </w:rPr>
      </w:pPr>
      <w:r w:rsidRPr="007865FC">
        <w:rPr>
          <w:rFonts w:ascii="Verdana" w:hAnsi="Verdana"/>
          <w:b/>
          <w:spacing w:val="-4"/>
          <w:sz w:val="20"/>
          <w:szCs w:val="20"/>
          <w:lang w:val="es-MX"/>
        </w:rPr>
        <w:t xml:space="preserve">CONSIDERANDO QUE: </w:t>
      </w:r>
    </w:p>
    <w:p w14:paraId="275E309A" w14:textId="3FC09A7D" w:rsidR="00A6190E" w:rsidRDefault="00EF4D8B" w:rsidP="006B532E">
      <w:pPr>
        <w:numPr>
          <w:ilvl w:val="0"/>
          <w:numId w:val="9"/>
        </w:numPr>
        <w:tabs>
          <w:tab w:val="left" w:pos="0"/>
        </w:tabs>
        <w:spacing w:before="120" w:after="120" w:line="240" w:lineRule="auto"/>
        <w:ind w:left="0" w:right="18" w:firstLine="0"/>
        <w:jc w:val="both"/>
        <w:rPr>
          <w:rFonts w:ascii="Verdana" w:hAnsi="Verdana"/>
          <w:sz w:val="20"/>
          <w:szCs w:val="20"/>
          <w:lang w:val="es-CR"/>
        </w:rPr>
      </w:pPr>
      <w:r w:rsidRPr="00B77346">
        <w:rPr>
          <w:rFonts w:ascii="Verdana" w:hAnsi="Verdana"/>
          <w:sz w:val="20"/>
          <w:szCs w:val="20"/>
          <w:lang w:val="es-CR"/>
        </w:rPr>
        <w:t>El artículo 63.2 de la Convención Americana dispone, en lo relevante, que “[e]n casos de extrema gravedad y urgencia, y cuando se haga necesario evitar daños irreparables a las personas, la Corte, en los asuntos que esté conociendo, podrá tomar las medidas provisionales que considere pertinentes”.</w:t>
      </w:r>
      <w:r w:rsidR="00B77346">
        <w:rPr>
          <w:rFonts w:ascii="Verdana" w:hAnsi="Verdana"/>
          <w:sz w:val="20"/>
          <w:szCs w:val="20"/>
          <w:lang w:val="es-CR"/>
        </w:rPr>
        <w:t xml:space="preserve"> </w:t>
      </w:r>
      <w:r w:rsidR="00A6190E" w:rsidRPr="00B77346">
        <w:rPr>
          <w:rFonts w:ascii="Verdana" w:hAnsi="Verdana"/>
          <w:sz w:val="20"/>
          <w:szCs w:val="20"/>
          <w:lang w:val="es-CR"/>
        </w:rPr>
        <w:t>Asimismo, el artículo 27.3 del Reglamento del Tribunal establece que “[e]n los casos contenciosos que se encuentren en conocimiento de la Corte, las víctimas o las presuntas víctimas, o sus representantes, podrán presentar directamente a ésta una solicitud de medidas provisionales, las que deberán tener relación con el objeto del caso”.</w:t>
      </w:r>
    </w:p>
    <w:p w14:paraId="594DD74D" w14:textId="207B5C34" w:rsidR="00B20743" w:rsidRPr="00B126A7" w:rsidRDefault="00B20743" w:rsidP="006B532E">
      <w:pPr>
        <w:numPr>
          <w:ilvl w:val="0"/>
          <w:numId w:val="9"/>
        </w:numPr>
        <w:tabs>
          <w:tab w:val="left" w:pos="0"/>
        </w:tabs>
        <w:spacing w:before="120" w:after="120" w:line="240" w:lineRule="auto"/>
        <w:ind w:left="0" w:right="18" w:firstLine="0"/>
        <w:jc w:val="both"/>
        <w:rPr>
          <w:rFonts w:ascii="Verdana" w:hAnsi="Verdana"/>
          <w:sz w:val="18"/>
          <w:szCs w:val="20"/>
          <w:lang w:val="es-CR"/>
        </w:rPr>
      </w:pPr>
      <w:r w:rsidRPr="00B126A7">
        <w:rPr>
          <w:rFonts w:ascii="Verdana" w:hAnsi="Verdana"/>
          <w:sz w:val="20"/>
          <w:lang w:val="es-AR"/>
        </w:rPr>
        <w:t>La presente solicitud de ampliación de medidas provisionales ha sido presentada directamente por los representantes de las víctimas en un caso que se encuentra en conocimiento de la Corte, por lo cual la misma se encuentra conforme a lo estipulado en el referido artículo del Reglamento</w:t>
      </w:r>
      <w:r w:rsidR="004E5F5C">
        <w:rPr>
          <w:rFonts w:ascii="Verdana" w:hAnsi="Verdana"/>
          <w:sz w:val="20"/>
          <w:lang w:val="es-AR"/>
        </w:rPr>
        <w:t>.</w:t>
      </w:r>
    </w:p>
    <w:p w14:paraId="637B4FB2" w14:textId="43EEC6BA" w:rsidR="00A6190E" w:rsidRPr="00A6190E" w:rsidRDefault="00A6190E" w:rsidP="00A6190E">
      <w:pPr>
        <w:numPr>
          <w:ilvl w:val="0"/>
          <w:numId w:val="9"/>
        </w:numPr>
        <w:tabs>
          <w:tab w:val="left" w:pos="0"/>
        </w:tabs>
        <w:spacing w:before="120" w:after="120" w:line="240" w:lineRule="auto"/>
        <w:ind w:left="0" w:right="18" w:firstLine="0"/>
        <w:jc w:val="both"/>
        <w:rPr>
          <w:rFonts w:ascii="Verdana" w:hAnsi="Verdana"/>
          <w:sz w:val="20"/>
          <w:szCs w:val="20"/>
          <w:lang w:val="es-CR"/>
        </w:rPr>
      </w:pPr>
      <w:r w:rsidRPr="00A617ED">
        <w:rPr>
          <w:rFonts w:ascii="Verdana" w:hAnsi="Verdana"/>
          <w:sz w:val="20"/>
          <w:szCs w:val="20"/>
          <w:lang w:val="es-CR"/>
        </w:rPr>
        <w:t>De acuerdo a lo establecido en el artículo 27.6 del Reglamento</w:t>
      </w:r>
      <w:r>
        <w:rPr>
          <w:rFonts w:ascii="Verdana" w:hAnsi="Verdana"/>
          <w:sz w:val="20"/>
          <w:szCs w:val="20"/>
          <w:lang w:val="es-CR"/>
        </w:rPr>
        <w:t xml:space="preserve"> del Tribunal</w:t>
      </w:r>
      <w:r w:rsidRPr="00A617ED">
        <w:rPr>
          <w:rFonts w:ascii="Verdana" w:hAnsi="Verdana"/>
          <w:sz w:val="20"/>
          <w:szCs w:val="20"/>
          <w:lang w:val="es-CR"/>
        </w:rPr>
        <w:t xml:space="preserve">, si </w:t>
      </w:r>
      <w:r>
        <w:rPr>
          <w:rFonts w:ascii="Verdana" w:hAnsi="Verdana"/>
          <w:sz w:val="20"/>
          <w:szCs w:val="20"/>
          <w:lang w:val="es-CR"/>
        </w:rPr>
        <w:t xml:space="preserve">ésta </w:t>
      </w:r>
      <w:r w:rsidRPr="00A617ED">
        <w:rPr>
          <w:rFonts w:ascii="Verdana" w:hAnsi="Verdana"/>
          <w:sz w:val="20"/>
          <w:szCs w:val="20"/>
          <w:lang w:val="es-CR"/>
        </w:rPr>
        <w:t xml:space="preserve">no se encontrare reunida, </w:t>
      </w:r>
      <w:r w:rsidR="00B77346">
        <w:rPr>
          <w:rFonts w:ascii="Verdana" w:hAnsi="Verdana"/>
          <w:sz w:val="20"/>
          <w:szCs w:val="20"/>
          <w:lang w:val="es-CR"/>
        </w:rPr>
        <w:t>la Presidencia</w:t>
      </w:r>
      <w:r w:rsidRPr="00A617ED">
        <w:rPr>
          <w:rFonts w:ascii="Verdana" w:hAnsi="Verdana"/>
          <w:sz w:val="20"/>
          <w:szCs w:val="20"/>
          <w:lang w:val="es-CR"/>
        </w:rPr>
        <w:t xml:space="preserve"> puede requerir al Estado respectivo, que dicte las </w:t>
      </w:r>
      <w:r w:rsidRPr="00507D8A">
        <w:rPr>
          <w:rFonts w:ascii="Verdana" w:hAnsi="Verdana"/>
          <w:sz w:val="20"/>
          <w:szCs w:val="20"/>
          <w:lang w:val="es-CR"/>
        </w:rPr>
        <w:t>providencias urgentes necesarias.</w:t>
      </w:r>
    </w:p>
    <w:p w14:paraId="24EEBD98" w14:textId="5168AC0A" w:rsidR="0038765A" w:rsidRPr="00A6190E" w:rsidRDefault="0038765A" w:rsidP="00A6190E">
      <w:pPr>
        <w:numPr>
          <w:ilvl w:val="0"/>
          <w:numId w:val="9"/>
        </w:numPr>
        <w:tabs>
          <w:tab w:val="left" w:pos="0"/>
        </w:tabs>
        <w:spacing w:before="120" w:after="120" w:line="240" w:lineRule="auto"/>
        <w:ind w:left="0" w:right="18" w:firstLine="0"/>
        <w:jc w:val="both"/>
        <w:rPr>
          <w:rFonts w:ascii="Verdana" w:hAnsi="Verdana"/>
          <w:sz w:val="20"/>
          <w:szCs w:val="20"/>
          <w:lang w:val="es-CL"/>
        </w:rPr>
      </w:pPr>
      <w:r w:rsidRPr="00A6190E">
        <w:rPr>
          <w:rFonts w:ascii="Verdana" w:hAnsi="Verdana" w:cs="Verdana"/>
          <w:bCs/>
          <w:sz w:val="20"/>
          <w:szCs w:val="20"/>
          <w:lang w:val="es-ES_tradnl"/>
        </w:rPr>
        <w:t>En vista de la información remitida, a continuación</w:t>
      </w:r>
      <w:r w:rsidR="00EF4D8B" w:rsidRPr="00A6190E">
        <w:rPr>
          <w:rFonts w:ascii="Verdana" w:hAnsi="Verdana" w:cs="Verdana"/>
          <w:bCs/>
          <w:sz w:val="20"/>
          <w:szCs w:val="20"/>
          <w:lang w:val="es-ES_tradnl"/>
        </w:rPr>
        <w:t>,</w:t>
      </w:r>
      <w:r w:rsidRPr="00A6190E">
        <w:rPr>
          <w:rFonts w:ascii="Verdana" w:hAnsi="Verdana" w:cs="Verdana"/>
          <w:bCs/>
          <w:sz w:val="20"/>
          <w:szCs w:val="20"/>
          <w:lang w:val="es-ES_tradnl"/>
        </w:rPr>
        <w:t xml:space="preserve"> </w:t>
      </w:r>
      <w:r w:rsidR="00CA3DF3">
        <w:rPr>
          <w:rFonts w:ascii="Verdana" w:hAnsi="Verdana" w:cs="Verdana"/>
          <w:bCs/>
          <w:sz w:val="20"/>
          <w:szCs w:val="20"/>
          <w:lang w:val="es-ES_tradnl"/>
        </w:rPr>
        <w:t>esta Presidencia</w:t>
      </w:r>
      <w:r w:rsidRPr="00A6190E">
        <w:rPr>
          <w:rFonts w:ascii="Verdana" w:hAnsi="Verdana" w:cs="Verdana"/>
          <w:bCs/>
          <w:sz w:val="20"/>
          <w:szCs w:val="20"/>
          <w:lang w:val="es-ES_tradnl"/>
        </w:rPr>
        <w:t xml:space="preserve"> se pronunciará sobre</w:t>
      </w:r>
      <w:r w:rsidR="00A60B40" w:rsidRPr="00A6190E">
        <w:rPr>
          <w:rFonts w:ascii="Verdana" w:hAnsi="Verdana" w:cs="Verdana"/>
          <w:bCs/>
          <w:sz w:val="20"/>
          <w:szCs w:val="20"/>
          <w:lang w:val="es-ES_tradnl"/>
        </w:rPr>
        <w:t xml:space="preserve"> </w:t>
      </w:r>
      <w:r w:rsidRPr="00A6190E">
        <w:rPr>
          <w:rFonts w:ascii="Verdana" w:hAnsi="Verdana" w:cs="Verdana"/>
          <w:bCs/>
          <w:sz w:val="20"/>
          <w:szCs w:val="20"/>
          <w:lang w:val="es-ES_tradnl"/>
        </w:rPr>
        <w:t xml:space="preserve">la solicitud de </w:t>
      </w:r>
      <w:r w:rsidRPr="00A6190E">
        <w:rPr>
          <w:rFonts w:ascii="Verdana" w:hAnsi="Verdana"/>
          <w:sz w:val="20"/>
          <w:szCs w:val="20"/>
          <w:lang w:val="es-CR"/>
        </w:rPr>
        <w:t>ampliación</w:t>
      </w:r>
      <w:r w:rsidR="00F70F05" w:rsidRPr="00A6190E">
        <w:rPr>
          <w:rFonts w:ascii="Verdana" w:hAnsi="Verdana" w:cs="Verdana"/>
          <w:bCs/>
          <w:sz w:val="20"/>
          <w:szCs w:val="20"/>
          <w:lang w:val="es-ES_tradnl"/>
        </w:rPr>
        <w:t xml:space="preserve"> de las medidas provisionales a</w:t>
      </w:r>
      <w:r w:rsidR="00EF4D8B" w:rsidRPr="00A6190E">
        <w:rPr>
          <w:rFonts w:ascii="Verdana" w:hAnsi="Verdana" w:cs="Verdana"/>
          <w:bCs/>
          <w:sz w:val="20"/>
          <w:szCs w:val="20"/>
          <w:lang w:val="es-ES_tradnl"/>
        </w:rPr>
        <w:t xml:space="preserve"> favor de las personas señaladas (</w:t>
      </w:r>
      <w:r w:rsidR="00EF4D8B" w:rsidRPr="00A6190E">
        <w:rPr>
          <w:rFonts w:ascii="Verdana" w:hAnsi="Verdana" w:cs="Verdana"/>
          <w:bCs/>
          <w:i/>
          <w:sz w:val="20"/>
          <w:szCs w:val="20"/>
          <w:lang w:val="es-ES_tradnl"/>
        </w:rPr>
        <w:t xml:space="preserve">supra </w:t>
      </w:r>
      <w:r w:rsidR="00EF4D8B" w:rsidRPr="00A6190E">
        <w:rPr>
          <w:rFonts w:ascii="Verdana" w:hAnsi="Verdana" w:cs="Verdana"/>
          <w:bCs/>
          <w:sz w:val="20"/>
          <w:szCs w:val="20"/>
          <w:lang w:val="es-ES_tradnl"/>
        </w:rPr>
        <w:t xml:space="preserve">Visto </w:t>
      </w:r>
      <w:r w:rsidR="004E5F5C">
        <w:rPr>
          <w:rFonts w:ascii="Verdana" w:hAnsi="Verdana" w:cs="Verdana"/>
          <w:bCs/>
          <w:sz w:val="20"/>
          <w:szCs w:val="20"/>
          <w:lang w:val="es-ES_tradnl"/>
        </w:rPr>
        <w:t>7</w:t>
      </w:r>
      <w:r w:rsidR="00EF4D8B" w:rsidRPr="00A6190E">
        <w:rPr>
          <w:rFonts w:ascii="Verdana" w:hAnsi="Verdana" w:cs="Verdana"/>
          <w:bCs/>
          <w:sz w:val="20"/>
          <w:szCs w:val="20"/>
          <w:lang w:val="es-ES_tradnl"/>
        </w:rPr>
        <w:t>)</w:t>
      </w:r>
      <w:r w:rsidR="004A2797" w:rsidRPr="00A6190E">
        <w:rPr>
          <w:rFonts w:ascii="Verdana" w:hAnsi="Verdana" w:cs="Verdana"/>
          <w:bCs/>
          <w:sz w:val="20"/>
          <w:szCs w:val="20"/>
          <w:lang w:val="es-ES_tradnl"/>
        </w:rPr>
        <w:t>.</w:t>
      </w:r>
      <w:r w:rsidR="00257704" w:rsidRPr="00A6190E">
        <w:rPr>
          <w:rFonts w:ascii="Verdana" w:hAnsi="Verdana" w:cs="Verdana"/>
          <w:bCs/>
          <w:sz w:val="20"/>
          <w:szCs w:val="20"/>
          <w:lang w:val="es-ES_tradnl"/>
        </w:rPr>
        <w:t xml:space="preserve"> Sin perjuicio de lo anterior, la Corte se pronunciará respecto del cumplimiento de las medidas provisionales en una resolución posterior.</w:t>
      </w:r>
    </w:p>
    <w:p w14:paraId="0352651A" w14:textId="77777777" w:rsidR="0038765A" w:rsidRPr="007865FC" w:rsidRDefault="0038765A" w:rsidP="00CA3DF3">
      <w:pPr>
        <w:pStyle w:val="Prrafodelista1"/>
        <w:numPr>
          <w:ilvl w:val="0"/>
          <w:numId w:val="6"/>
        </w:numPr>
        <w:spacing w:before="240" w:after="240"/>
        <w:ind w:left="714" w:hanging="357"/>
        <w:contextualSpacing w:val="0"/>
        <w:jc w:val="both"/>
        <w:rPr>
          <w:b/>
          <w:i/>
          <w:sz w:val="20"/>
          <w:szCs w:val="20"/>
        </w:rPr>
      </w:pPr>
      <w:r w:rsidRPr="007865FC">
        <w:rPr>
          <w:b/>
          <w:i/>
          <w:sz w:val="20"/>
          <w:szCs w:val="20"/>
        </w:rPr>
        <w:t>Solicitud de ampliación de medidas provisionales</w:t>
      </w:r>
    </w:p>
    <w:p w14:paraId="3196B995" w14:textId="52E2F853" w:rsidR="0038765A" w:rsidRPr="00754EF5" w:rsidRDefault="00896EA8" w:rsidP="00754EF5">
      <w:pPr>
        <w:numPr>
          <w:ilvl w:val="0"/>
          <w:numId w:val="9"/>
        </w:numPr>
        <w:tabs>
          <w:tab w:val="left" w:pos="0"/>
        </w:tabs>
        <w:spacing w:before="120" w:after="120" w:line="240" w:lineRule="auto"/>
        <w:ind w:left="0" w:right="18" w:firstLine="0"/>
        <w:jc w:val="both"/>
        <w:rPr>
          <w:rFonts w:ascii="Verdana" w:hAnsi="Verdana"/>
          <w:sz w:val="20"/>
          <w:szCs w:val="20"/>
          <w:lang w:val="es-CR"/>
        </w:rPr>
      </w:pPr>
      <w:r w:rsidRPr="00754EF5">
        <w:rPr>
          <w:rFonts w:ascii="Verdana" w:hAnsi="Verdana"/>
          <w:sz w:val="20"/>
          <w:szCs w:val="20"/>
          <w:lang w:val="es-CR"/>
        </w:rPr>
        <w:t>Los</w:t>
      </w:r>
      <w:r w:rsidR="0038765A" w:rsidRPr="00754EF5">
        <w:rPr>
          <w:rFonts w:ascii="Verdana" w:hAnsi="Verdana"/>
          <w:sz w:val="20"/>
          <w:szCs w:val="20"/>
          <w:lang w:val="es-CR"/>
        </w:rPr>
        <w:t xml:space="preserve"> </w:t>
      </w:r>
      <w:r w:rsidRPr="00754EF5">
        <w:rPr>
          <w:rFonts w:ascii="Verdana" w:hAnsi="Verdana"/>
          <w:i/>
          <w:sz w:val="20"/>
          <w:szCs w:val="20"/>
          <w:lang w:val="es-CR"/>
        </w:rPr>
        <w:t>representantes</w:t>
      </w:r>
      <w:r w:rsidRPr="00754EF5">
        <w:rPr>
          <w:rFonts w:ascii="Verdana" w:hAnsi="Verdana"/>
          <w:sz w:val="20"/>
          <w:szCs w:val="20"/>
          <w:lang w:val="es-CR"/>
        </w:rPr>
        <w:t xml:space="preserve"> informaron </w:t>
      </w:r>
      <w:r w:rsidR="00754EF5">
        <w:rPr>
          <w:rFonts w:ascii="Verdana" w:hAnsi="Verdana"/>
          <w:sz w:val="20"/>
          <w:szCs w:val="20"/>
          <w:lang w:val="es-CR"/>
        </w:rPr>
        <w:t xml:space="preserve">que se </w:t>
      </w:r>
      <w:r w:rsidR="00CA3DF3">
        <w:rPr>
          <w:rFonts w:ascii="Verdana" w:hAnsi="Verdana"/>
          <w:sz w:val="20"/>
          <w:szCs w:val="20"/>
          <w:lang w:val="es-CR"/>
        </w:rPr>
        <w:t xml:space="preserve">habían producido </w:t>
      </w:r>
      <w:r w:rsidRPr="00754EF5">
        <w:rPr>
          <w:rFonts w:ascii="Verdana" w:hAnsi="Verdana"/>
          <w:sz w:val="20"/>
          <w:szCs w:val="20"/>
          <w:lang w:val="es-CR"/>
        </w:rPr>
        <w:t>hechos de violencia y hostigamiento en contra</w:t>
      </w:r>
      <w:r w:rsidR="00754EF5">
        <w:rPr>
          <w:rFonts w:ascii="Verdana" w:hAnsi="Verdana"/>
          <w:sz w:val="20"/>
          <w:szCs w:val="20"/>
          <w:lang w:val="es-CR"/>
        </w:rPr>
        <w:t xml:space="preserve"> de los propuestos beneficiarios</w:t>
      </w:r>
      <w:r w:rsidRPr="00754EF5">
        <w:rPr>
          <w:rFonts w:ascii="Verdana" w:hAnsi="Verdana"/>
          <w:sz w:val="20"/>
          <w:szCs w:val="20"/>
          <w:lang w:val="es-CR"/>
        </w:rPr>
        <w:t xml:space="preserve">, luego de </w:t>
      </w:r>
      <w:r w:rsidR="00754EF5">
        <w:rPr>
          <w:rFonts w:ascii="Verdana" w:hAnsi="Verdana"/>
          <w:sz w:val="20"/>
          <w:szCs w:val="20"/>
          <w:lang w:val="es-CR"/>
        </w:rPr>
        <w:t xml:space="preserve">que participaran </w:t>
      </w:r>
      <w:r w:rsidRPr="00754EF5">
        <w:rPr>
          <w:rFonts w:ascii="Verdana" w:hAnsi="Verdana"/>
          <w:sz w:val="20"/>
          <w:szCs w:val="20"/>
          <w:lang w:val="es-CR"/>
        </w:rPr>
        <w:t>en la audiencia de supervisión de cumplimiento en septiembre de 2019</w:t>
      </w:r>
      <w:r w:rsidR="0038765A" w:rsidRPr="00754EF5">
        <w:rPr>
          <w:rFonts w:ascii="Verdana" w:hAnsi="Verdana"/>
          <w:sz w:val="20"/>
          <w:szCs w:val="20"/>
          <w:lang w:val="es-CR"/>
        </w:rPr>
        <w:t>.</w:t>
      </w:r>
      <w:r w:rsidR="00F63AFF" w:rsidRPr="00754EF5">
        <w:rPr>
          <w:rFonts w:ascii="Verdana" w:hAnsi="Verdana"/>
          <w:sz w:val="20"/>
          <w:szCs w:val="20"/>
          <w:lang w:val="es-CR"/>
        </w:rPr>
        <w:t xml:space="preserve"> Adicionalmente, la familia de Nery del Socorro </w:t>
      </w:r>
      <w:r w:rsidR="004839CA" w:rsidRPr="00307843">
        <w:rPr>
          <w:rFonts w:ascii="Verdana" w:hAnsi="Verdana"/>
          <w:sz w:val="20"/>
          <w:szCs w:val="20"/>
          <w:lang w:val="es-CR"/>
        </w:rPr>
        <w:t>Flórez</w:t>
      </w:r>
      <w:r w:rsidR="004839CA" w:rsidRPr="00754EF5">
        <w:rPr>
          <w:rFonts w:ascii="Verdana" w:hAnsi="Verdana"/>
          <w:sz w:val="20"/>
          <w:szCs w:val="20"/>
          <w:lang w:val="es-CR"/>
        </w:rPr>
        <w:t xml:space="preserve"> </w:t>
      </w:r>
      <w:r w:rsidR="00DE555E">
        <w:rPr>
          <w:rFonts w:ascii="Verdana" w:hAnsi="Verdana"/>
          <w:sz w:val="20"/>
          <w:szCs w:val="20"/>
          <w:lang w:val="es-CR"/>
        </w:rPr>
        <w:t>Contreras</w:t>
      </w:r>
      <w:r w:rsidR="00DE555E" w:rsidRPr="00754EF5">
        <w:rPr>
          <w:rFonts w:ascii="Verdana" w:hAnsi="Verdana"/>
          <w:sz w:val="20"/>
          <w:szCs w:val="20"/>
          <w:lang w:val="es-CR"/>
        </w:rPr>
        <w:t xml:space="preserve"> </w:t>
      </w:r>
      <w:r w:rsidR="00F63AFF" w:rsidRPr="00754EF5">
        <w:rPr>
          <w:rFonts w:ascii="Verdana" w:hAnsi="Verdana"/>
          <w:sz w:val="20"/>
          <w:szCs w:val="20"/>
          <w:lang w:val="es-CR"/>
        </w:rPr>
        <w:t xml:space="preserve">ha manifestado ser constantemente vigilada afuera de sus viviendas, así como que han detectado personas grabando y tomando fotografías alrededor de sus casas y cuando ingresan a sus viviendas y vehículos, particularmente por hombres que en ocasiones llevan cascos, situación que ha ocasionado un gran temor y la implementación de medidas de autoprotección. </w:t>
      </w:r>
    </w:p>
    <w:p w14:paraId="6BE9A16B" w14:textId="74CE8F79" w:rsidR="00663D79" w:rsidRPr="00754EF5" w:rsidRDefault="00F63AFF" w:rsidP="00754EF5">
      <w:pPr>
        <w:numPr>
          <w:ilvl w:val="0"/>
          <w:numId w:val="9"/>
        </w:numPr>
        <w:tabs>
          <w:tab w:val="left" w:pos="0"/>
        </w:tabs>
        <w:spacing w:before="120" w:after="120" w:line="240" w:lineRule="auto"/>
        <w:ind w:left="0" w:right="18" w:firstLine="0"/>
        <w:jc w:val="both"/>
        <w:rPr>
          <w:rFonts w:ascii="Verdana" w:hAnsi="Verdana"/>
          <w:sz w:val="20"/>
          <w:szCs w:val="20"/>
          <w:lang w:val="es-ES_tradnl"/>
        </w:rPr>
      </w:pPr>
      <w:r w:rsidRPr="00754EF5">
        <w:rPr>
          <w:rFonts w:ascii="Verdana" w:hAnsi="Verdana"/>
          <w:sz w:val="20"/>
          <w:szCs w:val="20"/>
          <w:lang w:val="es-CR"/>
        </w:rPr>
        <w:t>Específicamente</w:t>
      </w:r>
      <w:r w:rsidRPr="00754EF5">
        <w:rPr>
          <w:rFonts w:ascii="Verdana" w:hAnsi="Verdana"/>
          <w:sz w:val="20"/>
          <w:szCs w:val="20"/>
          <w:lang w:val="es-ES_tradnl"/>
        </w:rPr>
        <w:t>, los representantes</w:t>
      </w:r>
      <w:r w:rsidR="0038765A" w:rsidRPr="00754EF5">
        <w:rPr>
          <w:rFonts w:ascii="Verdana" w:hAnsi="Verdana"/>
          <w:sz w:val="20"/>
          <w:szCs w:val="20"/>
          <w:lang w:val="es-ES_tradnl"/>
        </w:rPr>
        <w:t xml:space="preserve"> </w:t>
      </w:r>
      <w:r w:rsidRPr="00754EF5">
        <w:rPr>
          <w:rFonts w:ascii="Verdana" w:hAnsi="Verdana"/>
          <w:sz w:val="20"/>
          <w:szCs w:val="20"/>
          <w:lang w:val="es-ES_tradnl"/>
        </w:rPr>
        <w:t>indicaron</w:t>
      </w:r>
      <w:r w:rsidR="00663D79" w:rsidRPr="00754EF5">
        <w:rPr>
          <w:rFonts w:ascii="Verdana" w:hAnsi="Verdana"/>
          <w:sz w:val="20"/>
          <w:szCs w:val="20"/>
          <w:lang w:val="es-ES_tradnl"/>
        </w:rPr>
        <w:t xml:space="preserve"> que los hechos que le</w:t>
      </w:r>
      <w:r w:rsidRPr="00754EF5">
        <w:rPr>
          <w:rFonts w:ascii="Verdana" w:hAnsi="Verdana"/>
          <w:sz w:val="20"/>
          <w:szCs w:val="20"/>
          <w:lang w:val="es-ES_tradnl"/>
        </w:rPr>
        <w:t>s</w:t>
      </w:r>
      <w:r w:rsidR="00663D79" w:rsidRPr="00754EF5">
        <w:rPr>
          <w:rFonts w:ascii="Verdana" w:hAnsi="Verdana"/>
          <w:sz w:val="20"/>
          <w:szCs w:val="20"/>
          <w:lang w:val="es-ES_tradnl"/>
        </w:rPr>
        <w:t xml:space="preserve"> fueron i</w:t>
      </w:r>
      <w:r w:rsidRPr="00754EF5">
        <w:rPr>
          <w:rFonts w:ascii="Verdana" w:hAnsi="Verdana"/>
          <w:sz w:val="20"/>
          <w:szCs w:val="20"/>
          <w:lang w:val="es-ES_tradnl"/>
        </w:rPr>
        <w:t>nformados</w:t>
      </w:r>
      <w:r w:rsidR="00663D79" w:rsidRPr="00754EF5">
        <w:rPr>
          <w:rFonts w:ascii="Verdana" w:hAnsi="Verdana"/>
          <w:sz w:val="20"/>
          <w:szCs w:val="20"/>
          <w:lang w:val="es-ES_tradnl"/>
        </w:rPr>
        <w:t xml:space="preserve"> y motivaron la solicitud de ampliación de medidas provisionales a favor de </w:t>
      </w:r>
      <w:r w:rsidR="00B27B62" w:rsidRPr="00754EF5">
        <w:rPr>
          <w:rFonts w:ascii="Verdana" w:hAnsi="Verdana"/>
          <w:sz w:val="20"/>
          <w:szCs w:val="20"/>
          <w:lang w:val="es-ES_tradnl"/>
        </w:rPr>
        <w:t xml:space="preserve">los </w:t>
      </w:r>
      <w:r w:rsidR="004839CA">
        <w:rPr>
          <w:rFonts w:ascii="Verdana" w:hAnsi="Verdana"/>
          <w:sz w:val="20"/>
          <w:szCs w:val="20"/>
          <w:lang w:val="es-ES_tradnl"/>
        </w:rPr>
        <w:t>integrantes de la familia</w:t>
      </w:r>
      <w:r w:rsidR="004839CA" w:rsidRPr="00754EF5">
        <w:rPr>
          <w:rFonts w:ascii="Verdana" w:hAnsi="Verdana"/>
          <w:sz w:val="20"/>
          <w:szCs w:val="20"/>
          <w:lang w:val="es-ES_tradnl"/>
        </w:rPr>
        <w:t xml:space="preserve"> </w:t>
      </w:r>
      <w:r w:rsidR="00B710F7" w:rsidRPr="00754EF5">
        <w:rPr>
          <w:rFonts w:ascii="Verdana" w:hAnsi="Verdana"/>
          <w:sz w:val="20"/>
          <w:szCs w:val="20"/>
          <w:lang w:val="es-ES_tradnl"/>
        </w:rPr>
        <w:t>ya señalados</w:t>
      </w:r>
      <w:r w:rsidR="00663D79" w:rsidRPr="00754EF5">
        <w:rPr>
          <w:rFonts w:ascii="Verdana" w:hAnsi="Verdana"/>
          <w:sz w:val="20"/>
          <w:szCs w:val="20"/>
          <w:lang w:val="es-ES_tradnl"/>
        </w:rPr>
        <w:t>,</w:t>
      </w:r>
      <w:r w:rsidR="00663D79" w:rsidRPr="00754EF5">
        <w:rPr>
          <w:rFonts w:ascii="Verdana" w:hAnsi="Verdana"/>
          <w:i/>
          <w:sz w:val="20"/>
          <w:szCs w:val="20"/>
          <w:lang w:val="es-ES_tradnl"/>
        </w:rPr>
        <w:t xml:space="preserve"> </w:t>
      </w:r>
      <w:r w:rsidR="00663D79" w:rsidRPr="00754EF5">
        <w:rPr>
          <w:rFonts w:ascii="Verdana" w:hAnsi="Verdana"/>
          <w:sz w:val="20"/>
          <w:szCs w:val="20"/>
          <w:lang w:val="es-ES_tradnl"/>
        </w:rPr>
        <w:t xml:space="preserve">fueron los siguientes: </w:t>
      </w:r>
    </w:p>
    <w:p w14:paraId="187521B4" w14:textId="1CB40281" w:rsidR="00B50F3E" w:rsidRPr="00A4173B" w:rsidRDefault="00B710F7" w:rsidP="00B710F7">
      <w:pPr>
        <w:pStyle w:val="Prrafodelista"/>
        <w:numPr>
          <w:ilvl w:val="0"/>
          <w:numId w:val="4"/>
        </w:numPr>
        <w:ind w:right="18"/>
        <w:contextualSpacing w:val="0"/>
        <w:jc w:val="both"/>
        <w:rPr>
          <w:rFonts w:ascii="Verdana" w:eastAsia="MS Mincho" w:hAnsi="Verdana"/>
          <w:sz w:val="18"/>
        </w:rPr>
      </w:pPr>
      <w:r>
        <w:rPr>
          <w:rFonts w:ascii="Verdana" w:hAnsi="Verdana"/>
          <w:sz w:val="18"/>
        </w:rPr>
        <w:lastRenderedPageBreak/>
        <w:t xml:space="preserve">El </w:t>
      </w:r>
      <w:r w:rsidRPr="00B710F7">
        <w:rPr>
          <w:rFonts w:ascii="Verdana" w:hAnsi="Verdana"/>
          <w:sz w:val="18"/>
        </w:rPr>
        <w:t xml:space="preserve">18 de noviembre de 2019, </w:t>
      </w:r>
      <w:proofErr w:type="spellStart"/>
      <w:r w:rsidRPr="00B710F7">
        <w:rPr>
          <w:rFonts w:ascii="Verdana" w:hAnsi="Verdana"/>
          <w:sz w:val="18"/>
        </w:rPr>
        <w:t>Shercy</w:t>
      </w:r>
      <w:proofErr w:type="spellEnd"/>
      <w:r w:rsidRPr="00B710F7">
        <w:rPr>
          <w:rFonts w:ascii="Verdana" w:hAnsi="Verdana"/>
          <w:sz w:val="18"/>
        </w:rPr>
        <w:t xml:space="preserve"> Romero Flórez, hija de la señora Nery del Socorro</w:t>
      </w:r>
      <w:r w:rsidR="00DE555E">
        <w:rPr>
          <w:rFonts w:ascii="Verdana" w:hAnsi="Verdana"/>
          <w:sz w:val="18"/>
        </w:rPr>
        <w:t xml:space="preserve"> </w:t>
      </w:r>
      <w:r w:rsidR="00DE555E" w:rsidRPr="00DE555E">
        <w:rPr>
          <w:rFonts w:ascii="Verdana" w:hAnsi="Verdana"/>
          <w:sz w:val="18"/>
        </w:rPr>
        <w:t>Flórez</w:t>
      </w:r>
      <w:r w:rsidR="00DE555E">
        <w:rPr>
          <w:rFonts w:ascii="Verdana" w:hAnsi="Verdana"/>
          <w:sz w:val="18"/>
        </w:rPr>
        <w:t xml:space="preserve"> </w:t>
      </w:r>
      <w:r w:rsidR="00DE555E" w:rsidRPr="00DE555E">
        <w:rPr>
          <w:rFonts w:ascii="Verdana" w:hAnsi="Verdana"/>
          <w:sz w:val="18"/>
        </w:rPr>
        <w:t>Contreras</w:t>
      </w:r>
      <w:r w:rsidRPr="00B710F7">
        <w:rPr>
          <w:rFonts w:ascii="Verdana" w:hAnsi="Verdana"/>
          <w:sz w:val="18"/>
        </w:rPr>
        <w:t>, y su pareja, Naum Miranda, se encontraban en el parque del barrio García Herreros en Cúcuta, lugar que frecuentaban, cuando fueron atacados a disparos por dos hombres que se escondían detrás de un árbol. Los disparos impactaron a Naum Miranda, ocasionándole heridas en su cabeza</w:t>
      </w:r>
      <w:r w:rsidR="00564899" w:rsidRPr="00A4173B">
        <w:rPr>
          <w:rFonts w:ascii="Verdana" w:hAnsi="Verdana"/>
          <w:sz w:val="18"/>
        </w:rPr>
        <w:t xml:space="preserve">. </w:t>
      </w:r>
    </w:p>
    <w:p w14:paraId="609AC464" w14:textId="77777777" w:rsidR="00564899" w:rsidRPr="00A4173B" w:rsidRDefault="00564899" w:rsidP="00E604E5">
      <w:pPr>
        <w:spacing w:after="0" w:line="240" w:lineRule="auto"/>
        <w:ind w:right="18"/>
        <w:jc w:val="both"/>
        <w:rPr>
          <w:rFonts w:ascii="Verdana" w:eastAsia="MS Mincho" w:hAnsi="Verdana"/>
          <w:sz w:val="18"/>
          <w:szCs w:val="20"/>
          <w:lang w:val="es-DO"/>
        </w:rPr>
      </w:pPr>
    </w:p>
    <w:p w14:paraId="2C6D0D8A" w14:textId="3A2E9A9D" w:rsidR="00B50F3E" w:rsidRPr="00A4173B" w:rsidRDefault="00B710F7" w:rsidP="00B710F7">
      <w:pPr>
        <w:pStyle w:val="Prrafodelista"/>
        <w:numPr>
          <w:ilvl w:val="0"/>
          <w:numId w:val="4"/>
        </w:numPr>
        <w:ind w:right="18"/>
        <w:contextualSpacing w:val="0"/>
        <w:jc w:val="both"/>
        <w:rPr>
          <w:rFonts w:ascii="Verdana" w:eastAsia="MS Mincho" w:hAnsi="Verdana"/>
          <w:sz w:val="18"/>
        </w:rPr>
      </w:pPr>
      <w:r>
        <w:rPr>
          <w:rFonts w:ascii="Verdana" w:eastAsia="MS Mincho" w:hAnsi="Verdana"/>
          <w:sz w:val="18"/>
        </w:rPr>
        <w:t xml:space="preserve">El </w:t>
      </w:r>
      <w:r w:rsidRPr="00B710F7">
        <w:rPr>
          <w:rFonts w:ascii="Verdana" w:eastAsia="MS Mincho" w:hAnsi="Verdana"/>
          <w:sz w:val="18"/>
        </w:rPr>
        <w:t>1 de diciembre de 2019, algunos miembros de la familia se encontraban dentro de la vivienda de la señora Nery del Socorro</w:t>
      </w:r>
      <w:r w:rsidR="00DE555E" w:rsidRPr="00DE555E">
        <w:rPr>
          <w:rFonts w:ascii="Verdana" w:hAnsi="Verdana"/>
          <w:sz w:val="18"/>
        </w:rPr>
        <w:t xml:space="preserve"> </w:t>
      </w:r>
      <w:r w:rsidR="00DE555E" w:rsidRPr="00186653">
        <w:rPr>
          <w:rFonts w:ascii="Verdana" w:hAnsi="Verdana"/>
          <w:sz w:val="18"/>
        </w:rPr>
        <w:t>Flórez</w:t>
      </w:r>
      <w:r w:rsidR="00DE555E">
        <w:rPr>
          <w:rFonts w:ascii="Verdana" w:hAnsi="Verdana"/>
          <w:sz w:val="18"/>
        </w:rPr>
        <w:t xml:space="preserve"> </w:t>
      </w:r>
      <w:r w:rsidR="00DE555E" w:rsidRPr="00186653">
        <w:rPr>
          <w:rFonts w:ascii="Verdana" w:hAnsi="Verdana"/>
          <w:sz w:val="18"/>
        </w:rPr>
        <w:t>Contreras</w:t>
      </w:r>
      <w:r w:rsidRPr="00B710F7">
        <w:rPr>
          <w:rFonts w:ascii="Verdana" w:eastAsia="MS Mincho" w:hAnsi="Verdana"/>
          <w:sz w:val="18"/>
        </w:rPr>
        <w:t>, ubicada en el barrio Panamericano. La vivienda recibió varios impactos de bala, los cuales alcanzaron a un nieto menor de edad de la señora Nery del Socorro, quien fue herido de gravedad</w:t>
      </w:r>
      <w:r w:rsidR="00564899" w:rsidRPr="00A4173B">
        <w:rPr>
          <w:rFonts w:ascii="Verdana" w:eastAsia="MS Mincho" w:hAnsi="Verdana"/>
          <w:sz w:val="18"/>
        </w:rPr>
        <w:t xml:space="preserve">. </w:t>
      </w:r>
    </w:p>
    <w:p w14:paraId="6EAD3F79" w14:textId="77777777" w:rsidR="00564899" w:rsidRPr="00A4173B" w:rsidRDefault="00564899" w:rsidP="00E604E5">
      <w:pPr>
        <w:pStyle w:val="Prrafodelista"/>
        <w:ind w:right="18"/>
        <w:contextualSpacing w:val="0"/>
        <w:jc w:val="both"/>
        <w:rPr>
          <w:rFonts w:ascii="Verdana" w:eastAsia="MS Mincho" w:hAnsi="Verdana"/>
          <w:sz w:val="18"/>
        </w:rPr>
      </w:pPr>
    </w:p>
    <w:p w14:paraId="0768E4B8" w14:textId="396213A9" w:rsidR="006122BF" w:rsidRPr="00A4173B" w:rsidRDefault="006122BF" w:rsidP="00B710F7">
      <w:pPr>
        <w:pStyle w:val="Prrafodelista"/>
        <w:numPr>
          <w:ilvl w:val="0"/>
          <w:numId w:val="4"/>
        </w:numPr>
        <w:ind w:right="18"/>
        <w:contextualSpacing w:val="0"/>
        <w:jc w:val="both"/>
        <w:rPr>
          <w:rFonts w:ascii="Verdana" w:eastAsia="MS Mincho" w:hAnsi="Verdana"/>
          <w:sz w:val="18"/>
        </w:rPr>
      </w:pPr>
      <w:r w:rsidRPr="00A4173B">
        <w:rPr>
          <w:rFonts w:ascii="Verdana" w:eastAsia="MS Mincho" w:hAnsi="Verdana"/>
          <w:sz w:val="18"/>
        </w:rPr>
        <w:t xml:space="preserve">El </w:t>
      </w:r>
      <w:r w:rsidR="00B710F7" w:rsidRPr="00B710F7">
        <w:rPr>
          <w:rFonts w:ascii="Verdana" w:eastAsia="MS Mincho" w:hAnsi="Verdana"/>
          <w:sz w:val="18"/>
        </w:rPr>
        <w:t>8 de diciembre de 2019, varios integrantes de la familia se encontraban dentro de la residencia de Ingrith Romero Flórez, una de las hijas de la señora Nery del Socorro</w:t>
      </w:r>
      <w:r w:rsidR="00DE555E" w:rsidRPr="00DE555E">
        <w:rPr>
          <w:rFonts w:ascii="Verdana" w:hAnsi="Verdana"/>
          <w:sz w:val="18"/>
        </w:rPr>
        <w:t xml:space="preserve"> </w:t>
      </w:r>
      <w:r w:rsidR="00DE555E" w:rsidRPr="00186653">
        <w:rPr>
          <w:rFonts w:ascii="Verdana" w:hAnsi="Verdana"/>
          <w:sz w:val="18"/>
        </w:rPr>
        <w:t>Flórez</w:t>
      </w:r>
      <w:r w:rsidR="00DE555E">
        <w:rPr>
          <w:rFonts w:ascii="Verdana" w:hAnsi="Verdana"/>
          <w:sz w:val="18"/>
        </w:rPr>
        <w:t xml:space="preserve"> </w:t>
      </w:r>
      <w:r w:rsidR="00DE555E" w:rsidRPr="00186653">
        <w:rPr>
          <w:rFonts w:ascii="Verdana" w:hAnsi="Verdana"/>
          <w:sz w:val="18"/>
        </w:rPr>
        <w:t>Contreras</w:t>
      </w:r>
      <w:r w:rsidR="00B710F7" w:rsidRPr="00B710F7">
        <w:rPr>
          <w:rFonts w:ascii="Verdana" w:eastAsia="MS Mincho" w:hAnsi="Verdana"/>
          <w:sz w:val="18"/>
        </w:rPr>
        <w:t>. Algunos integrantes de la familia salieron al balcón de la casa y nuevamente recibieron disparos, los cuales impactaron en la reja del balcón de la casa. Las balas impactaron y lesionaron a uno de los nietos menores de edad de la señora Nery del Socorro</w:t>
      </w:r>
      <w:r w:rsidR="0004492F" w:rsidRPr="00A4173B">
        <w:rPr>
          <w:rFonts w:ascii="Verdana" w:eastAsia="MS Mincho" w:hAnsi="Verdana" w:cs="Arial"/>
          <w:sz w:val="18"/>
        </w:rPr>
        <w:t xml:space="preserve">. </w:t>
      </w:r>
    </w:p>
    <w:p w14:paraId="5E1B1FB6" w14:textId="77777777" w:rsidR="00EA682A" w:rsidRPr="00A4173B" w:rsidRDefault="00EA682A" w:rsidP="00E604E5">
      <w:pPr>
        <w:pStyle w:val="Prrafodelista"/>
        <w:ind w:right="18"/>
        <w:contextualSpacing w:val="0"/>
        <w:jc w:val="both"/>
        <w:rPr>
          <w:rFonts w:ascii="Verdana" w:eastAsia="MS Mincho" w:hAnsi="Verdana"/>
          <w:sz w:val="18"/>
        </w:rPr>
      </w:pPr>
    </w:p>
    <w:p w14:paraId="519C8426" w14:textId="38B0A618" w:rsidR="006122BF" w:rsidRPr="00A4173B" w:rsidRDefault="0004492F" w:rsidP="00B710F7">
      <w:pPr>
        <w:pStyle w:val="Prrafodelista"/>
        <w:numPr>
          <w:ilvl w:val="0"/>
          <w:numId w:val="4"/>
        </w:numPr>
        <w:ind w:right="18"/>
        <w:contextualSpacing w:val="0"/>
        <w:jc w:val="both"/>
        <w:rPr>
          <w:rFonts w:ascii="Verdana" w:eastAsia="MS Mincho" w:hAnsi="Verdana"/>
          <w:sz w:val="18"/>
        </w:rPr>
      </w:pPr>
      <w:r w:rsidRPr="00A4173B">
        <w:rPr>
          <w:rFonts w:ascii="Verdana" w:eastAsia="MS Mincho" w:hAnsi="Verdana"/>
          <w:sz w:val="18"/>
        </w:rPr>
        <w:t xml:space="preserve">El </w:t>
      </w:r>
      <w:r w:rsidR="00B710F7" w:rsidRPr="00B710F7">
        <w:rPr>
          <w:rFonts w:ascii="Verdana" w:eastAsia="MS Mincho" w:hAnsi="Verdana"/>
          <w:sz w:val="18"/>
        </w:rPr>
        <w:t xml:space="preserve">19 de diciembre de 2019, </w:t>
      </w:r>
      <w:proofErr w:type="spellStart"/>
      <w:r w:rsidR="00B710F7" w:rsidRPr="00B710F7">
        <w:rPr>
          <w:rFonts w:ascii="Verdana" w:eastAsia="MS Mincho" w:hAnsi="Verdana"/>
          <w:sz w:val="18"/>
        </w:rPr>
        <w:t>Maichol</w:t>
      </w:r>
      <w:proofErr w:type="spellEnd"/>
      <w:r w:rsidR="00B710F7" w:rsidRPr="00B710F7">
        <w:rPr>
          <w:rFonts w:ascii="Verdana" w:eastAsia="MS Mincho" w:hAnsi="Verdana"/>
          <w:sz w:val="18"/>
        </w:rPr>
        <w:t xml:space="preserve"> Romero Flórez y </w:t>
      </w:r>
      <w:proofErr w:type="spellStart"/>
      <w:r w:rsidR="00B710F7" w:rsidRPr="00B710F7">
        <w:rPr>
          <w:rFonts w:ascii="Verdana" w:eastAsia="MS Mincho" w:hAnsi="Verdana"/>
          <w:sz w:val="18"/>
        </w:rPr>
        <w:t>Shercy</w:t>
      </w:r>
      <w:proofErr w:type="spellEnd"/>
      <w:r w:rsidR="00B710F7" w:rsidRPr="00B710F7">
        <w:rPr>
          <w:rFonts w:ascii="Verdana" w:eastAsia="MS Mincho" w:hAnsi="Verdana"/>
          <w:sz w:val="18"/>
        </w:rPr>
        <w:t xml:space="preserve"> Romero Flores, hijos de la señora Nery del Socorro</w:t>
      </w:r>
      <w:r w:rsidR="00DE555E" w:rsidRPr="00DE555E">
        <w:rPr>
          <w:rFonts w:ascii="Verdana" w:hAnsi="Verdana"/>
          <w:sz w:val="18"/>
        </w:rPr>
        <w:t xml:space="preserve"> </w:t>
      </w:r>
      <w:r w:rsidR="00DE555E" w:rsidRPr="00186653">
        <w:rPr>
          <w:rFonts w:ascii="Verdana" w:hAnsi="Verdana"/>
          <w:sz w:val="18"/>
        </w:rPr>
        <w:t>Flórez</w:t>
      </w:r>
      <w:r w:rsidR="00DE555E">
        <w:rPr>
          <w:rFonts w:ascii="Verdana" w:hAnsi="Verdana"/>
          <w:sz w:val="18"/>
        </w:rPr>
        <w:t xml:space="preserve"> </w:t>
      </w:r>
      <w:r w:rsidR="00DE555E" w:rsidRPr="00186653">
        <w:rPr>
          <w:rFonts w:ascii="Verdana" w:hAnsi="Verdana"/>
          <w:sz w:val="18"/>
        </w:rPr>
        <w:t>Contreras</w:t>
      </w:r>
      <w:r w:rsidR="00B710F7" w:rsidRPr="00B710F7">
        <w:rPr>
          <w:rFonts w:ascii="Verdana" w:eastAsia="MS Mincho" w:hAnsi="Verdana"/>
          <w:sz w:val="18"/>
        </w:rPr>
        <w:t>, se dirigían a su residencia en el Barrio Prados del Este, cuando un hombre en motocicleta se atravesó frente a su vehiculó e hizo una seña que insinuaba que llevaba un arma en su cintura</w:t>
      </w:r>
      <w:r w:rsidR="00C169C1" w:rsidRPr="00A4173B">
        <w:rPr>
          <w:rFonts w:ascii="Verdana" w:eastAsia="MS Mincho" w:hAnsi="Verdana"/>
          <w:sz w:val="18"/>
        </w:rPr>
        <w:t xml:space="preserve">. </w:t>
      </w:r>
    </w:p>
    <w:p w14:paraId="7C868962" w14:textId="77777777" w:rsidR="0061489D" w:rsidRPr="00A4173B" w:rsidRDefault="0061489D" w:rsidP="00E604E5">
      <w:pPr>
        <w:pStyle w:val="Prrafodelista"/>
        <w:ind w:right="18"/>
        <w:contextualSpacing w:val="0"/>
        <w:jc w:val="both"/>
        <w:rPr>
          <w:rFonts w:ascii="Verdana" w:eastAsia="MS Mincho" w:hAnsi="Verdana"/>
          <w:sz w:val="18"/>
        </w:rPr>
      </w:pPr>
    </w:p>
    <w:p w14:paraId="50515DCD" w14:textId="6CE0C7AA" w:rsidR="0061489D" w:rsidRPr="00B77346" w:rsidRDefault="0061489D" w:rsidP="00B710F7">
      <w:pPr>
        <w:pStyle w:val="Prrafodelista"/>
        <w:numPr>
          <w:ilvl w:val="0"/>
          <w:numId w:val="4"/>
        </w:numPr>
        <w:ind w:right="18"/>
        <w:contextualSpacing w:val="0"/>
        <w:jc w:val="both"/>
        <w:rPr>
          <w:rFonts w:ascii="Verdana" w:eastAsia="MS Mincho" w:hAnsi="Verdana"/>
          <w:sz w:val="18"/>
        </w:rPr>
      </w:pPr>
      <w:r w:rsidRPr="00A4173B">
        <w:rPr>
          <w:rFonts w:ascii="Verdana" w:hAnsi="Verdana"/>
          <w:sz w:val="18"/>
        </w:rPr>
        <w:t xml:space="preserve">El </w:t>
      </w:r>
      <w:r w:rsidR="00B710F7" w:rsidRPr="00B710F7">
        <w:rPr>
          <w:rFonts w:ascii="Verdana" w:hAnsi="Verdana"/>
          <w:sz w:val="18"/>
        </w:rPr>
        <w:t>7 de enero de 2020, nuevamente, hubo disparos dirigidos a la casa de la señora Ingrith Romero Flórez, en donde se encontraba ella en compañía de su esposo Roque Sanguino</w:t>
      </w:r>
      <w:r w:rsidR="002F5BA1" w:rsidRPr="00A4173B">
        <w:rPr>
          <w:rFonts w:ascii="Verdana" w:hAnsi="Verdana"/>
          <w:sz w:val="18"/>
        </w:rPr>
        <w:t xml:space="preserve">. </w:t>
      </w:r>
    </w:p>
    <w:p w14:paraId="3A4A9E58" w14:textId="79720B9C" w:rsidR="00B77346" w:rsidRPr="00B77346" w:rsidRDefault="00B77346" w:rsidP="00B77346">
      <w:pPr>
        <w:numPr>
          <w:ilvl w:val="0"/>
          <w:numId w:val="9"/>
        </w:numPr>
        <w:tabs>
          <w:tab w:val="left" w:pos="0"/>
        </w:tabs>
        <w:spacing w:before="120" w:after="120" w:line="240" w:lineRule="auto"/>
        <w:ind w:left="0" w:right="18" w:firstLine="0"/>
        <w:jc w:val="both"/>
        <w:rPr>
          <w:rFonts w:ascii="Verdana" w:eastAsia="MS Mincho" w:hAnsi="Verdana"/>
          <w:sz w:val="20"/>
          <w:szCs w:val="20"/>
          <w:lang w:val="es-CR"/>
        </w:rPr>
      </w:pPr>
      <w:r>
        <w:rPr>
          <w:rFonts w:ascii="Verdana" w:eastAsia="MS Mincho" w:hAnsi="Verdana"/>
          <w:sz w:val="20"/>
          <w:szCs w:val="20"/>
          <w:lang w:val="es-CR"/>
        </w:rPr>
        <w:t>Agregaron que</w:t>
      </w:r>
      <w:r w:rsidR="005235D2">
        <w:rPr>
          <w:rFonts w:ascii="Verdana" w:eastAsia="MS Mincho" w:hAnsi="Verdana"/>
          <w:sz w:val="20"/>
          <w:szCs w:val="20"/>
          <w:lang w:val="es-CR"/>
        </w:rPr>
        <w:t xml:space="preserve"> el</w:t>
      </w:r>
      <w:r>
        <w:rPr>
          <w:rFonts w:ascii="Verdana" w:eastAsia="MS Mincho" w:hAnsi="Verdana"/>
          <w:sz w:val="20"/>
          <w:szCs w:val="20"/>
          <w:lang w:val="es-CR"/>
        </w:rPr>
        <w:t xml:space="preserve"> </w:t>
      </w:r>
      <w:r w:rsidRPr="00B77346">
        <w:rPr>
          <w:rFonts w:ascii="Verdana" w:eastAsia="MS Mincho" w:hAnsi="Verdana"/>
          <w:sz w:val="20"/>
          <w:szCs w:val="20"/>
          <w:lang w:val="es-CR"/>
        </w:rPr>
        <w:t>27 de febrero de 2020, Tatiana Romero Flórez, propuesta beneficiaria, radicó denuncia por los hechos descritos ante la Fiscalía General de la Nación, sin que a la fecha haya habido respuesta alguna por parte de esta autoridad.</w:t>
      </w:r>
    </w:p>
    <w:p w14:paraId="4254E471" w14:textId="1D3B1E20" w:rsidR="00BE6179" w:rsidRPr="00E51DD1" w:rsidRDefault="00B710F7" w:rsidP="00AA37C5">
      <w:pPr>
        <w:numPr>
          <w:ilvl w:val="0"/>
          <w:numId w:val="9"/>
        </w:numPr>
        <w:tabs>
          <w:tab w:val="left" w:pos="0"/>
        </w:tabs>
        <w:spacing w:before="120" w:after="120" w:line="240" w:lineRule="auto"/>
        <w:ind w:left="0" w:right="18" w:firstLine="0"/>
        <w:jc w:val="both"/>
        <w:rPr>
          <w:rFonts w:ascii="Verdana" w:eastAsia="MS Mincho" w:hAnsi="Verdana"/>
          <w:sz w:val="20"/>
          <w:szCs w:val="20"/>
          <w:lang w:val="es-CR"/>
        </w:rPr>
      </w:pPr>
      <w:r w:rsidRPr="00E51DD1">
        <w:rPr>
          <w:rFonts w:ascii="Verdana" w:eastAsia="MS Mincho" w:hAnsi="Verdana"/>
          <w:sz w:val="20"/>
          <w:szCs w:val="20"/>
          <w:lang w:val="es-CR"/>
        </w:rPr>
        <w:t xml:space="preserve">El </w:t>
      </w:r>
      <w:r w:rsidRPr="00E51DD1">
        <w:rPr>
          <w:rFonts w:ascii="Verdana" w:eastAsia="MS Mincho" w:hAnsi="Verdana"/>
          <w:i/>
          <w:sz w:val="20"/>
          <w:szCs w:val="20"/>
          <w:lang w:val="es-CR"/>
        </w:rPr>
        <w:t>Estado</w:t>
      </w:r>
      <w:r w:rsidRPr="00E51DD1">
        <w:rPr>
          <w:rFonts w:ascii="Verdana" w:eastAsia="MS Mincho" w:hAnsi="Verdana"/>
          <w:sz w:val="20"/>
          <w:szCs w:val="20"/>
          <w:lang w:val="es-CR"/>
        </w:rPr>
        <w:t xml:space="preserve"> </w:t>
      </w:r>
      <w:r w:rsidR="00754EF5" w:rsidRPr="00E51DD1">
        <w:rPr>
          <w:rFonts w:ascii="Verdana" w:eastAsia="MS Mincho" w:hAnsi="Verdana"/>
          <w:sz w:val="20"/>
          <w:szCs w:val="20"/>
          <w:lang w:val="es-CR"/>
        </w:rPr>
        <w:t>indicó que</w:t>
      </w:r>
      <w:r w:rsidR="00EC2321">
        <w:rPr>
          <w:rFonts w:ascii="Verdana" w:eastAsia="MS Mincho" w:hAnsi="Verdana"/>
          <w:sz w:val="20"/>
          <w:szCs w:val="20"/>
          <w:lang w:val="es-CR"/>
        </w:rPr>
        <w:t>,</w:t>
      </w:r>
      <w:r w:rsidR="00754EF5" w:rsidRPr="00E51DD1">
        <w:rPr>
          <w:rFonts w:ascii="Verdana" w:eastAsia="MS Mincho" w:hAnsi="Verdana"/>
          <w:sz w:val="20"/>
          <w:szCs w:val="20"/>
          <w:lang w:val="es-CR"/>
        </w:rPr>
        <w:t xml:space="preserve"> “dado que la información solicitada relacionada con los familiares de la víctima Antonio Flórez Contreras no se deriva de un mandato proveniente de la </w:t>
      </w:r>
      <w:r w:rsidR="00B77346" w:rsidRPr="00E51DD1">
        <w:rPr>
          <w:rFonts w:ascii="Verdana" w:eastAsia="MS Mincho" w:hAnsi="Verdana"/>
          <w:sz w:val="20"/>
          <w:szCs w:val="20"/>
          <w:lang w:val="es-CR"/>
        </w:rPr>
        <w:t>[…]</w:t>
      </w:r>
      <w:r w:rsidR="00754EF5" w:rsidRPr="00E51DD1">
        <w:rPr>
          <w:rFonts w:ascii="Verdana" w:eastAsia="MS Mincho" w:hAnsi="Verdana"/>
          <w:sz w:val="20"/>
          <w:szCs w:val="20"/>
          <w:lang w:val="es-CR"/>
        </w:rPr>
        <w:t xml:space="preserve"> Corte</w:t>
      </w:r>
      <w:r w:rsidR="00B77346" w:rsidRPr="00E51DD1">
        <w:rPr>
          <w:rFonts w:ascii="Verdana" w:eastAsia="MS Mincho" w:hAnsi="Verdana"/>
          <w:sz w:val="20"/>
          <w:szCs w:val="20"/>
          <w:lang w:val="es-CR"/>
        </w:rPr>
        <w:t xml:space="preserve"> […]</w:t>
      </w:r>
      <w:r w:rsidR="00754EF5" w:rsidRPr="00E51DD1">
        <w:rPr>
          <w:rFonts w:ascii="Verdana" w:eastAsia="MS Mincho" w:hAnsi="Verdana"/>
          <w:sz w:val="20"/>
          <w:szCs w:val="20"/>
          <w:lang w:val="es-CR"/>
        </w:rPr>
        <w:t xml:space="preserve">, por no hacer parte de las órdenes contenidas en la parte resolutiva del fallo concerniente al Caso </w:t>
      </w:r>
      <w:r w:rsidR="00B77346" w:rsidRPr="00E51DD1">
        <w:rPr>
          <w:rFonts w:ascii="Verdana" w:eastAsia="MS Mincho" w:hAnsi="Verdana"/>
          <w:sz w:val="20"/>
          <w:szCs w:val="20"/>
          <w:lang w:val="es-CR"/>
        </w:rPr>
        <w:t>[…]</w:t>
      </w:r>
      <w:r w:rsidR="00754EF5" w:rsidRPr="00E51DD1">
        <w:rPr>
          <w:rFonts w:ascii="Verdana" w:eastAsia="MS Mincho" w:hAnsi="Verdana"/>
          <w:sz w:val="20"/>
          <w:szCs w:val="20"/>
          <w:lang w:val="es-CR"/>
        </w:rPr>
        <w:t xml:space="preserve">, se precisa que, sin perjuicio de las acciones que el Estado deba adelantar, no es procedente efectuar su seguimiento en el marco de la supervisión de cumplimiento de la </w:t>
      </w:r>
      <w:r w:rsidR="00B77346" w:rsidRPr="00E51DD1">
        <w:rPr>
          <w:rFonts w:ascii="Verdana" w:eastAsia="MS Mincho" w:hAnsi="Verdana"/>
          <w:sz w:val="20"/>
          <w:szCs w:val="20"/>
          <w:lang w:val="es-CR"/>
        </w:rPr>
        <w:t>[…]</w:t>
      </w:r>
      <w:r w:rsidR="00754EF5" w:rsidRPr="00E51DD1">
        <w:rPr>
          <w:rFonts w:ascii="Verdana" w:eastAsia="MS Mincho" w:hAnsi="Verdana"/>
          <w:sz w:val="20"/>
          <w:szCs w:val="20"/>
          <w:lang w:val="es-CR"/>
        </w:rPr>
        <w:t xml:space="preserve"> Sentencia</w:t>
      </w:r>
      <w:r w:rsidR="00B77346" w:rsidRPr="00E51DD1">
        <w:rPr>
          <w:rFonts w:ascii="Verdana" w:eastAsia="MS Mincho" w:hAnsi="Verdana"/>
          <w:sz w:val="20"/>
          <w:szCs w:val="20"/>
          <w:lang w:val="es-CR"/>
        </w:rPr>
        <w:t>”. Además</w:t>
      </w:r>
      <w:r w:rsidR="00EC2321">
        <w:rPr>
          <w:rFonts w:ascii="Verdana" w:eastAsia="MS Mincho" w:hAnsi="Verdana"/>
          <w:sz w:val="20"/>
          <w:szCs w:val="20"/>
          <w:lang w:val="es-CR"/>
        </w:rPr>
        <w:t>,</w:t>
      </w:r>
      <w:r w:rsidR="00B77346" w:rsidRPr="00E51DD1">
        <w:rPr>
          <w:rFonts w:ascii="Verdana" w:eastAsia="MS Mincho" w:hAnsi="Verdana"/>
          <w:sz w:val="20"/>
          <w:szCs w:val="20"/>
          <w:lang w:val="es-CR"/>
        </w:rPr>
        <w:t xml:space="preserve"> indicó que</w:t>
      </w:r>
      <w:r w:rsidR="00EC2321">
        <w:rPr>
          <w:rFonts w:ascii="Verdana" w:eastAsia="MS Mincho" w:hAnsi="Verdana"/>
          <w:sz w:val="20"/>
          <w:szCs w:val="20"/>
          <w:lang w:val="es-CR"/>
        </w:rPr>
        <w:t>,</w:t>
      </w:r>
      <w:r w:rsidR="00B77346" w:rsidRPr="00E51DD1">
        <w:rPr>
          <w:rFonts w:ascii="Verdana" w:eastAsia="MS Mincho" w:hAnsi="Verdana"/>
          <w:sz w:val="20"/>
          <w:szCs w:val="20"/>
          <w:lang w:val="es-CR"/>
        </w:rPr>
        <w:t xml:space="preserve"> a la fecha de 26 de febrero de 2020</w:t>
      </w:r>
      <w:r w:rsidR="00EC2321">
        <w:rPr>
          <w:rFonts w:ascii="Verdana" w:eastAsia="MS Mincho" w:hAnsi="Verdana"/>
          <w:sz w:val="20"/>
          <w:szCs w:val="20"/>
          <w:lang w:val="es-CR"/>
        </w:rPr>
        <w:t>,</w:t>
      </w:r>
      <w:r w:rsidR="00B77346" w:rsidRPr="00E51DD1">
        <w:rPr>
          <w:rFonts w:ascii="Verdana" w:eastAsia="MS Mincho" w:hAnsi="Verdana"/>
          <w:sz w:val="20"/>
          <w:szCs w:val="20"/>
          <w:lang w:val="es-CR"/>
        </w:rPr>
        <w:t xml:space="preserve"> no se había registrado ningún tipo de medida de protección en la Unidad Nacional de Protección.</w:t>
      </w:r>
      <w:r w:rsidR="00E51DD1">
        <w:rPr>
          <w:rFonts w:ascii="Verdana" w:eastAsia="MS Mincho" w:hAnsi="Verdana"/>
          <w:sz w:val="20"/>
          <w:szCs w:val="20"/>
          <w:lang w:val="es-CR"/>
        </w:rPr>
        <w:t xml:space="preserve"> </w:t>
      </w:r>
      <w:r w:rsidR="00BE6179" w:rsidRPr="00E51DD1">
        <w:rPr>
          <w:rFonts w:ascii="Verdana" w:eastAsia="MS Mincho" w:hAnsi="Verdana"/>
          <w:sz w:val="20"/>
          <w:szCs w:val="20"/>
          <w:lang w:val="es-CR"/>
        </w:rPr>
        <w:t>Por otra parte, el Estado se refirió a los reportes de la Procuraduría General de la Nación</w:t>
      </w:r>
      <w:r w:rsidR="00EC2321">
        <w:rPr>
          <w:rFonts w:ascii="Verdana" w:eastAsia="MS Mincho" w:hAnsi="Verdana"/>
          <w:sz w:val="20"/>
          <w:szCs w:val="20"/>
          <w:lang w:val="es-CR"/>
        </w:rPr>
        <w:t xml:space="preserve"> y</w:t>
      </w:r>
      <w:r w:rsidR="00BE6179" w:rsidRPr="00E51DD1">
        <w:rPr>
          <w:rFonts w:ascii="Verdana" w:eastAsia="MS Mincho" w:hAnsi="Verdana"/>
          <w:sz w:val="20"/>
          <w:szCs w:val="20"/>
          <w:lang w:val="es-CR"/>
        </w:rPr>
        <w:t xml:space="preserve"> de la Fiscalía General de la Nación en la que se exponen las actuaciones desplegadas en el marco de la medida provisional.  </w:t>
      </w:r>
    </w:p>
    <w:p w14:paraId="34BFA078" w14:textId="77777777" w:rsidR="0038765A" w:rsidRPr="00BE6179" w:rsidRDefault="0038765A" w:rsidP="00BE6179">
      <w:pPr>
        <w:pStyle w:val="Prrafodelista1"/>
        <w:numPr>
          <w:ilvl w:val="0"/>
          <w:numId w:val="6"/>
        </w:numPr>
        <w:spacing w:before="240" w:after="240"/>
        <w:ind w:left="714" w:hanging="357"/>
        <w:contextualSpacing w:val="0"/>
        <w:jc w:val="both"/>
        <w:rPr>
          <w:b/>
          <w:i/>
          <w:sz w:val="20"/>
          <w:szCs w:val="20"/>
        </w:rPr>
      </w:pPr>
      <w:r w:rsidRPr="00BE6179">
        <w:rPr>
          <w:b/>
          <w:i/>
          <w:sz w:val="20"/>
          <w:szCs w:val="20"/>
        </w:rPr>
        <w:t xml:space="preserve">Consideraciones de la Corte </w:t>
      </w:r>
    </w:p>
    <w:p w14:paraId="4BEDFBB8" w14:textId="4EA9D6CC" w:rsidR="0061506D" w:rsidRPr="00C342FC" w:rsidRDefault="00C342FC" w:rsidP="00C342FC">
      <w:pPr>
        <w:numPr>
          <w:ilvl w:val="0"/>
          <w:numId w:val="9"/>
        </w:numPr>
        <w:tabs>
          <w:tab w:val="left" w:pos="0"/>
        </w:tabs>
        <w:spacing w:before="120" w:after="120" w:line="240" w:lineRule="auto"/>
        <w:ind w:left="0" w:right="18" w:firstLine="0"/>
        <w:jc w:val="both"/>
        <w:rPr>
          <w:rFonts w:ascii="Verdana" w:hAnsi="Verdana"/>
          <w:sz w:val="20"/>
          <w:szCs w:val="20"/>
          <w:lang w:val="es-CR"/>
        </w:rPr>
      </w:pPr>
      <w:r w:rsidRPr="00C342FC">
        <w:rPr>
          <w:rFonts w:ascii="Verdana" w:hAnsi="Verdana"/>
          <w:sz w:val="20"/>
          <w:szCs w:val="20"/>
          <w:lang w:val="es-CR"/>
        </w:rPr>
        <w:t>El 8 de julio de 2009, se resolvió que la Corte continuaría supervisando el cumplimiento a la medida de seguridad ordenada en la Sentencia, en el marco de las medidas provisionales que se encontraban vigentes con anterioridad a la emisión del Fallo</w:t>
      </w:r>
      <w:r>
        <w:rPr>
          <w:rStyle w:val="Refdenotaalpie"/>
          <w:rFonts w:ascii="Verdana" w:hAnsi="Verdana"/>
          <w:sz w:val="20"/>
          <w:szCs w:val="20"/>
          <w:lang w:val="es-CR"/>
        </w:rPr>
        <w:footnoteReference w:id="1"/>
      </w:r>
      <w:r w:rsidRPr="00C342FC">
        <w:rPr>
          <w:rFonts w:ascii="Verdana" w:hAnsi="Verdana"/>
          <w:sz w:val="20"/>
          <w:szCs w:val="20"/>
          <w:lang w:val="es-CR"/>
        </w:rPr>
        <w:t>. En cuanto a las medidas provisionales, s</w:t>
      </w:r>
      <w:r w:rsidR="00CA3DF3" w:rsidRPr="00C342FC">
        <w:rPr>
          <w:rFonts w:ascii="Verdana" w:hAnsi="Verdana"/>
          <w:sz w:val="20"/>
          <w:szCs w:val="20"/>
          <w:lang w:val="es-CR"/>
        </w:rPr>
        <w:t>e recuerda que e</w:t>
      </w:r>
      <w:r w:rsidR="0046597D" w:rsidRPr="00C342FC">
        <w:rPr>
          <w:rFonts w:ascii="Verdana" w:hAnsi="Verdana"/>
          <w:sz w:val="20"/>
          <w:szCs w:val="20"/>
          <w:lang w:val="es-CR"/>
        </w:rPr>
        <w:t xml:space="preserve">n este asunto se </w:t>
      </w:r>
      <w:r w:rsidR="00EA322E" w:rsidRPr="00C342FC">
        <w:rPr>
          <w:rFonts w:ascii="Verdana" w:hAnsi="Verdana"/>
          <w:sz w:val="20"/>
          <w:szCs w:val="20"/>
          <w:lang w:val="es-CR"/>
        </w:rPr>
        <w:t>levantaron y dieron por concluidas las medidas provisionales en favor de 15 beneficiarios y sus familiares y</w:t>
      </w:r>
      <w:r w:rsidR="00EC2321" w:rsidRPr="00C342FC">
        <w:rPr>
          <w:rFonts w:ascii="Verdana" w:hAnsi="Verdana"/>
          <w:sz w:val="20"/>
          <w:szCs w:val="20"/>
          <w:lang w:val="es-CR"/>
        </w:rPr>
        <w:t>,</w:t>
      </w:r>
      <w:r w:rsidR="00EA322E" w:rsidRPr="00C342FC">
        <w:rPr>
          <w:rFonts w:ascii="Verdana" w:hAnsi="Verdana"/>
          <w:sz w:val="20"/>
          <w:szCs w:val="20"/>
          <w:lang w:val="es-CR"/>
        </w:rPr>
        <w:t xml:space="preserve"> actualmente</w:t>
      </w:r>
      <w:r w:rsidR="00EC2321" w:rsidRPr="00C342FC">
        <w:rPr>
          <w:rFonts w:ascii="Verdana" w:hAnsi="Verdana"/>
          <w:sz w:val="20"/>
          <w:szCs w:val="20"/>
          <w:lang w:val="es-CR"/>
        </w:rPr>
        <w:t>,</w:t>
      </w:r>
      <w:r w:rsidR="00EA322E" w:rsidRPr="00C342FC">
        <w:rPr>
          <w:rFonts w:ascii="Verdana" w:hAnsi="Verdana"/>
          <w:sz w:val="20"/>
          <w:szCs w:val="20"/>
          <w:lang w:val="es-CR"/>
        </w:rPr>
        <w:t xml:space="preserve"> se encuentran vigentes para cinco beneficiarios</w:t>
      </w:r>
      <w:r w:rsidR="0061506D" w:rsidRPr="00C342FC">
        <w:rPr>
          <w:rStyle w:val="Refdenotaalpie"/>
          <w:rFonts w:ascii="Verdana" w:hAnsi="Verdana"/>
          <w:sz w:val="20"/>
          <w:szCs w:val="20"/>
        </w:rPr>
        <w:footnoteReference w:id="2"/>
      </w:r>
      <w:r w:rsidR="0061506D" w:rsidRPr="00C342FC">
        <w:rPr>
          <w:rFonts w:ascii="Verdana" w:hAnsi="Verdana"/>
          <w:sz w:val="20"/>
          <w:szCs w:val="20"/>
          <w:lang w:val="es-CR"/>
        </w:rPr>
        <w:t>.</w:t>
      </w:r>
    </w:p>
    <w:p w14:paraId="220819A2" w14:textId="5474C376" w:rsidR="00165A81" w:rsidRPr="00E51DD1" w:rsidRDefault="00EA322E" w:rsidP="00E51DD1">
      <w:pPr>
        <w:numPr>
          <w:ilvl w:val="0"/>
          <w:numId w:val="9"/>
        </w:numPr>
        <w:tabs>
          <w:tab w:val="left" w:pos="0"/>
        </w:tabs>
        <w:spacing w:before="120" w:after="120" w:line="240" w:lineRule="auto"/>
        <w:ind w:left="0" w:right="18" w:firstLine="0"/>
        <w:jc w:val="both"/>
        <w:rPr>
          <w:rFonts w:ascii="Verdana" w:hAnsi="Verdana"/>
          <w:sz w:val="20"/>
          <w:szCs w:val="20"/>
          <w:lang w:val="es-CR"/>
        </w:rPr>
      </w:pPr>
      <w:r w:rsidRPr="00E51DD1">
        <w:rPr>
          <w:rFonts w:ascii="Verdana" w:hAnsi="Verdana"/>
          <w:sz w:val="20"/>
          <w:szCs w:val="20"/>
          <w:lang w:val="es-CR"/>
        </w:rPr>
        <w:lastRenderedPageBreak/>
        <w:t>En esta ocasión, los representantes</w:t>
      </w:r>
      <w:r w:rsidR="00165A81" w:rsidRPr="00E51DD1">
        <w:rPr>
          <w:rFonts w:ascii="Verdana" w:hAnsi="Verdana"/>
          <w:sz w:val="20"/>
          <w:szCs w:val="20"/>
          <w:lang w:val="es-CR"/>
        </w:rPr>
        <w:t xml:space="preserve"> presenta</w:t>
      </w:r>
      <w:r w:rsidR="00CA3DF3">
        <w:rPr>
          <w:rFonts w:ascii="Verdana" w:hAnsi="Verdana"/>
          <w:sz w:val="20"/>
          <w:szCs w:val="20"/>
          <w:lang w:val="es-CR"/>
        </w:rPr>
        <w:t>ro</w:t>
      </w:r>
      <w:r w:rsidRPr="00E51DD1">
        <w:rPr>
          <w:rFonts w:ascii="Verdana" w:hAnsi="Verdana"/>
          <w:sz w:val="20"/>
          <w:szCs w:val="20"/>
          <w:lang w:val="es-CR"/>
        </w:rPr>
        <w:t>n</w:t>
      </w:r>
      <w:r w:rsidR="00165A81" w:rsidRPr="00E51DD1">
        <w:rPr>
          <w:rFonts w:ascii="Verdana" w:hAnsi="Verdana"/>
          <w:sz w:val="20"/>
          <w:szCs w:val="20"/>
          <w:lang w:val="es-CR"/>
        </w:rPr>
        <w:t xml:space="preserve"> una solicitud de ampliación de las medidas</w:t>
      </w:r>
      <w:r w:rsidR="001B7E14" w:rsidRPr="00E51DD1">
        <w:rPr>
          <w:rFonts w:ascii="Verdana" w:hAnsi="Verdana"/>
          <w:sz w:val="20"/>
          <w:szCs w:val="20"/>
          <w:lang w:val="es-CR"/>
        </w:rPr>
        <w:t xml:space="preserve"> </w:t>
      </w:r>
      <w:r w:rsidR="001B7E14" w:rsidRPr="00E51DD1">
        <w:rPr>
          <w:rFonts w:ascii="Verdana" w:eastAsia="MS Mincho" w:hAnsi="Verdana"/>
          <w:sz w:val="20"/>
          <w:szCs w:val="20"/>
          <w:lang w:val="es-CR"/>
        </w:rPr>
        <w:t>provisionales</w:t>
      </w:r>
      <w:r w:rsidR="001B7E14" w:rsidRPr="00E51DD1">
        <w:rPr>
          <w:rFonts w:ascii="Verdana" w:hAnsi="Verdana"/>
          <w:sz w:val="20"/>
          <w:szCs w:val="20"/>
          <w:lang w:val="es-CR"/>
        </w:rPr>
        <w:t xml:space="preserve"> para incluir a sei</w:t>
      </w:r>
      <w:r w:rsidR="00FA2E35" w:rsidRPr="00E51DD1">
        <w:rPr>
          <w:rFonts w:ascii="Verdana" w:hAnsi="Verdana"/>
          <w:sz w:val="20"/>
          <w:szCs w:val="20"/>
          <w:lang w:val="es-CR"/>
        </w:rPr>
        <w:t>s familiares de</w:t>
      </w:r>
      <w:r w:rsidR="00165A81" w:rsidRPr="00E51DD1">
        <w:rPr>
          <w:rFonts w:ascii="Verdana" w:hAnsi="Verdana"/>
          <w:sz w:val="20"/>
          <w:szCs w:val="20"/>
          <w:lang w:val="es-CR"/>
        </w:rPr>
        <w:t xml:space="preserve"> </w:t>
      </w:r>
      <w:r w:rsidR="001B7E14" w:rsidRPr="00E51DD1">
        <w:rPr>
          <w:rFonts w:ascii="Verdana" w:hAnsi="Verdana"/>
          <w:sz w:val="20"/>
          <w:szCs w:val="20"/>
          <w:lang w:val="es-CR"/>
        </w:rPr>
        <w:t>la víctima Antonio Flórez Contreras</w:t>
      </w:r>
      <w:r w:rsidR="00E51DD1">
        <w:rPr>
          <w:rFonts w:ascii="Verdana" w:hAnsi="Verdana"/>
          <w:sz w:val="20"/>
          <w:szCs w:val="20"/>
          <w:lang w:val="es-CR"/>
        </w:rPr>
        <w:t>, y a sus respectivos grupos familiares</w:t>
      </w:r>
      <w:r w:rsidR="00165A81" w:rsidRPr="00E51DD1">
        <w:rPr>
          <w:rFonts w:ascii="Verdana" w:hAnsi="Verdana"/>
          <w:sz w:val="20"/>
          <w:szCs w:val="20"/>
          <w:lang w:val="es-CR"/>
        </w:rPr>
        <w:t xml:space="preserve">, sobre la base de </w:t>
      </w:r>
      <w:r w:rsidR="001B7E14" w:rsidRPr="00E51DD1">
        <w:rPr>
          <w:rFonts w:ascii="Verdana" w:hAnsi="Verdana"/>
          <w:sz w:val="20"/>
          <w:szCs w:val="20"/>
          <w:lang w:val="es-CR"/>
        </w:rPr>
        <w:t xml:space="preserve">hechos de violencia y hostigamiento en contra de los propuestos beneficiarios, luego de </w:t>
      </w:r>
      <w:r w:rsidR="00E51DD1">
        <w:rPr>
          <w:rFonts w:ascii="Verdana" w:hAnsi="Verdana"/>
          <w:sz w:val="20"/>
          <w:szCs w:val="20"/>
          <w:lang w:val="es-CR"/>
        </w:rPr>
        <w:t xml:space="preserve">que tuviera lugar </w:t>
      </w:r>
      <w:r w:rsidR="001B7E14" w:rsidRPr="00E51DD1">
        <w:rPr>
          <w:rFonts w:ascii="Verdana" w:hAnsi="Verdana"/>
          <w:sz w:val="20"/>
          <w:szCs w:val="20"/>
          <w:lang w:val="es-CR"/>
        </w:rPr>
        <w:t>su participación en la audiencia de supervisión de cumplimiento en septiembre de 2019.</w:t>
      </w:r>
    </w:p>
    <w:p w14:paraId="522F3040" w14:textId="77EBCB1A" w:rsidR="00AF53D7" w:rsidRPr="00B20743" w:rsidRDefault="00D25BFD" w:rsidP="00E51DD1">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Se</w:t>
      </w:r>
      <w:r w:rsidR="00743C47" w:rsidRPr="00E51DD1">
        <w:rPr>
          <w:rFonts w:ascii="Verdana" w:hAnsi="Verdana"/>
          <w:sz w:val="20"/>
          <w:szCs w:val="20"/>
          <w:lang w:val="es-CR"/>
        </w:rPr>
        <w:t xml:space="preserve"> recuerda que, para la disposición de medidas provisionales, el artículo 63.2 de la Convención Americana exige la concurrencia de tres condiciones: i) “extrema gravedad”; </w:t>
      </w:r>
      <w:proofErr w:type="spellStart"/>
      <w:r w:rsidR="00743C47" w:rsidRPr="00E51DD1">
        <w:rPr>
          <w:rFonts w:ascii="Verdana" w:hAnsi="Verdana"/>
          <w:sz w:val="20"/>
          <w:szCs w:val="20"/>
          <w:lang w:val="es-CR"/>
        </w:rPr>
        <w:t>ii</w:t>
      </w:r>
      <w:proofErr w:type="spellEnd"/>
      <w:r w:rsidR="00743C47" w:rsidRPr="00E51DD1">
        <w:rPr>
          <w:rFonts w:ascii="Verdana" w:hAnsi="Verdana"/>
          <w:sz w:val="20"/>
          <w:szCs w:val="20"/>
          <w:lang w:val="es-CR"/>
        </w:rPr>
        <w:t xml:space="preserve">) “urgencia”, y </w:t>
      </w:r>
      <w:proofErr w:type="spellStart"/>
      <w:r w:rsidR="00743C47" w:rsidRPr="00E51DD1">
        <w:rPr>
          <w:rFonts w:ascii="Verdana" w:hAnsi="Verdana"/>
          <w:sz w:val="20"/>
          <w:szCs w:val="20"/>
          <w:lang w:val="es-CR"/>
        </w:rPr>
        <w:t>iii</w:t>
      </w:r>
      <w:proofErr w:type="spellEnd"/>
      <w:r w:rsidR="00743C47" w:rsidRPr="00E51DD1">
        <w:rPr>
          <w:rFonts w:ascii="Verdana" w:hAnsi="Verdana"/>
          <w:sz w:val="20"/>
          <w:szCs w:val="20"/>
          <w:lang w:val="es-CR"/>
        </w:rPr>
        <w:t xml:space="preserve">) que se trate de “evitar daños irreparables” a las personas. </w:t>
      </w:r>
      <w:r w:rsidR="00743C47" w:rsidRPr="00B20743">
        <w:rPr>
          <w:rFonts w:ascii="Verdana" w:hAnsi="Verdana"/>
          <w:sz w:val="20"/>
          <w:szCs w:val="20"/>
          <w:lang w:val="es-CR"/>
        </w:rPr>
        <w:t>Estas tres condiciones son coexistentes y deben estar presentes en toda situación en la que se solicite la intervención del Tribunal a través de una medida provisional</w:t>
      </w:r>
      <w:r w:rsidR="00743C47" w:rsidRPr="00E51DD1">
        <w:rPr>
          <w:rStyle w:val="Refdenotaalpie"/>
          <w:rFonts w:ascii="Verdana" w:hAnsi="Verdana"/>
          <w:sz w:val="20"/>
          <w:szCs w:val="20"/>
        </w:rPr>
        <w:footnoteReference w:id="3"/>
      </w:r>
      <w:r w:rsidR="00AF53D7" w:rsidRPr="00B20743">
        <w:rPr>
          <w:rFonts w:ascii="Verdana" w:hAnsi="Verdana"/>
          <w:sz w:val="20"/>
          <w:szCs w:val="20"/>
          <w:lang w:val="es-CR"/>
        </w:rPr>
        <w:t>. Del mismo modo, estas tres condiciones deben concurrir para que la Corte pueda ampliar las medidas provisionales</w:t>
      </w:r>
      <w:r w:rsidR="00AF53D7" w:rsidRPr="00E51DD1">
        <w:rPr>
          <w:rStyle w:val="Refdenotaalpie"/>
          <w:rFonts w:ascii="Verdana" w:hAnsi="Verdana"/>
          <w:sz w:val="20"/>
          <w:szCs w:val="20"/>
        </w:rPr>
        <w:footnoteReference w:id="4"/>
      </w:r>
      <w:r w:rsidR="00AF53D7" w:rsidRPr="00B20743">
        <w:rPr>
          <w:rFonts w:ascii="Verdana" w:hAnsi="Verdana"/>
          <w:sz w:val="20"/>
          <w:szCs w:val="20"/>
          <w:lang w:val="es-CR"/>
        </w:rPr>
        <w:t xml:space="preserve">. </w:t>
      </w:r>
    </w:p>
    <w:p w14:paraId="76572B8E" w14:textId="2457C4E4" w:rsidR="0038765A" w:rsidRPr="00D25BFD" w:rsidRDefault="00CA3DF3" w:rsidP="00E51DD1">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La Corte Interamericana</w:t>
      </w:r>
      <w:r w:rsidR="0038765A" w:rsidRPr="00E51DD1">
        <w:rPr>
          <w:rFonts w:ascii="Verdana" w:hAnsi="Verdana"/>
          <w:sz w:val="20"/>
          <w:szCs w:val="20"/>
          <w:lang w:val="es-CR"/>
        </w:rPr>
        <w:t xml:space="preserve"> ha considerado como un criterio para otorgar la ampliación de medidas provisionales que los hechos alegados en la solicitud tengan una conexión fáctica con los eventos que justificaron la adopción de medidas provisionales</w:t>
      </w:r>
      <w:r w:rsidR="0038765A" w:rsidRPr="00E51DD1">
        <w:rPr>
          <w:rStyle w:val="Refdenotaalpie"/>
          <w:rFonts w:ascii="Verdana" w:hAnsi="Verdana"/>
          <w:sz w:val="20"/>
          <w:szCs w:val="20"/>
        </w:rPr>
        <w:footnoteReference w:id="5"/>
      </w:r>
      <w:r w:rsidR="0038765A" w:rsidRPr="00E51DD1">
        <w:rPr>
          <w:rFonts w:ascii="Verdana" w:hAnsi="Verdana"/>
          <w:sz w:val="20"/>
          <w:szCs w:val="20"/>
          <w:lang w:val="es-CR"/>
        </w:rPr>
        <w:t xml:space="preserve">. </w:t>
      </w:r>
      <w:r w:rsidR="0038765A" w:rsidRPr="00D25BFD">
        <w:rPr>
          <w:rFonts w:ascii="Verdana" w:hAnsi="Verdana"/>
          <w:sz w:val="20"/>
          <w:szCs w:val="20"/>
          <w:lang w:val="es-CR"/>
        </w:rPr>
        <w:t>Además, ha señalado que</w:t>
      </w:r>
      <w:r w:rsidR="00EC2321">
        <w:rPr>
          <w:rFonts w:ascii="Verdana" w:hAnsi="Verdana"/>
          <w:sz w:val="20"/>
          <w:szCs w:val="20"/>
          <w:lang w:val="es-CR"/>
        </w:rPr>
        <w:t>,</w:t>
      </w:r>
      <w:r w:rsidR="0038765A" w:rsidRPr="00D25BFD">
        <w:rPr>
          <w:rFonts w:ascii="Verdana" w:hAnsi="Verdana"/>
          <w:sz w:val="20"/>
          <w:szCs w:val="20"/>
          <w:lang w:val="es-CR"/>
        </w:rPr>
        <w:t xml:space="preserve"> si bien es cierto </w:t>
      </w:r>
      <w:r w:rsidR="00EC2321">
        <w:rPr>
          <w:rFonts w:ascii="Verdana" w:hAnsi="Verdana"/>
          <w:sz w:val="20"/>
          <w:szCs w:val="20"/>
          <w:lang w:val="es-CR"/>
        </w:rPr>
        <w:t xml:space="preserve">que </w:t>
      </w:r>
      <w:r w:rsidR="0038765A" w:rsidRPr="00D25BFD">
        <w:rPr>
          <w:rFonts w:ascii="Verdana" w:hAnsi="Verdana"/>
          <w:sz w:val="20"/>
          <w:szCs w:val="20"/>
          <w:lang w:val="es-CR"/>
        </w:rPr>
        <w:t xml:space="preserve">los hechos que motivan una solicitud de medidas provisionales o ampliación de las mismas no requieren estar plenamente comprobados, sí se requiere un mínimo de detalle e información que permitan apreciar </w:t>
      </w:r>
      <w:r w:rsidR="0038765A" w:rsidRPr="00D25BFD">
        <w:rPr>
          <w:rFonts w:ascii="Verdana" w:hAnsi="Verdana"/>
          <w:i/>
          <w:sz w:val="20"/>
          <w:szCs w:val="20"/>
          <w:lang w:val="es-CR"/>
        </w:rPr>
        <w:t xml:space="preserve">prima facie </w:t>
      </w:r>
      <w:r w:rsidR="0038765A" w:rsidRPr="00D25BFD">
        <w:rPr>
          <w:rFonts w:ascii="Verdana" w:hAnsi="Verdana"/>
          <w:sz w:val="20"/>
          <w:szCs w:val="20"/>
          <w:lang w:val="es-CR"/>
        </w:rPr>
        <w:t>una situación de extrema gravedad y urgencia</w:t>
      </w:r>
      <w:r w:rsidR="0038765A" w:rsidRPr="00E51DD1">
        <w:rPr>
          <w:rStyle w:val="Refdenotaalpie"/>
          <w:rFonts w:ascii="Verdana" w:hAnsi="Verdana"/>
          <w:sz w:val="20"/>
          <w:szCs w:val="20"/>
        </w:rPr>
        <w:footnoteReference w:id="6"/>
      </w:r>
      <w:r w:rsidR="0038765A" w:rsidRPr="00D25BFD">
        <w:rPr>
          <w:rFonts w:ascii="Verdana" w:hAnsi="Verdana"/>
          <w:sz w:val="20"/>
          <w:szCs w:val="20"/>
          <w:lang w:val="es-CR"/>
        </w:rPr>
        <w:t>.</w:t>
      </w:r>
    </w:p>
    <w:p w14:paraId="49CBE30B" w14:textId="6A1D1529" w:rsidR="002E5038" w:rsidRDefault="0038765A" w:rsidP="00217BB9">
      <w:pPr>
        <w:numPr>
          <w:ilvl w:val="0"/>
          <w:numId w:val="9"/>
        </w:numPr>
        <w:tabs>
          <w:tab w:val="left" w:pos="0"/>
        </w:tabs>
        <w:spacing w:before="120" w:after="120" w:line="240" w:lineRule="auto"/>
        <w:ind w:left="0" w:right="18" w:firstLine="0"/>
        <w:jc w:val="both"/>
        <w:rPr>
          <w:rFonts w:ascii="Verdana" w:hAnsi="Verdana"/>
          <w:sz w:val="20"/>
          <w:szCs w:val="20"/>
          <w:lang w:val="es-CR"/>
        </w:rPr>
      </w:pPr>
      <w:r w:rsidRPr="00E51DD1">
        <w:rPr>
          <w:rFonts w:ascii="Verdana" w:hAnsi="Verdana"/>
          <w:sz w:val="20"/>
          <w:szCs w:val="20"/>
          <w:lang w:val="es-CR"/>
        </w:rPr>
        <w:t>De la informa</w:t>
      </w:r>
      <w:r w:rsidR="00582CBC" w:rsidRPr="00E51DD1">
        <w:rPr>
          <w:rFonts w:ascii="Verdana" w:hAnsi="Verdana"/>
          <w:sz w:val="20"/>
          <w:szCs w:val="20"/>
          <w:lang w:val="es-CR"/>
        </w:rPr>
        <w:t>ción presentada</w:t>
      </w:r>
      <w:r w:rsidR="00EC2321">
        <w:rPr>
          <w:rFonts w:ascii="Verdana" w:hAnsi="Verdana"/>
          <w:sz w:val="20"/>
          <w:szCs w:val="20"/>
          <w:lang w:val="es-CR"/>
        </w:rPr>
        <w:t xml:space="preserve"> y la </w:t>
      </w:r>
      <w:r w:rsidR="00305B52">
        <w:rPr>
          <w:rFonts w:ascii="Verdana" w:hAnsi="Verdana"/>
          <w:sz w:val="20"/>
          <w:szCs w:val="20"/>
          <w:lang w:val="es-CR"/>
        </w:rPr>
        <w:t xml:space="preserve">prueba </w:t>
      </w:r>
      <w:r w:rsidR="00EC2321">
        <w:rPr>
          <w:rFonts w:ascii="Verdana" w:hAnsi="Verdana"/>
          <w:sz w:val="20"/>
          <w:szCs w:val="20"/>
          <w:lang w:val="es-CR"/>
        </w:rPr>
        <w:t>documental aportada en sustento</w:t>
      </w:r>
      <w:r w:rsidR="00BB647B" w:rsidRPr="00E51DD1">
        <w:rPr>
          <w:rStyle w:val="Refdenotaalpie"/>
          <w:rFonts w:ascii="Verdana" w:hAnsi="Verdana"/>
          <w:sz w:val="20"/>
          <w:szCs w:val="20"/>
        </w:rPr>
        <w:footnoteReference w:id="7"/>
      </w:r>
      <w:r w:rsidR="00582CBC" w:rsidRPr="00E51DD1">
        <w:rPr>
          <w:rFonts w:ascii="Verdana" w:hAnsi="Verdana"/>
          <w:sz w:val="20"/>
          <w:szCs w:val="20"/>
          <w:lang w:val="es-CR"/>
        </w:rPr>
        <w:t xml:space="preserve">, se desprende </w:t>
      </w:r>
      <w:r w:rsidR="00E51DD1" w:rsidRPr="00E51DD1">
        <w:rPr>
          <w:rFonts w:ascii="Verdana" w:hAnsi="Verdana"/>
          <w:i/>
          <w:sz w:val="20"/>
          <w:szCs w:val="20"/>
          <w:lang w:val="es-CR"/>
        </w:rPr>
        <w:t>prima facie</w:t>
      </w:r>
      <w:r w:rsidR="00E51DD1" w:rsidRPr="00E51DD1">
        <w:rPr>
          <w:rFonts w:ascii="Verdana" w:hAnsi="Verdana"/>
          <w:sz w:val="20"/>
          <w:szCs w:val="20"/>
          <w:lang w:val="es-CR"/>
        </w:rPr>
        <w:t xml:space="preserve"> </w:t>
      </w:r>
      <w:r w:rsidR="00582CBC" w:rsidRPr="00E51DD1">
        <w:rPr>
          <w:rFonts w:ascii="Verdana" w:hAnsi="Verdana"/>
          <w:sz w:val="20"/>
          <w:szCs w:val="20"/>
          <w:lang w:val="es-CR"/>
        </w:rPr>
        <w:t xml:space="preserve">que </w:t>
      </w:r>
      <w:r w:rsidR="002E5038" w:rsidRPr="00E51DD1">
        <w:rPr>
          <w:rFonts w:ascii="Verdana" w:hAnsi="Verdana"/>
          <w:sz w:val="20"/>
          <w:szCs w:val="20"/>
          <w:lang w:val="es-CR"/>
        </w:rPr>
        <w:t xml:space="preserve">la señora Nery del Socorro </w:t>
      </w:r>
      <w:r w:rsidR="00EC2321">
        <w:rPr>
          <w:rFonts w:ascii="Verdana" w:hAnsi="Verdana"/>
          <w:sz w:val="20"/>
          <w:szCs w:val="20"/>
          <w:lang w:val="es-CR"/>
        </w:rPr>
        <w:t>Flórez</w:t>
      </w:r>
      <w:r w:rsidR="00DE555E">
        <w:rPr>
          <w:rFonts w:ascii="Verdana" w:hAnsi="Verdana"/>
          <w:sz w:val="20"/>
          <w:szCs w:val="20"/>
          <w:lang w:val="es-CR"/>
        </w:rPr>
        <w:t xml:space="preserve"> Contreras</w:t>
      </w:r>
      <w:r w:rsidR="00EC2321">
        <w:rPr>
          <w:rFonts w:ascii="Verdana" w:hAnsi="Verdana"/>
          <w:sz w:val="20"/>
          <w:szCs w:val="20"/>
          <w:lang w:val="es-CR"/>
        </w:rPr>
        <w:t xml:space="preserve"> </w:t>
      </w:r>
      <w:r w:rsidR="002E5038" w:rsidRPr="00E51DD1">
        <w:rPr>
          <w:rFonts w:ascii="Verdana" w:hAnsi="Verdana"/>
          <w:sz w:val="20"/>
          <w:szCs w:val="20"/>
          <w:lang w:val="es-CR"/>
        </w:rPr>
        <w:t xml:space="preserve">y sus familiares </w:t>
      </w:r>
      <w:r w:rsidR="00E51DD1" w:rsidRPr="00E51DD1">
        <w:rPr>
          <w:rFonts w:ascii="Verdana" w:hAnsi="Verdana"/>
          <w:sz w:val="20"/>
          <w:szCs w:val="20"/>
          <w:lang w:val="es-CR"/>
        </w:rPr>
        <w:t xml:space="preserve">fueron objeto de hechos </w:t>
      </w:r>
      <w:r w:rsidR="007D5F81">
        <w:rPr>
          <w:rFonts w:ascii="Verdana" w:hAnsi="Verdana"/>
          <w:sz w:val="20"/>
          <w:szCs w:val="20"/>
          <w:lang w:val="es-CR"/>
        </w:rPr>
        <w:t xml:space="preserve">graves </w:t>
      </w:r>
      <w:r w:rsidR="00E51DD1" w:rsidRPr="00E51DD1">
        <w:rPr>
          <w:rFonts w:ascii="Verdana" w:hAnsi="Verdana"/>
          <w:sz w:val="20"/>
          <w:szCs w:val="20"/>
          <w:lang w:val="es-CR"/>
        </w:rPr>
        <w:t xml:space="preserve">de violencia </w:t>
      </w:r>
      <w:r w:rsidR="00BB647B">
        <w:rPr>
          <w:rFonts w:ascii="Verdana" w:hAnsi="Verdana"/>
          <w:sz w:val="20"/>
          <w:szCs w:val="20"/>
          <w:lang w:val="es-CR"/>
        </w:rPr>
        <w:t>en contra de su vida e integridad, así como d</w:t>
      </w:r>
      <w:r w:rsidR="00E51DD1" w:rsidRPr="00E51DD1">
        <w:rPr>
          <w:rFonts w:ascii="Verdana" w:hAnsi="Verdana"/>
          <w:sz w:val="20"/>
          <w:szCs w:val="20"/>
          <w:lang w:val="es-CR"/>
        </w:rPr>
        <w:t>e intimidaciones</w:t>
      </w:r>
      <w:r w:rsidR="00BB647B">
        <w:rPr>
          <w:rFonts w:ascii="Verdana" w:hAnsi="Verdana"/>
          <w:sz w:val="20"/>
          <w:szCs w:val="20"/>
          <w:lang w:val="es-CR"/>
        </w:rPr>
        <w:t>,</w:t>
      </w:r>
      <w:r w:rsidR="00E51DD1" w:rsidRPr="00E51DD1">
        <w:rPr>
          <w:rFonts w:ascii="Verdana" w:hAnsi="Verdana"/>
          <w:sz w:val="20"/>
          <w:szCs w:val="20"/>
          <w:lang w:val="es-CR"/>
        </w:rPr>
        <w:t xml:space="preserve"> y que podrían </w:t>
      </w:r>
      <w:r w:rsidR="00582CBC" w:rsidRPr="00E51DD1">
        <w:rPr>
          <w:rFonts w:ascii="Verdana" w:hAnsi="Verdana"/>
          <w:sz w:val="20"/>
          <w:szCs w:val="20"/>
          <w:lang w:val="es-CR"/>
        </w:rPr>
        <w:t>enc</w:t>
      </w:r>
      <w:r w:rsidR="00E51DD1" w:rsidRPr="00E51DD1">
        <w:rPr>
          <w:rFonts w:ascii="Verdana" w:hAnsi="Verdana"/>
          <w:sz w:val="20"/>
          <w:szCs w:val="20"/>
          <w:lang w:val="es-CR"/>
        </w:rPr>
        <w:t>o</w:t>
      </w:r>
      <w:r w:rsidR="00582CBC" w:rsidRPr="00E51DD1">
        <w:rPr>
          <w:rFonts w:ascii="Verdana" w:hAnsi="Verdana"/>
          <w:sz w:val="20"/>
          <w:szCs w:val="20"/>
          <w:lang w:val="es-CR"/>
        </w:rPr>
        <w:t>ntra</w:t>
      </w:r>
      <w:r w:rsidR="00E51DD1" w:rsidRPr="00E51DD1">
        <w:rPr>
          <w:rFonts w:ascii="Verdana" w:hAnsi="Verdana"/>
          <w:sz w:val="20"/>
          <w:szCs w:val="20"/>
          <w:lang w:val="es-CR"/>
        </w:rPr>
        <w:t>rse</w:t>
      </w:r>
      <w:r w:rsidR="00582CBC" w:rsidRPr="00E51DD1">
        <w:rPr>
          <w:rFonts w:ascii="Verdana" w:hAnsi="Verdana"/>
          <w:sz w:val="20"/>
          <w:szCs w:val="20"/>
          <w:lang w:val="es-CR"/>
        </w:rPr>
        <w:t xml:space="preserve"> </w:t>
      </w:r>
      <w:r w:rsidR="00EC2321" w:rsidRPr="00E51DD1">
        <w:rPr>
          <w:rFonts w:ascii="Verdana" w:hAnsi="Verdana"/>
          <w:sz w:val="20"/>
          <w:szCs w:val="20"/>
          <w:lang w:val="es-CR"/>
        </w:rPr>
        <w:t xml:space="preserve">actualmente </w:t>
      </w:r>
      <w:r w:rsidR="00582CBC" w:rsidRPr="00E51DD1">
        <w:rPr>
          <w:rFonts w:ascii="Verdana" w:hAnsi="Verdana"/>
          <w:sz w:val="20"/>
          <w:szCs w:val="20"/>
          <w:lang w:val="es-CR"/>
        </w:rPr>
        <w:t xml:space="preserve">en una situación de riesgo debido a la </w:t>
      </w:r>
      <w:r w:rsidR="00E51DD1" w:rsidRPr="00E51DD1">
        <w:rPr>
          <w:rFonts w:ascii="Verdana" w:hAnsi="Verdana"/>
          <w:sz w:val="20"/>
          <w:szCs w:val="20"/>
          <w:lang w:val="es-CR"/>
        </w:rPr>
        <w:t xml:space="preserve">presunta </w:t>
      </w:r>
      <w:r w:rsidR="00582CBC" w:rsidRPr="00E51DD1">
        <w:rPr>
          <w:rFonts w:ascii="Verdana" w:hAnsi="Verdana"/>
          <w:sz w:val="20"/>
          <w:szCs w:val="20"/>
          <w:lang w:val="es-CR"/>
        </w:rPr>
        <w:t xml:space="preserve">presencia </w:t>
      </w:r>
      <w:r w:rsidR="00EC2321">
        <w:rPr>
          <w:rFonts w:ascii="Verdana" w:hAnsi="Verdana"/>
          <w:sz w:val="20"/>
          <w:szCs w:val="20"/>
          <w:lang w:val="es-CR"/>
        </w:rPr>
        <w:t xml:space="preserve">y seguimiento </w:t>
      </w:r>
      <w:r w:rsidR="00582CBC" w:rsidRPr="00E51DD1">
        <w:rPr>
          <w:rFonts w:ascii="Verdana" w:hAnsi="Verdana"/>
          <w:sz w:val="20"/>
          <w:szCs w:val="20"/>
          <w:lang w:val="es-CR"/>
        </w:rPr>
        <w:t xml:space="preserve">de </w:t>
      </w:r>
      <w:r w:rsidR="002E5038" w:rsidRPr="00E51DD1">
        <w:rPr>
          <w:rFonts w:ascii="Verdana" w:hAnsi="Verdana"/>
          <w:sz w:val="20"/>
          <w:szCs w:val="20"/>
          <w:lang w:val="es-CR"/>
        </w:rPr>
        <w:t>terceros cer</w:t>
      </w:r>
      <w:r w:rsidR="00E51DD1" w:rsidRPr="00E51DD1">
        <w:rPr>
          <w:rFonts w:ascii="Verdana" w:hAnsi="Verdana"/>
          <w:sz w:val="20"/>
          <w:szCs w:val="20"/>
          <w:lang w:val="es-CR"/>
        </w:rPr>
        <w:t>ca de sus lugares de residencia</w:t>
      </w:r>
      <w:r w:rsidR="002E5038" w:rsidRPr="00E51DD1">
        <w:rPr>
          <w:rFonts w:ascii="Verdana" w:hAnsi="Verdana"/>
          <w:sz w:val="20"/>
          <w:szCs w:val="20"/>
          <w:lang w:val="es-CR"/>
        </w:rPr>
        <w:t xml:space="preserve">. Asimismo, los representantes informaron que el 27 de febrero de 2020, la propuesta beneficiaria Tatiana Romero Flórez, interpuso una denuncia por los hechos descritos ante la Fiscalía General de la Nación, </w:t>
      </w:r>
      <w:r w:rsidR="00E51DD1" w:rsidRPr="00E51DD1">
        <w:rPr>
          <w:rFonts w:ascii="Verdana" w:hAnsi="Verdana"/>
          <w:sz w:val="20"/>
          <w:szCs w:val="20"/>
          <w:lang w:val="es-CR"/>
        </w:rPr>
        <w:t xml:space="preserve">e indicaron que </w:t>
      </w:r>
      <w:r w:rsidR="002E5038" w:rsidRPr="00E51DD1">
        <w:rPr>
          <w:rFonts w:ascii="Verdana" w:hAnsi="Verdana"/>
          <w:sz w:val="20"/>
          <w:szCs w:val="20"/>
          <w:lang w:val="es-CR"/>
        </w:rPr>
        <w:t xml:space="preserve">a la fecha </w:t>
      </w:r>
      <w:r w:rsidR="006A7233">
        <w:rPr>
          <w:rFonts w:ascii="Verdana" w:hAnsi="Verdana"/>
          <w:sz w:val="20"/>
          <w:szCs w:val="20"/>
          <w:lang w:val="es-CR"/>
        </w:rPr>
        <w:t xml:space="preserve">no </w:t>
      </w:r>
      <w:r w:rsidR="002E5038" w:rsidRPr="00E51DD1">
        <w:rPr>
          <w:rFonts w:ascii="Verdana" w:hAnsi="Verdana"/>
          <w:sz w:val="20"/>
          <w:szCs w:val="20"/>
          <w:lang w:val="es-CR"/>
        </w:rPr>
        <w:t>ha habido respuesta alguna por parte de esta autoridad</w:t>
      </w:r>
      <w:r w:rsidR="002E5038" w:rsidRPr="00E51DD1">
        <w:rPr>
          <w:rStyle w:val="Refdenotaalpie"/>
          <w:rFonts w:ascii="Verdana" w:hAnsi="Verdana"/>
          <w:sz w:val="20"/>
          <w:szCs w:val="20"/>
        </w:rPr>
        <w:footnoteReference w:id="8"/>
      </w:r>
      <w:r w:rsidR="002E5038" w:rsidRPr="00E51DD1">
        <w:rPr>
          <w:rFonts w:ascii="Verdana" w:hAnsi="Verdana"/>
          <w:sz w:val="20"/>
          <w:szCs w:val="20"/>
          <w:lang w:val="es-CR"/>
        </w:rPr>
        <w:t xml:space="preserve">. </w:t>
      </w:r>
    </w:p>
    <w:p w14:paraId="21128721" w14:textId="24BD8CC3" w:rsidR="00ED44F5" w:rsidRPr="00ED44F5" w:rsidRDefault="00E51DD1" w:rsidP="00ED44F5">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hAnsi="Verdana"/>
          <w:sz w:val="20"/>
          <w:szCs w:val="20"/>
          <w:lang w:val="es-CR"/>
        </w:rPr>
        <w:t xml:space="preserve">A su vez, el Estado no presentó información sobre </w:t>
      </w:r>
      <w:r w:rsidR="00ED44F5">
        <w:rPr>
          <w:rFonts w:ascii="Verdana" w:hAnsi="Verdana"/>
          <w:sz w:val="20"/>
          <w:szCs w:val="20"/>
          <w:lang w:val="es-CR"/>
        </w:rPr>
        <w:t xml:space="preserve">alguna </w:t>
      </w:r>
      <w:r w:rsidR="00ED44F5">
        <w:rPr>
          <w:rFonts w:ascii="Verdana" w:eastAsia="MS Mincho" w:hAnsi="Verdana"/>
          <w:sz w:val="20"/>
          <w:szCs w:val="20"/>
          <w:lang w:val="es-CR"/>
        </w:rPr>
        <w:t xml:space="preserve">acción específica de protección a favor de </w:t>
      </w:r>
      <w:r w:rsidR="00ED44F5" w:rsidRPr="00ED44F5">
        <w:rPr>
          <w:rFonts w:ascii="Verdana" w:hAnsi="Verdana"/>
          <w:sz w:val="20"/>
          <w:szCs w:val="20"/>
          <w:lang w:val="es-CR"/>
        </w:rPr>
        <w:t>los</w:t>
      </w:r>
      <w:r w:rsidR="00ED44F5">
        <w:rPr>
          <w:rFonts w:ascii="Verdana" w:eastAsia="MS Mincho" w:hAnsi="Verdana"/>
          <w:sz w:val="20"/>
          <w:szCs w:val="20"/>
          <w:lang w:val="es-CR"/>
        </w:rPr>
        <w:t xml:space="preserve"> propuestos beneficiarios de la ampliación de las medidas provisionales</w:t>
      </w:r>
      <w:r w:rsidR="006A7233">
        <w:rPr>
          <w:rFonts w:ascii="Verdana" w:eastAsia="MS Mincho" w:hAnsi="Verdana"/>
          <w:sz w:val="20"/>
          <w:szCs w:val="20"/>
          <w:lang w:val="es-CR"/>
        </w:rPr>
        <w:t>,</w:t>
      </w:r>
      <w:r w:rsidR="00ED44F5">
        <w:rPr>
          <w:rFonts w:ascii="Verdana" w:eastAsia="MS Mincho" w:hAnsi="Verdana"/>
          <w:sz w:val="20"/>
          <w:szCs w:val="20"/>
          <w:lang w:val="es-CR"/>
        </w:rPr>
        <w:t xml:space="preserve"> ni que esté relacionada con los hechos de violencia e intimidación que fueron reportados por los representantes. El Estado tuvo noticia de esos hechos, por lo menos desde el 7 de febrero </w:t>
      </w:r>
      <w:r w:rsidR="006A7233">
        <w:rPr>
          <w:rFonts w:ascii="Verdana" w:eastAsia="MS Mincho" w:hAnsi="Verdana"/>
          <w:sz w:val="20"/>
          <w:szCs w:val="20"/>
          <w:lang w:val="es-CR"/>
        </w:rPr>
        <w:t xml:space="preserve">de 2020, </w:t>
      </w:r>
      <w:r w:rsidR="00ED44F5">
        <w:rPr>
          <w:rFonts w:ascii="Verdana" w:eastAsia="MS Mincho" w:hAnsi="Verdana"/>
          <w:sz w:val="20"/>
          <w:szCs w:val="20"/>
          <w:lang w:val="es-CR"/>
        </w:rPr>
        <w:t xml:space="preserve">fecha en la cual la Secretaría del Tribunal transmitió el escrito de los </w:t>
      </w:r>
      <w:r w:rsidR="00ED44F5">
        <w:rPr>
          <w:rFonts w:ascii="Verdana" w:eastAsia="MS Mincho" w:hAnsi="Verdana"/>
          <w:sz w:val="20"/>
          <w:szCs w:val="20"/>
          <w:lang w:val="es-CR"/>
        </w:rPr>
        <w:lastRenderedPageBreak/>
        <w:t xml:space="preserve">representantes informando </w:t>
      </w:r>
      <w:r w:rsidR="00ED44F5" w:rsidRPr="00ED44F5">
        <w:rPr>
          <w:rFonts w:ascii="Verdana" w:hAnsi="Verdana"/>
          <w:sz w:val="20"/>
          <w:szCs w:val="20"/>
          <w:lang w:val="es-CR"/>
        </w:rPr>
        <w:t>sobre</w:t>
      </w:r>
      <w:r w:rsidR="00ED44F5">
        <w:rPr>
          <w:rFonts w:ascii="Verdana" w:eastAsia="MS Mincho" w:hAnsi="Verdana"/>
          <w:sz w:val="20"/>
          <w:szCs w:val="20"/>
          <w:lang w:val="es-CR"/>
        </w:rPr>
        <w:t xml:space="preserve"> los mismos. </w:t>
      </w:r>
      <w:r w:rsidR="00CA3DF3">
        <w:rPr>
          <w:rFonts w:ascii="Verdana" w:eastAsia="MS Mincho" w:hAnsi="Verdana"/>
          <w:sz w:val="20"/>
          <w:szCs w:val="20"/>
          <w:lang w:val="es-CR"/>
        </w:rPr>
        <w:t>Únicamente</w:t>
      </w:r>
      <w:r w:rsidR="006A7233">
        <w:rPr>
          <w:rFonts w:ascii="Verdana" w:eastAsia="MS Mincho" w:hAnsi="Verdana"/>
          <w:sz w:val="20"/>
          <w:szCs w:val="20"/>
          <w:lang w:val="es-CR"/>
        </w:rPr>
        <w:t>, Colombia</w:t>
      </w:r>
      <w:r w:rsidR="00ED44F5">
        <w:rPr>
          <w:rFonts w:ascii="Verdana" w:eastAsia="MS Mincho" w:hAnsi="Verdana"/>
          <w:sz w:val="20"/>
          <w:szCs w:val="20"/>
          <w:lang w:val="es-CR"/>
        </w:rPr>
        <w:t xml:space="preserve"> observó que al 26 de febrero de 2020 </w:t>
      </w:r>
      <w:r w:rsidR="00ED44F5" w:rsidRPr="00ED44F5">
        <w:rPr>
          <w:rFonts w:ascii="Verdana" w:eastAsia="MS Mincho" w:hAnsi="Verdana"/>
          <w:sz w:val="20"/>
          <w:szCs w:val="20"/>
          <w:lang w:val="es-CR"/>
        </w:rPr>
        <w:t xml:space="preserve">no se había registrado ningún tipo de medida de protección en la Unidad Nacional de </w:t>
      </w:r>
      <w:r w:rsidR="00ED44F5" w:rsidRPr="00ED44F5">
        <w:rPr>
          <w:rFonts w:ascii="Verdana" w:hAnsi="Verdana"/>
          <w:sz w:val="20"/>
          <w:szCs w:val="20"/>
          <w:lang w:val="es-CR"/>
        </w:rPr>
        <w:t>Protección</w:t>
      </w:r>
      <w:r w:rsidR="00ED44F5">
        <w:rPr>
          <w:rFonts w:ascii="Verdana" w:hAnsi="Verdana"/>
          <w:sz w:val="20"/>
          <w:szCs w:val="20"/>
          <w:lang w:val="es-CR"/>
        </w:rPr>
        <w:t xml:space="preserve"> y</w:t>
      </w:r>
      <w:r w:rsidR="00ED44F5">
        <w:rPr>
          <w:rFonts w:ascii="Verdana" w:eastAsia="MS Mincho" w:hAnsi="Verdana"/>
          <w:sz w:val="20"/>
          <w:szCs w:val="20"/>
          <w:lang w:val="es-CR"/>
        </w:rPr>
        <w:t xml:space="preserve"> que </w:t>
      </w:r>
      <w:r w:rsidR="00ED44F5" w:rsidRPr="00ED44F5">
        <w:rPr>
          <w:rFonts w:ascii="Verdana" w:eastAsia="MS Mincho" w:hAnsi="Verdana"/>
          <w:sz w:val="20"/>
          <w:szCs w:val="20"/>
          <w:lang w:val="es-CR"/>
        </w:rPr>
        <w:t>no e</w:t>
      </w:r>
      <w:r w:rsidR="006A7233">
        <w:rPr>
          <w:rFonts w:ascii="Verdana" w:eastAsia="MS Mincho" w:hAnsi="Verdana"/>
          <w:sz w:val="20"/>
          <w:szCs w:val="20"/>
          <w:lang w:val="es-CR"/>
        </w:rPr>
        <w:t>ra</w:t>
      </w:r>
      <w:r w:rsidR="00ED44F5" w:rsidRPr="00ED44F5">
        <w:rPr>
          <w:rFonts w:ascii="Verdana" w:eastAsia="MS Mincho" w:hAnsi="Verdana"/>
          <w:sz w:val="20"/>
          <w:szCs w:val="20"/>
          <w:lang w:val="es-CR"/>
        </w:rPr>
        <w:t xml:space="preserve"> procedente efectuar su seguimiento en el marco de la supervisión de cumplimiento</w:t>
      </w:r>
      <w:r w:rsidR="00ED44F5">
        <w:rPr>
          <w:rFonts w:ascii="Verdana" w:eastAsia="MS Mincho" w:hAnsi="Verdana"/>
          <w:sz w:val="20"/>
          <w:szCs w:val="20"/>
          <w:lang w:val="es-CR"/>
        </w:rPr>
        <w:t>. Asimismo, la exposición de</w:t>
      </w:r>
      <w:r w:rsidR="00ED44F5" w:rsidRPr="00ED44F5">
        <w:rPr>
          <w:rFonts w:ascii="Verdana" w:eastAsia="MS Mincho" w:hAnsi="Verdana"/>
          <w:sz w:val="20"/>
          <w:szCs w:val="20"/>
          <w:lang w:val="es-CR"/>
        </w:rPr>
        <w:t xml:space="preserve"> las actuaciones desplegadas en el marco de la medida provisional</w:t>
      </w:r>
      <w:r w:rsidR="00ED44F5">
        <w:rPr>
          <w:rFonts w:ascii="Verdana" w:eastAsia="MS Mincho" w:hAnsi="Verdana"/>
          <w:sz w:val="20"/>
          <w:szCs w:val="20"/>
          <w:lang w:val="es-CR"/>
        </w:rPr>
        <w:t xml:space="preserve"> por parte de la Fiscalía General de la Nación y de la Procuraduría General de la Nación no se refieren a acciones implementadas con respecto a los propuestos beneficiarios </w:t>
      </w:r>
      <w:r w:rsidR="006A7233">
        <w:rPr>
          <w:rFonts w:ascii="Verdana" w:eastAsia="MS Mincho" w:hAnsi="Verdana"/>
          <w:sz w:val="20"/>
          <w:szCs w:val="20"/>
          <w:lang w:val="es-CR"/>
        </w:rPr>
        <w:t>en esta solicitud</w:t>
      </w:r>
      <w:r w:rsidR="00ED44F5">
        <w:rPr>
          <w:rFonts w:ascii="Verdana" w:eastAsia="MS Mincho" w:hAnsi="Verdana"/>
          <w:sz w:val="20"/>
          <w:szCs w:val="20"/>
          <w:lang w:val="es-CR"/>
        </w:rPr>
        <w:t xml:space="preserve">. </w:t>
      </w:r>
    </w:p>
    <w:p w14:paraId="00CB968C" w14:textId="69E37718" w:rsidR="00E51DD1" w:rsidRPr="00D25BFD" w:rsidRDefault="00ED44F5" w:rsidP="00ED44F5">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eastAsia="MS Mincho" w:hAnsi="Verdana"/>
          <w:sz w:val="20"/>
          <w:szCs w:val="20"/>
          <w:lang w:val="es-CR"/>
        </w:rPr>
        <w:t>En consecuencia, resulta razonable inferir que</w:t>
      </w:r>
      <w:r w:rsidR="00F854F9">
        <w:rPr>
          <w:rFonts w:ascii="Verdana" w:eastAsia="MS Mincho" w:hAnsi="Verdana"/>
          <w:sz w:val="20"/>
          <w:szCs w:val="20"/>
          <w:lang w:val="es-CR"/>
        </w:rPr>
        <w:t>,</w:t>
      </w:r>
      <w:r>
        <w:rPr>
          <w:rFonts w:ascii="Verdana" w:eastAsia="MS Mincho" w:hAnsi="Verdana"/>
          <w:sz w:val="20"/>
          <w:szCs w:val="20"/>
          <w:lang w:val="es-CR"/>
        </w:rPr>
        <w:t xml:space="preserve"> hasta el momento, a pesar de tener noticia sobre hechos de violencia </w:t>
      </w:r>
      <w:r w:rsidR="00924125">
        <w:rPr>
          <w:rFonts w:ascii="Verdana" w:eastAsia="MS Mincho" w:hAnsi="Verdana"/>
          <w:sz w:val="20"/>
          <w:szCs w:val="20"/>
          <w:lang w:val="es-CR"/>
        </w:rPr>
        <w:t xml:space="preserve">grave </w:t>
      </w:r>
      <w:r>
        <w:rPr>
          <w:rFonts w:ascii="Verdana" w:eastAsia="MS Mincho" w:hAnsi="Verdana"/>
          <w:sz w:val="20"/>
          <w:szCs w:val="20"/>
          <w:lang w:val="es-CR"/>
        </w:rPr>
        <w:t xml:space="preserve">en contra de víctimas y familiares de víctimas de un caso ante la Corte Interamericana, el Estado no ha </w:t>
      </w:r>
      <w:r w:rsidR="00D25BFD">
        <w:rPr>
          <w:rFonts w:ascii="Verdana" w:eastAsia="MS Mincho" w:hAnsi="Verdana"/>
          <w:sz w:val="20"/>
          <w:szCs w:val="20"/>
          <w:lang w:val="es-CR"/>
        </w:rPr>
        <w:t>adoptado ninguna medida de protección a favor de esas personas.</w:t>
      </w:r>
    </w:p>
    <w:p w14:paraId="6E808FC4" w14:textId="68C4365B" w:rsidR="00D25BFD" w:rsidRDefault="00D25BFD" w:rsidP="00ED44F5">
      <w:pPr>
        <w:numPr>
          <w:ilvl w:val="0"/>
          <w:numId w:val="9"/>
        </w:numPr>
        <w:tabs>
          <w:tab w:val="left" w:pos="0"/>
        </w:tabs>
        <w:spacing w:before="120" w:after="120" w:line="240" w:lineRule="auto"/>
        <w:ind w:left="0" w:right="18" w:firstLine="0"/>
        <w:jc w:val="both"/>
        <w:rPr>
          <w:rFonts w:ascii="Verdana" w:hAnsi="Verdana"/>
          <w:sz w:val="20"/>
          <w:szCs w:val="20"/>
          <w:lang w:val="es-CR"/>
        </w:rPr>
      </w:pPr>
      <w:r>
        <w:rPr>
          <w:rFonts w:ascii="Verdana" w:eastAsia="MS Mincho" w:hAnsi="Verdana"/>
          <w:sz w:val="20"/>
          <w:szCs w:val="20"/>
          <w:lang w:val="es-CR"/>
        </w:rPr>
        <w:t xml:space="preserve">Los hechos reportados por los representantes son recientes, involucran disparos por armas de fuego en varias oportunidades en los domicilios de Nery del Socorro Flórez </w:t>
      </w:r>
      <w:r w:rsidR="00DE555E">
        <w:rPr>
          <w:rFonts w:ascii="Verdana" w:hAnsi="Verdana"/>
          <w:sz w:val="20"/>
          <w:szCs w:val="20"/>
          <w:lang w:val="es-CR"/>
        </w:rPr>
        <w:t>Contreras</w:t>
      </w:r>
      <w:r w:rsidR="00DE555E">
        <w:rPr>
          <w:rFonts w:ascii="Verdana" w:eastAsia="MS Mincho" w:hAnsi="Verdana"/>
          <w:sz w:val="20"/>
          <w:szCs w:val="20"/>
          <w:lang w:val="es-CR"/>
        </w:rPr>
        <w:t xml:space="preserve"> </w:t>
      </w:r>
      <w:r>
        <w:rPr>
          <w:rFonts w:ascii="Verdana" w:eastAsia="MS Mincho" w:hAnsi="Verdana"/>
          <w:sz w:val="20"/>
          <w:szCs w:val="20"/>
          <w:lang w:val="es-CR"/>
        </w:rPr>
        <w:t>y de algunos de sus familiares. También se refieren a hechos de violencia que lesionaron en más de una oportunidad a miembros de su familia, en alg</w:t>
      </w:r>
      <w:r w:rsidR="00CB5681">
        <w:rPr>
          <w:rFonts w:ascii="Verdana" w:eastAsia="MS Mincho" w:hAnsi="Verdana"/>
          <w:sz w:val="20"/>
          <w:szCs w:val="20"/>
          <w:lang w:val="es-CR"/>
        </w:rPr>
        <w:t>u</w:t>
      </w:r>
      <w:r>
        <w:rPr>
          <w:rFonts w:ascii="Verdana" w:eastAsia="MS Mincho" w:hAnsi="Verdana"/>
          <w:sz w:val="20"/>
          <w:szCs w:val="20"/>
          <w:lang w:val="es-CR"/>
        </w:rPr>
        <w:t>n</w:t>
      </w:r>
      <w:r w:rsidR="00CB5681">
        <w:rPr>
          <w:rFonts w:ascii="Verdana" w:eastAsia="MS Mincho" w:hAnsi="Verdana"/>
          <w:sz w:val="20"/>
          <w:szCs w:val="20"/>
          <w:lang w:val="es-CR"/>
        </w:rPr>
        <w:t>os</w:t>
      </w:r>
      <w:r>
        <w:rPr>
          <w:rFonts w:ascii="Verdana" w:eastAsia="MS Mincho" w:hAnsi="Verdana"/>
          <w:sz w:val="20"/>
          <w:szCs w:val="20"/>
          <w:lang w:val="es-CR"/>
        </w:rPr>
        <w:t xml:space="preserve"> cas</w:t>
      </w:r>
      <w:r w:rsidR="00CB5681">
        <w:rPr>
          <w:rFonts w:ascii="Verdana" w:eastAsia="MS Mincho" w:hAnsi="Verdana"/>
          <w:sz w:val="20"/>
          <w:szCs w:val="20"/>
          <w:lang w:val="es-CR"/>
        </w:rPr>
        <w:t>os</w:t>
      </w:r>
      <w:r>
        <w:rPr>
          <w:rFonts w:ascii="Verdana" w:eastAsia="MS Mincho" w:hAnsi="Verdana"/>
          <w:sz w:val="20"/>
          <w:szCs w:val="20"/>
          <w:lang w:val="es-CR"/>
        </w:rPr>
        <w:t xml:space="preserve"> personas menores de edad. </w:t>
      </w:r>
    </w:p>
    <w:p w14:paraId="4F0307A8" w14:textId="4AEBF22C" w:rsidR="0038765A" w:rsidRPr="00D25BFD" w:rsidRDefault="0038765A" w:rsidP="00E51DD1">
      <w:pPr>
        <w:numPr>
          <w:ilvl w:val="0"/>
          <w:numId w:val="9"/>
        </w:numPr>
        <w:tabs>
          <w:tab w:val="left" w:pos="0"/>
        </w:tabs>
        <w:spacing w:before="120" w:after="120" w:line="240" w:lineRule="auto"/>
        <w:ind w:left="0" w:right="18" w:firstLine="0"/>
        <w:jc w:val="both"/>
        <w:rPr>
          <w:rFonts w:ascii="Verdana" w:hAnsi="Verdana"/>
          <w:sz w:val="20"/>
          <w:szCs w:val="20"/>
          <w:lang w:val="es-CR"/>
        </w:rPr>
      </w:pPr>
      <w:r w:rsidRPr="00E51DD1">
        <w:rPr>
          <w:rFonts w:ascii="Verdana" w:hAnsi="Verdana"/>
          <w:sz w:val="20"/>
          <w:szCs w:val="20"/>
          <w:lang w:val="es-CR"/>
        </w:rPr>
        <w:t>De lo anterior</w:t>
      </w:r>
      <w:r w:rsidR="009D636A" w:rsidRPr="00E51DD1">
        <w:rPr>
          <w:rFonts w:ascii="Verdana" w:hAnsi="Verdana"/>
          <w:sz w:val="20"/>
          <w:szCs w:val="20"/>
          <w:lang w:val="es-CR"/>
        </w:rPr>
        <w:t xml:space="preserve">, </w:t>
      </w:r>
      <w:r w:rsidR="00E94F44" w:rsidRPr="00E51DD1">
        <w:rPr>
          <w:rFonts w:ascii="Verdana" w:hAnsi="Verdana"/>
          <w:sz w:val="20"/>
          <w:szCs w:val="20"/>
          <w:lang w:val="es-CR"/>
        </w:rPr>
        <w:t xml:space="preserve">se </w:t>
      </w:r>
      <w:r w:rsidR="00D25BFD">
        <w:rPr>
          <w:rFonts w:ascii="Verdana" w:hAnsi="Verdana"/>
          <w:sz w:val="20"/>
          <w:szCs w:val="20"/>
          <w:lang w:val="es-CR"/>
        </w:rPr>
        <w:t>puede inferir</w:t>
      </w:r>
      <w:r w:rsidR="00E94F44" w:rsidRPr="00E51DD1">
        <w:rPr>
          <w:rFonts w:ascii="Verdana" w:hAnsi="Verdana"/>
          <w:sz w:val="20"/>
          <w:szCs w:val="20"/>
          <w:lang w:val="es-CR"/>
        </w:rPr>
        <w:t xml:space="preserve"> la configuración de </w:t>
      </w:r>
      <w:r w:rsidRPr="00E51DD1">
        <w:rPr>
          <w:rFonts w:ascii="Verdana" w:hAnsi="Verdana"/>
          <w:sz w:val="20"/>
          <w:szCs w:val="20"/>
          <w:lang w:val="es-CR"/>
        </w:rPr>
        <w:t xml:space="preserve">elementos que reflejan una situación de extrema gravedad y urgencia, con la </w:t>
      </w:r>
      <w:r w:rsidR="00E94F44" w:rsidRPr="00E51DD1">
        <w:rPr>
          <w:rFonts w:ascii="Verdana" w:hAnsi="Verdana"/>
          <w:sz w:val="20"/>
          <w:szCs w:val="20"/>
          <w:lang w:val="es-CR"/>
        </w:rPr>
        <w:t xml:space="preserve">posibilidad razonable de que </w:t>
      </w:r>
      <w:r w:rsidRPr="00E51DD1">
        <w:rPr>
          <w:rFonts w:ascii="Verdana" w:hAnsi="Verdana"/>
          <w:sz w:val="20"/>
          <w:szCs w:val="20"/>
          <w:lang w:val="es-CR"/>
        </w:rPr>
        <w:t xml:space="preserve">continúen </w:t>
      </w:r>
      <w:r w:rsidR="00E94F44" w:rsidRPr="00E51DD1">
        <w:rPr>
          <w:rFonts w:ascii="Verdana" w:hAnsi="Verdana"/>
          <w:sz w:val="20"/>
          <w:szCs w:val="20"/>
          <w:lang w:val="es-CR"/>
        </w:rPr>
        <w:t>materializándose</w:t>
      </w:r>
      <w:r w:rsidRPr="00E51DD1">
        <w:rPr>
          <w:rFonts w:ascii="Verdana" w:hAnsi="Verdana"/>
          <w:sz w:val="20"/>
          <w:szCs w:val="20"/>
          <w:lang w:val="es-CR"/>
        </w:rPr>
        <w:t xml:space="preserve"> daños irreparables a los derechos a la vida</w:t>
      </w:r>
      <w:r w:rsidR="00D25BFD">
        <w:rPr>
          <w:rFonts w:ascii="Verdana" w:hAnsi="Verdana"/>
          <w:sz w:val="20"/>
          <w:szCs w:val="20"/>
          <w:lang w:val="es-CR"/>
        </w:rPr>
        <w:t>,</w:t>
      </w:r>
      <w:r w:rsidRPr="00E51DD1">
        <w:rPr>
          <w:rFonts w:ascii="Verdana" w:hAnsi="Verdana"/>
          <w:sz w:val="20"/>
          <w:szCs w:val="20"/>
          <w:lang w:val="es-CR"/>
        </w:rPr>
        <w:t xml:space="preserve"> integridad personal</w:t>
      </w:r>
      <w:r w:rsidR="00D25BFD">
        <w:rPr>
          <w:rFonts w:ascii="Verdana" w:hAnsi="Verdana"/>
          <w:sz w:val="20"/>
          <w:szCs w:val="20"/>
          <w:lang w:val="es-CR"/>
        </w:rPr>
        <w:t>, y de circulación y residencia</w:t>
      </w:r>
      <w:r w:rsidRPr="00E51DD1">
        <w:rPr>
          <w:rFonts w:ascii="Verdana" w:hAnsi="Verdana"/>
          <w:sz w:val="20"/>
          <w:szCs w:val="20"/>
          <w:lang w:val="es-CR"/>
        </w:rPr>
        <w:t xml:space="preserve"> de </w:t>
      </w:r>
      <w:r w:rsidR="00D25BFD" w:rsidRPr="00E51DD1">
        <w:rPr>
          <w:rFonts w:ascii="Verdana" w:hAnsi="Verdana"/>
          <w:sz w:val="20"/>
          <w:szCs w:val="20"/>
          <w:lang w:val="es-CR"/>
        </w:rPr>
        <w:t xml:space="preserve">Nery del Socorro </w:t>
      </w:r>
      <w:r w:rsidR="00D25BFD">
        <w:rPr>
          <w:rFonts w:ascii="Verdana" w:hAnsi="Verdana"/>
          <w:sz w:val="20"/>
          <w:szCs w:val="20"/>
          <w:lang w:val="es-CR"/>
        </w:rPr>
        <w:t xml:space="preserve">Flórez </w:t>
      </w:r>
      <w:r w:rsidR="00DE555E">
        <w:rPr>
          <w:rFonts w:ascii="Verdana" w:hAnsi="Verdana"/>
          <w:sz w:val="20"/>
          <w:szCs w:val="20"/>
          <w:lang w:val="es-CR"/>
        </w:rPr>
        <w:t xml:space="preserve">Contreras </w:t>
      </w:r>
      <w:r w:rsidR="00D25BFD">
        <w:rPr>
          <w:rFonts w:ascii="Verdana" w:hAnsi="Verdana"/>
          <w:sz w:val="20"/>
          <w:szCs w:val="20"/>
          <w:lang w:val="es-CR"/>
        </w:rPr>
        <w:t>y sus</w:t>
      </w:r>
      <w:r w:rsidR="00182F18" w:rsidRPr="00E51DD1">
        <w:rPr>
          <w:rFonts w:ascii="Verdana" w:hAnsi="Verdana"/>
          <w:sz w:val="20"/>
          <w:szCs w:val="20"/>
          <w:lang w:val="es-CR"/>
        </w:rPr>
        <w:t xml:space="preserve"> familia</w:t>
      </w:r>
      <w:r w:rsidR="00D25BFD">
        <w:rPr>
          <w:rFonts w:ascii="Verdana" w:hAnsi="Verdana"/>
          <w:sz w:val="20"/>
          <w:szCs w:val="20"/>
          <w:lang w:val="es-CR"/>
        </w:rPr>
        <w:t>res</w:t>
      </w:r>
      <w:r w:rsidRPr="00E51DD1">
        <w:rPr>
          <w:rFonts w:ascii="Verdana" w:hAnsi="Verdana"/>
          <w:sz w:val="20"/>
          <w:szCs w:val="20"/>
          <w:lang w:val="es-CR"/>
        </w:rPr>
        <w:t xml:space="preserve">. </w:t>
      </w:r>
      <w:r w:rsidR="00F212E9" w:rsidRPr="00D25BFD">
        <w:rPr>
          <w:rFonts w:ascii="Verdana" w:hAnsi="Verdana"/>
          <w:sz w:val="20"/>
          <w:szCs w:val="20"/>
          <w:lang w:val="es-CR"/>
        </w:rPr>
        <w:t xml:space="preserve">De igual </w:t>
      </w:r>
      <w:r w:rsidR="00527D26" w:rsidRPr="00D25BFD">
        <w:rPr>
          <w:rFonts w:ascii="Verdana" w:hAnsi="Verdana"/>
          <w:sz w:val="20"/>
          <w:szCs w:val="20"/>
          <w:lang w:val="es-CR"/>
        </w:rPr>
        <w:t>manera</w:t>
      </w:r>
      <w:r w:rsidR="00F212E9" w:rsidRPr="00D25BFD">
        <w:rPr>
          <w:rFonts w:ascii="Verdana" w:hAnsi="Verdana"/>
          <w:sz w:val="20"/>
          <w:szCs w:val="20"/>
          <w:lang w:val="es-CR"/>
        </w:rPr>
        <w:t xml:space="preserve">, la Corte </w:t>
      </w:r>
      <w:r w:rsidR="00CB5681">
        <w:rPr>
          <w:rFonts w:ascii="Verdana" w:hAnsi="Verdana"/>
          <w:sz w:val="20"/>
          <w:szCs w:val="20"/>
          <w:lang w:val="es-CR"/>
        </w:rPr>
        <w:t>nota</w:t>
      </w:r>
      <w:r w:rsidR="00CB5681" w:rsidRPr="00D25BFD">
        <w:rPr>
          <w:rFonts w:ascii="Verdana" w:hAnsi="Verdana"/>
          <w:sz w:val="20"/>
          <w:szCs w:val="20"/>
          <w:lang w:val="es-CR"/>
        </w:rPr>
        <w:t xml:space="preserve"> </w:t>
      </w:r>
      <w:r w:rsidR="00F212E9" w:rsidRPr="00D25BFD">
        <w:rPr>
          <w:rFonts w:ascii="Verdana" w:hAnsi="Verdana"/>
          <w:sz w:val="20"/>
          <w:szCs w:val="20"/>
          <w:lang w:val="es-CR"/>
        </w:rPr>
        <w:t>que los hechos denunciados mantiene</w:t>
      </w:r>
      <w:r w:rsidR="00955926" w:rsidRPr="00D25BFD">
        <w:rPr>
          <w:rFonts w:ascii="Verdana" w:hAnsi="Verdana"/>
          <w:sz w:val="20"/>
          <w:szCs w:val="20"/>
          <w:lang w:val="es-CR"/>
        </w:rPr>
        <w:t>n</w:t>
      </w:r>
      <w:r w:rsidR="00F212E9" w:rsidRPr="00D25BFD">
        <w:rPr>
          <w:rFonts w:ascii="Verdana" w:hAnsi="Verdana"/>
          <w:sz w:val="20"/>
          <w:szCs w:val="20"/>
          <w:lang w:val="es-CR"/>
        </w:rPr>
        <w:t xml:space="preserve"> una conexión fáctica con las medi</w:t>
      </w:r>
      <w:r w:rsidR="00182F18" w:rsidRPr="00D25BFD">
        <w:rPr>
          <w:rFonts w:ascii="Verdana" w:hAnsi="Verdana"/>
          <w:sz w:val="20"/>
          <w:szCs w:val="20"/>
          <w:lang w:val="es-CR"/>
        </w:rPr>
        <w:t>das provisionales otorgadas el 3 de septiembre de 2004 y mantenidas mediante resolución</w:t>
      </w:r>
      <w:r w:rsidR="00F212E9" w:rsidRPr="00D25BFD">
        <w:rPr>
          <w:rFonts w:ascii="Verdana" w:hAnsi="Verdana"/>
          <w:sz w:val="20"/>
          <w:szCs w:val="20"/>
          <w:lang w:val="es-CR"/>
        </w:rPr>
        <w:t xml:space="preserve"> de </w:t>
      </w:r>
      <w:r w:rsidR="00182F18" w:rsidRPr="00E51DD1">
        <w:rPr>
          <w:rFonts w:ascii="Verdana" w:hAnsi="Verdana"/>
          <w:sz w:val="20"/>
          <w:szCs w:val="20"/>
          <w:lang w:val="es-MX"/>
        </w:rPr>
        <w:t>26 de junio de 2012</w:t>
      </w:r>
      <w:r w:rsidR="00F212E9" w:rsidRPr="00E51DD1">
        <w:rPr>
          <w:rFonts w:ascii="Verdana" w:hAnsi="Verdana"/>
          <w:sz w:val="20"/>
          <w:szCs w:val="20"/>
          <w:lang w:val="es-MX"/>
        </w:rPr>
        <w:t xml:space="preserve">, toda vez que </w:t>
      </w:r>
      <w:r w:rsidR="00D25BFD">
        <w:rPr>
          <w:rFonts w:ascii="Verdana" w:hAnsi="Verdana"/>
          <w:sz w:val="20"/>
          <w:szCs w:val="20"/>
          <w:lang w:val="es-MX"/>
        </w:rPr>
        <w:t>se refieren a víctimas del caso, que podrían derivarse de</w:t>
      </w:r>
      <w:r w:rsidR="00CB5681">
        <w:rPr>
          <w:rFonts w:ascii="Verdana" w:hAnsi="Verdana"/>
          <w:sz w:val="20"/>
          <w:szCs w:val="20"/>
          <w:lang w:val="es-MX"/>
        </w:rPr>
        <w:t>l</w:t>
      </w:r>
      <w:r w:rsidR="00D25BFD">
        <w:rPr>
          <w:rFonts w:ascii="Verdana" w:hAnsi="Verdana"/>
          <w:sz w:val="20"/>
          <w:szCs w:val="20"/>
          <w:lang w:val="es-MX"/>
        </w:rPr>
        <w:t xml:space="preserve"> </w:t>
      </w:r>
      <w:r w:rsidR="00F212E9" w:rsidRPr="00E51DD1">
        <w:rPr>
          <w:rFonts w:ascii="Verdana" w:hAnsi="Verdana"/>
          <w:sz w:val="20"/>
          <w:szCs w:val="20"/>
          <w:lang w:val="es-MX"/>
        </w:rPr>
        <w:t xml:space="preserve">contexto de violencia </w:t>
      </w:r>
      <w:r w:rsidR="00182F18" w:rsidRPr="00E51DD1">
        <w:rPr>
          <w:rFonts w:ascii="Verdana" w:hAnsi="Verdana"/>
          <w:sz w:val="20"/>
          <w:szCs w:val="20"/>
          <w:lang w:val="es-MX"/>
        </w:rPr>
        <w:t>y amenazas en contra de los beneficiarios de dichas medidas</w:t>
      </w:r>
      <w:r w:rsidR="00CB5681">
        <w:rPr>
          <w:rFonts w:ascii="Verdana" w:hAnsi="Verdana"/>
          <w:sz w:val="20"/>
          <w:szCs w:val="20"/>
          <w:lang w:val="es-MX"/>
        </w:rPr>
        <w:t>,</w:t>
      </w:r>
      <w:r w:rsidR="00D25BFD">
        <w:rPr>
          <w:rFonts w:ascii="Verdana" w:hAnsi="Verdana"/>
          <w:sz w:val="20"/>
          <w:szCs w:val="20"/>
          <w:lang w:val="es-MX"/>
        </w:rPr>
        <w:t xml:space="preserve"> el cual se materializó con posterioridad a la audiencia de supervisión de cumplimiento del caso</w:t>
      </w:r>
      <w:r w:rsidR="00182F18" w:rsidRPr="00E51DD1">
        <w:rPr>
          <w:rFonts w:ascii="Verdana" w:hAnsi="Verdana"/>
          <w:sz w:val="20"/>
          <w:szCs w:val="20"/>
          <w:lang w:val="es-MX"/>
        </w:rPr>
        <w:t>.</w:t>
      </w:r>
      <w:r w:rsidR="00955926" w:rsidRPr="00E51DD1">
        <w:rPr>
          <w:rFonts w:ascii="Verdana" w:hAnsi="Verdana"/>
          <w:sz w:val="20"/>
          <w:szCs w:val="20"/>
          <w:lang w:val="es-MX"/>
        </w:rPr>
        <w:t xml:space="preserve"> </w:t>
      </w:r>
    </w:p>
    <w:p w14:paraId="42FC3BFB" w14:textId="550F7D0E" w:rsidR="0038765A" w:rsidRPr="00B126A7" w:rsidRDefault="00D25BFD" w:rsidP="00D25BFD">
      <w:pPr>
        <w:numPr>
          <w:ilvl w:val="0"/>
          <w:numId w:val="9"/>
        </w:numPr>
        <w:tabs>
          <w:tab w:val="left" w:pos="0"/>
        </w:tabs>
        <w:spacing w:before="120" w:after="120" w:line="240" w:lineRule="auto"/>
        <w:ind w:left="0" w:right="18" w:firstLine="0"/>
        <w:jc w:val="both"/>
        <w:rPr>
          <w:rFonts w:ascii="Verdana" w:hAnsi="Verdana"/>
          <w:sz w:val="20"/>
          <w:szCs w:val="20"/>
          <w:lang w:val="es-CR"/>
        </w:rPr>
      </w:pPr>
      <w:r w:rsidRPr="00B126A7">
        <w:rPr>
          <w:rFonts w:ascii="Verdana" w:hAnsi="Verdana"/>
          <w:sz w:val="20"/>
          <w:szCs w:val="20"/>
          <w:lang w:val="es-CR"/>
        </w:rPr>
        <w:t>En consecuencia</w:t>
      </w:r>
      <w:r w:rsidR="00394D34" w:rsidRPr="00B126A7">
        <w:rPr>
          <w:rFonts w:ascii="Verdana" w:hAnsi="Verdana"/>
          <w:sz w:val="20"/>
          <w:szCs w:val="20"/>
          <w:lang w:val="es-CR"/>
        </w:rPr>
        <w:t xml:space="preserve">, de conformidad con el </w:t>
      </w:r>
      <w:r w:rsidR="0038765A" w:rsidRPr="00B126A7">
        <w:rPr>
          <w:rFonts w:ascii="Verdana" w:hAnsi="Verdana"/>
          <w:sz w:val="20"/>
          <w:szCs w:val="20"/>
          <w:lang w:val="es-CR"/>
        </w:rPr>
        <w:t xml:space="preserve">estándar </w:t>
      </w:r>
      <w:r w:rsidR="0038765A" w:rsidRPr="00B126A7">
        <w:rPr>
          <w:rFonts w:ascii="Verdana" w:hAnsi="Verdana"/>
          <w:i/>
          <w:sz w:val="20"/>
          <w:szCs w:val="20"/>
          <w:lang w:val="es-CR"/>
        </w:rPr>
        <w:t xml:space="preserve">prima facie, </w:t>
      </w:r>
      <w:r w:rsidRPr="00B126A7">
        <w:rPr>
          <w:rFonts w:ascii="Verdana" w:hAnsi="Verdana"/>
          <w:sz w:val="20"/>
          <w:szCs w:val="20"/>
          <w:lang w:val="es-CR"/>
        </w:rPr>
        <w:t>esta Presidencia</w:t>
      </w:r>
      <w:r w:rsidR="00394D34" w:rsidRPr="00B126A7">
        <w:rPr>
          <w:rFonts w:ascii="Verdana" w:hAnsi="Verdana"/>
          <w:sz w:val="20"/>
          <w:szCs w:val="20"/>
          <w:lang w:val="es-CR"/>
        </w:rPr>
        <w:t xml:space="preserve"> estima</w:t>
      </w:r>
      <w:r w:rsidR="0038765A" w:rsidRPr="00B126A7">
        <w:rPr>
          <w:rFonts w:ascii="Verdana" w:hAnsi="Verdana"/>
          <w:sz w:val="20"/>
          <w:szCs w:val="20"/>
          <w:lang w:val="es-CR"/>
        </w:rPr>
        <w:t xml:space="preserve"> que se encuentran reunidos los requisitos de extrema gravedad, urgencia y peligro inminente de daño irreparable a los derechos de </w:t>
      </w:r>
      <w:r w:rsidRPr="00B126A7">
        <w:rPr>
          <w:rFonts w:ascii="Verdana" w:hAnsi="Verdana"/>
          <w:sz w:val="20"/>
          <w:szCs w:val="20"/>
          <w:lang w:val="es-CR"/>
        </w:rPr>
        <w:t xml:space="preserve">Nery del Socorro Flórez </w:t>
      </w:r>
      <w:r w:rsidR="00DE555E" w:rsidRPr="00B126A7">
        <w:rPr>
          <w:rFonts w:ascii="Verdana" w:hAnsi="Verdana"/>
          <w:sz w:val="20"/>
          <w:szCs w:val="20"/>
          <w:lang w:val="es-CR"/>
        </w:rPr>
        <w:t xml:space="preserve">Contreras </w:t>
      </w:r>
      <w:r w:rsidRPr="00B126A7">
        <w:rPr>
          <w:rFonts w:ascii="Verdana" w:hAnsi="Verdana"/>
          <w:sz w:val="20"/>
          <w:szCs w:val="20"/>
          <w:lang w:val="es-CR"/>
        </w:rPr>
        <w:t xml:space="preserve">y sus familiares </w:t>
      </w:r>
      <w:r w:rsidR="0038765A" w:rsidRPr="00B126A7">
        <w:rPr>
          <w:rFonts w:ascii="Verdana" w:hAnsi="Verdana"/>
          <w:sz w:val="20"/>
          <w:szCs w:val="20"/>
          <w:lang w:val="es-CR"/>
        </w:rPr>
        <w:t>que requiere su protección a través del mecanismo</w:t>
      </w:r>
      <w:r w:rsidR="00CB5681" w:rsidRPr="00B126A7">
        <w:rPr>
          <w:rFonts w:ascii="Verdana" w:hAnsi="Verdana"/>
          <w:sz w:val="20"/>
          <w:szCs w:val="20"/>
          <w:lang w:val="es-CR"/>
        </w:rPr>
        <w:t xml:space="preserve"> urgente</w:t>
      </w:r>
      <w:r w:rsidR="0038765A" w:rsidRPr="00B126A7">
        <w:rPr>
          <w:rFonts w:ascii="Verdana" w:hAnsi="Verdana"/>
          <w:sz w:val="20"/>
          <w:szCs w:val="20"/>
          <w:lang w:val="es-CR"/>
        </w:rPr>
        <w:t xml:space="preserve"> de medidas provisionales. </w:t>
      </w:r>
      <w:r w:rsidR="00394D34" w:rsidRPr="00B126A7">
        <w:rPr>
          <w:rFonts w:ascii="Verdana" w:hAnsi="Verdana"/>
          <w:sz w:val="20"/>
          <w:szCs w:val="20"/>
          <w:lang w:val="es-CR"/>
        </w:rPr>
        <w:t xml:space="preserve">Por consiguiente, </w:t>
      </w:r>
      <w:r w:rsidR="00B126A7" w:rsidRPr="00B126A7">
        <w:rPr>
          <w:rFonts w:ascii="Verdana" w:hAnsi="Verdana"/>
          <w:spacing w:val="-4"/>
          <w:sz w:val="20"/>
          <w:szCs w:val="20"/>
          <w:lang w:val="es-MX"/>
        </w:rPr>
        <w:t>es</w:t>
      </w:r>
      <w:r w:rsidR="00CB5681" w:rsidRPr="00B126A7">
        <w:rPr>
          <w:rFonts w:ascii="Verdana" w:hAnsi="Verdana"/>
          <w:spacing w:val="-4"/>
          <w:sz w:val="20"/>
          <w:szCs w:val="20"/>
          <w:lang w:val="es-MX"/>
        </w:rPr>
        <w:t xml:space="preserve"> procedente hacer lugar a la ampliación de las presentes medidas provisionales, de modo tal que se</w:t>
      </w:r>
      <w:r w:rsidRPr="00B126A7">
        <w:rPr>
          <w:rFonts w:ascii="Verdana" w:hAnsi="Verdana"/>
          <w:spacing w:val="-4"/>
          <w:sz w:val="20"/>
          <w:szCs w:val="20"/>
          <w:lang w:val="es-MX"/>
        </w:rPr>
        <w:t xml:space="preserve"> incluya a </w:t>
      </w:r>
      <w:r w:rsidR="00CB5681" w:rsidRPr="00B126A7">
        <w:rPr>
          <w:rFonts w:ascii="Verdana" w:hAnsi="Verdana"/>
          <w:spacing w:val="-4"/>
          <w:sz w:val="20"/>
          <w:szCs w:val="20"/>
          <w:lang w:val="es-MX"/>
        </w:rPr>
        <w:t>dichas personas como</w:t>
      </w:r>
      <w:r w:rsidRPr="00B126A7">
        <w:rPr>
          <w:rFonts w:ascii="Verdana" w:hAnsi="Verdana"/>
          <w:spacing w:val="-4"/>
          <w:sz w:val="20"/>
          <w:szCs w:val="20"/>
          <w:lang w:val="es-MX"/>
        </w:rPr>
        <w:t xml:space="preserve"> beneficiari</w:t>
      </w:r>
      <w:r w:rsidR="00CB5681" w:rsidRPr="00B126A7">
        <w:rPr>
          <w:rFonts w:ascii="Verdana" w:hAnsi="Verdana"/>
          <w:spacing w:val="-4"/>
          <w:sz w:val="20"/>
          <w:szCs w:val="20"/>
          <w:lang w:val="es-MX"/>
        </w:rPr>
        <w:t>a</w:t>
      </w:r>
      <w:r w:rsidRPr="00B126A7">
        <w:rPr>
          <w:rFonts w:ascii="Verdana" w:hAnsi="Verdana"/>
          <w:spacing w:val="-4"/>
          <w:sz w:val="20"/>
          <w:szCs w:val="20"/>
          <w:lang w:val="es-MX"/>
        </w:rPr>
        <w:t>s</w:t>
      </w:r>
      <w:r w:rsidR="00182F18" w:rsidRPr="00B126A7">
        <w:rPr>
          <w:rFonts w:ascii="Verdana" w:hAnsi="Verdana"/>
          <w:spacing w:val="-4"/>
          <w:sz w:val="20"/>
          <w:szCs w:val="20"/>
          <w:lang w:val="es-MX"/>
        </w:rPr>
        <w:t xml:space="preserve"> </w:t>
      </w:r>
      <w:r w:rsidR="00394D34" w:rsidRPr="00B126A7">
        <w:rPr>
          <w:rFonts w:ascii="Verdana" w:hAnsi="Verdana"/>
          <w:spacing w:val="-4"/>
          <w:sz w:val="20"/>
          <w:szCs w:val="20"/>
          <w:lang w:val="es-MX"/>
        </w:rPr>
        <w:t>en las presentes medidas.</w:t>
      </w:r>
    </w:p>
    <w:p w14:paraId="7F757549" w14:textId="77777777" w:rsidR="00A220A1" w:rsidRPr="007865FC" w:rsidRDefault="00A220A1" w:rsidP="00E604E5">
      <w:pPr>
        <w:pStyle w:val="Prrafodelista1"/>
        <w:tabs>
          <w:tab w:val="left" w:pos="720"/>
        </w:tabs>
        <w:contextualSpacing w:val="0"/>
        <w:jc w:val="both"/>
        <w:rPr>
          <w:iCs/>
          <w:sz w:val="20"/>
          <w:szCs w:val="20"/>
        </w:rPr>
      </w:pPr>
    </w:p>
    <w:p w14:paraId="4C47C124" w14:textId="77777777" w:rsidR="0038765A" w:rsidRPr="007865FC" w:rsidRDefault="0038765A" w:rsidP="00E604E5">
      <w:pPr>
        <w:pStyle w:val="Prrafodelista1"/>
        <w:tabs>
          <w:tab w:val="left" w:pos="720"/>
        </w:tabs>
        <w:contextualSpacing w:val="0"/>
        <w:jc w:val="both"/>
        <w:rPr>
          <w:b/>
          <w:sz w:val="20"/>
          <w:szCs w:val="20"/>
          <w:lang w:val="es-GT"/>
        </w:rPr>
      </w:pPr>
      <w:r w:rsidRPr="007865FC">
        <w:rPr>
          <w:b/>
          <w:sz w:val="20"/>
          <w:szCs w:val="20"/>
          <w:lang w:val="es-GT"/>
        </w:rPr>
        <w:t>POR TANTO:</w:t>
      </w:r>
    </w:p>
    <w:p w14:paraId="77C94EA7" w14:textId="77777777" w:rsidR="0038765A" w:rsidRPr="007865FC" w:rsidRDefault="0038765A" w:rsidP="00E604E5">
      <w:pPr>
        <w:spacing w:after="0" w:line="240" w:lineRule="auto"/>
        <w:ind w:right="18"/>
        <w:jc w:val="both"/>
        <w:rPr>
          <w:rFonts w:ascii="Verdana" w:hAnsi="Verdana"/>
          <w:b/>
          <w:sz w:val="20"/>
          <w:szCs w:val="20"/>
          <w:lang w:val="es-GT"/>
        </w:rPr>
      </w:pPr>
    </w:p>
    <w:p w14:paraId="00DB4EF0" w14:textId="513D72DC" w:rsidR="0038765A" w:rsidRPr="007865FC" w:rsidRDefault="0038765A" w:rsidP="00E604E5">
      <w:pPr>
        <w:spacing w:after="0" w:line="240" w:lineRule="auto"/>
        <w:ind w:right="18"/>
        <w:jc w:val="both"/>
        <w:rPr>
          <w:rFonts w:ascii="Verdana" w:hAnsi="Verdana"/>
          <w:b/>
          <w:sz w:val="20"/>
          <w:szCs w:val="20"/>
          <w:lang w:val="es-GT"/>
        </w:rPr>
      </w:pPr>
      <w:r w:rsidRPr="007865FC">
        <w:rPr>
          <w:rFonts w:ascii="Verdana" w:hAnsi="Verdana"/>
          <w:b/>
          <w:sz w:val="20"/>
          <w:szCs w:val="20"/>
          <w:lang w:val="es-GT"/>
        </w:rPr>
        <w:t xml:space="preserve">LA </w:t>
      </w:r>
      <w:r w:rsidR="00CA3DF3">
        <w:rPr>
          <w:rFonts w:ascii="Verdana" w:hAnsi="Verdana"/>
          <w:b/>
          <w:sz w:val="20"/>
          <w:szCs w:val="20"/>
          <w:lang w:val="es-GT"/>
        </w:rPr>
        <w:t>PRESIDENTA DE LA CORTE</w:t>
      </w:r>
      <w:r w:rsidRPr="007865FC">
        <w:rPr>
          <w:rFonts w:ascii="Verdana" w:hAnsi="Verdana"/>
          <w:b/>
          <w:sz w:val="20"/>
          <w:szCs w:val="20"/>
          <w:lang w:val="es-GT"/>
        </w:rPr>
        <w:t xml:space="preserve"> INTERAMERICANA DE DERECHOS HUMANOS,</w:t>
      </w:r>
    </w:p>
    <w:p w14:paraId="787000CF" w14:textId="77777777" w:rsidR="0038765A" w:rsidRPr="007865FC" w:rsidRDefault="0038765A" w:rsidP="00E604E5">
      <w:pPr>
        <w:spacing w:after="0" w:line="240" w:lineRule="auto"/>
        <w:ind w:right="18"/>
        <w:jc w:val="both"/>
        <w:rPr>
          <w:rFonts w:ascii="Verdana" w:hAnsi="Verdana"/>
          <w:b/>
          <w:sz w:val="20"/>
          <w:szCs w:val="20"/>
          <w:lang w:val="es-GT"/>
        </w:rPr>
      </w:pPr>
    </w:p>
    <w:p w14:paraId="7BDC0B2B" w14:textId="5AA3A272" w:rsidR="0038765A" w:rsidRPr="007865FC" w:rsidRDefault="0038765A" w:rsidP="00E604E5">
      <w:pPr>
        <w:spacing w:after="0" w:line="240" w:lineRule="auto"/>
        <w:jc w:val="both"/>
        <w:rPr>
          <w:rFonts w:ascii="Verdana" w:hAnsi="Verdana"/>
          <w:sz w:val="20"/>
          <w:szCs w:val="20"/>
          <w:lang w:val="es-MX"/>
        </w:rPr>
      </w:pPr>
      <w:r w:rsidRPr="007865FC">
        <w:rPr>
          <w:rFonts w:ascii="Verdana" w:hAnsi="Verdana"/>
          <w:sz w:val="20"/>
          <w:szCs w:val="20"/>
          <w:lang w:val="es-MX"/>
        </w:rPr>
        <w:t>en uso de las atribuciones que le confieren el artículo 63.2 de la Convención Americana, y los artículos</w:t>
      </w:r>
      <w:r w:rsidR="00CA3DF3">
        <w:rPr>
          <w:rFonts w:ascii="Verdana" w:hAnsi="Verdana"/>
          <w:sz w:val="20"/>
          <w:szCs w:val="20"/>
          <w:lang w:val="es-MX"/>
        </w:rPr>
        <w:t xml:space="preserve"> </w:t>
      </w:r>
      <w:r w:rsidR="00CA3DF3" w:rsidRPr="00CA3DF3">
        <w:rPr>
          <w:rFonts w:ascii="Verdana" w:hAnsi="Verdana"/>
          <w:sz w:val="20"/>
          <w:szCs w:val="20"/>
          <w:lang w:val="es-MX"/>
        </w:rPr>
        <w:t>24.1 y 25.2 del Estatuto de la Corte</w:t>
      </w:r>
      <w:r w:rsidR="00CA3DF3">
        <w:rPr>
          <w:rFonts w:ascii="Verdana" w:hAnsi="Verdana"/>
          <w:sz w:val="20"/>
          <w:szCs w:val="20"/>
          <w:lang w:val="es-MX"/>
        </w:rPr>
        <w:t>, y 4,</w:t>
      </w:r>
      <w:r w:rsidRPr="007865FC">
        <w:rPr>
          <w:rFonts w:ascii="Verdana" w:hAnsi="Verdana"/>
          <w:sz w:val="20"/>
          <w:szCs w:val="20"/>
          <w:lang w:val="es-MX"/>
        </w:rPr>
        <w:t xml:space="preserve"> 27 y 31 del Reglamento de la Corte,</w:t>
      </w:r>
    </w:p>
    <w:p w14:paraId="264742F4" w14:textId="77777777" w:rsidR="007E1451" w:rsidRPr="007865FC" w:rsidRDefault="007E1451" w:rsidP="00E604E5">
      <w:pPr>
        <w:tabs>
          <w:tab w:val="left" w:pos="680"/>
        </w:tabs>
        <w:spacing w:after="0" w:line="240" w:lineRule="auto"/>
        <w:ind w:right="18"/>
        <w:jc w:val="both"/>
        <w:rPr>
          <w:rFonts w:ascii="Verdana" w:hAnsi="Verdana"/>
          <w:b/>
          <w:sz w:val="20"/>
          <w:szCs w:val="20"/>
          <w:lang w:val="es-CR"/>
        </w:rPr>
      </w:pPr>
    </w:p>
    <w:p w14:paraId="43A573AC" w14:textId="7EC8A59E" w:rsidR="0038765A" w:rsidRDefault="0038765A" w:rsidP="00E604E5">
      <w:pPr>
        <w:tabs>
          <w:tab w:val="left" w:pos="680"/>
        </w:tabs>
        <w:spacing w:after="0" w:line="240" w:lineRule="auto"/>
        <w:ind w:right="18"/>
        <w:jc w:val="both"/>
        <w:rPr>
          <w:rFonts w:ascii="Verdana" w:hAnsi="Verdana"/>
          <w:b/>
          <w:sz w:val="20"/>
          <w:szCs w:val="20"/>
        </w:rPr>
      </w:pPr>
      <w:r w:rsidRPr="007865FC">
        <w:rPr>
          <w:rFonts w:ascii="Verdana" w:hAnsi="Verdana"/>
          <w:b/>
          <w:sz w:val="20"/>
          <w:szCs w:val="20"/>
        </w:rPr>
        <w:t>RESUELVE:</w:t>
      </w:r>
    </w:p>
    <w:p w14:paraId="3D535B7C" w14:textId="77777777" w:rsidR="0038765A" w:rsidRPr="007865FC" w:rsidRDefault="0038765A" w:rsidP="00E604E5">
      <w:pPr>
        <w:spacing w:after="0" w:line="240" w:lineRule="auto"/>
        <w:ind w:right="18"/>
        <w:jc w:val="both"/>
        <w:rPr>
          <w:rFonts w:ascii="Verdana" w:hAnsi="Verdana"/>
          <w:sz w:val="20"/>
          <w:szCs w:val="20"/>
          <w:lang w:val="es-GT"/>
        </w:rPr>
      </w:pPr>
    </w:p>
    <w:p w14:paraId="36109951" w14:textId="040F8410" w:rsidR="008D4FA3" w:rsidRPr="00DB28A2" w:rsidRDefault="0038765A" w:rsidP="00C21EE1">
      <w:pPr>
        <w:numPr>
          <w:ilvl w:val="0"/>
          <w:numId w:val="5"/>
        </w:numPr>
        <w:spacing w:before="120" w:after="120" w:line="240" w:lineRule="auto"/>
        <w:ind w:left="0" w:right="17" w:firstLine="0"/>
        <w:jc w:val="both"/>
        <w:rPr>
          <w:rFonts w:ascii="Verdana" w:hAnsi="Verdana"/>
          <w:sz w:val="20"/>
          <w:szCs w:val="20"/>
          <w:lang w:val="es-CO"/>
        </w:rPr>
      </w:pPr>
      <w:r w:rsidRPr="00961A94">
        <w:rPr>
          <w:rFonts w:ascii="Verdana" w:hAnsi="Verdana"/>
          <w:sz w:val="20"/>
          <w:szCs w:val="20"/>
          <w:lang w:val="es-MX"/>
        </w:rPr>
        <w:t xml:space="preserve">Ampliar las medidas provisionales emitidas en el presente </w:t>
      </w:r>
      <w:r w:rsidR="00FE0E18">
        <w:rPr>
          <w:rFonts w:ascii="Verdana" w:hAnsi="Verdana"/>
          <w:sz w:val="20"/>
          <w:szCs w:val="20"/>
          <w:lang w:val="es-MX"/>
        </w:rPr>
        <w:t>caso</w:t>
      </w:r>
      <w:r w:rsidRPr="00961A94">
        <w:rPr>
          <w:rFonts w:ascii="Verdana" w:hAnsi="Verdana"/>
          <w:sz w:val="20"/>
          <w:szCs w:val="20"/>
          <w:lang w:val="es-MX"/>
        </w:rPr>
        <w:t xml:space="preserve">, de tal </w:t>
      </w:r>
      <w:r w:rsidR="00182F18" w:rsidRPr="00961A94">
        <w:rPr>
          <w:rFonts w:ascii="Verdana" w:hAnsi="Verdana"/>
          <w:sz w:val="20"/>
          <w:szCs w:val="20"/>
          <w:lang w:val="es-MX"/>
        </w:rPr>
        <w:t>forma que el Estado de Colombia</w:t>
      </w:r>
      <w:r w:rsidRPr="00961A94">
        <w:rPr>
          <w:rFonts w:ascii="Verdana" w:hAnsi="Verdana"/>
          <w:sz w:val="20"/>
          <w:szCs w:val="20"/>
          <w:lang w:val="es-MX"/>
        </w:rPr>
        <w:t xml:space="preserve"> incluya de manera inmediata dentro de </w:t>
      </w:r>
      <w:r w:rsidR="00003DB7" w:rsidRPr="00961A94">
        <w:rPr>
          <w:rFonts w:ascii="Verdana" w:hAnsi="Verdana"/>
          <w:sz w:val="20"/>
          <w:szCs w:val="20"/>
          <w:lang w:val="es-MX"/>
        </w:rPr>
        <w:t>las medidas ordenadas</w:t>
      </w:r>
      <w:r w:rsidR="008D4FA3" w:rsidRPr="00961A94">
        <w:rPr>
          <w:rFonts w:ascii="Verdana" w:hAnsi="Verdana"/>
          <w:sz w:val="20"/>
          <w:szCs w:val="20"/>
          <w:lang w:val="es-MX"/>
        </w:rPr>
        <w:t xml:space="preserve"> </w:t>
      </w:r>
      <w:r w:rsidRPr="00961A94">
        <w:rPr>
          <w:rFonts w:ascii="Verdana" w:hAnsi="Verdana"/>
          <w:sz w:val="20"/>
          <w:szCs w:val="20"/>
          <w:lang w:val="es-MX"/>
        </w:rPr>
        <w:t xml:space="preserve">a </w:t>
      </w:r>
      <w:r w:rsidR="00961A94" w:rsidRPr="00961A94">
        <w:rPr>
          <w:rFonts w:ascii="Verdana" w:eastAsia="Times" w:hAnsi="Verdana" w:cs="Times New Roman"/>
          <w:sz w:val="20"/>
          <w:szCs w:val="20"/>
          <w:lang w:val="es-CO"/>
        </w:rPr>
        <w:t xml:space="preserve">la señora Nery del Socorro Flórez Contreras, </w:t>
      </w:r>
      <w:r w:rsidR="00FE0E18">
        <w:rPr>
          <w:rFonts w:ascii="Verdana" w:eastAsia="Times" w:hAnsi="Verdana" w:cs="Times New Roman"/>
          <w:sz w:val="20"/>
          <w:szCs w:val="20"/>
          <w:lang w:val="es-CO"/>
        </w:rPr>
        <w:t xml:space="preserve">y a </w:t>
      </w:r>
      <w:r w:rsidR="00FE0E18" w:rsidRPr="00961A94">
        <w:rPr>
          <w:rFonts w:ascii="Verdana" w:eastAsia="Times" w:hAnsi="Verdana" w:cs="Times New Roman"/>
          <w:sz w:val="20"/>
          <w:szCs w:val="20"/>
          <w:lang w:val="es-ES_tradnl"/>
        </w:rPr>
        <w:t xml:space="preserve">los </w:t>
      </w:r>
      <w:r w:rsidR="00FE0E18">
        <w:rPr>
          <w:rFonts w:ascii="Verdana" w:eastAsia="Times" w:hAnsi="Verdana" w:cs="Times New Roman"/>
          <w:sz w:val="20"/>
          <w:szCs w:val="20"/>
          <w:lang w:val="es-ES_tradnl"/>
        </w:rPr>
        <w:t>integrantes</w:t>
      </w:r>
      <w:r w:rsidR="00FE0E18" w:rsidRPr="00961A94">
        <w:rPr>
          <w:rFonts w:ascii="Verdana" w:eastAsia="Times" w:hAnsi="Verdana" w:cs="Times New Roman"/>
          <w:sz w:val="20"/>
          <w:szCs w:val="20"/>
          <w:lang w:val="es-ES_tradnl"/>
        </w:rPr>
        <w:t xml:space="preserve"> </w:t>
      </w:r>
      <w:r w:rsidR="00FE0E18" w:rsidRPr="00961A94">
        <w:rPr>
          <w:rFonts w:ascii="Verdana" w:eastAsia="Times" w:hAnsi="Verdana" w:cs="Times New Roman"/>
          <w:sz w:val="20"/>
          <w:szCs w:val="20"/>
          <w:lang w:val="es-CO"/>
        </w:rPr>
        <w:t xml:space="preserve">de </w:t>
      </w:r>
      <w:r w:rsidR="00FE0E18">
        <w:rPr>
          <w:rFonts w:ascii="Verdana" w:eastAsia="Times" w:hAnsi="Verdana" w:cs="Times New Roman"/>
          <w:sz w:val="20"/>
          <w:szCs w:val="20"/>
          <w:lang w:val="es-CO"/>
        </w:rPr>
        <w:t>su</w:t>
      </w:r>
      <w:r w:rsidR="00FE0E18" w:rsidRPr="00961A94">
        <w:rPr>
          <w:rFonts w:ascii="Verdana" w:eastAsia="Times" w:hAnsi="Verdana" w:cs="Times New Roman"/>
          <w:sz w:val="20"/>
          <w:szCs w:val="20"/>
          <w:lang w:val="es-CO"/>
        </w:rPr>
        <w:t xml:space="preserve"> familia</w:t>
      </w:r>
      <w:r w:rsidR="00961A94" w:rsidRPr="00961A94">
        <w:rPr>
          <w:rFonts w:ascii="Verdana" w:eastAsia="Times" w:hAnsi="Verdana" w:cs="Times New Roman"/>
          <w:sz w:val="20"/>
          <w:szCs w:val="20"/>
          <w:lang w:val="es-CO"/>
        </w:rPr>
        <w:t xml:space="preserve">, a saber: </w:t>
      </w:r>
      <w:proofErr w:type="spellStart"/>
      <w:r w:rsidR="00961A94" w:rsidRPr="00961A94">
        <w:rPr>
          <w:rFonts w:ascii="Verdana" w:eastAsia="Times" w:hAnsi="Verdana" w:cs="Times New Roman"/>
          <w:sz w:val="20"/>
          <w:szCs w:val="20"/>
          <w:lang w:val="es-CO"/>
        </w:rPr>
        <w:t>Shercy</w:t>
      </w:r>
      <w:proofErr w:type="spellEnd"/>
      <w:r w:rsidR="00961A94" w:rsidRPr="00961A94">
        <w:rPr>
          <w:rFonts w:ascii="Verdana" w:eastAsia="Times" w:hAnsi="Verdana" w:cs="Times New Roman"/>
          <w:sz w:val="20"/>
          <w:szCs w:val="20"/>
          <w:lang w:val="es-CO"/>
        </w:rPr>
        <w:t xml:space="preserve"> Pamela Romero Flórez, </w:t>
      </w:r>
      <w:proofErr w:type="spellStart"/>
      <w:r w:rsidR="00961A94" w:rsidRPr="00961A94">
        <w:rPr>
          <w:rFonts w:ascii="Verdana" w:eastAsia="Times" w:hAnsi="Verdana" w:cs="Times New Roman"/>
          <w:sz w:val="20"/>
          <w:szCs w:val="20"/>
          <w:lang w:val="es-CO"/>
        </w:rPr>
        <w:t>Maichol</w:t>
      </w:r>
      <w:proofErr w:type="spellEnd"/>
      <w:r w:rsidR="00961A94" w:rsidRPr="00961A94">
        <w:rPr>
          <w:rFonts w:ascii="Verdana" w:eastAsia="Times" w:hAnsi="Verdana" w:cs="Times New Roman"/>
          <w:sz w:val="20"/>
          <w:szCs w:val="20"/>
          <w:lang w:val="es-CO"/>
        </w:rPr>
        <w:t xml:space="preserve"> </w:t>
      </w:r>
      <w:proofErr w:type="spellStart"/>
      <w:r w:rsidR="00961A94" w:rsidRPr="00961A94">
        <w:rPr>
          <w:rFonts w:ascii="Verdana" w:eastAsia="Times" w:hAnsi="Verdana" w:cs="Times New Roman"/>
          <w:sz w:val="20"/>
          <w:szCs w:val="20"/>
          <w:lang w:val="es-CO"/>
        </w:rPr>
        <w:t>Edilio</w:t>
      </w:r>
      <w:proofErr w:type="spellEnd"/>
      <w:r w:rsidR="00961A94" w:rsidRPr="00961A94">
        <w:rPr>
          <w:rFonts w:ascii="Verdana" w:eastAsia="Times" w:hAnsi="Verdana" w:cs="Times New Roman"/>
          <w:sz w:val="20"/>
          <w:szCs w:val="20"/>
          <w:lang w:val="es-CO"/>
        </w:rPr>
        <w:t xml:space="preserve"> Romero Flórez, Ingrith Johanna Romero Flórez, Geraldine Romero Flórez y Tatiana Romero Flórez</w:t>
      </w:r>
      <w:r w:rsidR="00CA3DF3">
        <w:rPr>
          <w:rFonts w:ascii="Verdana" w:eastAsia="Times" w:hAnsi="Verdana" w:cs="Times New Roman"/>
          <w:sz w:val="20"/>
          <w:szCs w:val="20"/>
          <w:lang w:val="es-CO"/>
        </w:rPr>
        <w:t>, así como sus núcleos familiares respectivos</w:t>
      </w:r>
      <w:r w:rsidR="00961A94" w:rsidRPr="00961A94">
        <w:rPr>
          <w:rFonts w:ascii="Verdana" w:eastAsia="Times" w:hAnsi="Verdana" w:cs="Times New Roman"/>
          <w:sz w:val="20"/>
          <w:szCs w:val="20"/>
          <w:lang w:val="es-CO"/>
        </w:rPr>
        <w:t>.</w:t>
      </w:r>
    </w:p>
    <w:p w14:paraId="36A9E870" w14:textId="70C78BE7" w:rsidR="00DB28A2" w:rsidRPr="00961A94" w:rsidRDefault="00DB28A2" w:rsidP="00C21EE1">
      <w:pPr>
        <w:numPr>
          <w:ilvl w:val="0"/>
          <w:numId w:val="5"/>
        </w:numPr>
        <w:spacing w:before="120" w:after="120" w:line="240" w:lineRule="auto"/>
        <w:ind w:left="0" w:right="17" w:firstLine="0"/>
        <w:jc w:val="both"/>
        <w:rPr>
          <w:rFonts w:ascii="Verdana" w:hAnsi="Verdana"/>
          <w:sz w:val="20"/>
          <w:szCs w:val="20"/>
          <w:lang w:val="es-CO"/>
        </w:rPr>
      </w:pPr>
      <w:r>
        <w:rPr>
          <w:rFonts w:ascii="Verdana" w:eastAsia="Times" w:hAnsi="Verdana" w:cs="Times New Roman"/>
          <w:sz w:val="20"/>
          <w:szCs w:val="20"/>
          <w:lang w:val="es-CO"/>
        </w:rPr>
        <w:lastRenderedPageBreak/>
        <w:t xml:space="preserve">Los representantes deberán informar, a más tardar el día 6 de abril de 2020, la identidad de las personas que constituyen los núcleos familiares </w:t>
      </w:r>
      <w:r w:rsidR="00723E11">
        <w:rPr>
          <w:rFonts w:ascii="Verdana" w:eastAsia="Times" w:hAnsi="Verdana" w:cs="Times New Roman"/>
          <w:sz w:val="20"/>
          <w:szCs w:val="20"/>
          <w:lang w:val="es-CO"/>
        </w:rPr>
        <w:t xml:space="preserve">de los beneficiarios </w:t>
      </w:r>
      <w:r>
        <w:rPr>
          <w:rFonts w:ascii="Verdana" w:eastAsia="Times" w:hAnsi="Verdana" w:cs="Times New Roman"/>
          <w:sz w:val="20"/>
          <w:szCs w:val="20"/>
          <w:lang w:val="es-CO"/>
        </w:rPr>
        <w:t>para los efectos de lo dispuesto en el punto resolutivo 1.</w:t>
      </w:r>
    </w:p>
    <w:p w14:paraId="046DF631" w14:textId="30D9D7E2" w:rsidR="00DE555E" w:rsidRPr="00961A94" w:rsidRDefault="00DE555E" w:rsidP="00DE555E">
      <w:pPr>
        <w:numPr>
          <w:ilvl w:val="0"/>
          <w:numId w:val="5"/>
        </w:numPr>
        <w:spacing w:before="120" w:after="120" w:line="240" w:lineRule="auto"/>
        <w:ind w:left="0" w:right="17" w:firstLine="0"/>
        <w:jc w:val="both"/>
        <w:rPr>
          <w:rFonts w:ascii="Verdana" w:hAnsi="Verdana"/>
          <w:sz w:val="20"/>
          <w:szCs w:val="20"/>
          <w:lang w:val="es-CO"/>
        </w:rPr>
      </w:pPr>
      <w:r w:rsidRPr="00DE555E">
        <w:rPr>
          <w:rFonts w:ascii="Verdana" w:hAnsi="Verdana"/>
          <w:sz w:val="20"/>
          <w:szCs w:val="20"/>
          <w:lang w:val="es-GT"/>
        </w:rPr>
        <w:t xml:space="preserve">El Estado deberá coordinar inmediatamente con los beneficiarios de estas medidas, o sus representantes, la planificación e implementación de las mismas y que, en general, les mantenga informados sobre el avance de su </w:t>
      </w:r>
      <w:r w:rsidRPr="00DE555E">
        <w:rPr>
          <w:rFonts w:ascii="Verdana" w:hAnsi="Verdana"/>
          <w:sz w:val="20"/>
          <w:szCs w:val="20"/>
          <w:lang w:val="es-CR"/>
        </w:rPr>
        <w:t>ejecución</w:t>
      </w:r>
      <w:r>
        <w:rPr>
          <w:rFonts w:ascii="Verdana" w:hAnsi="Verdana"/>
          <w:sz w:val="20"/>
          <w:szCs w:val="20"/>
          <w:lang w:val="es-CR"/>
        </w:rPr>
        <w:t>.</w:t>
      </w:r>
    </w:p>
    <w:p w14:paraId="0FFC507C" w14:textId="3A222F1E" w:rsidR="00C21EE1" w:rsidRDefault="00C21EE1" w:rsidP="00C21EE1">
      <w:pPr>
        <w:numPr>
          <w:ilvl w:val="0"/>
          <w:numId w:val="5"/>
        </w:numPr>
        <w:spacing w:before="120" w:after="120" w:line="240" w:lineRule="auto"/>
        <w:ind w:left="0" w:right="17" w:firstLine="0"/>
        <w:jc w:val="both"/>
        <w:rPr>
          <w:rFonts w:ascii="Verdana" w:hAnsi="Verdana"/>
          <w:sz w:val="20"/>
          <w:szCs w:val="20"/>
          <w:lang w:val="es-CR"/>
        </w:rPr>
      </w:pPr>
      <w:r w:rsidRPr="007865FC">
        <w:rPr>
          <w:rFonts w:ascii="Verdana" w:hAnsi="Verdana"/>
          <w:sz w:val="20"/>
          <w:szCs w:val="20"/>
          <w:lang w:val="es-CR"/>
        </w:rPr>
        <w:t xml:space="preserve">Requerir al Estado que </w:t>
      </w:r>
      <w:r>
        <w:rPr>
          <w:rFonts w:ascii="Verdana" w:hAnsi="Verdana"/>
          <w:sz w:val="20"/>
          <w:szCs w:val="20"/>
          <w:lang w:val="es-CR"/>
        </w:rPr>
        <w:t xml:space="preserve">presente información actualizada </w:t>
      </w:r>
      <w:r w:rsidR="00EA349E">
        <w:rPr>
          <w:rFonts w:ascii="Verdana" w:hAnsi="Verdana"/>
          <w:sz w:val="20"/>
          <w:szCs w:val="20"/>
          <w:lang w:val="es-CR"/>
        </w:rPr>
        <w:t xml:space="preserve">a la Corte </w:t>
      </w:r>
      <w:r>
        <w:rPr>
          <w:rFonts w:ascii="Verdana" w:hAnsi="Verdana"/>
          <w:sz w:val="20"/>
          <w:szCs w:val="20"/>
          <w:lang w:val="es-CR"/>
        </w:rPr>
        <w:t xml:space="preserve">sobre las medidas de protección que fueron adoptadas a favor de las personas mencionadas en el punto resolutivo 1 </w:t>
      </w:r>
      <w:r w:rsidR="00DE555E">
        <w:rPr>
          <w:rFonts w:ascii="Verdana" w:hAnsi="Verdana"/>
          <w:sz w:val="20"/>
          <w:szCs w:val="20"/>
          <w:lang w:val="es-CR"/>
        </w:rPr>
        <w:t>a más tardar el 22 de abril de 2020</w:t>
      </w:r>
      <w:r>
        <w:rPr>
          <w:rFonts w:ascii="Verdana" w:hAnsi="Verdana"/>
          <w:sz w:val="20"/>
          <w:szCs w:val="20"/>
          <w:lang w:val="es-CR"/>
        </w:rPr>
        <w:t>.</w:t>
      </w:r>
    </w:p>
    <w:p w14:paraId="70CC5562" w14:textId="53F1FC69" w:rsidR="0038765A" w:rsidRDefault="0038765A" w:rsidP="00C21EE1">
      <w:pPr>
        <w:numPr>
          <w:ilvl w:val="0"/>
          <w:numId w:val="5"/>
        </w:numPr>
        <w:spacing w:before="120" w:after="120" w:line="240" w:lineRule="auto"/>
        <w:ind w:left="0" w:right="17" w:firstLine="0"/>
        <w:jc w:val="both"/>
        <w:rPr>
          <w:rFonts w:ascii="Verdana" w:hAnsi="Verdana"/>
          <w:sz w:val="20"/>
          <w:szCs w:val="20"/>
          <w:lang w:val="es-CR"/>
        </w:rPr>
      </w:pPr>
      <w:r w:rsidRPr="007865FC">
        <w:rPr>
          <w:rFonts w:ascii="Verdana" w:hAnsi="Verdana"/>
          <w:sz w:val="20"/>
          <w:szCs w:val="20"/>
          <w:lang w:val="es-CR"/>
        </w:rPr>
        <w:t>Requerir al Estado que continú</w:t>
      </w:r>
      <w:r w:rsidR="00961A94">
        <w:rPr>
          <w:rFonts w:ascii="Verdana" w:hAnsi="Verdana"/>
          <w:sz w:val="20"/>
          <w:szCs w:val="20"/>
          <w:lang w:val="es-CR"/>
        </w:rPr>
        <w:t>e informando a la Corte cada do</w:t>
      </w:r>
      <w:r w:rsidRPr="007865FC">
        <w:rPr>
          <w:rFonts w:ascii="Verdana" w:hAnsi="Verdana"/>
          <w:sz w:val="20"/>
          <w:szCs w:val="20"/>
          <w:lang w:val="es-CR"/>
        </w:rPr>
        <w:t>s meses, contados a partir de la remisión de su último informe, sobre las medidas provisionales adoptadas</w:t>
      </w:r>
      <w:r w:rsidR="00C34308">
        <w:rPr>
          <w:rFonts w:ascii="Verdana" w:hAnsi="Verdana"/>
          <w:sz w:val="20"/>
          <w:szCs w:val="20"/>
          <w:lang w:val="es-CR"/>
        </w:rPr>
        <w:t>.</w:t>
      </w:r>
    </w:p>
    <w:p w14:paraId="6439399E" w14:textId="18B4DA88" w:rsidR="001844A0" w:rsidRDefault="0038765A" w:rsidP="00E604E5">
      <w:pPr>
        <w:numPr>
          <w:ilvl w:val="0"/>
          <w:numId w:val="5"/>
        </w:numPr>
        <w:spacing w:after="0" w:line="240" w:lineRule="auto"/>
        <w:ind w:left="0" w:right="18" w:firstLine="0"/>
        <w:jc w:val="both"/>
        <w:rPr>
          <w:rFonts w:ascii="Verdana" w:hAnsi="Verdana"/>
          <w:sz w:val="20"/>
          <w:szCs w:val="20"/>
          <w:lang w:val="es-CR"/>
        </w:rPr>
      </w:pPr>
      <w:r w:rsidRPr="007865FC">
        <w:rPr>
          <w:rFonts w:ascii="Verdana" w:hAnsi="Verdana"/>
          <w:sz w:val="20"/>
          <w:szCs w:val="20"/>
          <w:lang w:val="es-GT"/>
        </w:rPr>
        <w:t>Disponer que</w:t>
      </w:r>
      <w:r w:rsidRPr="007865FC">
        <w:rPr>
          <w:rFonts w:ascii="Verdana" w:hAnsi="Verdana"/>
          <w:sz w:val="20"/>
          <w:szCs w:val="20"/>
          <w:lang w:val="es-MX"/>
        </w:rPr>
        <w:t xml:space="preserve"> la Secretaría de la Corte notifique la presente R</w:t>
      </w:r>
      <w:r w:rsidR="00961A94">
        <w:rPr>
          <w:rFonts w:ascii="Verdana" w:hAnsi="Verdana"/>
          <w:sz w:val="20"/>
          <w:szCs w:val="20"/>
          <w:lang w:val="es-MX"/>
        </w:rPr>
        <w:t>esolución al Estado de Colombia</w:t>
      </w:r>
      <w:r w:rsidRPr="007865FC">
        <w:rPr>
          <w:rFonts w:ascii="Verdana" w:hAnsi="Verdana"/>
          <w:sz w:val="20"/>
          <w:szCs w:val="20"/>
          <w:lang w:val="es-MX"/>
        </w:rPr>
        <w:t xml:space="preserve">, a la Comisión Interamericana y </w:t>
      </w:r>
      <w:r w:rsidRPr="007865FC">
        <w:rPr>
          <w:rFonts w:ascii="Verdana" w:hAnsi="Verdana"/>
          <w:sz w:val="20"/>
          <w:szCs w:val="20"/>
          <w:lang w:val="es-CR"/>
        </w:rPr>
        <w:t>a la representación de los beneficiarios.</w:t>
      </w:r>
    </w:p>
    <w:p w14:paraId="3F2E939C" w14:textId="6F4E5C6C" w:rsidR="0038765A" w:rsidRPr="00CA01A8" w:rsidRDefault="0038765A" w:rsidP="00CA01A8">
      <w:pPr>
        <w:spacing w:after="0" w:line="240" w:lineRule="auto"/>
        <w:rPr>
          <w:rFonts w:ascii="Verdana" w:hAnsi="Verdana"/>
          <w:sz w:val="20"/>
          <w:szCs w:val="20"/>
          <w:lang w:val="pt-BR"/>
        </w:rPr>
      </w:pPr>
    </w:p>
    <w:p w14:paraId="2CC3279C" w14:textId="6B3BE6BD" w:rsidR="00CA01A8" w:rsidRPr="00CA01A8" w:rsidRDefault="00CA01A8" w:rsidP="00CA01A8">
      <w:pPr>
        <w:spacing w:after="0" w:line="240" w:lineRule="auto"/>
        <w:rPr>
          <w:rFonts w:ascii="Verdana" w:hAnsi="Verdana"/>
          <w:sz w:val="20"/>
          <w:szCs w:val="20"/>
          <w:lang w:val="pt-BR"/>
        </w:rPr>
      </w:pPr>
    </w:p>
    <w:p w14:paraId="25BFB43E" w14:textId="0F36BE0D" w:rsidR="00CA01A8" w:rsidRDefault="00CA01A8" w:rsidP="00CA01A8">
      <w:pPr>
        <w:spacing w:after="0" w:line="240" w:lineRule="auto"/>
        <w:rPr>
          <w:rFonts w:ascii="Verdana" w:hAnsi="Verdana"/>
          <w:sz w:val="20"/>
          <w:szCs w:val="20"/>
          <w:lang w:val="pt-BR"/>
        </w:rPr>
      </w:pPr>
    </w:p>
    <w:p w14:paraId="279BC2F2" w14:textId="4872F3F1" w:rsidR="00CA01A8" w:rsidRPr="00CA01A8" w:rsidRDefault="00CA01A8" w:rsidP="00CA01A8">
      <w:pPr>
        <w:spacing w:after="0" w:line="240" w:lineRule="auto"/>
        <w:rPr>
          <w:rFonts w:ascii="Verdana" w:hAnsi="Verdana"/>
          <w:sz w:val="20"/>
          <w:szCs w:val="20"/>
          <w:lang w:val="pt-BR"/>
        </w:rPr>
      </w:pPr>
    </w:p>
    <w:p w14:paraId="308FDE1A" w14:textId="2C3C90CC" w:rsidR="00EB0075" w:rsidRPr="00CA01A8" w:rsidRDefault="00EB0075" w:rsidP="00CA01A8">
      <w:pPr>
        <w:spacing w:after="0" w:line="240" w:lineRule="auto"/>
        <w:rPr>
          <w:rFonts w:ascii="Verdana" w:hAnsi="Verdana"/>
          <w:sz w:val="20"/>
          <w:szCs w:val="20"/>
          <w:lang w:val="pt-BR"/>
        </w:rPr>
      </w:pPr>
    </w:p>
    <w:p w14:paraId="1A4846F1" w14:textId="0CDBE1AF" w:rsidR="00EB0075" w:rsidRPr="00CA01A8" w:rsidRDefault="00EB0075" w:rsidP="00CA01A8">
      <w:pPr>
        <w:spacing w:after="0" w:line="240" w:lineRule="auto"/>
        <w:rPr>
          <w:rFonts w:ascii="Verdana" w:hAnsi="Verdana"/>
          <w:sz w:val="20"/>
          <w:szCs w:val="20"/>
          <w:lang w:val="pt-BR"/>
        </w:rPr>
      </w:pPr>
    </w:p>
    <w:p w14:paraId="27880F7D" w14:textId="299567C2" w:rsidR="00C21EE1" w:rsidRPr="00CA01A8" w:rsidRDefault="00C21EE1" w:rsidP="00C21EE1">
      <w:pPr>
        <w:spacing w:after="0" w:line="240" w:lineRule="auto"/>
        <w:ind w:left="4248" w:firstLine="5"/>
        <w:jc w:val="center"/>
        <w:rPr>
          <w:rFonts w:ascii="Verdana" w:hAnsi="Verdana"/>
          <w:sz w:val="20"/>
          <w:szCs w:val="20"/>
          <w:lang w:val="es-CR"/>
        </w:rPr>
      </w:pPr>
      <w:r w:rsidRPr="00CA01A8">
        <w:rPr>
          <w:rFonts w:ascii="Verdana" w:hAnsi="Verdana"/>
          <w:sz w:val="20"/>
          <w:szCs w:val="20"/>
          <w:lang w:val="es-CR"/>
        </w:rPr>
        <w:t>Elizabeth Odio Benito</w:t>
      </w:r>
    </w:p>
    <w:p w14:paraId="29C6EF3A" w14:textId="45D2B331" w:rsidR="00C21EE1" w:rsidRPr="00CA01A8" w:rsidRDefault="00C21EE1" w:rsidP="00C21EE1">
      <w:pPr>
        <w:spacing w:after="0" w:line="240" w:lineRule="auto"/>
        <w:ind w:left="4253"/>
        <w:jc w:val="center"/>
        <w:rPr>
          <w:rFonts w:ascii="Verdana" w:hAnsi="Verdana"/>
          <w:sz w:val="20"/>
          <w:szCs w:val="20"/>
          <w:lang w:val="es-CR"/>
        </w:rPr>
      </w:pPr>
      <w:r w:rsidRPr="00CA01A8">
        <w:rPr>
          <w:rFonts w:ascii="Verdana" w:hAnsi="Verdana"/>
          <w:sz w:val="20"/>
          <w:szCs w:val="20"/>
          <w:lang w:val="es-CR"/>
        </w:rPr>
        <w:t>President</w:t>
      </w:r>
      <w:r w:rsidR="00925655" w:rsidRPr="00CA01A8">
        <w:rPr>
          <w:rFonts w:ascii="Verdana" w:hAnsi="Verdana"/>
          <w:sz w:val="20"/>
          <w:szCs w:val="20"/>
          <w:lang w:val="es-CR"/>
        </w:rPr>
        <w:t>a</w:t>
      </w:r>
    </w:p>
    <w:p w14:paraId="4FD43C1E" w14:textId="3E5FBFAF" w:rsidR="00C21EE1" w:rsidRPr="00CA01A8" w:rsidRDefault="00C21EE1" w:rsidP="00C21EE1">
      <w:pPr>
        <w:spacing w:after="0" w:line="240" w:lineRule="auto"/>
        <w:ind w:left="4956" w:firstLine="708"/>
        <w:jc w:val="both"/>
        <w:rPr>
          <w:rFonts w:ascii="Verdana" w:hAnsi="Verdana"/>
          <w:sz w:val="20"/>
          <w:szCs w:val="20"/>
          <w:lang w:val="es-CR"/>
        </w:rPr>
      </w:pPr>
    </w:p>
    <w:p w14:paraId="1C131FA5" w14:textId="45EE3275" w:rsidR="00C21EE1" w:rsidRPr="00CA01A8" w:rsidRDefault="00C21EE1" w:rsidP="00C21EE1">
      <w:pPr>
        <w:spacing w:after="0" w:line="240" w:lineRule="auto"/>
        <w:ind w:left="4956" w:firstLine="708"/>
        <w:jc w:val="both"/>
        <w:rPr>
          <w:rFonts w:ascii="Verdana" w:hAnsi="Verdana"/>
          <w:sz w:val="20"/>
          <w:szCs w:val="20"/>
          <w:lang w:val="es-CR"/>
        </w:rPr>
      </w:pPr>
    </w:p>
    <w:p w14:paraId="24B1C121" w14:textId="5511494A" w:rsidR="00C21EE1" w:rsidRDefault="00C21EE1" w:rsidP="00C21EE1">
      <w:pPr>
        <w:spacing w:after="0" w:line="240" w:lineRule="auto"/>
        <w:ind w:left="4956" w:firstLine="708"/>
        <w:jc w:val="both"/>
        <w:rPr>
          <w:rFonts w:ascii="Verdana" w:hAnsi="Verdana"/>
          <w:sz w:val="20"/>
          <w:szCs w:val="20"/>
          <w:lang w:val="es-CR"/>
        </w:rPr>
      </w:pPr>
    </w:p>
    <w:p w14:paraId="13356F95" w14:textId="518E9E41" w:rsidR="00CA01A8" w:rsidRPr="00CA01A8" w:rsidRDefault="00CA01A8" w:rsidP="00C21EE1">
      <w:pPr>
        <w:spacing w:after="0" w:line="240" w:lineRule="auto"/>
        <w:ind w:left="4956" w:firstLine="708"/>
        <w:jc w:val="both"/>
        <w:rPr>
          <w:rFonts w:ascii="Verdana" w:hAnsi="Verdana"/>
          <w:sz w:val="20"/>
          <w:szCs w:val="20"/>
          <w:lang w:val="es-CR"/>
        </w:rPr>
      </w:pPr>
    </w:p>
    <w:p w14:paraId="524ACDB4" w14:textId="40591475" w:rsidR="00C21EE1" w:rsidRPr="00CA01A8" w:rsidRDefault="00C21EE1" w:rsidP="00C21EE1">
      <w:pPr>
        <w:spacing w:after="0" w:line="240" w:lineRule="auto"/>
        <w:ind w:left="4956" w:firstLine="708"/>
        <w:jc w:val="both"/>
        <w:rPr>
          <w:rFonts w:ascii="Verdana" w:hAnsi="Verdana"/>
          <w:sz w:val="20"/>
          <w:szCs w:val="20"/>
          <w:lang w:val="es-CR"/>
        </w:rPr>
      </w:pPr>
    </w:p>
    <w:p w14:paraId="1AC24D82" w14:textId="77777777" w:rsidR="00C21EE1" w:rsidRPr="00CA01A8" w:rsidRDefault="00C21EE1" w:rsidP="00DE555E">
      <w:pPr>
        <w:spacing w:after="0" w:line="240" w:lineRule="auto"/>
        <w:ind w:right="6241"/>
        <w:rPr>
          <w:rFonts w:ascii="Verdana" w:hAnsi="Verdana"/>
          <w:sz w:val="20"/>
          <w:szCs w:val="20"/>
          <w:lang w:val="es-CR"/>
        </w:rPr>
      </w:pPr>
      <w:r w:rsidRPr="00CA01A8">
        <w:rPr>
          <w:rFonts w:ascii="Verdana" w:hAnsi="Verdana"/>
          <w:sz w:val="20"/>
          <w:szCs w:val="20"/>
          <w:lang w:val="es-CR"/>
        </w:rPr>
        <w:t>Pablo Saavedra Alessandri</w:t>
      </w:r>
    </w:p>
    <w:p w14:paraId="2B2422E9" w14:textId="77777777" w:rsidR="00C21EE1" w:rsidRPr="00CA01A8" w:rsidRDefault="00C21EE1" w:rsidP="00EB0075">
      <w:pPr>
        <w:spacing w:after="0" w:line="240" w:lineRule="auto"/>
        <w:ind w:right="6241"/>
        <w:rPr>
          <w:rFonts w:ascii="Verdana" w:hAnsi="Verdana"/>
          <w:sz w:val="20"/>
          <w:szCs w:val="20"/>
          <w:lang w:val="es-CR"/>
        </w:rPr>
      </w:pPr>
      <w:r w:rsidRPr="00CA01A8">
        <w:rPr>
          <w:rFonts w:ascii="Verdana" w:hAnsi="Verdana"/>
          <w:sz w:val="20"/>
          <w:szCs w:val="20"/>
          <w:lang w:val="es-CR"/>
        </w:rPr>
        <w:t xml:space="preserve">            Secretario</w:t>
      </w:r>
    </w:p>
    <w:p w14:paraId="245BFE57" w14:textId="77777777" w:rsidR="00C21EE1" w:rsidRPr="00CA01A8" w:rsidRDefault="00C21EE1" w:rsidP="00C21EE1">
      <w:pPr>
        <w:spacing w:after="0" w:line="240" w:lineRule="auto"/>
        <w:rPr>
          <w:rFonts w:ascii="Verdana" w:hAnsi="Verdana"/>
          <w:sz w:val="20"/>
          <w:szCs w:val="20"/>
          <w:lang w:val="es-CR"/>
        </w:rPr>
      </w:pPr>
    </w:p>
    <w:p w14:paraId="78392432" w14:textId="0406567D" w:rsidR="00C21EE1" w:rsidRDefault="00C21EE1" w:rsidP="00C21EE1">
      <w:pPr>
        <w:spacing w:after="0" w:line="240" w:lineRule="auto"/>
        <w:rPr>
          <w:rFonts w:ascii="Verdana" w:hAnsi="Verdana"/>
          <w:sz w:val="20"/>
          <w:szCs w:val="20"/>
          <w:lang w:val="es-CR"/>
        </w:rPr>
      </w:pPr>
    </w:p>
    <w:p w14:paraId="0230A519" w14:textId="77777777" w:rsidR="00CA01A8" w:rsidRPr="00CA01A8" w:rsidRDefault="00CA01A8" w:rsidP="00C21EE1">
      <w:pPr>
        <w:spacing w:after="0" w:line="240" w:lineRule="auto"/>
        <w:rPr>
          <w:rFonts w:ascii="Verdana" w:hAnsi="Verdana"/>
          <w:sz w:val="20"/>
          <w:szCs w:val="20"/>
          <w:lang w:val="es-CR"/>
        </w:rPr>
      </w:pPr>
    </w:p>
    <w:p w14:paraId="432E9524" w14:textId="77777777" w:rsidR="00C21EE1" w:rsidRPr="00CA01A8" w:rsidRDefault="00C21EE1" w:rsidP="00C21EE1">
      <w:pPr>
        <w:spacing w:after="0" w:line="240" w:lineRule="auto"/>
        <w:rPr>
          <w:rFonts w:ascii="Verdana" w:hAnsi="Verdana"/>
          <w:sz w:val="20"/>
          <w:szCs w:val="20"/>
          <w:lang w:val="es-CR"/>
        </w:rPr>
      </w:pPr>
    </w:p>
    <w:p w14:paraId="6D1C4D08" w14:textId="4BD3925E" w:rsidR="00C21EE1" w:rsidRPr="00CA01A8" w:rsidRDefault="00C21EE1" w:rsidP="00C21EE1">
      <w:pPr>
        <w:spacing w:after="0" w:line="240" w:lineRule="auto"/>
        <w:rPr>
          <w:rFonts w:ascii="Verdana" w:hAnsi="Verdana"/>
          <w:sz w:val="20"/>
          <w:szCs w:val="20"/>
          <w:lang w:val="es-CR"/>
        </w:rPr>
      </w:pPr>
    </w:p>
    <w:p w14:paraId="71C42CA1" w14:textId="4DB06B35" w:rsidR="00C21EE1" w:rsidRPr="00CA01A8" w:rsidRDefault="00C21EE1" w:rsidP="00C21EE1">
      <w:pPr>
        <w:spacing w:after="0" w:line="240" w:lineRule="auto"/>
        <w:rPr>
          <w:rFonts w:ascii="Verdana" w:hAnsi="Verdana"/>
          <w:sz w:val="20"/>
          <w:szCs w:val="20"/>
          <w:lang w:val="es-CR"/>
        </w:rPr>
      </w:pPr>
      <w:r w:rsidRPr="00CA01A8">
        <w:rPr>
          <w:rFonts w:ascii="Verdana" w:hAnsi="Verdana"/>
          <w:sz w:val="20"/>
          <w:szCs w:val="20"/>
          <w:lang w:val="es-CR"/>
        </w:rPr>
        <w:t>Comuníquese y ejecútese,</w:t>
      </w:r>
    </w:p>
    <w:p w14:paraId="76427FE8" w14:textId="6147C982" w:rsidR="00C21EE1" w:rsidRDefault="00C21EE1" w:rsidP="00C21EE1">
      <w:pPr>
        <w:spacing w:after="0" w:line="240" w:lineRule="auto"/>
        <w:ind w:left="4248" w:firstLine="708"/>
        <w:jc w:val="both"/>
        <w:rPr>
          <w:rFonts w:ascii="Verdana" w:hAnsi="Verdana"/>
          <w:sz w:val="20"/>
          <w:szCs w:val="20"/>
          <w:lang w:val="es-CR"/>
        </w:rPr>
      </w:pPr>
    </w:p>
    <w:p w14:paraId="1D71DD7B" w14:textId="62D7D802" w:rsidR="00CA01A8" w:rsidRPr="00CA01A8" w:rsidRDefault="00CA01A8" w:rsidP="00C21EE1">
      <w:pPr>
        <w:spacing w:after="0" w:line="240" w:lineRule="auto"/>
        <w:ind w:left="4248" w:firstLine="708"/>
        <w:jc w:val="both"/>
        <w:rPr>
          <w:rFonts w:ascii="Verdana" w:hAnsi="Verdana"/>
          <w:sz w:val="20"/>
          <w:szCs w:val="20"/>
          <w:lang w:val="es-CR"/>
        </w:rPr>
      </w:pPr>
    </w:p>
    <w:p w14:paraId="7031DD37" w14:textId="2A8BBBCD" w:rsidR="00C21EE1" w:rsidRPr="00CA01A8" w:rsidRDefault="00571CC8" w:rsidP="00571CC8">
      <w:pPr>
        <w:tabs>
          <w:tab w:val="left" w:pos="6312"/>
        </w:tabs>
        <w:spacing w:after="0" w:line="240" w:lineRule="auto"/>
        <w:ind w:left="4248" w:firstLine="708"/>
        <w:jc w:val="both"/>
        <w:rPr>
          <w:rFonts w:ascii="Verdana" w:hAnsi="Verdana"/>
          <w:sz w:val="20"/>
          <w:szCs w:val="20"/>
          <w:lang w:val="es-CR"/>
        </w:rPr>
      </w:pPr>
      <w:r>
        <w:rPr>
          <w:rFonts w:ascii="Verdana" w:hAnsi="Verdana"/>
          <w:sz w:val="20"/>
          <w:szCs w:val="20"/>
          <w:lang w:val="es-CR"/>
        </w:rPr>
        <w:tab/>
      </w:r>
    </w:p>
    <w:p w14:paraId="44008396" w14:textId="040DB1E4" w:rsidR="00C21EE1" w:rsidRPr="00CA01A8" w:rsidRDefault="00C21EE1" w:rsidP="00C21EE1">
      <w:pPr>
        <w:spacing w:after="0" w:line="240" w:lineRule="auto"/>
        <w:ind w:left="4248" w:firstLine="708"/>
        <w:jc w:val="both"/>
        <w:rPr>
          <w:rFonts w:ascii="Verdana" w:hAnsi="Verdana"/>
          <w:sz w:val="20"/>
          <w:szCs w:val="20"/>
          <w:lang w:val="es-CR"/>
        </w:rPr>
      </w:pPr>
    </w:p>
    <w:p w14:paraId="62C4EE07" w14:textId="1C4C74EF" w:rsidR="00C21EE1" w:rsidRPr="00CA01A8" w:rsidRDefault="00C21EE1" w:rsidP="00C21EE1">
      <w:pPr>
        <w:spacing w:after="0" w:line="240" w:lineRule="auto"/>
        <w:ind w:left="4248" w:firstLine="708"/>
        <w:jc w:val="both"/>
        <w:rPr>
          <w:rFonts w:ascii="Verdana" w:hAnsi="Verdana"/>
          <w:sz w:val="20"/>
          <w:szCs w:val="20"/>
          <w:lang w:val="es-CR"/>
        </w:rPr>
      </w:pPr>
    </w:p>
    <w:p w14:paraId="37EC68E5" w14:textId="1EEDB2C9" w:rsidR="00C21EE1" w:rsidRPr="00CA01A8" w:rsidRDefault="00C21EE1" w:rsidP="00C21EE1">
      <w:pPr>
        <w:spacing w:after="0" w:line="240" w:lineRule="auto"/>
        <w:ind w:left="4956" w:firstLine="6"/>
        <w:jc w:val="center"/>
        <w:rPr>
          <w:rFonts w:ascii="Verdana" w:hAnsi="Verdana"/>
          <w:sz w:val="20"/>
          <w:szCs w:val="20"/>
          <w:lang w:val="es-CR"/>
        </w:rPr>
      </w:pPr>
      <w:r w:rsidRPr="00CA01A8">
        <w:rPr>
          <w:rFonts w:ascii="Verdana" w:hAnsi="Verdana"/>
          <w:sz w:val="20"/>
          <w:szCs w:val="20"/>
          <w:lang w:val="es-CR"/>
        </w:rPr>
        <w:t>Elizabeth Odio Benito</w:t>
      </w:r>
    </w:p>
    <w:p w14:paraId="0380F7AE" w14:textId="11386BF4" w:rsidR="00C21EE1" w:rsidRPr="00CA01A8" w:rsidRDefault="00C21EE1" w:rsidP="00C21EE1">
      <w:pPr>
        <w:spacing w:after="0" w:line="240" w:lineRule="auto"/>
        <w:ind w:left="4956" w:firstLine="6"/>
        <w:jc w:val="center"/>
        <w:rPr>
          <w:rFonts w:ascii="Verdana" w:hAnsi="Verdana"/>
          <w:sz w:val="20"/>
          <w:szCs w:val="20"/>
          <w:lang w:val="es-CR"/>
        </w:rPr>
      </w:pPr>
      <w:r w:rsidRPr="00CA01A8">
        <w:rPr>
          <w:rFonts w:ascii="Verdana" w:hAnsi="Verdana"/>
          <w:sz w:val="20"/>
          <w:szCs w:val="20"/>
          <w:lang w:val="es-CR"/>
        </w:rPr>
        <w:t>President</w:t>
      </w:r>
      <w:r w:rsidR="00925655" w:rsidRPr="00CA01A8">
        <w:rPr>
          <w:rFonts w:ascii="Verdana" w:hAnsi="Verdana"/>
          <w:sz w:val="20"/>
          <w:szCs w:val="20"/>
          <w:lang w:val="es-CR"/>
        </w:rPr>
        <w:t>a</w:t>
      </w:r>
    </w:p>
    <w:p w14:paraId="05AA8390" w14:textId="7BCA4134" w:rsidR="00C21EE1" w:rsidRPr="00CA01A8" w:rsidRDefault="00C21EE1" w:rsidP="00C21EE1">
      <w:pPr>
        <w:spacing w:after="0" w:line="240" w:lineRule="auto"/>
        <w:ind w:left="4956" w:firstLine="708"/>
        <w:jc w:val="both"/>
        <w:rPr>
          <w:rFonts w:ascii="Verdana" w:hAnsi="Verdana"/>
          <w:sz w:val="20"/>
          <w:szCs w:val="20"/>
          <w:lang w:val="es-CR"/>
        </w:rPr>
      </w:pPr>
    </w:p>
    <w:p w14:paraId="179CA163" w14:textId="21700318" w:rsidR="00C21EE1" w:rsidRPr="00CA01A8" w:rsidRDefault="00C21EE1" w:rsidP="00C21EE1">
      <w:pPr>
        <w:spacing w:after="0" w:line="240" w:lineRule="auto"/>
        <w:ind w:left="4956" w:firstLine="708"/>
        <w:jc w:val="both"/>
        <w:rPr>
          <w:rFonts w:ascii="Verdana" w:hAnsi="Verdana"/>
          <w:sz w:val="20"/>
          <w:szCs w:val="20"/>
          <w:lang w:val="es-CR"/>
        </w:rPr>
      </w:pPr>
    </w:p>
    <w:p w14:paraId="6EE816B3" w14:textId="77777777" w:rsidR="00C21EE1" w:rsidRPr="00CA01A8" w:rsidRDefault="00C21EE1" w:rsidP="00C21EE1">
      <w:pPr>
        <w:spacing w:after="0" w:line="240" w:lineRule="auto"/>
        <w:ind w:left="4956" w:firstLine="708"/>
        <w:jc w:val="both"/>
        <w:rPr>
          <w:rFonts w:ascii="Verdana" w:hAnsi="Verdana"/>
          <w:sz w:val="20"/>
          <w:szCs w:val="20"/>
          <w:lang w:val="es-CR"/>
        </w:rPr>
      </w:pPr>
    </w:p>
    <w:p w14:paraId="58BBB2A8" w14:textId="2BDB96CA" w:rsidR="00C21EE1" w:rsidRPr="00CA01A8" w:rsidRDefault="00C21EE1" w:rsidP="00C21EE1">
      <w:pPr>
        <w:spacing w:after="0" w:line="240" w:lineRule="auto"/>
        <w:ind w:left="4956" w:firstLine="708"/>
        <w:jc w:val="both"/>
        <w:rPr>
          <w:rFonts w:ascii="Verdana" w:hAnsi="Verdana"/>
          <w:sz w:val="20"/>
          <w:szCs w:val="20"/>
          <w:lang w:val="es-CR"/>
        </w:rPr>
      </w:pPr>
    </w:p>
    <w:p w14:paraId="33C1CAF2" w14:textId="77777777" w:rsidR="00C21EE1" w:rsidRPr="00CA01A8" w:rsidRDefault="00C21EE1" w:rsidP="00C21EE1">
      <w:pPr>
        <w:spacing w:after="0" w:line="240" w:lineRule="auto"/>
        <w:ind w:left="4956" w:firstLine="708"/>
        <w:jc w:val="both"/>
        <w:rPr>
          <w:rFonts w:ascii="Verdana" w:hAnsi="Verdana"/>
          <w:sz w:val="20"/>
          <w:szCs w:val="20"/>
          <w:lang w:val="es-CR"/>
        </w:rPr>
      </w:pPr>
    </w:p>
    <w:p w14:paraId="2C937FAE" w14:textId="77777777" w:rsidR="00C21EE1" w:rsidRPr="00CA01A8" w:rsidRDefault="00C21EE1" w:rsidP="00DE555E">
      <w:pPr>
        <w:spacing w:after="0" w:line="240" w:lineRule="auto"/>
        <w:ind w:right="6241"/>
        <w:jc w:val="center"/>
        <w:rPr>
          <w:rFonts w:ascii="Verdana" w:hAnsi="Verdana"/>
          <w:sz w:val="20"/>
          <w:szCs w:val="20"/>
          <w:lang w:val="es-CR"/>
        </w:rPr>
      </w:pPr>
      <w:r w:rsidRPr="00CA01A8">
        <w:rPr>
          <w:rFonts w:ascii="Verdana" w:hAnsi="Verdana"/>
          <w:sz w:val="20"/>
          <w:szCs w:val="20"/>
          <w:lang w:val="es-CR"/>
        </w:rPr>
        <w:t>Pablo Saavedra Alessandri</w:t>
      </w:r>
    </w:p>
    <w:p w14:paraId="6043E3D3" w14:textId="449CE2D6" w:rsidR="00C21EE1" w:rsidRPr="00CA01A8" w:rsidRDefault="00C21EE1" w:rsidP="00EB0075">
      <w:pPr>
        <w:ind w:right="6241"/>
        <w:jc w:val="center"/>
        <w:rPr>
          <w:rFonts w:ascii="Verdana" w:hAnsi="Verdana"/>
          <w:sz w:val="20"/>
          <w:szCs w:val="20"/>
          <w:lang w:val="pt-BR"/>
        </w:rPr>
      </w:pPr>
      <w:proofErr w:type="spellStart"/>
      <w:r w:rsidRPr="00CA01A8">
        <w:rPr>
          <w:rFonts w:ascii="Verdana" w:hAnsi="Verdana"/>
          <w:sz w:val="20"/>
          <w:szCs w:val="20"/>
        </w:rPr>
        <w:t>Secretario</w:t>
      </w:r>
      <w:proofErr w:type="spellEnd"/>
    </w:p>
    <w:sectPr w:rsidR="00C21EE1" w:rsidRPr="00CA01A8" w:rsidSect="00A4345A">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A30D3" w14:textId="77777777" w:rsidR="005B3AEE" w:rsidRDefault="005B3AEE" w:rsidP="0038765A">
      <w:pPr>
        <w:spacing w:after="0" w:line="240" w:lineRule="auto"/>
      </w:pPr>
      <w:r>
        <w:separator/>
      </w:r>
    </w:p>
  </w:endnote>
  <w:endnote w:type="continuationSeparator" w:id="0">
    <w:p w14:paraId="6A58A057" w14:textId="77777777" w:rsidR="005B3AEE" w:rsidRDefault="005B3AEE" w:rsidP="0038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20"/>
        <w:szCs w:val="20"/>
      </w:rPr>
      <w:id w:val="201532063"/>
      <w:docPartObj>
        <w:docPartGallery w:val="Page Numbers (Bottom of Page)"/>
        <w:docPartUnique/>
      </w:docPartObj>
    </w:sdtPr>
    <w:sdtEndPr>
      <w:rPr>
        <w:noProof/>
      </w:rPr>
    </w:sdtEndPr>
    <w:sdtContent>
      <w:p w14:paraId="7A6414BD" w14:textId="41C4DAA5" w:rsidR="00C11236" w:rsidRPr="007E5905" w:rsidRDefault="00C11236">
        <w:pPr>
          <w:pStyle w:val="Piedepgina"/>
          <w:jc w:val="center"/>
          <w:rPr>
            <w:rFonts w:ascii="Verdana" w:hAnsi="Verdana"/>
            <w:sz w:val="20"/>
            <w:szCs w:val="20"/>
          </w:rPr>
        </w:pPr>
        <w:r w:rsidRPr="007E5905">
          <w:rPr>
            <w:rFonts w:ascii="Verdana" w:hAnsi="Verdana"/>
            <w:sz w:val="20"/>
            <w:szCs w:val="20"/>
          </w:rPr>
          <w:fldChar w:fldCharType="begin"/>
        </w:r>
        <w:r w:rsidRPr="007E5905">
          <w:rPr>
            <w:rFonts w:ascii="Verdana" w:hAnsi="Verdana"/>
            <w:sz w:val="20"/>
            <w:szCs w:val="20"/>
          </w:rPr>
          <w:instrText xml:space="preserve"> PAGE   \* MERGEFORMAT </w:instrText>
        </w:r>
        <w:r w:rsidRPr="007E5905">
          <w:rPr>
            <w:rFonts w:ascii="Verdana" w:hAnsi="Verdana"/>
            <w:sz w:val="20"/>
            <w:szCs w:val="20"/>
          </w:rPr>
          <w:fldChar w:fldCharType="separate"/>
        </w:r>
        <w:r w:rsidR="005916E1">
          <w:rPr>
            <w:rFonts w:ascii="Verdana" w:hAnsi="Verdana"/>
            <w:noProof/>
            <w:sz w:val="20"/>
            <w:szCs w:val="20"/>
          </w:rPr>
          <w:t>7</w:t>
        </w:r>
        <w:r w:rsidRPr="007E5905">
          <w:rPr>
            <w:rFonts w:ascii="Verdana" w:hAnsi="Verdana"/>
            <w:noProof/>
            <w:sz w:val="20"/>
            <w:szCs w:val="20"/>
          </w:rPr>
          <w:fldChar w:fldCharType="end"/>
        </w:r>
      </w:p>
    </w:sdtContent>
  </w:sdt>
  <w:p w14:paraId="6C7C7EF5" w14:textId="77777777" w:rsidR="00C11236" w:rsidRPr="007E5905" w:rsidRDefault="00C11236">
    <w:pPr>
      <w:pStyle w:val="Piedepgina"/>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557536"/>
      <w:docPartObj>
        <w:docPartGallery w:val="Page Numbers (Bottom of Page)"/>
        <w:docPartUnique/>
      </w:docPartObj>
    </w:sdtPr>
    <w:sdtEndPr/>
    <w:sdtContent>
      <w:p w14:paraId="5EF306CA" w14:textId="369B0F3F" w:rsidR="000F0849" w:rsidRDefault="000F0849">
        <w:pPr>
          <w:pStyle w:val="Piedepgina"/>
          <w:jc w:val="center"/>
        </w:pPr>
        <w:r>
          <w:fldChar w:fldCharType="begin"/>
        </w:r>
        <w:r>
          <w:instrText>PAGE   \* MERGEFORMAT</w:instrText>
        </w:r>
        <w:r>
          <w:fldChar w:fldCharType="separate"/>
        </w:r>
        <w:r w:rsidR="005916E1" w:rsidRPr="005916E1">
          <w:rPr>
            <w:noProof/>
            <w:lang w:val="es-ES"/>
          </w:rPr>
          <w:t>1</w:t>
        </w:r>
        <w:r>
          <w:fldChar w:fldCharType="end"/>
        </w:r>
      </w:p>
    </w:sdtContent>
  </w:sdt>
  <w:p w14:paraId="06DE7B9D" w14:textId="77777777" w:rsidR="000F0849" w:rsidRDefault="000F08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3700D" w14:textId="77777777" w:rsidR="005B3AEE" w:rsidRDefault="005B3AEE" w:rsidP="0038765A">
      <w:pPr>
        <w:spacing w:after="0" w:line="240" w:lineRule="auto"/>
      </w:pPr>
      <w:r>
        <w:separator/>
      </w:r>
    </w:p>
  </w:footnote>
  <w:footnote w:type="continuationSeparator" w:id="0">
    <w:p w14:paraId="71B0BF94" w14:textId="77777777" w:rsidR="005B3AEE" w:rsidRDefault="005B3AEE" w:rsidP="0038765A">
      <w:pPr>
        <w:spacing w:after="0" w:line="240" w:lineRule="auto"/>
      </w:pPr>
      <w:r>
        <w:continuationSeparator/>
      </w:r>
    </w:p>
  </w:footnote>
  <w:footnote w:id="1">
    <w:p w14:paraId="64A23E41" w14:textId="2726EBCB" w:rsidR="00C342FC" w:rsidRPr="008D0E49" w:rsidRDefault="00C342FC" w:rsidP="008D0E49">
      <w:pPr>
        <w:pStyle w:val="Textonotapie"/>
        <w:jc w:val="both"/>
        <w:rPr>
          <w:rFonts w:ascii="Verdana" w:hAnsi="Verdana"/>
          <w:i/>
          <w:sz w:val="16"/>
          <w:szCs w:val="16"/>
          <w:lang w:val="es-CR"/>
        </w:rPr>
      </w:pPr>
      <w:r w:rsidRPr="008D0E49">
        <w:rPr>
          <w:rStyle w:val="Refdenotaalpie"/>
          <w:rFonts w:ascii="Verdana" w:hAnsi="Verdana"/>
          <w:sz w:val="16"/>
          <w:szCs w:val="16"/>
        </w:rPr>
        <w:footnoteRef/>
      </w:r>
      <w:r w:rsidRPr="008D0E49">
        <w:rPr>
          <w:rFonts w:ascii="Verdana" w:hAnsi="Verdana"/>
          <w:sz w:val="16"/>
          <w:szCs w:val="16"/>
          <w:lang w:val="es-CR"/>
        </w:rPr>
        <w:t xml:space="preserve"> </w:t>
      </w:r>
      <w:r w:rsidRPr="008D0E49">
        <w:rPr>
          <w:rFonts w:ascii="Verdana" w:hAnsi="Verdana"/>
          <w:sz w:val="16"/>
          <w:szCs w:val="16"/>
          <w:lang w:val="es-CR"/>
        </w:rPr>
        <w:tab/>
      </w:r>
      <w:r w:rsidR="008D0E49" w:rsidRPr="008D0E49">
        <w:rPr>
          <w:rFonts w:ascii="Verdana" w:hAnsi="Verdana"/>
          <w:i/>
          <w:sz w:val="16"/>
          <w:szCs w:val="16"/>
          <w:lang w:val="es-CR"/>
        </w:rPr>
        <w:t>Cfr.</w:t>
      </w:r>
      <w:r w:rsidR="008D0E49" w:rsidRPr="008D0E49">
        <w:rPr>
          <w:rFonts w:ascii="Verdana" w:hAnsi="Verdana"/>
          <w:sz w:val="16"/>
          <w:szCs w:val="16"/>
          <w:lang w:val="es-CR"/>
        </w:rPr>
        <w:t xml:space="preserve"> </w:t>
      </w:r>
      <w:r w:rsidR="008D0E49" w:rsidRPr="008D0E49">
        <w:rPr>
          <w:rFonts w:ascii="Verdana" w:hAnsi="Verdana"/>
          <w:i/>
          <w:sz w:val="16"/>
          <w:szCs w:val="16"/>
          <w:lang w:val="es-CR"/>
        </w:rPr>
        <w:t>Caso 19 Comerciantes Vs. Colombia. Supervisión de Cumplimiento de Sentencia y Medidas Provisionales</w:t>
      </w:r>
      <w:r w:rsidR="008D0E49">
        <w:rPr>
          <w:rFonts w:ascii="Verdana" w:hAnsi="Verdana"/>
          <w:i/>
          <w:sz w:val="16"/>
          <w:szCs w:val="16"/>
          <w:lang w:val="es-CR"/>
        </w:rPr>
        <w:t>.</w:t>
      </w:r>
      <w:r w:rsidR="008D0E49" w:rsidRPr="008D0E49">
        <w:rPr>
          <w:rFonts w:ascii="Verdana" w:hAnsi="Verdana"/>
          <w:i/>
          <w:sz w:val="16"/>
          <w:szCs w:val="16"/>
          <w:lang w:val="es-CR"/>
        </w:rPr>
        <w:t xml:space="preserve"> </w:t>
      </w:r>
      <w:r w:rsidR="008D0E49" w:rsidRPr="008D0E49">
        <w:rPr>
          <w:rFonts w:ascii="Verdana" w:hAnsi="Verdana"/>
          <w:sz w:val="16"/>
          <w:szCs w:val="16"/>
          <w:lang w:val="es-CR"/>
        </w:rPr>
        <w:t xml:space="preserve">Resolución de la Corte Interamericana de Derechos Humanos de 8 de julio de 2009, punto </w:t>
      </w:r>
      <w:r w:rsidR="0034589F">
        <w:rPr>
          <w:rFonts w:ascii="Verdana" w:hAnsi="Verdana"/>
          <w:sz w:val="16"/>
          <w:szCs w:val="16"/>
          <w:lang w:val="es-CR"/>
        </w:rPr>
        <w:t>r</w:t>
      </w:r>
      <w:r w:rsidR="008D0E49" w:rsidRPr="008D0E49">
        <w:rPr>
          <w:rFonts w:ascii="Verdana" w:hAnsi="Verdana"/>
          <w:sz w:val="16"/>
          <w:szCs w:val="16"/>
          <w:lang w:val="es-CR"/>
        </w:rPr>
        <w:t>esolutivo 4 de las Medidas Provisionales.</w:t>
      </w:r>
    </w:p>
  </w:footnote>
  <w:footnote w:id="2">
    <w:p w14:paraId="6D97DA7B" w14:textId="16B29BDB" w:rsidR="0061506D" w:rsidRPr="00F3786F" w:rsidRDefault="0061506D" w:rsidP="00E51DD1">
      <w:pPr>
        <w:pStyle w:val="Textonotapie"/>
        <w:spacing w:before="120" w:after="120"/>
        <w:jc w:val="both"/>
        <w:rPr>
          <w:rFonts w:ascii="Verdana" w:hAnsi="Verdana"/>
          <w:sz w:val="16"/>
          <w:szCs w:val="16"/>
          <w:lang w:val="es-MX"/>
        </w:rPr>
      </w:pPr>
      <w:r w:rsidRPr="00F3786F">
        <w:rPr>
          <w:rStyle w:val="Refdenotaalpie"/>
          <w:rFonts w:ascii="Verdana" w:hAnsi="Verdana"/>
          <w:sz w:val="16"/>
          <w:szCs w:val="16"/>
        </w:rPr>
        <w:footnoteRef/>
      </w:r>
      <w:r w:rsidRPr="00F3786F">
        <w:rPr>
          <w:rFonts w:ascii="Verdana" w:hAnsi="Verdana"/>
          <w:sz w:val="16"/>
          <w:szCs w:val="16"/>
          <w:lang w:val="es-DO"/>
        </w:rPr>
        <w:t xml:space="preserve"> </w:t>
      </w:r>
      <w:r w:rsidRPr="00F3786F">
        <w:rPr>
          <w:rFonts w:ascii="Verdana" w:hAnsi="Verdana"/>
          <w:sz w:val="16"/>
          <w:szCs w:val="16"/>
          <w:lang w:val="es-DO"/>
        </w:rPr>
        <w:tab/>
      </w:r>
      <w:r w:rsidR="00EA322E" w:rsidRPr="00A4345A">
        <w:rPr>
          <w:rFonts w:ascii="Verdana" w:hAnsi="Verdana"/>
          <w:sz w:val="16"/>
          <w:szCs w:val="16"/>
          <w:lang w:val="es-CR"/>
        </w:rPr>
        <w:t xml:space="preserve">Wilmar Rodríguez Quintero, </w:t>
      </w:r>
      <w:proofErr w:type="spellStart"/>
      <w:r w:rsidR="00EA322E" w:rsidRPr="00A4345A">
        <w:rPr>
          <w:rFonts w:ascii="Verdana" w:hAnsi="Verdana"/>
          <w:sz w:val="16"/>
          <w:szCs w:val="16"/>
          <w:lang w:val="es-CR"/>
        </w:rPr>
        <w:t>Yimmy</w:t>
      </w:r>
      <w:proofErr w:type="spellEnd"/>
      <w:r w:rsidR="00EA322E" w:rsidRPr="00A4345A">
        <w:rPr>
          <w:rFonts w:ascii="Verdana" w:hAnsi="Verdana"/>
          <w:sz w:val="16"/>
          <w:szCs w:val="16"/>
          <w:lang w:val="es-CR"/>
        </w:rPr>
        <w:t xml:space="preserve"> Efraín Rodríguez Quintero, Nubia Saravia, Karen Dayana Rodríguez Saravia y Valeria Rodríguez Saravia. </w:t>
      </w:r>
      <w:r w:rsidR="00EA322E" w:rsidRPr="00B126A7">
        <w:rPr>
          <w:rFonts w:ascii="Verdana" w:hAnsi="Verdana"/>
          <w:i/>
          <w:sz w:val="16"/>
          <w:szCs w:val="16"/>
          <w:lang w:val="es-DO"/>
        </w:rPr>
        <w:t>Cfr</w:t>
      </w:r>
      <w:r w:rsidR="00EA322E" w:rsidRPr="0034589F">
        <w:rPr>
          <w:rFonts w:ascii="Verdana" w:hAnsi="Verdana"/>
          <w:i/>
          <w:sz w:val="16"/>
          <w:szCs w:val="16"/>
          <w:lang w:val="es-DO"/>
        </w:rPr>
        <w:t>.</w:t>
      </w:r>
      <w:r w:rsidR="00EA322E" w:rsidRPr="00EA322E">
        <w:rPr>
          <w:rFonts w:ascii="Verdana" w:hAnsi="Verdana"/>
          <w:i/>
          <w:sz w:val="16"/>
          <w:szCs w:val="16"/>
          <w:lang w:val="es-DO"/>
        </w:rPr>
        <w:t xml:space="preserve"> </w:t>
      </w:r>
      <w:r w:rsidR="00EA322E" w:rsidRPr="00EA322E">
        <w:rPr>
          <w:rFonts w:ascii="Verdana" w:hAnsi="Verdana"/>
          <w:i/>
          <w:sz w:val="16"/>
          <w:szCs w:val="16"/>
          <w:lang w:val="es-MX"/>
        </w:rPr>
        <w:t xml:space="preserve">Caso 19 Comerciantes Vs. Colombia. Medidas Provisionales. </w:t>
      </w:r>
      <w:r w:rsidR="00EA322E" w:rsidRPr="00B126A7">
        <w:rPr>
          <w:rFonts w:ascii="Verdana" w:hAnsi="Verdana"/>
          <w:sz w:val="16"/>
          <w:szCs w:val="16"/>
          <w:lang w:val="es-MX"/>
        </w:rPr>
        <w:t>Resolución de la Corte Interamericana de Derechos Humanos de 26 de junio de 2012, punto resolutivo 1.</w:t>
      </w:r>
    </w:p>
  </w:footnote>
  <w:footnote w:id="3">
    <w:p w14:paraId="69BA9FC6" w14:textId="6DE82B02" w:rsidR="00743C47" w:rsidRPr="001B7E14" w:rsidRDefault="00743C47" w:rsidP="00E51DD1">
      <w:pPr>
        <w:pStyle w:val="Textonotapie"/>
        <w:spacing w:before="120" w:after="120"/>
        <w:jc w:val="both"/>
        <w:rPr>
          <w:rFonts w:ascii="Verdana" w:hAnsi="Verdana"/>
          <w:sz w:val="16"/>
          <w:szCs w:val="16"/>
          <w:lang w:val="es-MX"/>
        </w:rPr>
      </w:pPr>
      <w:r w:rsidRPr="00F3786F">
        <w:rPr>
          <w:rStyle w:val="Refdenotaalpie"/>
          <w:rFonts w:ascii="Verdana" w:hAnsi="Verdana"/>
          <w:sz w:val="16"/>
          <w:szCs w:val="16"/>
        </w:rPr>
        <w:footnoteRef/>
      </w:r>
      <w:r w:rsidRPr="00F3786F">
        <w:rPr>
          <w:rFonts w:ascii="Verdana" w:hAnsi="Verdana"/>
          <w:sz w:val="16"/>
          <w:szCs w:val="16"/>
          <w:lang w:val="es-DO"/>
        </w:rPr>
        <w:t xml:space="preserve"> </w:t>
      </w:r>
      <w:r w:rsidR="00054451" w:rsidRPr="00F3786F">
        <w:rPr>
          <w:rFonts w:ascii="Verdana" w:hAnsi="Verdana"/>
          <w:sz w:val="16"/>
          <w:szCs w:val="16"/>
          <w:lang w:val="es-DO"/>
        </w:rPr>
        <w:tab/>
      </w:r>
      <w:r w:rsidR="00054451" w:rsidRPr="00F3786F">
        <w:rPr>
          <w:rFonts w:ascii="Verdana" w:hAnsi="Verdana"/>
          <w:i/>
          <w:sz w:val="16"/>
          <w:szCs w:val="16"/>
          <w:lang w:val="es-DO"/>
        </w:rPr>
        <w:t>Cfr. Asunto Diecisiete Personas Privadas de Libertad respecto de Nicaragua. Solicitud de ampliación de medidas provisionales.</w:t>
      </w:r>
      <w:r w:rsidR="00054451" w:rsidRPr="00F3786F">
        <w:rPr>
          <w:rFonts w:ascii="Verdana" w:hAnsi="Verdana"/>
          <w:sz w:val="16"/>
          <w:szCs w:val="16"/>
          <w:lang w:val="es-DO"/>
        </w:rPr>
        <w:t xml:space="preserve"> </w:t>
      </w:r>
      <w:r w:rsidR="00054451" w:rsidRPr="00F3786F">
        <w:rPr>
          <w:rFonts w:ascii="Verdana" w:hAnsi="Verdana"/>
          <w:sz w:val="16"/>
          <w:szCs w:val="16"/>
          <w:lang w:val="es-MX"/>
        </w:rPr>
        <w:t>Resolución de la Corte Interam</w:t>
      </w:r>
      <w:r w:rsidR="001B7E14">
        <w:rPr>
          <w:rFonts w:ascii="Verdana" w:hAnsi="Verdana"/>
          <w:sz w:val="16"/>
          <w:szCs w:val="16"/>
          <w:lang w:val="es-MX"/>
        </w:rPr>
        <w:t xml:space="preserve">ericana de Derechos Humanos de </w:t>
      </w:r>
      <w:r w:rsidR="00054451" w:rsidRPr="00F3786F">
        <w:rPr>
          <w:rFonts w:ascii="Verdana" w:hAnsi="Verdana"/>
          <w:sz w:val="16"/>
          <w:szCs w:val="16"/>
          <w:lang w:val="es-MX"/>
        </w:rPr>
        <w:t xml:space="preserve">14 de </w:t>
      </w:r>
      <w:r w:rsidR="001B7E14">
        <w:rPr>
          <w:rFonts w:ascii="Verdana" w:hAnsi="Verdana"/>
          <w:sz w:val="16"/>
          <w:szCs w:val="16"/>
          <w:lang w:val="es-MX"/>
        </w:rPr>
        <w:t xml:space="preserve">octubre de 2019, Considerando 9, y </w:t>
      </w:r>
      <w:r w:rsidR="001B7E14" w:rsidRPr="001B7E14">
        <w:rPr>
          <w:rFonts w:ascii="Verdana" w:hAnsi="Verdana"/>
          <w:i/>
          <w:sz w:val="16"/>
          <w:szCs w:val="16"/>
          <w:lang w:val="es-MX"/>
        </w:rPr>
        <w:t xml:space="preserve">Asunto Pobladores de las Comunidades del Pueblo Indígena </w:t>
      </w:r>
      <w:proofErr w:type="spellStart"/>
      <w:r w:rsidR="001B7E14" w:rsidRPr="001B7E14">
        <w:rPr>
          <w:rFonts w:ascii="Verdana" w:hAnsi="Verdana"/>
          <w:i/>
          <w:sz w:val="16"/>
          <w:szCs w:val="16"/>
          <w:lang w:val="es-MX"/>
        </w:rPr>
        <w:t>Miskitu</w:t>
      </w:r>
      <w:proofErr w:type="spellEnd"/>
      <w:r w:rsidR="001B7E14" w:rsidRPr="001B7E14">
        <w:rPr>
          <w:rFonts w:ascii="Verdana" w:hAnsi="Verdana"/>
          <w:i/>
          <w:sz w:val="16"/>
          <w:szCs w:val="16"/>
          <w:lang w:val="es-MX"/>
        </w:rPr>
        <w:t xml:space="preserve"> de la Región Costa Caribe Norte respecto de Nicaragua</w:t>
      </w:r>
      <w:r w:rsidR="001B7E14">
        <w:rPr>
          <w:rFonts w:ascii="Verdana" w:hAnsi="Verdana"/>
          <w:i/>
          <w:sz w:val="16"/>
          <w:szCs w:val="16"/>
          <w:lang w:val="es-MX"/>
        </w:rPr>
        <w:t xml:space="preserve">, </w:t>
      </w:r>
      <w:r w:rsidR="001B7E14">
        <w:rPr>
          <w:rFonts w:ascii="Verdana" w:hAnsi="Verdana"/>
          <w:sz w:val="16"/>
          <w:szCs w:val="16"/>
          <w:lang w:val="es-MX"/>
        </w:rPr>
        <w:t>Considerando 13.</w:t>
      </w:r>
    </w:p>
  </w:footnote>
  <w:footnote w:id="4">
    <w:p w14:paraId="37906A0A" w14:textId="7EC6DE37" w:rsidR="00AF53D7" w:rsidRPr="00F3786F" w:rsidRDefault="00AF53D7" w:rsidP="00E51DD1">
      <w:pPr>
        <w:pStyle w:val="Textonotapie"/>
        <w:spacing w:before="120" w:after="120"/>
        <w:jc w:val="both"/>
        <w:rPr>
          <w:rFonts w:ascii="Verdana" w:hAnsi="Verdana"/>
          <w:sz w:val="16"/>
          <w:szCs w:val="16"/>
          <w:lang w:val="es-DO"/>
        </w:rPr>
      </w:pPr>
      <w:r w:rsidRPr="00F3786F">
        <w:rPr>
          <w:rStyle w:val="Refdenotaalpie"/>
          <w:rFonts w:ascii="Verdana" w:hAnsi="Verdana"/>
          <w:sz w:val="16"/>
          <w:szCs w:val="16"/>
        </w:rPr>
        <w:footnoteRef/>
      </w:r>
      <w:r w:rsidRPr="00F3786F">
        <w:rPr>
          <w:rFonts w:ascii="Verdana" w:hAnsi="Verdana"/>
          <w:sz w:val="16"/>
          <w:szCs w:val="16"/>
          <w:lang w:val="es-DO"/>
        </w:rPr>
        <w:t xml:space="preserve"> </w:t>
      </w:r>
      <w:r w:rsidR="00527D26" w:rsidRPr="00F3786F">
        <w:rPr>
          <w:rFonts w:ascii="Verdana" w:hAnsi="Verdana"/>
          <w:sz w:val="16"/>
          <w:szCs w:val="16"/>
          <w:lang w:val="es-DO"/>
        </w:rPr>
        <w:tab/>
      </w:r>
      <w:r w:rsidR="00527D26" w:rsidRPr="00F3786F">
        <w:rPr>
          <w:rFonts w:ascii="Verdana" w:hAnsi="Verdana"/>
          <w:i/>
          <w:sz w:val="16"/>
          <w:szCs w:val="16"/>
          <w:lang w:val="es-DO"/>
        </w:rPr>
        <w:t>Cfr</w:t>
      </w:r>
      <w:r w:rsidR="00527D26" w:rsidRPr="00F3786F">
        <w:rPr>
          <w:rFonts w:ascii="Verdana" w:hAnsi="Verdana"/>
          <w:sz w:val="16"/>
          <w:szCs w:val="16"/>
          <w:lang w:val="es-DO"/>
        </w:rPr>
        <w:t xml:space="preserve">. </w:t>
      </w:r>
      <w:r w:rsidRPr="00F3786F">
        <w:rPr>
          <w:rFonts w:ascii="Verdana" w:hAnsi="Verdana"/>
          <w:i/>
          <w:sz w:val="16"/>
          <w:szCs w:val="16"/>
          <w:lang w:val="es-DO"/>
        </w:rPr>
        <w:t xml:space="preserve">Caso de los Miembros de la Aldea </w:t>
      </w:r>
      <w:proofErr w:type="spellStart"/>
      <w:r w:rsidRPr="00F3786F">
        <w:rPr>
          <w:rFonts w:ascii="Verdana" w:hAnsi="Verdana"/>
          <w:i/>
          <w:sz w:val="16"/>
          <w:szCs w:val="16"/>
          <w:lang w:val="es-DO"/>
        </w:rPr>
        <w:t>Chichupac</w:t>
      </w:r>
      <w:proofErr w:type="spellEnd"/>
      <w:r w:rsidRPr="00F3786F">
        <w:rPr>
          <w:rFonts w:ascii="Verdana" w:hAnsi="Verdana"/>
          <w:i/>
          <w:sz w:val="16"/>
          <w:szCs w:val="16"/>
          <w:lang w:val="es-DO"/>
        </w:rPr>
        <w:t xml:space="preserve"> y Comunidades Vecinas del Municipio de Rabinal, Caso Molina </w:t>
      </w:r>
      <w:proofErr w:type="spellStart"/>
      <w:r w:rsidR="00527D26" w:rsidRPr="00F3786F">
        <w:rPr>
          <w:rFonts w:ascii="Verdana" w:hAnsi="Verdana"/>
          <w:i/>
          <w:sz w:val="16"/>
          <w:szCs w:val="16"/>
          <w:lang w:val="es-DO"/>
        </w:rPr>
        <w:t>Theissen</w:t>
      </w:r>
      <w:proofErr w:type="spellEnd"/>
      <w:r w:rsidR="00527D26" w:rsidRPr="00F3786F">
        <w:rPr>
          <w:rFonts w:ascii="Verdana" w:hAnsi="Verdana"/>
          <w:i/>
          <w:sz w:val="16"/>
          <w:szCs w:val="16"/>
          <w:lang w:val="es-DO"/>
        </w:rPr>
        <w:t xml:space="preserve"> y otros 12 casos contra Guatemala</w:t>
      </w:r>
      <w:r w:rsidR="00527D26" w:rsidRPr="00F3786F">
        <w:rPr>
          <w:rFonts w:ascii="Verdana" w:hAnsi="Verdana"/>
          <w:sz w:val="16"/>
          <w:szCs w:val="16"/>
          <w:lang w:val="es-DO"/>
        </w:rPr>
        <w:t>. Solicitud de medidas provisionales y supervisión de cumplimiento de sentencia. Resolución de la Corte Interamericana de Derechos Humanos de 14 de oc</w:t>
      </w:r>
      <w:r w:rsidR="001B7E14">
        <w:rPr>
          <w:rFonts w:ascii="Verdana" w:hAnsi="Verdana"/>
          <w:sz w:val="16"/>
          <w:szCs w:val="16"/>
          <w:lang w:val="es-DO"/>
        </w:rPr>
        <w:t xml:space="preserve">tubre de 2019, Considerando 26, </w:t>
      </w:r>
      <w:r w:rsidR="001B7E14" w:rsidRPr="001B7E14">
        <w:rPr>
          <w:rFonts w:ascii="Verdana" w:hAnsi="Verdana"/>
          <w:sz w:val="16"/>
          <w:szCs w:val="16"/>
          <w:lang w:val="es-MX"/>
        </w:rPr>
        <w:t xml:space="preserve">y </w:t>
      </w:r>
      <w:r w:rsidR="001B7E14" w:rsidRPr="001B7E14">
        <w:rPr>
          <w:rFonts w:ascii="Verdana" w:hAnsi="Verdana"/>
          <w:i/>
          <w:sz w:val="16"/>
          <w:szCs w:val="16"/>
          <w:lang w:val="es-MX"/>
        </w:rPr>
        <w:t xml:space="preserve">Asunto Pobladores de las Comunidades del Pueblo Indígena </w:t>
      </w:r>
      <w:proofErr w:type="spellStart"/>
      <w:r w:rsidR="001B7E14" w:rsidRPr="001B7E14">
        <w:rPr>
          <w:rFonts w:ascii="Verdana" w:hAnsi="Verdana"/>
          <w:i/>
          <w:sz w:val="16"/>
          <w:szCs w:val="16"/>
          <w:lang w:val="es-MX"/>
        </w:rPr>
        <w:t>Miskitu</w:t>
      </w:r>
      <w:proofErr w:type="spellEnd"/>
      <w:r w:rsidR="001B7E14" w:rsidRPr="001B7E14">
        <w:rPr>
          <w:rFonts w:ascii="Verdana" w:hAnsi="Verdana"/>
          <w:i/>
          <w:sz w:val="16"/>
          <w:szCs w:val="16"/>
          <w:lang w:val="es-MX"/>
        </w:rPr>
        <w:t xml:space="preserve"> de la Región Costa Caribe Norte respecto de Nicaragua, </w:t>
      </w:r>
      <w:r w:rsidR="001B7E14" w:rsidRPr="001B7E14">
        <w:rPr>
          <w:rFonts w:ascii="Verdana" w:hAnsi="Verdana"/>
          <w:sz w:val="16"/>
          <w:szCs w:val="16"/>
          <w:lang w:val="es-MX"/>
        </w:rPr>
        <w:t>Considerando 13.</w:t>
      </w:r>
    </w:p>
  </w:footnote>
  <w:footnote w:id="5">
    <w:p w14:paraId="3A40C5D1" w14:textId="2E47D2CD" w:rsidR="00C11236" w:rsidRPr="00182F18" w:rsidRDefault="00C11236" w:rsidP="00E51DD1">
      <w:pPr>
        <w:pStyle w:val="Textonotapie"/>
        <w:spacing w:before="120" w:after="120"/>
        <w:jc w:val="both"/>
        <w:rPr>
          <w:rFonts w:ascii="Verdana" w:hAnsi="Verdana"/>
          <w:sz w:val="16"/>
          <w:szCs w:val="16"/>
          <w:lang w:val="es-CR"/>
        </w:rPr>
      </w:pPr>
      <w:r w:rsidRPr="00F3786F">
        <w:rPr>
          <w:rStyle w:val="Refdenotaalpie"/>
          <w:rFonts w:ascii="Verdana" w:hAnsi="Verdana"/>
          <w:sz w:val="16"/>
          <w:szCs w:val="16"/>
        </w:rPr>
        <w:footnoteRef/>
      </w:r>
      <w:r w:rsidRPr="00F3786F">
        <w:rPr>
          <w:rFonts w:ascii="Verdana" w:hAnsi="Verdana"/>
          <w:sz w:val="16"/>
          <w:szCs w:val="16"/>
          <w:lang w:val="es-MX"/>
        </w:rPr>
        <w:t xml:space="preserve"> </w:t>
      </w:r>
      <w:r w:rsidRPr="00F3786F">
        <w:rPr>
          <w:rFonts w:ascii="Verdana" w:hAnsi="Verdana"/>
          <w:sz w:val="16"/>
          <w:szCs w:val="16"/>
          <w:lang w:val="es-MX"/>
        </w:rPr>
        <w:tab/>
      </w:r>
      <w:r w:rsidRPr="00F3786F">
        <w:rPr>
          <w:rFonts w:ascii="Verdana" w:hAnsi="Verdana"/>
          <w:i/>
          <w:sz w:val="16"/>
          <w:szCs w:val="16"/>
          <w:lang w:val="es-MX"/>
        </w:rPr>
        <w:t xml:space="preserve">Cfr. Caso Fernández Ortega y otros Vs. México. </w:t>
      </w:r>
      <w:r w:rsidRPr="00F3786F">
        <w:rPr>
          <w:rFonts w:ascii="Verdana" w:hAnsi="Verdana"/>
          <w:sz w:val="16"/>
          <w:szCs w:val="16"/>
          <w:lang w:val="es-MX"/>
        </w:rPr>
        <w:t xml:space="preserve">Medidas Provisionales. </w:t>
      </w:r>
      <w:r w:rsidRPr="00F3786F">
        <w:rPr>
          <w:rFonts w:ascii="Verdana" w:hAnsi="Verdana"/>
          <w:bCs/>
          <w:sz w:val="16"/>
          <w:szCs w:val="16"/>
          <w:lang w:val="es-MX"/>
        </w:rPr>
        <w:t xml:space="preserve">Resolución de la Corte Interamericana de Derechos Humanos </w:t>
      </w:r>
      <w:r w:rsidRPr="00F3786F">
        <w:rPr>
          <w:rFonts w:ascii="Verdana" w:hAnsi="Verdana"/>
          <w:sz w:val="16"/>
          <w:szCs w:val="16"/>
          <w:lang w:val="es-MX"/>
        </w:rPr>
        <w:t xml:space="preserve">de </w:t>
      </w:r>
      <w:r w:rsidRPr="00182F18">
        <w:rPr>
          <w:rFonts w:ascii="Verdana" w:hAnsi="Verdana"/>
          <w:sz w:val="16"/>
          <w:szCs w:val="16"/>
          <w:lang w:val="es-CR"/>
        </w:rPr>
        <w:t>23 de nov</w:t>
      </w:r>
      <w:r w:rsidR="001B7E14" w:rsidRPr="00182F18">
        <w:rPr>
          <w:rFonts w:ascii="Verdana" w:hAnsi="Verdana"/>
          <w:sz w:val="16"/>
          <w:szCs w:val="16"/>
          <w:lang w:val="es-CR"/>
        </w:rPr>
        <w:t xml:space="preserve">iembre de 2010, Considerando 11, y </w:t>
      </w:r>
      <w:r w:rsidR="001B7E14" w:rsidRPr="00182F18">
        <w:rPr>
          <w:rFonts w:ascii="Verdana" w:hAnsi="Verdana"/>
          <w:i/>
          <w:sz w:val="16"/>
          <w:szCs w:val="16"/>
          <w:lang w:val="es-CR"/>
        </w:rPr>
        <w:t xml:space="preserve">Asunto Pobladores de las Comunidades del Pueblo Indígena </w:t>
      </w:r>
      <w:proofErr w:type="spellStart"/>
      <w:r w:rsidR="001B7E14" w:rsidRPr="00182F18">
        <w:rPr>
          <w:rFonts w:ascii="Verdana" w:hAnsi="Verdana"/>
          <w:i/>
          <w:sz w:val="16"/>
          <w:szCs w:val="16"/>
          <w:lang w:val="es-CR"/>
        </w:rPr>
        <w:t>Miskitu</w:t>
      </w:r>
      <w:proofErr w:type="spellEnd"/>
      <w:r w:rsidR="001B7E14" w:rsidRPr="00182F18">
        <w:rPr>
          <w:rFonts w:ascii="Verdana" w:hAnsi="Verdana"/>
          <w:i/>
          <w:sz w:val="16"/>
          <w:szCs w:val="16"/>
          <w:lang w:val="es-CR"/>
        </w:rPr>
        <w:t xml:space="preserve"> de la Región Costa Caribe Norte respecto de Nicaragua, </w:t>
      </w:r>
      <w:r w:rsidR="001B7E14" w:rsidRPr="00182F18">
        <w:rPr>
          <w:rFonts w:ascii="Verdana" w:hAnsi="Verdana"/>
          <w:sz w:val="16"/>
          <w:szCs w:val="16"/>
          <w:lang w:val="es-CR"/>
        </w:rPr>
        <w:t>Considerando 14.</w:t>
      </w:r>
      <w:r w:rsidRPr="00182F18">
        <w:rPr>
          <w:rFonts w:ascii="Verdana" w:hAnsi="Verdana"/>
          <w:sz w:val="16"/>
          <w:szCs w:val="16"/>
          <w:lang w:val="es-CR"/>
        </w:rPr>
        <w:t xml:space="preserve"> </w:t>
      </w:r>
    </w:p>
  </w:footnote>
  <w:footnote w:id="6">
    <w:p w14:paraId="61F1C801" w14:textId="146ECED4" w:rsidR="00C11236" w:rsidRPr="00182F18" w:rsidRDefault="00C11236" w:rsidP="00E51DD1">
      <w:pPr>
        <w:pStyle w:val="Textonotapie"/>
        <w:spacing w:before="120" w:after="120"/>
        <w:jc w:val="both"/>
        <w:rPr>
          <w:rFonts w:ascii="Verdana" w:hAnsi="Verdana"/>
          <w:sz w:val="16"/>
          <w:szCs w:val="16"/>
          <w:lang w:val="es-CR"/>
        </w:rPr>
      </w:pPr>
      <w:r w:rsidRPr="00182F18">
        <w:rPr>
          <w:rFonts w:ascii="Verdana" w:hAnsi="Verdana"/>
          <w:sz w:val="16"/>
          <w:szCs w:val="16"/>
          <w:vertAlign w:val="superscript"/>
          <w:lang w:val="es-CR"/>
        </w:rPr>
        <w:footnoteRef/>
      </w:r>
      <w:r w:rsidRPr="00182F18">
        <w:rPr>
          <w:rFonts w:ascii="Verdana" w:hAnsi="Verdana"/>
          <w:sz w:val="16"/>
          <w:szCs w:val="16"/>
          <w:vertAlign w:val="superscript"/>
          <w:lang w:val="es-CR"/>
        </w:rPr>
        <w:t xml:space="preserve"> </w:t>
      </w:r>
      <w:r w:rsidRPr="00182F18">
        <w:rPr>
          <w:rFonts w:ascii="Verdana" w:hAnsi="Verdana"/>
          <w:sz w:val="16"/>
          <w:szCs w:val="16"/>
          <w:lang w:val="es-CR"/>
        </w:rPr>
        <w:tab/>
      </w:r>
      <w:r w:rsidRPr="00182F18">
        <w:rPr>
          <w:rFonts w:ascii="Verdana" w:hAnsi="Verdana"/>
          <w:i/>
          <w:sz w:val="16"/>
          <w:szCs w:val="16"/>
          <w:lang w:val="es-CR"/>
        </w:rPr>
        <w:t xml:space="preserve">Cfr. </w:t>
      </w:r>
      <w:r w:rsidRPr="00182F18">
        <w:rPr>
          <w:rFonts w:ascii="Verdana" w:hAnsi="Verdana"/>
          <w:bCs/>
          <w:i/>
          <w:sz w:val="16"/>
          <w:szCs w:val="16"/>
          <w:lang w:val="es-CR"/>
        </w:rPr>
        <w:t xml:space="preserve">Asunto de los niños y adolescentes privados de libertad en el "Complexo do </w:t>
      </w:r>
      <w:proofErr w:type="spellStart"/>
      <w:r w:rsidRPr="00182F18">
        <w:rPr>
          <w:rFonts w:ascii="Verdana" w:hAnsi="Verdana"/>
          <w:bCs/>
          <w:i/>
          <w:sz w:val="16"/>
          <w:szCs w:val="16"/>
          <w:lang w:val="es-CR"/>
        </w:rPr>
        <w:t>Tatuapé</w:t>
      </w:r>
      <w:proofErr w:type="spellEnd"/>
      <w:r w:rsidRPr="00182F18">
        <w:rPr>
          <w:rFonts w:ascii="Verdana" w:hAnsi="Verdana"/>
          <w:bCs/>
          <w:i/>
          <w:sz w:val="16"/>
          <w:szCs w:val="16"/>
          <w:lang w:val="es-CR"/>
        </w:rPr>
        <w:t>” da FEBEM respecto Brasil</w:t>
      </w:r>
      <w:r w:rsidRPr="00182F18">
        <w:rPr>
          <w:rFonts w:ascii="Verdana" w:hAnsi="Verdana"/>
          <w:bCs/>
          <w:sz w:val="16"/>
          <w:szCs w:val="16"/>
          <w:lang w:val="es-CR"/>
        </w:rPr>
        <w:t>. Medidas Provisionales. Resolución de la Corte Interamericana de Derechos Humanos de 4 de julio de 2006</w:t>
      </w:r>
      <w:r w:rsidRPr="00182F18">
        <w:rPr>
          <w:rFonts w:ascii="Verdana" w:hAnsi="Verdana"/>
          <w:sz w:val="16"/>
          <w:szCs w:val="16"/>
          <w:lang w:val="es-CR"/>
        </w:rPr>
        <w:t xml:space="preserve">, Considerando 23 y </w:t>
      </w:r>
      <w:r w:rsidR="001B7E14" w:rsidRPr="00182F18">
        <w:rPr>
          <w:rFonts w:ascii="Verdana" w:hAnsi="Verdana"/>
          <w:i/>
          <w:sz w:val="16"/>
          <w:szCs w:val="16"/>
          <w:lang w:val="es-CR"/>
        </w:rPr>
        <w:t xml:space="preserve">Asunto Pobladores de las Comunidades del Pueblo Indígena </w:t>
      </w:r>
      <w:proofErr w:type="spellStart"/>
      <w:r w:rsidR="001B7E14" w:rsidRPr="00182F18">
        <w:rPr>
          <w:rFonts w:ascii="Verdana" w:hAnsi="Verdana"/>
          <w:i/>
          <w:sz w:val="16"/>
          <w:szCs w:val="16"/>
          <w:lang w:val="es-CR"/>
        </w:rPr>
        <w:t>Miskitu</w:t>
      </w:r>
      <w:proofErr w:type="spellEnd"/>
      <w:r w:rsidR="001B7E14" w:rsidRPr="00182F18">
        <w:rPr>
          <w:rFonts w:ascii="Verdana" w:hAnsi="Verdana"/>
          <w:i/>
          <w:sz w:val="16"/>
          <w:szCs w:val="16"/>
          <w:lang w:val="es-CR"/>
        </w:rPr>
        <w:t xml:space="preserve"> de la Región Costa Caribe Norte respecto de Nicaragua, Considerando 14.</w:t>
      </w:r>
    </w:p>
  </w:footnote>
  <w:footnote w:id="7">
    <w:p w14:paraId="6085CB7A" w14:textId="77777777" w:rsidR="00BB647B" w:rsidRPr="00182F18" w:rsidRDefault="00BB647B" w:rsidP="00B126A7">
      <w:pPr>
        <w:pStyle w:val="Textonotapie"/>
        <w:spacing w:before="120" w:after="120"/>
        <w:jc w:val="both"/>
        <w:rPr>
          <w:rFonts w:ascii="Verdana" w:hAnsi="Verdana"/>
          <w:sz w:val="16"/>
          <w:szCs w:val="16"/>
          <w:lang w:val="es-CR"/>
        </w:rPr>
      </w:pPr>
      <w:r w:rsidRPr="00182F18">
        <w:rPr>
          <w:rStyle w:val="Refdenotaalpie"/>
          <w:rFonts w:ascii="Verdana" w:hAnsi="Verdana"/>
          <w:sz w:val="16"/>
          <w:szCs w:val="16"/>
          <w:lang w:val="es-CR"/>
        </w:rPr>
        <w:footnoteRef/>
      </w:r>
      <w:r w:rsidRPr="00182F18">
        <w:rPr>
          <w:rFonts w:ascii="Verdana" w:hAnsi="Verdana"/>
          <w:sz w:val="16"/>
          <w:szCs w:val="16"/>
          <w:lang w:val="es-CR"/>
        </w:rPr>
        <w:t xml:space="preserve">           </w:t>
      </w:r>
      <w:r w:rsidRPr="00182F18">
        <w:rPr>
          <w:rFonts w:ascii="Verdana" w:hAnsi="Verdana"/>
          <w:i/>
          <w:sz w:val="16"/>
          <w:szCs w:val="16"/>
          <w:lang w:val="es-CR"/>
        </w:rPr>
        <w:t>Cfr.</w:t>
      </w:r>
      <w:r w:rsidRPr="00182F18">
        <w:rPr>
          <w:rFonts w:ascii="Verdana" w:hAnsi="Verdana"/>
          <w:sz w:val="16"/>
          <w:szCs w:val="16"/>
          <w:lang w:val="es-CR"/>
        </w:rPr>
        <w:t xml:space="preserve"> Anexo de pruebas fotográficas en relación con los ataques a la familia Flórez. Anexo al escrito de 30 de marzo de 2020. </w:t>
      </w:r>
    </w:p>
  </w:footnote>
  <w:footnote w:id="8">
    <w:p w14:paraId="2AD06412" w14:textId="1283D87E" w:rsidR="002E5038" w:rsidRPr="00182F18" w:rsidRDefault="002E5038" w:rsidP="00E51DD1">
      <w:pPr>
        <w:pStyle w:val="Textonotapie"/>
        <w:spacing w:before="120" w:after="120"/>
        <w:rPr>
          <w:rFonts w:ascii="Verdana" w:hAnsi="Verdana"/>
          <w:lang w:val="es-MX"/>
        </w:rPr>
      </w:pPr>
      <w:r w:rsidRPr="00182F18">
        <w:rPr>
          <w:rStyle w:val="Refdenotaalpie"/>
          <w:rFonts w:ascii="Verdana" w:hAnsi="Verdana"/>
          <w:sz w:val="16"/>
          <w:lang w:val="es-CR"/>
        </w:rPr>
        <w:footnoteRef/>
      </w:r>
      <w:r w:rsidRPr="00182F18">
        <w:rPr>
          <w:rFonts w:ascii="Verdana" w:hAnsi="Verdana"/>
          <w:sz w:val="16"/>
          <w:lang w:val="es-CR"/>
        </w:rPr>
        <w:t xml:space="preserve"> </w:t>
      </w:r>
      <w:r w:rsidR="00182F18" w:rsidRPr="00182F18">
        <w:rPr>
          <w:rFonts w:ascii="Verdana" w:hAnsi="Verdana"/>
          <w:sz w:val="16"/>
          <w:lang w:val="es-CR"/>
        </w:rPr>
        <w:t xml:space="preserve">         </w:t>
      </w:r>
      <w:r w:rsidRPr="00182F18">
        <w:rPr>
          <w:rFonts w:ascii="Verdana" w:hAnsi="Verdana"/>
          <w:i/>
          <w:sz w:val="16"/>
          <w:lang w:val="es-CR"/>
        </w:rPr>
        <w:t>Cfr.</w:t>
      </w:r>
      <w:r w:rsidRPr="00182F18">
        <w:rPr>
          <w:rFonts w:ascii="Verdana" w:hAnsi="Verdana"/>
          <w:sz w:val="16"/>
          <w:lang w:val="es-CR"/>
        </w:rPr>
        <w:t xml:space="preserve"> Denuncia Fiscalía General de la Nación, radicado con fecha 27 de febrero de 2020. Anexo I</w:t>
      </w:r>
      <w:r w:rsidR="00182F18" w:rsidRPr="00182F18">
        <w:rPr>
          <w:rFonts w:ascii="Verdana" w:hAnsi="Verdana"/>
          <w:sz w:val="16"/>
          <w:lang w:val="es-CR"/>
        </w:rPr>
        <w:t xml:space="preserve"> al escrito de 30 de marzo de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2078B"/>
    <w:multiLevelType w:val="hybridMultilevel"/>
    <w:tmpl w:val="880A4D4C"/>
    <w:lvl w:ilvl="0" w:tplc="849CD9DC">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4308C7"/>
    <w:multiLevelType w:val="hybridMultilevel"/>
    <w:tmpl w:val="E348C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55593"/>
    <w:multiLevelType w:val="hybridMultilevel"/>
    <w:tmpl w:val="8D9E7374"/>
    <w:lvl w:ilvl="0" w:tplc="3878DD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1915B6"/>
    <w:multiLevelType w:val="hybridMultilevel"/>
    <w:tmpl w:val="D4A07520"/>
    <w:lvl w:ilvl="0" w:tplc="1578F21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F404BE8"/>
    <w:multiLevelType w:val="hybridMultilevel"/>
    <w:tmpl w:val="D8502A72"/>
    <w:lvl w:ilvl="0" w:tplc="0409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552A0C"/>
    <w:multiLevelType w:val="hybridMultilevel"/>
    <w:tmpl w:val="6D8E6FA0"/>
    <w:lvl w:ilvl="0" w:tplc="688C1A3A">
      <w:start w:val="1"/>
      <w:numFmt w:val="lowerLetter"/>
      <w:lvlText w:val="%1)"/>
      <w:lvlJc w:val="left"/>
      <w:pPr>
        <w:ind w:left="720" w:hanging="360"/>
      </w:pPr>
      <w:rPr>
        <w:rFonts w:asciiTheme="minorHAnsi" w:hAnsiTheme="minorHAnsi" w:cstheme="minorBidi" w:hint="default"/>
        <w:b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A9E0C762">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CB1780"/>
    <w:multiLevelType w:val="hybridMultilevel"/>
    <w:tmpl w:val="3F32F15A"/>
    <w:lvl w:ilvl="0" w:tplc="A3D0F1B8">
      <w:start w:val="1"/>
      <w:numFmt w:val="lowerLetter"/>
      <w:lvlText w:val="%1)"/>
      <w:lvlJc w:val="left"/>
      <w:pPr>
        <w:ind w:left="360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C43208"/>
    <w:multiLevelType w:val="hybridMultilevel"/>
    <w:tmpl w:val="43FC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E72E5"/>
    <w:multiLevelType w:val="hybridMultilevel"/>
    <w:tmpl w:val="880A4D4C"/>
    <w:lvl w:ilvl="0" w:tplc="849CD9DC">
      <w:start w:val="1"/>
      <w:numFmt w:val="decimal"/>
      <w:lvlText w:val="%1."/>
      <w:lvlJc w:val="left"/>
      <w:pPr>
        <w:ind w:left="705" w:hanging="7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5AB2930"/>
    <w:multiLevelType w:val="hybridMultilevel"/>
    <w:tmpl w:val="7F30DBD2"/>
    <w:lvl w:ilvl="0" w:tplc="C520F6C4">
      <w:start w:val="1"/>
      <w:numFmt w:val="decimal"/>
      <w:lvlText w:val="%1."/>
      <w:lvlJc w:val="left"/>
      <w:pPr>
        <w:tabs>
          <w:tab w:val="num" w:pos="1068"/>
        </w:tabs>
        <w:ind w:left="1068" w:hanging="360"/>
      </w:pPr>
      <w:rPr>
        <w:rFonts w:ascii="Verdana" w:hAnsi="Verdana" w:hint="default"/>
        <w:b w:val="0"/>
        <w:i w:val="0"/>
        <w:sz w:val="20"/>
        <w:lang w:val="es-ES"/>
      </w:rPr>
    </w:lvl>
    <w:lvl w:ilvl="1" w:tplc="0409000F">
      <w:start w:val="1"/>
      <w:numFmt w:val="decimal"/>
      <w:lvlText w:val="%2."/>
      <w:lvlJc w:val="left"/>
      <w:pPr>
        <w:tabs>
          <w:tab w:val="num" w:pos="2148"/>
        </w:tabs>
        <w:ind w:left="2148" w:hanging="360"/>
      </w:pPr>
      <w:rPr>
        <w:b w:val="0"/>
      </w:rPr>
    </w:lvl>
    <w:lvl w:ilvl="2" w:tplc="92DEE256">
      <w:start w:val="1"/>
      <w:numFmt w:val="lowerLetter"/>
      <w:lvlText w:val="%3."/>
      <w:lvlJc w:val="left"/>
      <w:pPr>
        <w:tabs>
          <w:tab w:val="num" w:pos="3048"/>
        </w:tabs>
        <w:ind w:left="3048" w:hanging="360"/>
      </w:pPr>
    </w:lvl>
    <w:lvl w:ilvl="3" w:tplc="A9E0C762">
      <w:start w:val="1"/>
      <w:numFmt w:val="lowerLetter"/>
      <w:lvlText w:val="%4)"/>
      <w:lvlJc w:val="left"/>
      <w:pPr>
        <w:tabs>
          <w:tab w:val="num" w:pos="2148"/>
        </w:tabs>
        <w:ind w:left="214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10" w15:restartNumberingAfterBreak="0">
    <w:nsid w:val="6DA11262"/>
    <w:multiLevelType w:val="hybridMultilevel"/>
    <w:tmpl w:val="762CD824"/>
    <w:lvl w:ilvl="0" w:tplc="4A9218AE">
      <w:start w:val="1"/>
      <w:numFmt w:val="decimal"/>
      <w:lvlText w:val="%1."/>
      <w:lvlJc w:val="left"/>
      <w:pPr>
        <w:ind w:left="540" w:hanging="360"/>
      </w:pPr>
      <w:rPr>
        <w:b w:val="0"/>
        <w:i w:val="0"/>
        <w:sz w:val="20"/>
      </w:rPr>
    </w:lvl>
    <w:lvl w:ilvl="1" w:tplc="578ABD8E">
      <w:start w:val="1"/>
      <w:numFmt w:val="lowerLetter"/>
      <w:lvlText w:val="%2."/>
      <w:lvlJc w:val="left"/>
      <w:pPr>
        <w:ind w:left="1080" w:hanging="360"/>
      </w:pPr>
      <w:rPr>
        <w:rFonts w:ascii="Verdana" w:eastAsiaTheme="minorHAnsi" w:hAnsi="Verdana" w:cs="Verdana"/>
        <w:b w:val="0"/>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DC31EEE"/>
    <w:multiLevelType w:val="hybridMultilevel"/>
    <w:tmpl w:val="77CAD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010E1"/>
    <w:multiLevelType w:val="hybridMultilevel"/>
    <w:tmpl w:val="7F30DBD2"/>
    <w:lvl w:ilvl="0" w:tplc="C520F6C4">
      <w:start w:val="1"/>
      <w:numFmt w:val="decimal"/>
      <w:lvlText w:val="%1."/>
      <w:lvlJc w:val="left"/>
      <w:pPr>
        <w:tabs>
          <w:tab w:val="num" w:pos="1068"/>
        </w:tabs>
        <w:ind w:left="1068" w:hanging="360"/>
      </w:pPr>
      <w:rPr>
        <w:rFonts w:ascii="Verdana" w:hAnsi="Verdana" w:hint="default"/>
        <w:b w:val="0"/>
        <w:i w:val="0"/>
        <w:sz w:val="20"/>
        <w:lang w:val="es-ES"/>
      </w:rPr>
    </w:lvl>
    <w:lvl w:ilvl="1" w:tplc="0409000F">
      <w:start w:val="1"/>
      <w:numFmt w:val="decimal"/>
      <w:lvlText w:val="%2."/>
      <w:lvlJc w:val="left"/>
      <w:pPr>
        <w:tabs>
          <w:tab w:val="num" w:pos="2148"/>
        </w:tabs>
        <w:ind w:left="2148" w:hanging="360"/>
      </w:pPr>
      <w:rPr>
        <w:b w:val="0"/>
      </w:rPr>
    </w:lvl>
    <w:lvl w:ilvl="2" w:tplc="92DEE256">
      <w:start w:val="1"/>
      <w:numFmt w:val="lowerLetter"/>
      <w:lvlText w:val="%3."/>
      <w:lvlJc w:val="left"/>
      <w:pPr>
        <w:tabs>
          <w:tab w:val="num" w:pos="3048"/>
        </w:tabs>
        <w:ind w:left="3048" w:hanging="360"/>
      </w:pPr>
    </w:lvl>
    <w:lvl w:ilvl="3" w:tplc="A9E0C762">
      <w:start w:val="1"/>
      <w:numFmt w:val="lowerLetter"/>
      <w:lvlText w:val="%4)"/>
      <w:lvlJc w:val="left"/>
      <w:pPr>
        <w:tabs>
          <w:tab w:val="num" w:pos="2148"/>
        </w:tabs>
        <w:ind w:left="214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num w:numId="1">
    <w:abstractNumId w:val="3"/>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2"/>
  </w:num>
  <w:num w:numId="7">
    <w:abstractNumId w:val="5"/>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1"/>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6" w:nlCheck="1" w:checkStyle="0"/>
  <w:activeWritingStyle w:appName="MSWord" w:lang="es-CR" w:vendorID="64" w:dllVersion="6" w:nlCheck="1" w:checkStyle="0"/>
  <w:activeWritingStyle w:appName="MSWord" w:lang="es-DO" w:vendorID="64" w:dllVersion="6" w:nlCheck="1" w:checkStyle="0"/>
  <w:activeWritingStyle w:appName="MSWord" w:lang="es-ES_tradnl" w:vendorID="64" w:dllVersion="6" w:nlCheck="1" w:checkStyle="0"/>
  <w:activeWritingStyle w:appName="MSWord" w:lang="es-VE" w:vendorID="64" w:dllVersion="6" w:nlCheck="1" w:checkStyle="0"/>
  <w:activeWritingStyle w:appName="MSWord" w:lang="es-GT"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CR" w:vendorID="64" w:dllVersion="4096" w:nlCheck="1" w:checkStyle="0"/>
  <w:activeWritingStyle w:appName="MSWord" w:lang="pt-BR" w:vendorID="64" w:dllVersion="4096" w:nlCheck="1" w:checkStyle="0"/>
  <w:activeWritingStyle w:appName="MSWord" w:lang="es-GT" w:vendorID="64" w:dllVersion="4096" w:nlCheck="1" w:checkStyle="0"/>
  <w:activeWritingStyle w:appName="MSWord" w:lang="es-CO" w:vendorID="64" w:dllVersion="6" w:nlCheck="1" w:checkStyle="0"/>
  <w:activeWritingStyle w:appName="MSWord" w:lang="es-PR" w:vendorID="64" w:dllVersion="6" w:nlCheck="1" w:checkStyle="1"/>
  <w:activeWritingStyle w:appName="MSWord" w:lang="es-AR" w:vendorID="64" w:dllVersion="6" w:nlCheck="1" w:checkStyle="0"/>
  <w:activeWritingStyle w:appName="MSWord" w:lang="en-US" w:vendorID="64" w:dllVersion="4096" w:nlCheck="1" w:checkStyle="0"/>
  <w:activeWritingStyle w:appName="MSWord" w:lang="es-DO"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65A"/>
    <w:rsid w:val="00003DB7"/>
    <w:rsid w:val="0001557E"/>
    <w:rsid w:val="00020E10"/>
    <w:rsid w:val="00021855"/>
    <w:rsid w:val="00032D1E"/>
    <w:rsid w:val="0004492F"/>
    <w:rsid w:val="0004594A"/>
    <w:rsid w:val="000476D8"/>
    <w:rsid w:val="00053B92"/>
    <w:rsid w:val="00054451"/>
    <w:rsid w:val="00061E44"/>
    <w:rsid w:val="00093454"/>
    <w:rsid w:val="00093F0A"/>
    <w:rsid w:val="000F0849"/>
    <w:rsid w:val="000F2462"/>
    <w:rsid w:val="001102DC"/>
    <w:rsid w:val="00111E24"/>
    <w:rsid w:val="00113A99"/>
    <w:rsid w:val="00151F31"/>
    <w:rsid w:val="00164C4C"/>
    <w:rsid w:val="00165A81"/>
    <w:rsid w:val="00182F18"/>
    <w:rsid w:val="0018382B"/>
    <w:rsid w:val="001844A0"/>
    <w:rsid w:val="001A0BA6"/>
    <w:rsid w:val="001A3E0D"/>
    <w:rsid w:val="001B7E14"/>
    <w:rsid w:val="001C0971"/>
    <w:rsid w:val="001D7BCC"/>
    <w:rsid w:val="00201222"/>
    <w:rsid w:val="002028E0"/>
    <w:rsid w:val="00220609"/>
    <w:rsid w:val="00223B79"/>
    <w:rsid w:val="00257704"/>
    <w:rsid w:val="00262191"/>
    <w:rsid w:val="00271662"/>
    <w:rsid w:val="002743F4"/>
    <w:rsid w:val="002746E5"/>
    <w:rsid w:val="00275EBB"/>
    <w:rsid w:val="002804E1"/>
    <w:rsid w:val="0028078E"/>
    <w:rsid w:val="002A4938"/>
    <w:rsid w:val="002A6DD6"/>
    <w:rsid w:val="002C2AD0"/>
    <w:rsid w:val="002C73FD"/>
    <w:rsid w:val="002D18B3"/>
    <w:rsid w:val="002D3721"/>
    <w:rsid w:val="002D7D61"/>
    <w:rsid w:val="002E2E37"/>
    <w:rsid w:val="002E5038"/>
    <w:rsid w:val="002F1A48"/>
    <w:rsid w:val="002F5BA1"/>
    <w:rsid w:val="002F7DE6"/>
    <w:rsid w:val="00301078"/>
    <w:rsid w:val="003050F6"/>
    <w:rsid w:val="00305B52"/>
    <w:rsid w:val="00307843"/>
    <w:rsid w:val="00310E5B"/>
    <w:rsid w:val="0034589F"/>
    <w:rsid w:val="00346945"/>
    <w:rsid w:val="00350A52"/>
    <w:rsid w:val="00355DA0"/>
    <w:rsid w:val="00373FE2"/>
    <w:rsid w:val="0038765A"/>
    <w:rsid w:val="00394D34"/>
    <w:rsid w:val="003A22E5"/>
    <w:rsid w:val="003B5A33"/>
    <w:rsid w:val="003B7059"/>
    <w:rsid w:val="003C1096"/>
    <w:rsid w:val="003C6777"/>
    <w:rsid w:val="003C7661"/>
    <w:rsid w:val="003E69F4"/>
    <w:rsid w:val="003F3E4B"/>
    <w:rsid w:val="00400627"/>
    <w:rsid w:val="0040222B"/>
    <w:rsid w:val="0040573C"/>
    <w:rsid w:val="00427B98"/>
    <w:rsid w:val="00440521"/>
    <w:rsid w:val="0044077C"/>
    <w:rsid w:val="004519F6"/>
    <w:rsid w:val="00455BD5"/>
    <w:rsid w:val="0046597D"/>
    <w:rsid w:val="0046654D"/>
    <w:rsid w:val="004839CA"/>
    <w:rsid w:val="0048575A"/>
    <w:rsid w:val="004934B8"/>
    <w:rsid w:val="004A2797"/>
    <w:rsid w:val="004B1026"/>
    <w:rsid w:val="004E5F5C"/>
    <w:rsid w:val="004F1CFA"/>
    <w:rsid w:val="005034D1"/>
    <w:rsid w:val="00520C4E"/>
    <w:rsid w:val="005235D2"/>
    <w:rsid w:val="00527983"/>
    <w:rsid w:val="00527D26"/>
    <w:rsid w:val="00532597"/>
    <w:rsid w:val="00537F6A"/>
    <w:rsid w:val="00564899"/>
    <w:rsid w:val="00567E8E"/>
    <w:rsid w:val="00571CC8"/>
    <w:rsid w:val="0057382A"/>
    <w:rsid w:val="005766A2"/>
    <w:rsid w:val="00581413"/>
    <w:rsid w:val="00582CBC"/>
    <w:rsid w:val="00583450"/>
    <w:rsid w:val="005916E1"/>
    <w:rsid w:val="0059357B"/>
    <w:rsid w:val="00595891"/>
    <w:rsid w:val="005A2CBA"/>
    <w:rsid w:val="005A3B48"/>
    <w:rsid w:val="005B3AEE"/>
    <w:rsid w:val="005C7028"/>
    <w:rsid w:val="005F5F00"/>
    <w:rsid w:val="006048A5"/>
    <w:rsid w:val="00604D5F"/>
    <w:rsid w:val="006122BF"/>
    <w:rsid w:val="0061489D"/>
    <w:rsid w:val="0061506D"/>
    <w:rsid w:val="00627B0E"/>
    <w:rsid w:val="00632830"/>
    <w:rsid w:val="006462E1"/>
    <w:rsid w:val="0065636A"/>
    <w:rsid w:val="00663D79"/>
    <w:rsid w:val="00675305"/>
    <w:rsid w:val="0067734B"/>
    <w:rsid w:val="006964CB"/>
    <w:rsid w:val="006A7233"/>
    <w:rsid w:val="006B207F"/>
    <w:rsid w:val="006B233C"/>
    <w:rsid w:val="006B36B7"/>
    <w:rsid w:val="006D6F12"/>
    <w:rsid w:val="006E3FDC"/>
    <w:rsid w:val="00705018"/>
    <w:rsid w:val="00716649"/>
    <w:rsid w:val="00720642"/>
    <w:rsid w:val="00723E11"/>
    <w:rsid w:val="00734F01"/>
    <w:rsid w:val="00737367"/>
    <w:rsid w:val="00743C47"/>
    <w:rsid w:val="00752031"/>
    <w:rsid w:val="00754EF5"/>
    <w:rsid w:val="007561BA"/>
    <w:rsid w:val="00757F15"/>
    <w:rsid w:val="00761EBD"/>
    <w:rsid w:val="00773D2D"/>
    <w:rsid w:val="00775CC0"/>
    <w:rsid w:val="00784732"/>
    <w:rsid w:val="00786383"/>
    <w:rsid w:val="007865FC"/>
    <w:rsid w:val="00786A9A"/>
    <w:rsid w:val="007A0AC1"/>
    <w:rsid w:val="007A1DF4"/>
    <w:rsid w:val="007A4434"/>
    <w:rsid w:val="007D09D4"/>
    <w:rsid w:val="007D5F81"/>
    <w:rsid w:val="007E1451"/>
    <w:rsid w:val="007E253C"/>
    <w:rsid w:val="007E35C3"/>
    <w:rsid w:val="007E5905"/>
    <w:rsid w:val="00811FF5"/>
    <w:rsid w:val="00812F57"/>
    <w:rsid w:val="0081796E"/>
    <w:rsid w:val="00840C3A"/>
    <w:rsid w:val="00844C38"/>
    <w:rsid w:val="00860616"/>
    <w:rsid w:val="00874F04"/>
    <w:rsid w:val="008751A8"/>
    <w:rsid w:val="00875FF1"/>
    <w:rsid w:val="00883B8A"/>
    <w:rsid w:val="00887993"/>
    <w:rsid w:val="00896EA8"/>
    <w:rsid w:val="00897173"/>
    <w:rsid w:val="008A1F23"/>
    <w:rsid w:val="008D03E8"/>
    <w:rsid w:val="008D0E49"/>
    <w:rsid w:val="008D0EE8"/>
    <w:rsid w:val="008D224E"/>
    <w:rsid w:val="008D4FA3"/>
    <w:rsid w:val="008E20D2"/>
    <w:rsid w:val="008F62D9"/>
    <w:rsid w:val="009125B4"/>
    <w:rsid w:val="00924125"/>
    <w:rsid w:val="00925655"/>
    <w:rsid w:val="00937A28"/>
    <w:rsid w:val="00955926"/>
    <w:rsid w:val="00961A94"/>
    <w:rsid w:val="0096783A"/>
    <w:rsid w:val="0098490E"/>
    <w:rsid w:val="009941FA"/>
    <w:rsid w:val="009B7808"/>
    <w:rsid w:val="009D636A"/>
    <w:rsid w:val="009D6BBC"/>
    <w:rsid w:val="009F721D"/>
    <w:rsid w:val="00A04F15"/>
    <w:rsid w:val="00A12991"/>
    <w:rsid w:val="00A209BA"/>
    <w:rsid w:val="00A220A1"/>
    <w:rsid w:val="00A3586A"/>
    <w:rsid w:val="00A4173B"/>
    <w:rsid w:val="00A41921"/>
    <w:rsid w:val="00A4345A"/>
    <w:rsid w:val="00A45A35"/>
    <w:rsid w:val="00A50C4F"/>
    <w:rsid w:val="00A60B40"/>
    <w:rsid w:val="00A6190E"/>
    <w:rsid w:val="00A72B28"/>
    <w:rsid w:val="00A87383"/>
    <w:rsid w:val="00AC4D16"/>
    <w:rsid w:val="00AF4D0B"/>
    <w:rsid w:val="00AF53D7"/>
    <w:rsid w:val="00B02AD5"/>
    <w:rsid w:val="00B12650"/>
    <w:rsid w:val="00B126A7"/>
    <w:rsid w:val="00B149C4"/>
    <w:rsid w:val="00B20743"/>
    <w:rsid w:val="00B27B62"/>
    <w:rsid w:val="00B332B2"/>
    <w:rsid w:val="00B367E3"/>
    <w:rsid w:val="00B40384"/>
    <w:rsid w:val="00B407A4"/>
    <w:rsid w:val="00B45CC2"/>
    <w:rsid w:val="00B50A83"/>
    <w:rsid w:val="00B50F3E"/>
    <w:rsid w:val="00B53C93"/>
    <w:rsid w:val="00B710F7"/>
    <w:rsid w:val="00B77346"/>
    <w:rsid w:val="00BA2057"/>
    <w:rsid w:val="00BA24FA"/>
    <w:rsid w:val="00BB3671"/>
    <w:rsid w:val="00BB647B"/>
    <w:rsid w:val="00BD252D"/>
    <w:rsid w:val="00BE6179"/>
    <w:rsid w:val="00BE7167"/>
    <w:rsid w:val="00BF26D9"/>
    <w:rsid w:val="00BF3797"/>
    <w:rsid w:val="00BF3D28"/>
    <w:rsid w:val="00BF67C5"/>
    <w:rsid w:val="00BF7918"/>
    <w:rsid w:val="00C03F32"/>
    <w:rsid w:val="00C11236"/>
    <w:rsid w:val="00C169C1"/>
    <w:rsid w:val="00C20199"/>
    <w:rsid w:val="00C204E7"/>
    <w:rsid w:val="00C21EE1"/>
    <w:rsid w:val="00C342FC"/>
    <w:rsid w:val="00C34308"/>
    <w:rsid w:val="00C36549"/>
    <w:rsid w:val="00C459A7"/>
    <w:rsid w:val="00C50A23"/>
    <w:rsid w:val="00C719B6"/>
    <w:rsid w:val="00CA01A8"/>
    <w:rsid w:val="00CA3DF3"/>
    <w:rsid w:val="00CB5681"/>
    <w:rsid w:val="00CC570B"/>
    <w:rsid w:val="00CD02C9"/>
    <w:rsid w:val="00CD1CF9"/>
    <w:rsid w:val="00CD23EA"/>
    <w:rsid w:val="00CE6186"/>
    <w:rsid w:val="00CF0EB8"/>
    <w:rsid w:val="00CF3D02"/>
    <w:rsid w:val="00D053AF"/>
    <w:rsid w:val="00D071FD"/>
    <w:rsid w:val="00D157E8"/>
    <w:rsid w:val="00D22918"/>
    <w:rsid w:val="00D25BFD"/>
    <w:rsid w:val="00D25E16"/>
    <w:rsid w:val="00D47026"/>
    <w:rsid w:val="00D61C1D"/>
    <w:rsid w:val="00D7077B"/>
    <w:rsid w:val="00DA5CB0"/>
    <w:rsid w:val="00DA7026"/>
    <w:rsid w:val="00DB28A2"/>
    <w:rsid w:val="00DB41DD"/>
    <w:rsid w:val="00DC1E80"/>
    <w:rsid w:val="00DD29C1"/>
    <w:rsid w:val="00DE555E"/>
    <w:rsid w:val="00DF0642"/>
    <w:rsid w:val="00DF7AE8"/>
    <w:rsid w:val="00E269A5"/>
    <w:rsid w:val="00E3107F"/>
    <w:rsid w:val="00E51DD1"/>
    <w:rsid w:val="00E604E5"/>
    <w:rsid w:val="00E6749C"/>
    <w:rsid w:val="00E72692"/>
    <w:rsid w:val="00E7538D"/>
    <w:rsid w:val="00E84652"/>
    <w:rsid w:val="00E902D8"/>
    <w:rsid w:val="00E9089D"/>
    <w:rsid w:val="00E94F44"/>
    <w:rsid w:val="00EA322E"/>
    <w:rsid w:val="00EA349E"/>
    <w:rsid w:val="00EA682A"/>
    <w:rsid w:val="00EB0075"/>
    <w:rsid w:val="00EB0BDA"/>
    <w:rsid w:val="00EC2321"/>
    <w:rsid w:val="00ED44F5"/>
    <w:rsid w:val="00ED53E0"/>
    <w:rsid w:val="00EE4370"/>
    <w:rsid w:val="00EE5780"/>
    <w:rsid w:val="00EF4D8B"/>
    <w:rsid w:val="00F212E9"/>
    <w:rsid w:val="00F3786F"/>
    <w:rsid w:val="00F63AFF"/>
    <w:rsid w:val="00F70F05"/>
    <w:rsid w:val="00F70F20"/>
    <w:rsid w:val="00F7289F"/>
    <w:rsid w:val="00F7571F"/>
    <w:rsid w:val="00F854F9"/>
    <w:rsid w:val="00F8565C"/>
    <w:rsid w:val="00FA2E35"/>
    <w:rsid w:val="00FB02CE"/>
    <w:rsid w:val="00FB7850"/>
    <w:rsid w:val="00FE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09D8"/>
  <w15:docId w15:val="{1B1436B8-9B2D-4F99-955D-5A6B2C33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TextonotapieCar1"/>
    <w:qFormat/>
    <w:rsid w:val="0038765A"/>
    <w:pPr>
      <w:spacing w:after="0" w:line="240" w:lineRule="auto"/>
    </w:pPr>
    <w:rPr>
      <w:rFonts w:ascii="Times New Roman" w:eastAsia="MS Mincho" w:hAnsi="Times New Roman"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ﬂnotentext Car,Texto nota pie Car Car"/>
    <w:basedOn w:val="Fuentedeprrafopredeter"/>
    <w:link w:val="Textonotapie"/>
    <w:rsid w:val="0038765A"/>
    <w:rPr>
      <w:rFonts w:ascii="Times New Roman" w:eastAsia="MS Mincho" w:hAnsi="Times New Roman" w:cs="Times New Roman"/>
      <w:sz w:val="20"/>
      <w:szCs w:val="20"/>
    </w:rPr>
  </w:style>
  <w:style w:type="character" w:styleId="Refdenotaalpie">
    <w:name w:val="footnote reference"/>
    <w:aliases w:val="Footnotes refss,Texto de nota al pie,Appel note de bas de page,Footnote number,referencia nota al pie,BVI fnr,f,Footnote symbol,Footnote,Ref. de nota al pie.,4_G,16 Point,Superscript 6 Point,Texto nota al pie,Ref,de nota al pie,norma"/>
    <w:qFormat/>
    <w:rsid w:val="0038765A"/>
    <w:rPr>
      <w:rFonts w:cs="Times New Roman"/>
      <w:vertAlign w:val="superscript"/>
    </w:rPr>
  </w:style>
  <w:style w:type="paragraph" w:styleId="Prrafodelista">
    <w:name w:val="List Paragraph"/>
    <w:aliases w:val="Colorful List - Accent 11,List Paragraph2,List Paragraph1,Lista vistosa - Énfasis 11,Cuadrícula clara - Énfasis 31"/>
    <w:basedOn w:val="Normal"/>
    <w:link w:val="PrrafodelistaCar"/>
    <w:uiPriority w:val="34"/>
    <w:qFormat/>
    <w:rsid w:val="0038765A"/>
    <w:pPr>
      <w:spacing w:after="0" w:line="240" w:lineRule="auto"/>
      <w:ind w:left="720"/>
      <w:contextualSpacing/>
    </w:pPr>
    <w:rPr>
      <w:rFonts w:ascii="Garamond" w:eastAsia="Times" w:hAnsi="Garamond" w:cs="Times New Roman"/>
      <w:sz w:val="24"/>
      <w:szCs w:val="20"/>
      <w:lang w:val="es-ES_tradnl"/>
    </w:rPr>
  </w:style>
  <w:style w:type="character" w:customStyle="1" w:styleId="PrrafodelistaCar">
    <w:name w:val="Párrafo de lista Car"/>
    <w:aliases w:val="Colorful List - Accent 11 Car,List Paragraph2 Car,List Paragraph1 Car,Lista vistosa - Énfasis 11 Car,Cuadrícula clara - Énfasis 31 Car"/>
    <w:link w:val="Prrafodelista"/>
    <w:uiPriority w:val="34"/>
    <w:locked/>
    <w:rsid w:val="0038765A"/>
    <w:rPr>
      <w:rFonts w:ascii="Garamond" w:eastAsia="Times" w:hAnsi="Garamond" w:cs="Times New Roman"/>
      <w:sz w:val="24"/>
      <w:szCs w:val="20"/>
      <w:lang w:val="es-ES_tradnl"/>
    </w:rPr>
  </w:style>
  <w:style w:type="paragraph" w:customStyle="1" w:styleId="Prrafodelista1">
    <w:name w:val="Párrafo de lista1"/>
    <w:basedOn w:val="Normal"/>
    <w:uiPriority w:val="99"/>
    <w:qFormat/>
    <w:rsid w:val="0038765A"/>
    <w:pPr>
      <w:spacing w:after="0" w:line="240" w:lineRule="auto"/>
      <w:contextualSpacing/>
    </w:pPr>
    <w:rPr>
      <w:rFonts w:ascii="Verdana" w:hAnsi="Verdana" w:cs="Times New Roman"/>
      <w:sz w:val="16"/>
      <w:lang w:val="es-ES"/>
    </w:rPr>
  </w:style>
  <w:style w:type="paragraph" w:customStyle="1" w:styleId="Default">
    <w:name w:val="Default"/>
    <w:uiPriority w:val="99"/>
    <w:rsid w:val="0038765A"/>
    <w:pPr>
      <w:autoSpaceDE w:val="0"/>
      <w:autoSpaceDN w:val="0"/>
      <w:adjustRightInd w:val="0"/>
      <w:spacing w:after="0" w:line="240" w:lineRule="auto"/>
    </w:pPr>
    <w:rPr>
      <w:rFonts w:ascii="Verdana" w:hAnsi="Verdana" w:cs="Verdana"/>
      <w:color w:val="000000"/>
      <w:sz w:val="24"/>
      <w:szCs w:val="24"/>
      <w:lang w:val="es-MX"/>
    </w:rPr>
  </w:style>
  <w:style w:type="paragraph" w:styleId="NormalWeb">
    <w:name w:val="Normal (Web)"/>
    <w:basedOn w:val="Normal"/>
    <w:uiPriority w:val="99"/>
    <w:semiHidden/>
    <w:unhideWhenUsed/>
    <w:rsid w:val="00275EBB"/>
    <w:pPr>
      <w:spacing w:before="100" w:beforeAutospacing="1" w:after="100" w:afterAutospacing="1" w:line="240" w:lineRule="auto"/>
    </w:pPr>
    <w:rPr>
      <w:rFonts w:ascii="Times New Roman" w:hAnsi="Times New Roman" w:cs="Times New Roman"/>
      <w:sz w:val="24"/>
      <w:szCs w:val="24"/>
    </w:rPr>
  </w:style>
  <w:style w:type="character" w:styleId="nfasis">
    <w:name w:val="Emphasis"/>
    <w:basedOn w:val="Fuentedeprrafopredeter"/>
    <w:uiPriority w:val="20"/>
    <w:qFormat/>
    <w:rsid w:val="00271662"/>
    <w:rPr>
      <w:i/>
      <w:iCs/>
    </w:rPr>
  </w:style>
  <w:style w:type="character" w:styleId="Textodelmarcadordeposicin">
    <w:name w:val="Placeholder Text"/>
    <w:basedOn w:val="Fuentedeprrafopredeter"/>
    <w:uiPriority w:val="99"/>
    <w:semiHidden/>
    <w:rsid w:val="006E3FDC"/>
    <w:rPr>
      <w:color w:val="808080"/>
    </w:rPr>
  </w:style>
  <w:style w:type="paragraph" w:styleId="Textodeglobo">
    <w:name w:val="Balloon Text"/>
    <w:basedOn w:val="Normal"/>
    <w:link w:val="TextodegloboCar"/>
    <w:uiPriority w:val="99"/>
    <w:semiHidden/>
    <w:unhideWhenUsed/>
    <w:rsid w:val="006E3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FDC"/>
    <w:rPr>
      <w:rFonts w:ascii="Tahoma" w:hAnsi="Tahoma" w:cs="Tahoma"/>
      <w:sz w:val="16"/>
      <w:szCs w:val="16"/>
    </w:rPr>
  </w:style>
  <w:style w:type="paragraph" w:styleId="Encabezado">
    <w:name w:val="header"/>
    <w:basedOn w:val="Normal"/>
    <w:link w:val="EncabezadoCar"/>
    <w:uiPriority w:val="99"/>
    <w:unhideWhenUsed/>
    <w:rsid w:val="007E59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E5905"/>
  </w:style>
  <w:style w:type="paragraph" w:styleId="Piedepgina">
    <w:name w:val="footer"/>
    <w:basedOn w:val="Normal"/>
    <w:link w:val="PiedepginaCar"/>
    <w:uiPriority w:val="99"/>
    <w:unhideWhenUsed/>
    <w:rsid w:val="007E59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E5905"/>
  </w:style>
  <w:style w:type="character" w:styleId="Refdecomentario">
    <w:name w:val="annotation reference"/>
    <w:basedOn w:val="Fuentedeprrafopredeter"/>
    <w:uiPriority w:val="99"/>
    <w:semiHidden/>
    <w:unhideWhenUsed/>
    <w:rsid w:val="00E604E5"/>
    <w:rPr>
      <w:sz w:val="16"/>
      <w:szCs w:val="16"/>
    </w:rPr>
  </w:style>
  <w:style w:type="paragraph" w:styleId="Textocomentario">
    <w:name w:val="annotation text"/>
    <w:basedOn w:val="Normal"/>
    <w:link w:val="TextocomentarioCar"/>
    <w:uiPriority w:val="99"/>
    <w:semiHidden/>
    <w:unhideWhenUsed/>
    <w:rsid w:val="00E604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04E5"/>
    <w:rPr>
      <w:sz w:val="20"/>
      <w:szCs w:val="20"/>
    </w:rPr>
  </w:style>
  <w:style w:type="paragraph" w:styleId="Asuntodelcomentario">
    <w:name w:val="annotation subject"/>
    <w:basedOn w:val="Textocomentario"/>
    <w:next w:val="Textocomentario"/>
    <w:link w:val="AsuntodelcomentarioCar"/>
    <w:uiPriority w:val="99"/>
    <w:semiHidden/>
    <w:unhideWhenUsed/>
    <w:rsid w:val="00E604E5"/>
    <w:rPr>
      <w:b/>
      <w:bCs/>
    </w:rPr>
  </w:style>
  <w:style w:type="character" w:customStyle="1" w:styleId="AsuntodelcomentarioCar">
    <w:name w:val="Asunto del comentario Car"/>
    <w:basedOn w:val="TextocomentarioCar"/>
    <w:link w:val="Asuntodelcomentario"/>
    <w:uiPriority w:val="99"/>
    <w:semiHidden/>
    <w:rsid w:val="00E604E5"/>
    <w:rPr>
      <w:b/>
      <w:bCs/>
      <w:sz w:val="20"/>
      <w:szCs w:val="20"/>
    </w:rPr>
  </w:style>
  <w:style w:type="character" w:styleId="Nmerodelnea">
    <w:name w:val="line number"/>
    <w:basedOn w:val="Fuentedeprrafopredeter"/>
    <w:uiPriority w:val="99"/>
    <w:semiHidden/>
    <w:unhideWhenUsed/>
    <w:rsid w:val="000F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46778">
      <w:bodyDiv w:val="1"/>
      <w:marLeft w:val="0"/>
      <w:marRight w:val="0"/>
      <w:marTop w:val="0"/>
      <w:marBottom w:val="0"/>
      <w:divBdr>
        <w:top w:val="none" w:sz="0" w:space="0" w:color="auto"/>
        <w:left w:val="none" w:sz="0" w:space="0" w:color="auto"/>
        <w:bottom w:val="none" w:sz="0" w:space="0" w:color="auto"/>
        <w:right w:val="none" w:sz="0" w:space="0" w:color="auto"/>
      </w:divBdr>
    </w:div>
    <w:div w:id="1175655707">
      <w:bodyDiv w:val="1"/>
      <w:marLeft w:val="0"/>
      <w:marRight w:val="0"/>
      <w:marTop w:val="0"/>
      <w:marBottom w:val="0"/>
      <w:divBdr>
        <w:top w:val="none" w:sz="0" w:space="0" w:color="auto"/>
        <w:left w:val="none" w:sz="0" w:space="0" w:color="auto"/>
        <w:bottom w:val="none" w:sz="0" w:space="0" w:color="auto"/>
        <w:right w:val="none" w:sz="0" w:space="0" w:color="auto"/>
      </w:divBdr>
    </w:div>
    <w:div w:id="16270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0272-8F6D-4E75-A80C-AB124A1B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2632</Words>
  <Characters>14477</Characters>
  <Application>Microsoft Office Word</Application>
  <DocSecurity>4</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Ana Rita Ramirez</cp:lastModifiedBy>
  <cp:revision>2</cp:revision>
  <cp:lastPrinted>2020-04-02T19:23:00Z</cp:lastPrinted>
  <dcterms:created xsi:type="dcterms:W3CDTF">2020-04-02T20:45:00Z</dcterms:created>
  <dcterms:modified xsi:type="dcterms:W3CDTF">2020-04-02T20:45:00Z</dcterms:modified>
</cp:coreProperties>
</file>