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3CEF0" w14:textId="77777777" w:rsidR="0048575A" w:rsidRDefault="0048575A" w:rsidP="00E604E5">
      <w:pPr>
        <w:tabs>
          <w:tab w:val="left" w:pos="567"/>
        </w:tabs>
        <w:spacing w:after="0" w:line="240" w:lineRule="auto"/>
        <w:jc w:val="center"/>
        <w:rPr>
          <w:rFonts w:ascii="Verdana" w:hAnsi="Verdana"/>
          <w:b/>
          <w:spacing w:val="-4"/>
          <w:sz w:val="20"/>
          <w:szCs w:val="20"/>
          <w:lang w:val="es-MX"/>
        </w:rPr>
      </w:pPr>
    </w:p>
    <w:p w14:paraId="6C86C343" w14:textId="77777777" w:rsidR="0048575A" w:rsidRDefault="0048575A" w:rsidP="00E604E5">
      <w:pPr>
        <w:tabs>
          <w:tab w:val="left" w:pos="567"/>
        </w:tabs>
        <w:spacing w:after="0" w:line="240" w:lineRule="auto"/>
        <w:jc w:val="center"/>
        <w:rPr>
          <w:rFonts w:ascii="Verdana" w:hAnsi="Verdana"/>
          <w:b/>
          <w:spacing w:val="-4"/>
          <w:sz w:val="20"/>
          <w:szCs w:val="20"/>
          <w:lang w:val="es-MX"/>
        </w:rPr>
      </w:pPr>
    </w:p>
    <w:p w14:paraId="0F076024" w14:textId="77777777" w:rsidR="0048575A" w:rsidRDefault="0048575A" w:rsidP="00E604E5">
      <w:pPr>
        <w:tabs>
          <w:tab w:val="left" w:pos="567"/>
        </w:tabs>
        <w:spacing w:after="0" w:line="240" w:lineRule="auto"/>
        <w:jc w:val="center"/>
        <w:rPr>
          <w:rFonts w:ascii="Verdana" w:hAnsi="Verdana"/>
          <w:b/>
          <w:spacing w:val="-4"/>
          <w:sz w:val="20"/>
          <w:szCs w:val="20"/>
          <w:lang w:val="es-MX"/>
        </w:rPr>
      </w:pPr>
    </w:p>
    <w:p w14:paraId="18BD13BB" w14:textId="08FDE358" w:rsidR="0038765A" w:rsidRPr="007865FC" w:rsidRDefault="0038765A" w:rsidP="00E604E5">
      <w:pPr>
        <w:tabs>
          <w:tab w:val="left" w:pos="567"/>
        </w:tabs>
        <w:spacing w:after="0" w:line="240" w:lineRule="auto"/>
        <w:jc w:val="center"/>
        <w:rPr>
          <w:rFonts w:ascii="Verdana" w:hAnsi="Verdana"/>
          <w:b/>
          <w:spacing w:val="-4"/>
          <w:sz w:val="20"/>
          <w:szCs w:val="20"/>
          <w:lang w:val="es-MX"/>
        </w:rPr>
      </w:pPr>
      <w:bookmarkStart w:id="0" w:name="_Hlk36730543"/>
      <w:bookmarkStart w:id="1" w:name="_Hlk42610994"/>
      <w:r w:rsidRPr="007865FC">
        <w:rPr>
          <w:rFonts w:ascii="Verdana" w:hAnsi="Verdana"/>
          <w:b/>
          <w:spacing w:val="-4"/>
          <w:sz w:val="20"/>
          <w:szCs w:val="20"/>
          <w:lang w:val="es-MX"/>
        </w:rPr>
        <w:t>RESOLUCIÓN DE LA</w:t>
      </w:r>
    </w:p>
    <w:p w14:paraId="28AAB9BD" w14:textId="11084983" w:rsidR="0038765A" w:rsidRPr="007865FC" w:rsidRDefault="00AF4D0B" w:rsidP="00E604E5">
      <w:pPr>
        <w:tabs>
          <w:tab w:val="left" w:pos="567"/>
        </w:tabs>
        <w:spacing w:after="0" w:line="240" w:lineRule="auto"/>
        <w:jc w:val="center"/>
        <w:rPr>
          <w:rFonts w:ascii="Verdana" w:hAnsi="Verdana"/>
          <w:b/>
          <w:spacing w:val="-4"/>
          <w:sz w:val="20"/>
          <w:szCs w:val="20"/>
          <w:lang w:val="es-MX"/>
        </w:rPr>
      </w:pPr>
      <w:r>
        <w:rPr>
          <w:rFonts w:ascii="Verdana" w:hAnsi="Verdana"/>
          <w:b/>
          <w:spacing w:val="-4"/>
          <w:sz w:val="20"/>
          <w:szCs w:val="20"/>
          <w:lang w:val="es-MX"/>
        </w:rPr>
        <w:t>CORTE</w:t>
      </w:r>
      <w:r w:rsidR="0038765A" w:rsidRPr="007865FC">
        <w:rPr>
          <w:rFonts w:ascii="Verdana" w:hAnsi="Verdana"/>
          <w:b/>
          <w:spacing w:val="-4"/>
          <w:sz w:val="20"/>
          <w:szCs w:val="20"/>
          <w:lang w:val="es-MX"/>
        </w:rPr>
        <w:t xml:space="preserve"> INTERAMERICANA DE DERECHOS HUMANOS</w:t>
      </w:r>
    </w:p>
    <w:p w14:paraId="38A4421B" w14:textId="77777777" w:rsidR="0038765A" w:rsidRPr="007865FC" w:rsidRDefault="0038765A" w:rsidP="00E604E5">
      <w:pPr>
        <w:tabs>
          <w:tab w:val="left" w:pos="567"/>
        </w:tabs>
        <w:spacing w:after="0" w:line="240" w:lineRule="auto"/>
        <w:jc w:val="center"/>
        <w:rPr>
          <w:rFonts w:ascii="Verdana" w:hAnsi="Verdana"/>
          <w:b/>
          <w:spacing w:val="-4"/>
          <w:sz w:val="20"/>
          <w:szCs w:val="20"/>
          <w:lang w:val="es-ES_tradnl"/>
        </w:rPr>
      </w:pPr>
    </w:p>
    <w:p w14:paraId="214F332A" w14:textId="2A78910D" w:rsidR="00FC123E" w:rsidRDefault="0038765A" w:rsidP="004F0E31">
      <w:pPr>
        <w:tabs>
          <w:tab w:val="left" w:pos="567"/>
        </w:tabs>
        <w:spacing w:after="0" w:line="240" w:lineRule="auto"/>
        <w:jc w:val="center"/>
        <w:rPr>
          <w:rFonts w:ascii="Verdana" w:hAnsi="Verdana"/>
          <w:b/>
          <w:spacing w:val="-4"/>
          <w:sz w:val="20"/>
          <w:szCs w:val="20"/>
          <w:lang w:val="es-MX"/>
        </w:rPr>
        <w:sectPr w:rsidR="00FC123E" w:rsidSect="00A56148">
          <w:footerReference w:type="default" r:id="rId8"/>
          <w:footerReference w:type="first" r:id="rId9"/>
          <w:footnotePr>
            <w:numFmt w:val="chicago"/>
          </w:footnotePr>
          <w:type w:val="continuous"/>
          <w:pgSz w:w="12240" w:h="15840"/>
          <w:pgMar w:top="1440" w:right="1440" w:bottom="1440" w:left="1440" w:header="720" w:footer="720" w:gutter="0"/>
          <w:cols w:space="720"/>
          <w:titlePg/>
          <w:docGrid w:linePitch="360"/>
        </w:sectPr>
      </w:pPr>
      <w:r w:rsidRPr="007865FC">
        <w:rPr>
          <w:rFonts w:ascii="Verdana" w:hAnsi="Verdana"/>
          <w:b/>
          <w:spacing w:val="-4"/>
          <w:sz w:val="20"/>
          <w:szCs w:val="20"/>
          <w:lang w:val="es-MX"/>
        </w:rPr>
        <w:t>DE</w:t>
      </w:r>
      <w:r w:rsidR="00275EBB" w:rsidRPr="007865FC">
        <w:rPr>
          <w:rFonts w:ascii="Verdana" w:hAnsi="Verdana"/>
          <w:b/>
          <w:spacing w:val="-4"/>
          <w:sz w:val="20"/>
          <w:szCs w:val="20"/>
          <w:lang w:val="es-MX"/>
        </w:rPr>
        <w:t xml:space="preserve"> </w:t>
      </w:r>
      <w:r w:rsidR="00C82BBE">
        <w:rPr>
          <w:rFonts w:ascii="Verdana" w:hAnsi="Verdana"/>
          <w:b/>
          <w:spacing w:val="-4"/>
          <w:sz w:val="20"/>
          <w:szCs w:val="20"/>
          <w:lang w:val="es-MX"/>
        </w:rPr>
        <w:t>1</w:t>
      </w:r>
      <w:r w:rsidR="00C82BBE" w:rsidRPr="007865FC">
        <w:rPr>
          <w:rFonts w:ascii="Verdana" w:hAnsi="Verdana"/>
          <w:b/>
          <w:spacing w:val="-4"/>
          <w:sz w:val="20"/>
          <w:szCs w:val="20"/>
          <w:lang w:val="es-MX"/>
        </w:rPr>
        <w:t xml:space="preserve"> </w:t>
      </w:r>
      <w:r w:rsidRPr="007865FC">
        <w:rPr>
          <w:rFonts w:ascii="Verdana" w:hAnsi="Verdana"/>
          <w:b/>
          <w:spacing w:val="-4"/>
          <w:sz w:val="20"/>
          <w:szCs w:val="20"/>
          <w:lang w:val="es-GT"/>
        </w:rPr>
        <w:t xml:space="preserve">DE </w:t>
      </w:r>
      <w:r w:rsidR="007957AC">
        <w:rPr>
          <w:rFonts w:ascii="Verdana" w:hAnsi="Verdana"/>
          <w:b/>
          <w:spacing w:val="-4"/>
          <w:sz w:val="20"/>
          <w:szCs w:val="20"/>
          <w:lang w:val="es-GT"/>
        </w:rPr>
        <w:t>JUNIO</w:t>
      </w:r>
      <w:r w:rsidRPr="007865FC">
        <w:rPr>
          <w:rFonts w:ascii="Verdana" w:hAnsi="Verdana"/>
          <w:b/>
          <w:spacing w:val="-4"/>
          <w:sz w:val="20"/>
          <w:szCs w:val="20"/>
          <w:lang w:val="es-MX"/>
        </w:rPr>
        <w:t xml:space="preserve"> </w:t>
      </w:r>
      <w:r w:rsidR="00275EBB" w:rsidRPr="007865FC">
        <w:rPr>
          <w:rFonts w:ascii="Verdana" w:hAnsi="Verdana"/>
          <w:b/>
          <w:spacing w:val="-4"/>
          <w:sz w:val="20"/>
          <w:szCs w:val="20"/>
          <w:lang w:val="es-MX"/>
        </w:rPr>
        <w:t>DE 2020</w:t>
      </w:r>
      <w:r w:rsidR="00FC123E" w:rsidRPr="00A25123">
        <w:rPr>
          <w:rStyle w:val="Refdenotaalpie"/>
          <w:rFonts w:ascii="Verdana" w:hAnsi="Verdana"/>
          <w:spacing w:val="-4"/>
          <w:sz w:val="20"/>
          <w:szCs w:val="20"/>
          <w:lang w:val="es-CR"/>
        </w:rPr>
        <w:footnoteReference w:customMarkFollows="1" w:id="1"/>
        <w:t>*</w:t>
      </w:r>
    </w:p>
    <w:p w14:paraId="1088D35D" w14:textId="476C503E" w:rsidR="0038765A" w:rsidRPr="007865FC" w:rsidRDefault="0038765A" w:rsidP="00E604E5">
      <w:pPr>
        <w:tabs>
          <w:tab w:val="left" w:pos="567"/>
        </w:tabs>
        <w:spacing w:after="0" w:line="240" w:lineRule="auto"/>
        <w:jc w:val="center"/>
        <w:rPr>
          <w:rFonts w:ascii="Verdana" w:hAnsi="Verdana"/>
          <w:b/>
          <w:spacing w:val="-4"/>
          <w:sz w:val="20"/>
          <w:szCs w:val="20"/>
          <w:lang w:val="es-MX"/>
        </w:rPr>
      </w:pPr>
    </w:p>
    <w:p w14:paraId="6C214A2F" w14:textId="77777777" w:rsidR="0038765A" w:rsidRPr="007865FC" w:rsidRDefault="0038765A" w:rsidP="00E604E5">
      <w:pPr>
        <w:tabs>
          <w:tab w:val="left" w:pos="567"/>
        </w:tabs>
        <w:spacing w:after="0" w:line="240" w:lineRule="auto"/>
        <w:jc w:val="center"/>
        <w:rPr>
          <w:rFonts w:ascii="Verdana" w:hAnsi="Verdana"/>
          <w:b/>
          <w:spacing w:val="-4"/>
          <w:sz w:val="20"/>
          <w:szCs w:val="20"/>
          <w:lang w:val="es-MX"/>
        </w:rPr>
      </w:pPr>
    </w:p>
    <w:p w14:paraId="582547A2" w14:textId="12312F29" w:rsidR="00EE4370" w:rsidRDefault="00EE4370" w:rsidP="00E604E5">
      <w:pPr>
        <w:tabs>
          <w:tab w:val="left" w:pos="567"/>
        </w:tabs>
        <w:spacing w:after="0" w:line="240" w:lineRule="auto"/>
        <w:jc w:val="center"/>
        <w:rPr>
          <w:rFonts w:ascii="Verdana" w:hAnsi="Verdana"/>
          <w:b/>
          <w:spacing w:val="-4"/>
          <w:sz w:val="20"/>
          <w:szCs w:val="20"/>
          <w:lang w:val="es-MX"/>
        </w:rPr>
      </w:pPr>
      <w:r>
        <w:rPr>
          <w:rFonts w:ascii="Verdana" w:hAnsi="Verdana"/>
          <w:b/>
          <w:spacing w:val="-4"/>
          <w:sz w:val="20"/>
          <w:szCs w:val="20"/>
          <w:lang w:val="es-MX"/>
        </w:rPr>
        <w:t>MEDIDAS</w:t>
      </w:r>
      <w:r w:rsidR="00AB622A">
        <w:rPr>
          <w:rFonts w:ascii="Verdana" w:hAnsi="Verdana"/>
          <w:b/>
          <w:spacing w:val="-4"/>
          <w:sz w:val="20"/>
          <w:szCs w:val="20"/>
          <w:lang w:val="es-MX"/>
        </w:rPr>
        <w:t xml:space="preserve"> PROVISIONALES </w:t>
      </w:r>
      <w:r w:rsidR="00AB622A">
        <w:rPr>
          <w:rFonts w:ascii="Verdana" w:hAnsi="Verdana"/>
          <w:b/>
          <w:spacing w:val="-4"/>
          <w:sz w:val="20"/>
          <w:szCs w:val="20"/>
          <w:lang w:val="es-MX"/>
        </w:rPr>
        <w:br/>
        <w:t>RESPECTO DE COLOMBIA</w:t>
      </w:r>
    </w:p>
    <w:p w14:paraId="2939FD13" w14:textId="77777777" w:rsidR="00EE4370" w:rsidRDefault="00EE4370" w:rsidP="00E604E5">
      <w:pPr>
        <w:tabs>
          <w:tab w:val="left" w:pos="567"/>
        </w:tabs>
        <w:spacing w:after="0" w:line="240" w:lineRule="auto"/>
        <w:jc w:val="center"/>
        <w:rPr>
          <w:rFonts w:ascii="Verdana" w:hAnsi="Verdana"/>
          <w:b/>
          <w:spacing w:val="-4"/>
          <w:sz w:val="20"/>
          <w:szCs w:val="20"/>
          <w:lang w:val="es-MX"/>
        </w:rPr>
      </w:pPr>
    </w:p>
    <w:p w14:paraId="4AC79694" w14:textId="77777777" w:rsidR="00DD29C1" w:rsidRPr="007865FC" w:rsidRDefault="00DD29C1" w:rsidP="00E604E5">
      <w:pPr>
        <w:tabs>
          <w:tab w:val="left" w:pos="567"/>
        </w:tabs>
        <w:spacing w:after="0" w:line="240" w:lineRule="auto"/>
        <w:jc w:val="center"/>
        <w:rPr>
          <w:rFonts w:ascii="Verdana" w:hAnsi="Verdana"/>
          <w:b/>
          <w:spacing w:val="-4"/>
          <w:sz w:val="20"/>
          <w:szCs w:val="20"/>
          <w:lang w:val="es-MX"/>
        </w:rPr>
      </w:pPr>
    </w:p>
    <w:p w14:paraId="2226F655" w14:textId="20E8BAAB" w:rsidR="0038765A" w:rsidRPr="007865FC" w:rsidRDefault="00AF4D0B" w:rsidP="005A2CBA">
      <w:pPr>
        <w:tabs>
          <w:tab w:val="left" w:pos="567"/>
        </w:tabs>
        <w:spacing w:after="0" w:line="240" w:lineRule="auto"/>
        <w:jc w:val="center"/>
        <w:rPr>
          <w:rFonts w:ascii="Verdana" w:hAnsi="Verdana"/>
          <w:b/>
          <w:spacing w:val="-4"/>
          <w:sz w:val="20"/>
          <w:szCs w:val="20"/>
          <w:lang w:val="es-MX"/>
        </w:rPr>
      </w:pPr>
      <w:r>
        <w:rPr>
          <w:rFonts w:ascii="Verdana" w:hAnsi="Verdana"/>
          <w:b/>
          <w:spacing w:val="-4"/>
          <w:sz w:val="20"/>
          <w:szCs w:val="20"/>
          <w:lang w:val="es-MX"/>
        </w:rPr>
        <w:t>CASO</w:t>
      </w:r>
      <w:r w:rsidR="00DD29C1" w:rsidRPr="007865FC">
        <w:rPr>
          <w:rFonts w:ascii="Verdana" w:hAnsi="Verdana"/>
          <w:b/>
          <w:spacing w:val="-4"/>
          <w:sz w:val="20"/>
          <w:szCs w:val="20"/>
          <w:lang w:val="es-MX"/>
        </w:rPr>
        <w:t xml:space="preserve"> </w:t>
      </w:r>
      <w:r w:rsidR="005A2CBA">
        <w:rPr>
          <w:rFonts w:ascii="Verdana" w:hAnsi="Verdana"/>
          <w:b/>
          <w:spacing w:val="-4"/>
          <w:sz w:val="20"/>
          <w:szCs w:val="20"/>
          <w:lang w:val="es-MX"/>
        </w:rPr>
        <w:t>19 COMERCIANTES</w:t>
      </w:r>
    </w:p>
    <w:bookmarkEnd w:id="0"/>
    <w:p w14:paraId="4BC4D001" w14:textId="77777777" w:rsidR="0038765A" w:rsidRPr="007865FC" w:rsidRDefault="0038765A" w:rsidP="00E604E5">
      <w:pPr>
        <w:tabs>
          <w:tab w:val="left" w:pos="567"/>
        </w:tabs>
        <w:spacing w:after="0" w:line="240" w:lineRule="auto"/>
        <w:jc w:val="both"/>
        <w:rPr>
          <w:rFonts w:ascii="Verdana" w:hAnsi="Verdana"/>
          <w:b/>
          <w:spacing w:val="-4"/>
          <w:sz w:val="20"/>
          <w:szCs w:val="20"/>
          <w:lang w:val="es-GT"/>
        </w:rPr>
      </w:pPr>
    </w:p>
    <w:p w14:paraId="586C87E2" w14:textId="77777777" w:rsidR="0038765A" w:rsidRPr="007865FC" w:rsidRDefault="0038765A" w:rsidP="00EE4370">
      <w:pPr>
        <w:tabs>
          <w:tab w:val="left" w:pos="567"/>
        </w:tabs>
        <w:spacing w:before="240" w:after="240" w:line="240" w:lineRule="auto"/>
        <w:jc w:val="both"/>
        <w:rPr>
          <w:rFonts w:ascii="Verdana" w:hAnsi="Verdana"/>
          <w:b/>
          <w:spacing w:val="-4"/>
          <w:sz w:val="20"/>
          <w:szCs w:val="20"/>
          <w:lang w:val="es-MX"/>
        </w:rPr>
      </w:pPr>
      <w:r w:rsidRPr="007865FC">
        <w:rPr>
          <w:rFonts w:ascii="Verdana" w:hAnsi="Verdana"/>
          <w:b/>
          <w:spacing w:val="-4"/>
          <w:sz w:val="20"/>
          <w:szCs w:val="20"/>
          <w:lang w:val="es-MX"/>
        </w:rPr>
        <w:t>VISTO:</w:t>
      </w:r>
    </w:p>
    <w:p w14:paraId="79BCA444" w14:textId="2B9D4969" w:rsidR="003C1096" w:rsidRPr="0004594A" w:rsidRDefault="00AF4D0B" w:rsidP="0004594A">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sidRPr="00EE4370">
        <w:rPr>
          <w:rFonts w:ascii="Verdana" w:hAnsi="Verdana"/>
          <w:spacing w:val="-4"/>
          <w:sz w:val="20"/>
          <w:szCs w:val="20"/>
          <w:lang w:val="es-CR"/>
        </w:rPr>
        <w:t>La Sentencia de fondo, reparaciones y costas dictada por la Corte Interamericana de Derechos Humanos (en adelante “la Corte Interamericana”, “la Corte” o “el Tribunal”) el 5 de julio de 2004</w:t>
      </w:r>
      <w:r w:rsidR="00D47026">
        <w:rPr>
          <w:rFonts w:ascii="Verdana" w:hAnsi="Verdana"/>
          <w:spacing w:val="-4"/>
          <w:sz w:val="20"/>
          <w:szCs w:val="20"/>
          <w:lang w:val="es-CR"/>
        </w:rPr>
        <w:t>,</w:t>
      </w:r>
      <w:r w:rsidR="003C1096">
        <w:rPr>
          <w:rFonts w:ascii="Verdana" w:hAnsi="Verdana"/>
          <w:spacing w:val="-4"/>
          <w:sz w:val="20"/>
          <w:szCs w:val="20"/>
          <w:lang w:val="es-CR"/>
        </w:rPr>
        <w:t xml:space="preserve"> mediante la cual se declaró que </w:t>
      </w:r>
      <w:r w:rsidR="00AE1CDE">
        <w:rPr>
          <w:rFonts w:ascii="Verdana" w:hAnsi="Verdana"/>
          <w:spacing w:val="-4"/>
          <w:sz w:val="20"/>
          <w:szCs w:val="20"/>
          <w:lang w:val="es-CR"/>
        </w:rPr>
        <w:t>la República de Colombia (en adelante “</w:t>
      </w:r>
      <w:r w:rsidR="003C1096">
        <w:rPr>
          <w:rFonts w:ascii="Verdana" w:hAnsi="Verdana"/>
          <w:spacing w:val="-4"/>
          <w:sz w:val="20"/>
          <w:szCs w:val="20"/>
          <w:lang w:val="es-CR"/>
        </w:rPr>
        <w:t>el Estado</w:t>
      </w:r>
      <w:r w:rsidR="00AE1CDE">
        <w:rPr>
          <w:rFonts w:ascii="Verdana" w:hAnsi="Verdana"/>
          <w:spacing w:val="-4"/>
          <w:sz w:val="20"/>
          <w:szCs w:val="20"/>
          <w:lang w:val="es-CR"/>
        </w:rPr>
        <w:t>” o “Colombia”)</w:t>
      </w:r>
      <w:r w:rsidR="003C1096">
        <w:rPr>
          <w:rFonts w:ascii="Verdana" w:hAnsi="Verdana"/>
          <w:spacing w:val="-4"/>
          <w:sz w:val="20"/>
          <w:szCs w:val="20"/>
          <w:lang w:val="es-CR"/>
        </w:rPr>
        <w:t xml:space="preserve"> había violado </w:t>
      </w:r>
      <w:r w:rsidR="003C1096" w:rsidRPr="003C1096">
        <w:rPr>
          <w:rFonts w:ascii="Verdana" w:hAnsi="Verdana"/>
          <w:spacing w:val="-4"/>
          <w:sz w:val="20"/>
          <w:szCs w:val="20"/>
          <w:lang w:val="es-CR"/>
        </w:rPr>
        <w:t>los derechos a la libertad personal, a la integridad personal y a la vida</w:t>
      </w:r>
      <w:r w:rsidR="003C1096">
        <w:rPr>
          <w:rFonts w:ascii="Verdana" w:hAnsi="Verdana"/>
          <w:spacing w:val="-4"/>
          <w:sz w:val="20"/>
          <w:szCs w:val="20"/>
          <w:lang w:val="es-CR"/>
        </w:rPr>
        <w:t xml:space="preserve"> en perjuicio de </w:t>
      </w:r>
      <w:r w:rsidR="003C1096" w:rsidRPr="003C1096">
        <w:rPr>
          <w:rFonts w:ascii="Verdana" w:hAnsi="Verdana"/>
          <w:spacing w:val="-4"/>
          <w:sz w:val="20"/>
          <w:szCs w:val="20"/>
          <w:lang w:val="es-CR"/>
        </w:rPr>
        <w:t>Antonio Flórez Contreras</w:t>
      </w:r>
      <w:r w:rsidR="003C1096">
        <w:rPr>
          <w:rFonts w:ascii="Verdana" w:hAnsi="Verdana"/>
          <w:spacing w:val="-4"/>
          <w:sz w:val="20"/>
          <w:szCs w:val="20"/>
          <w:lang w:val="es-CR"/>
        </w:rPr>
        <w:t xml:space="preserve"> y de otras </w:t>
      </w:r>
      <w:r w:rsidR="007E253C">
        <w:rPr>
          <w:rFonts w:ascii="Verdana" w:hAnsi="Verdana"/>
          <w:spacing w:val="-4"/>
          <w:sz w:val="20"/>
          <w:szCs w:val="20"/>
          <w:lang w:val="es-CR"/>
        </w:rPr>
        <w:t xml:space="preserve">18 personas, y que se había violado el derecho a la integridad personal de sus familiares, dentro de los cuales se encontraba la señora </w:t>
      </w:r>
      <w:r w:rsidR="007E253C" w:rsidRPr="00307843">
        <w:rPr>
          <w:rFonts w:ascii="Verdana" w:hAnsi="Verdana"/>
          <w:sz w:val="20"/>
          <w:szCs w:val="20"/>
          <w:lang w:val="es-CR"/>
        </w:rPr>
        <w:t>Nery del Socorro Flórez</w:t>
      </w:r>
      <w:r w:rsidR="00DE555E">
        <w:rPr>
          <w:rFonts w:ascii="Verdana" w:hAnsi="Verdana"/>
          <w:sz w:val="20"/>
          <w:szCs w:val="20"/>
          <w:lang w:val="es-CR"/>
        </w:rPr>
        <w:t xml:space="preserve"> Contreras</w:t>
      </w:r>
      <w:r w:rsidR="007E253C" w:rsidRPr="00307843">
        <w:rPr>
          <w:rFonts w:ascii="Verdana" w:hAnsi="Verdana"/>
          <w:sz w:val="20"/>
          <w:szCs w:val="20"/>
          <w:lang w:val="es-CR"/>
        </w:rPr>
        <w:t>, hermana de la víctima Antonio Flórez Contreras</w:t>
      </w:r>
      <w:r w:rsidR="007E253C">
        <w:rPr>
          <w:rFonts w:ascii="Verdana" w:hAnsi="Verdana"/>
          <w:sz w:val="20"/>
          <w:szCs w:val="20"/>
          <w:lang w:val="es-CR"/>
        </w:rPr>
        <w:t xml:space="preserve">. </w:t>
      </w:r>
      <w:r w:rsidR="0004594A" w:rsidRPr="0004594A">
        <w:rPr>
          <w:rFonts w:ascii="Verdana" w:hAnsi="Verdana"/>
          <w:spacing w:val="-4"/>
          <w:sz w:val="20"/>
          <w:szCs w:val="20"/>
          <w:lang w:val="es-CR"/>
        </w:rPr>
        <w:t>Además</w:t>
      </w:r>
      <w:r w:rsidR="0004594A">
        <w:rPr>
          <w:rFonts w:ascii="Verdana" w:hAnsi="Verdana"/>
          <w:sz w:val="20"/>
          <w:szCs w:val="20"/>
          <w:lang w:val="es-CR"/>
        </w:rPr>
        <w:t>, la Corte ordenó en el punto resolutivo 11 de dicha Sentencia que el Estado debía “</w:t>
      </w:r>
      <w:r w:rsidR="0004594A" w:rsidRPr="0004594A">
        <w:rPr>
          <w:rFonts w:ascii="Verdana" w:hAnsi="Verdana"/>
          <w:spacing w:val="-4"/>
          <w:sz w:val="20"/>
          <w:szCs w:val="20"/>
          <w:lang w:val="es-CR"/>
        </w:rPr>
        <w:t xml:space="preserve">ocuparse particularmente de garantizar la vida, integridad y seguridad de las personas que rindieron </w:t>
      </w:r>
      <w:r w:rsidR="00BF3797" w:rsidRPr="0004594A">
        <w:rPr>
          <w:rFonts w:ascii="Verdana" w:hAnsi="Verdana"/>
          <w:spacing w:val="-4"/>
          <w:sz w:val="20"/>
          <w:szCs w:val="20"/>
          <w:lang w:val="es-CR"/>
        </w:rPr>
        <w:t>declaración</w:t>
      </w:r>
      <w:r w:rsidR="0004594A" w:rsidRPr="0004594A">
        <w:rPr>
          <w:rFonts w:ascii="Verdana" w:hAnsi="Verdana"/>
          <w:spacing w:val="-4"/>
          <w:sz w:val="20"/>
          <w:szCs w:val="20"/>
          <w:lang w:val="es-CR"/>
        </w:rPr>
        <w:t xml:space="preserve"> ante el Tribunal y sus familias</w:t>
      </w:r>
      <w:r w:rsidR="0004594A">
        <w:rPr>
          <w:rFonts w:ascii="Verdana" w:hAnsi="Verdana"/>
          <w:spacing w:val="-4"/>
          <w:sz w:val="20"/>
          <w:szCs w:val="20"/>
          <w:lang w:val="es-CR"/>
        </w:rPr>
        <w:t xml:space="preserve">”. En el proceso ante la Corte, rindieron declaración </w:t>
      </w:r>
      <w:r w:rsidR="0004594A" w:rsidRPr="0004594A">
        <w:rPr>
          <w:rFonts w:ascii="Verdana" w:hAnsi="Verdana"/>
          <w:spacing w:val="-4"/>
          <w:sz w:val="20"/>
          <w:szCs w:val="20"/>
          <w:lang w:val="es-CR"/>
        </w:rPr>
        <w:t>testimonial Salomón Flórez Contreras</w:t>
      </w:r>
      <w:r w:rsidR="0004594A">
        <w:rPr>
          <w:rFonts w:ascii="Verdana" w:hAnsi="Verdana"/>
          <w:spacing w:val="-4"/>
          <w:sz w:val="20"/>
          <w:szCs w:val="20"/>
          <w:lang w:val="es-CR"/>
        </w:rPr>
        <w:t xml:space="preserve"> y </w:t>
      </w:r>
      <w:r w:rsidR="0004594A" w:rsidRPr="0004594A">
        <w:rPr>
          <w:rFonts w:ascii="Verdana" w:hAnsi="Verdana"/>
          <w:spacing w:val="-4"/>
          <w:sz w:val="20"/>
          <w:szCs w:val="20"/>
          <w:lang w:val="es-CR"/>
        </w:rPr>
        <w:t>Lina Noralba Navarro Flórez</w:t>
      </w:r>
      <w:r w:rsidR="00CC570B">
        <w:rPr>
          <w:rFonts w:ascii="Verdana" w:hAnsi="Verdana"/>
          <w:spacing w:val="-4"/>
          <w:sz w:val="20"/>
          <w:szCs w:val="20"/>
          <w:lang w:val="es-CR"/>
        </w:rPr>
        <w:t>, hermano y sobrina respectivamente de Antonio Flórez Contreras</w:t>
      </w:r>
      <w:r w:rsidR="0004594A">
        <w:rPr>
          <w:rFonts w:ascii="Verdana" w:hAnsi="Verdana"/>
          <w:spacing w:val="-4"/>
          <w:sz w:val="20"/>
          <w:szCs w:val="20"/>
          <w:lang w:val="es-CR"/>
        </w:rPr>
        <w:t>.</w:t>
      </w:r>
    </w:p>
    <w:p w14:paraId="6BAACAD7" w14:textId="6D80C28C" w:rsidR="0004594A" w:rsidRPr="0004594A" w:rsidRDefault="002F7DE6" w:rsidP="007C6095">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sidRPr="0004594A">
        <w:rPr>
          <w:rFonts w:ascii="Verdana" w:hAnsi="Verdana"/>
          <w:spacing w:val="-4"/>
          <w:sz w:val="20"/>
          <w:szCs w:val="20"/>
          <w:lang w:val="es-CR"/>
        </w:rPr>
        <w:t xml:space="preserve">Las </w:t>
      </w:r>
      <w:r w:rsidR="003B5A33" w:rsidRPr="0004594A">
        <w:rPr>
          <w:rFonts w:ascii="Verdana" w:hAnsi="Verdana"/>
          <w:spacing w:val="-4"/>
          <w:sz w:val="20"/>
          <w:szCs w:val="20"/>
          <w:lang w:val="es-CR"/>
        </w:rPr>
        <w:t>Resoluciones dictadas por l</w:t>
      </w:r>
      <w:r w:rsidR="00D47026">
        <w:rPr>
          <w:rFonts w:ascii="Verdana" w:hAnsi="Verdana"/>
          <w:spacing w:val="-4"/>
          <w:sz w:val="20"/>
          <w:szCs w:val="20"/>
          <w:lang w:val="es-CR"/>
        </w:rPr>
        <w:t>a</w:t>
      </w:r>
      <w:r w:rsidR="003B5A33" w:rsidRPr="0004594A">
        <w:rPr>
          <w:rFonts w:ascii="Verdana" w:hAnsi="Verdana"/>
          <w:spacing w:val="-4"/>
          <w:sz w:val="20"/>
          <w:szCs w:val="20"/>
          <w:lang w:val="es-CR"/>
        </w:rPr>
        <w:t xml:space="preserve"> Presiden</w:t>
      </w:r>
      <w:r w:rsidR="00D47026">
        <w:rPr>
          <w:rFonts w:ascii="Verdana" w:hAnsi="Verdana"/>
          <w:spacing w:val="-4"/>
          <w:sz w:val="20"/>
          <w:szCs w:val="20"/>
          <w:lang w:val="es-CR"/>
        </w:rPr>
        <w:t>cia</w:t>
      </w:r>
      <w:r w:rsidR="003B5A33" w:rsidRPr="0004594A">
        <w:rPr>
          <w:rFonts w:ascii="Verdana" w:hAnsi="Verdana"/>
          <w:spacing w:val="-4"/>
          <w:sz w:val="20"/>
          <w:szCs w:val="20"/>
          <w:lang w:val="es-CR"/>
        </w:rPr>
        <w:t xml:space="preserve"> de la Corte el 30 de julio</w:t>
      </w:r>
      <w:r w:rsidR="00D5623F">
        <w:rPr>
          <w:rFonts w:ascii="Verdana" w:hAnsi="Verdana"/>
          <w:spacing w:val="-4"/>
          <w:sz w:val="20"/>
          <w:szCs w:val="20"/>
          <w:lang w:val="es-CR"/>
        </w:rPr>
        <w:t xml:space="preserve"> de 2004, 28 de abril de 2006, </w:t>
      </w:r>
      <w:r w:rsidR="003B5A33" w:rsidRPr="0004594A">
        <w:rPr>
          <w:rFonts w:ascii="Verdana" w:hAnsi="Verdana"/>
          <w:spacing w:val="-4"/>
          <w:sz w:val="20"/>
          <w:szCs w:val="20"/>
          <w:lang w:val="es-CR"/>
        </w:rPr>
        <w:t xml:space="preserve">6 de febrero de 2007, así como las </w:t>
      </w:r>
      <w:r w:rsidR="006369EA">
        <w:rPr>
          <w:rFonts w:ascii="Verdana" w:hAnsi="Verdana"/>
          <w:spacing w:val="-4"/>
          <w:sz w:val="20"/>
          <w:szCs w:val="20"/>
          <w:lang w:val="es-CR"/>
        </w:rPr>
        <w:t>R</w:t>
      </w:r>
      <w:r w:rsidR="003B5A33" w:rsidRPr="0004594A">
        <w:rPr>
          <w:rFonts w:ascii="Verdana" w:hAnsi="Verdana"/>
          <w:spacing w:val="-4"/>
          <w:sz w:val="20"/>
          <w:szCs w:val="20"/>
          <w:lang w:val="es-CR"/>
        </w:rPr>
        <w:t xml:space="preserve">esoluciones de la Corte de </w:t>
      </w:r>
      <w:r w:rsidR="00604D5F" w:rsidRPr="0004594A">
        <w:rPr>
          <w:rFonts w:ascii="Verdana" w:hAnsi="Verdana"/>
          <w:spacing w:val="-4"/>
          <w:sz w:val="20"/>
          <w:szCs w:val="20"/>
          <w:lang w:val="es-CR"/>
        </w:rPr>
        <w:t xml:space="preserve">3 de septiembre de 2004, </w:t>
      </w:r>
      <w:r w:rsidR="003B5A33" w:rsidRPr="0004594A">
        <w:rPr>
          <w:rFonts w:ascii="Verdana" w:hAnsi="Verdana"/>
          <w:spacing w:val="-4"/>
          <w:sz w:val="20"/>
          <w:szCs w:val="20"/>
          <w:lang w:val="es-CR"/>
        </w:rPr>
        <w:t>4 de julio de 2006, 12 de mayo de 2007, 8 de julio de 2009, 26 de agosto de 2010 y 26 de junio de 2012</w:t>
      </w:r>
      <w:r w:rsidR="00D47026">
        <w:rPr>
          <w:rFonts w:ascii="Verdana" w:hAnsi="Verdana"/>
          <w:spacing w:val="-4"/>
          <w:sz w:val="20"/>
          <w:szCs w:val="20"/>
          <w:lang w:val="es-CR"/>
        </w:rPr>
        <w:t>,</w:t>
      </w:r>
      <w:r w:rsidR="0004594A" w:rsidRPr="0004594A">
        <w:rPr>
          <w:rFonts w:ascii="Verdana" w:hAnsi="Verdana"/>
          <w:spacing w:val="-4"/>
          <w:sz w:val="20"/>
          <w:szCs w:val="20"/>
          <w:lang w:val="es-CR"/>
        </w:rPr>
        <w:t xml:space="preserve"> mediante las cuales se ordenaron la adopción </w:t>
      </w:r>
      <w:r w:rsidR="003B7D36">
        <w:rPr>
          <w:rFonts w:ascii="Verdana" w:hAnsi="Verdana"/>
          <w:spacing w:val="-4"/>
          <w:sz w:val="20"/>
          <w:szCs w:val="20"/>
          <w:lang w:val="es-CR"/>
        </w:rPr>
        <w:t xml:space="preserve">y ampliación </w:t>
      </w:r>
      <w:r w:rsidR="0004594A" w:rsidRPr="0004594A">
        <w:rPr>
          <w:rFonts w:ascii="Verdana" w:hAnsi="Verdana"/>
          <w:spacing w:val="-4"/>
          <w:sz w:val="20"/>
          <w:szCs w:val="20"/>
          <w:lang w:val="es-CR"/>
        </w:rPr>
        <w:t xml:space="preserve">de </w:t>
      </w:r>
      <w:r w:rsidR="0004594A" w:rsidRPr="0004594A">
        <w:rPr>
          <w:rFonts w:ascii="Verdana" w:hAnsi="Verdana"/>
          <w:sz w:val="20"/>
          <w:lang w:val="es-CR"/>
        </w:rPr>
        <w:t>las medidas necesarias para proteger los derechos a la vida y a la integridad personal</w:t>
      </w:r>
      <w:r w:rsidR="0004594A">
        <w:rPr>
          <w:rFonts w:ascii="Verdana" w:hAnsi="Verdana"/>
          <w:sz w:val="20"/>
          <w:lang w:val="es-CR"/>
        </w:rPr>
        <w:t xml:space="preserve"> de determinadas víctimas y familiares del caso.</w:t>
      </w:r>
    </w:p>
    <w:p w14:paraId="6C931D05" w14:textId="5DF5B538" w:rsidR="00AB622A" w:rsidRDefault="00AB622A" w:rsidP="00E05B5F">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Pr>
          <w:rFonts w:ascii="Verdana" w:hAnsi="Verdana"/>
          <w:spacing w:val="-4"/>
          <w:sz w:val="20"/>
          <w:szCs w:val="20"/>
          <w:lang w:val="es-CR"/>
        </w:rPr>
        <w:t xml:space="preserve">La </w:t>
      </w:r>
      <w:r w:rsidRPr="00AB622A">
        <w:rPr>
          <w:rFonts w:ascii="Verdana" w:hAnsi="Verdana"/>
          <w:spacing w:val="-4"/>
          <w:sz w:val="20"/>
          <w:szCs w:val="20"/>
          <w:lang w:val="es-CR"/>
        </w:rPr>
        <w:t xml:space="preserve">Resolución de Medidas Urgentes </w:t>
      </w:r>
      <w:r>
        <w:rPr>
          <w:rFonts w:ascii="Verdana" w:hAnsi="Verdana"/>
          <w:spacing w:val="-4"/>
          <w:sz w:val="20"/>
          <w:szCs w:val="20"/>
          <w:lang w:val="es-CR"/>
        </w:rPr>
        <w:t xml:space="preserve">de la </w:t>
      </w:r>
      <w:r w:rsidRPr="00AB622A">
        <w:rPr>
          <w:rFonts w:ascii="Verdana" w:hAnsi="Verdana"/>
          <w:spacing w:val="-4"/>
          <w:sz w:val="20"/>
          <w:szCs w:val="20"/>
          <w:lang w:val="es-CR"/>
        </w:rPr>
        <w:t>President</w:t>
      </w:r>
      <w:r>
        <w:rPr>
          <w:rFonts w:ascii="Verdana" w:hAnsi="Verdana"/>
          <w:spacing w:val="-4"/>
          <w:sz w:val="20"/>
          <w:szCs w:val="20"/>
          <w:lang w:val="es-CR"/>
        </w:rPr>
        <w:t>a</w:t>
      </w:r>
      <w:r w:rsidRPr="00AB622A">
        <w:rPr>
          <w:rFonts w:ascii="Verdana" w:hAnsi="Verdana"/>
          <w:spacing w:val="-4"/>
          <w:sz w:val="20"/>
          <w:szCs w:val="20"/>
          <w:lang w:val="es-CR"/>
        </w:rPr>
        <w:t xml:space="preserve"> de la Corte de </w:t>
      </w:r>
      <w:r>
        <w:rPr>
          <w:rFonts w:ascii="Verdana" w:hAnsi="Verdana"/>
          <w:spacing w:val="-4"/>
          <w:sz w:val="20"/>
          <w:szCs w:val="20"/>
          <w:lang w:val="es-CR"/>
        </w:rPr>
        <w:t>2</w:t>
      </w:r>
      <w:r w:rsidRPr="00AB622A">
        <w:rPr>
          <w:rFonts w:ascii="Verdana" w:hAnsi="Verdana"/>
          <w:spacing w:val="-4"/>
          <w:sz w:val="20"/>
          <w:szCs w:val="20"/>
          <w:lang w:val="es-CR"/>
        </w:rPr>
        <w:t xml:space="preserve"> de </w:t>
      </w:r>
      <w:r>
        <w:rPr>
          <w:rFonts w:ascii="Verdana" w:hAnsi="Verdana"/>
          <w:spacing w:val="-4"/>
          <w:sz w:val="20"/>
          <w:szCs w:val="20"/>
          <w:lang w:val="es-CR"/>
        </w:rPr>
        <w:t>abril</w:t>
      </w:r>
      <w:r w:rsidRPr="00AB622A">
        <w:rPr>
          <w:rFonts w:ascii="Verdana" w:hAnsi="Verdana"/>
          <w:spacing w:val="-4"/>
          <w:sz w:val="20"/>
          <w:szCs w:val="20"/>
          <w:lang w:val="es-CR"/>
        </w:rPr>
        <w:t xml:space="preserve"> de </w:t>
      </w:r>
      <w:r>
        <w:rPr>
          <w:rFonts w:ascii="Verdana" w:hAnsi="Verdana"/>
          <w:spacing w:val="-4"/>
          <w:sz w:val="20"/>
          <w:szCs w:val="20"/>
          <w:lang w:val="es-CR"/>
        </w:rPr>
        <w:t>2020</w:t>
      </w:r>
      <w:r w:rsidR="003F1197">
        <w:rPr>
          <w:rFonts w:ascii="Verdana" w:hAnsi="Verdana"/>
          <w:sz w:val="20"/>
          <w:szCs w:val="20"/>
          <w:lang w:val="es-CR"/>
        </w:rPr>
        <w:t>.</w:t>
      </w:r>
    </w:p>
    <w:p w14:paraId="521BF891" w14:textId="7CFD071C" w:rsidR="00355DA0" w:rsidRPr="00D5623F" w:rsidRDefault="000E5AA0" w:rsidP="00D5623F">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Pr>
          <w:rFonts w:ascii="Verdana" w:hAnsi="Verdana"/>
          <w:spacing w:val="-4"/>
          <w:sz w:val="20"/>
          <w:szCs w:val="20"/>
          <w:lang w:val="es-CR"/>
        </w:rPr>
        <w:t>Los</w:t>
      </w:r>
      <w:r w:rsidR="00B77346">
        <w:rPr>
          <w:rFonts w:ascii="Verdana" w:hAnsi="Verdana"/>
          <w:spacing w:val="-4"/>
          <w:sz w:val="20"/>
          <w:szCs w:val="20"/>
          <w:lang w:val="es-CR"/>
        </w:rPr>
        <w:t xml:space="preserve"> </w:t>
      </w:r>
      <w:r w:rsidR="00D5623F">
        <w:rPr>
          <w:rFonts w:ascii="Verdana" w:hAnsi="Verdana"/>
          <w:spacing w:val="-4"/>
          <w:sz w:val="20"/>
          <w:szCs w:val="20"/>
          <w:lang w:val="es-CR"/>
        </w:rPr>
        <w:t>escrito</w:t>
      </w:r>
      <w:r>
        <w:rPr>
          <w:rFonts w:ascii="Verdana" w:hAnsi="Verdana"/>
          <w:spacing w:val="-4"/>
          <w:sz w:val="20"/>
          <w:szCs w:val="20"/>
          <w:lang w:val="es-CR"/>
        </w:rPr>
        <w:t>s</w:t>
      </w:r>
      <w:r w:rsidR="00D5623F">
        <w:rPr>
          <w:rFonts w:ascii="Verdana" w:hAnsi="Verdana"/>
          <w:spacing w:val="-4"/>
          <w:sz w:val="20"/>
          <w:szCs w:val="20"/>
          <w:lang w:val="es-CR"/>
        </w:rPr>
        <w:t xml:space="preserve"> de 6 de abril</w:t>
      </w:r>
      <w:r w:rsidR="009125B4" w:rsidRPr="00355DA0">
        <w:rPr>
          <w:rFonts w:ascii="Verdana" w:hAnsi="Verdana"/>
          <w:spacing w:val="-4"/>
          <w:sz w:val="20"/>
          <w:szCs w:val="20"/>
          <w:lang w:val="es-CR"/>
        </w:rPr>
        <w:t xml:space="preserve"> </w:t>
      </w:r>
      <w:r>
        <w:rPr>
          <w:rFonts w:ascii="Verdana" w:hAnsi="Verdana"/>
          <w:spacing w:val="-4"/>
          <w:sz w:val="20"/>
          <w:szCs w:val="20"/>
          <w:lang w:val="es-CR"/>
        </w:rPr>
        <w:t xml:space="preserve">y 4 de mayo </w:t>
      </w:r>
      <w:r w:rsidR="009125B4" w:rsidRPr="00355DA0">
        <w:rPr>
          <w:rFonts w:ascii="Verdana" w:hAnsi="Verdana"/>
          <w:spacing w:val="-4"/>
          <w:sz w:val="20"/>
          <w:szCs w:val="20"/>
          <w:lang w:val="es-CR"/>
        </w:rPr>
        <w:t>de 2020</w:t>
      </w:r>
      <w:r w:rsidR="00EE4370" w:rsidRPr="00355DA0">
        <w:rPr>
          <w:rFonts w:ascii="Verdana" w:hAnsi="Verdana"/>
          <w:spacing w:val="-4"/>
          <w:sz w:val="20"/>
          <w:szCs w:val="20"/>
          <w:lang w:val="es-CR"/>
        </w:rPr>
        <w:t xml:space="preserve"> </w:t>
      </w:r>
      <w:r w:rsidR="009125B4" w:rsidRPr="00355DA0">
        <w:rPr>
          <w:rFonts w:ascii="Verdana" w:hAnsi="Verdana"/>
          <w:spacing w:val="-4"/>
          <w:sz w:val="20"/>
          <w:szCs w:val="20"/>
          <w:lang w:val="es-CR"/>
        </w:rPr>
        <w:t>presentado</w:t>
      </w:r>
      <w:r w:rsidR="003B7D36">
        <w:rPr>
          <w:rFonts w:ascii="Verdana" w:hAnsi="Verdana"/>
          <w:spacing w:val="-4"/>
          <w:sz w:val="20"/>
          <w:szCs w:val="20"/>
          <w:lang w:val="es-CR"/>
        </w:rPr>
        <w:t>s</w:t>
      </w:r>
      <w:r w:rsidR="009125B4" w:rsidRPr="00355DA0">
        <w:rPr>
          <w:rFonts w:ascii="Verdana" w:hAnsi="Verdana"/>
          <w:spacing w:val="-4"/>
          <w:sz w:val="20"/>
          <w:szCs w:val="20"/>
          <w:lang w:val="es-CR"/>
        </w:rPr>
        <w:t xml:space="preserve"> por los representantes </w:t>
      </w:r>
      <w:r w:rsidR="00164C4C">
        <w:rPr>
          <w:rFonts w:ascii="Verdana" w:hAnsi="Verdana"/>
          <w:spacing w:val="-4"/>
          <w:sz w:val="20"/>
          <w:szCs w:val="20"/>
          <w:lang w:val="es-CR"/>
        </w:rPr>
        <w:t>de l</w:t>
      </w:r>
      <w:r w:rsidR="003B7D36">
        <w:rPr>
          <w:rFonts w:ascii="Verdana" w:hAnsi="Verdana"/>
          <w:spacing w:val="-4"/>
          <w:sz w:val="20"/>
          <w:szCs w:val="20"/>
          <w:lang w:val="es-CR"/>
        </w:rPr>
        <w:t xml:space="preserve">os beneficiarios </w:t>
      </w:r>
      <w:r w:rsidR="009125B4" w:rsidRPr="00355DA0">
        <w:rPr>
          <w:rFonts w:ascii="Verdana" w:hAnsi="Verdana"/>
          <w:spacing w:val="-4"/>
          <w:sz w:val="20"/>
          <w:szCs w:val="20"/>
          <w:lang w:val="es-CR"/>
        </w:rPr>
        <w:t>(en adelante “los representantes”)</w:t>
      </w:r>
      <w:r w:rsidR="00D47026">
        <w:rPr>
          <w:rFonts w:ascii="Verdana" w:hAnsi="Verdana"/>
          <w:spacing w:val="-4"/>
          <w:sz w:val="20"/>
          <w:szCs w:val="20"/>
          <w:lang w:val="es-CR"/>
        </w:rPr>
        <w:t>,</w:t>
      </w:r>
      <w:r w:rsidR="009125B4" w:rsidRPr="00355DA0">
        <w:rPr>
          <w:rFonts w:ascii="Verdana" w:hAnsi="Verdana"/>
          <w:spacing w:val="-4"/>
          <w:sz w:val="20"/>
          <w:szCs w:val="20"/>
          <w:lang w:val="es-CR"/>
        </w:rPr>
        <w:t xml:space="preserve"> </w:t>
      </w:r>
      <w:r w:rsidR="00B50A83" w:rsidRPr="00355DA0">
        <w:rPr>
          <w:rFonts w:ascii="Verdana" w:hAnsi="Verdana"/>
          <w:spacing w:val="-4"/>
          <w:sz w:val="20"/>
          <w:szCs w:val="20"/>
          <w:lang w:val="es-CR"/>
        </w:rPr>
        <w:t xml:space="preserve">mediante </w:t>
      </w:r>
      <w:r w:rsidR="0004594A" w:rsidRPr="00355DA0">
        <w:rPr>
          <w:rFonts w:ascii="Verdana" w:hAnsi="Verdana"/>
          <w:spacing w:val="-4"/>
          <w:sz w:val="20"/>
          <w:szCs w:val="20"/>
          <w:lang w:val="es-CR"/>
        </w:rPr>
        <w:t>l</w:t>
      </w:r>
      <w:r w:rsidR="00935F4C">
        <w:rPr>
          <w:rFonts w:ascii="Verdana" w:hAnsi="Verdana"/>
          <w:spacing w:val="-4"/>
          <w:sz w:val="20"/>
          <w:szCs w:val="20"/>
          <w:lang w:val="es-CR"/>
        </w:rPr>
        <w:t>os</w:t>
      </w:r>
      <w:r w:rsidR="0004594A" w:rsidRPr="00355DA0">
        <w:rPr>
          <w:rFonts w:ascii="Verdana" w:hAnsi="Verdana"/>
          <w:spacing w:val="-4"/>
          <w:sz w:val="20"/>
          <w:szCs w:val="20"/>
          <w:lang w:val="es-CR"/>
        </w:rPr>
        <w:t xml:space="preserve"> cual</w:t>
      </w:r>
      <w:r w:rsidR="00935F4C">
        <w:rPr>
          <w:rFonts w:ascii="Verdana" w:hAnsi="Verdana"/>
          <w:spacing w:val="-4"/>
          <w:sz w:val="20"/>
          <w:szCs w:val="20"/>
          <w:lang w:val="es-CR"/>
        </w:rPr>
        <w:t>es</w:t>
      </w:r>
      <w:r w:rsidR="0004594A" w:rsidRPr="00355DA0">
        <w:rPr>
          <w:rFonts w:ascii="Verdana" w:hAnsi="Verdana"/>
          <w:spacing w:val="-4"/>
          <w:sz w:val="20"/>
          <w:szCs w:val="20"/>
          <w:lang w:val="es-CR"/>
        </w:rPr>
        <w:t xml:space="preserve"> informaron </w:t>
      </w:r>
      <w:r w:rsidR="00D5623F" w:rsidRPr="00D5623F">
        <w:rPr>
          <w:rFonts w:ascii="Verdana" w:hAnsi="Verdana"/>
          <w:spacing w:val="-4"/>
          <w:sz w:val="20"/>
          <w:szCs w:val="20"/>
          <w:lang w:val="es-CR"/>
        </w:rPr>
        <w:t>los nombres de los integrantes de los núcleos familiares de las personas beneficiarias,</w:t>
      </w:r>
      <w:r w:rsidR="00D5623F">
        <w:rPr>
          <w:rFonts w:ascii="Verdana" w:hAnsi="Verdana"/>
          <w:spacing w:val="-4"/>
          <w:sz w:val="20"/>
          <w:szCs w:val="20"/>
          <w:lang w:val="es-CR"/>
        </w:rPr>
        <w:t xml:space="preserve"> </w:t>
      </w:r>
      <w:r w:rsidR="00D5623F" w:rsidRPr="00D5623F">
        <w:rPr>
          <w:rFonts w:ascii="Verdana" w:hAnsi="Verdana"/>
          <w:spacing w:val="-4"/>
          <w:sz w:val="20"/>
          <w:szCs w:val="20"/>
          <w:lang w:val="es-CR"/>
        </w:rPr>
        <w:t>en cumplimi</w:t>
      </w:r>
      <w:r w:rsidR="00F25080">
        <w:rPr>
          <w:rFonts w:ascii="Verdana" w:hAnsi="Verdana"/>
          <w:spacing w:val="-4"/>
          <w:sz w:val="20"/>
          <w:szCs w:val="20"/>
          <w:lang w:val="es-CR"/>
        </w:rPr>
        <w:t>ento de lo dispuesto</w:t>
      </w:r>
      <w:r w:rsidR="00D5623F" w:rsidRPr="00D5623F">
        <w:rPr>
          <w:rFonts w:ascii="Verdana" w:hAnsi="Verdana"/>
          <w:spacing w:val="-4"/>
          <w:sz w:val="20"/>
          <w:szCs w:val="20"/>
          <w:lang w:val="es-CR"/>
        </w:rPr>
        <w:t xml:space="preserve"> en el punto resolutivo 2 de la </w:t>
      </w:r>
      <w:r w:rsidR="006369EA">
        <w:rPr>
          <w:rFonts w:ascii="Verdana" w:hAnsi="Verdana"/>
          <w:spacing w:val="-4"/>
          <w:sz w:val="20"/>
          <w:szCs w:val="20"/>
          <w:lang w:val="es-CR"/>
        </w:rPr>
        <w:t>R</w:t>
      </w:r>
      <w:r w:rsidR="00D5623F" w:rsidRPr="00D5623F">
        <w:rPr>
          <w:rFonts w:ascii="Verdana" w:hAnsi="Verdana"/>
          <w:spacing w:val="-4"/>
          <w:sz w:val="20"/>
          <w:szCs w:val="20"/>
          <w:lang w:val="es-CR"/>
        </w:rPr>
        <w:t>esolución</w:t>
      </w:r>
      <w:r w:rsidR="00D5623F">
        <w:rPr>
          <w:rFonts w:ascii="Verdana" w:hAnsi="Verdana"/>
          <w:spacing w:val="-4"/>
          <w:sz w:val="20"/>
          <w:szCs w:val="20"/>
          <w:lang w:val="es-CR"/>
        </w:rPr>
        <w:t xml:space="preserve"> </w:t>
      </w:r>
      <w:r w:rsidR="00D5623F" w:rsidRPr="00D5623F">
        <w:rPr>
          <w:rFonts w:ascii="Verdana" w:hAnsi="Verdana"/>
          <w:spacing w:val="-4"/>
          <w:sz w:val="20"/>
          <w:szCs w:val="20"/>
          <w:lang w:val="es-CR"/>
        </w:rPr>
        <w:t>de 2 de abril de 2020</w:t>
      </w:r>
      <w:r w:rsidR="00077B63">
        <w:rPr>
          <w:rFonts w:ascii="Verdana" w:hAnsi="Verdana"/>
          <w:spacing w:val="-4"/>
          <w:sz w:val="20"/>
          <w:szCs w:val="20"/>
          <w:lang w:val="es-CR"/>
        </w:rPr>
        <w:t xml:space="preserve"> y presentaron sus observaciones a los informes presentados por el Estado</w:t>
      </w:r>
      <w:r w:rsidR="00355DA0" w:rsidRPr="00D5623F">
        <w:rPr>
          <w:rFonts w:ascii="Verdana" w:hAnsi="Verdana"/>
          <w:spacing w:val="-4"/>
          <w:sz w:val="20"/>
          <w:szCs w:val="20"/>
          <w:lang w:val="es-CR"/>
        </w:rPr>
        <w:t>.</w:t>
      </w:r>
    </w:p>
    <w:bookmarkEnd w:id="1"/>
    <w:p w14:paraId="7795EEB3" w14:textId="0C9C803D" w:rsidR="00B77346" w:rsidRPr="00D5623F" w:rsidRDefault="00D5623F" w:rsidP="00D5623F">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Pr>
          <w:rFonts w:ascii="Verdana" w:hAnsi="Verdana"/>
          <w:spacing w:val="-4"/>
          <w:sz w:val="20"/>
          <w:szCs w:val="20"/>
          <w:lang w:val="es-CR"/>
        </w:rPr>
        <w:lastRenderedPageBreak/>
        <w:t>La nota de Secretaría de 8 de abril</w:t>
      </w:r>
      <w:r w:rsidR="00B77346" w:rsidRPr="00B77346">
        <w:rPr>
          <w:rFonts w:ascii="Verdana" w:hAnsi="Verdana"/>
          <w:spacing w:val="-4"/>
          <w:sz w:val="20"/>
          <w:szCs w:val="20"/>
          <w:lang w:val="es-CR"/>
        </w:rPr>
        <w:t xml:space="preserve"> de 2020 mediante la cual, </w:t>
      </w:r>
      <w:r>
        <w:rPr>
          <w:rFonts w:ascii="Verdana" w:hAnsi="Verdana"/>
          <w:spacing w:val="-4"/>
          <w:sz w:val="20"/>
          <w:szCs w:val="20"/>
          <w:lang w:val="es-CR"/>
        </w:rPr>
        <w:t xml:space="preserve">se remitió al Estado la información presentada por los representantes el 6 de abril y se le solicitó que tomara nota de la misma a efectos de cumplir con </w:t>
      </w:r>
      <w:r w:rsidR="003B7D36">
        <w:rPr>
          <w:rFonts w:ascii="Verdana" w:hAnsi="Verdana"/>
          <w:spacing w:val="-4"/>
          <w:sz w:val="20"/>
          <w:szCs w:val="20"/>
          <w:lang w:val="es-CR"/>
        </w:rPr>
        <w:t xml:space="preserve">lo dispuesto </w:t>
      </w:r>
      <w:r w:rsidRPr="00D5623F">
        <w:rPr>
          <w:rFonts w:ascii="Verdana" w:hAnsi="Verdana"/>
          <w:spacing w:val="-4"/>
          <w:sz w:val="20"/>
          <w:szCs w:val="20"/>
          <w:lang w:val="es-CR"/>
        </w:rPr>
        <w:t xml:space="preserve">en el punto resolutivo 2 de la </w:t>
      </w:r>
      <w:r w:rsidR="006369EA">
        <w:rPr>
          <w:rFonts w:ascii="Verdana" w:hAnsi="Verdana"/>
          <w:spacing w:val="-4"/>
          <w:sz w:val="20"/>
          <w:szCs w:val="20"/>
          <w:lang w:val="es-CR"/>
        </w:rPr>
        <w:t>R</w:t>
      </w:r>
      <w:r w:rsidRPr="00D5623F">
        <w:rPr>
          <w:rFonts w:ascii="Verdana" w:hAnsi="Verdana"/>
          <w:spacing w:val="-4"/>
          <w:sz w:val="20"/>
          <w:szCs w:val="20"/>
          <w:lang w:val="es-CR"/>
        </w:rPr>
        <w:t>esolución</w:t>
      </w:r>
      <w:r>
        <w:rPr>
          <w:rFonts w:ascii="Verdana" w:hAnsi="Verdana"/>
          <w:spacing w:val="-4"/>
          <w:sz w:val="20"/>
          <w:szCs w:val="20"/>
          <w:lang w:val="es-CR"/>
        </w:rPr>
        <w:t xml:space="preserve"> </w:t>
      </w:r>
      <w:r w:rsidRPr="00D5623F">
        <w:rPr>
          <w:rFonts w:ascii="Verdana" w:hAnsi="Verdana"/>
          <w:spacing w:val="-4"/>
          <w:sz w:val="20"/>
          <w:szCs w:val="20"/>
          <w:lang w:val="es-CR"/>
        </w:rPr>
        <w:t>de 2 de abril de 2020</w:t>
      </w:r>
      <w:r w:rsidR="00B77346" w:rsidRPr="00D5623F">
        <w:rPr>
          <w:rFonts w:ascii="Verdana" w:hAnsi="Verdana"/>
          <w:spacing w:val="-4"/>
          <w:sz w:val="20"/>
          <w:lang w:val="es-CR"/>
        </w:rPr>
        <w:t>.</w:t>
      </w:r>
    </w:p>
    <w:p w14:paraId="0212B680" w14:textId="5B39C727" w:rsidR="009125B4" w:rsidRPr="009125B4" w:rsidRDefault="009125B4" w:rsidP="00EE4370">
      <w:pPr>
        <w:numPr>
          <w:ilvl w:val="0"/>
          <w:numId w:val="9"/>
        </w:numPr>
        <w:tabs>
          <w:tab w:val="left" w:pos="0"/>
        </w:tabs>
        <w:spacing w:before="120" w:after="120" w:line="240" w:lineRule="auto"/>
        <w:ind w:left="0" w:right="18" w:firstLine="0"/>
        <w:jc w:val="both"/>
        <w:rPr>
          <w:rFonts w:ascii="Verdana" w:hAnsi="Verdana"/>
          <w:b/>
          <w:spacing w:val="-4"/>
          <w:sz w:val="20"/>
          <w:szCs w:val="20"/>
          <w:lang w:val="es-CR"/>
        </w:rPr>
      </w:pPr>
      <w:r>
        <w:rPr>
          <w:rFonts w:ascii="Verdana" w:hAnsi="Verdana"/>
          <w:spacing w:val="-4"/>
          <w:sz w:val="20"/>
          <w:szCs w:val="20"/>
          <w:lang w:val="es-CR"/>
        </w:rPr>
        <w:t xml:space="preserve">Los </w:t>
      </w:r>
      <w:r w:rsidR="00B50A83">
        <w:rPr>
          <w:rFonts w:ascii="Verdana" w:hAnsi="Verdana"/>
          <w:spacing w:val="-4"/>
          <w:sz w:val="20"/>
          <w:szCs w:val="20"/>
          <w:lang w:val="es-CR"/>
        </w:rPr>
        <w:t>escritos</w:t>
      </w:r>
      <w:r>
        <w:rPr>
          <w:rFonts w:ascii="Verdana" w:hAnsi="Verdana"/>
          <w:spacing w:val="-4"/>
          <w:sz w:val="20"/>
          <w:szCs w:val="20"/>
          <w:lang w:val="es-CR"/>
        </w:rPr>
        <w:t xml:space="preserve"> presentados por el Estado </w:t>
      </w:r>
      <w:r w:rsidR="00B50A83">
        <w:rPr>
          <w:rFonts w:ascii="Verdana" w:hAnsi="Verdana"/>
          <w:spacing w:val="-4"/>
          <w:sz w:val="20"/>
          <w:szCs w:val="20"/>
          <w:lang w:val="es-CR"/>
        </w:rPr>
        <w:t>los d</w:t>
      </w:r>
      <w:r w:rsidR="00CC570B">
        <w:rPr>
          <w:rFonts w:ascii="Verdana" w:hAnsi="Verdana"/>
          <w:spacing w:val="-4"/>
          <w:sz w:val="20"/>
          <w:szCs w:val="20"/>
          <w:lang w:val="es-CR"/>
        </w:rPr>
        <w:t>ía</w:t>
      </w:r>
      <w:r w:rsidR="00B50A83">
        <w:rPr>
          <w:rFonts w:ascii="Verdana" w:hAnsi="Verdana"/>
          <w:spacing w:val="-4"/>
          <w:sz w:val="20"/>
          <w:szCs w:val="20"/>
          <w:lang w:val="es-CR"/>
        </w:rPr>
        <w:t>s</w:t>
      </w:r>
      <w:r w:rsidR="009872CF">
        <w:rPr>
          <w:rFonts w:ascii="Verdana" w:hAnsi="Verdana"/>
          <w:spacing w:val="-4"/>
          <w:sz w:val="20"/>
          <w:szCs w:val="20"/>
          <w:lang w:val="es-CR"/>
        </w:rPr>
        <w:t xml:space="preserve"> 22</w:t>
      </w:r>
      <w:r w:rsidR="00991125">
        <w:rPr>
          <w:rFonts w:ascii="Verdana" w:hAnsi="Verdana"/>
          <w:spacing w:val="-4"/>
          <w:sz w:val="20"/>
          <w:szCs w:val="20"/>
          <w:lang w:val="es-CR"/>
        </w:rPr>
        <w:t xml:space="preserve"> y 29</w:t>
      </w:r>
      <w:r>
        <w:rPr>
          <w:rFonts w:ascii="Verdana" w:hAnsi="Verdana"/>
          <w:spacing w:val="-4"/>
          <w:sz w:val="20"/>
          <w:szCs w:val="20"/>
          <w:lang w:val="es-CR"/>
        </w:rPr>
        <w:t xml:space="preserve"> </w:t>
      </w:r>
      <w:r w:rsidR="009872CF">
        <w:rPr>
          <w:rFonts w:ascii="Verdana" w:hAnsi="Verdana"/>
          <w:spacing w:val="-4"/>
          <w:sz w:val="20"/>
          <w:szCs w:val="20"/>
          <w:lang w:val="es-CR"/>
        </w:rPr>
        <w:t xml:space="preserve">de abril y </w:t>
      </w:r>
      <w:r w:rsidR="003F1197">
        <w:rPr>
          <w:rFonts w:ascii="Verdana" w:hAnsi="Verdana"/>
          <w:spacing w:val="-4"/>
          <w:sz w:val="20"/>
          <w:szCs w:val="20"/>
          <w:lang w:val="es-CR"/>
        </w:rPr>
        <w:t xml:space="preserve">15 </w:t>
      </w:r>
      <w:r w:rsidR="009872CF">
        <w:rPr>
          <w:rFonts w:ascii="Verdana" w:hAnsi="Verdana"/>
          <w:spacing w:val="-4"/>
          <w:sz w:val="20"/>
          <w:szCs w:val="20"/>
          <w:lang w:val="es-CR"/>
        </w:rPr>
        <w:t>de may</w:t>
      </w:r>
      <w:r w:rsidR="00CC570B">
        <w:rPr>
          <w:rFonts w:ascii="Verdana" w:hAnsi="Verdana"/>
          <w:spacing w:val="-4"/>
          <w:sz w:val="20"/>
          <w:szCs w:val="20"/>
          <w:lang w:val="es-CR"/>
        </w:rPr>
        <w:t>o de 2020</w:t>
      </w:r>
      <w:r w:rsidR="008A1F23">
        <w:rPr>
          <w:rFonts w:ascii="Verdana" w:hAnsi="Verdana"/>
          <w:spacing w:val="-4"/>
          <w:sz w:val="20"/>
          <w:szCs w:val="20"/>
          <w:lang w:val="es-CR"/>
        </w:rPr>
        <w:t>,</w:t>
      </w:r>
      <w:r w:rsidR="00CC570B">
        <w:rPr>
          <w:rFonts w:ascii="Verdana" w:hAnsi="Verdana"/>
          <w:spacing w:val="-4"/>
          <w:sz w:val="20"/>
          <w:szCs w:val="20"/>
          <w:lang w:val="es-CR"/>
        </w:rPr>
        <w:t xml:space="preserve"> mediante los cuales presentó </w:t>
      </w:r>
      <w:r w:rsidR="009872CF">
        <w:rPr>
          <w:rFonts w:ascii="Verdana" w:hAnsi="Verdana"/>
          <w:spacing w:val="-4"/>
          <w:sz w:val="20"/>
          <w:szCs w:val="20"/>
          <w:lang w:val="es-CR"/>
        </w:rPr>
        <w:t>información sobre la ampliación de las medidas provisionales</w:t>
      </w:r>
      <w:r w:rsidR="00CC570B">
        <w:rPr>
          <w:rFonts w:ascii="Verdana" w:hAnsi="Verdana"/>
          <w:spacing w:val="-4"/>
          <w:sz w:val="20"/>
          <w:szCs w:val="20"/>
          <w:lang w:val="es-CR"/>
        </w:rPr>
        <w:t>.</w:t>
      </w:r>
    </w:p>
    <w:p w14:paraId="75C260A5" w14:textId="77777777" w:rsidR="0038765A" w:rsidRPr="007865FC" w:rsidRDefault="0038765A" w:rsidP="00EE4370">
      <w:pPr>
        <w:tabs>
          <w:tab w:val="left" w:pos="567"/>
        </w:tabs>
        <w:spacing w:before="240" w:after="240" w:line="240" w:lineRule="auto"/>
        <w:jc w:val="both"/>
        <w:rPr>
          <w:rFonts w:ascii="Verdana" w:hAnsi="Verdana"/>
          <w:b/>
          <w:spacing w:val="-4"/>
          <w:sz w:val="20"/>
          <w:szCs w:val="20"/>
          <w:lang w:val="es-MX"/>
        </w:rPr>
      </w:pPr>
      <w:r w:rsidRPr="007865FC">
        <w:rPr>
          <w:rFonts w:ascii="Verdana" w:hAnsi="Verdana"/>
          <w:b/>
          <w:spacing w:val="-4"/>
          <w:sz w:val="20"/>
          <w:szCs w:val="20"/>
          <w:lang w:val="es-MX"/>
        </w:rPr>
        <w:t xml:space="preserve">CONSIDERANDO QUE: </w:t>
      </w:r>
    </w:p>
    <w:p w14:paraId="275E309A" w14:textId="3FC09A7D" w:rsidR="00A6190E" w:rsidRDefault="00EF4D8B" w:rsidP="007C6095">
      <w:pPr>
        <w:numPr>
          <w:ilvl w:val="0"/>
          <w:numId w:val="9"/>
        </w:numPr>
        <w:tabs>
          <w:tab w:val="left" w:pos="0"/>
        </w:tabs>
        <w:spacing w:before="120" w:after="120" w:line="240" w:lineRule="auto"/>
        <w:ind w:left="0" w:right="18" w:firstLine="0"/>
        <w:jc w:val="both"/>
        <w:rPr>
          <w:rFonts w:ascii="Verdana" w:hAnsi="Verdana"/>
          <w:sz w:val="20"/>
          <w:szCs w:val="20"/>
          <w:lang w:val="es-CR"/>
        </w:rPr>
      </w:pPr>
      <w:r w:rsidRPr="00B77346">
        <w:rPr>
          <w:rFonts w:ascii="Verdana" w:hAnsi="Verdana"/>
          <w:sz w:val="20"/>
          <w:szCs w:val="20"/>
          <w:lang w:val="es-CR"/>
        </w:rPr>
        <w:t>El artículo 63.2 de la Convención Americana dispone, en lo relevante, que “[e]n casos de extrema gravedad y urgencia, y cuando se haga necesario evitar daños irreparables a las personas, la Corte, en los asuntos que esté conociendo, podrá tomar las medidas provisionales que considere pertinentes”.</w:t>
      </w:r>
      <w:r w:rsidR="00B77346">
        <w:rPr>
          <w:rFonts w:ascii="Verdana" w:hAnsi="Verdana"/>
          <w:sz w:val="20"/>
          <w:szCs w:val="20"/>
          <w:lang w:val="es-CR"/>
        </w:rPr>
        <w:t xml:space="preserve"> </w:t>
      </w:r>
      <w:r w:rsidR="00A6190E" w:rsidRPr="00B77346">
        <w:rPr>
          <w:rFonts w:ascii="Verdana" w:hAnsi="Verdana"/>
          <w:sz w:val="20"/>
          <w:szCs w:val="20"/>
          <w:lang w:val="es-CR"/>
        </w:rPr>
        <w:t>Asimismo, el artículo 27.3 del Reglamento del Tribunal establece que “[e]n los casos contenciosos que se encuentren en conocimiento de la Corte, las víctimas o las presuntas víctimas, o sus representantes, podrán presentar directamente a ésta una solicitud de medidas provisionales, las que deberán tener relación con el objeto del caso”.</w:t>
      </w:r>
    </w:p>
    <w:p w14:paraId="594DD74D" w14:textId="2D3A5CBF" w:rsidR="00B20743" w:rsidRPr="00E05B5F" w:rsidRDefault="00F25080" w:rsidP="0095368C">
      <w:pPr>
        <w:numPr>
          <w:ilvl w:val="0"/>
          <w:numId w:val="9"/>
        </w:numPr>
        <w:tabs>
          <w:tab w:val="left" w:pos="0"/>
        </w:tabs>
        <w:spacing w:before="120" w:after="120" w:line="240" w:lineRule="auto"/>
        <w:ind w:left="0" w:right="18" w:firstLine="0"/>
        <w:jc w:val="both"/>
        <w:rPr>
          <w:rFonts w:ascii="Verdana" w:hAnsi="Verdana"/>
          <w:sz w:val="18"/>
          <w:szCs w:val="20"/>
          <w:lang w:val="es-CR"/>
        </w:rPr>
      </w:pPr>
      <w:r w:rsidRPr="0095368C">
        <w:rPr>
          <w:rFonts w:ascii="Verdana" w:hAnsi="Verdana"/>
          <w:sz w:val="20"/>
          <w:lang w:val="es-AR"/>
        </w:rPr>
        <w:t xml:space="preserve">La </w:t>
      </w:r>
      <w:r w:rsidR="00B20743" w:rsidRPr="0095368C">
        <w:rPr>
          <w:rFonts w:ascii="Verdana" w:hAnsi="Verdana"/>
          <w:sz w:val="20"/>
          <w:lang w:val="es-AR"/>
        </w:rPr>
        <w:t xml:space="preserve">solicitud de ampliación </w:t>
      </w:r>
      <w:r w:rsidRPr="0095368C">
        <w:rPr>
          <w:rFonts w:ascii="Verdana" w:hAnsi="Verdana"/>
          <w:sz w:val="20"/>
          <w:lang w:val="es-AR"/>
        </w:rPr>
        <w:t>de medidas provisionales fue</w:t>
      </w:r>
      <w:r w:rsidR="00B20743" w:rsidRPr="0095368C">
        <w:rPr>
          <w:rFonts w:ascii="Verdana" w:hAnsi="Verdana"/>
          <w:sz w:val="20"/>
          <w:lang w:val="es-AR"/>
        </w:rPr>
        <w:t xml:space="preserve"> presentada directamente por los representantes de las víctimas en un caso que se encuentra en conocimiento de la Corte, por lo cual la misma se encuentra conforme a lo estipulado en el referido artículo del Reglamento</w:t>
      </w:r>
      <w:r w:rsidR="004E5F5C" w:rsidRPr="0095368C">
        <w:rPr>
          <w:rFonts w:ascii="Verdana" w:hAnsi="Verdana"/>
          <w:sz w:val="20"/>
          <w:lang w:val="es-AR"/>
        </w:rPr>
        <w:t>.</w:t>
      </w:r>
      <w:r w:rsidRPr="0095368C">
        <w:rPr>
          <w:rFonts w:ascii="Verdana" w:hAnsi="Verdana"/>
          <w:sz w:val="20"/>
          <w:lang w:val="es-AR"/>
        </w:rPr>
        <w:t xml:space="preserve"> </w:t>
      </w:r>
    </w:p>
    <w:p w14:paraId="42F84DD5" w14:textId="59B731F8" w:rsidR="0095368C" w:rsidRPr="00E05B5F" w:rsidRDefault="0095368C"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sidRPr="00E05B5F">
        <w:rPr>
          <w:rFonts w:ascii="Verdana" w:hAnsi="Verdana"/>
          <w:sz w:val="20"/>
          <w:szCs w:val="20"/>
          <w:lang w:val="es-CR"/>
        </w:rPr>
        <w:t xml:space="preserve">Las medidas urgentes ordenadas por </w:t>
      </w:r>
      <w:r>
        <w:rPr>
          <w:rFonts w:ascii="Verdana" w:hAnsi="Verdana"/>
          <w:sz w:val="20"/>
          <w:szCs w:val="20"/>
          <w:lang w:val="es-CR"/>
        </w:rPr>
        <w:t>la</w:t>
      </w:r>
      <w:r w:rsidRPr="00E05B5F">
        <w:rPr>
          <w:rFonts w:ascii="Verdana" w:hAnsi="Verdana"/>
          <w:sz w:val="20"/>
          <w:szCs w:val="20"/>
          <w:lang w:val="es-CR"/>
        </w:rPr>
        <w:t xml:space="preserve"> President</w:t>
      </w:r>
      <w:r>
        <w:rPr>
          <w:rFonts w:ascii="Verdana" w:hAnsi="Verdana"/>
          <w:sz w:val="20"/>
          <w:szCs w:val="20"/>
          <w:lang w:val="es-CR"/>
        </w:rPr>
        <w:t>a</w:t>
      </w:r>
      <w:r w:rsidRPr="0095368C">
        <w:rPr>
          <w:rFonts w:ascii="Verdana" w:hAnsi="Verdana"/>
          <w:sz w:val="20"/>
          <w:szCs w:val="20"/>
          <w:lang w:val="es-CR"/>
        </w:rPr>
        <w:t xml:space="preserve"> en virtud de la resolución de </w:t>
      </w:r>
      <w:r w:rsidRPr="00E05B5F">
        <w:rPr>
          <w:rFonts w:ascii="Verdana" w:hAnsi="Verdana"/>
          <w:sz w:val="20"/>
          <w:szCs w:val="20"/>
          <w:lang w:val="es-CR"/>
        </w:rPr>
        <w:t xml:space="preserve">2 de </w:t>
      </w:r>
      <w:r>
        <w:rPr>
          <w:rFonts w:ascii="Verdana" w:hAnsi="Verdana"/>
          <w:sz w:val="20"/>
          <w:szCs w:val="20"/>
          <w:lang w:val="es-CR"/>
        </w:rPr>
        <w:t>abril</w:t>
      </w:r>
      <w:r w:rsidRPr="00E05B5F">
        <w:rPr>
          <w:rFonts w:ascii="Verdana" w:hAnsi="Verdana"/>
          <w:sz w:val="20"/>
          <w:szCs w:val="20"/>
          <w:lang w:val="es-CR"/>
        </w:rPr>
        <w:t xml:space="preserve"> de 20</w:t>
      </w:r>
      <w:r>
        <w:rPr>
          <w:rFonts w:ascii="Verdana" w:hAnsi="Verdana"/>
          <w:sz w:val="20"/>
          <w:szCs w:val="20"/>
          <w:lang w:val="es-CR"/>
        </w:rPr>
        <w:t>20</w:t>
      </w:r>
      <w:r w:rsidRPr="00E05B5F">
        <w:rPr>
          <w:rFonts w:ascii="Verdana" w:hAnsi="Verdana"/>
          <w:sz w:val="20"/>
          <w:szCs w:val="20"/>
          <w:lang w:val="es-CR"/>
        </w:rPr>
        <w:t xml:space="preserve"> (</w:t>
      </w:r>
      <w:r w:rsidRPr="00E05B5F">
        <w:rPr>
          <w:rFonts w:ascii="Verdana" w:hAnsi="Verdana"/>
          <w:i/>
          <w:sz w:val="20"/>
          <w:szCs w:val="20"/>
          <w:lang w:val="es-CR"/>
        </w:rPr>
        <w:t>supra</w:t>
      </w:r>
      <w:r w:rsidRPr="00E05B5F">
        <w:rPr>
          <w:rFonts w:ascii="Verdana" w:hAnsi="Verdana"/>
          <w:sz w:val="20"/>
          <w:szCs w:val="20"/>
          <w:lang w:val="es-CR"/>
        </w:rPr>
        <w:t xml:space="preserve"> párr.</w:t>
      </w:r>
      <w:r>
        <w:rPr>
          <w:rFonts w:ascii="Verdana" w:hAnsi="Verdana"/>
          <w:sz w:val="20"/>
          <w:szCs w:val="20"/>
          <w:lang w:val="es-CR"/>
        </w:rPr>
        <w:t xml:space="preserve"> </w:t>
      </w:r>
      <w:r w:rsidR="004E7A36">
        <w:rPr>
          <w:rFonts w:ascii="Verdana" w:hAnsi="Verdana"/>
          <w:sz w:val="20"/>
          <w:szCs w:val="20"/>
          <w:lang w:val="es-CR"/>
        </w:rPr>
        <w:t>3</w:t>
      </w:r>
      <w:r w:rsidRPr="00E05B5F">
        <w:rPr>
          <w:rFonts w:ascii="Verdana" w:hAnsi="Verdana"/>
          <w:sz w:val="20"/>
          <w:szCs w:val="20"/>
          <w:lang w:val="es-CR"/>
        </w:rPr>
        <w:t>) tienen como objetivo</w:t>
      </w:r>
      <w:r w:rsidR="005609AD">
        <w:rPr>
          <w:rFonts w:ascii="Verdana" w:hAnsi="Verdana"/>
          <w:sz w:val="20"/>
          <w:szCs w:val="20"/>
          <w:lang w:val="es-CR"/>
        </w:rPr>
        <w:t xml:space="preserve"> ampliar las medidas provisionales que estaban en vigor en el presente caso para que el Estado </w:t>
      </w:r>
      <w:r w:rsidR="00164BFB" w:rsidRPr="00E05B5F">
        <w:rPr>
          <w:rFonts w:ascii="Verdana" w:hAnsi="Verdana"/>
          <w:sz w:val="20"/>
          <w:szCs w:val="20"/>
          <w:lang w:val="es-CR"/>
        </w:rPr>
        <w:t>garanti</w:t>
      </w:r>
      <w:r w:rsidR="00164BFB">
        <w:rPr>
          <w:rFonts w:ascii="Verdana" w:hAnsi="Verdana"/>
          <w:sz w:val="20"/>
          <w:szCs w:val="20"/>
          <w:lang w:val="es-CR"/>
        </w:rPr>
        <w:t>ce</w:t>
      </w:r>
      <w:r w:rsidR="00164BFB" w:rsidRPr="00E05B5F">
        <w:rPr>
          <w:rFonts w:ascii="Verdana" w:hAnsi="Verdana"/>
          <w:sz w:val="20"/>
          <w:szCs w:val="20"/>
          <w:lang w:val="es-CR"/>
        </w:rPr>
        <w:t xml:space="preserve"> </w:t>
      </w:r>
      <w:r w:rsidRPr="00E05B5F">
        <w:rPr>
          <w:rFonts w:ascii="Verdana" w:hAnsi="Verdana"/>
          <w:sz w:val="20"/>
          <w:szCs w:val="20"/>
          <w:lang w:val="es-CR"/>
        </w:rPr>
        <w:t xml:space="preserve">la vida y la integridad personal </w:t>
      </w:r>
      <w:r w:rsidR="005609AD">
        <w:rPr>
          <w:rFonts w:ascii="Verdana" w:hAnsi="Verdana"/>
          <w:sz w:val="20"/>
          <w:szCs w:val="20"/>
          <w:lang w:val="es-CR"/>
        </w:rPr>
        <w:t xml:space="preserve">de </w:t>
      </w:r>
      <w:r w:rsidR="00C659C1" w:rsidRPr="00AB622A">
        <w:rPr>
          <w:rFonts w:ascii="Verdana" w:hAnsi="Verdana"/>
          <w:spacing w:val="-4"/>
          <w:sz w:val="20"/>
          <w:szCs w:val="20"/>
          <w:lang w:val="es-CO"/>
        </w:rPr>
        <w:t xml:space="preserve">Nery del Socorro Flórez Contreras, y </w:t>
      </w:r>
      <w:r w:rsidR="001C7058">
        <w:rPr>
          <w:rFonts w:ascii="Verdana" w:hAnsi="Verdana"/>
          <w:spacing w:val="-4"/>
          <w:sz w:val="20"/>
          <w:szCs w:val="20"/>
          <w:lang w:val="es-CO"/>
        </w:rPr>
        <w:t>la de los</w:t>
      </w:r>
      <w:r w:rsidR="00C659C1" w:rsidRPr="00AB622A">
        <w:rPr>
          <w:rFonts w:ascii="Verdana" w:hAnsi="Verdana"/>
          <w:spacing w:val="-4"/>
          <w:sz w:val="20"/>
          <w:szCs w:val="20"/>
          <w:lang w:val="es-ES_tradnl"/>
        </w:rPr>
        <w:t xml:space="preserve"> integrantes </w:t>
      </w:r>
      <w:r w:rsidR="00C659C1" w:rsidRPr="00AB622A">
        <w:rPr>
          <w:rFonts w:ascii="Verdana" w:hAnsi="Verdana"/>
          <w:spacing w:val="-4"/>
          <w:sz w:val="20"/>
          <w:szCs w:val="20"/>
          <w:lang w:val="es-CO"/>
        </w:rPr>
        <w:t>de su familia</w:t>
      </w:r>
      <w:r w:rsidR="00C659C1">
        <w:rPr>
          <w:rStyle w:val="Refdenotaalpie"/>
          <w:rFonts w:ascii="Verdana" w:hAnsi="Verdana"/>
          <w:spacing w:val="-4"/>
          <w:sz w:val="20"/>
          <w:szCs w:val="20"/>
          <w:lang w:val="es-CO"/>
        </w:rPr>
        <w:footnoteReference w:id="2"/>
      </w:r>
      <w:r w:rsidR="00C659C1">
        <w:rPr>
          <w:rFonts w:ascii="Verdana" w:hAnsi="Verdana"/>
          <w:spacing w:val="-4"/>
          <w:sz w:val="20"/>
          <w:szCs w:val="20"/>
          <w:lang w:val="es-CO"/>
        </w:rPr>
        <w:t>.</w:t>
      </w:r>
    </w:p>
    <w:p w14:paraId="2EB8C9F2" w14:textId="56BDE93C" w:rsidR="0095368C" w:rsidRPr="00E05B5F" w:rsidRDefault="0095368C"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sidRPr="00E05B5F">
        <w:rPr>
          <w:rFonts w:ascii="Verdana" w:hAnsi="Verdana"/>
          <w:sz w:val="20"/>
          <w:szCs w:val="20"/>
          <w:lang w:val="es-CR"/>
        </w:rPr>
        <w:t xml:space="preserve">A efectos de </w:t>
      </w:r>
      <w:r w:rsidRPr="00E05B5F">
        <w:rPr>
          <w:rFonts w:ascii="Verdana" w:hAnsi="Verdana"/>
          <w:sz w:val="20"/>
          <w:lang w:val="es-AR"/>
        </w:rPr>
        <w:t>determinar</w:t>
      </w:r>
      <w:r w:rsidRPr="00E05B5F">
        <w:rPr>
          <w:rFonts w:ascii="Verdana" w:hAnsi="Verdana"/>
          <w:sz w:val="20"/>
          <w:szCs w:val="20"/>
          <w:lang w:val="es-CR"/>
        </w:rPr>
        <w:t xml:space="preserve"> la necesidad de ratificar las presentes medidas, la Corte analizará la información presentada por el Estado y los representantes sobre la situación de riesgo de </w:t>
      </w:r>
      <w:r w:rsidR="007B72AF">
        <w:rPr>
          <w:rFonts w:ascii="Verdana" w:hAnsi="Verdana"/>
          <w:sz w:val="20"/>
          <w:szCs w:val="20"/>
          <w:lang w:val="es-CR"/>
        </w:rPr>
        <w:t>e</w:t>
      </w:r>
      <w:r w:rsidRPr="00E05B5F">
        <w:rPr>
          <w:rFonts w:ascii="Verdana" w:hAnsi="Verdana"/>
          <w:sz w:val="20"/>
          <w:szCs w:val="20"/>
          <w:lang w:val="es-CR"/>
        </w:rPr>
        <w:t>stos.</w:t>
      </w:r>
    </w:p>
    <w:p w14:paraId="0352651A" w14:textId="74239130" w:rsidR="0038765A" w:rsidRPr="007865FC" w:rsidRDefault="00C71D53" w:rsidP="00C71D53">
      <w:pPr>
        <w:pStyle w:val="Prrafodelista1"/>
        <w:numPr>
          <w:ilvl w:val="0"/>
          <w:numId w:val="6"/>
        </w:numPr>
        <w:spacing w:before="240" w:after="240"/>
        <w:contextualSpacing w:val="0"/>
        <w:jc w:val="both"/>
        <w:rPr>
          <w:b/>
          <w:i/>
          <w:sz w:val="20"/>
          <w:szCs w:val="20"/>
        </w:rPr>
      </w:pPr>
      <w:r w:rsidRPr="00C71D53">
        <w:rPr>
          <w:b/>
          <w:i/>
          <w:sz w:val="20"/>
          <w:szCs w:val="20"/>
        </w:rPr>
        <w:t>Solicitud de ampliación de medidas provisionales</w:t>
      </w:r>
      <w:r w:rsidR="005609AD">
        <w:rPr>
          <w:b/>
          <w:i/>
          <w:sz w:val="20"/>
          <w:szCs w:val="20"/>
        </w:rPr>
        <w:t xml:space="preserve"> </w:t>
      </w:r>
    </w:p>
    <w:p w14:paraId="1608C68A" w14:textId="6E61FFEF" w:rsidR="00C71D53" w:rsidRPr="00E05B5F" w:rsidRDefault="00C71D53" w:rsidP="00C71D53">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Se recuerda que e</w:t>
      </w:r>
      <w:r w:rsidRPr="00C342FC">
        <w:rPr>
          <w:rFonts w:ascii="Verdana" w:hAnsi="Verdana"/>
          <w:sz w:val="20"/>
          <w:szCs w:val="20"/>
          <w:lang w:val="es-CR"/>
        </w:rPr>
        <w:t xml:space="preserve">l </w:t>
      </w:r>
      <w:r>
        <w:rPr>
          <w:rFonts w:ascii="Verdana" w:hAnsi="Verdana"/>
          <w:sz w:val="20"/>
          <w:szCs w:val="20"/>
          <w:lang w:val="es-CR"/>
        </w:rPr>
        <w:t>30 de marzo</w:t>
      </w:r>
      <w:r w:rsidRPr="00C342FC">
        <w:rPr>
          <w:rFonts w:ascii="Verdana" w:hAnsi="Verdana"/>
          <w:sz w:val="20"/>
          <w:szCs w:val="20"/>
          <w:lang w:val="es-CR"/>
        </w:rPr>
        <w:t xml:space="preserve"> de 20</w:t>
      </w:r>
      <w:r>
        <w:rPr>
          <w:rFonts w:ascii="Verdana" w:hAnsi="Verdana"/>
          <w:sz w:val="20"/>
          <w:szCs w:val="20"/>
          <w:lang w:val="es-CR"/>
        </w:rPr>
        <w:t>20</w:t>
      </w:r>
      <w:r w:rsidRPr="00C342FC">
        <w:rPr>
          <w:rFonts w:ascii="Verdana" w:hAnsi="Verdana"/>
          <w:sz w:val="20"/>
          <w:szCs w:val="20"/>
          <w:lang w:val="es-CR"/>
        </w:rPr>
        <w:t>,</w:t>
      </w:r>
      <w:r>
        <w:rPr>
          <w:rFonts w:ascii="Verdana" w:hAnsi="Verdana"/>
          <w:sz w:val="20"/>
          <w:szCs w:val="20"/>
          <w:lang w:val="es-CR"/>
        </w:rPr>
        <w:t xml:space="preserve"> </w:t>
      </w:r>
      <w:r w:rsidRPr="00E770A2">
        <w:rPr>
          <w:rFonts w:ascii="Verdana" w:hAnsi="Verdana"/>
          <w:sz w:val="20"/>
          <w:szCs w:val="20"/>
          <w:lang w:val="es-CR"/>
        </w:rPr>
        <w:t xml:space="preserve">los </w:t>
      </w:r>
      <w:r w:rsidRPr="00120B04">
        <w:rPr>
          <w:rFonts w:ascii="Verdana" w:hAnsi="Verdana"/>
          <w:i/>
          <w:iCs/>
          <w:sz w:val="20"/>
          <w:szCs w:val="20"/>
          <w:lang w:val="es-CR"/>
        </w:rPr>
        <w:t>representantes</w:t>
      </w:r>
      <w:r w:rsidRPr="00E770A2">
        <w:rPr>
          <w:rFonts w:ascii="Verdana" w:hAnsi="Verdana"/>
          <w:sz w:val="20"/>
          <w:szCs w:val="20"/>
          <w:lang w:val="es-CR"/>
        </w:rPr>
        <w:t xml:space="preserve"> presentaron una solicitud de ampliación de las medidas </w:t>
      </w:r>
      <w:r w:rsidRPr="00E770A2">
        <w:rPr>
          <w:rFonts w:ascii="Verdana" w:eastAsia="MS Mincho" w:hAnsi="Verdana"/>
          <w:sz w:val="20"/>
          <w:szCs w:val="20"/>
          <w:lang w:val="es-CR"/>
        </w:rPr>
        <w:t>provisionales</w:t>
      </w:r>
      <w:r w:rsidRPr="00E770A2">
        <w:rPr>
          <w:rFonts w:ascii="Verdana" w:hAnsi="Verdana"/>
          <w:sz w:val="20"/>
          <w:szCs w:val="20"/>
          <w:lang w:val="es-CR"/>
        </w:rPr>
        <w:t xml:space="preserve"> para incluir a seis familiares de la víctima Antonio Flórez Contreras, y a sus respectivos grupos familiares, sobre la base de hechos de violencia y hostigamiento en contra de los propuestos beneficiarios, luego de que tuviera lugar su participación en </w:t>
      </w:r>
      <w:r>
        <w:rPr>
          <w:rFonts w:ascii="Verdana" w:hAnsi="Verdana"/>
          <w:sz w:val="20"/>
          <w:szCs w:val="20"/>
          <w:lang w:val="es-CR"/>
        </w:rPr>
        <w:t>una</w:t>
      </w:r>
      <w:r w:rsidRPr="00E770A2">
        <w:rPr>
          <w:rFonts w:ascii="Verdana" w:hAnsi="Verdana"/>
          <w:sz w:val="20"/>
          <w:szCs w:val="20"/>
          <w:lang w:val="es-CR"/>
        </w:rPr>
        <w:t xml:space="preserve"> audiencia de supervisión de cumplimiento </w:t>
      </w:r>
      <w:r>
        <w:rPr>
          <w:rFonts w:ascii="Verdana" w:hAnsi="Verdana"/>
          <w:sz w:val="20"/>
          <w:szCs w:val="20"/>
          <w:lang w:val="es-CR"/>
        </w:rPr>
        <w:t xml:space="preserve">de Sentencia </w:t>
      </w:r>
      <w:r w:rsidRPr="00E770A2">
        <w:rPr>
          <w:rFonts w:ascii="Verdana" w:hAnsi="Verdana"/>
          <w:sz w:val="20"/>
          <w:szCs w:val="20"/>
          <w:lang w:val="es-CR"/>
        </w:rPr>
        <w:t>en septiembre de 2019.</w:t>
      </w:r>
      <w:r>
        <w:rPr>
          <w:rFonts w:ascii="Verdana" w:hAnsi="Verdana"/>
          <w:sz w:val="20"/>
          <w:szCs w:val="20"/>
          <w:lang w:val="es-CR"/>
        </w:rPr>
        <w:t xml:space="preserve"> </w:t>
      </w:r>
    </w:p>
    <w:p w14:paraId="08404E22" w14:textId="33EEA756" w:rsidR="00C71D53" w:rsidRDefault="00C71D53"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 xml:space="preserve">En esa oportunidad, informaron que </w:t>
      </w:r>
      <w:r w:rsidRPr="00C71D53">
        <w:rPr>
          <w:rFonts w:ascii="Verdana" w:hAnsi="Verdana"/>
          <w:sz w:val="20"/>
          <w:szCs w:val="20"/>
          <w:lang w:val="es-CR"/>
        </w:rPr>
        <w:t>la familia de Nery del Socorro Flórez Contreras ha</w:t>
      </w:r>
      <w:r w:rsidR="00D072E3">
        <w:rPr>
          <w:rFonts w:ascii="Verdana" w:hAnsi="Verdana"/>
          <w:sz w:val="20"/>
          <w:szCs w:val="20"/>
          <w:lang w:val="es-CR"/>
        </w:rPr>
        <w:t>bía</w:t>
      </w:r>
      <w:r w:rsidRPr="00C71D53">
        <w:rPr>
          <w:rFonts w:ascii="Verdana" w:hAnsi="Verdana"/>
          <w:sz w:val="20"/>
          <w:szCs w:val="20"/>
          <w:lang w:val="es-CR"/>
        </w:rPr>
        <w:t xml:space="preserve"> manifestado ser constantemente vigilada afuera de sus viviendas, </w:t>
      </w:r>
      <w:r w:rsidR="00D072E3">
        <w:rPr>
          <w:rFonts w:ascii="Verdana" w:hAnsi="Verdana"/>
          <w:sz w:val="20"/>
          <w:szCs w:val="20"/>
          <w:lang w:val="es-CR"/>
        </w:rPr>
        <w:t xml:space="preserve">también indicó que se habían </w:t>
      </w:r>
      <w:r w:rsidRPr="00C71D53">
        <w:rPr>
          <w:rFonts w:ascii="Verdana" w:hAnsi="Verdana"/>
          <w:sz w:val="20"/>
          <w:szCs w:val="20"/>
          <w:lang w:val="es-CR"/>
        </w:rPr>
        <w:t xml:space="preserve">detectado personas grabando y tomando fotografías alrededor de </w:t>
      </w:r>
      <w:r w:rsidR="00D072E3">
        <w:rPr>
          <w:rFonts w:ascii="Verdana" w:hAnsi="Verdana"/>
          <w:sz w:val="20"/>
          <w:szCs w:val="20"/>
          <w:lang w:val="es-CR"/>
        </w:rPr>
        <w:t>las</w:t>
      </w:r>
      <w:r w:rsidR="00D072E3" w:rsidRPr="00C71D53">
        <w:rPr>
          <w:rFonts w:ascii="Verdana" w:hAnsi="Verdana"/>
          <w:sz w:val="20"/>
          <w:szCs w:val="20"/>
          <w:lang w:val="es-CR"/>
        </w:rPr>
        <w:t xml:space="preserve"> </w:t>
      </w:r>
      <w:r w:rsidRPr="00C71D53">
        <w:rPr>
          <w:rFonts w:ascii="Verdana" w:hAnsi="Verdana"/>
          <w:sz w:val="20"/>
          <w:szCs w:val="20"/>
          <w:lang w:val="es-CR"/>
        </w:rPr>
        <w:t>casas</w:t>
      </w:r>
      <w:r w:rsidR="00D072E3">
        <w:rPr>
          <w:rFonts w:ascii="Verdana" w:hAnsi="Verdana"/>
          <w:sz w:val="20"/>
          <w:szCs w:val="20"/>
          <w:lang w:val="es-CR"/>
        </w:rPr>
        <w:t xml:space="preserve"> de vario</w:t>
      </w:r>
      <w:r w:rsidR="007B72AF">
        <w:rPr>
          <w:rFonts w:ascii="Verdana" w:hAnsi="Verdana"/>
          <w:sz w:val="20"/>
          <w:szCs w:val="20"/>
          <w:lang w:val="es-CR"/>
        </w:rPr>
        <w:t>s</w:t>
      </w:r>
      <w:r w:rsidR="00D072E3">
        <w:rPr>
          <w:rFonts w:ascii="Verdana" w:hAnsi="Verdana"/>
          <w:sz w:val="20"/>
          <w:szCs w:val="20"/>
          <w:lang w:val="es-CR"/>
        </w:rPr>
        <w:t xml:space="preserve"> integrantes de su familia</w:t>
      </w:r>
      <w:r w:rsidRPr="00C71D53">
        <w:rPr>
          <w:rFonts w:ascii="Verdana" w:hAnsi="Verdana"/>
          <w:sz w:val="20"/>
          <w:szCs w:val="20"/>
          <w:lang w:val="es-CR"/>
        </w:rPr>
        <w:t>, situación que ha ocasionado un gran temor y la implementación de medidas de autoprotección</w:t>
      </w:r>
      <w:r>
        <w:rPr>
          <w:rFonts w:ascii="Verdana" w:hAnsi="Verdana"/>
          <w:sz w:val="20"/>
          <w:szCs w:val="20"/>
          <w:lang w:val="es-CR"/>
        </w:rPr>
        <w:t>.</w:t>
      </w:r>
    </w:p>
    <w:p w14:paraId="7BE7E67E" w14:textId="6A3F5E8E" w:rsidR="00C71D53" w:rsidRPr="00E05B5F" w:rsidRDefault="00C71D53"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 xml:space="preserve">A su vez, </w:t>
      </w:r>
      <w:r>
        <w:rPr>
          <w:rFonts w:ascii="Verdana" w:hAnsi="Verdana"/>
          <w:sz w:val="20"/>
          <w:szCs w:val="20"/>
          <w:lang w:val="es-ES_tradnl"/>
        </w:rPr>
        <w:t>los representantes indicaron que los hechos que les fueron informados y motivaron la solicitud de ampliación de medidas provisionales a favor de los integrantes de la familia ya señalados,</w:t>
      </w:r>
      <w:r>
        <w:rPr>
          <w:rFonts w:ascii="Verdana" w:hAnsi="Verdana"/>
          <w:i/>
          <w:sz w:val="20"/>
          <w:szCs w:val="20"/>
          <w:lang w:val="es-ES_tradnl"/>
        </w:rPr>
        <w:t xml:space="preserve"> </w:t>
      </w:r>
      <w:r>
        <w:rPr>
          <w:rFonts w:ascii="Verdana" w:hAnsi="Verdana"/>
          <w:sz w:val="20"/>
          <w:szCs w:val="20"/>
          <w:lang w:val="es-ES_tradnl"/>
        </w:rPr>
        <w:t xml:space="preserve">fueron los siguientes: </w:t>
      </w:r>
    </w:p>
    <w:p w14:paraId="22C17BC9" w14:textId="77777777" w:rsidR="00C71D53" w:rsidRPr="00E05B5F" w:rsidRDefault="00C71D53" w:rsidP="00E05B5F">
      <w:pPr>
        <w:numPr>
          <w:ilvl w:val="0"/>
          <w:numId w:val="24"/>
        </w:numPr>
        <w:tabs>
          <w:tab w:val="left" w:pos="0"/>
        </w:tabs>
        <w:spacing w:before="120" w:after="120" w:line="240" w:lineRule="auto"/>
        <w:ind w:left="714" w:right="17" w:hanging="357"/>
        <w:jc w:val="both"/>
        <w:rPr>
          <w:rFonts w:ascii="Verdana" w:eastAsia="MS Mincho" w:hAnsi="Verdana"/>
          <w:sz w:val="18"/>
          <w:lang w:val="es-CR"/>
        </w:rPr>
      </w:pPr>
      <w:r w:rsidRPr="00E05B5F">
        <w:rPr>
          <w:rFonts w:ascii="Verdana" w:hAnsi="Verdana"/>
          <w:sz w:val="18"/>
          <w:lang w:val="es-CR"/>
        </w:rPr>
        <w:t xml:space="preserve">El 18 de noviembre de 2019, </w:t>
      </w:r>
      <w:proofErr w:type="spellStart"/>
      <w:r w:rsidRPr="00E05B5F">
        <w:rPr>
          <w:rFonts w:ascii="Verdana" w:hAnsi="Verdana"/>
          <w:sz w:val="18"/>
          <w:lang w:val="es-CR"/>
        </w:rPr>
        <w:t>Shercy</w:t>
      </w:r>
      <w:proofErr w:type="spellEnd"/>
      <w:r w:rsidRPr="00E05B5F">
        <w:rPr>
          <w:rFonts w:ascii="Verdana" w:hAnsi="Verdana"/>
          <w:sz w:val="18"/>
          <w:lang w:val="es-CR"/>
        </w:rPr>
        <w:t xml:space="preserve"> Romero Flórez, hija de la señora Nery del Socorro Flórez Contreras, y su pareja, Naum Miranda, se encontraban en el parque del barrio García Herreros </w:t>
      </w:r>
      <w:r w:rsidRPr="00E05B5F">
        <w:rPr>
          <w:rFonts w:ascii="Verdana" w:hAnsi="Verdana"/>
          <w:sz w:val="18"/>
          <w:lang w:val="es-CR"/>
        </w:rPr>
        <w:lastRenderedPageBreak/>
        <w:t xml:space="preserve">en Cúcuta, lugar que frecuentaban, cuando fueron atacados a disparos por dos hombres que se escondían detrás de un árbol. Los disparos impactaron a Naum Miranda, ocasionándole heridas en su cabeza. </w:t>
      </w:r>
    </w:p>
    <w:p w14:paraId="3ED4514E" w14:textId="77777777" w:rsidR="00C71D53" w:rsidRPr="00E05B5F" w:rsidRDefault="00C71D53" w:rsidP="00E05B5F">
      <w:pPr>
        <w:numPr>
          <w:ilvl w:val="0"/>
          <w:numId w:val="24"/>
        </w:numPr>
        <w:tabs>
          <w:tab w:val="left" w:pos="0"/>
        </w:tabs>
        <w:spacing w:before="120" w:after="120" w:line="240" w:lineRule="auto"/>
        <w:ind w:left="714" w:right="17" w:hanging="357"/>
        <w:jc w:val="both"/>
        <w:rPr>
          <w:rFonts w:ascii="Verdana" w:eastAsia="MS Mincho" w:hAnsi="Verdana"/>
          <w:sz w:val="18"/>
          <w:lang w:val="es-CR"/>
        </w:rPr>
      </w:pPr>
      <w:r w:rsidRPr="00E05B5F">
        <w:rPr>
          <w:rFonts w:ascii="Verdana" w:eastAsia="MS Mincho" w:hAnsi="Verdana"/>
          <w:sz w:val="18"/>
          <w:lang w:val="es-CR"/>
        </w:rPr>
        <w:t>El 1 de diciembre de 2019, algunos miembros de la familia se encontraban dentro de la vivienda de la señora Nery del Socorro</w:t>
      </w:r>
      <w:r w:rsidRPr="00E05B5F">
        <w:rPr>
          <w:rFonts w:ascii="Verdana" w:hAnsi="Verdana"/>
          <w:sz w:val="18"/>
          <w:lang w:val="es-CR"/>
        </w:rPr>
        <w:t xml:space="preserve"> Flórez Contreras</w:t>
      </w:r>
      <w:r w:rsidRPr="00E05B5F">
        <w:rPr>
          <w:rFonts w:ascii="Verdana" w:eastAsia="MS Mincho" w:hAnsi="Verdana"/>
          <w:sz w:val="18"/>
          <w:lang w:val="es-CR"/>
        </w:rPr>
        <w:t xml:space="preserve">, ubicada en el barrio Panamericano. La vivienda recibió varios impactos de bala, los cuales alcanzaron a un nieto menor de edad de la señora Nery del Socorro, quien fue herido de gravedad. </w:t>
      </w:r>
    </w:p>
    <w:p w14:paraId="1A08D5E3" w14:textId="77777777" w:rsidR="00C71D53" w:rsidRPr="00E05B5F" w:rsidRDefault="00C71D53" w:rsidP="00E05B5F">
      <w:pPr>
        <w:numPr>
          <w:ilvl w:val="0"/>
          <w:numId w:val="24"/>
        </w:numPr>
        <w:tabs>
          <w:tab w:val="left" w:pos="0"/>
        </w:tabs>
        <w:spacing w:before="120" w:after="120" w:line="240" w:lineRule="auto"/>
        <w:ind w:left="714" w:right="17" w:hanging="357"/>
        <w:jc w:val="both"/>
        <w:rPr>
          <w:rFonts w:ascii="Verdana" w:eastAsia="MS Mincho" w:hAnsi="Verdana"/>
          <w:sz w:val="18"/>
          <w:lang w:val="es-CR"/>
        </w:rPr>
      </w:pPr>
      <w:r w:rsidRPr="00E05B5F">
        <w:rPr>
          <w:rFonts w:ascii="Verdana" w:eastAsia="MS Mincho" w:hAnsi="Verdana"/>
          <w:sz w:val="18"/>
          <w:lang w:val="es-CR"/>
        </w:rPr>
        <w:t>El 8 de diciembre de 2019, varios integrantes de la familia se encontraban dentro de la residencia de Ingrith Romero Flórez, una de las hijas de la señora Nery del Socorro</w:t>
      </w:r>
      <w:r w:rsidRPr="00E05B5F">
        <w:rPr>
          <w:rFonts w:ascii="Verdana" w:hAnsi="Verdana"/>
          <w:sz w:val="18"/>
          <w:lang w:val="es-CR"/>
        </w:rPr>
        <w:t xml:space="preserve"> Flórez Contreras</w:t>
      </w:r>
      <w:r w:rsidRPr="00E05B5F">
        <w:rPr>
          <w:rFonts w:ascii="Verdana" w:eastAsia="MS Mincho" w:hAnsi="Verdana"/>
          <w:sz w:val="18"/>
          <w:lang w:val="es-CR"/>
        </w:rPr>
        <w:t xml:space="preserve">. </w:t>
      </w:r>
      <w:r w:rsidRPr="00E05B5F">
        <w:rPr>
          <w:rFonts w:ascii="Verdana" w:hAnsi="Verdana"/>
          <w:sz w:val="18"/>
          <w:lang w:val="es-CR"/>
        </w:rPr>
        <w:t>Algunos</w:t>
      </w:r>
      <w:r w:rsidRPr="00E05B5F">
        <w:rPr>
          <w:rFonts w:ascii="Verdana" w:eastAsia="MS Mincho" w:hAnsi="Verdana"/>
          <w:sz w:val="18"/>
          <w:lang w:val="es-CR"/>
        </w:rPr>
        <w:t xml:space="preserve"> integrantes de la familia salieron al balcón de la casa y nuevamente recibieron disparos, los cuales impactaron en la reja del balcón de la casa. Las balas impactaron y lesionaron a uno de los nietos menores de edad de la señora Nery del Socorro</w:t>
      </w:r>
      <w:r w:rsidRPr="00E05B5F">
        <w:rPr>
          <w:rFonts w:ascii="Verdana" w:eastAsia="MS Mincho" w:hAnsi="Verdana" w:cs="Arial"/>
          <w:sz w:val="18"/>
          <w:lang w:val="es-CR"/>
        </w:rPr>
        <w:t xml:space="preserve">. </w:t>
      </w:r>
    </w:p>
    <w:p w14:paraId="4B9AA630" w14:textId="77777777" w:rsidR="00C71D53" w:rsidRPr="00E05B5F" w:rsidRDefault="00C71D53" w:rsidP="00E05B5F">
      <w:pPr>
        <w:numPr>
          <w:ilvl w:val="0"/>
          <w:numId w:val="24"/>
        </w:numPr>
        <w:tabs>
          <w:tab w:val="left" w:pos="0"/>
        </w:tabs>
        <w:spacing w:before="120" w:after="120" w:line="240" w:lineRule="auto"/>
        <w:ind w:left="714" w:right="17" w:hanging="357"/>
        <w:jc w:val="both"/>
        <w:rPr>
          <w:rFonts w:ascii="Verdana" w:eastAsia="MS Mincho" w:hAnsi="Verdana"/>
          <w:sz w:val="18"/>
          <w:lang w:val="es-CR"/>
        </w:rPr>
      </w:pPr>
      <w:r w:rsidRPr="00E05B5F">
        <w:rPr>
          <w:rFonts w:ascii="Verdana" w:eastAsia="MS Mincho" w:hAnsi="Verdana"/>
          <w:sz w:val="18"/>
          <w:lang w:val="es-CR"/>
        </w:rPr>
        <w:t xml:space="preserve">El 19 de diciembre de 2019, </w:t>
      </w:r>
      <w:proofErr w:type="spellStart"/>
      <w:r w:rsidRPr="00E05B5F">
        <w:rPr>
          <w:rFonts w:ascii="Verdana" w:eastAsia="MS Mincho" w:hAnsi="Verdana"/>
          <w:sz w:val="18"/>
          <w:lang w:val="es-CR"/>
        </w:rPr>
        <w:t>Maichol</w:t>
      </w:r>
      <w:proofErr w:type="spellEnd"/>
      <w:r w:rsidRPr="00E05B5F">
        <w:rPr>
          <w:rFonts w:ascii="Verdana" w:eastAsia="MS Mincho" w:hAnsi="Verdana"/>
          <w:sz w:val="18"/>
          <w:lang w:val="es-CR"/>
        </w:rPr>
        <w:t xml:space="preserve"> Romero Flórez y </w:t>
      </w:r>
      <w:proofErr w:type="spellStart"/>
      <w:r w:rsidRPr="00E05B5F">
        <w:rPr>
          <w:rFonts w:ascii="Verdana" w:eastAsia="MS Mincho" w:hAnsi="Verdana"/>
          <w:sz w:val="18"/>
          <w:lang w:val="es-CR"/>
        </w:rPr>
        <w:t>Shercy</w:t>
      </w:r>
      <w:proofErr w:type="spellEnd"/>
      <w:r w:rsidRPr="00E05B5F">
        <w:rPr>
          <w:rFonts w:ascii="Verdana" w:eastAsia="MS Mincho" w:hAnsi="Verdana"/>
          <w:sz w:val="18"/>
          <w:lang w:val="es-CR"/>
        </w:rPr>
        <w:t xml:space="preserve"> Romero Flores, hijos de la señora Nery del </w:t>
      </w:r>
      <w:r w:rsidRPr="00E05B5F">
        <w:rPr>
          <w:rFonts w:ascii="Verdana" w:hAnsi="Verdana"/>
          <w:sz w:val="18"/>
          <w:lang w:val="es-CR"/>
        </w:rPr>
        <w:t>Socorro Flórez Contreras</w:t>
      </w:r>
      <w:r w:rsidRPr="00E05B5F">
        <w:rPr>
          <w:rFonts w:ascii="Verdana" w:eastAsia="MS Mincho" w:hAnsi="Verdana"/>
          <w:sz w:val="18"/>
          <w:lang w:val="es-CR"/>
        </w:rPr>
        <w:t xml:space="preserve">, se dirigían a su residencia en el Barrio Prados del Este, cuando un hombre en motocicleta se atravesó frente a su vehiculó e hizo una seña que insinuaba que llevaba un arma en su cintura. </w:t>
      </w:r>
    </w:p>
    <w:p w14:paraId="56886EE1" w14:textId="4EB981EE" w:rsidR="00C71D53" w:rsidRPr="00E05B5F" w:rsidRDefault="00C71D53" w:rsidP="00E05B5F">
      <w:pPr>
        <w:numPr>
          <w:ilvl w:val="0"/>
          <w:numId w:val="24"/>
        </w:numPr>
        <w:tabs>
          <w:tab w:val="left" w:pos="0"/>
        </w:tabs>
        <w:spacing w:before="120" w:after="120" w:line="240" w:lineRule="auto"/>
        <w:ind w:left="714" w:right="17" w:hanging="357"/>
        <w:jc w:val="both"/>
        <w:rPr>
          <w:rFonts w:ascii="Verdana" w:hAnsi="Verdana"/>
          <w:sz w:val="20"/>
          <w:szCs w:val="20"/>
          <w:lang w:val="es-CR"/>
        </w:rPr>
      </w:pPr>
      <w:r w:rsidRPr="00E05B5F">
        <w:rPr>
          <w:rFonts w:ascii="Verdana" w:hAnsi="Verdana"/>
          <w:sz w:val="18"/>
          <w:lang w:val="es-CR"/>
        </w:rPr>
        <w:t xml:space="preserve">El 7 de </w:t>
      </w:r>
      <w:r w:rsidRPr="00E05B5F">
        <w:rPr>
          <w:rFonts w:ascii="Verdana" w:eastAsia="MS Mincho" w:hAnsi="Verdana"/>
          <w:sz w:val="18"/>
          <w:lang w:val="es-CR"/>
        </w:rPr>
        <w:t>enero</w:t>
      </w:r>
      <w:r w:rsidRPr="00E05B5F">
        <w:rPr>
          <w:rFonts w:ascii="Verdana" w:hAnsi="Verdana"/>
          <w:sz w:val="18"/>
          <w:lang w:val="es-CR"/>
        </w:rPr>
        <w:t xml:space="preserve"> de 2020, nuevamente, hubo disparos dirigidos a la casa de la señora Ingrith Romero Flórez, en donde se encontraba ella en compañía de su esposo Roque Sanguino.</w:t>
      </w:r>
    </w:p>
    <w:p w14:paraId="3B32C957" w14:textId="4D5603DA" w:rsidR="00C71D53" w:rsidRPr="00E05B5F" w:rsidRDefault="00C71D53"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eastAsia="MS Mincho" w:hAnsi="Verdana"/>
          <w:sz w:val="20"/>
          <w:szCs w:val="20"/>
          <w:lang w:val="es-CR"/>
        </w:rPr>
        <w:t>Agregaron que el 27 de febrero de 2020, Tatiana Romero Flórez, propuesta beneficiaria, radicó denuncia por los hechos descritos ante la Fiscalía General de la Nación, sin que a la fecha haya habido respuesta alguna por parte de esta autoridad.</w:t>
      </w:r>
    </w:p>
    <w:p w14:paraId="3E696705" w14:textId="159160E2" w:rsidR="00C71D53" w:rsidRDefault="005609AD" w:rsidP="00C71D53">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E</w:t>
      </w:r>
      <w:r w:rsidR="00C71D53">
        <w:rPr>
          <w:rFonts w:ascii="Verdana" w:hAnsi="Verdana"/>
          <w:sz w:val="20"/>
          <w:szCs w:val="20"/>
          <w:lang w:val="es-CR"/>
        </w:rPr>
        <w:t xml:space="preserve">l Estado </w:t>
      </w:r>
      <w:r w:rsidR="00C71D53">
        <w:rPr>
          <w:rFonts w:ascii="Verdana" w:eastAsia="MS Mincho" w:hAnsi="Verdana"/>
          <w:sz w:val="20"/>
          <w:szCs w:val="20"/>
          <w:lang w:val="es-CR"/>
        </w:rPr>
        <w:t>indicó que, “dado que la información solicitada relacionada con los familiares de la víctima Antonio Flórez Contreras no se deriva de un mandato proveniente de la […] Corte […], por no hacer parte de las órdenes contenidas en la parte resolutiva del fallo concerniente al Caso […], se precisa que, sin perjuicio de las acciones que el Estado deba adelantar, no es procedente efectuar su seguimiento en el marco de la supervisión de cumplimiento de la […] Sentencia”. Además, indicó que, a la fecha de 26 de febrero de 2020, no se había registrado ningún tipo de medida de protección en la Unidad Nacional de Protección. Por otra parte, el Estado se refirió a los reportes de la Procuraduría General de la Nación y de la Fiscalía General de la Nación en la que se exponen las actuaciones desplegadas en el marco de la medida provisional.</w:t>
      </w:r>
    </w:p>
    <w:p w14:paraId="6FEF1858" w14:textId="0E6F7481" w:rsidR="005609AD" w:rsidRPr="007865FC" w:rsidRDefault="005609AD" w:rsidP="00E05B5F">
      <w:pPr>
        <w:pStyle w:val="Prrafodelista1"/>
        <w:numPr>
          <w:ilvl w:val="0"/>
          <w:numId w:val="6"/>
        </w:numPr>
        <w:spacing w:before="240" w:after="240"/>
        <w:contextualSpacing w:val="0"/>
        <w:jc w:val="both"/>
        <w:rPr>
          <w:b/>
          <w:i/>
          <w:sz w:val="20"/>
          <w:szCs w:val="20"/>
        </w:rPr>
      </w:pPr>
      <w:r>
        <w:rPr>
          <w:b/>
          <w:i/>
          <w:sz w:val="20"/>
          <w:szCs w:val="20"/>
        </w:rPr>
        <w:t xml:space="preserve">Las </w:t>
      </w:r>
      <w:r w:rsidR="00C659C1">
        <w:rPr>
          <w:b/>
          <w:i/>
          <w:sz w:val="20"/>
          <w:szCs w:val="20"/>
        </w:rPr>
        <w:t>m</w:t>
      </w:r>
      <w:r>
        <w:rPr>
          <w:b/>
          <w:i/>
          <w:sz w:val="20"/>
          <w:szCs w:val="20"/>
        </w:rPr>
        <w:t xml:space="preserve">edidas </w:t>
      </w:r>
      <w:r w:rsidR="00C659C1">
        <w:rPr>
          <w:b/>
          <w:i/>
          <w:sz w:val="20"/>
          <w:szCs w:val="20"/>
        </w:rPr>
        <w:t>u</w:t>
      </w:r>
      <w:r>
        <w:rPr>
          <w:b/>
          <w:i/>
          <w:sz w:val="20"/>
          <w:szCs w:val="20"/>
        </w:rPr>
        <w:t xml:space="preserve">rgentes ordenadas por la Presidencia de la Corte  </w:t>
      </w:r>
    </w:p>
    <w:p w14:paraId="0FB999E2" w14:textId="4391B424" w:rsidR="00C71D53" w:rsidRDefault="005609AD"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 xml:space="preserve">Frente a esta solicitud, de acuerdo a lo establecido en el artículo 27.6 del Reglamento del Tribunal que estipula que cuando la Corte no se encontrare reunida, la Presidencia puede requerir al Estado respectivo, que dicte las providencias urgentes necesarias, </w:t>
      </w:r>
      <w:r w:rsidR="005A0D10">
        <w:rPr>
          <w:rFonts w:ascii="Verdana" w:hAnsi="Verdana"/>
          <w:sz w:val="20"/>
          <w:szCs w:val="20"/>
          <w:lang w:val="es-CR"/>
        </w:rPr>
        <w:t>e</w:t>
      </w:r>
      <w:r>
        <w:rPr>
          <w:rFonts w:ascii="Verdana" w:hAnsi="Verdana"/>
          <w:sz w:val="20"/>
          <w:szCs w:val="20"/>
          <w:lang w:val="es-CR"/>
        </w:rPr>
        <w:t xml:space="preserve">sta </w:t>
      </w:r>
      <w:r w:rsidR="00C71D53">
        <w:rPr>
          <w:rFonts w:ascii="Verdana" w:hAnsi="Verdana"/>
          <w:sz w:val="20"/>
          <w:szCs w:val="20"/>
          <w:lang w:val="es-CR"/>
        </w:rPr>
        <w:t xml:space="preserve">resolvió </w:t>
      </w:r>
      <w:r w:rsidR="0095368C">
        <w:rPr>
          <w:rFonts w:ascii="Verdana" w:hAnsi="Verdana"/>
          <w:sz w:val="20"/>
          <w:szCs w:val="20"/>
          <w:lang w:val="es-CR"/>
        </w:rPr>
        <w:t xml:space="preserve">disponer medidas urgentes y </w:t>
      </w:r>
      <w:r w:rsidR="00C71D53">
        <w:rPr>
          <w:rFonts w:ascii="Verdana" w:hAnsi="Verdana"/>
          <w:sz w:val="20"/>
          <w:szCs w:val="20"/>
          <w:lang w:val="es-CR"/>
        </w:rPr>
        <w:t xml:space="preserve">ampliar </w:t>
      </w:r>
      <w:r>
        <w:rPr>
          <w:rFonts w:ascii="Verdana" w:hAnsi="Verdana"/>
          <w:sz w:val="20"/>
          <w:szCs w:val="20"/>
          <w:lang w:val="es-CR"/>
        </w:rPr>
        <w:t>las medidas de protección</w:t>
      </w:r>
      <w:r w:rsidR="00C71D53">
        <w:rPr>
          <w:rFonts w:ascii="Verdana" w:hAnsi="Verdana"/>
          <w:sz w:val="20"/>
          <w:szCs w:val="20"/>
          <w:lang w:val="es-CR"/>
        </w:rPr>
        <w:t xml:space="preserve"> </w:t>
      </w:r>
      <w:r>
        <w:rPr>
          <w:rFonts w:ascii="Verdana" w:hAnsi="Verdana"/>
          <w:sz w:val="20"/>
          <w:szCs w:val="20"/>
          <w:lang w:val="es-CR"/>
        </w:rPr>
        <w:t xml:space="preserve">a favor de las </w:t>
      </w:r>
      <w:r w:rsidR="00C71D53">
        <w:rPr>
          <w:rFonts w:ascii="Verdana" w:hAnsi="Verdana"/>
          <w:sz w:val="20"/>
          <w:szCs w:val="20"/>
          <w:lang w:val="es-CR"/>
        </w:rPr>
        <w:t xml:space="preserve">personas </w:t>
      </w:r>
      <w:r>
        <w:rPr>
          <w:rFonts w:ascii="Verdana" w:hAnsi="Verdana"/>
          <w:sz w:val="20"/>
          <w:szCs w:val="20"/>
          <w:lang w:val="es-CR"/>
        </w:rPr>
        <w:t xml:space="preserve">que lo habían </w:t>
      </w:r>
      <w:r w:rsidR="00C71D53">
        <w:rPr>
          <w:rFonts w:ascii="Verdana" w:hAnsi="Verdana"/>
          <w:sz w:val="20"/>
          <w:szCs w:val="20"/>
          <w:lang w:val="es-CR"/>
        </w:rPr>
        <w:t>solicitad</w:t>
      </w:r>
      <w:r>
        <w:rPr>
          <w:rFonts w:ascii="Verdana" w:hAnsi="Verdana"/>
          <w:sz w:val="20"/>
          <w:szCs w:val="20"/>
          <w:lang w:val="es-CR"/>
        </w:rPr>
        <w:t>o</w:t>
      </w:r>
      <w:r w:rsidR="00C71D53">
        <w:rPr>
          <w:rFonts w:ascii="Verdana" w:hAnsi="Verdana"/>
          <w:sz w:val="20"/>
          <w:szCs w:val="20"/>
          <w:lang w:val="es-CR"/>
        </w:rPr>
        <w:t xml:space="preserve"> </w:t>
      </w:r>
      <w:r w:rsidRPr="00E05B5F">
        <w:rPr>
          <w:rFonts w:ascii="Verdana" w:eastAsia="MS Mincho" w:hAnsi="Verdana"/>
          <w:sz w:val="20"/>
          <w:szCs w:val="20"/>
          <w:lang w:val="es-CR"/>
        </w:rPr>
        <w:t>así</w:t>
      </w:r>
      <w:r>
        <w:rPr>
          <w:rFonts w:ascii="Verdana" w:hAnsi="Verdana"/>
          <w:sz w:val="20"/>
          <w:szCs w:val="20"/>
          <w:lang w:val="es-CR"/>
        </w:rPr>
        <w:t xml:space="preserve"> como </w:t>
      </w:r>
      <w:r w:rsidR="00C71D53">
        <w:rPr>
          <w:rFonts w:ascii="Verdana" w:hAnsi="Verdana"/>
          <w:sz w:val="20"/>
          <w:szCs w:val="20"/>
          <w:lang w:val="es-CR"/>
        </w:rPr>
        <w:t>sus</w:t>
      </w:r>
      <w:r>
        <w:rPr>
          <w:rFonts w:ascii="Verdana" w:hAnsi="Verdana"/>
          <w:sz w:val="20"/>
          <w:szCs w:val="20"/>
          <w:lang w:val="es-CR"/>
        </w:rPr>
        <w:t xml:space="preserve"> respectivos núcleos </w:t>
      </w:r>
      <w:r w:rsidR="00C71D53">
        <w:rPr>
          <w:rFonts w:ascii="Verdana" w:hAnsi="Verdana"/>
          <w:sz w:val="20"/>
          <w:szCs w:val="20"/>
          <w:lang w:val="es-CR"/>
        </w:rPr>
        <w:t>familiares</w:t>
      </w:r>
      <w:r w:rsidR="00FA04B0">
        <w:rPr>
          <w:rFonts w:ascii="Verdana" w:hAnsi="Verdana"/>
          <w:sz w:val="20"/>
          <w:szCs w:val="20"/>
          <w:lang w:val="es-CR"/>
        </w:rPr>
        <w:t>,</w:t>
      </w:r>
      <w:r w:rsidR="00C71D53">
        <w:rPr>
          <w:rFonts w:ascii="Verdana" w:hAnsi="Verdana"/>
          <w:sz w:val="20"/>
          <w:szCs w:val="20"/>
          <w:lang w:val="es-CR"/>
        </w:rPr>
        <w:t xml:space="preserve"> y otorgó un plazo a los representantes para que informaran el nombre de las personas que conforman los respectivos núcleos familiares</w:t>
      </w:r>
      <w:r w:rsidR="00C659C1">
        <w:rPr>
          <w:rFonts w:ascii="Verdana" w:hAnsi="Verdana"/>
          <w:sz w:val="20"/>
          <w:szCs w:val="20"/>
          <w:lang w:val="es-CR"/>
        </w:rPr>
        <w:t xml:space="preserve"> (</w:t>
      </w:r>
      <w:r w:rsidR="00C659C1" w:rsidRPr="00E05B5F">
        <w:rPr>
          <w:rFonts w:ascii="Verdana" w:hAnsi="Verdana"/>
          <w:i/>
          <w:sz w:val="20"/>
          <w:szCs w:val="20"/>
          <w:lang w:val="es-CR"/>
        </w:rPr>
        <w:t>supra</w:t>
      </w:r>
      <w:r w:rsidR="00C659C1">
        <w:rPr>
          <w:rFonts w:ascii="Verdana" w:hAnsi="Verdana"/>
          <w:sz w:val="20"/>
          <w:szCs w:val="20"/>
          <w:lang w:val="es-CR"/>
        </w:rPr>
        <w:t xml:space="preserve"> párr. </w:t>
      </w:r>
      <w:r w:rsidR="00320EBF">
        <w:rPr>
          <w:rFonts w:ascii="Verdana" w:hAnsi="Verdana"/>
          <w:sz w:val="20"/>
          <w:szCs w:val="20"/>
          <w:lang w:val="es-CR"/>
        </w:rPr>
        <w:t>3</w:t>
      </w:r>
      <w:r w:rsidR="00C659C1">
        <w:rPr>
          <w:rFonts w:ascii="Verdana" w:hAnsi="Verdana"/>
          <w:sz w:val="20"/>
          <w:szCs w:val="20"/>
          <w:lang w:val="es-CR"/>
        </w:rPr>
        <w:t>)</w:t>
      </w:r>
      <w:r w:rsidR="00C71D53">
        <w:rPr>
          <w:rFonts w:ascii="Verdana" w:hAnsi="Verdana"/>
          <w:sz w:val="20"/>
          <w:szCs w:val="20"/>
          <w:lang w:val="es-CR"/>
        </w:rPr>
        <w:t>.</w:t>
      </w:r>
    </w:p>
    <w:p w14:paraId="161F6795" w14:textId="3EDD3BB2" w:rsidR="00C659C1" w:rsidRDefault="00C659C1" w:rsidP="00C659C1">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Pr>
          <w:rFonts w:ascii="Verdana" w:hAnsi="Verdana"/>
          <w:spacing w:val="-4"/>
          <w:sz w:val="20"/>
          <w:szCs w:val="20"/>
          <w:lang w:val="es-CR"/>
        </w:rPr>
        <w:t xml:space="preserve">En concreto, la Presidencia </w:t>
      </w:r>
      <w:r w:rsidRPr="00AB622A">
        <w:rPr>
          <w:rFonts w:ascii="Verdana" w:hAnsi="Verdana"/>
          <w:spacing w:val="-4"/>
          <w:sz w:val="20"/>
          <w:szCs w:val="20"/>
          <w:lang w:val="es-CR"/>
        </w:rPr>
        <w:t>decidió</w:t>
      </w:r>
      <w:r w:rsidR="001D2090">
        <w:rPr>
          <w:rFonts w:ascii="Verdana" w:hAnsi="Verdana"/>
          <w:spacing w:val="-4"/>
          <w:sz w:val="20"/>
          <w:szCs w:val="20"/>
          <w:lang w:val="es-CR"/>
        </w:rPr>
        <w:t xml:space="preserve"> mediante Resolución de 2 de abril de 2020</w:t>
      </w:r>
      <w:r>
        <w:rPr>
          <w:rFonts w:ascii="Verdana" w:hAnsi="Verdana"/>
          <w:spacing w:val="-4"/>
          <w:sz w:val="20"/>
          <w:szCs w:val="20"/>
          <w:lang w:val="es-CR"/>
        </w:rPr>
        <w:t xml:space="preserve">: </w:t>
      </w:r>
    </w:p>
    <w:p w14:paraId="4DD57274" w14:textId="77777777" w:rsidR="00C659C1" w:rsidRPr="00E05B5F" w:rsidRDefault="00C659C1" w:rsidP="00E05B5F">
      <w:pPr>
        <w:pStyle w:val="Prrafodelista"/>
        <w:numPr>
          <w:ilvl w:val="0"/>
          <w:numId w:val="4"/>
        </w:numPr>
        <w:spacing w:before="120" w:after="120"/>
        <w:ind w:left="714" w:right="17" w:hanging="357"/>
        <w:contextualSpacing w:val="0"/>
        <w:jc w:val="both"/>
        <w:rPr>
          <w:rFonts w:ascii="Verdana" w:hAnsi="Verdana"/>
          <w:sz w:val="18"/>
          <w:lang w:val="es-CR"/>
        </w:rPr>
      </w:pPr>
      <w:r w:rsidRPr="00E05B5F">
        <w:rPr>
          <w:rFonts w:ascii="Verdana" w:hAnsi="Verdana"/>
          <w:sz w:val="18"/>
          <w:lang w:val="es-CR"/>
        </w:rPr>
        <w:t xml:space="preserve">Ampliar las medidas provisionales emitidas en el presente caso, de tal forma que el Estado de Colombia incluya de manera inmediata dentro de las medidas ordenadas a la señora Nery del Socorro Flórez Contreras, y a los integrantes de su familia, a saber: </w:t>
      </w:r>
      <w:proofErr w:type="spellStart"/>
      <w:r w:rsidRPr="00E05B5F">
        <w:rPr>
          <w:rFonts w:ascii="Verdana" w:hAnsi="Verdana"/>
          <w:sz w:val="18"/>
          <w:lang w:val="es-CR"/>
        </w:rPr>
        <w:t>Shercy</w:t>
      </w:r>
      <w:proofErr w:type="spellEnd"/>
      <w:r w:rsidRPr="00E05B5F">
        <w:rPr>
          <w:rFonts w:ascii="Verdana" w:hAnsi="Verdana"/>
          <w:sz w:val="18"/>
          <w:lang w:val="es-CR"/>
        </w:rPr>
        <w:t xml:space="preserve"> Pamela Romero Flórez, </w:t>
      </w:r>
      <w:proofErr w:type="spellStart"/>
      <w:r w:rsidRPr="00E05B5F">
        <w:rPr>
          <w:rFonts w:ascii="Verdana" w:hAnsi="Verdana"/>
          <w:sz w:val="18"/>
          <w:lang w:val="es-CR"/>
        </w:rPr>
        <w:t>Maichol</w:t>
      </w:r>
      <w:proofErr w:type="spellEnd"/>
      <w:r w:rsidRPr="00E05B5F">
        <w:rPr>
          <w:rFonts w:ascii="Verdana" w:hAnsi="Verdana"/>
          <w:sz w:val="18"/>
          <w:lang w:val="es-CR"/>
        </w:rPr>
        <w:t xml:space="preserve"> </w:t>
      </w:r>
      <w:proofErr w:type="spellStart"/>
      <w:r w:rsidRPr="00E05B5F">
        <w:rPr>
          <w:rFonts w:ascii="Verdana" w:hAnsi="Verdana"/>
          <w:sz w:val="18"/>
          <w:lang w:val="es-CR"/>
        </w:rPr>
        <w:t>Edilio</w:t>
      </w:r>
      <w:proofErr w:type="spellEnd"/>
      <w:r w:rsidRPr="00E05B5F">
        <w:rPr>
          <w:rFonts w:ascii="Verdana" w:hAnsi="Verdana"/>
          <w:sz w:val="18"/>
          <w:lang w:val="es-CR"/>
        </w:rPr>
        <w:t xml:space="preserve"> Romero Flórez, Ingrith Johanna Romero Flórez, Geraldine Romero Flórez y Tatiana Romero Flórez, así como sus núcleos familiares respectivos.</w:t>
      </w:r>
    </w:p>
    <w:p w14:paraId="1094B63E" w14:textId="77777777" w:rsidR="00C659C1" w:rsidRPr="00E05B5F" w:rsidRDefault="00C659C1" w:rsidP="00E05B5F">
      <w:pPr>
        <w:pStyle w:val="Prrafodelista"/>
        <w:numPr>
          <w:ilvl w:val="0"/>
          <w:numId w:val="4"/>
        </w:numPr>
        <w:spacing w:before="120" w:after="120"/>
        <w:ind w:left="714" w:right="17" w:hanging="357"/>
        <w:contextualSpacing w:val="0"/>
        <w:jc w:val="both"/>
        <w:rPr>
          <w:rFonts w:ascii="Verdana" w:hAnsi="Verdana"/>
          <w:sz w:val="18"/>
          <w:lang w:val="es-CR"/>
        </w:rPr>
      </w:pPr>
      <w:r w:rsidRPr="00E05B5F">
        <w:rPr>
          <w:rFonts w:ascii="Verdana" w:hAnsi="Verdana"/>
          <w:sz w:val="18"/>
          <w:lang w:val="es-CR"/>
        </w:rPr>
        <w:t>Los representantes deberán informar, a más tardar el día 6 de abril de 2020, la identidad de las personas que constituyen los núcleos familiares de los beneficiarios para los efectos de lo dispuesto en el punto resolutivo 1.</w:t>
      </w:r>
    </w:p>
    <w:p w14:paraId="48D0F0F9" w14:textId="77777777" w:rsidR="00FF4631" w:rsidRPr="00E05B5F" w:rsidRDefault="00C659C1" w:rsidP="00E05B5F">
      <w:pPr>
        <w:pStyle w:val="Prrafodelista"/>
        <w:numPr>
          <w:ilvl w:val="0"/>
          <w:numId w:val="4"/>
        </w:numPr>
        <w:spacing w:before="120" w:after="120"/>
        <w:ind w:left="714" w:right="17" w:hanging="357"/>
        <w:contextualSpacing w:val="0"/>
        <w:jc w:val="both"/>
        <w:rPr>
          <w:rFonts w:ascii="Verdana" w:hAnsi="Verdana"/>
          <w:sz w:val="18"/>
          <w:lang w:val="es-CR"/>
        </w:rPr>
      </w:pPr>
      <w:r w:rsidRPr="00E05B5F">
        <w:rPr>
          <w:rFonts w:ascii="Verdana" w:hAnsi="Verdana"/>
          <w:sz w:val="18"/>
          <w:lang w:val="es-CR"/>
        </w:rPr>
        <w:lastRenderedPageBreak/>
        <w:t>El Estado deberá coordinar inmediatamente con los beneficiarios de estas medidas, o sus representantes, la planificación e implementación de las mismas y que, en general, les mantenga informados sobre el avance de su ejecución.</w:t>
      </w:r>
      <w:r w:rsidR="00FF4631" w:rsidRPr="00E05B5F">
        <w:rPr>
          <w:rFonts w:ascii="Verdana" w:hAnsi="Verdana"/>
          <w:sz w:val="18"/>
          <w:lang w:val="es-CR"/>
        </w:rPr>
        <w:t xml:space="preserve"> </w:t>
      </w:r>
    </w:p>
    <w:p w14:paraId="627B6CCC" w14:textId="12B95BA6" w:rsidR="00FF4631" w:rsidRPr="00E05B5F" w:rsidRDefault="00FF4631" w:rsidP="00E05B5F">
      <w:pPr>
        <w:pStyle w:val="Prrafodelista"/>
        <w:numPr>
          <w:ilvl w:val="0"/>
          <w:numId w:val="4"/>
        </w:numPr>
        <w:spacing w:before="120" w:after="120"/>
        <w:ind w:left="714" w:right="17" w:hanging="357"/>
        <w:contextualSpacing w:val="0"/>
        <w:jc w:val="both"/>
        <w:rPr>
          <w:rFonts w:ascii="Verdana" w:hAnsi="Verdana"/>
          <w:sz w:val="18"/>
          <w:lang w:val="es-CR"/>
        </w:rPr>
      </w:pPr>
      <w:r w:rsidRPr="00E05B5F">
        <w:rPr>
          <w:rFonts w:ascii="Verdana" w:hAnsi="Verdana"/>
          <w:sz w:val="18"/>
          <w:lang w:val="es-CR"/>
        </w:rPr>
        <w:t>Requerir al Estado que presente información actualizada a la Corte sobre las medidas de protección que fueron adoptadas a favor de las personas mencionadas en el punto resolutivo 1 a más tardar el 22 de abril de 2020</w:t>
      </w:r>
    </w:p>
    <w:p w14:paraId="1DF768A1" w14:textId="58D9BF83" w:rsidR="007E236D" w:rsidRPr="007865FC" w:rsidRDefault="007E236D" w:rsidP="00E05B5F">
      <w:pPr>
        <w:pStyle w:val="Prrafodelista1"/>
        <w:numPr>
          <w:ilvl w:val="0"/>
          <w:numId w:val="6"/>
        </w:numPr>
        <w:spacing w:before="240" w:after="240"/>
        <w:contextualSpacing w:val="0"/>
        <w:jc w:val="both"/>
        <w:rPr>
          <w:b/>
          <w:i/>
          <w:sz w:val="20"/>
          <w:szCs w:val="20"/>
        </w:rPr>
      </w:pPr>
      <w:r>
        <w:rPr>
          <w:b/>
          <w:i/>
          <w:sz w:val="20"/>
          <w:szCs w:val="20"/>
        </w:rPr>
        <w:t xml:space="preserve">Información remitida por los representantes y el Estado con posterioridad a la adopción de las medidas urgentes  </w:t>
      </w:r>
    </w:p>
    <w:p w14:paraId="6BE9A16B" w14:textId="54C19CE5" w:rsidR="00663D79" w:rsidRPr="00406546" w:rsidRDefault="00FF4631" w:rsidP="00A56148">
      <w:pPr>
        <w:numPr>
          <w:ilvl w:val="0"/>
          <w:numId w:val="9"/>
        </w:numPr>
        <w:tabs>
          <w:tab w:val="left" w:pos="0"/>
        </w:tabs>
        <w:spacing w:before="120" w:after="120" w:line="240" w:lineRule="auto"/>
        <w:ind w:left="0" w:right="18" w:firstLine="0"/>
        <w:jc w:val="both"/>
        <w:rPr>
          <w:rFonts w:ascii="Verdana" w:hAnsi="Verdana"/>
          <w:sz w:val="20"/>
          <w:szCs w:val="20"/>
          <w:lang w:val="es-CR"/>
        </w:rPr>
      </w:pPr>
      <w:r w:rsidRPr="00406546">
        <w:rPr>
          <w:rFonts w:ascii="Verdana" w:hAnsi="Verdana"/>
          <w:sz w:val="20"/>
          <w:szCs w:val="20"/>
          <w:lang w:val="es-CR"/>
        </w:rPr>
        <w:t xml:space="preserve">Con posterioridad </w:t>
      </w:r>
      <w:r w:rsidR="009E4063" w:rsidRPr="00406546">
        <w:rPr>
          <w:rFonts w:ascii="Verdana" w:hAnsi="Verdana"/>
          <w:sz w:val="20"/>
          <w:szCs w:val="20"/>
          <w:lang w:val="es-CR"/>
        </w:rPr>
        <w:t xml:space="preserve">a la notificación de la resolución de </w:t>
      </w:r>
      <w:r w:rsidR="00B0044E" w:rsidRPr="00406546">
        <w:rPr>
          <w:rFonts w:ascii="Verdana" w:hAnsi="Verdana"/>
          <w:spacing w:val="-4"/>
          <w:sz w:val="20"/>
          <w:szCs w:val="20"/>
          <w:lang w:val="es-CR"/>
        </w:rPr>
        <w:t>medidas urgentes</w:t>
      </w:r>
      <w:r w:rsidR="009E4063" w:rsidRPr="00406546">
        <w:rPr>
          <w:rFonts w:ascii="Verdana" w:hAnsi="Verdana"/>
          <w:spacing w:val="-4"/>
          <w:sz w:val="20"/>
          <w:szCs w:val="20"/>
          <w:lang w:val="es-CR"/>
        </w:rPr>
        <w:t xml:space="preserve">, </w:t>
      </w:r>
      <w:r w:rsidR="00B0044E" w:rsidRPr="00406546">
        <w:rPr>
          <w:rFonts w:ascii="Verdana" w:hAnsi="Verdana"/>
          <w:spacing w:val="-4"/>
          <w:sz w:val="20"/>
          <w:szCs w:val="20"/>
          <w:lang w:val="es-CR"/>
        </w:rPr>
        <w:t xml:space="preserve">el 6 de abril de 2020, </w:t>
      </w:r>
      <w:r w:rsidR="009E4063" w:rsidRPr="00406546">
        <w:rPr>
          <w:rFonts w:ascii="Verdana" w:hAnsi="Verdana"/>
          <w:sz w:val="20"/>
          <w:szCs w:val="20"/>
          <w:lang w:val="es-CR"/>
        </w:rPr>
        <w:t>l</w:t>
      </w:r>
      <w:r w:rsidR="00896EA8" w:rsidRPr="00406546">
        <w:rPr>
          <w:rFonts w:ascii="Verdana" w:hAnsi="Verdana"/>
          <w:sz w:val="20"/>
          <w:szCs w:val="20"/>
          <w:lang w:val="es-CR"/>
        </w:rPr>
        <w:t>os</w:t>
      </w:r>
      <w:r w:rsidR="0038765A" w:rsidRPr="00406546">
        <w:rPr>
          <w:rFonts w:ascii="Verdana" w:hAnsi="Verdana"/>
          <w:sz w:val="20"/>
          <w:szCs w:val="20"/>
          <w:lang w:val="es-CR"/>
        </w:rPr>
        <w:t xml:space="preserve"> </w:t>
      </w:r>
      <w:r w:rsidR="00896EA8" w:rsidRPr="00406546">
        <w:rPr>
          <w:rFonts w:ascii="Verdana" w:hAnsi="Verdana"/>
          <w:sz w:val="20"/>
          <w:szCs w:val="20"/>
          <w:lang w:val="es-CR"/>
        </w:rPr>
        <w:t xml:space="preserve">representantes informaron </w:t>
      </w:r>
      <w:r w:rsidR="009E4063" w:rsidRPr="00406546">
        <w:rPr>
          <w:rFonts w:ascii="Verdana" w:hAnsi="Verdana"/>
          <w:sz w:val="20"/>
          <w:szCs w:val="20"/>
          <w:lang w:val="es-CR"/>
        </w:rPr>
        <w:t xml:space="preserve">el nombre de los integrantes de los núcleos familiares de las personas beneficiarias. </w:t>
      </w:r>
      <w:r w:rsidR="006B6CD6" w:rsidRPr="00406546">
        <w:rPr>
          <w:rFonts w:ascii="Verdana" w:hAnsi="Verdana"/>
          <w:sz w:val="20"/>
          <w:szCs w:val="20"/>
          <w:lang w:val="es-CR"/>
        </w:rPr>
        <w:t xml:space="preserve">Todas esas personas son familiares de Antonio Flórez Contreras y de </w:t>
      </w:r>
      <w:r w:rsidR="00406546" w:rsidRPr="00406546">
        <w:rPr>
          <w:rFonts w:ascii="Verdana" w:hAnsi="Verdana"/>
          <w:sz w:val="20"/>
          <w:szCs w:val="20"/>
          <w:lang w:val="es-CR"/>
        </w:rPr>
        <w:t xml:space="preserve">Nery del Socorro Flórez Contreras, víctimas declaradas en la Sentencia </w:t>
      </w:r>
      <w:proofErr w:type="spellStart"/>
      <w:r w:rsidR="00406546" w:rsidRPr="00406546">
        <w:rPr>
          <w:rFonts w:ascii="Verdana" w:hAnsi="Verdana"/>
          <w:sz w:val="20"/>
          <w:szCs w:val="20"/>
          <w:lang w:val="es-CR"/>
        </w:rPr>
        <w:t>de el</w:t>
      </w:r>
      <w:proofErr w:type="spellEnd"/>
      <w:r w:rsidR="00406546" w:rsidRPr="00406546">
        <w:rPr>
          <w:rFonts w:ascii="Verdana" w:hAnsi="Verdana"/>
          <w:sz w:val="20"/>
          <w:szCs w:val="20"/>
          <w:lang w:val="es-CR"/>
        </w:rPr>
        <w:t xml:space="preserve"> 5 de julio de 2004 (</w:t>
      </w:r>
      <w:r w:rsidR="00406546" w:rsidRPr="00A56148">
        <w:rPr>
          <w:rFonts w:ascii="Verdana" w:hAnsi="Verdana"/>
          <w:i/>
          <w:sz w:val="20"/>
          <w:szCs w:val="20"/>
          <w:lang w:val="es-CR"/>
        </w:rPr>
        <w:t>supra</w:t>
      </w:r>
      <w:r w:rsidR="00406546" w:rsidRPr="00406546">
        <w:rPr>
          <w:rFonts w:ascii="Verdana" w:hAnsi="Verdana"/>
          <w:sz w:val="20"/>
          <w:szCs w:val="20"/>
          <w:lang w:val="es-CR"/>
        </w:rPr>
        <w:t xml:space="preserve"> párr. </w:t>
      </w:r>
      <w:r w:rsidR="005A0D10">
        <w:rPr>
          <w:rFonts w:ascii="Verdana" w:hAnsi="Verdana"/>
          <w:sz w:val="20"/>
          <w:szCs w:val="20"/>
          <w:lang w:val="es-CR"/>
        </w:rPr>
        <w:t>1</w:t>
      </w:r>
      <w:r w:rsidR="00406546" w:rsidRPr="00406546">
        <w:rPr>
          <w:rFonts w:ascii="Verdana" w:hAnsi="Verdana"/>
          <w:sz w:val="20"/>
          <w:szCs w:val="20"/>
          <w:lang w:val="es-CR"/>
        </w:rPr>
        <w:t>).</w:t>
      </w:r>
      <w:r w:rsidR="00406546">
        <w:rPr>
          <w:rFonts w:ascii="Verdana" w:hAnsi="Verdana"/>
          <w:sz w:val="20"/>
          <w:szCs w:val="20"/>
          <w:lang w:val="es-CR"/>
        </w:rPr>
        <w:t xml:space="preserve"> </w:t>
      </w:r>
      <w:r w:rsidR="00F63AFF" w:rsidRPr="00406546">
        <w:rPr>
          <w:rFonts w:ascii="Verdana" w:hAnsi="Verdana"/>
          <w:sz w:val="20"/>
          <w:szCs w:val="20"/>
          <w:lang w:val="es-CR"/>
        </w:rPr>
        <w:t>Específicamente</w:t>
      </w:r>
      <w:r w:rsidR="009E4063" w:rsidRPr="00406546">
        <w:rPr>
          <w:rFonts w:ascii="Verdana" w:hAnsi="Verdana"/>
          <w:sz w:val="20"/>
          <w:szCs w:val="20"/>
          <w:lang w:val="es-ES_tradnl"/>
        </w:rPr>
        <w:t xml:space="preserve">, </w:t>
      </w:r>
      <w:r w:rsidR="00F63AFF" w:rsidRPr="00406546">
        <w:rPr>
          <w:rFonts w:ascii="Verdana" w:hAnsi="Verdana"/>
          <w:sz w:val="20"/>
          <w:szCs w:val="20"/>
          <w:lang w:val="es-ES_tradnl"/>
        </w:rPr>
        <w:t>indicaron</w:t>
      </w:r>
      <w:r w:rsidR="00663D79" w:rsidRPr="00406546">
        <w:rPr>
          <w:rFonts w:ascii="Verdana" w:hAnsi="Verdana"/>
          <w:sz w:val="20"/>
          <w:szCs w:val="20"/>
          <w:lang w:val="es-ES_tradnl"/>
        </w:rPr>
        <w:t xml:space="preserve"> </w:t>
      </w:r>
      <w:r w:rsidR="009E4063" w:rsidRPr="00406546">
        <w:rPr>
          <w:rFonts w:ascii="Verdana" w:hAnsi="Verdana"/>
          <w:sz w:val="20"/>
          <w:szCs w:val="20"/>
          <w:lang w:val="es-ES_tradnl"/>
        </w:rPr>
        <w:t>lo siguiente</w:t>
      </w:r>
      <w:r w:rsidR="00663D79" w:rsidRPr="00406546">
        <w:rPr>
          <w:rFonts w:ascii="Verdana" w:hAnsi="Verdana"/>
          <w:sz w:val="20"/>
          <w:szCs w:val="20"/>
          <w:lang w:val="es-ES_tradnl"/>
        </w:rPr>
        <w:t xml:space="preserve">: </w:t>
      </w:r>
    </w:p>
    <w:p w14:paraId="187521B4" w14:textId="289B4DCE" w:rsidR="00B50F3E" w:rsidRPr="009E4063" w:rsidRDefault="009E4063" w:rsidP="00E05B5F">
      <w:pPr>
        <w:pStyle w:val="Prrafodelista"/>
        <w:numPr>
          <w:ilvl w:val="0"/>
          <w:numId w:val="27"/>
        </w:numPr>
        <w:spacing w:before="120" w:after="120"/>
        <w:ind w:left="714" w:right="17" w:hanging="357"/>
        <w:contextualSpacing w:val="0"/>
        <w:jc w:val="both"/>
        <w:rPr>
          <w:rFonts w:ascii="Verdana" w:hAnsi="Verdana"/>
          <w:sz w:val="18"/>
          <w:lang w:val="es-CR"/>
        </w:rPr>
      </w:pPr>
      <w:r w:rsidRPr="009E4063">
        <w:rPr>
          <w:rFonts w:ascii="Verdana" w:hAnsi="Verdana"/>
          <w:sz w:val="18"/>
          <w:lang w:val="es-CR"/>
        </w:rPr>
        <w:t xml:space="preserve">El </w:t>
      </w:r>
      <w:r w:rsidRPr="00D20B22">
        <w:rPr>
          <w:rFonts w:ascii="Verdana" w:hAnsi="Verdana"/>
          <w:sz w:val="18"/>
          <w:lang w:val="es-CR"/>
        </w:rPr>
        <w:t>grupo familiar de la señora Nery del Socorro, se conforma por</w:t>
      </w:r>
      <w:r w:rsidRPr="00D20B22">
        <w:rPr>
          <w:rFonts w:ascii="Verdana" w:hAnsi="Verdana"/>
          <w:sz w:val="18"/>
        </w:rPr>
        <w:t xml:space="preserve"> las siguientes personas: </w:t>
      </w:r>
      <w:r w:rsidRPr="00D20B22">
        <w:rPr>
          <w:rFonts w:ascii="Verdana" w:hAnsi="Verdana"/>
          <w:bCs/>
          <w:sz w:val="18"/>
          <w:lang w:val="es-CR"/>
        </w:rPr>
        <w:t>Alirio Antonio Romero Galván (esposo)</w:t>
      </w:r>
      <w:r w:rsidRPr="00D20B22">
        <w:rPr>
          <w:rFonts w:ascii="Verdana" w:hAnsi="Verdana"/>
          <w:sz w:val="18"/>
          <w:lang w:val="es-CR"/>
        </w:rPr>
        <w:t xml:space="preserve">, </w:t>
      </w:r>
      <w:proofErr w:type="spellStart"/>
      <w:r w:rsidRPr="00D20B22">
        <w:rPr>
          <w:rFonts w:ascii="Verdana" w:hAnsi="Verdana"/>
          <w:bCs/>
          <w:sz w:val="18"/>
          <w:lang w:val="es-CR"/>
        </w:rPr>
        <w:t>Yeicob</w:t>
      </w:r>
      <w:proofErr w:type="spellEnd"/>
      <w:r w:rsidRPr="00D20B22">
        <w:rPr>
          <w:rFonts w:ascii="Verdana" w:hAnsi="Verdana"/>
          <w:bCs/>
          <w:sz w:val="18"/>
          <w:lang w:val="es-CR"/>
        </w:rPr>
        <w:t xml:space="preserve"> </w:t>
      </w:r>
      <w:proofErr w:type="spellStart"/>
      <w:r w:rsidRPr="00D20B22">
        <w:rPr>
          <w:rFonts w:ascii="Verdana" w:hAnsi="Verdana"/>
          <w:bCs/>
          <w:sz w:val="18"/>
          <w:lang w:val="es-CR"/>
        </w:rPr>
        <w:t>Lautner</w:t>
      </w:r>
      <w:proofErr w:type="spellEnd"/>
      <w:r w:rsidRPr="00D20B22">
        <w:rPr>
          <w:rFonts w:ascii="Verdana" w:hAnsi="Verdana"/>
          <w:bCs/>
          <w:sz w:val="18"/>
          <w:lang w:val="es-CR"/>
        </w:rPr>
        <w:t xml:space="preserve"> Romero </w:t>
      </w:r>
      <w:r w:rsidR="003B7D36">
        <w:rPr>
          <w:rFonts w:ascii="Verdana" w:hAnsi="Verdana"/>
          <w:sz w:val="18"/>
          <w:lang w:val="es-CR"/>
        </w:rPr>
        <w:t>(sobrino de su esposo</w:t>
      </w:r>
      <w:r w:rsidRPr="00D20B22">
        <w:rPr>
          <w:rFonts w:ascii="Verdana" w:hAnsi="Verdana"/>
          <w:sz w:val="18"/>
          <w:lang w:val="es-CR"/>
        </w:rPr>
        <w:t xml:space="preserve">), </w:t>
      </w:r>
      <w:r w:rsidRPr="00D20B22">
        <w:rPr>
          <w:rFonts w:ascii="Verdana" w:hAnsi="Verdana"/>
          <w:bCs/>
          <w:sz w:val="18"/>
          <w:lang w:val="es-CR"/>
        </w:rPr>
        <w:t xml:space="preserve">Jineth Adriana Niño Colmenares </w:t>
      </w:r>
      <w:r w:rsidRPr="00D20B22">
        <w:rPr>
          <w:rFonts w:ascii="Verdana" w:hAnsi="Verdana"/>
          <w:sz w:val="18"/>
          <w:lang w:val="es-CR"/>
        </w:rPr>
        <w:t xml:space="preserve">(esposa de </w:t>
      </w:r>
      <w:proofErr w:type="spellStart"/>
      <w:r w:rsidRPr="00D20B22">
        <w:rPr>
          <w:rFonts w:ascii="Verdana" w:hAnsi="Verdana"/>
          <w:sz w:val="18"/>
          <w:lang w:val="es-CR"/>
        </w:rPr>
        <w:t>Yeicob</w:t>
      </w:r>
      <w:proofErr w:type="spellEnd"/>
      <w:r w:rsidRPr="00D20B22">
        <w:rPr>
          <w:rFonts w:ascii="Verdana" w:hAnsi="Verdana"/>
          <w:sz w:val="18"/>
          <w:lang w:val="es-CR"/>
        </w:rPr>
        <w:t xml:space="preserve"> </w:t>
      </w:r>
      <w:proofErr w:type="spellStart"/>
      <w:r w:rsidRPr="00D20B22">
        <w:rPr>
          <w:rFonts w:ascii="Verdana" w:hAnsi="Verdana"/>
          <w:sz w:val="18"/>
          <w:lang w:val="es-CR"/>
        </w:rPr>
        <w:t>Lautner</w:t>
      </w:r>
      <w:proofErr w:type="spellEnd"/>
      <w:r w:rsidRPr="00D20B22">
        <w:rPr>
          <w:rFonts w:ascii="Verdana" w:hAnsi="Verdana"/>
          <w:sz w:val="18"/>
          <w:lang w:val="es-CR"/>
        </w:rPr>
        <w:t xml:space="preserve">), </w:t>
      </w:r>
      <w:r w:rsidRPr="00D20B22">
        <w:rPr>
          <w:rFonts w:ascii="Verdana" w:hAnsi="Verdana"/>
          <w:bCs/>
          <w:sz w:val="18"/>
          <w:lang w:val="es-CR"/>
        </w:rPr>
        <w:t xml:space="preserve">Lucas </w:t>
      </w:r>
      <w:proofErr w:type="spellStart"/>
      <w:r w:rsidRPr="00D20B22">
        <w:rPr>
          <w:rFonts w:ascii="Verdana" w:hAnsi="Verdana"/>
          <w:bCs/>
          <w:sz w:val="18"/>
          <w:lang w:val="es-CR"/>
        </w:rPr>
        <w:t>Fabbiany</w:t>
      </w:r>
      <w:proofErr w:type="spellEnd"/>
      <w:r w:rsidRPr="00D20B22">
        <w:rPr>
          <w:rFonts w:ascii="Verdana" w:hAnsi="Verdana"/>
          <w:bCs/>
          <w:sz w:val="18"/>
          <w:lang w:val="es-CR"/>
        </w:rPr>
        <w:t xml:space="preserve"> Niño </w:t>
      </w:r>
      <w:r w:rsidR="003B7D36">
        <w:rPr>
          <w:rFonts w:ascii="Verdana" w:hAnsi="Verdana"/>
          <w:sz w:val="18"/>
          <w:lang w:val="es-CR"/>
        </w:rPr>
        <w:t>(</w:t>
      </w:r>
      <w:r w:rsidRPr="00D20B22">
        <w:rPr>
          <w:rFonts w:ascii="Verdana" w:hAnsi="Verdana"/>
          <w:sz w:val="18"/>
          <w:lang w:val="es-CR"/>
        </w:rPr>
        <w:t xml:space="preserve">hijo de </w:t>
      </w:r>
      <w:proofErr w:type="spellStart"/>
      <w:r w:rsidRPr="00D20B22">
        <w:rPr>
          <w:rFonts w:ascii="Verdana" w:hAnsi="Verdana"/>
          <w:sz w:val="18"/>
          <w:lang w:val="es-CR"/>
        </w:rPr>
        <w:t>Yeicob</w:t>
      </w:r>
      <w:proofErr w:type="spellEnd"/>
      <w:r w:rsidRPr="00D20B22">
        <w:rPr>
          <w:rFonts w:ascii="Verdana" w:hAnsi="Verdana"/>
          <w:sz w:val="18"/>
          <w:lang w:val="es-CR"/>
        </w:rPr>
        <w:t xml:space="preserve"> </w:t>
      </w:r>
      <w:proofErr w:type="spellStart"/>
      <w:r w:rsidRPr="00D20B22">
        <w:rPr>
          <w:rFonts w:ascii="Verdana" w:hAnsi="Verdana"/>
          <w:sz w:val="18"/>
          <w:lang w:val="es-CR"/>
        </w:rPr>
        <w:t>Lautner</w:t>
      </w:r>
      <w:proofErr w:type="spellEnd"/>
      <w:r w:rsidRPr="00D20B22">
        <w:rPr>
          <w:rFonts w:ascii="Verdana" w:hAnsi="Verdana"/>
          <w:sz w:val="18"/>
          <w:lang w:val="es-CR"/>
        </w:rPr>
        <w:t xml:space="preserve">), </w:t>
      </w:r>
      <w:r w:rsidRPr="00D20B22">
        <w:rPr>
          <w:rFonts w:ascii="Verdana" w:hAnsi="Verdana"/>
          <w:bCs/>
          <w:sz w:val="18"/>
          <w:lang w:val="es-CR"/>
        </w:rPr>
        <w:t xml:space="preserve">Emma Lucia </w:t>
      </w:r>
      <w:proofErr w:type="spellStart"/>
      <w:r w:rsidRPr="00D20B22">
        <w:rPr>
          <w:rFonts w:ascii="Verdana" w:hAnsi="Verdana"/>
          <w:bCs/>
          <w:sz w:val="18"/>
          <w:lang w:val="es-CR"/>
        </w:rPr>
        <w:t>Lautner</w:t>
      </w:r>
      <w:proofErr w:type="spellEnd"/>
      <w:r w:rsidRPr="00D20B22">
        <w:rPr>
          <w:rFonts w:ascii="Verdana" w:hAnsi="Verdana"/>
          <w:bCs/>
          <w:sz w:val="18"/>
          <w:lang w:val="es-CR"/>
        </w:rPr>
        <w:t xml:space="preserve"> Niño </w:t>
      </w:r>
      <w:r w:rsidR="003B7D36">
        <w:rPr>
          <w:rFonts w:ascii="Verdana" w:hAnsi="Verdana"/>
          <w:sz w:val="18"/>
          <w:lang w:val="es-CR"/>
        </w:rPr>
        <w:t>(</w:t>
      </w:r>
      <w:r w:rsidRPr="00D20B22">
        <w:rPr>
          <w:rFonts w:ascii="Verdana" w:hAnsi="Verdana"/>
          <w:sz w:val="18"/>
          <w:lang w:val="es-CR"/>
        </w:rPr>
        <w:t xml:space="preserve">hija de </w:t>
      </w:r>
      <w:proofErr w:type="spellStart"/>
      <w:r w:rsidRPr="00D20B22">
        <w:rPr>
          <w:rFonts w:ascii="Verdana" w:hAnsi="Verdana"/>
          <w:sz w:val="18"/>
          <w:lang w:val="es-CR"/>
        </w:rPr>
        <w:t>Yeicob</w:t>
      </w:r>
      <w:proofErr w:type="spellEnd"/>
      <w:r w:rsidRPr="00D20B22">
        <w:rPr>
          <w:rFonts w:ascii="Verdana" w:hAnsi="Verdana"/>
          <w:sz w:val="18"/>
          <w:lang w:val="es-CR"/>
        </w:rPr>
        <w:t xml:space="preserve"> </w:t>
      </w:r>
      <w:proofErr w:type="spellStart"/>
      <w:r w:rsidRPr="00D20B22">
        <w:rPr>
          <w:rFonts w:ascii="Verdana" w:hAnsi="Verdana"/>
          <w:sz w:val="18"/>
          <w:lang w:val="es-CR"/>
        </w:rPr>
        <w:t>Lautner</w:t>
      </w:r>
      <w:proofErr w:type="spellEnd"/>
      <w:r w:rsidRPr="00D20B22">
        <w:rPr>
          <w:rFonts w:ascii="Verdana" w:hAnsi="Verdana"/>
          <w:sz w:val="18"/>
          <w:lang w:val="es-CR"/>
        </w:rPr>
        <w:t>).</w:t>
      </w:r>
    </w:p>
    <w:p w14:paraId="2C6D0D8A" w14:textId="1C9E4BB0" w:rsidR="00B50F3E" w:rsidRPr="00D20B22" w:rsidRDefault="00B710F7" w:rsidP="00E05B5F">
      <w:pPr>
        <w:pStyle w:val="Prrafodelista"/>
        <w:numPr>
          <w:ilvl w:val="0"/>
          <w:numId w:val="27"/>
        </w:numPr>
        <w:spacing w:before="120" w:after="120"/>
        <w:ind w:left="714" w:right="17" w:hanging="357"/>
        <w:contextualSpacing w:val="0"/>
        <w:jc w:val="both"/>
        <w:rPr>
          <w:rFonts w:ascii="Verdana" w:eastAsia="MS Mincho" w:hAnsi="Verdana"/>
          <w:sz w:val="18"/>
        </w:rPr>
      </w:pPr>
      <w:r>
        <w:rPr>
          <w:rFonts w:ascii="Verdana" w:eastAsia="MS Mincho" w:hAnsi="Verdana"/>
          <w:sz w:val="18"/>
        </w:rPr>
        <w:t xml:space="preserve">El </w:t>
      </w:r>
      <w:r w:rsidR="00D20B22" w:rsidRPr="00D20B22">
        <w:rPr>
          <w:rFonts w:ascii="Verdana" w:eastAsia="MS Mincho" w:hAnsi="Verdana"/>
          <w:sz w:val="18"/>
          <w:lang w:val="es-CR"/>
        </w:rPr>
        <w:t xml:space="preserve">grupo familiar de la señora </w:t>
      </w:r>
      <w:proofErr w:type="spellStart"/>
      <w:r w:rsidR="00D20B22" w:rsidRPr="00D20B22">
        <w:rPr>
          <w:rFonts w:ascii="Verdana" w:eastAsia="MS Mincho" w:hAnsi="Verdana"/>
          <w:sz w:val="18"/>
          <w:lang w:val="es-CR"/>
        </w:rPr>
        <w:t>Shercy</w:t>
      </w:r>
      <w:proofErr w:type="spellEnd"/>
      <w:r w:rsidR="00D20B22" w:rsidRPr="00D20B22">
        <w:rPr>
          <w:rFonts w:ascii="Verdana" w:eastAsia="MS Mincho" w:hAnsi="Verdana"/>
          <w:sz w:val="18"/>
          <w:lang w:val="es-CR"/>
        </w:rPr>
        <w:t xml:space="preserve"> Pamela Romero Flórez, se conforma por</w:t>
      </w:r>
      <w:r w:rsidR="003B7D36">
        <w:rPr>
          <w:rFonts w:ascii="Verdana" w:eastAsia="MS Mincho" w:hAnsi="Verdana"/>
          <w:sz w:val="18"/>
          <w:lang w:val="es-CR"/>
        </w:rPr>
        <w:t xml:space="preserve"> la siguiente persona</w:t>
      </w:r>
      <w:r w:rsidR="00D20B22" w:rsidRPr="001D7CE0">
        <w:rPr>
          <w:rFonts w:ascii="Verdana" w:eastAsia="MS Mincho" w:hAnsi="Verdana"/>
          <w:sz w:val="18"/>
          <w:lang w:val="es-CR"/>
        </w:rPr>
        <w:t>:</w:t>
      </w:r>
      <w:r w:rsidR="00D20B22" w:rsidRPr="00D20B22">
        <w:rPr>
          <w:rFonts w:ascii="Verdana" w:eastAsia="MS Mincho" w:hAnsi="Verdana"/>
          <w:sz w:val="18"/>
        </w:rPr>
        <w:t xml:space="preserve"> </w:t>
      </w:r>
      <w:r w:rsidR="00D20B22" w:rsidRPr="00D20B22">
        <w:rPr>
          <w:rFonts w:ascii="Verdana" w:eastAsia="MS Mincho" w:hAnsi="Verdana"/>
          <w:bCs/>
          <w:sz w:val="18"/>
          <w:lang w:val="es-CR"/>
        </w:rPr>
        <w:t>Naum José Mirando Ortiz (pareja).</w:t>
      </w:r>
      <w:r w:rsidR="00564899" w:rsidRPr="00D20B22">
        <w:rPr>
          <w:rFonts w:ascii="Verdana" w:eastAsia="MS Mincho" w:hAnsi="Verdana"/>
          <w:sz w:val="18"/>
        </w:rPr>
        <w:t xml:space="preserve"> </w:t>
      </w:r>
    </w:p>
    <w:p w14:paraId="72B954B0" w14:textId="63EF49C4" w:rsidR="00D20B22" w:rsidRPr="00D20B22" w:rsidRDefault="006122BF" w:rsidP="00E05B5F">
      <w:pPr>
        <w:pStyle w:val="Prrafodelista"/>
        <w:numPr>
          <w:ilvl w:val="0"/>
          <w:numId w:val="27"/>
        </w:numPr>
        <w:spacing w:before="120" w:after="120"/>
        <w:ind w:left="714" w:right="17" w:hanging="357"/>
        <w:contextualSpacing w:val="0"/>
        <w:jc w:val="both"/>
        <w:rPr>
          <w:rFonts w:ascii="Verdana" w:eastAsia="MS Mincho" w:hAnsi="Verdana" w:cs="Arial"/>
          <w:bCs/>
          <w:sz w:val="18"/>
          <w:lang w:val="es-CR"/>
        </w:rPr>
      </w:pPr>
      <w:r w:rsidRPr="00D20B22">
        <w:rPr>
          <w:rFonts w:ascii="Verdana" w:eastAsia="MS Mincho" w:hAnsi="Verdana"/>
          <w:sz w:val="18"/>
        </w:rPr>
        <w:t xml:space="preserve">El </w:t>
      </w:r>
      <w:r w:rsidR="00D20B22" w:rsidRPr="00D20B22">
        <w:rPr>
          <w:rFonts w:ascii="Verdana" w:eastAsia="MS Mincho" w:hAnsi="Verdana"/>
          <w:sz w:val="18"/>
          <w:lang w:val="es-CR"/>
        </w:rPr>
        <w:t>grupo familiar de la señora Ingrith Johanna Romero Flórez, se conforma por</w:t>
      </w:r>
      <w:r w:rsidR="00D20B22" w:rsidRPr="001D7CE0">
        <w:rPr>
          <w:rFonts w:ascii="Verdana" w:eastAsia="MS Mincho" w:hAnsi="Verdana"/>
          <w:sz w:val="18"/>
          <w:lang w:val="es-CR"/>
        </w:rPr>
        <w:t xml:space="preserve"> las siguientes personas:</w:t>
      </w:r>
      <w:r w:rsidR="00D20B22" w:rsidRPr="00D20B22">
        <w:rPr>
          <w:rFonts w:ascii="Verdana" w:eastAsia="MS Mincho" w:hAnsi="Verdana" w:cs="Arial"/>
          <w:sz w:val="18"/>
        </w:rPr>
        <w:t xml:space="preserve"> </w:t>
      </w:r>
      <w:r w:rsidR="00D20B22" w:rsidRPr="00D20B22">
        <w:rPr>
          <w:rFonts w:ascii="Verdana" w:eastAsia="MS Mincho" w:hAnsi="Verdana" w:cs="Arial"/>
          <w:bCs/>
          <w:sz w:val="18"/>
          <w:lang w:val="es-CR"/>
        </w:rPr>
        <w:t xml:space="preserve">Roque Sanguino Cardona (esposo), Andrey </w:t>
      </w:r>
      <w:proofErr w:type="spellStart"/>
      <w:r w:rsidR="00D20B22" w:rsidRPr="00D20B22">
        <w:rPr>
          <w:rFonts w:ascii="Verdana" w:eastAsia="MS Mincho" w:hAnsi="Verdana" w:cs="Arial"/>
          <w:bCs/>
          <w:sz w:val="18"/>
          <w:lang w:val="es-CR"/>
        </w:rPr>
        <w:t>Giusseppe</w:t>
      </w:r>
      <w:proofErr w:type="spellEnd"/>
      <w:r w:rsidR="00D20B22" w:rsidRPr="00D20B22">
        <w:rPr>
          <w:rFonts w:ascii="Verdana" w:eastAsia="MS Mincho" w:hAnsi="Verdana" w:cs="Arial"/>
          <w:bCs/>
          <w:sz w:val="18"/>
          <w:lang w:val="es-CR"/>
        </w:rPr>
        <w:t xml:space="preserve"> Sanguino Cardona (hijo), Andy Steven Sanguino Romero </w:t>
      </w:r>
      <w:r w:rsidR="003B7D36">
        <w:rPr>
          <w:rFonts w:ascii="Verdana" w:eastAsia="MS Mincho" w:hAnsi="Verdana" w:cs="Arial"/>
          <w:sz w:val="18"/>
          <w:lang w:val="es-CR"/>
        </w:rPr>
        <w:t>(hijo</w:t>
      </w:r>
      <w:r w:rsidR="00D20B22" w:rsidRPr="00D20B22">
        <w:rPr>
          <w:rFonts w:ascii="Verdana" w:eastAsia="MS Mincho" w:hAnsi="Verdana" w:cs="Arial"/>
          <w:sz w:val="18"/>
          <w:lang w:val="es-CR"/>
        </w:rPr>
        <w:t>).</w:t>
      </w:r>
    </w:p>
    <w:p w14:paraId="4C1CA66A" w14:textId="1E77C7ED" w:rsidR="00D20B22" w:rsidRPr="00D20B22" w:rsidRDefault="00D20B22" w:rsidP="00E05B5F">
      <w:pPr>
        <w:pStyle w:val="Prrafodelista"/>
        <w:numPr>
          <w:ilvl w:val="0"/>
          <w:numId w:val="27"/>
        </w:numPr>
        <w:spacing w:before="120" w:after="120"/>
        <w:ind w:left="714" w:right="17" w:hanging="357"/>
        <w:contextualSpacing w:val="0"/>
        <w:jc w:val="both"/>
        <w:rPr>
          <w:rFonts w:ascii="Verdana" w:eastAsia="MS Mincho" w:hAnsi="Verdana" w:cs="Arial"/>
          <w:bCs/>
          <w:sz w:val="18"/>
          <w:lang w:val="es-CR"/>
        </w:rPr>
      </w:pPr>
      <w:r w:rsidRPr="00D20B22">
        <w:rPr>
          <w:rFonts w:ascii="Verdana" w:eastAsia="MS Mincho" w:hAnsi="Verdana"/>
          <w:sz w:val="18"/>
        </w:rPr>
        <w:t xml:space="preserve">El </w:t>
      </w:r>
      <w:r w:rsidRPr="00D20B22">
        <w:rPr>
          <w:rFonts w:ascii="Verdana" w:eastAsia="MS Mincho" w:hAnsi="Verdana"/>
          <w:sz w:val="18"/>
          <w:lang w:val="es-CR"/>
        </w:rPr>
        <w:t xml:space="preserve">grupo familiar de la señora </w:t>
      </w:r>
      <w:proofErr w:type="spellStart"/>
      <w:r w:rsidRPr="00D20B22">
        <w:rPr>
          <w:rFonts w:ascii="Verdana" w:eastAsia="MS Mincho" w:hAnsi="Verdana"/>
          <w:sz w:val="18"/>
          <w:lang w:val="es-CR"/>
        </w:rPr>
        <w:t>Ledy</w:t>
      </w:r>
      <w:proofErr w:type="spellEnd"/>
      <w:r w:rsidRPr="00D20B22">
        <w:rPr>
          <w:rFonts w:ascii="Verdana" w:eastAsia="MS Mincho" w:hAnsi="Verdana"/>
          <w:sz w:val="18"/>
          <w:lang w:val="es-CR"/>
        </w:rPr>
        <w:t xml:space="preserve"> Tatiana Romero Flórez, se conforma por</w:t>
      </w:r>
      <w:r w:rsidR="003B7D36">
        <w:rPr>
          <w:rFonts w:ascii="Verdana" w:eastAsia="MS Mincho" w:hAnsi="Verdana"/>
          <w:sz w:val="18"/>
          <w:lang w:val="es-CR"/>
        </w:rPr>
        <w:t xml:space="preserve"> la siguiente persona</w:t>
      </w:r>
      <w:r w:rsidRPr="001D7CE0">
        <w:rPr>
          <w:rFonts w:ascii="Verdana" w:eastAsia="MS Mincho" w:hAnsi="Verdana"/>
          <w:sz w:val="18"/>
          <w:lang w:val="es-CR"/>
        </w:rPr>
        <w:t>:</w:t>
      </w:r>
      <w:r w:rsidRPr="00D20B22">
        <w:rPr>
          <w:rFonts w:ascii="Verdana" w:eastAsia="MS Mincho" w:hAnsi="Verdana"/>
          <w:sz w:val="18"/>
        </w:rPr>
        <w:t xml:space="preserve"> </w:t>
      </w:r>
      <w:r w:rsidRPr="00D20B22">
        <w:rPr>
          <w:rFonts w:ascii="Verdana" w:eastAsia="MS Mincho" w:hAnsi="Verdana"/>
          <w:bCs/>
          <w:sz w:val="18"/>
          <w:lang w:val="es-CR"/>
        </w:rPr>
        <w:t xml:space="preserve">Amy Isabela Valencia Romero </w:t>
      </w:r>
      <w:r w:rsidR="003B7D36">
        <w:rPr>
          <w:rFonts w:ascii="Verdana" w:eastAsia="MS Mincho" w:hAnsi="Verdana"/>
          <w:sz w:val="18"/>
          <w:lang w:val="es-CR"/>
        </w:rPr>
        <w:t>(hija</w:t>
      </w:r>
      <w:r w:rsidRPr="00D20B22">
        <w:rPr>
          <w:rFonts w:ascii="Verdana" w:eastAsia="MS Mincho" w:hAnsi="Verdana"/>
          <w:sz w:val="18"/>
          <w:lang w:val="es-CR"/>
        </w:rPr>
        <w:t>).</w:t>
      </w:r>
    </w:p>
    <w:p w14:paraId="50515DCD" w14:textId="76F23DFC" w:rsidR="0061489D" w:rsidRPr="00D20B22" w:rsidRDefault="0061489D" w:rsidP="00E05B5F">
      <w:pPr>
        <w:pStyle w:val="Prrafodelista"/>
        <w:numPr>
          <w:ilvl w:val="0"/>
          <w:numId w:val="27"/>
        </w:numPr>
        <w:spacing w:before="120" w:after="120"/>
        <w:ind w:left="714" w:right="17" w:hanging="357"/>
        <w:contextualSpacing w:val="0"/>
        <w:jc w:val="both"/>
        <w:rPr>
          <w:rFonts w:ascii="Verdana" w:hAnsi="Verdana"/>
          <w:b/>
          <w:bCs/>
          <w:sz w:val="18"/>
          <w:lang w:val="es-CR"/>
        </w:rPr>
      </w:pPr>
      <w:r w:rsidRPr="00D20B22">
        <w:rPr>
          <w:rFonts w:ascii="Verdana" w:hAnsi="Verdana"/>
          <w:sz w:val="18"/>
        </w:rPr>
        <w:t xml:space="preserve">El </w:t>
      </w:r>
      <w:r w:rsidR="00D20B22" w:rsidRPr="00D20B22">
        <w:rPr>
          <w:rFonts w:ascii="Verdana" w:hAnsi="Verdana"/>
          <w:sz w:val="18"/>
          <w:lang w:val="es-CR"/>
        </w:rPr>
        <w:t xml:space="preserve">grupo familiar del señor </w:t>
      </w:r>
      <w:proofErr w:type="spellStart"/>
      <w:r w:rsidR="00D20B22" w:rsidRPr="00D20B22">
        <w:rPr>
          <w:rFonts w:ascii="Verdana" w:hAnsi="Verdana"/>
          <w:sz w:val="18"/>
          <w:lang w:val="es-CR"/>
        </w:rPr>
        <w:t>Maichol</w:t>
      </w:r>
      <w:proofErr w:type="spellEnd"/>
      <w:r w:rsidR="00D20B22" w:rsidRPr="00D20B22">
        <w:rPr>
          <w:rFonts w:ascii="Verdana" w:hAnsi="Verdana"/>
          <w:sz w:val="18"/>
          <w:lang w:val="es-CR"/>
        </w:rPr>
        <w:t xml:space="preserve"> </w:t>
      </w:r>
      <w:proofErr w:type="spellStart"/>
      <w:r w:rsidR="00D20B22" w:rsidRPr="00D20B22">
        <w:rPr>
          <w:rFonts w:ascii="Verdana" w:hAnsi="Verdana"/>
          <w:sz w:val="18"/>
          <w:lang w:val="es-CR"/>
        </w:rPr>
        <w:t>Edilio</w:t>
      </w:r>
      <w:proofErr w:type="spellEnd"/>
      <w:r w:rsidR="00D20B22" w:rsidRPr="00D20B22">
        <w:rPr>
          <w:rFonts w:ascii="Verdana" w:hAnsi="Verdana"/>
          <w:sz w:val="18"/>
          <w:lang w:val="es-CR"/>
        </w:rPr>
        <w:t xml:space="preserve"> Romero Flórez, se conforma por</w:t>
      </w:r>
      <w:r w:rsidR="00D20B22" w:rsidRPr="001D7CE0">
        <w:rPr>
          <w:rFonts w:ascii="Verdana" w:hAnsi="Verdana"/>
          <w:sz w:val="18"/>
          <w:lang w:val="es-CR"/>
        </w:rPr>
        <w:t xml:space="preserve"> las siguientes personas:</w:t>
      </w:r>
      <w:r w:rsidR="00D20B22" w:rsidRPr="00D20B22">
        <w:rPr>
          <w:rFonts w:ascii="Verdana" w:hAnsi="Verdana"/>
          <w:sz w:val="18"/>
        </w:rPr>
        <w:t xml:space="preserve"> </w:t>
      </w:r>
      <w:r w:rsidR="00D20B22" w:rsidRPr="00D20B22">
        <w:rPr>
          <w:rFonts w:ascii="Verdana" w:hAnsi="Verdana"/>
          <w:bCs/>
          <w:sz w:val="18"/>
          <w:lang w:val="es-CR"/>
        </w:rPr>
        <w:t>María Fernanda Contreras Lindarte (pareja), Karen Francisca Cárdenas Rojas (</w:t>
      </w:r>
      <w:r w:rsidR="00D20B22" w:rsidRPr="00D20B22">
        <w:rPr>
          <w:rFonts w:ascii="Verdana" w:hAnsi="Verdana"/>
          <w:sz w:val="18"/>
          <w:lang w:val="es-CR"/>
        </w:rPr>
        <w:t>prima de su p</w:t>
      </w:r>
      <w:r w:rsidR="00F57D70">
        <w:rPr>
          <w:rFonts w:ascii="Verdana" w:hAnsi="Verdana"/>
          <w:sz w:val="18"/>
          <w:lang w:val="es-CR"/>
        </w:rPr>
        <w:t>areja)</w:t>
      </w:r>
      <w:r w:rsidR="00D20B22" w:rsidRPr="00D20B22">
        <w:rPr>
          <w:rFonts w:ascii="Verdana" w:hAnsi="Verdana"/>
          <w:sz w:val="18"/>
          <w:lang w:val="es-CR"/>
        </w:rPr>
        <w:t xml:space="preserve">, </w:t>
      </w:r>
      <w:r w:rsidR="00D20B22" w:rsidRPr="00D20B22">
        <w:rPr>
          <w:rFonts w:ascii="Verdana" w:hAnsi="Verdana"/>
          <w:bCs/>
          <w:sz w:val="18"/>
          <w:lang w:val="es-CR"/>
        </w:rPr>
        <w:t xml:space="preserve">Valentino Romero Contreras </w:t>
      </w:r>
      <w:r w:rsidR="00F57D70">
        <w:rPr>
          <w:rFonts w:ascii="Verdana" w:hAnsi="Verdana"/>
          <w:sz w:val="18"/>
          <w:lang w:val="es-CR"/>
        </w:rPr>
        <w:t>(hijo</w:t>
      </w:r>
      <w:r w:rsidR="00D20B22" w:rsidRPr="00D20B22">
        <w:rPr>
          <w:rFonts w:ascii="Verdana" w:hAnsi="Verdana"/>
          <w:sz w:val="18"/>
          <w:lang w:val="es-CR"/>
        </w:rPr>
        <w:t xml:space="preserve">), </w:t>
      </w:r>
      <w:r w:rsidR="00D20B22" w:rsidRPr="00D20B22">
        <w:rPr>
          <w:rFonts w:ascii="Verdana" w:hAnsi="Verdana"/>
          <w:bCs/>
          <w:sz w:val="18"/>
          <w:lang w:val="es-CR"/>
        </w:rPr>
        <w:t xml:space="preserve">Salomón Romero Contreras </w:t>
      </w:r>
      <w:r w:rsidR="00F57D70">
        <w:rPr>
          <w:rFonts w:ascii="Verdana" w:hAnsi="Verdana"/>
          <w:sz w:val="18"/>
          <w:lang w:val="es-CR"/>
        </w:rPr>
        <w:t>(hijo</w:t>
      </w:r>
      <w:r w:rsidR="00D20B22" w:rsidRPr="00D20B22">
        <w:rPr>
          <w:rFonts w:ascii="Verdana" w:hAnsi="Verdana"/>
          <w:sz w:val="18"/>
          <w:lang w:val="es-CR"/>
        </w:rPr>
        <w:t>).</w:t>
      </w:r>
    </w:p>
    <w:p w14:paraId="33C26A3C" w14:textId="187381B0" w:rsidR="00D20B22" w:rsidRPr="00D20B22" w:rsidRDefault="00D20B22" w:rsidP="00E05B5F">
      <w:pPr>
        <w:pStyle w:val="Prrafodelista"/>
        <w:numPr>
          <w:ilvl w:val="0"/>
          <w:numId w:val="27"/>
        </w:numPr>
        <w:spacing w:before="120" w:after="120"/>
        <w:ind w:left="714" w:right="17" w:hanging="357"/>
        <w:contextualSpacing w:val="0"/>
        <w:jc w:val="both"/>
        <w:rPr>
          <w:rFonts w:ascii="Verdana" w:eastAsia="MS Mincho" w:hAnsi="Verdana"/>
          <w:bCs/>
          <w:sz w:val="18"/>
          <w:lang w:val="es-CR"/>
        </w:rPr>
      </w:pPr>
      <w:r w:rsidRPr="00D20B22">
        <w:rPr>
          <w:rFonts w:ascii="Verdana" w:eastAsia="MS Mincho" w:hAnsi="Verdana"/>
          <w:sz w:val="18"/>
        </w:rPr>
        <w:t xml:space="preserve">El </w:t>
      </w:r>
      <w:r w:rsidRPr="00D20B22">
        <w:rPr>
          <w:rFonts w:ascii="Verdana" w:eastAsia="MS Mincho" w:hAnsi="Verdana"/>
          <w:sz w:val="18"/>
          <w:lang w:val="es-CR"/>
        </w:rPr>
        <w:t>grupo familiar de la señora Geraldine Romero Flórez, se conforma por</w:t>
      </w:r>
      <w:r w:rsidRPr="001D7CE0">
        <w:rPr>
          <w:rFonts w:ascii="Verdana" w:eastAsia="MS Mincho" w:hAnsi="Verdana"/>
          <w:sz w:val="18"/>
          <w:lang w:val="es-CR"/>
        </w:rPr>
        <w:t xml:space="preserve"> las siguientes personas: </w:t>
      </w:r>
      <w:r w:rsidRPr="00D20B22">
        <w:rPr>
          <w:rFonts w:ascii="Verdana" w:eastAsia="MS Mincho" w:hAnsi="Verdana"/>
          <w:bCs/>
          <w:sz w:val="18"/>
          <w:lang w:val="es-CR"/>
        </w:rPr>
        <w:t xml:space="preserve">Sergio Giovanni Rojas Landinez (pareja), Mariana Alessandra Rojas Romero </w:t>
      </w:r>
      <w:r w:rsidR="00F57D70">
        <w:rPr>
          <w:rFonts w:ascii="Verdana" w:eastAsia="MS Mincho" w:hAnsi="Verdana"/>
          <w:sz w:val="18"/>
          <w:lang w:val="es-CR"/>
        </w:rPr>
        <w:t>(hija</w:t>
      </w:r>
      <w:r w:rsidRPr="00D20B22">
        <w:rPr>
          <w:rFonts w:ascii="Verdana" w:eastAsia="MS Mincho" w:hAnsi="Verdana"/>
          <w:sz w:val="18"/>
          <w:lang w:val="es-CR"/>
        </w:rPr>
        <w:t>).</w:t>
      </w:r>
    </w:p>
    <w:p w14:paraId="4254E471" w14:textId="6C3C4DC5" w:rsidR="00BE6179" w:rsidRPr="00B0044E" w:rsidRDefault="00B710F7" w:rsidP="00E05B5F">
      <w:pPr>
        <w:numPr>
          <w:ilvl w:val="0"/>
          <w:numId w:val="9"/>
        </w:numPr>
        <w:tabs>
          <w:tab w:val="left" w:pos="0"/>
        </w:tabs>
        <w:spacing w:before="120" w:after="120" w:line="240" w:lineRule="auto"/>
        <w:ind w:left="0" w:right="18" w:firstLine="0"/>
        <w:jc w:val="both"/>
        <w:rPr>
          <w:rFonts w:ascii="Verdana" w:eastAsia="MS Mincho" w:hAnsi="Verdana"/>
          <w:sz w:val="20"/>
          <w:szCs w:val="20"/>
          <w:lang w:val="es-CR"/>
        </w:rPr>
      </w:pPr>
      <w:r w:rsidRPr="00B0044E">
        <w:rPr>
          <w:rFonts w:ascii="Verdana" w:eastAsia="MS Mincho" w:hAnsi="Verdana"/>
          <w:sz w:val="20"/>
          <w:szCs w:val="20"/>
          <w:lang w:val="es-CR"/>
        </w:rPr>
        <w:t xml:space="preserve">El </w:t>
      </w:r>
      <w:r w:rsidR="00B0044E" w:rsidRPr="00B0044E">
        <w:rPr>
          <w:rFonts w:ascii="Verdana" w:eastAsia="MS Mincho" w:hAnsi="Verdana"/>
          <w:sz w:val="20"/>
          <w:szCs w:val="20"/>
          <w:lang w:val="es-CR"/>
        </w:rPr>
        <w:t xml:space="preserve">22 de abril de 2020, </w:t>
      </w:r>
      <w:r w:rsidR="00E67241">
        <w:rPr>
          <w:rFonts w:ascii="Verdana" w:eastAsia="MS Mincho" w:hAnsi="Verdana"/>
          <w:sz w:val="20"/>
          <w:szCs w:val="20"/>
          <w:lang w:val="es-CR"/>
        </w:rPr>
        <w:t xml:space="preserve">el </w:t>
      </w:r>
      <w:r w:rsidRPr="00E05B5F">
        <w:rPr>
          <w:rFonts w:ascii="Verdana" w:eastAsia="MS Mincho" w:hAnsi="Verdana"/>
          <w:sz w:val="20"/>
          <w:szCs w:val="20"/>
          <w:lang w:val="es-CR"/>
        </w:rPr>
        <w:t xml:space="preserve">Estado </w:t>
      </w:r>
      <w:r w:rsidR="00754EF5" w:rsidRPr="00B0044E">
        <w:rPr>
          <w:rFonts w:ascii="Verdana" w:eastAsia="MS Mincho" w:hAnsi="Verdana"/>
          <w:sz w:val="20"/>
          <w:szCs w:val="20"/>
          <w:lang w:val="es-CR"/>
        </w:rPr>
        <w:t>indicó que</w:t>
      </w:r>
      <w:r w:rsidR="0015787D" w:rsidRPr="00B0044E">
        <w:rPr>
          <w:rFonts w:ascii="Verdana" w:eastAsia="MS Mincho" w:hAnsi="Verdana"/>
          <w:sz w:val="20"/>
          <w:szCs w:val="20"/>
          <w:lang w:val="es-CR"/>
        </w:rPr>
        <w:t xml:space="preserve"> había </w:t>
      </w:r>
      <w:r w:rsidR="0095368C" w:rsidRPr="00B0044E">
        <w:rPr>
          <w:rFonts w:ascii="Verdana" w:eastAsia="MS Mincho" w:hAnsi="Verdana"/>
          <w:sz w:val="20"/>
          <w:szCs w:val="20"/>
          <w:lang w:val="es-CR"/>
        </w:rPr>
        <w:t>comunicado</w:t>
      </w:r>
      <w:r w:rsidR="0015787D" w:rsidRPr="00B0044E">
        <w:rPr>
          <w:rFonts w:ascii="Verdana" w:eastAsia="MS Mincho" w:hAnsi="Verdana"/>
          <w:sz w:val="20"/>
          <w:szCs w:val="20"/>
          <w:lang w:val="es-CR"/>
        </w:rPr>
        <w:t xml:space="preserve"> la resolución de medidas provisionales a la Fiscalía General de la Nación, Ministerio de Defensa Nacional y la Unidad Nacional de Protección, y que, </w:t>
      </w:r>
      <w:r w:rsidR="00B0044E" w:rsidRPr="00B0044E">
        <w:rPr>
          <w:rFonts w:ascii="Verdana" w:eastAsia="MS Mincho" w:hAnsi="Verdana"/>
          <w:sz w:val="20"/>
          <w:szCs w:val="20"/>
          <w:lang w:val="es-CR"/>
        </w:rPr>
        <w:t>a esa fecha</w:t>
      </w:r>
      <w:r w:rsidR="0015787D" w:rsidRPr="00B0044E">
        <w:rPr>
          <w:rFonts w:ascii="Verdana" w:eastAsia="MS Mincho" w:hAnsi="Verdana"/>
          <w:sz w:val="20"/>
          <w:szCs w:val="20"/>
          <w:lang w:val="es-CR"/>
        </w:rPr>
        <w:t>, los peticionarios no habían remitido la información relevante para dar inicio al proceso de concertación</w:t>
      </w:r>
      <w:r w:rsidR="00B0044E" w:rsidRPr="00B0044E">
        <w:rPr>
          <w:rFonts w:ascii="Verdana" w:eastAsia="MS Mincho" w:hAnsi="Verdana"/>
          <w:sz w:val="20"/>
          <w:szCs w:val="20"/>
          <w:lang w:val="es-CR"/>
        </w:rPr>
        <w:t>, a saber</w:t>
      </w:r>
      <w:r w:rsidR="005A7AC2">
        <w:rPr>
          <w:rFonts w:ascii="Verdana" w:eastAsia="MS Mincho" w:hAnsi="Verdana"/>
          <w:sz w:val="20"/>
          <w:szCs w:val="20"/>
          <w:lang w:val="es-CR"/>
        </w:rPr>
        <w:t>,</w:t>
      </w:r>
      <w:r w:rsidR="00B0044E" w:rsidRPr="00B0044E">
        <w:rPr>
          <w:rFonts w:ascii="Verdana" w:eastAsia="MS Mincho" w:hAnsi="Verdana"/>
          <w:sz w:val="20"/>
          <w:szCs w:val="20"/>
          <w:lang w:val="es-CR"/>
        </w:rPr>
        <w:t xml:space="preserve"> la relativa a la identificación y contacto de las personas beneficiarias, así como también la propuesta de </w:t>
      </w:r>
      <w:r w:rsidR="00A7575D">
        <w:rPr>
          <w:rFonts w:ascii="Verdana" w:eastAsia="MS Mincho" w:hAnsi="Verdana"/>
          <w:sz w:val="20"/>
          <w:szCs w:val="20"/>
          <w:lang w:val="es-CR"/>
        </w:rPr>
        <w:t>l</w:t>
      </w:r>
      <w:r w:rsidR="00B0044E" w:rsidRPr="00B0044E">
        <w:rPr>
          <w:rFonts w:ascii="Verdana" w:eastAsia="MS Mincho" w:hAnsi="Verdana"/>
          <w:sz w:val="20"/>
          <w:szCs w:val="20"/>
          <w:lang w:val="es-CR"/>
        </w:rPr>
        <w:t>a</w:t>
      </w:r>
      <w:r w:rsidR="00A7575D">
        <w:rPr>
          <w:rFonts w:ascii="Verdana" w:eastAsia="MS Mincho" w:hAnsi="Verdana"/>
          <w:sz w:val="20"/>
          <w:szCs w:val="20"/>
          <w:lang w:val="es-CR"/>
        </w:rPr>
        <w:t>s medidas que debían</w:t>
      </w:r>
      <w:r w:rsidR="00B0044E" w:rsidRPr="00B0044E">
        <w:rPr>
          <w:rFonts w:ascii="Verdana" w:eastAsia="MS Mincho" w:hAnsi="Verdana"/>
          <w:sz w:val="20"/>
          <w:szCs w:val="20"/>
          <w:lang w:val="es-CR"/>
        </w:rPr>
        <w:t xml:space="preserve"> implementarse, con el fin de ponerla en consideración de las entidades que correspondan al caso, conforme al ordenamiento jurídico interno y</w:t>
      </w:r>
      <w:r w:rsidR="00B0044E">
        <w:rPr>
          <w:rFonts w:ascii="Verdana" w:eastAsia="MS Mincho" w:hAnsi="Verdana"/>
          <w:sz w:val="20"/>
          <w:szCs w:val="20"/>
          <w:lang w:val="es-CR"/>
        </w:rPr>
        <w:t xml:space="preserve"> </w:t>
      </w:r>
      <w:r w:rsidR="00B0044E" w:rsidRPr="00B0044E">
        <w:rPr>
          <w:rFonts w:ascii="Verdana" w:eastAsia="MS Mincho" w:hAnsi="Verdana"/>
          <w:sz w:val="20"/>
          <w:szCs w:val="20"/>
          <w:lang w:val="es-CR"/>
        </w:rPr>
        <w:t>dentro del marco de las competencias de cada autoridad estatal</w:t>
      </w:r>
      <w:r w:rsidR="0015787D" w:rsidRPr="00B0044E">
        <w:rPr>
          <w:rFonts w:ascii="Verdana" w:eastAsia="MS Mincho" w:hAnsi="Verdana"/>
          <w:sz w:val="20"/>
          <w:szCs w:val="20"/>
          <w:lang w:val="es-CR"/>
        </w:rPr>
        <w:t>.</w:t>
      </w:r>
      <w:r w:rsidR="00B0044E">
        <w:rPr>
          <w:rFonts w:ascii="Verdana" w:eastAsia="MS Mincho" w:hAnsi="Verdana"/>
          <w:sz w:val="20"/>
          <w:szCs w:val="20"/>
          <w:lang w:val="es-CR"/>
        </w:rPr>
        <w:t xml:space="preserve"> A su vez, el Estado mencionó que </w:t>
      </w:r>
      <w:r w:rsidR="003829AF">
        <w:rPr>
          <w:rFonts w:ascii="Verdana" w:eastAsia="MS Mincho" w:hAnsi="Verdana"/>
          <w:sz w:val="20"/>
          <w:szCs w:val="20"/>
          <w:lang w:val="es-CR"/>
        </w:rPr>
        <w:t>los representantes le habían informado mediante nota de 11 de abril de 2020, que se encontraban en la recolección de la información requerida y que la misma ser</w:t>
      </w:r>
      <w:r w:rsidR="006160AD">
        <w:rPr>
          <w:rFonts w:ascii="Verdana" w:eastAsia="MS Mincho" w:hAnsi="Verdana"/>
          <w:sz w:val="20"/>
          <w:szCs w:val="20"/>
          <w:lang w:val="es-CR"/>
        </w:rPr>
        <w:t>ía</w:t>
      </w:r>
      <w:r w:rsidR="003829AF">
        <w:rPr>
          <w:rFonts w:ascii="Verdana" w:eastAsia="MS Mincho" w:hAnsi="Verdana"/>
          <w:sz w:val="20"/>
          <w:szCs w:val="20"/>
          <w:lang w:val="es-CR"/>
        </w:rPr>
        <w:t xml:space="preserve"> enviada a la brevedad posible</w:t>
      </w:r>
      <w:r w:rsidR="007F5DC1">
        <w:rPr>
          <w:rFonts w:ascii="Verdana" w:eastAsia="MS Mincho" w:hAnsi="Verdana"/>
          <w:sz w:val="20"/>
          <w:szCs w:val="20"/>
          <w:lang w:val="es-CR"/>
        </w:rPr>
        <w:t>.</w:t>
      </w:r>
    </w:p>
    <w:p w14:paraId="446EF149" w14:textId="5A71A138" w:rsidR="001F436B" w:rsidRDefault="008F774D" w:rsidP="00E05B5F">
      <w:pPr>
        <w:numPr>
          <w:ilvl w:val="0"/>
          <w:numId w:val="9"/>
        </w:numPr>
        <w:tabs>
          <w:tab w:val="left" w:pos="0"/>
        </w:tabs>
        <w:spacing w:before="120" w:after="120" w:line="240" w:lineRule="auto"/>
        <w:ind w:left="0" w:right="18" w:firstLine="0"/>
        <w:jc w:val="both"/>
        <w:rPr>
          <w:rFonts w:ascii="Verdana" w:eastAsia="MS Mincho" w:hAnsi="Verdana"/>
          <w:sz w:val="20"/>
          <w:szCs w:val="20"/>
          <w:lang w:val="es-CR"/>
        </w:rPr>
      </w:pPr>
      <w:r w:rsidRPr="001F436B">
        <w:rPr>
          <w:rFonts w:ascii="Verdana" w:eastAsia="MS Mincho" w:hAnsi="Verdana"/>
          <w:sz w:val="20"/>
          <w:szCs w:val="20"/>
          <w:lang w:val="es-CR"/>
        </w:rPr>
        <w:t>Los representantes indicaron que e</w:t>
      </w:r>
      <w:r w:rsidR="003829AF" w:rsidRPr="001F436B">
        <w:rPr>
          <w:rFonts w:ascii="Verdana" w:eastAsia="MS Mincho" w:hAnsi="Verdana"/>
          <w:sz w:val="20"/>
          <w:szCs w:val="20"/>
          <w:lang w:val="es-CR"/>
        </w:rPr>
        <w:t>l 1 de mayo de 2020</w:t>
      </w:r>
      <w:r w:rsidR="0015787D" w:rsidRPr="001F436B">
        <w:rPr>
          <w:rFonts w:ascii="Verdana" w:eastAsia="MS Mincho" w:hAnsi="Verdana"/>
          <w:i/>
          <w:sz w:val="20"/>
          <w:szCs w:val="20"/>
          <w:lang w:val="es-CR"/>
        </w:rPr>
        <w:t xml:space="preserve"> </w:t>
      </w:r>
      <w:r w:rsidR="0015787D" w:rsidRPr="001F436B">
        <w:rPr>
          <w:rFonts w:ascii="Verdana" w:eastAsia="MS Mincho" w:hAnsi="Verdana"/>
          <w:sz w:val="20"/>
          <w:szCs w:val="20"/>
          <w:lang w:val="es-CR"/>
        </w:rPr>
        <w:t xml:space="preserve">remitieron </w:t>
      </w:r>
      <w:r w:rsidR="003829AF" w:rsidRPr="001F436B">
        <w:rPr>
          <w:rFonts w:ascii="Verdana" w:eastAsia="MS Mincho" w:hAnsi="Verdana"/>
          <w:sz w:val="20"/>
          <w:szCs w:val="20"/>
          <w:lang w:val="es-CR"/>
        </w:rPr>
        <w:t xml:space="preserve">un </w:t>
      </w:r>
      <w:r w:rsidR="0015787D" w:rsidRPr="001F436B">
        <w:rPr>
          <w:rFonts w:ascii="Verdana" w:eastAsia="MS Mincho" w:hAnsi="Verdana"/>
          <w:sz w:val="20"/>
          <w:szCs w:val="20"/>
          <w:lang w:val="es-CR"/>
        </w:rPr>
        <w:t>escrito dirigido al Estado en el que proporcionaron las identificaciones de las personas beneficiarias e informaron que</w:t>
      </w:r>
      <w:r w:rsidR="006160AD">
        <w:rPr>
          <w:rFonts w:ascii="Verdana" w:eastAsia="MS Mincho" w:hAnsi="Verdana"/>
          <w:sz w:val="20"/>
          <w:szCs w:val="20"/>
          <w:lang w:val="es-CR"/>
        </w:rPr>
        <w:t>,</w:t>
      </w:r>
      <w:r w:rsidR="0015787D" w:rsidRPr="001F436B">
        <w:rPr>
          <w:rFonts w:ascii="Verdana" w:eastAsia="MS Mincho" w:hAnsi="Verdana"/>
          <w:sz w:val="20"/>
          <w:szCs w:val="20"/>
          <w:lang w:val="es-CR"/>
        </w:rPr>
        <w:t xml:space="preserve"> tomando en cuenta el tipo de riesgo al que se enfrentan las personas beneficiarias, su voluntad era contar con un esquema de protección a través de la Unidad Nacional de Protección (UNP)</w:t>
      </w:r>
      <w:r w:rsidR="001D7CE0" w:rsidRPr="001F436B">
        <w:rPr>
          <w:rFonts w:ascii="Verdana" w:eastAsia="MS Mincho" w:hAnsi="Verdana"/>
          <w:sz w:val="20"/>
          <w:szCs w:val="20"/>
          <w:lang w:val="es-CR"/>
        </w:rPr>
        <w:t xml:space="preserve"> y </w:t>
      </w:r>
      <w:r w:rsidR="00F57D70" w:rsidRPr="001F436B">
        <w:rPr>
          <w:rFonts w:ascii="Verdana" w:eastAsia="MS Mincho" w:hAnsi="Verdana"/>
          <w:sz w:val="20"/>
          <w:szCs w:val="20"/>
          <w:lang w:val="es-CR"/>
        </w:rPr>
        <w:t xml:space="preserve">sumado a </w:t>
      </w:r>
      <w:r w:rsidR="001D7CE0" w:rsidRPr="001F436B">
        <w:rPr>
          <w:rFonts w:ascii="Verdana" w:eastAsia="MS Mincho" w:hAnsi="Verdana"/>
          <w:sz w:val="20"/>
          <w:szCs w:val="20"/>
          <w:lang w:val="es-CR"/>
        </w:rPr>
        <w:t xml:space="preserve">que la </w:t>
      </w:r>
      <w:r w:rsidR="0095368C" w:rsidRPr="001F436B">
        <w:rPr>
          <w:rFonts w:ascii="Verdana" w:eastAsia="MS Mincho" w:hAnsi="Verdana"/>
          <w:sz w:val="20"/>
          <w:szCs w:val="20"/>
          <w:lang w:val="es-CR"/>
        </w:rPr>
        <w:t xml:space="preserve">Presidenta </w:t>
      </w:r>
      <w:r w:rsidR="007453DF" w:rsidRPr="001F436B">
        <w:rPr>
          <w:rFonts w:ascii="Verdana" w:eastAsia="MS Mincho" w:hAnsi="Verdana"/>
          <w:sz w:val="20"/>
          <w:szCs w:val="20"/>
          <w:lang w:val="es-CR"/>
        </w:rPr>
        <w:t>resolvió ampliar las medidas provisionales a seis núcleos familiares, se debía contar con seis esquemas de protección, es decir, uno para cada grupo familiar</w:t>
      </w:r>
      <w:r w:rsidR="007453DF">
        <w:rPr>
          <w:rStyle w:val="Refdenotaalpie"/>
          <w:rFonts w:ascii="Verdana" w:eastAsia="MS Mincho" w:hAnsi="Verdana"/>
          <w:sz w:val="20"/>
          <w:szCs w:val="20"/>
          <w:lang w:val="es-CR"/>
        </w:rPr>
        <w:footnoteReference w:id="3"/>
      </w:r>
      <w:r w:rsidR="0095368C" w:rsidRPr="001F436B">
        <w:rPr>
          <w:rFonts w:ascii="Verdana" w:eastAsia="MS Mincho" w:hAnsi="Verdana"/>
          <w:sz w:val="20"/>
          <w:szCs w:val="20"/>
          <w:lang w:val="es-CR"/>
        </w:rPr>
        <w:t>.</w:t>
      </w:r>
      <w:r w:rsidR="007453DF" w:rsidRPr="001F436B">
        <w:rPr>
          <w:rFonts w:ascii="Verdana" w:eastAsia="MS Mincho" w:hAnsi="Verdana"/>
          <w:sz w:val="20"/>
          <w:szCs w:val="20"/>
          <w:lang w:val="es-CR"/>
        </w:rPr>
        <w:t xml:space="preserve"> Adicionalmente, </w:t>
      </w:r>
      <w:r w:rsidRPr="001F436B">
        <w:rPr>
          <w:rFonts w:ascii="Verdana" w:eastAsia="MS Mincho" w:hAnsi="Verdana"/>
          <w:sz w:val="20"/>
          <w:szCs w:val="20"/>
          <w:lang w:val="es-CR"/>
        </w:rPr>
        <w:t xml:space="preserve">con el objetivo de valorar y dar </w:t>
      </w:r>
      <w:r w:rsidRPr="001F436B">
        <w:rPr>
          <w:rFonts w:ascii="Verdana" w:eastAsia="MS Mincho" w:hAnsi="Verdana"/>
          <w:sz w:val="20"/>
          <w:szCs w:val="20"/>
          <w:lang w:val="es-CR"/>
        </w:rPr>
        <w:lastRenderedPageBreak/>
        <w:t xml:space="preserve">seguimiento a la implementación de las medidas, </w:t>
      </w:r>
      <w:r w:rsidR="007453DF" w:rsidRPr="001F436B">
        <w:rPr>
          <w:rFonts w:ascii="Verdana" w:eastAsia="MS Mincho" w:hAnsi="Verdana"/>
          <w:sz w:val="20"/>
          <w:szCs w:val="20"/>
          <w:lang w:val="es-CR"/>
        </w:rPr>
        <w:t xml:space="preserve">solicitaron la realización de reuniones mensuales con las autoridades locales y anuales con las autoridades nacionales. </w:t>
      </w:r>
    </w:p>
    <w:p w14:paraId="538173E1" w14:textId="19B0E38A" w:rsidR="0015787D" w:rsidRPr="001F436B" w:rsidRDefault="007453DF" w:rsidP="00E05B5F">
      <w:pPr>
        <w:numPr>
          <w:ilvl w:val="0"/>
          <w:numId w:val="9"/>
        </w:numPr>
        <w:tabs>
          <w:tab w:val="left" w:pos="0"/>
        </w:tabs>
        <w:spacing w:before="120" w:after="120" w:line="240" w:lineRule="auto"/>
        <w:ind w:left="0" w:right="18" w:firstLine="0"/>
        <w:jc w:val="both"/>
        <w:rPr>
          <w:rFonts w:ascii="Verdana" w:eastAsia="MS Mincho" w:hAnsi="Verdana"/>
          <w:sz w:val="20"/>
          <w:szCs w:val="20"/>
          <w:lang w:val="es-CR"/>
        </w:rPr>
      </w:pPr>
      <w:r w:rsidRPr="001F436B">
        <w:rPr>
          <w:rFonts w:ascii="Verdana" w:eastAsia="MS Mincho" w:hAnsi="Verdana"/>
          <w:sz w:val="20"/>
          <w:szCs w:val="20"/>
          <w:lang w:val="es-CR"/>
        </w:rPr>
        <w:t xml:space="preserve">Finalmente, </w:t>
      </w:r>
      <w:r w:rsidR="001F436B" w:rsidRPr="001F436B">
        <w:rPr>
          <w:rFonts w:ascii="Verdana" w:eastAsia="MS Mincho" w:hAnsi="Verdana"/>
          <w:sz w:val="20"/>
          <w:szCs w:val="20"/>
          <w:lang w:val="es-CR"/>
        </w:rPr>
        <w:t xml:space="preserve">los representantes </w:t>
      </w:r>
      <w:r w:rsidRPr="001F436B">
        <w:rPr>
          <w:rFonts w:ascii="Verdana" w:eastAsia="MS Mincho" w:hAnsi="Verdana"/>
          <w:sz w:val="20"/>
          <w:szCs w:val="20"/>
          <w:lang w:val="es-CR"/>
        </w:rPr>
        <w:t>señalaron que</w:t>
      </w:r>
      <w:r w:rsidR="006160AD">
        <w:rPr>
          <w:rFonts w:ascii="Verdana" w:eastAsia="MS Mincho" w:hAnsi="Verdana"/>
          <w:sz w:val="20"/>
          <w:szCs w:val="20"/>
          <w:lang w:val="es-CR"/>
        </w:rPr>
        <w:t>,</w:t>
      </w:r>
      <w:r w:rsidR="008F774D" w:rsidRPr="001F436B">
        <w:rPr>
          <w:rFonts w:ascii="Verdana" w:eastAsia="MS Mincho" w:hAnsi="Verdana"/>
          <w:sz w:val="20"/>
          <w:szCs w:val="20"/>
          <w:lang w:val="es-CR"/>
        </w:rPr>
        <w:t xml:space="preserve"> con posterioridad a la emisión de la Resolución de la </w:t>
      </w:r>
      <w:r w:rsidR="006160AD">
        <w:rPr>
          <w:rFonts w:ascii="Verdana" w:eastAsia="MS Mincho" w:hAnsi="Verdana"/>
          <w:sz w:val="20"/>
          <w:szCs w:val="20"/>
          <w:lang w:val="es-CR"/>
        </w:rPr>
        <w:t>P</w:t>
      </w:r>
      <w:r w:rsidR="008F774D" w:rsidRPr="001F436B">
        <w:rPr>
          <w:rFonts w:ascii="Verdana" w:eastAsia="MS Mincho" w:hAnsi="Verdana"/>
          <w:sz w:val="20"/>
          <w:szCs w:val="20"/>
          <w:lang w:val="es-CR"/>
        </w:rPr>
        <w:t xml:space="preserve">residenta de la Corte, </w:t>
      </w:r>
      <w:r w:rsidR="001F436B" w:rsidRPr="001F436B">
        <w:rPr>
          <w:rFonts w:ascii="Verdana" w:eastAsia="MS Mincho" w:hAnsi="Verdana"/>
          <w:sz w:val="20"/>
          <w:szCs w:val="20"/>
          <w:lang w:val="es-CR"/>
        </w:rPr>
        <w:t xml:space="preserve">las personas beneficiaras </w:t>
      </w:r>
      <w:r w:rsidR="001F436B">
        <w:rPr>
          <w:rFonts w:ascii="Verdana" w:eastAsia="MS Mincho" w:hAnsi="Verdana"/>
          <w:sz w:val="20"/>
          <w:szCs w:val="20"/>
          <w:lang w:val="es-CR"/>
        </w:rPr>
        <w:t>habrían</w:t>
      </w:r>
      <w:r w:rsidR="001F436B" w:rsidRPr="001F436B">
        <w:rPr>
          <w:rFonts w:ascii="Verdana" w:eastAsia="MS Mincho" w:hAnsi="Verdana"/>
          <w:sz w:val="20"/>
          <w:szCs w:val="20"/>
          <w:lang w:val="es-CR"/>
        </w:rPr>
        <w:t xml:space="preserve"> experimentado situaciones de acoso y hostigamiento por parte de una persona que se identificó como Responsable de Estudios de Seguridad de Protección </w:t>
      </w:r>
      <w:r w:rsidR="006160AD">
        <w:rPr>
          <w:rFonts w:ascii="Verdana" w:eastAsia="MS Mincho" w:hAnsi="Verdana"/>
          <w:sz w:val="20"/>
          <w:szCs w:val="20"/>
          <w:lang w:val="es-CR"/>
        </w:rPr>
        <w:t xml:space="preserve">de la </w:t>
      </w:r>
      <w:r w:rsidR="001F436B" w:rsidRPr="001F436B">
        <w:rPr>
          <w:rFonts w:ascii="Verdana" w:eastAsia="MS Mincho" w:hAnsi="Verdana"/>
          <w:sz w:val="20"/>
          <w:szCs w:val="20"/>
          <w:lang w:val="es-CR"/>
        </w:rPr>
        <w:t>Policía Metropolitana de Cúcuta</w:t>
      </w:r>
      <w:r w:rsidR="00F57D70" w:rsidRPr="001F436B">
        <w:rPr>
          <w:rFonts w:ascii="Verdana" w:eastAsia="MS Mincho" w:hAnsi="Verdana"/>
          <w:sz w:val="20"/>
          <w:szCs w:val="20"/>
          <w:lang w:val="es-CR"/>
        </w:rPr>
        <w:t xml:space="preserve">. </w:t>
      </w:r>
      <w:r w:rsidR="001F436B" w:rsidRPr="001F436B">
        <w:rPr>
          <w:rFonts w:ascii="Verdana" w:eastAsia="MS Mincho" w:hAnsi="Verdana"/>
          <w:sz w:val="20"/>
          <w:szCs w:val="20"/>
          <w:lang w:val="es-CR"/>
        </w:rPr>
        <w:t xml:space="preserve">Agregaron que esa información fue puesta </w:t>
      </w:r>
      <w:r w:rsidR="006160AD">
        <w:rPr>
          <w:rFonts w:ascii="Verdana" w:eastAsia="MS Mincho" w:hAnsi="Verdana"/>
          <w:sz w:val="20"/>
          <w:szCs w:val="20"/>
          <w:lang w:val="es-CR"/>
        </w:rPr>
        <w:t>en</w:t>
      </w:r>
      <w:r w:rsidR="006160AD" w:rsidRPr="001F436B">
        <w:rPr>
          <w:rFonts w:ascii="Verdana" w:eastAsia="MS Mincho" w:hAnsi="Verdana"/>
          <w:sz w:val="20"/>
          <w:szCs w:val="20"/>
          <w:lang w:val="es-CR"/>
        </w:rPr>
        <w:t xml:space="preserve"> </w:t>
      </w:r>
      <w:r w:rsidR="001F436B" w:rsidRPr="001F436B">
        <w:rPr>
          <w:rFonts w:ascii="Verdana" w:eastAsia="MS Mincho" w:hAnsi="Verdana"/>
          <w:sz w:val="20"/>
          <w:szCs w:val="20"/>
          <w:lang w:val="es-CR"/>
        </w:rPr>
        <w:t xml:space="preserve">conocimiento del Estado </w:t>
      </w:r>
      <w:r w:rsidR="001F436B">
        <w:rPr>
          <w:rFonts w:ascii="Verdana" w:eastAsia="MS Mincho" w:hAnsi="Verdana"/>
          <w:sz w:val="20"/>
          <w:szCs w:val="20"/>
          <w:lang w:val="es-CR"/>
        </w:rPr>
        <w:t>el</w:t>
      </w:r>
      <w:r w:rsidR="001F436B" w:rsidRPr="001F436B">
        <w:rPr>
          <w:rFonts w:ascii="Verdana" w:eastAsia="MS Mincho" w:hAnsi="Verdana"/>
          <w:sz w:val="20"/>
          <w:szCs w:val="20"/>
          <w:lang w:val="es-CR"/>
        </w:rPr>
        <w:t xml:space="preserve"> 11 de</w:t>
      </w:r>
      <w:r w:rsidR="001F436B">
        <w:rPr>
          <w:rFonts w:ascii="Verdana" w:eastAsia="MS Mincho" w:hAnsi="Verdana"/>
          <w:sz w:val="20"/>
          <w:szCs w:val="20"/>
          <w:lang w:val="es-CR"/>
        </w:rPr>
        <w:t xml:space="preserve"> </w:t>
      </w:r>
      <w:r w:rsidR="001F436B" w:rsidRPr="001F436B">
        <w:rPr>
          <w:rFonts w:ascii="Verdana" w:eastAsia="MS Mincho" w:hAnsi="Verdana"/>
          <w:sz w:val="20"/>
          <w:szCs w:val="20"/>
          <w:lang w:val="es-CR"/>
        </w:rPr>
        <w:t>abril de 2020</w:t>
      </w:r>
      <w:r w:rsidR="001F436B">
        <w:rPr>
          <w:rFonts w:ascii="Verdana" w:eastAsia="MS Mincho" w:hAnsi="Verdana"/>
          <w:sz w:val="20"/>
          <w:szCs w:val="20"/>
          <w:lang w:val="es-CR"/>
        </w:rPr>
        <w:t xml:space="preserve">, y observaron que, a pesar de ello, </w:t>
      </w:r>
      <w:r w:rsidR="007040EA">
        <w:rPr>
          <w:rFonts w:ascii="Verdana" w:eastAsia="MS Mincho" w:hAnsi="Verdana"/>
          <w:sz w:val="20"/>
          <w:szCs w:val="20"/>
          <w:lang w:val="es-CR"/>
        </w:rPr>
        <w:t xml:space="preserve">el Estado no hizo mención a esos hechos en </w:t>
      </w:r>
      <w:r w:rsidR="001F436B">
        <w:rPr>
          <w:rFonts w:ascii="Verdana" w:eastAsia="MS Mincho" w:hAnsi="Verdana"/>
          <w:sz w:val="20"/>
          <w:szCs w:val="20"/>
          <w:lang w:val="es-CR"/>
        </w:rPr>
        <w:t xml:space="preserve">su </w:t>
      </w:r>
      <w:r w:rsidR="007040EA">
        <w:rPr>
          <w:rFonts w:ascii="Verdana" w:eastAsia="MS Mincho" w:hAnsi="Verdana"/>
          <w:sz w:val="20"/>
          <w:szCs w:val="20"/>
          <w:lang w:val="es-CR"/>
        </w:rPr>
        <w:t xml:space="preserve">último </w:t>
      </w:r>
      <w:r w:rsidR="001F436B">
        <w:rPr>
          <w:rFonts w:ascii="Verdana" w:eastAsia="MS Mincho" w:hAnsi="Verdana"/>
          <w:sz w:val="20"/>
          <w:szCs w:val="20"/>
          <w:lang w:val="es-CR"/>
        </w:rPr>
        <w:t xml:space="preserve">escrito presentado a la Corte sobre las presentes medidas provisionales.   </w:t>
      </w:r>
      <w:r w:rsidR="001F436B" w:rsidRPr="001F436B" w:rsidDel="00CA5034">
        <w:rPr>
          <w:rFonts w:ascii="Verdana" w:eastAsia="MS Mincho" w:hAnsi="Verdana"/>
          <w:b/>
          <w:sz w:val="20"/>
          <w:szCs w:val="20"/>
          <w:lang w:val="es-CR"/>
        </w:rPr>
        <w:t xml:space="preserve"> </w:t>
      </w:r>
    </w:p>
    <w:p w14:paraId="7406F719" w14:textId="051C1FCA" w:rsidR="007D46A1" w:rsidRDefault="00B640B8" w:rsidP="00E05B5F">
      <w:pPr>
        <w:numPr>
          <w:ilvl w:val="0"/>
          <w:numId w:val="9"/>
        </w:numPr>
        <w:tabs>
          <w:tab w:val="left" w:pos="0"/>
        </w:tabs>
        <w:spacing w:before="120" w:after="120" w:line="240" w:lineRule="auto"/>
        <w:ind w:left="0" w:right="18" w:firstLine="0"/>
        <w:jc w:val="both"/>
        <w:rPr>
          <w:rFonts w:ascii="Verdana" w:eastAsia="MS Mincho" w:hAnsi="Verdana"/>
          <w:sz w:val="20"/>
          <w:szCs w:val="20"/>
          <w:lang w:val="es-CR"/>
        </w:rPr>
      </w:pPr>
      <w:r w:rsidRPr="00B0044E">
        <w:rPr>
          <w:rFonts w:ascii="Verdana" w:eastAsia="MS Mincho" w:hAnsi="Verdana"/>
          <w:sz w:val="20"/>
          <w:szCs w:val="20"/>
          <w:lang w:val="es-CR"/>
        </w:rPr>
        <w:t xml:space="preserve">El </w:t>
      </w:r>
      <w:r w:rsidR="00B0044E">
        <w:rPr>
          <w:rFonts w:ascii="Verdana" w:eastAsia="MS Mincho" w:hAnsi="Verdana"/>
          <w:sz w:val="20"/>
          <w:szCs w:val="20"/>
          <w:lang w:val="es-CR"/>
        </w:rPr>
        <w:t xml:space="preserve">15 de mayo de 2020, el </w:t>
      </w:r>
      <w:r w:rsidRPr="00E05B5F">
        <w:rPr>
          <w:rFonts w:ascii="Verdana" w:eastAsia="MS Mincho" w:hAnsi="Verdana"/>
          <w:iCs/>
          <w:sz w:val="20"/>
          <w:szCs w:val="20"/>
          <w:lang w:val="es-CR"/>
        </w:rPr>
        <w:t>Estado</w:t>
      </w:r>
      <w:r w:rsidRPr="00B0044E">
        <w:rPr>
          <w:rFonts w:ascii="Verdana" w:eastAsia="MS Mincho" w:hAnsi="Verdana"/>
          <w:i/>
          <w:iCs/>
          <w:sz w:val="20"/>
          <w:szCs w:val="20"/>
          <w:lang w:val="es-CR"/>
        </w:rPr>
        <w:t xml:space="preserve"> </w:t>
      </w:r>
      <w:r w:rsidRPr="00B0044E">
        <w:rPr>
          <w:rFonts w:ascii="Verdana" w:eastAsia="MS Mincho" w:hAnsi="Verdana"/>
          <w:sz w:val="20"/>
          <w:szCs w:val="20"/>
          <w:lang w:val="es-CR"/>
        </w:rPr>
        <w:t xml:space="preserve">señaló </w:t>
      </w:r>
      <w:r w:rsidR="0095368C" w:rsidRPr="00B0044E">
        <w:rPr>
          <w:rFonts w:ascii="Verdana" w:eastAsia="MS Mincho" w:hAnsi="Verdana"/>
          <w:sz w:val="20"/>
          <w:szCs w:val="20"/>
          <w:lang w:val="es-CR"/>
        </w:rPr>
        <w:t>que</w:t>
      </w:r>
      <w:r w:rsidR="00B0044E" w:rsidRPr="00B0044E">
        <w:rPr>
          <w:rFonts w:ascii="Verdana" w:eastAsia="MS Mincho" w:hAnsi="Verdana"/>
          <w:sz w:val="20"/>
          <w:szCs w:val="20"/>
          <w:lang w:val="es-CR"/>
        </w:rPr>
        <w:t xml:space="preserve">, una vez recibida la propuesta de implementación de medidas por parte de los </w:t>
      </w:r>
      <w:r w:rsidR="006160AD">
        <w:rPr>
          <w:rFonts w:ascii="Verdana" w:eastAsia="MS Mincho" w:hAnsi="Verdana"/>
          <w:sz w:val="20"/>
          <w:szCs w:val="20"/>
          <w:lang w:val="es-CR"/>
        </w:rPr>
        <w:t>beneficiarios</w:t>
      </w:r>
      <w:r w:rsidR="00B0044E" w:rsidRPr="00B0044E">
        <w:rPr>
          <w:rFonts w:ascii="Verdana" w:eastAsia="MS Mincho" w:hAnsi="Verdana"/>
          <w:sz w:val="20"/>
          <w:szCs w:val="20"/>
          <w:lang w:val="es-CR"/>
        </w:rPr>
        <w:t>, y</w:t>
      </w:r>
      <w:r w:rsidR="0095368C" w:rsidRPr="00B0044E">
        <w:rPr>
          <w:rFonts w:ascii="Verdana" w:eastAsia="MS Mincho" w:hAnsi="Verdana"/>
          <w:sz w:val="20"/>
          <w:szCs w:val="20"/>
          <w:lang w:val="es-CR"/>
        </w:rPr>
        <w:t xml:space="preserve"> </w:t>
      </w:r>
      <w:r w:rsidR="00B0044E" w:rsidRPr="00B0044E">
        <w:rPr>
          <w:rFonts w:ascii="Verdana" w:eastAsia="MS Mincho" w:hAnsi="Verdana"/>
          <w:sz w:val="20"/>
          <w:szCs w:val="20"/>
          <w:lang w:val="es-CR"/>
        </w:rPr>
        <w:t>mediante comunicación de 4 de mayo de 2020, procedió a informar a las entidades competentes. Agregó que</w:t>
      </w:r>
      <w:r w:rsidR="006160AD">
        <w:rPr>
          <w:rFonts w:ascii="Verdana" w:eastAsia="MS Mincho" w:hAnsi="Verdana"/>
          <w:sz w:val="20"/>
          <w:szCs w:val="20"/>
          <w:lang w:val="es-CR"/>
        </w:rPr>
        <w:t>,</w:t>
      </w:r>
      <w:r w:rsidR="00B0044E" w:rsidRPr="00B0044E">
        <w:rPr>
          <w:rFonts w:ascii="Verdana" w:eastAsia="MS Mincho" w:hAnsi="Verdana"/>
          <w:sz w:val="20"/>
          <w:szCs w:val="20"/>
          <w:lang w:val="es-CR"/>
        </w:rPr>
        <w:t xml:space="preserve"> en respuesta a lo anterior, la Unidad Nacional de Protección remitió a la organización peticionaria, mediante comunicación de 6 de mayo de 2020, información sobre los trámites y documentos que se deben efectuar para realizar la evaluación del nivel de riesgo de los beneficiarios, de conformidad con el ordenamiento jurídico colombiano establecido para estos casos. Informó que la Dirección de Derechos Humanos y DIH del Ministerio de Relaciones Exteriores, mediante comunicación de 11 de mayo de 2020, reiteró la solicitud de documentación de la Unidad Nacional de Protección. Por último</w:t>
      </w:r>
      <w:r w:rsidR="006160AD">
        <w:rPr>
          <w:rFonts w:ascii="Verdana" w:eastAsia="MS Mincho" w:hAnsi="Verdana"/>
          <w:sz w:val="20"/>
          <w:szCs w:val="20"/>
          <w:lang w:val="es-CR"/>
        </w:rPr>
        <w:t>,</w:t>
      </w:r>
      <w:r w:rsidR="00B0044E" w:rsidRPr="00B0044E">
        <w:rPr>
          <w:rFonts w:ascii="Verdana" w:eastAsia="MS Mincho" w:hAnsi="Verdana"/>
          <w:sz w:val="20"/>
          <w:szCs w:val="20"/>
          <w:lang w:val="es-CR"/>
        </w:rPr>
        <w:t xml:space="preserve"> indicó </w:t>
      </w:r>
      <w:proofErr w:type="gramStart"/>
      <w:r w:rsidR="00B0044E" w:rsidRPr="00B0044E">
        <w:rPr>
          <w:rFonts w:ascii="Verdana" w:eastAsia="MS Mincho" w:hAnsi="Verdana"/>
          <w:sz w:val="20"/>
          <w:szCs w:val="20"/>
          <w:lang w:val="es-CR"/>
        </w:rPr>
        <w:t>que  la</w:t>
      </w:r>
      <w:proofErr w:type="gramEnd"/>
      <w:r w:rsidR="00B0044E" w:rsidRPr="00B0044E">
        <w:rPr>
          <w:rFonts w:ascii="Verdana" w:eastAsia="MS Mincho" w:hAnsi="Verdana"/>
          <w:sz w:val="20"/>
          <w:szCs w:val="20"/>
          <w:lang w:val="es-CR"/>
        </w:rPr>
        <w:t xml:space="preserve"> organización peticionaria remitió la documentación requerida a la Dirección de Derechos Humanos y DIH del Ministerio de Relaciones Exteriores</w:t>
      </w:r>
      <w:r w:rsidR="006160AD" w:rsidRPr="006160AD">
        <w:rPr>
          <w:rFonts w:ascii="Verdana" w:eastAsia="MS Mincho" w:hAnsi="Verdana"/>
          <w:sz w:val="20"/>
          <w:szCs w:val="20"/>
          <w:lang w:val="es-CR"/>
        </w:rPr>
        <w:t xml:space="preserve"> </w:t>
      </w:r>
      <w:r w:rsidR="006160AD" w:rsidRPr="00B0044E">
        <w:rPr>
          <w:rFonts w:ascii="Verdana" w:eastAsia="MS Mincho" w:hAnsi="Verdana"/>
          <w:sz w:val="20"/>
          <w:szCs w:val="20"/>
          <w:lang w:val="es-CR"/>
        </w:rPr>
        <w:t>el 14 de mayo de 2020</w:t>
      </w:r>
      <w:r w:rsidR="00B0044E" w:rsidRPr="00B0044E">
        <w:rPr>
          <w:rFonts w:ascii="Verdana" w:eastAsia="MS Mincho" w:hAnsi="Verdana"/>
          <w:sz w:val="20"/>
          <w:szCs w:val="20"/>
          <w:lang w:val="es-CR"/>
        </w:rPr>
        <w:t>, la cual fue cursada en la misma fecha a la Unidad Nacional de Protección para los respectivos trámites. Concluyó</w:t>
      </w:r>
      <w:r w:rsidR="006160AD">
        <w:rPr>
          <w:rFonts w:ascii="Verdana" w:eastAsia="MS Mincho" w:hAnsi="Verdana"/>
          <w:sz w:val="20"/>
          <w:szCs w:val="20"/>
          <w:lang w:val="es-CR"/>
        </w:rPr>
        <w:t>,</w:t>
      </w:r>
      <w:r w:rsidR="00B0044E" w:rsidRPr="00B0044E">
        <w:rPr>
          <w:rFonts w:ascii="Verdana" w:eastAsia="MS Mincho" w:hAnsi="Verdana"/>
          <w:sz w:val="20"/>
          <w:szCs w:val="20"/>
          <w:lang w:val="es-CR"/>
        </w:rPr>
        <w:t xml:space="preserve"> por tanto</w:t>
      </w:r>
      <w:r w:rsidR="006160AD">
        <w:rPr>
          <w:rFonts w:ascii="Verdana" w:eastAsia="MS Mincho" w:hAnsi="Verdana"/>
          <w:sz w:val="20"/>
          <w:szCs w:val="20"/>
          <w:lang w:val="es-CR"/>
        </w:rPr>
        <w:t>,</w:t>
      </w:r>
      <w:r w:rsidR="00B0044E" w:rsidRPr="00B0044E">
        <w:rPr>
          <w:rFonts w:ascii="Verdana" w:eastAsia="MS Mincho" w:hAnsi="Verdana"/>
          <w:sz w:val="20"/>
          <w:szCs w:val="20"/>
          <w:lang w:val="es-CR"/>
        </w:rPr>
        <w:t xml:space="preserve"> que informará sobre los resultados de estas gestiones, una vez se efectúen por parte de las</w:t>
      </w:r>
      <w:r w:rsidR="00B0044E">
        <w:rPr>
          <w:rFonts w:ascii="Verdana" w:eastAsia="MS Mincho" w:hAnsi="Verdana"/>
          <w:sz w:val="20"/>
          <w:szCs w:val="20"/>
          <w:lang w:val="es-CR"/>
        </w:rPr>
        <w:t xml:space="preserve"> </w:t>
      </w:r>
      <w:r w:rsidR="00B0044E" w:rsidRPr="00B0044E">
        <w:rPr>
          <w:rFonts w:ascii="Verdana" w:eastAsia="MS Mincho" w:hAnsi="Verdana"/>
          <w:sz w:val="20"/>
          <w:szCs w:val="20"/>
          <w:lang w:val="es-CR"/>
        </w:rPr>
        <w:t>entidades competentes</w:t>
      </w:r>
      <w:r w:rsidR="00B0044E">
        <w:rPr>
          <w:rFonts w:ascii="Verdana" w:eastAsia="MS Mincho" w:hAnsi="Verdana"/>
          <w:sz w:val="20"/>
          <w:szCs w:val="20"/>
          <w:lang w:val="es-CR"/>
        </w:rPr>
        <w:t>.</w:t>
      </w:r>
    </w:p>
    <w:p w14:paraId="34BFA078" w14:textId="25085108" w:rsidR="0038765A" w:rsidRPr="00BE6179" w:rsidRDefault="006160AD" w:rsidP="006160AD">
      <w:pPr>
        <w:pStyle w:val="Prrafodelista1"/>
        <w:spacing w:before="240" w:after="240"/>
        <w:contextualSpacing w:val="0"/>
        <w:jc w:val="both"/>
        <w:rPr>
          <w:b/>
          <w:i/>
          <w:sz w:val="20"/>
          <w:szCs w:val="20"/>
        </w:rPr>
      </w:pPr>
      <w:r>
        <w:rPr>
          <w:b/>
          <w:i/>
          <w:sz w:val="20"/>
          <w:szCs w:val="20"/>
        </w:rPr>
        <w:t>D)</w:t>
      </w:r>
      <w:r w:rsidR="007D46A1">
        <w:rPr>
          <w:b/>
          <w:i/>
          <w:sz w:val="20"/>
          <w:szCs w:val="20"/>
        </w:rPr>
        <w:t xml:space="preserve"> </w:t>
      </w:r>
      <w:r w:rsidR="0038765A" w:rsidRPr="00BE6179">
        <w:rPr>
          <w:b/>
          <w:i/>
          <w:sz w:val="20"/>
          <w:szCs w:val="20"/>
        </w:rPr>
        <w:t xml:space="preserve">Consideraciones de la Corte </w:t>
      </w:r>
    </w:p>
    <w:p w14:paraId="6B14C9B7" w14:textId="30FEA378" w:rsidR="001D2090" w:rsidRDefault="001E1832"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 xml:space="preserve">Mediante Resolución de </w:t>
      </w:r>
      <w:r w:rsidR="001D2090">
        <w:rPr>
          <w:rFonts w:ascii="Verdana" w:hAnsi="Verdana"/>
          <w:sz w:val="20"/>
          <w:szCs w:val="20"/>
          <w:lang w:val="es-CR"/>
        </w:rPr>
        <w:t xml:space="preserve">8 de julio de 2009 la Corte </w:t>
      </w:r>
      <w:r>
        <w:rPr>
          <w:rFonts w:ascii="Verdana" w:hAnsi="Verdana"/>
          <w:sz w:val="20"/>
          <w:szCs w:val="20"/>
          <w:lang w:val="es-CR"/>
        </w:rPr>
        <w:t xml:space="preserve">resolvió que </w:t>
      </w:r>
      <w:r w:rsidR="001D2090">
        <w:rPr>
          <w:rFonts w:ascii="Verdana" w:hAnsi="Verdana"/>
          <w:sz w:val="20"/>
          <w:szCs w:val="20"/>
          <w:lang w:val="es-CR"/>
        </w:rPr>
        <w:t xml:space="preserve">continuaría supervisando el cumplimiento </w:t>
      </w:r>
      <w:r>
        <w:rPr>
          <w:rFonts w:ascii="Verdana" w:hAnsi="Verdana"/>
          <w:sz w:val="20"/>
          <w:szCs w:val="20"/>
          <w:lang w:val="es-CR"/>
        </w:rPr>
        <w:t>de</w:t>
      </w:r>
      <w:r w:rsidR="001D2090">
        <w:rPr>
          <w:rFonts w:ascii="Verdana" w:hAnsi="Verdana"/>
          <w:sz w:val="20"/>
          <w:szCs w:val="20"/>
          <w:lang w:val="es-CR"/>
        </w:rPr>
        <w:t xml:space="preserve"> la medida de seguridad ordenada en la Sentencia, en el marco de las medidas provisionales que se encontraban vigentes con anterioridad a la emisión del Fallo</w:t>
      </w:r>
      <w:r w:rsidR="001D2090">
        <w:rPr>
          <w:rStyle w:val="Refdenotaalpie"/>
          <w:rFonts w:ascii="Verdana" w:hAnsi="Verdana"/>
          <w:sz w:val="20"/>
          <w:szCs w:val="20"/>
          <w:lang w:val="es-CR"/>
        </w:rPr>
        <w:footnoteReference w:id="4"/>
      </w:r>
      <w:r w:rsidR="001D2090">
        <w:rPr>
          <w:rFonts w:ascii="Verdana" w:hAnsi="Verdana"/>
          <w:sz w:val="20"/>
          <w:szCs w:val="20"/>
          <w:lang w:val="es-CR"/>
        </w:rPr>
        <w:t>. En cuanto a las medidas provisionales, se recuerda que en este asunto se levantaron y dieron por concluidas las medidas provisionales en favor de 15 beneficiarios y sus familiares y, actualmente, se encuentran vigentes para cinco beneficiarios</w:t>
      </w:r>
      <w:r w:rsidR="001D2090">
        <w:rPr>
          <w:rStyle w:val="Refdenotaalpie"/>
          <w:rFonts w:ascii="Verdana" w:hAnsi="Verdana"/>
          <w:sz w:val="20"/>
          <w:szCs w:val="20"/>
        </w:rPr>
        <w:footnoteReference w:id="5"/>
      </w:r>
      <w:r w:rsidR="001D2090">
        <w:rPr>
          <w:rFonts w:ascii="Verdana" w:hAnsi="Verdana"/>
          <w:sz w:val="20"/>
          <w:szCs w:val="20"/>
          <w:lang w:val="es-CR"/>
        </w:rPr>
        <w:t>.</w:t>
      </w:r>
    </w:p>
    <w:p w14:paraId="4D97B030" w14:textId="77777777" w:rsidR="007040EA" w:rsidRDefault="001D2090" w:rsidP="00FF70ED">
      <w:pPr>
        <w:numPr>
          <w:ilvl w:val="0"/>
          <w:numId w:val="9"/>
        </w:numPr>
        <w:tabs>
          <w:tab w:val="left" w:pos="0"/>
        </w:tabs>
        <w:spacing w:before="120" w:after="120" w:line="240" w:lineRule="auto"/>
        <w:ind w:left="0" w:right="18" w:firstLine="0"/>
        <w:jc w:val="both"/>
        <w:rPr>
          <w:rFonts w:ascii="Verdana" w:hAnsi="Verdana"/>
          <w:sz w:val="20"/>
          <w:szCs w:val="20"/>
          <w:lang w:val="es-CR"/>
        </w:rPr>
      </w:pPr>
      <w:r w:rsidRPr="007040EA">
        <w:rPr>
          <w:rFonts w:ascii="Verdana" w:hAnsi="Verdana"/>
          <w:sz w:val="20"/>
          <w:szCs w:val="20"/>
          <w:lang w:val="es-CR"/>
        </w:rPr>
        <w:t xml:space="preserve">En esta ocasión, los representantes presentaron una solicitud de ampliación de las medidas </w:t>
      </w:r>
      <w:r w:rsidRPr="007040EA">
        <w:rPr>
          <w:rFonts w:ascii="Verdana" w:eastAsia="MS Mincho" w:hAnsi="Verdana"/>
          <w:sz w:val="20"/>
          <w:szCs w:val="20"/>
          <w:lang w:val="es-CR"/>
        </w:rPr>
        <w:t>provisionales</w:t>
      </w:r>
      <w:r w:rsidRPr="007040EA">
        <w:rPr>
          <w:rFonts w:ascii="Verdana" w:hAnsi="Verdana"/>
          <w:sz w:val="20"/>
          <w:szCs w:val="20"/>
          <w:lang w:val="es-CR"/>
        </w:rPr>
        <w:t xml:space="preserve"> para incluir a seis familiares de la víctima Antonio Flórez Contreras, y a sus respectivos grupos familiares, sobre la base de hechos de violencia y hostigamiento en contra de los propuestos beneficiarios, luego de que tuviera lugar su participación en la audiencia de supervisión de cumplimiento en septiembre de 2019.</w:t>
      </w:r>
      <w:r w:rsidR="007040EA">
        <w:rPr>
          <w:rFonts w:ascii="Verdana" w:hAnsi="Verdana"/>
          <w:sz w:val="20"/>
          <w:szCs w:val="20"/>
          <w:lang w:val="es-CR"/>
        </w:rPr>
        <w:t xml:space="preserve"> </w:t>
      </w:r>
    </w:p>
    <w:p w14:paraId="75D6EA3A" w14:textId="1629E3F8" w:rsidR="001D2090" w:rsidRPr="007040EA" w:rsidRDefault="001D2090" w:rsidP="00911DBF">
      <w:pPr>
        <w:numPr>
          <w:ilvl w:val="0"/>
          <w:numId w:val="9"/>
        </w:numPr>
        <w:tabs>
          <w:tab w:val="left" w:pos="0"/>
        </w:tabs>
        <w:spacing w:before="120" w:after="120" w:line="240" w:lineRule="auto"/>
        <w:ind w:left="0" w:right="18" w:firstLine="0"/>
        <w:jc w:val="both"/>
        <w:rPr>
          <w:rFonts w:ascii="Verdana" w:hAnsi="Verdana" w:cs="Times New Roman"/>
          <w:sz w:val="20"/>
          <w:szCs w:val="20"/>
          <w:lang w:val="es-CR"/>
        </w:rPr>
      </w:pPr>
      <w:r w:rsidRPr="007040EA">
        <w:rPr>
          <w:rFonts w:ascii="Verdana" w:hAnsi="Verdana"/>
          <w:sz w:val="20"/>
          <w:szCs w:val="20"/>
          <w:lang w:val="es-CR"/>
        </w:rPr>
        <w:t>A raíz de lo anterior, el 2 de abril de 2020 la Presidencia de la Corte resolvió ampliar las medidas provisionales emitidas en el presente caso, de tal forma que el Estado de Colombia incluy</w:t>
      </w:r>
      <w:r w:rsidR="000D7FFE">
        <w:rPr>
          <w:rFonts w:ascii="Verdana" w:hAnsi="Verdana"/>
          <w:sz w:val="20"/>
          <w:szCs w:val="20"/>
          <w:lang w:val="es-CR"/>
        </w:rPr>
        <w:t>er</w:t>
      </w:r>
      <w:r w:rsidRPr="007040EA">
        <w:rPr>
          <w:rFonts w:ascii="Verdana" w:hAnsi="Verdana"/>
          <w:sz w:val="20"/>
          <w:szCs w:val="20"/>
          <w:lang w:val="es-CR"/>
        </w:rPr>
        <w:t>a de manera inmediata dentro de las medidas ordenadas a la señora Nery del Socorro Flórez Contreras, y a los integrantes de su familia (</w:t>
      </w:r>
      <w:r w:rsidRPr="007040EA">
        <w:rPr>
          <w:rFonts w:ascii="Verdana" w:hAnsi="Verdana"/>
          <w:i/>
          <w:sz w:val="20"/>
          <w:szCs w:val="20"/>
          <w:lang w:val="es-CR"/>
        </w:rPr>
        <w:t>supra</w:t>
      </w:r>
      <w:r w:rsidRPr="007040EA">
        <w:rPr>
          <w:rFonts w:ascii="Verdana" w:hAnsi="Verdana"/>
          <w:sz w:val="20"/>
          <w:szCs w:val="20"/>
          <w:lang w:val="es-CR"/>
        </w:rPr>
        <w:t xml:space="preserve"> párr. </w:t>
      </w:r>
      <w:r w:rsidR="00320EBF">
        <w:rPr>
          <w:rFonts w:ascii="Verdana" w:hAnsi="Verdana"/>
          <w:sz w:val="20"/>
          <w:szCs w:val="20"/>
          <w:lang w:val="es-CR"/>
        </w:rPr>
        <w:t>3</w:t>
      </w:r>
      <w:r w:rsidRPr="007040EA">
        <w:rPr>
          <w:rFonts w:ascii="Verdana" w:hAnsi="Verdana"/>
          <w:sz w:val="20"/>
          <w:szCs w:val="20"/>
          <w:lang w:val="es-CR"/>
        </w:rPr>
        <w:t>).</w:t>
      </w:r>
      <w:r w:rsidR="007040EA">
        <w:rPr>
          <w:rFonts w:ascii="Verdana" w:hAnsi="Verdana"/>
          <w:sz w:val="20"/>
          <w:szCs w:val="20"/>
          <w:lang w:val="es-CR"/>
        </w:rPr>
        <w:t xml:space="preserve"> </w:t>
      </w:r>
      <w:r w:rsidRPr="007040EA">
        <w:rPr>
          <w:rFonts w:ascii="Verdana" w:hAnsi="Verdana"/>
          <w:sz w:val="20"/>
          <w:szCs w:val="20"/>
          <w:lang w:val="es-CR"/>
        </w:rPr>
        <w:t>En dicha Resolución se consideró que</w:t>
      </w:r>
      <w:r w:rsidR="007C7E52">
        <w:rPr>
          <w:rFonts w:ascii="Verdana" w:hAnsi="Verdana"/>
          <w:sz w:val="20"/>
          <w:szCs w:val="20"/>
          <w:lang w:val="es-CR"/>
        </w:rPr>
        <w:t>,</w:t>
      </w:r>
      <w:r w:rsidRPr="007040EA">
        <w:rPr>
          <w:rFonts w:ascii="Verdana" w:hAnsi="Verdana"/>
          <w:sz w:val="20"/>
          <w:szCs w:val="20"/>
          <w:lang w:val="es-CR"/>
        </w:rPr>
        <w:t xml:space="preserve"> de la información presentada y la prueba documental aportada </w:t>
      </w:r>
      <w:r w:rsidRPr="007040EA">
        <w:rPr>
          <w:rFonts w:ascii="Verdana" w:hAnsi="Verdana"/>
          <w:sz w:val="20"/>
          <w:szCs w:val="20"/>
          <w:lang w:val="es-CR"/>
        </w:rPr>
        <w:lastRenderedPageBreak/>
        <w:t>en sustento</w:t>
      </w:r>
      <w:r w:rsidRPr="001D2090">
        <w:rPr>
          <w:rStyle w:val="Refdenotaalpie"/>
          <w:rFonts w:ascii="Verdana" w:hAnsi="Verdana"/>
          <w:sz w:val="20"/>
          <w:szCs w:val="20"/>
        </w:rPr>
        <w:footnoteReference w:id="6"/>
      </w:r>
      <w:r w:rsidRPr="007040EA">
        <w:rPr>
          <w:rFonts w:ascii="Verdana" w:hAnsi="Verdana"/>
          <w:sz w:val="20"/>
          <w:szCs w:val="20"/>
          <w:lang w:val="es-CR"/>
        </w:rPr>
        <w:t>, se desprend</w:t>
      </w:r>
      <w:r w:rsidR="000D7FFE">
        <w:rPr>
          <w:rFonts w:ascii="Verdana" w:hAnsi="Verdana"/>
          <w:sz w:val="20"/>
          <w:szCs w:val="20"/>
          <w:lang w:val="es-CR"/>
        </w:rPr>
        <w:t>ía</w:t>
      </w:r>
      <w:r w:rsidRPr="007040EA">
        <w:rPr>
          <w:rFonts w:ascii="Verdana" w:hAnsi="Verdana"/>
          <w:sz w:val="20"/>
          <w:szCs w:val="20"/>
          <w:lang w:val="es-CR"/>
        </w:rPr>
        <w:t xml:space="preserve"> </w:t>
      </w:r>
      <w:r w:rsidRPr="007040EA">
        <w:rPr>
          <w:rFonts w:ascii="Verdana" w:hAnsi="Verdana"/>
          <w:i/>
          <w:sz w:val="20"/>
          <w:szCs w:val="20"/>
          <w:lang w:val="es-CR"/>
        </w:rPr>
        <w:t>prima facie</w:t>
      </w:r>
      <w:r w:rsidRPr="007040EA">
        <w:rPr>
          <w:rFonts w:ascii="Verdana" w:hAnsi="Verdana"/>
          <w:sz w:val="20"/>
          <w:szCs w:val="20"/>
          <w:lang w:val="es-CR"/>
        </w:rPr>
        <w:t xml:space="preserve"> que la señora Nery del Socorro Flórez Contreras y sus familiares fueron objeto de hechos graves de violencia en contra de su vida e integridad, así como de intimidaciones, y que podrían encontrarse actualmente en una situación de riesgo debido a la presunta presencia y seguimiento de terceros cerca de sus lugares de residencia. Asimismo, se constató que los representantes habían informado que el 27 de febrero de 2020, la propuesta beneficiaria Tatiana Romero Flórez, interpuso una denuncia por los hechos descritos ante la Fiscalía General de la Nación, e indicaron que a la fecha no ha habido respuesta alguna por parte de esta autoridad</w:t>
      </w:r>
      <w:r w:rsidRPr="001D2090">
        <w:rPr>
          <w:rStyle w:val="Refdenotaalpie"/>
          <w:rFonts w:ascii="Verdana" w:hAnsi="Verdana"/>
          <w:sz w:val="20"/>
          <w:szCs w:val="20"/>
        </w:rPr>
        <w:footnoteReference w:id="7"/>
      </w:r>
      <w:r w:rsidRPr="007040EA">
        <w:rPr>
          <w:rFonts w:ascii="Verdana" w:hAnsi="Verdana"/>
          <w:sz w:val="20"/>
          <w:szCs w:val="20"/>
          <w:lang w:val="es-CR"/>
        </w:rPr>
        <w:t>.</w:t>
      </w:r>
      <w:r w:rsidRPr="007040EA">
        <w:rPr>
          <w:rFonts w:ascii="Verdana" w:hAnsi="Verdana" w:cs="Times New Roman"/>
          <w:sz w:val="20"/>
          <w:szCs w:val="20"/>
          <w:lang w:val="es-CR"/>
        </w:rPr>
        <w:t xml:space="preserve"> </w:t>
      </w:r>
    </w:p>
    <w:p w14:paraId="2089ACBE" w14:textId="67211909" w:rsidR="001D2090" w:rsidRDefault="007040EA"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eastAsia="MS Mincho" w:hAnsi="Verdana"/>
          <w:sz w:val="20"/>
          <w:szCs w:val="20"/>
          <w:lang w:val="es-CR"/>
        </w:rPr>
        <w:t>Se constató que l</w:t>
      </w:r>
      <w:r w:rsidR="001D2090">
        <w:rPr>
          <w:rFonts w:ascii="Verdana" w:eastAsia="MS Mincho" w:hAnsi="Verdana"/>
          <w:sz w:val="20"/>
          <w:szCs w:val="20"/>
          <w:lang w:val="es-CR"/>
        </w:rPr>
        <w:t xml:space="preserve">os hechos reportados por los representantes </w:t>
      </w:r>
      <w:r w:rsidR="0054451B">
        <w:rPr>
          <w:rFonts w:ascii="Verdana" w:eastAsia="MS Mincho" w:hAnsi="Verdana"/>
          <w:sz w:val="20"/>
          <w:szCs w:val="20"/>
          <w:lang w:val="es-CR"/>
        </w:rPr>
        <w:t>era</w:t>
      </w:r>
      <w:r w:rsidR="001D2090">
        <w:rPr>
          <w:rFonts w:ascii="Verdana" w:eastAsia="MS Mincho" w:hAnsi="Verdana"/>
          <w:sz w:val="20"/>
          <w:szCs w:val="20"/>
          <w:lang w:val="es-CR"/>
        </w:rPr>
        <w:t>n recientes, involucra</w:t>
      </w:r>
      <w:r w:rsidR="0054451B">
        <w:rPr>
          <w:rFonts w:ascii="Verdana" w:eastAsia="MS Mincho" w:hAnsi="Verdana"/>
          <w:sz w:val="20"/>
          <w:szCs w:val="20"/>
          <w:lang w:val="es-CR"/>
        </w:rPr>
        <w:t>ba</w:t>
      </w:r>
      <w:r w:rsidR="001D2090">
        <w:rPr>
          <w:rFonts w:ascii="Verdana" w:eastAsia="MS Mincho" w:hAnsi="Verdana"/>
          <w:sz w:val="20"/>
          <w:szCs w:val="20"/>
          <w:lang w:val="es-CR"/>
        </w:rPr>
        <w:t xml:space="preserve">n disparos por armas de fuego en varias oportunidades en los domicilios de Nery del Socorro Flórez </w:t>
      </w:r>
      <w:r w:rsidR="001D2090">
        <w:rPr>
          <w:rFonts w:ascii="Verdana" w:hAnsi="Verdana"/>
          <w:sz w:val="20"/>
          <w:szCs w:val="20"/>
          <w:lang w:val="es-CR"/>
        </w:rPr>
        <w:t>Contreras</w:t>
      </w:r>
      <w:r w:rsidR="001D2090">
        <w:rPr>
          <w:rFonts w:ascii="Verdana" w:eastAsia="MS Mincho" w:hAnsi="Verdana"/>
          <w:sz w:val="20"/>
          <w:szCs w:val="20"/>
          <w:lang w:val="es-CR"/>
        </w:rPr>
        <w:t xml:space="preserve"> y de algunos de sus familiares. También</w:t>
      </w:r>
      <w:r w:rsidR="0054451B">
        <w:rPr>
          <w:rFonts w:ascii="Verdana" w:eastAsia="MS Mincho" w:hAnsi="Verdana"/>
          <w:sz w:val="20"/>
          <w:szCs w:val="20"/>
          <w:lang w:val="es-CR"/>
        </w:rPr>
        <w:t>,</w:t>
      </w:r>
      <w:r w:rsidR="001D2090">
        <w:rPr>
          <w:rFonts w:ascii="Verdana" w:eastAsia="MS Mincho" w:hAnsi="Verdana"/>
          <w:sz w:val="20"/>
          <w:szCs w:val="20"/>
          <w:lang w:val="es-CR"/>
        </w:rPr>
        <w:t xml:space="preserve"> </w:t>
      </w:r>
      <w:r w:rsidR="0054451B">
        <w:rPr>
          <w:rFonts w:ascii="Verdana" w:eastAsia="MS Mincho" w:hAnsi="Verdana"/>
          <w:sz w:val="20"/>
          <w:szCs w:val="20"/>
          <w:lang w:val="es-CR"/>
        </w:rPr>
        <w:t xml:space="preserve">que </w:t>
      </w:r>
      <w:r w:rsidR="001D2090">
        <w:rPr>
          <w:rFonts w:ascii="Verdana" w:eastAsia="MS Mincho" w:hAnsi="Verdana"/>
          <w:sz w:val="20"/>
          <w:szCs w:val="20"/>
          <w:lang w:val="es-CR"/>
        </w:rPr>
        <w:t>se refer</w:t>
      </w:r>
      <w:r w:rsidR="0054451B">
        <w:rPr>
          <w:rFonts w:ascii="Verdana" w:eastAsia="MS Mincho" w:hAnsi="Verdana"/>
          <w:sz w:val="20"/>
          <w:szCs w:val="20"/>
          <w:lang w:val="es-CR"/>
        </w:rPr>
        <w:t>ía</w:t>
      </w:r>
      <w:r w:rsidR="001D2090">
        <w:rPr>
          <w:rFonts w:ascii="Verdana" w:eastAsia="MS Mincho" w:hAnsi="Verdana"/>
          <w:sz w:val="20"/>
          <w:szCs w:val="20"/>
          <w:lang w:val="es-CR"/>
        </w:rPr>
        <w:t xml:space="preserve">n a hechos de violencia que lesionaron en más de una oportunidad a miembros de su familia, en algunos casos personas menores de edad. </w:t>
      </w:r>
    </w:p>
    <w:p w14:paraId="7AAD2583" w14:textId="57AB6DE0" w:rsidR="001D2090" w:rsidRPr="00E05B5F" w:rsidRDefault="007040EA" w:rsidP="00E05B5F">
      <w:pPr>
        <w:numPr>
          <w:ilvl w:val="0"/>
          <w:numId w:val="9"/>
        </w:numPr>
        <w:tabs>
          <w:tab w:val="left" w:pos="0"/>
        </w:tabs>
        <w:spacing w:before="120" w:after="120" w:line="240" w:lineRule="auto"/>
        <w:ind w:left="0" w:right="18" w:firstLine="0"/>
        <w:jc w:val="both"/>
        <w:rPr>
          <w:rFonts w:ascii="Verdana" w:hAnsi="Verdana" w:cs="Times New Roman"/>
          <w:sz w:val="20"/>
          <w:szCs w:val="20"/>
          <w:lang w:val="es-CR"/>
        </w:rPr>
      </w:pPr>
      <w:r>
        <w:rPr>
          <w:rFonts w:ascii="Verdana" w:hAnsi="Verdana" w:cs="Times New Roman"/>
          <w:sz w:val="20"/>
          <w:szCs w:val="20"/>
          <w:lang w:val="es-CR"/>
        </w:rPr>
        <w:t>Asimismo, a</w:t>
      </w:r>
      <w:r w:rsidR="001D2090" w:rsidRPr="00E05B5F">
        <w:rPr>
          <w:rFonts w:ascii="Verdana" w:hAnsi="Verdana" w:cs="Times New Roman"/>
          <w:sz w:val="20"/>
          <w:szCs w:val="20"/>
          <w:lang w:val="es-CR"/>
        </w:rPr>
        <w:t xml:space="preserve">l momento de la emisión de las medidas urgentes, el Estado no había presentado información sobre alguna </w:t>
      </w:r>
      <w:r w:rsidR="001D2090" w:rsidRPr="00E05B5F">
        <w:rPr>
          <w:rFonts w:ascii="Verdana" w:hAnsi="Verdana"/>
          <w:sz w:val="20"/>
          <w:szCs w:val="20"/>
          <w:lang w:val="es-CR"/>
        </w:rPr>
        <w:t>acción</w:t>
      </w:r>
      <w:r w:rsidR="001D2090" w:rsidRPr="00E05B5F">
        <w:rPr>
          <w:rFonts w:ascii="Verdana" w:hAnsi="Verdana" w:cs="Times New Roman"/>
          <w:sz w:val="20"/>
          <w:szCs w:val="20"/>
          <w:lang w:val="es-CR"/>
        </w:rPr>
        <w:t xml:space="preserve"> específica de protección a favor de los propuestos beneficiarios de la ampliación de las medidas </w:t>
      </w:r>
      <w:r w:rsidR="001D2090" w:rsidRPr="00E05B5F">
        <w:rPr>
          <w:rFonts w:ascii="Verdana" w:hAnsi="Verdana"/>
          <w:sz w:val="20"/>
          <w:szCs w:val="20"/>
          <w:lang w:val="es-CR"/>
        </w:rPr>
        <w:t>provisionales</w:t>
      </w:r>
      <w:r w:rsidR="001D2090" w:rsidRPr="00E05B5F">
        <w:rPr>
          <w:rFonts w:ascii="Verdana" w:hAnsi="Verdana" w:cs="Times New Roman"/>
          <w:sz w:val="20"/>
          <w:szCs w:val="20"/>
          <w:lang w:val="es-CR"/>
        </w:rPr>
        <w:t xml:space="preserve">, ni que esté relacionada con los hechos de violencia e intimidación que fueron </w:t>
      </w:r>
      <w:r w:rsidR="001D2090" w:rsidRPr="00E05B5F">
        <w:rPr>
          <w:rFonts w:ascii="Verdana" w:hAnsi="Verdana"/>
          <w:sz w:val="20"/>
          <w:szCs w:val="20"/>
          <w:lang w:val="es-CR"/>
        </w:rPr>
        <w:t>reportados</w:t>
      </w:r>
      <w:r w:rsidR="001D2090" w:rsidRPr="00E05B5F">
        <w:rPr>
          <w:rFonts w:ascii="Verdana" w:hAnsi="Verdana" w:cs="Times New Roman"/>
          <w:sz w:val="20"/>
          <w:szCs w:val="20"/>
          <w:lang w:val="es-CR"/>
        </w:rPr>
        <w:t xml:space="preserve"> por los representantes. </w:t>
      </w:r>
      <w:r w:rsidR="001D2090" w:rsidRPr="001D2090">
        <w:rPr>
          <w:rFonts w:ascii="Verdana" w:hAnsi="Verdana" w:cs="Times New Roman"/>
          <w:sz w:val="20"/>
          <w:szCs w:val="20"/>
          <w:lang w:val="es-CR"/>
        </w:rPr>
        <w:t xml:space="preserve">En consecuencia, </w:t>
      </w:r>
      <w:r w:rsidR="001D2090">
        <w:rPr>
          <w:rFonts w:ascii="Verdana" w:hAnsi="Verdana" w:cs="Times New Roman"/>
          <w:sz w:val="20"/>
          <w:szCs w:val="20"/>
          <w:lang w:val="es-CR"/>
        </w:rPr>
        <w:t>era</w:t>
      </w:r>
      <w:r w:rsidR="001D2090" w:rsidRPr="001D2090">
        <w:rPr>
          <w:rFonts w:ascii="Verdana" w:hAnsi="Verdana" w:cs="Times New Roman"/>
          <w:sz w:val="20"/>
          <w:szCs w:val="20"/>
          <w:lang w:val="es-CR"/>
        </w:rPr>
        <w:t xml:space="preserve"> razonable inferir que, hasta </w:t>
      </w:r>
      <w:r w:rsidR="001D2090">
        <w:rPr>
          <w:rFonts w:ascii="Verdana" w:hAnsi="Verdana" w:cs="Times New Roman"/>
          <w:sz w:val="20"/>
          <w:szCs w:val="20"/>
          <w:lang w:val="es-CR"/>
        </w:rPr>
        <w:t>ese</w:t>
      </w:r>
      <w:r w:rsidR="001D2090" w:rsidRPr="001D2090">
        <w:rPr>
          <w:rFonts w:ascii="Verdana" w:hAnsi="Verdana" w:cs="Times New Roman"/>
          <w:sz w:val="20"/>
          <w:szCs w:val="20"/>
          <w:lang w:val="es-CR"/>
        </w:rPr>
        <w:t xml:space="preserve"> momento, a pesar de tener noticia sobre hechos de violencia grave en contra de víctimas y familiares de víctimas de un caso ante la Corte Interamericana, el Estado no ha</w:t>
      </w:r>
      <w:r w:rsidR="007C7E52">
        <w:rPr>
          <w:rFonts w:ascii="Verdana" w:hAnsi="Verdana" w:cs="Times New Roman"/>
          <w:sz w:val="20"/>
          <w:szCs w:val="20"/>
          <w:lang w:val="es-CR"/>
        </w:rPr>
        <w:t>bía</w:t>
      </w:r>
      <w:r w:rsidR="001D2090" w:rsidRPr="001D2090">
        <w:rPr>
          <w:rFonts w:ascii="Verdana" w:hAnsi="Verdana" w:cs="Times New Roman"/>
          <w:sz w:val="20"/>
          <w:szCs w:val="20"/>
          <w:lang w:val="es-CR"/>
        </w:rPr>
        <w:t xml:space="preserve"> adoptado ninguna medida de protección a favor de esas personas</w:t>
      </w:r>
    </w:p>
    <w:p w14:paraId="03013132" w14:textId="77777777" w:rsidR="003E7AA3" w:rsidRDefault="003E7AA3" w:rsidP="003E7AA3">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Este Tribunal estima pertinente reiterar</w:t>
      </w:r>
      <w:r w:rsidRPr="00E51DD1">
        <w:rPr>
          <w:rFonts w:ascii="Verdana" w:hAnsi="Verdana"/>
          <w:sz w:val="20"/>
          <w:szCs w:val="20"/>
          <w:lang w:val="es-CR"/>
        </w:rPr>
        <w:t xml:space="preserve"> que para la disposición de medidas provisionales, el artículo 63.2 de la Convención Americana exige la concurrencia de tres condiciones: i) “extrema gravedad”; ii) “urgencia”, y iii) que se trate de “evitar daños irreparables” a las personas. </w:t>
      </w:r>
      <w:r w:rsidRPr="00B20743">
        <w:rPr>
          <w:rFonts w:ascii="Verdana" w:hAnsi="Verdana"/>
          <w:sz w:val="20"/>
          <w:szCs w:val="20"/>
          <w:lang w:val="es-CR"/>
        </w:rPr>
        <w:t>Estas tres condiciones son coexistentes y deben estar presentes en toda situación en la que se solicite la intervención del Tribunal a través de una medida provisional</w:t>
      </w:r>
      <w:r w:rsidRPr="00E51DD1">
        <w:rPr>
          <w:rStyle w:val="Refdenotaalpie"/>
          <w:rFonts w:ascii="Verdana" w:hAnsi="Verdana"/>
          <w:sz w:val="20"/>
          <w:szCs w:val="20"/>
        </w:rPr>
        <w:footnoteReference w:id="8"/>
      </w:r>
      <w:r w:rsidRPr="00B20743">
        <w:rPr>
          <w:rFonts w:ascii="Verdana" w:hAnsi="Verdana"/>
          <w:sz w:val="20"/>
          <w:szCs w:val="20"/>
          <w:lang w:val="es-CR"/>
        </w:rPr>
        <w:t>. Del mismo modo, estas tres condiciones deben concurrir para que la Corte pueda ampliar las medidas provisionales</w:t>
      </w:r>
      <w:r w:rsidRPr="00E51DD1">
        <w:rPr>
          <w:rStyle w:val="Refdenotaalpie"/>
          <w:rFonts w:ascii="Verdana" w:hAnsi="Verdana"/>
          <w:sz w:val="20"/>
          <w:szCs w:val="20"/>
        </w:rPr>
        <w:footnoteReference w:id="9"/>
      </w:r>
      <w:r w:rsidRPr="00B20743">
        <w:rPr>
          <w:rFonts w:ascii="Verdana" w:hAnsi="Verdana"/>
          <w:sz w:val="20"/>
          <w:szCs w:val="20"/>
          <w:lang w:val="es-CR"/>
        </w:rPr>
        <w:t xml:space="preserve">. </w:t>
      </w:r>
    </w:p>
    <w:p w14:paraId="76572B8E" w14:textId="7F396780" w:rsidR="0038765A" w:rsidRPr="00D25BFD" w:rsidRDefault="00CA3DF3"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La Corte Interamericana</w:t>
      </w:r>
      <w:r w:rsidR="0038765A" w:rsidRPr="00E51DD1">
        <w:rPr>
          <w:rFonts w:ascii="Verdana" w:hAnsi="Verdana"/>
          <w:sz w:val="20"/>
          <w:szCs w:val="20"/>
          <w:lang w:val="es-CR"/>
        </w:rPr>
        <w:t xml:space="preserve"> ha considerado como un criterio para otorgar la ampliación de medidas provisionales que los hechos alegados en la solicitud tengan una conexión fáctica con los eventos que justificaron la adopción de medidas provisionales</w:t>
      </w:r>
      <w:r w:rsidR="0038765A" w:rsidRPr="00E51DD1">
        <w:rPr>
          <w:rStyle w:val="Refdenotaalpie"/>
          <w:rFonts w:ascii="Verdana" w:hAnsi="Verdana"/>
          <w:sz w:val="20"/>
          <w:szCs w:val="20"/>
        </w:rPr>
        <w:footnoteReference w:id="10"/>
      </w:r>
      <w:r w:rsidR="0038765A" w:rsidRPr="00E51DD1">
        <w:rPr>
          <w:rFonts w:ascii="Verdana" w:hAnsi="Verdana"/>
          <w:sz w:val="20"/>
          <w:szCs w:val="20"/>
          <w:lang w:val="es-CR"/>
        </w:rPr>
        <w:t xml:space="preserve">. </w:t>
      </w:r>
      <w:r w:rsidR="0038765A" w:rsidRPr="00D25BFD">
        <w:rPr>
          <w:rFonts w:ascii="Verdana" w:hAnsi="Verdana"/>
          <w:sz w:val="20"/>
          <w:szCs w:val="20"/>
          <w:lang w:val="es-CR"/>
        </w:rPr>
        <w:t>Además, ha señalado que</w:t>
      </w:r>
      <w:r w:rsidR="00EC2321">
        <w:rPr>
          <w:rFonts w:ascii="Verdana" w:hAnsi="Verdana"/>
          <w:sz w:val="20"/>
          <w:szCs w:val="20"/>
          <w:lang w:val="es-CR"/>
        </w:rPr>
        <w:t>,</w:t>
      </w:r>
      <w:r w:rsidR="0038765A" w:rsidRPr="00D25BFD">
        <w:rPr>
          <w:rFonts w:ascii="Verdana" w:hAnsi="Verdana"/>
          <w:sz w:val="20"/>
          <w:szCs w:val="20"/>
          <w:lang w:val="es-CR"/>
        </w:rPr>
        <w:t xml:space="preserve"> si bien es cierto </w:t>
      </w:r>
      <w:r w:rsidR="00EC2321">
        <w:rPr>
          <w:rFonts w:ascii="Verdana" w:hAnsi="Verdana"/>
          <w:sz w:val="20"/>
          <w:szCs w:val="20"/>
          <w:lang w:val="es-CR"/>
        </w:rPr>
        <w:t xml:space="preserve">que </w:t>
      </w:r>
      <w:r w:rsidR="0038765A" w:rsidRPr="00D25BFD">
        <w:rPr>
          <w:rFonts w:ascii="Verdana" w:hAnsi="Verdana"/>
          <w:sz w:val="20"/>
          <w:szCs w:val="20"/>
          <w:lang w:val="es-CR"/>
        </w:rPr>
        <w:t xml:space="preserve">los hechos que motivan una solicitud de medidas provisionales o ampliación de las mismas no requieren estar plenamente comprobados, sí se requiere un mínimo de detalle e información que permitan apreciar </w:t>
      </w:r>
      <w:r w:rsidR="0038765A" w:rsidRPr="00D25BFD">
        <w:rPr>
          <w:rFonts w:ascii="Verdana" w:hAnsi="Verdana"/>
          <w:i/>
          <w:sz w:val="20"/>
          <w:szCs w:val="20"/>
          <w:lang w:val="es-CR"/>
        </w:rPr>
        <w:t xml:space="preserve">prima facie </w:t>
      </w:r>
      <w:r w:rsidR="0038765A" w:rsidRPr="00D25BFD">
        <w:rPr>
          <w:rFonts w:ascii="Verdana" w:hAnsi="Verdana"/>
          <w:sz w:val="20"/>
          <w:szCs w:val="20"/>
          <w:lang w:val="es-CR"/>
        </w:rPr>
        <w:t xml:space="preserve">una situación de extrema </w:t>
      </w:r>
      <w:r w:rsidR="0038765A" w:rsidRPr="00D25BFD">
        <w:rPr>
          <w:rFonts w:ascii="Verdana" w:hAnsi="Verdana"/>
          <w:sz w:val="20"/>
          <w:szCs w:val="20"/>
          <w:lang w:val="es-CR"/>
        </w:rPr>
        <w:lastRenderedPageBreak/>
        <w:t>gravedad y urgencia</w:t>
      </w:r>
      <w:r w:rsidR="0038765A" w:rsidRPr="00E51DD1">
        <w:rPr>
          <w:rStyle w:val="Refdenotaalpie"/>
          <w:rFonts w:ascii="Verdana" w:hAnsi="Verdana"/>
          <w:sz w:val="20"/>
          <w:szCs w:val="20"/>
        </w:rPr>
        <w:footnoteReference w:id="11"/>
      </w:r>
      <w:r w:rsidR="0038765A" w:rsidRPr="00D25BFD">
        <w:rPr>
          <w:rFonts w:ascii="Verdana" w:hAnsi="Verdana"/>
          <w:sz w:val="20"/>
          <w:szCs w:val="20"/>
          <w:lang w:val="es-CR"/>
        </w:rPr>
        <w:t>.</w:t>
      </w:r>
      <w:r w:rsidR="00F57D70">
        <w:rPr>
          <w:rFonts w:ascii="Verdana" w:hAnsi="Verdana"/>
          <w:sz w:val="20"/>
          <w:szCs w:val="20"/>
          <w:lang w:val="es-CR"/>
        </w:rPr>
        <w:t xml:space="preserve"> Tal situación, fue la que mot</w:t>
      </w:r>
      <w:r w:rsidR="003A3D10">
        <w:rPr>
          <w:rFonts w:ascii="Verdana" w:hAnsi="Verdana"/>
          <w:sz w:val="20"/>
          <w:szCs w:val="20"/>
          <w:lang w:val="es-CR"/>
        </w:rPr>
        <w:t xml:space="preserve">ivó a este Tribunal a ordenar la ampliación de medidas provisionales en el presente caso. </w:t>
      </w:r>
    </w:p>
    <w:p w14:paraId="49CBE30B" w14:textId="7079737A" w:rsidR="002E5038" w:rsidRPr="00031122" w:rsidRDefault="003A3D10" w:rsidP="00031122">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Adicionalmente, d</w:t>
      </w:r>
      <w:r w:rsidR="0038765A" w:rsidRPr="00E51DD1">
        <w:rPr>
          <w:rFonts w:ascii="Verdana" w:hAnsi="Verdana"/>
          <w:sz w:val="20"/>
          <w:szCs w:val="20"/>
          <w:lang w:val="es-CR"/>
        </w:rPr>
        <w:t>e la informa</w:t>
      </w:r>
      <w:r w:rsidR="00582CBC" w:rsidRPr="00E51DD1">
        <w:rPr>
          <w:rFonts w:ascii="Verdana" w:hAnsi="Verdana"/>
          <w:sz w:val="20"/>
          <w:szCs w:val="20"/>
          <w:lang w:val="es-CR"/>
        </w:rPr>
        <w:t>ción presentada</w:t>
      </w:r>
      <w:r w:rsidR="00EC2321">
        <w:rPr>
          <w:rFonts w:ascii="Verdana" w:hAnsi="Verdana"/>
          <w:sz w:val="20"/>
          <w:szCs w:val="20"/>
          <w:lang w:val="es-CR"/>
        </w:rPr>
        <w:t xml:space="preserve"> </w:t>
      </w:r>
      <w:r>
        <w:rPr>
          <w:rFonts w:ascii="Verdana" w:hAnsi="Verdana"/>
          <w:sz w:val="20"/>
          <w:szCs w:val="20"/>
          <w:lang w:val="es-CR"/>
        </w:rPr>
        <w:t xml:space="preserve">por los representantes </w:t>
      </w:r>
      <w:r w:rsidR="00C82747">
        <w:rPr>
          <w:rFonts w:ascii="Verdana" w:hAnsi="Verdana"/>
          <w:sz w:val="20"/>
          <w:szCs w:val="20"/>
          <w:lang w:val="es-CR"/>
        </w:rPr>
        <w:t xml:space="preserve">posterior a la </w:t>
      </w:r>
      <w:r w:rsidR="006369EA">
        <w:rPr>
          <w:rFonts w:ascii="Verdana" w:hAnsi="Verdana"/>
          <w:sz w:val="20"/>
          <w:szCs w:val="20"/>
          <w:lang w:val="es-CR"/>
        </w:rPr>
        <w:t>R</w:t>
      </w:r>
      <w:r w:rsidR="00C82747">
        <w:rPr>
          <w:rFonts w:ascii="Verdana" w:hAnsi="Verdana"/>
          <w:sz w:val="20"/>
          <w:szCs w:val="20"/>
          <w:lang w:val="es-CR"/>
        </w:rPr>
        <w:t xml:space="preserve">esolución de abril de 2020, </w:t>
      </w:r>
      <w:r w:rsidR="00582CBC" w:rsidRPr="00E51DD1">
        <w:rPr>
          <w:rFonts w:ascii="Verdana" w:hAnsi="Verdana"/>
          <w:sz w:val="20"/>
          <w:szCs w:val="20"/>
          <w:lang w:val="es-CR"/>
        </w:rPr>
        <w:t>se desprende</w:t>
      </w:r>
      <w:r w:rsidR="00C82747" w:rsidRPr="00C82747">
        <w:rPr>
          <w:rFonts w:ascii="Verdana" w:hAnsi="Verdana"/>
          <w:sz w:val="20"/>
          <w:szCs w:val="20"/>
          <w:lang w:val="es-CR"/>
        </w:rPr>
        <w:t xml:space="preserve"> </w:t>
      </w:r>
      <w:r w:rsidR="00C82747">
        <w:rPr>
          <w:rFonts w:ascii="Verdana" w:hAnsi="Verdana"/>
          <w:sz w:val="20"/>
          <w:szCs w:val="20"/>
          <w:lang w:val="es-CR"/>
        </w:rPr>
        <w:t xml:space="preserve">que </w:t>
      </w:r>
      <w:r w:rsidR="003E7AA3">
        <w:rPr>
          <w:rFonts w:ascii="Verdana" w:hAnsi="Verdana"/>
          <w:sz w:val="20"/>
          <w:szCs w:val="20"/>
          <w:lang w:val="es-CR"/>
        </w:rPr>
        <w:t xml:space="preserve">se pudo haber presentado una situación de acoso o intimidación en perjuicio de las </w:t>
      </w:r>
      <w:r w:rsidR="00C82747" w:rsidRPr="00C82747">
        <w:rPr>
          <w:rFonts w:ascii="Verdana" w:hAnsi="Verdana"/>
          <w:sz w:val="20"/>
          <w:szCs w:val="20"/>
          <w:lang w:val="es-CR"/>
        </w:rPr>
        <w:t>personas</w:t>
      </w:r>
      <w:r w:rsidR="00C82747">
        <w:rPr>
          <w:rFonts w:ascii="Verdana" w:hAnsi="Verdana"/>
          <w:sz w:val="20"/>
          <w:szCs w:val="20"/>
          <w:lang w:val="es-CR"/>
        </w:rPr>
        <w:t xml:space="preserve"> </w:t>
      </w:r>
      <w:r w:rsidR="00C82747" w:rsidRPr="00C82747">
        <w:rPr>
          <w:rFonts w:ascii="Verdana" w:hAnsi="Verdana"/>
          <w:sz w:val="20"/>
          <w:szCs w:val="20"/>
          <w:lang w:val="es-CR"/>
        </w:rPr>
        <w:t>beneficiaras por parte de una</w:t>
      </w:r>
      <w:r w:rsidR="00C82747">
        <w:rPr>
          <w:rFonts w:ascii="Verdana" w:hAnsi="Verdana"/>
          <w:sz w:val="20"/>
          <w:szCs w:val="20"/>
          <w:lang w:val="es-CR"/>
        </w:rPr>
        <w:t xml:space="preserve"> </w:t>
      </w:r>
      <w:r w:rsidR="00C82747" w:rsidRPr="00C82747">
        <w:rPr>
          <w:rFonts w:ascii="Verdana" w:hAnsi="Verdana"/>
          <w:sz w:val="20"/>
          <w:szCs w:val="20"/>
          <w:lang w:val="es-CR"/>
        </w:rPr>
        <w:t>persona que se identificó como Intendente Responsable</w:t>
      </w:r>
      <w:r w:rsidR="00C82747">
        <w:rPr>
          <w:rFonts w:ascii="Verdana" w:hAnsi="Verdana"/>
          <w:sz w:val="20"/>
          <w:szCs w:val="20"/>
          <w:lang w:val="es-CR"/>
        </w:rPr>
        <w:t xml:space="preserve"> </w:t>
      </w:r>
      <w:r w:rsidR="00C82747" w:rsidRPr="00C82747">
        <w:rPr>
          <w:rFonts w:ascii="Verdana" w:hAnsi="Verdana"/>
          <w:sz w:val="20"/>
          <w:szCs w:val="20"/>
          <w:lang w:val="es-CR"/>
        </w:rPr>
        <w:t>de Estudios de Seguridad de Protección</w:t>
      </w:r>
      <w:r w:rsidR="00574C6F">
        <w:rPr>
          <w:rFonts w:ascii="Verdana" w:hAnsi="Verdana"/>
          <w:sz w:val="20"/>
          <w:szCs w:val="20"/>
          <w:lang w:val="es-CR"/>
        </w:rPr>
        <w:t xml:space="preserve"> de la</w:t>
      </w:r>
      <w:r w:rsidR="00C82747" w:rsidRPr="00C82747">
        <w:rPr>
          <w:rFonts w:ascii="Verdana" w:hAnsi="Verdana"/>
          <w:sz w:val="20"/>
          <w:szCs w:val="20"/>
          <w:lang w:val="es-CR"/>
        </w:rPr>
        <w:t xml:space="preserve"> Policía Metropolitana de Cúcuta</w:t>
      </w:r>
      <w:r w:rsidR="003E7AA3">
        <w:rPr>
          <w:rFonts w:ascii="Verdana" w:hAnsi="Verdana"/>
          <w:sz w:val="20"/>
          <w:szCs w:val="20"/>
          <w:lang w:val="es-CR"/>
        </w:rPr>
        <w:t>. Esta persona</w:t>
      </w:r>
      <w:r w:rsidR="00C82747">
        <w:rPr>
          <w:rFonts w:ascii="Verdana" w:hAnsi="Verdana"/>
          <w:sz w:val="20"/>
          <w:szCs w:val="20"/>
          <w:lang w:val="es-CR"/>
        </w:rPr>
        <w:t xml:space="preserve">, se </w:t>
      </w:r>
      <w:r w:rsidR="003E7AA3">
        <w:rPr>
          <w:rFonts w:ascii="Verdana" w:hAnsi="Verdana"/>
          <w:sz w:val="20"/>
          <w:szCs w:val="20"/>
          <w:lang w:val="es-CR"/>
        </w:rPr>
        <w:t xml:space="preserve">habría comunicado directamente y </w:t>
      </w:r>
      <w:r w:rsidR="00C82747">
        <w:rPr>
          <w:rFonts w:ascii="Verdana" w:hAnsi="Verdana"/>
          <w:sz w:val="20"/>
          <w:szCs w:val="20"/>
          <w:lang w:val="es-CR"/>
        </w:rPr>
        <w:t xml:space="preserve">en repetidas ocasiones con </w:t>
      </w:r>
      <w:r w:rsidR="00C82747" w:rsidRPr="00C82747">
        <w:rPr>
          <w:rFonts w:ascii="Verdana" w:hAnsi="Verdana"/>
          <w:sz w:val="20"/>
          <w:szCs w:val="20"/>
          <w:lang w:val="es-CR"/>
        </w:rPr>
        <w:t>la señora Nery del Socorro Flórez</w:t>
      </w:r>
      <w:r w:rsidR="00C82747">
        <w:rPr>
          <w:rFonts w:ascii="Verdana" w:hAnsi="Verdana"/>
          <w:sz w:val="20"/>
          <w:szCs w:val="20"/>
          <w:lang w:val="es-CR"/>
        </w:rPr>
        <w:t xml:space="preserve">, llamó 19 veces a la señora Tatiana Romero y </w:t>
      </w:r>
      <w:r w:rsidR="00C82747" w:rsidRPr="00C82747">
        <w:rPr>
          <w:rFonts w:ascii="Verdana" w:hAnsi="Verdana"/>
          <w:sz w:val="20"/>
          <w:szCs w:val="20"/>
          <w:lang w:val="es-CR"/>
        </w:rPr>
        <w:t>acudió al domicilio de los padres de Naum</w:t>
      </w:r>
      <w:r w:rsidR="00C82747">
        <w:rPr>
          <w:rFonts w:ascii="Verdana" w:hAnsi="Verdana"/>
          <w:sz w:val="20"/>
          <w:szCs w:val="20"/>
          <w:lang w:val="es-CR"/>
        </w:rPr>
        <w:t xml:space="preserve"> </w:t>
      </w:r>
      <w:r w:rsidR="00C82747" w:rsidRPr="00C82747">
        <w:rPr>
          <w:rFonts w:ascii="Verdana" w:hAnsi="Verdana"/>
          <w:sz w:val="20"/>
          <w:szCs w:val="20"/>
          <w:lang w:val="es-CR"/>
        </w:rPr>
        <w:t>Miranda, vestido de civil y acompañado de una policía uniformada</w:t>
      </w:r>
      <w:r w:rsidR="00C82747">
        <w:rPr>
          <w:rFonts w:ascii="Verdana" w:hAnsi="Verdana"/>
          <w:sz w:val="20"/>
          <w:szCs w:val="20"/>
          <w:lang w:val="es-CR"/>
        </w:rPr>
        <w:t xml:space="preserve">, situación que </w:t>
      </w:r>
      <w:r w:rsidR="003E7AA3">
        <w:rPr>
          <w:rFonts w:ascii="Verdana" w:hAnsi="Verdana"/>
          <w:sz w:val="20"/>
          <w:szCs w:val="20"/>
          <w:lang w:val="es-CR"/>
        </w:rPr>
        <w:t xml:space="preserve">habría </w:t>
      </w:r>
      <w:r w:rsidR="00C82747">
        <w:rPr>
          <w:rFonts w:ascii="Verdana" w:hAnsi="Verdana"/>
          <w:sz w:val="20"/>
          <w:szCs w:val="20"/>
          <w:lang w:val="es-CR"/>
        </w:rPr>
        <w:t>generado ansiedad en algunos de los beneficiarios</w:t>
      </w:r>
      <w:r w:rsidR="003E7AA3">
        <w:rPr>
          <w:rFonts w:ascii="Verdana" w:hAnsi="Verdana"/>
          <w:sz w:val="20"/>
          <w:szCs w:val="20"/>
          <w:lang w:val="es-CR"/>
        </w:rPr>
        <w:t>. Esa persona no habría tomado contacto con los representantes de los beneficiarios de las presentes medidas, y según indicaron las personas que fueron contactadas por ese individuo,</w:t>
      </w:r>
      <w:r w:rsidR="00031122">
        <w:rPr>
          <w:rFonts w:ascii="Verdana" w:hAnsi="Verdana"/>
          <w:sz w:val="20"/>
          <w:szCs w:val="20"/>
          <w:lang w:val="es-CR"/>
        </w:rPr>
        <w:t xml:space="preserve"> </w:t>
      </w:r>
      <w:r w:rsidR="003E7AA3">
        <w:rPr>
          <w:rFonts w:ascii="Verdana" w:hAnsi="Verdana"/>
          <w:sz w:val="20"/>
          <w:szCs w:val="20"/>
          <w:lang w:val="es-CR"/>
        </w:rPr>
        <w:t>éste</w:t>
      </w:r>
      <w:r w:rsidR="00031122" w:rsidRPr="00031122">
        <w:rPr>
          <w:rFonts w:ascii="Verdana" w:hAnsi="Verdana"/>
          <w:sz w:val="20"/>
          <w:szCs w:val="20"/>
          <w:lang w:val="es-CR"/>
        </w:rPr>
        <w:t xml:space="preserve"> no tenía información alguna sobre el</w:t>
      </w:r>
      <w:r w:rsidR="00031122">
        <w:rPr>
          <w:rFonts w:ascii="Verdana" w:hAnsi="Verdana"/>
          <w:sz w:val="20"/>
          <w:szCs w:val="20"/>
          <w:lang w:val="es-CR"/>
        </w:rPr>
        <w:t xml:space="preserve"> </w:t>
      </w:r>
      <w:r w:rsidR="00031122" w:rsidRPr="00031122">
        <w:rPr>
          <w:rFonts w:ascii="Verdana" w:hAnsi="Verdana"/>
          <w:sz w:val="20"/>
          <w:szCs w:val="20"/>
          <w:lang w:val="es-CR"/>
        </w:rPr>
        <w:t xml:space="preserve">contexto en que se otorgaron las medidas provisionales ni sobre el caso de 19 Comerciantes. </w:t>
      </w:r>
    </w:p>
    <w:p w14:paraId="5BD94623" w14:textId="131017CD" w:rsidR="007957AC" w:rsidRDefault="007957AC"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De todo lo anterior, se puede inferir que</w:t>
      </w:r>
      <w:r w:rsidR="00574C6F">
        <w:rPr>
          <w:rFonts w:ascii="Verdana" w:hAnsi="Verdana"/>
          <w:sz w:val="20"/>
          <w:szCs w:val="20"/>
          <w:lang w:val="es-CR"/>
        </w:rPr>
        <w:t>,</w:t>
      </w:r>
      <w:r>
        <w:rPr>
          <w:rFonts w:ascii="Verdana" w:hAnsi="Verdana"/>
          <w:sz w:val="20"/>
          <w:szCs w:val="20"/>
          <w:lang w:val="es-CR"/>
        </w:rPr>
        <w:t xml:space="preserve"> al momento de la emisión de las medidas urgentes por parte de la Presidencia, se configuraban elementos que refleja</w:t>
      </w:r>
      <w:r w:rsidR="006369EA">
        <w:rPr>
          <w:rFonts w:ascii="Verdana" w:hAnsi="Verdana"/>
          <w:sz w:val="20"/>
          <w:szCs w:val="20"/>
          <w:lang w:val="es-CR"/>
        </w:rPr>
        <w:t>ba</w:t>
      </w:r>
      <w:r>
        <w:rPr>
          <w:rFonts w:ascii="Verdana" w:hAnsi="Verdana"/>
          <w:sz w:val="20"/>
          <w:szCs w:val="20"/>
          <w:lang w:val="es-CR"/>
        </w:rPr>
        <w:t>n una situación de extrema gravedad y urgencia, con la posibilidad razonable de que contin</w:t>
      </w:r>
      <w:r w:rsidR="006369EA">
        <w:rPr>
          <w:rFonts w:ascii="Verdana" w:hAnsi="Verdana"/>
          <w:sz w:val="20"/>
          <w:szCs w:val="20"/>
          <w:lang w:val="es-CR"/>
        </w:rPr>
        <w:t>uara</w:t>
      </w:r>
      <w:r>
        <w:rPr>
          <w:rFonts w:ascii="Verdana" w:hAnsi="Verdana"/>
          <w:sz w:val="20"/>
          <w:szCs w:val="20"/>
          <w:lang w:val="es-CR"/>
        </w:rPr>
        <w:t xml:space="preserve">n materializándose daños irreparables a los derechos a la vida, integridad personal, y de circulación y residencia de Nery del Socorro Flórez Contreras y sus familiares. A su vez, desde la emisión de la referida Resolución de medidas urgentes de 2 de abril de 2020, </w:t>
      </w:r>
      <w:r w:rsidR="00574C6F">
        <w:rPr>
          <w:rFonts w:ascii="Verdana" w:hAnsi="Verdana"/>
          <w:sz w:val="20"/>
          <w:szCs w:val="20"/>
          <w:lang w:val="es-CR"/>
        </w:rPr>
        <w:t xml:space="preserve">Colombia </w:t>
      </w:r>
      <w:r w:rsidR="00470443">
        <w:rPr>
          <w:rFonts w:ascii="Verdana" w:hAnsi="Verdana"/>
          <w:sz w:val="20"/>
          <w:szCs w:val="20"/>
          <w:lang w:val="es-CR"/>
        </w:rPr>
        <w:t xml:space="preserve">aún </w:t>
      </w:r>
      <w:r>
        <w:rPr>
          <w:rFonts w:ascii="Verdana" w:hAnsi="Verdana"/>
          <w:sz w:val="20"/>
          <w:szCs w:val="20"/>
          <w:lang w:val="es-CR"/>
        </w:rPr>
        <w:t>no ha</w:t>
      </w:r>
      <w:r w:rsidR="00574C6F">
        <w:rPr>
          <w:rFonts w:ascii="Verdana" w:hAnsi="Verdana"/>
          <w:sz w:val="20"/>
          <w:szCs w:val="20"/>
          <w:lang w:val="es-CR"/>
        </w:rPr>
        <w:t xml:space="preserve"> adoptado</w:t>
      </w:r>
      <w:r>
        <w:rPr>
          <w:rFonts w:ascii="Verdana" w:hAnsi="Verdana"/>
          <w:sz w:val="20"/>
          <w:szCs w:val="20"/>
          <w:lang w:val="es-CR"/>
        </w:rPr>
        <w:t xml:space="preserve"> medidas concretas de protección a favor de esas personas, ni se ha dado cuenta de investigaciones que hubiesen sido adelantadas por los hechos denunciados por los representantes. Por el contrario</w:t>
      </w:r>
      <w:r w:rsidR="00574C6F">
        <w:rPr>
          <w:rFonts w:ascii="Verdana" w:hAnsi="Verdana"/>
          <w:sz w:val="20"/>
          <w:szCs w:val="20"/>
          <w:lang w:val="es-CR"/>
        </w:rPr>
        <w:t>,</w:t>
      </w:r>
      <w:r>
        <w:rPr>
          <w:rFonts w:ascii="Verdana" w:hAnsi="Verdana"/>
          <w:sz w:val="20"/>
          <w:szCs w:val="20"/>
          <w:lang w:val="es-CR"/>
        </w:rPr>
        <w:t xml:space="preserve"> se habrían presentado nuevos hechos</w:t>
      </w:r>
      <w:r w:rsidRPr="00D25BFD">
        <w:rPr>
          <w:rFonts w:ascii="Verdana" w:hAnsi="Verdana"/>
          <w:sz w:val="20"/>
          <w:szCs w:val="20"/>
          <w:lang w:val="es-CR"/>
        </w:rPr>
        <w:t xml:space="preserve"> </w:t>
      </w:r>
      <w:r>
        <w:rPr>
          <w:rFonts w:ascii="Verdana" w:hAnsi="Verdana"/>
          <w:sz w:val="20"/>
          <w:szCs w:val="20"/>
          <w:lang w:val="es-CR"/>
        </w:rPr>
        <w:t xml:space="preserve">de presunto hostigamiento por parte de una persona identificada </w:t>
      </w:r>
      <w:r w:rsidRPr="00C82747">
        <w:rPr>
          <w:rFonts w:ascii="Verdana" w:hAnsi="Verdana"/>
          <w:sz w:val="20"/>
          <w:szCs w:val="20"/>
          <w:lang w:val="es-CR"/>
        </w:rPr>
        <w:t>como Intendente Responsable</w:t>
      </w:r>
      <w:r>
        <w:rPr>
          <w:rFonts w:ascii="Verdana" w:hAnsi="Verdana"/>
          <w:sz w:val="20"/>
          <w:szCs w:val="20"/>
          <w:lang w:val="es-CR"/>
        </w:rPr>
        <w:t xml:space="preserve"> </w:t>
      </w:r>
      <w:r w:rsidRPr="00C82747">
        <w:rPr>
          <w:rFonts w:ascii="Verdana" w:hAnsi="Verdana"/>
          <w:sz w:val="20"/>
          <w:szCs w:val="20"/>
          <w:lang w:val="es-CR"/>
        </w:rPr>
        <w:t xml:space="preserve">de Estudios de Seguridad de Protección </w:t>
      </w:r>
      <w:r w:rsidR="002D1928">
        <w:rPr>
          <w:rFonts w:ascii="Verdana" w:hAnsi="Verdana"/>
          <w:sz w:val="20"/>
          <w:szCs w:val="20"/>
          <w:lang w:val="es-CR"/>
        </w:rPr>
        <w:t xml:space="preserve">de la </w:t>
      </w:r>
      <w:r w:rsidRPr="00C82747">
        <w:rPr>
          <w:rFonts w:ascii="Verdana" w:hAnsi="Verdana"/>
          <w:sz w:val="20"/>
          <w:szCs w:val="20"/>
          <w:lang w:val="es-CR"/>
        </w:rPr>
        <w:t>Policía Metropolitana de Cúcuta</w:t>
      </w:r>
      <w:r>
        <w:rPr>
          <w:rFonts w:ascii="Verdana" w:hAnsi="Verdana"/>
          <w:sz w:val="20"/>
          <w:szCs w:val="20"/>
          <w:lang w:val="es-CR"/>
        </w:rPr>
        <w:t xml:space="preserve"> (</w:t>
      </w:r>
      <w:r w:rsidRPr="00E05B5F">
        <w:rPr>
          <w:rFonts w:ascii="Verdana" w:hAnsi="Verdana"/>
          <w:i/>
          <w:sz w:val="20"/>
          <w:szCs w:val="20"/>
          <w:lang w:val="es-CR"/>
        </w:rPr>
        <w:t>supra</w:t>
      </w:r>
      <w:r>
        <w:rPr>
          <w:rFonts w:ascii="Verdana" w:hAnsi="Verdana"/>
          <w:sz w:val="20"/>
          <w:szCs w:val="20"/>
          <w:lang w:val="es-CR"/>
        </w:rPr>
        <w:t xml:space="preserve"> párr. </w:t>
      </w:r>
      <w:r w:rsidR="00320EBF">
        <w:rPr>
          <w:rFonts w:ascii="Verdana" w:hAnsi="Verdana"/>
          <w:sz w:val="20"/>
          <w:szCs w:val="20"/>
          <w:lang w:val="es-CR"/>
        </w:rPr>
        <w:t>21</w:t>
      </w:r>
      <w:r>
        <w:rPr>
          <w:rFonts w:ascii="Verdana" w:hAnsi="Verdana"/>
          <w:sz w:val="20"/>
          <w:szCs w:val="20"/>
          <w:lang w:val="es-CR"/>
        </w:rPr>
        <w:t>).</w:t>
      </w:r>
    </w:p>
    <w:p w14:paraId="4F63D5E3" w14:textId="5DED7C9D" w:rsidR="007957AC" w:rsidRDefault="007957AC" w:rsidP="00E05B5F">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 xml:space="preserve">La Corte nota que los hechos denunciados mantienen una conexión fáctica con las medidas provisionales otorgadas el 3 de septiembre de 2004 y mantenidas mediante </w:t>
      </w:r>
      <w:r w:rsidR="006369EA">
        <w:rPr>
          <w:rFonts w:ascii="Verdana" w:hAnsi="Verdana"/>
          <w:sz w:val="20"/>
          <w:szCs w:val="20"/>
          <w:lang w:val="es-CR"/>
        </w:rPr>
        <w:t>R</w:t>
      </w:r>
      <w:r>
        <w:rPr>
          <w:rFonts w:ascii="Verdana" w:hAnsi="Verdana"/>
          <w:sz w:val="20"/>
          <w:szCs w:val="20"/>
          <w:lang w:val="es-CR"/>
        </w:rPr>
        <w:t xml:space="preserve">esolución de </w:t>
      </w:r>
      <w:r>
        <w:rPr>
          <w:rFonts w:ascii="Verdana" w:hAnsi="Verdana"/>
          <w:sz w:val="20"/>
          <w:szCs w:val="20"/>
          <w:lang w:val="es-MX"/>
        </w:rPr>
        <w:t>26 de junio de 2012, toda vez que se refieren a víctimas del caso</w:t>
      </w:r>
      <w:r w:rsidR="009B0D76">
        <w:rPr>
          <w:rFonts w:ascii="Verdana" w:hAnsi="Verdana"/>
          <w:sz w:val="20"/>
          <w:szCs w:val="20"/>
          <w:lang w:val="es-MX"/>
        </w:rPr>
        <w:t xml:space="preserve"> y</w:t>
      </w:r>
      <w:r>
        <w:rPr>
          <w:rFonts w:ascii="Verdana" w:hAnsi="Verdana"/>
          <w:sz w:val="20"/>
          <w:szCs w:val="20"/>
          <w:lang w:val="es-MX"/>
        </w:rPr>
        <w:t xml:space="preserve"> podrían derivarse del contexto de violencia y amenazas en contra de los beneficiarios de dichas medidas, el cual se materializó con posterioridad a la audiencia de supervisión de cumplimiento del caso. </w:t>
      </w:r>
    </w:p>
    <w:p w14:paraId="42FC3BFB" w14:textId="6E403FAA" w:rsidR="0038765A" w:rsidRPr="00B126A7" w:rsidRDefault="00D25BFD" w:rsidP="00D25BFD">
      <w:pPr>
        <w:numPr>
          <w:ilvl w:val="0"/>
          <w:numId w:val="9"/>
        </w:numPr>
        <w:tabs>
          <w:tab w:val="left" w:pos="0"/>
        </w:tabs>
        <w:spacing w:before="120" w:after="120" w:line="240" w:lineRule="auto"/>
        <w:ind w:left="0" w:right="18" w:firstLine="0"/>
        <w:jc w:val="both"/>
        <w:rPr>
          <w:rFonts w:ascii="Verdana" w:hAnsi="Verdana"/>
          <w:sz w:val="20"/>
          <w:szCs w:val="20"/>
          <w:lang w:val="es-CR"/>
        </w:rPr>
      </w:pPr>
      <w:r w:rsidRPr="00B126A7">
        <w:rPr>
          <w:rFonts w:ascii="Verdana" w:hAnsi="Verdana"/>
          <w:sz w:val="20"/>
          <w:szCs w:val="20"/>
          <w:lang w:val="es-CR"/>
        </w:rPr>
        <w:t>En consecuencia</w:t>
      </w:r>
      <w:r w:rsidR="00394D34" w:rsidRPr="00B126A7">
        <w:rPr>
          <w:rFonts w:ascii="Verdana" w:hAnsi="Verdana"/>
          <w:sz w:val="20"/>
          <w:szCs w:val="20"/>
          <w:lang w:val="es-CR"/>
        </w:rPr>
        <w:t xml:space="preserve">, de conformidad con el </w:t>
      </w:r>
      <w:r w:rsidR="0038765A" w:rsidRPr="00B126A7">
        <w:rPr>
          <w:rFonts w:ascii="Verdana" w:hAnsi="Verdana"/>
          <w:sz w:val="20"/>
          <w:szCs w:val="20"/>
          <w:lang w:val="es-CR"/>
        </w:rPr>
        <w:t xml:space="preserve">estándar </w:t>
      </w:r>
      <w:r w:rsidR="0038765A" w:rsidRPr="00B126A7">
        <w:rPr>
          <w:rFonts w:ascii="Verdana" w:hAnsi="Verdana"/>
          <w:i/>
          <w:sz w:val="20"/>
          <w:szCs w:val="20"/>
          <w:lang w:val="es-CR"/>
        </w:rPr>
        <w:t xml:space="preserve">prima facie, </w:t>
      </w:r>
      <w:r w:rsidRPr="00B126A7">
        <w:rPr>
          <w:rFonts w:ascii="Verdana" w:hAnsi="Verdana"/>
          <w:sz w:val="20"/>
          <w:szCs w:val="20"/>
          <w:lang w:val="es-CR"/>
        </w:rPr>
        <w:t xml:space="preserve">esta </w:t>
      </w:r>
      <w:r w:rsidR="003F1197">
        <w:rPr>
          <w:rFonts w:ascii="Verdana" w:hAnsi="Verdana"/>
          <w:sz w:val="20"/>
          <w:szCs w:val="20"/>
          <w:lang w:val="es-CR"/>
        </w:rPr>
        <w:t>Corte</w:t>
      </w:r>
      <w:r w:rsidR="003F1197" w:rsidRPr="00B126A7">
        <w:rPr>
          <w:rFonts w:ascii="Verdana" w:hAnsi="Verdana"/>
          <w:sz w:val="20"/>
          <w:szCs w:val="20"/>
          <w:lang w:val="es-CR"/>
        </w:rPr>
        <w:t xml:space="preserve"> </w:t>
      </w:r>
      <w:r w:rsidR="00394D34" w:rsidRPr="00B126A7">
        <w:rPr>
          <w:rFonts w:ascii="Verdana" w:hAnsi="Verdana"/>
          <w:sz w:val="20"/>
          <w:szCs w:val="20"/>
          <w:lang w:val="es-CR"/>
        </w:rPr>
        <w:t>estima</w:t>
      </w:r>
      <w:r w:rsidR="0038765A" w:rsidRPr="00B126A7">
        <w:rPr>
          <w:rFonts w:ascii="Verdana" w:hAnsi="Verdana"/>
          <w:sz w:val="20"/>
          <w:szCs w:val="20"/>
          <w:lang w:val="es-CR"/>
        </w:rPr>
        <w:t xml:space="preserve"> que se encuentran reunidos los requisitos de extrema gravedad, urgencia y peligro inminente de daño irreparable a los </w:t>
      </w:r>
      <w:r w:rsidR="004433E8">
        <w:rPr>
          <w:rFonts w:ascii="Verdana" w:hAnsi="Verdana"/>
          <w:sz w:val="20"/>
          <w:szCs w:val="20"/>
          <w:lang w:val="es-CR"/>
        </w:rPr>
        <w:t>beneficiarios</w:t>
      </w:r>
      <w:r w:rsidR="00DE555E" w:rsidRPr="00B126A7">
        <w:rPr>
          <w:rFonts w:ascii="Verdana" w:hAnsi="Verdana"/>
          <w:sz w:val="20"/>
          <w:szCs w:val="20"/>
          <w:lang w:val="es-CR"/>
        </w:rPr>
        <w:t xml:space="preserve"> </w:t>
      </w:r>
      <w:r w:rsidRPr="00B126A7">
        <w:rPr>
          <w:rFonts w:ascii="Verdana" w:hAnsi="Verdana"/>
          <w:sz w:val="20"/>
          <w:szCs w:val="20"/>
          <w:lang w:val="es-CR"/>
        </w:rPr>
        <w:t xml:space="preserve">y sus </w:t>
      </w:r>
      <w:r w:rsidR="004433E8">
        <w:rPr>
          <w:rFonts w:ascii="Verdana" w:hAnsi="Verdana"/>
          <w:sz w:val="20"/>
          <w:szCs w:val="20"/>
          <w:lang w:val="es-CR"/>
        </w:rPr>
        <w:t xml:space="preserve">núcleos </w:t>
      </w:r>
      <w:r w:rsidRPr="00B126A7">
        <w:rPr>
          <w:rFonts w:ascii="Verdana" w:hAnsi="Verdana"/>
          <w:sz w:val="20"/>
          <w:szCs w:val="20"/>
          <w:lang w:val="es-CR"/>
        </w:rPr>
        <w:t xml:space="preserve">familiares </w:t>
      </w:r>
      <w:r w:rsidR="0038765A" w:rsidRPr="00B126A7">
        <w:rPr>
          <w:rFonts w:ascii="Verdana" w:hAnsi="Verdana"/>
          <w:sz w:val="20"/>
          <w:szCs w:val="20"/>
          <w:lang w:val="es-CR"/>
        </w:rPr>
        <w:t>que requiere su protección a través del mecanismo</w:t>
      </w:r>
      <w:r w:rsidR="00CB5681" w:rsidRPr="00B126A7">
        <w:rPr>
          <w:rFonts w:ascii="Verdana" w:hAnsi="Verdana"/>
          <w:sz w:val="20"/>
          <w:szCs w:val="20"/>
          <w:lang w:val="es-CR"/>
        </w:rPr>
        <w:t xml:space="preserve"> urgente</w:t>
      </w:r>
      <w:r w:rsidR="0038765A" w:rsidRPr="00B126A7">
        <w:rPr>
          <w:rFonts w:ascii="Verdana" w:hAnsi="Verdana"/>
          <w:sz w:val="20"/>
          <w:szCs w:val="20"/>
          <w:lang w:val="es-CR"/>
        </w:rPr>
        <w:t xml:space="preserve"> de medidas provisionales. </w:t>
      </w:r>
      <w:r w:rsidR="00394D34" w:rsidRPr="00B126A7">
        <w:rPr>
          <w:rFonts w:ascii="Verdana" w:hAnsi="Verdana"/>
          <w:sz w:val="20"/>
          <w:szCs w:val="20"/>
          <w:lang w:val="es-CR"/>
        </w:rPr>
        <w:t xml:space="preserve">Por consiguiente, </w:t>
      </w:r>
      <w:r w:rsidR="00B126A7" w:rsidRPr="00B126A7">
        <w:rPr>
          <w:rFonts w:ascii="Verdana" w:hAnsi="Verdana"/>
          <w:spacing w:val="-4"/>
          <w:sz w:val="20"/>
          <w:szCs w:val="20"/>
          <w:lang w:val="es-MX"/>
        </w:rPr>
        <w:t>es</w:t>
      </w:r>
      <w:r w:rsidR="00CB5681" w:rsidRPr="00B126A7">
        <w:rPr>
          <w:rFonts w:ascii="Verdana" w:hAnsi="Verdana"/>
          <w:spacing w:val="-4"/>
          <w:sz w:val="20"/>
          <w:szCs w:val="20"/>
          <w:lang w:val="es-MX"/>
        </w:rPr>
        <w:t xml:space="preserve"> procedente </w:t>
      </w:r>
      <w:r w:rsidR="004433E8">
        <w:rPr>
          <w:rFonts w:ascii="Verdana" w:hAnsi="Verdana"/>
          <w:spacing w:val="-4"/>
          <w:sz w:val="20"/>
          <w:szCs w:val="20"/>
          <w:lang w:val="es-MX"/>
        </w:rPr>
        <w:t>confirmar</w:t>
      </w:r>
      <w:r w:rsidR="00CB5681" w:rsidRPr="00B126A7">
        <w:rPr>
          <w:rFonts w:ascii="Verdana" w:hAnsi="Verdana"/>
          <w:spacing w:val="-4"/>
          <w:sz w:val="20"/>
          <w:szCs w:val="20"/>
          <w:lang w:val="es-MX"/>
        </w:rPr>
        <w:t xml:space="preserve"> la ampliación de las presentes medidas provisionales</w:t>
      </w:r>
      <w:r w:rsidR="004433E8">
        <w:rPr>
          <w:rFonts w:ascii="Verdana" w:hAnsi="Verdana"/>
          <w:spacing w:val="-4"/>
          <w:sz w:val="20"/>
          <w:szCs w:val="20"/>
          <w:lang w:val="es-MX"/>
        </w:rPr>
        <w:t xml:space="preserve"> otorgadas en la </w:t>
      </w:r>
      <w:r w:rsidR="009B0D76">
        <w:rPr>
          <w:rFonts w:ascii="Verdana" w:hAnsi="Verdana"/>
          <w:spacing w:val="-4"/>
          <w:sz w:val="20"/>
          <w:szCs w:val="20"/>
          <w:lang w:val="es-MX"/>
        </w:rPr>
        <w:t>R</w:t>
      </w:r>
      <w:r w:rsidR="004433E8">
        <w:rPr>
          <w:rFonts w:ascii="Verdana" w:hAnsi="Verdana"/>
          <w:spacing w:val="-4"/>
          <w:sz w:val="20"/>
          <w:szCs w:val="20"/>
          <w:lang w:val="es-MX"/>
        </w:rPr>
        <w:t>esolución de 2 de abril de 2020.</w:t>
      </w:r>
    </w:p>
    <w:p w14:paraId="7F757549" w14:textId="77777777" w:rsidR="00A220A1" w:rsidRPr="007865FC" w:rsidRDefault="00A220A1" w:rsidP="00E604E5">
      <w:pPr>
        <w:pStyle w:val="Prrafodelista1"/>
        <w:tabs>
          <w:tab w:val="left" w:pos="720"/>
        </w:tabs>
        <w:contextualSpacing w:val="0"/>
        <w:jc w:val="both"/>
        <w:rPr>
          <w:iCs/>
          <w:sz w:val="20"/>
          <w:szCs w:val="20"/>
        </w:rPr>
      </w:pPr>
    </w:p>
    <w:p w14:paraId="4C47C124" w14:textId="77777777" w:rsidR="0038765A" w:rsidRPr="007865FC" w:rsidRDefault="0038765A" w:rsidP="00E604E5">
      <w:pPr>
        <w:pStyle w:val="Prrafodelista1"/>
        <w:tabs>
          <w:tab w:val="left" w:pos="720"/>
        </w:tabs>
        <w:contextualSpacing w:val="0"/>
        <w:jc w:val="both"/>
        <w:rPr>
          <w:b/>
          <w:sz w:val="20"/>
          <w:szCs w:val="20"/>
          <w:lang w:val="es-GT"/>
        </w:rPr>
      </w:pPr>
      <w:r w:rsidRPr="007865FC">
        <w:rPr>
          <w:b/>
          <w:sz w:val="20"/>
          <w:szCs w:val="20"/>
          <w:lang w:val="es-GT"/>
        </w:rPr>
        <w:t>POR TANTO:</w:t>
      </w:r>
    </w:p>
    <w:p w14:paraId="77C94EA7" w14:textId="77777777" w:rsidR="0038765A" w:rsidRPr="007865FC" w:rsidRDefault="0038765A" w:rsidP="00E604E5">
      <w:pPr>
        <w:spacing w:after="0" w:line="240" w:lineRule="auto"/>
        <w:ind w:right="18"/>
        <w:jc w:val="both"/>
        <w:rPr>
          <w:rFonts w:ascii="Verdana" w:hAnsi="Verdana"/>
          <w:b/>
          <w:sz w:val="20"/>
          <w:szCs w:val="20"/>
          <w:lang w:val="es-GT"/>
        </w:rPr>
      </w:pPr>
    </w:p>
    <w:p w14:paraId="00DB4EF0" w14:textId="345ACB27" w:rsidR="0038765A" w:rsidRPr="007865FC" w:rsidRDefault="00CA3DF3" w:rsidP="00E604E5">
      <w:pPr>
        <w:spacing w:after="0" w:line="240" w:lineRule="auto"/>
        <w:ind w:right="18"/>
        <w:jc w:val="both"/>
        <w:rPr>
          <w:rFonts w:ascii="Verdana" w:hAnsi="Verdana"/>
          <w:b/>
          <w:sz w:val="20"/>
          <w:szCs w:val="20"/>
          <w:lang w:val="es-GT"/>
        </w:rPr>
      </w:pPr>
      <w:r>
        <w:rPr>
          <w:rFonts w:ascii="Verdana" w:hAnsi="Verdana"/>
          <w:b/>
          <w:sz w:val="20"/>
          <w:szCs w:val="20"/>
          <w:lang w:val="es-GT"/>
        </w:rPr>
        <w:t>LA CORTE</w:t>
      </w:r>
      <w:r w:rsidR="0038765A" w:rsidRPr="007865FC">
        <w:rPr>
          <w:rFonts w:ascii="Verdana" w:hAnsi="Verdana"/>
          <w:b/>
          <w:sz w:val="20"/>
          <w:szCs w:val="20"/>
          <w:lang w:val="es-GT"/>
        </w:rPr>
        <w:t xml:space="preserve"> INTERAMERICANA DE DERECHOS HUMANOS,</w:t>
      </w:r>
    </w:p>
    <w:p w14:paraId="787000CF" w14:textId="77777777" w:rsidR="0038765A" w:rsidRPr="007865FC" w:rsidRDefault="0038765A" w:rsidP="00E604E5">
      <w:pPr>
        <w:spacing w:after="0" w:line="240" w:lineRule="auto"/>
        <w:ind w:right="18"/>
        <w:jc w:val="both"/>
        <w:rPr>
          <w:rFonts w:ascii="Verdana" w:hAnsi="Verdana"/>
          <w:b/>
          <w:sz w:val="20"/>
          <w:szCs w:val="20"/>
          <w:lang w:val="es-GT"/>
        </w:rPr>
      </w:pPr>
    </w:p>
    <w:p w14:paraId="7BDC0B2B" w14:textId="74B15898" w:rsidR="0038765A" w:rsidRPr="007865FC" w:rsidRDefault="0038765A" w:rsidP="00E604E5">
      <w:pPr>
        <w:spacing w:after="0" w:line="240" w:lineRule="auto"/>
        <w:jc w:val="both"/>
        <w:rPr>
          <w:rFonts w:ascii="Verdana" w:hAnsi="Verdana"/>
          <w:sz w:val="20"/>
          <w:szCs w:val="20"/>
          <w:lang w:val="es-MX"/>
        </w:rPr>
      </w:pPr>
      <w:r w:rsidRPr="007865FC">
        <w:rPr>
          <w:rFonts w:ascii="Verdana" w:hAnsi="Verdana"/>
          <w:sz w:val="20"/>
          <w:szCs w:val="20"/>
          <w:lang w:val="es-MX"/>
        </w:rPr>
        <w:t>en uso de las atribuciones que le confieren el artículo 63.2 de la Convención Americana, y los artículos</w:t>
      </w:r>
      <w:r w:rsidR="00CA3DF3">
        <w:rPr>
          <w:rFonts w:ascii="Verdana" w:hAnsi="Verdana"/>
          <w:sz w:val="20"/>
          <w:szCs w:val="20"/>
          <w:lang w:val="es-MX"/>
        </w:rPr>
        <w:t xml:space="preserve"> </w:t>
      </w:r>
      <w:r w:rsidR="00CA3DF3" w:rsidRPr="00CA3DF3">
        <w:rPr>
          <w:rFonts w:ascii="Verdana" w:hAnsi="Verdana"/>
          <w:sz w:val="20"/>
          <w:szCs w:val="20"/>
          <w:lang w:val="es-MX"/>
        </w:rPr>
        <w:t>24.</w:t>
      </w:r>
      <w:r w:rsidR="00E67241">
        <w:rPr>
          <w:rFonts w:ascii="Verdana" w:hAnsi="Verdana"/>
          <w:sz w:val="20"/>
          <w:szCs w:val="20"/>
          <w:lang w:val="es-MX"/>
        </w:rPr>
        <w:t>2</w:t>
      </w:r>
      <w:r w:rsidR="00E67241" w:rsidRPr="00CA3DF3">
        <w:rPr>
          <w:rFonts w:ascii="Verdana" w:hAnsi="Verdana"/>
          <w:sz w:val="20"/>
          <w:szCs w:val="20"/>
          <w:lang w:val="es-MX"/>
        </w:rPr>
        <w:t xml:space="preserve"> </w:t>
      </w:r>
      <w:r w:rsidR="00CA3DF3" w:rsidRPr="00CA3DF3">
        <w:rPr>
          <w:rFonts w:ascii="Verdana" w:hAnsi="Verdana"/>
          <w:sz w:val="20"/>
          <w:szCs w:val="20"/>
          <w:lang w:val="es-MX"/>
        </w:rPr>
        <w:t>del Estatuto de la Corte</w:t>
      </w:r>
      <w:r w:rsidR="00CA3DF3">
        <w:rPr>
          <w:rFonts w:ascii="Verdana" w:hAnsi="Verdana"/>
          <w:sz w:val="20"/>
          <w:szCs w:val="20"/>
          <w:lang w:val="es-MX"/>
        </w:rPr>
        <w:t xml:space="preserve">, y </w:t>
      </w:r>
      <w:r w:rsidRPr="007865FC">
        <w:rPr>
          <w:rFonts w:ascii="Verdana" w:hAnsi="Verdana"/>
          <w:sz w:val="20"/>
          <w:szCs w:val="20"/>
          <w:lang w:val="es-MX"/>
        </w:rPr>
        <w:t>27 y 31 del Reglamento de la Corte,</w:t>
      </w:r>
    </w:p>
    <w:p w14:paraId="264742F4" w14:textId="77777777" w:rsidR="007E1451" w:rsidRPr="007865FC" w:rsidRDefault="007E1451" w:rsidP="00E604E5">
      <w:pPr>
        <w:tabs>
          <w:tab w:val="left" w:pos="680"/>
        </w:tabs>
        <w:spacing w:after="0" w:line="240" w:lineRule="auto"/>
        <w:ind w:right="18"/>
        <w:jc w:val="both"/>
        <w:rPr>
          <w:rFonts w:ascii="Verdana" w:hAnsi="Verdana"/>
          <w:b/>
          <w:sz w:val="20"/>
          <w:szCs w:val="20"/>
          <w:lang w:val="es-CR"/>
        </w:rPr>
      </w:pPr>
    </w:p>
    <w:p w14:paraId="43A573AC" w14:textId="7EC8A59E" w:rsidR="0038765A" w:rsidRPr="00FC123E" w:rsidRDefault="0038765A" w:rsidP="00E604E5">
      <w:pPr>
        <w:tabs>
          <w:tab w:val="left" w:pos="680"/>
        </w:tabs>
        <w:spacing w:after="0" w:line="240" w:lineRule="auto"/>
        <w:ind w:right="18"/>
        <w:jc w:val="both"/>
        <w:rPr>
          <w:rFonts w:ascii="Verdana" w:hAnsi="Verdana"/>
          <w:b/>
          <w:sz w:val="20"/>
          <w:szCs w:val="20"/>
          <w:lang w:val="es-CR"/>
        </w:rPr>
      </w:pPr>
      <w:r w:rsidRPr="00FC123E">
        <w:rPr>
          <w:rFonts w:ascii="Verdana" w:hAnsi="Verdana"/>
          <w:b/>
          <w:sz w:val="20"/>
          <w:szCs w:val="20"/>
          <w:lang w:val="es-CR"/>
        </w:rPr>
        <w:t>RESUELVE:</w:t>
      </w:r>
    </w:p>
    <w:p w14:paraId="3D535B7C" w14:textId="218E4A7E" w:rsidR="0038765A" w:rsidRDefault="0038765A" w:rsidP="00E604E5">
      <w:pPr>
        <w:spacing w:after="0" w:line="240" w:lineRule="auto"/>
        <w:ind w:right="18"/>
        <w:jc w:val="both"/>
        <w:rPr>
          <w:rFonts w:ascii="Verdana" w:hAnsi="Verdana"/>
          <w:sz w:val="20"/>
          <w:szCs w:val="20"/>
          <w:lang w:val="es-GT"/>
        </w:rPr>
      </w:pPr>
    </w:p>
    <w:p w14:paraId="6ACC84BC" w14:textId="7B1FEC7B" w:rsidR="00E25F30" w:rsidRPr="007865FC" w:rsidRDefault="00E25F30" w:rsidP="00E604E5">
      <w:pPr>
        <w:spacing w:after="0" w:line="240" w:lineRule="auto"/>
        <w:ind w:right="18"/>
        <w:jc w:val="both"/>
        <w:rPr>
          <w:rFonts w:ascii="Verdana" w:hAnsi="Verdana"/>
          <w:sz w:val="20"/>
          <w:szCs w:val="20"/>
          <w:lang w:val="es-GT"/>
        </w:rPr>
      </w:pPr>
      <w:r w:rsidRPr="00A56148">
        <w:rPr>
          <w:rFonts w:ascii="Verdana" w:hAnsi="Verdana"/>
          <w:sz w:val="20"/>
          <w:szCs w:val="20"/>
          <w:lang w:val="es-CR"/>
        </w:rPr>
        <w:t>Por cinco votos contra uno,</w:t>
      </w:r>
    </w:p>
    <w:p w14:paraId="4071DF4A" w14:textId="5B8BAE76" w:rsidR="00E25F30" w:rsidRPr="00E25F30" w:rsidRDefault="00E67241" w:rsidP="00E25F30">
      <w:pPr>
        <w:numPr>
          <w:ilvl w:val="0"/>
          <w:numId w:val="28"/>
        </w:numPr>
        <w:tabs>
          <w:tab w:val="left" w:pos="0"/>
        </w:tabs>
        <w:spacing w:before="120" w:after="120" w:line="240" w:lineRule="auto"/>
        <w:ind w:left="0" w:right="18" w:firstLine="0"/>
        <w:jc w:val="both"/>
        <w:rPr>
          <w:rFonts w:ascii="Verdana" w:hAnsi="Verdana"/>
          <w:sz w:val="20"/>
          <w:szCs w:val="20"/>
          <w:lang w:val="es-CO"/>
        </w:rPr>
      </w:pPr>
      <w:r w:rsidRPr="00E67241">
        <w:rPr>
          <w:rFonts w:ascii="Verdana" w:hAnsi="Verdana"/>
          <w:sz w:val="20"/>
          <w:szCs w:val="20"/>
          <w:lang w:val="es-MX"/>
        </w:rPr>
        <w:t>Ratificar en todos sus términos la Resolución de</w:t>
      </w:r>
      <w:r>
        <w:rPr>
          <w:rFonts w:ascii="Verdana" w:hAnsi="Verdana"/>
          <w:sz w:val="20"/>
          <w:szCs w:val="20"/>
          <w:lang w:val="es-MX"/>
        </w:rPr>
        <w:t xml:space="preserve"> </w:t>
      </w:r>
      <w:r w:rsidRPr="00E67241">
        <w:rPr>
          <w:rFonts w:ascii="Verdana" w:hAnsi="Verdana"/>
          <w:sz w:val="20"/>
          <w:szCs w:val="20"/>
          <w:lang w:val="es-MX"/>
        </w:rPr>
        <w:t>l</w:t>
      </w:r>
      <w:r>
        <w:rPr>
          <w:rFonts w:ascii="Verdana" w:hAnsi="Verdana"/>
          <w:sz w:val="20"/>
          <w:szCs w:val="20"/>
          <w:lang w:val="es-MX"/>
        </w:rPr>
        <w:t>a</w:t>
      </w:r>
      <w:r w:rsidRPr="00E67241">
        <w:rPr>
          <w:rFonts w:ascii="Verdana" w:hAnsi="Verdana"/>
          <w:sz w:val="20"/>
          <w:szCs w:val="20"/>
          <w:lang w:val="es-MX"/>
        </w:rPr>
        <w:t xml:space="preserve"> President</w:t>
      </w:r>
      <w:r>
        <w:rPr>
          <w:rFonts w:ascii="Verdana" w:hAnsi="Verdana"/>
          <w:sz w:val="20"/>
          <w:szCs w:val="20"/>
          <w:lang w:val="es-MX"/>
        </w:rPr>
        <w:t>a</w:t>
      </w:r>
      <w:r w:rsidRPr="00E67241">
        <w:rPr>
          <w:rFonts w:ascii="Verdana" w:hAnsi="Verdana"/>
          <w:sz w:val="20"/>
          <w:szCs w:val="20"/>
          <w:lang w:val="es-MX"/>
        </w:rPr>
        <w:t xml:space="preserve"> de Medidas Urgentes de </w:t>
      </w:r>
      <w:r>
        <w:rPr>
          <w:rFonts w:ascii="Verdana" w:hAnsi="Verdana"/>
          <w:sz w:val="20"/>
          <w:szCs w:val="20"/>
          <w:lang w:val="es-MX"/>
        </w:rPr>
        <w:t>2</w:t>
      </w:r>
      <w:r w:rsidRPr="00E67241">
        <w:rPr>
          <w:rFonts w:ascii="Verdana" w:hAnsi="Verdana"/>
          <w:sz w:val="20"/>
          <w:szCs w:val="20"/>
          <w:lang w:val="es-MX"/>
        </w:rPr>
        <w:t xml:space="preserve"> de </w:t>
      </w:r>
      <w:r>
        <w:rPr>
          <w:rFonts w:ascii="Verdana" w:hAnsi="Verdana"/>
          <w:sz w:val="20"/>
          <w:szCs w:val="20"/>
          <w:lang w:val="es-MX"/>
        </w:rPr>
        <w:t>abril</w:t>
      </w:r>
      <w:r w:rsidRPr="00E67241">
        <w:rPr>
          <w:rFonts w:ascii="Verdana" w:hAnsi="Verdana"/>
          <w:sz w:val="20"/>
          <w:szCs w:val="20"/>
          <w:lang w:val="es-MX"/>
        </w:rPr>
        <w:t xml:space="preserve"> de </w:t>
      </w:r>
      <w:r>
        <w:rPr>
          <w:rFonts w:ascii="Verdana" w:hAnsi="Verdana"/>
          <w:sz w:val="20"/>
          <w:szCs w:val="20"/>
          <w:lang w:val="es-MX"/>
        </w:rPr>
        <w:t xml:space="preserve">2020 mediante la cual se ampliaron </w:t>
      </w:r>
      <w:r w:rsidR="0038765A" w:rsidRPr="00961A94">
        <w:rPr>
          <w:rFonts w:ascii="Verdana" w:hAnsi="Verdana"/>
          <w:sz w:val="20"/>
          <w:szCs w:val="20"/>
          <w:lang w:val="es-MX"/>
        </w:rPr>
        <w:t xml:space="preserve">las medidas provisionales emitidas en el presente </w:t>
      </w:r>
      <w:r w:rsidR="00FE0E18">
        <w:rPr>
          <w:rFonts w:ascii="Verdana" w:hAnsi="Verdana"/>
          <w:sz w:val="20"/>
          <w:szCs w:val="20"/>
          <w:lang w:val="es-MX"/>
        </w:rPr>
        <w:t>caso</w:t>
      </w:r>
      <w:r w:rsidR="00F056BA">
        <w:rPr>
          <w:rFonts w:ascii="Verdana" w:hAnsi="Verdana"/>
          <w:sz w:val="20"/>
          <w:szCs w:val="20"/>
          <w:lang w:val="es-MX"/>
        </w:rPr>
        <w:t xml:space="preserve"> y</w:t>
      </w:r>
      <w:r w:rsidR="0038765A" w:rsidRPr="00961A94">
        <w:rPr>
          <w:rFonts w:ascii="Verdana" w:hAnsi="Verdana"/>
          <w:sz w:val="20"/>
          <w:szCs w:val="20"/>
          <w:lang w:val="es-MX"/>
        </w:rPr>
        <w:t xml:space="preserve">, </w:t>
      </w:r>
      <w:r w:rsidR="00F056BA">
        <w:rPr>
          <w:rFonts w:ascii="Verdana" w:hAnsi="Verdana"/>
          <w:sz w:val="20"/>
          <w:szCs w:val="20"/>
          <w:lang w:val="es-MX"/>
        </w:rPr>
        <w:t xml:space="preserve">por consiguiente, requerir al </w:t>
      </w:r>
      <w:r w:rsidR="00182F18" w:rsidRPr="00961A94">
        <w:rPr>
          <w:rFonts w:ascii="Verdana" w:hAnsi="Verdana"/>
          <w:sz w:val="20"/>
          <w:szCs w:val="20"/>
          <w:lang w:val="es-MX"/>
        </w:rPr>
        <w:t>Estado de Colombia</w:t>
      </w:r>
      <w:r w:rsidR="0038765A" w:rsidRPr="00961A94">
        <w:rPr>
          <w:rFonts w:ascii="Verdana" w:hAnsi="Verdana"/>
          <w:sz w:val="20"/>
          <w:szCs w:val="20"/>
          <w:lang w:val="es-MX"/>
        </w:rPr>
        <w:t xml:space="preserve"> </w:t>
      </w:r>
      <w:r w:rsidR="00F056BA">
        <w:rPr>
          <w:rFonts w:ascii="Verdana" w:hAnsi="Verdana"/>
          <w:sz w:val="20"/>
          <w:szCs w:val="20"/>
          <w:lang w:val="es-MX"/>
        </w:rPr>
        <w:t xml:space="preserve">que </w:t>
      </w:r>
      <w:r w:rsidR="009E1F80">
        <w:rPr>
          <w:rFonts w:ascii="Verdana" w:hAnsi="Verdana"/>
          <w:sz w:val="20"/>
          <w:szCs w:val="20"/>
          <w:lang w:val="es-MX"/>
        </w:rPr>
        <w:t xml:space="preserve">incluya de manera inmediata dentro de las medidas ordenadas mediante </w:t>
      </w:r>
      <w:r w:rsidR="006369EA">
        <w:rPr>
          <w:rFonts w:ascii="Verdana" w:hAnsi="Verdana"/>
          <w:sz w:val="20"/>
          <w:szCs w:val="20"/>
          <w:lang w:val="es-MX"/>
        </w:rPr>
        <w:t>R</w:t>
      </w:r>
      <w:r w:rsidR="009E1F80">
        <w:rPr>
          <w:rFonts w:ascii="Verdana" w:hAnsi="Verdana"/>
          <w:sz w:val="20"/>
          <w:szCs w:val="20"/>
          <w:lang w:val="es-MX"/>
        </w:rPr>
        <w:t xml:space="preserve">esolución de </w:t>
      </w:r>
      <w:r w:rsidR="009E1F80" w:rsidRPr="0004594A">
        <w:rPr>
          <w:rFonts w:ascii="Verdana" w:hAnsi="Verdana"/>
          <w:spacing w:val="-4"/>
          <w:sz w:val="20"/>
          <w:szCs w:val="20"/>
          <w:lang w:val="es-CR"/>
        </w:rPr>
        <w:t>30 de julio</w:t>
      </w:r>
      <w:r w:rsidR="009E1F80">
        <w:rPr>
          <w:rFonts w:ascii="Verdana" w:hAnsi="Verdana"/>
          <w:spacing w:val="-4"/>
          <w:sz w:val="20"/>
          <w:szCs w:val="20"/>
          <w:lang w:val="es-CR"/>
        </w:rPr>
        <w:t xml:space="preserve"> de 2004 a </w:t>
      </w:r>
      <w:r w:rsidR="00961A94" w:rsidRPr="00961A94">
        <w:rPr>
          <w:rFonts w:ascii="Verdana" w:eastAsia="Times" w:hAnsi="Verdana" w:cs="Times New Roman"/>
          <w:sz w:val="20"/>
          <w:szCs w:val="20"/>
          <w:lang w:val="es-CO"/>
        </w:rPr>
        <w:t xml:space="preserve">la </w:t>
      </w:r>
      <w:r w:rsidR="00961A94" w:rsidRPr="005969CF">
        <w:rPr>
          <w:rFonts w:ascii="Verdana" w:eastAsia="Times" w:hAnsi="Verdana" w:cs="Times New Roman"/>
          <w:sz w:val="20"/>
          <w:szCs w:val="20"/>
          <w:lang w:val="es-CO"/>
        </w:rPr>
        <w:t xml:space="preserve">señora Nery del Socorro Flórez Contreras, </w:t>
      </w:r>
      <w:r w:rsidR="00FE0E18" w:rsidRPr="005969CF">
        <w:rPr>
          <w:rFonts w:ascii="Verdana" w:eastAsia="Times" w:hAnsi="Verdana" w:cs="Times New Roman"/>
          <w:sz w:val="20"/>
          <w:szCs w:val="20"/>
          <w:lang w:val="es-CO"/>
        </w:rPr>
        <w:t xml:space="preserve">y a </w:t>
      </w:r>
      <w:r w:rsidR="00FE0E18" w:rsidRPr="005969CF">
        <w:rPr>
          <w:rFonts w:ascii="Verdana" w:eastAsia="Times" w:hAnsi="Verdana" w:cs="Times New Roman"/>
          <w:sz w:val="20"/>
          <w:szCs w:val="20"/>
          <w:lang w:val="es-ES_tradnl"/>
        </w:rPr>
        <w:t xml:space="preserve">los integrantes </w:t>
      </w:r>
      <w:r w:rsidR="00FE0E18" w:rsidRPr="005969CF">
        <w:rPr>
          <w:rFonts w:ascii="Verdana" w:eastAsia="Times" w:hAnsi="Verdana" w:cs="Times New Roman"/>
          <w:sz w:val="20"/>
          <w:szCs w:val="20"/>
          <w:lang w:val="es-CO"/>
        </w:rPr>
        <w:t>de su familia</w:t>
      </w:r>
      <w:r w:rsidR="00961A94" w:rsidRPr="005969CF">
        <w:rPr>
          <w:rFonts w:ascii="Verdana" w:eastAsia="Times" w:hAnsi="Verdana" w:cs="Times New Roman"/>
          <w:sz w:val="20"/>
          <w:szCs w:val="20"/>
          <w:lang w:val="es-CO"/>
        </w:rPr>
        <w:t xml:space="preserve">, a saber: </w:t>
      </w:r>
      <w:proofErr w:type="spellStart"/>
      <w:r w:rsidR="00961A94" w:rsidRPr="005969CF">
        <w:rPr>
          <w:rFonts w:ascii="Verdana" w:eastAsia="Times" w:hAnsi="Verdana" w:cs="Times New Roman"/>
          <w:sz w:val="20"/>
          <w:szCs w:val="20"/>
          <w:lang w:val="es-CO"/>
        </w:rPr>
        <w:t>Shercy</w:t>
      </w:r>
      <w:proofErr w:type="spellEnd"/>
      <w:r w:rsidR="00961A94" w:rsidRPr="005969CF">
        <w:rPr>
          <w:rFonts w:ascii="Verdana" w:eastAsia="Times" w:hAnsi="Verdana" w:cs="Times New Roman"/>
          <w:sz w:val="20"/>
          <w:szCs w:val="20"/>
          <w:lang w:val="es-CO"/>
        </w:rPr>
        <w:t xml:space="preserve"> Pamela Romero Flórez, </w:t>
      </w:r>
      <w:proofErr w:type="spellStart"/>
      <w:r w:rsidR="00961A94" w:rsidRPr="005969CF">
        <w:rPr>
          <w:rFonts w:ascii="Verdana" w:eastAsia="Times" w:hAnsi="Verdana" w:cs="Times New Roman"/>
          <w:sz w:val="20"/>
          <w:szCs w:val="20"/>
          <w:lang w:val="es-CO"/>
        </w:rPr>
        <w:t>Maichol</w:t>
      </w:r>
      <w:proofErr w:type="spellEnd"/>
      <w:r w:rsidR="00961A94" w:rsidRPr="005969CF">
        <w:rPr>
          <w:rFonts w:ascii="Verdana" w:eastAsia="Times" w:hAnsi="Verdana" w:cs="Times New Roman"/>
          <w:sz w:val="20"/>
          <w:szCs w:val="20"/>
          <w:lang w:val="es-CO"/>
        </w:rPr>
        <w:t xml:space="preserve"> </w:t>
      </w:r>
      <w:proofErr w:type="spellStart"/>
      <w:r w:rsidR="00961A94" w:rsidRPr="005969CF">
        <w:rPr>
          <w:rFonts w:ascii="Verdana" w:eastAsia="Times" w:hAnsi="Verdana" w:cs="Times New Roman"/>
          <w:sz w:val="20"/>
          <w:szCs w:val="20"/>
          <w:lang w:val="es-CO"/>
        </w:rPr>
        <w:t>Edilio</w:t>
      </w:r>
      <w:proofErr w:type="spellEnd"/>
      <w:r w:rsidR="00961A94" w:rsidRPr="005969CF">
        <w:rPr>
          <w:rFonts w:ascii="Verdana" w:eastAsia="Times" w:hAnsi="Verdana" w:cs="Times New Roman"/>
          <w:sz w:val="20"/>
          <w:szCs w:val="20"/>
          <w:lang w:val="es-CO"/>
        </w:rPr>
        <w:t xml:space="preserve"> Romero Flórez, Ingrith Johanna Romero Flórez, Geraldine Romero Flórez y </w:t>
      </w:r>
      <w:proofErr w:type="spellStart"/>
      <w:r w:rsidR="007E5C3D" w:rsidRPr="00CF4CBF">
        <w:rPr>
          <w:rFonts w:ascii="Verdana" w:eastAsia="Times" w:hAnsi="Verdana" w:cs="Times New Roman"/>
          <w:sz w:val="20"/>
          <w:szCs w:val="20"/>
          <w:lang w:val="es-CO"/>
        </w:rPr>
        <w:t>Ledy</w:t>
      </w:r>
      <w:proofErr w:type="spellEnd"/>
      <w:r w:rsidR="007E5C3D">
        <w:rPr>
          <w:rFonts w:ascii="Verdana" w:eastAsia="Times" w:hAnsi="Verdana" w:cs="Times New Roman"/>
          <w:sz w:val="20"/>
          <w:szCs w:val="20"/>
          <w:lang w:val="es-CO"/>
        </w:rPr>
        <w:t xml:space="preserve"> </w:t>
      </w:r>
      <w:r w:rsidR="00961A94" w:rsidRPr="005969CF">
        <w:rPr>
          <w:rFonts w:ascii="Verdana" w:eastAsia="Times" w:hAnsi="Verdana" w:cs="Times New Roman"/>
          <w:sz w:val="20"/>
          <w:szCs w:val="20"/>
          <w:lang w:val="es-CO"/>
        </w:rPr>
        <w:t>Tatiana Romero Flórez</w:t>
      </w:r>
      <w:r w:rsidR="00CA3DF3" w:rsidRPr="005969CF">
        <w:rPr>
          <w:rFonts w:ascii="Verdana" w:eastAsia="Times" w:hAnsi="Verdana" w:cs="Times New Roman"/>
          <w:sz w:val="20"/>
          <w:szCs w:val="20"/>
          <w:lang w:val="es-CO"/>
        </w:rPr>
        <w:t>, así como sus núcleos familiares respectivos</w:t>
      </w:r>
      <w:r w:rsidR="005969CF" w:rsidRPr="005969CF">
        <w:rPr>
          <w:rFonts w:ascii="Verdana" w:eastAsia="Times" w:hAnsi="Verdana" w:cs="Times New Roman"/>
          <w:sz w:val="20"/>
          <w:szCs w:val="20"/>
          <w:lang w:val="es-CO"/>
        </w:rPr>
        <w:t xml:space="preserve">, a saber: </w:t>
      </w:r>
      <w:r w:rsidR="005969CF" w:rsidRPr="005969CF">
        <w:rPr>
          <w:rFonts w:ascii="Verdana" w:hAnsi="Verdana"/>
          <w:bCs/>
          <w:sz w:val="20"/>
          <w:szCs w:val="20"/>
          <w:lang w:val="es-CR"/>
        </w:rPr>
        <w:t>Alirio Antonio Romero Galván</w:t>
      </w:r>
      <w:r w:rsidR="005969CF" w:rsidRPr="005969CF">
        <w:rPr>
          <w:rFonts w:ascii="Verdana" w:hAnsi="Verdana"/>
          <w:sz w:val="20"/>
          <w:szCs w:val="20"/>
          <w:lang w:val="es-CR"/>
        </w:rPr>
        <w:t xml:space="preserve">, </w:t>
      </w:r>
      <w:proofErr w:type="spellStart"/>
      <w:r w:rsidR="005969CF" w:rsidRPr="005969CF">
        <w:rPr>
          <w:rFonts w:ascii="Verdana" w:hAnsi="Verdana"/>
          <w:bCs/>
          <w:sz w:val="20"/>
          <w:szCs w:val="20"/>
          <w:lang w:val="es-CR"/>
        </w:rPr>
        <w:t>Yeicob</w:t>
      </w:r>
      <w:proofErr w:type="spellEnd"/>
      <w:r w:rsidR="005969CF" w:rsidRPr="005969CF">
        <w:rPr>
          <w:rFonts w:ascii="Verdana" w:hAnsi="Verdana"/>
          <w:bCs/>
          <w:sz w:val="20"/>
          <w:szCs w:val="20"/>
          <w:lang w:val="es-CR"/>
        </w:rPr>
        <w:t xml:space="preserve"> </w:t>
      </w:r>
      <w:proofErr w:type="spellStart"/>
      <w:r w:rsidR="005969CF" w:rsidRPr="005969CF">
        <w:rPr>
          <w:rFonts w:ascii="Verdana" w:hAnsi="Verdana"/>
          <w:bCs/>
          <w:sz w:val="20"/>
          <w:szCs w:val="20"/>
          <w:lang w:val="es-CR"/>
        </w:rPr>
        <w:t>Lautner</w:t>
      </w:r>
      <w:proofErr w:type="spellEnd"/>
      <w:r w:rsidR="005969CF" w:rsidRPr="005969CF">
        <w:rPr>
          <w:rFonts w:ascii="Verdana" w:hAnsi="Verdana"/>
          <w:bCs/>
          <w:sz w:val="20"/>
          <w:szCs w:val="20"/>
          <w:lang w:val="es-CR"/>
        </w:rPr>
        <w:t xml:space="preserve"> Romero</w:t>
      </w:r>
      <w:r w:rsidR="005969CF" w:rsidRPr="005969CF">
        <w:rPr>
          <w:rFonts w:ascii="Verdana" w:hAnsi="Verdana"/>
          <w:sz w:val="20"/>
          <w:szCs w:val="20"/>
          <w:lang w:val="es-CR"/>
        </w:rPr>
        <w:t xml:space="preserve">, </w:t>
      </w:r>
      <w:r w:rsidR="005969CF" w:rsidRPr="005969CF">
        <w:rPr>
          <w:rFonts w:ascii="Verdana" w:hAnsi="Verdana"/>
          <w:bCs/>
          <w:sz w:val="20"/>
          <w:szCs w:val="20"/>
          <w:lang w:val="es-CR"/>
        </w:rPr>
        <w:t>Jineth Adriana Niño Colmenares</w:t>
      </w:r>
      <w:r w:rsidR="005969CF" w:rsidRPr="005969CF">
        <w:rPr>
          <w:rFonts w:ascii="Verdana" w:hAnsi="Verdana"/>
          <w:sz w:val="20"/>
          <w:szCs w:val="20"/>
          <w:lang w:val="es-CR"/>
        </w:rPr>
        <w:t xml:space="preserve">, </w:t>
      </w:r>
      <w:r w:rsidR="005969CF" w:rsidRPr="005969CF">
        <w:rPr>
          <w:rFonts w:ascii="Verdana" w:hAnsi="Verdana"/>
          <w:bCs/>
          <w:sz w:val="20"/>
          <w:szCs w:val="20"/>
          <w:lang w:val="es-CR"/>
        </w:rPr>
        <w:t xml:space="preserve">Lucas </w:t>
      </w:r>
      <w:proofErr w:type="spellStart"/>
      <w:r w:rsidR="005969CF" w:rsidRPr="005969CF">
        <w:rPr>
          <w:rFonts w:ascii="Verdana" w:hAnsi="Verdana"/>
          <w:bCs/>
          <w:sz w:val="20"/>
          <w:szCs w:val="20"/>
          <w:lang w:val="es-CR"/>
        </w:rPr>
        <w:t>Fabbiany</w:t>
      </w:r>
      <w:proofErr w:type="spellEnd"/>
      <w:r w:rsidR="005969CF" w:rsidRPr="005969CF">
        <w:rPr>
          <w:rFonts w:ascii="Verdana" w:hAnsi="Verdana"/>
          <w:bCs/>
          <w:sz w:val="20"/>
          <w:szCs w:val="20"/>
          <w:lang w:val="es-CR"/>
        </w:rPr>
        <w:t xml:space="preserve"> Niño</w:t>
      </w:r>
      <w:r w:rsidR="005969CF" w:rsidRPr="005969CF">
        <w:rPr>
          <w:rFonts w:ascii="Verdana" w:hAnsi="Verdana"/>
          <w:sz w:val="20"/>
          <w:szCs w:val="20"/>
          <w:lang w:val="es-CR"/>
        </w:rPr>
        <w:t xml:space="preserve">, </w:t>
      </w:r>
      <w:r w:rsidR="005969CF" w:rsidRPr="005969CF">
        <w:rPr>
          <w:rFonts w:ascii="Verdana" w:hAnsi="Verdana"/>
          <w:bCs/>
          <w:sz w:val="20"/>
          <w:szCs w:val="20"/>
          <w:lang w:val="es-CR"/>
        </w:rPr>
        <w:t xml:space="preserve">Emma Lucia </w:t>
      </w:r>
      <w:proofErr w:type="spellStart"/>
      <w:r w:rsidR="005969CF" w:rsidRPr="005969CF">
        <w:rPr>
          <w:rFonts w:ascii="Verdana" w:hAnsi="Verdana"/>
          <w:bCs/>
          <w:sz w:val="20"/>
          <w:szCs w:val="20"/>
          <w:lang w:val="es-CR"/>
        </w:rPr>
        <w:t>Lautner</w:t>
      </w:r>
      <w:proofErr w:type="spellEnd"/>
      <w:r w:rsidR="005969CF" w:rsidRPr="005969CF">
        <w:rPr>
          <w:rFonts w:ascii="Verdana" w:hAnsi="Verdana"/>
          <w:bCs/>
          <w:sz w:val="20"/>
          <w:szCs w:val="20"/>
          <w:lang w:val="es-CR"/>
        </w:rPr>
        <w:t xml:space="preserve"> Niño; </w:t>
      </w:r>
      <w:r w:rsidR="005969CF" w:rsidRPr="005969CF">
        <w:rPr>
          <w:rFonts w:ascii="Verdana" w:eastAsia="MS Mincho" w:hAnsi="Verdana"/>
          <w:bCs/>
          <w:sz w:val="20"/>
          <w:szCs w:val="20"/>
          <w:lang w:val="es-CR"/>
        </w:rPr>
        <w:t xml:space="preserve">Naum José Mirando Ortiz; </w:t>
      </w:r>
      <w:r w:rsidR="005969CF" w:rsidRPr="005969CF">
        <w:rPr>
          <w:rFonts w:ascii="Verdana" w:eastAsia="MS Mincho" w:hAnsi="Verdana" w:cs="Arial"/>
          <w:bCs/>
          <w:sz w:val="20"/>
          <w:szCs w:val="20"/>
          <w:lang w:val="es-CR"/>
        </w:rPr>
        <w:t xml:space="preserve">Roque Sanguino Cardona, Andrey </w:t>
      </w:r>
      <w:proofErr w:type="spellStart"/>
      <w:r w:rsidR="005969CF" w:rsidRPr="005969CF">
        <w:rPr>
          <w:rFonts w:ascii="Verdana" w:eastAsia="MS Mincho" w:hAnsi="Verdana" w:cs="Arial"/>
          <w:bCs/>
          <w:sz w:val="20"/>
          <w:szCs w:val="20"/>
          <w:lang w:val="es-CR"/>
        </w:rPr>
        <w:t>Giusseppe</w:t>
      </w:r>
      <w:proofErr w:type="spellEnd"/>
      <w:r w:rsidR="005969CF" w:rsidRPr="005969CF">
        <w:rPr>
          <w:rFonts w:ascii="Verdana" w:eastAsia="MS Mincho" w:hAnsi="Verdana" w:cs="Arial"/>
          <w:bCs/>
          <w:sz w:val="20"/>
          <w:szCs w:val="20"/>
          <w:lang w:val="es-CR"/>
        </w:rPr>
        <w:t xml:space="preserve"> Sanguino Cardona, Andy Steven Sanguino Romero; </w:t>
      </w:r>
      <w:r w:rsidR="005969CF" w:rsidRPr="005969CF">
        <w:rPr>
          <w:rFonts w:ascii="Verdana" w:eastAsia="MS Mincho" w:hAnsi="Verdana"/>
          <w:bCs/>
          <w:sz w:val="20"/>
          <w:szCs w:val="20"/>
          <w:lang w:val="es-CR"/>
        </w:rPr>
        <w:t xml:space="preserve">Amy Isabela Valencia Romero; </w:t>
      </w:r>
      <w:r w:rsidR="005969CF" w:rsidRPr="005969CF">
        <w:rPr>
          <w:rFonts w:ascii="Verdana" w:hAnsi="Verdana"/>
          <w:bCs/>
          <w:sz w:val="20"/>
          <w:szCs w:val="20"/>
          <w:lang w:val="es-CR"/>
        </w:rPr>
        <w:t>María Fernanda Contreras Lindarte, Karen Francisca Cárdenas Rojas</w:t>
      </w:r>
      <w:r w:rsidR="005969CF" w:rsidRPr="005969CF">
        <w:rPr>
          <w:rFonts w:ascii="Verdana" w:hAnsi="Verdana"/>
          <w:sz w:val="20"/>
          <w:szCs w:val="20"/>
          <w:lang w:val="es-CR"/>
        </w:rPr>
        <w:t xml:space="preserve">, </w:t>
      </w:r>
      <w:r w:rsidR="005969CF" w:rsidRPr="005969CF">
        <w:rPr>
          <w:rFonts w:ascii="Verdana" w:hAnsi="Verdana"/>
          <w:bCs/>
          <w:sz w:val="20"/>
          <w:szCs w:val="20"/>
          <w:lang w:val="es-CR"/>
        </w:rPr>
        <w:t>Valentino Romero Contreras</w:t>
      </w:r>
      <w:r w:rsidR="005969CF" w:rsidRPr="005969CF">
        <w:rPr>
          <w:rFonts w:ascii="Verdana" w:hAnsi="Verdana"/>
          <w:sz w:val="20"/>
          <w:szCs w:val="20"/>
          <w:lang w:val="es-CR"/>
        </w:rPr>
        <w:t xml:space="preserve">, </w:t>
      </w:r>
      <w:r w:rsidR="005969CF" w:rsidRPr="005969CF">
        <w:rPr>
          <w:rFonts w:ascii="Verdana" w:hAnsi="Verdana"/>
          <w:bCs/>
          <w:sz w:val="20"/>
          <w:szCs w:val="20"/>
          <w:lang w:val="es-CR"/>
        </w:rPr>
        <w:t xml:space="preserve">Salomón Romero Contreras; </w:t>
      </w:r>
      <w:r w:rsidR="005969CF" w:rsidRPr="005969CF">
        <w:rPr>
          <w:rFonts w:ascii="Verdana" w:eastAsia="MS Mincho" w:hAnsi="Verdana"/>
          <w:bCs/>
          <w:sz w:val="20"/>
          <w:szCs w:val="20"/>
          <w:lang w:val="es-CR"/>
        </w:rPr>
        <w:t>Sergio Giovanni Rojas Landinez, Mariana Alessandra Rojas Romero</w:t>
      </w:r>
      <w:r w:rsidR="009E1F80">
        <w:rPr>
          <w:rFonts w:ascii="Verdana" w:eastAsia="MS Mincho" w:hAnsi="Verdana"/>
          <w:bCs/>
          <w:sz w:val="20"/>
          <w:szCs w:val="20"/>
          <w:lang w:val="es-CR"/>
        </w:rPr>
        <w:t>.</w:t>
      </w:r>
    </w:p>
    <w:p w14:paraId="31E9B80C" w14:textId="53FF472A" w:rsidR="00E25F30" w:rsidRPr="00A56148" w:rsidRDefault="00E25F30" w:rsidP="00E25F30">
      <w:pPr>
        <w:tabs>
          <w:tab w:val="left" w:pos="0"/>
        </w:tabs>
        <w:spacing w:before="120" w:after="120" w:line="240" w:lineRule="auto"/>
        <w:ind w:right="18"/>
        <w:jc w:val="both"/>
        <w:rPr>
          <w:rFonts w:ascii="Verdana" w:hAnsi="Verdana"/>
          <w:sz w:val="20"/>
          <w:szCs w:val="20"/>
          <w:lang w:val="es-CR"/>
        </w:rPr>
      </w:pPr>
      <w:r w:rsidRPr="00A56148">
        <w:rPr>
          <w:rFonts w:ascii="Verdana" w:hAnsi="Verdana"/>
          <w:sz w:val="20"/>
          <w:szCs w:val="20"/>
          <w:lang w:val="es-CR"/>
        </w:rPr>
        <w:t xml:space="preserve">Disiente el Juez Eduardo Vio Grossi. </w:t>
      </w:r>
    </w:p>
    <w:p w14:paraId="21CF4BD9" w14:textId="33DB9E46" w:rsidR="00E25F30" w:rsidRPr="00E25F30" w:rsidRDefault="00A56148" w:rsidP="00E25F30">
      <w:pPr>
        <w:tabs>
          <w:tab w:val="left" w:pos="0"/>
        </w:tabs>
        <w:spacing w:before="120" w:after="120" w:line="240" w:lineRule="auto"/>
        <w:ind w:right="18"/>
        <w:jc w:val="both"/>
        <w:rPr>
          <w:rFonts w:ascii="Verdana" w:hAnsi="Verdana"/>
          <w:sz w:val="20"/>
          <w:szCs w:val="20"/>
          <w:lang w:val="es-CO"/>
        </w:rPr>
      </w:pPr>
      <w:r w:rsidRPr="00A56148">
        <w:rPr>
          <w:rFonts w:ascii="Verdana" w:hAnsi="Verdana"/>
          <w:sz w:val="20"/>
          <w:szCs w:val="20"/>
          <w:lang w:val="es-CR"/>
        </w:rPr>
        <w:t>Por cinco votos contra uno</w:t>
      </w:r>
      <w:r w:rsidR="00E25F30" w:rsidRPr="00A56148">
        <w:rPr>
          <w:rFonts w:ascii="Verdana" w:hAnsi="Verdana"/>
          <w:sz w:val="20"/>
          <w:szCs w:val="20"/>
          <w:lang w:val="es-CR"/>
        </w:rPr>
        <w:t>,</w:t>
      </w:r>
    </w:p>
    <w:p w14:paraId="046DF631" w14:textId="49BE0AD7" w:rsidR="00DE555E" w:rsidRPr="00E25F30" w:rsidRDefault="005969CF" w:rsidP="00FC123E">
      <w:pPr>
        <w:numPr>
          <w:ilvl w:val="0"/>
          <w:numId w:val="28"/>
        </w:numPr>
        <w:tabs>
          <w:tab w:val="left" w:pos="0"/>
        </w:tabs>
        <w:spacing w:before="120" w:after="120" w:line="240" w:lineRule="auto"/>
        <w:ind w:left="0" w:right="18" w:firstLine="0"/>
        <w:jc w:val="both"/>
        <w:rPr>
          <w:rFonts w:ascii="Verdana" w:hAnsi="Verdana"/>
          <w:sz w:val="20"/>
          <w:szCs w:val="20"/>
          <w:lang w:val="es-CO"/>
        </w:rPr>
      </w:pPr>
      <w:r w:rsidRPr="005969CF">
        <w:rPr>
          <w:rFonts w:ascii="Verdana" w:hAnsi="Verdana"/>
          <w:sz w:val="20"/>
          <w:szCs w:val="20"/>
          <w:lang w:val="es-GT"/>
        </w:rPr>
        <w:t xml:space="preserve">Ordenar al </w:t>
      </w:r>
      <w:r w:rsidRPr="00FC123E">
        <w:rPr>
          <w:rFonts w:ascii="Verdana" w:hAnsi="Verdana"/>
          <w:sz w:val="20"/>
          <w:szCs w:val="20"/>
          <w:lang w:val="es-MX"/>
        </w:rPr>
        <w:t>Estado</w:t>
      </w:r>
      <w:r w:rsidRPr="005969CF">
        <w:rPr>
          <w:rFonts w:ascii="Verdana" w:hAnsi="Verdana"/>
          <w:sz w:val="20"/>
          <w:szCs w:val="20"/>
          <w:lang w:val="es-GT"/>
        </w:rPr>
        <w:t xml:space="preserve"> que continúe la coordinación</w:t>
      </w:r>
      <w:r w:rsidR="00DE555E" w:rsidRPr="005969CF">
        <w:rPr>
          <w:rFonts w:ascii="Verdana" w:hAnsi="Verdana"/>
          <w:sz w:val="20"/>
          <w:szCs w:val="20"/>
          <w:lang w:val="es-GT"/>
        </w:rPr>
        <w:t xml:space="preserve"> con los beneficiarios de </w:t>
      </w:r>
      <w:r w:rsidR="003F1197">
        <w:rPr>
          <w:rFonts w:ascii="Verdana" w:hAnsi="Verdana"/>
          <w:sz w:val="20"/>
          <w:szCs w:val="20"/>
          <w:lang w:val="es-GT"/>
        </w:rPr>
        <w:t>las presentes</w:t>
      </w:r>
      <w:r w:rsidR="003F1197" w:rsidRPr="005969CF">
        <w:rPr>
          <w:rFonts w:ascii="Verdana" w:hAnsi="Verdana"/>
          <w:sz w:val="20"/>
          <w:szCs w:val="20"/>
          <w:lang w:val="es-GT"/>
        </w:rPr>
        <w:t xml:space="preserve"> </w:t>
      </w:r>
      <w:r w:rsidR="00DE555E" w:rsidRPr="005969CF">
        <w:rPr>
          <w:rFonts w:ascii="Verdana" w:hAnsi="Verdana"/>
          <w:sz w:val="20"/>
          <w:szCs w:val="20"/>
          <w:lang w:val="es-GT"/>
        </w:rPr>
        <w:t>medidas</w:t>
      </w:r>
      <w:r w:rsidR="003F1197">
        <w:rPr>
          <w:rFonts w:ascii="Verdana" w:hAnsi="Verdana"/>
          <w:sz w:val="20"/>
          <w:szCs w:val="20"/>
          <w:lang w:val="es-GT"/>
        </w:rPr>
        <w:t xml:space="preserve"> </w:t>
      </w:r>
      <w:r w:rsidR="003F1197" w:rsidRPr="00FC123E">
        <w:rPr>
          <w:rFonts w:ascii="Verdana" w:eastAsia="Times" w:hAnsi="Verdana" w:cs="Times New Roman"/>
          <w:sz w:val="20"/>
          <w:szCs w:val="20"/>
          <w:lang w:val="es-CO"/>
        </w:rPr>
        <w:t>provisionales</w:t>
      </w:r>
      <w:r w:rsidR="00DE555E" w:rsidRPr="005969CF">
        <w:rPr>
          <w:rFonts w:ascii="Verdana" w:hAnsi="Verdana"/>
          <w:sz w:val="20"/>
          <w:szCs w:val="20"/>
          <w:lang w:val="es-GT"/>
        </w:rPr>
        <w:t>,</w:t>
      </w:r>
      <w:r w:rsidR="00DE555E" w:rsidRPr="00DE555E">
        <w:rPr>
          <w:rFonts w:ascii="Verdana" w:hAnsi="Verdana"/>
          <w:sz w:val="20"/>
          <w:szCs w:val="20"/>
          <w:lang w:val="es-GT"/>
        </w:rPr>
        <w:t xml:space="preserve"> o sus representantes, la planificación e implementación de las mismas y que, en general, les mantenga informados sobre el avance de su </w:t>
      </w:r>
      <w:r w:rsidR="00DE555E" w:rsidRPr="00DE555E">
        <w:rPr>
          <w:rFonts w:ascii="Verdana" w:hAnsi="Verdana"/>
          <w:sz w:val="20"/>
          <w:szCs w:val="20"/>
          <w:lang w:val="es-CR"/>
        </w:rPr>
        <w:t>ejecución</w:t>
      </w:r>
      <w:r w:rsidR="00DE555E">
        <w:rPr>
          <w:rFonts w:ascii="Verdana" w:hAnsi="Verdana"/>
          <w:sz w:val="20"/>
          <w:szCs w:val="20"/>
          <w:lang w:val="es-CR"/>
        </w:rPr>
        <w:t>.</w:t>
      </w:r>
    </w:p>
    <w:p w14:paraId="3D74D4ED" w14:textId="77777777" w:rsidR="00A56148" w:rsidRPr="00A56148" w:rsidRDefault="00A56148" w:rsidP="00A56148">
      <w:pPr>
        <w:tabs>
          <w:tab w:val="left" w:pos="0"/>
        </w:tabs>
        <w:spacing w:before="120" w:after="120"/>
        <w:ind w:right="18"/>
        <w:jc w:val="both"/>
        <w:rPr>
          <w:rFonts w:ascii="Verdana" w:hAnsi="Verdana"/>
          <w:sz w:val="20"/>
          <w:lang w:val="es-CO"/>
        </w:rPr>
      </w:pPr>
      <w:r w:rsidRPr="00A56148">
        <w:rPr>
          <w:rFonts w:ascii="Verdana" w:hAnsi="Verdana"/>
          <w:sz w:val="20"/>
          <w:lang w:val="es-CR"/>
        </w:rPr>
        <w:t>Disiente el Juez Eduardo Vio Grossi.</w:t>
      </w:r>
    </w:p>
    <w:p w14:paraId="1AB2BA64" w14:textId="7DEB7457" w:rsidR="00E25F30" w:rsidRPr="00A56148" w:rsidRDefault="00A56148" w:rsidP="00E25F30">
      <w:pPr>
        <w:tabs>
          <w:tab w:val="left" w:pos="0"/>
        </w:tabs>
        <w:spacing w:before="120" w:after="120" w:line="240" w:lineRule="auto"/>
        <w:ind w:right="18"/>
        <w:jc w:val="both"/>
        <w:rPr>
          <w:rFonts w:ascii="Verdana" w:hAnsi="Verdana"/>
          <w:sz w:val="20"/>
          <w:szCs w:val="20"/>
          <w:lang w:val="es-CR"/>
        </w:rPr>
      </w:pPr>
      <w:r w:rsidRPr="00A56148">
        <w:rPr>
          <w:rFonts w:ascii="Verdana" w:hAnsi="Verdana"/>
          <w:sz w:val="20"/>
          <w:szCs w:val="20"/>
          <w:lang w:val="es-CR"/>
        </w:rPr>
        <w:t>Por cinco votos contra uno</w:t>
      </w:r>
      <w:r w:rsidR="00E25F30" w:rsidRPr="00A56148">
        <w:rPr>
          <w:rFonts w:ascii="Verdana" w:hAnsi="Verdana"/>
          <w:sz w:val="20"/>
          <w:szCs w:val="20"/>
          <w:lang w:val="es-CR"/>
        </w:rPr>
        <w:t>,</w:t>
      </w:r>
    </w:p>
    <w:p w14:paraId="0FFC507C" w14:textId="2EDC928C" w:rsidR="00C21EE1" w:rsidRDefault="00C21EE1" w:rsidP="00FC123E">
      <w:pPr>
        <w:numPr>
          <w:ilvl w:val="0"/>
          <w:numId w:val="28"/>
        </w:numPr>
        <w:tabs>
          <w:tab w:val="left" w:pos="0"/>
        </w:tabs>
        <w:spacing w:before="120" w:after="120" w:line="240" w:lineRule="auto"/>
        <w:ind w:left="0" w:right="18" w:firstLine="0"/>
        <w:jc w:val="both"/>
        <w:rPr>
          <w:rFonts w:ascii="Verdana" w:hAnsi="Verdana"/>
          <w:sz w:val="20"/>
          <w:szCs w:val="20"/>
          <w:lang w:val="es-CR"/>
        </w:rPr>
      </w:pPr>
      <w:r w:rsidRPr="007865FC">
        <w:rPr>
          <w:rFonts w:ascii="Verdana" w:hAnsi="Verdana"/>
          <w:sz w:val="20"/>
          <w:szCs w:val="20"/>
          <w:lang w:val="es-CR"/>
        </w:rPr>
        <w:t xml:space="preserve">Requerir al Estado que </w:t>
      </w:r>
      <w:r>
        <w:rPr>
          <w:rFonts w:ascii="Verdana" w:hAnsi="Verdana"/>
          <w:sz w:val="20"/>
          <w:szCs w:val="20"/>
          <w:lang w:val="es-CR"/>
        </w:rPr>
        <w:t xml:space="preserve">presente información actualizada </w:t>
      </w:r>
      <w:r w:rsidR="00EA349E">
        <w:rPr>
          <w:rFonts w:ascii="Verdana" w:hAnsi="Verdana"/>
          <w:sz w:val="20"/>
          <w:szCs w:val="20"/>
          <w:lang w:val="es-CR"/>
        </w:rPr>
        <w:t xml:space="preserve">a la Corte </w:t>
      </w:r>
      <w:r>
        <w:rPr>
          <w:rFonts w:ascii="Verdana" w:hAnsi="Verdana"/>
          <w:sz w:val="20"/>
          <w:szCs w:val="20"/>
          <w:lang w:val="es-CR"/>
        </w:rPr>
        <w:t xml:space="preserve">sobre las medidas de protección que fueron adoptadas a favor de las personas mencionadas en el punto resolutivo 1 </w:t>
      </w:r>
      <w:r w:rsidR="00DE555E">
        <w:rPr>
          <w:rFonts w:ascii="Verdana" w:hAnsi="Verdana"/>
          <w:sz w:val="20"/>
          <w:szCs w:val="20"/>
          <w:lang w:val="es-CR"/>
        </w:rPr>
        <w:t xml:space="preserve">a más tardar el </w:t>
      </w:r>
      <w:r w:rsidR="006B4651">
        <w:rPr>
          <w:rFonts w:ascii="Verdana" w:hAnsi="Verdana"/>
          <w:sz w:val="20"/>
          <w:szCs w:val="20"/>
          <w:lang w:val="es-CR"/>
        </w:rPr>
        <w:t xml:space="preserve">22 </w:t>
      </w:r>
      <w:r w:rsidR="00DE555E">
        <w:rPr>
          <w:rFonts w:ascii="Verdana" w:hAnsi="Verdana"/>
          <w:sz w:val="20"/>
          <w:szCs w:val="20"/>
          <w:lang w:val="es-CR"/>
        </w:rPr>
        <w:t xml:space="preserve">de </w:t>
      </w:r>
      <w:r w:rsidR="006B4651">
        <w:rPr>
          <w:rFonts w:ascii="Verdana" w:hAnsi="Verdana"/>
          <w:sz w:val="20"/>
          <w:szCs w:val="20"/>
          <w:lang w:val="es-CR"/>
        </w:rPr>
        <w:t xml:space="preserve">junio </w:t>
      </w:r>
      <w:r w:rsidR="00DE555E">
        <w:rPr>
          <w:rFonts w:ascii="Verdana" w:hAnsi="Verdana"/>
          <w:sz w:val="20"/>
          <w:szCs w:val="20"/>
          <w:lang w:val="es-CR"/>
        </w:rPr>
        <w:t>de 2020</w:t>
      </w:r>
      <w:r>
        <w:rPr>
          <w:rFonts w:ascii="Verdana" w:hAnsi="Verdana"/>
          <w:sz w:val="20"/>
          <w:szCs w:val="20"/>
          <w:lang w:val="es-CR"/>
        </w:rPr>
        <w:t>.</w:t>
      </w:r>
    </w:p>
    <w:p w14:paraId="5EBFD11D" w14:textId="77777777" w:rsidR="00A56148" w:rsidRPr="00A56148" w:rsidRDefault="00A56148" w:rsidP="00A56148">
      <w:pPr>
        <w:tabs>
          <w:tab w:val="left" w:pos="0"/>
        </w:tabs>
        <w:spacing w:before="120" w:after="120"/>
        <w:ind w:right="18"/>
        <w:jc w:val="both"/>
        <w:rPr>
          <w:rFonts w:ascii="Verdana" w:hAnsi="Verdana"/>
          <w:sz w:val="20"/>
          <w:lang w:val="es-CR"/>
        </w:rPr>
      </w:pPr>
      <w:r w:rsidRPr="00A56148">
        <w:rPr>
          <w:rFonts w:ascii="Verdana" w:hAnsi="Verdana"/>
          <w:sz w:val="20"/>
          <w:lang w:val="es-CR"/>
        </w:rPr>
        <w:t>Disiente el Juez Eduardo Vio Grossi.</w:t>
      </w:r>
    </w:p>
    <w:p w14:paraId="5EEEDED9" w14:textId="458A58AA" w:rsidR="00E25F30" w:rsidRPr="00A56148" w:rsidRDefault="00A56148" w:rsidP="00E25F30">
      <w:pPr>
        <w:tabs>
          <w:tab w:val="left" w:pos="0"/>
        </w:tabs>
        <w:spacing w:before="120" w:after="120" w:line="240" w:lineRule="auto"/>
        <w:ind w:right="18"/>
        <w:jc w:val="both"/>
        <w:rPr>
          <w:rFonts w:ascii="Verdana" w:hAnsi="Verdana"/>
          <w:sz w:val="20"/>
          <w:szCs w:val="20"/>
          <w:lang w:val="es-CR"/>
        </w:rPr>
      </w:pPr>
      <w:r w:rsidRPr="00A56148">
        <w:rPr>
          <w:rFonts w:ascii="Verdana" w:hAnsi="Verdana"/>
          <w:sz w:val="20"/>
          <w:szCs w:val="20"/>
          <w:lang w:val="es-CR"/>
        </w:rPr>
        <w:t>Por cinco votos contra uno</w:t>
      </w:r>
      <w:r w:rsidR="00E25F30" w:rsidRPr="00A56148">
        <w:rPr>
          <w:rFonts w:ascii="Verdana" w:hAnsi="Verdana"/>
          <w:sz w:val="20"/>
          <w:szCs w:val="20"/>
          <w:lang w:val="es-CR"/>
        </w:rPr>
        <w:t>,</w:t>
      </w:r>
    </w:p>
    <w:p w14:paraId="5FFEDBD4" w14:textId="188D4A80" w:rsidR="006B4651" w:rsidRDefault="006B4651" w:rsidP="00FC123E">
      <w:pPr>
        <w:numPr>
          <w:ilvl w:val="0"/>
          <w:numId w:val="28"/>
        </w:numPr>
        <w:tabs>
          <w:tab w:val="left" w:pos="0"/>
        </w:tabs>
        <w:spacing w:before="120" w:after="120" w:line="240" w:lineRule="auto"/>
        <w:ind w:left="0" w:right="18" w:firstLine="0"/>
        <w:jc w:val="both"/>
        <w:rPr>
          <w:rFonts w:ascii="Verdana" w:hAnsi="Verdana"/>
          <w:sz w:val="20"/>
          <w:szCs w:val="20"/>
          <w:lang w:val="es-CR"/>
        </w:rPr>
      </w:pPr>
      <w:r w:rsidRPr="00FC123E">
        <w:rPr>
          <w:rFonts w:ascii="Verdana" w:hAnsi="Verdana"/>
          <w:sz w:val="20"/>
          <w:szCs w:val="20"/>
          <w:lang w:val="es-CR"/>
        </w:rPr>
        <w:t xml:space="preserve">Requerir a los representantes de las y los beneficiarios que presenten sus observaciones dentro de un plazo de diez días a partir de la notificación del referido </w:t>
      </w:r>
      <w:r w:rsidRPr="0089246A">
        <w:rPr>
          <w:rFonts w:ascii="Verdana" w:eastAsia="Verdana" w:hAnsi="Verdana" w:cs="Verdana"/>
          <w:sz w:val="20"/>
          <w:szCs w:val="20"/>
          <w:lang w:val="es-CR"/>
        </w:rPr>
        <w:t>informe</w:t>
      </w:r>
      <w:r w:rsidRPr="00FC123E">
        <w:rPr>
          <w:rFonts w:ascii="Verdana" w:hAnsi="Verdana"/>
          <w:sz w:val="20"/>
          <w:szCs w:val="20"/>
          <w:lang w:val="es-CR"/>
        </w:rPr>
        <w:t xml:space="preserve"> del Estado solicitado en el punto resolutivo </w:t>
      </w:r>
      <w:r w:rsidR="003F4EAB">
        <w:rPr>
          <w:rFonts w:ascii="Verdana" w:hAnsi="Verdana"/>
          <w:sz w:val="20"/>
          <w:szCs w:val="20"/>
          <w:lang w:val="es-CR"/>
        </w:rPr>
        <w:t>3</w:t>
      </w:r>
      <w:r w:rsidRPr="00FC123E">
        <w:rPr>
          <w:rFonts w:ascii="Verdana" w:hAnsi="Verdana"/>
          <w:sz w:val="20"/>
          <w:szCs w:val="20"/>
          <w:lang w:val="es-CR"/>
        </w:rPr>
        <w:t>, así como a la Comisión Interamericana de Derechos Humanos que presente sus observaciones a dicho informe del Estado dentro de un plazo de diez días a partir de la recepción de las observaciones de los representantes.</w:t>
      </w:r>
    </w:p>
    <w:p w14:paraId="4BB588F5" w14:textId="5BC1DA78" w:rsidR="00A56148" w:rsidRDefault="00A56148" w:rsidP="00A56148">
      <w:pPr>
        <w:tabs>
          <w:tab w:val="left" w:pos="0"/>
        </w:tabs>
        <w:spacing w:before="120" w:after="120" w:line="240" w:lineRule="auto"/>
        <w:ind w:right="18"/>
        <w:jc w:val="both"/>
        <w:rPr>
          <w:rFonts w:ascii="Verdana" w:hAnsi="Verdana"/>
          <w:sz w:val="20"/>
          <w:szCs w:val="20"/>
          <w:lang w:val="es-CR"/>
        </w:rPr>
      </w:pPr>
      <w:r w:rsidRPr="00A56148">
        <w:rPr>
          <w:rFonts w:ascii="Verdana" w:hAnsi="Verdana"/>
          <w:sz w:val="20"/>
          <w:lang w:val="es-CR"/>
        </w:rPr>
        <w:t>Disiente el Juez Eduardo Vio Grossi.</w:t>
      </w:r>
    </w:p>
    <w:p w14:paraId="552FF935" w14:textId="53705499" w:rsidR="00E25F30" w:rsidRDefault="00A56148" w:rsidP="00E25F30">
      <w:pPr>
        <w:tabs>
          <w:tab w:val="left" w:pos="0"/>
        </w:tabs>
        <w:spacing w:before="120" w:after="120" w:line="240" w:lineRule="auto"/>
        <w:ind w:right="18"/>
        <w:jc w:val="both"/>
        <w:rPr>
          <w:rFonts w:ascii="Verdana" w:hAnsi="Verdana"/>
          <w:sz w:val="20"/>
          <w:szCs w:val="20"/>
          <w:lang w:val="es-CR"/>
        </w:rPr>
      </w:pPr>
      <w:r w:rsidRPr="00A56148">
        <w:rPr>
          <w:rFonts w:ascii="Verdana" w:hAnsi="Verdana"/>
          <w:sz w:val="20"/>
          <w:szCs w:val="20"/>
          <w:lang w:val="es-CR"/>
        </w:rPr>
        <w:t>Por cinco votos contra uno</w:t>
      </w:r>
      <w:r w:rsidR="00E25F30" w:rsidRPr="00A56148">
        <w:rPr>
          <w:rFonts w:ascii="Verdana" w:hAnsi="Verdana"/>
          <w:sz w:val="20"/>
          <w:szCs w:val="20"/>
          <w:lang w:val="es-CR"/>
        </w:rPr>
        <w:t>,</w:t>
      </w:r>
    </w:p>
    <w:p w14:paraId="70CC5562" w14:textId="7D9CA761" w:rsidR="0038765A" w:rsidRDefault="0038765A" w:rsidP="00FC123E">
      <w:pPr>
        <w:numPr>
          <w:ilvl w:val="0"/>
          <w:numId w:val="28"/>
        </w:numPr>
        <w:tabs>
          <w:tab w:val="left" w:pos="0"/>
        </w:tabs>
        <w:spacing w:before="120" w:after="120" w:line="240" w:lineRule="auto"/>
        <w:ind w:left="0" w:right="18" w:firstLine="0"/>
        <w:jc w:val="both"/>
        <w:rPr>
          <w:rFonts w:ascii="Verdana" w:hAnsi="Verdana"/>
          <w:sz w:val="20"/>
          <w:szCs w:val="20"/>
          <w:lang w:val="es-CR"/>
        </w:rPr>
      </w:pPr>
      <w:r w:rsidRPr="007865FC">
        <w:rPr>
          <w:rFonts w:ascii="Verdana" w:hAnsi="Verdana"/>
          <w:sz w:val="20"/>
          <w:szCs w:val="20"/>
          <w:lang w:val="es-CR"/>
        </w:rPr>
        <w:t>Requerir al Estado que continú</w:t>
      </w:r>
      <w:r w:rsidR="00961A94">
        <w:rPr>
          <w:rFonts w:ascii="Verdana" w:hAnsi="Verdana"/>
          <w:sz w:val="20"/>
          <w:szCs w:val="20"/>
          <w:lang w:val="es-CR"/>
        </w:rPr>
        <w:t>e informando a la Corte cada do</w:t>
      </w:r>
      <w:r w:rsidRPr="007865FC">
        <w:rPr>
          <w:rFonts w:ascii="Verdana" w:hAnsi="Verdana"/>
          <w:sz w:val="20"/>
          <w:szCs w:val="20"/>
          <w:lang w:val="es-CR"/>
        </w:rPr>
        <w:t>s meses, contados a partir de la remisión de su último informe, sobre las medidas provisionales adoptadas</w:t>
      </w:r>
      <w:r w:rsidR="00C34308">
        <w:rPr>
          <w:rFonts w:ascii="Verdana" w:hAnsi="Verdana"/>
          <w:sz w:val="20"/>
          <w:szCs w:val="20"/>
          <w:lang w:val="es-CR"/>
        </w:rPr>
        <w:t>.</w:t>
      </w:r>
    </w:p>
    <w:p w14:paraId="4CADF220" w14:textId="36671B6C" w:rsidR="00A56148" w:rsidRDefault="00A56148" w:rsidP="00A56148">
      <w:pPr>
        <w:tabs>
          <w:tab w:val="left" w:pos="0"/>
        </w:tabs>
        <w:spacing w:before="120" w:after="120" w:line="240" w:lineRule="auto"/>
        <w:ind w:right="18"/>
        <w:jc w:val="both"/>
        <w:rPr>
          <w:rFonts w:ascii="Verdana" w:hAnsi="Verdana"/>
          <w:sz w:val="20"/>
          <w:szCs w:val="20"/>
          <w:lang w:val="es-CR"/>
        </w:rPr>
      </w:pPr>
      <w:r w:rsidRPr="00A56148">
        <w:rPr>
          <w:rFonts w:ascii="Verdana" w:hAnsi="Verdana"/>
          <w:sz w:val="20"/>
          <w:lang w:val="es-CR"/>
        </w:rPr>
        <w:t>Disiente el Juez Eduardo Vio Grossi.</w:t>
      </w:r>
    </w:p>
    <w:p w14:paraId="7DCE20E2" w14:textId="21A5E20B" w:rsidR="00E25F30" w:rsidRDefault="00E25F30" w:rsidP="00E25F30">
      <w:pPr>
        <w:tabs>
          <w:tab w:val="left" w:pos="0"/>
        </w:tabs>
        <w:spacing w:before="120" w:after="120" w:line="240" w:lineRule="auto"/>
        <w:ind w:right="18"/>
        <w:jc w:val="both"/>
        <w:rPr>
          <w:rFonts w:ascii="Verdana" w:hAnsi="Verdana"/>
          <w:sz w:val="20"/>
          <w:szCs w:val="20"/>
          <w:lang w:val="es-CR"/>
        </w:rPr>
      </w:pPr>
      <w:r w:rsidRPr="00E25F30">
        <w:rPr>
          <w:rFonts w:ascii="Verdana" w:hAnsi="Verdana"/>
          <w:sz w:val="20"/>
          <w:szCs w:val="20"/>
        </w:rPr>
        <w:t xml:space="preserve">Por </w:t>
      </w:r>
      <w:proofErr w:type="spellStart"/>
      <w:r w:rsidRPr="00E25F30">
        <w:rPr>
          <w:rFonts w:ascii="Verdana" w:hAnsi="Verdana"/>
          <w:sz w:val="20"/>
          <w:szCs w:val="20"/>
        </w:rPr>
        <w:t>unanimidad</w:t>
      </w:r>
      <w:proofErr w:type="spellEnd"/>
      <w:r w:rsidRPr="00E25F30">
        <w:rPr>
          <w:rFonts w:ascii="Verdana" w:hAnsi="Verdana"/>
          <w:sz w:val="20"/>
          <w:szCs w:val="20"/>
        </w:rPr>
        <w:t>,</w:t>
      </w:r>
    </w:p>
    <w:p w14:paraId="5E14E006" w14:textId="44E7316F" w:rsidR="003F4EAB" w:rsidRDefault="0038765A" w:rsidP="003F4EAB">
      <w:pPr>
        <w:numPr>
          <w:ilvl w:val="0"/>
          <w:numId w:val="28"/>
        </w:numPr>
        <w:tabs>
          <w:tab w:val="left" w:pos="0"/>
        </w:tabs>
        <w:spacing w:before="120" w:after="120" w:line="240" w:lineRule="auto"/>
        <w:ind w:left="0" w:right="18" w:firstLine="0"/>
        <w:jc w:val="both"/>
        <w:rPr>
          <w:rFonts w:ascii="Verdana" w:hAnsi="Verdana"/>
          <w:sz w:val="20"/>
          <w:szCs w:val="20"/>
          <w:lang w:val="es-CR"/>
        </w:rPr>
      </w:pPr>
      <w:r w:rsidRPr="007865FC">
        <w:rPr>
          <w:rFonts w:ascii="Verdana" w:hAnsi="Verdana"/>
          <w:sz w:val="20"/>
          <w:szCs w:val="20"/>
          <w:lang w:val="es-GT"/>
        </w:rPr>
        <w:t>Disponer que</w:t>
      </w:r>
      <w:r w:rsidRPr="007865FC">
        <w:rPr>
          <w:rFonts w:ascii="Verdana" w:hAnsi="Verdana"/>
          <w:sz w:val="20"/>
          <w:szCs w:val="20"/>
          <w:lang w:val="es-MX"/>
        </w:rPr>
        <w:t xml:space="preserve"> la Secretaría de la Corte notifique la presente R</w:t>
      </w:r>
      <w:r w:rsidR="00961A94">
        <w:rPr>
          <w:rFonts w:ascii="Verdana" w:hAnsi="Verdana"/>
          <w:sz w:val="20"/>
          <w:szCs w:val="20"/>
          <w:lang w:val="es-MX"/>
        </w:rPr>
        <w:t>esolución al Estado de Colombia</w:t>
      </w:r>
      <w:r w:rsidRPr="007865FC">
        <w:rPr>
          <w:rFonts w:ascii="Verdana" w:hAnsi="Verdana"/>
          <w:sz w:val="20"/>
          <w:szCs w:val="20"/>
          <w:lang w:val="es-MX"/>
        </w:rPr>
        <w:t xml:space="preserve">, a la Comisión </w:t>
      </w:r>
      <w:r w:rsidRPr="00FC123E">
        <w:rPr>
          <w:rFonts w:ascii="Verdana" w:hAnsi="Verdana"/>
          <w:sz w:val="20"/>
          <w:szCs w:val="20"/>
          <w:lang w:val="es-CR"/>
        </w:rPr>
        <w:t>Interamericana</w:t>
      </w:r>
      <w:r w:rsidRPr="007865FC">
        <w:rPr>
          <w:rFonts w:ascii="Verdana" w:hAnsi="Verdana"/>
          <w:sz w:val="20"/>
          <w:szCs w:val="20"/>
          <w:lang w:val="es-MX"/>
        </w:rPr>
        <w:t xml:space="preserve"> y </w:t>
      </w:r>
      <w:r w:rsidRPr="007865FC">
        <w:rPr>
          <w:rFonts w:ascii="Verdana" w:hAnsi="Verdana"/>
          <w:sz w:val="20"/>
          <w:szCs w:val="20"/>
          <w:lang w:val="es-CR"/>
        </w:rPr>
        <w:t>a la representación de los beneficiarios.</w:t>
      </w:r>
    </w:p>
    <w:p w14:paraId="74603AED" w14:textId="211EC350" w:rsidR="003F4EAB" w:rsidRDefault="003F4EAB" w:rsidP="003F4EAB">
      <w:pPr>
        <w:tabs>
          <w:tab w:val="left" w:pos="0"/>
        </w:tabs>
        <w:spacing w:before="120" w:after="120" w:line="240" w:lineRule="auto"/>
        <w:ind w:right="18"/>
        <w:jc w:val="both"/>
        <w:rPr>
          <w:rFonts w:ascii="Verdana" w:hAnsi="Verdana"/>
          <w:sz w:val="20"/>
          <w:szCs w:val="20"/>
          <w:lang w:val="es-CR"/>
        </w:rPr>
      </w:pPr>
    </w:p>
    <w:p w14:paraId="3437866A" w14:textId="1BF6E2A2" w:rsidR="003F4EAB" w:rsidRPr="003F4EAB" w:rsidRDefault="003F4EAB" w:rsidP="003F4EAB">
      <w:pPr>
        <w:tabs>
          <w:tab w:val="left" w:pos="0"/>
        </w:tabs>
        <w:spacing w:before="120" w:after="120" w:line="240" w:lineRule="auto"/>
        <w:ind w:right="18"/>
        <w:jc w:val="both"/>
        <w:rPr>
          <w:rFonts w:ascii="Verdana" w:hAnsi="Verdana"/>
          <w:sz w:val="20"/>
          <w:szCs w:val="20"/>
          <w:lang w:val="es-CR"/>
        </w:rPr>
      </w:pPr>
      <w:r>
        <w:rPr>
          <w:rFonts w:ascii="Verdana" w:hAnsi="Verdana"/>
          <w:sz w:val="20"/>
          <w:szCs w:val="20"/>
          <w:lang w:val="es-CR"/>
        </w:rPr>
        <w:t>El Juez Eduardo Vio Grossi dio a conoc</w:t>
      </w:r>
      <w:r w:rsidR="00E25F30">
        <w:rPr>
          <w:rFonts w:ascii="Verdana" w:hAnsi="Verdana"/>
          <w:sz w:val="20"/>
          <w:szCs w:val="20"/>
          <w:lang w:val="es-CR"/>
        </w:rPr>
        <w:t xml:space="preserve">er su voto individual disidente, el cual acompaña la presente Resolución. </w:t>
      </w:r>
      <w:r>
        <w:rPr>
          <w:rFonts w:ascii="Verdana" w:hAnsi="Verdana"/>
          <w:sz w:val="20"/>
          <w:szCs w:val="20"/>
          <w:lang w:val="es-CR"/>
        </w:rPr>
        <w:t xml:space="preserve"> </w:t>
      </w:r>
    </w:p>
    <w:p w14:paraId="4D59F7AA" w14:textId="79DD8B92" w:rsidR="00ED44E9" w:rsidRPr="00ED44E9" w:rsidRDefault="00ED44E9" w:rsidP="00ED44E9">
      <w:pPr>
        <w:keepNext/>
        <w:spacing w:after="0" w:line="240" w:lineRule="auto"/>
        <w:jc w:val="both"/>
        <w:outlineLvl w:val="0"/>
        <w:rPr>
          <w:rFonts w:ascii="Verdana" w:eastAsia="Times" w:hAnsi="Verdana" w:cs="Times New Roman"/>
          <w:sz w:val="20"/>
          <w:szCs w:val="20"/>
          <w:lang w:val="es-CR"/>
        </w:rPr>
      </w:pPr>
      <w:r w:rsidRPr="00ED44E9">
        <w:rPr>
          <w:rFonts w:ascii="Verdana" w:eastAsia="Times" w:hAnsi="Verdana" w:cs="Times New Roman"/>
          <w:sz w:val="20"/>
          <w:szCs w:val="20"/>
          <w:lang w:val="es-CR"/>
        </w:rPr>
        <w:lastRenderedPageBreak/>
        <w:t>Corte IDH.</w:t>
      </w:r>
      <w:r w:rsidRPr="00ED44E9">
        <w:rPr>
          <w:rFonts w:ascii="Verdana" w:eastAsia="Times" w:hAnsi="Verdana" w:cs="Times New Roman"/>
          <w:i/>
          <w:sz w:val="20"/>
          <w:szCs w:val="20"/>
          <w:lang w:val="es-CR"/>
        </w:rPr>
        <w:t xml:space="preserve"> </w:t>
      </w:r>
      <w:r w:rsidR="009A0113">
        <w:rPr>
          <w:rFonts w:ascii="Verdana" w:eastAsia="Times" w:hAnsi="Verdana" w:cs="Times New Roman"/>
          <w:i/>
          <w:sz w:val="20"/>
          <w:szCs w:val="20"/>
          <w:lang w:val="es-CR"/>
        </w:rPr>
        <w:t xml:space="preserve">Ampliación de Medidas Provisionales </w:t>
      </w:r>
      <w:r w:rsidRPr="00ED44E9">
        <w:rPr>
          <w:rFonts w:ascii="Verdana" w:eastAsia="Times" w:hAnsi="Verdana" w:cs="Times New Roman"/>
          <w:i/>
          <w:sz w:val="20"/>
          <w:szCs w:val="20"/>
          <w:lang w:val="es-CR"/>
        </w:rPr>
        <w:t xml:space="preserve">respecto de Colombia. </w:t>
      </w:r>
      <w:r w:rsidR="009A0113">
        <w:rPr>
          <w:rFonts w:ascii="Verdana" w:eastAsia="Times" w:hAnsi="Verdana" w:cs="Times New Roman"/>
          <w:i/>
          <w:sz w:val="20"/>
          <w:szCs w:val="20"/>
          <w:lang w:val="es-CR"/>
        </w:rPr>
        <w:t xml:space="preserve">Asunto </w:t>
      </w:r>
      <w:r w:rsidR="009A0113">
        <w:rPr>
          <w:rFonts w:ascii="Verdana" w:eastAsia="Times" w:hAnsi="Verdana" w:cs="Times New Roman"/>
          <w:sz w:val="20"/>
          <w:szCs w:val="20"/>
          <w:lang w:val="es-CR"/>
        </w:rPr>
        <w:t xml:space="preserve">19 Comerciantes. </w:t>
      </w:r>
      <w:r w:rsidRPr="00ED44E9">
        <w:rPr>
          <w:rFonts w:ascii="Verdana" w:eastAsia="Times" w:hAnsi="Verdana" w:cs="Times New Roman"/>
          <w:sz w:val="20"/>
          <w:szCs w:val="20"/>
          <w:lang w:val="es-CR"/>
        </w:rPr>
        <w:t>Resolución de la Corte Interamericana de Derechos Humanos de 1 de junio de 2020.</w:t>
      </w:r>
    </w:p>
    <w:p w14:paraId="32297B7E" w14:textId="7C735687" w:rsidR="00ED44E9" w:rsidRDefault="00ED44E9" w:rsidP="00ED44E9">
      <w:pPr>
        <w:spacing w:after="0" w:line="240" w:lineRule="auto"/>
        <w:rPr>
          <w:rFonts w:ascii="Verdana" w:hAnsi="Verdana"/>
          <w:sz w:val="20"/>
          <w:szCs w:val="20"/>
          <w:lang w:val="es-CR"/>
        </w:rPr>
      </w:pPr>
    </w:p>
    <w:p w14:paraId="6FCB7D5D" w14:textId="475091A0" w:rsidR="00ED44E9" w:rsidRDefault="00ED44E9" w:rsidP="00ED44E9">
      <w:pPr>
        <w:spacing w:after="0" w:line="240" w:lineRule="auto"/>
        <w:rPr>
          <w:rFonts w:ascii="Verdana" w:hAnsi="Verdana"/>
          <w:sz w:val="20"/>
          <w:szCs w:val="20"/>
          <w:lang w:val="es-CR"/>
        </w:rPr>
      </w:pPr>
    </w:p>
    <w:p w14:paraId="78EF7ABE" w14:textId="77777777" w:rsidR="00ED44E9" w:rsidRDefault="00ED44E9" w:rsidP="00ED44E9">
      <w:pPr>
        <w:spacing w:after="0" w:line="240" w:lineRule="auto"/>
        <w:rPr>
          <w:rFonts w:ascii="Verdana" w:hAnsi="Verdana"/>
          <w:sz w:val="20"/>
          <w:szCs w:val="20"/>
          <w:lang w:val="es-CR"/>
        </w:rPr>
      </w:pPr>
    </w:p>
    <w:p w14:paraId="4F5E893D" w14:textId="78C3C5FE" w:rsidR="00ED44E9" w:rsidRDefault="00ED44E9" w:rsidP="00ED44E9">
      <w:pPr>
        <w:spacing w:after="0" w:line="240" w:lineRule="auto"/>
        <w:rPr>
          <w:rFonts w:ascii="Verdana" w:hAnsi="Verdana"/>
          <w:sz w:val="20"/>
          <w:szCs w:val="20"/>
          <w:lang w:val="es-CR"/>
        </w:rPr>
      </w:pPr>
    </w:p>
    <w:p w14:paraId="098FA381" w14:textId="77777777" w:rsidR="00ED44E9" w:rsidRPr="00ED44E9" w:rsidRDefault="00ED44E9" w:rsidP="00ED44E9">
      <w:pPr>
        <w:spacing w:after="0" w:line="240" w:lineRule="auto"/>
        <w:rPr>
          <w:rFonts w:ascii="Verdana" w:hAnsi="Verdana"/>
          <w:sz w:val="20"/>
          <w:szCs w:val="20"/>
          <w:lang w:val="es-CR"/>
        </w:rPr>
      </w:pPr>
    </w:p>
    <w:p w14:paraId="3D2AE4C2" w14:textId="77777777" w:rsidR="001C7058" w:rsidRPr="00ED44E9" w:rsidRDefault="001C7058" w:rsidP="001C7058">
      <w:pPr>
        <w:spacing w:after="0" w:line="240" w:lineRule="auto"/>
        <w:jc w:val="center"/>
        <w:rPr>
          <w:rFonts w:ascii="Verdana" w:hAnsi="Verdana"/>
          <w:sz w:val="20"/>
          <w:szCs w:val="20"/>
          <w:lang w:val="pt-BR"/>
        </w:rPr>
      </w:pPr>
      <w:r w:rsidRPr="00ED44E9">
        <w:rPr>
          <w:rFonts w:ascii="Verdana" w:hAnsi="Verdana"/>
          <w:sz w:val="20"/>
          <w:szCs w:val="20"/>
          <w:lang w:val="pt-BR"/>
        </w:rPr>
        <w:t xml:space="preserve">Elizabeth </w:t>
      </w:r>
      <w:proofErr w:type="spellStart"/>
      <w:r w:rsidRPr="00ED44E9">
        <w:rPr>
          <w:rFonts w:ascii="Verdana" w:hAnsi="Verdana"/>
          <w:sz w:val="20"/>
          <w:szCs w:val="20"/>
          <w:lang w:val="pt-BR"/>
        </w:rPr>
        <w:t>Odio</w:t>
      </w:r>
      <w:proofErr w:type="spellEnd"/>
      <w:r w:rsidRPr="00ED44E9">
        <w:rPr>
          <w:rFonts w:ascii="Verdana" w:hAnsi="Verdana"/>
          <w:sz w:val="20"/>
          <w:szCs w:val="20"/>
          <w:lang w:val="pt-BR"/>
        </w:rPr>
        <w:t xml:space="preserve"> Benito</w:t>
      </w:r>
    </w:p>
    <w:p w14:paraId="3196CACF" w14:textId="77777777" w:rsidR="001C7058" w:rsidRPr="00ED44E9" w:rsidRDefault="001C7058" w:rsidP="001C7058">
      <w:pPr>
        <w:spacing w:after="0" w:line="240" w:lineRule="auto"/>
        <w:jc w:val="center"/>
        <w:rPr>
          <w:rFonts w:ascii="Verdana" w:hAnsi="Verdana"/>
          <w:sz w:val="20"/>
          <w:szCs w:val="20"/>
          <w:lang w:val="pt-BR"/>
        </w:rPr>
      </w:pPr>
      <w:r w:rsidRPr="00ED44E9">
        <w:rPr>
          <w:rFonts w:ascii="Verdana" w:hAnsi="Verdana"/>
          <w:sz w:val="20"/>
          <w:szCs w:val="20"/>
          <w:lang w:val="pt-BR"/>
        </w:rPr>
        <w:t>Presidenta</w:t>
      </w:r>
    </w:p>
    <w:p w14:paraId="00EF22FF" w14:textId="77777777" w:rsidR="001C7058" w:rsidRPr="00ED44E9" w:rsidRDefault="001C7058" w:rsidP="001C7058">
      <w:pPr>
        <w:spacing w:after="0" w:line="240" w:lineRule="auto"/>
        <w:jc w:val="both"/>
        <w:rPr>
          <w:rFonts w:ascii="Verdana" w:hAnsi="Verdana"/>
          <w:sz w:val="20"/>
          <w:szCs w:val="20"/>
          <w:lang w:val="pt-BR"/>
        </w:rPr>
      </w:pPr>
    </w:p>
    <w:p w14:paraId="711E4229" w14:textId="77777777" w:rsidR="001C7058" w:rsidRPr="00ED44E9" w:rsidRDefault="001C7058" w:rsidP="001C7058">
      <w:pPr>
        <w:spacing w:after="0" w:line="240" w:lineRule="auto"/>
        <w:jc w:val="both"/>
        <w:rPr>
          <w:rFonts w:ascii="Verdana" w:hAnsi="Verdana"/>
          <w:sz w:val="20"/>
          <w:szCs w:val="20"/>
          <w:lang w:val="pt-BR"/>
        </w:rPr>
      </w:pPr>
    </w:p>
    <w:p w14:paraId="30DD2192" w14:textId="77777777" w:rsidR="001C7058" w:rsidRPr="00ED44E9" w:rsidRDefault="001C7058" w:rsidP="001C7058">
      <w:pPr>
        <w:spacing w:after="0" w:line="240" w:lineRule="auto"/>
        <w:jc w:val="both"/>
        <w:rPr>
          <w:rFonts w:ascii="Verdana" w:hAnsi="Verdana"/>
          <w:sz w:val="20"/>
          <w:szCs w:val="20"/>
          <w:lang w:val="pt-BR"/>
        </w:rPr>
      </w:pPr>
    </w:p>
    <w:p w14:paraId="2E5DBB07" w14:textId="77777777" w:rsidR="001C7058" w:rsidRPr="00ED44E9" w:rsidRDefault="001C7058" w:rsidP="001C7058">
      <w:pPr>
        <w:spacing w:after="0" w:line="240" w:lineRule="auto"/>
        <w:jc w:val="both"/>
        <w:rPr>
          <w:rFonts w:ascii="Verdana" w:hAnsi="Verdana"/>
          <w:sz w:val="20"/>
          <w:szCs w:val="20"/>
          <w:lang w:val="pt-BR"/>
        </w:rPr>
      </w:pPr>
    </w:p>
    <w:p w14:paraId="5CDCBEFA" w14:textId="77777777" w:rsidR="001C7058" w:rsidRPr="00ED44E9" w:rsidRDefault="001C7058" w:rsidP="001C7058">
      <w:pPr>
        <w:spacing w:after="0" w:line="240" w:lineRule="auto"/>
        <w:jc w:val="both"/>
        <w:rPr>
          <w:rFonts w:ascii="Verdana" w:hAnsi="Verdana"/>
          <w:sz w:val="20"/>
          <w:szCs w:val="20"/>
          <w:lang w:val="pt-BR"/>
        </w:rPr>
      </w:pPr>
    </w:p>
    <w:p w14:paraId="1B9768F2" w14:textId="4F10A582" w:rsidR="001C7058" w:rsidRPr="00ED44E9" w:rsidRDefault="001C7058" w:rsidP="001C7058">
      <w:pPr>
        <w:spacing w:after="0" w:line="240" w:lineRule="auto"/>
        <w:jc w:val="both"/>
        <w:rPr>
          <w:rFonts w:ascii="Verdana" w:hAnsi="Verdana"/>
          <w:sz w:val="20"/>
          <w:szCs w:val="20"/>
          <w:lang w:val="pt-BR"/>
        </w:rPr>
      </w:pPr>
      <w:r w:rsidRPr="00ED44E9">
        <w:rPr>
          <w:rFonts w:ascii="Verdana" w:hAnsi="Verdana"/>
          <w:sz w:val="20"/>
          <w:szCs w:val="20"/>
          <w:lang w:val="pt-BR"/>
        </w:rPr>
        <w:t>L. Patricio Pazmiño Freire</w:t>
      </w:r>
      <w:r w:rsidRPr="00ED44E9">
        <w:rPr>
          <w:rFonts w:ascii="Verdana" w:hAnsi="Verdana"/>
          <w:sz w:val="20"/>
          <w:szCs w:val="20"/>
          <w:lang w:val="pt-BR"/>
        </w:rPr>
        <w:tab/>
      </w:r>
      <w:r w:rsidRPr="00ED44E9">
        <w:rPr>
          <w:rFonts w:ascii="Verdana" w:hAnsi="Verdana"/>
          <w:sz w:val="20"/>
          <w:szCs w:val="20"/>
          <w:lang w:val="pt-BR"/>
        </w:rPr>
        <w:tab/>
      </w:r>
      <w:r w:rsidRPr="00ED44E9">
        <w:rPr>
          <w:rFonts w:ascii="Verdana" w:hAnsi="Verdana"/>
          <w:sz w:val="20"/>
          <w:szCs w:val="20"/>
          <w:lang w:val="pt-BR"/>
        </w:rPr>
        <w:tab/>
      </w:r>
      <w:r w:rsidRPr="00ED44E9">
        <w:rPr>
          <w:rFonts w:ascii="Verdana" w:hAnsi="Verdana"/>
          <w:sz w:val="20"/>
          <w:szCs w:val="20"/>
          <w:lang w:val="pt-BR"/>
        </w:rPr>
        <w:tab/>
      </w:r>
      <w:r w:rsidRPr="00ED44E9">
        <w:rPr>
          <w:rFonts w:ascii="Verdana" w:hAnsi="Verdana"/>
          <w:sz w:val="20"/>
          <w:szCs w:val="20"/>
          <w:lang w:val="pt-BR"/>
        </w:rPr>
        <w:tab/>
      </w:r>
      <w:r w:rsidRPr="00ED44E9">
        <w:rPr>
          <w:rFonts w:ascii="Verdana" w:hAnsi="Verdana"/>
          <w:sz w:val="20"/>
          <w:szCs w:val="20"/>
          <w:lang w:val="pt-BR"/>
        </w:rPr>
        <w:tab/>
        <w:t xml:space="preserve">Eduardo </w:t>
      </w:r>
      <w:proofErr w:type="spellStart"/>
      <w:r w:rsidRPr="00ED44E9">
        <w:rPr>
          <w:rFonts w:ascii="Verdana" w:hAnsi="Verdana"/>
          <w:sz w:val="20"/>
          <w:szCs w:val="20"/>
          <w:lang w:val="pt-BR"/>
        </w:rPr>
        <w:t>Vio</w:t>
      </w:r>
      <w:proofErr w:type="spellEnd"/>
      <w:r w:rsidRPr="00ED44E9">
        <w:rPr>
          <w:rFonts w:ascii="Verdana" w:hAnsi="Verdana"/>
          <w:sz w:val="20"/>
          <w:szCs w:val="20"/>
          <w:lang w:val="pt-BR"/>
        </w:rPr>
        <w:t xml:space="preserve"> Grossi</w:t>
      </w:r>
    </w:p>
    <w:p w14:paraId="1AA1C383" w14:textId="77777777" w:rsidR="001C7058" w:rsidRPr="00ED44E9" w:rsidRDefault="001C7058" w:rsidP="001C7058">
      <w:pPr>
        <w:spacing w:after="0" w:line="240" w:lineRule="auto"/>
        <w:jc w:val="both"/>
        <w:rPr>
          <w:rFonts w:ascii="Verdana" w:hAnsi="Verdana"/>
          <w:sz w:val="20"/>
          <w:szCs w:val="20"/>
          <w:lang w:val="pt-BR"/>
        </w:rPr>
      </w:pPr>
    </w:p>
    <w:p w14:paraId="4AD649E3" w14:textId="1644C024" w:rsidR="001C7058" w:rsidRDefault="001C7058" w:rsidP="001C7058">
      <w:pPr>
        <w:spacing w:after="0" w:line="240" w:lineRule="auto"/>
        <w:jc w:val="both"/>
        <w:rPr>
          <w:rFonts w:ascii="Verdana" w:hAnsi="Verdana"/>
          <w:sz w:val="20"/>
          <w:szCs w:val="20"/>
          <w:lang w:val="pt-BR"/>
        </w:rPr>
      </w:pPr>
    </w:p>
    <w:p w14:paraId="668BD4F5" w14:textId="77777777" w:rsidR="00ED44E9" w:rsidRPr="00ED44E9" w:rsidRDefault="00ED44E9" w:rsidP="001C7058">
      <w:pPr>
        <w:spacing w:after="0" w:line="240" w:lineRule="auto"/>
        <w:jc w:val="both"/>
        <w:rPr>
          <w:rFonts w:ascii="Verdana" w:hAnsi="Verdana"/>
          <w:sz w:val="20"/>
          <w:szCs w:val="20"/>
          <w:lang w:val="pt-BR"/>
        </w:rPr>
      </w:pPr>
    </w:p>
    <w:p w14:paraId="19DD6661" w14:textId="77777777" w:rsidR="001C7058" w:rsidRPr="00ED44E9" w:rsidRDefault="001C7058" w:rsidP="001C7058">
      <w:pPr>
        <w:spacing w:after="0" w:line="240" w:lineRule="auto"/>
        <w:jc w:val="both"/>
        <w:rPr>
          <w:rFonts w:ascii="Verdana" w:hAnsi="Verdana"/>
          <w:sz w:val="20"/>
          <w:szCs w:val="20"/>
          <w:lang w:val="pt-BR"/>
        </w:rPr>
      </w:pPr>
    </w:p>
    <w:p w14:paraId="5DAD53B4" w14:textId="77777777" w:rsidR="001C7058" w:rsidRPr="00ED44E9" w:rsidRDefault="001C7058" w:rsidP="001C7058">
      <w:pPr>
        <w:spacing w:after="0" w:line="240" w:lineRule="auto"/>
        <w:jc w:val="both"/>
        <w:rPr>
          <w:rFonts w:ascii="Verdana" w:hAnsi="Verdana"/>
          <w:sz w:val="20"/>
          <w:szCs w:val="20"/>
          <w:lang w:val="pt-BR"/>
        </w:rPr>
      </w:pPr>
    </w:p>
    <w:p w14:paraId="5D7110A2" w14:textId="75ECA894" w:rsidR="001C7058" w:rsidRPr="00ED44E9" w:rsidRDefault="001C7058" w:rsidP="001C7058">
      <w:pPr>
        <w:spacing w:after="0" w:line="240" w:lineRule="auto"/>
        <w:rPr>
          <w:rFonts w:ascii="Verdana" w:hAnsi="Verdana"/>
          <w:sz w:val="20"/>
          <w:szCs w:val="20"/>
          <w:lang w:val="pt-BR"/>
        </w:rPr>
      </w:pPr>
      <w:r w:rsidRPr="00ED44E9">
        <w:rPr>
          <w:rFonts w:ascii="Verdana" w:hAnsi="Verdana"/>
          <w:sz w:val="20"/>
          <w:szCs w:val="20"/>
          <w:lang w:val="pt-BR"/>
        </w:rPr>
        <w:t xml:space="preserve">Eduardo Ferrer </w:t>
      </w:r>
      <w:proofErr w:type="spellStart"/>
      <w:r w:rsidRPr="00ED44E9">
        <w:rPr>
          <w:rFonts w:ascii="Verdana" w:hAnsi="Verdana"/>
          <w:sz w:val="20"/>
          <w:szCs w:val="20"/>
          <w:lang w:val="pt-BR"/>
        </w:rPr>
        <w:t>Mac-Gregor</w:t>
      </w:r>
      <w:proofErr w:type="spellEnd"/>
      <w:r w:rsidRPr="00ED44E9">
        <w:rPr>
          <w:rFonts w:ascii="Verdana" w:hAnsi="Verdana"/>
          <w:sz w:val="20"/>
          <w:szCs w:val="20"/>
          <w:lang w:val="pt-BR"/>
        </w:rPr>
        <w:t xml:space="preserve"> </w:t>
      </w:r>
      <w:proofErr w:type="spellStart"/>
      <w:r w:rsidRPr="00ED44E9">
        <w:rPr>
          <w:rFonts w:ascii="Verdana" w:hAnsi="Verdana"/>
          <w:sz w:val="20"/>
          <w:szCs w:val="20"/>
          <w:lang w:val="pt-BR"/>
        </w:rPr>
        <w:t>Poisot</w:t>
      </w:r>
      <w:proofErr w:type="spellEnd"/>
      <w:r w:rsidRPr="00ED44E9">
        <w:rPr>
          <w:rFonts w:ascii="Verdana" w:hAnsi="Verdana"/>
          <w:sz w:val="20"/>
          <w:szCs w:val="20"/>
          <w:lang w:val="pt-BR"/>
        </w:rPr>
        <w:tab/>
      </w:r>
      <w:r w:rsidRPr="00ED44E9">
        <w:rPr>
          <w:rFonts w:ascii="Verdana" w:hAnsi="Verdana"/>
          <w:sz w:val="20"/>
          <w:szCs w:val="20"/>
          <w:lang w:val="pt-BR"/>
        </w:rPr>
        <w:tab/>
      </w:r>
      <w:r w:rsidRPr="00ED44E9">
        <w:rPr>
          <w:rFonts w:ascii="Verdana" w:hAnsi="Verdana"/>
          <w:sz w:val="20"/>
          <w:szCs w:val="20"/>
          <w:lang w:val="pt-BR"/>
        </w:rPr>
        <w:tab/>
      </w:r>
      <w:r w:rsidRPr="00ED44E9">
        <w:rPr>
          <w:rFonts w:ascii="Verdana" w:hAnsi="Verdana"/>
          <w:sz w:val="20"/>
          <w:szCs w:val="20"/>
          <w:lang w:val="pt-BR"/>
        </w:rPr>
        <w:tab/>
      </w:r>
      <w:r w:rsidRPr="00ED44E9">
        <w:rPr>
          <w:rFonts w:ascii="Verdana" w:hAnsi="Verdana"/>
          <w:sz w:val="20"/>
          <w:szCs w:val="20"/>
          <w:lang w:val="pt-BR"/>
        </w:rPr>
        <w:tab/>
        <w:t xml:space="preserve">Eugenio </w:t>
      </w:r>
      <w:proofErr w:type="spellStart"/>
      <w:r w:rsidRPr="00ED44E9">
        <w:rPr>
          <w:rFonts w:ascii="Verdana" w:hAnsi="Verdana"/>
          <w:sz w:val="20"/>
          <w:szCs w:val="20"/>
          <w:lang w:val="pt-BR"/>
        </w:rPr>
        <w:t>Raúl</w:t>
      </w:r>
      <w:proofErr w:type="spellEnd"/>
      <w:r w:rsidRPr="00ED44E9">
        <w:rPr>
          <w:rFonts w:ascii="Verdana" w:hAnsi="Verdana"/>
          <w:sz w:val="20"/>
          <w:szCs w:val="20"/>
          <w:lang w:val="pt-BR"/>
        </w:rPr>
        <w:t xml:space="preserve"> </w:t>
      </w:r>
      <w:proofErr w:type="spellStart"/>
      <w:r w:rsidRPr="00ED44E9">
        <w:rPr>
          <w:rFonts w:ascii="Verdana" w:hAnsi="Verdana"/>
          <w:sz w:val="20"/>
          <w:szCs w:val="20"/>
          <w:lang w:val="pt-BR"/>
        </w:rPr>
        <w:t>Zaffaroni</w:t>
      </w:r>
      <w:proofErr w:type="spellEnd"/>
    </w:p>
    <w:p w14:paraId="5597F470" w14:textId="77777777" w:rsidR="001C7058" w:rsidRPr="00ED44E9" w:rsidRDefault="001C7058" w:rsidP="001C7058">
      <w:pPr>
        <w:spacing w:after="0" w:line="240" w:lineRule="auto"/>
        <w:jc w:val="both"/>
        <w:rPr>
          <w:rFonts w:ascii="Verdana" w:hAnsi="Verdana"/>
          <w:sz w:val="20"/>
          <w:szCs w:val="20"/>
          <w:lang w:val="pt-BR"/>
        </w:rPr>
      </w:pPr>
    </w:p>
    <w:p w14:paraId="41894182" w14:textId="77777777" w:rsidR="001C7058" w:rsidRPr="00ED44E9" w:rsidRDefault="001C7058" w:rsidP="001C7058">
      <w:pPr>
        <w:spacing w:after="0" w:line="240" w:lineRule="auto"/>
        <w:jc w:val="both"/>
        <w:rPr>
          <w:rFonts w:ascii="Verdana" w:hAnsi="Verdana"/>
          <w:sz w:val="20"/>
          <w:szCs w:val="20"/>
          <w:lang w:val="pt-BR"/>
        </w:rPr>
      </w:pPr>
    </w:p>
    <w:p w14:paraId="49A2E361" w14:textId="77777777" w:rsidR="001C7058" w:rsidRPr="00ED44E9" w:rsidRDefault="001C7058" w:rsidP="001C7058">
      <w:pPr>
        <w:spacing w:after="0" w:line="240" w:lineRule="auto"/>
        <w:jc w:val="both"/>
        <w:rPr>
          <w:rFonts w:ascii="Verdana" w:hAnsi="Verdana"/>
          <w:sz w:val="20"/>
          <w:szCs w:val="20"/>
          <w:lang w:val="pt-BR"/>
        </w:rPr>
      </w:pPr>
    </w:p>
    <w:p w14:paraId="08F9E133" w14:textId="77777777" w:rsidR="001C7058" w:rsidRPr="00ED44E9" w:rsidRDefault="001C7058" w:rsidP="001C7058">
      <w:pPr>
        <w:spacing w:after="0" w:line="240" w:lineRule="auto"/>
        <w:jc w:val="both"/>
        <w:rPr>
          <w:rFonts w:ascii="Verdana" w:hAnsi="Verdana"/>
          <w:sz w:val="20"/>
          <w:szCs w:val="20"/>
          <w:lang w:val="pt-BR"/>
        </w:rPr>
      </w:pPr>
    </w:p>
    <w:p w14:paraId="754116A6" w14:textId="77777777" w:rsidR="001C7058" w:rsidRPr="00ED44E9" w:rsidRDefault="001C7058" w:rsidP="001C7058">
      <w:pPr>
        <w:spacing w:after="0" w:line="240" w:lineRule="auto"/>
        <w:jc w:val="both"/>
        <w:rPr>
          <w:rFonts w:ascii="Verdana" w:hAnsi="Verdana"/>
          <w:sz w:val="20"/>
          <w:szCs w:val="20"/>
          <w:lang w:val="pt-BR"/>
        </w:rPr>
      </w:pPr>
    </w:p>
    <w:p w14:paraId="5D0ED630" w14:textId="77777777" w:rsidR="001C7058" w:rsidRPr="00ED44E9" w:rsidRDefault="001C7058" w:rsidP="001C7058">
      <w:pPr>
        <w:spacing w:after="0" w:line="240" w:lineRule="auto"/>
        <w:jc w:val="center"/>
        <w:rPr>
          <w:rFonts w:ascii="Verdana" w:hAnsi="Verdana"/>
          <w:sz w:val="20"/>
          <w:szCs w:val="20"/>
          <w:lang w:val="pt-BR"/>
        </w:rPr>
      </w:pPr>
      <w:r w:rsidRPr="00ED44E9">
        <w:rPr>
          <w:rFonts w:ascii="Verdana" w:hAnsi="Verdana"/>
          <w:sz w:val="20"/>
          <w:szCs w:val="20"/>
          <w:lang w:val="pt-BR"/>
        </w:rPr>
        <w:t>Ricardo C. Pérez Manrique</w:t>
      </w:r>
    </w:p>
    <w:p w14:paraId="1D3BE142" w14:textId="77777777" w:rsidR="001C7058" w:rsidRPr="00ED44E9" w:rsidRDefault="001C7058" w:rsidP="001C7058">
      <w:pPr>
        <w:spacing w:after="0" w:line="240" w:lineRule="auto"/>
        <w:jc w:val="both"/>
        <w:rPr>
          <w:rFonts w:ascii="Verdana" w:hAnsi="Verdana"/>
          <w:sz w:val="20"/>
          <w:szCs w:val="20"/>
          <w:lang w:val="pt-BR"/>
        </w:rPr>
      </w:pPr>
    </w:p>
    <w:p w14:paraId="1D3D5115" w14:textId="77777777" w:rsidR="001C7058" w:rsidRPr="00ED44E9" w:rsidRDefault="001C7058" w:rsidP="001C7058">
      <w:pPr>
        <w:spacing w:after="0" w:line="240" w:lineRule="auto"/>
        <w:jc w:val="both"/>
        <w:rPr>
          <w:rFonts w:ascii="Verdana" w:hAnsi="Verdana"/>
          <w:sz w:val="20"/>
          <w:szCs w:val="20"/>
          <w:lang w:val="pt-BR"/>
        </w:rPr>
      </w:pPr>
    </w:p>
    <w:p w14:paraId="545C5DA2" w14:textId="77777777" w:rsidR="001C7058" w:rsidRPr="00ED44E9" w:rsidRDefault="001C7058" w:rsidP="001C7058">
      <w:pPr>
        <w:spacing w:after="0" w:line="240" w:lineRule="auto"/>
        <w:jc w:val="both"/>
        <w:rPr>
          <w:rFonts w:ascii="Verdana" w:hAnsi="Verdana"/>
          <w:sz w:val="20"/>
          <w:szCs w:val="20"/>
          <w:lang w:val="pt-BR"/>
        </w:rPr>
      </w:pPr>
    </w:p>
    <w:p w14:paraId="7680E2DE" w14:textId="77777777" w:rsidR="001C7058" w:rsidRPr="00ED44E9" w:rsidRDefault="001C7058" w:rsidP="001C7058">
      <w:pPr>
        <w:spacing w:after="0" w:line="240" w:lineRule="auto"/>
        <w:jc w:val="both"/>
        <w:rPr>
          <w:rFonts w:ascii="Verdana" w:hAnsi="Verdana"/>
          <w:sz w:val="20"/>
          <w:szCs w:val="20"/>
          <w:lang w:val="pt-BR"/>
        </w:rPr>
      </w:pPr>
    </w:p>
    <w:p w14:paraId="498C68BE" w14:textId="77777777" w:rsidR="001C7058" w:rsidRPr="00ED44E9" w:rsidRDefault="001C7058" w:rsidP="001C7058">
      <w:pPr>
        <w:spacing w:after="0" w:line="240" w:lineRule="auto"/>
        <w:jc w:val="both"/>
        <w:rPr>
          <w:rFonts w:ascii="Verdana" w:hAnsi="Verdana"/>
          <w:sz w:val="20"/>
          <w:szCs w:val="20"/>
          <w:lang w:val="pt-BR"/>
        </w:rPr>
      </w:pPr>
    </w:p>
    <w:p w14:paraId="2A9B11DF" w14:textId="77777777" w:rsidR="001C7058" w:rsidRPr="00ED44E9" w:rsidRDefault="001C7058" w:rsidP="001C7058">
      <w:pPr>
        <w:spacing w:after="0" w:line="240" w:lineRule="auto"/>
        <w:jc w:val="center"/>
        <w:rPr>
          <w:rFonts w:ascii="Verdana" w:hAnsi="Verdana"/>
          <w:sz w:val="20"/>
          <w:szCs w:val="20"/>
          <w:lang w:val="pt-BR"/>
        </w:rPr>
      </w:pPr>
      <w:r w:rsidRPr="00ED44E9">
        <w:rPr>
          <w:rFonts w:ascii="Verdana" w:hAnsi="Verdana"/>
          <w:sz w:val="20"/>
          <w:szCs w:val="20"/>
          <w:lang w:val="pt-BR"/>
        </w:rPr>
        <w:t xml:space="preserve">Pablo Saavedra </w:t>
      </w:r>
      <w:proofErr w:type="spellStart"/>
      <w:r w:rsidRPr="00ED44E9">
        <w:rPr>
          <w:rFonts w:ascii="Verdana" w:hAnsi="Verdana"/>
          <w:sz w:val="20"/>
          <w:szCs w:val="20"/>
          <w:lang w:val="pt-BR"/>
        </w:rPr>
        <w:t>Alessandri</w:t>
      </w:r>
      <w:proofErr w:type="spellEnd"/>
    </w:p>
    <w:p w14:paraId="1A09717B" w14:textId="77777777" w:rsidR="001C7058" w:rsidRPr="001C7058" w:rsidRDefault="001C7058" w:rsidP="001C7058">
      <w:pPr>
        <w:spacing w:after="0" w:line="240" w:lineRule="auto"/>
        <w:jc w:val="center"/>
        <w:rPr>
          <w:rFonts w:ascii="Verdana" w:hAnsi="Verdana"/>
          <w:sz w:val="20"/>
          <w:szCs w:val="20"/>
          <w:lang w:val="es-ES"/>
        </w:rPr>
      </w:pPr>
      <w:r w:rsidRPr="001C7058">
        <w:rPr>
          <w:rFonts w:ascii="Verdana" w:hAnsi="Verdana"/>
          <w:sz w:val="20"/>
          <w:szCs w:val="20"/>
          <w:lang w:val="es-ES"/>
        </w:rPr>
        <w:t>Secretario</w:t>
      </w:r>
    </w:p>
    <w:p w14:paraId="77532A83" w14:textId="77777777" w:rsidR="001C7058" w:rsidRPr="001C7058" w:rsidRDefault="001C7058" w:rsidP="001C7058">
      <w:pPr>
        <w:spacing w:after="0" w:line="240" w:lineRule="auto"/>
        <w:rPr>
          <w:rFonts w:ascii="Verdana" w:hAnsi="Verdana"/>
          <w:sz w:val="20"/>
          <w:szCs w:val="20"/>
          <w:lang w:val="es-ES"/>
        </w:rPr>
      </w:pPr>
    </w:p>
    <w:p w14:paraId="4C92D196" w14:textId="77777777" w:rsidR="001C7058" w:rsidRPr="001C7058" w:rsidRDefault="001C7058" w:rsidP="001C7058">
      <w:pPr>
        <w:pStyle w:val="Textonotapie"/>
        <w:rPr>
          <w:rFonts w:ascii="Verdana" w:hAnsi="Verdana"/>
          <w:lang w:val="es-ES"/>
        </w:rPr>
      </w:pPr>
    </w:p>
    <w:p w14:paraId="377F33D8" w14:textId="77777777" w:rsidR="001C7058" w:rsidRPr="001C7058" w:rsidRDefault="001C7058" w:rsidP="001C7058">
      <w:pPr>
        <w:pStyle w:val="Textonotapie"/>
        <w:rPr>
          <w:rFonts w:ascii="Verdana" w:hAnsi="Verdana"/>
          <w:lang w:val="es-ES"/>
        </w:rPr>
      </w:pPr>
    </w:p>
    <w:p w14:paraId="25F4C2D5" w14:textId="77777777" w:rsidR="001C7058" w:rsidRPr="001C7058" w:rsidRDefault="001C7058" w:rsidP="001C7058">
      <w:pPr>
        <w:pStyle w:val="Textonotapie"/>
        <w:rPr>
          <w:rFonts w:ascii="Verdana" w:hAnsi="Verdana"/>
          <w:lang w:val="es-ES"/>
        </w:rPr>
      </w:pPr>
    </w:p>
    <w:p w14:paraId="39E3254B" w14:textId="77777777" w:rsidR="001C7058" w:rsidRPr="001C7058" w:rsidRDefault="001C7058" w:rsidP="001C7058">
      <w:pPr>
        <w:spacing w:after="0" w:line="240" w:lineRule="auto"/>
        <w:jc w:val="both"/>
        <w:rPr>
          <w:rFonts w:ascii="Verdana" w:hAnsi="Verdana"/>
          <w:sz w:val="20"/>
          <w:szCs w:val="20"/>
          <w:lang w:val="es-ES"/>
        </w:rPr>
      </w:pPr>
      <w:r w:rsidRPr="001C7058">
        <w:rPr>
          <w:rFonts w:ascii="Verdana" w:hAnsi="Verdana"/>
          <w:sz w:val="20"/>
          <w:szCs w:val="20"/>
          <w:lang w:val="es-ES"/>
        </w:rPr>
        <w:t>Comuníquese y ejecútese,</w:t>
      </w:r>
    </w:p>
    <w:p w14:paraId="5A1A85C3" w14:textId="77777777" w:rsidR="001C7058" w:rsidRPr="001C7058" w:rsidRDefault="001C7058" w:rsidP="001C7058">
      <w:pPr>
        <w:spacing w:after="0" w:line="240" w:lineRule="auto"/>
        <w:jc w:val="both"/>
        <w:rPr>
          <w:rFonts w:ascii="Verdana" w:hAnsi="Verdana"/>
          <w:sz w:val="20"/>
          <w:szCs w:val="20"/>
          <w:lang w:val="es-ES"/>
        </w:rPr>
      </w:pPr>
    </w:p>
    <w:p w14:paraId="468A69AC" w14:textId="77777777" w:rsidR="001C7058" w:rsidRPr="001C7058" w:rsidRDefault="001C7058" w:rsidP="001C7058">
      <w:pPr>
        <w:spacing w:after="0" w:line="240" w:lineRule="auto"/>
        <w:jc w:val="both"/>
        <w:rPr>
          <w:rFonts w:ascii="Verdana" w:hAnsi="Verdana"/>
          <w:sz w:val="20"/>
          <w:szCs w:val="20"/>
          <w:lang w:val="es-ES"/>
        </w:rPr>
      </w:pPr>
    </w:p>
    <w:p w14:paraId="4704D189" w14:textId="77777777" w:rsidR="001C7058" w:rsidRPr="001C7058" w:rsidRDefault="001C7058" w:rsidP="001C7058">
      <w:pPr>
        <w:spacing w:after="0" w:line="240" w:lineRule="auto"/>
        <w:jc w:val="both"/>
        <w:rPr>
          <w:rFonts w:ascii="Verdana" w:hAnsi="Verdana"/>
          <w:sz w:val="20"/>
          <w:szCs w:val="20"/>
          <w:lang w:val="es-ES"/>
        </w:rPr>
      </w:pPr>
    </w:p>
    <w:p w14:paraId="1EE75DBF" w14:textId="77777777" w:rsidR="001C7058" w:rsidRPr="001C7058" w:rsidRDefault="001C7058" w:rsidP="001C7058">
      <w:pPr>
        <w:spacing w:after="0" w:line="240" w:lineRule="auto"/>
        <w:jc w:val="both"/>
        <w:rPr>
          <w:rFonts w:ascii="Verdana" w:hAnsi="Verdana"/>
          <w:sz w:val="20"/>
          <w:szCs w:val="20"/>
          <w:lang w:val="es-ES"/>
        </w:rPr>
      </w:pPr>
    </w:p>
    <w:p w14:paraId="2D042E39" w14:textId="77777777" w:rsidR="001C7058" w:rsidRPr="001C7058" w:rsidRDefault="001C7058" w:rsidP="001C7058">
      <w:pPr>
        <w:spacing w:after="0" w:line="240" w:lineRule="auto"/>
        <w:ind w:left="5664"/>
        <w:jc w:val="center"/>
        <w:rPr>
          <w:rFonts w:ascii="Verdana" w:hAnsi="Verdana"/>
          <w:sz w:val="20"/>
          <w:szCs w:val="20"/>
          <w:lang w:val="es-ES"/>
        </w:rPr>
      </w:pPr>
      <w:r w:rsidRPr="001C7058">
        <w:rPr>
          <w:rFonts w:ascii="Verdana" w:hAnsi="Verdana"/>
          <w:sz w:val="20"/>
          <w:szCs w:val="20"/>
          <w:lang w:val="es-ES"/>
        </w:rPr>
        <w:t>Elizabeth Odio Benito</w:t>
      </w:r>
    </w:p>
    <w:p w14:paraId="146DFF46" w14:textId="77777777" w:rsidR="001C7058" w:rsidRPr="001C7058" w:rsidRDefault="001C7058" w:rsidP="001C7058">
      <w:pPr>
        <w:spacing w:after="0" w:line="240" w:lineRule="auto"/>
        <w:ind w:left="5664"/>
        <w:jc w:val="center"/>
        <w:rPr>
          <w:rFonts w:ascii="Verdana" w:hAnsi="Verdana"/>
          <w:sz w:val="20"/>
          <w:szCs w:val="20"/>
          <w:lang w:val="es-ES"/>
        </w:rPr>
      </w:pPr>
      <w:r w:rsidRPr="001C7058">
        <w:rPr>
          <w:rFonts w:ascii="Verdana" w:hAnsi="Verdana"/>
          <w:sz w:val="20"/>
          <w:szCs w:val="20"/>
          <w:lang w:val="es-ES"/>
        </w:rPr>
        <w:t>Presidenta</w:t>
      </w:r>
    </w:p>
    <w:p w14:paraId="5AE6ED9B" w14:textId="77777777" w:rsidR="001C7058" w:rsidRPr="001C7058" w:rsidRDefault="001C7058" w:rsidP="001C7058">
      <w:pPr>
        <w:spacing w:after="0" w:line="240" w:lineRule="auto"/>
        <w:jc w:val="both"/>
        <w:rPr>
          <w:rFonts w:ascii="Verdana" w:hAnsi="Verdana"/>
          <w:sz w:val="20"/>
          <w:szCs w:val="20"/>
          <w:lang w:val="es-ES"/>
        </w:rPr>
      </w:pPr>
    </w:p>
    <w:p w14:paraId="68363098" w14:textId="77777777" w:rsidR="001C7058" w:rsidRPr="001C7058" w:rsidRDefault="001C7058" w:rsidP="001C7058">
      <w:pPr>
        <w:spacing w:after="0" w:line="240" w:lineRule="auto"/>
        <w:jc w:val="both"/>
        <w:rPr>
          <w:rFonts w:ascii="Verdana" w:hAnsi="Verdana"/>
          <w:sz w:val="20"/>
          <w:szCs w:val="20"/>
          <w:lang w:val="es-ES"/>
        </w:rPr>
      </w:pPr>
    </w:p>
    <w:p w14:paraId="01F31688" w14:textId="77777777" w:rsidR="001C7058" w:rsidRPr="001C7058" w:rsidRDefault="001C7058" w:rsidP="001C7058">
      <w:pPr>
        <w:spacing w:after="0" w:line="240" w:lineRule="auto"/>
        <w:jc w:val="both"/>
        <w:rPr>
          <w:rFonts w:ascii="Verdana" w:hAnsi="Verdana"/>
          <w:sz w:val="20"/>
          <w:szCs w:val="20"/>
          <w:lang w:val="es-ES"/>
        </w:rPr>
      </w:pPr>
    </w:p>
    <w:p w14:paraId="65B414AE" w14:textId="77777777" w:rsidR="001C7058" w:rsidRPr="001C7058" w:rsidRDefault="001C7058" w:rsidP="001C7058">
      <w:pPr>
        <w:spacing w:after="0" w:line="240" w:lineRule="auto"/>
        <w:jc w:val="both"/>
        <w:rPr>
          <w:rFonts w:ascii="Verdana" w:hAnsi="Verdana"/>
          <w:sz w:val="20"/>
          <w:szCs w:val="20"/>
          <w:lang w:val="es-ES"/>
        </w:rPr>
      </w:pPr>
    </w:p>
    <w:p w14:paraId="488A36AC" w14:textId="77777777" w:rsidR="001C7058" w:rsidRPr="001C7058" w:rsidRDefault="001C7058" w:rsidP="001C7058">
      <w:pPr>
        <w:spacing w:after="0" w:line="240" w:lineRule="auto"/>
        <w:jc w:val="both"/>
        <w:rPr>
          <w:rFonts w:ascii="Verdana" w:hAnsi="Verdana"/>
          <w:sz w:val="20"/>
          <w:szCs w:val="20"/>
          <w:lang w:val="es-ES"/>
        </w:rPr>
      </w:pPr>
    </w:p>
    <w:p w14:paraId="79603EB2" w14:textId="77777777" w:rsidR="001C7058" w:rsidRPr="001C7058" w:rsidRDefault="001C7058" w:rsidP="001C7058">
      <w:pPr>
        <w:spacing w:after="0" w:line="240" w:lineRule="auto"/>
        <w:jc w:val="both"/>
        <w:rPr>
          <w:rFonts w:ascii="Verdana" w:hAnsi="Verdana"/>
          <w:sz w:val="20"/>
          <w:szCs w:val="20"/>
          <w:lang w:val="es-ES"/>
        </w:rPr>
      </w:pPr>
      <w:r w:rsidRPr="001C7058">
        <w:rPr>
          <w:rFonts w:ascii="Verdana" w:hAnsi="Verdana"/>
          <w:sz w:val="20"/>
          <w:szCs w:val="20"/>
          <w:lang w:val="es-ES"/>
        </w:rPr>
        <w:t>Pablo Saavedra Alessandri</w:t>
      </w:r>
    </w:p>
    <w:p w14:paraId="7C52272D" w14:textId="77777777" w:rsidR="001C7058" w:rsidRPr="001C7058" w:rsidRDefault="001C7058" w:rsidP="001C7058">
      <w:pPr>
        <w:spacing w:after="0" w:line="240" w:lineRule="auto"/>
        <w:rPr>
          <w:rFonts w:ascii="Verdana" w:hAnsi="Verdana"/>
          <w:sz w:val="20"/>
          <w:szCs w:val="20"/>
          <w:lang w:val="es-CR" w:eastAsia="es-MX"/>
        </w:rPr>
      </w:pPr>
      <w:r w:rsidRPr="001C7058">
        <w:rPr>
          <w:rFonts w:ascii="Verdana" w:hAnsi="Verdana"/>
          <w:sz w:val="20"/>
          <w:szCs w:val="20"/>
          <w:lang w:val="es-ES"/>
        </w:rPr>
        <w:tab/>
      </w:r>
      <w:r w:rsidRPr="001C7058">
        <w:rPr>
          <w:rFonts w:ascii="Verdana" w:hAnsi="Verdana"/>
          <w:sz w:val="20"/>
          <w:szCs w:val="20"/>
          <w:lang w:val="es-CR"/>
        </w:rPr>
        <w:t>Secretario</w:t>
      </w:r>
    </w:p>
    <w:p w14:paraId="07844AA8" w14:textId="77777777" w:rsidR="004F0E31" w:rsidRDefault="004F0E31" w:rsidP="001C7058">
      <w:pPr>
        <w:spacing w:after="0" w:line="240" w:lineRule="auto"/>
        <w:ind w:right="6241"/>
        <w:rPr>
          <w:rFonts w:ascii="Verdana" w:hAnsi="Verdana"/>
          <w:sz w:val="20"/>
          <w:szCs w:val="20"/>
          <w:lang w:val="es-AR"/>
        </w:rPr>
        <w:sectPr w:rsidR="004F0E31" w:rsidSect="00C22FEC">
          <w:type w:val="continuous"/>
          <w:pgSz w:w="12240" w:h="15840"/>
          <w:pgMar w:top="1440" w:right="1440" w:bottom="1440" w:left="1440" w:header="720" w:footer="720" w:gutter="0"/>
          <w:cols w:space="720"/>
          <w:titlePg/>
          <w:docGrid w:linePitch="360"/>
        </w:sectPr>
      </w:pPr>
    </w:p>
    <w:p w14:paraId="376C72C5" w14:textId="77777777" w:rsidR="004F0E31" w:rsidRPr="00D30523" w:rsidRDefault="004F0E31" w:rsidP="009A5EDB">
      <w:pPr>
        <w:spacing w:after="0"/>
        <w:jc w:val="center"/>
        <w:rPr>
          <w:rFonts w:ascii="Verdana" w:hAnsi="Verdana"/>
          <w:b/>
          <w:bCs/>
          <w:sz w:val="20"/>
          <w:szCs w:val="20"/>
        </w:rPr>
      </w:pPr>
      <w:r w:rsidRPr="00D30523">
        <w:rPr>
          <w:rFonts w:ascii="Verdana" w:hAnsi="Verdana"/>
          <w:b/>
          <w:bCs/>
          <w:sz w:val="20"/>
          <w:szCs w:val="20"/>
        </w:rPr>
        <w:lastRenderedPageBreak/>
        <w:t>VOTO DISIDENTE DEL JUEZ EDUARDO VIO GROSSI,</w:t>
      </w:r>
    </w:p>
    <w:p w14:paraId="567BB2DA" w14:textId="77777777" w:rsidR="004F0E31" w:rsidRPr="00D30523" w:rsidRDefault="004F0E31" w:rsidP="009A5EDB">
      <w:pPr>
        <w:spacing w:after="0"/>
        <w:ind w:hanging="720"/>
        <w:jc w:val="center"/>
        <w:rPr>
          <w:rFonts w:ascii="Verdana" w:hAnsi="Verdana"/>
          <w:b/>
          <w:bCs/>
          <w:sz w:val="20"/>
          <w:szCs w:val="20"/>
        </w:rPr>
      </w:pPr>
      <w:r w:rsidRPr="00D30523">
        <w:rPr>
          <w:rFonts w:ascii="Verdana" w:hAnsi="Verdana"/>
          <w:b/>
          <w:bCs/>
          <w:sz w:val="20"/>
          <w:szCs w:val="20"/>
        </w:rPr>
        <w:t>RESOLUCIÓN DE LA CORTE INTERAMERICANA DE DERECHOS HUMANOS,</w:t>
      </w:r>
    </w:p>
    <w:p w14:paraId="62893361" w14:textId="77777777" w:rsidR="004F0E31" w:rsidRPr="00D30523" w:rsidRDefault="004F0E31" w:rsidP="009A5EDB">
      <w:pPr>
        <w:spacing w:after="0"/>
        <w:ind w:hanging="720"/>
        <w:jc w:val="center"/>
        <w:rPr>
          <w:rFonts w:ascii="Verdana" w:hAnsi="Verdana"/>
          <w:b/>
          <w:bCs/>
          <w:sz w:val="20"/>
          <w:szCs w:val="20"/>
        </w:rPr>
      </w:pPr>
      <w:r w:rsidRPr="00D30523">
        <w:rPr>
          <w:rFonts w:ascii="Verdana" w:hAnsi="Verdana"/>
          <w:b/>
          <w:bCs/>
          <w:sz w:val="20"/>
          <w:szCs w:val="20"/>
        </w:rPr>
        <w:t>DE 1 DE JUNIO DE 2020,</w:t>
      </w:r>
    </w:p>
    <w:p w14:paraId="4484F671" w14:textId="77777777" w:rsidR="004F0E31" w:rsidRPr="00D30523" w:rsidRDefault="004F0E31" w:rsidP="009A5EDB">
      <w:pPr>
        <w:spacing w:after="0"/>
        <w:ind w:hanging="720"/>
        <w:jc w:val="center"/>
        <w:rPr>
          <w:rFonts w:ascii="Verdana" w:hAnsi="Verdana"/>
          <w:b/>
          <w:bCs/>
          <w:sz w:val="20"/>
          <w:szCs w:val="20"/>
        </w:rPr>
      </w:pPr>
      <w:r w:rsidRPr="00D30523">
        <w:rPr>
          <w:rFonts w:ascii="Verdana" w:hAnsi="Verdana"/>
          <w:b/>
          <w:bCs/>
          <w:sz w:val="20"/>
          <w:szCs w:val="20"/>
        </w:rPr>
        <w:t>MEDIDAS PROVISIONALES RESPECTO DE COLOMBIA,</w:t>
      </w:r>
    </w:p>
    <w:p w14:paraId="3BEF1D99" w14:textId="77777777" w:rsidR="004F0E31" w:rsidRPr="00D30523" w:rsidRDefault="004F0E31" w:rsidP="009A5EDB">
      <w:pPr>
        <w:spacing w:after="0"/>
        <w:ind w:hanging="720"/>
        <w:jc w:val="center"/>
        <w:rPr>
          <w:rFonts w:ascii="Verdana" w:hAnsi="Verdana"/>
          <w:b/>
          <w:bCs/>
          <w:sz w:val="20"/>
          <w:szCs w:val="20"/>
        </w:rPr>
      </w:pPr>
      <w:r w:rsidRPr="00D30523">
        <w:rPr>
          <w:rFonts w:ascii="Verdana" w:hAnsi="Verdana"/>
          <w:b/>
          <w:bCs/>
          <w:sz w:val="20"/>
          <w:szCs w:val="20"/>
        </w:rPr>
        <w:t>CASO 19 COMERCIANTES.</w:t>
      </w:r>
    </w:p>
    <w:p w14:paraId="5F4F5A89" w14:textId="77777777" w:rsidR="004F0E31" w:rsidRPr="00D30523" w:rsidRDefault="004F0E31" w:rsidP="009A5EDB">
      <w:pPr>
        <w:pStyle w:val="Prrafodelista"/>
        <w:spacing w:line="276" w:lineRule="auto"/>
        <w:ind w:left="0"/>
        <w:rPr>
          <w:rFonts w:ascii="Verdana" w:hAnsi="Verdana"/>
          <w:b/>
          <w:bCs/>
          <w:sz w:val="20"/>
        </w:rPr>
      </w:pPr>
    </w:p>
    <w:p w14:paraId="02511F74" w14:textId="77777777" w:rsidR="004F0E31" w:rsidRPr="00D30523" w:rsidRDefault="004F0E31" w:rsidP="009A5EDB">
      <w:pPr>
        <w:pStyle w:val="Prrafodelista"/>
        <w:spacing w:line="276" w:lineRule="auto"/>
        <w:ind w:left="0"/>
        <w:rPr>
          <w:rFonts w:ascii="Verdana" w:hAnsi="Verdana"/>
          <w:b/>
          <w:bCs/>
          <w:sz w:val="20"/>
        </w:rPr>
      </w:pPr>
    </w:p>
    <w:p w14:paraId="7D3044E8" w14:textId="77777777" w:rsidR="004F0E31" w:rsidRPr="00D30523" w:rsidRDefault="004F0E31" w:rsidP="009A5EDB">
      <w:pPr>
        <w:pStyle w:val="Prrafodelista"/>
        <w:spacing w:line="276" w:lineRule="auto"/>
        <w:ind w:left="0"/>
        <w:rPr>
          <w:rFonts w:ascii="Verdana" w:hAnsi="Verdana"/>
          <w:b/>
          <w:bCs/>
          <w:sz w:val="20"/>
        </w:rPr>
      </w:pPr>
    </w:p>
    <w:p w14:paraId="3FD07916" w14:textId="77777777" w:rsidR="004F0E31" w:rsidRPr="00D30523" w:rsidRDefault="004F0E31" w:rsidP="004F0E31">
      <w:pPr>
        <w:pStyle w:val="Prrafodelista"/>
        <w:numPr>
          <w:ilvl w:val="0"/>
          <w:numId w:val="33"/>
        </w:numPr>
        <w:spacing w:line="276" w:lineRule="auto"/>
        <w:ind w:left="-130" w:right="-567"/>
        <w:jc w:val="both"/>
        <w:rPr>
          <w:rFonts w:ascii="Verdana" w:hAnsi="Verdana"/>
          <w:b/>
          <w:bCs/>
          <w:sz w:val="20"/>
        </w:rPr>
      </w:pPr>
      <w:r w:rsidRPr="00D30523">
        <w:rPr>
          <w:rFonts w:ascii="Verdana" w:hAnsi="Verdana"/>
          <w:b/>
          <w:bCs/>
          <w:sz w:val="20"/>
        </w:rPr>
        <w:t>INTRODUCCIÓN.</w:t>
      </w:r>
    </w:p>
    <w:p w14:paraId="3BC214B0" w14:textId="77777777" w:rsidR="004F0E31" w:rsidRPr="00D30523" w:rsidRDefault="004F0E31" w:rsidP="00873383">
      <w:pPr>
        <w:spacing w:after="0"/>
        <w:contextualSpacing/>
        <w:jc w:val="both"/>
        <w:rPr>
          <w:rFonts w:ascii="Verdana" w:hAnsi="Verdana"/>
          <w:b/>
          <w:bCs/>
          <w:sz w:val="20"/>
          <w:szCs w:val="20"/>
        </w:rPr>
      </w:pPr>
    </w:p>
    <w:p w14:paraId="1FA079A8"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Se expide el presente voto disidente</w:t>
      </w:r>
      <w:r w:rsidRPr="00D30523">
        <w:rPr>
          <w:rFonts w:ascii="Verdana" w:hAnsi="Verdana"/>
          <w:sz w:val="20"/>
          <w:szCs w:val="20"/>
          <w:vertAlign w:val="superscript"/>
        </w:rPr>
        <w:footnoteReference w:id="12"/>
      </w:r>
      <w:r w:rsidRPr="00D30523">
        <w:rPr>
          <w:rFonts w:ascii="Verdana" w:hAnsi="Verdana"/>
          <w:sz w:val="20"/>
          <w:szCs w:val="20"/>
        </w:rPr>
        <w:t xml:space="preserve"> respecto de la Resolución del título</w:t>
      </w:r>
      <w:r w:rsidRPr="00D30523">
        <w:rPr>
          <w:rFonts w:ascii="Verdana" w:hAnsi="Verdana"/>
          <w:sz w:val="20"/>
          <w:szCs w:val="20"/>
          <w:vertAlign w:val="superscript"/>
        </w:rPr>
        <w:footnoteReference w:id="13"/>
      </w:r>
      <w:r w:rsidRPr="00D30523">
        <w:rPr>
          <w:rFonts w:ascii="Verdana" w:hAnsi="Verdana"/>
          <w:sz w:val="20"/>
          <w:szCs w:val="20"/>
        </w:rPr>
        <w:t>, que ha ratificado</w:t>
      </w:r>
      <w:r w:rsidRPr="00D30523">
        <w:rPr>
          <w:rStyle w:val="Refdenotaalpie"/>
          <w:rFonts w:ascii="Verdana" w:hAnsi="Verdana"/>
          <w:sz w:val="20"/>
          <w:szCs w:val="20"/>
        </w:rPr>
        <w:footnoteReference w:id="14"/>
      </w:r>
      <w:r w:rsidRPr="00D30523">
        <w:rPr>
          <w:rFonts w:ascii="Verdana" w:hAnsi="Verdana"/>
          <w:sz w:val="20"/>
          <w:szCs w:val="20"/>
        </w:rPr>
        <w:t xml:space="preserve"> la Resolución de Medidas Urgentes de la Presidenta</w:t>
      </w:r>
      <w:r w:rsidRPr="00D30523">
        <w:rPr>
          <w:rFonts w:ascii="Verdana" w:hAnsi="Verdana"/>
          <w:sz w:val="20"/>
          <w:szCs w:val="20"/>
          <w:vertAlign w:val="superscript"/>
        </w:rPr>
        <w:footnoteReference w:id="15"/>
      </w:r>
      <w:r w:rsidRPr="00D30523">
        <w:rPr>
          <w:rFonts w:ascii="Verdana" w:hAnsi="Verdana"/>
          <w:sz w:val="20"/>
          <w:szCs w:val="20"/>
        </w:rPr>
        <w:t xml:space="preserve"> de la Corte Interamericana de Derechos Humanos</w:t>
      </w:r>
      <w:r w:rsidRPr="00D30523">
        <w:rPr>
          <w:rFonts w:ascii="Verdana" w:hAnsi="Verdana"/>
          <w:sz w:val="20"/>
          <w:szCs w:val="20"/>
          <w:vertAlign w:val="superscript"/>
        </w:rPr>
        <w:footnoteReference w:id="16"/>
      </w:r>
      <w:r w:rsidRPr="00D30523">
        <w:rPr>
          <w:rFonts w:ascii="Verdana" w:hAnsi="Verdana"/>
          <w:sz w:val="20"/>
          <w:szCs w:val="20"/>
        </w:rPr>
        <w:t>, del 2 de abril del año en curso</w:t>
      </w:r>
      <w:r w:rsidRPr="00D30523">
        <w:rPr>
          <w:rStyle w:val="Refdenotaalpie"/>
          <w:rFonts w:ascii="Verdana" w:hAnsi="Verdana"/>
          <w:sz w:val="20"/>
          <w:szCs w:val="20"/>
        </w:rPr>
        <w:footnoteReference w:id="17"/>
      </w:r>
      <w:r w:rsidRPr="00D30523">
        <w:rPr>
          <w:rFonts w:ascii="Verdana" w:hAnsi="Verdana"/>
          <w:sz w:val="20"/>
          <w:szCs w:val="20"/>
        </w:rPr>
        <w:t>.</w:t>
      </w:r>
    </w:p>
    <w:p w14:paraId="6A67F413" w14:textId="77777777" w:rsidR="004F0E31" w:rsidRPr="00D30523" w:rsidRDefault="004F0E31" w:rsidP="00873383">
      <w:pPr>
        <w:spacing w:after="0"/>
        <w:contextualSpacing/>
        <w:jc w:val="both"/>
        <w:rPr>
          <w:rFonts w:ascii="Verdana" w:hAnsi="Verdana"/>
          <w:sz w:val="20"/>
          <w:szCs w:val="20"/>
        </w:rPr>
      </w:pPr>
    </w:p>
    <w:p w14:paraId="310B7922"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 xml:space="preserve"> Con el propósito de facilitar una mayor comprensión de esta divergencia, seguidamente se exponen las razones que la sustentan, en parte ya señaladas en anteriores votos individuales</w:t>
      </w:r>
      <w:r w:rsidRPr="00D30523">
        <w:rPr>
          <w:rStyle w:val="Refdenotaalpie"/>
          <w:rFonts w:ascii="Verdana" w:hAnsi="Verdana"/>
          <w:sz w:val="20"/>
          <w:szCs w:val="20"/>
        </w:rPr>
        <w:footnoteReference w:id="18"/>
      </w:r>
      <w:r w:rsidRPr="00D30523">
        <w:rPr>
          <w:rFonts w:ascii="Verdana" w:hAnsi="Verdana"/>
          <w:sz w:val="20"/>
          <w:szCs w:val="20"/>
        </w:rPr>
        <w:t xml:space="preserve"> y que en este escrito </w:t>
      </w:r>
      <w:r w:rsidRPr="00D30523">
        <w:rPr>
          <w:rFonts w:ascii="Verdana" w:hAnsi="Verdana"/>
          <w:sz w:val="20"/>
          <w:szCs w:val="20"/>
        </w:rPr>
        <w:lastRenderedPageBreak/>
        <w:t>se ratifican y desarrollan, ordenadas bajo los acápites Hechos (II) Consideraciones Previas (III), Facultad de la Corte (IV), Facultad de la Comisión Interamericana de Derechos Humanos</w:t>
      </w:r>
      <w:r w:rsidRPr="00D30523">
        <w:rPr>
          <w:rFonts w:ascii="Verdana" w:hAnsi="Verdana"/>
          <w:sz w:val="20"/>
          <w:szCs w:val="20"/>
          <w:vertAlign w:val="superscript"/>
        </w:rPr>
        <w:footnoteReference w:id="19"/>
      </w:r>
      <w:r w:rsidRPr="00D30523">
        <w:rPr>
          <w:rFonts w:ascii="Verdana" w:hAnsi="Verdana"/>
          <w:sz w:val="20"/>
          <w:szCs w:val="20"/>
        </w:rPr>
        <w:t xml:space="preserve"> (V), Vulneración de las Normas en los autos (VI) y Conclusiones (VI).</w:t>
      </w:r>
    </w:p>
    <w:p w14:paraId="2032ED56" w14:textId="77777777" w:rsidR="004F0E31" w:rsidRPr="00D30523" w:rsidRDefault="004F0E31" w:rsidP="00873383">
      <w:pPr>
        <w:spacing w:after="0"/>
        <w:contextualSpacing/>
        <w:jc w:val="both"/>
        <w:rPr>
          <w:rFonts w:ascii="Verdana" w:hAnsi="Verdana"/>
          <w:sz w:val="20"/>
          <w:szCs w:val="20"/>
        </w:rPr>
      </w:pPr>
    </w:p>
    <w:p w14:paraId="5CC7C9DE" w14:textId="77777777" w:rsidR="004F0E31" w:rsidRPr="00D30523" w:rsidRDefault="004F0E31" w:rsidP="004F0E31">
      <w:pPr>
        <w:pStyle w:val="Prrafodelista"/>
        <w:numPr>
          <w:ilvl w:val="0"/>
          <w:numId w:val="33"/>
        </w:numPr>
        <w:spacing w:line="276" w:lineRule="auto"/>
        <w:ind w:left="-130" w:right="-567"/>
        <w:jc w:val="both"/>
        <w:rPr>
          <w:rFonts w:ascii="Verdana" w:hAnsi="Verdana"/>
          <w:b/>
          <w:bCs/>
          <w:sz w:val="20"/>
        </w:rPr>
      </w:pPr>
      <w:r w:rsidRPr="00D30523">
        <w:rPr>
          <w:rFonts w:ascii="Verdana" w:hAnsi="Verdana"/>
          <w:b/>
          <w:bCs/>
          <w:sz w:val="20"/>
        </w:rPr>
        <w:t>HECHOS.</w:t>
      </w:r>
      <w:bookmarkStart w:id="2" w:name="_Hlk37569704"/>
    </w:p>
    <w:p w14:paraId="77982A61" w14:textId="77777777" w:rsidR="004F0E31" w:rsidRPr="00D30523" w:rsidRDefault="004F0E31" w:rsidP="00873383">
      <w:pPr>
        <w:pStyle w:val="Prrafodelista"/>
        <w:spacing w:line="276" w:lineRule="auto"/>
        <w:ind w:left="-850"/>
        <w:jc w:val="both"/>
        <w:rPr>
          <w:rFonts w:ascii="Verdana" w:hAnsi="Verdana"/>
          <w:b/>
          <w:bCs/>
          <w:sz w:val="20"/>
        </w:rPr>
      </w:pPr>
    </w:p>
    <w:bookmarkEnd w:id="2"/>
    <w:p w14:paraId="239EB830"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Los hechos relevantes a tener cuenta a los efectos de esta disidencia, son básicamente:</w:t>
      </w:r>
    </w:p>
    <w:p w14:paraId="1B0CC11D" w14:textId="77777777" w:rsidR="004F0E31" w:rsidRPr="00D30523" w:rsidRDefault="004F0E31" w:rsidP="009A5EDB">
      <w:pPr>
        <w:spacing w:after="0"/>
        <w:contextualSpacing/>
        <w:jc w:val="both"/>
        <w:rPr>
          <w:rFonts w:ascii="Verdana" w:hAnsi="Verdana"/>
          <w:sz w:val="20"/>
          <w:szCs w:val="20"/>
        </w:rPr>
      </w:pPr>
    </w:p>
    <w:p w14:paraId="53592770" w14:textId="77777777" w:rsidR="004F0E31" w:rsidRPr="00D30523" w:rsidRDefault="004F0E31" w:rsidP="004F0E31">
      <w:pPr>
        <w:numPr>
          <w:ilvl w:val="0"/>
          <w:numId w:val="32"/>
        </w:numPr>
        <w:spacing w:after="0"/>
        <w:ind w:left="-283" w:right="-567"/>
        <w:contextualSpacing/>
        <w:jc w:val="both"/>
        <w:rPr>
          <w:rFonts w:ascii="Verdana" w:hAnsi="Verdana"/>
          <w:sz w:val="20"/>
          <w:szCs w:val="20"/>
        </w:rPr>
      </w:pPr>
      <w:r w:rsidRPr="00D30523">
        <w:rPr>
          <w:rFonts w:ascii="Verdana" w:hAnsi="Verdana"/>
          <w:sz w:val="20"/>
          <w:szCs w:val="20"/>
        </w:rPr>
        <w:t>la Sentencia del caso al que se vincula la Resolución, fue dictada el 5 de julio de 2004</w:t>
      </w:r>
      <w:r w:rsidRPr="00D30523">
        <w:rPr>
          <w:rFonts w:ascii="Verdana" w:hAnsi="Verdana"/>
          <w:sz w:val="20"/>
          <w:szCs w:val="20"/>
          <w:vertAlign w:val="superscript"/>
        </w:rPr>
        <w:footnoteReference w:id="20"/>
      </w:r>
      <w:r w:rsidRPr="00D30523">
        <w:rPr>
          <w:rFonts w:ascii="Verdana" w:hAnsi="Verdana"/>
          <w:sz w:val="20"/>
          <w:szCs w:val="20"/>
        </w:rPr>
        <w:t>;</w:t>
      </w:r>
    </w:p>
    <w:p w14:paraId="1E4ACC7B" w14:textId="77777777" w:rsidR="004F0E31" w:rsidRPr="00D30523" w:rsidRDefault="004F0E31" w:rsidP="004F0E31">
      <w:pPr>
        <w:numPr>
          <w:ilvl w:val="0"/>
          <w:numId w:val="32"/>
        </w:numPr>
        <w:spacing w:after="0"/>
        <w:ind w:left="-283" w:right="-567"/>
        <w:contextualSpacing/>
        <w:jc w:val="both"/>
        <w:rPr>
          <w:rFonts w:ascii="Verdana" w:hAnsi="Verdana"/>
          <w:sz w:val="20"/>
          <w:szCs w:val="20"/>
        </w:rPr>
      </w:pPr>
      <w:r w:rsidRPr="00D30523">
        <w:rPr>
          <w:rFonts w:ascii="Verdana" w:hAnsi="Verdana"/>
          <w:sz w:val="20"/>
          <w:szCs w:val="20"/>
        </w:rPr>
        <w:t xml:space="preserve">la Resolución del </w:t>
      </w:r>
      <w:r w:rsidRPr="00D30523">
        <w:rPr>
          <w:rFonts w:ascii="Verdana" w:hAnsi="Verdana"/>
          <w:spacing w:val="-4"/>
          <w:sz w:val="20"/>
          <w:szCs w:val="20"/>
          <w:lang w:val="es-CR"/>
        </w:rPr>
        <w:t>30 de julio de 2004 del Presidente de la Corte, por la que ordenó medidas provisionales en favor de</w:t>
      </w:r>
      <w:r w:rsidRPr="00D30523">
        <w:rPr>
          <w:rFonts w:ascii="Verdana" w:hAnsi="Verdana"/>
          <w:sz w:val="20"/>
          <w:szCs w:val="20"/>
        </w:rPr>
        <w:t xml:space="preserve"> la señora Sandra Belinda Montero Fuentes y de sus familiares, dejando expresa constancia de que los hijos de la señora Sandra Belinda Montero Fuentes son Víctor Hugo Ayala Mantilla, Juan Manuel Ayala Montero y Sandra Catherine Ayala Montero, y que su madre es Hilda María Fuentes Pérez;</w:t>
      </w:r>
    </w:p>
    <w:p w14:paraId="36934787" w14:textId="77777777" w:rsidR="004F0E31" w:rsidRPr="00D30523" w:rsidRDefault="004F0E31" w:rsidP="004F0E31">
      <w:pPr>
        <w:numPr>
          <w:ilvl w:val="0"/>
          <w:numId w:val="32"/>
        </w:numPr>
        <w:spacing w:after="0"/>
        <w:ind w:left="-283" w:right="-567"/>
        <w:contextualSpacing/>
        <w:jc w:val="both"/>
        <w:rPr>
          <w:rFonts w:ascii="Verdana" w:hAnsi="Verdana"/>
          <w:sz w:val="20"/>
          <w:szCs w:val="20"/>
        </w:rPr>
      </w:pPr>
      <w:r w:rsidRPr="00D30523">
        <w:rPr>
          <w:rFonts w:ascii="Verdana" w:hAnsi="Verdana"/>
          <w:sz w:val="20"/>
          <w:szCs w:val="20"/>
        </w:rPr>
        <w:t xml:space="preserve">las señaladas medidas provisionales que se encontraban vigentes desde el 26 de junio de 2012, únicamente incluían a Wilmar Rodríguez Quintero, </w:t>
      </w:r>
      <w:proofErr w:type="spellStart"/>
      <w:r w:rsidRPr="00D30523">
        <w:rPr>
          <w:rFonts w:ascii="Verdana" w:hAnsi="Verdana"/>
          <w:sz w:val="20"/>
          <w:szCs w:val="20"/>
        </w:rPr>
        <w:t>Yimmy</w:t>
      </w:r>
      <w:proofErr w:type="spellEnd"/>
      <w:r w:rsidRPr="00D30523">
        <w:rPr>
          <w:rFonts w:ascii="Verdana" w:hAnsi="Verdana"/>
          <w:sz w:val="20"/>
          <w:szCs w:val="20"/>
        </w:rPr>
        <w:t xml:space="preserve"> </w:t>
      </w:r>
      <w:proofErr w:type="spellStart"/>
      <w:r w:rsidRPr="00D30523">
        <w:rPr>
          <w:rFonts w:ascii="Verdana" w:hAnsi="Verdana"/>
          <w:sz w:val="20"/>
          <w:szCs w:val="20"/>
        </w:rPr>
        <w:t>Efraín</w:t>
      </w:r>
      <w:proofErr w:type="spellEnd"/>
      <w:r w:rsidRPr="00D30523">
        <w:rPr>
          <w:rFonts w:ascii="Verdana" w:hAnsi="Verdana"/>
          <w:sz w:val="20"/>
          <w:szCs w:val="20"/>
        </w:rPr>
        <w:t xml:space="preserve"> Rodríguez Quintero, Nubia Saravia, Karen Dayana Rodríguez Saravia y Valeria Rodríguez Saravia</w:t>
      </w:r>
      <w:r w:rsidRPr="00D30523">
        <w:rPr>
          <w:rFonts w:ascii="Verdana" w:hAnsi="Verdana"/>
          <w:sz w:val="20"/>
          <w:szCs w:val="20"/>
          <w:vertAlign w:val="superscript"/>
        </w:rPr>
        <w:footnoteReference w:id="21"/>
      </w:r>
      <w:r w:rsidRPr="00D30523">
        <w:rPr>
          <w:rFonts w:ascii="Verdana" w:hAnsi="Verdana"/>
          <w:sz w:val="20"/>
          <w:szCs w:val="20"/>
        </w:rPr>
        <w:t>;</w:t>
      </w:r>
    </w:p>
    <w:p w14:paraId="4B2BCC66" w14:textId="77777777" w:rsidR="004F0E31" w:rsidRPr="00D30523" w:rsidRDefault="004F0E31" w:rsidP="004F0E31">
      <w:pPr>
        <w:numPr>
          <w:ilvl w:val="0"/>
          <w:numId w:val="32"/>
        </w:numPr>
        <w:spacing w:after="0"/>
        <w:ind w:left="-283" w:right="-567"/>
        <w:contextualSpacing/>
        <w:jc w:val="both"/>
        <w:rPr>
          <w:rFonts w:ascii="Verdana" w:hAnsi="Verdana"/>
          <w:sz w:val="20"/>
          <w:szCs w:val="20"/>
        </w:rPr>
      </w:pPr>
      <w:r w:rsidRPr="00D30523">
        <w:rPr>
          <w:rFonts w:ascii="Verdana" w:hAnsi="Verdana"/>
          <w:sz w:val="20"/>
          <w:szCs w:val="20"/>
        </w:rPr>
        <w:t xml:space="preserve">la Resolución de la Presidenta, por la que amplió dichas medidas provisionales en favor de la Sra. Nery del Socorro Flórez Contreras, y a los integrantes de su </w:t>
      </w:r>
      <w:proofErr w:type="spellStart"/>
      <w:r w:rsidRPr="00D30523">
        <w:rPr>
          <w:rFonts w:ascii="Verdana" w:hAnsi="Verdana"/>
          <w:sz w:val="20"/>
          <w:szCs w:val="20"/>
        </w:rPr>
        <w:t>familia</w:t>
      </w:r>
      <w:proofErr w:type="spellEnd"/>
      <w:r w:rsidRPr="00D30523">
        <w:rPr>
          <w:rFonts w:ascii="Verdana" w:hAnsi="Verdana"/>
          <w:sz w:val="20"/>
          <w:szCs w:val="20"/>
        </w:rPr>
        <w:t xml:space="preserve">, a saber: </w:t>
      </w:r>
      <w:proofErr w:type="spellStart"/>
      <w:r w:rsidRPr="00D30523">
        <w:rPr>
          <w:rFonts w:ascii="Verdana" w:hAnsi="Verdana"/>
          <w:sz w:val="20"/>
          <w:szCs w:val="20"/>
        </w:rPr>
        <w:t>Shercy</w:t>
      </w:r>
      <w:proofErr w:type="spellEnd"/>
      <w:r w:rsidRPr="00D30523">
        <w:rPr>
          <w:rFonts w:ascii="Verdana" w:hAnsi="Verdana"/>
          <w:sz w:val="20"/>
          <w:szCs w:val="20"/>
        </w:rPr>
        <w:t xml:space="preserve"> Pamela Romero </w:t>
      </w:r>
      <w:proofErr w:type="spellStart"/>
      <w:r w:rsidRPr="00D30523">
        <w:rPr>
          <w:rFonts w:ascii="Verdana" w:hAnsi="Verdana"/>
          <w:sz w:val="20"/>
          <w:szCs w:val="20"/>
        </w:rPr>
        <w:t>Flórez</w:t>
      </w:r>
      <w:proofErr w:type="spellEnd"/>
      <w:r w:rsidRPr="00D30523">
        <w:rPr>
          <w:rFonts w:ascii="Verdana" w:hAnsi="Verdana"/>
          <w:sz w:val="20"/>
          <w:szCs w:val="20"/>
        </w:rPr>
        <w:t xml:space="preserve">, </w:t>
      </w:r>
      <w:proofErr w:type="spellStart"/>
      <w:r w:rsidRPr="00D30523">
        <w:rPr>
          <w:rFonts w:ascii="Verdana" w:hAnsi="Verdana"/>
          <w:sz w:val="20"/>
          <w:szCs w:val="20"/>
        </w:rPr>
        <w:t>Maichol</w:t>
      </w:r>
      <w:proofErr w:type="spellEnd"/>
      <w:r w:rsidRPr="00D30523">
        <w:rPr>
          <w:rFonts w:ascii="Verdana" w:hAnsi="Verdana"/>
          <w:sz w:val="20"/>
          <w:szCs w:val="20"/>
        </w:rPr>
        <w:t xml:space="preserve"> </w:t>
      </w:r>
      <w:proofErr w:type="spellStart"/>
      <w:r w:rsidRPr="00D30523">
        <w:rPr>
          <w:rFonts w:ascii="Verdana" w:hAnsi="Verdana"/>
          <w:sz w:val="20"/>
          <w:szCs w:val="20"/>
        </w:rPr>
        <w:t>Edilio</w:t>
      </w:r>
      <w:proofErr w:type="spellEnd"/>
      <w:r w:rsidRPr="00D30523">
        <w:rPr>
          <w:rFonts w:ascii="Verdana" w:hAnsi="Verdana"/>
          <w:sz w:val="20"/>
          <w:szCs w:val="20"/>
        </w:rPr>
        <w:t xml:space="preserve"> Romero </w:t>
      </w:r>
      <w:proofErr w:type="spellStart"/>
      <w:r w:rsidRPr="00D30523">
        <w:rPr>
          <w:rFonts w:ascii="Verdana" w:hAnsi="Verdana"/>
          <w:sz w:val="20"/>
          <w:szCs w:val="20"/>
        </w:rPr>
        <w:t>Flórez</w:t>
      </w:r>
      <w:proofErr w:type="spellEnd"/>
      <w:r w:rsidRPr="00D30523">
        <w:rPr>
          <w:rFonts w:ascii="Verdana" w:hAnsi="Verdana"/>
          <w:sz w:val="20"/>
          <w:szCs w:val="20"/>
        </w:rPr>
        <w:t xml:space="preserve">, Ingrith Johanna Romero Flórez, Geraldine Romero Flórez y Tatiana Romero Flórez, así como sus respectivos núcleos familiares; y </w:t>
      </w:r>
    </w:p>
    <w:p w14:paraId="6A4D5465" w14:textId="77777777" w:rsidR="004F0E31" w:rsidRPr="00D30523" w:rsidRDefault="004F0E31" w:rsidP="004F0E31">
      <w:pPr>
        <w:pStyle w:val="Prrafodelista"/>
        <w:numPr>
          <w:ilvl w:val="0"/>
          <w:numId w:val="32"/>
        </w:numPr>
        <w:spacing w:line="276" w:lineRule="auto"/>
        <w:ind w:left="-283" w:right="-567"/>
        <w:jc w:val="both"/>
        <w:rPr>
          <w:rFonts w:ascii="Verdana" w:hAnsi="Verdana"/>
          <w:sz w:val="20"/>
        </w:rPr>
      </w:pPr>
      <w:r w:rsidRPr="00D30523">
        <w:rPr>
          <w:rFonts w:ascii="Verdana" w:hAnsi="Verdana"/>
          <w:sz w:val="20"/>
        </w:rPr>
        <w:t xml:space="preserve">la Resolución mediante la que se ratifica la recién citada Resolución de la Presidenta y se amplían aún más las medidas provisionales </w:t>
      </w:r>
      <w:r w:rsidRPr="00D30523">
        <w:rPr>
          <w:rFonts w:ascii="Verdana" w:hAnsi="Verdana"/>
          <w:sz w:val="20"/>
          <w:lang w:val="es-MX"/>
        </w:rPr>
        <w:t xml:space="preserve">ordenadas mediante resolución de </w:t>
      </w:r>
      <w:r w:rsidRPr="00D30523">
        <w:rPr>
          <w:rFonts w:ascii="Verdana" w:hAnsi="Verdana"/>
          <w:spacing w:val="-4"/>
          <w:sz w:val="20"/>
          <w:lang w:val="es-CR"/>
        </w:rPr>
        <w:t xml:space="preserve">30 de julio de 2004 a </w:t>
      </w:r>
      <w:r w:rsidRPr="00D30523">
        <w:rPr>
          <w:rFonts w:ascii="Verdana" w:hAnsi="Verdana"/>
          <w:sz w:val="20"/>
          <w:lang w:val="es-CO"/>
        </w:rPr>
        <w:t xml:space="preserve">la señora Nery del Socorro Flórez Contreras, y a </w:t>
      </w:r>
      <w:r w:rsidRPr="00D30523">
        <w:rPr>
          <w:rFonts w:ascii="Verdana" w:hAnsi="Verdana"/>
          <w:sz w:val="20"/>
        </w:rPr>
        <w:t xml:space="preserve">los integrantes </w:t>
      </w:r>
      <w:r w:rsidRPr="00D30523">
        <w:rPr>
          <w:rFonts w:ascii="Verdana" w:hAnsi="Verdana"/>
          <w:sz w:val="20"/>
          <w:lang w:val="es-CO"/>
        </w:rPr>
        <w:t xml:space="preserve">de su familia, a saber: </w:t>
      </w:r>
      <w:proofErr w:type="spellStart"/>
      <w:r w:rsidRPr="00D30523">
        <w:rPr>
          <w:rFonts w:ascii="Verdana" w:hAnsi="Verdana"/>
          <w:sz w:val="20"/>
          <w:lang w:val="es-CO"/>
        </w:rPr>
        <w:t>Shercy</w:t>
      </w:r>
      <w:proofErr w:type="spellEnd"/>
      <w:r w:rsidRPr="00D30523">
        <w:rPr>
          <w:rFonts w:ascii="Verdana" w:hAnsi="Verdana"/>
          <w:sz w:val="20"/>
          <w:lang w:val="es-CO"/>
        </w:rPr>
        <w:t xml:space="preserve"> Pamela Romero Flórez, </w:t>
      </w:r>
      <w:proofErr w:type="spellStart"/>
      <w:r w:rsidRPr="00D30523">
        <w:rPr>
          <w:rFonts w:ascii="Verdana" w:hAnsi="Verdana"/>
          <w:sz w:val="20"/>
          <w:lang w:val="es-CO"/>
        </w:rPr>
        <w:t>Maichol</w:t>
      </w:r>
      <w:proofErr w:type="spellEnd"/>
      <w:r w:rsidRPr="00D30523">
        <w:rPr>
          <w:rFonts w:ascii="Verdana" w:hAnsi="Verdana"/>
          <w:sz w:val="20"/>
          <w:lang w:val="es-CO"/>
        </w:rPr>
        <w:t xml:space="preserve"> </w:t>
      </w:r>
      <w:proofErr w:type="spellStart"/>
      <w:r w:rsidRPr="00D30523">
        <w:rPr>
          <w:rFonts w:ascii="Verdana" w:hAnsi="Verdana"/>
          <w:sz w:val="20"/>
          <w:lang w:val="es-CO"/>
        </w:rPr>
        <w:t>Edilio</w:t>
      </w:r>
      <w:proofErr w:type="spellEnd"/>
      <w:r w:rsidRPr="00D30523">
        <w:rPr>
          <w:rFonts w:ascii="Verdana" w:hAnsi="Verdana"/>
          <w:sz w:val="20"/>
          <w:lang w:val="es-CO"/>
        </w:rPr>
        <w:t xml:space="preserve"> Romero Flórez, Ingrith Johanna Romero Flórez, Geraldine Romero Flórez y Tatiana Romero Flórez, así como sus núcleos familiares respectivos, a saber: </w:t>
      </w:r>
      <w:r w:rsidRPr="00D30523">
        <w:rPr>
          <w:rFonts w:ascii="Verdana" w:hAnsi="Verdana"/>
          <w:bCs/>
          <w:sz w:val="20"/>
          <w:lang w:val="es-CR"/>
        </w:rPr>
        <w:t>Alirio Antonio Romero Galván</w:t>
      </w:r>
      <w:r w:rsidRPr="00D30523">
        <w:rPr>
          <w:rFonts w:ascii="Verdana" w:hAnsi="Verdana"/>
          <w:sz w:val="20"/>
          <w:lang w:val="es-CR"/>
        </w:rPr>
        <w:t xml:space="preserve">, </w:t>
      </w:r>
      <w:proofErr w:type="spellStart"/>
      <w:r w:rsidRPr="00D30523">
        <w:rPr>
          <w:rFonts w:ascii="Verdana" w:hAnsi="Verdana"/>
          <w:bCs/>
          <w:sz w:val="20"/>
          <w:lang w:val="es-CR"/>
        </w:rPr>
        <w:t>Yeicob</w:t>
      </w:r>
      <w:proofErr w:type="spellEnd"/>
      <w:r w:rsidRPr="00D30523">
        <w:rPr>
          <w:rFonts w:ascii="Verdana" w:hAnsi="Verdana"/>
          <w:bCs/>
          <w:sz w:val="20"/>
          <w:lang w:val="es-CR"/>
        </w:rPr>
        <w:t xml:space="preserve"> </w:t>
      </w:r>
      <w:proofErr w:type="spellStart"/>
      <w:r w:rsidRPr="00D30523">
        <w:rPr>
          <w:rFonts w:ascii="Verdana" w:hAnsi="Verdana"/>
          <w:bCs/>
          <w:sz w:val="20"/>
          <w:lang w:val="es-CR"/>
        </w:rPr>
        <w:t>Lautner</w:t>
      </w:r>
      <w:proofErr w:type="spellEnd"/>
      <w:r w:rsidRPr="00D30523">
        <w:rPr>
          <w:rFonts w:ascii="Verdana" w:hAnsi="Verdana"/>
          <w:bCs/>
          <w:sz w:val="20"/>
          <w:lang w:val="es-CR"/>
        </w:rPr>
        <w:t xml:space="preserve"> Romero</w:t>
      </w:r>
      <w:r w:rsidRPr="00D30523">
        <w:rPr>
          <w:rFonts w:ascii="Verdana" w:hAnsi="Verdana"/>
          <w:sz w:val="20"/>
          <w:lang w:val="es-CR"/>
        </w:rPr>
        <w:t xml:space="preserve">, </w:t>
      </w:r>
      <w:r w:rsidRPr="00D30523">
        <w:rPr>
          <w:rFonts w:ascii="Verdana" w:hAnsi="Verdana"/>
          <w:bCs/>
          <w:sz w:val="20"/>
          <w:lang w:val="es-CR"/>
        </w:rPr>
        <w:t>Jineth Adriana Niño Colmenares</w:t>
      </w:r>
      <w:r w:rsidRPr="00D30523">
        <w:rPr>
          <w:rFonts w:ascii="Verdana" w:hAnsi="Verdana"/>
          <w:sz w:val="20"/>
          <w:lang w:val="es-CR"/>
        </w:rPr>
        <w:t xml:space="preserve">, </w:t>
      </w:r>
      <w:r w:rsidRPr="00D30523">
        <w:rPr>
          <w:rFonts w:ascii="Verdana" w:hAnsi="Verdana"/>
          <w:bCs/>
          <w:sz w:val="20"/>
          <w:lang w:val="es-CR"/>
        </w:rPr>
        <w:t xml:space="preserve">Lucas </w:t>
      </w:r>
      <w:proofErr w:type="spellStart"/>
      <w:r w:rsidRPr="00D30523">
        <w:rPr>
          <w:rFonts w:ascii="Verdana" w:hAnsi="Verdana"/>
          <w:bCs/>
          <w:sz w:val="20"/>
          <w:lang w:val="es-CR"/>
        </w:rPr>
        <w:t>Fabbiany</w:t>
      </w:r>
      <w:proofErr w:type="spellEnd"/>
      <w:r w:rsidRPr="00D30523">
        <w:rPr>
          <w:rFonts w:ascii="Verdana" w:hAnsi="Verdana"/>
          <w:bCs/>
          <w:sz w:val="20"/>
          <w:lang w:val="es-CR"/>
        </w:rPr>
        <w:t xml:space="preserve"> Niño</w:t>
      </w:r>
      <w:r w:rsidRPr="00D30523">
        <w:rPr>
          <w:rFonts w:ascii="Verdana" w:hAnsi="Verdana"/>
          <w:sz w:val="20"/>
          <w:lang w:val="es-CR"/>
        </w:rPr>
        <w:t xml:space="preserve">, </w:t>
      </w:r>
      <w:r w:rsidRPr="00D30523">
        <w:rPr>
          <w:rFonts w:ascii="Verdana" w:hAnsi="Verdana"/>
          <w:bCs/>
          <w:sz w:val="20"/>
          <w:lang w:val="es-CR"/>
        </w:rPr>
        <w:t xml:space="preserve">Emma Lucia </w:t>
      </w:r>
      <w:proofErr w:type="spellStart"/>
      <w:r w:rsidRPr="00D30523">
        <w:rPr>
          <w:rFonts w:ascii="Verdana" w:hAnsi="Verdana"/>
          <w:bCs/>
          <w:sz w:val="20"/>
          <w:lang w:val="es-CR"/>
        </w:rPr>
        <w:t>Lautner</w:t>
      </w:r>
      <w:proofErr w:type="spellEnd"/>
      <w:r w:rsidRPr="00D30523">
        <w:rPr>
          <w:rFonts w:ascii="Verdana" w:hAnsi="Verdana"/>
          <w:bCs/>
          <w:sz w:val="20"/>
          <w:lang w:val="es-CR"/>
        </w:rPr>
        <w:t xml:space="preserve"> Niño; </w:t>
      </w:r>
      <w:r w:rsidRPr="00D30523">
        <w:rPr>
          <w:rFonts w:ascii="Verdana" w:eastAsia="MS Mincho" w:hAnsi="Verdana"/>
          <w:bCs/>
          <w:sz w:val="20"/>
          <w:lang w:val="es-CR"/>
        </w:rPr>
        <w:t xml:space="preserve">Naum José Mirando Ortiz; </w:t>
      </w:r>
      <w:r w:rsidRPr="00D30523">
        <w:rPr>
          <w:rFonts w:ascii="Verdana" w:eastAsia="MS Mincho" w:hAnsi="Verdana" w:cs="Arial"/>
          <w:bCs/>
          <w:sz w:val="20"/>
          <w:lang w:val="es-CR"/>
        </w:rPr>
        <w:t xml:space="preserve">Roque Sanguino Cardona, Andrey </w:t>
      </w:r>
      <w:proofErr w:type="spellStart"/>
      <w:r w:rsidRPr="00D30523">
        <w:rPr>
          <w:rFonts w:ascii="Verdana" w:eastAsia="MS Mincho" w:hAnsi="Verdana" w:cs="Arial"/>
          <w:bCs/>
          <w:sz w:val="20"/>
          <w:lang w:val="es-CR"/>
        </w:rPr>
        <w:t>Giusseppe</w:t>
      </w:r>
      <w:proofErr w:type="spellEnd"/>
      <w:r w:rsidRPr="00D30523">
        <w:rPr>
          <w:rFonts w:ascii="Verdana" w:eastAsia="MS Mincho" w:hAnsi="Verdana" w:cs="Arial"/>
          <w:bCs/>
          <w:sz w:val="20"/>
          <w:lang w:val="es-CR"/>
        </w:rPr>
        <w:t xml:space="preserve"> Sanguino Cardona, Andy Steven Sanguino Romero; </w:t>
      </w:r>
      <w:r w:rsidRPr="00D30523">
        <w:rPr>
          <w:rFonts w:ascii="Verdana" w:eastAsia="MS Mincho" w:hAnsi="Verdana"/>
          <w:bCs/>
          <w:sz w:val="20"/>
          <w:lang w:val="es-CR"/>
        </w:rPr>
        <w:t xml:space="preserve">Amy Isabela Valencia Romero; </w:t>
      </w:r>
      <w:r w:rsidRPr="00D30523">
        <w:rPr>
          <w:rFonts w:ascii="Verdana" w:hAnsi="Verdana"/>
          <w:bCs/>
          <w:sz w:val="20"/>
          <w:lang w:val="es-CR"/>
        </w:rPr>
        <w:t xml:space="preserve">María Fernanda Contreras Lindarte, Karen </w:t>
      </w:r>
      <w:r w:rsidRPr="00D30523">
        <w:rPr>
          <w:rFonts w:ascii="Verdana" w:hAnsi="Verdana"/>
          <w:bCs/>
          <w:sz w:val="20"/>
          <w:lang w:val="es-CR"/>
        </w:rPr>
        <w:lastRenderedPageBreak/>
        <w:t>Francisca Cárdenas Rojas</w:t>
      </w:r>
      <w:r w:rsidRPr="00D30523">
        <w:rPr>
          <w:rFonts w:ascii="Verdana" w:hAnsi="Verdana"/>
          <w:sz w:val="20"/>
          <w:lang w:val="es-CR"/>
        </w:rPr>
        <w:t xml:space="preserve">, María Fernanda Contreras, </w:t>
      </w:r>
      <w:r w:rsidRPr="00D30523">
        <w:rPr>
          <w:rFonts w:ascii="Verdana" w:hAnsi="Verdana"/>
          <w:bCs/>
          <w:sz w:val="20"/>
          <w:lang w:val="es-CR"/>
        </w:rPr>
        <w:t>Valentino Romero Contreras</w:t>
      </w:r>
      <w:r w:rsidRPr="00D30523">
        <w:rPr>
          <w:rFonts w:ascii="Verdana" w:hAnsi="Verdana"/>
          <w:sz w:val="20"/>
          <w:lang w:val="es-CR"/>
        </w:rPr>
        <w:t xml:space="preserve">, </w:t>
      </w:r>
      <w:r w:rsidRPr="00D30523">
        <w:rPr>
          <w:rFonts w:ascii="Verdana" w:hAnsi="Verdana"/>
          <w:bCs/>
          <w:sz w:val="20"/>
          <w:lang w:val="es-CR"/>
        </w:rPr>
        <w:t xml:space="preserve">Salomón Romero Contreras; </w:t>
      </w:r>
      <w:r w:rsidRPr="00D30523">
        <w:rPr>
          <w:rFonts w:ascii="Verdana" w:eastAsia="MS Mincho" w:hAnsi="Verdana"/>
          <w:bCs/>
          <w:sz w:val="20"/>
          <w:lang w:val="es-CR"/>
        </w:rPr>
        <w:t>Sergio Giovanni Rojas Landinez y Mariana Alessandra Rojas Romero.</w:t>
      </w:r>
    </w:p>
    <w:p w14:paraId="33ABA3BF" w14:textId="77777777" w:rsidR="004F0E31" w:rsidRPr="00D30523" w:rsidRDefault="004F0E31" w:rsidP="009A5EDB">
      <w:pPr>
        <w:spacing w:after="0"/>
        <w:jc w:val="both"/>
        <w:rPr>
          <w:rFonts w:ascii="Verdana" w:hAnsi="Verdana"/>
          <w:sz w:val="20"/>
          <w:szCs w:val="20"/>
        </w:rPr>
      </w:pPr>
    </w:p>
    <w:p w14:paraId="5AB5B64B" w14:textId="77777777" w:rsidR="004F0E31" w:rsidRPr="00D30523" w:rsidRDefault="004F0E31" w:rsidP="004F0E31">
      <w:pPr>
        <w:numPr>
          <w:ilvl w:val="0"/>
          <w:numId w:val="33"/>
        </w:numPr>
        <w:spacing w:after="100" w:afterAutospacing="1"/>
        <w:ind w:left="-130" w:right="-567"/>
        <w:contextualSpacing/>
        <w:jc w:val="both"/>
        <w:rPr>
          <w:rFonts w:ascii="Verdana" w:hAnsi="Verdana"/>
          <w:b/>
          <w:bCs/>
          <w:sz w:val="20"/>
          <w:szCs w:val="20"/>
        </w:rPr>
      </w:pPr>
      <w:bookmarkStart w:id="3" w:name="_Hlk42176145"/>
      <w:bookmarkStart w:id="4" w:name="_Hlk40703323"/>
      <w:r w:rsidRPr="00D30523">
        <w:rPr>
          <w:rFonts w:ascii="Verdana" w:hAnsi="Verdana"/>
          <w:b/>
          <w:bCs/>
          <w:sz w:val="20"/>
          <w:szCs w:val="20"/>
        </w:rPr>
        <w:t>CONSIDERACIONES PREVIAS.</w:t>
      </w:r>
      <w:bookmarkStart w:id="5" w:name="_Hlk40525695"/>
    </w:p>
    <w:p w14:paraId="081F4845" w14:textId="77777777" w:rsidR="004F0E31" w:rsidRPr="00D30523" w:rsidRDefault="004F0E31" w:rsidP="004F0E31">
      <w:pPr>
        <w:pStyle w:val="Prrafodelista"/>
        <w:numPr>
          <w:ilvl w:val="0"/>
          <w:numId w:val="29"/>
        </w:numPr>
        <w:spacing w:after="100" w:afterAutospacing="1" w:line="276" w:lineRule="auto"/>
        <w:ind w:left="-490" w:right="-567"/>
        <w:jc w:val="both"/>
        <w:rPr>
          <w:rFonts w:ascii="Verdana" w:hAnsi="Verdana"/>
          <w:b/>
          <w:bCs/>
          <w:sz w:val="20"/>
        </w:rPr>
      </w:pPr>
      <w:r w:rsidRPr="00D30523">
        <w:rPr>
          <w:rFonts w:ascii="Verdana" w:hAnsi="Verdana"/>
          <w:sz w:val="20"/>
        </w:rPr>
        <w:t>Ciertamente, el presente escrito se emite con pleno respeto y consideración hacia la Corte y con la convicción que ayudará a mejor comprender el alcance de la Resolución.</w:t>
      </w:r>
    </w:p>
    <w:p w14:paraId="33243D8F" w14:textId="77777777" w:rsidR="004F0E31" w:rsidRPr="00D30523" w:rsidRDefault="004F0E31" w:rsidP="009C7237">
      <w:pPr>
        <w:pStyle w:val="Prrafodelista"/>
        <w:spacing w:after="100" w:afterAutospacing="1" w:line="276" w:lineRule="auto"/>
        <w:ind w:left="-490"/>
        <w:jc w:val="both"/>
        <w:rPr>
          <w:rFonts w:ascii="Verdana" w:hAnsi="Verdana"/>
          <w:b/>
          <w:bCs/>
          <w:sz w:val="20"/>
        </w:rPr>
      </w:pPr>
    </w:p>
    <w:p w14:paraId="105A5D29" w14:textId="77777777" w:rsidR="004F0E31" w:rsidRPr="00D30523" w:rsidRDefault="004F0E31" w:rsidP="004F0E31">
      <w:pPr>
        <w:pStyle w:val="Prrafodelista"/>
        <w:numPr>
          <w:ilvl w:val="0"/>
          <w:numId w:val="29"/>
        </w:numPr>
        <w:spacing w:line="276" w:lineRule="auto"/>
        <w:ind w:left="-490" w:right="-567"/>
        <w:jc w:val="both"/>
        <w:rPr>
          <w:rFonts w:ascii="Verdana" w:hAnsi="Verdana"/>
          <w:b/>
          <w:bCs/>
          <w:sz w:val="20"/>
        </w:rPr>
      </w:pPr>
      <w:r w:rsidRPr="00D30523">
        <w:rPr>
          <w:rFonts w:ascii="Verdana" w:hAnsi="Verdana"/>
          <w:sz w:val="20"/>
        </w:rPr>
        <w:t>Asimismo, se fundamenta en el principio de Derecho Público, ámbito al que pertenece el Derecho Internacional Público y, por ende y como integrante de esta último, también el Derecho Internacional de los Derechos Humanos, en virtud del cual, solo se puede hacer lo que la norma permite, por lo que lo no regulado se inserta en la jurisdicción interna, doméstica o exclusiva de los Estados</w:t>
      </w:r>
      <w:r w:rsidRPr="00D30523">
        <w:rPr>
          <w:rFonts w:ascii="Verdana" w:hAnsi="Verdana"/>
          <w:sz w:val="20"/>
          <w:vertAlign w:val="superscript"/>
        </w:rPr>
        <w:footnoteReference w:id="22"/>
      </w:r>
      <w:r w:rsidRPr="00D30523">
        <w:rPr>
          <w:rFonts w:ascii="Verdana" w:hAnsi="Verdana"/>
          <w:sz w:val="20"/>
        </w:rPr>
        <w:t>. Dicho principio difiere, entonces, del imperante en Derecho Privado, que proclama que se puede hacer todo lo que la norma no prohíbe.</w:t>
      </w:r>
    </w:p>
    <w:p w14:paraId="75B4A8EF" w14:textId="77777777" w:rsidR="004F0E31" w:rsidRPr="00D30523" w:rsidRDefault="004F0E31" w:rsidP="009C7237">
      <w:pPr>
        <w:pStyle w:val="Prrafodelista"/>
        <w:rPr>
          <w:rFonts w:ascii="Verdana" w:hAnsi="Verdana"/>
          <w:sz w:val="20"/>
        </w:rPr>
      </w:pPr>
    </w:p>
    <w:p w14:paraId="2EC1DE1F" w14:textId="77777777" w:rsidR="004F0E31" w:rsidRPr="00D30523" w:rsidRDefault="004F0E31" w:rsidP="004F0E31">
      <w:pPr>
        <w:pStyle w:val="Prrafodelista"/>
        <w:numPr>
          <w:ilvl w:val="0"/>
          <w:numId w:val="29"/>
        </w:numPr>
        <w:spacing w:after="100" w:afterAutospacing="1" w:line="276" w:lineRule="auto"/>
        <w:ind w:left="-490" w:right="-567"/>
        <w:jc w:val="both"/>
        <w:rPr>
          <w:rFonts w:ascii="Verdana" w:hAnsi="Verdana"/>
          <w:b/>
          <w:bCs/>
          <w:sz w:val="20"/>
        </w:rPr>
      </w:pPr>
      <w:r w:rsidRPr="00D30523">
        <w:rPr>
          <w:rFonts w:ascii="Verdana" w:hAnsi="Verdana"/>
          <w:sz w:val="20"/>
        </w:rPr>
        <w:t>También este texto se basa en el valor de</w:t>
      </w:r>
      <w:r>
        <w:rPr>
          <w:rFonts w:ascii="Verdana" w:hAnsi="Verdana"/>
          <w:sz w:val="20"/>
        </w:rPr>
        <w:t>l Derecho</w:t>
      </w:r>
      <w:r w:rsidRPr="00D30523">
        <w:rPr>
          <w:rFonts w:ascii="Verdana" w:hAnsi="Verdana"/>
          <w:sz w:val="20"/>
        </w:rPr>
        <w:t xml:space="preserve">, incluyendo en él a sus normas procesales, </w:t>
      </w:r>
      <w:r>
        <w:rPr>
          <w:rFonts w:ascii="Verdana" w:hAnsi="Verdana"/>
          <w:sz w:val="20"/>
        </w:rPr>
        <w:t>algunas de las cuales</w:t>
      </w:r>
      <w:r w:rsidRPr="00D30523">
        <w:rPr>
          <w:rFonts w:ascii="Verdana" w:hAnsi="Verdana"/>
          <w:sz w:val="20"/>
        </w:rPr>
        <w:t>, especialmente en el área de los derechos humanos, son tan esenciales como las sustantivas, puesto que su respeto permite que estas últimas realmente puedan ser efectivas</w:t>
      </w:r>
      <w:r>
        <w:rPr>
          <w:rFonts w:ascii="Verdana" w:hAnsi="Verdana"/>
          <w:sz w:val="20"/>
        </w:rPr>
        <w:t xml:space="preserve"> y más aún, le confieren la debida legitimidad a lo que se resuelva al respecto</w:t>
      </w:r>
      <w:r w:rsidRPr="00D30523">
        <w:rPr>
          <w:rFonts w:ascii="Verdana" w:hAnsi="Verdana"/>
          <w:sz w:val="20"/>
        </w:rPr>
        <w:t xml:space="preserve">. </w:t>
      </w:r>
      <w:r w:rsidRPr="00D30523">
        <w:rPr>
          <w:rFonts w:ascii="Verdana" w:hAnsi="Verdana" w:cs="Arial"/>
          <w:color w:val="3A3D42"/>
          <w:sz w:val="20"/>
          <w:shd w:val="clear" w:color="auto" w:fill="FFFFFF"/>
        </w:rPr>
        <w:t>Así, en tal hipótesis</w:t>
      </w:r>
      <w:r w:rsidRPr="00D30523">
        <w:rPr>
          <w:rFonts w:ascii="Verdana" w:hAnsi="Verdana" w:cs="Arial"/>
          <w:sz w:val="20"/>
          <w:shd w:val="clear" w:color="auto" w:fill="FFFFFF"/>
        </w:rPr>
        <w:t>, la forma es indisolublemente ligada al fondo</w:t>
      </w:r>
      <w:r w:rsidRPr="00D30523">
        <w:rPr>
          <w:rFonts w:ascii="Verdana" w:hAnsi="Verdana" w:cs="Arial"/>
          <w:color w:val="3A3D42"/>
          <w:sz w:val="20"/>
          <w:shd w:val="clear" w:color="auto" w:fill="FFFFFF"/>
        </w:rPr>
        <w:t xml:space="preserve">. </w:t>
      </w:r>
      <w:r w:rsidRPr="00D30523">
        <w:rPr>
          <w:rFonts w:ascii="Verdana" w:hAnsi="Verdana"/>
          <w:sz w:val="20"/>
        </w:rPr>
        <w:t xml:space="preserve">Y es que, en gran medida, las normas procesales, estimadas a veces como meras formalidades y, por ende, susceptibles de no considerarse a fin de privilegiar a las sustantivas, condicionan la aplicabilidad de éstas. </w:t>
      </w:r>
      <w:r>
        <w:rPr>
          <w:rFonts w:ascii="Verdana" w:hAnsi="Verdana"/>
          <w:sz w:val="20"/>
        </w:rPr>
        <w:t xml:space="preserve">Además, se debe tener presente que no resulta procedente invocar el principio </w:t>
      </w:r>
      <w:proofErr w:type="spellStart"/>
      <w:r w:rsidRPr="00AA3E7A">
        <w:rPr>
          <w:rFonts w:ascii="Verdana" w:hAnsi="Verdana"/>
          <w:i/>
          <w:iCs/>
          <w:sz w:val="20"/>
        </w:rPr>
        <w:t>pro</w:t>
      </w:r>
      <w:proofErr w:type="spellEnd"/>
      <w:r w:rsidRPr="00AA3E7A">
        <w:rPr>
          <w:rFonts w:ascii="Verdana" w:hAnsi="Verdana"/>
          <w:i/>
          <w:iCs/>
          <w:sz w:val="20"/>
        </w:rPr>
        <w:t xml:space="preserve"> persona</w:t>
      </w:r>
      <w:r>
        <w:rPr>
          <w:rFonts w:ascii="Verdana" w:hAnsi="Verdana"/>
          <w:sz w:val="20"/>
        </w:rPr>
        <w:t>, referido a la vigencia de derechos</w:t>
      </w:r>
      <w:r>
        <w:rPr>
          <w:rStyle w:val="Refdenotaalpie"/>
          <w:rFonts w:ascii="Verdana" w:hAnsi="Verdana"/>
          <w:sz w:val="20"/>
        </w:rPr>
        <w:footnoteReference w:id="23"/>
      </w:r>
      <w:r>
        <w:rPr>
          <w:rFonts w:ascii="Verdana" w:hAnsi="Verdana"/>
          <w:sz w:val="20"/>
        </w:rPr>
        <w:t xml:space="preserve">, para eximir a la presunta víctima del cumplimiento de obligaciones procesales establecidas para hacer efectivo aquellos. </w:t>
      </w:r>
      <w:r w:rsidRPr="00D30523">
        <w:rPr>
          <w:rFonts w:ascii="Verdana" w:hAnsi="Verdana"/>
          <w:sz w:val="20"/>
        </w:rPr>
        <w:t>Por ende, en el evento de subestimarse, por parte de una instancia judicial internacional, a las normas procesales</w:t>
      </w:r>
      <w:bookmarkStart w:id="6" w:name="_Hlk40690821"/>
      <w:r w:rsidRPr="00D30523">
        <w:rPr>
          <w:rFonts w:ascii="Verdana" w:hAnsi="Verdana"/>
          <w:sz w:val="20"/>
        </w:rPr>
        <w:t xml:space="preserve">, </w:t>
      </w:r>
      <w:bookmarkEnd w:id="6"/>
      <w:r w:rsidRPr="00D30523">
        <w:rPr>
          <w:rFonts w:ascii="Verdana" w:hAnsi="Verdana"/>
          <w:sz w:val="20"/>
        </w:rPr>
        <w:t xml:space="preserve">se podría estar alentando al conjunto de la sociedad internacional y aún, a las sociedades nacionales, a actuar del mismo modo, lo que podría provocar un efecto devastador en lo que respecta a la efectiva vigencia del Derecho Internacional de los Derechos Humanos. </w:t>
      </w:r>
    </w:p>
    <w:p w14:paraId="5E732A7E" w14:textId="77777777" w:rsidR="004F0E31" w:rsidRPr="00D30523" w:rsidRDefault="004F0E31" w:rsidP="009C7237">
      <w:pPr>
        <w:pStyle w:val="Prrafodelista"/>
        <w:rPr>
          <w:rFonts w:ascii="Verdana" w:hAnsi="Verdana"/>
          <w:sz w:val="20"/>
        </w:rPr>
      </w:pPr>
    </w:p>
    <w:p w14:paraId="03321ECF" w14:textId="77777777" w:rsidR="004F0E31" w:rsidRPr="00D30523" w:rsidRDefault="004F0E31" w:rsidP="004F0E31">
      <w:pPr>
        <w:pStyle w:val="Prrafodelista"/>
        <w:numPr>
          <w:ilvl w:val="0"/>
          <w:numId w:val="29"/>
        </w:numPr>
        <w:spacing w:after="100" w:afterAutospacing="1" w:line="276" w:lineRule="auto"/>
        <w:ind w:left="-490" w:right="-567"/>
        <w:jc w:val="both"/>
        <w:rPr>
          <w:rFonts w:ascii="Verdana" w:hAnsi="Verdana"/>
          <w:b/>
          <w:bCs/>
          <w:sz w:val="20"/>
        </w:rPr>
      </w:pPr>
      <w:r w:rsidRPr="00D30523">
        <w:rPr>
          <w:rFonts w:ascii="Verdana" w:hAnsi="Verdana"/>
          <w:sz w:val="20"/>
        </w:rPr>
        <w:lastRenderedPageBreak/>
        <w:t>En tal orden de ideas, se considera también que indudablemente las normas jurídicas son el resultado de acuerdos entre sus autores, los legisladores en la escena nacional y los Estados en la internacional, los que arriban a aquellas conciliando sus posiciones, las que, a su turno, se sustentan en ideologías</w:t>
      </w:r>
      <w:r>
        <w:rPr>
          <w:rFonts w:ascii="Verdana" w:hAnsi="Verdana"/>
          <w:sz w:val="20"/>
        </w:rPr>
        <w:t xml:space="preserve">, </w:t>
      </w:r>
      <w:r w:rsidRPr="00D30523">
        <w:rPr>
          <w:rFonts w:ascii="Verdana" w:hAnsi="Verdana"/>
          <w:sz w:val="20"/>
        </w:rPr>
        <w:t>intereses</w:t>
      </w:r>
      <w:r>
        <w:rPr>
          <w:rFonts w:ascii="Verdana" w:hAnsi="Verdana"/>
          <w:sz w:val="20"/>
        </w:rPr>
        <w:t xml:space="preserve">, </w:t>
      </w:r>
      <w:r w:rsidRPr="00D30523">
        <w:rPr>
          <w:rFonts w:ascii="Verdana" w:hAnsi="Verdana"/>
          <w:sz w:val="20"/>
        </w:rPr>
        <w:t>posiciones de poder</w:t>
      </w:r>
      <w:r>
        <w:rPr>
          <w:rFonts w:ascii="Verdana" w:hAnsi="Verdana"/>
          <w:sz w:val="20"/>
        </w:rPr>
        <w:t xml:space="preserve">, </w:t>
      </w:r>
      <w:r w:rsidRPr="00D30523">
        <w:rPr>
          <w:rFonts w:ascii="Verdana" w:hAnsi="Verdana"/>
          <w:sz w:val="20"/>
        </w:rPr>
        <w:t xml:space="preserve">aspiraciones económicas, etc., que cada cual haya asumido. Por lo tanto, igualmente se tiene en cuenta que, por lo general, el referido consenso no lo es, entonces, tanto sobre los fundamentos de la norma consensuada como en lo que ella expresa. En lo que respecta a la materia en cuestión, tal consenso constituye más bien, siguiendo lo que se expresó a propósito de la Declaración Universal de los Derechos Humanos, un acuerdo práctico sobre cuales son estos últimos, más no sobre sus fundamentos filosóficos o doctrinarios. De allí que, en lo que se refiere a la Convención, </w:t>
      </w:r>
      <w:r>
        <w:rPr>
          <w:rFonts w:ascii="Verdana" w:hAnsi="Verdana"/>
          <w:sz w:val="20"/>
        </w:rPr>
        <w:t xml:space="preserve">el único </w:t>
      </w:r>
      <w:r w:rsidRPr="00D30523">
        <w:rPr>
          <w:rFonts w:ascii="Verdana" w:hAnsi="Verdana"/>
          <w:sz w:val="20"/>
        </w:rPr>
        <w:t xml:space="preserve">fundamento </w:t>
      </w:r>
      <w:r>
        <w:rPr>
          <w:rFonts w:ascii="Verdana" w:hAnsi="Verdana"/>
          <w:sz w:val="20"/>
        </w:rPr>
        <w:t xml:space="preserve">que </w:t>
      </w:r>
      <w:r w:rsidRPr="00D30523">
        <w:rPr>
          <w:rFonts w:ascii="Verdana" w:hAnsi="Verdana"/>
          <w:sz w:val="20"/>
        </w:rPr>
        <w:t xml:space="preserve">invoca concierne a </w:t>
      </w:r>
      <w:r w:rsidRPr="00D30523">
        <w:rPr>
          <w:rFonts w:ascii="Verdana" w:hAnsi="Verdana" w:cs="Tahoma"/>
          <w:color w:val="000000"/>
          <w:sz w:val="20"/>
        </w:rPr>
        <w:t>“</w:t>
      </w:r>
      <w:r w:rsidRPr="00D30523">
        <w:rPr>
          <w:rFonts w:ascii="Verdana" w:hAnsi="Verdana" w:cs="Tahoma"/>
          <w:i/>
          <w:iCs/>
          <w:color w:val="000000"/>
          <w:sz w:val="20"/>
        </w:rPr>
        <w:t>los atributos de la persona humana</w:t>
      </w:r>
      <w:r w:rsidRPr="00D30523">
        <w:rPr>
          <w:rFonts w:ascii="Verdana" w:hAnsi="Verdana" w:cs="Tahoma"/>
          <w:color w:val="000000"/>
          <w:sz w:val="20"/>
        </w:rPr>
        <w:t>”</w:t>
      </w:r>
      <w:r w:rsidRPr="00D30523">
        <w:rPr>
          <w:rStyle w:val="Refdenotaalpie"/>
          <w:rFonts w:ascii="Verdana" w:hAnsi="Verdana" w:cs="Tahoma"/>
          <w:color w:val="000000"/>
          <w:sz w:val="20"/>
        </w:rPr>
        <w:footnoteReference w:id="24"/>
      </w:r>
      <w:r w:rsidRPr="00D30523">
        <w:rPr>
          <w:rFonts w:ascii="Verdana" w:hAnsi="Verdana" w:cs="Tahoma"/>
          <w:color w:val="000000"/>
          <w:sz w:val="20"/>
        </w:rPr>
        <w:t>, lo que, en rigor, constituye más bien una constatación del hecho que todos así lo consideran, que una razón por la que se arriba a ese consenso</w:t>
      </w:r>
      <w:r w:rsidRPr="00D30523">
        <w:rPr>
          <w:rFonts w:ascii="Verdana" w:hAnsi="Verdana"/>
          <w:sz w:val="20"/>
        </w:rPr>
        <w:t>. Dada la estructura jurídica de la sociedad internacional, conformada, todavía en la actualidad, básicamente por Estados, este método ha sido</w:t>
      </w:r>
      <w:r>
        <w:rPr>
          <w:rFonts w:ascii="Verdana" w:hAnsi="Verdana"/>
          <w:sz w:val="20"/>
        </w:rPr>
        <w:t>, sin embargo,</w:t>
      </w:r>
      <w:r w:rsidRPr="00D30523">
        <w:rPr>
          <w:rFonts w:ascii="Verdana" w:hAnsi="Verdana"/>
          <w:sz w:val="20"/>
        </w:rPr>
        <w:t xml:space="preserve"> quizás el único que ha permitido avances en materia de derechos humanos, aunque, sin duda, </w:t>
      </w:r>
      <w:r>
        <w:rPr>
          <w:rFonts w:ascii="Verdana" w:hAnsi="Verdana"/>
          <w:sz w:val="20"/>
        </w:rPr>
        <w:t xml:space="preserve">tales progresos han sido </w:t>
      </w:r>
      <w:r w:rsidRPr="00D30523">
        <w:rPr>
          <w:rFonts w:ascii="Verdana" w:hAnsi="Verdana"/>
          <w:sz w:val="20"/>
        </w:rPr>
        <w:t>dispares</w:t>
      </w:r>
      <w:r>
        <w:rPr>
          <w:rFonts w:ascii="Verdana" w:hAnsi="Verdana"/>
          <w:sz w:val="20"/>
        </w:rPr>
        <w:t>,</w:t>
      </w:r>
      <w:r w:rsidRPr="00D30523">
        <w:rPr>
          <w:rFonts w:ascii="Verdana" w:hAnsi="Verdana"/>
          <w:sz w:val="20"/>
        </w:rPr>
        <w:t xml:space="preserve"> según </w:t>
      </w:r>
      <w:r>
        <w:rPr>
          <w:rFonts w:ascii="Verdana" w:hAnsi="Verdana"/>
          <w:sz w:val="20"/>
        </w:rPr>
        <w:t xml:space="preserve">sea </w:t>
      </w:r>
      <w:r w:rsidRPr="00D30523">
        <w:rPr>
          <w:rFonts w:ascii="Verdana" w:hAnsi="Verdana"/>
          <w:sz w:val="20"/>
        </w:rPr>
        <w:t xml:space="preserve">el continente </w:t>
      </w:r>
      <w:r>
        <w:rPr>
          <w:rFonts w:ascii="Verdana" w:hAnsi="Verdana"/>
          <w:sz w:val="20"/>
        </w:rPr>
        <w:t>o</w:t>
      </w:r>
      <w:r w:rsidRPr="00D30523">
        <w:rPr>
          <w:rFonts w:ascii="Verdana" w:hAnsi="Verdana"/>
          <w:sz w:val="20"/>
        </w:rPr>
        <w:t xml:space="preserve"> países de que se trate. </w:t>
      </w:r>
    </w:p>
    <w:p w14:paraId="34D4A86B" w14:textId="77777777" w:rsidR="004F0E31" w:rsidRPr="00D30523" w:rsidRDefault="004F0E31" w:rsidP="003C7C7C">
      <w:pPr>
        <w:pStyle w:val="Prrafodelista"/>
        <w:spacing w:after="100" w:afterAutospacing="1" w:line="276" w:lineRule="auto"/>
        <w:ind w:left="-490"/>
        <w:jc w:val="both"/>
        <w:rPr>
          <w:rFonts w:ascii="Verdana" w:hAnsi="Verdana"/>
          <w:b/>
          <w:bCs/>
          <w:sz w:val="20"/>
        </w:rPr>
      </w:pPr>
    </w:p>
    <w:p w14:paraId="5D4DD3B5" w14:textId="77777777" w:rsidR="004F0E31" w:rsidRPr="00D30523" w:rsidRDefault="004F0E31" w:rsidP="004F0E31">
      <w:pPr>
        <w:pStyle w:val="Prrafodelista"/>
        <w:numPr>
          <w:ilvl w:val="0"/>
          <w:numId w:val="29"/>
        </w:numPr>
        <w:spacing w:after="100" w:afterAutospacing="1" w:line="276" w:lineRule="auto"/>
        <w:ind w:left="-490" w:right="-567"/>
        <w:jc w:val="both"/>
        <w:rPr>
          <w:rFonts w:ascii="Verdana" w:hAnsi="Verdana"/>
          <w:b/>
          <w:bCs/>
          <w:sz w:val="20"/>
        </w:rPr>
      </w:pPr>
      <w:r w:rsidRPr="00D30523">
        <w:rPr>
          <w:rFonts w:ascii="Verdana" w:hAnsi="Verdana"/>
          <w:sz w:val="20"/>
        </w:rPr>
        <w:t>Por otra parte, asimismo, en este escrito se tiene presente que el Derecho es el único instrumento del que puede disponer la persona humana ante el inmenso y avasallador poder que detenta el Estado, particularmente en la escena internacional. La relación entre ambos es de abismantemente desequilibr</w:t>
      </w:r>
      <w:r>
        <w:rPr>
          <w:rFonts w:ascii="Verdana" w:hAnsi="Verdana"/>
          <w:sz w:val="20"/>
        </w:rPr>
        <w:t>io</w:t>
      </w:r>
      <w:r w:rsidRPr="00D30523">
        <w:rPr>
          <w:rFonts w:ascii="Verdana" w:hAnsi="Verdana"/>
          <w:sz w:val="20"/>
        </w:rPr>
        <w:t>. En la situación que nos ocupa, sin el apoyo del Derecho Interamericano de los Derechos Humanos y de las instituciones que contempla, el ser humano estaría, en el ámbito internacional, prácticamente en la indefensión o, al menos, en una situación francamente de desigualdad o de precariedad.</w:t>
      </w:r>
    </w:p>
    <w:p w14:paraId="0DBFB880" w14:textId="77777777" w:rsidR="004F0E31" w:rsidRPr="00D30523" w:rsidRDefault="004F0E31" w:rsidP="003C7C7C">
      <w:pPr>
        <w:pStyle w:val="Prrafodelista"/>
        <w:rPr>
          <w:rFonts w:ascii="Verdana" w:hAnsi="Verdana"/>
          <w:sz w:val="20"/>
        </w:rPr>
      </w:pPr>
    </w:p>
    <w:p w14:paraId="0F15AFA4" w14:textId="77777777" w:rsidR="004F0E31" w:rsidRPr="008A67AE" w:rsidRDefault="004F0E31" w:rsidP="004F0E31">
      <w:pPr>
        <w:pStyle w:val="Prrafodelista"/>
        <w:numPr>
          <w:ilvl w:val="0"/>
          <w:numId w:val="29"/>
        </w:numPr>
        <w:spacing w:after="100" w:afterAutospacing="1" w:line="276" w:lineRule="auto"/>
        <w:ind w:left="-490" w:right="-567"/>
        <w:jc w:val="both"/>
        <w:rPr>
          <w:rFonts w:ascii="Verdana" w:hAnsi="Verdana"/>
          <w:b/>
          <w:bCs/>
          <w:sz w:val="20"/>
        </w:rPr>
      </w:pPr>
      <w:r w:rsidRPr="00D30523">
        <w:rPr>
          <w:rFonts w:ascii="Verdana" w:hAnsi="Verdana"/>
          <w:sz w:val="20"/>
        </w:rPr>
        <w:t>Igualmente, cabe añadir que este voto se apoya en la función que le cabe a la Corte en tanto entidad judicial, cual es, aplicar e interpretar la Convención</w:t>
      </w:r>
      <w:r w:rsidRPr="00D30523">
        <w:rPr>
          <w:rStyle w:val="Refdenotaalpie"/>
          <w:rFonts w:ascii="Verdana" w:hAnsi="Verdana"/>
          <w:sz w:val="20"/>
        </w:rPr>
        <w:footnoteReference w:id="25"/>
      </w:r>
      <w:r w:rsidRPr="00D30523">
        <w:rPr>
          <w:rFonts w:ascii="Verdana" w:hAnsi="Verdana"/>
          <w:sz w:val="20"/>
        </w:rPr>
        <w:t xml:space="preserve"> Americana sobre Derechos Humanos</w:t>
      </w:r>
      <w:r w:rsidRPr="00D30523">
        <w:rPr>
          <w:rFonts w:ascii="Verdana" w:hAnsi="Verdana"/>
          <w:sz w:val="20"/>
          <w:vertAlign w:val="superscript"/>
        </w:rPr>
        <w:footnoteReference w:id="26"/>
      </w:r>
      <w:r w:rsidRPr="00D30523">
        <w:rPr>
          <w:rFonts w:ascii="Verdana" w:hAnsi="Verdana"/>
          <w:sz w:val="20"/>
        </w:rPr>
        <w:t>, acorde a las reglas de interpretación previstas en la Convención de Viena sobre el Derecho de los Tratados</w:t>
      </w:r>
      <w:r w:rsidRPr="00D30523">
        <w:rPr>
          <w:rFonts w:ascii="Verdana" w:hAnsi="Verdana"/>
          <w:sz w:val="20"/>
          <w:vertAlign w:val="superscript"/>
        </w:rPr>
        <w:footnoteReference w:id="27"/>
      </w:r>
      <w:r w:rsidRPr="00D30523">
        <w:rPr>
          <w:rFonts w:ascii="Verdana" w:hAnsi="Verdana"/>
          <w:sz w:val="20"/>
        </w:rPr>
        <w:t>, que están dirigidas a desentrañar la voluntad de los Estados Partes de aquella, es decir, a precisar el sentido y alcance de lo que la Convención dispone y no en buscar en ella lo que el intérprete quiera que exprese</w:t>
      </w:r>
      <w:r w:rsidRPr="00D30523">
        <w:rPr>
          <w:rStyle w:val="Refdenotaalpie"/>
          <w:rFonts w:ascii="Verdana" w:hAnsi="Verdana"/>
          <w:sz w:val="20"/>
        </w:rPr>
        <w:footnoteReference w:id="28"/>
      </w:r>
      <w:r w:rsidRPr="00D30523">
        <w:rPr>
          <w:rFonts w:ascii="Verdana" w:hAnsi="Verdana"/>
          <w:sz w:val="20"/>
        </w:rPr>
        <w:t>.</w:t>
      </w:r>
    </w:p>
    <w:p w14:paraId="4DFFCF57" w14:textId="77777777" w:rsidR="004F0E31" w:rsidRPr="008A67AE" w:rsidRDefault="004F0E31" w:rsidP="008A67AE">
      <w:pPr>
        <w:pStyle w:val="Prrafodelista"/>
        <w:rPr>
          <w:rFonts w:ascii="Verdana" w:hAnsi="Verdana"/>
          <w:sz w:val="20"/>
        </w:rPr>
      </w:pPr>
    </w:p>
    <w:p w14:paraId="69C20F40" w14:textId="77777777" w:rsidR="004F0E31" w:rsidRPr="008A67AE" w:rsidRDefault="004F0E31" w:rsidP="004F0E31">
      <w:pPr>
        <w:pStyle w:val="Prrafodelista"/>
        <w:numPr>
          <w:ilvl w:val="0"/>
          <w:numId w:val="29"/>
        </w:numPr>
        <w:spacing w:line="276" w:lineRule="auto"/>
        <w:ind w:left="-490" w:right="-567"/>
        <w:jc w:val="both"/>
        <w:rPr>
          <w:rFonts w:ascii="Verdana" w:hAnsi="Verdana"/>
          <w:b/>
          <w:bCs/>
          <w:sz w:val="20"/>
        </w:rPr>
      </w:pPr>
      <w:r w:rsidRPr="008A67AE">
        <w:rPr>
          <w:rFonts w:ascii="Verdana" w:hAnsi="Verdana"/>
          <w:sz w:val="20"/>
        </w:rPr>
        <w:t>La aplicación e interpretación de la Convención importa, consecuentemente, que lo que compete a la Corte es impartir Justicia en materia de Derechos Humanos a través del Derecho y más específicamente aún, según lo que dispone la Convención, función diferente a la asignada a la Comisión, consistente en</w:t>
      </w:r>
      <w:r w:rsidRPr="008A67AE">
        <w:rPr>
          <w:rFonts w:ascii="Verdana" w:hAnsi="Verdana" w:cs="Tahoma"/>
          <w:color w:val="000000"/>
          <w:sz w:val="20"/>
        </w:rPr>
        <w:t xml:space="preserve"> promover la observancia y la defensa de los derechos humanos, incluso ante ella</w:t>
      </w:r>
      <w:r w:rsidRPr="00D30523">
        <w:rPr>
          <w:rStyle w:val="Refdenotaalpie"/>
          <w:rFonts w:ascii="Verdana" w:hAnsi="Verdana" w:cs="Tahoma"/>
          <w:color w:val="000000"/>
          <w:sz w:val="20"/>
        </w:rPr>
        <w:footnoteReference w:id="29"/>
      </w:r>
      <w:r w:rsidRPr="008A67AE">
        <w:rPr>
          <w:rFonts w:ascii="Verdana" w:hAnsi="Verdana" w:cs="Tahoma"/>
          <w:color w:val="000000"/>
          <w:sz w:val="20"/>
        </w:rPr>
        <w:t>.</w:t>
      </w:r>
    </w:p>
    <w:p w14:paraId="54CFF180" w14:textId="77777777" w:rsidR="004F0E31" w:rsidRPr="00D30523" w:rsidRDefault="004F0E31" w:rsidP="00CC2BDB">
      <w:pPr>
        <w:pStyle w:val="Prrafodelista"/>
        <w:rPr>
          <w:rFonts w:ascii="Verdana" w:hAnsi="Verdana"/>
          <w:sz w:val="20"/>
        </w:rPr>
      </w:pPr>
    </w:p>
    <w:p w14:paraId="4870A0E1" w14:textId="77777777" w:rsidR="004F0E31" w:rsidRPr="00D30523" w:rsidRDefault="004F0E31" w:rsidP="004F0E31">
      <w:pPr>
        <w:pStyle w:val="Prrafodelista"/>
        <w:numPr>
          <w:ilvl w:val="0"/>
          <w:numId w:val="29"/>
        </w:numPr>
        <w:spacing w:after="100" w:afterAutospacing="1" w:line="276" w:lineRule="auto"/>
        <w:ind w:left="-490" w:right="-567"/>
        <w:jc w:val="both"/>
        <w:rPr>
          <w:rFonts w:ascii="Verdana" w:hAnsi="Verdana"/>
          <w:b/>
          <w:bCs/>
          <w:sz w:val="20"/>
        </w:rPr>
      </w:pPr>
      <w:r w:rsidRPr="00D30523">
        <w:rPr>
          <w:rFonts w:ascii="Verdana" w:hAnsi="Verdana"/>
          <w:sz w:val="20"/>
        </w:rPr>
        <w:t>Su función jurisdiccional le impone a la Corte, por lo tanto, proceder acorde a la dignidad que emana de la circunstancia de ser un tribunal y, adicionalmente, autónomo, sin que, en el ejercicio de sus prerrogativas, pueda ser fiscalizado o controlado por entidad alguna, pero, al mismo tiempo, sin ninguna capacidad de hacer cumplir sus fallos</w:t>
      </w:r>
      <w:r>
        <w:rPr>
          <w:rFonts w:ascii="Verdana" w:hAnsi="Verdana"/>
          <w:sz w:val="20"/>
        </w:rPr>
        <w:t>. En efecto, si el Estado concernido no cumple con la sentencia</w:t>
      </w:r>
      <w:r>
        <w:rPr>
          <w:rStyle w:val="Refdenotaalpie"/>
          <w:rFonts w:ascii="Verdana" w:hAnsi="Verdana"/>
          <w:sz w:val="20"/>
        </w:rPr>
        <w:footnoteReference w:id="30"/>
      </w:r>
      <w:r>
        <w:rPr>
          <w:rFonts w:ascii="Verdana" w:hAnsi="Verdana"/>
          <w:sz w:val="20"/>
        </w:rPr>
        <w:t xml:space="preserve">, a la Corte no le queda más alternativa que </w:t>
      </w:r>
      <w:r w:rsidRPr="00D30523">
        <w:rPr>
          <w:rFonts w:ascii="Verdana" w:hAnsi="Verdana"/>
          <w:sz w:val="20"/>
        </w:rPr>
        <w:t>informar de ello</w:t>
      </w:r>
      <w:r w:rsidRPr="00D30523">
        <w:rPr>
          <w:rStyle w:val="Refdenotaalpie"/>
          <w:rFonts w:ascii="Verdana" w:hAnsi="Verdana"/>
          <w:sz w:val="20"/>
        </w:rPr>
        <w:footnoteReference w:id="31"/>
      </w:r>
      <w:r w:rsidRPr="00D30523">
        <w:rPr>
          <w:rFonts w:ascii="Verdana" w:hAnsi="Verdana"/>
          <w:sz w:val="20"/>
        </w:rPr>
        <w:t xml:space="preserve"> a la Asamblea de la Organización de los Estados Americanos</w:t>
      </w:r>
      <w:r w:rsidRPr="00D30523">
        <w:rPr>
          <w:rStyle w:val="Refdenotaalpie"/>
          <w:rFonts w:ascii="Verdana" w:hAnsi="Verdana"/>
          <w:sz w:val="20"/>
        </w:rPr>
        <w:footnoteReference w:id="32"/>
      </w:r>
      <w:r>
        <w:rPr>
          <w:rFonts w:ascii="Verdana" w:hAnsi="Verdana"/>
          <w:sz w:val="20"/>
        </w:rPr>
        <w:t xml:space="preserve">, a los efectos de que adopte la resolución que, como órgano político, estime procedente. </w:t>
      </w:r>
      <w:r w:rsidRPr="00D30523">
        <w:rPr>
          <w:rFonts w:ascii="Verdana" w:hAnsi="Verdana"/>
          <w:sz w:val="20"/>
        </w:rPr>
        <w:t xml:space="preserve"> La majestad propia de la magistratura que le ha sido confiada conlleva, consecuentemente, </w:t>
      </w:r>
      <w:r>
        <w:rPr>
          <w:rFonts w:ascii="Verdana" w:hAnsi="Verdana"/>
          <w:sz w:val="20"/>
        </w:rPr>
        <w:t xml:space="preserve">le impone a la Corte </w:t>
      </w:r>
      <w:r w:rsidRPr="00D30523">
        <w:rPr>
          <w:rFonts w:ascii="Verdana" w:hAnsi="Verdana"/>
          <w:sz w:val="20"/>
        </w:rPr>
        <w:t xml:space="preserve">proceder con pleno apego a los límites que se le han establecido a sus facultades privativas, de suerte que sus decisiones sean acatadas principalmente por considerarse justas en razón, entre otras, de su autoridad moral y su estricto apego a lo efectivamente pactado por los Estados en la Convención. </w:t>
      </w:r>
      <w:bookmarkEnd w:id="5"/>
    </w:p>
    <w:p w14:paraId="23D8A85D" w14:textId="77777777" w:rsidR="004F0E31" w:rsidRPr="00D30523" w:rsidRDefault="004F0E31" w:rsidP="004F0E31">
      <w:pPr>
        <w:numPr>
          <w:ilvl w:val="0"/>
          <w:numId w:val="33"/>
        </w:numPr>
        <w:autoSpaceDE w:val="0"/>
        <w:autoSpaceDN w:val="0"/>
        <w:adjustRightInd w:val="0"/>
        <w:spacing w:after="0"/>
        <w:ind w:left="-130" w:right="-567"/>
        <w:jc w:val="both"/>
        <w:rPr>
          <w:rFonts w:ascii="Verdana" w:eastAsia="Times New Roman" w:hAnsi="Verdana" w:cs="Verdana"/>
          <w:b/>
          <w:bCs/>
          <w:color w:val="000000"/>
          <w:sz w:val="20"/>
          <w:szCs w:val="20"/>
          <w:lang w:val="es-CR" w:eastAsia="es-CR"/>
        </w:rPr>
      </w:pPr>
      <w:r w:rsidRPr="00D30523">
        <w:rPr>
          <w:rFonts w:ascii="Verdana" w:eastAsia="Times New Roman" w:hAnsi="Verdana" w:cs="Verdana"/>
          <w:b/>
          <w:bCs/>
          <w:color w:val="000000"/>
          <w:sz w:val="20"/>
          <w:szCs w:val="20"/>
          <w:lang w:val="es-CR" w:eastAsia="es-CR"/>
        </w:rPr>
        <w:t>FACULTAD DE LA CORTE.</w:t>
      </w:r>
    </w:p>
    <w:p w14:paraId="49BFBC58" w14:textId="77777777" w:rsidR="004F0E31" w:rsidRPr="00D30523" w:rsidRDefault="004F0E31" w:rsidP="009A5EDB">
      <w:pPr>
        <w:autoSpaceDE w:val="0"/>
        <w:autoSpaceDN w:val="0"/>
        <w:adjustRightInd w:val="0"/>
        <w:spacing w:after="0"/>
        <w:jc w:val="both"/>
        <w:rPr>
          <w:rFonts w:ascii="Verdana" w:eastAsia="Times New Roman" w:hAnsi="Verdana" w:cs="Verdana"/>
          <w:b/>
          <w:bCs/>
          <w:color w:val="000000"/>
          <w:sz w:val="20"/>
          <w:szCs w:val="20"/>
          <w:lang w:val="es-CR" w:eastAsia="es-CR"/>
        </w:rPr>
      </w:pPr>
    </w:p>
    <w:p w14:paraId="5BA95D86" w14:textId="77777777" w:rsidR="004F0E31" w:rsidRPr="00D30523" w:rsidRDefault="004F0E31" w:rsidP="004F0E31">
      <w:pPr>
        <w:numPr>
          <w:ilvl w:val="0"/>
          <w:numId w:val="29"/>
        </w:numPr>
        <w:autoSpaceDE w:val="0"/>
        <w:autoSpaceDN w:val="0"/>
        <w:adjustRightInd w:val="0"/>
        <w:spacing w:after="0"/>
        <w:ind w:left="-567" w:right="-567"/>
        <w:jc w:val="both"/>
        <w:rPr>
          <w:rFonts w:ascii="Verdana" w:eastAsia="Times New Roman" w:hAnsi="Verdana" w:cs="Verdana"/>
          <w:color w:val="000000"/>
          <w:sz w:val="20"/>
          <w:szCs w:val="20"/>
          <w:lang w:val="es-CR" w:eastAsia="es-CR"/>
        </w:rPr>
      </w:pPr>
      <w:r w:rsidRPr="00D30523">
        <w:rPr>
          <w:rFonts w:ascii="Verdana" w:eastAsia="Times New Roman" w:hAnsi="Verdana" w:cs="Times New Roman"/>
          <w:color w:val="000000"/>
          <w:sz w:val="20"/>
          <w:szCs w:val="20"/>
          <w:lang w:val="es-CR" w:eastAsia="es-CR"/>
        </w:rPr>
        <w:t xml:space="preserve">La principal razón por la que se disiente de la Resolución, es que el suscrito estima que no procede ordenar medidas provisionales una vez que se ha dictado sentencia en el caso de que se trate, ya que, </w:t>
      </w:r>
      <w:r w:rsidRPr="00D30523">
        <w:rPr>
          <w:rFonts w:ascii="Verdana" w:eastAsia="Times New Roman" w:hAnsi="Verdana" w:cs="Times New Roman"/>
          <w:color w:val="000000"/>
          <w:sz w:val="20"/>
          <w:szCs w:val="20"/>
          <w:lang w:val="es-CR" w:eastAsia="es-CR"/>
        </w:rPr>
        <w:lastRenderedPageBreak/>
        <w:t>en esa eventualidad, la facultad de la Corte al respecto ha precluido, por haberlo ya juzgado y, por ende, porque no lo estaría conociendo, vale decir, ya no estaría aplicando e interpretando la Convención a su respecto y ya habría ordenado, si procediere, el restablecimiento del goce del derecho humano violado y dispuesto las reparaciones y la justa indemnización correspondientes</w:t>
      </w:r>
      <w:r w:rsidRPr="00D30523">
        <w:rPr>
          <w:rStyle w:val="Refdenotaalpie"/>
          <w:rFonts w:ascii="Verdana" w:eastAsia="Times New Roman" w:hAnsi="Verdana"/>
          <w:color w:val="000000"/>
          <w:sz w:val="20"/>
          <w:szCs w:val="20"/>
          <w:lang w:val="es-CR" w:eastAsia="es-CR"/>
        </w:rPr>
        <w:footnoteReference w:id="33"/>
      </w:r>
      <w:r w:rsidRPr="00D30523">
        <w:rPr>
          <w:rFonts w:ascii="Verdana" w:eastAsia="Times New Roman" w:hAnsi="Verdana" w:cs="Times New Roman"/>
          <w:color w:val="000000"/>
          <w:sz w:val="20"/>
          <w:szCs w:val="20"/>
          <w:lang w:val="es-CR" w:eastAsia="es-CR"/>
        </w:rPr>
        <w:t>.</w:t>
      </w:r>
    </w:p>
    <w:p w14:paraId="0B75CA8E" w14:textId="77777777" w:rsidR="004F0E31" w:rsidRPr="00D30523" w:rsidRDefault="004F0E31" w:rsidP="009A5EDB">
      <w:pPr>
        <w:autoSpaceDE w:val="0"/>
        <w:autoSpaceDN w:val="0"/>
        <w:adjustRightInd w:val="0"/>
        <w:spacing w:after="0"/>
        <w:jc w:val="both"/>
        <w:rPr>
          <w:rFonts w:ascii="Verdana" w:eastAsia="Times New Roman" w:hAnsi="Verdana" w:cs="Verdana"/>
          <w:color w:val="000000"/>
          <w:sz w:val="20"/>
          <w:szCs w:val="20"/>
          <w:lang w:val="es-CR" w:eastAsia="es-CR"/>
        </w:rPr>
      </w:pPr>
    </w:p>
    <w:p w14:paraId="40E85A24" w14:textId="77777777" w:rsidR="004F0E31" w:rsidRPr="00D30523" w:rsidRDefault="004F0E31" w:rsidP="004F0E31">
      <w:pPr>
        <w:numPr>
          <w:ilvl w:val="0"/>
          <w:numId w:val="29"/>
        </w:numPr>
        <w:autoSpaceDE w:val="0"/>
        <w:autoSpaceDN w:val="0"/>
        <w:adjustRightInd w:val="0"/>
        <w:spacing w:after="0"/>
        <w:ind w:left="-490" w:right="-567"/>
        <w:jc w:val="both"/>
        <w:rPr>
          <w:rFonts w:ascii="Verdana" w:eastAsia="Times New Roman" w:hAnsi="Verdana" w:cs="Verdana"/>
          <w:color w:val="000000"/>
          <w:sz w:val="20"/>
          <w:szCs w:val="20"/>
          <w:lang w:val="es-CR" w:eastAsia="es-CR"/>
        </w:rPr>
      </w:pPr>
      <w:r w:rsidRPr="00D30523">
        <w:rPr>
          <w:rFonts w:ascii="Verdana" w:eastAsiaTheme="minorEastAsia" w:hAnsi="Verdana" w:cs="Times New Roman"/>
          <w:color w:val="000000"/>
          <w:sz w:val="20"/>
          <w:szCs w:val="20"/>
          <w:lang w:val="es-ES" w:eastAsia="es-CR"/>
        </w:rPr>
        <w:t xml:space="preserve">Y se sostiene lo anterior en base a lo que establecen las normas correspondientes y a la consecuencia que se deriva si </w:t>
      </w:r>
      <w:r>
        <w:rPr>
          <w:rFonts w:ascii="Verdana" w:eastAsiaTheme="minorEastAsia" w:hAnsi="Verdana" w:cs="Times New Roman"/>
          <w:color w:val="000000"/>
          <w:sz w:val="20"/>
          <w:szCs w:val="20"/>
          <w:lang w:val="es-ES" w:eastAsia="es-CR"/>
        </w:rPr>
        <w:t xml:space="preserve">ellas </w:t>
      </w:r>
      <w:r w:rsidRPr="00D30523">
        <w:rPr>
          <w:rFonts w:ascii="Verdana" w:eastAsiaTheme="minorEastAsia" w:hAnsi="Verdana" w:cs="Times New Roman"/>
          <w:color w:val="000000"/>
          <w:sz w:val="20"/>
          <w:szCs w:val="20"/>
          <w:lang w:val="es-ES" w:eastAsia="es-CR"/>
        </w:rPr>
        <w:t>no se respetan.</w:t>
      </w:r>
    </w:p>
    <w:p w14:paraId="2CD6E588" w14:textId="77777777" w:rsidR="004F0E31" w:rsidRPr="00D30523" w:rsidRDefault="004F0E31" w:rsidP="00CC2BDB">
      <w:pPr>
        <w:autoSpaceDE w:val="0"/>
        <w:autoSpaceDN w:val="0"/>
        <w:adjustRightInd w:val="0"/>
        <w:spacing w:after="0"/>
        <w:ind w:left="-850"/>
        <w:jc w:val="both"/>
        <w:rPr>
          <w:rFonts w:ascii="Verdana" w:eastAsia="Times New Roman" w:hAnsi="Verdana" w:cs="Verdana"/>
          <w:color w:val="000000"/>
          <w:sz w:val="20"/>
          <w:szCs w:val="20"/>
          <w:lang w:val="es-CR" w:eastAsia="es-CR"/>
        </w:rPr>
      </w:pPr>
    </w:p>
    <w:p w14:paraId="4B304CB3" w14:textId="77777777" w:rsidR="004F0E31" w:rsidRPr="00D30523" w:rsidRDefault="004F0E31" w:rsidP="004F0E31">
      <w:pPr>
        <w:numPr>
          <w:ilvl w:val="0"/>
          <w:numId w:val="31"/>
        </w:numPr>
        <w:spacing w:after="0"/>
        <w:ind w:left="-490" w:right="-567"/>
        <w:contextualSpacing/>
        <w:jc w:val="both"/>
        <w:rPr>
          <w:rFonts w:ascii="Verdana" w:eastAsiaTheme="minorEastAsia" w:hAnsi="Verdana"/>
          <w:b/>
          <w:sz w:val="20"/>
          <w:szCs w:val="20"/>
          <w:lang w:val="es-ES"/>
        </w:rPr>
      </w:pPr>
      <w:r w:rsidRPr="00D30523">
        <w:rPr>
          <w:rFonts w:ascii="Verdana" w:eastAsiaTheme="minorEastAsia" w:hAnsi="Verdana"/>
          <w:b/>
          <w:sz w:val="20"/>
          <w:szCs w:val="20"/>
          <w:lang w:val="es-ES"/>
        </w:rPr>
        <w:t>Las normas.</w:t>
      </w:r>
    </w:p>
    <w:p w14:paraId="16FB5502" w14:textId="77777777" w:rsidR="004F0E31" w:rsidRPr="00D30523" w:rsidRDefault="004F0E31" w:rsidP="00CC2BDB">
      <w:pPr>
        <w:spacing w:after="0"/>
        <w:ind w:left="-850"/>
        <w:contextualSpacing/>
        <w:jc w:val="both"/>
        <w:rPr>
          <w:rFonts w:ascii="Verdana" w:eastAsiaTheme="minorEastAsia" w:hAnsi="Verdana"/>
          <w:b/>
          <w:sz w:val="20"/>
          <w:szCs w:val="20"/>
          <w:lang w:val="es-ES"/>
        </w:rPr>
      </w:pPr>
    </w:p>
    <w:p w14:paraId="42F8E95F" w14:textId="77777777" w:rsidR="004F0E31" w:rsidRPr="00D30523" w:rsidRDefault="004F0E31" w:rsidP="004F0E31">
      <w:pPr>
        <w:numPr>
          <w:ilvl w:val="0"/>
          <w:numId w:val="29"/>
        </w:numPr>
        <w:spacing w:after="0"/>
        <w:ind w:left="-490" w:right="-567"/>
        <w:contextualSpacing/>
        <w:jc w:val="both"/>
        <w:rPr>
          <w:rFonts w:ascii="Verdana" w:eastAsiaTheme="minorEastAsia" w:hAnsi="Verdana"/>
          <w:sz w:val="20"/>
          <w:szCs w:val="20"/>
          <w:lang w:val="es-ES"/>
        </w:rPr>
      </w:pPr>
      <w:r w:rsidRPr="00D30523">
        <w:rPr>
          <w:rFonts w:ascii="Verdana" w:eastAsiaTheme="minorEastAsia" w:hAnsi="Verdana"/>
          <w:sz w:val="20"/>
          <w:szCs w:val="20"/>
          <w:lang w:val="es-ES"/>
        </w:rPr>
        <w:t>La facultad de la Corte de dictar medidas provisionales está prevista en el artículo 63.2 de la Convención, el que dispone:</w:t>
      </w:r>
    </w:p>
    <w:p w14:paraId="621DAB77" w14:textId="77777777" w:rsidR="004F0E31" w:rsidRPr="00D30523" w:rsidRDefault="004F0E31" w:rsidP="009A5EDB">
      <w:pPr>
        <w:spacing w:after="0"/>
        <w:ind w:left="-207"/>
        <w:contextualSpacing/>
        <w:jc w:val="both"/>
        <w:rPr>
          <w:rFonts w:ascii="Verdana" w:eastAsiaTheme="minorEastAsia" w:hAnsi="Verdana"/>
          <w:sz w:val="20"/>
          <w:szCs w:val="20"/>
          <w:lang w:val="es-ES"/>
        </w:rPr>
      </w:pPr>
    </w:p>
    <w:p w14:paraId="2747D8C9" w14:textId="77777777" w:rsidR="004F0E31" w:rsidRPr="00160E2D" w:rsidRDefault="004F0E31" w:rsidP="009A5EDB">
      <w:pPr>
        <w:spacing w:after="100" w:afterAutospacing="1"/>
        <w:ind w:right="-510"/>
        <w:jc w:val="both"/>
        <w:rPr>
          <w:rFonts w:ascii="Verdana" w:eastAsiaTheme="minorEastAsia" w:hAnsi="Verdana"/>
          <w:sz w:val="18"/>
          <w:szCs w:val="18"/>
          <w:lang w:val="es-ES"/>
        </w:rPr>
      </w:pPr>
      <w:r w:rsidRPr="00160E2D">
        <w:rPr>
          <w:rFonts w:ascii="Verdana" w:hAnsi="Verdana"/>
          <w:i/>
          <w:sz w:val="18"/>
          <w:szCs w:val="18"/>
        </w:rPr>
        <w:t>“</w:t>
      </w:r>
      <w:r w:rsidRPr="00160E2D">
        <w:rPr>
          <w:rFonts w:ascii="Verdana" w:hAnsi="Verdana"/>
          <w:i/>
          <w:sz w:val="18"/>
          <w:szCs w:val="18"/>
          <w:lang w:val="es-ES"/>
        </w:rPr>
        <w:t>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p>
    <w:p w14:paraId="0A5467B9" w14:textId="77777777" w:rsidR="004F0E31" w:rsidRPr="00D30523" w:rsidRDefault="004F0E31" w:rsidP="004F0E31">
      <w:pPr>
        <w:numPr>
          <w:ilvl w:val="0"/>
          <w:numId w:val="29"/>
        </w:numPr>
        <w:spacing w:after="0"/>
        <w:ind w:left="-490" w:right="-567"/>
        <w:contextualSpacing/>
        <w:jc w:val="both"/>
        <w:rPr>
          <w:rFonts w:ascii="Verdana" w:eastAsiaTheme="minorEastAsia" w:hAnsi="Verdana"/>
          <w:sz w:val="20"/>
          <w:szCs w:val="20"/>
          <w:vertAlign w:val="superscript"/>
          <w:lang w:val="es-ES"/>
        </w:rPr>
      </w:pPr>
      <w:r w:rsidRPr="00D30523">
        <w:rPr>
          <w:rFonts w:ascii="Verdana" w:eastAsiaTheme="minorEastAsia" w:hAnsi="Verdana"/>
          <w:sz w:val="20"/>
          <w:szCs w:val="20"/>
          <w:lang w:val="es-ES"/>
        </w:rPr>
        <w:t xml:space="preserve">Tal artículo convencional distingue, entonces, entre las medidas provisionales que la Corte puede </w:t>
      </w:r>
      <w:r>
        <w:rPr>
          <w:rFonts w:ascii="Verdana" w:eastAsiaTheme="minorEastAsia" w:hAnsi="Verdana"/>
          <w:sz w:val="20"/>
          <w:szCs w:val="20"/>
          <w:lang w:val="es-ES"/>
        </w:rPr>
        <w:t>tomar</w:t>
      </w:r>
      <w:r w:rsidRPr="00D30523">
        <w:rPr>
          <w:rFonts w:ascii="Verdana" w:eastAsiaTheme="minorEastAsia" w:hAnsi="Verdana"/>
          <w:sz w:val="20"/>
          <w:szCs w:val="20"/>
          <w:lang w:val="es-ES"/>
        </w:rPr>
        <w:t xml:space="preserve"> “</w:t>
      </w:r>
      <w:r w:rsidRPr="00D30523">
        <w:rPr>
          <w:rFonts w:ascii="Verdana" w:eastAsiaTheme="minorEastAsia" w:hAnsi="Verdana"/>
          <w:i/>
          <w:sz w:val="20"/>
          <w:szCs w:val="20"/>
          <w:lang w:val="es-ES"/>
        </w:rPr>
        <w:t>en los asuntos que esté conociendo</w:t>
      </w:r>
      <w:r w:rsidRPr="00D30523">
        <w:rPr>
          <w:rFonts w:ascii="Verdana" w:eastAsiaTheme="minorEastAsia" w:hAnsi="Verdana"/>
          <w:sz w:val="20"/>
          <w:szCs w:val="20"/>
          <w:lang w:val="es-ES"/>
        </w:rPr>
        <w:t xml:space="preserve">” y </w:t>
      </w:r>
      <w:r>
        <w:rPr>
          <w:rFonts w:ascii="Verdana" w:eastAsiaTheme="minorEastAsia" w:hAnsi="Verdana"/>
          <w:sz w:val="20"/>
          <w:szCs w:val="20"/>
          <w:lang w:val="es-ES"/>
        </w:rPr>
        <w:t>cómo puede actuar</w:t>
      </w:r>
      <w:r w:rsidRPr="00D30523">
        <w:rPr>
          <w:rFonts w:ascii="Verdana" w:eastAsiaTheme="minorEastAsia" w:hAnsi="Verdana"/>
          <w:sz w:val="20"/>
          <w:szCs w:val="20"/>
          <w:lang w:val="es-ES"/>
        </w:rPr>
        <w:t xml:space="preserve"> en los “</w:t>
      </w:r>
      <w:r w:rsidRPr="00D30523">
        <w:rPr>
          <w:rFonts w:ascii="Verdana" w:eastAsiaTheme="minorEastAsia" w:hAnsi="Verdana"/>
          <w:i/>
          <w:sz w:val="20"/>
          <w:szCs w:val="20"/>
          <w:lang w:val="es-ES"/>
        </w:rPr>
        <w:t>asuntos que aún no estén sometidos a su conocimiento</w:t>
      </w:r>
      <w:r w:rsidRPr="00D30523">
        <w:rPr>
          <w:rFonts w:ascii="Verdana" w:eastAsiaTheme="minorEastAsia" w:hAnsi="Verdana"/>
          <w:sz w:val="20"/>
          <w:szCs w:val="20"/>
          <w:lang w:val="es-ES"/>
        </w:rPr>
        <w:t xml:space="preserve">”. </w:t>
      </w:r>
    </w:p>
    <w:p w14:paraId="631BC95F" w14:textId="77777777" w:rsidR="004F0E31" w:rsidRPr="00D30523" w:rsidRDefault="004F0E31" w:rsidP="00071F16">
      <w:pPr>
        <w:spacing w:after="0"/>
        <w:ind w:left="-850"/>
        <w:contextualSpacing/>
        <w:jc w:val="both"/>
        <w:rPr>
          <w:rFonts w:ascii="Verdana" w:eastAsiaTheme="minorEastAsia" w:hAnsi="Verdana"/>
          <w:sz w:val="20"/>
          <w:szCs w:val="20"/>
          <w:vertAlign w:val="superscript"/>
          <w:lang w:val="es-ES"/>
        </w:rPr>
      </w:pPr>
    </w:p>
    <w:p w14:paraId="3C091EF3" w14:textId="77777777" w:rsidR="004F0E31" w:rsidRPr="00D30523" w:rsidRDefault="004F0E31" w:rsidP="004F0E31">
      <w:pPr>
        <w:numPr>
          <w:ilvl w:val="0"/>
          <w:numId w:val="29"/>
        </w:numPr>
        <w:spacing w:after="0"/>
        <w:ind w:left="-490" w:right="-567"/>
        <w:contextualSpacing/>
        <w:jc w:val="both"/>
        <w:rPr>
          <w:rFonts w:ascii="Verdana" w:eastAsiaTheme="minorEastAsia" w:hAnsi="Verdana"/>
          <w:sz w:val="20"/>
          <w:szCs w:val="20"/>
          <w:vertAlign w:val="superscript"/>
          <w:lang w:val="es-ES"/>
        </w:rPr>
      </w:pPr>
      <w:r w:rsidRPr="00D30523">
        <w:rPr>
          <w:rFonts w:ascii="Verdana" w:eastAsiaTheme="minorEastAsia" w:hAnsi="Verdana"/>
          <w:sz w:val="20"/>
          <w:szCs w:val="20"/>
          <w:lang w:val="es-ES"/>
        </w:rPr>
        <w:t>De allí, entonces, es que es menester precisar, antes que nada, lo que se entiende por el verbo “conocer” que emplea la disposición en comento. No habiéndole dado la Convención un sentido especial</w:t>
      </w:r>
      <w:r w:rsidRPr="00D30523">
        <w:rPr>
          <w:rStyle w:val="Refdenotaalpie"/>
          <w:rFonts w:ascii="Verdana" w:eastAsiaTheme="minorEastAsia" w:hAnsi="Verdana"/>
          <w:sz w:val="20"/>
          <w:szCs w:val="20"/>
          <w:lang w:val="es-ES"/>
        </w:rPr>
        <w:footnoteReference w:id="34"/>
      </w:r>
      <w:r w:rsidRPr="00D30523">
        <w:rPr>
          <w:rFonts w:ascii="Verdana" w:eastAsiaTheme="minorEastAsia" w:hAnsi="Verdana"/>
          <w:sz w:val="20"/>
          <w:szCs w:val="20"/>
          <w:lang w:val="es-ES"/>
        </w:rPr>
        <w:t xml:space="preserve"> a dicho término, es preciso recurrir a su sentido corriente, cual es, </w:t>
      </w:r>
      <w:r w:rsidRPr="00D30523">
        <w:rPr>
          <w:rFonts w:ascii="Verdana" w:hAnsi="Verdana"/>
          <w:i/>
          <w:sz w:val="20"/>
          <w:szCs w:val="20"/>
        </w:rPr>
        <w:t>“(a)</w:t>
      </w:r>
      <w:proofErr w:type="spellStart"/>
      <w:r w:rsidRPr="00D30523">
        <w:rPr>
          <w:rFonts w:ascii="Verdana" w:hAnsi="Verdana"/>
          <w:i/>
          <w:sz w:val="20"/>
          <w:szCs w:val="20"/>
        </w:rPr>
        <w:t>ctuar</w:t>
      </w:r>
      <w:proofErr w:type="spellEnd"/>
      <w:r w:rsidRPr="00D30523">
        <w:rPr>
          <w:rFonts w:ascii="Verdana" w:eastAsia="Arial Unicode MS" w:hAnsi="Verdana" w:cs="Arial Unicode MS"/>
          <w:i/>
          <w:color w:val="000000"/>
          <w:spacing w:val="4"/>
          <w:sz w:val="20"/>
          <w:szCs w:val="20"/>
          <w:shd w:val="clear" w:color="auto" w:fill="FFFFFF"/>
        </w:rPr>
        <w:t xml:space="preserve"> </w:t>
      </w:r>
      <w:proofErr w:type="spellStart"/>
      <w:r w:rsidRPr="00D30523">
        <w:rPr>
          <w:rFonts w:ascii="Verdana" w:hAnsi="Verdana"/>
          <w:i/>
          <w:sz w:val="20"/>
          <w:szCs w:val="20"/>
        </w:rPr>
        <w:t>en</w:t>
      </w:r>
      <w:proofErr w:type="spellEnd"/>
      <w:r w:rsidRPr="00D30523">
        <w:rPr>
          <w:rFonts w:ascii="Verdana" w:eastAsia="Arial Unicode MS" w:hAnsi="Verdana" w:cs="Arial Unicode MS"/>
          <w:i/>
          <w:color w:val="000000"/>
          <w:spacing w:val="4"/>
          <w:sz w:val="20"/>
          <w:szCs w:val="20"/>
          <w:shd w:val="clear" w:color="auto" w:fill="FFFFFF"/>
        </w:rPr>
        <w:t xml:space="preserve"> </w:t>
      </w:r>
      <w:r w:rsidRPr="00D30523">
        <w:rPr>
          <w:rFonts w:ascii="Verdana" w:hAnsi="Verdana"/>
          <w:i/>
          <w:sz w:val="20"/>
          <w:szCs w:val="20"/>
        </w:rPr>
        <w:t>un</w:t>
      </w:r>
      <w:r w:rsidRPr="00D30523">
        <w:rPr>
          <w:rFonts w:ascii="Verdana" w:eastAsia="Arial Unicode MS" w:hAnsi="Verdana" w:cs="Arial Unicode MS"/>
          <w:i/>
          <w:color w:val="000000"/>
          <w:spacing w:val="4"/>
          <w:sz w:val="20"/>
          <w:szCs w:val="20"/>
          <w:shd w:val="clear" w:color="auto" w:fill="FFFFFF"/>
        </w:rPr>
        <w:t xml:space="preserve"> </w:t>
      </w:r>
      <w:proofErr w:type="spellStart"/>
      <w:r w:rsidRPr="00D30523">
        <w:rPr>
          <w:rFonts w:ascii="Verdana" w:hAnsi="Verdana"/>
          <w:i/>
          <w:sz w:val="20"/>
          <w:szCs w:val="20"/>
        </w:rPr>
        <w:t>asunto</w:t>
      </w:r>
      <w:proofErr w:type="spellEnd"/>
      <w:r w:rsidRPr="00D30523">
        <w:rPr>
          <w:rFonts w:ascii="Verdana" w:eastAsia="Arial Unicode MS" w:hAnsi="Verdana" w:cs="Arial Unicode MS"/>
          <w:i/>
          <w:color w:val="000000"/>
          <w:spacing w:val="4"/>
          <w:sz w:val="20"/>
          <w:szCs w:val="20"/>
          <w:shd w:val="clear" w:color="auto" w:fill="FFFFFF"/>
        </w:rPr>
        <w:t xml:space="preserve"> </w:t>
      </w:r>
      <w:r w:rsidRPr="00D30523">
        <w:rPr>
          <w:rFonts w:ascii="Verdana" w:hAnsi="Verdana"/>
          <w:i/>
          <w:sz w:val="20"/>
          <w:szCs w:val="20"/>
        </w:rPr>
        <w:t>con</w:t>
      </w:r>
      <w:r w:rsidRPr="00D30523">
        <w:rPr>
          <w:rFonts w:ascii="Verdana" w:eastAsia="Arial Unicode MS" w:hAnsi="Verdana" w:cs="Arial Unicode MS"/>
          <w:i/>
          <w:color w:val="000000"/>
          <w:spacing w:val="4"/>
          <w:sz w:val="20"/>
          <w:szCs w:val="20"/>
          <w:shd w:val="clear" w:color="auto" w:fill="FFFFFF"/>
        </w:rPr>
        <w:t xml:space="preserve"> </w:t>
      </w:r>
      <w:r w:rsidRPr="00D30523">
        <w:rPr>
          <w:rFonts w:ascii="Verdana" w:hAnsi="Verdana"/>
          <w:i/>
          <w:sz w:val="20"/>
          <w:szCs w:val="20"/>
        </w:rPr>
        <w:t>facultad</w:t>
      </w:r>
      <w:r w:rsidRPr="00D30523">
        <w:rPr>
          <w:rFonts w:ascii="Verdana" w:eastAsia="Arial Unicode MS" w:hAnsi="Verdana" w:cs="Arial Unicode MS"/>
          <w:i/>
          <w:color w:val="000000"/>
          <w:spacing w:val="4"/>
          <w:sz w:val="20"/>
          <w:szCs w:val="20"/>
          <w:shd w:val="clear" w:color="auto" w:fill="FFFFFF"/>
        </w:rPr>
        <w:t xml:space="preserve"> </w:t>
      </w:r>
      <w:r w:rsidRPr="00D30523">
        <w:rPr>
          <w:rFonts w:ascii="Verdana" w:hAnsi="Verdana"/>
          <w:i/>
          <w:sz w:val="20"/>
          <w:szCs w:val="20"/>
        </w:rPr>
        <w:t>legítima</w:t>
      </w:r>
      <w:r w:rsidRPr="00D30523">
        <w:rPr>
          <w:rFonts w:ascii="Verdana" w:eastAsia="Arial Unicode MS" w:hAnsi="Verdana" w:cs="Arial Unicode MS"/>
          <w:i/>
          <w:color w:val="000000"/>
          <w:spacing w:val="4"/>
          <w:sz w:val="20"/>
          <w:szCs w:val="20"/>
          <w:shd w:val="clear" w:color="auto" w:fill="FFFFFF"/>
        </w:rPr>
        <w:t xml:space="preserve"> </w:t>
      </w:r>
      <w:r w:rsidRPr="00D30523">
        <w:rPr>
          <w:rFonts w:ascii="Verdana" w:hAnsi="Verdana"/>
          <w:i/>
          <w:sz w:val="20"/>
          <w:szCs w:val="20"/>
        </w:rPr>
        <w:t>para</w:t>
      </w:r>
      <w:r w:rsidRPr="00D30523">
        <w:rPr>
          <w:rFonts w:ascii="Verdana" w:eastAsia="Arial Unicode MS" w:hAnsi="Verdana" w:cs="Arial Unicode MS"/>
          <w:i/>
          <w:color w:val="000000"/>
          <w:spacing w:val="4"/>
          <w:sz w:val="20"/>
          <w:szCs w:val="20"/>
          <w:shd w:val="clear" w:color="auto" w:fill="FFFFFF"/>
        </w:rPr>
        <w:t xml:space="preserve"> </w:t>
      </w:r>
      <w:r w:rsidRPr="00D30523">
        <w:rPr>
          <w:rFonts w:ascii="Verdana" w:hAnsi="Verdana"/>
          <w:i/>
          <w:sz w:val="20"/>
          <w:szCs w:val="20"/>
        </w:rPr>
        <w:t>ello</w:t>
      </w:r>
      <w:r w:rsidRPr="00D30523">
        <w:rPr>
          <w:rFonts w:ascii="Verdana" w:hAnsi="Verdana"/>
          <w:sz w:val="20"/>
          <w:szCs w:val="20"/>
        </w:rPr>
        <w:t>”</w:t>
      </w:r>
      <w:r w:rsidRPr="00D30523">
        <w:rPr>
          <w:rStyle w:val="Refdenotaalpie"/>
          <w:rFonts w:ascii="Verdana" w:hAnsi="Verdana"/>
          <w:sz w:val="20"/>
          <w:szCs w:val="20"/>
        </w:rPr>
        <w:footnoteReference w:id="35"/>
      </w:r>
      <w:r w:rsidRPr="00D30523">
        <w:rPr>
          <w:rFonts w:ascii="Verdana" w:hAnsi="Verdana"/>
          <w:sz w:val="20"/>
          <w:szCs w:val="20"/>
        </w:rPr>
        <w:t>. Pues bien, la facultad de la Corte es la de</w:t>
      </w:r>
      <w:r w:rsidRPr="00D30523">
        <w:rPr>
          <w:rFonts w:ascii="Verdana" w:hAnsi="Verdana" w:cs="Tahoma"/>
          <w:color w:val="000000"/>
          <w:sz w:val="20"/>
          <w:szCs w:val="20"/>
        </w:rPr>
        <w:t xml:space="preserve"> “</w:t>
      </w:r>
      <w:r w:rsidRPr="00D30523">
        <w:rPr>
          <w:rFonts w:ascii="Verdana" w:hAnsi="Verdana" w:cs="Tahoma"/>
          <w:i/>
          <w:iCs/>
          <w:color w:val="000000"/>
          <w:sz w:val="20"/>
          <w:szCs w:val="20"/>
        </w:rPr>
        <w:t>conocer de cualquier caso relativo a la interpretación y aplicación de las disposiciones de esta Convención que le sea sometido</w:t>
      </w:r>
      <w:r w:rsidRPr="00D30523">
        <w:rPr>
          <w:rFonts w:ascii="Verdana" w:hAnsi="Verdana"/>
          <w:sz w:val="20"/>
          <w:szCs w:val="20"/>
        </w:rPr>
        <w:t>”</w:t>
      </w:r>
      <w:r w:rsidRPr="00D30523">
        <w:rPr>
          <w:rStyle w:val="Refdenotaalpie"/>
          <w:rFonts w:ascii="Verdana" w:hAnsi="Verdana"/>
          <w:sz w:val="20"/>
          <w:szCs w:val="20"/>
        </w:rPr>
        <w:footnoteReference w:id="36"/>
      </w:r>
      <w:r w:rsidRPr="00D30523">
        <w:rPr>
          <w:rFonts w:ascii="Verdana" w:hAnsi="Verdana"/>
          <w:sz w:val="20"/>
          <w:szCs w:val="20"/>
        </w:rPr>
        <w:t>, esto es, lo que conoce es a los efectos de interpretar y aplicar alguna o algunas disposiciones de la Convención y si, al hacerlo, concluye que se ha violado uno o varios derechos humanos consagrados en ella, disponer el restablecimiento de su goce y que se reparen las consecuencias de la violación, además de la indemnización pertinente</w:t>
      </w:r>
      <w:r w:rsidRPr="00D30523">
        <w:rPr>
          <w:rStyle w:val="Refdenotaalpie"/>
          <w:rFonts w:ascii="Verdana" w:hAnsi="Verdana"/>
          <w:sz w:val="20"/>
          <w:szCs w:val="20"/>
        </w:rPr>
        <w:footnoteReference w:id="37"/>
      </w:r>
      <w:r w:rsidRPr="00D30523">
        <w:rPr>
          <w:rFonts w:ascii="Verdana" w:hAnsi="Verdana"/>
          <w:sz w:val="20"/>
          <w:szCs w:val="20"/>
        </w:rPr>
        <w:t>. Es lo que se conoce como competencia contenciosa, pues con ella se resuelve una controversia o contienda entre partes.</w:t>
      </w:r>
    </w:p>
    <w:p w14:paraId="44F51729" w14:textId="77777777" w:rsidR="004F0E31" w:rsidRPr="00D30523" w:rsidRDefault="004F0E31" w:rsidP="00071F16">
      <w:pPr>
        <w:spacing w:after="0"/>
        <w:ind w:left="-850"/>
        <w:contextualSpacing/>
        <w:jc w:val="both"/>
        <w:rPr>
          <w:rFonts w:ascii="Verdana" w:eastAsiaTheme="minorEastAsia" w:hAnsi="Verdana" w:cs="Tahoma"/>
          <w:sz w:val="20"/>
          <w:szCs w:val="20"/>
          <w:lang w:val="es-CR"/>
        </w:rPr>
      </w:pPr>
    </w:p>
    <w:p w14:paraId="0986534B" w14:textId="77777777" w:rsidR="004F0E31"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Tahoma"/>
          <w:sz w:val="20"/>
          <w:szCs w:val="20"/>
          <w:lang w:val="es-CR"/>
        </w:rPr>
        <w:t xml:space="preserve">En consecuencia, no cabe duda de que, respecto de los casos que ejerce su competencia contenciosa y mientras lo hace, la Corte dispone de la facultad de ordenar medidas provisionales, de oficio o a petición </w:t>
      </w:r>
      <w:r w:rsidRPr="00D30523">
        <w:rPr>
          <w:rFonts w:ascii="Verdana" w:eastAsiaTheme="minorEastAsia" w:hAnsi="Verdana" w:cs="Tahoma"/>
          <w:sz w:val="20"/>
          <w:szCs w:val="20"/>
          <w:lang w:val="es-CR"/>
        </w:rPr>
        <w:lastRenderedPageBreak/>
        <w:t>de parte</w:t>
      </w:r>
      <w:r w:rsidRPr="00D30523">
        <w:rPr>
          <w:rStyle w:val="Refdenotaalpie"/>
          <w:rFonts w:ascii="Verdana" w:eastAsiaTheme="minorEastAsia" w:hAnsi="Verdana" w:cs="Tahoma"/>
          <w:sz w:val="20"/>
          <w:szCs w:val="20"/>
          <w:lang w:val="es-CR"/>
        </w:rPr>
        <w:footnoteReference w:id="38"/>
      </w:r>
      <w:r w:rsidRPr="00D30523">
        <w:rPr>
          <w:rFonts w:ascii="Verdana" w:eastAsiaTheme="minorEastAsia" w:hAnsi="Verdana" w:cs="Tahoma"/>
          <w:sz w:val="20"/>
          <w:szCs w:val="20"/>
          <w:lang w:val="es-CR"/>
        </w:rPr>
        <w:t>.</w:t>
      </w:r>
      <w:r w:rsidRPr="00D30523">
        <w:rPr>
          <w:rFonts w:ascii="Verdana" w:eastAsiaTheme="minorEastAsia" w:hAnsi="Verdana"/>
          <w:sz w:val="20"/>
          <w:szCs w:val="20"/>
          <w:lang w:val="es-ES"/>
        </w:rPr>
        <w:t xml:space="preserve"> Lo indicado implica, igualmente, que, como es en ejercicio de esa competencia que la Corte puede decretar dichas medidas, lógicamente éstas son concebidas, no solo como excepcionales, sino también como esencialmente transitorias, hasta que ella resuelva el correspondiente caso.</w:t>
      </w:r>
    </w:p>
    <w:p w14:paraId="01361E18" w14:textId="77777777" w:rsidR="004F0E31" w:rsidRPr="00553AF9" w:rsidRDefault="004F0E31" w:rsidP="00553AF9">
      <w:pPr>
        <w:spacing w:after="0"/>
        <w:contextualSpacing/>
        <w:jc w:val="both"/>
        <w:rPr>
          <w:rFonts w:ascii="Verdana" w:eastAsiaTheme="minorEastAsia" w:hAnsi="Verdana" w:cs="Arial"/>
          <w:sz w:val="20"/>
          <w:szCs w:val="20"/>
          <w:lang w:val="es-ES"/>
        </w:rPr>
      </w:pPr>
    </w:p>
    <w:p w14:paraId="142D3AE4"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sz w:val="20"/>
          <w:szCs w:val="20"/>
          <w:lang w:val="es-ES"/>
        </w:rPr>
        <w:t>En definitiva, de acuerdo a lo previsto en los artículos 63.2 y 67 de la Convención, una vez dictada la sentencia relativa al caso de que se trate, éste ha concluido, por lo que la Corte no sigue conociéndolo</w:t>
      </w:r>
      <w:r>
        <w:rPr>
          <w:rFonts w:ascii="Verdana" w:eastAsiaTheme="minorEastAsia" w:hAnsi="Verdana"/>
          <w:sz w:val="20"/>
          <w:szCs w:val="20"/>
          <w:lang w:val="es-ES"/>
        </w:rPr>
        <w:t>, es decir, no continúa</w:t>
      </w:r>
      <w:r w:rsidRPr="00D30523">
        <w:rPr>
          <w:rFonts w:ascii="Verdana" w:eastAsiaTheme="minorEastAsia" w:hAnsi="Verdana"/>
          <w:sz w:val="20"/>
          <w:szCs w:val="20"/>
          <w:lang w:val="es-ES"/>
        </w:rPr>
        <w:t xml:space="preserve"> ni aplicando </w:t>
      </w:r>
      <w:r>
        <w:rPr>
          <w:rFonts w:ascii="Verdana" w:eastAsiaTheme="minorEastAsia" w:hAnsi="Verdana"/>
          <w:sz w:val="20"/>
          <w:szCs w:val="20"/>
          <w:lang w:val="es-ES"/>
        </w:rPr>
        <w:t xml:space="preserve">ni </w:t>
      </w:r>
      <w:r w:rsidRPr="00D30523">
        <w:rPr>
          <w:rFonts w:ascii="Verdana" w:eastAsiaTheme="minorEastAsia" w:hAnsi="Verdana"/>
          <w:sz w:val="20"/>
          <w:szCs w:val="20"/>
          <w:lang w:val="es-ES"/>
        </w:rPr>
        <w:t xml:space="preserve">interpretando </w:t>
      </w:r>
      <w:r>
        <w:rPr>
          <w:rFonts w:ascii="Verdana" w:eastAsiaTheme="minorEastAsia" w:hAnsi="Verdana"/>
          <w:sz w:val="20"/>
          <w:szCs w:val="20"/>
          <w:lang w:val="es-ES"/>
        </w:rPr>
        <w:t xml:space="preserve">la Convención </w:t>
      </w:r>
      <w:r w:rsidRPr="00D30523">
        <w:rPr>
          <w:rFonts w:ascii="Verdana" w:eastAsiaTheme="minorEastAsia" w:hAnsi="Verdana"/>
          <w:sz w:val="20"/>
          <w:szCs w:val="20"/>
          <w:lang w:val="es-ES"/>
        </w:rPr>
        <w:t xml:space="preserve">a su respecto, salvo si </w:t>
      </w:r>
      <w:r>
        <w:rPr>
          <w:rFonts w:ascii="Verdana" w:eastAsiaTheme="minorEastAsia" w:hAnsi="Verdana"/>
          <w:sz w:val="20"/>
          <w:szCs w:val="20"/>
          <w:lang w:val="es-ES"/>
        </w:rPr>
        <w:t>procediere dictar</w:t>
      </w:r>
      <w:r w:rsidRPr="00D30523">
        <w:rPr>
          <w:rFonts w:ascii="Verdana" w:eastAsiaTheme="minorEastAsia" w:hAnsi="Verdana"/>
          <w:sz w:val="20"/>
          <w:szCs w:val="20"/>
          <w:lang w:val="es-ES"/>
        </w:rPr>
        <w:t xml:space="preserve"> posteriormente la correspondiente sentencia de reparaciones y costas</w:t>
      </w:r>
      <w:r w:rsidRPr="00D30523">
        <w:rPr>
          <w:rStyle w:val="Refdenotaalpie"/>
          <w:rFonts w:ascii="Verdana" w:eastAsiaTheme="minorEastAsia" w:hAnsi="Verdana"/>
          <w:sz w:val="20"/>
          <w:szCs w:val="20"/>
          <w:lang w:val="es-ES"/>
        </w:rPr>
        <w:footnoteReference w:id="39"/>
      </w:r>
      <w:r w:rsidRPr="00D30523">
        <w:rPr>
          <w:rFonts w:ascii="Verdana" w:eastAsiaTheme="minorEastAsia" w:hAnsi="Verdana"/>
          <w:sz w:val="20"/>
          <w:szCs w:val="20"/>
          <w:lang w:val="es-ES"/>
        </w:rPr>
        <w:t xml:space="preserve"> o si se hubiesen interpuesto respecto de una u otra y en tiempo y forma, los recursos de interpretación</w:t>
      </w:r>
      <w:r w:rsidRPr="00D30523">
        <w:rPr>
          <w:rStyle w:val="Refdenotaalpie"/>
          <w:rFonts w:ascii="Verdana" w:eastAsiaTheme="minorEastAsia" w:hAnsi="Verdana"/>
          <w:sz w:val="20"/>
          <w:szCs w:val="20"/>
          <w:lang w:val="es-ES"/>
        </w:rPr>
        <w:footnoteReference w:id="40"/>
      </w:r>
      <w:r w:rsidRPr="00D30523">
        <w:rPr>
          <w:rFonts w:ascii="Verdana" w:eastAsiaTheme="minorEastAsia" w:hAnsi="Verdana"/>
          <w:sz w:val="20"/>
          <w:szCs w:val="20"/>
          <w:lang w:val="es-ES"/>
        </w:rPr>
        <w:t xml:space="preserve"> o de enmienda por notorios errores de edición o de cálculo</w:t>
      </w:r>
      <w:r w:rsidRPr="00D30523">
        <w:rPr>
          <w:rStyle w:val="Refdenotaalpie"/>
          <w:rFonts w:ascii="Verdana" w:eastAsiaTheme="minorEastAsia" w:hAnsi="Verdana"/>
          <w:sz w:val="20"/>
          <w:szCs w:val="20"/>
          <w:lang w:val="es-ES"/>
        </w:rPr>
        <w:footnoteReference w:id="41"/>
      </w:r>
      <w:r w:rsidRPr="00D30523">
        <w:rPr>
          <w:rFonts w:ascii="Verdana" w:eastAsiaTheme="minorEastAsia" w:hAnsi="Verdana"/>
          <w:sz w:val="20"/>
          <w:szCs w:val="20"/>
          <w:lang w:val="es-ES"/>
        </w:rPr>
        <w:t>.</w:t>
      </w:r>
    </w:p>
    <w:p w14:paraId="2638EAD6" w14:textId="77777777" w:rsidR="004F0E31" w:rsidRPr="00D30523" w:rsidRDefault="004F0E31" w:rsidP="006475E7">
      <w:pPr>
        <w:spacing w:after="0"/>
        <w:ind w:left="-850"/>
        <w:contextualSpacing/>
        <w:jc w:val="both"/>
        <w:rPr>
          <w:rFonts w:ascii="Verdana" w:eastAsiaTheme="minorEastAsia" w:hAnsi="Verdana"/>
          <w:sz w:val="20"/>
          <w:szCs w:val="20"/>
          <w:lang w:val="es-ES"/>
        </w:rPr>
      </w:pPr>
    </w:p>
    <w:p w14:paraId="7095E6F3" w14:textId="77777777" w:rsidR="004F0E31" w:rsidRPr="00D30523" w:rsidRDefault="004F0E31" w:rsidP="004F0E31">
      <w:pPr>
        <w:numPr>
          <w:ilvl w:val="0"/>
          <w:numId w:val="29"/>
        </w:numPr>
        <w:spacing w:after="0"/>
        <w:ind w:left="-490" w:right="-567"/>
        <w:contextualSpacing/>
        <w:jc w:val="both"/>
        <w:rPr>
          <w:rFonts w:ascii="Verdana" w:eastAsiaTheme="minorEastAsia" w:hAnsi="Verdana"/>
          <w:sz w:val="20"/>
          <w:szCs w:val="20"/>
          <w:vertAlign w:val="superscript"/>
          <w:lang w:val="es-ES"/>
        </w:rPr>
      </w:pPr>
      <w:r w:rsidRPr="00D30523">
        <w:rPr>
          <w:rFonts w:ascii="Verdana" w:eastAsiaTheme="minorEastAsia" w:hAnsi="Verdana"/>
          <w:sz w:val="20"/>
          <w:szCs w:val="20"/>
          <w:lang w:val="es-ES"/>
        </w:rPr>
        <w:t xml:space="preserve">El asunto es diferente en cuanto a la dictación de </w:t>
      </w:r>
      <w:r w:rsidRPr="00D30523">
        <w:rPr>
          <w:rFonts w:ascii="Verdana" w:eastAsiaTheme="minorEastAsia" w:hAnsi="Verdana" w:cs="Arial"/>
          <w:sz w:val="20"/>
          <w:szCs w:val="20"/>
          <w:lang w:val="es-ES"/>
        </w:rPr>
        <w:t xml:space="preserve">medidas provisionales en aquellos asuntos que </w:t>
      </w:r>
      <w:r w:rsidRPr="00D30523">
        <w:rPr>
          <w:rFonts w:ascii="Verdana" w:eastAsiaTheme="minorEastAsia" w:hAnsi="Verdana" w:cs="Arial"/>
          <w:sz w:val="20"/>
          <w:szCs w:val="20"/>
          <w:lang w:val="es-CR"/>
        </w:rPr>
        <w:t>aún no estén sometidos a conocimiento</w:t>
      </w:r>
      <w:r w:rsidRPr="00D30523">
        <w:rPr>
          <w:rFonts w:ascii="Verdana" w:eastAsiaTheme="minorEastAsia" w:hAnsi="Verdana" w:cs="Arial"/>
          <w:sz w:val="20"/>
          <w:szCs w:val="20"/>
          <w:lang w:val="es-ES"/>
        </w:rPr>
        <w:t xml:space="preserve"> de la Corte y respecto de los cuales, por lo tanto, aún no ejerce su competencia contenciosa. En tal eventualidad, la Corte solo puede actuar, según lo prescribe la última frase de l</w:t>
      </w:r>
      <w:r w:rsidRPr="00D30523">
        <w:rPr>
          <w:rFonts w:ascii="Verdana" w:eastAsiaTheme="minorEastAsia" w:hAnsi="Verdana" w:cs="Arial"/>
          <w:sz w:val="20"/>
          <w:szCs w:val="20"/>
          <w:lang w:val="es-CR"/>
        </w:rPr>
        <w:t xml:space="preserve">a </w:t>
      </w:r>
      <w:r w:rsidRPr="00D30523">
        <w:rPr>
          <w:rFonts w:ascii="Verdana" w:eastAsiaTheme="minorEastAsia" w:hAnsi="Verdana" w:cs="Arial"/>
          <w:sz w:val="20"/>
          <w:szCs w:val="20"/>
          <w:lang w:val="es-ES"/>
        </w:rPr>
        <w:t xml:space="preserve">mencionado art.63.2, a </w:t>
      </w:r>
      <w:r w:rsidRPr="00D30523">
        <w:rPr>
          <w:rFonts w:ascii="Verdana" w:eastAsiaTheme="minorEastAsia" w:hAnsi="Verdana" w:cs="Arial"/>
          <w:sz w:val="20"/>
          <w:szCs w:val="20"/>
          <w:lang w:val="es-CR"/>
        </w:rPr>
        <w:t>solicitud de la Comisión.</w:t>
      </w:r>
    </w:p>
    <w:p w14:paraId="41C9DA3F" w14:textId="77777777" w:rsidR="004F0E31" w:rsidRPr="00D30523" w:rsidRDefault="004F0E31" w:rsidP="006475E7">
      <w:pPr>
        <w:spacing w:after="0"/>
        <w:ind w:left="-850"/>
        <w:contextualSpacing/>
        <w:jc w:val="both"/>
        <w:rPr>
          <w:rFonts w:ascii="Verdana" w:eastAsia="Times New Roman" w:hAnsi="Verdana"/>
          <w:sz w:val="20"/>
          <w:szCs w:val="20"/>
          <w:lang w:val="es-ES" w:eastAsia="es-CL"/>
        </w:rPr>
      </w:pPr>
    </w:p>
    <w:p w14:paraId="77C67C93" w14:textId="77777777" w:rsidR="004F0E31" w:rsidRPr="00D30523" w:rsidRDefault="004F0E31" w:rsidP="004F0E31">
      <w:pPr>
        <w:numPr>
          <w:ilvl w:val="0"/>
          <w:numId w:val="29"/>
        </w:numPr>
        <w:spacing w:after="0"/>
        <w:ind w:left="-490" w:right="-567"/>
        <w:contextualSpacing/>
        <w:jc w:val="both"/>
        <w:rPr>
          <w:rFonts w:ascii="Verdana" w:eastAsiaTheme="minorEastAsia" w:hAnsi="Verdana"/>
          <w:sz w:val="20"/>
          <w:szCs w:val="20"/>
          <w:vertAlign w:val="superscript"/>
          <w:lang w:val="es-ES"/>
        </w:rPr>
      </w:pPr>
      <w:r w:rsidRPr="00D30523">
        <w:rPr>
          <w:rFonts w:ascii="Verdana" w:eastAsia="Times New Roman" w:hAnsi="Verdana"/>
          <w:sz w:val="20"/>
          <w:szCs w:val="20"/>
          <w:lang w:val="es-ES" w:eastAsia="es-CL"/>
        </w:rPr>
        <w:t xml:space="preserve">Todo lo indicado precedentemente obviamente también se expresa </w:t>
      </w:r>
      <w:r w:rsidRPr="00D30523">
        <w:rPr>
          <w:rFonts w:ascii="Verdana" w:eastAsiaTheme="minorEastAsia" w:hAnsi="Verdana"/>
          <w:sz w:val="20"/>
          <w:szCs w:val="20"/>
          <w:lang w:val="es-ES"/>
        </w:rPr>
        <w:t>en el Reglamento de la Corte</w:t>
      </w:r>
      <w:r w:rsidRPr="00D30523">
        <w:rPr>
          <w:rFonts w:ascii="Verdana" w:eastAsiaTheme="minorEastAsia" w:hAnsi="Verdana"/>
          <w:sz w:val="20"/>
          <w:szCs w:val="20"/>
          <w:vertAlign w:val="superscript"/>
          <w:lang w:val="es-ES"/>
        </w:rPr>
        <w:footnoteReference w:id="42"/>
      </w:r>
      <w:r w:rsidRPr="00D30523">
        <w:rPr>
          <w:rFonts w:ascii="Verdana" w:eastAsiaTheme="minorEastAsia" w:hAnsi="Verdana"/>
          <w:sz w:val="20"/>
          <w:szCs w:val="20"/>
          <w:lang w:val="es-ES"/>
        </w:rPr>
        <w:t xml:space="preserve">, cuando reproduce, en términos similares a los utilizados por la Convención, la distinción entre asuntos </w:t>
      </w:r>
      <w:r w:rsidRPr="00D30523">
        <w:rPr>
          <w:rFonts w:ascii="Verdana" w:eastAsiaTheme="minorEastAsia" w:hAnsi="Verdana"/>
          <w:sz w:val="20"/>
          <w:szCs w:val="20"/>
          <w:lang w:val="es-ES"/>
        </w:rPr>
        <w:lastRenderedPageBreak/>
        <w:t>sometidos a conocimiento de la Corte y asuntos aún no sometidos a su conocimiento. Es por ese motivo que la referencia que el numeral 1 del artículo 27 del Reglamento de la Corte hace a “</w:t>
      </w:r>
      <w:r w:rsidRPr="00D30523">
        <w:rPr>
          <w:rFonts w:ascii="Verdana" w:eastAsiaTheme="minorEastAsia" w:hAnsi="Verdana"/>
          <w:i/>
          <w:sz w:val="20"/>
          <w:szCs w:val="20"/>
          <w:lang w:val="es-ES"/>
        </w:rPr>
        <w:t>cualquier estado del procedimiento</w:t>
      </w:r>
      <w:r w:rsidRPr="00D30523">
        <w:rPr>
          <w:rFonts w:ascii="Verdana" w:eastAsiaTheme="minorEastAsia" w:hAnsi="Verdana"/>
          <w:sz w:val="20"/>
          <w:szCs w:val="20"/>
          <w:lang w:val="es-ES"/>
        </w:rPr>
        <w:t>”, únicamente puede entenderse en el sentido de que este último se lleva a cabo respecto de asuntos</w:t>
      </w:r>
      <w:r w:rsidRPr="00D30523">
        <w:rPr>
          <w:rFonts w:ascii="Verdana" w:eastAsiaTheme="minorEastAsia" w:hAnsi="Verdana" w:cs="Tahoma"/>
          <w:sz w:val="20"/>
          <w:szCs w:val="20"/>
          <w:lang w:val="es-CR"/>
        </w:rPr>
        <w:t xml:space="preserve"> en </w:t>
      </w:r>
      <w:r w:rsidRPr="00D30523">
        <w:rPr>
          <w:rFonts w:ascii="Verdana" w:eastAsiaTheme="minorEastAsia" w:hAnsi="Verdana" w:cs="Tahoma"/>
          <w:sz w:val="20"/>
          <w:szCs w:val="20"/>
          <w:lang w:val="es-ES"/>
        </w:rPr>
        <w:t>que la Corte esté ejerciendo su competencia contenciosa, pues en cuanto a los asuntos no sometidos a su decisión, no hay aún procedimiento alguno, el que, recién podría iniciarse con la pertinente solicitud de la Comisión.</w:t>
      </w:r>
    </w:p>
    <w:p w14:paraId="14A5FD81" w14:textId="77777777" w:rsidR="004F0E31" w:rsidRPr="00D30523" w:rsidRDefault="004F0E31" w:rsidP="00646FCE">
      <w:pPr>
        <w:spacing w:after="0"/>
        <w:ind w:left="-850"/>
        <w:contextualSpacing/>
        <w:jc w:val="both"/>
        <w:rPr>
          <w:rFonts w:ascii="Verdana" w:eastAsiaTheme="minorEastAsia" w:hAnsi="Verdana"/>
          <w:sz w:val="20"/>
          <w:szCs w:val="20"/>
          <w:lang w:val="es-ES"/>
        </w:rPr>
      </w:pPr>
    </w:p>
    <w:p w14:paraId="3EFAF922" w14:textId="77777777" w:rsidR="004F0E31" w:rsidRPr="00D30523" w:rsidRDefault="004F0E31" w:rsidP="004F0E31">
      <w:pPr>
        <w:numPr>
          <w:ilvl w:val="0"/>
          <w:numId w:val="31"/>
        </w:numPr>
        <w:spacing w:after="0"/>
        <w:ind w:left="-490" w:right="-567"/>
        <w:contextualSpacing/>
        <w:jc w:val="both"/>
        <w:rPr>
          <w:rFonts w:ascii="Verdana" w:eastAsiaTheme="minorEastAsia" w:hAnsi="Verdana"/>
          <w:b/>
          <w:bCs/>
          <w:sz w:val="20"/>
          <w:szCs w:val="20"/>
          <w:vertAlign w:val="superscript"/>
          <w:lang w:val="es-ES"/>
        </w:rPr>
      </w:pPr>
      <w:r w:rsidRPr="00D30523">
        <w:rPr>
          <w:rFonts w:ascii="Verdana" w:eastAsiaTheme="minorEastAsia" w:hAnsi="Verdana"/>
          <w:b/>
          <w:bCs/>
          <w:sz w:val="20"/>
          <w:szCs w:val="20"/>
          <w:lang w:val="es-ES"/>
        </w:rPr>
        <w:t>Consecuencia.</w:t>
      </w:r>
    </w:p>
    <w:p w14:paraId="3D345AD4" w14:textId="77777777" w:rsidR="004F0E31" w:rsidRPr="00D30523" w:rsidRDefault="004F0E31" w:rsidP="00646FCE">
      <w:pPr>
        <w:spacing w:after="0"/>
        <w:ind w:left="-850"/>
        <w:contextualSpacing/>
        <w:jc w:val="both"/>
        <w:rPr>
          <w:rFonts w:ascii="Verdana" w:eastAsiaTheme="minorEastAsia" w:hAnsi="Verdana"/>
          <w:b/>
          <w:bCs/>
          <w:sz w:val="20"/>
          <w:szCs w:val="20"/>
          <w:vertAlign w:val="superscript"/>
          <w:lang w:val="es-ES"/>
        </w:rPr>
      </w:pPr>
    </w:p>
    <w:p w14:paraId="1C8D49D0" w14:textId="77777777" w:rsidR="004F0E31" w:rsidRPr="00D30523" w:rsidRDefault="004F0E31" w:rsidP="004F0E31">
      <w:pPr>
        <w:numPr>
          <w:ilvl w:val="0"/>
          <w:numId w:val="29"/>
        </w:numPr>
        <w:spacing w:after="0"/>
        <w:ind w:left="-490" w:right="-567"/>
        <w:contextualSpacing/>
        <w:jc w:val="both"/>
        <w:rPr>
          <w:rFonts w:ascii="Verdana" w:eastAsiaTheme="minorEastAsia" w:hAnsi="Verdana"/>
          <w:b/>
          <w:bCs/>
          <w:sz w:val="20"/>
          <w:szCs w:val="20"/>
          <w:vertAlign w:val="superscript"/>
          <w:lang w:val="es-ES"/>
        </w:rPr>
      </w:pPr>
      <w:r w:rsidRPr="00D30523">
        <w:rPr>
          <w:rFonts w:ascii="Verdana" w:eastAsiaTheme="minorEastAsia" w:hAnsi="Verdana"/>
          <w:sz w:val="20"/>
          <w:szCs w:val="20"/>
          <w:lang w:val="es-ES"/>
        </w:rPr>
        <w:t xml:space="preserve">Determinado, entonces, que </w:t>
      </w:r>
      <w:r w:rsidRPr="00D30523">
        <w:rPr>
          <w:rFonts w:ascii="Verdana" w:eastAsiaTheme="minorEastAsia" w:hAnsi="Verdana"/>
          <w:sz w:val="20"/>
          <w:szCs w:val="20"/>
          <w:lang w:val="es-CR"/>
        </w:rPr>
        <w:t xml:space="preserve">la Corte puede decretar medidas provisionales mientras esté ejerciendo su competencia contenciosa en relación al respectivo caso que le ha sido sometido, procede recordar que éste finaliza con la sentencia correspondiente, la que, por lo tanto, genera el efecto de cosa juzgada, no pudiendo </w:t>
      </w:r>
      <w:r w:rsidRPr="00D30523">
        <w:rPr>
          <w:rFonts w:ascii="Verdana" w:eastAsiaTheme="minorEastAsia" w:hAnsi="Verdana"/>
          <w:sz w:val="20"/>
          <w:szCs w:val="20"/>
          <w:lang w:val="es-ES"/>
        </w:rPr>
        <w:t xml:space="preserve">ser modificada ni aún por la propia Corte. </w:t>
      </w:r>
    </w:p>
    <w:p w14:paraId="73557F62" w14:textId="77777777" w:rsidR="004F0E31" w:rsidRPr="00D30523" w:rsidRDefault="004F0E31" w:rsidP="00646FCE">
      <w:pPr>
        <w:spacing w:after="0"/>
        <w:ind w:left="-850"/>
        <w:contextualSpacing/>
        <w:jc w:val="both"/>
        <w:rPr>
          <w:rFonts w:ascii="Verdana" w:eastAsiaTheme="minorEastAsia" w:hAnsi="Verdana"/>
          <w:b/>
          <w:bCs/>
          <w:sz w:val="20"/>
          <w:szCs w:val="20"/>
          <w:vertAlign w:val="superscript"/>
          <w:lang w:val="es-ES"/>
        </w:rPr>
      </w:pPr>
    </w:p>
    <w:p w14:paraId="3204D61A" w14:textId="77777777" w:rsidR="004F0E31" w:rsidRPr="00D30523" w:rsidRDefault="004F0E31" w:rsidP="004F0E31">
      <w:pPr>
        <w:numPr>
          <w:ilvl w:val="0"/>
          <w:numId w:val="29"/>
        </w:numPr>
        <w:spacing w:after="0"/>
        <w:ind w:left="-490" w:right="-567"/>
        <w:contextualSpacing/>
        <w:jc w:val="both"/>
        <w:rPr>
          <w:rFonts w:ascii="Verdana" w:eastAsiaTheme="minorEastAsia" w:hAnsi="Verdana"/>
          <w:b/>
          <w:bCs/>
          <w:sz w:val="20"/>
          <w:szCs w:val="20"/>
          <w:vertAlign w:val="superscript"/>
          <w:lang w:val="es-ES"/>
        </w:rPr>
      </w:pPr>
      <w:r w:rsidRPr="00D30523">
        <w:rPr>
          <w:rFonts w:ascii="Verdana" w:eastAsiaTheme="minorEastAsia" w:hAnsi="Verdana"/>
          <w:sz w:val="20"/>
          <w:szCs w:val="20"/>
          <w:lang w:val="es-ES"/>
        </w:rPr>
        <w:t>La primera frase del artículo 67 de la Convención es clara, precisa y categórica sobre este particular:</w:t>
      </w:r>
    </w:p>
    <w:p w14:paraId="7E9674E4" w14:textId="77777777" w:rsidR="004F0E31" w:rsidRPr="00D30523" w:rsidRDefault="004F0E31" w:rsidP="006475E7">
      <w:pPr>
        <w:spacing w:after="0"/>
        <w:ind w:left="-850"/>
        <w:jc w:val="both"/>
        <w:rPr>
          <w:rFonts w:ascii="Verdana" w:hAnsi="Verdana"/>
          <w:i/>
          <w:iCs/>
          <w:sz w:val="20"/>
          <w:szCs w:val="20"/>
          <w:lang w:val="es-ES"/>
        </w:rPr>
      </w:pPr>
    </w:p>
    <w:p w14:paraId="6D0F39AC" w14:textId="77777777" w:rsidR="004F0E31" w:rsidRPr="00160E2D" w:rsidRDefault="004F0E31" w:rsidP="006475E7">
      <w:pPr>
        <w:spacing w:after="0"/>
        <w:ind w:left="-283"/>
        <w:jc w:val="both"/>
        <w:rPr>
          <w:rFonts w:ascii="Verdana" w:eastAsiaTheme="minorEastAsia" w:hAnsi="Verdana"/>
          <w:i/>
          <w:iCs/>
          <w:sz w:val="18"/>
          <w:szCs w:val="18"/>
          <w:lang w:val="es-ES"/>
        </w:rPr>
      </w:pPr>
      <w:r w:rsidRPr="00160E2D">
        <w:rPr>
          <w:rFonts w:ascii="Verdana" w:hAnsi="Verdana"/>
          <w:i/>
          <w:iCs/>
          <w:sz w:val="18"/>
          <w:szCs w:val="18"/>
          <w:lang w:val="es-ES"/>
        </w:rPr>
        <w:t>“El fallo de la Corte será definitivo e inapelable.”</w:t>
      </w:r>
    </w:p>
    <w:p w14:paraId="7C247C95" w14:textId="77777777" w:rsidR="004F0E31" w:rsidRPr="00D30523" w:rsidRDefault="004F0E31" w:rsidP="006475E7">
      <w:pPr>
        <w:spacing w:after="0"/>
        <w:ind w:left="-850"/>
        <w:jc w:val="both"/>
        <w:rPr>
          <w:rFonts w:ascii="Verdana" w:eastAsiaTheme="minorEastAsia" w:hAnsi="Verdana"/>
          <w:i/>
          <w:iCs/>
          <w:sz w:val="20"/>
          <w:szCs w:val="20"/>
          <w:lang w:val="es-ES"/>
        </w:rPr>
      </w:pPr>
    </w:p>
    <w:p w14:paraId="1ECC5F22" w14:textId="77777777" w:rsidR="004F0E31" w:rsidRPr="00D30523" w:rsidRDefault="004F0E31" w:rsidP="004F0E31">
      <w:pPr>
        <w:numPr>
          <w:ilvl w:val="0"/>
          <w:numId w:val="29"/>
        </w:numPr>
        <w:spacing w:after="0"/>
        <w:ind w:left="-490" w:right="-567"/>
        <w:contextualSpacing/>
        <w:jc w:val="both"/>
        <w:rPr>
          <w:rFonts w:ascii="Verdana" w:eastAsiaTheme="minorEastAsia" w:hAnsi="Verdana"/>
          <w:i/>
          <w:iCs/>
          <w:sz w:val="20"/>
          <w:szCs w:val="20"/>
          <w:lang w:val="es-ES"/>
        </w:rPr>
      </w:pPr>
      <w:r w:rsidRPr="00D30523">
        <w:rPr>
          <w:rFonts w:ascii="Verdana" w:eastAsiaTheme="minorEastAsia" w:hAnsi="Verdana"/>
          <w:sz w:val="20"/>
          <w:szCs w:val="20"/>
          <w:lang w:val="es-ES"/>
        </w:rPr>
        <w:t>Así las cosas, en mérito de la necesidad de certeza o de seguridad jurídica y en consideración al ya citado principio de Derecho Público de que únicamente se puede hacer lo que la norma dispone, la Corte solo puede, en consecuencia, decretar, respecto de sus sentencias, alguna de las resoluciones que inequívocamente se desprenden de las facultades que taxativamente le han sido conferidas, sea por la Convención sea por su Reglamento.</w:t>
      </w:r>
    </w:p>
    <w:p w14:paraId="216A70B2" w14:textId="77777777" w:rsidR="004F0E31" w:rsidRPr="00D30523" w:rsidRDefault="004F0E31" w:rsidP="006475E7">
      <w:pPr>
        <w:spacing w:after="0"/>
        <w:ind w:left="-850"/>
        <w:contextualSpacing/>
        <w:jc w:val="both"/>
        <w:rPr>
          <w:rFonts w:ascii="Verdana" w:eastAsiaTheme="minorEastAsia" w:hAnsi="Verdana"/>
          <w:i/>
          <w:iCs/>
          <w:sz w:val="20"/>
          <w:szCs w:val="20"/>
          <w:lang w:val="es-ES"/>
        </w:rPr>
      </w:pPr>
    </w:p>
    <w:p w14:paraId="0B72323C" w14:textId="77777777" w:rsidR="004F0E31" w:rsidRPr="00D30523" w:rsidRDefault="004F0E31" w:rsidP="004F0E31">
      <w:pPr>
        <w:numPr>
          <w:ilvl w:val="0"/>
          <w:numId w:val="29"/>
        </w:numPr>
        <w:spacing w:after="0"/>
        <w:ind w:left="-490" w:right="-567"/>
        <w:contextualSpacing/>
        <w:jc w:val="both"/>
        <w:rPr>
          <w:rFonts w:ascii="Verdana" w:eastAsiaTheme="minorEastAsia" w:hAnsi="Verdana"/>
          <w:i/>
          <w:iCs/>
          <w:sz w:val="20"/>
          <w:szCs w:val="20"/>
          <w:lang w:val="es-ES"/>
        </w:rPr>
      </w:pPr>
      <w:r w:rsidRPr="00D30523">
        <w:rPr>
          <w:rFonts w:ascii="Verdana" w:eastAsiaTheme="minorEastAsia" w:hAnsi="Verdana"/>
          <w:sz w:val="20"/>
          <w:szCs w:val="20"/>
          <w:lang w:val="es-ES"/>
        </w:rPr>
        <w:t>Y así, dictada la sentencia de fondo en un caso, la Corte solo puede, de conformidad a lo indicado en la Convención:</w:t>
      </w:r>
    </w:p>
    <w:p w14:paraId="36FDEBE8" w14:textId="77777777" w:rsidR="004F0E31" w:rsidRPr="00D30523" w:rsidRDefault="004F0E31" w:rsidP="006475E7">
      <w:pPr>
        <w:pStyle w:val="Prrafodelista"/>
        <w:ind w:left="-850"/>
        <w:rPr>
          <w:rFonts w:ascii="Verdana" w:eastAsiaTheme="minorEastAsia" w:hAnsi="Verdana"/>
          <w:sz w:val="20"/>
          <w:lang w:val="es-ES"/>
        </w:rPr>
      </w:pPr>
    </w:p>
    <w:p w14:paraId="46500164" w14:textId="77777777" w:rsidR="004F0E31" w:rsidRPr="00D30523" w:rsidRDefault="004F0E31" w:rsidP="004F0E31">
      <w:pPr>
        <w:pStyle w:val="Prrafodelista"/>
        <w:numPr>
          <w:ilvl w:val="0"/>
          <w:numId w:val="34"/>
        </w:numPr>
        <w:spacing w:line="276" w:lineRule="auto"/>
        <w:ind w:left="-490" w:right="-567"/>
        <w:jc w:val="both"/>
        <w:rPr>
          <w:rFonts w:ascii="Verdana" w:eastAsiaTheme="minorEastAsia" w:hAnsi="Verdana"/>
          <w:sz w:val="20"/>
          <w:lang w:val="es-ES"/>
        </w:rPr>
      </w:pPr>
      <w:r w:rsidRPr="00D30523">
        <w:rPr>
          <w:rFonts w:ascii="Verdana" w:eastAsiaTheme="minorEastAsia" w:hAnsi="Verdana"/>
          <w:sz w:val="20"/>
          <w:lang w:val="es-ES"/>
        </w:rPr>
        <w:t>interpretarla</w:t>
      </w:r>
      <w:r w:rsidRPr="00D30523">
        <w:rPr>
          <w:rStyle w:val="Refdenotaalpie"/>
          <w:rFonts w:ascii="Verdana" w:eastAsiaTheme="minorEastAsia" w:hAnsi="Verdana"/>
          <w:sz w:val="20"/>
          <w:lang w:val="es-ES"/>
        </w:rPr>
        <w:footnoteReference w:id="43"/>
      </w:r>
      <w:r w:rsidRPr="00D30523">
        <w:rPr>
          <w:rFonts w:ascii="Verdana" w:eastAsiaTheme="minorEastAsia" w:hAnsi="Verdana"/>
          <w:sz w:val="20"/>
          <w:lang w:val="es-ES"/>
        </w:rPr>
        <w:t xml:space="preserve"> y </w:t>
      </w:r>
    </w:p>
    <w:p w14:paraId="06523891" w14:textId="77777777" w:rsidR="004F0E31" w:rsidRPr="00D30523" w:rsidRDefault="004F0E31" w:rsidP="004F0E31">
      <w:pPr>
        <w:pStyle w:val="Prrafodelista"/>
        <w:numPr>
          <w:ilvl w:val="0"/>
          <w:numId w:val="34"/>
        </w:numPr>
        <w:spacing w:line="276" w:lineRule="auto"/>
        <w:ind w:left="-490" w:right="-567"/>
        <w:jc w:val="both"/>
        <w:rPr>
          <w:rFonts w:ascii="Verdana" w:eastAsiaTheme="minorEastAsia" w:hAnsi="Verdana"/>
          <w:sz w:val="20"/>
          <w:lang w:val="es-ES"/>
        </w:rPr>
      </w:pPr>
      <w:r w:rsidRPr="00D30523">
        <w:rPr>
          <w:rFonts w:ascii="Verdana" w:eastAsiaTheme="minorEastAsia" w:hAnsi="Verdana" w:cs="Arial"/>
          <w:sz w:val="20"/>
          <w:lang w:val="es-CR"/>
        </w:rPr>
        <w:t xml:space="preserve">incluir en el Informe Anual que debe remitir a la Asamblea General de la OEA, el caso correspondiente a la sentencia dictada a su respecto </w:t>
      </w:r>
      <w:r>
        <w:rPr>
          <w:rFonts w:ascii="Verdana" w:eastAsiaTheme="minorEastAsia" w:hAnsi="Verdana" w:cs="Arial"/>
          <w:sz w:val="20"/>
          <w:lang w:val="es-CR"/>
        </w:rPr>
        <w:t xml:space="preserve">y que </w:t>
      </w:r>
      <w:r w:rsidRPr="00D30523">
        <w:rPr>
          <w:rFonts w:ascii="Verdana" w:eastAsiaTheme="minorEastAsia" w:hAnsi="Verdana" w:cs="Arial"/>
          <w:sz w:val="20"/>
          <w:lang w:val="es-CR"/>
        </w:rPr>
        <w:t>no ha sido cumplida</w:t>
      </w:r>
      <w:r w:rsidRPr="00D30523">
        <w:rPr>
          <w:rFonts w:ascii="Verdana" w:eastAsiaTheme="minorEastAsia" w:hAnsi="Verdana" w:cs="Arial"/>
          <w:sz w:val="20"/>
          <w:vertAlign w:val="superscript"/>
          <w:lang w:val="es-CR"/>
        </w:rPr>
        <w:footnoteReference w:id="44"/>
      </w:r>
      <w:r w:rsidRPr="00D30523">
        <w:rPr>
          <w:rFonts w:ascii="Verdana" w:eastAsiaTheme="minorEastAsia" w:hAnsi="Verdana" w:cs="Arial"/>
          <w:sz w:val="20"/>
          <w:lang w:val="es-CR"/>
        </w:rPr>
        <w:t>.</w:t>
      </w:r>
    </w:p>
    <w:p w14:paraId="1B50C0FC" w14:textId="77777777" w:rsidR="004F0E31" w:rsidRPr="00D30523" w:rsidRDefault="004F0E31" w:rsidP="006475E7">
      <w:pPr>
        <w:spacing w:after="0"/>
        <w:ind w:left="-850"/>
        <w:jc w:val="both"/>
        <w:rPr>
          <w:rFonts w:ascii="Verdana" w:eastAsiaTheme="minorEastAsia" w:hAnsi="Verdana"/>
          <w:sz w:val="20"/>
          <w:szCs w:val="20"/>
          <w:lang w:val="es-ES"/>
        </w:rPr>
      </w:pPr>
    </w:p>
    <w:p w14:paraId="040840C4" w14:textId="77777777" w:rsidR="004F0E31" w:rsidRPr="00D30523" w:rsidRDefault="004F0E31" w:rsidP="004F0E31">
      <w:pPr>
        <w:pStyle w:val="Prrafodelista"/>
        <w:numPr>
          <w:ilvl w:val="0"/>
          <w:numId w:val="29"/>
        </w:numPr>
        <w:spacing w:line="276" w:lineRule="auto"/>
        <w:ind w:left="-490" w:right="-567"/>
        <w:jc w:val="both"/>
        <w:rPr>
          <w:rFonts w:ascii="Verdana" w:eastAsiaTheme="minorEastAsia" w:hAnsi="Verdana"/>
          <w:i/>
          <w:iCs/>
          <w:sz w:val="20"/>
          <w:lang w:val="es-ES"/>
        </w:rPr>
      </w:pPr>
      <w:r w:rsidRPr="00D30523">
        <w:rPr>
          <w:rFonts w:ascii="Verdana" w:eastAsiaTheme="minorEastAsia" w:hAnsi="Verdana"/>
          <w:sz w:val="20"/>
          <w:lang w:val="es-ES"/>
        </w:rPr>
        <w:t>Además, de acuerdo a las normas reglamentarias, la Corte puede:</w:t>
      </w:r>
    </w:p>
    <w:p w14:paraId="4BA9620A" w14:textId="77777777" w:rsidR="004F0E31" w:rsidRPr="00D30523" w:rsidRDefault="004F0E31" w:rsidP="00EA783B">
      <w:pPr>
        <w:pStyle w:val="Prrafodelista"/>
        <w:spacing w:line="276" w:lineRule="auto"/>
        <w:ind w:left="-850"/>
        <w:jc w:val="both"/>
        <w:rPr>
          <w:rFonts w:ascii="Verdana" w:eastAsiaTheme="minorEastAsia" w:hAnsi="Verdana"/>
          <w:i/>
          <w:iCs/>
          <w:sz w:val="20"/>
          <w:lang w:val="es-ES"/>
        </w:rPr>
      </w:pPr>
    </w:p>
    <w:p w14:paraId="3C22F45F" w14:textId="77777777" w:rsidR="004F0E31" w:rsidRPr="00D30523" w:rsidRDefault="004F0E31" w:rsidP="004F0E31">
      <w:pPr>
        <w:numPr>
          <w:ilvl w:val="0"/>
          <w:numId w:val="30"/>
        </w:numPr>
        <w:spacing w:after="0"/>
        <w:ind w:left="-490" w:right="-567"/>
        <w:contextualSpacing/>
        <w:jc w:val="both"/>
        <w:rPr>
          <w:rFonts w:ascii="Verdana" w:eastAsiaTheme="minorEastAsia" w:hAnsi="Verdana"/>
          <w:i/>
          <w:iCs/>
          <w:sz w:val="20"/>
          <w:szCs w:val="20"/>
          <w:lang w:val="es-ES"/>
        </w:rPr>
      </w:pPr>
      <w:r w:rsidRPr="00D30523">
        <w:rPr>
          <w:rFonts w:ascii="Verdana" w:eastAsiaTheme="minorEastAsia" w:hAnsi="Verdana"/>
          <w:sz w:val="20"/>
          <w:szCs w:val="20"/>
          <w:lang w:val="es-ES"/>
        </w:rPr>
        <w:lastRenderedPageBreak/>
        <w:t>emitir, si no lo ha hecho, la sentencia de reparaciones y costas</w:t>
      </w:r>
      <w:r w:rsidRPr="00D30523">
        <w:rPr>
          <w:rFonts w:ascii="Verdana" w:eastAsiaTheme="minorEastAsia" w:hAnsi="Verdana"/>
          <w:sz w:val="20"/>
          <w:szCs w:val="20"/>
          <w:vertAlign w:val="superscript"/>
          <w:lang w:val="es-ES"/>
        </w:rPr>
        <w:footnoteReference w:id="45"/>
      </w:r>
      <w:r w:rsidRPr="00D30523">
        <w:rPr>
          <w:rFonts w:ascii="Verdana" w:eastAsiaTheme="minorEastAsia" w:hAnsi="Verdana"/>
          <w:sz w:val="20"/>
          <w:szCs w:val="20"/>
          <w:lang w:val="es-ES"/>
        </w:rPr>
        <w:t>;</w:t>
      </w:r>
      <w:r w:rsidRPr="00D30523">
        <w:rPr>
          <w:rFonts w:ascii="Verdana" w:eastAsiaTheme="minorEastAsia" w:hAnsi="Verdana" w:cs="Arial"/>
          <w:sz w:val="20"/>
          <w:szCs w:val="20"/>
          <w:lang w:val="es-CR"/>
        </w:rPr>
        <w:t xml:space="preserve"> </w:t>
      </w:r>
    </w:p>
    <w:p w14:paraId="2405B914" w14:textId="77777777" w:rsidR="004F0E31" w:rsidRPr="00D30523" w:rsidRDefault="004F0E31" w:rsidP="004F0E31">
      <w:pPr>
        <w:numPr>
          <w:ilvl w:val="0"/>
          <w:numId w:val="30"/>
        </w:numPr>
        <w:spacing w:after="0"/>
        <w:ind w:left="-490" w:right="-567"/>
        <w:contextualSpacing/>
        <w:jc w:val="both"/>
        <w:rPr>
          <w:rFonts w:ascii="Verdana" w:eastAsiaTheme="minorEastAsia" w:hAnsi="Verdana"/>
          <w:i/>
          <w:iCs/>
          <w:sz w:val="20"/>
          <w:szCs w:val="20"/>
          <w:lang w:val="es-ES"/>
        </w:rPr>
      </w:pPr>
      <w:r w:rsidRPr="00D30523">
        <w:rPr>
          <w:rFonts w:ascii="Verdana" w:eastAsiaTheme="minorEastAsia" w:hAnsi="Verdana" w:cs="Arial"/>
          <w:sz w:val="20"/>
          <w:szCs w:val="20"/>
          <w:lang w:val="es-CR"/>
        </w:rPr>
        <w:t xml:space="preserve">enmendarla por </w:t>
      </w:r>
      <w:r w:rsidRPr="00D30523">
        <w:rPr>
          <w:rFonts w:ascii="Verdana" w:eastAsiaTheme="minorEastAsia" w:hAnsi="Verdana" w:cs="Arial"/>
          <w:sz w:val="20"/>
          <w:szCs w:val="20"/>
          <w:lang w:val="es-ES"/>
        </w:rPr>
        <w:t xml:space="preserve">errores </w:t>
      </w:r>
      <w:r w:rsidRPr="00D30523">
        <w:rPr>
          <w:rFonts w:ascii="Verdana" w:eastAsiaTheme="minorEastAsia" w:hAnsi="Verdana" w:cs="Arial"/>
          <w:sz w:val="20"/>
          <w:szCs w:val="20"/>
          <w:lang w:val="es-CR"/>
        </w:rPr>
        <w:t>notorios de edición o de cálculo</w:t>
      </w:r>
      <w:r w:rsidRPr="00D30523">
        <w:rPr>
          <w:rFonts w:ascii="Verdana" w:eastAsiaTheme="minorEastAsia" w:hAnsi="Verdana" w:cs="Arial"/>
          <w:sz w:val="20"/>
          <w:szCs w:val="20"/>
          <w:vertAlign w:val="superscript"/>
          <w:lang w:val="es-CR"/>
        </w:rPr>
        <w:footnoteReference w:id="46"/>
      </w:r>
      <w:r w:rsidRPr="00D30523">
        <w:rPr>
          <w:rFonts w:ascii="Verdana" w:eastAsiaTheme="minorEastAsia" w:hAnsi="Verdana" w:cs="Arial"/>
          <w:sz w:val="20"/>
          <w:szCs w:val="20"/>
          <w:lang w:val="es-CR"/>
        </w:rPr>
        <w:t>; y</w:t>
      </w:r>
    </w:p>
    <w:p w14:paraId="0A9A0292" w14:textId="77777777" w:rsidR="004F0E31" w:rsidRPr="00D30523" w:rsidRDefault="004F0E31" w:rsidP="004F0E31">
      <w:pPr>
        <w:numPr>
          <w:ilvl w:val="0"/>
          <w:numId w:val="30"/>
        </w:numPr>
        <w:spacing w:after="0"/>
        <w:ind w:left="-490" w:right="-567"/>
        <w:contextualSpacing/>
        <w:jc w:val="both"/>
        <w:rPr>
          <w:rFonts w:ascii="Verdana" w:eastAsiaTheme="minorEastAsia" w:hAnsi="Verdana"/>
          <w:i/>
          <w:iCs/>
          <w:sz w:val="20"/>
          <w:szCs w:val="20"/>
          <w:lang w:val="es-ES"/>
        </w:rPr>
      </w:pPr>
      <w:r w:rsidRPr="00D30523">
        <w:rPr>
          <w:rFonts w:ascii="Verdana" w:eastAsiaTheme="minorEastAsia" w:hAnsi="Verdana"/>
          <w:sz w:val="20"/>
          <w:szCs w:val="20"/>
          <w:lang w:val="es-ES"/>
        </w:rPr>
        <w:t>supervisar su cumplimiento</w:t>
      </w:r>
      <w:r w:rsidRPr="00D30523">
        <w:rPr>
          <w:rFonts w:ascii="Verdana" w:eastAsiaTheme="minorEastAsia" w:hAnsi="Verdana"/>
          <w:sz w:val="20"/>
          <w:szCs w:val="20"/>
          <w:vertAlign w:val="superscript"/>
          <w:lang w:val="es-ES"/>
        </w:rPr>
        <w:footnoteReference w:id="47"/>
      </w:r>
      <w:r w:rsidRPr="00D30523">
        <w:rPr>
          <w:rFonts w:ascii="Verdana" w:eastAsiaTheme="minorEastAsia" w:hAnsi="Verdana"/>
          <w:sz w:val="20"/>
          <w:szCs w:val="20"/>
          <w:lang w:val="es-ES"/>
        </w:rPr>
        <w:t>.</w:t>
      </w:r>
    </w:p>
    <w:p w14:paraId="51614765" w14:textId="77777777" w:rsidR="004F0E31" w:rsidRPr="00D30523" w:rsidRDefault="004F0E31" w:rsidP="009A5EDB">
      <w:pPr>
        <w:spacing w:after="0"/>
        <w:jc w:val="both"/>
        <w:rPr>
          <w:rFonts w:ascii="Verdana" w:eastAsiaTheme="minorEastAsia" w:hAnsi="Verdana"/>
          <w:sz w:val="20"/>
          <w:szCs w:val="20"/>
          <w:lang w:val="es-ES"/>
        </w:rPr>
      </w:pPr>
    </w:p>
    <w:p w14:paraId="1BFCDBEA"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Se reitera, entonces, que, como se desprende de lo expuesto, las providencias que la Corte puede llevar a cabo o disponer con posterioridad al pronunciamiento de su respectiva sentencia definitiva e inapelable, son expresamente previstas en la normativa aplicable, la que, como es fácil de constatar, no comprende la posibilidad de decretar medidas provisionales en tal eventualidad. En otras palabras, visto que la posibilidad de dictar éstas últimas con relación a un caso en donde ya se ha dictado sentencia definitiva e inapelable no se encuentra contemplada en norma alguna, se debe concluir en que la Corte carece de facultad para proceder en tal sentido.</w:t>
      </w:r>
    </w:p>
    <w:p w14:paraId="4E8D5AE7" w14:textId="77777777" w:rsidR="004F0E31" w:rsidRPr="00D30523" w:rsidRDefault="004F0E31" w:rsidP="009A5EDB">
      <w:pPr>
        <w:spacing w:after="0"/>
        <w:contextualSpacing/>
        <w:jc w:val="both"/>
        <w:rPr>
          <w:rFonts w:ascii="Verdana" w:eastAsiaTheme="minorEastAsia" w:hAnsi="Verdana"/>
          <w:sz w:val="20"/>
          <w:szCs w:val="20"/>
          <w:lang w:val="es-ES"/>
        </w:rPr>
      </w:pPr>
    </w:p>
    <w:p w14:paraId="1FE520EB"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sz w:val="20"/>
          <w:szCs w:val="20"/>
          <w:lang w:val="es-ES"/>
        </w:rPr>
        <w:t xml:space="preserve">En tal perspectiva, la circunstancia de que en las sentencias de la Corte se incluya un punto resolutivo señalando que </w:t>
      </w:r>
      <w:r w:rsidRPr="00D30523">
        <w:rPr>
          <w:rFonts w:ascii="Verdana" w:eastAsiaTheme="minorEastAsia" w:hAnsi="Verdana"/>
          <w:i/>
          <w:iCs/>
          <w:sz w:val="20"/>
          <w:szCs w:val="20"/>
          <w:lang w:val="es-ES"/>
        </w:rPr>
        <w:t>“</w:t>
      </w:r>
      <w:r w:rsidRPr="00D30523">
        <w:rPr>
          <w:rFonts w:ascii="Verdana" w:hAnsi="Verdana"/>
          <w:bCs/>
          <w:i/>
          <w:iCs/>
          <w:sz w:val="20"/>
          <w:szCs w:val="20"/>
          <w:lang w:val="es-CR"/>
        </w:rPr>
        <w:t xml:space="preserve">(l)a Corte supervisará el cumplimiento íntegro de esta Sentencia … y dará por concluido el presente caso una vez que el Estado haya dado cabal cumplimiento a lo dispuesto en la misma”, </w:t>
      </w:r>
      <w:r w:rsidRPr="00D30523">
        <w:rPr>
          <w:rFonts w:ascii="Verdana" w:hAnsi="Verdana"/>
          <w:bCs/>
          <w:sz w:val="20"/>
          <w:szCs w:val="20"/>
          <w:lang w:val="es-CR"/>
        </w:rPr>
        <w:t>no puede ser entendido  como que la Corte sigue conociendo del caso de que se trate, esto es, aplicando e interpretando la Convención a su respecto o, en otros términos, resolviéndolo y dictando otras sentencias al efecto. Lo que dicha frase significa es, en cambio, sencillamente que la Corte supervisará o inspeccionará</w:t>
      </w:r>
      <w:r w:rsidRPr="00D30523">
        <w:rPr>
          <w:rFonts w:ascii="Verdana" w:hAnsi="Verdana"/>
          <w:bCs/>
          <w:sz w:val="20"/>
          <w:szCs w:val="20"/>
          <w:vertAlign w:val="superscript"/>
          <w:lang w:val="es-CR"/>
        </w:rPr>
        <w:footnoteReference w:id="48"/>
      </w:r>
      <w:r w:rsidRPr="00D30523">
        <w:rPr>
          <w:rFonts w:ascii="Verdana" w:hAnsi="Verdana"/>
          <w:bCs/>
          <w:sz w:val="20"/>
          <w:szCs w:val="20"/>
          <w:lang w:val="es-CR"/>
        </w:rPr>
        <w:t xml:space="preserve"> el cumplimiento total del respectivo fallo y que, una vez que éste se haya ejecutado plenamente, cesará dicha supervisión u observación. Nada más.</w:t>
      </w:r>
    </w:p>
    <w:p w14:paraId="342C9869" w14:textId="77777777" w:rsidR="004F0E31" w:rsidRPr="00D30523" w:rsidRDefault="004F0E31" w:rsidP="009A5EDB">
      <w:pPr>
        <w:spacing w:after="0"/>
        <w:contextualSpacing/>
        <w:jc w:val="both"/>
        <w:rPr>
          <w:rFonts w:ascii="Verdana" w:eastAsiaTheme="minorEastAsia" w:hAnsi="Verdana" w:cs="Arial"/>
          <w:sz w:val="20"/>
          <w:szCs w:val="20"/>
          <w:lang w:val="es-CR"/>
        </w:rPr>
      </w:pPr>
    </w:p>
    <w:p w14:paraId="2DDFC119"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CR"/>
        </w:rPr>
        <w:t>A mayor abundamiento y en términos generales, se podría sostener que, de aceptarse que la Corte tendría la facultad de disponer medidas provisionales una vez ya dictada la sentencia definitiva e inapelable, ellas no serían tales, es decir, no estarían limitadas en el tiempo, no serían transitorias, pasajeras, temporales o circunstanciales, que es lo que, en su esencia, las caracteriza. Efectivamente, en tal hipótesis, no habría parámetro que permita determinar la provisionalidad de aquellas, lo que podría conllevar el riesgo de que se transformen, en realidad, en permanentes.</w:t>
      </w:r>
    </w:p>
    <w:p w14:paraId="7BFFA476" w14:textId="77777777" w:rsidR="004F0E31" w:rsidRPr="00D30523" w:rsidRDefault="004F0E31" w:rsidP="009A5EDB">
      <w:pPr>
        <w:spacing w:after="0"/>
        <w:contextualSpacing/>
        <w:jc w:val="both"/>
        <w:rPr>
          <w:rFonts w:ascii="Verdana" w:eastAsiaTheme="minorEastAsia" w:hAnsi="Verdana" w:cs="Arial"/>
          <w:sz w:val="20"/>
          <w:szCs w:val="20"/>
          <w:lang w:val="es-CR"/>
        </w:rPr>
      </w:pPr>
    </w:p>
    <w:p w14:paraId="19552E8B"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CR"/>
        </w:rPr>
        <w:t>Por otra parte, habiendo el juicio ya finalizado por sentencia definitiva e inapelable, de aceptarse que, pese a ello, se pudieren decretar medidas provisionales</w:t>
      </w:r>
      <w:r>
        <w:rPr>
          <w:rFonts w:ascii="Verdana" w:eastAsiaTheme="minorEastAsia" w:hAnsi="Verdana" w:cs="Arial"/>
          <w:sz w:val="20"/>
          <w:szCs w:val="20"/>
          <w:lang w:val="es-CR"/>
        </w:rPr>
        <w:t xml:space="preserve"> vinculadas al correspondiente caso</w:t>
      </w:r>
      <w:r w:rsidRPr="00D30523">
        <w:rPr>
          <w:rFonts w:ascii="Verdana" w:eastAsiaTheme="minorEastAsia" w:hAnsi="Verdana" w:cs="Arial"/>
          <w:sz w:val="20"/>
          <w:szCs w:val="20"/>
          <w:lang w:val="es-CR"/>
        </w:rPr>
        <w:t xml:space="preserve">, significaría </w:t>
      </w:r>
      <w:r w:rsidRPr="00D30523">
        <w:rPr>
          <w:rFonts w:ascii="Verdana" w:eastAsiaTheme="minorEastAsia" w:hAnsi="Verdana" w:cs="Arial"/>
          <w:sz w:val="20"/>
          <w:szCs w:val="20"/>
          <w:lang w:val="es-CR"/>
        </w:rPr>
        <w:lastRenderedPageBreak/>
        <w:t xml:space="preserve">que, en la práctica, </w:t>
      </w:r>
      <w:r>
        <w:rPr>
          <w:rFonts w:ascii="Verdana" w:eastAsiaTheme="minorEastAsia" w:hAnsi="Verdana" w:cs="Arial"/>
          <w:sz w:val="20"/>
          <w:szCs w:val="20"/>
          <w:lang w:val="es-CR"/>
        </w:rPr>
        <w:t>este se</w:t>
      </w:r>
      <w:r w:rsidRPr="00D30523">
        <w:rPr>
          <w:rFonts w:ascii="Verdana" w:eastAsiaTheme="minorEastAsia" w:hAnsi="Verdana" w:cs="Arial"/>
          <w:sz w:val="20"/>
          <w:szCs w:val="20"/>
          <w:lang w:val="es-CR"/>
        </w:rPr>
        <w:t xml:space="preserve"> prolongaría</w:t>
      </w:r>
      <w:r>
        <w:rPr>
          <w:rFonts w:ascii="Verdana" w:eastAsiaTheme="minorEastAsia" w:hAnsi="Verdana" w:cs="Arial"/>
          <w:sz w:val="20"/>
          <w:szCs w:val="20"/>
          <w:lang w:val="es-CR"/>
        </w:rPr>
        <w:t xml:space="preserve"> o eternizaría en la Corte</w:t>
      </w:r>
      <w:r w:rsidRPr="00D30523">
        <w:rPr>
          <w:rFonts w:ascii="Verdana" w:eastAsiaTheme="minorEastAsia" w:hAnsi="Verdana" w:cs="Arial"/>
          <w:sz w:val="20"/>
          <w:szCs w:val="20"/>
          <w:lang w:val="es-CR"/>
        </w:rPr>
        <w:t>, despojando a aquella de su principal efecto, cual es, precisamente el de finalizar</w:t>
      </w:r>
      <w:r>
        <w:rPr>
          <w:rFonts w:ascii="Verdana" w:eastAsiaTheme="minorEastAsia" w:hAnsi="Verdana" w:cs="Arial"/>
          <w:sz w:val="20"/>
          <w:szCs w:val="20"/>
          <w:lang w:val="es-CR"/>
        </w:rPr>
        <w:t>lo</w:t>
      </w:r>
      <w:r w:rsidRPr="00D30523">
        <w:rPr>
          <w:rFonts w:ascii="Verdana" w:eastAsiaTheme="minorEastAsia" w:hAnsi="Verdana" w:cs="Arial"/>
          <w:sz w:val="20"/>
          <w:szCs w:val="20"/>
          <w:lang w:val="es-CR"/>
        </w:rPr>
        <w:t>, otorgándole el efecto de cosa juzgada.</w:t>
      </w:r>
      <w:r w:rsidRPr="00D30523">
        <w:rPr>
          <w:rFonts w:ascii="Verdana" w:eastAsiaTheme="minorEastAsia" w:hAnsi="Verdana" w:cs="Tahoma"/>
          <w:sz w:val="20"/>
          <w:szCs w:val="20"/>
          <w:lang w:val="es-CR"/>
        </w:rPr>
        <w:t xml:space="preserve"> </w:t>
      </w:r>
      <w:r>
        <w:rPr>
          <w:rFonts w:ascii="Verdana" w:eastAsiaTheme="minorEastAsia" w:hAnsi="Verdana" w:cs="Tahoma"/>
          <w:sz w:val="20"/>
          <w:szCs w:val="20"/>
          <w:lang w:val="es-CR"/>
        </w:rPr>
        <w:t xml:space="preserve">Y, adicionalmente, ello </w:t>
      </w:r>
      <w:r w:rsidRPr="00D30523">
        <w:rPr>
          <w:rFonts w:ascii="Verdana" w:eastAsiaTheme="minorEastAsia" w:hAnsi="Verdana" w:cs="Tahoma"/>
          <w:sz w:val="20"/>
          <w:szCs w:val="20"/>
          <w:lang w:val="es-CR"/>
        </w:rPr>
        <w:t xml:space="preserve">sería una demostración indiscutible de que esta última sería insuficiente para lograr que </w:t>
      </w:r>
      <w:r w:rsidRPr="00D30523">
        <w:rPr>
          <w:rFonts w:ascii="Verdana" w:eastAsiaTheme="minorEastAsia" w:hAnsi="Verdana" w:cs="Arial"/>
          <w:sz w:val="20"/>
          <w:szCs w:val="20"/>
          <w:lang w:val="es-CR"/>
        </w:rPr>
        <w:t>“</w:t>
      </w:r>
      <w:r w:rsidRPr="00D30523">
        <w:rPr>
          <w:rFonts w:ascii="Verdana" w:eastAsiaTheme="minorEastAsia" w:hAnsi="Verdana" w:cs="Tahoma"/>
          <w:i/>
          <w:sz w:val="20"/>
          <w:szCs w:val="20"/>
          <w:lang w:val="es-CR"/>
        </w:rPr>
        <w:t>se garantice al lesionado en el goce de su derecho o libertad conculcado</w:t>
      </w:r>
      <w:r w:rsidRPr="00D30523">
        <w:rPr>
          <w:rFonts w:ascii="Verdana" w:eastAsiaTheme="minorEastAsia" w:hAnsi="Verdana" w:cs="Tahoma"/>
          <w:sz w:val="20"/>
          <w:szCs w:val="20"/>
          <w:lang w:val="es-CR"/>
        </w:rPr>
        <w:t>(s)”</w:t>
      </w:r>
      <w:r w:rsidRPr="00D30523">
        <w:rPr>
          <w:rFonts w:ascii="Verdana" w:eastAsiaTheme="minorEastAsia" w:hAnsi="Verdana" w:cs="Tahoma"/>
          <w:sz w:val="20"/>
          <w:szCs w:val="20"/>
          <w:vertAlign w:val="superscript"/>
          <w:lang w:val="es-CR"/>
        </w:rPr>
        <w:footnoteReference w:id="49"/>
      </w:r>
      <w:r w:rsidRPr="00D30523">
        <w:rPr>
          <w:rFonts w:ascii="Verdana" w:eastAsiaTheme="minorEastAsia" w:hAnsi="Verdana" w:cs="Tahoma"/>
          <w:sz w:val="20"/>
          <w:szCs w:val="20"/>
          <w:lang w:val="es-CR"/>
        </w:rPr>
        <w:t>, finalidad de toda sentencia condenatoria pronunciada por la Corte en contra del Estado concernido en el juicio seguido en su contra, lo que, sin duda alguna, iría contra toda lógica.</w:t>
      </w:r>
    </w:p>
    <w:p w14:paraId="73E73EB8" w14:textId="77777777" w:rsidR="004F0E31" w:rsidRPr="00D30523" w:rsidRDefault="004F0E31" w:rsidP="009A5EDB">
      <w:pPr>
        <w:spacing w:after="0"/>
        <w:contextualSpacing/>
        <w:jc w:val="both"/>
        <w:rPr>
          <w:rFonts w:ascii="Verdana" w:eastAsiaTheme="minorEastAsia" w:hAnsi="Verdana" w:cs="Arial"/>
          <w:sz w:val="20"/>
          <w:szCs w:val="20"/>
          <w:lang w:val="es-ES"/>
        </w:rPr>
      </w:pPr>
    </w:p>
    <w:p w14:paraId="095E09D7"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 xml:space="preserve">Igualmente, es evidente que, de aceptarse que procedería requerir y decretar medidas provisionales sobre la base de que en la sentencia en el caso de que se trate, se dispuso la obligación del Estado concernido de dictar, en términos generales, una medida de no repetición de carácter estructural, como sería, por ejemplo, modificar el sistema de salud o de pensiones, resultaría que si ello no aconteciere, la reclamación ante el SIDH sobre el no otorgamiento de un beneficio que se debería derivar de ese nuevo sistema, no sería un nuevo caso, sino la continuación o reapertura del ya fallado, lo que, por ser absurdo, no resiste, pues, mayor comentario.  </w:t>
      </w:r>
    </w:p>
    <w:p w14:paraId="77AC2D48" w14:textId="77777777" w:rsidR="004F0E31" w:rsidRPr="00D30523" w:rsidRDefault="004F0E31" w:rsidP="00EA783B">
      <w:pPr>
        <w:spacing w:after="0"/>
        <w:contextualSpacing/>
        <w:jc w:val="both"/>
        <w:rPr>
          <w:rFonts w:ascii="Verdana" w:eastAsiaTheme="minorEastAsia" w:hAnsi="Verdana" w:cs="Arial"/>
          <w:sz w:val="20"/>
          <w:szCs w:val="20"/>
          <w:lang w:val="es-ES"/>
        </w:rPr>
      </w:pPr>
    </w:p>
    <w:p w14:paraId="23521B7E"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Obviamente, una situación diferente es la que se origina cuando, en la respectiva sentencia, se dispone que el Estado concernido debe adoptar medidas de protección respecto de las personas que señale. En tal eventualidad, el cumplimiento de esas medidas se debe verificar mediante el procedimiento de supervisión de cumplimiento de sentencias y, por ende, no a través del relativo a las medidas provisionales.</w:t>
      </w:r>
    </w:p>
    <w:p w14:paraId="1FF57FD3" w14:textId="77777777" w:rsidR="004F0E31" w:rsidRPr="00D30523" w:rsidRDefault="004F0E31" w:rsidP="009A5EDB">
      <w:pPr>
        <w:pStyle w:val="Prrafodelista"/>
        <w:rPr>
          <w:rFonts w:ascii="Verdana" w:eastAsiaTheme="minorEastAsia" w:hAnsi="Verdana" w:cs="Arial"/>
          <w:sz w:val="20"/>
          <w:lang w:val="es-ES"/>
        </w:rPr>
      </w:pPr>
    </w:p>
    <w:p w14:paraId="28358D55"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 xml:space="preserve">Con relación a lo anterior, es oportuno subrayar que, del total 290 de sentencias que ha dictado la Cortes, 223 se encuentran actualmente bajo el mecanismo de supervisión de cumplimiento de sentencias, por lo que, de aceptarse que, por ende, que los casos a que se refieren estas últimas sentencias se encuentran bajo el conocimiento de la Corte, resultaría que en todos ellos se podrían ordenar medidas provisionales, afectándose así el valor de definitivo e inapelable de las respectivas sentencias y, consecuentemente, el de cosa juzgada.   </w:t>
      </w:r>
    </w:p>
    <w:p w14:paraId="297BBAE4" w14:textId="77777777" w:rsidR="004F0E31" w:rsidRPr="00D30523" w:rsidRDefault="004F0E31" w:rsidP="00EA783B">
      <w:pPr>
        <w:pStyle w:val="Prrafodelista"/>
        <w:rPr>
          <w:rFonts w:ascii="Verdana" w:hAnsi="Verdana"/>
          <w:sz w:val="20"/>
        </w:rPr>
      </w:pPr>
    </w:p>
    <w:p w14:paraId="0ABD7B79" w14:textId="77777777" w:rsidR="004F0E31"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hAnsi="Verdana"/>
          <w:sz w:val="20"/>
          <w:szCs w:val="20"/>
        </w:rPr>
        <w:t xml:space="preserve">Sobre este particular, es necesario tener en cuenta que ambas instituciones tienen distintos objetivos, el de </w:t>
      </w:r>
      <w:r w:rsidRPr="00D30523">
        <w:rPr>
          <w:rFonts w:ascii="Verdana" w:hAnsi="Verdana" w:cs="Tahoma"/>
          <w:color w:val="000000"/>
          <w:sz w:val="20"/>
          <w:szCs w:val="20"/>
        </w:rPr>
        <w:t>evitar daños irreparables a las personas</w:t>
      </w:r>
      <w:r w:rsidRPr="00D30523">
        <w:rPr>
          <w:rFonts w:ascii="Verdana" w:hAnsi="Verdana"/>
          <w:sz w:val="20"/>
          <w:szCs w:val="20"/>
        </w:rPr>
        <w:t xml:space="preserve"> en lo que se refiere a las medidas provisionales</w:t>
      </w:r>
      <w:r w:rsidRPr="00D30523">
        <w:rPr>
          <w:rStyle w:val="Refdenotaalpie"/>
          <w:rFonts w:ascii="Verdana" w:hAnsi="Verdana"/>
          <w:sz w:val="20"/>
          <w:szCs w:val="20"/>
        </w:rPr>
        <w:footnoteReference w:id="50"/>
      </w:r>
      <w:r w:rsidRPr="00D30523">
        <w:rPr>
          <w:rFonts w:ascii="Verdana" w:hAnsi="Verdana" w:cs="Tahoma"/>
          <w:color w:val="000000"/>
          <w:sz w:val="20"/>
          <w:szCs w:val="20"/>
        </w:rPr>
        <w:t>, y el de verificar el cumplimiento de la sentencia en lo relativo a la supervisión de cumplimiento de sentencias</w:t>
      </w:r>
      <w:r w:rsidRPr="00D30523">
        <w:rPr>
          <w:rStyle w:val="Refdenotaalpie"/>
          <w:rFonts w:ascii="Verdana" w:hAnsi="Verdana" w:cs="Tahoma"/>
          <w:color w:val="000000"/>
          <w:sz w:val="20"/>
          <w:szCs w:val="20"/>
        </w:rPr>
        <w:footnoteReference w:id="51"/>
      </w:r>
      <w:r w:rsidRPr="00D30523">
        <w:rPr>
          <w:rFonts w:ascii="Verdana" w:hAnsi="Verdana"/>
          <w:sz w:val="20"/>
          <w:szCs w:val="20"/>
          <w:lang w:val="es-CR"/>
        </w:rPr>
        <w:t>. Del mismo modo, se debe considerar que dichas figuras jurídicas tampoco tienen el mismo procedimiento, consistente, tratándose de las primeras, en solicitar, si se estima posible e indispensable, informe</w:t>
      </w:r>
      <w:r w:rsidRPr="00D30523">
        <w:rPr>
          <w:rFonts w:ascii="Verdana" w:hAnsi="Verdana"/>
          <w:sz w:val="20"/>
          <w:szCs w:val="20"/>
        </w:rPr>
        <w:t>s al Estado demandado, a los beneficiarios y a la Comisión</w:t>
      </w:r>
      <w:r w:rsidRPr="00D30523">
        <w:rPr>
          <w:rFonts w:ascii="Verdana" w:hAnsi="Verdana"/>
          <w:sz w:val="20"/>
          <w:szCs w:val="20"/>
          <w:lang w:val="es-CR"/>
        </w:rPr>
        <w:t xml:space="preserve"> yen siempre requerir dichos informe</w:t>
      </w:r>
      <w:r w:rsidRPr="00D30523">
        <w:rPr>
          <w:rFonts w:ascii="Verdana" w:hAnsi="Verdana"/>
          <w:sz w:val="20"/>
          <w:szCs w:val="20"/>
        </w:rPr>
        <w:t>s</w:t>
      </w:r>
      <w:r w:rsidRPr="00D30523">
        <w:rPr>
          <w:rFonts w:ascii="Verdana" w:hAnsi="Verdana"/>
          <w:sz w:val="20"/>
          <w:szCs w:val="20"/>
          <w:lang w:val="es-CR"/>
        </w:rPr>
        <w:t>, en el evento de la supervisión de cumplimiento de sentencia</w:t>
      </w:r>
      <w:r w:rsidRPr="00D30523">
        <w:rPr>
          <w:rFonts w:ascii="Verdana" w:hAnsi="Verdana"/>
          <w:sz w:val="20"/>
          <w:szCs w:val="20"/>
        </w:rPr>
        <w:t>. Por último, tampoco se debe omitir que las decisiones que pueden adoptar tales instituciones son asimismo diferentes, ordenar las medidas provisionales, en una y determinar el estado de cumplimiento de la sentencia, en la otra.</w:t>
      </w:r>
    </w:p>
    <w:p w14:paraId="22367EBE" w14:textId="77777777" w:rsidR="004F0E31" w:rsidRDefault="004F0E31" w:rsidP="00B433E7">
      <w:pPr>
        <w:pStyle w:val="Prrafodelista"/>
        <w:rPr>
          <w:rFonts w:ascii="Verdana" w:hAnsi="Verdana"/>
          <w:sz w:val="20"/>
        </w:rPr>
      </w:pPr>
    </w:p>
    <w:p w14:paraId="1FA8F1D4" w14:textId="77777777" w:rsidR="004F0E31"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B433E7">
        <w:rPr>
          <w:rFonts w:ascii="Verdana" w:hAnsi="Verdana"/>
          <w:sz w:val="20"/>
          <w:szCs w:val="20"/>
        </w:rPr>
        <w:t xml:space="preserve">Habida cuenta, entonces, de lo recién reseñado, se puede concluir que, no obstante que tanto el cumplimiento de las medias provisionales como la supervisión de cumplimiento de sentencias puedan ser abordadas en una misma audiencia y aún en una misma resolución, no cabe confundirlas.  </w:t>
      </w:r>
      <w:r w:rsidRPr="00B433E7">
        <w:rPr>
          <w:rFonts w:ascii="Verdana" w:hAnsi="Verdana"/>
          <w:sz w:val="20"/>
          <w:szCs w:val="20"/>
          <w:lang w:val="es-CR"/>
        </w:rPr>
        <w:t xml:space="preserve">  </w:t>
      </w:r>
    </w:p>
    <w:p w14:paraId="2F520B56" w14:textId="77777777" w:rsidR="004F0E31" w:rsidRPr="00A56291" w:rsidRDefault="004F0E31" w:rsidP="00A56291">
      <w:pPr>
        <w:spacing w:after="0"/>
        <w:contextualSpacing/>
        <w:jc w:val="both"/>
        <w:rPr>
          <w:rFonts w:ascii="Verdana" w:eastAsiaTheme="minorEastAsia" w:hAnsi="Verdana" w:cs="Arial"/>
          <w:sz w:val="20"/>
          <w:szCs w:val="20"/>
          <w:lang w:val="es-ES"/>
        </w:rPr>
      </w:pPr>
    </w:p>
    <w:p w14:paraId="7989BA5B" w14:textId="77777777" w:rsidR="004F0E31" w:rsidRDefault="004F0E31" w:rsidP="004F0E31">
      <w:pPr>
        <w:numPr>
          <w:ilvl w:val="0"/>
          <w:numId w:val="33"/>
        </w:numPr>
        <w:spacing w:after="0"/>
        <w:ind w:left="-130" w:right="-567"/>
        <w:contextualSpacing/>
        <w:jc w:val="both"/>
        <w:rPr>
          <w:rFonts w:ascii="Verdana" w:eastAsiaTheme="minorEastAsia" w:hAnsi="Verdana" w:cs="Arial"/>
          <w:b/>
          <w:bCs/>
          <w:sz w:val="20"/>
          <w:szCs w:val="20"/>
          <w:lang w:val="es-ES"/>
        </w:rPr>
      </w:pPr>
      <w:r w:rsidRPr="00D30523">
        <w:rPr>
          <w:rFonts w:ascii="Verdana" w:eastAsiaTheme="minorEastAsia" w:hAnsi="Verdana" w:cs="Arial"/>
          <w:b/>
          <w:bCs/>
          <w:sz w:val="20"/>
          <w:szCs w:val="20"/>
          <w:lang w:val="es-ES"/>
        </w:rPr>
        <w:lastRenderedPageBreak/>
        <w:t>FACULTAD DE LA COMISIÓN.</w:t>
      </w:r>
    </w:p>
    <w:p w14:paraId="33BF2647" w14:textId="77777777" w:rsidR="004F0E31" w:rsidRDefault="004F0E31" w:rsidP="00A56291">
      <w:pPr>
        <w:spacing w:after="0"/>
        <w:ind w:left="-130"/>
        <w:contextualSpacing/>
        <w:jc w:val="both"/>
        <w:rPr>
          <w:rFonts w:ascii="Verdana" w:eastAsiaTheme="minorEastAsia" w:hAnsi="Verdana" w:cs="Arial"/>
          <w:b/>
          <w:bCs/>
          <w:sz w:val="20"/>
          <w:szCs w:val="20"/>
          <w:lang w:val="es-ES"/>
        </w:rPr>
      </w:pPr>
    </w:p>
    <w:p w14:paraId="472C36F4" w14:textId="77777777" w:rsidR="004F0E31" w:rsidRPr="00A56291" w:rsidRDefault="004F0E31" w:rsidP="004F0E31">
      <w:pPr>
        <w:pStyle w:val="Prrafodelista"/>
        <w:numPr>
          <w:ilvl w:val="0"/>
          <w:numId w:val="29"/>
        </w:numPr>
        <w:spacing w:line="276" w:lineRule="auto"/>
        <w:ind w:left="-490" w:right="-567"/>
        <w:jc w:val="both"/>
        <w:rPr>
          <w:rFonts w:ascii="Verdana" w:eastAsiaTheme="minorEastAsia" w:hAnsi="Verdana" w:cs="Arial"/>
          <w:b/>
          <w:bCs/>
          <w:sz w:val="20"/>
          <w:lang w:val="es-ES"/>
        </w:rPr>
      </w:pPr>
      <w:r w:rsidRPr="00A56291">
        <w:rPr>
          <w:rFonts w:ascii="Verdana" w:eastAsiaTheme="minorEastAsia" w:hAnsi="Verdana" w:cs="Arial"/>
          <w:sz w:val="20"/>
          <w:lang w:val="es-ES"/>
        </w:rPr>
        <w:t>Habiendo ya manifestado la relevancia de respetar, por parte de la Corte, las normas procesales en materia de derechos humanos y del riesgo si ello no acontece</w:t>
      </w:r>
      <w:r w:rsidRPr="00D30523">
        <w:rPr>
          <w:vertAlign w:val="superscript"/>
          <w:lang w:val="es-ES"/>
        </w:rPr>
        <w:footnoteReference w:id="52"/>
      </w:r>
      <w:r w:rsidRPr="00A56291">
        <w:rPr>
          <w:rFonts w:ascii="Verdana" w:eastAsiaTheme="minorEastAsia" w:hAnsi="Verdana" w:cs="Arial"/>
          <w:sz w:val="20"/>
          <w:lang w:val="es-ES"/>
        </w:rPr>
        <w:t xml:space="preserve">, procede subrayar que ello es especialmente atingente respecto de lo dispuesto en el reproducido artículo 63.2 de la Convención. No acatar lo expresa y directamente señalado por dicha norma, dejaría sin sentido su última frase, a saber, </w:t>
      </w:r>
      <w:r w:rsidRPr="00A56291">
        <w:rPr>
          <w:rFonts w:ascii="Verdana" w:eastAsiaTheme="minorEastAsia" w:hAnsi="Verdana" w:cs="Arial"/>
          <w:i/>
          <w:iCs/>
          <w:sz w:val="20"/>
          <w:lang w:val="es-ES"/>
        </w:rPr>
        <w:t>“(s)</w:t>
      </w:r>
      <w:r w:rsidRPr="00A56291">
        <w:rPr>
          <w:rFonts w:ascii="Verdana" w:hAnsi="Verdana"/>
          <w:i/>
          <w:iCs/>
          <w:sz w:val="20"/>
          <w:lang w:val="es-ES"/>
        </w:rPr>
        <w:t>i</w:t>
      </w:r>
      <w:r w:rsidRPr="00A56291">
        <w:rPr>
          <w:rFonts w:ascii="Verdana" w:hAnsi="Verdana"/>
          <w:i/>
          <w:sz w:val="20"/>
          <w:lang w:val="es-ES"/>
        </w:rPr>
        <w:t xml:space="preserve"> se tratare de asuntos que aún no estén sometidos a su conocimiento, </w:t>
      </w:r>
      <w:r w:rsidRPr="00A56291">
        <w:rPr>
          <w:rFonts w:ascii="Verdana" w:hAnsi="Verdana"/>
          <w:iCs/>
          <w:sz w:val="20"/>
          <w:lang w:val="es-ES"/>
        </w:rPr>
        <w:t>(la Corte)</w:t>
      </w:r>
      <w:r w:rsidRPr="00A56291">
        <w:rPr>
          <w:rFonts w:ascii="Verdana" w:hAnsi="Verdana"/>
          <w:i/>
          <w:sz w:val="20"/>
          <w:lang w:val="es-ES"/>
        </w:rPr>
        <w:t xml:space="preserve"> podrá actuar a solicitud de la Comisión”</w:t>
      </w:r>
      <w:r w:rsidRPr="00A56291">
        <w:rPr>
          <w:rFonts w:ascii="Verdana" w:eastAsiaTheme="minorEastAsia" w:hAnsi="Verdana" w:cs="Arial"/>
          <w:sz w:val="20"/>
          <w:lang w:val="es-ES"/>
        </w:rPr>
        <w:t xml:space="preserve">, puesto que implicaría que en todos los casos en que se haya dictado sentencia, se podría recurrir directamente a aquella, sin intervención de esta última. </w:t>
      </w:r>
    </w:p>
    <w:p w14:paraId="0644FB39" w14:textId="77777777" w:rsidR="004F0E31" w:rsidRPr="00A56291" w:rsidRDefault="004F0E31" w:rsidP="00A56291">
      <w:pPr>
        <w:pStyle w:val="Prrafodelista"/>
        <w:spacing w:line="276" w:lineRule="auto"/>
        <w:ind w:left="-490"/>
        <w:jc w:val="both"/>
        <w:rPr>
          <w:rFonts w:ascii="Verdana" w:eastAsiaTheme="minorEastAsia" w:hAnsi="Verdana" w:cs="Arial"/>
          <w:b/>
          <w:bCs/>
          <w:sz w:val="20"/>
          <w:lang w:val="es-ES"/>
        </w:rPr>
      </w:pPr>
    </w:p>
    <w:p w14:paraId="1F665F40" w14:textId="77777777" w:rsidR="004F0E31" w:rsidRPr="00A56291" w:rsidRDefault="004F0E31" w:rsidP="004F0E31">
      <w:pPr>
        <w:pStyle w:val="Prrafodelista"/>
        <w:numPr>
          <w:ilvl w:val="0"/>
          <w:numId w:val="29"/>
        </w:numPr>
        <w:spacing w:line="276" w:lineRule="auto"/>
        <w:ind w:left="-490" w:right="-567"/>
        <w:jc w:val="both"/>
        <w:rPr>
          <w:rFonts w:ascii="Verdana" w:eastAsiaTheme="minorEastAsia" w:hAnsi="Verdana" w:cs="Arial"/>
          <w:b/>
          <w:bCs/>
          <w:sz w:val="20"/>
          <w:lang w:val="es-ES"/>
        </w:rPr>
      </w:pPr>
      <w:r w:rsidRPr="00A56291">
        <w:rPr>
          <w:rFonts w:ascii="Verdana" w:eastAsiaTheme="minorEastAsia" w:hAnsi="Verdana" w:cs="Arial"/>
          <w:sz w:val="20"/>
          <w:lang w:val="es-ES"/>
        </w:rPr>
        <w:t xml:space="preserve">En efecto, en tal eventualidad, bastaría con señalar alguna vinculación más o menos directa con el caso de que se invoque y que se encuentre sea en supervisión de cumplimiento de sentencia sea con medidas provisionales, para requerir otras o su ampliación y de ese modo, eludir la intervención de la Comisión e incluso, impedir, por ende, que pueda presentar ante la Corte un nuevo caso sobre la base de los hechos sobre los que se sustentaría el citado requerimiento. </w:t>
      </w:r>
    </w:p>
    <w:p w14:paraId="3560CDCD" w14:textId="77777777" w:rsidR="004F0E31" w:rsidRPr="00A56291" w:rsidRDefault="004F0E31" w:rsidP="00A56291">
      <w:pPr>
        <w:pStyle w:val="Prrafodelista"/>
        <w:rPr>
          <w:rFonts w:ascii="Verdana" w:eastAsiaTheme="minorEastAsia" w:hAnsi="Verdana" w:cs="Arial"/>
          <w:sz w:val="20"/>
          <w:lang w:val="es-ES"/>
        </w:rPr>
      </w:pPr>
    </w:p>
    <w:p w14:paraId="5DC40A1D" w14:textId="77777777" w:rsidR="004F0E31" w:rsidRPr="00A56291" w:rsidRDefault="004F0E31" w:rsidP="004F0E31">
      <w:pPr>
        <w:pStyle w:val="Prrafodelista"/>
        <w:numPr>
          <w:ilvl w:val="0"/>
          <w:numId w:val="29"/>
        </w:numPr>
        <w:spacing w:line="276" w:lineRule="auto"/>
        <w:ind w:left="-490" w:right="-567"/>
        <w:jc w:val="both"/>
        <w:rPr>
          <w:rFonts w:ascii="Verdana" w:eastAsiaTheme="minorEastAsia" w:hAnsi="Verdana" w:cs="Arial"/>
          <w:b/>
          <w:bCs/>
          <w:sz w:val="20"/>
          <w:lang w:val="es-ES"/>
        </w:rPr>
      </w:pPr>
      <w:r w:rsidRPr="00A56291">
        <w:rPr>
          <w:rFonts w:ascii="Verdana" w:eastAsiaTheme="minorEastAsia" w:hAnsi="Verdana" w:cs="Arial"/>
          <w:sz w:val="20"/>
          <w:lang w:val="es-ES"/>
        </w:rPr>
        <w:t>Pero, adicionalmente, habría que destacar que la participación de la Comisión se inserta como parte del Sistema Interamericano de Derechos Humanos</w:t>
      </w:r>
      <w:r w:rsidRPr="00D30523">
        <w:rPr>
          <w:vertAlign w:val="superscript"/>
          <w:lang w:val="es-ES"/>
        </w:rPr>
        <w:footnoteReference w:id="53"/>
      </w:r>
      <w:r w:rsidRPr="00A56291">
        <w:rPr>
          <w:rFonts w:ascii="Verdana" w:eastAsiaTheme="minorEastAsia" w:hAnsi="Verdana" w:cs="Arial"/>
          <w:sz w:val="20"/>
          <w:lang w:val="es-ES"/>
        </w:rPr>
        <w:t>, el que fue concebido para que actuara como un todo.</w:t>
      </w:r>
      <w:r w:rsidRPr="00A56291">
        <w:rPr>
          <w:rFonts w:ascii="Verdana" w:hAnsi="Verdana"/>
          <w:sz w:val="20"/>
          <w:lang w:val="es-ES"/>
        </w:rPr>
        <w:t xml:space="preserve"> No de otra manera se explica que la Comisión y la Corte fueran señaladas como los órganos encargados de velar por el cumplimiento de los compromisos asumidos por los Estados Partes de la Convención</w:t>
      </w:r>
      <w:r w:rsidRPr="00D30523">
        <w:rPr>
          <w:vertAlign w:val="superscript"/>
          <w:lang w:val="es-ES"/>
        </w:rPr>
        <w:footnoteReference w:id="54"/>
      </w:r>
      <w:r w:rsidRPr="00A56291">
        <w:rPr>
          <w:rFonts w:ascii="Verdana" w:hAnsi="Verdana"/>
          <w:sz w:val="20"/>
          <w:lang w:val="es-ES"/>
        </w:rPr>
        <w:t>; que la Comisión reciba las peticiones o denuncias por violaciones de la Convención</w:t>
      </w:r>
      <w:r w:rsidRPr="00D30523">
        <w:rPr>
          <w:vertAlign w:val="superscript"/>
          <w:lang w:val="es-ES"/>
        </w:rPr>
        <w:footnoteReference w:id="55"/>
      </w:r>
      <w:r w:rsidRPr="00A56291">
        <w:rPr>
          <w:rFonts w:ascii="Verdana" w:hAnsi="Verdana"/>
          <w:sz w:val="20"/>
          <w:lang w:val="es-ES"/>
        </w:rPr>
        <w:t>, las que pueden devenir en casos si los presenta ante la Corte</w:t>
      </w:r>
      <w:r w:rsidRPr="00D30523">
        <w:rPr>
          <w:vertAlign w:val="superscript"/>
          <w:lang w:val="es-ES"/>
        </w:rPr>
        <w:footnoteReference w:id="56"/>
      </w:r>
      <w:r w:rsidRPr="00A56291">
        <w:rPr>
          <w:rFonts w:ascii="Verdana" w:hAnsi="Verdana"/>
          <w:sz w:val="20"/>
          <w:lang w:val="es-ES"/>
        </w:rPr>
        <w:t>; que deba, si ello acontece, comparecer ante esta última</w:t>
      </w:r>
      <w:r w:rsidRPr="00D30523">
        <w:rPr>
          <w:vertAlign w:val="superscript"/>
          <w:lang w:val="es-ES"/>
        </w:rPr>
        <w:footnoteReference w:id="57"/>
      </w:r>
      <w:r w:rsidRPr="00A56291">
        <w:rPr>
          <w:rFonts w:ascii="Verdana" w:hAnsi="Verdana"/>
          <w:sz w:val="20"/>
          <w:lang w:val="es-ES"/>
        </w:rPr>
        <w:t>; y que la Asamblea General de la Organización de los Estados Americanos sea el órgano encargado de hacer ejecutar la sentencias de la Corte,</w:t>
      </w:r>
      <w:r w:rsidRPr="00D30523">
        <w:rPr>
          <w:vertAlign w:val="superscript"/>
          <w:lang w:val="es-ES"/>
        </w:rPr>
        <w:footnoteReference w:id="58"/>
      </w:r>
      <w:r w:rsidRPr="00A56291">
        <w:rPr>
          <w:rFonts w:ascii="Verdana" w:hAnsi="Verdana"/>
          <w:sz w:val="20"/>
          <w:lang w:val="es-ES"/>
        </w:rPr>
        <w:t xml:space="preserve"> si no lo han hecho los propios Estados partes de las causas en que ellas han sido dictadas</w:t>
      </w:r>
      <w:r w:rsidRPr="00D30523">
        <w:rPr>
          <w:vertAlign w:val="superscript"/>
          <w:lang w:val="es-ES"/>
        </w:rPr>
        <w:footnoteReference w:id="59"/>
      </w:r>
      <w:r w:rsidRPr="00A56291">
        <w:rPr>
          <w:rFonts w:ascii="Verdana" w:hAnsi="Verdana"/>
          <w:sz w:val="20"/>
          <w:lang w:val="es-ES"/>
        </w:rPr>
        <w:t xml:space="preserve">. </w:t>
      </w:r>
    </w:p>
    <w:p w14:paraId="44C4CFCE" w14:textId="77777777" w:rsidR="004F0E31" w:rsidRPr="00D30523" w:rsidRDefault="004F0E31" w:rsidP="00A56291">
      <w:pPr>
        <w:pStyle w:val="Prrafodelista"/>
        <w:ind w:left="-850"/>
        <w:rPr>
          <w:rFonts w:ascii="Verdana" w:eastAsiaTheme="minorEastAsia" w:hAnsi="Verdana" w:cs="Arial"/>
          <w:sz w:val="20"/>
          <w:lang w:val="es-ES"/>
        </w:rPr>
      </w:pPr>
    </w:p>
    <w:p w14:paraId="4D64E06F"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lastRenderedPageBreak/>
        <w:t xml:space="preserve">En esa dirección, se puede sostener que el citado artículo 63.2 de la Convención prevé la intervención de la Comisión por el rol que convencionalmente se le asignó. Efectivamente, en cumplimiento de su función principal de promover y defender los derechos humanos, la Comisión puede, entre otras acciones, formular recomendaciones, preparar estudios e informes, solicitar informes y atender consultas, es decir, dispone de un amplio margen de acción para investigar un asunto presumiblemente violatorio de los derechos humanos y para procurar su pronta cesación, facultades de las que, </w:t>
      </w:r>
      <w:r>
        <w:rPr>
          <w:rFonts w:ascii="Verdana" w:eastAsiaTheme="minorEastAsia" w:hAnsi="Verdana" w:cs="Arial"/>
          <w:sz w:val="20"/>
          <w:szCs w:val="20"/>
          <w:lang w:val="es-ES"/>
        </w:rPr>
        <w:t xml:space="preserve">al menos algunas y en razón de </w:t>
      </w:r>
      <w:r w:rsidRPr="00D30523">
        <w:rPr>
          <w:rFonts w:ascii="Verdana" w:eastAsiaTheme="minorEastAsia" w:hAnsi="Verdana" w:cs="Arial"/>
          <w:sz w:val="20"/>
          <w:szCs w:val="20"/>
          <w:lang w:val="es-ES"/>
        </w:rPr>
        <w:t xml:space="preserve">su propia naturaleza, </w:t>
      </w:r>
      <w:r>
        <w:rPr>
          <w:rFonts w:ascii="Verdana" w:eastAsiaTheme="minorEastAsia" w:hAnsi="Verdana" w:cs="Arial"/>
          <w:sz w:val="20"/>
          <w:szCs w:val="20"/>
          <w:lang w:val="es-ES"/>
        </w:rPr>
        <w:t>la Corte carece</w:t>
      </w:r>
      <w:r w:rsidRPr="00D30523">
        <w:rPr>
          <w:rFonts w:ascii="Verdana" w:eastAsiaTheme="minorEastAsia" w:hAnsi="Verdana" w:cs="Arial"/>
          <w:sz w:val="20"/>
          <w:szCs w:val="20"/>
          <w:lang w:val="es-ES"/>
        </w:rPr>
        <w:t>.</w:t>
      </w:r>
    </w:p>
    <w:p w14:paraId="3202F0EB" w14:textId="77777777" w:rsidR="004F0E31" w:rsidRPr="00D30523" w:rsidRDefault="004F0E31" w:rsidP="00A56291">
      <w:pPr>
        <w:pStyle w:val="Prrafodelista"/>
        <w:ind w:left="-850"/>
        <w:rPr>
          <w:rFonts w:ascii="Verdana" w:eastAsiaTheme="minorEastAsia" w:hAnsi="Verdana" w:cs="Arial"/>
          <w:sz w:val="20"/>
          <w:lang w:val="es-ES"/>
        </w:rPr>
      </w:pPr>
    </w:p>
    <w:p w14:paraId="35E1451B"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Pero, la Comisión también dicta medidas cautelares, institución que obedece a similares condiciones y que tiene semejante objetivo</w:t>
      </w:r>
      <w:r>
        <w:rPr>
          <w:rFonts w:ascii="Verdana" w:eastAsiaTheme="minorEastAsia" w:hAnsi="Verdana" w:cs="Arial"/>
          <w:sz w:val="20"/>
          <w:szCs w:val="20"/>
          <w:vertAlign w:val="superscript"/>
          <w:lang w:val="es-ES"/>
        </w:rPr>
        <w:t xml:space="preserve"> </w:t>
      </w:r>
      <w:r w:rsidRPr="00D30523">
        <w:rPr>
          <w:rFonts w:ascii="Verdana" w:eastAsiaTheme="minorEastAsia" w:hAnsi="Verdana" w:cs="Arial"/>
          <w:sz w:val="20"/>
          <w:szCs w:val="20"/>
          <w:lang w:val="es-ES"/>
        </w:rPr>
        <w:t xml:space="preserve">que las medidas provisionales que puede decretar la Corte, respecto de las que, a diferencia de aquellas, no hay discusión, por estar previstas en la propia Convención, en cuanto a su obligatorio cumplimiento por parte de los Estados americanos que han aceptado su competencia. </w:t>
      </w:r>
    </w:p>
    <w:p w14:paraId="1E24FF91" w14:textId="77777777" w:rsidR="004F0E31" w:rsidRPr="00D30523" w:rsidRDefault="004F0E31" w:rsidP="00A56291">
      <w:pPr>
        <w:pStyle w:val="Prrafodelista"/>
        <w:ind w:left="-850"/>
        <w:rPr>
          <w:rFonts w:ascii="Verdana" w:eastAsiaTheme="minorEastAsia" w:hAnsi="Verdana" w:cs="Arial"/>
          <w:sz w:val="20"/>
          <w:lang w:val="es-ES"/>
        </w:rPr>
      </w:pPr>
    </w:p>
    <w:p w14:paraId="0C6D2097"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Más y tal como ya se expresó, la Comisión puede requerir a la Corte la adopción de medidas provisionales. Efectivamente, el artículo 76 del Reglamento de la Comisión, evidentemente, en atención a la última frase del artículo 63.2 de la Convención, establece:</w:t>
      </w:r>
    </w:p>
    <w:p w14:paraId="5187FC33" w14:textId="77777777" w:rsidR="004F0E31" w:rsidRPr="00D30523" w:rsidRDefault="004F0E31" w:rsidP="00F86570">
      <w:pPr>
        <w:spacing w:after="0"/>
        <w:ind w:left="-850"/>
        <w:contextualSpacing/>
        <w:jc w:val="both"/>
        <w:rPr>
          <w:rFonts w:ascii="Verdana" w:eastAsia="Times New Roman" w:hAnsi="Verdana" w:cs="Tahoma"/>
          <w:color w:val="333333"/>
          <w:sz w:val="20"/>
          <w:szCs w:val="20"/>
          <w:lang w:val="es-CR" w:eastAsia="es-CR"/>
        </w:rPr>
      </w:pPr>
    </w:p>
    <w:p w14:paraId="68E304F8" w14:textId="77777777" w:rsidR="004F0E31" w:rsidRPr="00823589" w:rsidRDefault="004F0E31" w:rsidP="00F86570">
      <w:pPr>
        <w:spacing w:after="0"/>
        <w:ind w:left="-283"/>
        <w:contextualSpacing/>
        <w:jc w:val="both"/>
        <w:rPr>
          <w:rFonts w:ascii="Verdana" w:eastAsia="Times New Roman" w:hAnsi="Verdana" w:cs="Tahoma"/>
          <w:i/>
          <w:iCs/>
          <w:color w:val="333333"/>
          <w:sz w:val="18"/>
          <w:szCs w:val="18"/>
          <w:lang w:val="es-CR" w:eastAsia="es-CR"/>
        </w:rPr>
      </w:pPr>
      <w:r w:rsidRPr="00823589">
        <w:rPr>
          <w:rFonts w:ascii="Verdana" w:eastAsia="Times New Roman" w:hAnsi="Verdana" w:cs="Tahoma"/>
          <w:color w:val="333333"/>
          <w:sz w:val="18"/>
          <w:szCs w:val="18"/>
          <w:lang w:val="es-CR" w:eastAsia="es-CR"/>
        </w:rPr>
        <w:t>“</w:t>
      </w:r>
      <w:r w:rsidRPr="00823589">
        <w:rPr>
          <w:rFonts w:ascii="Verdana" w:eastAsia="Times New Roman" w:hAnsi="Verdana" w:cs="Tahoma"/>
          <w:i/>
          <w:iCs/>
          <w:color w:val="333333"/>
          <w:sz w:val="18"/>
          <w:szCs w:val="18"/>
          <w:lang w:val="es-CR" w:eastAsia="es-CR"/>
        </w:rPr>
        <w:t>1. La Comisión podrá solicitar medidas provisionales a la Corte en situaciones de extrema gravedad y urgencia cuando se haga necesario para evitar daños irreparables a las personas. Al tomar esta decisión, la Comisión considerara la posición de los beneficiarios o sus representantes.</w:t>
      </w:r>
    </w:p>
    <w:p w14:paraId="68429321" w14:textId="77777777" w:rsidR="004F0E31" w:rsidRPr="00823589" w:rsidRDefault="004F0E31" w:rsidP="00F86570">
      <w:pPr>
        <w:spacing w:after="0"/>
        <w:ind w:left="-283"/>
        <w:contextualSpacing/>
        <w:jc w:val="both"/>
        <w:rPr>
          <w:rFonts w:ascii="Verdana" w:eastAsia="Times New Roman" w:hAnsi="Verdana" w:cs="Tahoma"/>
          <w:i/>
          <w:iCs/>
          <w:color w:val="333333"/>
          <w:sz w:val="18"/>
          <w:szCs w:val="18"/>
          <w:lang w:val="es-CR" w:eastAsia="es-CR"/>
        </w:rPr>
      </w:pPr>
      <w:r w:rsidRPr="00823589">
        <w:rPr>
          <w:rFonts w:ascii="Verdana" w:eastAsia="Times New Roman" w:hAnsi="Verdana" w:cs="Tahoma"/>
          <w:i/>
          <w:iCs/>
          <w:color w:val="333333"/>
          <w:sz w:val="18"/>
          <w:szCs w:val="18"/>
          <w:lang w:val="es-CR" w:eastAsia="es-CR"/>
        </w:rPr>
        <w:t>2. La Comisión considerará los siguientes criterios para presentar la solicitud de medidas provisionales:</w:t>
      </w:r>
    </w:p>
    <w:p w14:paraId="5D134E8D" w14:textId="77777777" w:rsidR="004F0E31" w:rsidRPr="00823589" w:rsidRDefault="004F0E31" w:rsidP="00F86570">
      <w:pPr>
        <w:spacing w:after="0"/>
        <w:ind w:left="-283"/>
        <w:contextualSpacing/>
        <w:jc w:val="both"/>
        <w:rPr>
          <w:rFonts w:ascii="Verdana" w:eastAsia="Times New Roman" w:hAnsi="Verdana" w:cs="Tahoma"/>
          <w:i/>
          <w:iCs/>
          <w:color w:val="333333"/>
          <w:sz w:val="18"/>
          <w:szCs w:val="18"/>
          <w:lang w:val="es-CR" w:eastAsia="es-CR"/>
        </w:rPr>
      </w:pPr>
      <w:r w:rsidRPr="00823589">
        <w:rPr>
          <w:rFonts w:ascii="Verdana" w:eastAsia="Times New Roman" w:hAnsi="Verdana" w:cs="Tahoma"/>
          <w:i/>
          <w:iCs/>
          <w:color w:val="333333"/>
          <w:sz w:val="18"/>
          <w:szCs w:val="18"/>
          <w:lang w:val="es-CR" w:eastAsia="es-CR"/>
        </w:rPr>
        <w:t>a. cuando el Estado concernido no haya implementado las medidas cautelares otorgadas por la Comisión;</w:t>
      </w:r>
    </w:p>
    <w:p w14:paraId="48B950D6" w14:textId="77777777" w:rsidR="004F0E31" w:rsidRPr="00823589" w:rsidRDefault="004F0E31" w:rsidP="00F86570">
      <w:pPr>
        <w:spacing w:after="0"/>
        <w:ind w:left="-283"/>
        <w:contextualSpacing/>
        <w:jc w:val="both"/>
        <w:rPr>
          <w:rFonts w:ascii="Verdana" w:eastAsia="Times New Roman" w:hAnsi="Verdana" w:cs="Tahoma"/>
          <w:i/>
          <w:iCs/>
          <w:color w:val="333333"/>
          <w:sz w:val="18"/>
          <w:szCs w:val="18"/>
          <w:lang w:val="es-CR" w:eastAsia="es-CR"/>
        </w:rPr>
      </w:pPr>
      <w:r w:rsidRPr="00823589">
        <w:rPr>
          <w:rFonts w:ascii="Verdana" w:eastAsia="Times New Roman" w:hAnsi="Verdana" w:cs="Tahoma"/>
          <w:i/>
          <w:iCs/>
          <w:color w:val="333333"/>
          <w:sz w:val="18"/>
          <w:szCs w:val="18"/>
          <w:lang w:val="es-CR" w:eastAsia="es-CR"/>
        </w:rPr>
        <w:t>b. cuando las medidas cautelares no hayan sido eficaces;</w:t>
      </w:r>
    </w:p>
    <w:p w14:paraId="085F04E0" w14:textId="77777777" w:rsidR="004F0E31" w:rsidRPr="00823589" w:rsidRDefault="004F0E31" w:rsidP="00F86570">
      <w:pPr>
        <w:spacing w:after="0"/>
        <w:ind w:left="-283"/>
        <w:contextualSpacing/>
        <w:jc w:val="both"/>
        <w:rPr>
          <w:rFonts w:ascii="Verdana" w:eastAsia="Times New Roman" w:hAnsi="Verdana" w:cs="Tahoma"/>
          <w:i/>
          <w:iCs/>
          <w:color w:val="333333"/>
          <w:sz w:val="18"/>
          <w:szCs w:val="18"/>
          <w:lang w:val="es-CR" w:eastAsia="es-CR"/>
        </w:rPr>
      </w:pPr>
      <w:r w:rsidRPr="00823589">
        <w:rPr>
          <w:rFonts w:ascii="Verdana" w:eastAsia="Times New Roman" w:hAnsi="Verdana" w:cs="Tahoma"/>
          <w:i/>
          <w:iCs/>
          <w:color w:val="333333"/>
          <w:sz w:val="18"/>
          <w:szCs w:val="18"/>
          <w:lang w:val="es-CR" w:eastAsia="es-CR"/>
        </w:rPr>
        <w:t>c. cuando exista una medida cautelar conectada a un caso sometido a la jurisdicción de la Corte;</w:t>
      </w:r>
    </w:p>
    <w:p w14:paraId="404AC4C4" w14:textId="77777777" w:rsidR="004F0E31" w:rsidRPr="00D30523" w:rsidRDefault="004F0E31" w:rsidP="00F86570">
      <w:pPr>
        <w:spacing w:after="0"/>
        <w:ind w:left="-283"/>
        <w:contextualSpacing/>
        <w:jc w:val="both"/>
        <w:rPr>
          <w:rFonts w:ascii="Verdana" w:eastAsia="Times New Roman" w:hAnsi="Verdana" w:cs="Tahoma"/>
          <w:i/>
          <w:iCs/>
          <w:color w:val="333333"/>
          <w:sz w:val="20"/>
          <w:szCs w:val="20"/>
          <w:lang w:val="es-CR" w:eastAsia="es-CR"/>
        </w:rPr>
      </w:pPr>
      <w:r w:rsidRPr="00823589">
        <w:rPr>
          <w:rFonts w:ascii="Verdana" w:eastAsia="Times New Roman" w:hAnsi="Verdana" w:cs="Tahoma"/>
          <w:i/>
          <w:iCs/>
          <w:color w:val="333333"/>
          <w:sz w:val="18"/>
          <w:szCs w:val="18"/>
          <w:lang w:val="es-CR" w:eastAsia="es-CR"/>
        </w:rPr>
        <w:t>d. cuando la Comisión lo estime pertinente al mejor efecto de las medidas solicitadas, para lo cual fundamentará sus motivos.”</w:t>
      </w:r>
    </w:p>
    <w:p w14:paraId="0F6B604F" w14:textId="77777777" w:rsidR="004F0E31" w:rsidRPr="00D30523" w:rsidRDefault="004F0E31" w:rsidP="00F86570">
      <w:pPr>
        <w:spacing w:after="0"/>
        <w:ind w:left="-850"/>
        <w:contextualSpacing/>
        <w:jc w:val="both"/>
        <w:rPr>
          <w:rFonts w:ascii="Verdana" w:eastAsia="Times New Roman" w:hAnsi="Verdana" w:cs="Tahoma"/>
          <w:i/>
          <w:iCs/>
          <w:color w:val="333333"/>
          <w:sz w:val="20"/>
          <w:szCs w:val="20"/>
          <w:lang w:val="es-CR" w:eastAsia="es-CR"/>
        </w:rPr>
      </w:pPr>
    </w:p>
    <w:p w14:paraId="255A66A8" w14:textId="77777777" w:rsidR="004F0E31" w:rsidRPr="00D30523" w:rsidRDefault="004F0E31" w:rsidP="00F86570">
      <w:pPr>
        <w:spacing w:after="0"/>
        <w:ind w:left="-850"/>
        <w:contextualSpacing/>
        <w:jc w:val="both"/>
        <w:rPr>
          <w:rFonts w:ascii="Verdana" w:eastAsia="Times New Roman" w:hAnsi="Verdana" w:cs="Tahoma"/>
          <w:i/>
          <w:iCs/>
          <w:color w:val="333333"/>
          <w:sz w:val="20"/>
          <w:szCs w:val="20"/>
          <w:lang w:val="es-CR" w:eastAsia="es-CR"/>
        </w:rPr>
      </w:pPr>
      <w:r w:rsidRPr="00D30523">
        <w:rPr>
          <w:rFonts w:ascii="Verdana" w:eastAsiaTheme="minorEastAsia" w:hAnsi="Verdana" w:cs="Arial"/>
          <w:sz w:val="20"/>
          <w:szCs w:val="20"/>
          <w:lang w:val="es-ES"/>
        </w:rPr>
        <w:t xml:space="preserve">38. Como se puede colegir del numeral 2 del recién transcrito texto, el requerimiento por parte de la Comisión de medidas provisionales procede, en especial, aunque no exclusivamente, cuando las medidas cautelares no hayan sido acatadas o no fuesen eficaces o tengan relación con un caso en conocimiento de la Corte. Así, pues, las medidas provisionales, serían, en tales eventualidades, una clara expresión </w:t>
      </w:r>
      <w:r w:rsidRPr="00D30523">
        <w:rPr>
          <w:rFonts w:ascii="Verdana" w:hAnsi="Verdana"/>
          <w:sz w:val="20"/>
          <w:szCs w:val="20"/>
          <w:lang w:val="es-ES"/>
        </w:rPr>
        <w:t>de la naturaleza convencional coadyuvante o complementaria que tiene la protección internacional de los derechos humanos respecto de la que ofrece el derecho interno de los Estados americanos</w:t>
      </w:r>
      <w:r w:rsidRPr="00D30523">
        <w:rPr>
          <w:rFonts w:ascii="Verdana" w:hAnsi="Verdana"/>
          <w:sz w:val="20"/>
          <w:szCs w:val="20"/>
          <w:vertAlign w:val="superscript"/>
          <w:lang w:val="es-ES"/>
        </w:rPr>
        <w:footnoteReference w:id="60"/>
      </w:r>
      <w:r w:rsidRPr="00D30523">
        <w:rPr>
          <w:rFonts w:ascii="Verdana" w:hAnsi="Verdana"/>
          <w:i/>
          <w:iCs/>
          <w:sz w:val="20"/>
          <w:szCs w:val="20"/>
          <w:lang w:val="es-ES"/>
        </w:rPr>
        <w:t>.</w:t>
      </w:r>
    </w:p>
    <w:p w14:paraId="1820F81A" w14:textId="77777777" w:rsidR="004F0E31" w:rsidRPr="00D30523" w:rsidRDefault="004F0E31" w:rsidP="00F86570">
      <w:pPr>
        <w:spacing w:after="0"/>
        <w:ind w:left="-850"/>
        <w:contextualSpacing/>
        <w:jc w:val="both"/>
        <w:rPr>
          <w:rFonts w:ascii="Verdana" w:hAnsi="Verdana"/>
          <w:sz w:val="20"/>
          <w:szCs w:val="20"/>
        </w:rPr>
      </w:pPr>
    </w:p>
    <w:p w14:paraId="43DAB258"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lang w:val="es-ES"/>
        </w:rPr>
        <w:t>Efectivamente,</w:t>
      </w:r>
      <w:r w:rsidRPr="00D30523">
        <w:rPr>
          <w:rFonts w:ascii="Verdana" w:hAnsi="Verdana"/>
          <w:i/>
          <w:iCs/>
          <w:sz w:val="20"/>
          <w:szCs w:val="20"/>
          <w:lang w:val="es-ES"/>
        </w:rPr>
        <w:t xml:space="preserve"> </w:t>
      </w:r>
      <w:r w:rsidRPr="00D30523">
        <w:rPr>
          <w:rFonts w:ascii="Verdana" w:hAnsi="Verdana"/>
          <w:sz w:val="20"/>
          <w:szCs w:val="20"/>
        </w:rPr>
        <w:t>la Comisión, al solicitar</w:t>
      </w:r>
      <w:r>
        <w:rPr>
          <w:rFonts w:ascii="Verdana" w:hAnsi="Verdana"/>
          <w:sz w:val="20"/>
          <w:szCs w:val="20"/>
        </w:rPr>
        <w:t xml:space="preserve"> </w:t>
      </w:r>
      <w:r w:rsidRPr="00D30523">
        <w:rPr>
          <w:rFonts w:ascii="Verdana" w:hAnsi="Verdana"/>
          <w:sz w:val="20"/>
          <w:szCs w:val="20"/>
        </w:rPr>
        <w:t>las</w:t>
      </w:r>
      <w:r>
        <w:rPr>
          <w:rFonts w:ascii="Verdana" w:hAnsi="Verdana"/>
          <w:sz w:val="20"/>
          <w:szCs w:val="20"/>
        </w:rPr>
        <w:t xml:space="preserve"> medidas provisionales</w:t>
      </w:r>
      <w:r w:rsidRPr="00D30523">
        <w:rPr>
          <w:rFonts w:ascii="Verdana" w:hAnsi="Verdana"/>
          <w:sz w:val="20"/>
          <w:szCs w:val="20"/>
        </w:rPr>
        <w:t xml:space="preserve"> en razón de las señaladas eventualidades, demanda, en definitiva, la protección internacional de la Corte en razón de la carencia demostrada por el derecho interno del respectivo Estado en cuanto a la aplicación y eficacia de las dispuestas medidas cautelares. Y ello es más evidente aún en lo concerniente al criterio</w:t>
      </w:r>
      <w:r w:rsidRPr="00D30523">
        <w:rPr>
          <w:rFonts w:ascii="Verdana" w:eastAsia="Times New Roman" w:hAnsi="Verdana" w:cs="Tahoma"/>
          <w:color w:val="333333"/>
          <w:sz w:val="20"/>
          <w:szCs w:val="20"/>
          <w:lang w:val="es-CR" w:eastAsia="es-CR"/>
        </w:rPr>
        <w:t xml:space="preserve"> indicado en la transcrita norma reglamentaria, referido a la existencia de una medida cautelar conectada a un caso sometido a la jurisdicción de la Corte, pues allí se estaría aceptando que ya está actuando la jurisdicción internacional con alcance obligatorio.</w:t>
      </w:r>
    </w:p>
    <w:p w14:paraId="37F8BCF3" w14:textId="77777777" w:rsidR="004F0E31" w:rsidRPr="00D30523" w:rsidRDefault="004F0E31" w:rsidP="00F86570">
      <w:pPr>
        <w:spacing w:after="0"/>
        <w:ind w:left="-850"/>
        <w:contextualSpacing/>
        <w:jc w:val="both"/>
        <w:rPr>
          <w:rFonts w:ascii="Verdana" w:hAnsi="Verdana"/>
          <w:sz w:val="20"/>
          <w:szCs w:val="20"/>
        </w:rPr>
      </w:pPr>
    </w:p>
    <w:p w14:paraId="5C758E18"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lastRenderedPageBreak/>
        <w:t xml:space="preserve">A lo señalado, habría que adicionar que la respuesta que pueda dar la Comisión a la consulta que le formule la Corte respecto de una petición de medidas provisionales directamente efectuada por una persona, no representa ni sustituye al ejercicio de la facultad privativa de la primera contemplada en la última frase del artículo 63.1 de la Convención, es decir, de solicitar, cuando lo estime necesario, dichas medidas en los asuntos </w:t>
      </w:r>
      <w:r w:rsidRPr="00D30523">
        <w:rPr>
          <w:rFonts w:ascii="Verdana" w:hAnsi="Verdana" w:cs="Tahoma"/>
          <w:color w:val="000000"/>
          <w:sz w:val="20"/>
          <w:szCs w:val="20"/>
        </w:rPr>
        <w:t>que aún no estén sometidos a conocimiento</w:t>
      </w:r>
      <w:r w:rsidRPr="00D30523">
        <w:rPr>
          <w:rFonts w:ascii="Verdana" w:hAnsi="Verdana"/>
          <w:sz w:val="20"/>
          <w:szCs w:val="20"/>
        </w:rPr>
        <w:t xml:space="preserve"> de la Corte.</w:t>
      </w:r>
    </w:p>
    <w:p w14:paraId="24D90410" w14:textId="77777777" w:rsidR="004F0E31" w:rsidRPr="00D30523" w:rsidRDefault="004F0E31" w:rsidP="008A2CEB">
      <w:pPr>
        <w:spacing w:after="0"/>
        <w:ind w:left="-850"/>
        <w:contextualSpacing/>
        <w:jc w:val="both"/>
        <w:rPr>
          <w:rFonts w:ascii="Verdana" w:hAnsi="Verdana"/>
          <w:sz w:val="20"/>
          <w:szCs w:val="20"/>
        </w:rPr>
      </w:pPr>
    </w:p>
    <w:p w14:paraId="347DAF62"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 xml:space="preserve">En este orden de ideas, procede llamar la atención acerca de que la petición de medidas previsionales ante la Corte en el marco de un asunto aún no sometido a su conocimiento, no le impide a la Comisión </w:t>
      </w:r>
      <w:r w:rsidRPr="00D30523">
        <w:rPr>
          <w:rFonts w:ascii="Verdana" w:hAnsi="Verdana"/>
          <w:sz w:val="20"/>
          <w:szCs w:val="20"/>
          <w:lang w:val="es-ES"/>
        </w:rPr>
        <w:t>someter posteriormente a conocimiento de aquella, el caso correspondiente. Tampoco está obligada a hacerlo. Todo lo cual demuestra que la solicitud de medidas provisionales en los asuntos que no estén en conocimiento de la Corte, es una facultad exclusiva de la Comisión y, por ende, no susceptible de ser ejercida por nadie más.</w:t>
      </w:r>
    </w:p>
    <w:p w14:paraId="54BE06B6" w14:textId="77777777" w:rsidR="004F0E31" w:rsidRPr="00D30523" w:rsidRDefault="004F0E31" w:rsidP="00A56291">
      <w:pPr>
        <w:spacing w:after="0"/>
        <w:ind w:left="-850"/>
        <w:contextualSpacing/>
        <w:jc w:val="both"/>
        <w:rPr>
          <w:rFonts w:ascii="Verdana" w:hAnsi="Verdana"/>
          <w:sz w:val="20"/>
          <w:szCs w:val="20"/>
          <w:lang w:val="es-ES"/>
        </w:rPr>
      </w:pPr>
    </w:p>
    <w:p w14:paraId="1914523B"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lang w:val="es-ES"/>
        </w:rPr>
        <w:t xml:space="preserve">Asimismo, habría que considerar que, de aceptarse que la Corte dispusiera de medidas provisionales en un asunto no sometido a su conocimiento y que no hayan sido solicitadas por la Comisión, importaría que aquella procedería, por lo general, sobre la base de menos o más débiles antecedentes que los que consideraría para disponerlas en un caso que se encuentre bajo su conocimiento, puesto que no tendría en cuenta la efectiva comprobación de los hechos en que se funda, por parte de ella misma, como acontece cuando el caso se encuentra bajo su conocimiento, o de la Comisión, cuando no está sometido a su conocimiento.  </w:t>
      </w:r>
    </w:p>
    <w:p w14:paraId="3BA35A4E" w14:textId="77777777" w:rsidR="004F0E31" w:rsidRPr="00D30523" w:rsidRDefault="004F0E31" w:rsidP="00A56291">
      <w:pPr>
        <w:spacing w:after="0"/>
        <w:ind w:left="-850"/>
        <w:contextualSpacing/>
        <w:jc w:val="both"/>
        <w:rPr>
          <w:rFonts w:ascii="Verdana" w:hAnsi="Verdana"/>
          <w:b/>
          <w:bCs/>
          <w:sz w:val="20"/>
          <w:szCs w:val="20"/>
        </w:rPr>
      </w:pPr>
    </w:p>
    <w:p w14:paraId="04CC3702"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De manera, en consecuencia, que lo prescrito en el artículo 63.2 de la Convención debe ser interpretado también acorde al contexto de los términos de ella</w:t>
      </w:r>
      <w:r w:rsidRPr="00D30523">
        <w:rPr>
          <w:rStyle w:val="Refdenotaalpie"/>
          <w:rFonts w:ascii="Verdana" w:hAnsi="Verdana"/>
          <w:sz w:val="20"/>
          <w:szCs w:val="20"/>
        </w:rPr>
        <w:footnoteReference w:id="61"/>
      </w:r>
      <w:r w:rsidRPr="00D30523">
        <w:rPr>
          <w:rFonts w:ascii="Verdana" w:hAnsi="Verdana"/>
          <w:sz w:val="20"/>
          <w:szCs w:val="20"/>
        </w:rPr>
        <w:t xml:space="preserve">, lo que significa que la intervención </w:t>
      </w:r>
      <w:r>
        <w:rPr>
          <w:rFonts w:ascii="Verdana" w:hAnsi="Verdana"/>
          <w:sz w:val="20"/>
          <w:szCs w:val="20"/>
        </w:rPr>
        <w:t>de</w:t>
      </w:r>
      <w:r w:rsidRPr="00D30523">
        <w:rPr>
          <w:rFonts w:ascii="Verdana" w:hAnsi="Verdana"/>
          <w:sz w:val="20"/>
          <w:szCs w:val="20"/>
        </w:rPr>
        <w:t xml:space="preserve"> la Comisión en lo referente a las medidas provisionales forma parte del engranaje o mecanismo previsto por la Convención como integrante del SIDH, el que, por tanto, requiere que haya adecuada articulación o coordinación entre sus partes. Por lo mismo, decretar medidas provisionales que, en último término, avalen que se soslaye la convencionalmente prevista intervención de la Comisión, se afecta negativamente al SIDH en su conjunto. Y eso ocurre cuando precisamente se le resta relevancia a la última frase del artículo 63.2 de la Convención y se elude su aplicación.</w:t>
      </w:r>
      <w:r w:rsidRPr="00D30523">
        <w:rPr>
          <w:rFonts w:ascii="Verdana" w:eastAsiaTheme="minorEastAsia" w:hAnsi="Verdana" w:cs="Tahoma"/>
          <w:sz w:val="20"/>
          <w:szCs w:val="20"/>
          <w:lang w:val="es-CR"/>
        </w:rPr>
        <w:t xml:space="preserve"> </w:t>
      </w:r>
    </w:p>
    <w:bookmarkEnd w:id="3"/>
    <w:p w14:paraId="296704F2" w14:textId="77777777" w:rsidR="004F0E31" w:rsidRPr="00D30523" w:rsidRDefault="004F0E31" w:rsidP="00F86570">
      <w:pPr>
        <w:spacing w:after="0"/>
        <w:contextualSpacing/>
        <w:jc w:val="both"/>
        <w:rPr>
          <w:rFonts w:ascii="Verdana" w:eastAsiaTheme="minorEastAsia" w:hAnsi="Verdana" w:cs="Arial"/>
          <w:sz w:val="20"/>
          <w:szCs w:val="20"/>
          <w:lang w:val="es-ES"/>
        </w:rPr>
      </w:pPr>
    </w:p>
    <w:p w14:paraId="70357ABF" w14:textId="77777777" w:rsidR="004F0E31" w:rsidRPr="00D30523" w:rsidRDefault="004F0E31" w:rsidP="004F0E31">
      <w:pPr>
        <w:numPr>
          <w:ilvl w:val="0"/>
          <w:numId w:val="33"/>
        </w:numPr>
        <w:spacing w:after="0"/>
        <w:ind w:left="-130" w:right="-567"/>
        <w:contextualSpacing/>
        <w:jc w:val="both"/>
        <w:rPr>
          <w:rFonts w:ascii="Verdana" w:eastAsiaTheme="minorEastAsia" w:hAnsi="Verdana" w:cs="Arial"/>
          <w:b/>
          <w:bCs/>
          <w:sz w:val="20"/>
          <w:szCs w:val="20"/>
          <w:lang w:val="es-ES"/>
        </w:rPr>
      </w:pPr>
      <w:r w:rsidRPr="00D30523">
        <w:rPr>
          <w:rFonts w:ascii="Verdana" w:eastAsiaTheme="minorEastAsia" w:hAnsi="Verdana" w:cs="Arial"/>
          <w:b/>
          <w:bCs/>
          <w:sz w:val="20"/>
          <w:szCs w:val="20"/>
          <w:lang w:val="es-ES"/>
        </w:rPr>
        <w:t>VULNERACIÓN DE LAS NORMAS EN AUTOS.</w:t>
      </w:r>
    </w:p>
    <w:p w14:paraId="4EB2F27D" w14:textId="77777777" w:rsidR="004F0E31" w:rsidRPr="00D30523" w:rsidRDefault="004F0E31" w:rsidP="00F86570">
      <w:pPr>
        <w:spacing w:after="0"/>
        <w:ind w:left="-850"/>
        <w:contextualSpacing/>
        <w:jc w:val="both"/>
        <w:rPr>
          <w:rFonts w:ascii="Verdana" w:eastAsiaTheme="minorEastAsia" w:hAnsi="Verdana" w:cs="Arial"/>
          <w:b/>
          <w:bCs/>
          <w:sz w:val="20"/>
          <w:szCs w:val="20"/>
          <w:lang w:val="es-ES"/>
        </w:rPr>
      </w:pPr>
    </w:p>
    <w:p w14:paraId="420D7E0D"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 xml:space="preserve">Como se demuestra a continuación, en el caso de la Resolución no se aplicaron, en rigor, las normas </w:t>
      </w:r>
      <w:r>
        <w:rPr>
          <w:rFonts w:ascii="Verdana" w:eastAsiaTheme="minorEastAsia" w:hAnsi="Verdana" w:cs="Arial"/>
          <w:sz w:val="20"/>
          <w:szCs w:val="20"/>
          <w:lang w:val="es-ES"/>
        </w:rPr>
        <w:t>correspondientes</w:t>
      </w:r>
      <w:r w:rsidRPr="00D30523">
        <w:rPr>
          <w:rFonts w:ascii="Verdana" w:eastAsiaTheme="minorEastAsia" w:hAnsi="Verdana" w:cs="Arial"/>
          <w:sz w:val="20"/>
          <w:szCs w:val="20"/>
          <w:lang w:val="es-ES"/>
        </w:rPr>
        <w:t xml:space="preserve">. </w:t>
      </w:r>
    </w:p>
    <w:p w14:paraId="1AA98DFE" w14:textId="77777777" w:rsidR="004F0E31" w:rsidRPr="00D30523" w:rsidRDefault="004F0E31" w:rsidP="00F86570">
      <w:pPr>
        <w:spacing w:after="0"/>
        <w:ind w:left="-850"/>
        <w:contextualSpacing/>
        <w:jc w:val="both"/>
        <w:rPr>
          <w:rFonts w:ascii="Verdana" w:eastAsiaTheme="minorEastAsia" w:hAnsi="Verdana" w:cs="Arial"/>
          <w:sz w:val="20"/>
          <w:szCs w:val="20"/>
          <w:lang w:val="es-ES"/>
        </w:rPr>
      </w:pPr>
    </w:p>
    <w:p w14:paraId="75B917DF"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Pr>
          <w:rFonts w:ascii="Verdana" w:eastAsiaTheme="minorEastAsia" w:hAnsi="Verdana" w:cs="Arial"/>
          <w:sz w:val="20"/>
          <w:szCs w:val="20"/>
          <w:lang w:val="es-ES"/>
        </w:rPr>
        <w:t>Efectivamente, ya que, p</w:t>
      </w:r>
      <w:r w:rsidRPr="00D30523">
        <w:rPr>
          <w:rFonts w:ascii="Verdana" w:eastAsiaTheme="minorEastAsia" w:hAnsi="Verdana" w:cs="Arial"/>
          <w:sz w:val="20"/>
          <w:szCs w:val="20"/>
          <w:lang w:val="es-ES"/>
        </w:rPr>
        <w:t xml:space="preserve">or de pronto, </w:t>
      </w:r>
      <w:r w:rsidRPr="00D30523">
        <w:rPr>
          <w:rFonts w:ascii="Verdana" w:hAnsi="Verdana"/>
          <w:sz w:val="20"/>
          <w:szCs w:val="20"/>
        </w:rPr>
        <w:t>la sentencia definitiva e inapelable del caso a que se vincula la Resolución, fue dictada el 5 de julio de 2004, esto es, a esa fecha, puso término o dio por finalizado a aquél, con valor de cosa juzgada, incluso para la propia Corte, por lo que, consecuentemente, a esa fecha precluyó la facultad de dictar medidas provisionales</w:t>
      </w:r>
      <w:r>
        <w:rPr>
          <w:rFonts w:ascii="Verdana" w:hAnsi="Verdana"/>
          <w:sz w:val="20"/>
          <w:szCs w:val="20"/>
        </w:rPr>
        <w:t xml:space="preserve"> a su respecto</w:t>
      </w:r>
      <w:r w:rsidRPr="00D30523">
        <w:rPr>
          <w:rFonts w:ascii="Verdana" w:hAnsi="Verdana"/>
          <w:sz w:val="20"/>
          <w:szCs w:val="20"/>
        </w:rPr>
        <w:t xml:space="preserve">. </w:t>
      </w:r>
    </w:p>
    <w:p w14:paraId="58D5B49B" w14:textId="77777777" w:rsidR="004F0E31" w:rsidRPr="00D30523" w:rsidRDefault="004F0E31" w:rsidP="00F86570">
      <w:pPr>
        <w:spacing w:after="0"/>
        <w:ind w:left="-850"/>
        <w:contextualSpacing/>
        <w:jc w:val="both"/>
        <w:rPr>
          <w:rFonts w:ascii="Verdana" w:eastAsiaTheme="minorEastAsia" w:hAnsi="Verdana" w:cs="Arial"/>
          <w:sz w:val="20"/>
          <w:szCs w:val="20"/>
          <w:lang w:val="es-ES"/>
        </w:rPr>
      </w:pPr>
    </w:p>
    <w:p w14:paraId="197E7C0C"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Por lo mismo, no es procedente el fundamento invocado en la Resolución</w:t>
      </w:r>
      <w:r w:rsidRPr="00D30523">
        <w:rPr>
          <w:rStyle w:val="Refdenotaalpie"/>
          <w:rFonts w:ascii="Verdana" w:eastAsiaTheme="minorEastAsia" w:hAnsi="Verdana" w:cs="Arial"/>
          <w:sz w:val="20"/>
          <w:szCs w:val="20"/>
          <w:lang w:val="es-ES"/>
        </w:rPr>
        <w:footnoteReference w:id="62"/>
      </w:r>
      <w:r w:rsidRPr="00D30523">
        <w:rPr>
          <w:rFonts w:ascii="Verdana" w:eastAsiaTheme="minorEastAsia" w:hAnsi="Verdana" w:cs="Arial"/>
          <w:sz w:val="20"/>
          <w:szCs w:val="20"/>
          <w:lang w:val="es-ES"/>
        </w:rPr>
        <w:t xml:space="preserve"> para ordenar las medidas provisionales, en el sentido de que la petición de éstas fue </w:t>
      </w:r>
      <w:r w:rsidRPr="00D30523">
        <w:rPr>
          <w:rFonts w:ascii="Verdana" w:hAnsi="Verdana"/>
          <w:sz w:val="20"/>
          <w:szCs w:val="20"/>
          <w:lang w:val="es-AR"/>
        </w:rPr>
        <w:t xml:space="preserve">presentada en un caso que se encuentra en </w:t>
      </w:r>
      <w:r w:rsidRPr="00D30523">
        <w:rPr>
          <w:rFonts w:ascii="Verdana" w:hAnsi="Verdana"/>
          <w:sz w:val="20"/>
          <w:szCs w:val="20"/>
          <w:lang w:val="es-AR"/>
        </w:rPr>
        <w:lastRenderedPageBreak/>
        <w:t>conocimiento de la Corte</w:t>
      </w:r>
      <w:r w:rsidRPr="00D30523">
        <w:rPr>
          <w:rFonts w:ascii="Verdana" w:eastAsiaTheme="minorEastAsia" w:hAnsi="Verdana" w:cs="Arial"/>
          <w:sz w:val="20"/>
          <w:szCs w:val="20"/>
          <w:lang w:val="es-ES"/>
        </w:rPr>
        <w:t>,</w:t>
      </w:r>
      <w:r w:rsidRPr="00D30523">
        <w:rPr>
          <w:rFonts w:ascii="Verdana" w:hAnsi="Verdana"/>
          <w:sz w:val="20"/>
          <w:szCs w:val="20"/>
        </w:rPr>
        <w:t xml:space="preserve"> en circunstancias de que la Corte no estaba ya conoci</w:t>
      </w:r>
      <w:r>
        <w:rPr>
          <w:rFonts w:ascii="Verdana" w:hAnsi="Verdana"/>
          <w:sz w:val="20"/>
          <w:szCs w:val="20"/>
        </w:rPr>
        <w:t>é</w:t>
      </w:r>
      <w:r w:rsidRPr="00D30523">
        <w:rPr>
          <w:rFonts w:ascii="Verdana" w:hAnsi="Verdana"/>
          <w:sz w:val="20"/>
          <w:szCs w:val="20"/>
        </w:rPr>
        <w:t>ndo</w:t>
      </w:r>
      <w:r>
        <w:rPr>
          <w:rFonts w:ascii="Verdana" w:hAnsi="Verdana"/>
          <w:sz w:val="20"/>
          <w:szCs w:val="20"/>
        </w:rPr>
        <w:t>lo</w:t>
      </w:r>
      <w:r w:rsidRPr="00D30523">
        <w:rPr>
          <w:rFonts w:ascii="Verdana" w:hAnsi="Verdana"/>
          <w:sz w:val="20"/>
          <w:szCs w:val="20"/>
        </w:rPr>
        <w:t>, esto es, no estaba aplicando e interpretando la Convención a su respecto, habida cuenta que ya lo había hecho.</w:t>
      </w:r>
    </w:p>
    <w:p w14:paraId="246994C1" w14:textId="77777777" w:rsidR="004F0E31" w:rsidRPr="00D30523" w:rsidRDefault="004F0E31" w:rsidP="00F86570">
      <w:pPr>
        <w:spacing w:after="0"/>
        <w:ind w:left="-850"/>
        <w:contextualSpacing/>
        <w:jc w:val="both"/>
        <w:rPr>
          <w:rFonts w:ascii="Verdana" w:eastAsiaTheme="minorEastAsia" w:hAnsi="Verdana" w:cs="Arial"/>
          <w:sz w:val="20"/>
          <w:szCs w:val="20"/>
          <w:lang w:val="es-ES"/>
        </w:rPr>
      </w:pPr>
    </w:p>
    <w:p w14:paraId="017C7307"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Es por ello, que en este asunto tampoco precede, a contrario de lo que señala la Resolución</w:t>
      </w:r>
      <w:r w:rsidRPr="00D30523">
        <w:rPr>
          <w:rStyle w:val="Refdenotaalpie"/>
          <w:rFonts w:ascii="Verdana" w:eastAsiaTheme="minorEastAsia" w:hAnsi="Verdana" w:cs="Arial"/>
          <w:sz w:val="20"/>
          <w:szCs w:val="20"/>
          <w:lang w:val="es-ES"/>
        </w:rPr>
        <w:footnoteReference w:id="63"/>
      </w:r>
      <w:r w:rsidRPr="00D30523">
        <w:rPr>
          <w:rFonts w:ascii="Verdana" w:eastAsiaTheme="minorEastAsia" w:hAnsi="Verdana" w:cs="Arial"/>
          <w:sz w:val="20"/>
          <w:szCs w:val="20"/>
          <w:lang w:val="es-ES"/>
        </w:rPr>
        <w:t>, la aplicación de los previsto en el Reglamento en orden a la capacidad de</w:t>
      </w:r>
      <w:r w:rsidRPr="00D30523">
        <w:rPr>
          <w:rFonts w:ascii="Verdana" w:hAnsi="Verdana"/>
          <w:sz w:val="20"/>
          <w:szCs w:val="20"/>
          <w:lang w:val="es-CR"/>
        </w:rPr>
        <w:t xml:space="preserve"> las víctimas o las presuntas víctimas o sus representantes, de solicitar a la Corte la adopción de medidas provisionales</w:t>
      </w:r>
      <w:r w:rsidRPr="00D30523">
        <w:rPr>
          <w:rFonts w:ascii="Verdana" w:eastAsiaTheme="minorEastAsia" w:hAnsi="Verdana" w:cs="Arial"/>
          <w:sz w:val="20"/>
          <w:szCs w:val="20"/>
          <w:lang w:val="es-ES"/>
        </w:rPr>
        <w:t>,</w:t>
      </w:r>
      <w:r w:rsidRPr="00D30523">
        <w:rPr>
          <w:rFonts w:ascii="Verdana" w:hAnsi="Verdana"/>
          <w:sz w:val="20"/>
          <w:szCs w:val="20"/>
          <w:lang w:val="es-CR"/>
        </w:rPr>
        <w:t xml:space="preserve"> ya que, a la fecha, ya no existe el caso contencioso a que se relaciona ni está, en consecuencia, en conocimiento de la Corte</w:t>
      </w:r>
      <w:r w:rsidRPr="00D30523">
        <w:rPr>
          <w:rStyle w:val="Refdenotaalpie"/>
          <w:rFonts w:ascii="Verdana" w:hAnsi="Verdana"/>
          <w:sz w:val="20"/>
          <w:szCs w:val="20"/>
          <w:lang w:val="es-CR"/>
        </w:rPr>
        <w:footnoteReference w:id="64"/>
      </w:r>
      <w:r w:rsidRPr="00D30523">
        <w:rPr>
          <w:rFonts w:ascii="Verdana" w:hAnsi="Verdana"/>
          <w:sz w:val="20"/>
          <w:szCs w:val="20"/>
          <w:lang w:val="es-CR"/>
        </w:rPr>
        <w:t xml:space="preserve"> y, por tanto, </w:t>
      </w:r>
      <w:r w:rsidRPr="00D30523">
        <w:rPr>
          <w:rFonts w:ascii="Verdana" w:hAnsi="Verdana"/>
          <w:sz w:val="20"/>
          <w:szCs w:val="20"/>
          <w:lang w:val="es-AR"/>
        </w:rPr>
        <w:t>aquellos no son hábiles para hacerlo, siendo, entonces, la Comisión la única que podía haberlas requerido</w:t>
      </w:r>
      <w:r w:rsidRPr="00D30523">
        <w:rPr>
          <w:rFonts w:ascii="Verdana" w:hAnsi="Verdana"/>
          <w:sz w:val="20"/>
          <w:szCs w:val="20"/>
          <w:lang w:val="es-CR"/>
        </w:rPr>
        <w:t>.</w:t>
      </w:r>
    </w:p>
    <w:p w14:paraId="1E558EE3" w14:textId="77777777" w:rsidR="004F0E31" w:rsidRPr="00D30523" w:rsidRDefault="004F0E31" w:rsidP="00A56291">
      <w:pPr>
        <w:spacing w:after="0"/>
        <w:contextualSpacing/>
        <w:jc w:val="both"/>
        <w:rPr>
          <w:rFonts w:ascii="Verdana" w:hAnsi="Verdana"/>
          <w:sz w:val="20"/>
          <w:szCs w:val="20"/>
        </w:rPr>
      </w:pPr>
    </w:p>
    <w:p w14:paraId="53576EE9" w14:textId="77777777" w:rsidR="004F0E31"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Del mismo modo, no es fundamento suficiente para acceder al otorgamiento de las medidas provisionales, la circunstancia de que ellas tengan relación con el objeto del caso</w:t>
      </w:r>
      <w:r w:rsidRPr="00D30523">
        <w:rPr>
          <w:rStyle w:val="Refdenotaalpie"/>
          <w:rFonts w:ascii="Verdana" w:eastAsiaTheme="minorEastAsia" w:hAnsi="Verdana" w:cs="Arial"/>
          <w:sz w:val="20"/>
          <w:szCs w:val="20"/>
          <w:lang w:val="es-ES"/>
        </w:rPr>
        <w:footnoteReference w:id="65"/>
      </w:r>
      <w:r w:rsidRPr="00D30523">
        <w:rPr>
          <w:rFonts w:ascii="Verdana" w:eastAsiaTheme="minorEastAsia" w:hAnsi="Verdana" w:cs="Arial"/>
          <w:sz w:val="20"/>
          <w:szCs w:val="20"/>
          <w:lang w:val="es-ES"/>
        </w:rPr>
        <w:t>, pues éste, como ya se indicó, no existía desde el 5 de julio de 2004.</w:t>
      </w:r>
      <w:bookmarkEnd w:id="4"/>
    </w:p>
    <w:p w14:paraId="5C46BAD2" w14:textId="77777777" w:rsidR="004F0E31" w:rsidRPr="00A56291" w:rsidRDefault="004F0E31" w:rsidP="00A56291">
      <w:pPr>
        <w:spacing w:after="0"/>
        <w:contextualSpacing/>
        <w:jc w:val="both"/>
        <w:rPr>
          <w:rFonts w:ascii="Verdana" w:eastAsiaTheme="minorEastAsia" w:hAnsi="Verdana" w:cs="Arial"/>
          <w:sz w:val="20"/>
          <w:szCs w:val="20"/>
          <w:lang w:val="es-ES"/>
        </w:rPr>
      </w:pPr>
    </w:p>
    <w:p w14:paraId="2079E81A" w14:textId="77777777" w:rsidR="004F0E31" w:rsidRPr="00A56291"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A56291">
        <w:rPr>
          <w:rFonts w:ascii="Verdana" w:hAnsi="Verdana"/>
          <w:sz w:val="20"/>
          <w:szCs w:val="20"/>
        </w:rPr>
        <w:t>Por otra parte, no resulta apropiado fundamentar la Resolución</w:t>
      </w:r>
      <w:r w:rsidRPr="00D30523">
        <w:rPr>
          <w:rStyle w:val="Refdenotaalpie"/>
          <w:rFonts w:ascii="Verdana" w:hAnsi="Verdana"/>
          <w:sz w:val="20"/>
          <w:szCs w:val="20"/>
        </w:rPr>
        <w:footnoteReference w:id="66"/>
      </w:r>
      <w:r w:rsidRPr="00A56291">
        <w:rPr>
          <w:rFonts w:ascii="Verdana" w:hAnsi="Verdana"/>
          <w:sz w:val="20"/>
          <w:szCs w:val="20"/>
        </w:rPr>
        <w:t xml:space="preserve"> en que las beneficiarias de las medidas urgentes y provisionales concedidas, eran familiares de la víctima don Antonio Flórez Contreras y en que “los hechos denunciados mantienen una conexión fáctica con las medidas provisionales otorgadas el 3 de septiembre de 2004 y mantenidas mediante resolución de 26 de junio de 2012, toda vez que se refieren a víctimas del caso”</w:t>
      </w:r>
      <w:r w:rsidRPr="00D30523">
        <w:rPr>
          <w:rFonts w:ascii="Verdana" w:hAnsi="Verdana"/>
          <w:sz w:val="20"/>
          <w:szCs w:val="20"/>
          <w:vertAlign w:val="superscript"/>
        </w:rPr>
        <w:footnoteReference w:id="67"/>
      </w:r>
      <w:r w:rsidRPr="00A56291">
        <w:rPr>
          <w:rFonts w:ascii="Verdana" w:hAnsi="Verdana"/>
          <w:sz w:val="20"/>
          <w:szCs w:val="20"/>
        </w:rPr>
        <w:t>, ya que, de todas las personas beneficiarias de las decretadas medidas provisionales, únicamente la Sra. Nery del Socorro Flórez Contreras, en tanto hermana del Sr. Antonio Flórez Contreras, fue considerada por la Sentencia como familiar en el cuadro en que señala a las personas que estima que lo son</w:t>
      </w:r>
      <w:r w:rsidRPr="00D30523">
        <w:rPr>
          <w:rStyle w:val="Refdenotaalpie"/>
          <w:rFonts w:ascii="Verdana" w:hAnsi="Verdana"/>
          <w:sz w:val="20"/>
          <w:szCs w:val="20"/>
        </w:rPr>
        <w:footnoteReference w:id="68"/>
      </w:r>
      <w:r w:rsidRPr="00A56291">
        <w:rPr>
          <w:rFonts w:ascii="Verdana" w:hAnsi="Verdana"/>
          <w:sz w:val="20"/>
          <w:szCs w:val="20"/>
        </w:rPr>
        <w:t>. El resto de las personas no son aludidas ni mencionas en dicho fallo.</w:t>
      </w:r>
    </w:p>
    <w:p w14:paraId="7FC9F0CD" w14:textId="77777777" w:rsidR="004F0E31" w:rsidRPr="00D30523" w:rsidRDefault="004F0E31" w:rsidP="009A5EDB">
      <w:pPr>
        <w:spacing w:after="100" w:afterAutospacing="1"/>
        <w:ind w:left="-850"/>
        <w:contextualSpacing/>
        <w:jc w:val="both"/>
        <w:rPr>
          <w:rFonts w:ascii="Verdana" w:eastAsiaTheme="minorEastAsia" w:hAnsi="Verdana" w:cs="Arial"/>
          <w:sz w:val="20"/>
          <w:szCs w:val="20"/>
          <w:lang w:val="es-ES"/>
        </w:rPr>
      </w:pPr>
    </w:p>
    <w:p w14:paraId="0127F3FE"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Procede añadir, a este respecto, que la Sentencia dispone que se debe proveer protección a las personas</w:t>
      </w:r>
      <w:r w:rsidRPr="00D30523">
        <w:rPr>
          <w:rFonts w:ascii="Verdana" w:hAnsi="Verdana"/>
          <w:sz w:val="20"/>
          <w:szCs w:val="20"/>
        </w:rPr>
        <w:t xml:space="preserve"> que rindieron declaración ante el Tribunal y sus familias</w:t>
      </w:r>
      <w:r w:rsidRPr="00D30523">
        <w:rPr>
          <w:rStyle w:val="Refdenotaalpie"/>
          <w:rFonts w:ascii="Verdana" w:hAnsi="Verdana"/>
          <w:sz w:val="20"/>
          <w:szCs w:val="20"/>
        </w:rPr>
        <w:footnoteReference w:id="69"/>
      </w:r>
      <w:r w:rsidRPr="00D30523">
        <w:rPr>
          <w:rFonts w:ascii="Verdana" w:hAnsi="Verdana"/>
          <w:sz w:val="20"/>
          <w:szCs w:val="20"/>
        </w:rPr>
        <w:t>, condición que no cumple ninguna de los beneficiarios de las medidas provisionales ordenadas en autos.</w:t>
      </w:r>
    </w:p>
    <w:p w14:paraId="74C81323" w14:textId="77777777" w:rsidR="004F0E31" w:rsidRPr="00D30523" w:rsidRDefault="004F0E31" w:rsidP="009A5EDB">
      <w:pPr>
        <w:spacing w:after="0"/>
        <w:ind w:left="-850"/>
        <w:contextualSpacing/>
        <w:jc w:val="both"/>
        <w:rPr>
          <w:rFonts w:ascii="Verdana" w:eastAsiaTheme="minorEastAsia" w:hAnsi="Verdana" w:cs="Arial"/>
          <w:sz w:val="20"/>
          <w:szCs w:val="20"/>
          <w:lang w:val="es-ES"/>
        </w:rPr>
      </w:pPr>
    </w:p>
    <w:p w14:paraId="3A932AF0"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Sobre este particular, es necesario hacer presente</w:t>
      </w:r>
      <w:r>
        <w:rPr>
          <w:rFonts w:ascii="Verdana" w:eastAsiaTheme="minorEastAsia" w:hAnsi="Verdana" w:cs="Arial"/>
          <w:sz w:val="20"/>
          <w:szCs w:val="20"/>
          <w:lang w:val="es-ES"/>
        </w:rPr>
        <w:t>,</w:t>
      </w:r>
      <w:r w:rsidRPr="00D30523">
        <w:rPr>
          <w:rFonts w:ascii="Verdana" w:eastAsiaTheme="minorEastAsia" w:hAnsi="Verdana" w:cs="Arial"/>
          <w:sz w:val="20"/>
          <w:szCs w:val="20"/>
          <w:lang w:val="es-ES"/>
        </w:rPr>
        <w:t xml:space="preserve"> además</w:t>
      </w:r>
      <w:r>
        <w:rPr>
          <w:rFonts w:ascii="Verdana" w:eastAsiaTheme="minorEastAsia" w:hAnsi="Verdana" w:cs="Arial"/>
          <w:sz w:val="20"/>
          <w:szCs w:val="20"/>
          <w:lang w:val="es-ES"/>
        </w:rPr>
        <w:t>,</w:t>
      </w:r>
      <w:r w:rsidRPr="00D30523">
        <w:rPr>
          <w:rFonts w:ascii="Verdana" w:eastAsiaTheme="minorEastAsia" w:hAnsi="Verdana" w:cs="Arial"/>
          <w:sz w:val="20"/>
          <w:szCs w:val="20"/>
          <w:lang w:val="es-ES"/>
        </w:rPr>
        <w:t xml:space="preserve"> que, si bien la Sentencia alude, para los efectos de las </w:t>
      </w:r>
      <w:r w:rsidRPr="00D30523">
        <w:rPr>
          <w:rFonts w:ascii="Verdana" w:hAnsi="Verdana"/>
          <w:sz w:val="20"/>
          <w:szCs w:val="20"/>
        </w:rPr>
        <w:t>compensaciones,</w:t>
      </w:r>
      <w:r w:rsidRPr="00D30523">
        <w:rPr>
          <w:rFonts w:ascii="Verdana" w:eastAsiaTheme="minorEastAsia" w:hAnsi="Verdana" w:cs="Arial"/>
          <w:sz w:val="20"/>
          <w:szCs w:val="20"/>
          <w:lang w:val="es-ES"/>
        </w:rPr>
        <w:t xml:space="preserve"> en genérico a los familiares de las víctimas y </w:t>
      </w:r>
      <w:r w:rsidRPr="00D30523">
        <w:rPr>
          <w:rFonts w:ascii="Verdana" w:hAnsi="Verdana"/>
          <w:sz w:val="20"/>
          <w:szCs w:val="20"/>
        </w:rPr>
        <w:t>a los hijos, cónyuges, compañeras, hermanos y padres de las víctimas, en parte alguna se refiere, ni siquiera indirectamente, a “los integrantes de la familia de” un familiar de una víctima, como lo indica la Resolución</w:t>
      </w:r>
      <w:r w:rsidRPr="00D30523">
        <w:rPr>
          <w:rStyle w:val="Refdenotaalpie"/>
          <w:rFonts w:ascii="Verdana" w:hAnsi="Verdana"/>
          <w:sz w:val="20"/>
          <w:szCs w:val="20"/>
        </w:rPr>
        <w:footnoteReference w:id="70"/>
      </w:r>
      <w:r w:rsidRPr="00D30523">
        <w:rPr>
          <w:rFonts w:ascii="Verdana" w:hAnsi="Verdana"/>
          <w:sz w:val="20"/>
          <w:szCs w:val="20"/>
        </w:rPr>
        <w:t>.</w:t>
      </w:r>
    </w:p>
    <w:p w14:paraId="3AE31CEB" w14:textId="77777777" w:rsidR="004F0E31" w:rsidRPr="00D30523" w:rsidRDefault="004F0E31" w:rsidP="009A5EDB">
      <w:pPr>
        <w:spacing w:after="0"/>
        <w:ind w:left="-850" w:firstLine="708"/>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lastRenderedPageBreak/>
        <w:t xml:space="preserve"> </w:t>
      </w:r>
    </w:p>
    <w:p w14:paraId="35D93425" w14:textId="77777777" w:rsidR="004F0E31"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 xml:space="preserve">Evidentemente, el criterio seguido en la Resolución conduce a que, en el futuro, se pueda solicitar y ordenar medidas provisionales en favor de cualquier </w:t>
      </w:r>
      <w:r w:rsidRPr="00D30523">
        <w:rPr>
          <w:rFonts w:ascii="Verdana" w:hAnsi="Verdana"/>
          <w:sz w:val="20"/>
          <w:szCs w:val="20"/>
        </w:rPr>
        <w:t>ascendiente o descendiente de alguna persona considerada como beneficiaria de las ya decretadas, aunque aqu</w:t>
      </w:r>
      <w:r>
        <w:rPr>
          <w:rFonts w:ascii="Verdana" w:hAnsi="Verdana"/>
          <w:sz w:val="20"/>
          <w:szCs w:val="20"/>
        </w:rPr>
        <w:t>ella</w:t>
      </w:r>
      <w:r w:rsidRPr="00D30523">
        <w:rPr>
          <w:rFonts w:ascii="Verdana" w:hAnsi="Verdana"/>
          <w:sz w:val="20"/>
          <w:szCs w:val="20"/>
        </w:rPr>
        <w:t xml:space="preserve"> no sea identifica</w:t>
      </w:r>
      <w:r>
        <w:rPr>
          <w:rFonts w:ascii="Verdana" w:hAnsi="Verdana"/>
          <w:sz w:val="20"/>
          <w:szCs w:val="20"/>
        </w:rPr>
        <w:t xml:space="preserve">da, no se tenga presente su grado de </w:t>
      </w:r>
      <w:bookmarkStart w:id="8" w:name="_Hlk42158383"/>
      <w:r>
        <w:rPr>
          <w:rFonts w:ascii="Verdana" w:hAnsi="Verdana"/>
          <w:sz w:val="20"/>
          <w:szCs w:val="20"/>
        </w:rPr>
        <w:t>consanguinidad</w:t>
      </w:r>
      <w:bookmarkEnd w:id="8"/>
      <w:r>
        <w:rPr>
          <w:rFonts w:ascii="Verdana" w:hAnsi="Verdana"/>
          <w:sz w:val="20"/>
          <w:szCs w:val="20"/>
        </w:rPr>
        <w:t xml:space="preserve"> o afinidad con la víctima ni tampoco si, a la fecha de la ordenación de las referidas medidas, era parte o no de la familia. </w:t>
      </w:r>
      <w:r w:rsidRPr="00D30523">
        <w:rPr>
          <w:rFonts w:ascii="Verdana" w:hAnsi="Verdana"/>
          <w:sz w:val="20"/>
          <w:szCs w:val="20"/>
        </w:rPr>
        <w:t>Vale decir, con lo dispuesto se corre el serio riesgo de que</w:t>
      </w:r>
      <w:r>
        <w:rPr>
          <w:rFonts w:ascii="Verdana" w:hAnsi="Verdana"/>
          <w:sz w:val="20"/>
          <w:szCs w:val="20"/>
        </w:rPr>
        <w:t xml:space="preserve"> </w:t>
      </w:r>
      <w:r w:rsidRPr="00D30523">
        <w:rPr>
          <w:rFonts w:ascii="Verdana" w:hAnsi="Verdana"/>
          <w:sz w:val="20"/>
          <w:szCs w:val="20"/>
        </w:rPr>
        <w:t xml:space="preserve">las medidas </w:t>
      </w:r>
      <w:r>
        <w:rPr>
          <w:rFonts w:ascii="Verdana" w:hAnsi="Verdana"/>
          <w:sz w:val="20"/>
          <w:szCs w:val="20"/>
        </w:rPr>
        <w:t xml:space="preserve">provisionales abarquen también en el futuro a personas </w:t>
      </w:r>
      <w:r w:rsidRPr="00D30523">
        <w:rPr>
          <w:rFonts w:ascii="Verdana" w:hAnsi="Verdana"/>
          <w:sz w:val="20"/>
          <w:szCs w:val="20"/>
        </w:rPr>
        <w:t>que pasen integrar la familia de algunos de los actuales beneficiarios</w:t>
      </w:r>
      <w:r>
        <w:rPr>
          <w:rFonts w:ascii="Verdana" w:hAnsi="Verdana"/>
          <w:sz w:val="20"/>
          <w:szCs w:val="20"/>
        </w:rPr>
        <w:t xml:space="preserve">, incluso a aquellas que no tengan relación de consanguinidad o de afinidad con la víctima, pero que integran la familia. </w:t>
      </w:r>
      <w:r w:rsidRPr="00D30523">
        <w:rPr>
          <w:rFonts w:ascii="Verdana" w:hAnsi="Verdana"/>
          <w:sz w:val="20"/>
          <w:szCs w:val="20"/>
        </w:rPr>
        <w:t>Todo lo cual, ciertamente</w:t>
      </w:r>
      <w:r>
        <w:rPr>
          <w:rFonts w:ascii="Verdana" w:hAnsi="Verdana"/>
          <w:sz w:val="20"/>
          <w:szCs w:val="20"/>
        </w:rPr>
        <w:t>,</w:t>
      </w:r>
      <w:r w:rsidRPr="00D30523">
        <w:rPr>
          <w:rFonts w:ascii="Verdana" w:hAnsi="Verdana"/>
          <w:sz w:val="20"/>
          <w:szCs w:val="20"/>
        </w:rPr>
        <w:t xml:space="preserve"> afectaría el principio de la seguridad jurídica.</w:t>
      </w:r>
    </w:p>
    <w:p w14:paraId="68B241EF" w14:textId="77777777" w:rsidR="004F0E31" w:rsidRPr="00740815" w:rsidRDefault="004F0E31" w:rsidP="00740815">
      <w:pPr>
        <w:spacing w:after="0"/>
        <w:contextualSpacing/>
        <w:jc w:val="both"/>
        <w:rPr>
          <w:rFonts w:ascii="Verdana" w:eastAsiaTheme="minorEastAsia" w:hAnsi="Verdana" w:cs="Arial"/>
          <w:sz w:val="20"/>
          <w:szCs w:val="20"/>
          <w:lang w:val="es-ES"/>
        </w:rPr>
      </w:pPr>
    </w:p>
    <w:p w14:paraId="19986D81" w14:textId="77777777" w:rsidR="004F0E31" w:rsidRPr="00D30523" w:rsidRDefault="004F0E31" w:rsidP="004F0E31">
      <w:pPr>
        <w:numPr>
          <w:ilvl w:val="0"/>
          <w:numId w:val="29"/>
        </w:numPr>
        <w:spacing w:after="0"/>
        <w:ind w:left="-490" w:right="-567"/>
        <w:contextualSpacing/>
        <w:jc w:val="both"/>
        <w:rPr>
          <w:rFonts w:ascii="Verdana" w:eastAsiaTheme="minorEastAsia" w:hAnsi="Verdana" w:cs="Arial"/>
          <w:sz w:val="20"/>
          <w:szCs w:val="20"/>
          <w:lang w:val="es-ES"/>
        </w:rPr>
      </w:pPr>
      <w:r w:rsidRPr="00D30523">
        <w:rPr>
          <w:rFonts w:ascii="Verdana" w:eastAsiaTheme="minorEastAsia" w:hAnsi="Verdana" w:cs="Arial"/>
          <w:sz w:val="20"/>
          <w:szCs w:val="20"/>
          <w:lang w:val="es-ES"/>
        </w:rPr>
        <w:t>Complementariamente a lo señalado, también</w:t>
      </w:r>
      <w:r w:rsidRPr="00D30523">
        <w:rPr>
          <w:rFonts w:ascii="Verdana" w:hAnsi="Verdana"/>
          <w:sz w:val="20"/>
          <w:szCs w:val="20"/>
        </w:rPr>
        <w:t xml:space="preserve"> procede considerar que el fundamento de la Resolución se inserta más bien en la institución reglamentaria de la supervisión del cumplimiento de sentencias y no en la relativa a las medidas provisionales. Efectivamente, la Resolución hace presente “</w:t>
      </w:r>
      <w:r w:rsidRPr="00D30523">
        <w:rPr>
          <w:rFonts w:ascii="Verdana" w:hAnsi="Verdana"/>
          <w:i/>
          <w:iCs/>
          <w:sz w:val="20"/>
          <w:szCs w:val="20"/>
          <w:lang w:val="es-CR"/>
        </w:rPr>
        <w:t>que los hechos denunciados</w:t>
      </w:r>
      <w:r w:rsidRPr="00D30523">
        <w:rPr>
          <w:rFonts w:ascii="Verdana" w:hAnsi="Verdana"/>
          <w:i/>
          <w:iCs/>
          <w:sz w:val="20"/>
          <w:szCs w:val="20"/>
          <w:lang w:val="es-MX"/>
        </w:rPr>
        <w:t>… podrían derivarse del contexto de violencia y amenazas en contra de los beneficiarios de dichas medidas, el cual se materializó con posterioridad a la audiencia de supervisión de cumplimiento del caso</w:t>
      </w:r>
      <w:r w:rsidRPr="00D30523">
        <w:rPr>
          <w:rFonts w:ascii="Verdana" w:hAnsi="Verdana"/>
          <w:sz w:val="20"/>
          <w:szCs w:val="20"/>
          <w:lang w:val="es-MX"/>
        </w:rPr>
        <w:t>”</w:t>
      </w:r>
      <w:r w:rsidRPr="00D30523">
        <w:rPr>
          <w:rStyle w:val="Refdenotaalpie"/>
          <w:rFonts w:ascii="Verdana" w:hAnsi="Verdana"/>
          <w:sz w:val="20"/>
          <w:szCs w:val="20"/>
          <w:lang w:val="es-MX"/>
        </w:rPr>
        <w:footnoteReference w:id="71"/>
      </w:r>
      <w:r w:rsidRPr="00D30523">
        <w:rPr>
          <w:rFonts w:ascii="Verdana" w:hAnsi="Verdana"/>
          <w:sz w:val="20"/>
          <w:szCs w:val="20"/>
          <w:lang w:val="es-MX"/>
        </w:rPr>
        <w:t>.</w:t>
      </w:r>
    </w:p>
    <w:p w14:paraId="07ADB520" w14:textId="77777777" w:rsidR="004F0E31" w:rsidRPr="00D30523" w:rsidRDefault="004F0E31" w:rsidP="009A5EDB">
      <w:pPr>
        <w:spacing w:after="0"/>
        <w:contextualSpacing/>
        <w:jc w:val="both"/>
        <w:rPr>
          <w:rFonts w:ascii="Verdana" w:hAnsi="Verdana"/>
          <w:sz w:val="20"/>
          <w:szCs w:val="20"/>
        </w:rPr>
      </w:pPr>
    </w:p>
    <w:p w14:paraId="2E0A3623" w14:textId="77777777" w:rsidR="004F0E31" w:rsidRDefault="004F0E31" w:rsidP="004F0E31">
      <w:pPr>
        <w:numPr>
          <w:ilvl w:val="0"/>
          <w:numId w:val="29"/>
        </w:numPr>
        <w:spacing w:after="0"/>
        <w:ind w:left="-490" w:right="-567"/>
        <w:contextualSpacing/>
        <w:jc w:val="both"/>
        <w:rPr>
          <w:rFonts w:ascii="Verdana" w:hAnsi="Verdana"/>
          <w:sz w:val="20"/>
          <w:szCs w:val="20"/>
          <w:lang w:val="es-CR"/>
        </w:rPr>
      </w:pPr>
      <w:r w:rsidRPr="00D30523">
        <w:rPr>
          <w:rFonts w:ascii="Verdana" w:hAnsi="Verdana"/>
          <w:sz w:val="20"/>
          <w:szCs w:val="20"/>
        </w:rPr>
        <w:t>Es decir, habida cuenta de lo recién reseñado, se puede concluir que en autos se han confundido ambos mecanismos procesales, dificultando, entonces, la cabal o correcta aplicación de uno y otro en la situación a que se refieren.</w:t>
      </w:r>
    </w:p>
    <w:p w14:paraId="58CBA851" w14:textId="77777777" w:rsidR="004F0E31" w:rsidRDefault="004F0E31" w:rsidP="002E4AF6">
      <w:pPr>
        <w:pStyle w:val="Prrafodelista"/>
        <w:rPr>
          <w:rFonts w:ascii="Verdana" w:hAnsi="Verdana"/>
          <w:sz w:val="20"/>
        </w:rPr>
      </w:pPr>
    </w:p>
    <w:p w14:paraId="18050FD5" w14:textId="77777777" w:rsidR="004F0E31" w:rsidRPr="00FC61A7" w:rsidRDefault="004F0E31" w:rsidP="004F0E31">
      <w:pPr>
        <w:numPr>
          <w:ilvl w:val="0"/>
          <w:numId w:val="29"/>
        </w:numPr>
        <w:spacing w:after="0"/>
        <w:ind w:left="-490" w:right="-567"/>
        <w:contextualSpacing/>
        <w:jc w:val="both"/>
        <w:rPr>
          <w:rFonts w:ascii="Verdana" w:hAnsi="Verdana"/>
          <w:sz w:val="20"/>
          <w:szCs w:val="20"/>
          <w:lang w:val="es-CR"/>
        </w:rPr>
      </w:pPr>
      <w:r w:rsidRPr="002E4AF6">
        <w:rPr>
          <w:rFonts w:ascii="Verdana" w:hAnsi="Verdana"/>
          <w:sz w:val="20"/>
          <w:szCs w:val="20"/>
        </w:rPr>
        <w:t xml:space="preserve">Finalmente, es del todo indispensable llamar profundamente la atención acerca de que la Resolución no expone razonamiento alguno acerca de la posibilidad </w:t>
      </w:r>
      <w:r>
        <w:rPr>
          <w:rFonts w:ascii="Verdana" w:hAnsi="Verdana"/>
          <w:sz w:val="20"/>
          <w:szCs w:val="20"/>
        </w:rPr>
        <w:t xml:space="preserve">o imposibilidad </w:t>
      </w:r>
      <w:r w:rsidRPr="002E4AF6">
        <w:rPr>
          <w:rFonts w:ascii="Verdana" w:hAnsi="Verdana"/>
          <w:sz w:val="20"/>
          <w:szCs w:val="20"/>
        </w:rPr>
        <w:t xml:space="preserve">de </w:t>
      </w:r>
      <w:r>
        <w:rPr>
          <w:rFonts w:ascii="Verdana" w:hAnsi="Verdana"/>
          <w:sz w:val="20"/>
          <w:szCs w:val="20"/>
        </w:rPr>
        <w:t xml:space="preserve">aplicación en el asunto d autos de </w:t>
      </w:r>
      <w:r w:rsidRPr="002E4AF6">
        <w:rPr>
          <w:rFonts w:ascii="Verdana" w:hAnsi="Verdana"/>
          <w:sz w:val="20"/>
          <w:szCs w:val="20"/>
        </w:rPr>
        <w:t>la frase final del artículo 63.2 de la Convención</w:t>
      </w:r>
      <w:r>
        <w:rPr>
          <w:rFonts w:ascii="Verdana" w:hAnsi="Verdana"/>
          <w:sz w:val="20"/>
          <w:szCs w:val="20"/>
        </w:rPr>
        <w:t xml:space="preserve">. </w:t>
      </w:r>
      <w:r w:rsidRPr="002E4AF6">
        <w:rPr>
          <w:rFonts w:ascii="Verdana" w:hAnsi="Verdana"/>
          <w:sz w:val="20"/>
          <w:szCs w:val="20"/>
        </w:rPr>
        <w:t xml:space="preserve">Tampoco </w:t>
      </w:r>
      <w:r w:rsidRPr="002E4AF6">
        <w:rPr>
          <w:rFonts w:ascii="Verdana" w:hAnsi="Verdana"/>
          <w:sz w:val="20"/>
          <w:szCs w:val="20"/>
          <w:lang w:val="es-CR"/>
        </w:rPr>
        <w:t xml:space="preserve">tuvo en consideración, por ende, </w:t>
      </w:r>
      <w:r>
        <w:rPr>
          <w:rFonts w:ascii="Verdana" w:hAnsi="Verdana"/>
          <w:sz w:val="20"/>
          <w:szCs w:val="20"/>
          <w:lang w:val="es-CR"/>
        </w:rPr>
        <w:t xml:space="preserve">que la protección internacional tiene </w:t>
      </w:r>
      <w:r w:rsidRPr="002E4AF6">
        <w:rPr>
          <w:rFonts w:ascii="Verdana" w:hAnsi="Verdana"/>
          <w:sz w:val="20"/>
          <w:szCs w:val="20"/>
          <w:lang w:val="es-CR"/>
        </w:rPr>
        <w:t xml:space="preserve">la </w:t>
      </w:r>
      <w:r w:rsidRPr="002E4AF6">
        <w:rPr>
          <w:rFonts w:ascii="Verdana" w:hAnsi="Verdana" w:cs="Tahoma"/>
          <w:color w:val="000000"/>
          <w:sz w:val="20"/>
          <w:szCs w:val="20"/>
        </w:rPr>
        <w:t xml:space="preserve">naturaleza convencional coadyuvante o complementaria </w:t>
      </w:r>
      <w:r w:rsidRPr="002E4AF6">
        <w:rPr>
          <w:rFonts w:ascii="Verdana" w:hAnsi="Verdana"/>
          <w:sz w:val="20"/>
          <w:szCs w:val="20"/>
          <w:lang w:val="es-CR"/>
        </w:rPr>
        <w:t>d</w:t>
      </w:r>
      <w:r>
        <w:rPr>
          <w:rFonts w:ascii="Verdana" w:hAnsi="Verdana"/>
          <w:sz w:val="20"/>
          <w:szCs w:val="20"/>
          <w:lang w:val="es-CR"/>
        </w:rPr>
        <w:t xml:space="preserve">a </w:t>
      </w:r>
      <w:r w:rsidRPr="002E4AF6">
        <w:rPr>
          <w:rFonts w:ascii="Verdana" w:hAnsi="Verdana"/>
          <w:sz w:val="20"/>
          <w:szCs w:val="20"/>
          <w:lang w:val="es-CR"/>
        </w:rPr>
        <w:t>la que ofrece el derecho interno de los Estados americanos</w:t>
      </w:r>
      <w:r w:rsidRPr="00D30523">
        <w:rPr>
          <w:rStyle w:val="Refdenotaalpie"/>
          <w:rFonts w:ascii="Verdana" w:hAnsi="Verdana"/>
          <w:sz w:val="20"/>
          <w:szCs w:val="20"/>
          <w:lang w:val="es-CR"/>
        </w:rPr>
        <w:footnoteReference w:id="72"/>
      </w:r>
      <w:r>
        <w:rPr>
          <w:rFonts w:ascii="Verdana" w:hAnsi="Verdana"/>
          <w:sz w:val="20"/>
          <w:szCs w:val="20"/>
          <w:lang w:val="es-CR"/>
        </w:rPr>
        <w:t>. La resolución s</w:t>
      </w:r>
      <w:r w:rsidRPr="00FC61A7">
        <w:rPr>
          <w:rFonts w:ascii="Verdana" w:hAnsi="Verdana"/>
          <w:sz w:val="20"/>
          <w:szCs w:val="20"/>
        </w:rPr>
        <w:t xml:space="preserve">e </w:t>
      </w:r>
      <w:proofErr w:type="spellStart"/>
      <w:r w:rsidRPr="00FC61A7">
        <w:rPr>
          <w:rFonts w:ascii="Verdana" w:hAnsi="Verdana"/>
          <w:sz w:val="20"/>
          <w:szCs w:val="20"/>
        </w:rPr>
        <w:t>limita</w:t>
      </w:r>
      <w:proofErr w:type="spellEnd"/>
      <w:r w:rsidRPr="00FC61A7">
        <w:rPr>
          <w:rFonts w:ascii="Verdana" w:hAnsi="Verdana"/>
          <w:sz w:val="20"/>
          <w:szCs w:val="20"/>
        </w:rPr>
        <w:t xml:space="preserve"> a </w:t>
      </w:r>
      <w:proofErr w:type="spellStart"/>
      <w:r w:rsidRPr="00FC61A7">
        <w:rPr>
          <w:rFonts w:ascii="Verdana" w:hAnsi="Verdana"/>
          <w:sz w:val="20"/>
          <w:szCs w:val="20"/>
        </w:rPr>
        <w:t>declarar</w:t>
      </w:r>
      <w:proofErr w:type="spellEnd"/>
      <w:r w:rsidRPr="00FC61A7">
        <w:rPr>
          <w:rFonts w:ascii="Verdana" w:hAnsi="Verdana"/>
          <w:sz w:val="20"/>
          <w:szCs w:val="20"/>
        </w:rPr>
        <w:t xml:space="preserve">, en cuanto al fundamento normativo de lo resuelto, que </w:t>
      </w:r>
      <w:r>
        <w:rPr>
          <w:rFonts w:ascii="Verdana" w:hAnsi="Verdana"/>
          <w:sz w:val="20"/>
          <w:szCs w:val="20"/>
        </w:rPr>
        <w:t xml:space="preserve">las medidas provisionales solicitadas y decretadas </w:t>
      </w:r>
      <w:r w:rsidRPr="00FC61A7">
        <w:rPr>
          <w:rFonts w:ascii="Verdana" w:hAnsi="Verdana"/>
          <w:sz w:val="20"/>
          <w:szCs w:val="20"/>
        </w:rPr>
        <w:t>tiene</w:t>
      </w:r>
      <w:r>
        <w:rPr>
          <w:rFonts w:ascii="Verdana" w:hAnsi="Verdana"/>
          <w:sz w:val="20"/>
          <w:szCs w:val="20"/>
        </w:rPr>
        <w:t>n</w:t>
      </w:r>
      <w:r w:rsidRPr="00FC61A7">
        <w:rPr>
          <w:rFonts w:ascii="Verdana" w:hAnsi="Verdana"/>
          <w:sz w:val="20"/>
          <w:szCs w:val="20"/>
        </w:rPr>
        <w:t xml:space="preserve"> una conexión fáctica con medidas </w:t>
      </w:r>
      <w:r w:rsidRPr="00FC61A7">
        <w:rPr>
          <w:rFonts w:ascii="Verdana" w:hAnsi="Verdana"/>
          <w:sz w:val="20"/>
          <w:szCs w:val="20"/>
          <w:lang w:val="es-CR"/>
        </w:rPr>
        <w:t xml:space="preserve">provisionales vigentes y </w:t>
      </w:r>
      <w:r w:rsidRPr="00FC61A7">
        <w:rPr>
          <w:rFonts w:ascii="Verdana" w:hAnsi="Verdana"/>
          <w:sz w:val="20"/>
          <w:szCs w:val="20"/>
          <w:lang w:val="es-MX"/>
        </w:rPr>
        <w:t>que se refieren a víctimas del caso</w:t>
      </w:r>
      <w:r w:rsidRPr="00D30523">
        <w:rPr>
          <w:rStyle w:val="Refdenotaalpie"/>
          <w:rFonts w:ascii="Verdana" w:hAnsi="Verdana"/>
          <w:sz w:val="20"/>
          <w:szCs w:val="20"/>
          <w:lang w:val="es-MX"/>
        </w:rPr>
        <w:footnoteReference w:id="73"/>
      </w:r>
      <w:r w:rsidRPr="00FC61A7">
        <w:rPr>
          <w:rFonts w:ascii="Verdana" w:hAnsi="Verdana"/>
          <w:sz w:val="20"/>
          <w:szCs w:val="20"/>
          <w:lang w:val="es-MX"/>
        </w:rPr>
        <w:t xml:space="preserve">. </w:t>
      </w:r>
      <w:r>
        <w:rPr>
          <w:rFonts w:ascii="Verdana" w:hAnsi="Verdana"/>
          <w:sz w:val="20"/>
          <w:szCs w:val="20"/>
          <w:lang w:val="es-MX"/>
        </w:rPr>
        <w:t xml:space="preserve">Aunque ni una ni la otra condición se dieron en </w:t>
      </w:r>
      <w:proofErr w:type="gramStart"/>
      <w:r>
        <w:rPr>
          <w:rFonts w:ascii="Verdana" w:hAnsi="Verdana"/>
          <w:sz w:val="20"/>
          <w:szCs w:val="20"/>
          <w:lang w:val="es-MX"/>
        </w:rPr>
        <w:t>autos  para</w:t>
      </w:r>
      <w:proofErr w:type="gramEnd"/>
      <w:r>
        <w:rPr>
          <w:rFonts w:ascii="Verdana" w:hAnsi="Verdana"/>
          <w:sz w:val="20"/>
          <w:szCs w:val="20"/>
          <w:lang w:val="es-MX"/>
        </w:rPr>
        <w:t xml:space="preserve"> decretar las medidas provisionales, </w:t>
      </w:r>
      <w:r w:rsidRPr="00FC61A7">
        <w:rPr>
          <w:rFonts w:ascii="Verdana" w:hAnsi="Verdana"/>
          <w:sz w:val="20"/>
          <w:szCs w:val="20"/>
          <w:lang w:val="es-MX"/>
        </w:rPr>
        <w:t>bastó</w:t>
      </w:r>
      <w:r>
        <w:rPr>
          <w:rFonts w:ascii="Verdana" w:hAnsi="Verdana"/>
          <w:sz w:val="20"/>
          <w:szCs w:val="20"/>
          <w:lang w:val="es-MX"/>
        </w:rPr>
        <w:t xml:space="preserve"> que se señalaran para ordenarlas</w:t>
      </w:r>
      <w:r w:rsidRPr="00FC61A7">
        <w:rPr>
          <w:rFonts w:ascii="Verdana" w:hAnsi="Verdana"/>
          <w:sz w:val="20"/>
          <w:szCs w:val="20"/>
          <w:lang w:val="es-MX"/>
        </w:rPr>
        <w:t>.</w:t>
      </w:r>
    </w:p>
    <w:p w14:paraId="153D2125" w14:textId="77777777" w:rsidR="004F0E31" w:rsidRPr="00D30523" w:rsidRDefault="004F0E31" w:rsidP="009A5EDB">
      <w:pPr>
        <w:pStyle w:val="Prrafodelista"/>
        <w:ind w:left="-850"/>
        <w:rPr>
          <w:rFonts w:ascii="Verdana" w:hAnsi="Verdana"/>
          <w:sz w:val="20"/>
          <w:lang w:val="es-CR"/>
        </w:rPr>
      </w:pPr>
    </w:p>
    <w:p w14:paraId="652D35D9" w14:textId="77777777" w:rsidR="004F0E31" w:rsidRPr="00D30523" w:rsidRDefault="004F0E31" w:rsidP="004F0E31">
      <w:pPr>
        <w:numPr>
          <w:ilvl w:val="0"/>
          <w:numId w:val="29"/>
        </w:numPr>
        <w:spacing w:after="0"/>
        <w:ind w:left="-490" w:right="-567"/>
        <w:contextualSpacing/>
        <w:jc w:val="both"/>
        <w:rPr>
          <w:rFonts w:ascii="Verdana" w:hAnsi="Verdana"/>
          <w:sz w:val="20"/>
          <w:szCs w:val="20"/>
          <w:lang w:val="es-CR"/>
        </w:rPr>
      </w:pPr>
      <w:r w:rsidRPr="00D30523">
        <w:rPr>
          <w:rFonts w:ascii="Verdana" w:hAnsi="Verdana"/>
          <w:sz w:val="20"/>
          <w:szCs w:val="20"/>
          <w:lang w:val="es-CR"/>
        </w:rPr>
        <w:t xml:space="preserve">Así, entonces, la Resolución hace caso omiso de lo dispuesto en el artículo 63.2 de la Convención, despojando sin más a su frase final de toda posibilidad, aunque fuese mínima, de aplicación, sin considerar, por otra parte, que la facultad de intervención de la Comisión prevista en ella, debía ser interpretada como parte del SIDH. </w:t>
      </w:r>
    </w:p>
    <w:p w14:paraId="1277A285" w14:textId="77777777" w:rsidR="004F0E31" w:rsidRPr="00D30523" w:rsidRDefault="004F0E31" w:rsidP="009A5EDB">
      <w:pPr>
        <w:spacing w:after="0"/>
        <w:ind w:left="-850"/>
        <w:contextualSpacing/>
        <w:jc w:val="both"/>
        <w:rPr>
          <w:rFonts w:ascii="Verdana" w:hAnsi="Verdana"/>
          <w:sz w:val="20"/>
          <w:szCs w:val="20"/>
        </w:rPr>
      </w:pPr>
    </w:p>
    <w:p w14:paraId="12A2963F" w14:textId="77777777" w:rsidR="004F0E31" w:rsidRPr="00D30523" w:rsidRDefault="004F0E31" w:rsidP="004F0E31">
      <w:pPr>
        <w:numPr>
          <w:ilvl w:val="0"/>
          <w:numId w:val="33"/>
        </w:numPr>
        <w:spacing w:after="0"/>
        <w:ind w:left="-130" w:right="-567"/>
        <w:contextualSpacing/>
        <w:jc w:val="both"/>
        <w:rPr>
          <w:rFonts w:ascii="Verdana" w:hAnsi="Verdana"/>
          <w:sz w:val="20"/>
          <w:szCs w:val="20"/>
        </w:rPr>
      </w:pPr>
      <w:r w:rsidRPr="00D30523">
        <w:rPr>
          <w:rFonts w:ascii="Verdana" w:hAnsi="Verdana"/>
          <w:b/>
          <w:bCs/>
          <w:sz w:val="20"/>
          <w:szCs w:val="20"/>
        </w:rPr>
        <w:t>CONCLUSIONES.</w:t>
      </w:r>
    </w:p>
    <w:p w14:paraId="026A9EC5" w14:textId="77777777" w:rsidR="004F0E31" w:rsidRPr="00D30523" w:rsidRDefault="004F0E31" w:rsidP="009A5EDB">
      <w:pPr>
        <w:spacing w:after="0"/>
        <w:ind w:left="-850"/>
        <w:contextualSpacing/>
        <w:jc w:val="both"/>
        <w:rPr>
          <w:rFonts w:ascii="Verdana" w:hAnsi="Verdana"/>
          <w:sz w:val="20"/>
          <w:szCs w:val="20"/>
        </w:rPr>
      </w:pPr>
    </w:p>
    <w:p w14:paraId="4F59A1AA"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 xml:space="preserve">De todo lo expuesto, se concluye que la Corte carece de competencia para decretar o ratificar la ampliación de medidas provisionales en relación o vinculación a un caso que ya ha sido fallado, como </w:t>
      </w:r>
      <w:r w:rsidRPr="00D30523">
        <w:rPr>
          <w:rFonts w:ascii="Verdana" w:hAnsi="Verdana"/>
          <w:sz w:val="20"/>
          <w:szCs w:val="20"/>
        </w:rPr>
        <w:lastRenderedPageBreak/>
        <w:t xml:space="preserve">es el de autos. En tal eventualidad, su facultad al respecto ha precluido, en razón de que el caso ya no se encuentra bajo su conocimiento y, consecuentemente, resolución. </w:t>
      </w:r>
    </w:p>
    <w:p w14:paraId="3C9BD625" w14:textId="77777777" w:rsidR="004F0E31" w:rsidRPr="00D30523" w:rsidRDefault="004F0E31" w:rsidP="009A5EDB">
      <w:pPr>
        <w:spacing w:after="0"/>
        <w:ind w:left="-850"/>
        <w:contextualSpacing/>
        <w:jc w:val="both"/>
        <w:rPr>
          <w:rFonts w:ascii="Verdana" w:hAnsi="Verdana"/>
          <w:sz w:val="20"/>
          <w:szCs w:val="20"/>
        </w:rPr>
      </w:pPr>
    </w:p>
    <w:p w14:paraId="41731CB0"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 xml:space="preserve">Asimismo, se colige que los fundamentos esgrimidos en la Resolución para ordenar las medidas provisionales, dicen relación más con la institución reglamentaria de supervisión de cumplimiento de sentencias que con la </w:t>
      </w:r>
      <w:r>
        <w:rPr>
          <w:rFonts w:ascii="Verdana" w:hAnsi="Verdana"/>
          <w:sz w:val="20"/>
          <w:szCs w:val="20"/>
        </w:rPr>
        <w:t>convencional de medidas provisionales</w:t>
      </w:r>
      <w:r w:rsidRPr="00D30523">
        <w:rPr>
          <w:rFonts w:ascii="Verdana" w:hAnsi="Verdana"/>
          <w:sz w:val="20"/>
          <w:szCs w:val="20"/>
        </w:rPr>
        <w:t>.</w:t>
      </w:r>
    </w:p>
    <w:p w14:paraId="78205E35" w14:textId="77777777" w:rsidR="004F0E31" w:rsidRPr="00D30523" w:rsidRDefault="004F0E31" w:rsidP="009A5EDB">
      <w:pPr>
        <w:spacing w:after="0"/>
        <w:ind w:left="-850"/>
        <w:contextualSpacing/>
        <w:jc w:val="both"/>
        <w:rPr>
          <w:rFonts w:ascii="Verdana" w:hAnsi="Verdana"/>
          <w:sz w:val="20"/>
          <w:szCs w:val="20"/>
        </w:rPr>
      </w:pPr>
    </w:p>
    <w:p w14:paraId="0CCB0208"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 xml:space="preserve">De ello se puede igualmente presumir, quizás porque las resoluciones que se adoptan al amparo de la institución de supervisión de cumplimiento de sentencias no son tan eficaces como las que se </w:t>
      </w:r>
      <w:r>
        <w:rPr>
          <w:rFonts w:ascii="Verdana" w:hAnsi="Verdana"/>
          <w:sz w:val="20"/>
          <w:szCs w:val="20"/>
        </w:rPr>
        <w:t xml:space="preserve">pueden </w:t>
      </w:r>
      <w:r w:rsidRPr="00D30523">
        <w:rPr>
          <w:rFonts w:ascii="Verdana" w:hAnsi="Verdana"/>
          <w:sz w:val="20"/>
          <w:szCs w:val="20"/>
        </w:rPr>
        <w:t>decreta</w:t>
      </w:r>
      <w:r>
        <w:rPr>
          <w:rFonts w:ascii="Verdana" w:hAnsi="Verdana"/>
          <w:sz w:val="20"/>
          <w:szCs w:val="20"/>
        </w:rPr>
        <w:t>r</w:t>
      </w:r>
      <w:r w:rsidRPr="00D30523">
        <w:rPr>
          <w:rFonts w:ascii="Verdana" w:hAnsi="Verdana"/>
          <w:sz w:val="20"/>
          <w:szCs w:val="20"/>
        </w:rPr>
        <w:t xml:space="preserve"> en el ámbito de la figura de las medidas provisionales que los peticionares optaron por requerir estas </w:t>
      </w:r>
      <w:proofErr w:type="gramStart"/>
      <w:r w:rsidRPr="00D30523">
        <w:rPr>
          <w:rFonts w:ascii="Verdana" w:hAnsi="Verdana"/>
          <w:sz w:val="20"/>
          <w:szCs w:val="20"/>
        </w:rPr>
        <w:t>últimas .</w:t>
      </w:r>
      <w:proofErr w:type="gramEnd"/>
      <w:r w:rsidRPr="00D30523">
        <w:rPr>
          <w:rFonts w:ascii="Verdana" w:hAnsi="Verdana"/>
          <w:sz w:val="20"/>
          <w:szCs w:val="20"/>
        </w:rPr>
        <w:t xml:space="preserve"> </w:t>
      </w:r>
    </w:p>
    <w:p w14:paraId="63199A3C" w14:textId="77777777" w:rsidR="004F0E31" w:rsidRPr="00D30523" w:rsidRDefault="004F0E31" w:rsidP="009A5EDB">
      <w:pPr>
        <w:spacing w:after="0"/>
        <w:ind w:left="-850"/>
        <w:jc w:val="both"/>
        <w:rPr>
          <w:rFonts w:ascii="Verdana" w:hAnsi="Verdana"/>
          <w:sz w:val="20"/>
          <w:szCs w:val="20"/>
        </w:rPr>
      </w:pPr>
    </w:p>
    <w:p w14:paraId="683EEBE0"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 xml:space="preserve">Empero, de lo sostenido también se puede afirmar que el proceder de la Corte en autos dejó sin sentido y utilidad lo previsto en la última frase del artículo 63.2 </w:t>
      </w:r>
      <w:r w:rsidRPr="00D30523">
        <w:rPr>
          <w:rFonts w:ascii="Verdana" w:hAnsi="Verdana"/>
          <w:iCs/>
          <w:sz w:val="20"/>
          <w:szCs w:val="20"/>
          <w:lang w:val="es-ES"/>
        </w:rPr>
        <w:t xml:space="preserve">y, por tanto, se le privó a la Comisión de la posibilidad de oportuna y también urgentemente ejercer sus atribuciones en este asunto, afectándose así al funcionamiento del </w:t>
      </w:r>
      <w:r w:rsidRPr="00D30523">
        <w:rPr>
          <w:rFonts w:ascii="Verdana" w:hAnsi="Verdana"/>
          <w:sz w:val="20"/>
          <w:szCs w:val="20"/>
        </w:rPr>
        <w:t xml:space="preserve">conjunto del SIDH. </w:t>
      </w:r>
    </w:p>
    <w:p w14:paraId="50EBE8C9" w14:textId="77777777" w:rsidR="004F0E31" w:rsidRPr="00D30523" w:rsidRDefault="004F0E31" w:rsidP="009A5EDB">
      <w:pPr>
        <w:spacing w:after="0"/>
        <w:ind w:left="-850"/>
        <w:contextualSpacing/>
        <w:jc w:val="both"/>
        <w:rPr>
          <w:rFonts w:ascii="Verdana" w:hAnsi="Verdana"/>
          <w:sz w:val="20"/>
          <w:szCs w:val="20"/>
        </w:rPr>
      </w:pPr>
    </w:p>
    <w:p w14:paraId="054E3CE4"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 xml:space="preserve">En esta perspectiva, es de advertir que, al sostener en este escrito que la petición de medidas provisionales debería haberse dirigido a la Comisión, requiriéndolas como medidas cautelares o que ésta las solicitara como medidas provisionales y que, consecuentemente, la Corte debería haberse abstenido de pronunciarse, por ahora, sobre ellas, no se procede en contra del oportuno respeto y restablecimiento la vigencia de los derechos humanos. Muy por el contrario y aunque a más de alguien le pueda parecer paradójico, esta postura pretende salvaguardar el mecanismo establecido precisamente para ello. </w:t>
      </w:r>
    </w:p>
    <w:p w14:paraId="2582B073" w14:textId="77777777" w:rsidR="004F0E31" w:rsidRPr="00D30523" w:rsidRDefault="004F0E31" w:rsidP="009A5EDB">
      <w:pPr>
        <w:spacing w:after="0"/>
        <w:ind w:left="-850"/>
        <w:contextualSpacing/>
        <w:jc w:val="both"/>
        <w:rPr>
          <w:rFonts w:ascii="Verdana" w:hAnsi="Verdana"/>
          <w:sz w:val="20"/>
          <w:szCs w:val="20"/>
        </w:rPr>
      </w:pPr>
    </w:p>
    <w:p w14:paraId="21B7F968"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 xml:space="preserve">Efectivamente, ya que, en tal sentido, se tiene en cuenta, por una parte, la realidad estructural de la sociedad internacional, cual es, que </w:t>
      </w:r>
      <w:r>
        <w:rPr>
          <w:rFonts w:ascii="Verdana" w:hAnsi="Verdana"/>
          <w:sz w:val="20"/>
          <w:szCs w:val="20"/>
        </w:rPr>
        <w:t xml:space="preserve">ella </w:t>
      </w:r>
      <w:r w:rsidRPr="00D30523">
        <w:rPr>
          <w:rFonts w:ascii="Verdana" w:hAnsi="Verdana"/>
          <w:sz w:val="20"/>
          <w:szCs w:val="20"/>
        </w:rPr>
        <w:t xml:space="preserve">sigue siendo, pese a algunos cambios, básicamente una sociedad entre Estados, los cuales, además, crean el Derecho que la regula, y, por otra parte, que, con el establecimiento de este último en materia de derechos humanos, esos Estados han aceptado voluntariamente limitar su soberanía en tal ámbito. De manera, entonces, que, al impartir Justicia en materia de derechos humanos, ciertamente se debe tener conciencia de que, si bien no siempre el Derecho refleja lo que podría considerarse justo, en especial por el transcurso del tiempo, no es conveniente, pese a ello, arriesgar lo avanzado en materia de derechos humanos, vulnerando lo que los propios Estados obligados a respetarlos convinieron precisamente para ello. </w:t>
      </w:r>
    </w:p>
    <w:p w14:paraId="29E7C527" w14:textId="77777777" w:rsidR="004F0E31" w:rsidRPr="00D30523" w:rsidRDefault="004F0E31" w:rsidP="00DF1519">
      <w:pPr>
        <w:spacing w:after="0"/>
        <w:contextualSpacing/>
        <w:jc w:val="both"/>
        <w:rPr>
          <w:rFonts w:ascii="Verdana" w:hAnsi="Verdana"/>
          <w:sz w:val="20"/>
          <w:szCs w:val="20"/>
        </w:rPr>
      </w:pPr>
    </w:p>
    <w:p w14:paraId="3B832FC0"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Es en tal perspectiva, pues, que se tiene el convencimiento de que no utilizar ni respetar el Derecho Internacional de los Derechos Humanos tal como fue consentido libremente por los Estados, puede conducir, a la larga, a la privación del valor intrínseco que esencialmente lo caracteriza, además de afectar la naturaleza de la propia Corte, al hacerla incursionar en el ámbito más político y propio de quienes ejercen la función normativa</w:t>
      </w:r>
      <w:r w:rsidRPr="00D30523">
        <w:rPr>
          <w:rStyle w:val="Refdenotaalpie"/>
          <w:rFonts w:ascii="Verdana" w:hAnsi="Verdana"/>
          <w:sz w:val="20"/>
          <w:szCs w:val="20"/>
        </w:rPr>
        <w:footnoteReference w:id="74"/>
      </w:r>
      <w:r w:rsidRPr="00D30523">
        <w:rPr>
          <w:rFonts w:ascii="Verdana" w:hAnsi="Verdana"/>
          <w:sz w:val="20"/>
          <w:szCs w:val="20"/>
        </w:rPr>
        <w:t xml:space="preserve"> y también de la ejecutiva, afectando así</w:t>
      </w:r>
      <w:r>
        <w:rPr>
          <w:rFonts w:ascii="Verdana" w:hAnsi="Verdana"/>
          <w:sz w:val="20"/>
          <w:szCs w:val="20"/>
        </w:rPr>
        <w:t xml:space="preserve">, </w:t>
      </w:r>
      <w:r w:rsidRPr="00D30523">
        <w:rPr>
          <w:rFonts w:ascii="Verdana" w:hAnsi="Verdana"/>
          <w:sz w:val="20"/>
          <w:szCs w:val="20"/>
        </w:rPr>
        <w:t>además</w:t>
      </w:r>
      <w:r>
        <w:rPr>
          <w:rFonts w:ascii="Verdana" w:hAnsi="Verdana"/>
          <w:sz w:val="20"/>
          <w:szCs w:val="20"/>
        </w:rPr>
        <w:t>,</w:t>
      </w:r>
      <w:r w:rsidRPr="00D30523">
        <w:rPr>
          <w:rFonts w:ascii="Verdana" w:hAnsi="Verdana"/>
          <w:sz w:val="20"/>
          <w:szCs w:val="20"/>
        </w:rPr>
        <w:t xml:space="preserve"> el ejercicio de la democracia. </w:t>
      </w:r>
    </w:p>
    <w:p w14:paraId="32CBB6A3" w14:textId="77777777" w:rsidR="004F0E31" w:rsidRPr="00D30523" w:rsidRDefault="004F0E31" w:rsidP="00DF1519">
      <w:pPr>
        <w:spacing w:after="0"/>
        <w:contextualSpacing/>
        <w:jc w:val="both"/>
        <w:rPr>
          <w:rFonts w:ascii="Verdana" w:hAnsi="Verdana"/>
          <w:sz w:val="20"/>
          <w:szCs w:val="20"/>
        </w:rPr>
      </w:pPr>
    </w:p>
    <w:p w14:paraId="4C2A558B" w14:textId="77777777" w:rsidR="004F0E31" w:rsidRPr="00D30523" w:rsidRDefault="004F0E31" w:rsidP="004F0E31">
      <w:pPr>
        <w:numPr>
          <w:ilvl w:val="0"/>
          <w:numId w:val="29"/>
        </w:numPr>
        <w:spacing w:after="0"/>
        <w:ind w:left="-490" w:right="-567"/>
        <w:contextualSpacing/>
        <w:jc w:val="both"/>
        <w:rPr>
          <w:rFonts w:ascii="Verdana" w:hAnsi="Verdana"/>
          <w:sz w:val="20"/>
          <w:szCs w:val="20"/>
        </w:rPr>
      </w:pPr>
      <w:r w:rsidRPr="00D30523">
        <w:rPr>
          <w:rFonts w:ascii="Verdana" w:hAnsi="Verdana"/>
          <w:sz w:val="20"/>
          <w:szCs w:val="20"/>
        </w:rPr>
        <w:t>Al emitir el presente voto, no se puede dejar de expresar que se lamenta tener que discrepar de lo resuelto en una situación que, probablemente, podría haber reunido las condiciones de extrema gravedad</w:t>
      </w:r>
      <w:r>
        <w:rPr>
          <w:rFonts w:ascii="Verdana" w:hAnsi="Verdana"/>
          <w:sz w:val="20"/>
          <w:szCs w:val="20"/>
        </w:rPr>
        <w:t xml:space="preserve"> y </w:t>
      </w:r>
      <w:r w:rsidRPr="00D30523">
        <w:rPr>
          <w:rFonts w:ascii="Verdana" w:hAnsi="Verdana"/>
          <w:sz w:val="20"/>
          <w:szCs w:val="20"/>
        </w:rPr>
        <w:t xml:space="preserve">urgencia y daño irreparable, necesarias para poder dictar medidas provisionales. Sin embargo, como </w:t>
      </w:r>
      <w:r>
        <w:rPr>
          <w:rFonts w:ascii="Verdana" w:hAnsi="Verdana"/>
          <w:sz w:val="20"/>
          <w:szCs w:val="20"/>
        </w:rPr>
        <w:t>Corte</w:t>
      </w:r>
      <w:r w:rsidRPr="00D30523">
        <w:rPr>
          <w:rFonts w:ascii="Verdana" w:hAnsi="Verdana"/>
          <w:sz w:val="20"/>
          <w:szCs w:val="20"/>
        </w:rPr>
        <w:t xml:space="preserve">, se debe procurar administrar y otorgar Justicia a través del Derecho, única forma de poder dar a </w:t>
      </w:r>
      <w:r>
        <w:rPr>
          <w:rFonts w:ascii="Verdana" w:hAnsi="Verdana"/>
          <w:sz w:val="20"/>
          <w:szCs w:val="20"/>
        </w:rPr>
        <w:t>quienes comparece ante ella</w:t>
      </w:r>
      <w:r w:rsidRPr="00D30523">
        <w:rPr>
          <w:rFonts w:ascii="Verdana" w:hAnsi="Verdana"/>
          <w:sz w:val="20"/>
          <w:szCs w:val="20"/>
        </w:rPr>
        <w:t xml:space="preserve">, </w:t>
      </w:r>
      <w:r>
        <w:rPr>
          <w:rFonts w:ascii="Verdana" w:hAnsi="Verdana"/>
          <w:sz w:val="20"/>
          <w:szCs w:val="20"/>
        </w:rPr>
        <w:t xml:space="preserve">suficientes garantías de </w:t>
      </w:r>
      <w:r w:rsidRPr="00D30523">
        <w:rPr>
          <w:rFonts w:ascii="Verdana" w:hAnsi="Verdana"/>
          <w:sz w:val="20"/>
          <w:szCs w:val="20"/>
        </w:rPr>
        <w:t>independencia, imparcialidad, objetividad e integridad propias de una instancia judicial.</w:t>
      </w:r>
    </w:p>
    <w:p w14:paraId="0F209688" w14:textId="77777777" w:rsidR="004F0E31" w:rsidRDefault="004F0E31" w:rsidP="009A5EDB">
      <w:pPr>
        <w:spacing w:after="0"/>
        <w:contextualSpacing/>
        <w:jc w:val="both"/>
        <w:rPr>
          <w:rFonts w:ascii="Verdana" w:hAnsi="Verdana"/>
          <w:sz w:val="20"/>
          <w:szCs w:val="20"/>
        </w:rPr>
      </w:pPr>
    </w:p>
    <w:p w14:paraId="703B9B7F" w14:textId="77777777" w:rsidR="004F0E31" w:rsidRDefault="004F0E31" w:rsidP="009A5EDB">
      <w:pPr>
        <w:spacing w:after="0"/>
        <w:contextualSpacing/>
        <w:jc w:val="both"/>
        <w:rPr>
          <w:rFonts w:ascii="Verdana" w:hAnsi="Verdana"/>
          <w:sz w:val="20"/>
          <w:szCs w:val="20"/>
        </w:rPr>
      </w:pPr>
    </w:p>
    <w:p w14:paraId="39C94AE7" w14:textId="77777777" w:rsidR="004F0E31" w:rsidRPr="00D30523" w:rsidRDefault="004F0E31" w:rsidP="009A5EDB">
      <w:pPr>
        <w:spacing w:after="0"/>
        <w:contextualSpacing/>
        <w:jc w:val="both"/>
        <w:rPr>
          <w:rFonts w:ascii="Verdana" w:hAnsi="Verdana"/>
          <w:sz w:val="20"/>
          <w:szCs w:val="20"/>
        </w:rPr>
      </w:pPr>
    </w:p>
    <w:p w14:paraId="7A4B4BD1" w14:textId="77777777" w:rsidR="004F0E31" w:rsidRPr="00D30523" w:rsidRDefault="004F0E31" w:rsidP="009A5EDB">
      <w:pPr>
        <w:spacing w:after="0"/>
        <w:rPr>
          <w:rFonts w:ascii="Verdana" w:hAnsi="Verdana"/>
          <w:sz w:val="20"/>
          <w:szCs w:val="20"/>
        </w:rPr>
      </w:pPr>
    </w:p>
    <w:p w14:paraId="35A89134" w14:textId="77777777" w:rsidR="004F0E31" w:rsidRPr="00D30523" w:rsidRDefault="004F0E31" w:rsidP="009A5EDB">
      <w:pPr>
        <w:spacing w:after="0"/>
        <w:rPr>
          <w:rFonts w:ascii="Verdana" w:hAnsi="Verdana"/>
          <w:sz w:val="20"/>
          <w:szCs w:val="20"/>
        </w:rPr>
      </w:pPr>
    </w:p>
    <w:p w14:paraId="1ED75088" w14:textId="77777777" w:rsidR="004F0E31" w:rsidRPr="00D30523" w:rsidRDefault="004F0E31" w:rsidP="009A5EDB">
      <w:pPr>
        <w:spacing w:after="0"/>
        <w:jc w:val="right"/>
        <w:rPr>
          <w:rFonts w:ascii="Verdana" w:hAnsi="Verdana"/>
          <w:sz w:val="20"/>
          <w:szCs w:val="20"/>
        </w:rPr>
      </w:pPr>
      <w:r w:rsidRPr="00D30523">
        <w:rPr>
          <w:rFonts w:ascii="Verdana" w:hAnsi="Verdana"/>
          <w:sz w:val="20"/>
          <w:szCs w:val="20"/>
        </w:rPr>
        <w:t>Eduardo Vio Grossi</w:t>
      </w:r>
    </w:p>
    <w:p w14:paraId="453946AD" w14:textId="77777777" w:rsidR="004F0E31" w:rsidRPr="00D30523" w:rsidRDefault="004F0E31" w:rsidP="009A5EDB">
      <w:pPr>
        <w:spacing w:after="0"/>
        <w:jc w:val="right"/>
        <w:rPr>
          <w:rFonts w:ascii="Verdana" w:hAnsi="Verdana"/>
          <w:sz w:val="20"/>
          <w:szCs w:val="20"/>
        </w:rPr>
      </w:pPr>
      <w:r w:rsidRPr="00D30523">
        <w:rPr>
          <w:rFonts w:ascii="Verdana" w:hAnsi="Verdana"/>
          <w:sz w:val="20"/>
          <w:szCs w:val="20"/>
        </w:rPr>
        <w:t>Juez</w:t>
      </w:r>
    </w:p>
    <w:p w14:paraId="41592973" w14:textId="77777777" w:rsidR="004F0E31" w:rsidRPr="00D30523" w:rsidRDefault="004F0E31">
      <w:pPr>
        <w:rPr>
          <w:rFonts w:ascii="Verdana" w:hAnsi="Verdana"/>
          <w:sz w:val="20"/>
          <w:szCs w:val="20"/>
        </w:rPr>
      </w:pPr>
    </w:p>
    <w:p w14:paraId="6A4F7F3D" w14:textId="0F3F3942" w:rsidR="0017241F" w:rsidRPr="001C7058" w:rsidRDefault="0017241F" w:rsidP="001C7058">
      <w:pPr>
        <w:spacing w:after="0" w:line="240" w:lineRule="auto"/>
        <w:ind w:right="6241"/>
        <w:rPr>
          <w:rFonts w:ascii="Verdana" w:hAnsi="Verdana"/>
          <w:sz w:val="20"/>
          <w:szCs w:val="20"/>
          <w:lang w:val="es-AR"/>
        </w:rPr>
      </w:pPr>
    </w:p>
    <w:sectPr w:rsidR="0017241F" w:rsidRPr="001C7058" w:rsidSect="004F0E31">
      <w:footerReference w:type="default" r:id="rId10"/>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F190F" w14:textId="77777777" w:rsidR="00A84CC4" w:rsidRDefault="00A84CC4" w:rsidP="0038765A">
      <w:pPr>
        <w:spacing w:after="0" w:line="240" w:lineRule="auto"/>
      </w:pPr>
      <w:r>
        <w:separator/>
      </w:r>
    </w:p>
  </w:endnote>
  <w:endnote w:type="continuationSeparator" w:id="0">
    <w:p w14:paraId="5E8B32E6" w14:textId="77777777" w:rsidR="00A84CC4" w:rsidRDefault="00A84CC4" w:rsidP="0038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0"/>
        <w:szCs w:val="20"/>
      </w:rPr>
      <w:id w:val="201532063"/>
      <w:docPartObj>
        <w:docPartGallery w:val="Page Numbers (Bottom of Page)"/>
        <w:docPartUnique/>
      </w:docPartObj>
    </w:sdtPr>
    <w:sdtEndPr>
      <w:rPr>
        <w:noProof/>
      </w:rPr>
    </w:sdtEndPr>
    <w:sdtContent>
      <w:p w14:paraId="7A6414BD" w14:textId="3D50E830" w:rsidR="004433E8" w:rsidRPr="007E5905" w:rsidRDefault="004433E8">
        <w:pPr>
          <w:pStyle w:val="Piedepgina"/>
          <w:jc w:val="center"/>
          <w:rPr>
            <w:rFonts w:ascii="Verdana" w:hAnsi="Verdana"/>
            <w:sz w:val="20"/>
            <w:szCs w:val="20"/>
          </w:rPr>
        </w:pPr>
        <w:r w:rsidRPr="007E5905">
          <w:rPr>
            <w:rFonts w:ascii="Verdana" w:hAnsi="Verdana"/>
            <w:sz w:val="20"/>
            <w:szCs w:val="20"/>
          </w:rPr>
          <w:fldChar w:fldCharType="begin"/>
        </w:r>
        <w:r w:rsidRPr="007E5905">
          <w:rPr>
            <w:rFonts w:ascii="Verdana" w:hAnsi="Verdana"/>
            <w:sz w:val="20"/>
            <w:szCs w:val="20"/>
          </w:rPr>
          <w:instrText xml:space="preserve"> PAGE   \* MERGEFORMAT </w:instrText>
        </w:r>
        <w:r w:rsidRPr="007E5905">
          <w:rPr>
            <w:rFonts w:ascii="Verdana" w:hAnsi="Verdana"/>
            <w:sz w:val="20"/>
            <w:szCs w:val="20"/>
          </w:rPr>
          <w:fldChar w:fldCharType="separate"/>
        </w:r>
        <w:r w:rsidR="00CF4CBF">
          <w:rPr>
            <w:rFonts w:ascii="Verdana" w:hAnsi="Verdana"/>
            <w:noProof/>
            <w:sz w:val="20"/>
            <w:szCs w:val="20"/>
          </w:rPr>
          <w:t>8</w:t>
        </w:r>
        <w:r w:rsidRPr="007E5905">
          <w:rPr>
            <w:rFonts w:ascii="Verdana" w:hAnsi="Verdana"/>
            <w:noProof/>
            <w:sz w:val="20"/>
            <w:szCs w:val="20"/>
          </w:rPr>
          <w:fldChar w:fldCharType="end"/>
        </w:r>
      </w:p>
    </w:sdtContent>
  </w:sdt>
  <w:p w14:paraId="6C7C7EF5" w14:textId="77777777" w:rsidR="004433E8" w:rsidRPr="007E5905" w:rsidRDefault="004433E8">
    <w:pPr>
      <w:pStyle w:val="Piedepgina"/>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557536"/>
      <w:docPartObj>
        <w:docPartGallery w:val="Page Numbers (Bottom of Page)"/>
        <w:docPartUnique/>
      </w:docPartObj>
    </w:sdtPr>
    <w:sdtEndPr/>
    <w:sdtContent>
      <w:p w14:paraId="5EF306CA" w14:textId="2879FCD3" w:rsidR="004433E8" w:rsidRDefault="004433E8">
        <w:pPr>
          <w:pStyle w:val="Piedepgina"/>
          <w:jc w:val="center"/>
        </w:pPr>
        <w:r>
          <w:fldChar w:fldCharType="begin"/>
        </w:r>
        <w:r>
          <w:instrText>PAGE   \* MERGEFORMAT</w:instrText>
        </w:r>
        <w:r>
          <w:fldChar w:fldCharType="separate"/>
        </w:r>
        <w:r w:rsidR="00CF4CBF" w:rsidRPr="00CF4CBF">
          <w:rPr>
            <w:noProof/>
            <w:lang w:val="es-ES"/>
          </w:rPr>
          <w:t>1</w:t>
        </w:r>
        <w:r>
          <w:fldChar w:fldCharType="end"/>
        </w:r>
      </w:p>
    </w:sdtContent>
  </w:sdt>
  <w:p w14:paraId="06DE7B9D" w14:textId="77777777" w:rsidR="004433E8" w:rsidRDefault="004433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25417"/>
      <w:docPartObj>
        <w:docPartGallery w:val="Page Numbers (Bottom of Page)"/>
        <w:docPartUnique/>
      </w:docPartObj>
    </w:sdtPr>
    <w:sdtEndPr/>
    <w:sdtContent>
      <w:p w14:paraId="04CEF38B" w14:textId="77777777" w:rsidR="0037374F" w:rsidRDefault="00A84CC4">
        <w:pPr>
          <w:pStyle w:val="Piedepgina"/>
          <w:jc w:val="right"/>
        </w:pPr>
        <w:r>
          <w:fldChar w:fldCharType="begin"/>
        </w:r>
        <w:r>
          <w:instrText>PAGE   \* MERGEFORMAT</w:instrText>
        </w:r>
        <w:r>
          <w:fldChar w:fldCharType="separate"/>
        </w:r>
        <w:r>
          <w:rPr>
            <w:lang w:val="es-ES"/>
          </w:rPr>
          <w:t>2</w:t>
        </w:r>
        <w:r>
          <w:fldChar w:fldCharType="end"/>
        </w:r>
      </w:p>
    </w:sdtContent>
  </w:sdt>
  <w:p w14:paraId="1261C130" w14:textId="77777777" w:rsidR="001B6B87" w:rsidRPr="008A2CEB" w:rsidRDefault="00A84CC4">
    <w:pPr>
      <w:pStyle w:val="Piedepgin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1D4B7" w14:textId="77777777" w:rsidR="00A84CC4" w:rsidRDefault="00A84CC4" w:rsidP="0038765A">
      <w:pPr>
        <w:spacing w:after="0" w:line="240" w:lineRule="auto"/>
      </w:pPr>
      <w:r>
        <w:separator/>
      </w:r>
    </w:p>
  </w:footnote>
  <w:footnote w:type="continuationSeparator" w:id="0">
    <w:p w14:paraId="58D27FFD" w14:textId="77777777" w:rsidR="00A84CC4" w:rsidRDefault="00A84CC4" w:rsidP="0038765A">
      <w:pPr>
        <w:spacing w:after="0" w:line="240" w:lineRule="auto"/>
      </w:pPr>
      <w:r>
        <w:continuationSeparator/>
      </w:r>
    </w:p>
  </w:footnote>
  <w:footnote w:id="1">
    <w:p w14:paraId="2C17E603" w14:textId="703FB2D7" w:rsidR="00FC123E" w:rsidRPr="00FC123E" w:rsidRDefault="00FC123E" w:rsidP="00FC123E">
      <w:pPr>
        <w:tabs>
          <w:tab w:val="left" w:pos="567"/>
        </w:tabs>
        <w:spacing w:before="120" w:after="120"/>
        <w:contextualSpacing/>
        <w:jc w:val="both"/>
        <w:rPr>
          <w:rFonts w:ascii="Verdana" w:hAnsi="Verdana"/>
          <w:sz w:val="16"/>
          <w:szCs w:val="16"/>
          <w:lang w:val="es-CR"/>
        </w:rPr>
      </w:pPr>
      <w:r w:rsidRPr="00FC123E">
        <w:rPr>
          <w:rStyle w:val="Refdenotaalpie"/>
          <w:rFonts w:ascii="Verdana" w:hAnsi="Verdana"/>
          <w:sz w:val="16"/>
          <w:szCs w:val="16"/>
          <w:lang w:val="es-CR"/>
        </w:rPr>
        <w:t>*</w:t>
      </w:r>
      <w:r w:rsidRPr="00FC123E">
        <w:rPr>
          <w:rFonts w:ascii="Verdana" w:hAnsi="Verdana"/>
          <w:sz w:val="16"/>
          <w:szCs w:val="16"/>
          <w:lang w:val="es-CR"/>
        </w:rPr>
        <w:t xml:space="preserve"> </w:t>
      </w:r>
      <w:r w:rsidRPr="00FC123E">
        <w:rPr>
          <w:rFonts w:ascii="Verdana" w:hAnsi="Verdana"/>
          <w:sz w:val="16"/>
          <w:szCs w:val="16"/>
          <w:lang w:val="es-CR"/>
        </w:rPr>
        <w:tab/>
        <w:t>El Juez Humberto Antonio Sierra Porto, de nacionalidad colombiana, no particip</w:t>
      </w:r>
      <w:r w:rsidR="00AE1CDE">
        <w:rPr>
          <w:rFonts w:ascii="Verdana" w:hAnsi="Verdana"/>
          <w:sz w:val="16"/>
          <w:szCs w:val="16"/>
          <w:lang w:val="es-CR"/>
        </w:rPr>
        <w:t>ó</w:t>
      </w:r>
      <w:r w:rsidRPr="00FC123E">
        <w:rPr>
          <w:rFonts w:ascii="Verdana" w:hAnsi="Verdana"/>
          <w:sz w:val="16"/>
          <w:szCs w:val="16"/>
          <w:lang w:val="es-CR"/>
        </w:rPr>
        <w:t xml:space="preserve"> en el conocimiento</w:t>
      </w:r>
      <w:r w:rsidR="00AE1CDE">
        <w:rPr>
          <w:rFonts w:ascii="Verdana" w:hAnsi="Verdana"/>
          <w:sz w:val="16"/>
          <w:szCs w:val="16"/>
          <w:lang w:val="es-CR"/>
        </w:rPr>
        <w:t xml:space="preserve"> y deliberación</w:t>
      </w:r>
      <w:r w:rsidRPr="00FC123E">
        <w:rPr>
          <w:rFonts w:ascii="Verdana" w:hAnsi="Verdana"/>
          <w:sz w:val="16"/>
          <w:szCs w:val="16"/>
          <w:lang w:val="es-CR"/>
        </w:rPr>
        <w:t xml:space="preserve"> de</w:t>
      </w:r>
      <w:r w:rsidR="00AE1CDE">
        <w:rPr>
          <w:rFonts w:ascii="Verdana" w:hAnsi="Verdana"/>
          <w:sz w:val="16"/>
          <w:szCs w:val="16"/>
          <w:lang w:val="es-CR"/>
        </w:rPr>
        <w:t xml:space="preserve"> </w:t>
      </w:r>
      <w:r w:rsidRPr="00FC123E">
        <w:rPr>
          <w:rFonts w:ascii="Verdana" w:hAnsi="Verdana"/>
          <w:sz w:val="16"/>
          <w:szCs w:val="16"/>
          <w:lang w:val="es-CR"/>
        </w:rPr>
        <w:t>l</w:t>
      </w:r>
      <w:r w:rsidR="00AE1CDE">
        <w:rPr>
          <w:rFonts w:ascii="Verdana" w:hAnsi="Verdana"/>
          <w:sz w:val="16"/>
          <w:szCs w:val="16"/>
          <w:lang w:val="es-CR"/>
        </w:rPr>
        <w:t>a</w:t>
      </w:r>
      <w:r w:rsidRPr="00FC123E">
        <w:rPr>
          <w:rFonts w:ascii="Verdana" w:hAnsi="Verdana"/>
          <w:sz w:val="16"/>
          <w:szCs w:val="16"/>
          <w:lang w:val="es-CR"/>
        </w:rPr>
        <w:t xml:space="preserve"> presente </w:t>
      </w:r>
      <w:r w:rsidR="006369EA">
        <w:rPr>
          <w:rFonts w:ascii="Verdana" w:hAnsi="Verdana"/>
          <w:sz w:val="16"/>
          <w:szCs w:val="16"/>
          <w:lang w:val="es-CR"/>
        </w:rPr>
        <w:t>R</w:t>
      </w:r>
      <w:r w:rsidR="00AE1CDE">
        <w:rPr>
          <w:rFonts w:ascii="Verdana" w:hAnsi="Verdana"/>
          <w:sz w:val="16"/>
          <w:szCs w:val="16"/>
          <w:lang w:val="es-CR"/>
        </w:rPr>
        <w:t>esolución</w:t>
      </w:r>
      <w:r w:rsidRPr="00FC123E">
        <w:rPr>
          <w:rFonts w:ascii="Verdana" w:hAnsi="Verdana"/>
          <w:sz w:val="16"/>
          <w:szCs w:val="16"/>
          <w:lang w:val="es-CR"/>
        </w:rPr>
        <w:t xml:space="preserve">, de conformidad con lo dispuesto en los artículos 19.2 del Estatuto y 19.1 del Reglamento de la Corte. </w:t>
      </w:r>
      <w:r w:rsidR="00016C5C" w:rsidRPr="00016C5C">
        <w:rPr>
          <w:rFonts w:ascii="Verdana" w:hAnsi="Verdana"/>
          <w:sz w:val="16"/>
          <w:szCs w:val="16"/>
          <w:lang w:val="es-CR"/>
        </w:rPr>
        <w:t>Debido a las circunstancias excepcionales ocasionadas por la p</w:t>
      </w:r>
      <w:r w:rsidR="00016C5C">
        <w:rPr>
          <w:rFonts w:ascii="Verdana" w:hAnsi="Verdana"/>
          <w:sz w:val="16"/>
          <w:szCs w:val="16"/>
          <w:lang w:val="es-CR"/>
        </w:rPr>
        <w:t>andemia COVID-19, esta Resolución</w:t>
      </w:r>
      <w:r w:rsidR="00016C5C" w:rsidRPr="00016C5C">
        <w:rPr>
          <w:rFonts w:ascii="Verdana" w:hAnsi="Verdana"/>
          <w:sz w:val="16"/>
          <w:szCs w:val="16"/>
          <w:lang w:val="es-CR"/>
        </w:rPr>
        <w:t xml:space="preserve"> fue deliberada y aprobada </w:t>
      </w:r>
      <w:r w:rsidR="00016C5C">
        <w:rPr>
          <w:rFonts w:ascii="Verdana" w:hAnsi="Verdana"/>
          <w:sz w:val="16"/>
          <w:szCs w:val="16"/>
          <w:lang w:val="es-CR"/>
        </w:rPr>
        <w:t xml:space="preserve">el 1 de junio de 2020 </w:t>
      </w:r>
      <w:r w:rsidR="00016C5C" w:rsidRPr="00016C5C">
        <w:rPr>
          <w:rFonts w:ascii="Verdana" w:hAnsi="Verdana"/>
          <w:sz w:val="16"/>
          <w:szCs w:val="16"/>
          <w:lang w:val="es-CR"/>
        </w:rPr>
        <w:t>durante el 135 Período Ordinario de Sesiones, el cual se llevó a cabo de forma no presencial utilizando medios tecnológicos de conformidad con lo establecido en el Reglamento de la Corte.</w:t>
      </w:r>
    </w:p>
  </w:footnote>
  <w:footnote w:id="2">
    <w:p w14:paraId="1ECBCD20" w14:textId="50A2076C" w:rsidR="00C659C1" w:rsidRPr="00E05B5F" w:rsidRDefault="00C659C1" w:rsidP="00E05B5F">
      <w:pPr>
        <w:pStyle w:val="Textonotapie"/>
        <w:jc w:val="both"/>
        <w:rPr>
          <w:rFonts w:ascii="Verdana" w:hAnsi="Verdana"/>
          <w:sz w:val="16"/>
          <w:szCs w:val="16"/>
          <w:lang w:val="es-CR"/>
        </w:rPr>
      </w:pPr>
      <w:r w:rsidRPr="00E05B5F">
        <w:rPr>
          <w:rStyle w:val="Refdenotaalpie"/>
          <w:rFonts w:ascii="Verdana" w:hAnsi="Verdana"/>
          <w:sz w:val="16"/>
          <w:szCs w:val="16"/>
        </w:rPr>
        <w:footnoteRef/>
      </w:r>
      <w:r w:rsidRPr="00E05B5F">
        <w:rPr>
          <w:rFonts w:ascii="Verdana" w:hAnsi="Verdana"/>
          <w:sz w:val="16"/>
          <w:szCs w:val="16"/>
          <w:lang w:val="es-CR"/>
        </w:rPr>
        <w:t xml:space="preserve"> </w:t>
      </w:r>
      <w:r w:rsidRPr="00E05B5F">
        <w:rPr>
          <w:rFonts w:ascii="Verdana" w:hAnsi="Verdana"/>
          <w:sz w:val="16"/>
          <w:szCs w:val="16"/>
          <w:lang w:val="es-CR"/>
        </w:rPr>
        <w:tab/>
        <w:t xml:space="preserve">Esas personas son: </w:t>
      </w:r>
      <w:proofErr w:type="spellStart"/>
      <w:r w:rsidRPr="00E05B5F">
        <w:rPr>
          <w:rFonts w:ascii="Verdana" w:hAnsi="Verdana"/>
          <w:spacing w:val="-4"/>
          <w:sz w:val="16"/>
          <w:szCs w:val="16"/>
          <w:lang w:val="es-CO"/>
        </w:rPr>
        <w:t>Shercy</w:t>
      </w:r>
      <w:proofErr w:type="spellEnd"/>
      <w:r w:rsidRPr="00E05B5F">
        <w:rPr>
          <w:rFonts w:ascii="Verdana" w:hAnsi="Verdana"/>
          <w:spacing w:val="-4"/>
          <w:sz w:val="16"/>
          <w:szCs w:val="16"/>
          <w:lang w:val="es-CO"/>
        </w:rPr>
        <w:t xml:space="preserve"> Pamela Romero Flórez, </w:t>
      </w:r>
      <w:proofErr w:type="spellStart"/>
      <w:r w:rsidRPr="00E05B5F">
        <w:rPr>
          <w:rFonts w:ascii="Verdana" w:hAnsi="Verdana"/>
          <w:spacing w:val="-4"/>
          <w:sz w:val="16"/>
          <w:szCs w:val="16"/>
          <w:lang w:val="es-CO"/>
        </w:rPr>
        <w:t>Maichol</w:t>
      </w:r>
      <w:proofErr w:type="spellEnd"/>
      <w:r w:rsidRPr="00E05B5F">
        <w:rPr>
          <w:rFonts w:ascii="Verdana" w:hAnsi="Verdana"/>
          <w:spacing w:val="-4"/>
          <w:sz w:val="16"/>
          <w:szCs w:val="16"/>
          <w:lang w:val="es-CO"/>
        </w:rPr>
        <w:t xml:space="preserve"> </w:t>
      </w:r>
      <w:proofErr w:type="spellStart"/>
      <w:r w:rsidRPr="00E05B5F">
        <w:rPr>
          <w:rFonts w:ascii="Verdana" w:hAnsi="Verdana"/>
          <w:spacing w:val="-4"/>
          <w:sz w:val="16"/>
          <w:szCs w:val="16"/>
          <w:lang w:val="es-CO"/>
        </w:rPr>
        <w:t>Edilio</w:t>
      </w:r>
      <w:proofErr w:type="spellEnd"/>
      <w:r w:rsidRPr="00E05B5F">
        <w:rPr>
          <w:rFonts w:ascii="Verdana" w:hAnsi="Verdana"/>
          <w:spacing w:val="-4"/>
          <w:sz w:val="16"/>
          <w:szCs w:val="16"/>
          <w:lang w:val="es-CO"/>
        </w:rPr>
        <w:t xml:space="preserve"> Romero Flórez, Ingrith Johanna Romero Flórez, Geraldine Romero Flórez y Tatiana Romero Flórez, así como sus núcleos familiares respectivos</w:t>
      </w:r>
    </w:p>
  </w:footnote>
  <w:footnote w:id="3">
    <w:p w14:paraId="417862FD" w14:textId="68A174F4" w:rsidR="004433E8" w:rsidRPr="00B640B8" w:rsidRDefault="004433E8" w:rsidP="00B640B8">
      <w:pPr>
        <w:pStyle w:val="Textonotapie"/>
        <w:jc w:val="both"/>
        <w:rPr>
          <w:rFonts w:ascii="Verdana" w:hAnsi="Verdana"/>
          <w:sz w:val="16"/>
          <w:szCs w:val="16"/>
          <w:lang w:val="es-ES"/>
        </w:rPr>
      </w:pPr>
      <w:r>
        <w:rPr>
          <w:rStyle w:val="Refdenotaalpie"/>
        </w:rPr>
        <w:footnoteRef/>
      </w:r>
      <w:r w:rsidRPr="007453DF">
        <w:rPr>
          <w:lang w:val="es-CR"/>
        </w:rPr>
        <w:t xml:space="preserve"> </w:t>
      </w:r>
      <w:r>
        <w:rPr>
          <w:lang w:val="es-ES"/>
        </w:rPr>
        <w:t xml:space="preserve">          </w:t>
      </w:r>
      <w:r w:rsidRPr="00B640B8">
        <w:rPr>
          <w:rFonts w:ascii="Verdana" w:hAnsi="Verdana"/>
          <w:i/>
          <w:iCs/>
          <w:sz w:val="16"/>
          <w:szCs w:val="16"/>
          <w:lang w:val="es-ES"/>
        </w:rPr>
        <w:t xml:space="preserve">Cfr. </w:t>
      </w:r>
      <w:r w:rsidRPr="00B640B8">
        <w:rPr>
          <w:rFonts w:ascii="Verdana" w:hAnsi="Verdana"/>
          <w:sz w:val="16"/>
          <w:szCs w:val="16"/>
          <w:lang w:val="es-ES"/>
        </w:rPr>
        <w:t xml:space="preserve">Escrito de 1 de mayo de 2020 dirigido al Coordinador del grupo interno de trabajo de asuntos de protección sobre Derechos Humanos y DIH. Anexo al escrito de 4 de mayo de 2020. </w:t>
      </w:r>
    </w:p>
  </w:footnote>
  <w:footnote w:id="4">
    <w:p w14:paraId="5BDFD4F5" w14:textId="77777777" w:rsidR="001D2090" w:rsidRDefault="001D2090" w:rsidP="001D2090">
      <w:pPr>
        <w:pStyle w:val="Textonotapie"/>
        <w:jc w:val="both"/>
        <w:rPr>
          <w:rFonts w:ascii="Verdana" w:hAnsi="Verdana"/>
          <w:i/>
          <w:sz w:val="16"/>
          <w:szCs w:val="16"/>
          <w:lang w:val="es-CR"/>
        </w:rPr>
      </w:pPr>
      <w:r>
        <w:rPr>
          <w:rStyle w:val="Refdenotaalpie"/>
          <w:rFonts w:ascii="Verdana" w:hAnsi="Verdana"/>
          <w:sz w:val="16"/>
          <w:szCs w:val="16"/>
        </w:rPr>
        <w:footnoteRef/>
      </w:r>
      <w:r>
        <w:rPr>
          <w:rFonts w:ascii="Verdana" w:hAnsi="Verdana"/>
          <w:sz w:val="16"/>
          <w:szCs w:val="16"/>
          <w:lang w:val="es-CR"/>
        </w:rPr>
        <w:t xml:space="preserve"> </w:t>
      </w:r>
      <w:r>
        <w:rPr>
          <w:rFonts w:ascii="Verdana" w:hAnsi="Verdana"/>
          <w:sz w:val="16"/>
          <w:szCs w:val="16"/>
          <w:lang w:val="es-CR"/>
        </w:rPr>
        <w:tab/>
      </w:r>
      <w:r>
        <w:rPr>
          <w:rFonts w:ascii="Verdana" w:hAnsi="Verdana"/>
          <w:i/>
          <w:sz w:val="16"/>
          <w:szCs w:val="16"/>
          <w:lang w:val="es-CR"/>
        </w:rPr>
        <w:t>Cfr.</w:t>
      </w:r>
      <w:r>
        <w:rPr>
          <w:rFonts w:ascii="Verdana" w:hAnsi="Verdana"/>
          <w:sz w:val="16"/>
          <w:szCs w:val="16"/>
          <w:lang w:val="es-CR"/>
        </w:rPr>
        <w:t xml:space="preserve"> </w:t>
      </w:r>
      <w:r>
        <w:rPr>
          <w:rFonts w:ascii="Verdana" w:hAnsi="Verdana"/>
          <w:i/>
          <w:sz w:val="16"/>
          <w:szCs w:val="16"/>
          <w:lang w:val="es-CR"/>
        </w:rPr>
        <w:t xml:space="preserve">Caso 19 Comerciantes Vs. Colombia. Supervisión de Cumplimiento de Sentencia y Medidas Provisionales. </w:t>
      </w:r>
      <w:r>
        <w:rPr>
          <w:rFonts w:ascii="Verdana" w:hAnsi="Verdana"/>
          <w:sz w:val="16"/>
          <w:szCs w:val="16"/>
          <w:lang w:val="es-CR"/>
        </w:rPr>
        <w:t>Resolución de la Corte Interamericana de Derechos Humanos de 8 de julio de 2009, punto resolutivo 4 de las Medidas Provisionales.</w:t>
      </w:r>
    </w:p>
  </w:footnote>
  <w:footnote w:id="5">
    <w:p w14:paraId="34F9A34E" w14:textId="77777777" w:rsidR="001D2090" w:rsidRDefault="001D2090" w:rsidP="001D2090">
      <w:pPr>
        <w:pStyle w:val="Textonotapie"/>
        <w:spacing w:before="120" w:after="120"/>
        <w:jc w:val="both"/>
        <w:rPr>
          <w:rFonts w:ascii="Verdana" w:hAnsi="Verdana"/>
          <w:sz w:val="16"/>
          <w:szCs w:val="16"/>
          <w:lang w:val="es-MX"/>
        </w:rPr>
      </w:pPr>
      <w:r>
        <w:rPr>
          <w:rStyle w:val="Refdenotaalpie"/>
          <w:rFonts w:ascii="Verdana" w:hAnsi="Verdana"/>
          <w:sz w:val="16"/>
          <w:szCs w:val="16"/>
        </w:rPr>
        <w:footnoteRef/>
      </w:r>
      <w:r>
        <w:rPr>
          <w:rFonts w:ascii="Verdana" w:hAnsi="Verdana"/>
          <w:sz w:val="16"/>
          <w:szCs w:val="16"/>
          <w:lang w:val="es-DO"/>
        </w:rPr>
        <w:t xml:space="preserve"> </w:t>
      </w:r>
      <w:r>
        <w:rPr>
          <w:rFonts w:ascii="Verdana" w:hAnsi="Verdana"/>
          <w:sz w:val="16"/>
          <w:szCs w:val="16"/>
          <w:lang w:val="es-DO"/>
        </w:rPr>
        <w:tab/>
      </w:r>
      <w:r>
        <w:rPr>
          <w:rFonts w:ascii="Verdana" w:hAnsi="Verdana"/>
          <w:sz w:val="16"/>
          <w:szCs w:val="16"/>
          <w:lang w:val="es-CR"/>
        </w:rPr>
        <w:t xml:space="preserve">Wilmar Rodríguez Quintero, </w:t>
      </w:r>
      <w:proofErr w:type="spellStart"/>
      <w:r>
        <w:rPr>
          <w:rFonts w:ascii="Verdana" w:hAnsi="Verdana"/>
          <w:sz w:val="16"/>
          <w:szCs w:val="16"/>
          <w:lang w:val="es-CR"/>
        </w:rPr>
        <w:t>Yimmy</w:t>
      </w:r>
      <w:proofErr w:type="spellEnd"/>
      <w:r>
        <w:rPr>
          <w:rFonts w:ascii="Verdana" w:hAnsi="Verdana"/>
          <w:sz w:val="16"/>
          <w:szCs w:val="16"/>
          <w:lang w:val="es-CR"/>
        </w:rPr>
        <w:t xml:space="preserve"> Efraín Rodríguez Quintero, Nubia Saravia, Karen Dayana Rodríguez Saravia y Valeria Rodríguez Saravia. </w:t>
      </w:r>
      <w:r>
        <w:rPr>
          <w:rFonts w:ascii="Verdana" w:hAnsi="Verdana"/>
          <w:i/>
          <w:sz w:val="16"/>
          <w:szCs w:val="16"/>
          <w:lang w:val="es-DO"/>
        </w:rPr>
        <w:t xml:space="preserve">Cfr. </w:t>
      </w:r>
      <w:r>
        <w:rPr>
          <w:rFonts w:ascii="Verdana" w:hAnsi="Verdana"/>
          <w:i/>
          <w:sz w:val="16"/>
          <w:szCs w:val="16"/>
          <w:lang w:val="es-MX"/>
        </w:rPr>
        <w:t xml:space="preserve">Caso 19 Comerciantes Vs. Colombia. Medidas Provisionales. </w:t>
      </w:r>
      <w:r>
        <w:rPr>
          <w:rFonts w:ascii="Verdana" w:hAnsi="Verdana"/>
          <w:sz w:val="16"/>
          <w:szCs w:val="16"/>
          <w:lang w:val="es-MX"/>
        </w:rPr>
        <w:t>Resolución de la Corte Interamericana de Derechos Humanos de 26 de junio de 2012, punto resolutivo 1.</w:t>
      </w:r>
    </w:p>
  </w:footnote>
  <w:footnote w:id="6">
    <w:p w14:paraId="5F850FDE" w14:textId="77777777" w:rsidR="001D2090" w:rsidRDefault="001D2090" w:rsidP="001D2090">
      <w:pPr>
        <w:pStyle w:val="Textonotapie"/>
        <w:spacing w:before="120" w:after="120"/>
        <w:jc w:val="both"/>
        <w:rPr>
          <w:rFonts w:ascii="Verdana" w:hAnsi="Verdana"/>
          <w:sz w:val="16"/>
          <w:szCs w:val="16"/>
          <w:lang w:val="es-CR"/>
        </w:rPr>
      </w:pPr>
      <w:r>
        <w:rPr>
          <w:rStyle w:val="Refdenotaalpie"/>
          <w:rFonts w:ascii="Verdana" w:hAnsi="Verdana"/>
          <w:sz w:val="16"/>
          <w:szCs w:val="16"/>
          <w:lang w:val="es-CR"/>
        </w:rPr>
        <w:footnoteRef/>
      </w:r>
      <w:r>
        <w:rPr>
          <w:rFonts w:ascii="Verdana" w:hAnsi="Verdana"/>
          <w:sz w:val="16"/>
          <w:szCs w:val="16"/>
          <w:lang w:val="es-CR"/>
        </w:rPr>
        <w:t xml:space="preserve">           </w:t>
      </w:r>
      <w:r>
        <w:rPr>
          <w:rFonts w:ascii="Verdana" w:hAnsi="Verdana"/>
          <w:i/>
          <w:sz w:val="16"/>
          <w:szCs w:val="16"/>
          <w:lang w:val="es-CR"/>
        </w:rPr>
        <w:t>Cfr.</w:t>
      </w:r>
      <w:r>
        <w:rPr>
          <w:rFonts w:ascii="Verdana" w:hAnsi="Verdana"/>
          <w:sz w:val="16"/>
          <w:szCs w:val="16"/>
          <w:lang w:val="es-CR"/>
        </w:rPr>
        <w:t xml:space="preserve"> Anexo de pruebas fotográficas en relación con los ataques a la familia Flórez. Anexo al escrito de 30 de marzo de 2020. </w:t>
      </w:r>
    </w:p>
  </w:footnote>
  <w:footnote w:id="7">
    <w:p w14:paraId="0EBEAC77" w14:textId="77777777" w:rsidR="001D2090" w:rsidRDefault="001D2090" w:rsidP="001D2090">
      <w:pPr>
        <w:pStyle w:val="Textonotapie"/>
        <w:spacing w:before="120" w:after="120"/>
        <w:rPr>
          <w:rFonts w:ascii="Verdana" w:hAnsi="Verdana"/>
          <w:lang w:val="es-MX"/>
        </w:rPr>
      </w:pPr>
      <w:r>
        <w:rPr>
          <w:rStyle w:val="Refdenotaalpie"/>
          <w:rFonts w:ascii="Verdana" w:hAnsi="Verdana"/>
          <w:sz w:val="16"/>
          <w:lang w:val="es-CR"/>
        </w:rPr>
        <w:footnoteRef/>
      </w:r>
      <w:r>
        <w:rPr>
          <w:rFonts w:ascii="Verdana" w:hAnsi="Verdana"/>
          <w:sz w:val="16"/>
          <w:lang w:val="es-CR"/>
        </w:rPr>
        <w:t xml:space="preserve">          </w:t>
      </w:r>
      <w:r>
        <w:rPr>
          <w:rFonts w:ascii="Verdana" w:hAnsi="Verdana"/>
          <w:i/>
          <w:sz w:val="16"/>
          <w:lang w:val="es-CR"/>
        </w:rPr>
        <w:t>Cfr.</w:t>
      </w:r>
      <w:r>
        <w:rPr>
          <w:rFonts w:ascii="Verdana" w:hAnsi="Verdana"/>
          <w:sz w:val="16"/>
          <w:lang w:val="es-CR"/>
        </w:rPr>
        <w:t xml:space="preserve"> Denuncia Fiscalía General de la Nación, radicado con fecha 27 de febrero de 2020. Anexo I al escrito de 30 de marzo de 2020. </w:t>
      </w:r>
    </w:p>
  </w:footnote>
  <w:footnote w:id="8">
    <w:p w14:paraId="5FC90070" w14:textId="3CEDC845" w:rsidR="003E7AA3" w:rsidRPr="001B7E14" w:rsidRDefault="003E7AA3" w:rsidP="003E7AA3">
      <w:pPr>
        <w:pStyle w:val="Textonotapie"/>
        <w:spacing w:before="120" w:after="120"/>
        <w:jc w:val="both"/>
        <w:rPr>
          <w:rFonts w:ascii="Verdana" w:hAnsi="Verdana"/>
          <w:sz w:val="16"/>
          <w:szCs w:val="16"/>
          <w:lang w:val="es-MX"/>
        </w:rPr>
      </w:pPr>
      <w:r w:rsidRPr="00F3786F">
        <w:rPr>
          <w:rStyle w:val="Refdenotaalpie"/>
          <w:rFonts w:ascii="Verdana" w:hAnsi="Verdana"/>
          <w:sz w:val="16"/>
          <w:szCs w:val="16"/>
        </w:rPr>
        <w:footnoteRef/>
      </w:r>
      <w:r w:rsidRPr="00F3786F">
        <w:rPr>
          <w:rFonts w:ascii="Verdana" w:hAnsi="Verdana"/>
          <w:sz w:val="16"/>
          <w:szCs w:val="16"/>
          <w:lang w:val="es-DO"/>
        </w:rPr>
        <w:t xml:space="preserve"> </w:t>
      </w:r>
      <w:r w:rsidRPr="00F3786F">
        <w:rPr>
          <w:rFonts w:ascii="Verdana" w:hAnsi="Verdana"/>
          <w:sz w:val="16"/>
          <w:szCs w:val="16"/>
          <w:lang w:val="es-DO"/>
        </w:rPr>
        <w:tab/>
      </w:r>
      <w:r w:rsidRPr="00F3786F">
        <w:rPr>
          <w:rFonts w:ascii="Verdana" w:hAnsi="Verdana"/>
          <w:i/>
          <w:sz w:val="16"/>
          <w:szCs w:val="16"/>
          <w:lang w:val="es-DO"/>
        </w:rPr>
        <w:t>Cfr. Asunto Diecisiete Personas Privadas de Libertad respecto de Nicaragua. Solicitud de ampliación de medidas provisionales.</w:t>
      </w:r>
      <w:r w:rsidRPr="00F3786F">
        <w:rPr>
          <w:rFonts w:ascii="Verdana" w:hAnsi="Verdana"/>
          <w:sz w:val="16"/>
          <w:szCs w:val="16"/>
          <w:lang w:val="es-DO"/>
        </w:rPr>
        <w:t xml:space="preserve"> </w:t>
      </w:r>
      <w:r w:rsidRPr="00F3786F">
        <w:rPr>
          <w:rFonts w:ascii="Verdana" w:hAnsi="Verdana"/>
          <w:sz w:val="16"/>
          <w:szCs w:val="16"/>
          <w:lang w:val="es-MX"/>
        </w:rPr>
        <w:t>Resolución de la Corte Interam</w:t>
      </w:r>
      <w:r>
        <w:rPr>
          <w:rFonts w:ascii="Verdana" w:hAnsi="Verdana"/>
          <w:sz w:val="16"/>
          <w:szCs w:val="16"/>
          <w:lang w:val="es-MX"/>
        </w:rPr>
        <w:t xml:space="preserve">ericana de Derechos Humanos de </w:t>
      </w:r>
      <w:r w:rsidRPr="00F3786F">
        <w:rPr>
          <w:rFonts w:ascii="Verdana" w:hAnsi="Verdana"/>
          <w:sz w:val="16"/>
          <w:szCs w:val="16"/>
          <w:lang w:val="es-MX"/>
        </w:rPr>
        <w:t xml:space="preserve">14 de </w:t>
      </w:r>
      <w:r>
        <w:rPr>
          <w:rFonts w:ascii="Verdana" w:hAnsi="Verdana"/>
          <w:sz w:val="16"/>
          <w:szCs w:val="16"/>
          <w:lang w:val="es-MX"/>
        </w:rPr>
        <w:t xml:space="preserve">octubre de 2019, Considerando 9, y </w:t>
      </w:r>
      <w:r w:rsidR="0054451B">
        <w:rPr>
          <w:rFonts w:ascii="Verdana" w:hAnsi="Verdana"/>
          <w:i/>
          <w:sz w:val="16"/>
          <w:szCs w:val="16"/>
          <w:lang w:val="es-MX"/>
        </w:rPr>
        <w:t xml:space="preserve">Caso 19 Comerciantes Vs. Colombia. Ampliación de Medidas Provisionales. </w:t>
      </w:r>
      <w:r w:rsidR="0054451B" w:rsidRPr="00A56148">
        <w:rPr>
          <w:rFonts w:ascii="Verdana" w:hAnsi="Verdana"/>
          <w:sz w:val="16"/>
          <w:szCs w:val="16"/>
          <w:lang w:val="es-MX"/>
        </w:rPr>
        <w:t>Resolución de la Presidenta de la Corte Interamericana de Derechos Humanos de 2 de abril de 2020</w:t>
      </w:r>
      <w:r>
        <w:rPr>
          <w:rFonts w:ascii="Verdana" w:hAnsi="Verdana"/>
          <w:i/>
          <w:sz w:val="16"/>
          <w:szCs w:val="16"/>
          <w:lang w:val="es-MX"/>
        </w:rPr>
        <w:t xml:space="preserve">, </w:t>
      </w:r>
      <w:r>
        <w:rPr>
          <w:rFonts w:ascii="Verdana" w:hAnsi="Verdana"/>
          <w:sz w:val="16"/>
          <w:szCs w:val="16"/>
          <w:lang w:val="es-MX"/>
        </w:rPr>
        <w:t>Considerando 1</w:t>
      </w:r>
      <w:r w:rsidR="0054451B">
        <w:rPr>
          <w:rFonts w:ascii="Verdana" w:hAnsi="Verdana"/>
          <w:sz w:val="16"/>
          <w:szCs w:val="16"/>
          <w:lang w:val="es-MX"/>
        </w:rPr>
        <w:t>8</w:t>
      </w:r>
      <w:r>
        <w:rPr>
          <w:rFonts w:ascii="Verdana" w:hAnsi="Verdana"/>
          <w:sz w:val="16"/>
          <w:szCs w:val="16"/>
          <w:lang w:val="es-MX"/>
        </w:rPr>
        <w:t>.</w:t>
      </w:r>
    </w:p>
  </w:footnote>
  <w:footnote w:id="9">
    <w:p w14:paraId="3D22A826" w14:textId="25481D10" w:rsidR="003E7AA3" w:rsidRPr="00F3786F" w:rsidRDefault="003E7AA3" w:rsidP="003E7AA3">
      <w:pPr>
        <w:pStyle w:val="Textonotapie"/>
        <w:spacing w:before="120" w:after="120"/>
        <w:jc w:val="both"/>
        <w:rPr>
          <w:rFonts w:ascii="Verdana" w:hAnsi="Verdana"/>
          <w:sz w:val="16"/>
          <w:szCs w:val="16"/>
          <w:lang w:val="es-DO"/>
        </w:rPr>
      </w:pPr>
      <w:r w:rsidRPr="00F3786F">
        <w:rPr>
          <w:rStyle w:val="Refdenotaalpie"/>
          <w:rFonts w:ascii="Verdana" w:hAnsi="Verdana"/>
          <w:sz w:val="16"/>
          <w:szCs w:val="16"/>
        </w:rPr>
        <w:footnoteRef/>
      </w:r>
      <w:r w:rsidRPr="00F3786F">
        <w:rPr>
          <w:rFonts w:ascii="Verdana" w:hAnsi="Verdana"/>
          <w:sz w:val="16"/>
          <w:szCs w:val="16"/>
          <w:lang w:val="es-DO"/>
        </w:rPr>
        <w:t xml:space="preserve"> </w:t>
      </w:r>
      <w:r w:rsidRPr="00F3786F">
        <w:rPr>
          <w:rFonts w:ascii="Verdana" w:hAnsi="Verdana"/>
          <w:sz w:val="16"/>
          <w:szCs w:val="16"/>
          <w:lang w:val="es-DO"/>
        </w:rPr>
        <w:tab/>
      </w:r>
      <w:r w:rsidRPr="00F3786F">
        <w:rPr>
          <w:rFonts w:ascii="Verdana" w:hAnsi="Verdana"/>
          <w:i/>
          <w:sz w:val="16"/>
          <w:szCs w:val="16"/>
          <w:lang w:val="es-DO"/>
        </w:rPr>
        <w:t>Cfr</w:t>
      </w:r>
      <w:r w:rsidRPr="00F3786F">
        <w:rPr>
          <w:rFonts w:ascii="Verdana" w:hAnsi="Verdana"/>
          <w:sz w:val="16"/>
          <w:szCs w:val="16"/>
          <w:lang w:val="es-DO"/>
        </w:rPr>
        <w:t xml:space="preserve">. </w:t>
      </w:r>
      <w:r w:rsidRPr="00F3786F">
        <w:rPr>
          <w:rFonts w:ascii="Verdana" w:hAnsi="Verdana"/>
          <w:i/>
          <w:sz w:val="16"/>
          <w:szCs w:val="16"/>
          <w:lang w:val="es-DO"/>
        </w:rPr>
        <w:t xml:space="preserve">Caso de los Miembros de la Aldea </w:t>
      </w:r>
      <w:proofErr w:type="spellStart"/>
      <w:r w:rsidRPr="00F3786F">
        <w:rPr>
          <w:rFonts w:ascii="Verdana" w:hAnsi="Verdana"/>
          <w:i/>
          <w:sz w:val="16"/>
          <w:szCs w:val="16"/>
          <w:lang w:val="es-DO"/>
        </w:rPr>
        <w:t>Chichupac</w:t>
      </w:r>
      <w:proofErr w:type="spellEnd"/>
      <w:r w:rsidRPr="00F3786F">
        <w:rPr>
          <w:rFonts w:ascii="Verdana" w:hAnsi="Verdana"/>
          <w:i/>
          <w:sz w:val="16"/>
          <w:szCs w:val="16"/>
          <w:lang w:val="es-DO"/>
        </w:rPr>
        <w:t xml:space="preserve"> y Comunidades Vecinas del Municipio de Rabinal, Caso Molina </w:t>
      </w:r>
      <w:proofErr w:type="spellStart"/>
      <w:r w:rsidRPr="00F3786F">
        <w:rPr>
          <w:rFonts w:ascii="Verdana" w:hAnsi="Verdana"/>
          <w:i/>
          <w:sz w:val="16"/>
          <w:szCs w:val="16"/>
          <w:lang w:val="es-DO"/>
        </w:rPr>
        <w:t>Theissen</w:t>
      </w:r>
      <w:proofErr w:type="spellEnd"/>
      <w:r w:rsidRPr="00F3786F">
        <w:rPr>
          <w:rFonts w:ascii="Verdana" w:hAnsi="Verdana"/>
          <w:i/>
          <w:sz w:val="16"/>
          <w:szCs w:val="16"/>
          <w:lang w:val="es-DO"/>
        </w:rPr>
        <w:t xml:space="preserve"> y otros 12 casos contra Guatemala</w:t>
      </w:r>
      <w:r w:rsidRPr="00F3786F">
        <w:rPr>
          <w:rFonts w:ascii="Verdana" w:hAnsi="Verdana"/>
          <w:sz w:val="16"/>
          <w:szCs w:val="16"/>
          <w:lang w:val="es-DO"/>
        </w:rPr>
        <w:t>. Solicitud de medidas provisionales y supervisión de cumplimiento de sentencia. Resolución de la Corte Interamericana de Derechos Humanos de 14 de oc</w:t>
      </w:r>
      <w:r>
        <w:rPr>
          <w:rFonts w:ascii="Verdana" w:hAnsi="Verdana"/>
          <w:sz w:val="16"/>
          <w:szCs w:val="16"/>
          <w:lang w:val="es-DO"/>
        </w:rPr>
        <w:t xml:space="preserve">tubre de 2019, Considerando 26, </w:t>
      </w:r>
      <w:r w:rsidRPr="001B7E14">
        <w:rPr>
          <w:rFonts w:ascii="Verdana" w:hAnsi="Verdana"/>
          <w:sz w:val="16"/>
          <w:szCs w:val="16"/>
          <w:lang w:val="es-MX"/>
        </w:rPr>
        <w:t>y</w:t>
      </w:r>
      <w:r w:rsidR="0054451B">
        <w:rPr>
          <w:rFonts w:ascii="Verdana" w:hAnsi="Verdana"/>
          <w:sz w:val="16"/>
          <w:szCs w:val="16"/>
          <w:lang w:val="es-MX"/>
        </w:rPr>
        <w:t xml:space="preserve"> </w:t>
      </w:r>
      <w:r w:rsidR="0054451B">
        <w:rPr>
          <w:rFonts w:ascii="Verdana" w:hAnsi="Verdana"/>
          <w:i/>
          <w:sz w:val="16"/>
          <w:szCs w:val="16"/>
          <w:lang w:val="es-MX"/>
        </w:rPr>
        <w:t xml:space="preserve">Caso 19 Comerciantes Vs. Colombia. Ampliación de Medidas Provisionales. </w:t>
      </w:r>
      <w:r w:rsidR="0054451B" w:rsidRPr="00A85E07">
        <w:rPr>
          <w:rFonts w:ascii="Verdana" w:hAnsi="Verdana"/>
          <w:sz w:val="16"/>
          <w:szCs w:val="16"/>
          <w:lang w:val="es-MX"/>
        </w:rPr>
        <w:t xml:space="preserve">Resolución de la Presidenta de la Corte Interamericana de Derechos Humanos de 2 de abril de </w:t>
      </w:r>
      <w:proofErr w:type="gramStart"/>
      <w:r w:rsidR="0054451B" w:rsidRPr="00A85E07">
        <w:rPr>
          <w:rFonts w:ascii="Verdana" w:hAnsi="Verdana"/>
          <w:sz w:val="16"/>
          <w:szCs w:val="16"/>
          <w:lang w:val="es-MX"/>
        </w:rPr>
        <w:t>2020</w:t>
      </w:r>
      <w:r w:rsidRPr="001B7E14">
        <w:rPr>
          <w:rFonts w:ascii="Verdana" w:hAnsi="Verdana"/>
          <w:sz w:val="16"/>
          <w:szCs w:val="16"/>
          <w:lang w:val="es-MX"/>
        </w:rPr>
        <w:t xml:space="preserve"> </w:t>
      </w:r>
      <w:r w:rsidRPr="001B7E14">
        <w:rPr>
          <w:rFonts w:ascii="Verdana" w:hAnsi="Verdana"/>
          <w:i/>
          <w:sz w:val="16"/>
          <w:szCs w:val="16"/>
          <w:lang w:val="es-MX"/>
        </w:rPr>
        <w:t>,</w:t>
      </w:r>
      <w:proofErr w:type="gramEnd"/>
      <w:r w:rsidRPr="001B7E14">
        <w:rPr>
          <w:rFonts w:ascii="Verdana" w:hAnsi="Verdana"/>
          <w:i/>
          <w:sz w:val="16"/>
          <w:szCs w:val="16"/>
          <w:lang w:val="es-MX"/>
        </w:rPr>
        <w:t xml:space="preserve"> </w:t>
      </w:r>
      <w:r w:rsidRPr="001B7E14">
        <w:rPr>
          <w:rFonts w:ascii="Verdana" w:hAnsi="Verdana"/>
          <w:sz w:val="16"/>
          <w:szCs w:val="16"/>
          <w:lang w:val="es-MX"/>
        </w:rPr>
        <w:t>Considerando 1</w:t>
      </w:r>
      <w:r w:rsidR="0054451B">
        <w:rPr>
          <w:rFonts w:ascii="Verdana" w:hAnsi="Verdana"/>
          <w:sz w:val="16"/>
          <w:szCs w:val="16"/>
          <w:lang w:val="es-MX"/>
        </w:rPr>
        <w:t>8</w:t>
      </w:r>
      <w:r w:rsidRPr="001B7E14">
        <w:rPr>
          <w:rFonts w:ascii="Verdana" w:hAnsi="Verdana"/>
          <w:sz w:val="16"/>
          <w:szCs w:val="16"/>
          <w:lang w:val="es-MX"/>
        </w:rPr>
        <w:t>.</w:t>
      </w:r>
    </w:p>
  </w:footnote>
  <w:footnote w:id="10">
    <w:p w14:paraId="3A40C5D1" w14:textId="62919E6E" w:rsidR="004433E8" w:rsidRPr="00182F18" w:rsidRDefault="004433E8" w:rsidP="00E51DD1">
      <w:pPr>
        <w:pStyle w:val="Textonotapie"/>
        <w:spacing w:before="120" w:after="120"/>
        <w:jc w:val="both"/>
        <w:rPr>
          <w:rFonts w:ascii="Verdana" w:hAnsi="Verdana"/>
          <w:sz w:val="16"/>
          <w:szCs w:val="16"/>
          <w:lang w:val="es-CR"/>
        </w:rPr>
      </w:pPr>
      <w:r w:rsidRPr="00F3786F">
        <w:rPr>
          <w:rStyle w:val="Refdenotaalpie"/>
          <w:rFonts w:ascii="Verdana" w:hAnsi="Verdana"/>
          <w:sz w:val="16"/>
          <w:szCs w:val="16"/>
        </w:rPr>
        <w:footnoteRef/>
      </w:r>
      <w:r w:rsidRPr="00F3786F">
        <w:rPr>
          <w:rFonts w:ascii="Verdana" w:hAnsi="Verdana"/>
          <w:sz w:val="16"/>
          <w:szCs w:val="16"/>
          <w:lang w:val="es-MX"/>
        </w:rPr>
        <w:t xml:space="preserve"> </w:t>
      </w:r>
      <w:r w:rsidRPr="00F3786F">
        <w:rPr>
          <w:rFonts w:ascii="Verdana" w:hAnsi="Verdana"/>
          <w:sz w:val="16"/>
          <w:szCs w:val="16"/>
          <w:lang w:val="es-MX"/>
        </w:rPr>
        <w:tab/>
      </w:r>
      <w:r w:rsidRPr="00F3786F">
        <w:rPr>
          <w:rFonts w:ascii="Verdana" w:hAnsi="Verdana"/>
          <w:i/>
          <w:sz w:val="16"/>
          <w:szCs w:val="16"/>
          <w:lang w:val="es-MX"/>
        </w:rPr>
        <w:t xml:space="preserve">Cfr. Caso Fernández Ortega y otros Vs. México. </w:t>
      </w:r>
      <w:r w:rsidRPr="00F3786F">
        <w:rPr>
          <w:rFonts w:ascii="Verdana" w:hAnsi="Verdana"/>
          <w:sz w:val="16"/>
          <w:szCs w:val="16"/>
          <w:lang w:val="es-MX"/>
        </w:rPr>
        <w:t xml:space="preserve">Medidas Provisionales. </w:t>
      </w:r>
      <w:r w:rsidRPr="00F3786F">
        <w:rPr>
          <w:rFonts w:ascii="Verdana" w:hAnsi="Verdana"/>
          <w:bCs/>
          <w:sz w:val="16"/>
          <w:szCs w:val="16"/>
          <w:lang w:val="es-MX"/>
        </w:rPr>
        <w:t xml:space="preserve">Resolución de la Corte Interamericana de Derechos Humanos </w:t>
      </w:r>
      <w:r w:rsidRPr="00F3786F">
        <w:rPr>
          <w:rFonts w:ascii="Verdana" w:hAnsi="Verdana"/>
          <w:sz w:val="16"/>
          <w:szCs w:val="16"/>
          <w:lang w:val="es-MX"/>
        </w:rPr>
        <w:t xml:space="preserve">de </w:t>
      </w:r>
      <w:r w:rsidRPr="00182F18">
        <w:rPr>
          <w:rFonts w:ascii="Verdana" w:hAnsi="Verdana"/>
          <w:sz w:val="16"/>
          <w:szCs w:val="16"/>
          <w:lang w:val="es-CR"/>
        </w:rPr>
        <w:t xml:space="preserve">23 de noviembre de 2010, Considerando 11, y </w:t>
      </w:r>
      <w:r w:rsidR="0054451B">
        <w:rPr>
          <w:rFonts w:ascii="Verdana" w:hAnsi="Verdana"/>
          <w:i/>
          <w:sz w:val="16"/>
          <w:szCs w:val="16"/>
          <w:lang w:val="es-MX"/>
        </w:rPr>
        <w:t xml:space="preserve">Caso 19 Comerciantes Vs. Colombia. Ampliación de Medidas Provisionales. </w:t>
      </w:r>
      <w:r w:rsidR="0054451B" w:rsidRPr="00A85E07">
        <w:rPr>
          <w:rFonts w:ascii="Verdana" w:hAnsi="Verdana"/>
          <w:sz w:val="16"/>
          <w:szCs w:val="16"/>
          <w:lang w:val="es-MX"/>
        </w:rPr>
        <w:t>Resolución de la Presidenta de la Corte Interamericana de Derechos Humanos de 2 de abril de 2020</w:t>
      </w:r>
      <w:r w:rsidRPr="00182F18">
        <w:rPr>
          <w:rFonts w:ascii="Verdana" w:hAnsi="Verdana"/>
          <w:i/>
          <w:sz w:val="16"/>
          <w:szCs w:val="16"/>
          <w:lang w:val="es-CR"/>
        </w:rPr>
        <w:t xml:space="preserve">, </w:t>
      </w:r>
      <w:r w:rsidRPr="00182F18">
        <w:rPr>
          <w:rFonts w:ascii="Verdana" w:hAnsi="Verdana"/>
          <w:sz w:val="16"/>
          <w:szCs w:val="16"/>
          <w:lang w:val="es-CR"/>
        </w:rPr>
        <w:t>Considerando 1</w:t>
      </w:r>
      <w:r w:rsidR="0054451B">
        <w:rPr>
          <w:rFonts w:ascii="Verdana" w:hAnsi="Verdana"/>
          <w:sz w:val="16"/>
          <w:szCs w:val="16"/>
          <w:lang w:val="es-CR"/>
        </w:rPr>
        <w:t>9</w:t>
      </w:r>
      <w:r w:rsidRPr="00182F18">
        <w:rPr>
          <w:rFonts w:ascii="Verdana" w:hAnsi="Verdana"/>
          <w:sz w:val="16"/>
          <w:szCs w:val="16"/>
          <w:lang w:val="es-CR"/>
        </w:rPr>
        <w:t xml:space="preserve">. </w:t>
      </w:r>
    </w:p>
  </w:footnote>
  <w:footnote w:id="11">
    <w:p w14:paraId="61F1C801" w14:textId="490FD6C2" w:rsidR="004433E8" w:rsidRPr="00182F18" w:rsidRDefault="004433E8" w:rsidP="00E51DD1">
      <w:pPr>
        <w:pStyle w:val="Textonotapie"/>
        <w:spacing w:before="120" w:after="120"/>
        <w:jc w:val="both"/>
        <w:rPr>
          <w:rFonts w:ascii="Verdana" w:hAnsi="Verdana"/>
          <w:sz w:val="16"/>
          <w:szCs w:val="16"/>
          <w:lang w:val="es-CR"/>
        </w:rPr>
      </w:pPr>
      <w:r w:rsidRPr="00182F18">
        <w:rPr>
          <w:rFonts w:ascii="Verdana" w:hAnsi="Verdana"/>
          <w:sz w:val="16"/>
          <w:szCs w:val="16"/>
          <w:vertAlign w:val="superscript"/>
          <w:lang w:val="es-CR"/>
        </w:rPr>
        <w:footnoteRef/>
      </w:r>
      <w:r w:rsidRPr="00182F18">
        <w:rPr>
          <w:rFonts w:ascii="Verdana" w:hAnsi="Verdana"/>
          <w:sz w:val="16"/>
          <w:szCs w:val="16"/>
          <w:vertAlign w:val="superscript"/>
          <w:lang w:val="es-CR"/>
        </w:rPr>
        <w:t xml:space="preserve"> </w:t>
      </w:r>
      <w:r w:rsidRPr="00182F18">
        <w:rPr>
          <w:rFonts w:ascii="Verdana" w:hAnsi="Verdana"/>
          <w:sz w:val="16"/>
          <w:szCs w:val="16"/>
          <w:lang w:val="es-CR"/>
        </w:rPr>
        <w:tab/>
      </w:r>
      <w:r w:rsidRPr="00182F18">
        <w:rPr>
          <w:rFonts w:ascii="Verdana" w:hAnsi="Verdana"/>
          <w:i/>
          <w:sz w:val="16"/>
          <w:szCs w:val="16"/>
          <w:lang w:val="es-CR"/>
        </w:rPr>
        <w:t xml:space="preserve">Cfr. </w:t>
      </w:r>
      <w:r w:rsidRPr="00182F18">
        <w:rPr>
          <w:rFonts w:ascii="Verdana" w:hAnsi="Verdana"/>
          <w:bCs/>
          <w:i/>
          <w:sz w:val="16"/>
          <w:szCs w:val="16"/>
          <w:lang w:val="es-CR"/>
        </w:rPr>
        <w:t xml:space="preserve">Asunto de los niños y adolescentes privados de libertad en el "Complexo do </w:t>
      </w:r>
      <w:proofErr w:type="spellStart"/>
      <w:r w:rsidRPr="00182F18">
        <w:rPr>
          <w:rFonts w:ascii="Verdana" w:hAnsi="Verdana"/>
          <w:bCs/>
          <w:i/>
          <w:sz w:val="16"/>
          <w:szCs w:val="16"/>
          <w:lang w:val="es-CR"/>
        </w:rPr>
        <w:t>Tatuapé</w:t>
      </w:r>
      <w:proofErr w:type="spellEnd"/>
      <w:r w:rsidRPr="00182F18">
        <w:rPr>
          <w:rFonts w:ascii="Verdana" w:hAnsi="Verdana"/>
          <w:bCs/>
          <w:i/>
          <w:sz w:val="16"/>
          <w:szCs w:val="16"/>
          <w:lang w:val="es-CR"/>
        </w:rPr>
        <w:t>” da FEBEM respecto Brasil</w:t>
      </w:r>
      <w:r w:rsidRPr="00182F18">
        <w:rPr>
          <w:rFonts w:ascii="Verdana" w:hAnsi="Verdana"/>
          <w:bCs/>
          <w:sz w:val="16"/>
          <w:szCs w:val="16"/>
          <w:lang w:val="es-CR"/>
        </w:rPr>
        <w:t>. Medidas Provisionales. Resolución de la Corte Interamericana de Derechos Humanos de 4 de julio de 2006</w:t>
      </w:r>
      <w:r w:rsidRPr="00182F18">
        <w:rPr>
          <w:rFonts w:ascii="Verdana" w:hAnsi="Verdana"/>
          <w:sz w:val="16"/>
          <w:szCs w:val="16"/>
          <w:lang w:val="es-CR"/>
        </w:rPr>
        <w:t xml:space="preserve">, Considerando 23 y </w:t>
      </w:r>
      <w:r w:rsidR="0054451B">
        <w:rPr>
          <w:rFonts w:ascii="Verdana" w:hAnsi="Verdana"/>
          <w:i/>
          <w:sz w:val="16"/>
          <w:szCs w:val="16"/>
          <w:lang w:val="es-MX"/>
        </w:rPr>
        <w:t xml:space="preserve">Caso 19 Comerciantes Vs. Colombia. Ampliación de Medidas Provisionales. </w:t>
      </w:r>
      <w:r w:rsidR="0054451B" w:rsidRPr="00A85E07">
        <w:rPr>
          <w:rFonts w:ascii="Verdana" w:hAnsi="Verdana"/>
          <w:sz w:val="16"/>
          <w:szCs w:val="16"/>
          <w:lang w:val="es-MX"/>
        </w:rPr>
        <w:t>Resolución de la Presidenta de la Corte Interamericana de Derechos Humanos de 2 de abril de 2020</w:t>
      </w:r>
      <w:r w:rsidRPr="00182F18">
        <w:rPr>
          <w:rFonts w:ascii="Verdana" w:hAnsi="Verdana"/>
          <w:i/>
          <w:sz w:val="16"/>
          <w:szCs w:val="16"/>
          <w:lang w:val="es-CR"/>
        </w:rPr>
        <w:t>, Considerando 1</w:t>
      </w:r>
      <w:r w:rsidR="0054451B">
        <w:rPr>
          <w:rFonts w:ascii="Verdana" w:hAnsi="Verdana"/>
          <w:i/>
          <w:sz w:val="16"/>
          <w:szCs w:val="16"/>
          <w:lang w:val="es-CR"/>
        </w:rPr>
        <w:t>9</w:t>
      </w:r>
      <w:r w:rsidRPr="00182F18">
        <w:rPr>
          <w:rFonts w:ascii="Verdana" w:hAnsi="Verdana"/>
          <w:i/>
          <w:sz w:val="16"/>
          <w:szCs w:val="16"/>
          <w:lang w:val="es-CR"/>
        </w:rPr>
        <w:t>.</w:t>
      </w:r>
    </w:p>
  </w:footnote>
  <w:footnote w:id="12">
    <w:p w14:paraId="1497E903" w14:textId="77777777" w:rsidR="004F0E31" w:rsidRPr="00133B85" w:rsidRDefault="004F0E31" w:rsidP="009734F8">
      <w:pPr>
        <w:pStyle w:val="NormalWeb"/>
        <w:spacing w:before="0" w:beforeAutospacing="0" w:after="0" w:afterAutospacing="0"/>
        <w:ind w:left="-850" w:right="-567"/>
        <w:jc w:val="both"/>
        <w:rPr>
          <w:rFonts w:ascii="Verdana" w:hAnsi="Verdana" w:cs="Tahoma"/>
          <w:i/>
          <w:iCs/>
          <w:color w:val="000000"/>
          <w:sz w:val="16"/>
          <w:szCs w:val="16"/>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cs="Calibri"/>
          <w:sz w:val="16"/>
          <w:szCs w:val="16"/>
        </w:rPr>
        <w:t>Art. 24.3 del Estatuto de la Corte: “</w:t>
      </w:r>
      <w:r w:rsidRPr="00133B85">
        <w:rPr>
          <w:rFonts w:ascii="Verdana" w:hAnsi="Verdana" w:cs="Calibri"/>
          <w:i/>
          <w:sz w:val="16"/>
          <w:szCs w:val="16"/>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w:t>
      </w:r>
      <w:r w:rsidRPr="00133B85">
        <w:rPr>
          <w:rFonts w:ascii="Verdana" w:hAnsi="Verdana" w:cs="Calibri"/>
          <w:sz w:val="16"/>
          <w:szCs w:val="16"/>
        </w:rPr>
        <w:t>”.</w:t>
      </w:r>
    </w:p>
    <w:p w14:paraId="22D2CF77" w14:textId="77777777" w:rsidR="004F0E31" w:rsidRPr="00133B85" w:rsidRDefault="004F0E31" w:rsidP="009A5EDB">
      <w:pPr>
        <w:pStyle w:val="Textonotapie"/>
        <w:ind w:left="-850" w:right="-567"/>
        <w:rPr>
          <w:rFonts w:ascii="Verdana" w:hAnsi="Verdana" w:cs="Calibri"/>
          <w:i/>
          <w:iCs/>
          <w:sz w:val="16"/>
          <w:szCs w:val="16"/>
        </w:rPr>
      </w:pPr>
      <w:r w:rsidRPr="00133B85">
        <w:rPr>
          <w:rFonts w:ascii="Verdana" w:hAnsi="Verdana" w:cs="Calibri"/>
          <w:sz w:val="16"/>
          <w:szCs w:val="16"/>
        </w:rPr>
        <w:t>Art.32.1.a del Reglamento de la Corte</w:t>
      </w:r>
      <w:r w:rsidRPr="00133B85">
        <w:rPr>
          <w:rFonts w:ascii="Verdana" w:hAnsi="Verdana" w:cs="Calibri"/>
          <w:i/>
          <w:iCs/>
          <w:sz w:val="16"/>
          <w:szCs w:val="16"/>
        </w:rPr>
        <w:t>: “La Corte hará público: sus sentencias, resoluciones, opiniones y otras decisiones, incluyendo los votos concurrentes o disidentes, cuando cumplan los requisitos señalados en el artículo 65.2 del presente Reglamento; …”</w:t>
      </w:r>
    </w:p>
    <w:p w14:paraId="0C6DC4A0" w14:textId="77777777" w:rsidR="004F0E31" w:rsidRPr="00133B85" w:rsidRDefault="004F0E31" w:rsidP="009A5EDB">
      <w:pPr>
        <w:pStyle w:val="Textonotapie"/>
        <w:ind w:left="-850" w:right="-567"/>
        <w:rPr>
          <w:rFonts w:ascii="Verdana" w:hAnsi="Verdana" w:cs="Calibri"/>
          <w:sz w:val="16"/>
          <w:szCs w:val="16"/>
        </w:rPr>
      </w:pPr>
      <w:r w:rsidRPr="00133B85">
        <w:rPr>
          <w:rFonts w:ascii="Verdana" w:hAnsi="Verdana" w:cs="Calibri"/>
          <w:sz w:val="16"/>
          <w:szCs w:val="16"/>
        </w:rPr>
        <w:t>En lo sucesivo, cada vez que se emplee “párr.” o “</w:t>
      </w:r>
      <w:proofErr w:type="spellStart"/>
      <w:r w:rsidRPr="00133B85">
        <w:rPr>
          <w:rFonts w:ascii="Verdana" w:hAnsi="Verdana" w:cs="Calibri"/>
          <w:sz w:val="16"/>
          <w:szCs w:val="16"/>
        </w:rPr>
        <w:t>párrs</w:t>
      </w:r>
      <w:proofErr w:type="spellEnd"/>
      <w:r w:rsidRPr="00133B85">
        <w:rPr>
          <w:rFonts w:ascii="Verdana" w:hAnsi="Verdana" w:cs="Calibri"/>
          <w:sz w:val="16"/>
          <w:szCs w:val="16"/>
        </w:rPr>
        <w:t>.”, se entenderá que se refiere al párrafo a los párrafos de la Resolución del a que se discrepa.</w:t>
      </w:r>
    </w:p>
    <w:p w14:paraId="6A1CF109" w14:textId="77777777" w:rsidR="004F0E31" w:rsidRPr="00133B85" w:rsidRDefault="004F0E31" w:rsidP="009A5EDB">
      <w:pPr>
        <w:pStyle w:val="Textonotapie"/>
        <w:ind w:left="-850" w:right="-567"/>
        <w:rPr>
          <w:rFonts w:ascii="Verdana" w:hAnsi="Verdana"/>
          <w:sz w:val="16"/>
          <w:szCs w:val="16"/>
          <w:lang w:val="es-419"/>
        </w:rPr>
      </w:pPr>
    </w:p>
  </w:footnote>
  <w:footnote w:id="13">
    <w:p w14:paraId="7357C7F9" w14:textId="77777777" w:rsidR="004F0E31" w:rsidRPr="00133B85" w:rsidRDefault="004F0E31" w:rsidP="009A5EDB">
      <w:pPr>
        <w:pStyle w:val="Textonotapie"/>
        <w:ind w:left="-850" w:right="-567"/>
        <w:rPr>
          <w:rFonts w:ascii="Verdana" w:hAnsi="Verdana"/>
          <w:sz w:val="16"/>
          <w:szCs w:val="16"/>
        </w:rPr>
      </w:pPr>
      <w:r w:rsidRPr="00133B85">
        <w:rPr>
          <w:rStyle w:val="Refdenotaalpie"/>
          <w:rFonts w:ascii="Verdana" w:hAnsi="Verdana"/>
          <w:sz w:val="16"/>
          <w:szCs w:val="16"/>
        </w:rPr>
        <w:footnoteRef/>
      </w:r>
      <w:r w:rsidRPr="00133B85">
        <w:rPr>
          <w:rFonts w:ascii="Verdana" w:hAnsi="Verdana"/>
          <w:sz w:val="16"/>
          <w:szCs w:val="16"/>
        </w:rPr>
        <w:t xml:space="preserve"> En adelante la Resolución.</w:t>
      </w:r>
    </w:p>
    <w:p w14:paraId="099F9645" w14:textId="77777777" w:rsidR="004F0E31" w:rsidRPr="00133B85" w:rsidRDefault="004F0E31" w:rsidP="009A5EDB">
      <w:pPr>
        <w:pStyle w:val="Textonotapie"/>
        <w:ind w:left="-850" w:right="-567"/>
        <w:rPr>
          <w:rFonts w:ascii="Verdana" w:hAnsi="Verdana"/>
          <w:sz w:val="16"/>
          <w:szCs w:val="16"/>
        </w:rPr>
      </w:pPr>
    </w:p>
  </w:footnote>
  <w:footnote w:id="14">
    <w:p w14:paraId="4A547D74" w14:textId="77777777" w:rsidR="004F0E31" w:rsidRPr="00133B85" w:rsidRDefault="004F0E31" w:rsidP="009A5EDB">
      <w:pPr>
        <w:tabs>
          <w:tab w:val="left" w:pos="0"/>
        </w:tabs>
        <w:spacing w:after="0" w:line="240" w:lineRule="auto"/>
        <w:ind w:left="-850"/>
        <w:jc w:val="both"/>
        <w:rPr>
          <w:rFonts w:ascii="Verdana" w:eastAsia="MS Mincho" w:hAnsi="Verdana"/>
          <w:bCs/>
          <w:i/>
          <w:iCs/>
          <w:sz w:val="16"/>
          <w:szCs w:val="16"/>
          <w:lang w:val="es-CR"/>
        </w:rPr>
      </w:pPr>
      <w:r w:rsidRPr="00133B85">
        <w:rPr>
          <w:rStyle w:val="Refdenotaalpie"/>
          <w:rFonts w:ascii="Verdana" w:hAnsi="Verdana"/>
          <w:sz w:val="16"/>
          <w:szCs w:val="16"/>
        </w:rPr>
        <w:footnoteRef/>
      </w:r>
      <w:r w:rsidRPr="00133B85">
        <w:rPr>
          <w:rFonts w:ascii="Verdana" w:hAnsi="Verdana"/>
          <w:sz w:val="16"/>
          <w:szCs w:val="16"/>
        </w:rPr>
        <w:t xml:space="preserve"> Resolutivo N°1: “</w:t>
      </w:r>
      <w:r w:rsidRPr="00133B85">
        <w:rPr>
          <w:rFonts w:ascii="Verdana" w:hAnsi="Verdana"/>
          <w:i/>
          <w:iCs/>
          <w:sz w:val="16"/>
          <w:szCs w:val="16"/>
          <w:lang w:val="es-MX"/>
        </w:rPr>
        <w:t xml:space="preserve">Ratificar en todos sus términos la Resolución de la Presidenta de Medidas Urgentes de 2 de abril de 2020 mediante la cual se ampliaron las medidas provisionales emitidas en el presente caso y, por consiguiente, requerir al Estado de Colombia que incluya de manera inmediata dentro de las medidas ordenadas mediante resolución de </w:t>
      </w:r>
      <w:r w:rsidRPr="00133B85">
        <w:rPr>
          <w:rFonts w:ascii="Verdana" w:hAnsi="Verdana"/>
          <w:i/>
          <w:iCs/>
          <w:spacing w:val="-4"/>
          <w:sz w:val="16"/>
          <w:szCs w:val="16"/>
          <w:lang w:val="es-CR"/>
        </w:rPr>
        <w:t xml:space="preserve">30 de julio de 2004 a </w:t>
      </w:r>
      <w:r w:rsidRPr="00133B85">
        <w:rPr>
          <w:rFonts w:ascii="Verdana" w:eastAsia="Times" w:hAnsi="Verdana" w:cs="Times New Roman"/>
          <w:i/>
          <w:iCs/>
          <w:sz w:val="16"/>
          <w:szCs w:val="16"/>
          <w:lang w:val="es-CO"/>
        </w:rPr>
        <w:t xml:space="preserve">la señora Nery del Socorro Flórez Contreras, y a </w:t>
      </w:r>
      <w:r w:rsidRPr="00133B85">
        <w:rPr>
          <w:rFonts w:ascii="Verdana" w:eastAsia="Times" w:hAnsi="Verdana" w:cs="Times New Roman"/>
          <w:i/>
          <w:iCs/>
          <w:sz w:val="16"/>
          <w:szCs w:val="16"/>
          <w:lang w:val="es-ES_tradnl"/>
        </w:rPr>
        <w:t xml:space="preserve">los integrantes </w:t>
      </w:r>
      <w:r w:rsidRPr="00133B85">
        <w:rPr>
          <w:rFonts w:ascii="Verdana" w:eastAsia="Times" w:hAnsi="Verdana" w:cs="Times New Roman"/>
          <w:i/>
          <w:iCs/>
          <w:sz w:val="16"/>
          <w:szCs w:val="16"/>
          <w:lang w:val="es-CO"/>
        </w:rPr>
        <w:t xml:space="preserve">de su familia, a saber: </w:t>
      </w:r>
      <w:proofErr w:type="spellStart"/>
      <w:r w:rsidRPr="00133B85">
        <w:rPr>
          <w:rFonts w:ascii="Verdana" w:eastAsia="Times" w:hAnsi="Verdana" w:cs="Times New Roman"/>
          <w:i/>
          <w:iCs/>
          <w:sz w:val="16"/>
          <w:szCs w:val="16"/>
          <w:lang w:val="es-CO"/>
        </w:rPr>
        <w:t>Shercy</w:t>
      </w:r>
      <w:proofErr w:type="spellEnd"/>
      <w:r w:rsidRPr="00133B85">
        <w:rPr>
          <w:rFonts w:ascii="Verdana" w:eastAsia="Times" w:hAnsi="Verdana" w:cs="Times New Roman"/>
          <w:i/>
          <w:iCs/>
          <w:sz w:val="16"/>
          <w:szCs w:val="16"/>
          <w:lang w:val="es-CO"/>
        </w:rPr>
        <w:t xml:space="preserve"> Pamela Romero Flórez, </w:t>
      </w:r>
      <w:proofErr w:type="spellStart"/>
      <w:r w:rsidRPr="00133B85">
        <w:rPr>
          <w:rFonts w:ascii="Verdana" w:eastAsia="Times" w:hAnsi="Verdana" w:cs="Times New Roman"/>
          <w:i/>
          <w:iCs/>
          <w:sz w:val="16"/>
          <w:szCs w:val="16"/>
          <w:lang w:val="es-CO"/>
        </w:rPr>
        <w:t>Maichol</w:t>
      </w:r>
      <w:proofErr w:type="spellEnd"/>
      <w:r w:rsidRPr="00133B85">
        <w:rPr>
          <w:rFonts w:ascii="Verdana" w:eastAsia="Times" w:hAnsi="Verdana" w:cs="Times New Roman"/>
          <w:i/>
          <w:iCs/>
          <w:sz w:val="16"/>
          <w:szCs w:val="16"/>
          <w:lang w:val="es-CO"/>
        </w:rPr>
        <w:t xml:space="preserve"> </w:t>
      </w:r>
      <w:proofErr w:type="spellStart"/>
      <w:r w:rsidRPr="00133B85">
        <w:rPr>
          <w:rFonts w:ascii="Verdana" w:eastAsia="Times" w:hAnsi="Verdana" w:cs="Times New Roman"/>
          <w:i/>
          <w:iCs/>
          <w:sz w:val="16"/>
          <w:szCs w:val="16"/>
          <w:lang w:val="es-CO"/>
        </w:rPr>
        <w:t>Edilio</w:t>
      </w:r>
      <w:proofErr w:type="spellEnd"/>
      <w:r w:rsidRPr="00133B85">
        <w:rPr>
          <w:rFonts w:ascii="Verdana" w:eastAsia="Times" w:hAnsi="Verdana" w:cs="Times New Roman"/>
          <w:i/>
          <w:iCs/>
          <w:sz w:val="16"/>
          <w:szCs w:val="16"/>
          <w:lang w:val="es-CO"/>
        </w:rPr>
        <w:t xml:space="preserve"> Romero Flórez, Ingrith Johanna Romero Flórez, Geraldine Romero Flórez y Tatiana Romero Flórez, así como sus núcleos familiares respectivos, a saber: </w:t>
      </w:r>
      <w:r w:rsidRPr="00133B85">
        <w:rPr>
          <w:rFonts w:ascii="Verdana" w:hAnsi="Verdana"/>
          <w:bCs/>
          <w:i/>
          <w:iCs/>
          <w:sz w:val="16"/>
          <w:szCs w:val="16"/>
          <w:lang w:val="es-CR"/>
        </w:rPr>
        <w:t>Alirio Antonio Romero Galván</w:t>
      </w:r>
      <w:r w:rsidRPr="00133B85">
        <w:rPr>
          <w:rFonts w:ascii="Verdana" w:hAnsi="Verdana"/>
          <w:i/>
          <w:iCs/>
          <w:sz w:val="16"/>
          <w:szCs w:val="16"/>
          <w:lang w:val="es-CR"/>
        </w:rPr>
        <w:t xml:space="preserve">, </w:t>
      </w:r>
      <w:proofErr w:type="spellStart"/>
      <w:r w:rsidRPr="00133B85">
        <w:rPr>
          <w:rFonts w:ascii="Verdana" w:hAnsi="Verdana"/>
          <w:bCs/>
          <w:i/>
          <w:iCs/>
          <w:sz w:val="16"/>
          <w:szCs w:val="16"/>
          <w:lang w:val="es-CR"/>
        </w:rPr>
        <w:t>Yeicob</w:t>
      </w:r>
      <w:proofErr w:type="spellEnd"/>
      <w:r w:rsidRPr="00133B85">
        <w:rPr>
          <w:rFonts w:ascii="Verdana" w:hAnsi="Verdana"/>
          <w:bCs/>
          <w:i/>
          <w:iCs/>
          <w:sz w:val="16"/>
          <w:szCs w:val="16"/>
          <w:lang w:val="es-CR"/>
        </w:rPr>
        <w:t xml:space="preserve"> </w:t>
      </w:r>
      <w:proofErr w:type="spellStart"/>
      <w:r w:rsidRPr="00133B85">
        <w:rPr>
          <w:rFonts w:ascii="Verdana" w:hAnsi="Verdana"/>
          <w:bCs/>
          <w:i/>
          <w:iCs/>
          <w:sz w:val="16"/>
          <w:szCs w:val="16"/>
          <w:lang w:val="es-CR"/>
        </w:rPr>
        <w:t>Lautner</w:t>
      </w:r>
      <w:proofErr w:type="spellEnd"/>
      <w:r w:rsidRPr="00133B85">
        <w:rPr>
          <w:rFonts w:ascii="Verdana" w:hAnsi="Verdana"/>
          <w:bCs/>
          <w:i/>
          <w:iCs/>
          <w:sz w:val="16"/>
          <w:szCs w:val="16"/>
          <w:lang w:val="es-CR"/>
        </w:rPr>
        <w:t xml:space="preserve"> Romero</w:t>
      </w:r>
      <w:r w:rsidRPr="00133B85">
        <w:rPr>
          <w:rFonts w:ascii="Verdana" w:hAnsi="Verdana"/>
          <w:i/>
          <w:iCs/>
          <w:sz w:val="16"/>
          <w:szCs w:val="16"/>
          <w:lang w:val="es-CR"/>
        </w:rPr>
        <w:t xml:space="preserve">, </w:t>
      </w:r>
      <w:r w:rsidRPr="00133B85">
        <w:rPr>
          <w:rFonts w:ascii="Verdana" w:hAnsi="Verdana"/>
          <w:bCs/>
          <w:i/>
          <w:iCs/>
          <w:sz w:val="16"/>
          <w:szCs w:val="16"/>
          <w:lang w:val="es-CR"/>
        </w:rPr>
        <w:t>Jineth Adriana Niño Colmenares</w:t>
      </w:r>
      <w:r w:rsidRPr="00133B85">
        <w:rPr>
          <w:rFonts w:ascii="Verdana" w:hAnsi="Verdana"/>
          <w:i/>
          <w:iCs/>
          <w:sz w:val="16"/>
          <w:szCs w:val="16"/>
          <w:lang w:val="es-CR"/>
        </w:rPr>
        <w:t xml:space="preserve">, </w:t>
      </w:r>
      <w:r w:rsidRPr="00133B85">
        <w:rPr>
          <w:rFonts w:ascii="Verdana" w:hAnsi="Verdana"/>
          <w:bCs/>
          <w:i/>
          <w:iCs/>
          <w:sz w:val="16"/>
          <w:szCs w:val="16"/>
          <w:lang w:val="es-CR"/>
        </w:rPr>
        <w:t xml:space="preserve">Lucas </w:t>
      </w:r>
      <w:proofErr w:type="spellStart"/>
      <w:r w:rsidRPr="00133B85">
        <w:rPr>
          <w:rFonts w:ascii="Verdana" w:hAnsi="Verdana"/>
          <w:bCs/>
          <w:i/>
          <w:iCs/>
          <w:sz w:val="16"/>
          <w:szCs w:val="16"/>
          <w:lang w:val="es-CR"/>
        </w:rPr>
        <w:t>Fabbiany</w:t>
      </w:r>
      <w:proofErr w:type="spellEnd"/>
      <w:r w:rsidRPr="00133B85">
        <w:rPr>
          <w:rFonts w:ascii="Verdana" w:hAnsi="Verdana"/>
          <w:bCs/>
          <w:i/>
          <w:iCs/>
          <w:sz w:val="16"/>
          <w:szCs w:val="16"/>
          <w:lang w:val="es-CR"/>
        </w:rPr>
        <w:t xml:space="preserve"> Niño</w:t>
      </w:r>
      <w:r w:rsidRPr="00133B85">
        <w:rPr>
          <w:rFonts w:ascii="Verdana" w:hAnsi="Verdana"/>
          <w:i/>
          <w:iCs/>
          <w:sz w:val="16"/>
          <w:szCs w:val="16"/>
          <w:lang w:val="es-CR"/>
        </w:rPr>
        <w:t xml:space="preserve">, </w:t>
      </w:r>
      <w:r w:rsidRPr="00133B85">
        <w:rPr>
          <w:rFonts w:ascii="Verdana" w:hAnsi="Verdana"/>
          <w:bCs/>
          <w:i/>
          <w:iCs/>
          <w:sz w:val="16"/>
          <w:szCs w:val="16"/>
          <w:lang w:val="es-CR"/>
        </w:rPr>
        <w:t xml:space="preserve">Emma Lucia </w:t>
      </w:r>
      <w:proofErr w:type="spellStart"/>
      <w:r w:rsidRPr="00133B85">
        <w:rPr>
          <w:rFonts w:ascii="Verdana" w:hAnsi="Verdana"/>
          <w:bCs/>
          <w:i/>
          <w:iCs/>
          <w:sz w:val="16"/>
          <w:szCs w:val="16"/>
          <w:lang w:val="es-CR"/>
        </w:rPr>
        <w:t>Lautner</w:t>
      </w:r>
      <w:proofErr w:type="spellEnd"/>
      <w:r w:rsidRPr="00133B85">
        <w:rPr>
          <w:rFonts w:ascii="Verdana" w:hAnsi="Verdana"/>
          <w:bCs/>
          <w:i/>
          <w:iCs/>
          <w:sz w:val="16"/>
          <w:szCs w:val="16"/>
          <w:lang w:val="es-CR"/>
        </w:rPr>
        <w:t xml:space="preserve"> Niño; </w:t>
      </w:r>
      <w:r w:rsidRPr="00133B85">
        <w:rPr>
          <w:rFonts w:ascii="Verdana" w:eastAsia="MS Mincho" w:hAnsi="Verdana"/>
          <w:bCs/>
          <w:i/>
          <w:iCs/>
          <w:sz w:val="16"/>
          <w:szCs w:val="16"/>
          <w:lang w:val="es-CR"/>
        </w:rPr>
        <w:t xml:space="preserve">Naum José Mirando Ortiz; </w:t>
      </w:r>
      <w:r w:rsidRPr="00133B85">
        <w:rPr>
          <w:rFonts w:ascii="Verdana" w:eastAsia="MS Mincho" w:hAnsi="Verdana" w:cs="Arial"/>
          <w:bCs/>
          <w:i/>
          <w:iCs/>
          <w:sz w:val="16"/>
          <w:szCs w:val="16"/>
          <w:lang w:val="es-CR"/>
        </w:rPr>
        <w:t xml:space="preserve">Roque Sanguino Cardona, Andrey </w:t>
      </w:r>
      <w:proofErr w:type="spellStart"/>
      <w:r w:rsidRPr="00133B85">
        <w:rPr>
          <w:rFonts w:ascii="Verdana" w:eastAsia="MS Mincho" w:hAnsi="Verdana" w:cs="Arial"/>
          <w:bCs/>
          <w:i/>
          <w:iCs/>
          <w:sz w:val="16"/>
          <w:szCs w:val="16"/>
          <w:lang w:val="es-CR"/>
        </w:rPr>
        <w:t>Giusseppe</w:t>
      </w:r>
      <w:proofErr w:type="spellEnd"/>
      <w:r w:rsidRPr="00133B85">
        <w:rPr>
          <w:rFonts w:ascii="Verdana" w:eastAsia="MS Mincho" w:hAnsi="Verdana" w:cs="Arial"/>
          <w:bCs/>
          <w:i/>
          <w:iCs/>
          <w:sz w:val="16"/>
          <w:szCs w:val="16"/>
          <w:lang w:val="es-CR"/>
        </w:rPr>
        <w:t xml:space="preserve"> Sanguino Cardona, Andy Steven Sanguino Romero; </w:t>
      </w:r>
      <w:r w:rsidRPr="00133B85">
        <w:rPr>
          <w:rFonts w:ascii="Verdana" w:eastAsia="MS Mincho" w:hAnsi="Verdana"/>
          <w:bCs/>
          <w:i/>
          <w:iCs/>
          <w:sz w:val="16"/>
          <w:szCs w:val="16"/>
          <w:lang w:val="es-CR"/>
        </w:rPr>
        <w:t xml:space="preserve">Amy Isabela Valencia Romero; </w:t>
      </w:r>
      <w:r w:rsidRPr="00133B85">
        <w:rPr>
          <w:rFonts w:ascii="Verdana" w:hAnsi="Verdana"/>
          <w:bCs/>
          <w:i/>
          <w:iCs/>
          <w:sz w:val="16"/>
          <w:szCs w:val="16"/>
          <w:lang w:val="es-CR"/>
        </w:rPr>
        <w:t>María Fernanda Contreras Lindarte, Karen Francisca Cárdenas Rojas</w:t>
      </w:r>
      <w:r w:rsidRPr="00133B85">
        <w:rPr>
          <w:rFonts w:ascii="Verdana" w:hAnsi="Verdana"/>
          <w:i/>
          <w:iCs/>
          <w:sz w:val="16"/>
          <w:szCs w:val="16"/>
          <w:lang w:val="es-CR"/>
        </w:rPr>
        <w:t xml:space="preserve">, María Fernanda Contreras, </w:t>
      </w:r>
      <w:r w:rsidRPr="00133B85">
        <w:rPr>
          <w:rFonts w:ascii="Verdana" w:hAnsi="Verdana"/>
          <w:bCs/>
          <w:i/>
          <w:iCs/>
          <w:sz w:val="16"/>
          <w:szCs w:val="16"/>
          <w:lang w:val="es-CR"/>
        </w:rPr>
        <w:t>Valentino Romero Contreras</w:t>
      </w:r>
      <w:r w:rsidRPr="00133B85">
        <w:rPr>
          <w:rFonts w:ascii="Verdana" w:hAnsi="Verdana"/>
          <w:i/>
          <w:iCs/>
          <w:sz w:val="16"/>
          <w:szCs w:val="16"/>
          <w:lang w:val="es-CR"/>
        </w:rPr>
        <w:t xml:space="preserve">, </w:t>
      </w:r>
      <w:r w:rsidRPr="00133B85">
        <w:rPr>
          <w:rFonts w:ascii="Verdana" w:hAnsi="Verdana"/>
          <w:bCs/>
          <w:i/>
          <w:iCs/>
          <w:sz w:val="16"/>
          <w:szCs w:val="16"/>
          <w:lang w:val="es-CR"/>
        </w:rPr>
        <w:t xml:space="preserve">Salomón Romero Contreras; </w:t>
      </w:r>
      <w:r w:rsidRPr="00133B85">
        <w:rPr>
          <w:rFonts w:ascii="Verdana" w:eastAsia="MS Mincho" w:hAnsi="Verdana"/>
          <w:bCs/>
          <w:i/>
          <w:iCs/>
          <w:sz w:val="16"/>
          <w:szCs w:val="16"/>
          <w:lang w:val="es-CR"/>
        </w:rPr>
        <w:t>Sergio Giovanni Rojas Landinez, Mariana Alessandra Rojas Romero.”</w:t>
      </w:r>
    </w:p>
    <w:p w14:paraId="265DA14F" w14:textId="77777777" w:rsidR="004F0E31" w:rsidRPr="00133B85" w:rsidRDefault="004F0E31" w:rsidP="009A5EDB">
      <w:pPr>
        <w:tabs>
          <w:tab w:val="left" w:pos="0"/>
        </w:tabs>
        <w:spacing w:after="0" w:line="240" w:lineRule="auto"/>
        <w:ind w:left="-850"/>
        <w:jc w:val="both"/>
        <w:rPr>
          <w:rFonts w:ascii="Verdana" w:hAnsi="Verdana"/>
          <w:i/>
          <w:iCs/>
          <w:sz w:val="16"/>
          <w:szCs w:val="16"/>
          <w:lang w:val="es-CO"/>
        </w:rPr>
      </w:pPr>
    </w:p>
  </w:footnote>
  <w:footnote w:id="15">
    <w:p w14:paraId="71022931" w14:textId="77777777" w:rsidR="004F0E31" w:rsidRPr="00133B85" w:rsidRDefault="004F0E31" w:rsidP="009A5EDB">
      <w:pPr>
        <w:pStyle w:val="Textonotapie"/>
        <w:ind w:left="-850" w:right="-567"/>
        <w:rPr>
          <w:rFonts w:ascii="Verdana" w:hAnsi="Verdana"/>
          <w:sz w:val="16"/>
          <w:szCs w:val="16"/>
          <w:lang w:val="es-419"/>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419"/>
        </w:rPr>
        <w:t xml:space="preserve">En adelante, la Resolución de la </w:t>
      </w:r>
      <w:proofErr w:type="gramStart"/>
      <w:r w:rsidRPr="00133B85">
        <w:rPr>
          <w:rFonts w:ascii="Verdana" w:hAnsi="Verdana"/>
          <w:sz w:val="16"/>
          <w:szCs w:val="16"/>
          <w:lang w:val="es-419"/>
        </w:rPr>
        <w:t>Presidenta</w:t>
      </w:r>
      <w:proofErr w:type="gramEnd"/>
      <w:r w:rsidRPr="00133B85">
        <w:rPr>
          <w:rFonts w:ascii="Verdana" w:hAnsi="Verdana"/>
          <w:sz w:val="16"/>
          <w:szCs w:val="16"/>
          <w:lang w:val="es-419"/>
        </w:rPr>
        <w:t>.</w:t>
      </w:r>
    </w:p>
    <w:p w14:paraId="7AF3204D" w14:textId="77777777" w:rsidR="004F0E31" w:rsidRPr="00133B85" w:rsidRDefault="004F0E31" w:rsidP="009A5EDB">
      <w:pPr>
        <w:pStyle w:val="Textonotapie"/>
        <w:ind w:left="-850" w:right="-567"/>
        <w:rPr>
          <w:rFonts w:ascii="Verdana" w:hAnsi="Verdana"/>
          <w:sz w:val="16"/>
          <w:szCs w:val="16"/>
          <w:lang w:val="es-419"/>
        </w:rPr>
      </w:pPr>
    </w:p>
  </w:footnote>
  <w:footnote w:id="16">
    <w:p w14:paraId="5C2B3291" w14:textId="77777777" w:rsidR="004F0E31" w:rsidRPr="00133B85" w:rsidRDefault="004F0E31" w:rsidP="009A5EDB">
      <w:pPr>
        <w:pStyle w:val="Textonotapie"/>
        <w:ind w:left="-850" w:right="-567"/>
        <w:rPr>
          <w:rFonts w:ascii="Verdana" w:hAnsi="Verdana"/>
          <w:sz w:val="16"/>
          <w:szCs w:val="16"/>
        </w:rPr>
      </w:pPr>
      <w:r w:rsidRPr="00133B85">
        <w:rPr>
          <w:rStyle w:val="Refdenotaalpie"/>
          <w:rFonts w:ascii="Verdana" w:hAnsi="Verdana"/>
          <w:sz w:val="16"/>
          <w:szCs w:val="16"/>
        </w:rPr>
        <w:footnoteRef/>
      </w:r>
      <w:r w:rsidRPr="00133B85">
        <w:rPr>
          <w:rFonts w:ascii="Verdana" w:hAnsi="Verdana"/>
          <w:sz w:val="16"/>
          <w:szCs w:val="16"/>
        </w:rPr>
        <w:t xml:space="preserve"> En adelante, la Corte.</w:t>
      </w:r>
    </w:p>
    <w:p w14:paraId="003FC39D" w14:textId="77777777" w:rsidR="004F0E31" w:rsidRPr="00133B85" w:rsidRDefault="004F0E31" w:rsidP="009A5EDB">
      <w:pPr>
        <w:pStyle w:val="Textonotapie"/>
        <w:ind w:left="-850" w:right="-567"/>
        <w:rPr>
          <w:rFonts w:ascii="Verdana" w:hAnsi="Verdana"/>
          <w:sz w:val="16"/>
          <w:szCs w:val="16"/>
          <w:lang w:val="es-419"/>
        </w:rPr>
      </w:pPr>
    </w:p>
  </w:footnote>
  <w:footnote w:id="17">
    <w:p w14:paraId="294016D5" w14:textId="77777777" w:rsidR="004F0E31" w:rsidRPr="00133B85" w:rsidRDefault="004F0E31" w:rsidP="009A5EDB">
      <w:pPr>
        <w:spacing w:after="0" w:line="240" w:lineRule="auto"/>
        <w:ind w:left="-850"/>
        <w:jc w:val="both"/>
        <w:rPr>
          <w:rFonts w:ascii="Verdana" w:hAnsi="Verdana"/>
          <w:sz w:val="16"/>
          <w:szCs w:val="16"/>
          <w:lang w:val="es-CO"/>
        </w:rPr>
      </w:pPr>
      <w:r w:rsidRPr="00133B85">
        <w:rPr>
          <w:rStyle w:val="Refdenotaalpie"/>
          <w:rFonts w:ascii="Verdana" w:hAnsi="Verdana"/>
          <w:sz w:val="16"/>
          <w:szCs w:val="16"/>
        </w:rPr>
        <w:footnoteRef/>
      </w:r>
      <w:r w:rsidRPr="00133B85">
        <w:rPr>
          <w:rFonts w:ascii="Verdana" w:hAnsi="Verdana"/>
          <w:sz w:val="16"/>
          <w:szCs w:val="16"/>
        </w:rPr>
        <w:t xml:space="preserve"> Resolutivo N°1: “</w:t>
      </w:r>
      <w:r w:rsidRPr="00133B85">
        <w:rPr>
          <w:rFonts w:ascii="Verdana" w:hAnsi="Verdana"/>
          <w:i/>
          <w:iCs/>
          <w:sz w:val="16"/>
          <w:szCs w:val="16"/>
          <w:lang w:val="es-MX"/>
        </w:rPr>
        <w:t xml:space="preserve">Ampliar las medidas provisionales emitidas en el presente caso, de tal forma que el Estado de Colombia incluya de manera inmediata dentro de las medidas ordenadas a </w:t>
      </w:r>
      <w:r w:rsidRPr="00133B85">
        <w:rPr>
          <w:rFonts w:ascii="Verdana" w:eastAsia="Times" w:hAnsi="Verdana" w:cs="Times New Roman"/>
          <w:i/>
          <w:iCs/>
          <w:sz w:val="16"/>
          <w:szCs w:val="16"/>
          <w:lang w:val="es-CO"/>
        </w:rPr>
        <w:t xml:space="preserve">la señora Nery del Socorro Flórez Contreras, y a </w:t>
      </w:r>
      <w:r w:rsidRPr="00133B85">
        <w:rPr>
          <w:rFonts w:ascii="Verdana" w:eastAsia="Times" w:hAnsi="Verdana" w:cs="Times New Roman"/>
          <w:i/>
          <w:iCs/>
          <w:sz w:val="16"/>
          <w:szCs w:val="16"/>
          <w:lang w:val="es-ES_tradnl"/>
        </w:rPr>
        <w:t xml:space="preserve">los integrantes </w:t>
      </w:r>
      <w:r w:rsidRPr="00133B85">
        <w:rPr>
          <w:rFonts w:ascii="Verdana" w:eastAsia="Times" w:hAnsi="Verdana" w:cs="Times New Roman"/>
          <w:i/>
          <w:iCs/>
          <w:sz w:val="16"/>
          <w:szCs w:val="16"/>
          <w:lang w:val="es-CO"/>
        </w:rPr>
        <w:t xml:space="preserve">de su familia, a saber: </w:t>
      </w:r>
      <w:proofErr w:type="spellStart"/>
      <w:r w:rsidRPr="00133B85">
        <w:rPr>
          <w:rFonts w:ascii="Verdana" w:eastAsia="Times" w:hAnsi="Verdana" w:cs="Times New Roman"/>
          <w:i/>
          <w:iCs/>
          <w:sz w:val="16"/>
          <w:szCs w:val="16"/>
          <w:lang w:val="es-CO"/>
        </w:rPr>
        <w:t>Shercy</w:t>
      </w:r>
      <w:proofErr w:type="spellEnd"/>
      <w:r w:rsidRPr="00133B85">
        <w:rPr>
          <w:rFonts w:ascii="Verdana" w:eastAsia="Times" w:hAnsi="Verdana" w:cs="Times New Roman"/>
          <w:i/>
          <w:iCs/>
          <w:sz w:val="16"/>
          <w:szCs w:val="16"/>
          <w:lang w:val="es-CO"/>
        </w:rPr>
        <w:t xml:space="preserve"> Pamela Romero Flórez, </w:t>
      </w:r>
      <w:proofErr w:type="spellStart"/>
      <w:r w:rsidRPr="00133B85">
        <w:rPr>
          <w:rFonts w:ascii="Verdana" w:eastAsia="Times" w:hAnsi="Verdana" w:cs="Times New Roman"/>
          <w:i/>
          <w:iCs/>
          <w:sz w:val="16"/>
          <w:szCs w:val="16"/>
          <w:lang w:val="es-CO"/>
        </w:rPr>
        <w:t>Maichol</w:t>
      </w:r>
      <w:proofErr w:type="spellEnd"/>
      <w:r w:rsidRPr="00133B85">
        <w:rPr>
          <w:rFonts w:ascii="Verdana" w:eastAsia="Times" w:hAnsi="Verdana" w:cs="Times New Roman"/>
          <w:i/>
          <w:iCs/>
          <w:sz w:val="16"/>
          <w:szCs w:val="16"/>
          <w:lang w:val="es-CO"/>
        </w:rPr>
        <w:t xml:space="preserve"> </w:t>
      </w:r>
      <w:proofErr w:type="spellStart"/>
      <w:r w:rsidRPr="00133B85">
        <w:rPr>
          <w:rFonts w:ascii="Verdana" w:eastAsia="Times" w:hAnsi="Verdana" w:cs="Times New Roman"/>
          <w:i/>
          <w:iCs/>
          <w:sz w:val="16"/>
          <w:szCs w:val="16"/>
          <w:lang w:val="es-CO"/>
        </w:rPr>
        <w:t>Edilio</w:t>
      </w:r>
      <w:proofErr w:type="spellEnd"/>
      <w:r w:rsidRPr="00133B85">
        <w:rPr>
          <w:rFonts w:ascii="Verdana" w:eastAsia="Times" w:hAnsi="Verdana" w:cs="Times New Roman"/>
          <w:i/>
          <w:iCs/>
          <w:sz w:val="16"/>
          <w:szCs w:val="16"/>
          <w:lang w:val="es-CO"/>
        </w:rPr>
        <w:t xml:space="preserve"> Romero Flórez, Ingrith Johanna Romero Flórez, Geraldine Romero Flórez y Tatiana Romero Flórez, así como sus núcleos familiares respectivos</w:t>
      </w:r>
      <w:r w:rsidRPr="00133B85">
        <w:rPr>
          <w:rFonts w:ascii="Verdana" w:eastAsia="Times" w:hAnsi="Verdana" w:cs="Times New Roman"/>
          <w:sz w:val="16"/>
          <w:szCs w:val="16"/>
          <w:lang w:val="es-CO"/>
        </w:rPr>
        <w:t>.”</w:t>
      </w:r>
    </w:p>
    <w:p w14:paraId="1AB8B715" w14:textId="77777777" w:rsidR="004F0E31" w:rsidRPr="00133B85" w:rsidRDefault="004F0E31" w:rsidP="009A5EDB">
      <w:pPr>
        <w:spacing w:after="0" w:line="240" w:lineRule="auto"/>
        <w:ind w:left="-850"/>
        <w:jc w:val="both"/>
        <w:rPr>
          <w:rFonts w:ascii="Verdana" w:hAnsi="Verdana"/>
          <w:sz w:val="16"/>
          <w:szCs w:val="16"/>
          <w:lang w:val="es-CO"/>
        </w:rPr>
      </w:pPr>
    </w:p>
  </w:footnote>
  <w:footnote w:id="18">
    <w:p w14:paraId="3B54705A" w14:textId="77777777" w:rsidR="004F0E31" w:rsidRPr="002E173C" w:rsidRDefault="004F0E31" w:rsidP="001929CD">
      <w:pPr>
        <w:pStyle w:val="Textonotapie"/>
        <w:ind w:left="-850" w:right="-567"/>
        <w:rPr>
          <w:rFonts w:ascii="Verdana" w:eastAsiaTheme="minorEastAsia" w:hAnsi="Verdana"/>
          <w:i/>
          <w:iCs/>
          <w:sz w:val="16"/>
          <w:szCs w:val="16"/>
          <w:lang w:val="es-MX"/>
        </w:rPr>
      </w:pPr>
      <w:r>
        <w:rPr>
          <w:rStyle w:val="Refdenotaalpie"/>
        </w:rPr>
        <w:footnoteRef/>
      </w:r>
      <w:r>
        <w:t xml:space="preserve"> </w:t>
      </w:r>
      <w:r w:rsidRPr="00AB288C">
        <w:rPr>
          <w:rFonts w:ascii="Verdana" w:hAnsi="Verdana"/>
          <w:sz w:val="16"/>
          <w:szCs w:val="16"/>
          <w:lang w:val="es-CR"/>
        </w:rPr>
        <w:t>Votos individuales del Juez Eduardo Vio Grossi respecto de Resoluciones sobre medidas provisionales</w:t>
      </w:r>
      <w:r w:rsidRPr="002E173C">
        <w:rPr>
          <w:rFonts w:ascii="Verdana" w:hAnsi="Verdana"/>
          <w:i/>
          <w:iCs/>
          <w:sz w:val="16"/>
          <w:szCs w:val="16"/>
          <w:lang w:val="es-CR"/>
        </w:rPr>
        <w:t>: Disidente, Caso Masacres de El Mozote y Lugares Aledaños Vs. El Salvador, 3 de septiembre de 2019; Disidente, Caso Mack Chang y Otros Vs. Guatemala, 5 de marzo de 2019;</w:t>
      </w:r>
      <w:r w:rsidRPr="002E173C">
        <w:rPr>
          <w:rFonts w:ascii="Verdana" w:hAnsi="Verdana"/>
          <w:i/>
          <w:iCs/>
          <w:sz w:val="16"/>
          <w:szCs w:val="16"/>
          <w:lang w:val="es-ES"/>
        </w:rPr>
        <w:t xml:space="preserve"> </w:t>
      </w:r>
      <w:r w:rsidRPr="002E173C">
        <w:rPr>
          <w:rFonts w:ascii="Verdana" w:hAnsi="Verdana"/>
          <w:i/>
          <w:iCs/>
          <w:sz w:val="16"/>
          <w:szCs w:val="16"/>
          <w:lang w:val="es-CR"/>
        </w:rPr>
        <w:t xml:space="preserve">Parcialmente Disidente, Caso de los Miembros de la Aldea </w:t>
      </w:r>
      <w:proofErr w:type="spellStart"/>
      <w:r w:rsidRPr="002E173C">
        <w:rPr>
          <w:rFonts w:ascii="Verdana" w:hAnsi="Verdana"/>
          <w:i/>
          <w:iCs/>
          <w:sz w:val="16"/>
          <w:szCs w:val="16"/>
          <w:lang w:val="es-CR"/>
        </w:rPr>
        <w:t>Chichupac</w:t>
      </w:r>
      <w:proofErr w:type="spellEnd"/>
      <w:r w:rsidRPr="002E173C">
        <w:rPr>
          <w:rFonts w:ascii="Verdana" w:hAnsi="Verdana"/>
          <w:i/>
          <w:iCs/>
          <w:sz w:val="16"/>
          <w:szCs w:val="16"/>
          <w:lang w:val="es-CR"/>
        </w:rPr>
        <w:t xml:space="preserve"> y Comunidades del Municipio de Rabinal, Caso Molina </w:t>
      </w:r>
      <w:proofErr w:type="spellStart"/>
      <w:r w:rsidRPr="002E173C">
        <w:rPr>
          <w:rFonts w:ascii="Verdana" w:hAnsi="Verdana"/>
          <w:i/>
          <w:iCs/>
          <w:sz w:val="16"/>
          <w:szCs w:val="16"/>
          <w:lang w:val="es-CR"/>
        </w:rPr>
        <w:t>Thiesen</w:t>
      </w:r>
      <w:proofErr w:type="spellEnd"/>
      <w:r w:rsidRPr="002E173C">
        <w:rPr>
          <w:rFonts w:ascii="Verdana" w:hAnsi="Verdana"/>
          <w:i/>
          <w:iCs/>
          <w:sz w:val="16"/>
          <w:szCs w:val="16"/>
          <w:lang w:val="es-CR"/>
        </w:rPr>
        <w:t xml:space="preserve"> y Otros 12 Casos contra Guatemala, 12 de marzo, de 2019; Concurrente, Caso </w:t>
      </w:r>
      <w:proofErr w:type="spellStart"/>
      <w:r w:rsidRPr="002E173C">
        <w:rPr>
          <w:rFonts w:ascii="Verdana" w:hAnsi="Verdana"/>
          <w:i/>
          <w:iCs/>
          <w:sz w:val="16"/>
          <w:szCs w:val="16"/>
          <w:lang w:val="es-CR"/>
        </w:rPr>
        <w:t>Bácama</w:t>
      </w:r>
      <w:proofErr w:type="spellEnd"/>
      <w:r w:rsidRPr="002E173C">
        <w:rPr>
          <w:rFonts w:ascii="Verdana" w:hAnsi="Verdana"/>
          <w:i/>
          <w:iCs/>
          <w:sz w:val="16"/>
          <w:szCs w:val="16"/>
          <w:lang w:val="es-CR"/>
        </w:rPr>
        <w:t xml:space="preserve"> Velásquez Vs. Guatemala, 22 de noviembre de 2018; Disidente, Caso Durand y Ugarte Vs. Perú, 8 de febrero de 2018; Disidente, Caso Torres Millacura y Otros Vs. Argentina, 14 de noviembre de 2017; Concurrente, Asunto Mery Naranjo y Otros respecto de Colombia, 22 de agosto de 2017; Concurrente, Caso Fernández Ortega y Otros, 7 de febrero de 2017; Concurrente, Caso </w:t>
      </w:r>
      <w:proofErr w:type="spellStart"/>
      <w:r w:rsidRPr="002E173C">
        <w:rPr>
          <w:rFonts w:ascii="Verdana" w:hAnsi="Verdana"/>
          <w:i/>
          <w:iCs/>
          <w:sz w:val="16"/>
          <w:szCs w:val="16"/>
          <w:lang w:val="es-CR"/>
        </w:rPr>
        <w:t>Bácama</w:t>
      </w:r>
      <w:proofErr w:type="spellEnd"/>
      <w:r w:rsidRPr="002E173C">
        <w:rPr>
          <w:rFonts w:ascii="Verdana" w:hAnsi="Verdana"/>
          <w:i/>
          <w:iCs/>
          <w:sz w:val="16"/>
          <w:szCs w:val="16"/>
          <w:lang w:val="es-CR"/>
        </w:rPr>
        <w:t xml:space="preserve"> Velázquez Vs .Guatemala, 31 de agosto de 2016; Concurrente, Caso García Prieto y Otros Vs. El Salvador, 20 de noviembre de 2015; Disidente, Caso Torres Millacura y Otros Vs. Argentina, 23 de junio de 2015; Disidente, Caso </w:t>
      </w:r>
      <w:proofErr w:type="spellStart"/>
      <w:r w:rsidRPr="002E173C">
        <w:rPr>
          <w:rFonts w:ascii="Verdana" w:hAnsi="Verdana"/>
          <w:i/>
          <w:iCs/>
          <w:sz w:val="16"/>
          <w:szCs w:val="16"/>
          <w:lang w:val="es-CR"/>
        </w:rPr>
        <w:t>Kawas</w:t>
      </w:r>
      <w:proofErr w:type="spellEnd"/>
      <w:r w:rsidRPr="002E173C">
        <w:rPr>
          <w:rFonts w:ascii="Verdana" w:hAnsi="Verdana"/>
          <w:i/>
          <w:iCs/>
          <w:sz w:val="16"/>
          <w:szCs w:val="16"/>
          <w:lang w:val="es-CR"/>
        </w:rPr>
        <w:t xml:space="preserve"> Fernández Vs. Honduras; Disidente, Caso Rosendo Cantú y Otra Vs. México, 23 de junio de 2015; Disidente, Caso García Prieto y Otros Vs. El Salvador, 26 de enero de 2015; Disidente, Caso Mack Chang y Otros Vs. Guatemala, 26 de enero de 2015; Concurrente, Caso Artavia Murillo y Otros (”Fecundación in Vitro”) Vs. Costa Rica, 31 de marzo de 2014; Concurrente, Caso Familia Barrios Vs. Venezuela, 30 de mayo de 2013; Concurrente, Asunto Millacura </w:t>
      </w:r>
      <w:proofErr w:type="spellStart"/>
      <w:r w:rsidRPr="002E173C">
        <w:rPr>
          <w:rFonts w:ascii="Verdana" w:hAnsi="Verdana"/>
          <w:i/>
          <w:iCs/>
          <w:sz w:val="16"/>
          <w:szCs w:val="16"/>
          <w:lang w:val="es-CR"/>
        </w:rPr>
        <w:t>Llaipén</w:t>
      </w:r>
      <w:proofErr w:type="spellEnd"/>
      <w:r w:rsidRPr="002E173C">
        <w:rPr>
          <w:rFonts w:ascii="Verdana" w:hAnsi="Verdana"/>
          <w:i/>
          <w:iCs/>
          <w:sz w:val="16"/>
          <w:szCs w:val="16"/>
          <w:lang w:val="es-CR"/>
        </w:rPr>
        <w:t xml:space="preserve"> y Otros respecto de Argentina, 13 de febrero de 2013; </w:t>
      </w:r>
      <w:r w:rsidRPr="002E173C">
        <w:rPr>
          <w:rFonts w:ascii="Verdana" w:hAnsi="Verdana"/>
          <w:i/>
          <w:iCs/>
          <w:sz w:val="16"/>
          <w:szCs w:val="16"/>
          <w:lang w:val="es-ES"/>
        </w:rPr>
        <w:t xml:space="preserve">Concurrente, Caso Familia Barrios Vs. Venezuela, 13 de febrero de 2013;´Concurrente, Caso Pacheco Teruel y Otro Vs, Honduras, 13 de febrero de 2013; Concurrente, Caso 19 Comerciantes Vs. Colombia, 26 de junio de 2012; Concurrente, Caso Fernández Ortega y Otros Vs. México, 20 de febrero de 2012; Disidente, Asunto Millacura </w:t>
      </w:r>
      <w:proofErr w:type="spellStart"/>
      <w:r w:rsidRPr="002E173C">
        <w:rPr>
          <w:rFonts w:ascii="Verdana" w:hAnsi="Verdana"/>
          <w:i/>
          <w:iCs/>
          <w:sz w:val="16"/>
          <w:szCs w:val="16"/>
          <w:lang w:val="es-ES"/>
        </w:rPr>
        <w:t>Llaipén</w:t>
      </w:r>
      <w:proofErr w:type="spellEnd"/>
      <w:r w:rsidRPr="002E173C">
        <w:rPr>
          <w:rFonts w:ascii="Verdana" w:hAnsi="Verdana"/>
          <w:i/>
          <w:iCs/>
          <w:sz w:val="16"/>
          <w:szCs w:val="16"/>
          <w:lang w:val="es-ES"/>
        </w:rPr>
        <w:t xml:space="preserve"> respecto de Argentina, 25 de noviembre de 2011; Disidente, Caso </w:t>
      </w:r>
      <w:proofErr w:type="spellStart"/>
      <w:r w:rsidRPr="002E173C">
        <w:rPr>
          <w:rFonts w:ascii="Verdana" w:hAnsi="Verdana"/>
          <w:i/>
          <w:iCs/>
          <w:sz w:val="16"/>
          <w:szCs w:val="16"/>
          <w:lang w:val="es-ES"/>
        </w:rPr>
        <w:t>Kawas</w:t>
      </w:r>
      <w:proofErr w:type="spellEnd"/>
      <w:r w:rsidRPr="002E173C">
        <w:rPr>
          <w:rFonts w:ascii="Verdana" w:hAnsi="Verdana"/>
          <w:i/>
          <w:iCs/>
          <w:sz w:val="16"/>
          <w:szCs w:val="16"/>
          <w:lang w:val="es-ES"/>
        </w:rPr>
        <w:t xml:space="preserve"> Fernández Vs. Honduras, 5 de julio de 2011; Disidente, Caso Rosendo Cantú y Otra Vs. México, 1 de julio de 2011; Disidente, Caso Gutiérrez Soler Vs. Colombia, 30 de junio de 2011; y Concurrente, Asunto Wong Ho </w:t>
      </w:r>
      <w:proofErr w:type="spellStart"/>
      <w:r w:rsidRPr="002E173C">
        <w:rPr>
          <w:rFonts w:ascii="Verdana" w:hAnsi="Verdana"/>
          <w:i/>
          <w:iCs/>
          <w:sz w:val="16"/>
          <w:szCs w:val="16"/>
          <w:lang w:val="es-ES"/>
        </w:rPr>
        <w:t>Wing</w:t>
      </w:r>
      <w:proofErr w:type="spellEnd"/>
      <w:r w:rsidRPr="002E173C">
        <w:rPr>
          <w:rFonts w:ascii="Verdana" w:hAnsi="Verdana"/>
          <w:i/>
          <w:iCs/>
          <w:sz w:val="16"/>
          <w:szCs w:val="16"/>
          <w:lang w:val="es-ES"/>
        </w:rPr>
        <w:t xml:space="preserve"> respecto de Perú, 28 de mayo de 2010.</w:t>
      </w:r>
      <w:r w:rsidRPr="002E173C">
        <w:rPr>
          <w:rFonts w:ascii="Verdana" w:eastAsiaTheme="minorEastAsia" w:hAnsi="Verdana"/>
          <w:i/>
          <w:iCs/>
          <w:sz w:val="16"/>
          <w:szCs w:val="16"/>
          <w:lang w:val="es-MX"/>
        </w:rPr>
        <w:t xml:space="preserve"> Hay que agregar la Constancia de Queja presentada ante la Corte el 17 de agosto de 2011.</w:t>
      </w:r>
    </w:p>
    <w:p w14:paraId="316710BA" w14:textId="77777777" w:rsidR="004F0E31" w:rsidRPr="009734F8" w:rsidRDefault="004F0E31" w:rsidP="001929CD">
      <w:pPr>
        <w:pStyle w:val="Textonotapie"/>
        <w:ind w:left="-850" w:right="-567"/>
        <w:rPr>
          <w:lang w:val="es-419"/>
        </w:rPr>
      </w:pPr>
    </w:p>
  </w:footnote>
  <w:footnote w:id="19">
    <w:p w14:paraId="59F975DA" w14:textId="77777777" w:rsidR="004F0E31" w:rsidRPr="00133B85" w:rsidRDefault="004F0E31" w:rsidP="009A5EDB">
      <w:pPr>
        <w:pStyle w:val="Textonotapie"/>
        <w:ind w:left="-850" w:right="-567"/>
        <w:rPr>
          <w:rFonts w:ascii="Verdana" w:hAnsi="Verdana"/>
          <w:sz w:val="16"/>
          <w:szCs w:val="16"/>
          <w:lang w:val="es-419"/>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419"/>
        </w:rPr>
        <w:t>En adelante, la Comisión.</w:t>
      </w:r>
    </w:p>
    <w:p w14:paraId="522B1492" w14:textId="77777777" w:rsidR="004F0E31" w:rsidRPr="00133B85" w:rsidRDefault="004F0E31" w:rsidP="009A5EDB">
      <w:pPr>
        <w:pStyle w:val="Textonotapie"/>
        <w:ind w:left="-567" w:right="-567"/>
        <w:rPr>
          <w:rFonts w:ascii="Verdana" w:hAnsi="Verdana"/>
          <w:sz w:val="16"/>
          <w:szCs w:val="16"/>
          <w:lang w:val="es-419"/>
        </w:rPr>
      </w:pPr>
    </w:p>
  </w:footnote>
  <w:footnote w:id="20">
    <w:p w14:paraId="59C0FFDA" w14:textId="77777777" w:rsidR="004F0E31" w:rsidRPr="00133B85" w:rsidRDefault="004F0E31" w:rsidP="001929CD">
      <w:pPr>
        <w:pStyle w:val="Textonotapie"/>
        <w:ind w:left="-850" w:right="-567"/>
        <w:rPr>
          <w:rFonts w:ascii="Verdana" w:hAnsi="Verdana"/>
          <w:sz w:val="16"/>
          <w:szCs w:val="16"/>
          <w:lang w:val="es-419"/>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419"/>
        </w:rPr>
        <w:t>Párr.1.</w:t>
      </w:r>
    </w:p>
    <w:p w14:paraId="5C242DBA" w14:textId="77777777" w:rsidR="004F0E31" w:rsidRDefault="004F0E31" w:rsidP="001929CD">
      <w:pPr>
        <w:spacing w:after="0" w:line="240" w:lineRule="auto"/>
        <w:ind w:left="-850"/>
        <w:jc w:val="both"/>
        <w:rPr>
          <w:rFonts w:ascii="Verdana" w:hAnsi="Verdana"/>
          <w:sz w:val="16"/>
          <w:szCs w:val="16"/>
        </w:rPr>
      </w:pPr>
      <w:r w:rsidRPr="00133B85">
        <w:rPr>
          <w:rFonts w:ascii="Verdana" w:hAnsi="Verdana"/>
          <w:sz w:val="16"/>
          <w:szCs w:val="16"/>
        </w:rPr>
        <w:t xml:space="preserve">En lo sucesivo, siempre que se </w:t>
      </w:r>
      <w:proofErr w:type="spellStart"/>
      <w:r w:rsidRPr="00133B85">
        <w:rPr>
          <w:rFonts w:ascii="Verdana" w:hAnsi="Verdana"/>
          <w:sz w:val="16"/>
          <w:szCs w:val="16"/>
        </w:rPr>
        <w:t>indique</w:t>
      </w:r>
      <w:proofErr w:type="spellEnd"/>
      <w:r w:rsidRPr="00133B85">
        <w:rPr>
          <w:rFonts w:ascii="Verdana" w:hAnsi="Verdana"/>
          <w:sz w:val="16"/>
          <w:szCs w:val="16"/>
        </w:rPr>
        <w:t xml:space="preserve"> “</w:t>
      </w:r>
      <w:proofErr w:type="spellStart"/>
      <w:r w:rsidRPr="00133B85">
        <w:rPr>
          <w:rFonts w:ascii="Verdana" w:hAnsi="Verdana"/>
          <w:sz w:val="16"/>
          <w:szCs w:val="16"/>
        </w:rPr>
        <w:t>párr</w:t>
      </w:r>
      <w:proofErr w:type="spellEnd"/>
      <w:r w:rsidRPr="00133B85">
        <w:rPr>
          <w:rFonts w:ascii="Verdana" w:hAnsi="Verdana"/>
          <w:sz w:val="16"/>
          <w:szCs w:val="16"/>
        </w:rPr>
        <w:t>” o “</w:t>
      </w:r>
      <w:proofErr w:type="spellStart"/>
      <w:r w:rsidRPr="00133B85">
        <w:rPr>
          <w:rFonts w:ascii="Verdana" w:hAnsi="Verdana"/>
          <w:sz w:val="16"/>
          <w:szCs w:val="16"/>
        </w:rPr>
        <w:t>párrs</w:t>
      </w:r>
      <w:proofErr w:type="spellEnd"/>
      <w:r w:rsidRPr="00133B85">
        <w:rPr>
          <w:rFonts w:ascii="Verdana" w:hAnsi="Verdana"/>
          <w:sz w:val="16"/>
          <w:szCs w:val="16"/>
        </w:rPr>
        <w:t>.”, se entenderá que se refiere a párrafo o párrafos de la Resolución.</w:t>
      </w:r>
    </w:p>
    <w:p w14:paraId="72FB291C" w14:textId="77777777" w:rsidR="004F0E31" w:rsidRPr="00133B85" w:rsidRDefault="004F0E31" w:rsidP="001929CD">
      <w:pPr>
        <w:spacing w:after="0" w:line="240" w:lineRule="auto"/>
        <w:ind w:left="-850"/>
        <w:jc w:val="both"/>
        <w:rPr>
          <w:rFonts w:ascii="Verdana" w:hAnsi="Verdana"/>
          <w:sz w:val="16"/>
          <w:szCs w:val="16"/>
        </w:rPr>
      </w:pPr>
    </w:p>
  </w:footnote>
  <w:footnote w:id="21">
    <w:p w14:paraId="286510A2" w14:textId="77777777" w:rsidR="004F0E31" w:rsidRPr="00133B85" w:rsidRDefault="004F0E31" w:rsidP="001929CD">
      <w:pPr>
        <w:spacing w:after="0" w:line="240" w:lineRule="auto"/>
        <w:ind w:left="-850"/>
        <w:jc w:val="both"/>
        <w:rPr>
          <w:rFonts w:ascii="Verdana" w:hAnsi="Verdana"/>
          <w:bCs/>
          <w:i/>
          <w:iCs/>
          <w:sz w:val="16"/>
          <w:szCs w:val="16"/>
          <w:lang w:val="es-CR"/>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bCs/>
          <w:i/>
          <w:iCs/>
          <w:sz w:val="16"/>
          <w:szCs w:val="16"/>
          <w:lang w:val="es-CR"/>
        </w:rPr>
        <w:t xml:space="preserve">Resolución de la Corte Interamericana de Derechos Humanos de 26 de junio de 2012, Medidas Provisionales respecto de la República de Colombia, Caso 9 Comerciantes Vs. Colombia., Punto Resolutivo N°1. </w:t>
      </w:r>
      <w:r w:rsidRPr="00133B85">
        <w:rPr>
          <w:rFonts w:ascii="Verdana" w:hAnsi="Verdana"/>
          <w:sz w:val="16"/>
          <w:szCs w:val="16"/>
        </w:rPr>
        <w:t xml:space="preserve">Respecto de ella, el suscrito emitió un voto concordante, básicamente porque en ella se levantaban medidas provisionales, dejándose vigentes otras concernientes a una minoría de los beneficiarios. </w:t>
      </w:r>
      <w:r w:rsidRPr="00133B85">
        <w:rPr>
          <w:rFonts w:ascii="Verdana" w:hAnsi="Verdana"/>
          <w:bCs/>
          <w:i/>
          <w:iCs/>
          <w:sz w:val="16"/>
          <w:szCs w:val="16"/>
          <w:lang w:val="es-CR"/>
        </w:rPr>
        <w:t>Voto Individual Concurrente del Juez Eduardo Vio Grossi, Resolución de la Corte Interamericana de Derecho Humanos de 26 de junio de 2012, Medidas Provisionales respecto de la República de Colombia, Caso 19 Comerciantes Vs. Colombia.</w:t>
      </w:r>
    </w:p>
    <w:p w14:paraId="483BDB43" w14:textId="77777777" w:rsidR="004F0E31" w:rsidRPr="00133B85" w:rsidRDefault="004F0E31" w:rsidP="009A5EDB">
      <w:pPr>
        <w:spacing w:line="240" w:lineRule="auto"/>
        <w:jc w:val="both"/>
        <w:rPr>
          <w:rFonts w:ascii="Verdana" w:hAnsi="Verdana"/>
          <w:b/>
          <w:sz w:val="16"/>
          <w:szCs w:val="16"/>
          <w:lang w:val="es-CR"/>
        </w:rPr>
      </w:pPr>
    </w:p>
  </w:footnote>
  <w:footnote w:id="22">
    <w:p w14:paraId="3B576CF6" w14:textId="77777777" w:rsidR="004F0E31" w:rsidRPr="00133B85" w:rsidRDefault="004F0E31" w:rsidP="009A5EDB">
      <w:pPr>
        <w:pStyle w:val="Textonotapie"/>
        <w:ind w:left="-850" w:right="-567"/>
        <w:rPr>
          <w:rFonts w:ascii="Verdana" w:hAnsi="Verdana"/>
          <w:sz w:val="16"/>
          <w:szCs w:val="16"/>
          <w:lang w:val="es-ES"/>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ES"/>
        </w:rPr>
        <w:t>“</w:t>
      </w:r>
      <w:r w:rsidRPr="00133B85">
        <w:rPr>
          <w:rFonts w:ascii="Verdana" w:hAnsi="Verdana"/>
          <w:i/>
          <w:sz w:val="16"/>
          <w:szCs w:val="16"/>
          <w:lang w:val="es-ES"/>
        </w:rPr>
        <w:t>La cuestión de si un asunto determinado corresponde o no a la jurisdicción exclusiva del Estado, es una cuestión esencialmente relativa, la que depende del desarrollo de las relaciones internacionales. En el estado actual del desarrollo del derecho internacional, la Corte es de opinión que los asuntos relativos a la nacionalidad pertenecen, en principio, a ese dominio reservado</w:t>
      </w:r>
      <w:r w:rsidRPr="00133B85">
        <w:rPr>
          <w:rFonts w:ascii="Verdana" w:hAnsi="Verdana"/>
          <w:sz w:val="16"/>
          <w:szCs w:val="16"/>
          <w:lang w:val="es-ES"/>
        </w:rPr>
        <w:t xml:space="preserve">”. Corte Permanente de Justicia Internacional, Opinión Consultiva sobre ciertos decretos de nacionalidad dictados en la zona francesa de Túnez y Marruecos, Serie B </w:t>
      </w:r>
      <w:proofErr w:type="spellStart"/>
      <w:r w:rsidRPr="00133B85">
        <w:rPr>
          <w:rFonts w:ascii="Verdana" w:hAnsi="Verdana"/>
          <w:sz w:val="16"/>
          <w:szCs w:val="16"/>
          <w:lang w:val="es-ES"/>
        </w:rPr>
        <w:t>Nº</w:t>
      </w:r>
      <w:proofErr w:type="spellEnd"/>
      <w:r w:rsidRPr="00133B85">
        <w:rPr>
          <w:rFonts w:ascii="Verdana" w:hAnsi="Verdana"/>
          <w:sz w:val="16"/>
          <w:szCs w:val="16"/>
          <w:lang w:val="es-ES"/>
        </w:rPr>
        <w:t xml:space="preserve"> 4, pág. 24.</w:t>
      </w:r>
    </w:p>
    <w:p w14:paraId="23FBE81E" w14:textId="77777777" w:rsidR="004F0E31" w:rsidRPr="00133B85" w:rsidRDefault="004F0E31" w:rsidP="009A5EDB">
      <w:pPr>
        <w:pStyle w:val="Textonotapie"/>
        <w:ind w:left="-850" w:right="-567"/>
        <w:rPr>
          <w:rFonts w:ascii="Verdana" w:hAnsi="Verdana"/>
          <w:i/>
          <w:sz w:val="16"/>
          <w:szCs w:val="16"/>
          <w:lang w:val="fr-FR"/>
        </w:rPr>
      </w:pPr>
      <w:r w:rsidRPr="00133B85">
        <w:rPr>
          <w:rFonts w:ascii="Verdana" w:hAnsi="Verdana"/>
          <w:sz w:val="16"/>
          <w:szCs w:val="16"/>
          <w:lang w:val="fr-FR"/>
        </w:rPr>
        <w:t>Protocole n° 15 portant amendement à la Convention (Européenne) de Sauvegarde des Droits de l’Homme et des Libertés fondamentales, art.1: “</w:t>
      </w:r>
      <w:r w:rsidRPr="00133B85">
        <w:rPr>
          <w:rFonts w:ascii="Verdana" w:hAnsi="Verdana"/>
          <w:i/>
          <w:sz w:val="16"/>
          <w:szCs w:val="16"/>
          <w:lang w:val="fr-FR"/>
        </w:rPr>
        <w:t>A la fin du préambule de la Convention, un nouveau considérant est ajouté et se lit comme suit</w:t>
      </w:r>
      <w:r w:rsidRPr="00133B85">
        <w:rPr>
          <w:rFonts w:ascii="Verdana" w:hAnsi="Verdana"/>
          <w:sz w:val="16"/>
          <w:szCs w:val="16"/>
          <w:lang w:val="fr-FR"/>
        </w:rPr>
        <w:t xml:space="preserve">: </w:t>
      </w:r>
      <w:r w:rsidRPr="00133B85">
        <w:rPr>
          <w:rFonts w:ascii="Verdana" w:hAnsi="Verdana"/>
          <w:i/>
          <w:sz w:val="16"/>
          <w:szCs w:val="16"/>
          <w:lang w:val="fr-FR"/>
        </w:rPr>
        <w:t>Affirmant qu’il incombe au premier chef aux Hautes Parties contractantes, conformément au principe de subsidiarité, de garantir le respect des droits et libertés définis dans la présente Convention et ses protocoles, et que, ce faisant, elles jouissent d’une marge d’appréciation, sous le contrôle de la Cour européenne des Droits de l’Homme instituée par la présente Convention.”</w:t>
      </w:r>
    </w:p>
    <w:p w14:paraId="12049D12" w14:textId="77777777" w:rsidR="004F0E31" w:rsidRPr="00133B85" w:rsidRDefault="004F0E31" w:rsidP="009A5EDB">
      <w:pPr>
        <w:pStyle w:val="Textonotapie"/>
        <w:rPr>
          <w:rFonts w:ascii="Verdana" w:hAnsi="Verdana"/>
          <w:sz w:val="16"/>
          <w:szCs w:val="16"/>
          <w:lang w:val="es-419"/>
        </w:rPr>
      </w:pPr>
    </w:p>
  </w:footnote>
  <w:footnote w:id="23">
    <w:p w14:paraId="560A6AAB" w14:textId="77777777" w:rsidR="004F0E31" w:rsidRPr="00AA3E7A" w:rsidRDefault="004F0E31" w:rsidP="002E4E7F">
      <w:pPr>
        <w:pStyle w:val="NormalWeb"/>
        <w:spacing w:before="0" w:beforeAutospacing="0" w:after="0" w:afterAutospacing="0"/>
        <w:ind w:left="-850" w:right="-510"/>
        <w:jc w:val="both"/>
        <w:rPr>
          <w:rFonts w:ascii="Verdana" w:hAnsi="Verdana" w:cs="Tahoma"/>
          <w:i/>
          <w:iCs/>
          <w:color w:val="000000"/>
          <w:sz w:val="16"/>
          <w:szCs w:val="16"/>
        </w:rPr>
      </w:pPr>
      <w:r w:rsidRPr="00AA3E7A">
        <w:rPr>
          <w:rStyle w:val="Refdenotaalpie"/>
          <w:rFonts w:ascii="Verdana" w:hAnsi="Verdana"/>
          <w:i/>
          <w:iCs/>
          <w:sz w:val="16"/>
          <w:szCs w:val="16"/>
        </w:rPr>
        <w:footnoteRef/>
      </w:r>
      <w:r w:rsidRPr="00AA3E7A">
        <w:rPr>
          <w:rFonts w:ascii="Verdana" w:hAnsi="Verdana"/>
          <w:i/>
          <w:iCs/>
          <w:sz w:val="16"/>
          <w:szCs w:val="16"/>
        </w:rPr>
        <w:t xml:space="preserve"> </w:t>
      </w:r>
      <w:r w:rsidRPr="00AA3E7A">
        <w:rPr>
          <w:rFonts w:ascii="Verdana" w:hAnsi="Verdana"/>
          <w:i/>
          <w:iCs/>
          <w:sz w:val="16"/>
          <w:szCs w:val="16"/>
          <w:lang w:val="es-419"/>
        </w:rPr>
        <w:t>Art.</w:t>
      </w:r>
      <w:r w:rsidRPr="00AA3E7A">
        <w:rPr>
          <w:rFonts w:ascii="Verdana" w:hAnsi="Verdana" w:cs="Tahoma"/>
          <w:i/>
          <w:iCs/>
          <w:color w:val="000000"/>
          <w:sz w:val="16"/>
          <w:szCs w:val="16"/>
        </w:rPr>
        <w:t>29.  Normas de Interpretación.</w:t>
      </w:r>
    </w:p>
    <w:p w14:paraId="68AB05A0" w14:textId="77777777" w:rsidR="004F0E31" w:rsidRPr="00AA3E7A" w:rsidRDefault="004F0E31" w:rsidP="002E4E7F">
      <w:pPr>
        <w:pStyle w:val="NormalWeb"/>
        <w:spacing w:before="0" w:beforeAutospacing="0" w:after="0" w:afterAutospacing="0"/>
        <w:ind w:left="-850" w:right="-510"/>
        <w:jc w:val="both"/>
        <w:rPr>
          <w:rFonts w:ascii="Verdana" w:hAnsi="Verdana" w:cs="Tahoma"/>
          <w:i/>
          <w:iCs/>
          <w:color w:val="000000"/>
          <w:sz w:val="16"/>
          <w:szCs w:val="16"/>
        </w:rPr>
      </w:pPr>
      <w:r w:rsidRPr="00AA3E7A">
        <w:rPr>
          <w:rFonts w:ascii="Verdana" w:hAnsi="Verdana" w:cs="Tahoma"/>
          <w:i/>
          <w:iCs/>
          <w:color w:val="000000"/>
          <w:sz w:val="16"/>
          <w:szCs w:val="16"/>
        </w:rPr>
        <w:t> Ninguna disposición de la presente Convención puede ser interpretada en el sentido de:</w:t>
      </w:r>
    </w:p>
    <w:p w14:paraId="0403AD5C" w14:textId="77777777" w:rsidR="004F0E31" w:rsidRPr="00AA3E7A" w:rsidRDefault="004F0E31" w:rsidP="002E4E7F">
      <w:pPr>
        <w:pStyle w:val="NormalWeb"/>
        <w:spacing w:before="0" w:beforeAutospacing="0" w:after="0" w:afterAutospacing="0"/>
        <w:ind w:left="-850" w:right="-510"/>
        <w:jc w:val="both"/>
        <w:rPr>
          <w:rFonts w:ascii="Verdana" w:hAnsi="Verdana" w:cs="Tahoma"/>
          <w:i/>
          <w:iCs/>
          <w:color w:val="000000"/>
          <w:sz w:val="16"/>
          <w:szCs w:val="16"/>
        </w:rPr>
      </w:pPr>
      <w:r w:rsidRPr="00AA3E7A">
        <w:rPr>
          <w:rFonts w:ascii="Verdana" w:hAnsi="Verdana" w:cs="Tahoma"/>
          <w:i/>
          <w:iCs/>
          <w:color w:val="000000"/>
          <w:sz w:val="16"/>
          <w:szCs w:val="16"/>
        </w:rPr>
        <w:t> a) permitir a alguno de los Estados Partes, grupo o persona, suprimir el goce y ejercicio de los derechos y libertades reconocidos en la Convención o limitarlos en mayor medida que la prevista en ella;</w:t>
      </w:r>
    </w:p>
    <w:p w14:paraId="1C1E5AEC" w14:textId="77777777" w:rsidR="004F0E31" w:rsidRPr="00AA3E7A" w:rsidRDefault="004F0E31" w:rsidP="002E4E7F">
      <w:pPr>
        <w:pStyle w:val="NormalWeb"/>
        <w:spacing w:before="0" w:beforeAutospacing="0" w:after="0" w:afterAutospacing="0"/>
        <w:ind w:left="-850" w:right="-510"/>
        <w:jc w:val="both"/>
        <w:rPr>
          <w:rFonts w:ascii="Verdana" w:hAnsi="Verdana" w:cs="Tahoma"/>
          <w:i/>
          <w:iCs/>
          <w:color w:val="000000"/>
          <w:sz w:val="16"/>
          <w:szCs w:val="16"/>
        </w:rPr>
      </w:pPr>
      <w:r w:rsidRPr="00AA3E7A">
        <w:rPr>
          <w:rFonts w:ascii="Verdana" w:hAnsi="Verdana" w:cs="Tahoma"/>
          <w:i/>
          <w:iCs/>
          <w:color w:val="000000"/>
          <w:sz w:val="16"/>
          <w:szCs w:val="16"/>
        </w:rPr>
        <w:t> b) limitar el goce y ejercicio de cualquier derecho o libertad que pueda estar reconocido de acuerdo con las leyes de cualquiera de los Estados Partes o de acuerdo con otra convención en que sea parte uno de dichos Estados;</w:t>
      </w:r>
    </w:p>
    <w:p w14:paraId="5392C190" w14:textId="77777777" w:rsidR="004F0E31" w:rsidRPr="00AA3E7A" w:rsidRDefault="004F0E31" w:rsidP="002E4E7F">
      <w:pPr>
        <w:pStyle w:val="NormalWeb"/>
        <w:spacing w:before="0" w:beforeAutospacing="0" w:after="0" w:afterAutospacing="0"/>
        <w:ind w:left="-850" w:right="-510"/>
        <w:jc w:val="both"/>
        <w:rPr>
          <w:rFonts w:ascii="Verdana" w:hAnsi="Verdana" w:cs="Tahoma"/>
          <w:i/>
          <w:iCs/>
          <w:color w:val="000000"/>
          <w:sz w:val="16"/>
          <w:szCs w:val="16"/>
        </w:rPr>
      </w:pPr>
      <w:r w:rsidRPr="00AA3E7A">
        <w:rPr>
          <w:rFonts w:ascii="Verdana" w:hAnsi="Verdana" w:cs="Tahoma"/>
          <w:i/>
          <w:iCs/>
          <w:color w:val="000000"/>
          <w:sz w:val="16"/>
          <w:szCs w:val="16"/>
        </w:rPr>
        <w:t> c) excluir otros derechos y garantías que son inherentes al ser humano o que se derivan de la forma democrática representativa de gobierno, y</w:t>
      </w:r>
    </w:p>
    <w:p w14:paraId="40188322" w14:textId="77777777" w:rsidR="004F0E31" w:rsidRPr="00AA3E7A" w:rsidRDefault="004F0E31" w:rsidP="002E4E7F">
      <w:pPr>
        <w:pStyle w:val="NormalWeb"/>
        <w:spacing w:before="0" w:beforeAutospacing="0" w:after="0" w:afterAutospacing="0"/>
        <w:ind w:left="-850" w:right="-510"/>
        <w:jc w:val="both"/>
        <w:rPr>
          <w:rFonts w:ascii="Verdana" w:hAnsi="Verdana" w:cs="Tahoma"/>
          <w:i/>
          <w:iCs/>
          <w:color w:val="000000"/>
          <w:sz w:val="16"/>
          <w:szCs w:val="16"/>
        </w:rPr>
      </w:pPr>
      <w:r w:rsidRPr="00AA3E7A">
        <w:rPr>
          <w:rFonts w:ascii="Verdana" w:hAnsi="Verdana" w:cs="Tahoma"/>
          <w:i/>
          <w:iCs/>
          <w:color w:val="000000"/>
          <w:sz w:val="16"/>
          <w:szCs w:val="16"/>
        </w:rPr>
        <w:t> d) excluir o limitar el efecto que puedan producir la Declaración Americana de Derechos y Deberes del Hombre y otros actos internacionales de la misma naturaleza.</w:t>
      </w:r>
      <w:r>
        <w:rPr>
          <w:rFonts w:ascii="Verdana" w:hAnsi="Verdana" w:cs="Tahoma"/>
          <w:i/>
          <w:iCs/>
          <w:color w:val="000000"/>
          <w:sz w:val="16"/>
          <w:szCs w:val="16"/>
        </w:rPr>
        <w:t>”</w:t>
      </w:r>
    </w:p>
    <w:p w14:paraId="076B96AE" w14:textId="77777777" w:rsidR="004F0E31" w:rsidRPr="00AA3E7A" w:rsidRDefault="004F0E31">
      <w:pPr>
        <w:pStyle w:val="Textonotapie"/>
        <w:rPr>
          <w:lang w:val="es-419"/>
        </w:rPr>
      </w:pPr>
    </w:p>
  </w:footnote>
  <w:footnote w:id="24">
    <w:p w14:paraId="45805732" w14:textId="77777777" w:rsidR="004F0E31" w:rsidRPr="006634A9" w:rsidRDefault="004F0E31" w:rsidP="009F1D5A">
      <w:pPr>
        <w:pStyle w:val="Textonotapie"/>
        <w:ind w:left="-850"/>
        <w:rPr>
          <w:rFonts w:ascii="Verdana" w:hAnsi="Verdana"/>
          <w:sz w:val="16"/>
          <w:szCs w:val="16"/>
          <w:lang w:val="es-419"/>
        </w:rPr>
      </w:pPr>
      <w:r w:rsidRPr="006634A9">
        <w:rPr>
          <w:rStyle w:val="Refdenotaalpie"/>
          <w:rFonts w:ascii="Verdana" w:hAnsi="Verdana"/>
          <w:sz w:val="16"/>
          <w:szCs w:val="16"/>
        </w:rPr>
        <w:footnoteRef/>
      </w:r>
      <w:r w:rsidRPr="006634A9">
        <w:rPr>
          <w:rFonts w:ascii="Verdana" w:hAnsi="Verdana"/>
          <w:sz w:val="16"/>
          <w:szCs w:val="16"/>
        </w:rPr>
        <w:t xml:space="preserve"> </w:t>
      </w:r>
      <w:r w:rsidRPr="006634A9">
        <w:rPr>
          <w:rFonts w:ascii="Verdana" w:hAnsi="Verdana"/>
          <w:sz w:val="16"/>
          <w:szCs w:val="16"/>
          <w:lang w:val="es-419"/>
        </w:rPr>
        <w:t>Párr. 2° del Preámbulo.</w:t>
      </w:r>
    </w:p>
    <w:p w14:paraId="679DE5AA" w14:textId="77777777" w:rsidR="004F0E31" w:rsidRPr="006634A9" w:rsidRDefault="004F0E31">
      <w:pPr>
        <w:pStyle w:val="Textonotapie"/>
        <w:rPr>
          <w:lang w:val="es-419"/>
        </w:rPr>
      </w:pPr>
    </w:p>
  </w:footnote>
  <w:footnote w:id="25">
    <w:p w14:paraId="2F80960E" w14:textId="77777777" w:rsidR="004F0E31" w:rsidRPr="00F95F01" w:rsidRDefault="004F0E31" w:rsidP="00F95F01">
      <w:pPr>
        <w:pStyle w:val="NormalWeb"/>
        <w:spacing w:before="0" w:beforeAutospacing="0" w:after="0" w:afterAutospacing="0"/>
        <w:ind w:left="-850" w:right="-567"/>
        <w:jc w:val="both"/>
        <w:rPr>
          <w:rFonts w:ascii="Verdana" w:hAnsi="Verdana" w:cs="Tahoma"/>
          <w:color w:val="000000"/>
          <w:sz w:val="16"/>
          <w:szCs w:val="16"/>
        </w:rPr>
      </w:pPr>
      <w:r w:rsidRPr="00F95F01">
        <w:rPr>
          <w:rStyle w:val="Refdenotaalpie"/>
          <w:rFonts w:ascii="Verdana" w:hAnsi="Verdana"/>
          <w:sz w:val="16"/>
          <w:szCs w:val="16"/>
        </w:rPr>
        <w:footnoteRef/>
      </w:r>
      <w:r w:rsidRPr="00F95F01">
        <w:rPr>
          <w:rFonts w:ascii="Verdana" w:hAnsi="Verdana"/>
          <w:sz w:val="16"/>
          <w:szCs w:val="16"/>
        </w:rPr>
        <w:t xml:space="preserve"> Art.62.3: </w:t>
      </w:r>
      <w:r w:rsidRPr="00F95F01">
        <w:rPr>
          <w:rFonts w:ascii="Verdana" w:hAnsi="Verdana"/>
          <w:i/>
          <w:iCs/>
          <w:sz w:val="16"/>
          <w:szCs w:val="16"/>
        </w:rPr>
        <w:t>“</w:t>
      </w:r>
      <w:r w:rsidRPr="00F95F01">
        <w:rPr>
          <w:rFonts w:ascii="Verdana" w:hAnsi="Verdana" w:cs="Tahoma"/>
          <w:i/>
          <w:iCs/>
          <w:color w:val="000000"/>
          <w:sz w:val="16"/>
          <w:szCs w:val="16"/>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r w:rsidRPr="00F95F01">
        <w:rPr>
          <w:rFonts w:ascii="Verdana" w:hAnsi="Verdana" w:cs="Tahoma"/>
          <w:color w:val="000000"/>
          <w:sz w:val="16"/>
          <w:szCs w:val="16"/>
        </w:rPr>
        <w:t>.</w:t>
      </w:r>
    </w:p>
    <w:p w14:paraId="7309751E" w14:textId="77777777" w:rsidR="004F0E31" w:rsidRPr="00F95F01" w:rsidRDefault="004F0E31">
      <w:pPr>
        <w:pStyle w:val="Textonotapie"/>
        <w:rPr>
          <w:lang w:val="es-419"/>
        </w:rPr>
      </w:pPr>
    </w:p>
  </w:footnote>
  <w:footnote w:id="26">
    <w:p w14:paraId="4CDEFE87" w14:textId="77777777" w:rsidR="004F0E31" w:rsidRPr="00133B85" w:rsidRDefault="004F0E31" w:rsidP="00D13F92">
      <w:pPr>
        <w:pStyle w:val="Textonotapie"/>
        <w:ind w:left="-850" w:right="-567"/>
        <w:rPr>
          <w:rFonts w:ascii="Verdana" w:hAnsi="Verdana"/>
          <w:sz w:val="16"/>
          <w:szCs w:val="16"/>
        </w:rPr>
      </w:pPr>
      <w:r w:rsidRPr="00133B85">
        <w:rPr>
          <w:rStyle w:val="Refdenotaalpie"/>
          <w:rFonts w:ascii="Verdana" w:hAnsi="Verdana"/>
          <w:sz w:val="16"/>
          <w:szCs w:val="16"/>
        </w:rPr>
        <w:footnoteRef/>
      </w:r>
      <w:r w:rsidRPr="00133B85">
        <w:rPr>
          <w:rFonts w:ascii="Verdana" w:hAnsi="Verdana"/>
          <w:sz w:val="16"/>
          <w:szCs w:val="16"/>
        </w:rPr>
        <w:t xml:space="preserve"> En adelante, la Convención.</w:t>
      </w:r>
    </w:p>
    <w:p w14:paraId="21D759FC" w14:textId="77777777" w:rsidR="004F0E31" w:rsidRPr="00133B85" w:rsidRDefault="004F0E31" w:rsidP="009A5EDB">
      <w:pPr>
        <w:pStyle w:val="Textonotapie"/>
        <w:ind w:left="-567" w:right="-567"/>
        <w:rPr>
          <w:rFonts w:ascii="Verdana" w:hAnsi="Verdana"/>
          <w:sz w:val="16"/>
          <w:szCs w:val="16"/>
          <w:lang w:val="es-419"/>
        </w:rPr>
      </w:pPr>
      <w:r w:rsidRPr="00133B85">
        <w:rPr>
          <w:rFonts w:ascii="Verdana" w:hAnsi="Verdana"/>
          <w:sz w:val="16"/>
          <w:szCs w:val="16"/>
        </w:rPr>
        <w:t xml:space="preserve"> </w:t>
      </w:r>
    </w:p>
  </w:footnote>
  <w:footnote w:id="27">
    <w:p w14:paraId="5DA3E353" w14:textId="77777777" w:rsidR="004F0E31" w:rsidRPr="00133B85" w:rsidRDefault="004F0E31" w:rsidP="009A5EDB">
      <w:pPr>
        <w:pStyle w:val="Textonotapie"/>
        <w:ind w:left="-850" w:right="-567"/>
        <w:rPr>
          <w:rFonts w:ascii="Verdana" w:hAnsi="Verdana"/>
          <w:sz w:val="16"/>
          <w:szCs w:val="16"/>
        </w:rPr>
      </w:pPr>
      <w:r w:rsidRPr="00133B85">
        <w:rPr>
          <w:rStyle w:val="Refdenotaalpie"/>
          <w:rFonts w:ascii="Verdana" w:hAnsi="Verdana"/>
          <w:sz w:val="16"/>
          <w:szCs w:val="16"/>
        </w:rPr>
        <w:footnoteRef/>
      </w:r>
      <w:r w:rsidRPr="00133B85">
        <w:rPr>
          <w:rFonts w:ascii="Verdana" w:hAnsi="Verdana"/>
          <w:sz w:val="16"/>
          <w:szCs w:val="16"/>
        </w:rPr>
        <w:t xml:space="preserve"> En adelante, Convención de Viena.</w:t>
      </w:r>
    </w:p>
    <w:p w14:paraId="7354CBA1" w14:textId="77777777" w:rsidR="004F0E31" w:rsidRPr="00133B85" w:rsidRDefault="004F0E31" w:rsidP="009A5EDB">
      <w:pPr>
        <w:pStyle w:val="Textonotapie"/>
        <w:ind w:left="-850" w:right="-567"/>
        <w:rPr>
          <w:rFonts w:ascii="Verdana" w:hAnsi="Verdana"/>
          <w:sz w:val="16"/>
          <w:szCs w:val="16"/>
          <w:lang w:val="es-419"/>
        </w:rPr>
      </w:pPr>
    </w:p>
  </w:footnote>
  <w:footnote w:id="28">
    <w:p w14:paraId="1714CF95" w14:textId="77777777" w:rsidR="004F0E31" w:rsidRPr="00133B85" w:rsidRDefault="004F0E31" w:rsidP="009A5EDB">
      <w:pPr>
        <w:pStyle w:val="Textonotapie"/>
        <w:ind w:left="-850" w:right="-567"/>
        <w:rPr>
          <w:rFonts w:ascii="Verdana" w:hAnsi="Verdana"/>
          <w:i/>
          <w:iCs/>
          <w:sz w:val="16"/>
          <w:szCs w:val="16"/>
        </w:rPr>
      </w:pPr>
      <w:r w:rsidRPr="00133B85">
        <w:rPr>
          <w:rStyle w:val="Refdenotaalpie"/>
          <w:rFonts w:ascii="Verdana" w:hAnsi="Verdana"/>
          <w:sz w:val="16"/>
          <w:szCs w:val="16"/>
        </w:rPr>
        <w:footnoteRef/>
      </w:r>
      <w:r w:rsidRPr="00133B85">
        <w:rPr>
          <w:rFonts w:ascii="Verdana" w:hAnsi="Verdana"/>
          <w:sz w:val="16"/>
          <w:szCs w:val="16"/>
        </w:rPr>
        <w:t xml:space="preserve"> Art 31 de la Convención de Viena: “</w:t>
      </w:r>
      <w:r w:rsidRPr="00133B85">
        <w:rPr>
          <w:rFonts w:ascii="Verdana" w:hAnsi="Verdana"/>
          <w:i/>
          <w:iCs/>
          <w:sz w:val="16"/>
          <w:szCs w:val="16"/>
        </w:rPr>
        <w:t xml:space="preserve">Regla general de interpretación. I. Un tratado deberá interpretarse de buena fe conforme al sentido corriente que haya de atribuirse a los términos del tratado en el contexto de estos y teniendo en cuenta su objeto y fin.  </w:t>
      </w:r>
    </w:p>
    <w:p w14:paraId="146C56C8"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2. Para los efectos de la interpretación de un tratado. el contexto comprenderá, además del texto, incluidos su preámbulo y anexos:  </w:t>
      </w:r>
    </w:p>
    <w:p w14:paraId="1B49ED5B"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a) todo acuerdo que se refiera al tratado y haya sido concertado entre todas las partes con motivo de la celebración del tratado:  </w:t>
      </w:r>
    </w:p>
    <w:p w14:paraId="7E238675"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b) todo instrumento formulado por una o más partes con motivo de la celebración del tratado y aceptado por las demás como instrumento referente al tratado;  </w:t>
      </w:r>
    </w:p>
    <w:p w14:paraId="33EA44DE"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3. Juntamente con el contexto, habrá de tenerse en cuenta:  </w:t>
      </w:r>
    </w:p>
    <w:p w14:paraId="3D60D6FC"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a) todo acuerdo ulterior entre las partes acerca de la interpretación del tratado o de la aplicación de sus disposiciones:  </w:t>
      </w:r>
    </w:p>
    <w:p w14:paraId="47244F53"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b) toda práctica ulteriormente seguida en la aplicación del tratado por la cual conste el acuerdo de las partes acerca de la interpretación del tratado:  </w:t>
      </w:r>
    </w:p>
    <w:p w14:paraId="5703EB75"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c) toda forma pertinente de derecho internacional aplicable en las relaciones entre las partes.  </w:t>
      </w:r>
    </w:p>
    <w:p w14:paraId="4C6CCC35" w14:textId="77777777" w:rsidR="004F0E31" w:rsidRPr="00133B85" w:rsidRDefault="004F0E31" w:rsidP="009A5EDB">
      <w:pPr>
        <w:pStyle w:val="Textonotapie"/>
        <w:ind w:left="-850" w:right="-567"/>
        <w:rPr>
          <w:rFonts w:ascii="Verdana" w:hAnsi="Verdana"/>
          <w:sz w:val="16"/>
          <w:szCs w:val="16"/>
        </w:rPr>
      </w:pPr>
      <w:r w:rsidRPr="00133B85">
        <w:rPr>
          <w:rFonts w:ascii="Verdana" w:hAnsi="Verdana"/>
          <w:i/>
          <w:iCs/>
          <w:sz w:val="16"/>
          <w:szCs w:val="16"/>
        </w:rPr>
        <w:t>4. Se dará a un término un sentido especial si consta que tal fue la intención de las partes</w:t>
      </w:r>
      <w:r w:rsidRPr="00133B85">
        <w:rPr>
          <w:rFonts w:ascii="Verdana" w:hAnsi="Verdana"/>
          <w:sz w:val="16"/>
          <w:szCs w:val="16"/>
        </w:rPr>
        <w:t xml:space="preserve">. “ </w:t>
      </w:r>
    </w:p>
    <w:p w14:paraId="04E2EBE4" w14:textId="77777777" w:rsidR="004F0E31" w:rsidRPr="00133B85" w:rsidRDefault="004F0E31" w:rsidP="009A5EDB">
      <w:pPr>
        <w:pStyle w:val="Textonotapie"/>
        <w:ind w:left="-850" w:right="-567"/>
        <w:rPr>
          <w:rFonts w:ascii="Verdana" w:hAnsi="Verdana"/>
          <w:sz w:val="16"/>
          <w:szCs w:val="16"/>
        </w:rPr>
      </w:pPr>
      <w:r w:rsidRPr="00133B85">
        <w:rPr>
          <w:rFonts w:ascii="Verdana" w:hAnsi="Verdana"/>
          <w:sz w:val="16"/>
          <w:szCs w:val="16"/>
        </w:rPr>
        <w:t>Art.32 de la Convención de Viena: “</w:t>
      </w:r>
      <w:r w:rsidRPr="00133B85">
        <w:rPr>
          <w:rFonts w:ascii="Verdana" w:hAnsi="Verdana"/>
          <w:i/>
          <w:iCs/>
          <w:sz w:val="16"/>
          <w:szCs w:val="16"/>
        </w:rPr>
        <w:t>Medios de interpretación complementarios. 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w:t>
      </w:r>
      <w:r w:rsidRPr="00133B85">
        <w:rPr>
          <w:rFonts w:ascii="Verdana" w:hAnsi="Verdana"/>
          <w:sz w:val="16"/>
          <w:szCs w:val="16"/>
        </w:rPr>
        <w:t xml:space="preserve">:  </w:t>
      </w:r>
    </w:p>
    <w:p w14:paraId="10804D1E" w14:textId="77777777" w:rsidR="004F0E31" w:rsidRPr="00133B85" w:rsidRDefault="004F0E31" w:rsidP="009A5EDB">
      <w:pPr>
        <w:pStyle w:val="Textonotapie"/>
        <w:ind w:left="-850" w:right="-567"/>
        <w:rPr>
          <w:rFonts w:ascii="Verdana" w:hAnsi="Verdana"/>
          <w:sz w:val="16"/>
          <w:szCs w:val="16"/>
        </w:rPr>
      </w:pPr>
      <w:r w:rsidRPr="00133B85">
        <w:rPr>
          <w:rFonts w:ascii="Verdana" w:hAnsi="Verdana"/>
          <w:sz w:val="16"/>
          <w:szCs w:val="16"/>
        </w:rPr>
        <w:t xml:space="preserve">a) deje ambiguo u oscuro el sentido; o  </w:t>
      </w:r>
    </w:p>
    <w:p w14:paraId="251B2FB9" w14:textId="77777777" w:rsidR="004F0E31" w:rsidRPr="00133B85" w:rsidRDefault="004F0E31" w:rsidP="009A5EDB">
      <w:pPr>
        <w:pStyle w:val="Textonotapie"/>
        <w:ind w:left="-850" w:right="-567"/>
        <w:rPr>
          <w:rFonts w:ascii="Verdana" w:hAnsi="Verdana"/>
          <w:sz w:val="16"/>
          <w:szCs w:val="16"/>
        </w:rPr>
      </w:pPr>
      <w:r w:rsidRPr="00133B85">
        <w:rPr>
          <w:rFonts w:ascii="Verdana" w:hAnsi="Verdana"/>
          <w:sz w:val="16"/>
          <w:szCs w:val="16"/>
        </w:rPr>
        <w:t>b) conduzca a un resultado manifiestamente absurdo o irrazonable.”</w:t>
      </w:r>
    </w:p>
    <w:p w14:paraId="1F028C0C" w14:textId="77777777" w:rsidR="004F0E31" w:rsidRPr="00133B85" w:rsidRDefault="004F0E31" w:rsidP="009A5EDB">
      <w:pPr>
        <w:pStyle w:val="Textonotapie"/>
        <w:ind w:left="-850" w:right="-567"/>
        <w:rPr>
          <w:rFonts w:ascii="Verdana" w:hAnsi="Verdana"/>
          <w:sz w:val="16"/>
          <w:szCs w:val="16"/>
          <w:lang w:val="es-419"/>
        </w:rPr>
      </w:pPr>
    </w:p>
  </w:footnote>
  <w:footnote w:id="29">
    <w:p w14:paraId="3FC378E8" w14:textId="77777777" w:rsidR="004F0E31" w:rsidRPr="00133B85" w:rsidRDefault="004F0E31" w:rsidP="00D13F92">
      <w:pPr>
        <w:pStyle w:val="NormalWeb"/>
        <w:spacing w:before="0" w:beforeAutospacing="0" w:after="0" w:afterAutospacing="0"/>
        <w:ind w:left="-850" w:right="-567"/>
        <w:jc w:val="both"/>
        <w:rPr>
          <w:rFonts w:ascii="Verdana" w:hAnsi="Verdana" w:cs="Tahoma"/>
          <w:i/>
          <w:iCs/>
          <w:color w:val="000000"/>
          <w:sz w:val="16"/>
          <w:szCs w:val="16"/>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cs="Tahoma"/>
          <w:color w:val="000000"/>
          <w:sz w:val="16"/>
          <w:szCs w:val="16"/>
        </w:rPr>
        <w:t>Art. 41:</w:t>
      </w:r>
      <w:r w:rsidRPr="00133B85">
        <w:rPr>
          <w:rFonts w:ascii="Verdana" w:hAnsi="Verdana" w:cs="Tahoma"/>
          <w:b/>
          <w:bCs/>
          <w:color w:val="000000"/>
          <w:sz w:val="16"/>
          <w:szCs w:val="16"/>
        </w:rPr>
        <w:t xml:space="preserve"> </w:t>
      </w:r>
      <w:r w:rsidRPr="00133B85">
        <w:rPr>
          <w:rFonts w:ascii="Verdana" w:hAnsi="Verdana" w:cs="Tahoma"/>
          <w:color w:val="000000"/>
          <w:sz w:val="16"/>
          <w:szCs w:val="16"/>
        </w:rPr>
        <w:t>“</w:t>
      </w:r>
      <w:r w:rsidRPr="00133B85">
        <w:rPr>
          <w:rFonts w:ascii="Verdana" w:hAnsi="Verdana" w:cs="Tahoma"/>
          <w:i/>
          <w:iCs/>
          <w:color w:val="000000"/>
          <w:sz w:val="16"/>
          <w:szCs w:val="16"/>
        </w:rPr>
        <w:t>La Comisión tiene la función principal de promover la observancia y la defensa de los derechos humanos, y en el ejercicio de su mandato tiene las siguientes funciones y atribuciones:</w:t>
      </w:r>
    </w:p>
    <w:p w14:paraId="4902403C" w14:textId="77777777" w:rsidR="004F0E31" w:rsidRPr="00133B85" w:rsidRDefault="004F0E31" w:rsidP="004F0E31">
      <w:pPr>
        <w:pStyle w:val="NormalWeb"/>
        <w:numPr>
          <w:ilvl w:val="0"/>
          <w:numId w:val="35"/>
        </w:numPr>
        <w:spacing w:before="0" w:beforeAutospacing="0" w:after="0" w:afterAutospacing="0"/>
        <w:ind w:left="-490" w:right="-567"/>
        <w:jc w:val="both"/>
        <w:rPr>
          <w:rFonts w:ascii="Verdana" w:hAnsi="Verdana" w:cs="Tahoma"/>
          <w:i/>
          <w:iCs/>
          <w:color w:val="000000"/>
          <w:sz w:val="16"/>
          <w:szCs w:val="16"/>
        </w:rPr>
      </w:pPr>
      <w:r w:rsidRPr="00133B85">
        <w:rPr>
          <w:rFonts w:ascii="Verdana" w:hAnsi="Verdana" w:cs="Tahoma"/>
          <w:i/>
          <w:iCs/>
          <w:color w:val="000000"/>
          <w:sz w:val="16"/>
          <w:szCs w:val="16"/>
        </w:rPr>
        <w:t>estimular la conciencia de los derechos humanos en los pueblos de América;</w:t>
      </w:r>
    </w:p>
    <w:p w14:paraId="76672379" w14:textId="77777777" w:rsidR="004F0E31" w:rsidRPr="00133B85" w:rsidRDefault="004F0E31" w:rsidP="004F0E31">
      <w:pPr>
        <w:pStyle w:val="NormalWeb"/>
        <w:numPr>
          <w:ilvl w:val="0"/>
          <w:numId w:val="35"/>
        </w:numPr>
        <w:spacing w:before="0" w:beforeAutospacing="0" w:after="0" w:afterAutospacing="0"/>
        <w:ind w:left="-490" w:right="-567"/>
        <w:jc w:val="both"/>
        <w:rPr>
          <w:rFonts w:ascii="Verdana" w:hAnsi="Verdana" w:cs="Tahoma"/>
          <w:i/>
          <w:iCs/>
          <w:color w:val="000000"/>
          <w:sz w:val="16"/>
          <w:szCs w:val="16"/>
        </w:rPr>
      </w:pPr>
      <w:r w:rsidRPr="00133B85">
        <w:rPr>
          <w:rFonts w:ascii="Verdana" w:hAnsi="Verdana" w:cs="Tahoma"/>
          <w:i/>
          <w:iCs/>
          <w:color w:val="000000"/>
          <w:sz w:val="16"/>
          <w:szCs w:val="16"/>
        </w:rPr>
        <w:t>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14:paraId="6DC8C573" w14:textId="77777777" w:rsidR="004F0E31" w:rsidRPr="00133B85" w:rsidRDefault="004F0E31" w:rsidP="004F0E31">
      <w:pPr>
        <w:pStyle w:val="NormalWeb"/>
        <w:numPr>
          <w:ilvl w:val="0"/>
          <w:numId w:val="35"/>
        </w:numPr>
        <w:spacing w:before="0" w:beforeAutospacing="0" w:after="0" w:afterAutospacing="0"/>
        <w:ind w:left="-490" w:right="-567"/>
        <w:jc w:val="both"/>
        <w:rPr>
          <w:rFonts w:ascii="Verdana" w:hAnsi="Verdana" w:cs="Tahoma"/>
          <w:i/>
          <w:iCs/>
          <w:color w:val="000000"/>
          <w:sz w:val="16"/>
          <w:szCs w:val="16"/>
        </w:rPr>
      </w:pPr>
      <w:r w:rsidRPr="00133B85">
        <w:rPr>
          <w:rFonts w:ascii="Verdana" w:hAnsi="Verdana" w:cs="Tahoma"/>
          <w:i/>
          <w:iCs/>
          <w:color w:val="000000"/>
          <w:sz w:val="16"/>
          <w:szCs w:val="16"/>
        </w:rPr>
        <w:t>preparar los estudios e informes que considere convenientes para el desempeño de sus funciones;</w:t>
      </w:r>
    </w:p>
    <w:p w14:paraId="4A4BCD94" w14:textId="77777777" w:rsidR="004F0E31" w:rsidRPr="00133B85" w:rsidRDefault="004F0E31" w:rsidP="004F0E31">
      <w:pPr>
        <w:pStyle w:val="NormalWeb"/>
        <w:numPr>
          <w:ilvl w:val="0"/>
          <w:numId w:val="35"/>
        </w:numPr>
        <w:spacing w:before="0" w:beforeAutospacing="0" w:after="0" w:afterAutospacing="0"/>
        <w:ind w:left="-490" w:right="-567"/>
        <w:jc w:val="both"/>
        <w:rPr>
          <w:rFonts w:ascii="Verdana" w:hAnsi="Verdana" w:cs="Tahoma"/>
          <w:i/>
          <w:iCs/>
          <w:color w:val="000000"/>
          <w:sz w:val="16"/>
          <w:szCs w:val="16"/>
        </w:rPr>
      </w:pPr>
      <w:r w:rsidRPr="00133B85">
        <w:rPr>
          <w:rFonts w:ascii="Verdana" w:hAnsi="Verdana" w:cs="Tahoma"/>
          <w:i/>
          <w:iCs/>
          <w:color w:val="000000"/>
          <w:sz w:val="16"/>
          <w:szCs w:val="16"/>
        </w:rPr>
        <w:t>solicitar de los gobiernos de los Estados miembros que le proporcionen informes sobre las medidas que adopten en materia de derechos humanos;</w:t>
      </w:r>
    </w:p>
    <w:p w14:paraId="591A89E5" w14:textId="77777777" w:rsidR="004F0E31" w:rsidRPr="00133B85" w:rsidRDefault="004F0E31" w:rsidP="004F0E31">
      <w:pPr>
        <w:pStyle w:val="NormalWeb"/>
        <w:numPr>
          <w:ilvl w:val="0"/>
          <w:numId w:val="35"/>
        </w:numPr>
        <w:spacing w:before="0" w:beforeAutospacing="0" w:after="0" w:afterAutospacing="0"/>
        <w:ind w:left="-490" w:right="-567"/>
        <w:jc w:val="both"/>
        <w:rPr>
          <w:rFonts w:ascii="Verdana" w:hAnsi="Verdana" w:cs="Tahoma"/>
          <w:i/>
          <w:iCs/>
          <w:color w:val="000000"/>
          <w:sz w:val="16"/>
          <w:szCs w:val="16"/>
        </w:rPr>
      </w:pPr>
      <w:r w:rsidRPr="00133B85">
        <w:rPr>
          <w:rFonts w:ascii="Verdana" w:hAnsi="Verdana" w:cs="Tahoma"/>
          <w:i/>
          <w:iCs/>
          <w:color w:val="000000"/>
          <w:sz w:val="16"/>
          <w:szCs w:val="16"/>
        </w:rPr>
        <w:t>atender las consultas que, por medio de la Secretaría General de la Organización de los Estados Americanos, le formulen los Estados miembros en cuestiones relacionadas con los derechos humanos y, dentro de sus posibilidades, les prestará el asesoramiento que éstos le soliciten;</w:t>
      </w:r>
    </w:p>
    <w:p w14:paraId="6A28FBF1" w14:textId="77777777" w:rsidR="004F0E31" w:rsidRPr="00133B85" w:rsidRDefault="004F0E31" w:rsidP="004F0E31">
      <w:pPr>
        <w:pStyle w:val="NormalWeb"/>
        <w:numPr>
          <w:ilvl w:val="0"/>
          <w:numId w:val="35"/>
        </w:numPr>
        <w:spacing w:before="0" w:beforeAutospacing="0" w:after="0" w:afterAutospacing="0"/>
        <w:ind w:left="-490" w:right="-567"/>
        <w:jc w:val="both"/>
        <w:rPr>
          <w:rFonts w:ascii="Verdana" w:hAnsi="Verdana" w:cs="Tahoma"/>
          <w:i/>
          <w:iCs/>
          <w:color w:val="000000"/>
          <w:sz w:val="16"/>
          <w:szCs w:val="16"/>
        </w:rPr>
      </w:pPr>
      <w:r w:rsidRPr="00133B85">
        <w:rPr>
          <w:rFonts w:ascii="Verdana" w:hAnsi="Verdana" w:cs="Tahoma"/>
          <w:i/>
          <w:iCs/>
          <w:color w:val="000000"/>
          <w:sz w:val="16"/>
          <w:szCs w:val="16"/>
        </w:rPr>
        <w:t>actuar respecto de las peticiones y otras comunicaciones en ejercicio de su autoridad de conformidad con lo dispuesto en los artículos 44 al 51 de esta Convención, y</w:t>
      </w:r>
    </w:p>
    <w:p w14:paraId="41564004" w14:textId="77777777" w:rsidR="004F0E31" w:rsidRPr="00133B85" w:rsidRDefault="004F0E31" w:rsidP="004F0E31">
      <w:pPr>
        <w:pStyle w:val="NormalWeb"/>
        <w:numPr>
          <w:ilvl w:val="0"/>
          <w:numId w:val="35"/>
        </w:numPr>
        <w:spacing w:before="0" w:beforeAutospacing="0" w:after="0" w:afterAutospacing="0"/>
        <w:ind w:left="-490" w:right="-567"/>
        <w:jc w:val="both"/>
        <w:rPr>
          <w:rFonts w:ascii="Verdana" w:hAnsi="Verdana" w:cs="Tahoma"/>
          <w:i/>
          <w:iCs/>
          <w:color w:val="000000"/>
          <w:sz w:val="16"/>
          <w:szCs w:val="16"/>
        </w:rPr>
      </w:pPr>
      <w:r w:rsidRPr="00133B85">
        <w:rPr>
          <w:rFonts w:ascii="Verdana" w:hAnsi="Verdana" w:cs="Tahoma"/>
          <w:i/>
          <w:iCs/>
          <w:color w:val="000000"/>
          <w:sz w:val="16"/>
          <w:szCs w:val="16"/>
        </w:rPr>
        <w:t>rendir un informe anual a la Asamblea General de la Organización de los Estados Americanos.”</w:t>
      </w:r>
    </w:p>
    <w:p w14:paraId="24E2AFC6" w14:textId="77777777" w:rsidR="004F0E31" w:rsidRPr="00133B85" w:rsidRDefault="004F0E31" w:rsidP="009A5EDB">
      <w:pPr>
        <w:pStyle w:val="Textonotapie"/>
        <w:ind w:left="-567" w:right="-567"/>
        <w:rPr>
          <w:rFonts w:ascii="Verdana" w:hAnsi="Verdana"/>
          <w:sz w:val="16"/>
          <w:szCs w:val="16"/>
          <w:lang w:val="es-419"/>
        </w:rPr>
      </w:pPr>
    </w:p>
  </w:footnote>
  <w:footnote w:id="30">
    <w:p w14:paraId="277DFC00" w14:textId="77777777" w:rsidR="004F0E31" w:rsidRPr="006113A8" w:rsidRDefault="004F0E31" w:rsidP="006113A8">
      <w:pPr>
        <w:pStyle w:val="NormalWeb"/>
        <w:spacing w:before="0" w:beforeAutospacing="0" w:after="0" w:afterAutospacing="0"/>
        <w:ind w:left="-850" w:right="-567"/>
        <w:jc w:val="both"/>
        <w:rPr>
          <w:rFonts w:ascii="Verdana" w:hAnsi="Verdana" w:cs="Tahoma"/>
          <w:i/>
          <w:iCs/>
          <w:color w:val="000000"/>
          <w:sz w:val="16"/>
          <w:szCs w:val="16"/>
        </w:rPr>
      </w:pPr>
      <w:r w:rsidRPr="006113A8">
        <w:rPr>
          <w:rStyle w:val="Refdenotaalpie"/>
          <w:rFonts w:ascii="Verdana" w:hAnsi="Verdana"/>
          <w:i/>
          <w:iCs/>
          <w:sz w:val="16"/>
          <w:szCs w:val="16"/>
        </w:rPr>
        <w:footnoteRef/>
      </w:r>
      <w:r w:rsidRPr="006113A8">
        <w:rPr>
          <w:rFonts w:ascii="Verdana" w:hAnsi="Verdana"/>
          <w:i/>
          <w:iCs/>
          <w:sz w:val="16"/>
          <w:szCs w:val="16"/>
        </w:rPr>
        <w:t xml:space="preserve"> Art.</w:t>
      </w:r>
      <w:r w:rsidRPr="006113A8">
        <w:rPr>
          <w:rFonts w:ascii="Verdana" w:hAnsi="Verdana" w:cs="Tahoma"/>
          <w:i/>
          <w:iCs/>
          <w:color w:val="000000"/>
          <w:sz w:val="16"/>
          <w:szCs w:val="16"/>
        </w:rPr>
        <w:t>68: “1. Los Estados Partes en la Convención se comprometen a cumplir la decisión de la Corte en todo caso en que sean partes.</w:t>
      </w:r>
    </w:p>
    <w:p w14:paraId="273940E7" w14:textId="77777777" w:rsidR="004F0E31" w:rsidRPr="006113A8" w:rsidRDefault="004F0E31" w:rsidP="006113A8">
      <w:pPr>
        <w:pStyle w:val="NormalWeb"/>
        <w:spacing w:before="0" w:beforeAutospacing="0" w:after="0" w:afterAutospacing="0"/>
        <w:ind w:left="-850" w:right="-567"/>
        <w:jc w:val="both"/>
        <w:rPr>
          <w:rFonts w:ascii="Verdana" w:hAnsi="Verdana" w:cs="Tahoma"/>
          <w:i/>
          <w:iCs/>
          <w:color w:val="000000"/>
          <w:sz w:val="16"/>
          <w:szCs w:val="16"/>
        </w:rPr>
      </w:pPr>
      <w:r w:rsidRPr="006113A8">
        <w:rPr>
          <w:rFonts w:ascii="Verdana" w:hAnsi="Verdana" w:cs="Tahoma"/>
          <w:i/>
          <w:iCs/>
          <w:color w:val="000000"/>
          <w:sz w:val="16"/>
          <w:szCs w:val="16"/>
        </w:rPr>
        <w:t> 2. La parte del fallo que disponga indemnización compensatoria se podrá ejecutar en el respectivo país por el procedimiento interno vigente para la ejecución de sentencias contra el Estado.”</w:t>
      </w:r>
    </w:p>
    <w:p w14:paraId="5A7B9A89" w14:textId="77777777" w:rsidR="004F0E31" w:rsidRPr="006113A8" w:rsidRDefault="004F0E31">
      <w:pPr>
        <w:pStyle w:val="Textonotapie"/>
        <w:rPr>
          <w:lang w:val="es-419"/>
        </w:rPr>
      </w:pPr>
    </w:p>
  </w:footnote>
  <w:footnote w:id="31">
    <w:p w14:paraId="52E45196" w14:textId="77777777" w:rsidR="004F0E31" w:rsidRPr="00CC2BDB" w:rsidRDefault="004F0E31" w:rsidP="006475E7">
      <w:pPr>
        <w:pStyle w:val="NormalWeb"/>
        <w:spacing w:before="0" w:beforeAutospacing="0" w:after="0" w:afterAutospacing="0"/>
        <w:ind w:left="-850" w:right="-567"/>
        <w:jc w:val="both"/>
        <w:rPr>
          <w:rFonts w:ascii="Verdana" w:hAnsi="Verdana" w:cs="Tahoma"/>
          <w:i/>
          <w:iCs/>
          <w:color w:val="000000"/>
          <w:sz w:val="16"/>
          <w:szCs w:val="16"/>
        </w:rPr>
      </w:pPr>
      <w:r w:rsidRPr="00986635">
        <w:rPr>
          <w:rStyle w:val="Refdenotaalpie"/>
          <w:rFonts w:ascii="Verdana" w:hAnsi="Verdana"/>
          <w:sz w:val="16"/>
          <w:szCs w:val="16"/>
        </w:rPr>
        <w:footnoteRef/>
      </w:r>
      <w:r w:rsidRPr="00986635">
        <w:rPr>
          <w:rFonts w:ascii="Verdana" w:hAnsi="Verdana"/>
          <w:sz w:val="16"/>
          <w:szCs w:val="16"/>
        </w:rPr>
        <w:t xml:space="preserve"> Art. 65:</w:t>
      </w:r>
      <w:r w:rsidRPr="00CC2BDB">
        <w:rPr>
          <w:rFonts w:ascii="Verdana" w:hAnsi="Verdana"/>
          <w:sz w:val="16"/>
          <w:szCs w:val="16"/>
        </w:rPr>
        <w:t xml:space="preserve"> “</w:t>
      </w:r>
      <w:r w:rsidRPr="00CC2BDB">
        <w:rPr>
          <w:rFonts w:ascii="Verdana" w:hAnsi="Verdana" w:cs="Tahoma"/>
          <w:i/>
          <w:iCs/>
          <w:color w:val="000000"/>
          <w:sz w:val="16"/>
          <w:szCs w:val="16"/>
        </w:rP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p>
    <w:p w14:paraId="1C1ABCD7" w14:textId="77777777" w:rsidR="004F0E31" w:rsidRPr="006475E7" w:rsidRDefault="004F0E31">
      <w:pPr>
        <w:pStyle w:val="Textonotapie"/>
        <w:rPr>
          <w:lang w:val="es-419"/>
        </w:rPr>
      </w:pPr>
    </w:p>
  </w:footnote>
  <w:footnote w:id="32">
    <w:p w14:paraId="48CB334F" w14:textId="77777777" w:rsidR="004F0E31" w:rsidRPr="006475E7" w:rsidRDefault="004F0E31" w:rsidP="00CC2BDB">
      <w:pPr>
        <w:pStyle w:val="NormalWeb"/>
        <w:spacing w:before="0" w:beforeAutospacing="0" w:after="0" w:afterAutospacing="0"/>
        <w:ind w:left="-850" w:right="-567"/>
        <w:jc w:val="both"/>
        <w:rPr>
          <w:rFonts w:ascii="Verdana" w:hAnsi="Verdana" w:cs="Tahoma"/>
          <w:color w:val="000000"/>
          <w:sz w:val="16"/>
          <w:szCs w:val="16"/>
        </w:rPr>
      </w:pPr>
      <w:r w:rsidRPr="00CC2BDB">
        <w:rPr>
          <w:rStyle w:val="Refdenotaalpie"/>
          <w:rFonts w:ascii="Verdana" w:hAnsi="Verdana"/>
          <w:sz w:val="16"/>
          <w:szCs w:val="16"/>
        </w:rPr>
        <w:footnoteRef/>
      </w:r>
      <w:bookmarkStart w:id="7" w:name="_Hlk41574609"/>
      <w:r w:rsidRPr="006475E7">
        <w:rPr>
          <w:rFonts w:ascii="Verdana" w:hAnsi="Verdana" w:cs="Tahoma"/>
          <w:color w:val="000000"/>
          <w:sz w:val="16"/>
          <w:szCs w:val="16"/>
        </w:rPr>
        <w:t>En adelante, la OEA.</w:t>
      </w:r>
    </w:p>
    <w:bookmarkEnd w:id="7"/>
    <w:p w14:paraId="367C482C" w14:textId="77777777" w:rsidR="004F0E31" w:rsidRPr="00CC2BDB" w:rsidRDefault="004F0E31">
      <w:pPr>
        <w:pStyle w:val="Textonotapie"/>
        <w:rPr>
          <w:lang w:val="es-419"/>
        </w:rPr>
      </w:pPr>
    </w:p>
  </w:footnote>
  <w:footnote w:id="33">
    <w:p w14:paraId="58E99E18" w14:textId="77777777" w:rsidR="004F0E31" w:rsidRPr="00CC2BDB" w:rsidRDefault="004F0E31" w:rsidP="00CC2BDB">
      <w:pPr>
        <w:pStyle w:val="NormalWeb"/>
        <w:spacing w:before="0" w:beforeAutospacing="0" w:after="0" w:afterAutospacing="0"/>
        <w:ind w:left="-850" w:right="-567"/>
        <w:jc w:val="both"/>
        <w:rPr>
          <w:rFonts w:ascii="Verdana" w:hAnsi="Verdana" w:cs="Tahoma"/>
          <w:color w:val="000000"/>
          <w:sz w:val="16"/>
          <w:szCs w:val="16"/>
        </w:rPr>
      </w:pPr>
      <w:r w:rsidRPr="00CC2BDB">
        <w:rPr>
          <w:rStyle w:val="Refdenotaalpie"/>
          <w:rFonts w:ascii="Verdana" w:hAnsi="Verdana"/>
          <w:sz w:val="16"/>
          <w:szCs w:val="16"/>
        </w:rPr>
        <w:footnoteRef/>
      </w:r>
      <w:r w:rsidRPr="00CC2BDB">
        <w:rPr>
          <w:rFonts w:ascii="Verdana" w:hAnsi="Verdana"/>
          <w:sz w:val="16"/>
          <w:szCs w:val="16"/>
        </w:rPr>
        <w:t xml:space="preserve"> Art. 63.1: </w:t>
      </w:r>
      <w:r w:rsidRPr="00CC2BDB">
        <w:rPr>
          <w:rFonts w:ascii="Verdana" w:hAnsi="Verdana"/>
          <w:i/>
          <w:iCs/>
          <w:sz w:val="16"/>
          <w:szCs w:val="16"/>
        </w:rPr>
        <w:t>“</w:t>
      </w:r>
      <w:r w:rsidRPr="00CC2BDB">
        <w:rPr>
          <w:rFonts w:ascii="Verdana" w:hAnsi="Verdana" w:cs="Tahoma"/>
          <w:i/>
          <w:iCs/>
          <w:color w:val="000000"/>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14:paraId="1562DDF5" w14:textId="77777777" w:rsidR="004F0E31" w:rsidRPr="00CC2BDB" w:rsidRDefault="004F0E31">
      <w:pPr>
        <w:pStyle w:val="Textonotapie"/>
        <w:rPr>
          <w:lang w:val="es-419"/>
        </w:rPr>
      </w:pPr>
    </w:p>
  </w:footnote>
  <w:footnote w:id="34">
    <w:p w14:paraId="0CE9AE50" w14:textId="77777777" w:rsidR="004F0E31" w:rsidRDefault="004F0E31" w:rsidP="00071F16">
      <w:pPr>
        <w:pStyle w:val="Textonotapie"/>
        <w:ind w:left="-850"/>
        <w:rPr>
          <w:rFonts w:ascii="Verdana" w:hAnsi="Verdana"/>
          <w:sz w:val="16"/>
          <w:szCs w:val="16"/>
        </w:rPr>
      </w:pPr>
      <w:r w:rsidRPr="00071F16">
        <w:rPr>
          <w:rStyle w:val="Refdenotaalpie"/>
          <w:rFonts w:ascii="Verdana" w:hAnsi="Verdana"/>
          <w:sz w:val="16"/>
          <w:szCs w:val="16"/>
        </w:rPr>
        <w:footnoteRef/>
      </w:r>
      <w:r w:rsidRPr="00071F16">
        <w:rPr>
          <w:rFonts w:ascii="Verdana" w:hAnsi="Verdana"/>
          <w:sz w:val="16"/>
          <w:szCs w:val="16"/>
        </w:rPr>
        <w:t xml:space="preserve"> </w:t>
      </w:r>
      <w:r w:rsidRPr="00071F16">
        <w:rPr>
          <w:rFonts w:ascii="Verdana" w:hAnsi="Verdana"/>
          <w:i/>
          <w:iCs/>
          <w:sz w:val="16"/>
          <w:szCs w:val="16"/>
        </w:rPr>
        <w:t>Supra,</w:t>
      </w:r>
      <w:r w:rsidRPr="00071F16">
        <w:rPr>
          <w:rFonts w:ascii="Verdana" w:hAnsi="Verdana"/>
          <w:sz w:val="16"/>
          <w:szCs w:val="16"/>
        </w:rPr>
        <w:t xml:space="preserve"> Nota N° 1</w:t>
      </w:r>
      <w:r>
        <w:rPr>
          <w:rFonts w:ascii="Verdana" w:hAnsi="Verdana"/>
          <w:sz w:val="16"/>
          <w:szCs w:val="16"/>
        </w:rPr>
        <w:t>7</w:t>
      </w:r>
      <w:r w:rsidRPr="00071F16">
        <w:rPr>
          <w:rFonts w:ascii="Verdana" w:hAnsi="Verdana"/>
          <w:sz w:val="16"/>
          <w:szCs w:val="16"/>
        </w:rPr>
        <w:t xml:space="preserve">. </w:t>
      </w:r>
    </w:p>
    <w:p w14:paraId="7BD0F047" w14:textId="77777777" w:rsidR="004F0E31" w:rsidRPr="00071F16" w:rsidRDefault="004F0E31">
      <w:pPr>
        <w:pStyle w:val="Textonotapie"/>
        <w:rPr>
          <w:rFonts w:ascii="Verdana" w:hAnsi="Verdana"/>
          <w:sz w:val="16"/>
          <w:szCs w:val="16"/>
          <w:lang w:val="es-419"/>
        </w:rPr>
      </w:pPr>
    </w:p>
  </w:footnote>
  <w:footnote w:id="35">
    <w:p w14:paraId="199EBCFF" w14:textId="77777777" w:rsidR="004F0E31" w:rsidRDefault="004F0E31" w:rsidP="00071F16">
      <w:pPr>
        <w:pStyle w:val="Textonotapie"/>
        <w:ind w:left="-850" w:right="-567"/>
        <w:rPr>
          <w:rFonts w:ascii="Verdana" w:eastAsia="Arial Unicode MS" w:hAnsi="Verdana" w:cs="Arial Unicode MS"/>
          <w:color w:val="000000"/>
          <w:spacing w:val="4"/>
          <w:sz w:val="16"/>
          <w:szCs w:val="16"/>
          <w:shd w:val="clear" w:color="auto" w:fill="FFFFFF"/>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eastAsia="Arial Unicode MS" w:hAnsi="Verdana" w:cs="Arial Unicode MS"/>
          <w:color w:val="000000"/>
          <w:spacing w:val="4"/>
          <w:sz w:val="16"/>
          <w:szCs w:val="16"/>
          <w:shd w:val="clear" w:color="auto" w:fill="FFFFFF"/>
        </w:rPr>
        <w:t>Diccionario de la Lengua Española, Real Academia Española, 2019.</w:t>
      </w:r>
    </w:p>
    <w:p w14:paraId="79C53702" w14:textId="77777777" w:rsidR="004F0E31" w:rsidRPr="00133B85" w:rsidRDefault="004F0E31" w:rsidP="00071F16">
      <w:pPr>
        <w:pStyle w:val="Textonotapie"/>
        <w:ind w:left="-850" w:right="-567"/>
        <w:rPr>
          <w:rFonts w:ascii="Verdana" w:eastAsia="Arial Unicode MS" w:hAnsi="Verdana" w:cs="Arial Unicode MS"/>
          <w:color w:val="000000"/>
          <w:spacing w:val="4"/>
          <w:sz w:val="16"/>
          <w:szCs w:val="16"/>
          <w:shd w:val="clear" w:color="auto" w:fill="FFFFFF"/>
        </w:rPr>
      </w:pPr>
    </w:p>
  </w:footnote>
  <w:footnote w:id="36">
    <w:p w14:paraId="1DDC46A8" w14:textId="77777777" w:rsidR="004F0E31" w:rsidRPr="00A03C25" w:rsidRDefault="004F0E31" w:rsidP="00071F16">
      <w:pPr>
        <w:pStyle w:val="NormalWeb"/>
        <w:spacing w:before="0" w:beforeAutospacing="0" w:after="0" w:afterAutospacing="0"/>
        <w:ind w:left="-850" w:right="-567"/>
        <w:jc w:val="both"/>
        <w:rPr>
          <w:rFonts w:ascii="Verdana" w:hAnsi="Verdana" w:cs="Tahoma"/>
          <w:i/>
          <w:iCs/>
          <w:color w:val="000000"/>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w:t>
      </w:r>
      <w:r w:rsidRPr="00A03C25">
        <w:rPr>
          <w:rFonts w:ascii="Verdana" w:hAnsi="Verdana"/>
          <w:i/>
          <w:iCs/>
          <w:sz w:val="16"/>
          <w:szCs w:val="16"/>
          <w:lang w:val="pt-BR"/>
        </w:rPr>
        <w:t>Supra</w:t>
      </w:r>
      <w:r w:rsidRPr="00A03C25">
        <w:rPr>
          <w:rFonts w:ascii="Verdana" w:hAnsi="Verdana"/>
          <w:sz w:val="16"/>
          <w:szCs w:val="16"/>
          <w:lang w:val="pt-BR"/>
        </w:rPr>
        <w:t>, Nota N° 18.</w:t>
      </w:r>
    </w:p>
    <w:p w14:paraId="268F697C" w14:textId="77777777" w:rsidR="004F0E31" w:rsidRPr="00A03C25" w:rsidRDefault="004F0E31" w:rsidP="00071F16">
      <w:pPr>
        <w:pStyle w:val="Textonotapie"/>
        <w:ind w:left="-850" w:right="-567"/>
        <w:rPr>
          <w:rFonts w:ascii="Verdana" w:hAnsi="Verdana"/>
          <w:sz w:val="16"/>
          <w:szCs w:val="16"/>
          <w:lang w:val="pt-BR"/>
        </w:rPr>
      </w:pPr>
    </w:p>
  </w:footnote>
  <w:footnote w:id="37">
    <w:p w14:paraId="66CE7457" w14:textId="77777777" w:rsidR="004F0E31" w:rsidRPr="00A03C25" w:rsidRDefault="004F0E31" w:rsidP="00071F16">
      <w:pPr>
        <w:pStyle w:val="Textonotapie"/>
        <w:ind w:left="-850" w:right="-567"/>
        <w:rPr>
          <w:rFonts w:ascii="Verdana" w:hAnsi="Verdana"/>
          <w:i/>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w:t>
      </w:r>
      <w:r w:rsidRPr="00A03C25">
        <w:rPr>
          <w:rFonts w:ascii="Verdana" w:hAnsi="Verdana"/>
          <w:i/>
          <w:sz w:val="16"/>
          <w:szCs w:val="16"/>
          <w:lang w:val="pt-BR"/>
        </w:rPr>
        <w:t xml:space="preserve">Supra, </w:t>
      </w:r>
      <w:r w:rsidRPr="00A03C25">
        <w:rPr>
          <w:rFonts w:ascii="Verdana" w:hAnsi="Verdana"/>
          <w:iCs/>
          <w:sz w:val="16"/>
          <w:szCs w:val="16"/>
          <w:lang w:val="pt-BR"/>
        </w:rPr>
        <w:t xml:space="preserve">Nota N° 22. </w:t>
      </w:r>
    </w:p>
    <w:p w14:paraId="19521396" w14:textId="77777777" w:rsidR="004F0E31" w:rsidRPr="00A03C25" w:rsidRDefault="004F0E31" w:rsidP="00071F16">
      <w:pPr>
        <w:pStyle w:val="Textonotapie"/>
        <w:ind w:left="-850" w:right="-567"/>
        <w:rPr>
          <w:rFonts w:ascii="Verdana" w:hAnsi="Verdana"/>
          <w:sz w:val="16"/>
          <w:szCs w:val="16"/>
          <w:lang w:val="pt-BR"/>
        </w:rPr>
      </w:pPr>
    </w:p>
  </w:footnote>
  <w:footnote w:id="38">
    <w:p w14:paraId="7CC61D22" w14:textId="77777777" w:rsidR="004F0E31" w:rsidRDefault="004F0E31" w:rsidP="00071F16">
      <w:pPr>
        <w:pStyle w:val="Textonotapie"/>
        <w:ind w:left="-850" w:right="-567"/>
        <w:rPr>
          <w:lang w:val="es-419"/>
        </w:rPr>
      </w:pPr>
      <w:r w:rsidRPr="003C28BE">
        <w:rPr>
          <w:rStyle w:val="Refdenotaalpie"/>
          <w:rFonts w:ascii="Verdana" w:hAnsi="Verdana"/>
          <w:sz w:val="16"/>
          <w:szCs w:val="16"/>
        </w:rPr>
        <w:footnoteRef/>
      </w:r>
      <w:r w:rsidRPr="003C28BE">
        <w:rPr>
          <w:rFonts w:ascii="Verdana" w:hAnsi="Verdana"/>
          <w:sz w:val="16"/>
          <w:szCs w:val="16"/>
        </w:rPr>
        <w:t xml:space="preserve"> </w:t>
      </w:r>
      <w:r w:rsidRPr="003C28BE">
        <w:rPr>
          <w:rFonts w:ascii="Verdana" w:hAnsi="Verdana"/>
          <w:sz w:val="16"/>
          <w:szCs w:val="16"/>
          <w:lang w:val="es-419"/>
        </w:rPr>
        <w:t>Art.27.3 del Reglamento: “</w:t>
      </w:r>
      <w:r w:rsidRPr="003C28BE">
        <w:rPr>
          <w:rFonts w:ascii="Verdana" w:hAnsi="Verdana"/>
          <w:i/>
          <w:iCs/>
          <w:sz w:val="16"/>
          <w:szCs w:val="16"/>
          <w:lang w:val="es-419"/>
        </w:rPr>
        <w:t>En los casos contenciosos que se encuentren en conocimiento de la Corte, las víctimas o las presuntas víctimas, o sus representantes, podrán presentar directamente a ésta una solicitud de medidas provisionales, las que deberán tener relación con el objeto del caso</w:t>
      </w:r>
      <w:r w:rsidRPr="003C28BE">
        <w:rPr>
          <w:lang w:val="es-419"/>
        </w:rPr>
        <w:t>.</w:t>
      </w:r>
      <w:r>
        <w:rPr>
          <w:lang w:val="es-419"/>
        </w:rPr>
        <w:t>”</w:t>
      </w:r>
    </w:p>
    <w:p w14:paraId="575891AB" w14:textId="77777777" w:rsidR="004F0E31" w:rsidRPr="003C28BE" w:rsidRDefault="004F0E31" w:rsidP="009A5EDB">
      <w:pPr>
        <w:pStyle w:val="Textonotapie"/>
        <w:ind w:left="-907"/>
        <w:rPr>
          <w:lang w:val="es-419"/>
        </w:rPr>
      </w:pPr>
    </w:p>
  </w:footnote>
  <w:footnote w:id="39">
    <w:p w14:paraId="7BD931BF" w14:textId="77777777" w:rsidR="004F0E31" w:rsidRPr="00957D03" w:rsidRDefault="004F0E31" w:rsidP="00986295">
      <w:pPr>
        <w:pStyle w:val="Textonotapie"/>
        <w:ind w:left="-850" w:right="-567"/>
        <w:rPr>
          <w:rFonts w:ascii="Verdana" w:hAnsi="Verdana"/>
          <w:i/>
          <w:iCs/>
          <w:sz w:val="16"/>
          <w:szCs w:val="16"/>
        </w:rPr>
      </w:pPr>
      <w:r w:rsidRPr="00957D03">
        <w:rPr>
          <w:rStyle w:val="Refdenotaalpie"/>
          <w:rFonts w:ascii="Verdana" w:hAnsi="Verdana"/>
          <w:sz w:val="16"/>
          <w:szCs w:val="16"/>
        </w:rPr>
        <w:footnoteRef/>
      </w:r>
      <w:r w:rsidRPr="00957D03">
        <w:rPr>
          <w:rFonts w:ascii="Verdana" w:hAnsi="Verdana"/>
          <w:sz w:val="16"/>
          <w:szCs w:val="16"/>
        </w:rPr>
        <w:t xml:space="preserve"> Art. 66 del Reglamento: </w:t>
      </w:r>
      <w:r w:rsidRPr="00957D03">
        <w:rPr>
          <w:rFonts w:ascii="Verdana" w:hAnsi="Verdana"/>
          <w:i/>
          <w:iCs/>
          <w:sz w:val="16"/>
          <w:szCs w:val="16"/>
        </w:rPr>
        <w:t xml:space="preserve">“Sentencia de reparaciones y costas. 1. Cuando en la sentencia de fondo no se hubiere decidido específicamente sobre reparaciones y costas, la Corte fijará la oportunidad para su posterior decisión y determinará el procedimiento. </w:t>
      </w:r>
    </w:p>
    <w:p w14:paraId="56566A6A" w14:textId="77777777" w:rsidR="004F0E31" w:rsidRPr="00957D03" w:rsidRDefault="004F0E31" w:rsidP="00986295">
      <w:pPr>
        <w:pStyle w:val="Textonotapie"/>
        <w:ind w:left="-850" w:right="-567"/>
        <w:rPr>
          <w:rFonts w:ascii="Verdana" w:hAnsi="Verdana"/>
          <w:sz w:val="16"/>
          <w:szCs w:val="16"/>
        </w:rPr>
      </w:pPr>
      <w:r w:rsidRPr="00957D03">
        <w:rPr>
          <w:rFonts w:ascii="Verdana" w:hAnsi="Verdana"/>
          <w:i/>
          <w:iCs/>
          <w:sz w:val="16"/>
          <w:szCs w:val="16"/>
        </w:rPr>
        <w:t>2.  Si la Corte fuere informada de que las víctimas o sus representantes y el Estado demandado y, en su caso, el Estado demandante, han llegado a un acuerdo respecto al cumplimiento de la sentencia sobre el fondo, verificará que el acuerdo sea conforme con la Convención y dispondrá lo conducente</w:t>
      </w:r>
      <w:r w:rsidRPr="00957D03">
        <w:rPr>
          <w:rFonts w:ascii="Verdana" w:hAnsi="Verdana"/>
          <w:sz w:val="16"/>
          <w:szCs w:val="16"/>
        </w:rPr>
        <w:t>.</w:t>
      </w:r>
      <w:r>
        <w:rPr>
          <w:rFonts w:ascii="Verdana" w:hAnsi="Verdana"/>
          <w:sz w:val="16"/>
          <w:szCs w:val="16"/>
        </w:rPr>
        <w:t>”</w:t>
      </w:r>
    </w:p>
    <w:p w14:paraId="4C3D526D" w14:textId="77777777" w:rsidR="004F0E31" w:rsidRPr="00957D03" w:rsidRDefault="004F0E31" w:rsidP="00986295">
      <w:pPr>
        <w:pStyle w:val="Textonotapie"/>
        <w:ind w:left="-850" w:right="-567"/>
        <w:rPr>
          <w:lang w:val="es-419"/>
        </w:rPr>
      </w:pPr>
    </w:p>
  </w:footnote>
  <w:footnote w:id="40">
    <w:p w14:paraId="67900B58" w14:textId="77777777" w:rsidR="004F0E31" w:rsidRDefault="004F0E31" w:rsidP="00986295">
      <w:pPr>
        <w:pStyle w:val="Textonotapie"/>
        <w:ind w:left="-850" w:right="-567"/>
        <w:rPr>
          <w:rFonts w:ascii="Verdana" w:hAnsi="Verdana"/>
          <w:i/>
          <w:sz w:val="16"/>
          <w:szCs w:val="16"/>
          <w:lang w:val="es-ES"/>
        </w:rPr>
      </w:pPr>
      <w:r>
        <w:rPr>
          <w:rStyle w:val="Refdenotaalpie"/>
        </w:rPr>
        <w:footnoteRef/>
      </w:r>
      <w:r>
        <w:t xml:space="preserve"> </w:t>
      </w:r>
      <w:r w:rsidRPr="00133B85">
        <w:rPr>
          <w:rFonts w:ascii="Verdana" w:hAnsi="Verdana"/>
          <w:iCs/>
          <w:sz w:val="16"/>
          <w:szCs w:val="16"/>
        </w:rPr>
        <w:t>Segunda frase del art.67:”</w:t>
      </w:r>
      <w:r w:rsidRPr="00133B85">
        <w:rPr>
          <w:rFonts w:ascii="Verdana" w:hAnsi="Verdana"/>
          <w:i/>
          <w:sz w:val="16"/>
          <w:szCs w:val="16"/>
          <w:lang w:val="es-ES"/>
        </w:rPr>
        <w:t xml:space="preserve"> En caso de desacuerdo sobre el sentido o alcance del fallo, la Corte lo interpretará a solicitud de cualquiera de las partes, siempre que dicha solicitud se presente dentro de los noventa días a partir de la fecha de la notificación del fallo.”</w:t>
      </w:r>
    </w:p>
    <w:p w14:paraId="1C101074" w14:textId="77777777" w:rsidR="004F0E31" w:rsidRPr="00957D03" w:rsidRDefault="004F0E31">
      <w:pPr>
        <w:pStyle w:val="Textonotapie"/>
        <w:rPr>
          <w:lang w:val="es-419"/>
        </w:rPr>
      </w:pPr>
    </w:p>
  </w:footnote>
  <w:footnote w:id="41">
    <w:p w14:paraId="2F53F1AE" w14:textId="77777777" w:rsidR="004F0E31" w:rsidRPr="00986295" w:rsidRDefault="004F0E31" w:rsidP="00986295">
      <w:pPr>
        <w:pStyle w:val="Textonotapie"/>
        <w:ind w:left="-850" w:right="-567"/>
        <w:rPr>
          <w:rFonts w:ascii="Verdana" w:hAnsi="Verdana"/>
          <w:i/>
          <w:iCs/>
          <w:sz w:val="16"/>
          <w:szCs w:val="16"/>
        </w:rPr>
      </w:pPr>
      <w:r w:rsidRPr="00133B85">
        <w:rPr>
          <w:rStyle w:val="Refdenotaalpie"/>
          <w:rFonts w:ascii="Verdana" w:hAnsi="Verdana"/>
          <w:sz w:val="16"/>
          <w:szCs w:val="16"/>
        </w:rPr>
        <w:footnoteRef/>
      </w:r>
      <w:r w:rsidRPr="00133B85">
        <w:rPr>
          <w:rFonts w:ascii="Verdana" w:hAnsi="Verdana"/>
          <w:sz w:val="16"/>
          <w:szCs w:val="16"/>
        </w:rPr>
        <w:t xml:space="preserve"> </w:t>
      </w:r>
      <w:r w:rsidRPr="00986295">
        <w:rPr>
          <w:rFonts w:ascii="Verdana" w:hAnsi="Verdana"/>
          <w:sz w:val="16"/>
          <w:szCs w:val="16"/>
        </w:rPr>
        <w:t>Art</w:t>
      </w:r>
      <w:r>
        <w:rPr>
          <w:rFonts w:ascii="Verdana" w:hAnsi="Verdana"/>
          <w:sz w:val="16"/>
          <w:szCs w:val="16"/>
        </w:rPr>
        <w:t>.</w:t>
      </w:r>
      <w:r w:rsidRPr="00986295">
        <w:rPr>
          <w:rFonts w:ascii="Verdana" w:hAnsi="Verdana"/>
          <w:sz w:val="16"/>
          <w:szCs w:val="16"/>
        </w:rPr>
        <w:t xml:space="preserve"> 76</w:t>
      </w:r>
      <w:r>
        <w:rPr>
          <w:rFonts w:ascii="Verdana" w:hAnsi="Verdana"/>
          <w:sz w:val="16"/>
          <w:szCs w:val="16"/>
        </w:rPr>
        <w:t xml:space="preserve"> del Reglamento: “</w:t>
      </w:r>
      <w:r w:rsidRPr="00986295">
        <w:rPr>
          <w:rFonts w:ascii="Verdana" w:hAnsi="Verdana"/>
          <w:i/>
          <w:iCs/>
          <w:sz w:val="16"/>
          <w:szCs w:val="16"/>
        </w:rPr>
        <w:t>Rectificación de errores en sentencias y otras decisiones.</w:t>
      </w:r>
      <w:r>
        <w:rPr>
          <w:rFonts w:ascii="Verdana" w:hAnsi="Verdana"/>
          <w:i/>
          <w:iCs/>
          <w:sz w:val="16"/>
          <w:szCs w:val="16"/>
        </w:rPr>
        <w:t xml:space="preserve"> </w:t>
      </w:r>
      <w:r w:rsidRPr="00986295">
        <w:rPr>
          <w:rFonts w:ascii="Verdana" w:hAnsi="Verdana"/>
          <w:i/>
          <w:iCs/>
          <w:sz w:val="16"/>
          <w:szCs w:val="16"/>
        </w:rPr>
        <w:t>La Corte podrá, a iniciativa propia o a solicitud de parte, presentada dentro del mes siguiente a la notificación de la sentencia o resolución de que se trate, rectificar errores notorios, de edición o de cálculo. De efectuarse alguna rectificación la Corte la notificará a la Comisión, a las víctimas o sus representantes, al Estado demandado y, en su caso, al Estado demandante.”</w:t>
      </w:r>
    </w:p>
    <w:p w14:paraId="426B7B40" w14:textId="77777777" w:rsidR="004F0E31" w:rsidRPr="00133B85" w:rsidRDefault="004F0E31" w:rsidP="00DB0F83">
      <w:pPr>
        <w:pStyle w:val="Textonotapie"/>
        <w:ind w:left="-850"/>
        <w:rPr>
          <w:rFonts w:ascii="Verdana" w:hAnsi="Verdana"/>
          <w:sz w:val="16"/>
          <w:szCs w:val="16"/>
          <w:lang w:val="es-419"/>
        </w:rPr>
      </w:pPr>
    </w:p>
  </w:footnote>
  <w:footnote w:id="42">
    <w:p w14:paraId="30641454" w14:textId="77777777" w:rsidR="004F0E31" w:rsidRPr="00133B85" w:rsidRDefault="004F0E31" w:rsidP="009A5EDB">
      <w:pPr>
        <w:pStyle w:val="Textonotapie"/>
        <w:ind w:left="-850" w:right="-567"/>
        <w:rPr>
          <w:rFonts w:ascii="Verdana" w:hAnsi="Verdana"/>
          <w:i/>
          <w:iCs/>
          <w:sz w:val="16"/>
          <w:szCs w:val="16"/>
        </w:rPr>
      </w:pPr>
      <w:r w:rsidRPr="00133B85">
        <w:rPr>
          <w:rStyle w:val="Refdenotaalpie"/>
          <w:rFonts w:ascii="Verdana" w:hAnsi="Verdana"/>
          <w:sz w:val="16"/>
          <w:szCs w:val="16"/>
        </w:rPr>
        <w:footnoteRef/>
      </w:r>
      <w:r w:rsidRPr="00133B85">
        <w:rPr>
          <w:rFonts w:ascii="Verdana" w:hAnsi="Verdana"/>
          <w:sz w:val="16"/>
          <w:szCs w:val="16"/>
        </w:rPr>
        <w:t xml:space="preserve"> Art.27 del Reglamento de la Corte: </w:t>
      </w:r>
      <w:r w:rsidRPr="00133B85">
        <w:rPr>
          <w:rFonts w:ascii="Verdana" w:hAnsi="Verdana"/>
          <w:i/>
          <w:iCs/>
          <w:sz w:val="16"/>
          <w:szCs w:val="16"/>
        </w:rPr>
        <w:t xml:space="preserve">“1. En cualquier estado del procedimiento, siempre que se trate de casos de extrema gravedad y urgencia y cuando sea necesario para evitar daños irreparables a las personas, la Corte, de oficio, podrá ordenar las medidas provisionales que considere pertinentes, en los términos del artículo 63.2 de la Convención. </w:t>
      </w:r>
    </w:p>
    <w:p w14:paraId="0A6C9856"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2. Si se tratare de asuntos aún no sometidos a su conocimiento, la Corte podrá actuar a solicitud de la Comisión.  </w:t>
      </w:r>
    </w:p>
    <w:p w14:paraId="031CC91A"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3. En los casos contenciosos que se encuentren en conocimiento de la Corte, las víctimas o las presuntas víctimas, o sus representantes, podrán presentar directamente a ésta una solicitud de medidas provisionales, las que deberán tener relación con el objeto del caso.  </w:t>
      </w:r>
    </w:p>
    <w:p w14:paraId="025BA438"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4. La solicitud puede ser presentada a la Presidencia, a cualquiera de los Jueces o a la Secretaría, por cualquier medio de comunicación. En todo caso, quien reciba la solicitud la pondrá de inmediato en conocimiento de la Presidencia.</w:t>
      </w:r>
    </w:p>
    <w:p w14:paraId="10B7AD8C"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5. La Corte o, si ésta no estuviere reunida, la Presidencia, podrá requerir al Estado, a la Comisión o a los representantes de los beneficiarios, cuando lo considere posible e indispensable, la presentación de información sobre una solicitud de medidas provisionales, antes de resolver sobre la medida solicitada.  </w:t>
      </w:r>
    </w:p>
    <w:p w14:paraId="71899CFB"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6. Si la Corte no estuviere reunida, la Presidencia, en consulta con la Comisión Permanente y, de ser posible, con los demás Jueces, requerirá del Estado respectivo que dicte las providencias urgentes necesarias a fin de asegurar la eficacia de las medidas provisionales que después pueda tomar la Corte en su próximo período de sesiones.  </w:t>
      </w:r>
    </w:p>
    <w:p w14:paraId="47584C8D"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7. La supervisión de las medidas urgentes o provisionales ordenadas se realizará mediante la presentación de informes estatales y de las correspondientes observaciones a dichos informes por parte de los beneficiarios de dichas medidas o sus representantes. La Comisión deberá presentar observaciones al informe del Estado y a las observaciones de los beneficiarios de las medidas o sus representantes.  </w:t>
      </w:r>
    </w:p>
    <w:p w14:paraId="217D9F4E"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8. En las circunstancias que estime pertinente, la Corte podrá requerir de otras fuentes de información datos relevantes sobre el asunto, que permitan apreciar la gravedad y urgencia de la situación y la eficacia de las medidas. Para los mismos efectos, podrá también requerir los peritajes e informes que considere oportunos. </w:t>
      </w:r>
    </w:p>
    <w:p w14:paraId="6B554442"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9. La Corte, o su Presidencia si ésta no estuviere reunida, podrá convocar a la Comisión, a los beneficiarios de las medidas, o sus representantes, y al Estado a una audiencia pública o privada sobre las medidas provisionales. </w:t>
      </w:r>
    </w:p>
    <w:p w14:paraId="41287869"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10. La Corte incluirá en su informe anual a la Asamblea General una relación de las medidas provisionales que haya ordenado en el período del informe y, cuando dichas medidas no hayan sido debidamente ejecutadas, formulará las recomendaciones que estime pertinentes.”</w:t>
      </w:r>
    </w:p>
    <w:p w14:paraId="48A0254B" w14:textId="77777777" w:rsidR="004F0E31" w:rsidRPr="00133B85" w:rsidRDefault="004F0E31" w:rsidP="009A5EDB">
      <w:pPr>
        <w:pStyle w:val="Textonotapie"/>
        <w:ind w:left="-850" w:right="-567"/>
        <w:rPr>
          <w:rFonts w:ascii="Verdana" w:hAnsi="Verdana"/>
          <w:sz w:val="16"/>
          <w:szCs w:val="16"/>
          <w:lang w:val="es-419"/>
        </w:rPr>
      </w:pPr>
    </w:p>
  </w:footnote>
  <w:footnote w:id="43">
    <w:p w14:paraId="42C37D38" w14:textId="77777777" w:rsidR="004F0E31" w:rsidRPr="00A03C25" w:rsidRDefault="004F0E31" w:rsidP="009A5EDB">
      <w:pPr>
        <w:pStyle w:val="Textonotapie"/>
        <w:ind w:left="-850" w:right="-567"/>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w:t>
      </w:r>
      <w:r w:rsidRPr="00A03C25">
        <w:rPr>
          <w:rFonts w:ascii="Verdana" w:hAnsi="Verdana"/>
          <w:i/>
          <w:iCs/>
          <w:sz w:val="16"/>
          <w:szCs w:val="16"/>
          <w:lang w:val="pt-BR"/>
        </w:rPr>
        <w:t>Supra</w:t>
      </w:r>
      <w:r w:rsidRPr="00A03C25">
        <w:rPr>
          <w:rFonts w:ascii="Verdana" w:hAnsi="Verdana"/>
          <w:sz w:val="16"/>
          <w:szCs w:val="16"/>
          <w:lang w:val="pt-BR"/>
        </w:rPr>
        <w:t>, Nota N° 29.</w:t>
      </w:r>
    </w:p>
    <w:p w14:paraId="60A7B86A" w14:textId="77777777" w:rsidR="004F0E31" w:rsidRPr="00A03C25" w:rsidRDefault="004F0E31" w:rsidP="009A5EDB">
      <w:pPr>
        <w:pStyle w:val="Textonotapie"/>
        <w:ind w:left="-567" w:right="-567"/>
        <w:rPr>
          <w:rFonts w:ascii="Verdana" w:hAnsi="Verdana"/>
          <w:sz w:val="16"/>
          <w:szCs w:val="16"/>
          <w:lang w:val="pt-BR"/>
        </w:rPr>
      </w:pPr>
    </w:p>
  </w:footnote>
  <w:footnote w:id="44">
    <w:p w14:paraId="1D5AAA01" w14:textId="77777777" w:rsidR="004F0E31" w:rsidRPr="00A03C25" w:rsidRDefault="004F0E31" w:rsidP="009A5EDB">
      <w:pPr>
        <w:spacing w:after="0" w:line="240" w:lineRule="auto"/>
        <w:ind w:left="-850"/>
        <w:jc w:val="both"/>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w:t>
      </w:r>
      <w:r w:rsidRPr="00A03C25">
        <w:rPr>
          <w:rFonts w:ascii="Verdana" w:hAnsi="Verdana"/>
          <w:i/>
          <w:iCs/>
          <w:sz w:val="16"/>
          <w:szCs w:val="16"/>
          <w:lang w:val="pt-BR"/>
        </w:rPr>
        <w:t xml:space="preserve">Supra </w:t>
      </w:r>
      <w:r w:rsidRPr="00A03C25">
        <w:rPr>
          <w:rFonts w:ascii="Verdana" w:hAnsi="Verdana"/>
          <w:sz w:val="16"/>
          <w:szCs w:val="16"/>
          <w:lang w:val="pt-BR"/>
        </w:rPr>
        <w:t>Nota N° 20.</w:t>
      </w:r>
    </w:p>
    <w:p w14:paraId="3A38A6A1" w14:textId="77777777" w:rsidR="004F0E31" w:rsidRPr="00A03C25" w:rsidRDefault="004F0E31" w:rsidP="009A5EDB">
      <w:pPr>
        <w:pStyle w:val="Textonotapie"/>
        <w:ind w:left="-567" w:right="-567"/>
        <w:rPr>
          <w:rFonts w:ascii="Verdana" w:hAnsi="Verdana"/>
          <w:sz w:val="16"/>
          <w:szCs w:val="16"/>
          <w:lang w:val="pt-BR"/>
        </w:rPr>
      </w:pPr>
    </w:p>
  </w:footnote>
  <w:footnote w:id="45">
    <w:p w14:paraId="2A5D4628" w14:textId="77777777" w:rsidR="004F0E31" w:rsidRPr="00133B85" w:rsidRDefault="004F0E31" w:rsidP="009A5EDB">
      <w:pPr>
        <w:pStyle w:val="Textonotapie"/>
        <w:ind w:left="-850" w:right="-567"/>
        <w:rPr>
          <w:rFonts w:ascii="Verdana" w:hAnsi="Verdana"/>
          <w:i/>
          <w:iCs/>
          <w:sz w:val="16"/>
          <w:szCs w:val="16"/>
        </w:rPr>
      </w:pPr>
      <w:r w:rsidRPr="00133B85">
        <w:rPr>
          <w:rStyle w:val="Refdenotaalpie"/>
          <w:rFonts w:ascii="Verdana" w:hAnsi="Verdana"/>
          <w:sz w:val="16"/>
          <w:szCs w:val="16"/>
        </w:rPr>
        <w:footnoteRef/>
      </w:r>
      <w:r w:rsidRPr="00133B85">
        <w:rPr>
          <w:rFonts w:ascii="Verdana" w:hAnsi="Verdana"/>
          <w:sz w:val="16"/>
          <w:szCs w:val="16"/>
        </w:rPr>
        <w:t xml:space="preserve"> Art. 66.1 del Reglamento de la Corte: “</w:t>
      </w:r>
      <w:r w:rsidRPr="00133B85">
        <w:rPr>
          <w:rFonts w:ascii="Verdana" w:hAnsi="Verdana"/>
          <w:i/>
          <w:iCs/>
          <w:sz w:val="16"/>
          <w:szCs w:val="16"/>
        </w:rPr>
        <w:t xml:space="preserve">Cuando en la sentencia de fondo no se hubiere decidido específicamente sobre reparaciones y costas, la Corte fijará la oportunidad para su posterior decisión y determinará el procedimiento.” </w:t>
      </w:r>
    </w:p>
    <w:p w14:paraId="575933F0" w14:textId="77777777" w:rsidR="004F0E31" w:rsidRPr="00133B85" w:rsidRDefault="004F0E31" w:rsidP="009A5EDB">
      <w:pPr>
        <w:pStyle w:val="Textonotapie"/>
        <w:ind w:left="-850" w:right="-567"/>
        <w:rPr>
          <w:rFonts w:ascii="Verdana" w:hAnsi="Verdana"/>
          <w:sz w:val="16"/>
          <w:szCs w:val="16"/>
        </w:rPr>
      </w:pPr>
      <w:r w:rsidRPr="00133B85">
        <w:rPr>
          <w:rFonts w:ascii="Verdana" w:hAnsi="Verdana"/>
          <w:sz w:val="16"/>
          <w:szCs w:val="16"/>
        </w:rPr>
        <w:t>En adelante, éste se denominará el Reglamento.</w:t>
      </w:r>
    </w:p>
    <w:p w14:paraId="142A5C00" w14:textId="77777777" w:rsidR="004F0E31" w:rsidRPr="00133B85" w:rsidRDefault="004F0E31" w:rsidP="009A5EDB">
      <w:pPr>
        <w:pStyle w:val="Textonotapie"/>
        <w:ind w:left="-850" w:right="-567"/>
        <w:rPr>
          <w:rFonts w:ascii="Verdana" w:hAnsi="Verdana"/>
          <w:sz w:val="16"/>
          <w:szCs w:val="16"/>
        </w:rPr>
      </w:pPr>
    </w:p>
  </w:footnote>
  <w:footnote w:id="46">
    <w:p w14:paraId="38182F5D" w14:textId="77777777" w:rsidR="004F0E31" w:rsidRPr="00133B85" w:rsidRDefault="004F0E31" w:rsidP="009A5EDB">
      <w:pPr>
        <w:pStyle w:val="Textonotapie"/>
        <w:ind w:left="-850" w:right="-567"/>
        <w:rPr>
          <w:rFonts w:ascii="Verdana" w:hAnsi="Verdana"/>
          <w:sz w:val="16"/>
          <w:szCs w:val="16"/>
        </w:rPr>
      </w:pPr>
      <w:r w:rsidRPr="00133B85">
        <w:rPr>
          <w:rStyle w:val="Refdenotaalpie"/>
          <w:rFonts w:ascii="Verdana" w:hAnsi="Verdana"/>
          <w:sz w:val="16"/>
          <w:szCs w:val="16"/>
        </w:rPr>
        <w:footnoteRef/>
      </w:r>
      <w:r w:rsidRPr="00133B85">
        <w:rPr>
          <w:rFonts w:ascii="Verdana" w:hAnsi="Verdana"/>
          <w:sz w:val="16"/>
          <w:szCs w:val="16"/>
        </w:rPr>
        <w:t xml:space="preserve"> Art. 76 del Reglamento: “</w:t>
      </w:r>
      <w:r w:rsidRPr="00133B85">
        <w:rPr>
          <w:rFonts w:ascii="Verdana" w:hAnsi="Verdana"/>
          <w:i/>
          <w:iCs/>
          <w:sz w:val="16"/>
          <w:szCs w:val="16"/>
        </w:rPr>
        <w:t>La Corte podrá, a iniciativa propia o a solicitud de parte, presentada dentro del mes siguiente a la notificación de la sentencia o resolución de que se trate, rectificar errores notorios, de edición o de cálculo. De efectuarse alguna rectificación la Corte la notificará a la Comisión, a las víctimas o sus representantes, al Estado demandado y, en su caso, al Estado demandante.”</w:t>
      </w:r>
    </w:p>
    <w:p w14:paraId="12DDC194" w14:textId="77777777" w:rsidR="004F0E31" w:rsidRPr="00133B85" w:rsidRDefault="004F0E31" w:rsidP="009A5EDB">
      <w:pPr>
        <w:pStyle w:val="Textonotapie"/>
        <w:ind w:left="-850" w:right="-567"/>
        <w:rPr>
          <w:rFonts w:ascii="Verdana" w:hAnsi="Verdana"/>
          <w:sz w:val="16"/>
          <w:szCs w:val="16"/>
        </w:rPr>
      </w:pPr>
    </w:p>
  </w:footnote>
  <w:footnote w:id="47">
    <w:p w14:paraId="6058067B" w14:textId="77777777" w:rsidR="004F0E31" w:rsidRPr="00133B85" w:rsidRDefault="004F0E31" w:rsidP="009A5EDB">
      <w:pPr>
        <w:pStyle w:val="Textonotapie"/>
        <w:ind w:left="-850" w:right="-567"/>
        <w:rPr>
          <w:rFonts w:ascii="Verdana" w:hAnsi="Verdana"/>
          <w:i/>
          <w:iCs/>
          <w:sz w:val="16"/>
          <w:szCs w:val="16"/>
        </w:rPr>
      </w:pPr>
      <w:r w:rsidRPr="00133B85">
        <w:rPr>
          <w:rStyle w:val="Refdenotaalpie"/>
          <w:rFonts w:ascii="Verdana" w:hAnsi="Verdana"/>
          <w:sz w:val="16"/>
          <w:szCs w:val="16"/>
        </w:rPr>
        <w:footnoteRef/>
      </w:r>
      <w:r w:rsidRPr="00133B85">
        <w:rPr>
          <w:rFonts w:ascii="Verdana" w:hAnsi="Verdana"/>
          <w:sz w:val="16"/>
          <w:szCs w:val="16"/>
        </w:rPr>
        <w:t xml:space="preserve"> Art. 69 del Reglamento: </w:t>
      </w:r>
      <w:r w:rsidRPr="00133B85">
        <w:rPr>
          <w:rFonts w:ascii="Verdana" w:hAnsi="Verdana"/>
          <w:i/>
          <w:iCs/>
          <w:sz w:val="16"/>
          <w:szCs w:val="16"/>
        </w:rPr>
        <w:t xml:space="preserve">“La supervisión de las sentencias y demás decisiones de la Corte se realizará mediante la presentación de informes estatales y de las correspondientes observaciones a dichos informes por parte de las víctimas o sus representantes. La Comisión deberá presentar observaciones al informe del Estado y a las observaciones de las víctimas o sus representantes.  </w:t>
      </w:r>
    </w:p>
    <w:p w14:paraId="2BFD93F9"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2. La Corte podrá requerir a otras fuentes de información datos relevantes sobre el caso, que permitan apreciar el cumplimiento. Para los mismos efectos podrá también requerir los peritajes e informes que considere oportunos. </w:t>
      </w:r>
    </w:p>
    <w:p w14:paraId="3A227187"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3. Cuando lo considere pertinente, el Tribunal podrá convocar al Estado y a los representantes de las víctimas a una audiencia para supervisar el cumplimiento de sus decisiones, y en ésta escuchará el parecer de la Comisión. </w:t>
      </w:r>
    </w:p>
    <w:p w14:paraId="566A191D"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 xml:space="preserve">4. Una vez que el Tribunal cuente con la información pertinente, determinará el estado del cumplimiento de lo resuelto y emitirá las resoluciones que estime pertinentes.  </w:t>
      </w:r>
    </w:p>
    <w:p w14:paraId="3F525BE8" w14:textId="77777777" w:rsidR="004F0E31" w:rsidRPr="00133B85" w:rsidRDefault="004F0E31" w:rsidP="009A5EDB">
      <w:pPr>
        <w:pStyle w:val="Textonotapie"/>
        <w:ind w:left="-850" w:right="-567"/>
        <w:rPr>
          <w:rFonts w:ascii="Verdana" w:hAnsi="Verdana"/>
          <w:i/>
          <w:iCs/>
          <w:sz w:val="16"/>
          <w:szCs w:val="16"/>
        </w:rPr>
      </w:pPr>
      <w:r w:rsidRPr="00133B85">
        <w:rPr>
          <w:rFonts w:ascii="Verdana" w:hAnsi="Verdana"/>
          <w:i/>
          <w:iCs/>
          <w:sz w:val="16"/>
          <w:szCs w:val="16"/>
        </w:rPr>
        <w:t>5. Estas disposiciones se aplican también para casos no sometidos por la Comisión.”</w:t>
      </w:r>
    </w:p>
    <w:p w14:paraId="559C9C1C" w14:textId="77777777" w:rsidR="004F0E31" w:rsidRPr="00133B85" w:rsidRDefault="004F0E31" w:rsidP="009A5EDB">
      <w:pPr>
        <w:pStyle w:val="Textonotapie"/>
        <w:ind w:left="-567" w:right="-567"/>
        <w:rPr>
          <w:rFonts w:ascii="Verdana" w:hAnsi="Verdana"/>
          <w:sz w:val="16"/>
          <w:szCs w:val="16"/>
        </w:rPr>
      </w:pPr>
    </w:p>
  </w:footnote>
  <w:footnote w:id="48">
    <w:p w14:paraId="741DCD4A" w14:textId="77777777" w:rsidR="004F0E31" w:rsidRPr="00133B85" w:rsidRDefault="004F0E31" w:rsidP="009A5EDB">
      <w:pPr>
        <w:pStyle w:val="Textonotapie"/>
        <w:ind w:left="-850" w:right="-624"/>
        <w:rPr>
          <w:rFonts w:ascii="Verdana" w:hAnsi="Verdana"/>
          <w:sz w:val="16"/>
          <w:szCs w:val="16"/>
          <w:lang w:val="es-419"/>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419"/>
        </w:rPr>
        <w:t>Diccionario de la Lengua Española, Diccionario de la Real Academia Española, 2019.</w:t>
      </w:r>
    </w:p>
    <w:p w14:paraId="36597809" w14:textId="77777777" w:rsidR="004F0E31" w:rsidRPr="00133B85" w:rsidRDefault="004F0E31" w:rsidP="009A5EDB">
      <w:pPr>
        <w:pStyle w:val="Textonotapie"/>
        <w:ind w:left="-850" w:right="-624"/>
        <w:rPr>
          <w:rFonts w:ascii="Verdana" w:hAnsi="Verdana"/>
          <w:sz w:val="16"/>
          <w:szCs w:val="16"/>
          <w:lang w:val="es-419"/>
        </w:rPr>
      </w:pPr>
    </w:p>
  </w:footnote>
  <w:footnote w:id="49">
    <w:p w14:paraId="215EB754" w14:textId="77777777" w:rsidR="004F0E31" w:rsidRPr="00A03C25" w:rsidRDefault="004F0E31" w:rsidP="009A5EDB">
      <w:pPr>
        <w:spacing w:after="0" w:line="240" w:lineRule="auto"/>
        <w:ind w:left="-850" w:right="-624"/>
        <w:jc w:val="both"/>
        <w:rPr>
          <w:rFonts w:ascii="Verdana" w:eastAsiaTheme="minorEastAsia" w:hAnsi="Verdana"/>
          <w:sz w:val="16"/>
          <w:szCs w:val="16"/>
          <w:lang w:val="pt-BR"/>
        </w:rPr>
      </w:pPr>
      <w:r w:rsidRPr="00133B85">
        <w:rPr>
          <w:rStyle w:val="Refdenotaalpie"/>
          <w:rFonts w:ascii="Verdana" w:hAnsi="Verdana"/>
          <w:sz w:val="16"/>
          <w:szCs w:val="16"/>
        </w:rPr>
        <w:footnoteRef/>
      </w:r>
      <w:r w:rsidRPr="00A03C25">
        <w:rPr>
          <w:rFonts w:ascii="Verdana" w:hAnsi="Verdana"/>
          <w:i/>
          <w:iCs/>
          <w:sz w:val="16"/>
          <w:szCs w:val="16"/>
          <w:lang w:val="pt-BR"/>
        </w:rPr>
        <w:t xml:space="preserve"> </w:t>
      </w:r>
      <w:r w:rsidRPr="00A03C25">
        <w:rPr>
          <w:rFonts w:ascii="Verdana" w:eastAsiaTheme="minorEastAsia" w:hAnsi="Verdana"/>
          <w:i/>
          <w:iCs/>
          <w:sz w:val="16"/>
          <w:szCs w:val="16"/>
          <w:lang w:val="pt-BR"/>
        </w:rPr>
        <w:t>Supra</w:t>
      </w:r>
      <w:r w:rsidRPr="00A03C25">
        <w:rPr>
          <w:rFonts w:ascii="Verdana" w:eastAsiaTheme="minorEastAsia" w:hAnsi="Verdana"/>
          <w:sz w:val="16"/>
          <w:szCs w:val="16"/>
          <w:lang w:val="pt-BR"/>
        </w:rPr>
        <w:t xml:space="preserve"> Nota N° 22.</w:t>
      </w:r>
    </w:p>
    <w:p w14:paraId="49ABE4FC" w14:textId="77777777" w:rsidR="004F0E31" w:rsidRPr="00A03C25" w:rsidRDefault="004F0E31" w:rsidP="009A5EDB">
      <w:pPr>
        <w:spacing w:after="0" w:line="240" w:lineRule="auto"/>
        <w:ind w:left="-850" w:right="-624"/>
        <w:jc w:val="both"/>
        <w:rPr>
          <w:rFonts w:ascii="Verdana" w:eastAsiaTheme="minorEastAsia" w:hAnsi="Verdana"/>
          <w:sz w:val="16"/>
          <w:szCs w:val="16"/>
          <w:lang w:val="pt-BR"/>
        </w:rPr>
      </w:pPr>
    </w:p>
  </w:footnote>
  <w:footnote w:id="50">
    <w:p w14:paraId="627C7EB9" w14:textId="77777777" w:rsidR="004F0E31" w:rsidRPr="00A03C25" w:rsidRDefault="004F0E31" w:rsidP="009A5EDB">
      <w:pPr>
        <w:pStyle w:val="Textonotapie"/>
        <w:ind w:left="-850" w:right="-624"/>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Supra, Nota N° 31.</w:t>
      </w:r>
    </w:p>
    <w:p w14:paraId="5D165D9D" w14:textId="77777777" w:rsidR="004F0E31" w:rsidRPr="00A03C25" w:rsidRDefault="004F0E31" w:rsidP="009A5EDB">
      <w:pPr>
        <w:pStyle w:val="Textonotapie"/>
        <w:ind w:left="-850" w:right="-624"/>
        <w:rPr>
          <w:rFonts w:ascii="Verdana" w:hAnsi="Verdana"/>
          <w:sz w:val="16"/>
          <w:szCs w:val="16"/>
          <w:lang w:val="pt-BR"/>
        </w:rPr>
      </w:pPr>
    </w:p>
  </w:footnote>
  <w:footnote w:id="51">
    <w:p w14:paraId="3E124B25" w14:textId="77777777" w:rsidR="004F0E31" w:rsidRPr="00A03C25" w:rsidRDefault="004F0E31" w:rsidP="009A5EDB">
      <w:pPr>
        <w:pStyle w:val="Textonotapie"/>
        <w:ind w:left="-850" w:right="-624"/>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w:t>
      </w:r>
      <w:r w:rsidRPr="00A03C25">
        <w:rPr>
          <w:rFonts w:ascii="Verdana" w:hAnsi="Verdana"/>
          <w:i/>
          <w:iCs/>
          <w:sz w:val="16"/>
          <w:szCs w:val="16"/>
          <w:lang w:val="pt-BR"/>
        </w:rPr>
        <w:t>Supra,</w:t>
      </w:r>
      <w:r w:rsidRPr="00A03C25">
        <w:rPr>
          <w:rFonts w:ascii="Verdana" w:hAnsi="Verdana"/>
          <w:sz w:val="16"/>
          <w:szCs w:val="16"/>
          <w:lang w:val="pt-BR"/>
        </w:rPr>
        <w:t xml:space="preserve"> Nota N°36. </w:t>
      </w:r>
    </w:p>
  </w:footnote>
  <w:footnote w:id="52">
    <w:p w14:paraId="5ED98EA0" w14:textId="77777777" w:rsidR="004F0E31" w:rsidRPr="00A03C25" w:rsidRDefault="004F0E31" w:rsidP="00F86570">
      <w:pPr>
        <w:pStyle w:val="Textonotapie"/>
        <w:ind w:left="-850"/>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w:t>
      </w:r>
      <w:r w:rsidRPr="00A03C25">
        <w:rPr>
          <w:rFonts w:ascii="Verdana" w:hAnsi="Verdana"/>
          <w:i/>
          <w:iCs/>
          <w:sz w:val="16"/>
          <w:szCs w:val="16"/>
          <w:lang w:val="pt-BR"/>
        </w:rPr>
        <w:t xml:space="preserve">Supra </w:t>
      </w:r>
      <w:r w:rsidRPr="00A03C25">
        <w:rPr>
          <w:rFonts w:ascii="Verdana" w:hAnsi="Verdana"/>
          <w:sz w:val="16"/>
          <w:szCs w:val="16"/>
          <w:lang w:val="pt-BR"/>
        </w:rPr>
        <w:t>III.6.</w:t>
      </w:r>
    </w:p>
    <w:p w14:paraId="5B417534" w14:textId="77777777" w:rsidR="004F0E31" w:rsidRPr="00A03C25" w:rsidRDefault="004F0E31" w:rsidP="00F86570">
      <w:pPr>
        <w:pStyle w:val="Textonotapie"/>
        <w:ind w:left="-850"/>
        <w:rPr>
          <w:rFonts w:ascii="Verdana" w:hAnsi="Verdana"/>
          <w:sz w:val="16"/>
          <w:szCs w:val="16"/>
          <w:lang w:val="pt-BR"/>
        </w:rPr>
      </w:pPr>
    </w:p>
  </w:footnote>
  <w:footnote w:id="53">
    <w:p w14:paraId="793A2700" w14:textId="77777777" w:rsidR="004F0E31" w:rsidRPr="00133B85" w:rsidRDefault="004F0E31" w:rsidP="00F86570">
      <w:pPr>
        <w:pStyle w:val="Textonotapie"/>
        <w:ind w:left="-850"/>
        <w:rPr>
          <w:rFonts w:ascii="Verdana" w:hAnsi="Verdana"/>
          <w:sz w:val="16"/>
          <w:szCs w:val="16"/>
        </w:rPr>
      </w:pPr>
      <w:r w:rsidRPr="00133B85">
        <w:rPr>
          <w:rStyle w:val="Refdenotaalpie"/>
          <w:rFonts w:ascii="Verdana" w:hAnsi="Verdana"/>
          <w:sz w:val="16"/>
          <w:szCs w:val="16"/>
        </w:rPr>
        <w:footnoteRef/>
      </w:r>
      <w:r w:rsidRPr="00133B85">
        <w:rPr>
          <w:rFonts w:ascii="Verdana" w:hAnsi="Verdana"/>
          <w:sz w:val="16"/>
          <w:szCs w:val="16"/>
        </w:rPr>
        <w:t xml:space="preserve"> En adelante, SIDH.</w:t>
      </w:r>
    </w:p>
    <w:p w14:paraId="46F72668" w14:textId="77777777" w:rsidR="004F0E31" w:rsidRPr="00133B85" w:rsidRDefault="004F0E31" w:rsidP="00F86570">
      <w:pPr>
        <w:pStyle w:val="Textonotapie"/>
        <w:rPr>
          <w:rFonts w:ascii="Verdana" w:hAnsi="Verdana"/>
          <w:sz w:val="16"/>
          <w:szCs w:val="16"/>
          <w:lang w:val="es-419"/>
        </w:rPr>
      </w:pPr>
    </w:p>
  </w:footnote>
  <w:footnote w:id="54">
    <w:p w14:paraId="128943EB" w14:textId="77777777" w:rsidR="004F0E31" w:rsidRPr="00133B85" w:rsidRDefault="004F0E31" w:rsidP="00F86570">
      <w:pPr>
        <w:spacing w:after="0" w:line="240" w:lineRule="auto"/>
        <w:ind w:left="-850"/>
        <w:jc w:val="both"/>
        <w:rPr>
          <w:rFonts w:ascii="Verdana" w:hAnsi="Verdana"/>
          <w:i/>
          <w:iCs/>
          <w:sz w:val="16"/>
          <w:szCs w:val="16"/>
          <w:lang w:val="es-ES"/>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ES"/>
        </w:rPr>
        <w:t xml:space="preserve">Art. 33: </w:t>
      </w:r>
      <w:r w:rsidRPr="00133B85">
        <w:rPr>
          <w:rFonts w:ascii="Verdana" w:hAnsi="Verdana"/>
          <w:i/>
          <w:iCs/>
          <w:sz w:val="16"/>
          <w:szCs w:val="16"/>
          <w:lang w:val="es-ES"/>
        </w:rPr>
        <w:t>“Son competentes para conocer de los asuntos relacionados con el cumplimiento de los compromisos contraídos por los Estados Partes en esta Convención:</w:t>
      </w:r>
    </w:p>
    <w:p w14:paraId="36FF4392" w14:textId="77777777" w:rsidR="004F0E31" w:rsidRPr="00133B85" w:rsidRDefault="004F0E31" w:rsidP="00F86570">
      <w:pPr>
        <w:spacing w:after="0" w:line="240" w:lineRule="auto"/>
        <w:ind w:left="-850"/>
        <w:jc w:val="both"/>
        <w:rPr>
          <w:rFonts w:ascii="Verdana" w:hAnsi="Verdana"/>
          <w:i/>
          <w:iCs/>
          <w:sz w:val="16"/>
          <w:szCs w:val="16"/>
          <w:lang w:val="es-ES"/>
        </w:rPr>
      </w:pPr>
      <w:r w:rsidRPr="00133B85">
        <w:rPr>
          <w:rFonts w:ascii="Verdana" w:hAnsi="Verdana"/>
          <w:i/>
          <w:iCs/>
          <w:sz w:val="16"/>
          <w:szCs w:val="16"/>
          <w:lang w:val="es-ES"/>
        </w:rPr>
        <w:t xml:space="preserve"> a) la Comisión Interamericana de Derechos Humanos, llamada en adelante la Comisión, y</w:t>
      </w:r>
    </w:p>
    <w:p w14:paraId="79D01087" w14:textId="77777777" w:rsidR="004F0E31" w:rsidRPr="00133B85" w:rsidRDefault="004F0E31" w:rsidP="00F86570">
      <w:pPr>
        <w:spacing w:after="0" w:line="240" w:lineRule="auto"/>
        <w:ind w:left="-850"/>
        <w:jc w:val="both"/>
        <w:rPr>
          <w:rFonts w:ascii="Verdana" w:hAnsi="Verdana"/>
          <w:sz w:val="16"/>
          <w:szCs w:val="16"/>
          <w:lang w:val="es-ES"/>
        </w:rPr>
      </w:pPr>
      <w:r w:rsidRPr="00133B85">
        <w:rPr>
          <w:rFonts w:ascii="Verdana" w:hAnsi="Verdana"/>
          <w:i/>
          <w:iCs/>
          <w:sz w:val="16"/>
          <w:szCs w:val="16"/>
          <w:lang w:val="es-ES"/>
        </w:rPr>
        <w:t xml:space="preserve"> b) la Corte Interamericana de Derechos Humanos, llamada en adelante la</w:t>
      </w:r>
      <w:r w:rsidRPr="00133B85">
        <w:rPr>
          <w:rFonts w:ascii="Verdana" w:hAnsi="Verdana"/>
          <w:sz w:val="16"/>
          <w:szCs w:val="16"/>
          <w:lang w:val="es-ES"/>
        </w:rPr>
        <w:t xml:space="preserve"> Corte.”</w:t>
      </w:r>
    </w:p>
    <w:p w14:paraId="3E16F8BD" w14:textId="77777777" w:rsidR="004F0E31" w:rsidRPr="00133B85" w:rsidRDefault="004F0E31" w:rsidP="00F86570">
      <w:pPr>
        <w:pStyle w:val="Textonotapie"/>
        <w:ind w:left="-850" w:right="-567"/>
        <w:rPr>
          <w:rFonts w:ascii="Verdana" w:hAnsi="Verdana"/>
          <w:sz w:val="16"/>
          <w:szCs w:val="16"/>
          <w:lang w:val="es-419"/>
        </w:rPr>
      </w:pPr>
    </w:p>
  </w:footnote>
  <w:footnote w:id="55">
    <w:p w14:paraId="12514181" w14:textId="77777777" w:rsidR="004F0E31" w:rsidRPr="00133B85" w:rsidRDefault="004F0E31" w:rsidP="00F86570">
      <w:pPr>
        <w:spacing w:line="240" w:lineRule="auto"/>
        <w:ind w:left="-850"/>
        <w:jc w:val="both"/>
        <w:rPr>
          <w:rFonts w:ascii="Verdana" w:hAnsi="Verdana"/>
          <w:i/>
          <w:iCs/>
          <w:sz w:val="16"/>
          <w:szCs w:val="16"/>
          <w:lang w:val="es-ES"/>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ES"/>
        </w:rPr>
        <w:t>Art.44:</w:t>
      </w:r>
      <w:r w:rsidRPr="00133B85">
        <w:rPr>
          <w:rFonts w:ascii="Verdana" w:hAnsi="Verdana"/>
          <w:i/>
          <w:iCs/>
          <w:sz w:val="16"/>
          <w:szCs w:val="16"/>
          <w:lang w:val="es-ES"/>
        </w:rPr>
        <w:t xml:space="preserve"> “Cualquier persona o grupo de personas, o entidad no gubernamental legalmente reconocida en uno o más Estados miembros de la Organización, puede presentar a la Comisión peticiones que contengan denuncias o quejas de violación de esta Convención por un Estado parte.”</w:t>
      </w:r>
    </w:p>
  </w:footnote>
  <w:footnote w:id="56">
    <w:p w14:paraId="524AB958" w14:textId="77777777" w:rsidR="004F0E31" w:rsidRPr="00133B85" w:rsidRDefault="004F0E31" w:rsidP="00F86570">
      <w:pPr>
        <w:spacing w:line="240" w:lineRule="auto"/>
        <w:ind w:left="-850"/>
        <w:jc w:val="both"/>
        <w:rPr>
          <w:rFonts w:ascii="Verdana" w:hAnsi="Verdana"/>
          <w:i/>
          <w:iCs/>
          <w:sz w:val="16"/>
          <w:szCs w:val="16"/>
          <w:lang w:val="es-ES"/>
        </w:rPr>
      </w:pPr>
      <w:r w:rsidRPr="00133B85">
        <w:rPr>
          <w:rStyle w:val="Refdenotaalpie"/>
          <w:rFonts w:ascii="Verdana" w:hAnsi="Verdana"/>
          <w:sz w:val="16"/>
          <w:szCs w:val="16"/>
        </w:rPr>
        <w:footnoteRef/>
      </w:r>
      <w:r w:rsidRPr="00133B85">
        <w:rPr>
          <w:rFonts w:ascii="Verdana" w:hAnsi="Verdana"/>
          <w:sz w:val="16"/>
          <w:szCs w:val="16"/>
        </w:rPr>
        <w:t xml:space="preserve"> Ar.61.1: </w:t>
      </w:r>
      <w:r w:rsidRPr="00133B85">
        <w:rPr>
          <w:rFonts w:ascii="Verdana" w:hAnsi="Verdana"/>
          <w:i/>
          <w:iCs/>
          <w:sz w:val="16"/>
          <w:szCs w:val="16"/>
        </w:rPr>
        <w:t>“</w:t>
      </w:r>
      <w:r w:rsidRPr="00133B85">
        <w:rPr>
          <w:rFonts w:ascii="Verdana" w:hAnsi="Verdana"/>
          <w:i/>
          <w:iCs/>
          <w:sz w:val="16"/>
          <w:szCs w:val="16"/>
          <w:lang w:val="es-ES"/>
        </w:rPr>
        <w:t>Sólo los Estados Partes y la Comisión tienen derecho a someter un caso a la decisión de la Corte.”</w:t>
      </w:r>
    </w:p>
  </w:footnote>
  <w:footnote w:id="57">
    <w:p w14:paraId="17B549C0" w14:textId="77777777" w:rsidR="004F0E31" w:rsidRPr="00876AAB" w:rsidRDefault="004F0E31" w:rsidP="00F86570">
      <w:pPr>
        <w:pStyle w:val="NormalWeb"/>
        <w:spacing w:before="90" w:beforeAutospacing="0" w:after="45" w:afterAutospacing="0" w:line="270" w:lineRule="atLeast"/>
        <w:ind w:left="-850" w:right="-567"/>
        <w:rPr>
          <w:rFonts w:ascii="Verdana" w:hAnsi="Verdana" w:cs="Tahoma"/>
          <w:i/>
          <w:iCs/>
          <w:color w:val="000000"/>
          <w:sz w:val="16"/>
          <w:szCs w:val="16"/>
        </w:rPr>
      </w:pPr>
      <w:r w:rsidRPr="00876AAB">
        <w:rPr>
          <w:rStyle w:val="Refdenotaalpie"/>
          <w:rFonts w:ascii="Verdana" w:hAnsi="Verdana"/>
          <w:i/>
          <w:iCs/>
          <w:sz w:val="16"/>
          <w:szCs w:val="16"/>
        </w:rPr>
        <w:footnoteRef/>
      </w:r>
      <w:r w:rsidRPr="00876AAB">
        <w:rPr>
          <w:rFonts w:ascii="Verdana" w:hAnsi="Verdana"/>
          <w:i/>
          <w:iCs/>
          <w:sz w:val="16"/>
          <w:szCs w:val="16"/>
        </w:rPr>
        <w:t xml:space="preserve"> </w:t>
      </w:r>
      <w:r w:rsidRPr="00876AAB">
        <w:rPr>
          <w:rFonts w:ascii="Verdana" w:hAnsi="Verdana"/>
          <w:i/>
          <w:iCs/>
          <w:sz w:val="16"/>
          <w:szCs w:val="16"/>
          <w:lang w:val="es-ES"/>
        </w:rPr>
        <w:t>Art 57: “La Comisión comparecerá en todos los casos ante la Corte</w:t>
      </w:r>
    </w:p>
    <w:p w14:paraId="20DB09FE" w14:textId="77777777" w:rsidR="004F0E31" w:rsidRPr="00876AAB" w:rsidRDefault="004F0E31" w:rsidP="00F86570">
      <w:pPr>
        <w:pStyle w:val="Textonotapie"/>
        <w:ind w:left="-850" w:right="-567"/>
        <w:rPr>
          <w:rFonts w:ascii="Verdana" w:hAnsi="Verdana"/>
          <w:i/>
          <w:iCs/>
          <w:sz w:val="16"/>
          <w:szCs w:val="16"/>
          <w:lang w:val="es-419"/>
        </w:rPr>
      </w:pPr>
    </w:p>
  </w:footnote>
  <w:footnote w:id="58">
    <w:p w14:paraId="0E1B1471" w14:textId="77777777" w:rsidR="004F0E31" w:rsidRPr="00823589" w:rsidRDefault="004F0E31" w:rsidP="00F86570">
      <w:pPr>
        <w:spacing w:line="240" w:lineRule="auto"/>
        <w:ind w:left="-850"/>
        <w:jc w:val="both"/>
        <w:rPr>
          <w:rFonts w:ascii="Verdana" w:hAnsi="Verdana"/>
          <w:sz w:val="16"/>
          <w:szCs w:val="16"/>
          <w:lang w:val="es-ES"/>
        </w:rPr>
      </w:pPr>
      <w:r w:rsidRPr="00876AAB">
        <w:rPr>
          <w:rStyle w:val="Refdenotaalpie"/>
          <w:rFonts w:ascii="Verdana" w:hAnsi="Verdana"/>
          <w:i/>
          <w:iCs/>
          <w:sz w:val="16"/>
          <w:szCs w:val="16"/>
        </w:rPr>
        <w:footnoteRef/>
      </w:r>
      <w:r w:rsidRPr="00876AAB">
        <w:rPr>
          <w:rFonts w:ascii="Verdana" w:hAnsi="Verdana"/>
          <w:i/>
          <w:iCs/>
          <w:sz w:val="16"/>
          <w:szCs w:val="16"/>
        </w:rPr>
        <w:t xml:space="preserve"> Supra</w:t>
      </w:r>
      <w:r>
        <w:rPr>
          <w:rFonts w:ascii="Verdana" w:hAnsi="Verdana"/>
          <w:i/>
          <w:iCs/>
          <w:sz w:val="16"/>
          <w:szCs w:val="16"/>
        </w:rPr>
        <w:t>,</w:t>
      </w:r>
      <w:r w:rsidRPr="00876AAB">
        <w:rPr>
          <w:rFonts w:ascii="Verdana" w:hAnsi="Verdana"/>
          <w:i/>
          <w:iCs/>
          <w:sz w:val="16"/>
          <w:szCs w:val="16"/>
        </w:rPr>
        <w:t xml:space="preserve"> </w:t>
      </w:r>
      <w:r w:rsidRPr="00823589">
        <w:rPr>
          <w:rFonts w:ascii="Verdana" w:hAnsi="Verdana"/>
          <w:sz w:val="16"/>
          <w:szCs w:val="16"/>
        </w:rPr>
        <w:t xml:space="preserve">Nota N° </w:t>
      </w:r>
      <w:r>
        <w:rPr>
          <w:rFonts w:ascii="Verdana" w:hAnsi="Verdana"/>
          <w:sz w:val="16"/>
          <w:szCs w:val="16"/>
        </w:rPr>
        <w:t>31</w:t>
      </w:r>
      <w:r w:rsidRPr="00823589">
        <w:rPr>
          <w:rFonts w:ascii="Verdana" w:hAnsi="Verdana"/>
          <w:sz w:val="16"/>
          <w:szCs w:val="16"/>
        </w:rPr>
        <w:t>.</w:t>
      </w:r>
    </w:p>
  </w:footnote>
  <w:footnote w:id="59">
    <w:p w14:paraId="3FEBEB3F" w14:textId="77777777" w:rsidR="004F0E31" w:rsidRPr="00876AAB" w:rsidRDefault="004F0E31" w:rsidP="00F86570">
      <w:pPr>
        <w:spacing w:after="0"/>
        <w:ind w:left="-850"/>
        <w:jc w:val="both"/>
        <w:rPr>
          <w:rFonts w:ascii="Verdana" w:hAnsi="Verdana"/>
          <w:i/>
          <w:iCs/>
          <w:sz w:val="16"/>
          <w:szCs w:val="16"/>
          <w:lang w:val="es-ES"/>
        </w:rPr>
      </w:pPr>
      <w:r w:rsidRPr="00876AAB">
        <w:rPr>
          <w:rStyle w:val="Refdenotaalpie"/>
          <w:rFonts w:ascii="Verdana" w:hAnsi="Verdana"/>
          <w:i/>
          <w:iCs/>
          <w:sz w:val="16"/>
          <w:szCs w:val="16"/>
        </w:rPr>
        <w:footnoteRef/>
      </w:r>
      <w:r w:rsidRPr="00876AAB">
        <w:rPr>
          <w:rFonts w:ascii="Verdana" w:hAnsi="Verdana"/>
          <w:i/>
          <w:iCs/>
          <w:sz w:val="16"/>
          <w:szCs w:val="16"/>
        </w:rPr>
        <w:t xml:space="preserve"> </w:t>
      </w:r>
      <w:r w:rsidRPr="00876AAB">
        <w:rPr>
          <w:rFonts w:ascii="Verdana" w:hAnsi="Verdana"/>
          <w:i/>
          <w:iCs/>
          <w:sz w:val="16"/>
          <w:szCs w:val="16"/>
          <w:lang w:val="es-419"/>
        </w:rPr>
        <w:t>Art.68: “</w:t>
      </w:r>
      <w:r w:rsidRPr="00876AAB">
        <w:rPr>
          <w:rFonts w:ascii="Verdana" w:hAnsi="Verdana"/>
          <w:i/>
          <w:iCs/>
          <w:sz w:val="16"/>
          <w:szCs w:val="16"/>
          <w:lang w:val="es-ES"/>
        </w:rPr>
        <w:t>Los Estados Partes en la Convención se comprometen a cumplir la decisión de la Corte en todo caso en que sean partes.</w:t>
      </w:r>
    </w:p>
    <w:p w14:paraId="58ACB291" w14:textId="77777777" w:rsidR="004F0E31" w:rsidRPr="00876AAB" w:rsidRDefault="004F0E31" w:rsidP="00F86570">
      <w:pPr>
        <w:spacing w:after="0"/>
        <w:ind w:left="-850"/>
        <w:jc w:val="both"/>
        <w:rPr>
          <w:rFonts w:ascii="Verdana" w:hAnsi="Verdana"/>
          <w:i/>
          <w:iCs/>
          <w:sz w:val="16"/>
          <w:szCs w:val="16"/>
          <w:lang w:val="es-ES"/>
        </w:rPr>
      </w:pPr>
      <w:r w:rsidRPr="00876AAB">
        <w:rPr>
          <w:rFonts w:ascii="Verdana" w:hAnsi="Verdana"/>
          <w:i/>
          <w:iCs/>
          <w:sz w:val="16"/>
          <w:szCs w:val="16"/>
          <w:lang w:val="es-ES"/>
        </w:rPr>
        <w:t xml:space="preserve"> 2. La parte del fallo que disponga indemnización compensatoria se podrá ejecutar en el respectivo país por el procedimiento interno vigente para la ejecución de sentencias contra el Estado.</w:t>
      </w:r>
      <w:r>
        <w:rPr>
          <w:rFonts w:ascii="Verdana" w:hAnsi="Verdana"/>
          <w:i/>
          <w:iCs/>
          <w:sz w:val="16"/>
          <w:szCs w:val="16"/>
          <w:lang w:val="es-ES"/>
        </w:rPr>
        <w:t>”</w:t>
      </w:r>
    </w:p>
    <w:p w14:paraId="744B46FB" w14:textId="77777777" w:rsidR="004F0E31" w:rsidRPr="00876AAB" w:rsidRDefault="004F0E31" w:rsidP="00F86570">
      <w:pPr>
        <w:pStyle w:val="Textonotapie"/>
        <w:ind w:left="-850" w:right="-567"/>
        <w:rPr>
          <w:rFonts w:ascii="Verdana" w:hAnsi="Verdana"/>
          <w:i/>
          <w:iCs/>
          <w:sz w:val="16"/>
          <w:szCs w:val="16"/>
          <w:lang w:val="es-419"/>
        </w:rPr>
      </w:pPr>
    </w:p>
  </w:footnote>
  <w:footnote w:id="60">
    <w:p w14:paraId="06EEF104" w14:textId="77777777" w:rsidR="004F0E31" w:rsidRPr="00133B85" w:rsidRDefault="004F0E31" w:rsidP="00F86570">
      <w:pPr>
        <w:pStyle w:val="Textonotapie"/>
        <w:ind w:left="-850" w:right="-567"/>
        <w:rPr>
          <w:rFonts w:ascii="Verdana" w:hAnsi="Verdana"/>
          <w:sz w:val="16"/>
          <w:szCs w:val="16"/>
          <w:lang w:val="es-419"/>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419"/>
        </w:rPr>
        <w:t>Párr. 2° del Preámbulo de la Convención.</w:t>
      </w:r>
    </w:p>
  </w:footnote>
  <w:footnote w:id="61">
    <w:p w14:paraId="17A0D43D" w14:textId="77777777" w:rsidR="004F0E31" w:rsidRPr="00A03C25" w:rsidRDefault="004F0E31" w:rsidP="00320505">
      <w:pPr>
        <w:pStyle w:val="Textonotapie"/>
        <w:ind w:left="-850" w:right="-567"/>
        <w:rPr>
          <w:rFonts w:ascii="Verdana" w:hAnsi="Verdana"/>
          <w:sz w:val="16"/>
          <w:szCs w:val="16"/>
          <w:lang w:val="pt-BR"/>
        </w:rPr>
      </w:pPr>
      <w:r w:rsidRPr="00320505">
        <w:rPr>
          <w:rStyle w:val="Refdenotaalpie"/>
          <w:rFonts w:ascii="Verdana" w:hAnsi="Verdana"/>
          <w:sz w:val="16"/>
          <w:szCs w:val="16"/>
        </w:rPr>
        <w:footnoteRef/>
      </w:r>
      <w:r w:rsidRPr="00A03C25">
        <w:rPr>
          <w:rFonts w:ascii="Verdana" w:hAnsi="Verdana"/>
          <w:sz w:val="16"/>
          <w:szCs w:val="16"/>
          <w:lang w:val="pt-BR"/>
        </w:rPr>
        <w:t xml:space="preserve"> </w:t>
      </w:r>
      <w:r w:rsidRPr="00A03C25">
        <w:rPr>
          <w:rFonts w:ascii="Verdana" w:hAnsi="Verdana"/>
          <w:i/>
          <w:iCs/>
          <w:sz w:val="16"/>
          <w:szCs w:val="16"/>
          <w:lang w:val="pt-BR"/>
        </w:rPr>
        <w:t>Supra,</w:t>
      </w:r>
      <w:r w:rsidRPr="00A03C25">
        <w:rPr>
          <w:rFonts w:ascii="Verdana" w:hAnsi="Verdana"/>
          <w:sz w:val="16"/>
          <w:szCs w:val="16"/>
          <w:lang w:val="pt-BR"/>
        </w:rPr>
        <w:t xml:space="preserve"> Nota N° 17.</w:t>
      </w:r>
    </w:p>
    <w:p w14:paraId="0FFADAF7" w14:textId="77777777" w:rsidR="004F0E31" w:rsidRPr="00A03C25" w:rsidRDefault="004F0E31" w:rsidP="00320505">
      <w:pPr>
        <w:pStyle w:val="Textonotapie"/>
        <w:ind w:left="-850" w:right="-567"/>
        <w:rPr>
          <w:rFonts w:ascii="Verdana" w:hAnsi="Verdana"/>
          <w:sz w:val="16"/>
          <w:szCs w:val="16"/>
          <w:lang w:val="pt-BR"/>
        </w:rPr>
      </w:pPr>
    </w:p>
  </w:footnote>
  <w:footnote w:id="62">
    <w:p w14:paraId="25AEEF0D" w14:textId="77777777" w:rsidR="004F0E31" w:rsidRPr="00A03C25" w:rsidRDefault="004F0E31" w:rsidP="00F86570">
      <w:pPr>
        <w:pStyle w:val="Textonotapie"/>
        <w:ind w:left="-850"/>
        <w:rPr>
          <w:rFonts w:ascii="Verdana" w:hAnsi="Verdana"/>
          <w:sz w:val="16"/>
          <w:szCs w:val="16"/>
          <w:lang w:val="pt-BR"/>
        </w:rPr>
      </w:pPr>
      <w:r>
        <w:rPr>
          <w:rStyle w:val="Refdenotaalpie"/>
        </w:rPr>
        <w:footnoteRef/>
      </w:r>
      <w:r w:rsidRPr="00A03C25">
        <w:rPr>
          <w:lang w:val="pt-BR"/>
        </w:rPr>
        <w:t xml:space="preserve"> </w:t>
      </w:r>
      <w:r w:rsidRPr="00A03C25">
        <w:rPr>
          <w:rFonts w:ascii="Verdana" w:hAnsi="Verdana"/>
          <w:sz w:val="16"/>
          <w:szCs w:val="16"/>
          <w:lang w:val="pt-BR"/>
        </w:rPr>
        <w:t>Párr.8.</w:t>
      </w:r>
    </w:p>
    <w:p w14:paraId="43159DD7" w14:textId="77777777" w:rsidR="004F0E31" w:rsidRPr="00A03C25" w:rsidRDefault="004F0E31" w:rsidP="00F86570">
      <w:pPr>
        <w:pStyle w:val="Textonotapie"/>
        <w:rPr>
          <w:lang w:val="pt-BR"/>
        </w:rPr>
      </w:pPr>
    </w:p>
  </w:footnote>
  <w:footnote w:id="63">
    <w:p w14:paraId="2F550BF6" w14:textId="77777777" w:rsidR="004F0E31" w:rsidRPr="00133B85" w:rsidRDefault="004F0E31" w:rsidP="00F86570">
      <w:pPr>
        <w:pStyle w:val="Textonotapie"/>
        <w:ind w:left="-850" w:right="-567"/>
        <w:rPr>
          <w:rFonts w:ascii="Verdana" w:hAnsi="Verdana"/>
          <w:sz w:val="16"/>
          <w:szCs w:val="16"/>
          <w:lang w:val="es-419"/>
        </w:rPr>
      </w:pPr>
      <w:r w:rsidRPr="00133B85">
        <w:rPr>
          <w:rStyle w:val="Refdenotaalpie"/>
          <w:rFonts w:ascii="Verdana" w:hAnsi="Verdana"/>
          <w:sz w:val="16"/>
          <w:szCs w:val="16"/>
        </w:rPr>
        <w:footnoteRef/>
      </w:r>
      <w:r w:rsidRPr="00A03C25">
        <w:rPr>
          <w:rFonts w:ascii="Verdana" w:hAnsi="Verdana"/>
          <w:sz w:val="16"/>
          <w:szCs w:val="16"/>
          <w:lang w:val="pt-BR"/>
        </w:rPr>
        <w:t xml:space="preserve"> Párrs. </w:t>
      </w:r>
      <w:r w:rsidRPr="00133B85">
        <w:rPr>
          <w:rFonts w:ascii="Verdana" w:hAnsi="Verdana"/>
          <w:sz w:val="16"/>
          <w:szCs w:val="16"/>
          <w:lang w:val="es-419"/>
        </w:rPr>
        <w:t>N°s.7 y 8.</w:t>
      </w:r>
    </w:p>
    <w:p w14:paraId="6CB8A173" w14:textId="77777777" w:rsidR="004F0E31" w:rsidRPr="00133B85" w:rsidRDefault="004F0E31" w:rsidP="00F86570">
      <w:pPr>
        <w:pStyle w:val="Textonotapie"/>
        <w:ind w:left="-850" w:right="-567"/>
        <w:rPr>
          <w:rFonts w:ascii="Verdana" w:hAnsi="Verdana"/>
          <w:sz w:val="16"/>
          <w:szCs w:val="16"/>
          <w:lang w:val="es-419"/>
        </w:rPr>
      </w:pPr>
    </w:p>
  </w:footnote>
  <w:footnote w:id="64">
    <w:p w14:paraId="0216A4C1" w14:textId="77777777" w:rsidR="004F0E31" w:rsidRPr="00133B85" w:rsidRDefault="004F0E31" w:rsidP="00F86570">
      <w:pPr>
        <w:tabs>
          <w:tab w:val="left" w:pos="0"/>
        </w:tabs>
        <w:spacing w:after="0" w:line="240" w:lineRule="auto"/>
        <w:ind w:left="-850"/>
        <w:jc w:val="both"/>
        <w:rPr>
          <w:rFonts w:ascii="Verdana" w:hAnsi="Verdana"/>
          <w:sz w:val="16"/>
          <w:szCs w:val="16"/>
          <w:lang w:val="es-CR"/>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CR"/>
        </w:rPr>
        <w:t>27.3 del Reglamento: “</w:t>
      </w:r>
      <w:r w:rsidRPr="00133B85">
        <w:rPr>
          <w:rFonts w:ascii="Verdana" w:hAnsi="Verdana"/>
          <w:i/>
          <w:iCs/>
          <w:sz w:val="16"/>
          <w:szCs w:val="16"/>
          <w:lang w:val="es-CR"/>
        </w:rPr>
        <w:t>En los casos contenciosos que se encuentren en conocimiento de la Corte, las víctimas o las presuntas víctimas, o sus representantes, podrán presentar directamente a ésta una solicitud de medidas provisionales, las que deberán tener relación con el objeto del caso</w:t>
      </w:r>
      <w:r w:rsidRPr="00133B85">
        <w:rPr>
          <w:rFonts w:ascii="Verdana" w:hAnsi="Verdana"/>
          <w:sz w:val="16"/>
          <w:szCs w:val="16"/>
          <w:lang w:val="es-CR"/>
        </w:rPr>
        <w:t>”.</w:t>
      </w:r>
    </w:p>
    <w:p w14:paraId="39BB29D9" w14:textId="77777777" w:rsidR="004F0E31" w:rsidRPr="00133B85" w:rsidRDefault="004F0E31" w:rsidP="00F86570">
      <w:pPr>
        <w:pStyle w:val="Textonotapie"/>
        <w:rPr>
          <w:rFonts w:ascii="Verdana" w:hAnsi="Verdana"/>
          <w:sz w:val="16"/>
          <w:szCs w:val="16"/>
          <w:lang w:val="es-419"/>
        </w:rPr>
      </w:pPr>
    </w:p>
  </w:footnote>
  <w:footnote w:id="65">
    <w:p w14:paraId="5C414A57" w14:textId="77777777" w:rsidR="004F0E31" w:rsidRPr="00A03C25" w:rsidRDefault="004F0E31" w:rsidP="00F86570">
      <w:pPr>
        <w:pStyle w:val="Textonotapie"/>
        <w:ind w:left="-850" w:right="-567"/>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Párr .N° 7.</w:t>
      </w:r>
    </w:p>
    <w:p w14:paraId="4FCDDAA6" w14:textId="77777777" w:rsidR="004F0E31" w:rsidRPr="00A03C25" w:rsidRDefault="004F0E31" w:rsidP="00F86570">
      <w:pPr>
        <w:pStyle w:val="Textonotapie"/>
        <w:ind w:left="-850" w:right="-567"/>
        <w:rPr>
          <w:rFonts w:ascii="Verdana" w:hAnsi="Verdana"/>
          <w:sz w:val="16"/>
          <w:szCs w:val="16"/>
          <w:lang w:val="pt-BR"/>
        </w:rPr>
      </w:pPr>
      <w:r w:rsidRPr="00A03C25">
        <w:rPr>
          <w:rFonts w:ascii="Verdana" w:hAnsi="Verdana"/>
          <w:sz w:val="16"/>
          <w:szCs w:val="16"/>
          <w:lang w:val="pt-BR"/>
        </w:rPr>
        <w:t xml:space="preserve"> </w:t>
      </w:r>
    </w:p>
  </w:footnote>
  <w:footnote w:id="66">
    <w:p w14:paraId="2749F37D" w14:textId="77777777" w:rsidR="004F0E31" w:rsidRPr="00A03C25" w:rsidRDefault="004F0E31" w:rsidP="009A5EDB">
      <w:pPr>
        <w:pStyle w:val="Textonotapie"/>
        <w:ind w:left="-850" w:right="-567"/>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Párrs. N°s 9. </w:t>
      </w:r>
    </w:p>
    <w:p w14:paraId="5B0ECC70" w14:textId="77777777" w:rsidR="004F0E31" w:rsidRPr="00A03C25" w:rsidRDefault="004F0E31" w:rsidP="009A5EDB">
      <w:pPr>
        <w:pStyle w:val="Textonotapie"/>
        <w:ind w:left="-850" w:right="-567"/>
        <w:rPr>
          <w:rFonts w:ascii="Verdana" w:hAnsi="Verdana"/>
          <w:sz w:val="16"/>
          <w:szCs w:val="16"/>
          <w:lang w:val="pt-BR"/>
        </w:rPr>
      </w:pPr>
    </w:p>
  </w:footnote>
  <w:footnote w:id="67">
    <w:p w14:paraId="61C5D035" w14:textId="77777777" w:rsidR="004F0E31" w:rsidRPr="00133B85" w:rsidRDefault="004F0E31" w:rsidP="009A5EDB">
      <w:pPr>
        <w:pStyle w:val="Textonotapie"/>
        <w:ind w:left="-850" w:right="-567"/>
        <w:rPr>
          <w:rFonts w:ascii="Verdana" w:hAnsi="Verdana"/>
          <w:sz w:val="16"/>
          <w:szCs w:val="16"/>
          <w:lang w:val="es-419"/>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419"/>
        </w:rPr>
        <w:t xml:space="preserve">Párr. </w:t>
      </w:r>
      <w:proofErr w:type="spellStart"/>
      <w:r w:rsidRPr="00133B85">
        <w:rPr>
          <w:rFonts w:ascii="Verdana" w:hAnsi="Verdana"/>
          <w:sz w:val="16"/>
          <w:szCs w:val="16"/>
          <w:lang w:val="es-419"/>
        </w:rPr>
        <w:t>N°</w:t>
      </w:r>
      <w:proofErr w:type="spellEnd"/>
      <w:r w:rsidRPr="00133B85">
        <w:rPr>
          <w:rFonts w:ascii="Verdana" w:hAnsi="Verdana"/>
          <w:sz w:val="16"/>
          <w:szCs w:val="16"/>
          <w:lang w:val="es-419"/>
        </w:rPr>
        <w:t xml:space="preserve"> </w:t>
      </w:r>
      <w:r>
        <w:rPr>
          <w:rFonts w:ascii="Verdana" w:hAnsi="Verdana"/>
          <w:sz w:val="16"/>
          <w:szCs w:val="16"/>
          <w:lang w:val="es-419"/>
        </w:rPr>
        <w:t>32,</w:t>
      </w:r>
    </w:p>
    <w:p w14:paraId="7CD17431" w14:textId="77777777" w:rsidR="004F0E31" w:rsidRPr="00133B85" w:rsidRDefault="004F0E31" w:rsidP="009A5EDB">
      <w:pPr>
        <w:pStyle w:val="Textonotapie"/>
        <w:ind w:left="-850" w:right="-567"/>
        <w:rPr>
          <w:rFonts w:ascii="Verdana" w:hAnsi="Verdana"/>
          <w:sz w:val="16"/>
          <w:szCs w:val="16"/>
          <w:lang w:val="es-419"/>
        </w:rPr>
      </w:pPr>
    </w:p>
  </w:footnote>
  <w:footnote w:id="68">
    <w:p w14:paraId="0A636E12" w14:textId="77777777" w:rsidR="004F0E31" w:rsidRPr="00133B85" w:rsidRDefault="004F0E31" w:rsidP="009A5EDB">
      <w:pPr>
        <w:pStyle w:val="Textonotapie"/>
        <w:ind w:left="-850" w:right="-567"/>
        <w:rPr>
          <w:rFonts w:ascii="Verdana" w:hAnsi="Verdana"/>
          <w:sz w:val="16"/>
          <w:szCs w:val="16"/>
          <w:lang w:val="es-419"/>
        </w:rPr>
      </w:pPr>
      <w:r w:rsidRPr="00133B85">
        <w:rPr>
          <w:rStyle w:val="Refdenotaalpie"/>
          <w:rFonts w:ascii="Verdana" w:hAnsi="Verdana"/>
          <w:sz w:val="16"/>
          <w:szCs w:val="16"/>
        </w:rPr>
        <w:footnoteRef/>
      </w:r>
      <w:r w:rsidRPr="00133B85">
        <w:rPr>
          <w:rFonts w:ascii="Verdana" w:hAnsi="Verdana"/>
          <w:sz w:val="16"/>
          <w:szCs w:val="16"/>
        </w:rPr>
        <w:t xml:space="preserve"> </w:t>
      </w:r>
      <w:r w:rsidRPr="00133B85">
        <w:rPr>
          <w:rFonts w:ascii="Verdana" w:hAnsi="Verdana"/>
          <w:sz w:val="16"/>
          <w:szCs w:val="16"/>
          <w:lang w:val="es-419"/>
        </w:rPr>
        <w:t xml:space="preserve">Párr. </w:t>
      </w:r>
      <w:proofErr w:type="spellStart"/>
      <w:r w:rsidRPr="00133B85">
        <w:rPr>
          <w:rFonts w:ascii="Verdana" w:hAnsi="Verdana"/>
          <w:sz w:val="16"/>
          <w:szCs w:val="16"/>
          <w:lang w:val="es-419"/>
        </w:rPr>
        <w:t>N°</w:t>
      </w:r>
      <w:proofErr w:type="spellEnd"/>
      <w:r w:rsidRPr="00133B85">
        <w:rPr>
          <w:rFonts w:ascii="Verdana" w:hAnsi="Verdana"/>
          <w:sz w:val="16"/>
          <w:szCs w:val="16"/>
          <w:lang w:val="es-419"/>
        </w:rPr>
        <w:t xml:space="preserve"> 235 de la Sentencia.</w:t>
      </w:r>
    </w:p>
    <w:p w14:paraId="23825C2B" w14:textId="77777777" w:rsidR="004F0E31" w:rsidRPr="00133B85" w:rsidRDefault="004F0E31" w:rsidP="009A5EDB">
      <w:pPr>
        <w:pStyle w:val="Textonotapie"/>
        <w:ind w:left="-850" w:right="-567"/>
        <w:rPr>
          <w:rFonts w:ascii="Verdana" w:hAnsi="Verdana"/>
          <w:sz w:val="16"/>
          <w:szCs w:val="16"/>
          <w:lang w:val="es-419"/>
        </w:rPr>
      </w:pPr>
    </w:p>
  </w:footnote>
  <w:footnote w:id="69">
    <w:p w14:paraId="5B1696DD" w14:textId="77777777" w:rsidR="004F0E31" w:rsidRDefault="004F0E31" w:rsidP="009A5EDB">
      <w:pPr>
        <w:pStyle w:val="Textonotapie"/>
        <w:ind w:left="-850" w:right="-567"/>
        <w:rPr>
          <w:rFonts w:ascii="Verdana" w:hAnsi="Verdana"/>
          <w:sz w:val="16"/>
          <w:szCs w:val="16"/>
        </w:rPr>
      </w:pPr>
      <w:r w:rsidRPr="00EF75DA">
        <w:rPr>
          <w:rStyle w:val="Refdenotaalpie"/>
          <w:rFonts w:ascii="Verdana" w:hAnsi="Verdana"/>
          <w:sz w:val="16"/>
          <w:szCs w:val="16"/>
        </w:rPr>
        <w:footnoteRef/>
      </w:r>
      <w:r w:rsidRPr="00EF75DA">
        <w:rPr>
          <w:rFonts w:ascii="Verdana" w:hAnsi="Verdana"/>
          <w:sz w:val="16"/>
          <w:szCs w:val="16"/>
        </w:rPr>
        <w:t xml:space="preserve"> </w:t>
      </w:r>
      <w:r w:rsidRPr="00EF75DA">
        <w:rPr>
          <w:rFonts w:ascii="Verdana" w:hAnsi="Verdana"/>
          <w:sz w:val="16"/>
          <w:szCs w:val="16"/>
          <w:lang w:val="es-419"/>
        </w:rPr>
        <w:t>Resolutivo N°11: “</w:t>
      </w:r>
      <w:r w:rsidRPr="00EF75DA">
        <w:rPr>
          <w:rFonts w:ascii="Verdana" w:hAnsi="Verdana"/>
          <w:i/>
          <w:iCs/>
          <w:sz w:val="16"/>
          <w:szCs w:val="16"/>
        </w:rPr>
        <w:t>el Estado debe ocuparse particularmente de garantizar la vida, integridad y seguridad de las personas que rindieron declaración ante el Tribunal y sus familias, y debe proveerles la protección necesaria frente a cualesquiera personas, tomando en cuenta las circunstancias de este caso, en los términos del párrafo 280 de la presente Sentencia</w:t>
      </w:r>
      <w:r w:rsidRPr="00EF75DA">
        <w:rPr>
          <w:rFonts w:ascii="Verdana" w:hAnsi="Verdana"/>
          <w:sz w:val="16"/>
          <w:szCs w:val="16"/>
        </w:rPr>
        <w:t>.”</w:t>
      </w:r>
    </w:p>
    <w:p w14:paraId="0CA693CD" w14:textId="77777777" w:rsidR="004F0E31" w:rsidRPr="00133B85" w:rsidRDefault="004F0E31" w:rsidP="009A5EDB">
      <w:pPr>
        <w:pStyle w:val="Textonotapie"/>
        <w:ind w:left="-850" w:right="-567"/>
        <w:rPr>
          <w:rFonts w:ascii="Verdana" w:hAnsi="Verdana"/>
          <w:sz w:val="16"/>
          <w:szCs w:val="16"/>
          <w:lang w:val="es-419"/>
        </w:rPr>
      </w:pPr>
    </w:p>
  </w:footnote>
  <w:footnote w:id="70">
    <w:p w14:paraId="6D80C815" w14:textId="77777777" w:rsidR="004F0E31" w:rsidRPr="00A03C25" w:rsidRDefault="004F0E31" w:rsidP="009A5EDB">
      <w:pPr>
        <w:pStyle w:val="Textonotapie"/>
        <w:ind w:left="-850" w:right="-567"/>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w:t>
      </w:r>
      <w:r w:rsidRPr="00A03C25">
        <w:rPr>
          <w:rFonts w:ascii="Verdana" w:hAnsi="Verdana"/>
          <w:i/>
          <w:iCs/>
          <w:sz w:val="16"/>
          <w:szCs w:val="16"/>
          <w:lang w:val="pt-BR"/>
        </w:rPr>
        <w:t>Supra,</w:t>
      </w:r>
      <w:r w:rsidRPr="00A03C25">
        <w:rPr>
          <w:rFonts w:ascii="Verdana" w:hAnsi="Verdana"/>
          <w:sz w:val="16"/>
          <w:szCs w:val="16"/>
          <w:lang w:val="pt-BR"/>
        </w:rPr>
        <w:t xml:space="preserve"> Nota N° 3. </w:t>
      </w:r>
    </w:p>
    <w:p w14:paraId="0088B8B5" w14:textId="77777777" w:rsidR="004F0E31" w:rsidRPr="00A03C25" w:rsidRDefault="004F0E31" w:rsidP="009A5EDB">
      <w:pPr>
        <w:pStyle w:val="Textonotapie"/>
        <w:ind w:left="-567" w:right="-567"/>
        <w:rPr>
          <w:rFonts w:ascii="Verdana" w:hAnsi="Verdana"/>
          <w:sz w:val="16"/>
          <w:szCs w:val="16"/>
          <w:lang w:val="pt-BR"/>
        </w:rPr>
      </w:pPr>
    </w:p>
  </w:footnote>
  <w:footnote w:id="71">
    <w:p w14:paraId="18229A99" w14:textId="77777777" w:rsidR="004F0E31" w:rsidRPr="00A03C25" w:rsidRDefault="004F0E31" w:rsidP="009A5EDB">
      <w:pPr>
        <w:pStyle w:val="Textonotapie"/>
        <w:ind w:left="-850" w:right="-567"/>
        <w:rPr>
          <w:rFonts w:ascii="Verdana" w:hAnsi="Verdana"/>
          <w:sz w:val="16"/>
          <w:szCs w:val="16"/>
          <w:lang w:val="pt-BR"/>
        </w:rPr>
      </w:pPr>
      <w:r w:rsidRPr="00133B85">
        <w:rPr>
          <w:rStyle w:val="Refdenotaalpie"/>
          <w:rFonts w:ascii="Verdana" w:hAnsi="Verdana"/>
          <w:sz w:val="16"/>
          <w:szCs w:val="16"/>
        </w:rPr>
        <w:footnoteRef/>
      </w:r>
      <w:r w:rsidRPr="00A03C25">
        <w:rPr>
          <w:rFonts w:ascii="Verdana" w:hAnsi="Verdana"/>
          <w:sz w:val="16"/>
          <w:szCs w:val="16"/>
          <w:lang w:val="pt-BR"/>
        </w:rPr>
        <w:t xml:space="preserve"> Párr.N° 33.</w:t>
      </w:r>
    </w:p>
    <w:p w14:paraId="0291A4D2" w14:textId="77777777" w:rsidR="004F0E31" w:rsidRPr="00A03C25" w:rsidRDefault="004F0E31" w:rsidP="009A5EDB">
      <w:pPr>
        <w:pStyle w:val="Textonotapie"/>
        <w:ind w:left="-850" w:right="-567"/>
        <w:rPr>
          <w:rFonts w:ascii="Verdana" w:hAnsi="Verdana"/>
          <w:sz w:val="16"/>
          <w:szCs w:val="16"/>
          <w:lang w:val="pt-BR"/>
        </w:rPr>
      </w:pPr>
    </w:p>
  </w:footnote>
  <w:footnote w:id="72">
    <w:p w14:paraId="286CC4F9" w14:textId="77777777" w:rsidR="004F0E31" w:rsidRDefault="004F0E31" w:rsidP="002E4AF6">
      <w:pPr>
        <w:pStyle w:val="Textonotapie"/>
        <w:ind w:left="-850" w:right="-567"/>
        <w:rPr>
          <w:lang w:val="es-419"/>
        </w:rPr>
      </w:pPr>
      <w:r w:rsidRPr="007D5E32">
        <w:rPr>
          <w:rStyle w:val="Refdenotaalpie"/>
          <w:rFonts w:ascii="Verdana" w:hAnsi="Verdana"/>
          <w:sz w:val="16"/>
          <w:szCs w:val="16"/>
        </w:rPr>
        <w:footnoteRef/>
      </w:r>
      <w:r w:rsidRPr="007D5E32">
        <w:rPr>
          <w:rFonts w:ascii="Verdana" w:hAnsi="Verdana"/>
          <w:sz w:val="16"/>
          <w:szCs w:val="16"/>
        </w:rPr>
        <w:t xml:space="preserve"> </w:t>
      </w:r>
      <w:r>
        <w:rPr>
          <w:lang w:val="es-419"/>
        </w:rPr>
        <w:t>Párr. 2° del Preámbulo de la Convención.</w:t>
      </w:r>
    </w:p>
    <w:p w14:paraId="6FCD5AE3" w14:textId="77777777" w:rsidR="004F0E31" w:rsidRPr="0045009F" w:rsidRDefault="004F0E31" w:rsidP="002E4AF6">
      <w:pPr>
        <w:pStyle w:val="Textonotapie"/>
        <w:ind w:left="-850" w:right="-567"/>
        <w:rPr>
          <w:lang w:val="es-419"/>
        </w:rPr>
      </w:pPr>
    </w:p>
  </w:footnote>
  <w:footnote w:id="73">
    <w:p w14:paraId="3424A82B" w14:textId="77777777" w:rsidR="004F0E31" w:rsidRPr="007D5E32" w:rsidRDefault="004F0E31" w:rsidP="007D5E32">
      <w:pPr>
        <w:pStyle w:val="Textonotapie"/>
        <w:ind w:left="-850" w:right="-567"/>
        <w:rPr>
          <w:rFonts w:ascii="Verdana" w:hAnsi="Verdana"/>
          <w:sz w:val="16"/>
          <w:szCs w:val="16"/>
          <w:lang w:val="es-419"/>
        </w:rPr>
      </w:pPr>
      <w:r w:rsidRPr="007D5E32">
        <w:rPr>
          <w:rStyle w:val="Refdenotaalpie"/>
          <w:rFonts w:ascii="Verdana" w:hAnsi="Verdana"/>
          <w:sz w:val="16"/>
          <w:szCs w:val="16"/>
        </w:rPr>
        <w:footnoteRef/>
      </w:r>
      <w:r w:rsidRPr="007D5E32">
        <w:rPr>
          <w:rFonts w:ascii="Verdana" w:hAnsi="Verdana"/>
          <w:sz w:val="16"/>
          <w:szCs w:val="16"/>
        </w:rPr>
        <w:t xml:space="preserve"> </w:t>
      </w:r>
      <w:proofErr w:type="spellStart"/>
      <w:r w:rsidRPr="007D5E32">
        <w:rPr>
          <w:rFonts w:ascii="Verdana" w:hAnsi="Verdana"/>
          <w:sz w:val="16"/>
          <w:szCs w:val="16"/>
          <w:lang w:val="es-419"/>
        </w:rPr>
        <w:t>Párr.N°</w:t>
      </w:r>
      <w:proofErr w:type="spellEnd"/>
      <w:r w:rsidRPr="007D5E32">
        <w:rPr>
          <w:rFonts w:ascii="Verdana" w:hAnsi="Verdana"/>
          <w:sz w:val="16"/>
          <w:szCs w:val="16"/>
          <w:lang w:val="es-419"/>
        </w:rPr>
        <w:t xml:space="preserve"> 3</w:t>
      </w:r>
      <w:r>
        <w:rPr>
          <w:rFonts w:ascii="Verdana" w:hAnsi="Verdana"/>
          <w:sz w:val="16"/>
          <w:szCs w:val="16"/>
          <w:lang w:val="es-419"/>
        </w:rPr>
        <w:t>3</w:t>
      </w:r>
      <w:r w:rsidRPr="007D5E32">
        <w:rPr>
          <w:rFonts w:ascii="Verdana" w:hAnsi="Verdana"/>
          <w:sz w:val="16"/>
          <w:szCs w:val="16"/>
          <w:lang w:val="es-419"/>
        </w:rPr>
        <w:t>.</w:t>
      </w:r>
    </w:p>
    <w:p w14:paraId="7D5458DA" w14:textId="77777777" w:rsidR="004F0E31" w:rsidRPr="007D5E32" w:rsidRDefault="004F0E31" w:rsidP="007D5E32">
      <w:pPr>
        <w:pStyle w:val="Textonotapie"/>
        <w:ind w:left="-850" w:right="-567"/>
        <w:rPr>
          <w:rFonts w:ascii="Verdana" w:hAnsi="Verdana"/>
          <w:sz w:val="16"/>
          <w:szCs w:val="16"/>
          <w:lang w:val="es-419"/>
        </w:rPr>
      </w:pPr>
    </w:p>
  </w:footnote>
  <w:footnote w:id="74">
    <w:p w14:paraId="27E19E3B" w14:textId="77777777" w:rsidR="004F0E31" w:rsidRPr="00133B85" w:rsidRDefault="004F0E31" w:rsidP="00720FBA">
      <w:pPr>
        <w:pStyle w:val="NormalWeb"/>
        <w:spacing w:before="0" w:beforeAutospacing="0" w:after="0" w:afterAutospacing="0"/>
        <w:ind w:left="-850" w:right="-567"/>
        <w:jc w:val="both"/>
        <w:rPr>
          <w:rFonts w:ascii="Verdana" w:hAnsi="Verdana" w:cs="Tahoma"/>
          <w:i/>
          <w:iCs/>
          <w:color w:val="000000"/>
          <w:sz w:val="16"/>
          <w:szCs w:val="16"/>
        </w:rPr>
      </w:pPr>
      <w:r w:rsidRPr="00133B85">
        <w:rPr>
          <w:rStyle w:val="Refdenotaalpie"/>
          <w:rFonts w:ascii="Verdana" w:hAnsi="Verdana"/>
          <w:i/>
          <w:iCs/>
          <w:sz w:val="16"/>
          <w:szCs w:val="16"/>
        </w:rPr>
        <w:footnoteRef/>
      </w:r>
      <w:r w:rsidRPr="00133B85">
        <w:rPr>
          <w:rFonts w:ascii="Verdana" w:hAnsi="Verdana"/>
          <w:i/>
          <w:iCs/>
          <w:sz w:val="16"/>
          <w:szCs w:val="16"/>
        </w:rPr>
        <w:t xml:space="preserve"> </w:t>
      </w:r>
      <w:r w:rsidRPr="00133B85">
        <w:rPr>
          <w:rFonts w:ascii="Verdana" w:hAnsi="Verdana"/>
          <w:sz w:val="16"/>
          <w:szCs w:val="16"/>
        </w:rPr>
        <w:t>Art. 31:</w:t>
      </w:r>
      <w:r w:rsidRPr="00133B85">
        <w:rPr>
          <w:rFonts w:ascii="Verdana" w:hAnsi="Verdana"/>
          <w:i/>
          <w:iCs/>
          <w:sz w:val="16"/>
          <w:szCs w:val="16"/>
        </w:rPr>
        <w:t xml:space="preserve"> “</w:t>
      </w:r>
      <w:r w:rsidRPr="00133B85">
        <w:rPr>
          <w:rFonts w:ascii="Verdana" w:hAnsi="Verdana" w:cs="Tahoma"/>
          <w:i/>
          <w:iCs/>
          <w:color w:val="000000"/>
          <w:sz w:val="16"/>
          <w:szCs w:val="16"/>
        </w:rPr>
        <w:t>Reconocimiento de Otros Derechos. Podrán ser incluidos en el régimen de protección de esta Convención otros derechos y libertades que sean reconocidos de acuerdo con los procedimientos establecidos en los artículos 76 y 77.”</w:t>
      </w:r>
    </w:p>
    <w:p w14:paraId="157FFACE" w14:textId="77777777" w:rsidR="004F0E31" w:rsidRPr="00133B85" w:rsidRDefault="004F0E31" w:rsidP="00720FBA">
      <w:pPr>
        <w:pStyle w:val="NormalWeb"/>
        <w:spacing w:before="0" w:beforeAutospacing="0" w:after="0" w:afterAutospacing="0"/>
        <w:ind w:left="-850" w:right="-567"/>
        <w:jc w:val="both"/>
        <w:rPr>
          <w:rFonts w:ascii="Verdana" w:hAnsi="Verdana" w:cs="Tahoma"/>
          <w:i/>
          <w:iCs/>
          <w:color w:val="000000"/>
          <w:sz w:val="16"/>
          <w:szCs w:val="16"/>
        </w:rPr>
      </w:pPr>
      <w:r w:rsidRPr="00133B85">
        <w:rPr>
          <w:rFonts w:ascii="Verdana" w:hAnsi="Verdana" w:cs="Tahoma"/>
          <w:color w:val="000000"/>
          <w:sz w:val="16"/>
          <w:szCs w:val="16"/>
        </w:rPr>
        <w:t>Art. 76:</w:t>
      </w:r>
      <w:r w:rsidRPr="00133B85">
        <w:rPr>
          <w:rFonts w:ascii="Verdana" w:hAnsi="Verdana" w:cs="Tahoma"/>
          <w:i/>
          <w:iCs/>
          <w:color w:val="000000"/>
          <w:sz w:val="16"/>
          <w:szCs w:val="16"/>
        </w:rPr>
        <w:t xml:space="preserve"> “1. Cualquier Estado parte directamente y la Comisión o la Corte por conducto del Secretario General, pueden someter a la Asamblea General, para lo que estime conveniente, una propuesta de enmienda a esta Convención.</w:t>
      </w:r>
    </w:p>
    <w:p w14:paraId="69C55B3E" w14:textId="77777777" w:rsidR="004F0E31" w:rsidRPr="00133B85" w:rsidRDefault="004F0E31" w:rsidP="00720FBA">
      <w:pPr>
        <w:pStyle w:val="NormalWeb"/>
        <w:spacing w:before="0" w:beforeAutospacing="0" w:after="0" w:afterAutospacing="0"/>
        <w:ind w:left="-850" w:right="-567"/>
        <w:jc w:val="both"/>
        <w:rPr>
          <w:rFonts w:ascii="Verdana" w:hAnsi="Verdana" w:cs="Tahoma"/>
          <w:i/>
          <w:iCs/>
          <w:color w:val="000000"/>
          <w:sz w:val="16"/>
          <w:szCs w:val="16"/>
        </w:rPr>
      </w:pPr>
      <w:r w:rsidRPr="00133B85">
        <w:rPr>
          <w:rFonts w:ascii="Verdana" w:hAnsi="Verdana" w:cs="Tahoma"/>
          <w:i/>
          <w:iCs/>
          <w:color w:val="000000"/>
          <w:sz w:val="16"/>
          <w:szCs w:val="16"/>
        </w:rPr>
        <w:t xml:space="preserve"> 2. Las enmiendas entrarán en vigor para los </w:t>
      </w:r>
      <w:proofErr w:type="spellStart"/>
      <w:r w:rsidRPr="00133B85">
        <w:rPr>
          <w:rFonts w:ascii="Verdana" w:hAnsi="Verdana" w:cs="Tahoma"/>
          <w:i/>
          <w:iCs/>
          <w:color w:val="000000"/>
          <w:sz w:val="16"/>
          <w:szCs w:val="16"/>
        </w:rPr>
        <w:t>Estados</w:t>
      </w:r>
      <w:proofErr w:type="spellEnd"/>
      <w:r w:rsidRPr="00133B85">
        <w:rPr>
          <w:rFonts w:ascii="Verdana" w:hAnsi="Verdana" w:cs="Tahoma"/>
          <w:i/>
          <w:iCs/>
          <w:color w:val="000000"/>
          <w:sz w:val="16"/>
          <w:szCs w:val="16"/>
        </w:rPr>
        <w:t xml:space="preserve"> </w:t>
      </w:r>
      <w:proofErr w:type="spellStart"/>
      <w:r w:rsidRPr="00133B85">
        <w:rPr>
          <w:rFonts w:ascii="Verdana" w:hAnsi="Verdana" w:cs="Tahoma"/>
          <w:i/>
          <w:iCs/>
          <w:color w:val="000000"/>
          <w:sz w:val="16"/>
          <w:szCs w:val="16"/>
        </w:rPr>
        <w:t>ratificantes</w:t>
      </w:r>
      <w:proofErr w:type="spellEnd"/>
      <w:r w:rsidRPr="00133B85">
        <w:rPr>
          <w:rFonts w:ascii="Verdana" w:hAnsi="Verdana" w:cs="Tahoma"/>
          <w:i/>
          <w:iCs/>
          <w:color w:val="000000"/>
          <w:sz w:val="16"/>
          <w:szCs w:val="16"/>
        </w:rPr>
        <w:t xml:space="preserve"> de las </w:t>
      </w:r>
      <w:proofErr w:type="spellStart"/>
      <w:r w:rsidRPr="00133B85">
        <w:rPr>
          <w:rFonts w:ascii="Verdana" w:hAnsi="Verdana" w:cs="Tahoma"/>
          <w:i/>
          <w:iCs/>
          <w:color w:val="000000"/>
          <w:sz w:val="16"/>
          <w:szCs w:val="16"/>
        </w:rPr>
        <w:t>mismas</w:t>
      </w:r>
      <w:proofErr w:type="spellEnd"/>
      <w:r w:rsidRPr="00133B85">
        <w:rPr>
          <w:rFonts w:ascii="Verdana" w:hAnsi="Verdana" w:cs="Tahoma"/>
          <w:i/>
          <w:iCs/>
          <w:color w:val="000000"/>
          <w:sz w:val="16"/>
          <w:szCs w:val="16"/>
        </w:rPr>
        <w:t xml:space="preserve">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14:paraId="534A5262" w14:textId="77777777" w:rsidR="004F0E31" w:rsidRPr="00133B85" w:rsidRDefault="004F0E31" w:rsidP="00720FBA">
      <w:pPr>
        <w:pStyle w:val="NormalWeb"/>
        <w:spacing w:before="0" w:beforeAutospacing="0" w:after="0" w:afterAutospacing="0"/>
        <w:ind w:left="-850" w:right="-567"/>
        <w:jc w:val="both"/>
        <w:rPr>
          <w:rFonts w:ascii="Verdana" w:hAnsi="Verdana" w:cs="Tahoma"/>
          <w:i/>
          <w:iCs/>
          <w:color w:val="000000"/>
          <w:sz w:val="16"/>
          <w:szCs w:val="16"/>
        </w:rPr>
      </w:pPr>
      <w:r w:rsidRPr="00133B85">
        <w:rPr>
          <w:rFonts w:ascii="Verdana" w:hAnsi="Verdana" w:cs="Tahoma"/>
          <w:color w:val="000000"/>
          <w:sz w:val="16"/>
          <w:szCs w:val="16"/>
        </w:rPr>
        <w:t>Art. 77</w:t>
      </w:r>
      <w:r w:rsidRPr="00133B85">
        <w:rPr>
          <w:rFonts w:ascii="Verdana" w:hAnsi="Verdana" w:cs="Tahoma"/>
          <w:b/>
          <w:bCs/>
          <w:color w:val="000000"/>
          <w:sz w:val="16"/>
          <w:szCs w:val="16"/>
        </w:rPr>
        <w:t>:</w:t>
      </w:r>
      <w:r w:rsidRPr="00133B85">
        <w:rPr>
          <w:rFonts w:ascii="Verdana" w:hAnsi="Verdana" w:cs="Tahoma"/>
          <w:b/>
          <w:bCs/>
          <w:i/>
          <w:iCs/>
          <w:color w:val="000000"/>
          <w:sz w:val="16"/>
          <w:szCs w:val="16"/>
        </w:rPr>
        <w:t xml:space="preserve"> </w:t>
      </w:r>
      <w:r w:rsidRPr="00133B85">
        <w:rPr>
          <w:rFonts w:ascii="Verdana" w:hAnsi="Verdana" w:cs="Tahoma"/>
          <w:color w:val="000000"/>
          <w:sz w:val="16"/>
          <w:szCs w:val="16"/>
        </w:rPr>
        <w:t>“</w:t>
      </w:r>
      <w:r w:rsidRPr="00133B85">
        <w:rPr>
          <w:rFonts w:ascii="Verdana" w:hAnsi="Verdana" w:cs="Tahoma"/>
          <w:i/>
          <w:iCs/>
          <w:color w:val="000000"/>
          <w:sz w:val="16"/>
          <w:szCs w:val="16"/>
        </w:rPr>
        <w:t>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14:paraId="654752EA" w14:textId="77777777" w:rsidR="004F0E31" w:rsidRPr="00133B85" w:rsidRDefault="004F0E31" w:rsidP="00720FBA">
      <w:pPr>
        <w:pStyle w:val="NormalWeb"/>
        <w:spacing w:before="0" w:beforeAutospacing="0" w:after="0" w:afterAutospacing="0"/>
        <w:ind w:left="-850" w:right="-567"/>
        <w:jc w:val="both"/>
        <w:rPr>
          <w:rFonts w:ascii="Verdana" w:hAnsi="Verdana" w:cs="Tahoma"/>
          <w:i/>
          <w:iCs/>
          <w:color w:val="000000"/>
          <w:sz w:val="16"/>
          <w:szCs w:val="16"/>
        </w:rPr>
      </w:pPr>
      <w:r w:rsidRPr="00133B85">
        <w:rPr>
          <w:rFonts w:ascii="Verdana" w:hAnsi="Verdana" w:cs="Tahoma"/>
          <w:i/>
          <w:iCs/>
          <w:color w:val="000000"/>
          <w:sz w:val="16"/>
          <w:szCs w:val="16"/>
        </w:rPr>
        <w:t> 2. Cada protocolo debe fijar las modalidades de su entrada en vigor, y se aplicará sólo entre los Estados Partes en el mismo.”</w:t>
      </w:r>
    </w:p>
    <w:p w14:paraId="7C44C8A0" w14:textId="77777777" w:rsidR="004F0E31" w:rsidRPr="00133B85" w:rsidRDefault="004F0E31" w:rsidP="009A5EDB">
      <w:pPr>
        <w:pStyle w:val="NormalWeb"/>
        <w:spacing w:before="90" w:beforeAutospacing="0" w:after="45" w:afterAutospacing="0" w:line="270" w:lineRule="atLeast"/>
        <w:ind w:left="75" w:right="75"/>
        <w:rPr>
          <w:rFonts w:ascii="Verdana" w:hAnsi="Verdana" w:cs="Tahoma"/>
          <w:color w:val="000000"/>
          <w:sz w:val="16"/>
          <w:szCs w:val="16"/>
        </w:rPr>
      </w:pPr>
    </w:p>
    <w:p w14:paraId="75D1985C" w14:textId="77777777" w:rsidR="004F0E31" w:rsidRPr="00133B85" w:rsidRDefault="004F0E31" w:rsidP="009A5EDB">
      <w:pPr>
        <w:pStyle w:val="Textonotapie"/>
        <w:rPr>
          <w:rFonts w:ascii="Verdana" w:hAnsi="Verdana"/>
          <w:sz w:val="16"/>
          <w:szCs w:val="16"/>
          <w:lang w:val="es-4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6EA"/>
    <w:multiLevelType w:val="hybridMultilevel"/>
    <w:tmpl w:val="D8502A72"/>
    <w:lvl w:ilvl="0" w:tplc="0409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92557"/>
    <w:multiLevelType w:val="hybridMultilevel"/>
    <w:tmpl w:val="9E941EC6"/>
    <w:lvl w:ilvl="0" w:tplc="131A36DE">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72078B"/>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3031"/>
    <w:multiLevelType w:val="hybridMultilevel"/>
    <w:tmpl w:val="C7FA3598"/>
    <w:lvl w:ilvl="0" w:tplc="F8801340">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4" w15:restartNumberingAfterBreak="0">
    <w:nsid w:val="17961562"/>
    <w:multiLevelType w:val="hybridMultilevel"/>
    <w:tmpl w:val="CDF26488"/>
    <w:lvl w:ilvl="0" w:tplc="1578F210">
      <w:start w:val="1"/>
      <w:numFmt w:val="decimal"/>
      <w:lvlText w:val="%1."/>
      <w:lvlJc w:val="left"/>
      <w:pPr>
        <w:ind w:left="360" w:hanging="360"/>
      </w:pPr>
      <w:rPr>
        <w:rFonts w:hint="default"/>
        <w:b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B4308C7"/>
    <w:multiLevelType w:val="hybridMultilevel"/>
    <w:tmpl w:val="E348C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32028"/>
    <w:multiLevelType w:val="hybridMultilevel"/>
    <w:tmpl w:val="692E8CF2"/>
    <w:lvl w:ilvl="0" w:tplc="A1187F62">
      <w:start w:val="1"/>
      <w:numFmt w:val="lowerLetter"/>
      <w:lvlText w:val="%1)"/>
      <w:lvlJc w:val="left"/>
      <w:pPr>
        <w:ind w:left="210" w:hanging="360"/>
      </w:pPr>
      <w:rPr>
        <w:i w:val="0"/>
        <w:iCs w:val="0"/>
      </w:rPr>
    </w:lvl>
    <w:lvl w:ilvl="1" w:tplc="140A0019" w:tentative="1">
      <w:start w:val="1"/>
      <w:numFmt w:val="lowerLetter"/>
      <w:lvlText w:val="%2."/>
      <w:lvlJc w:val="left"/>
      <w:pPr>
        <w:ind w:left="930" w:hanging="360"/>
      </w:pPr>
    </w:lvl>
    <w:lvl w:ilvl="2" w:tplc="140A001B" w:tentative="1">
      <w:start w:val="1"/>
      <w:numFmt w:val="lowerRoman"/>
      <w:lvlText w:val="%3."/>
      <w:lvlJc w:val="right"/>
      <w:pPr>
        <w:ind w:left="1650" w:hanging="180"/>
      </w:pPr>
    </w:lvl>
    <w:lvl w:ilvl="3" w:tplc="140A000F" w:tentative="1">
      <w:start w:val="1"/>
      <w:numFmt w:val="decimal"/>
      <w:lvlText w:val="%4."/>
      <w:lvlJc w:val="left"/>
      <w:pPr>
        <w:ind w:left="2370" w:hanging="360"/>
      </w:pPr>
    </w:lvl>
    <w:lvl w:ilvl="4" w:tplc="140A0019" w:tentative="1">
      <w:start w:val="1"/>
      <w:numFmt w:val="lowerLetter"/>
      <w:lvlText w:val="%5."/>
      <w:lvlJc w:val="left"/>
      <w:pPr>
        <w:ind w:left="3090" w:hanging="360"/>
      </w:pPr>
    </w:lvl>
    <w:lvl w:ilvl="5" w:tplc="140A001B" w:tentative="1">
      <w:start w:val="1"/>
      <w:numFmt w:val="lowerRoman"/>
      <w:lvlText w:val="%6."/>
      <w:lvlJc w:val="right"/>
      <w:pPr>
        <w:ind w:left="3810" w:hanging="180"/>
      </w:pPr>
    </w:lvl>
    <w:lvl w:ilvl="6" w:tplc="140A000F" w:tentative="1">
      <w:start w:val="1"/>
      <w:numFmt w:val="decimal"/>
      <w:lvlText w:val="%7."/>
      <w:lvlJc w:val="left"/>
      <w:pPr>
        <w:ind w:left="4530" w:hanging="360"/>
      </w:pPr>
    </w:lvl>
    <w:lvl w:ilvl="7" w:tplc="140A0019" w:tentative="1">
      <w:start w:val="1"/>
      <w:numFmt w:val="lowerLetter"/>
      <w:lvlText w:val="%8."/>
      <w:lvlJc w:val="left"/>
      <w:pPr>
        <w:ind w:left="5250" w:hanging="360"/>
      </w:pPr>
    </w:lvl>
    <w:lvl w:ilvl="8" w:tplc="140A001B" w:tentative="1">
      <w:start w:val="1"/>
      <w:numFmt w:val="lowerRoman"/>
      <w:lvlText w:val="%9."/>
      <w:lvlJc w:val="right"/>
      <w:pPr>
        <w:ind w:left="5970" w:hanging="180"/>
      </w:pPr>
    </w:lvl>
  </w:abstractNum>
  <w:abstractNum w:abstractNumId="7" w15:restartNumberingAfterBreak="0">
    <w:nsid w:val="1F786912"/>
    <w:multiLevelType w:val="hybridMultilevel"/>
    <w:tmpl w:val="776000CE"/>
    <w:lvl w:ilvl="0" w:tplc="234EB2CC">
      <w:start w:val="1"/>
      <w:numFmt w:val="decimal"/>
      <w:lvlText w:val="%1."/>
      <w:lvlJc w:val="left"/>
      <w:pPr>
        <w:ind w:left="72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B26BAF"/>
    <w:multiLevelType w:val="hybridMultilevel"/>
    <w:tmpl w:val="CD90B210"/>
    <w:lvl w:ilvl="0" w:tplc="04090017">
      <w:start w:val="1"/>
      <w:numFmt w:val="lowerLetter"/>
      <w:lvlText w:val="%1)"/>
      <w:lvlJc w:val="left"/>
      <w:pPr>
        <w:ind w:left="360" w:hanging="360"/>
      </w:pPr>
      <w:rPr>
        <w:rFonts w:hint="default"/>
        <w:b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4DA7196"/>
    <w:multiLevelType w:val="hybridMultilevel"/>
    <w:tmpl w:val="D8502A72"/>
    <w:lvl w:ilvl="0" w:tplc="0409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55593"/>
    <w:multiLevelType w:val="hybridMultilevel"/>
    <w:tmpl w:val="8D9E7374"/>
    <w:lvl w:ilvl="0" w:tplc="3878DD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915B6"/>
    <w:multiLevelType w:val="hybridMultilevel"/>
    <w:tmpl w:val="CDF26488"/>
    <w:lvl w:ilvl="0" w:tplc="1578F210">
      <w:start w:val="1"/>
      <w:numFmt w:val="decimal"/>
      <w:lvlText w:val="%1."/>
      <w:lvlJc w:val="left"/>
      <w:pPr>
        <w:ind w:left="360" w:hanging="360"/>
      </w:pPr>
      <w:rPr>
        <w:rFonts w:hint="default"/>
        <w:b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F404BE8"/>
    <w:multiLevelType w:val="hybridMultilevel"/>
    <w:tmpl w:val="9E941EC6"/>
    <w:lvl w:ilvl="0" w:tplc="131A36DE">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123A0D"/>
    <w:multiLevelType w:val="hybridMultilevel"/>
    <w:tmpl w:val="D8502A72"/>
    <w:lvl w:ilvl="0" w:tplc="0409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500A72"/>
    <w:multiLevelType w:val="hybridMultilevel"/>
    <w:tmpl w:val="9E941EC6"/>
    <w:lvl w:ilvl="0" w:tplc="131A36DE">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552A0C"/>
    <w:multiLevelType w:val="hybridMultilevel"/>
    <w:tmpl w:val="6D8E6FA0"/>
    <w:lvl w:ilvl="0" w:tplc="688C1A3A">
      <w:start w:val="1"/>
      <w:numFmt w:val="lowerLetter"/>
      <w:lvlText w:val="%1)"/>
      <w:lvlJc w:val="left"/>
      <w:pPr>
        <w:ind w:left="720" w:hanging="360"/>
      </w:pPr>
      <w:rPr>
        <w:rFonts w:asciiTheme="minorHAnsi" w:hAnsiTheme="minorHAnsi" w:cstheme="minorBidi" w:hint="default"/>
        <w:b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A9E0C762">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88207F"/>
    <w:multiLevelType w:val="hybridMultilevel"/>
    <w:tmpl w:val="E348E25C"/>
    <w:lvl w:ilvl="0" w:tplc="8B06F2B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CB1780"/>
    <w:multiLevelType w:val="hybridMultilevel"/>
    <w:tmpl w:val="3F32F15A"/>
    <w:lvl w:ilvl="0" w:tplc="A3D0F1B8">
      <w:start w:val="1"/>
      <w:numFmt w:val="lowerLetter"/>
      <w:lvlText w:val="%1)"/>
      <w:lvlJc w:val="left"/>
      <w:pPr>
        <w:ind w:left="360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4D01D0"/>
    <w:multiLevelType w:val="hybridMultilevel"/>
    <w:tmpl w:val="42E4A714"/>
    <w:lvl w:ilvl="0" w:tplc="4A00582C">
      <w:start w:val="1"/>
      <w:numFmt w:val="upperLetter"/>
      <w:lvlText w:val="%1."/>
      <w:lvlJc w:val="left"/>
      <w:pPr>
        <w:ind w:left="720" w:hanging="360"/>
      </w:pPr>
      <w:rPr>
        <w:rFonts w:hint="default"/>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9C43208"/>
    <w:multiLevelType w:val="hybridMultilevel"/>
    <w:tmpl w:val="43FC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47325"/>
    <w:multiLevelType w:val="hybridMultilevel"/>
    <w:tmpl w:val="CF58E66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03A10ED"/>
    <w:multiLevelType w:val="hybridMultilevel"/>
    <w:tmpl w:val="2DEE7970"/>
    <w:lvl w:ilvl="0" w:tplc="4AEEDCB2">
      <w:start w:val="1"/>
      <w:numFmt w:val="decimal"/>
      <w:lvlText w:val="%1."/>
      <w:lvlJc w:val="left"/>
      <w:pPr>
        <w:ind w:left="360" w:hanging="360"/>
      </w:pPr>
      <w:rPr>
        <w:b w:val="0"/>
        <w:bCs w:val="0"/>
        <w:i w:val="0"/>
        <w:iCs w:val="0"/>
        <w:strike w:val="0"/>
        <w:sz w:val="20"/>
        <w:szCs w:val="20"/>
        <w:vertAlign w:val="baseline"/>
      </w:rPr>
    </w:lvl>
    <w:lvl w:ilvl="1" w:tplc="140A0019" w:tentative="1">
      <w:start w:val="1"/>
      <w:numFmt w:val="lowerLetter"/>
      <w:lvlText w:val="%2."/>
      <w:lvlJc w:val="left"/>
      <w:pPr>
        <w:ind w:left="873" w:hanging="360"/>
      </w:pPr>
    </w:lvl>
    <w:lvl w:ilvl="2" w:tplc="140A001B" w:tentative="1">
      <w:start w:val="1"/>
      <w:numFmt w:val="lowerRoman"/>
      <w:lvlText w:val="%3."/>
      <w:lvlJc w:val="right"/>
      <w:pPr>
        <w:ind w:left="1593" w:hanging="180"/>
      </w:pPr>
    </w:lvl>
    <w:lvl w:ilvl="3" w:tplc="140A000F" w:tentative="1">
      <w:start w:val="1"/>
      <w:numFmt w:val="decimal"/>
      <w:lvlText w:val="%4."/>
      <w:lvlJc w:val="left"/>
      <w:pPr>
        <w:ind w:left="2313" w:hanging="360"/>
      </w:pPr>
    </w:lvl>
    <w:lvl w:ilvl="4" w:tplc="140A0019" w:tentative="1">
      <w:start w:val="1"/>
      <w:numFmt w:val="lowerLetter"/>
      <w:lvlText w:val="%5."/>
      <w:lvlJc w:val="left"/>
      <w:pPr>
        <w:ind w:left="3033" w:hanging="360"/>
      </w:pPr>
    </w:lvl>
    <w:lvl w:ilvl="5" w:tplc="140A001B" w:tentative="1">
      <w:start w:val="1"/>
      <w:numFmt w:val="lowerRoman"/>
      <w:lvlText w:val="%6."/>
      <w:lvlJc w:val="right"/>
      <w:pPr>
        <w:ind w:left="3753" w:hanging="180"/>
      </w:pPr>
    </w:lvl>
    <w:lvl w:ilvl="6" w:tplc="140A000F" w:tentative="1">
      <w:start w:val="1"/>
      <w:numFmt w:val="decimal"/>
      <w:lvlText w:val="%7."/>
      <w:lvlJc w:val="left"/>
      <w:pPr>
        <w:ind w:left="4473" w:hanging="360"/>
      </w:pPr>
    </w:lvl>
    <w:lvl w:ilvl="7" w:tplc="140A0019" w:tentative="1">
      <w:start w:val="1"/>
      <w:numFmt w:val="lowerLetter"/>
      <w:lvlText w:val="%8."/>
      <w:lvlJc w:val="left"/>
      <w:pPr>
        <w:ind w:left="5193" w:hanging="360"/>
      </w:pPr>
    </w:lvl>
    <w:lvl w:ilvl="8" w:tplc="140A001B" w:tentative="1">
      <w:start w:val="1"/>
      <w:numFmt w:val="lowerRoman"/>
      <w:lvlText w:val="%9."/>
      <w:lvlJc w:val="right"/>
      <w:pPr>
        <w:ind w:left="5913" w:hanging="180"/>
      </w:pPr>
    </w:lvl>
  </w:abstractNum>
  <w:abstractNum w:abstractNumId="22" w15:restartNumberingAfterBreak="0">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47B02BA"/>
    <w:multiLevelType w:val="hybridMultilevel"/>
    <w:tmpl w:val="75362850"/>
    <w:lvl w:ilvl="0" w:tplc="140A0017">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24" w15:restartNumberingAfterBreak="0">
    <w:nsid w:val="65AB2930"/>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25" w15:restartNumberingAfterBreak="0">
    <w:nsid w:val="6DA11262"/>
    <w:multiLevelType w:val="hybridMultilevel"/>
    <w:tmpl w:val="762CD824"/>
    <w:lvl w:ilvl="0" w:tplc="4A9218AE">
      <w:start w:val="1"/>
      <w:numFmt w:val="decimal"/>
      <w:lvlText w:val="%1."/>
      <w:lvlJc w:val="left"/>
      <w:pPr>
        <w:ind w:left="540" w:hanging="360"/>
      </w:pPr>
      <w:rPr>
        <w:b w:val="0"/>
        <w:i w:val="0"/>
        <w:sz w:val="20"/>
      </w:rPr>
    </w:lvl>
    <w:lvl w:ilvl="1" w:tplc="578ABD8E">
      <w:start w:val="1"/>
      <w:numFmt w:val="lowerLetter"/>
      <w:lvlText w:val="%2."/>
      <w:lvlJc w:val="left"/>
      <w:pPr>
        <w:ind w:left="1080" w:hanging="360"/>
      </w:pPr>
      <w:rPr>
        <w:rFonts w:ascii="Verdana" w:eastAsiaTheme="minorHAnsi" w:hAnsi="Verdana" w:cs="Verdana"/>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DC31EEE"/>
    <w:multiLevelType w:val="hybridMultilevel"/>
    <w:tmpl w:val="77CAD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010E1"/>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num w:numId="1">
    <w:abstractNumId w:val="11"/>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10"/>
  </w:num>
  <w:num w:numId="7">
    <w:abstractNumId w:val="15"/>
  </w:num>
  <w:num w:numId="8">
    <w:abstractNumId w:val="17"/>
  </w:num>
  <w:num w:numId="9">
    <w:abstractNumId w:val="1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26"/>
  </w:num>
  <w:num w:numId="16">
    <w:abstractNumId w:val="19"/>
  </w:num>
  <w:num w:numId="17">
    <w:abstractNumId w:val="25"/>
  </w:num>
  <w:num w:numId="18">
    <w:abstractNumId w:val="0"/>
  </w:num>
  <w:num w:numId="19">
    <w:abstractNumId w:val="13"/>
  </w:num>
  <w:num w:numId="20">
    <w:abstractNumId w:val="9"/>
  </w:num>
  <w:num w:numId="21">
    <w:abstractNumId w:val="1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8"/>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4"/>
  </w:num>
  <w:num w:numId="29">
    <w:abstractNumId w:val="21"/>
  </w:num>
  <w:num w:numId="30">
    <w:abstractNumId w:val="6"/>
  </w:num>
  <w:num w:numId="31">
    <w:abstractNumId w:val="18"/>
  </w:num>
  <w:num w:numId="32">
    <w:abstractNumId w:val="20"/>
  </w:num>
  <w:num w:numId="33">
    <w:abstractNumId w:val="16"/>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hideSpellingErrors/>
  <w:hideGrammaticalErrors/>
  <w:activeWritingStyle w:appName="MSWord" w:lang="pt-B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s-CR" w:vendorID="64" w:dllVersion="6" w:nlCheck="1" w:checkStyle="0"/>
  <w:activeWritingStyle w:appName="MSWord" w:lang="es-DO" w:vendorID="64" w:dllVersion="6" w:nlCheck="1" w:checkStyle="0"/>
  <w:activeWritingStyle w:appName="MSWord" w:lang="es-ES_tradnl" w:vendorID="64" w:dllVersion="6" w:nlCheck="1" w:checkStyle="0"/>
  <w:activeWritingStyle w:appName="MSWord" w:lang="es-VE" w:vendorID="64" w:dllVersion="6" w:nlCheck="1" w:checkStyle="0"/>
  <w:activeWritingStyle w:appName="MSWord" w:lang="es-GT"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CR" w:vendorID="64" w:dllVersion="4096" w:nlCheck="1" w:checkStyle="0"/>
  <w:activeWritingStyle w:appName="MSWord" w:lang="pt-BR" w:vendorID="64" w:dllVersion="4096" w:nlCheck="1" w:checkStyle="0"/>
  <w:activeWritingStyle w:appName="MSWord" w:lang="es-GT" w:vendorID="64" w:dllVersion="4096" w:nlCheck="1" w:checkStyle="0"/>
  <w:activeWritingStyle w:appName="MSWord" w:lang="es-CO" w:vendorID="64" w:dllVersion="6" w:nlCheck="1" w:checkStyle="1"/>
  <w:activeWritingStyle w:appName="MSWord" w:lang="es-PR" w:vendorID="64" w:dllVersion="6" w:nlCheck="1" w:checkStyle="1"/>
  <w:activeWritingStyle w:appName="MSWord" w:lang="es-AR" w:vendorID="64" w:dllVersion="6" w:nlCheck="1" w:checkStyle="0"/>
  <w:activeWritingStyle w:appName="MSWord" w:lang="en-US" w:vendorID="64" w:dllVersion="4096" w:nlCheck="1" w:checkStyle="0"/>
  <w:activeWritingStyle w:appName="MSWord" w:lang="es-DO"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5A"/>
    <w:rsid w:val="00003DB7"/>
    <w:rsid w:val="0001557E"/>
    <w:rsid w:val="00016C5C"/>
    <w:rsid w:val="00020E10"/>
    <w:rsid w:val="00021855"/>
    <w:rsid w:val="00031122"/>
    <w:rsid w:val="00032D1E"/>
    <w:rsid w:val="0004492F"/>
    <w:rsid w:val="0004594A"/>
    <w:rsid w:val="000476D8"/>
    <w:rsid w:val="00053B92"/>
    <w:rsid w:val="00054451"/>
    <w:rsid w:val="000565A0"/>
    <w:rsid w:val="00061E44"/>
    <w:rsid w:val="00077B63"/>
    <w:rsid w:val="00093454"/>
    <w:rsid w:val="00093F0A"/>
    <w:rsid w:val="000D7FFE"/>
    <w:rsid w:val="000E5AA0"/>
    <w:rsid w:val="000F0849"/>
    <w:rsid w:val="000F2462"/>
    <w:rsid w:val="00106F3A"/>
    <w:rsid w:val="001102DC"/>
    <w:rsid w:val="00111E24"/>
    <w:rsid w:val="00113A99"/>
    <w:rsid w:val="00115947"/>
    <w:rsid w:val="00120B04"/>
    <w:rsid w:val="00151F31"/>
    <w:rsid w:val="0015787D"/>
    <w:rsid w:val="001646B6"/>
    <w:rsid w:val="00164BFB"/>
    <w:rsid w:val="00164C4C"/>
    <w:rsid w:val="00165A81"/>
    <w:rsid w:val="0017241F"/>
    <w:rsid w:val="00182F18"/>
    <w:rsid w:val="0018382B"/>
    <w:rsid w:val="001844A0"/>
    <w:rsid w:val="001A0BA6"/>
    <w:rsid w:val="001A3E0D"/>
    <w:rsid w:val="001B7E14"/>
    <w:rsid w:val="001C0971"/>
    <w:rsid w:val="001C7058"/>
    <w:rsid w:val="001D1EF4"/>
    <w:rsid w:val="001D2090"/>
    <w:rsid w:val="001D7BCC"/>
    <w:rsid w:val="001D7CE0"/>
    <w:rsid w:val="001E1832"/>
    <w:rsid w:val="001F436B"/>
    <w:rsid w:val="00201222"/>
    <w:rsid w:val="002028E0"/>
    <w:rsid w:val="00220609"/>
    <w:rsid w:val="00223B79"/>
    <w:rsid w:val="00257704"/>
    <w:rsid w:val="00262191"/>
    <w:rsid w:val="00271662"/>
    <w:rsid w:val="002743F4"/>
    <w:rsid w:val="002746E5"/>
    <w:rsid w:val="00275EBB"/>
    <w:rsid w:val="002776BE"/>
    <w:rsid w:val="002804E1"/>
    <w:rsid w:val="0028078E"/>
    <w:rsid w:val="00292F0B"/>
    <w:rsid w:val="002A4938"/>
    <w:rsid w:val="002A6DD6"/>
    <w:rsid w:val="002C2AD0"/>
    <w:rsid w:val="002C73FD"/>
    <w:rsid w:val="002D18B3"/>
    <w:rsid w:val="002D1928"/>
    <w:rsid w:val="002D3721"/>
    <w:rsid w:val="002D7D61"/>
    <w:rsid w:val="002E2E37"/>
    <w:rsid w:val="002E5038"/>
    <w:rsid w:val="002F1A48"/>
    <w:rsid w:val="002F5BA1"/>
    <w:rsid w:val="002F7DE6"/>
    <w:rsid w:val="00301078"/>
    <w:rsid w:val="003050F6"/>
    <w:rsid w:val="00305B52"/>
    <w:rsid w:val="00307843"/>
    <w:rsid w:val="00310E5B"/>
    <w:rsid w:val="00320EBF"/>
    <w:rsid w:val="0034589F"/>
    <w:rsid w:val="00346945"/>
    <w:rsid w:val="00350A52"/>
    <w:rsid w:val="00355DA0"/>
    <w:rsid w:val="00373FE2"/>
    <w:rsid w:val="003829AF"/>
    <w:rsid w:val="0038765A"/>
    <w:rsid w:val="00394D34"/>
    <w:rsid w:val="003A22E5"/>
    <w:rsid w:val="003A3D10"/>
    <w:rsid w:val="003B5A33"/>
    <w:rsid w:val="003B7059"/>
    <w:rsid w:val="003B7D36"/>
    <w:rsid w:val="003C1096"/>
    <w:rsid w:val="003C6777"/>
    <w:rsid w:val="003C7661"/>
    <w:rsid w:val="003E69F4"/>
    <w:rsid w:val="003E7AA3"/>
    <w:rsid w:val="003F1197"/>
    <w:rsid w:val="003F3E4B"/>
    <w:rsid w:val="003F4EAB"/>
    <w:rsid w:val="00400627"/>
    <w:rsid w:val="0040222B"/>
    <w:rsid w:val="0040398E"/>
    <w:rsid w:val="0040573C"/>
    <w:rsid w:val="00406546"/>
    <w:rsid w:val="00427B98"/>
    <w:rsid w:val="00440521"/>
    <w:rsid w:val="0044077C"/>
    <w:rsid w:val="004433E8"/>
    <w:rsid w:val="004519F6"/>
    <w:rsid w:val="00455BD5"/>
    <w:rsid w:val="0046597D"/>
    <w:rsid w:val="0046654D"/>
    <w:rsid w:val="00470443"/>
    <w:rsid w:val="004839CA"/>
    <w:rsid w:val="0048575A"/>
    <w:rsid w:val="004934B8"/>
    <w:rsid w:val="004A2797"/>
    <w:rsid w:val="004B1026"/>
    <w:rsid w:val="004D45B1"/>
    <w:rsid w:val="004E3ED1"/>
    <w:rsid w:val="004E5F5C"/>
    <w:rsid w:val="004E7A36"/>
    <w:rsid w:val="004F0E31"/>
    <w:rsid w:val="004F1CFA"/>
    <w:rsid w:val="005034D1"/>
    <w:rsid w:val="00520C4E"/>
    <w:rsid w:val="005235D2"/>
    <w:rsid w:val="00527983"/>
    <w:rsid w:val="00527D26"/>
    <w:rsid w:val="00532597"/>
    <w:rsid w:val="00537F6A"/>
    <w:rsid w:val="0054451B"/>
    <w:rsid w:val="005609AD"/>
    <w:rsid w:val="00564899"/>
    <w:rsid w:val="00567E8E"/>
    <w:rsid w:val="00571CC8"/>
    <w:rsid w:val="0057382A"/>
    <w:rsid w:val="00574C6F"/>
    <w:rsid w:val="005766A2"/>
    <w:rsid w:val="00581413"/>
    <w:rsid w:val="00582CBC"/>
    <w:rsid w:val="00583450"/>
    <w:rsid w:val="005916E1"/>
    <w:rsid w:val="0059357B"/>
    <w:rsid w:val="00595891"/>
    <w:rsid w:val="005969CF"/>
    <w:rsid w:val="005A0D10"/>
    <w:rsid w:val="005A2CBA"/>
    <w:rsid w:val="005A3B48"/>
    <w:rsid w:val="005A7AC2"/>
    <w:rsid w:val="005B3AEE"/>
    <w:rsid w:val="005C7028"/>
    <w:rsid w:val="005E17B7"/>
    <w:rsid w:val="005F5F00"/>
    <w:rsid w:val="006048A5"/>
    <w:rsid w:val="00604D5F"/>
    <w:rsid w:val="00610EAC"/>
    <w:rsid w:val="006122BF"/>
    <w:rsid w:val="0061489D"/>
    <w:rsid w:val="0061506D"/>
    <w:rsid w:val="006160AD"/>
    <w:rsid w:val="006227FF"/>
    <w:rsid w:val="00627B0E"/>
    <w:rsid w:val="00632830"/>
    <w:rsid w:val="006369EA"/>
    <w:rsid w:val="006462E1"/>
    <w:rsid w:val="0065636A"/>
    <w:rsid w:val="00663D79"/>
    <w:rsid w:val="006648A9"/>
    <w:rsid w:val="00664AA3"/>
    <w:rsid w:val="00675305"/>
    <w:rsid w:val="0067734B"/>
    <w:rsid w:val="006964CB"/>
    <w:rsid w:val="006A7233"/>
    <w:rsid w:val="006B207F"/>
    <w:rsid w:val="006B233C"/>
    <w:rsid w:val="006B36B7"/>
    <w:rsid w:val="006B4651"/>
    <w:rsid w:val="006B6CD6"/>
    <w:rsid w:val="006D3F51"/>
    <w:rsid w:val="006D4B43"/>
    <w:rsid w:val="006D6F12"/>
    <w:rsid w:val="006E3FDC"/>
    <w:rsid w:val="007040EA"/>
    <w:rsid w:val="00705018"/>
    <w:rsid w:val="00716649"/>
    <w:rsid w:val="00720642"/>
    <w:rsid w:val="00723E11"/>
    <w:rsid w:val="00734F01"/>
    <w:rsid w:val="00737367"/>
    <w:rsid w:val="00743C47"/>
    <w:rsid w:val="007453DF"/>
    <w:rsid w:val="00752031"/>
    <w:rsid w:val="00754EF5"/>
    <w:rsid w:val="007561BA"/>
    <w:rsid w:val="00757F15"/>
    <w:rsid w:val="00761EBD"/>
    <w:rsid w:val="00762DA8"/>
    <w:rsid w:val="00773D2D"/>
    <w:rsid w:val="00775CC0"/>
    <w:rsid w:val="00784732"/>
    <w:rsid w:val="00786383"/>
    <w:rsid w:val="007865FC"/>
    <w:rsid w:val="00786A9A"/>
    <w:rsid w:val="007957AC"/>
    <w:rsid w:val="007A0AC1"/>
    <w:rsid w:val="007A1DF4"/>
    <w:rsid w:val="007A4434"/>
    <w:rsid w:val="007A51C0"/>
    <w:rsid w:val="007B34D4"/>
    <w:rsid w:val="007B72AF"/>
    <w:rsid w:val="007C6095"/>
    <w:rsid w:val="007C7E52"/>
    <w:rsid w:val="007D09D4"/>
    <w:rsid w:val="007D46A1"/>
    <w:rsid w:val="007D5F81"/>
    <w:rsid w:val="007E1451"/>
    <w:rsid w:val="007E236D"/>
    <w:rsid w:val="007E253C"/>
    <w:rsid w:val="007E35C3"/>
    <w:rsid w:val="007E5905"/>
    <w:rsid w:val="007E5C3D"/>
    <w:rsid w:val="007F5DC1"/>
    <w:rsid w:val="00811FF5"/>
    <w:rsid w:val="00812F57"/>
    <w:rsid w:val="0081796E"/>
    <w:rsid w:val="00836002"/>
    <w:rsid w:val="00840C3A"/>
    <w:rsid w:val="00844C38"/>
    <w:rsid w:val="00860616"/>
    <w:rsid w:val="00874F04"/>
    <w:rsid w:val="008751A8"/>
    <w:rsid w:val="00875FF1"/>
    <w:rsid w:val="00883B8A"/>
    <w:rsid w:val="00887993"/>
    <w:rsid w:val="00896EA8"/>
    <w:rsid w:val="00897173"/>
    <w:rsid w:val="008A1F23"/>
    <w:rsid w:val="008D03E8"/>
    <w:rsid w:val="008D0E49"/>
    <w:rsid w:val="008D0EE8"/>
    <w:rsid w:val="008D224E"/>
    <w:rsid w:val="008D4FA3"/>
    <w:rsid w:val="008E20D2"/>
    <w:rsid w:val="008F62D9"/>
    <w:rsid w:val="008F774D"/>
    <w:rsid w:val="009125B4"/>
    <w:rsid w:val="00924125"/>
    <w:rsid w:val="00925655"/>
    <w:rsid w:val="00935F4C"/>
    <w:rsid w:val="00937A28"/>
    <w:rsid w:val="0095368C"/>
    <w:rsid w:val="00955926"/>
    <w:rsid w:val="00961A94"/>
    <w:rsid w:val="0096783A"/>
    <w:rsid w:val="0098490E"/>
    <w:rsid w:val="009872CF"/>
    <w:rsid w:val="00991125"/>
    <w:rsid w:val="009941FA"/>
    <w:rsid w:val="009A0113"/>
    <w:rsid w:val="009B0D76"/>
    <w:rsid w:val="009B7517"/>
    <w:rsid w:val="009B7808"/>
    <w:rsid w:val="009D636A"/>
    <w:rsid w:val="009D6BBC"/>
    <w:rsid w:val="009E1F80"/>
    <w:rsid w:val="009E4063"/>
    <w:rsid w:val="009F721D"/>
    <w:rsid w:val="00A04F15"/>
    <w:rsid w:val="00A12991"/>
    <w:rsid w:val="00A209BA"/>
    <w:rsid w:val="00A220A1"/>
    <w:rsid w:val="00A25123"/>
    <w:rsid w:val="00A3586A"/>
    <w:rsid w:val="00A4173B"/>
    <w:rsid w:val="00A41921"/>
    <w:rsid w:val="00A4345A"/>
    <w:rsid w:val="00A45A35"/>
    <w:rsid w:val="00A50C4F"/>
    <w:rsid w:val="00A56148"/>
    <w:rsid w:val="00A60B40"/>
    <w:rsid w:val="00A6190E"/>
    <w:rsid w:val="00A72B28"/>
    <w:rsid w:val="00A7575D"/>
    <w:rsid w:val="00A84CC4"/>
    <w:rsid w:val="00A87383"/>
    <w:rsid w:val="00AB622A"/>
    <w:rsid w:val="00AC4D16"/>
    <w:rsid w:val="00AE1CDE"/>
    <w:rsid w:val="00AF3746"/>
    <w:rsid w:val="00AF4D0B"/>
    <w:rsid w:val="00AF53D7"/>
    <w:rsid w:val="00B0044E"/>
    <w:rsid w:val="00B02AD5"/>
    <w:rsid w:val="00B12650"/>
    <w:rsid w:val="00B126A7"/>
    <w:rsid w:val="00B149C4"/>
    <w:rsid w:val="00B20743"/>
    <w:rsid w:val="00B27B62"/>
    <w:rsid w:val="00B332B2"/>
    <w:rsid w:val="00B367E3"/>
    <w:rsid w:val="00B40384"/>
    <w:rsid w:val="00B407A4"/>
    <w:rsid w:val="00B45CC2"/>
    <w:rsid w:val="00B50A83"/>
    <w:rsid w:val="00B50F3E"/>
    <w:rsid w:val="00B53C93"/>
    <w:rsid w:val="00B53D75"/>
    <w:rsid w:val="00B640B8"/>
    <w:rsid w:val="00B710F7"/>
    <w:rsid w:val="00B77346"/>
    <w:rsid w:val="00BA2057"/>
    <w:rsid w:val="00BA24FA"/>
    <w:rsid w:val="00BB3671"/>
    <w:rsid w:val="00BB647B"/>
    <w:rsid w:val="00BD252D"/>
    <w:rsid w:val="00BE6179"/>
    <w:rsid w:val="00BE7167"/>
    <w:rsid w:val="00BF26D9"/>
    <w:rsid w:val="00BF3797"/>
    <w:rsid w:val="00BF3D28"/>
    <w:rsid w:val="00BF67C5"/>
    <w:rsid w:val="00BF7918"/>
    <w:rsid w:val="00C03F32"/>
    <w:rsid w:val="00C11236"/>
    <w:rsid w:val="00C169C1"/>
    <w:rsid w:val="00C20199"/>
    <w:rsid w:val="00C204E7"/>
    <w:rsid w:val="00C21EE1"/>
    <w:rsid w:val="00C22FEC"/>
    <w:rsid w:val="00C24F14"/>
    <w:rsid w:val="00C342FC"/>
    <w:rsid w:val="00C34308"/>
    <w:rsid w:val="00C36549"/>
    <w:rsid w:val="00C459A7"/>
    <w:rsid w:val="00C50A23"/>
    <w:rsid w:val="00C519AD"/>
    <w:rsid w:val="00C659C1"/>
    <w:rsid w:val="00C719B6"/>
    <w:rsid w:val="00C71D53"/>
    <w:rsid w:val="00C82747"/>
    <w:rsid w:val="00C82BBE"/>
    <w:rsid w:val="00CA01A8"/>
    <w:rsid w:val="00CA3DF3"/>
    <w:rsid w:val="00CA5034"/>
    <w:rsid w:val="00CB5681"/>
    <w:rsid w:val="00CC570B"/>
    <w:rsid w:val="00CD02C9"/>
    <w:rsid w:val="00CD1CF9"/>
    <w:rsid w:val="00CD23EA"/>
    <w:rsid w:val="00CE6186"/>
    <w:rsid w:val="00CF0EB8"/>
    <w:rsid w:val="00CF3D02"/>
    <w:rsid w:val="00CF4CBF"/>
    <w:rsid w:val="00D053AF"/>
    <w:rsid w:val="00D071FD"/>
    <w:rsid w:val="00D072E3"/>
    <w:rsid w:val="00D157E8"/>
    <w:rsid w:val="00D20B22"/>
    <w:rsid w:val="00D22918"/>
    <w:rsid w:val="00D255C9"/>
    <w:rsid w:val="00D25BFD"/>
    <w:rsid w:val="00D25E16"/>
    <w:rsid w:val="00D47026"/>
    <w:rsid w:val="00D5623F"/>
    <w:rsid w:val="00D61C1D"/>
    <w:rsid w:val="00D7077B"/>
    <w:rsid w:val="00DA5CB0"/>
    <w:rsid w:val="00DA7026"/>
    <w:rsid w:val="00DB28A2"/>
    <w:rsid w:val="00DB41DD"/>
    <w:rsid w:val="00DC1E80"/>
    <w:rsid w:val="00DD29C1"/>
    <w:rsid w:val="00DE555E"/>
    <w:rsid w:val="00DF0642"/>
    <w:rsid w:val="00DF7AE8"/>
    <w:rsid w:val="00E05B5F"/>
    <w:rsid w:val="00E25F30"/>
    <w:rsid w:val="00E269A5"/>
    <w:rsid w:val="00E3107F"/>
    <w:rsid w:val="00E51DD1"/>
    <w:rsid w:val="00E604E5"/>
    <w:rsid w:val="00E67241"/>
    <w:rsid w:val="00E6749C"/>
    <w:rsid w:val="00E72692"/>
    <w:rsid w:val="00E7538D"/>
    <w:rsid w:val="00E770A2"/>
    <w:rsid w:val="00E82633"/>
    <w:rsid w:val="00E84652"/>
    <w:rsid w:val="00E902D8"/>
    <w:rsid w:val="00E9089D"/>
    <w:rsid w:val="00E94F44"/>
    <w:rsid w:val="00EA322E"/>
    <w:rsid w:val="00EA349E"/>
    <w:rsid w:val="00EA682A"/>
    <w:rsid w:val="00EB0075"/>
    <w:rsid w:val="00EB0BDA"/>
    <w:rsid w:val="00EC2321"/>
    <w:rsid w:val="00EC4D08"/>
    <w:rsid w:val="00ED44E9"/>
    <w:rsid w:val="00ED44F5"/>
    <w:rsid w:val="00ED53E0"/>
    <w:rsid w:val="00EE4370"/>
    <w:rsid w:val="00EE5780"/>
    <w:rsid w:val="00EF4D8B"/>
    <w:rsid w:val="00F056BA"/>
    <w:rsid w:val="00F212E9"/>
    <w:rsid w:val="00F25080"/>
    <w:rsid w:val="00F3786F"/>
    <w:rsid w:val="00F42E0C"/>
    <w:rsid w:val="00F57D70"/>
    <w:rsid w:val="00F63AFF"/>
    <w:rsid w:val="00F70F05"/>
    <w:rsid w:val="00F70F20"/>
    <w:rsid w:val="00F7289F"/>
    <w:rsid w:val="00F7571F"/>
    <w:rsid w:val="00F854F9"/>
    <w:rsid w:val="00F8565C"/>
    <w:rsid w:val="00FA04B0"/>
    <w:rsid w:val="00FA2E35"/>
    <w:rsid w:val="00FB02CE"/>
    <w:rsid w:val="00FB7850"/>
    <w:rsid w:val="00FC123E"/>
    <w:rsid w:val="00FE0E18"/>
    <w:rsid w:val="00FF38B6"/>
    <w:rsid w:val="00FF4631"/>
    <w:rsid w:val="00FF4703"/>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09D8"/>
  <w15:docId w15:val="{1B1436B8-9B2D-4F99-955D-5A6B2C33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ootnote text,Ca,C"/>
    <w:basedOn w:val="Normal"/>
    <w:link w:val="TextonotapieCar1"/>
    <w:uiPriority w:val="99"/>
    <w:qFormat/>
    <w:rsid w:val="0038765A"/>
    <w:pPr>
      <w:spacing w:after="0" w:line="240" w:lineRule="auto"/>
    </w:pPr>
    <w:rPr>
      <w:rFonts w:ascii="Times New Roman" w:eastAsia="MS Mincho" w:hAnsi="Times New Roman"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uiPriority w:val="99"/>
    <w:qFormat/>
    <w:rsid w:val="0038765A"/>
    <w:rPr>
      <w:rFonts w:ascii="Times New Roman" w:eastAsia="MS Mincho" w:hAnsi="Times New Roman" w:cs="Times New Roman"/>
      <w:sz w:val="20"/>
      <w:szCs w:val="20"/>
    </w:rPr>
  </w:style>
  <w:style w:type="character" w:styleId="Refdenotaalpie">
    <w:name w:val="footnote reference"/>
    <w:aliases w:val="Footnotes refss,Texto de nota al pie,Appel note de bas de page,Footnote number,referencia nota al pie,BVI fnr,f,Footnote symbol,Footnote,Ref. de nota al pie.,4_G,16 Point,Superscript 6 Point,Texto nota al pie,Ref,de nota al pie,norma"/>
    <w:link w:val="4GChar"/>
    <w:uiPriority w:val="99"/>
    <w:qFormat/>
    <w:rsid w:val="0038765A"/>
    <w:rPr>
      <w:rFonts w:cs="Times New Roman"/>
      <w:vertAlign w:val="superscript"/>
    </w:rPr>
  </w:style>
  <w:style w:type="paragraph" w:styleId="Prrafodelista">
    <w:name w:val="List Paragraph"/>
    <w:aliases w:val="Colorful List - Accent 11,List Paragraph2,List Paragraph1,Lista vistosa - Énfasis 11,Cuadrícula clara - Énfasis 31"/>
    <w:basedOn w:val="Normal"/>
    <w:link w:val="PrrafodelistaCar"/>
    <w:uiPriority w:val="34"/>
    <w:qFormat/>
    <w:rsid w:val="0038765A"/>
    <w:pPr>
      <w:spacing w:after="0" w:line="240" w:lineRule="auto"/>
      <w:ind w:left="720"/>
      <w:contextualSpacing/>
    </w:pPr>
    <w:rPr>
      <w:rFonts w:ascii="Garamond" w:eastAsia="Times" w:hAnsi="Garamond" w:cs="Times New Roman"/>
      <w:sz w:val="24"/>
      <w:szCs w:val="20"/>
      <w:lang w:val="es-ES_tradnl"/>
    </w:rPr>
  </w:style>
  <w:style w:type="character" w:customStyle="1" w:styleId="PrrafodelistaCar">
    <w:name w:val="Párrafo de lista Car"/>
    <w:aliases w:val="Colorful List - Accent 11 Car,List Paragraph2 Car,List Paragraph1 Car,Lista vistosa - Énfasis 11 Car,Cuadrícula clara - Énfasis 31 Car"/>
    <w:link w:val="Prrafodelista"/>
    <w:uiPriority w:val="34"/>
    <w:locked/>
    <w:rsid w:val="0038765A"/>
    <w:rPr>
      <w:rFonts w:ascii="Garamond" w:eastAsia="Times" w:hAnsi="Garamond" w:cs="Times New Roman"/>
      <w:sz w:val="24"/>
      <w:szCs w:val="20"/>
      <w:lang w:val="es-ES_tradnl"/>
    </w:rPr>
  </w:style>
  <w:style w:type="paragraph" w:customStyle="1" w:styleId="Prrafodelista1">
    <w:name w:val="Párrafo de lista1"/>
    <w:basedOn w:val="Normal"/>
    <w:uiPriority w:val="99"/>
    <w:qFormat/>
    <w:rsid w:val="0038765A"/>
    <w:pPr>
      <w:spacing w:after="0" w:line="240" w:lineRule="auto"/>
      <w:contextualSpacing/>
    </w:pPr>
    <w:rPr>
      <w:rFonts w:ascii="Verdana" w:hAnsi="Verdana" w:cs="Times New Roman"/>
      <w:sz w:val="16"/>
      <w:lang w:val="es-ES"/>
    </w:rPr>
  </w:style>
  <w:style w:type="paragraph" w:customStyle="1" w:styleId="Default">
    <w:name w:val="Default"/>
    <w:uiPriority w:val="99"/>
    <w:rsid w:val="0038765A"/>
    <w:pPr>
      <w:autoSpaceDE w:val="0"/>
      <w:autoSpaceDN w:val="0"/>
      <w:adjustRightInd w:val="0"/>
      <w:spacing w:after="0" w:line="240" w:lineRule="auto"/>
    </w:pPr>
    <w:rPr>
      <w:rFonts w:ascii="Verdana" w:hAnsi="Verdana" w:cs="Verdana"/>
      <w:color w:val="000000"/>
      <w:sz w:val="24"/>
      <w:szCs w:val="24"/>
      <w:lang w:val="es-MX"/>
    </w:rPr>
  </w:style>
  <w:style w:type="paragraph" w:styleId="NormalWeb">
    <w:name w:val="Normal (Web)"/>
    <w:basedOn w:val="Normal"/>
    <w:uiPriority w:val="99"/>
    <w:unhideWhenUsed/>
    <w:rsid w:val="00275EBB"/>
    <w:pPr>
      <w:spacing w:before="100" w:beforeAutospacing="1" w:after="100" w:afterAutospacing="1" w:line="240" w:lineRule="auto"/>
    </w:pPr>
    <w:rPr>
      <w:rFonts w:ascii="Times New Roman" w:hAnsi="Times New Roman" w:cs="Times New Roman"/>
      <w:sz w:val="24"/>
      <w:szCs w:val="24"/>
    </w:rPr>
  </w:style>
  <w:style w:type="character" w:styleId="nfasis">
    <w:name w:val="Emphasis"/>
    <w:basedOn w:val="Fuentedeprrafopredeter"/>
    <w:uiPriority w:val="20"/>
    <w:qFormat/>
    <w:rsid w:val="00271662"/>
    <w:rPr>
      <w:i/>
      <w:iCs/>
    </w:rPr>
  </w:style>
  <w:style w:type="character" w:styleId="Textodelmarcadordeposicin">
    <w:name w:val="Placeholder Text"/>
    <w:basedOn w:val="Fuentedeprrafopredeter"/>
    <w:uiPriority w:val="99"/>
    <w:semiHidden/>
    <w:rsid w:val="006E3FDC"/>
    <w:rPr>
      <w:color w:val="808080"/>
    </w:rPr>
  </w:style>
  <w:style w:type="paragraph" w:styleId="Textodeglobo">
    <w:name w:val="Balloon Text"/>
    <w:basedOn w:val="Normal"/>
    <w:link w:val="TextodegloboCar"/>
    <w:uiPriority w:val="99"/>
    <w:semiHidden/>
    <w:unhideWhenUsed/>
    <w:rsid w:val="006E3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FDC"/>
    <w:rPr>
      <w:rFonts w:ascii="Tahoma" w:hAnsi="Tahoma" w:cs="Tahoma"/>
      <w:sz w:val="16"/>
      <w:szCs w:val="16"/>
    </w:rPr>
  </w:style>
  <w:style w:type="paragraph" w:styleId="Encabezado">
    <w:name w:val="header"/>
    <w:basedOn w:val="Normal"/>
    <w:link w:val="EncabezadoCar"/>
    <w:uiPriority w:val="99"/>
    <w:unhideWhenUsed/>
    <w:rsid w:val="007E59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E5905"/>
  </w:style>
  <w:style w:type="paragraph" w:styleId="Piedepgina">
    <w:name w:val="footer"/>
    <w:basedOn w:val="Normal"/>
    <w:link w:val="PiedepginaCar"/>
    <w:uiPriority w:val="99"/>
    <w:unhideWhenUsed/>
    <w:rsid w:val="007E59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E5905"/>
  </w:style>
  <w:style w:type="character" w:styleId="Refdecomentario">
    <w:name w:val="annotation reference"/>
    <w:basedOn w:val="Fuentedeprrafopredeter"/>
    <w:uiPriority w:val="99"/>
    <w:semiHidden/>
    <w:unhideWhenUsed/>
    <w:rsid w:val="00E604E5"/>
    <w:rPr>
      <w:sz w:val="16"/>
      <w:szCs w:val="16"/>
    </w:rPr>
  </w:style>
  <w:style w:type="paragraph" w:styleId="Textocomentario">
    <w:name w:val="annotation text"/>
    <w:basedOn w:val="Normal"/>
    <w:link w:val="TextocomentarioCar"/>
    <w:uiPriority w:val="99"/>
    <w:semiHidden/>
    <w:unhideWhenUsed/>
    <w:rsid w:val="00E604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04E5"/>
    <w:rPr>
      <w:sz w:val="20"/>
      <w:szCs w:val="20"/>
    </w:rPr>
  </w:style>
  <w:style w:type="paragraph" w:styleId="Asuntodelcomentario">
    <w:name w:val="annotation subject"/>
    <w:basedOn w:val="Textocomentario"/>
    <w:next w:val="Textocomentario"/>
    <w:link w:val="AsuntodelcomentarioCar"/>
    <w:uiPriority w:val="99"/>
    <w:semiHidden/>
    <w:unhideWhenUsed/>
    <w:rsid w:val="00E604E5"/>
    <w:rPr>
      <w:b/>
      <w:bCs/>
    </w:rPr>
  </w:style>
  <w:style w:type="character" w:customStyle="1" w:styleId="AsuntodelcomentarioCar">
    <w:name w:val="Asunto del comentario Car"/>
    <w:basedOn w:val="TextocomentarioCar"/>
    <w:link w:val="Asuntodelcomentario"/>
    <w:uiPriority w:val="99"/>
    <w:semiHidden/>
    <w:rsid w:val="00E604E5"/>
    <w:rPr>
      <w:b/>
      <w:bCs/>
      <w:sz w:val="20"/>
      <w:szCs w:val="20"/>
    </w:rPr>
  </w:style>
  <w:style w:type="character" w:styleId="Nmerodelnea">
    <w:name w:val="line number"/>
    <w:basedOn w:val="Fuentedeprrafopredeter"/>
    <w:uiPriority w:val="99"/>
    <w:semiHidden/>
    <w:unhideWhenUsed/>
    <w:rsid w:val="000F084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C123E"/>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97">
      <w:bodyDiv w:val="1"/>
      <w:marLeft w:val="0"/>
      <w:marRight w:val="0"/>
      <w:marTop w:val="0"/>
      <w:marBottom w:val="0"/>
      <w:divBdr>
        <w:top w:val="none" w:sz="0" w:space="0" w:color="auto"/>
        <w:left w:val="none" w:sz="0" w:space="0" w:color="auto"/>
        <w:bottom w:val="none" w:sz="0" w:space="0" w:color="auto"/>
        <w:right w:val="none" w:sz="0" w:space="0" w:color="auto"/>
      </w:divBdr>
    </w:div>
    <w:div w:id="134838192">
      <w:bodyDiv w:val="1"/>
      <w:marLeft w:val="0"/>
      <w:marRight w:val="0"/>
      <w:marTop w:val="0"/>
      <w:marBottom w:val="0"/>
      <w:divBdr>
        <w:top w:val="none" w:sz="0" w:space="0" w:color="auto"/>
        <w:left w:val="none" w:sz="0" w:space="0" w:color="auto"/>
        <w:bottom w:val="none" w:sz="0" w:space="0" w:color="auto"/>
        <w:right w:val="none" w:sz="0" w:space="0" w:color="auto"/>
      </w:divBdr>
    </w:div>
    <w:div w:id="193076015">
      <w:bodyDiv w:val="1"/>
      <w:marLeft w:val="0"/>
      <w:marRight w:val="0"/>
      <w:marTop w:val="0"/>
      <w:marBottom w:val="0"/>
      <w:divBdr>
        <w:top w:val="none" w:sz="0" w:space="0" w:color="auto"/>
        <w:left w:val="none" w:sz="0" w:space="0" w:color="auto"/>
        <w:bottom w:val="none" w:sz="0" w:space="0" w:color="auto"/>
        <w:right w:val="none" w:sz="0" w:space="0" w:color="auto"/>
      </w:divBdr>
    </w:div>
    <w:div w:id="225184444">
      <w:bodyDiv w:val="1"/>
      <w:marLeft w:val="0"/>
      <w:marRight w:val="0"/>
      <w:marTop w:val="0"/>
      <w:marBottom w:val="0"/>
      <w:divBdr>
        <w:top w:val="none" w:sz="0" w:space="0" w:color="auto"/>
        <w:left w:val="none" w:sz="0" w:space="0" w:color="auto"/>
        <w:bottom w:val="none" w:sz="0" w:space="0" w:color="auto"/>
        <w:right w:val="none" w:sz="0" w:space="0" w:color="auto"/>
      </w:divBdr>
    </w:div>
    <w:div w:id="379327924">
      <w:bodyDiv w:val="1"/>
      <w:marLeft w:val="0"/>
      <w:marRight w:val="0"/>
      <w:marTop w:val="0"/>
      <w:marBottom w:val="0"/>
      <w:divBdr>
        <w:top w:val="none" w:sz="0" w:space="0" w:color="auto"/>
        <w:left w:val="none" w:sz="0" w:space="0" w:color="auto"/>
        <w:bottom w:val="none" w:sz="0" w:space="0" w:color="auto"/>
        <w:right w:val="none" w:sz="0" w:space="0" w:color="auto"/>
      </w:divBdr>
    </w:div>
    <w:div w:id="480385133">
      <w:bodyDiv w:val="1"/>
      <w:marLeft w:val="0"/>
      <w:marRight w:val="0"/>
      <w:marTop w:val="0"/>
      <w:marBottom w:val="0"/>
      <w:divBdr>
        <w:top w:val="none" w:sz="0" w:space="0" w:color="auto"/>
        <w:left w:val="none" w:sz="0" w:space="0" w:color="auto"/>
        <w:bottom w:val="none" w:sz="0" w:space="0" w:color="auto"/>
        <w:right w:val="none" w:sz="0" w:space="0" w:color="auto"/>
      </w:divBdr>
    </w:div>
    <w:div w:id="779446778">
      <w:bodyDiv w:val="1"/>
      <w:marLeft w:val="0"/>
      <w:marRight w:val="0"/>
      <w:marTop w:val="0"/>
      <w:marBottom w:val="0"/>
      <w:divBdr>
        <w:top w:val="none" w:sz="0" w:space="0" w:color="auto"/>
        <w:left w:val="none" w:sz="0" w:space="0" w:color="auto"/>
        <w:bottom w:val="none" w:sz="0" w:space="0" w:color="auto"/>
        <w:right w:val="none" w:sz="0" w:space="0" w:color="auto"/>
      </w:divBdr>
    </w:div>
    <w:div w:id="1098015146">
      <w:bodyDiv w:val="1"/>
      <w:marLeft w:val="0"/>
      <w:marRight w:val="0"/>
      <w:marTop w:val="0"/>
      <w:marBottom w:val="0"/>
      <w:divBdr>
        <w:top w:val="none" w:sz="0" w:space="0" w:color="auto"/>
        <w:left w:val="none" w:sz="0" w:space="0" w:color="auto"/>
        <w:bottom w:val="none" w:sz="0" w:space="0" w:color="auto"/>
        <w:right w:val="none" w:sz="0" w:space="0" w:color="auto"/>
      </w:divBdr>
    </w:div>
    <w:div w:id="1175655707">
      <w:bodyDiv w:val="1"/>
      <w:marLeft w:val="0"/>
      <w:marRight w:val="0"/>
      <w:marTop w:val="0"/>
      <w:marBottom w:val="0"/>
      <w:divBdr>
        <w:top w:val="none" w:sz="0" w:space="0" w:color="auto"/>
        <w:left w:val="none" w:sz="0" w:space="0" w:color="auto"/>
        <w:bottom w:val="none" w:sz="0" w:space="0" w:color="auto"/>
        <w:right w:val="none" w:sz="0" w:space="0" w:color="auto"/>
      </w:divBdr>
    </w:div>
    <w:div w:id="1627008648">
      <w:bodyDiv w:val="1"/>
      <w:marLeft w:val="0"/>
      <w:marRight w:val="0"/>
      <w:marTop w:val="0"/>
      <w:marBottom w:val="0"/>
      <w:divBdr>
        <w:top w:val="none" w:sz="0" w:space="0" w:color="auto"/>
        <w:left w:val="none" w:sz="0" w:space="0" w:color="auto"/>
        <w:bottom w:val="none" w:sz="0" w:space="0" w:color="auto"/>
        <w:right w:val="none" w:sz="0" w:space="0" w:color="auto"/>
      </w:divBdr>
    </w:div>
    <w:div w:id="1679652184">
      <w:bodyDiv w:val="1"/>
      <w:marLeft w:val="0"/>
      <w:marRight w:val="0"/>
      <w:marTop w:val="0"/>
      <w:marBottom w:val="0"/>
      <w:divBdr>
        <w:top w:val="none" w:sz="0" w:space="0" w:color="auto"/>
        <w:left w:val="none" w:sz="0" w:space="0" w:color="auto"/>
        <w:bottom w:val="none" w:sz="0" w:space="0" w:color="auto"/>
        <w:right w:val="none" w:sz="0" w:space="0" w:color="auto"/>
      </w:divBdr>
    </w:div>
    <w:div w:id="1973166823">
      <w:bodyDiv w:val="1"/>
      <w:marLeft w:val="0"/>
      <w:marRight w:val="0"/>
      <w:marTop w:val="0"/>
      <w:marBottom w:val="0"/>
      <w:divBdr>
        <w:top w:val="none" w:sz="0" w:space="0" w:color="auto"/>
        <w:left w:val="none" w:sz="0" w:space="0" w:color="auto"/>
        <w:bottom w:val="none" w:sz="0" w:space="0" w:color="auto"/>
        <w:right w:val="none" w:sz="0" w:space="0" w:color="auto"/>
      </w:divBdr>
    </w:div>
    <w:div w:id="20969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A1DE-1AA7-4482-98FB-608FD24F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9933</Words>
  <Characters>54633</Characters>
  <Application>Microsoft Office Word</Application>
  <DocSecurity>0</DocSecurity>
  <Lines>455</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Ana Rita Ramirez</cp:lastModifiedBy>
  <cp:revision>2</cp:revision>
  <cp:lastPrinted>2020-04-02T19:23:00Z</cp:lastPrinted>
  <dcterms:created xsi:type="dcterms:W3CDTF">2020-06-10T23:17:00Z</dcterms:created>
  <dcterms:modified xsi:type="dcterms:W3CDTF">2020-06-10T23:17:00Z</dcterms:modified>
</cp:coreProperties>
</file>