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85EBD" w14:textId="2BC6E076" w:rsidR="0097028F" w:rsidRPr="00084943" w:rsidRDefault="0097028F" w:rsidP="0097028F">
      <w:pPr>
        <w:ind w:right="18"/>
        <w:rPr>
          <w:rFonts w:ascii="Verdana" w:hAnsi="Verdana"/>
          <w:b/>
          <w:smallCaps/>
          <w:sz w:val="20"/>
          <w:szCs w:val="20"/>
        </w:rPr>
      </w:pPr>
      <w:bookmarkStart w:id="0" w:name="_GoBack"/>
      <w:bookmarkEnd w:id="0"/>
    </w:p>
    <w:p w14:paraId="2A3719A1" w14:textId="77777777" w:rsidR="0097028F" w:rsidRDefault="0097028F" w:rsidP="0097028F">
      <w:pPr>
        <w:ind w:right="18"/>
        <w:rPr>
          <w:rFonts w:ascii="Verdana" w:hAnsi="Verdana"/>
          <w:b/>
          <w:smallCaps/>
          <w:sz w:val="20"/>
          <w:szCs w:val="20"/>
        </w:rPr>
      </w:pPr>
    </w:p>
    <w:p w14:paraId="11198EDE" w14:textId="77777777" w:rsidR="00AA549A" w:rsidRDefault="00AA549A" w:rsidP="0097028F">
      <w:pPr>
        <w:ind w:right="18"/>
        <w:rPr>
          <w:rFonts w:ascii="Verdana" w:hAnsi="Verdana"/>
          <w:b/>
          <w:smallCaps/>
          <w:sz w:val="20"/>
          <w:szCs w:val="20"/>
        </w:rPr>
      </w:pPr>
    </w:p>
    <w:p w14:paraId="1C8A84C3" w14:textId="77777777" w:rsidR="00AA549A" w:rsidRDefault="00AA549A" w:rsidP="0097028F">
      <w:pPr>
        <w:ind w:right="18"/>
        <w:rPr>
          <w:rFonts w:ascii="Verdana" w:hAnsi="Verdana"/>
          <w:b/>
          <w:smallCaps/>
          <w:sz w:val="20"/>
          <w:szCs w:val="20"/>
        </w:rPr>
      </w:pPr>
    </w:p>
    <w:p w14:paraId="0913E377" w14:textId="77777777" w:rsidR="00AA549A" w:rsidRDefault="00AA549A" w:rsidP="0097028F">
      <w:pPr>
        <w:ind w:right="18"/>
        <w:rPr>
          <w:rFonts w:ascii="Verdana" w:hAnsi="Verdana"/>
          <w:b/>
          <w:smallCaps/>
          <w:sz w:val="20"/>
          <w:szCs w:val="20"/>
        </w:rPr>
      </w:pPr>
    </w:p>
    <w:p w14:paraId="5B0A0FAA" w14:textId="77777777" w:rsidR="00AA549A" w:rsidRPr="00084943" w:rsidRDefault="00AA549A" w:rsidP="0097028F">
      <w:pPr>
        <w:ind w:right="18"/>
        <w:rPr>
          <w:rFonts w:ascii="Verdana" w:hAnsi="Verdana"/>
          <w:b/>
          <w:smallCaps/>
          <w:sz w:val="20"/>
          <w:szCs w:val="20"/>
        </w:rPr>
      </w:pPr>
    </w:p>
    <w:p w14:paraId="1EDF0C55" w14:textId="77777777" w:rsidR="0097028F" w:rsidRPr="00416D71" w:rsidRDefault="0097028F" w:rsidP="0097028F">
      <w:pPr>
        <w:ind w:right="18"/>
        <w:jc w:val="center"/>
        <w:rPr>
          <w:rFonts w:ascii="Verdana" w:hAnsi="Verdana"/>
          <w:b/>
          <w:smallCaps/>
          <w:sz w:val="20"/>
          <w:szCs w:val="20"/>
        </w:rPr>
      </w:pPr>
      <w:r w:rsidRPr="00416D71">
        <w:rPr>
          <w:rFonts w:ascii="Verdana" w:hAnsi="Verdana"/>
          <w:b/>
          <w:smallCaps/>
          <w:sz w:val="20"/>
          <w:szCs w:val="20"/>
        </w:rPr>
        <w:t xml:space="preserve">RESOLUCIÓN </w:t>
      </w:r>
    </w:p>
    <w:p w14:paraId="6DE8E05C" w14:textId="77777777" w:rsidR="0097028F" w:rsidRPr="00416D71" w:rsidRDefault="0097028F" w:rsidP="0097028F">
      <w:pPr>
        <w:pStyle w:val="Ttulo1"/>
        <w:ind w:right="18"/>
        <w:rPr>
          <w:smallCaps/>
          <w:szCs w:val="20"/>
        </w:rPr>
      </w:pPr>
      <w:r w:rsidRPr="00416D71">
        <w:rPr>
          <w:szCs w:val="20"/>
        </w:rPr>
        <w:t>DE LA CORTE INTERAMERICANA DE DERECHOS HUMANOS</w:t>
      </w:r>
    </w:p>
    <w:p w14:paraId="19F40E34" w14:textId="5C4E5D1A" w:rsidR="0097028F" w:rsidRPr="00416D71" w:rsidRDefault="00791CCA" w:rsidP="0097028F">
      <w:pPr>
        <w:ind w:right="18"/>
        <w:jc w:val="center"/>
        <w:rPr>
          <w:rFonts w:ascii="Verdana" w:hAnsi="Verdana"/>
          <w:b/>
          <w:smallCaps/>
          <w:sz w:val="20"/>
          <w:szCs w:val="20"/>
        </w:rPr>
      </w:pPr>
      <w:r>
        <w:rPr>
          <w:rFonts w:ascii="Verdana" w:hAnsi="Verdana"/>
          <w:b/>
          <w:smallCaps/>
          <w:sz w:val="20"/>
          <w:szCs w:val="20"/>
        </w:rPr>
        <w:t xml:space="preserve">DE </w:t>
      </w:r>
      <w:r w:rsidR="008A278E">
        <w:rPr>
          <w:rFonts w:ascii="Verdana" w:hAnsi="Verdana"/>
          <w:b/>
          <w:smallCaps/>
          <w:sz w:val="20"/>
          <w:szCs w:val="20"/>
        </w:rPr>
        <w:t>14</w:t>
      </w:r>
      <w:r w:rsidR="0097028F" w:rsidRPr="00416D71">
        <w:rPr>
          <w:rFonts w:ascii="Verdana" w:hAnsi="Verdana"/>
          <w:b/>
          <w:smallCaps/>
          <w:sz w:val="20"/>
          <w:szCs w:val="20"/>
        </w:rPr>
        <w:t xml:space="preserve"> DE </w:t>
      </w:r>
      <w:r w:rsidR="00B55E3E">
        <w:rPr>
          <w:rFonts w:ascii="Verdana" w:hAnsi="Verdana"/>
          <w:b/>
          <w:smallCaps/>
          <w:sz w:val="20"/>
          <w:szCs w:val="20"/>
        </w:rPr>
        <w:t>OCTUBRE</w:t>
      </w:r>
      <w:r w:rsidR="00451E94">
        <w:rPr>
          <w:rFonts w:ascii="Verdana" w:hAnsi="Verdana"/>
          <w:b/>
          <w:smallCaps/>
          <w:sz w:val="20"/>
          <w:szCs w:val="20"/>
        </w:rPr>
        <w:t xml:space="preserve"> </w:t>
      </w:r>
      <w:r w:rsidR="0097028F" w:rsidRPr="00416D71">
        <w:rPr>
          <w:rFonts w:ascii="Verdana" w:hAnsi="Verdana"/>
          <w:b/>
          <w:smallCaps/>
          <w:sz w:val="20"/>
          <w:szCs w:val="20"/>
        </w:rPr>
        <w:t>DE 201</w:t>
      </w:r>
      <w:r w:rsidR="00451E94">
        <w:rPr>
          <w:rFonts w:ascii="Verdana" w:hAnsi="Verdana"/>
          <w:b/>
          <w:smallCaps/>
          <w:sz w:val="20"/>
          <w:szCs w:val="20"/>
        </w:rPr>
        <w:t>9</w:t>
      </w:r>
    </w:p>
    <w:p w14:paraId="7EFBD762" w14:textId="77777777" w:rsidR="0097028F" w:rsidRPr="00416D71" w:rsidRDefault="0097028F" w:rsidP="0097028F">
      <w:pPr>
        <w:ind w:right="18"/>
        <w:jc w:val="both"/>
        <w:rPr>
          <w:rFonts w:ascii="Verdana" w:hAnsi="Verdana"/>
          <w:b/>
          <w:smallCaps/>
          <w:sz w:val="20"/>
          <w:szCs w:val="20"/>
        </w:rPr>
      </w:pPr>
    </w:p>
    <w:p w14:paraId="5FAA71D9" w14:textId="77777777" w:rsidR="00D96F88" w:rsidRDefault="00D96F88" w:rsidP="0097028F">
      <w:pPr>
        <w:ind w:right="18"/>
        <w:jc w:val="center"/>
        <w:rPr>
          <w:rFonts w:ascii="Verdana" w:hAnsi="Verdana"/>
          <w:b/>
          <w:smallCaps/>
          <w:sz w:val="20"/>
          <w:szCs w:val="20"/>
        </w:rPr>
      </w:pPr>
      <w:r>
        <w:rPr>
          <w:rFonts w:ascii="Verdana" w:hAnsi="Verdana"/>
          <w:b/>
          <w:smallCaps/>
          <w:sz w:val="20"/>
          <w:szCs w:val="20"/>
        </w:rPr>
        <w:t xml:space="preserve">ASUNTO DIECISIETE PERSONAS PRIVADAS DE LIBERTAD </w:t>
      </w:r>
    </w:p>
    <w:p w14:paraId="759F0D22" w14:textId="28DE7C88" w:rsidR="0097028F" w:rsidRPr="00416D71" w:rsidRDefault="00D96F88" w:rsidP="0097028F">
      <w:pPr>
        <w:ind w:right="18"/>
        <w:jc w:val="center"/>
        <w:rPr>
          <w:rFonts w:ascii="Verdana" w:hAnsi="Verdana"/>
          <w:b/>
          <w:smallCaps/>
          <w:sz w:val="20"/>
          <w:szCs w:val="20"/>
        </w:rPr>
      </w:pPr>
      <w:r>
        <w:rPr>
          <w:rFonts w:ascii="Verdana" w:hAnsi="Verdana"/>
          <w:b/>
          <w:smallCaps/>
          <w:sz w:val="20"/>
          <w:szCs w:val="20"/>
        </w:rPr>
        <w:t>RESPECTO DE NICARAGUA</w:t>
      </w:r>
    </w:p>
    <w:p w14:paraId="1937EC57" w14:textId="77777777" w:rsidR="0097028F" w:rsidRPr="00416D71" w:rsidRDefault="0097028F" w:rsidP="0097028F">
      <w:pPr>
        <w:ind w:right="18"/>
        <w:jc w:val="both"/>
        <w:rPr>
          <w:rFonts w:ascii="Verdana" w:hAnsi="Verdana"/>
          <w:b/>
          <w:sz w:val="20"/>
          <w:szCs w:val="20"/>
        </w:rPr>
      </w:pPr>
    </w:p>
    <w:p w14:paraId="11727A95" w14:textId="3F2C2452" w:rsidR="0097028F" w:rsidRPr="00416D71" w:rsidRDefault="00D96F88" w:rsidP="0097028F">
      <w:pPr>
        <w:ind w:right="18"/>
        <w:jc w:val="both"/>
        <w:rPr>
          <w:rFonts w:ascii="Verdana" w:hAnsi="Verdana"/>
          <w:b/>
          <w:sz w:val="20"/>
          <w:szCs w:val="20"/>
        </w:rPr>
      </w:pPr>
      <w:r>
        <w:rPr>
          <w:rFonts w:ascii="Verdana" w:hAnsi="Verdana"/>
          <w:b/>
          <w:sz w:val="20"/>
          <w:szCs w:val="20"/>
        </w:rPr>
        <w:t>VISTO</w:t>
      </w:r>
      <w:r w:rsidR="0097028F" w:rsidRPr="00416D71">
        <w:rPr>
          <w:rFonts w:ascii="Verdana" w:hAnsi="Verdana"/>
          <w:b/>
          <w:sz w:val="20"/>
          <w:szCs w:val="20"/>
        </w:rPr>
        <w:t>:</w:t>
      </w:r>
    </w:p>
    <w:p w14:paraId="6FD569B6" w14:textId="77777777" w:rsidR="0097028F" w:rsidRPr="00416D71" w:rsidRDefault="0097028F" w:rsidP="0097028F">
      <w:pPr>
        <w:pStyle w:val="Textonotapie"/>
        <w:ind w:right="18"/>
        <w:rPr>
          <w:rFonts w:ascii="Verdana" w:hAnsi="Verdana"/>
        </w:rPr>
      </w:pPr>
    </w:p>
    <w:p w14:paraId="52F32D2D" w14:textId="6B75AD0C" w:rsidR="00E841FA" w:rsidRDefault="00D96F88" w:rsidP="0097028F">
      <w:pPr>
        <w:pStyle w:val="Sangra3detindependiente"/>
        <w:widowControl w:val="0"/>
        <w:numPr>
          <w:ilvl w:val="0"/>
          <w:numId w:val="2"/>
        </w:numPr>
        <w:ind w:left="0" w:right="18" w:firstLine="0"/>
        <w:rPr>
          <w:rFonts w:ascii="Verdana" w:eastAsia="Times" w:hAnsi="Verdana"/>
          <w:b w:val="0"/>
          <w:sz w:val="20"/>
          <w:lang w:val="es-ES"/>
        </w:rPr>
      </w:pPr>
      <w:r>
        <w:rPr>
          <w:rFonts w:ascii="Verdana" w:eastAsia="Times" w:hAnsi="Verdana"/>
          <w:b w:val="0"/>
          <w:sz w:val="20"/>
          <w:lang w:val="es-ES"/>
        </w:rPr>
        <w:t xml:space="preserve">La resolución </w:t>
      </w:r>
      <w:r w:rsidR="00812DF9">
        <w:rPr>
          <w:rFonts w:ascii="Verdana" w:eastAsia="Times" w:hAnsi="Verdana"/>
          <w:b w:val="0"/>
          <w:sz w:val="20"/>
          <w:lang w:val="es-ES"/>
        </w:rPr>
        <w:t xml:space="preserve">de medidas urgentes </w:t>
      </w:r>
      <w:r>
        <w:rPr>
          <w:rFonts w:ascii="Verdana" w:eastAsia="Times" w:hAnsi="Verdana"/>
          <w:b w:val="0"/>
          <w:sz w:val="20"/>
          <w:lang w:val="es-ES"/>
        </w:rPr>
        <w:t>del Presidente de la Corte Interamericana de Derechos Humanos (en adelante “la Corte Interamericana”, “la Corte” o “el Tribunal”) de 21 de mayo de 2019</w:t>
      </w:r>
      <w:r w:rsidR="003D08B0">
        <w:rPr>
          <w:rFonts w:ascii="Verdana" w:eastAsia="Times" w:hAnsi="Verdana"/>
          <w:b w:val="0"/>
          <w:sz w:val="20"/>
          <w:lang w:val="es-ES"/>
        </w:rPr>
        <w:t xml:space="preserve">, </w:t>
      </w:r>
      <w:r w:rsidR="00826019">
        <w:rPr>
          <w:rFonts w:ascii="Verdana" w:eastAsia="Times" w:hAnsi="Verdana"/>
          <w:b w:val="0"/>
          <w:sz w:val="20"/>
          <w:lang w:val="es-ES"/>
        </w:rPr>
        <w:t xml:space="preserve">mediante la cual se requirió al Estado adoptar las medidas necesarias para proteger la salud, vida e integridad personal de 17 personas privadas de libertad en Nicaragua, </w:t>
      </w:r>
      <w:r w:rsidR="00704150">
        <w:rPr>
          <w:rFonts w:ascii="Verdana" w:eastAsia="Times" w:hAnsi="Verdana"/>
          <w:b w:val="0"/>
          <w:sz w:val="20"/>
          <w:lang w:val="es-ES"/>
        </w:rPr>
        <w:t>así como las comunicaciones de la Secretaría de la Corte de 28 de mayo, 7 de junio, 19 de junio</w:t>
      </w:r>
      <w:r w:rsidR="003104A4">
        <w:rPr>
          <w:rFonts w:ascii="Verdana" w:eastAsia="Times" w:hAnsi="Verdana"/>
          <w:b w:val="0"/>
          <w:sz w:val="20"/>
          <w:lang w:val="es-ES"/>
        </w:rPr>
        <w:t>, 2 de julio</w:t>
      </w:r>
      <w:r w:rsidR="004C0237">
        <w:rPr>
          <w:rFonts w:ascii="Verdana" w:eastAsia="Times" w:hAnsi="Verdana"/>
          <w:b w:val="0"/>
          <w:sz w:val="20"/>
          <w:lang w:val="es-ES"/>
        </w:rPr>
        <w:t>, 8 de julio, 31 de julio</w:t>
      </w:r>
      <w:r w:rsidR="00FB457F">
        <w:rPr>
          <w:rFonts w:ascii="Verdana" w:eastAsia="Times" w:hAnsi="Verdana"/>
          <w:b w:val="0"/>
          <w:sz w:val="20"/>
          <w:lang w:val="es-ES"/>
        </w:rPr>
        <w:t>,</w:t>
      </w:r>
      <w:r w:rsidR="004C0237">
        <w:rPr>
          <w:rFonts w:ascii="Verdana" w:eastAsia="Times" w:hAnsi="Verdana"/>
          <w:b w:val="0"/>
          <w:sz w:val="20"/>
          <w:lang w:val="es-ES"/>
        </w:rPr>
        <w:t xml:space="preserve"> </w:t>
      </w:r>
      <w:r w:rsidR="003D08B0">
        <w:rPr>
          <w:rFonts w:ascii="Verdana" w:eastAsia="Times" w:hAnsi="Verdana"/>
          <w:b w:val="0"/>
          <w:sz w:val="20"/>
          <w:lang w:val="es-ES"/>
        </w:rPr>
        <w:t>7 de agosto</w:t>
      </w:r>
      <w:r w:rsidR="00106FFF">
        <w:rPr>
          <w:rFonts w:ascii="Verdana" w:eastAsia="Times" w:hAnsi="Verdana"/>
          <w:b w:val="0"/>
          <w:sz w:val="20"/>
          <w:lang w:val="es-ES"/>
        </w:rPr>
        <w:t>,</w:t>
      </w:r>
      <w:r w:rsidR="00FB457F">
        <w:rPr>
          <w:rFonts w:ascii="Verdana" w:eastAsia="Times" w:hAnsi="Verdana"/>
          <w:b w:val="0"/>
          <w:sz w:val="20"/>
          <w:lang w:val="es-ES"/>
        </w:rPr>
        <w:t xml:space="preserve"> 4 de octubre</w:t>
      </w:r>
      <w:r w:rsidR="00106FFF">
        <w:rPr>
          <w:rFonts w:ascii="Verdana" w:eastAsia="Times" w:hAnsi="Verdana"/>
          <w:b w:val="0"/>
          <w:sz w:val="20"/>
          <w:lang w:val="es-ES"/>
        </w:rPr>
        <w:t xml:space="preserve"> y 11 de octubre</w:t>
      </w:r>
      <w:r w:rsidR="00704150">
        <w:rPr>
          <w:rFonts w:ascii="Verdana" w:eastAsia="Times" w:hAnsi="Verdana"/>
          <w:b w:val="0"/>
          <w:sz w:val="20"/>
          <w:lang w:val="es-ES"/>
        </w:rPr>
        <w:t xml:space="preserve"> </w:t>
      </w:r>
      <w:r w:rsidR="003D08B0">
        <w:rPr>
          <w:rFonts w:ascii="Verdana" w:eastAsia="Times" w:hAnsi="Verdana"/>
          <w:b w:val="0"/>
          <w:sz w:val="20"/>
          <w:lang w:val="es-ES"/>
        </w:rPr>
        <w:t>de 2019.</w:t>
      </w:r>
    </w:p>
    <w:p w14:paraId="6143535A" w14:textId="77777777" w:rsidR="00704150" w:rsidRDefault="00704150" w:rsidP="00704150">
      <w:pPr>
        <w:pStyle w:val="Sangra3detindependiente"/>
        <w:widowControl w:val="0"/>
        <w:ind w:left="0" w:right="18"/>
        <w:rPr>
          <w:rFonts w:ascii="Verdana" w:eastAsia="Times" w:hAnsi="Verdana"/>
          <w:b w:val="0"/>
          <w:sz w:val="20"/>
          <w:lang w:val="es-ES"/>
        </w:rPr>
      </w:pPr>
    </w:p>
    <w:p w14:paraId="19EAD6E8" w14:textId="50681C2E" w:rsidR="00704150" w:rsidRDefault="00704150" w:rsidP="0097028F">
      <w:pPr>
        <w:pStyle w:val="Sangra3detindependiente"/>
        <w:widowControl w:val="0"/>
        <w:numPr>
          <w:ilvl w:val="0"/>
          <w:numId w:val="2"/>
        </w:numPr>
        <w:ind w:left="0" w:right="18" w:firstLine="0"/>
        <w:rPr>
          <w:rFonts w:ascii="Verdana" w:eastAsia="Times" w:hAnsi="Verdana"/>
          <w:b w:val="0"/>
          <w:sz w:val="20"/>
          <w:lang w:val="es-ES"/>
        </w:rPr>
      </w:pPr>
      <w:r>
        <w:rPr>
          <w:rFonts w:ascii="Verdana" w:eastAsia="Times" w:hAnsi="Verdana"/>
          <w:b w:val="0"/>
          <w:sz w:val="20"/>
          <w:lang w:val="es-ES"/>
        </w:rPr>
        <w:t>Los escritos de 31 de mayo</w:t>
      </w:r>
      <w:r w:rsidR="003104A4">
        <w:rPr>
          <w:rFonts w:ascii="Verdana" w:eastAsia="Times" w:hAnsi="Verdana"/>
          <w:b w:val="0"/>
          <w:sz w:val="20"/>
          <w:lang w:val="es-ES"/>
        </w:rPr>
        <w:t>, 1 de julio</w:t>
      </w:r>
      <w:r w:rsidR="00AA7F13">
        <w:rPr>
          <w:rFonts w:ascii="Verdana" w:eastAsia="Times" w:hAnsi="Verdana"/>
          <w:b w:val="0"/>
          <w:sz w:val="20"/>
          <w:lang w:val="es-ES"/>
        </w:rPr>
        <w:t>,</w:t>
      </w:r>
      <w:r w:rsidR="004C0237">
        <w:rPr>
          <w:rFonts w:ascii="Verdana" w:eastAsia="Times" w:hAnsi="Verdana"/>
          <w:b w:val="0"/>
          <w:sz w:val="20"/>
          <w:lang w:val="es-ES"/>
        </w:rPr>
        <w:t xml:space="preserve"> 29 de julio</w:t>
      </w:r>
      <w:r w:rsidR="00AA7F13">
        <w:rPr>
          <w:rFonts w:ascii="Verdana" w:eastAsia="Times" w:hAnsi="Verdana"/>
          <w:sz w:val="20"/>
          <w:lang w:val="es-ES"/>
        </w:rPr>
        <w:t xml:space="preserve"> </w:t>
      </w:r>
      <w:r w:rsidR="00AA7F13">
        <w:rPr>
          <w:rFonts w:ascii="Verdana" w:eastAsia="Times" w:hAnsi="Verdana"/>
          <w:b w:val="0"/>
          <w:sz w:val="20"/>
          <w:lang w:val="es-ES"/>
        </w:rPr>
        <w:t>y 30 de agosto</w:t>
      </w:r>
      <w:r w:rsidR="004C0237">
        <w:rPr>
          <w:rFonts w:ascii="Verdana" w:eastAsia="Times" w:hAnsi="Verdana"/>
          <w:b w:val="0"/>
          <w:sz w:val="20"/>
          <w:lang w:val="es-ES"/>
        </w:rPr>
        <w:t xml:space="preserve"> </w:t>
      </w:r>
      <w:r w:rsidR="003D08B0">
        <w:rPr>
          <w:rFonts w:ascii="Verdana" w:eastAsia="Times" w:hAnsi="Verdana"/>
          <w:b w:val="0"/>
          <w:sz w:val="20"/>
          <w:lang w:val="es-ES"/>
        </w:rPr>
        <w:t>de 2019</w:t>
      </w:r>
      <w:r w:rsidR="00681099">
        <w:rPr>
          <w:rFonts w:ascii="Verdana" w:eastAsia="Times" w:hAnsi="Verdana"/>
          <w:b w:val="0"/>
          <w:sz w:val="20"/>
          <w:lang w:val="es-ES"/>
        </w:rPr>
        <w:t>,</w:t>
      </w:r>
      <w:r>
        <w:rPr>
          <w:rFonts w:ascii="Verdana" w:eastAsia="Times" w:hAnsi="Verdana"/>
          <w:b w:val="0"/>
          <w:sz w:val="20"/>
          <w:lang w:val="es-ES"/>
        </w:rPr>
        <w:t xml:space="preserve"> mediante los cuales</w:t>
      </w:r>
      <w:r w:rsidR="003D08B0">
        <w:rPr>
          <w:rFonts w:ascii="Verdana" w:eastAsia="Times" w:hAnsi="Verdana"/>
          <w:b w:val="0"/>
          <w:sz w:val="20"/>
          <w:lang w:val="es-ES"/>
        </w:rPr>
        <w:t xml:space="preserve"> el Estado</w:t>
      </w:r>
      <w:r>
        <w:rPr>
          <w:rFonts w:ascii="Verdana" w:eastAsia="Times" w:hAnsi="Verdana"/>
          <w:b w:val="0"/>
          <w:sz w:val="20"/>
          <w:lang w:val="es-ES"/>
        </w:rPr>
        <w:t xml:space="preserve"> presentó informes respecto a la resolución de medidas urgentes de 21 de mayo de 2019, así como </w:t>
      </w:r>
      <w:r w:rsidR="00106FFF">
        <w:rPr>
          <w:rFonts w:ascii="Verdana" w:eastAsia="Times" w:hAnsi="Verdana"/>
          <w:b w:val="0"/>
          <w:sz w:val="20"/>
          <w:lang w:val="es-ES"/>
        </w:rPr>
        <w:t>los</w:t>
      </w:r>
      <w:r w:rsidR="003D08B0">
        <w:rPr>
          <w:rFonts w:ascii="Verdana" w:eastAsia="Times" w:hAnsi="Verdana"/>
          <w:b w:val="0"/>
          <w:sz w:val="20"/>
          <w:lang w:val="es-ES"/>
        </w:rPr>
        <w:t xml:space="preserve"> escrito</w:t>
      </w:r>
      <w:r w:rsidR="00106FFF">
        <w:rPr>
          <w:rFonts w:ascii="Verdana" w:eastAsia="Times" w:hAnsi="Verdana"/>
          <w:b w:val="0"/>
          <w:sz w:val="20"/>
          <w:lang w:val="es-ES"/>
        </w:rPr>
        <w:t>s</w:t>
      </w:r>
      <w:r>
        <w:rPr>
          <w:rFonts w:ascii="Verdana" w:eastAsia="Times" w:hAnsi="Verdana"/>
          <w:b w:val="0"/>
          <w:sz w:val="20"/>
          <w:lang w:val="es-ES"/>
        </w:rPr>
        <w:t xml:space="preserve"> de 28 de mayo</w:t>
      </w:r>
      <w:r w:rsidR="00106FFF">
        <w:rPr>
          <w:rFonts w:ascii="Verdana" w:eastAsia="Times" w:hAnsi="Verdana"/>
          <w:b w:val="0"/>
          <w:sz w:val="20"/>
          <w:lang w:val="es-ES"/>
        </w:rPr>
        <w:t xml:space="preserve"> y 10 de octubre</w:t>
      </w:r>
      <w:r w:rsidR="003D08B0">
        <w:rPr>
          <w:rFonts w:ascii="Verdana" w:eastAsia="Times" w:hAnsi="Verdana"/>
          <w:b w:val="0"/>
          <w:sz w:val="20"/>
          <w:lang w:val="es-ES"/>
        </w:rPr>
        <w:t xml:space="preserve"> de 2019.</w:t>
      </w:r>
    </w:p>
    <w:p w14:paraId="720E558C" w14:textId="77777777" w:rsidR="00704150" w:rsidRDefault="00704150" w:rsidP="00704150">
      <w:pPr>
        <w:pStyle w:val="Prrafodelista"/>
        <w:rPr>
          <w:rFonts w:ascii="Verdana" w:eastAsia="Times" w:hAnsi="Verdana"/>
          <w:b/>
          <w:sz w:val="20"/>
        </w:rPr>
      </w:pPr>
    </w:p>
    <w:p w14:paraId="2AF4D70B" w14:textId="4410FC31" w:rsidR="00704150" w:rsidRDefault="00704150" w:rsidP="00704150">
      <w:pPr>
        <w:pStyle w:val="Sangra3detindependiente"/>
        <w:widowControl w:val="0"/>
        <w:numPr>
          <w:ilvl w:val="0"/>
          <w:numId w:val="2"/>
        </w:numPr>
        <w:ind w:left="0" w:right="18" w:firstLine="0"/>
        <w:rPr>
          <w:rFonts w:ascii="Verdana" w:eastAsia="Times" w:hAnsi="Verdana"/>
          <w:b w:val="0"/>
          <w:sz w:val="20"/>
          <w:lang w:val="es-ES"/>
        </w:rPr>
      </w:pPr>
      <w:r>
        <w:rPr>
          <w:rFonts w:ascii="Verdana" w:eastAsia="Times" w:hAnsi="Verdana"/>
          <w:b w:val="0"/>
          <w:sz w:val="20"/>
          <w:lang w:val="es-ES"/>
        </w:rPr>
        <w:t xml:space="preserve">Los escritos de </w:t>
      </w:r>
      <w:r w:rsidR="003104A4">
        <w:rPr>
          <w:rFonts w:ascii="Verdana" w:eastAsia="Times" w:hAnsi="Verdana"/>
          <w:b w:val="0"/>
          <w:sz w:val="20"/>
          <w:lang w:val="es-ES"/>
        </w:rPr>
        <w:t>21 de junio</w:t>
      </w:r>
      <w:r w:rsidR="00FB457F">
        <w:rPr>
          <w:rFonts w:ascii="Verdana" w:eastAsia="Times" w:hAnsi="Verdana"/>
          <w:b w:val="0"/>
          <w:sz w:val="20"/>
          <w:lang w:val="es-ES"/>
        </w:rPr>
        <w:t>, 15 de julio de 2019</w:t>
      </w:r>
      <w:r w:rsidR="00106FFF">
        <w:rPr>
          <w:rFonts w:ascii="Verdana" w:eastAsia="Times" w:hAnsi="Verdana"/>
          <w:b w:val="0"/>
          <w:sz w:val="20"/>
          <w:lang w:val="es-ES"/>
        </w:rPr>
        <w:t>,</w:t>
      </w:r>
      <w:r w:rsidR="008A278E">
        <w:rPr>
          <w:rFonts w:ascii="Verdana" w:eastAsia="Times" w:hAnsi="Verdana"/>
          <w:b w:val="0"/>
          <w:sz w:val="20"/>
          <w:lang w:val="es-ES"/>
        </w:rPr>
        <w:t xml:space="preserve"> </w:t>
      </w:r>
      <w:r w:rsidR="003D08B0">
        <w:rPr>
          <w:rFonts w:ascii="Verdana" w:eastAsia="Times" w:hAnsi="Verdana"/>
          <w:b w:val="0"/>
          <w:sz w:val="20"/>
          <w:lang w:val="es-ES"/>
        </w:rPr>
        <w:t>5 de agosto</w:t>
      </w:r>
      <w:r w:rsidR="00106FFF">
        <w:rPr>
          <w:rFonts w:ascii="Verdana" w:eastAsia="Times" w:hAnsi="Verdana"/>
          <w:b w:val="0"/>
          <w:sz w:val="20"/>
          <w:lang w:val="es-ES"/>
        </w:rPr>
        <w:t xml:space="preserve"> y 10 de octubre</w:t>
      </w:r>
      <w:r w:rsidR="004C0237">
        <w:rPr>
          <w:rFonts w:ascii="Verdana" w:eastAsia="Times" w:hAnsi="Verdana"/>
          <w:b w:val="0"/>
          <w:sz w:val="20"/>
          <w:lang w:val="es-ES"/>
        </w:rPr>
        <w:t xml:space="preserve"> </w:t>
      </w:r>
      <w:r>
        <w:rPr>
          <w:rFonts w:ascii="Verdana" w:eastAsia="Times" w:hAnsi="Verdana"/>
          <w:b w:val="0"/>
          <w:sz w:val="20"/>
          <w:lang w:val="es-ES"/>
        </w:rPr>
        <w:t>de 2019</w:t>
      </w:r>
      <w:r w:rsidR="003D08B0">
        <w:rPr>
          <w:rFonts w:ascii="Verdana" w:eastAsia="Times" w:hAnsi="Verdana"/>
          <w:b w:val="0"/>
          <w:sz w:val="20"/>
          <w:lang w:val="es-ES"/>
        </w:rPr>
        <w:t>,</w:t>
      </w:r>
      <w:r>
        <w:rPr>
          <w:rFonts w:ascii="Verdana" w:eastAsia="Times" w:hAnsi="Verdana"/>
          <w:b w:val="0"/>
          <w:sz w:val="20"/>
          <w:lang w:val="es-ES"/>
        </w:rPr>
        <w:t xml:space="preserve"> mediante los cuales el Instituto Internacional sobre Raza, Igualdad y Derechos Humanos, el Centro Nicaragüense de Derechos Humanos (CENIDH), y la Fundación Violeta Barrios de Chamorro (FVBCH) </w:t>
      </w:r>
      <w:r w:rsidR="003104A4">
        <w:rPr>
          <w:rFonts w:ascii="Verdana" w:eastAsia="Times" w:hAnsi="Verdana"/>
          <w:b w:val="0"/>
          <w:sz w:val="20"/>
          <w:lang w:val="es-ES"/>
        </w:rPr>
        <w:t xml:space="preserve">presentaron observaciones a los informes del Estado y proporcionaron información en relación a las medidas urgentes otorgadas a favor de los señores Miguel Mora Barberena y Lucía </w:t>
      </w:r>
      <w:r w:rsidR="003D08B0">
        <w:rPr>
          <w:rFonts w:ascii="Verdana" w:eastAsia="Times" w:hAnsi="Verdana"/>
          <w:b w:val="0"/>
          <w:sz w:val="20"/>
          <w:lang w:val="es-ES"/>
        </w:rPr>
        <w:t xml:space="preserve">Pineda </w:t>
      </w:r>
      <w:proofErr w:type="spellStart"/>
      <w:r w:rsidR="003D08B0">
        <w:rPr>
          <w:rFonts w:ascii="Verdana" w:eastAsia="Times" w:hAnsi="Verdana"/>
          <w:b w:val="0"/>
          <w:sz w:val="20"/>
          <w:lang w:val="es-ES"/>
        </w:rPr>
        <w:t>Ubau</w:t>
      </w:r>
      <w:proofErr w:type="spellEnd"/>
      <w:r w:rsidR="003D08B0">
        <w:rPr>
          <w:rFonts w:ascii="Verdana" w:eastAsia="Times" w:hAnsi="Verdana"/>
          <w:b w:val="0"/>
          <w:sz w:val="20"/>
          <w:lang w:val="es-ES"/>
        </w:rPr>
        <w:t>.</w:t>
      </w:r>
    </w:p>
    <w:p w14:paraId="23C6CCF5" w14:textId="77777777" w:rsidR="00704150" w:rsidRDefault="00704150" w:rsidP="00704150">
      <w:pPr>
        <w:pStyle w:val="Sangra3detindependiente"/>
        <w:widowControl w:val="0"/>
        <w:ind w:left="0" w:right="18"/>
        <w:rPr>
          <w:rFonts w:ascii="Verdana" w:eastAsia="Times" w:hAnsi="Verdana"/>
          <w:b w:val="0"/>
          <w:sz w:val="20"/>
          <w:lang w:val="es-ES"/>
        </w:rPr>
      </w:pPr>
    </w:p>
    <w:p w14:paraId="02E4F84A" w14:textId="27C32C82" w:rsidR="003104A4" w:rsidRDefault="003D08B0" w:rsidP="0097028F">
      <w:pPr>
        <w:pStyle w:val="Sangra3detindependiente"/>
        <w:widowControl w:val="0"/>
        <w:numPr>
          <w:ilvl w:val="0"/>
          <w:numId w:val="2"/>
        </w:numPr>
        <w:ind w:left="0" w:right="18" w:firstLine="0"/>
        <w:rPr>
          <w:rFonts w:ascii="Verdana" w:eastAsia="Times" w:hAnsi="Verdana"/>
          <w:b w:val="0"/>
          <w:sz w:val="20"/>
          <w:lang w:val="es-ES"/>
        </w:rPr>
      </w:pPr>
      <w:r>
        <w:rPr>
          <w:rFonts w:ascii="Verdana" w:eastAsia="Times" w:hAnsi="Verdana"/>
          <w:b w:val="0"/>
          <w:sz w:val="20"/>
          <w:lang w:val="es-ES"/>
        </w:rPr>
        <w:t>El escrito</w:t>
      </w:r>
      <w:r w:rsidR="003104A4">
        <w:rPr>
          <w:rFonts w:ascii="Verdana" w:eastAsia="Times" w:hAnsi="Verdana"/>
          <w:b w:val="0"/>
          <w:sz w:val="20"/>
          <w:lang w:val="es-ES"/>
        </w:rPr>
        <w:t xml:space="preserve"> de 4 de julio </w:t>
      </w:r>
      <w:r w:rsidR="00AA7F13">
        <w:rPr>
          <w:rFonts w:ascii="Verdana" w:eastAsia="Times" w:hAnsi="Verdana"/>
          <w:b w:val="0"/>
          <w:sz w:val="20"/>
          <w:lang w:val="es-ES"/>
        </w:rPr>
        <w:t>y de 1</w:t>
      </w:r>
      <w:r w:rsidR="00FB457F">
        <w:rPr>
          <w:rFonts w:ascii="Verdana" w:eastAsia="Times" w:hAnsi="Verdana"/>
          <w:b w:val="0"/>
          <w:sz w:val="20"/>
          <w:lang w:val="es-ES"/>
        </w:rPr>
        <w:t>5</w:t>
      </w:r>
      <w:r w:rsidR="00AA7F13">
        <w:rPr>
          <w:rFonts w:ascii="Verdana" w:eastAsia="Times" w:hAnsi="Verdana"/>
          <w:b w:val="0"/>
          <w:sz w:val="20"/>
          <w:lang w:val="es-ES"/>
        </w:rPr>
        <w:t xml:space="preserve"> de agosto de 2019</w:t>
      </w:r>
      <w:r>
        <w:rPr>
          <w:rFonts w:ascii="Verdana" w:eastAsia="Times" w:hAnsi="Verdana"/>
          <w:b w:val="0"/>
          <w:sz w:val="20"/>
          <w:lang w:val="es-ES"/>
        </w:rPr>
        <w:t xml:space="preserve">, </w:t>
      </w:r>
      <w:r w:rsidR="003104A4">
        <w:rPr>
          <w:rFonts w:ascii="Verdana" w:eastAsia="Times" w:hAnsi="Verdana"/>
          <w:b w:val="0"/>
          <w:sz w:val="20"/>
          <w:lang w:val="es-ES"/>
        </w:rPr>
        <w:t xml:space="preserve">mediante </w:t>
      </w:r>
      <w:r w:rsidR="00681099">
        <w:rPr>
          <w:rFonts w:ascii="Verdana" w:eastAsia="Times" w:hAnsi="Verdana"/>
          <w:b w:val="0"/>
          <w:sz w:val="20"/>
          <w:lang w:val="es-ES"/>
        </w:rPr>
        <w:t>el cual</w:t>
      </w:r>
      <w:r w:rsidR="003104A4">
        <w:rPr>
          <w:rFonts w:ascii="Verdana" w:eastAsia="Times" w:hAnsi="Verdana"/>
          <w:b w:val="0"/>
          <w:sz w:val="20"/>
          <w:lang w:val="es-ES"/>
        </w:rPr>
        <w:t xml:space="preserve"> el CENIDH presentó observaciones a los informes del Estado</w:t>
      </w:r>
      <w:r w:rsidR="00681099">
        <w:rPr>
          <w:rFonts w:ascii="Verdana" w:eastAsia="Times" w:hAnsi="Verdana"/>
          <w:b w:val="0"/>
          <w:sz w:val="20"/>
          <w:lang w:val="es-ES"/>
        </w:rPr>
        <w:t>,</w:t>
      </w:r>
      <w:r w:rsidR="003104A4">
        <w:rPr>
          <w:rFonts w:ascii="Verdana" w:eastAsia="Times" w:hAnsi="Verdana"/>
          <w:b w:val="0"/>
          <w:sz w:val="20"/>
          <w:lang w:val="es-ES"/>
        </w:rPr>
        <w:t xml:space="preserve"> y </w:t>
      </w:r>
      <w:r>
        <w:rPr>
          <w:rFonts w:ascii="Verdana" w:eastAsia="Times" w:hAnsi="Verdana"/>
          <w:b w:val="0"/>
          <w:sz w:val="20"/>
          <w:lang w:val="es-ES"/>
        </w:rPr>
        <w:t>proporcionó</w:t>
      </w:r>
      <w:r w:rsidR="003104A4">
        <w:rPr>
          <w:rFonts w:ascii="Verdana" w:eastAsia="Times" w:hAnsi="Verdana"/>
          <w:b w:val="0"/>
          <w:sz w:val="20"/>
          <w:lang w:val="es-ES"/>
        </w:rPr>
        <w:t xml:space="preserve"> información en relación a las medidas urgentes otorgadas a favor de los señores Cristian Rodrigo Fajardo Caballero, </w:t>
      </w:r>
      <w:proofErr w:type="spellStart"/>
      <w:r w:rsidR="003104A4">
        <w:rPr>
          <w:rFonts w:ascii="Verdana" w:eastAsia="Times" w:hAnsi="Verdana"/>
          <w:b w:val="0"/>
          <w:sz w:val="20"/>
          <w:lang w:val="es-ES"/>
        </w:rPr>
        <w:t>Yubrank</w:t>
      </w:r>
      <w:proofErr w:type="spellEnd"/>
      <w:r w:rsidR="003104A4">
        <w:rPr>
          <w:rFonts w:ascii="Verdana" w:eastAsia="Times" w:hAnsi="Verdana"/>
          <w:b w:val="0"/>
          <w:sz w:val="20"/>
          <w:lang w:val="es-ES"/>
        </w:rPr>
        <w:t xml:space="preserve"> Miguel Suazo Herrera, Amaya Eva </w:t>
      </w:r>
      <w:proofErr w:type="spellStart"/>
      <w:r w:rsidR="003104A4">
        <w:rPr>
          <w:rFonts w:ascii="Verdana" w:eastAsia="Times" w:hAnsi="Verdana"/>
          <w:b w:val="0"/>
          <w:sz w:val="20"/>
          <w:lang w:val="es-ES"/>
        </w:rPr>
        <w:t>Coppens</w:t>
      </w:r>
      <w:proofErr w:type="spellEnd"/>
      <w:r w:rsidR="003104A4">
        <w:rPr>
          <w:rFonts w:ascii="Verdana" w:eastAsia="Times" w:hAnsi="Verdana"/>
          <w:b w:val="0"/>
          <w:sz w:val="20"/>
          <w:lang w:val="es-ES"/>
        </w:rPr>
        <w:t xml:space="preserve"> Zamora, </w:t>
      </w:r>
      <w:proofErr w:type="spellStart"/>
      <w:r w:rsidR="003104A4">
        <w:rPr>
          <w:rFonts w:ascii="Verdana" w:eastAsia="Times" w:hAnsi="Verdana"/>
          <w:b w:val="0"/>
          <w:sz w:val="20"/>
          <w:lang w:val="es-ES"/>
        </w:rPr>
        <w:t>Olesia</w:t>
      </w:r>
      <w:proofErr w:type="spellEnd"/>
      <w:r w:rsidR="003104A4">
        <w:rPr>
          <w:rFonts w:ascii="Verdana" w:eastAsia="Times" w:hAnsi="Verdana"/>
          <w:b w:val="0"/>
          <w:sz w:val="20"/>
          <w:lang w:val="es-ES"/>
        </w:rPr>
        <w:t xml:space="preserve"> Auxiliadora Muñoz Pavón, Tania Verónica Muñoz </w:t>
      </w:r>
      <w:proofErr w:type="spellStart"/>
      <w:r w:rsidR="003104A4">
        <w:rPr>
          <w:rFonts w:ascii="Verdana" w:eastAsia="Times" w:hAnsi="Verdana"/>
          <w:b w:val="0"/>
          <w:sz w:val="20"/>
          <w:lang w:val="es-ES"/>
        </w:rPr>
        <w:t>Pavon</w:t>
      </w:r>
      <w:proofErr w:type="spellEnd"/>
      <w:r w:rsidR="003104A4">
        <w:rPr>
          <w:rFonts w:ascii="Verdana" w:eastAsia="Times" w:hAnsi="Verdana"/>
          <w:b w:val="0"/>
          <w:sz w:val="20"/>
          <w:lang w:val="es-ES"/>
        </w:rPr>
        <w:t>, María Adilia Per</w:t>
      </w:r>
      <w:r w:rsidR="004C0237">
        <w:rPr>
          <w:rFonts w:ascii="Verdana" w:eastAsia="Times" w:hAnsi="Verdana"/>
          <w:b w:val="0"/>
          <w:sz w:val="20"/>
          <w:lang w:val="es-ES"/>
        </w:rPr>
        <w:t>alta Serrato</w:t>
      </w:r>
      <w:r w:rsidR="003104A4">
        <w:rPr>
          <w:rFonts w:ascii="Verdana" w:eastAsia="Times" w:hAnsi="Verdana"/>
          <w:b w:val="0"/>
          <w:sz w:val="20"/>
          <w:lang w:val="es-ES"/>
        </w:rPr>
        <w:t xml:space="preserve"> e Irlanda </w:t>
      </w:r>
      <w:proofErr w:type="spellStart"/>
      <w:r w:rsidR="003104A4">
        <w:rPr>
          <w:rFonts w:ascii="Verdana" w:eastAsia="Times" w:hAnsi="Verdana"/>
          <w:b w:val="0"/>
          <w:sz w:val="20"/>
          <w:lang w:val="es-ES"/>
        </w:rPr>
        <w:t>Undina</w:t>
      </w:r>
      <w:proofErr w:type="spellEnd"/>
      <w:r w:rsidR="003104A4">
        <w:rPr>
          <w:rFonts w:ascii="Verdana" w:eastAsia="Times" w:hAnsi="Verdana"/>
          <w:b w:val="0"/>
          <w:sz w:val="20"/>
          <w:lang w:val="es-ES"/>
        </w:rPr>
        <w:t xml:space="preserve"> </w:t>
      </w:r>
      <w:proofErr w:type="spellStart"/>
      <w:r w:rsidR="003104A4">
        <w:rPr>
          <w:rFonts w:ascii="Verdana" w:eastAsia="Times" w:hAnsi="Verdana"/>
          <w:b w:val="0"/>
          <w:sz w:val="20"/>
          <w:lang w:val="es-ES"/>
        </w:rPr>
        <w:t>Jeréz</w:t>
      </w:r>
      <w:proofErr w:type="spellEnd"/>
      <w:r w:rsidR="003104A4">
        <w:rPr>
          <w:rFonts w:ascii="Verdana" w:eastAsia="Times" w:hAnsi="Verdana"/>
          <w:b w:val="0"/>
          <w:sz w:val="20"/>
          <w:lang w:val="es-ES"/>
        </w:rPr>
        <w:t xml:space="preserve"> Barrera</w:t>
      </w:r>
      <w:r w:rsidR="004C0237">
        <w:rPr>
          <w:rFonts w:ascii="Verdana" w:eastAsia="Times" w:hAnsi="Verdana"/>
          <w:b w:val="0"/>
          <w:sz w:val="20"/>
          <w:lang w:val="es-ES"/>
        </w:rPr>
        <w:t>, así como el escrito de</w:t>
      </w:r>
      <w:r>
        <w:rPr>
          <w:rFonts w:ascii="Verdana" w:eastAsia="Times" w:hAnsi="Verdana"/>
          <w:b w:val="0"/>
          <w:sz w:val="20"/>
          <w:lang w:val="es-ES"/>
        </w:rPr>
        <w:t xml:space="preserve"> 17 de junio de 2019 y de</w:t>
      </w:r>
      <w:r w:rsidR="004C0237">
        <w:rPr>
          <w:rFonts w:ascii="Verdana" w:eastAsia="Times" w:hAnsi="Verdana"/>
          <w:b w:val="0"/>
          <w:sz w:val="20"/>
          <w:lang w:val="es-ES"/>
        </w:rPr>
        <w:t xml:space="preserve"> 16</w:t>
      </w:r>
      <w:r w:rsidR="00FB457F">
        <w:rPr>
          <w:rFonts w:ascii="Verdana" w:eastAsia="Times" w:hAnsi="Verdana"/>
          <w:b w:val="0"/>
          <w:sz w:val="20"/>
          <w:lang w:val="es-ES"/>
        </w:rPr>
        <w:t xml:space="preserve"> y 26</w:t>
      </w:r>
      <w:r w:rsidR="004C0237">
        <w:rPr>
          <w:rFonts w:ascii="Verdana" w:eastAsia="Times" w:hAnsi="Verdana"/>
          <w:b w:val="0"/>
          <w:sz w:val="20"/>
          <w:lang w:val="es-ES"/>
        </w:rPr>
        <w:t xml:space="preserve"> de julio de 2019 en relación con Cristian Rodrigo Fajardo Caballero y María Adilia Peralta Serrato</w:t>
      </w:r>
      <w:r w:rsidR="00AA7F13">
        <w:rPr>
          <w:rFonts w:ascii="Verdana" w:eastAsia="Times" w:hAnsi="Verdana"/>
          <w:b w:val="0"/>
          <w:sz w:val="20"/>
          <w:lang w:val="es-ES"/>
        </w:rPr>
        <w:t xml:space="preserve">, y de </w:t>
      </w:r>
      <w:r w:rsidR="00FB457F">
        <w:rPr>
          <w:rFonts w:ascii="Verdana" w:eastAsia="Times" w:hAnsi="Verdana"/>
          <w:b w:val="0"/>
          <w:sz w:val="20"/>
          <w:lang w:val="es-ES"/>
        </w:rPr>
        <w:t>20</w:t>
      </w:r>
      <w:r w:rsidR="00AA7F13">
        <w:rPr>
          <w:rFonts w:ascii="Verdana" w:eastAsia="Times" w:hAnsi="Verdana"/>
          <w:b w:val="0"/>
          <w:sz w:val="20"/>
          <w:lang w:val="es-ES"/>
        </w:rPr>
        <w:t xml:space="preserve"> de septiembre de 2019 respecto de Tania Verónica Muñoz Pavón</w:t>
      </w:r>
      <w:r w:rsidR="004C0237">
        <w:rPr>
          <w:rFonts w:ascii="Verdana" w:eastAsia="Times" w:hAnsi="Verdana"/>
          <w:b w:val="0"/>
          <w:sz w:val="20"/>
          <w:lang w:val="es-ES"/>
        </w:rPr>
        <w:t>.</w:t>
      </w:r>
    </w:p>
    <w:p w14:paraId="2515CF1B" w14:textId="77777777" w:rsidR="003104A4" w:rsidRDefault="003104A4" w:rsidP="003104A4">
      <w:pPr>
        <w:pStyle w:val="Prrafodelista"/>
        <w:rPr>
          <w:rFonts w:ascii="Verdana" w:eastAsia="Times" w:hAnsi="Verdana"/>
          <w:b/>
          <w:sz w:val="20"/>
        </w:rPr>
      </w:pPr>
    </w:p>
    <w:p w14:paraId="0E0F0A64" w14:textId="050841E1" w:rsidR="00704150" w:rsidRDefault="003104A4" w:rsidP="0097028F">
      <w:pPr>
        <w:pStyle w:val="Sangra3detindependiente"/>
        <w:widowControl w:val="0"/>
        <w:numPr>
          <w:ilvl w:val="0"/>
          <w:numId w:val="2"/>
        </w:numPr>
        <w:ind w:left="0" w:right="18" w:firstLine="0"/>
        <w:rPr>
          <w:rFonts w:ascii="Verdana" w:eastAsia="Times" w:hAnsi="Verdana"/>
          <w:b w:val="0"/>
          <w:sz w:val="20"/>
          <w:lang w:val="es-ES"/>
        </w:rPr>
      </w:pPr>
      <w:r>
        <w:rPr>
          <w:rFonts w:ascii="Verdana" w:eastAsia="Times" w:hAnsi="Verdana"/>
          <w:b w:val="0"/>
          <w:sz w:val="20"/>
          <w:lang w:val="es-ES"/>
        </w:rPr>
        <w:t>Los escritos</w:t>
      </w:r>
      <w:r w:rsidR="00704150">
        <w:rPr>
          <w:rFonts w:ascii="Verdana" w:eastAsia="Times" w:hAnsi="Verdana"/>
          <w:b w:val="0"/>
          <w:sz w:val="20"/>
          <w:lang w:val="es-ES"/>
        </w:rPr>
        <w:t xml:space="preserve"> de</w:t>
      </w:r>
      <w:r>
        <w:rPr>
          <w:rFonts w:ascii="Verdana" w:eastAsia="Times" w:hAnsi="Verdana"/>
          <w:b w:val="0"/>
          <w:sz w:val="20"/>
          <w:lang w:val="es-ES"/>
        </w:rPr>
        <w:t xml:space="preserve"> 4 de julio</w:t>
      </w:r>
      <w:r w:rsidR="003D08B0">
        <w:rPr>
          <w:rFonts w:ascii="Verdana" w:eastAsia="Times" w:hAnsi="Verdana"/>
          <w:b w:val="0"/>
          <w:sz w:val="20"/>
          <w:lang w:val="es-ES"/>
        </w:rPr>
        <w:t xml:space="preserve">, </w:t>
      </w:r>
      <w:r w:rsidR="004C0237">
        <w:rPr>
          <w:rFonts w:ascii="Verdana" w:eastAsia="Times" w:hAnsi="Verdana"/>
          <w:b w:val="0"/>
          <w:sz w:val="20"/>
          <w:lang w:val="es-ES"/>
        </w:rPr>
        <w:t>17 de julio</w:t>
      </w:r>
      <w:r w:rsidR="00FB457F">
        <w:rPr>
          <w:rFonts w:ascii="Verdana" w:eastAsia="Times" w:hAnsi="Verdana"/>
          <w:b w:val="0"/>
          <w:sz w:val="20"/>
          <w:lang w:val="es-ES"/>
        </w:rPr>
        <w:t xml:space="preserve"> y</w:t>
      </w:r>
      <w:r w:rsidR="003D08B0">
        <w:rPr>
          <w:rFonts w:ascii="Verdana" w:eastAsia="Times" w:hAnsi="Verdana"/>
          <w:b w:val="0"/>
          <w:sz w:val="20"/>
          <w:lang w:val="es-ES"/>
        </w:rPr>
        <w:t xml:space="preserve"> </w:t>
      </w:r>
      <w:r w:rsidR="00AA7F13">
        <w:rPr>
          <w:rFonts w:ascii="Verdana" w:eastAsia="Times" w:hAnsi="Verdana"/>
          <w:b w:val="0"/>
          <w:sz w:val="20"/>
          <w:lang w:val="es-ES"/>
        </w:rPr>
        <w:t>14 de agosto</w:t>
      </w:r>
      <w:r w:rsidR="00106FFF">
        <w:rPr>
          <w:rFonts w:ascii="Verdana" w:eastAsia="Times" w:hAnsi="Verdana"/>
          <w:b w:val="0"/>
          <w:sz w:val="20"/>
          <w:lang w:val="es-ES"/>
        </w:rPr>
        <w:t xml:space="preserve"> y 10 de octubre</w:t>
      </w:r>
      <w:r>
        <w:rPr>
          <w:rFonts w:ascii="Verdana" w:eastAsia="Times" w:hAnsi="Verdana"/>
          <w:b w:val="0"/>
          <w:sz w:val="20"/>
          <w:lang w:val="es-ES"/>
        </w:rPr>
        <w:t xml:space="preserve"> de 2019, mediante los</w:t>
      </w:r>
      <w:r w:rsidR="00704150">
        <w:rPr>
          <w:rFonts w:ascii="Verdana" w:eastAsia="Times" w:hAnsi="Verdana"/>
          <w:b w:val="0"/>
          <w:sz w:val="20"/>
          <w:lang w:val="es-ES"/>
        </w:rPr>
        <w:t xml:space="preserve"> cual</w:t>
      </w:r>
      <w:r>
        <w:rPr>
          <w:rFonts w:ascii="Verdana" w:eastAsia="Times" w:hAnsi="Verdana"/>
          <w:b w:val="0"/>
          <w:sz w:val="20"/>
          <w:lang w:val="es-ES"/>
        </w:rPr>
        <w:t>es</w:t>
      </w:r>
      <w:r w:rsidR="00704150">
        <w:rPr>
          <w:rFonts w:ascii="Verdana" w:eastAsia="Times" w:hAnsi="Verdana"/>
          <w:b w:val="0"/>
          <w:sz w:val="20"/>
          <w:lang w:val="es-ES"/>
        </w:rPr>
        <w:t xml:space="preserve"> la Iniciativa Nicaragüense de Defensoras de Derechos Humanos (IND) y el Centro por la Justicia y el Derecho Internacional (CEJIL)</w:t>
      </w:r>
      <w:r>
        <w:rPr>
          <w:rFonts w:ascii="Verdana" w:eastAsia="Times" w:hAnsi="Verdana"/>
          <w:b w:val="0"/>
          <w:sz w:val="20"/>
          <w:lang w:val="es-ES"/>
        </w:rPr>
        <w:t xml:space="preserve"> presentaron observaciones a los informes del Estado en relación con la situación del señor Ricardo Baltodano</w:t>
      </w:r>
      <w:r w:rsidR="00FB457F">
        <w:rPr>
          <w:rFonts w:ascii="Verdana" w:eastAsia="Times" w:hAnsi="Verdana"/>
          <w:b w:val="0"/>
          <w:sz w:val="20"/>
          <w:lang w:val="es-ES"/>
        </w:rPr>
        <w:t>.</w:t>
      </w:r>
    </w:p>
    <w:p w14:paraId="0687FD80" w14:textId="77777777" w:rsidR="00704150" w:rsidRDefault="00704150" w:rsidP="00704150">
      <w:pPr>
        <w:pStyle w:val="Prrafodelista"/>
        <w:rPr>
          <w:rFonts w:ascii="Verdana" w:eastAsia="Times" w:hAnsi="Verdana"/>
          <w:b/>
          <w:sz w:val="20"/>
        </w:rPr>
      </w:pPr>
    </w:p>
    <w:p w14:paraId="2A14DD69" w14:textId="54255D05" w:rsidR="00704150" w:rsidRPr="008E32BB" w:rsidRDefault="004C0237" w:rsidP="00704150">
      <w:pPr>
        <w:pStyle w:val="Sangra3detindependiente"/>
        <w:widowControl w:val="0"/>
        <w:numPr>
          <w:ilvl w:val="0"/>
          <w:numId w:val="2"/>
        </w:numPr>
        <w:ind w:left="0" w:right="18" w:firstLine="0"/>
        <w:rPr>
          <w:rFonts w:ascii="Verdana" w:eastAsia="Times" w:hAnsi="Verdana"/>
          <w:b w:val="0"/>
          <w:sz w:val="20"/>
          <w:lang w:val="es-ES"/>
        </w:rPr>
      </w:pPr>
      <w:r>
        <w:rPr>
          <w:rFonts w:ascii="Verdana" w:eastAsia="Times" w:hAnsi="Verdana"/>
          <w:b w:val="0"/>
          <w:sz w:val="20"/>
          <w:lang w:val="es-ES"/>
        </w:rPr>
        <w:t>Los escritos</w:t>
      </w:r>
      <w:r w:rsidR="00704150">
        <w:rPr>
          <w:rFonts w:ascii="Verdana" w:eastAsia="Times" w:hAnsi="Verdana"/>
          <w:b w:val="0"/>
          <w:sz w:val="20"/>
          <w:lang w:val="es-ES"/>
        </w:rPr>
        <w:t xml:space="preserve"> de 22 de julio</w:t>
      </w:r>
      <w:r w:rsidR="00A23EBA">
        <w:rPr>
          <w:rFonts w:ascii="Verdana" w:eastAsia="Times" w:hAnsi="Verdana"/>
          <w:b w:val="0"/>
          <w:sz w:val="20"/>
          <w:lang w:val="es-ES"/>
        </w:rPr>
        <w:t>,</w:t>
      </w:r>
      <w:r w:rsidR="003D08B0">
        <w:rPr>
          <w:rFonts w:ascii="Verdana" w:eastAsia="Times" w:hAnsi="Verdana"/>
          <w:b w:val="0"/>
          <w:sz w:val="20"/>
          <w:lang w:val="es-ES"/>
        </w:rPr>
        <w:t xml:space="preserve"> 5 de agosto</w:t>
      </w:r>
      <w:r w:rsidR="00A23EBA">
        <w:rPr>
          <w:rFonts w:ascii="Verdana" w:eastAsia="Times" w:hAnsi="Verdana"/>
          <w:b w:val="0"/>
          <w:sz w:val="20"/>
          <w:lang w:val="es-ES"/>
        </w:rPr>
        <w:t xml:space="preserve"> y 10 de octubre</w:t>
      </w:r>
      <w:r w:rsidR="00704150">
        <w:rPr>
          <w:rFonts w:ascii="Verdana" w:eastAsia="Times" w:hAnsi="Verdana"/>
          <w:b w:val="0"/>
          <w:sz w:val="20"/>
          <w:lang w:val="es-ES"/>
        </w:rPr>
        <w:t xml:space="preserve"> de 2019</w:t>
      </w:r>
      <w:r w:rsidR="003D08B0">
        <w:rPr>
          <w:rFonts w:ascii="Verdana" w:eastAsia="Times" w:hAnsi="Verdana"/>
          <w:b w:val="0"/>
          <w:sz w:val="20"/>
          <w:lang w:val="es-ES"/>
        </w:rPr>
        <w:t>,</w:t>
      </w:r>
      <w:r w:rsidR="00704150">
        <w:rPr>
          <w:rFonts w:ascii="Verdana" w:eastAsia="Times" w:hAnsi="Verdana"/>
          <w:b w:val="0"/>
          <w:sz w:val="20"/>
          <w:lang w:val="es-ES"/>
        </w:rPr>
        <w:t xml:space="preserve"> mediante el cual la Comisión Interamericana</w:t>
      </w:r>
      <w:r w:rsidR="004937ED">
        <w:rPr>
          <w:rFonts w:ascii="Verdana" w:eastAsia="Times" w:hAnsi="Verdana"/>
          <w:b w:val="0"/>
          <w:sz w:val="20"/>
          <w:lang w:val="es-ES"/>
        </w:rPr>
        <w:t xml:space="preserve"> de Derechos Humanos (en adelante “la Comisión” o “la Comisión Interamericana”</w:t>
      </w:r>
      <w:r w:rsidR="00106FFF">
        <w:rPr>
          <w:rFonts w:ascii="Verdana" w:eastAsia="Times" w:hAnsi="Verdana"/>
          <w:b w:val="0"/>
          <w:sz w:val="20"/>
          <w:lang w:val="es-ES"/>
        </w:rPr>
        <w:t>)</w:t>
      </w:r>
      <w:r w:rsidR="00704150">
        <w:rPr>
          <w:rFonts w:ascii="Verdana" w:eastAsia="Times" w:hAnsi="Verdana"/>
          <w:b w:val="0"/>
          <w:sz w:val="20"/>
          <w:lang w:val="es-ES"/>
        </w:rPr>
        <w:t xml:space="preserve"> presentó observaciones </w:t>
      </w:r>
      <w:r>
        <w:rPr>
          <w:rFonts w:ascii="Verdana" w:eastAsia="Times" w:hAnsi="Verdana"/>
          <w:b w:val="0"/>
          <w:sz w:val="20"/>
          <w:lang w:val="es-ES"/>
        </w:rPr>
        <w:t>a los informes del Estado y a las comunicaciones de los representantes</w:t>
      </w:r>
      <w:r w:rsidRPr="00261DD2">
        <w:rPr>
          <w:rFonts w:ascii="Verdana" w:eastAsia="Times" w:hAnsi="Verdana"/>
          <w:b w:val="0"/>
          <w:sz w:val="20"/>
          <w:lang w:val="es-ES"/>
        </w:rPr>
        <w:t>.</w:t>
      </w:r>
    </w:p>
    <w:p w14:paraId="3C72432E" w14:textId="77777777" w:rsidR="00704150" w:rsidRDefault="00704150" w:rsidP="00704150">
      <w:pPr>
        <w:pStyle w:val="Sangra3detindependiente"/>
        <w:widowControl w:val="0"/>
        <w:ind w:left="0" w:right="18"/>
        <w:rPr>
          <w:rFonts w:ascii="Verdana" w:eastAsia="Times" w:hAnsi="Verdana"/>
          <w:b w:val="0"/>
          <w:sz w:val="20"/>
          <w:lang w:val="es-ES"/>
        </w:rPr>
      </w:pPr>
    </w:p>
    <w:p w14:paraId="7ED514E2" w14:textId="77777777" w:rsidR="00A16EF5" w:rsidRPr="00A95C72" w:rsidRDefault="00A16EF5" w:rsidP="00A16EF5">
      <w:pPr>
        <w:tabs>
          <w:tab w:val="left" w:pos="680"/>
        </w:tabs>
        <w:ind w:right="18"/>
        <w:jc w:val="both"/>
        <w:rPr>
          <w:rFonts w:ascii="Verdana" w:hAnsi="Verdana"/>
          <w:b/>
          <w:sz w:val="20"/>
          <w:szCs w:val="20"/>
        </w:rPr>
      </w:pPr>
      <w:r w:rsidRPr="00A95C72">
        <w:rPr>
          <w:rFonts w:ascii="Verdana" w:hAnsi="Verdana"/>
          <w:b/>
          <w:sz w:val="20"/>
          <w:szCs w:val="20"/>
        </w:rPr>
        <w:t>CONSIDERANDO QUE:</w:t>
      </w:r>
    </w:p>
    <w:p w14:paraId="2EEF403D" w14:textId="77777777" w:rsidR="00E841FA" w:rsidRDefault="00E841FA" w:rsidP="00E841FA">
      <w:pPr>
        <w:pStyle w:val="Sangra3detindependiente"/>
        <w:widowControl w:val="0"/>
        <w:ind w:left="0" w:right="18"/>
        <w:rPr>
          <w:rFonts w:ascii="Verdana" w:eastAsia="Times" w:hAnsi="Verdana"/>
          <w:b w:val="0"/>
          <w:sz w:val="20"/>
          <w:lang w:val="es-ES"/>
        </w:rPr>
      </w:pPr>
    </w:p>
    <w:p w14:paraId="5C30380F" w14:textId="1E13CDEC" w:rsidR="00681099" w:rsidRPr="00681099" w:rsidRDefault="00681099" w:rsidP="00681099">
      <w:pPr>
        <w:pStyle w:val="Sangra3detindependiente"/>
        <w:widowControl w:val="0"/>
        <w:numPr>
          <w:ilvl w:val="0"/>
          <w:numId w:val="18"/>
        </w:numPr>
        <w:ind w:right="18"/>
        <w:rPr>
          <w:rFonts w:ascii="Verdana" w:eastAsia="Times" w:hAnsi="Verdana"/>
          <w:i/>
          <w:sz w:val="20"/>
          <w:lang w:val="es-ES"/>
        </w:rPr>
      </w:pPr>
      <w:r>
        <w:rPr>
          <w:rFonts w:ascii="Verdana" w:eastAsia="Times" w:hAnsi="Verdana"/>
          <w:i/>
          <w:sz w:val="20"/>
          <w:lang w:val="es-ES"/>
        </w:rPr>
        <w:t>Antecedentes</w:t>
      </w:r>
    </w:p>
    <w:p w14:paraId="40E38A17" w14:textId="77777777" w:rsidR="00681099" w:rsidRDefault="00681099" w:rsidP="00E841FA">
      <w:pPr>
        <w:pStyle w:val="Sangra3detindependiente"/>
        <w:widowControl w:val="0"/>
        <w:ind w:left="0" w:right="18"/>
        <w:rPr>
          <w:rFonts w:ascii="Verdana" w:eastAsia="Times" w:hAnsi="Verdana"/>
          <w:b w:val="0"/>
          <w:sz w:val="20"/>
          <w:lang w:val="es-ES"/>
        </w:rPr>
      </w:pPr>
    </w:p>
    <w:p w14:paraId="04BE9D65" w14:textId="6EC93535" w:rsidR="00D6129F" w:rsidRPr="00D6129F" w:rsidRDefault="00D6129F" w:rsidP="00D6129F">
      <w:pPr>
        <w:pStyle w:val="Prrafodelista"/>
        <w:numPr>
          <w:ilvl w:val="0"/>
          <w:numId w:val="13"/>
        </w:numPr>
        <w:tabs>
          <w:tab w:val="left" w:pos="540"/>
        </w:tabs>
        <w:spacing w:line="246" w:lineRule="auto"/>
        <w:ind w:left="0" w:right="48" w:firstLine="0"/>
        <w:contextualSpacing/>
        <w:jc w:val="both"/>
        <w:rPr>
          <w:rFonts w:ascii="Verdana" w:eastAsia="Verdana" w:hAnsi="Verdana"/>
          <w:sz w:val="20"/>
          <w:szCs w:val="20"/>
          <w:lang w:val="es-PE"/>
        </w:rPr>
      </w:pPr>
      <w:r w:rsidRPr="00D6129F">
        <w:rPr>
          <w:rFonts w:ascii="Verdana" w:hAnsi="Verdana"/>
          <w:sz w:val="20"/>
          <w:szCs w:val="20"/>
        </w:rPr>
        <w:t>Nicaragua ratificó la Convención Americana sobre Derechos Humanos (en adelante también “la Convención Americana” o “la Convención”) el 25 de septiembre de 1979 y, de acuerdo con su artículo 62, reconoció la competencia contenciosa de la Corte el 12 de febrero de 1991.</w:t>
      </w:r>
    </w:p>
    <w:p w14:paraId="17ACB662" w14:textId="77777777" w:rsidR="00D6129F" w:rsidRPr="00D6129F" w:rsidRDefault="00D6129F" w:rsidP="00D6129F">
      <w:pPr>
        <w:pStyle w:val="Prrafodelista"/>
        <w:tabs>
          <w:tab w:val="left" w:pos="540"/>
        </w:tabs>
        <w:spacing w:line="246" w:lineRule="auto"/>
        <w:ind w:left="0" w:right="48"/>
        <w:contextualSpacing/>
        <w:jc w:val="both"/>
        <w:rPr>
          <w:rFonts w:ascii="Verdana" w:eastAsia="Verdana" w:hAnsi="Verdana"/>
          <w:sz w:val="20"/>
          <w:szCs w:val="20"/>
          <w:lang w:val="es-PE"/>
        </w:rPr>
      </w:pPr>
    </w:p>
    <w:p w14:paraId="75CC984D" w14:textId="75C6F43B" w:rsidR="00D6129F" w:rsidRPr="00D6129F" w:rsidRDefault="00D6129F" w:rsidP="00D6129F">
      <w:pPr>
        <w:pStyle w:val="Prrafodelista"/>
        <w:numPr>
          <w:ilvl w:val="0"/>
          <w:numId w:val="13"/>
        </w:numPr>
        <w:tabs>
          <w:tab w:val="left" w:pos="540"/>
        </w:tabs>
        <w:spacing w:line="246" w:lineRule="auto"/>
        <w:ind w:left="0" w:right="48" w:firstLine="0"/>
        <w:contextualSpacing/>
        <w:jc w:val="both"/>
        <w:rPr>
          <w:rFonts w:ascii="Verdana" w:eastAsia="Verdana" w:hAnsi="Verdana"/>
          <w:sz w:val="20"/>
          <w:szCs w:val="20"/>
          <w:lang w:val="es-PE"/>
        </w:rPr>
      </w:pPr>
      <w:r w:rsidRPr="00D6129F">
        <w:rPr>
          <w:rFonts w:ascii="Verdana" w:eastAsia="Verdana" w:hAnsi="Verdana"/>
          <w:sz w:val="20"/>
          <w:szCs w:val="20"/>
          <w:lang w:val="es-PE"/>
        </w:rPr>
        <w:t xml:space="preserve">El artículo 63.2 de la Convención Americana dispone que: “[e]n casos de extrema gravedad y urgencia, y cuando se haga necesario evitar daños irreparables a las personas, la Corte, en los asuntos que esté conociendo, podrá tomar las medidas provisionales que considere pertinentes”. </w:t>
      </w:r>
      <w:r w:rsidRPr="00D6129F">
        <w:rPr>
          <w:rFonts w:ascii="Verdana" w:eastAsia="Verdana" w:hAnsi="Verdana"/>
          <w:sz w:val="20"/>
          <w:szCs w:val="20"/>
        </w:rPr>
        <w:t>Asimismo, el artículo 27.</w:t>
      </w:r>
      <w:r w:rsidR="008A278E">
        <w:rPr>
          <w:rFonts w:ascii="Verdana" w:eastAsia="Verdana" w:hAnsi="Verdana"/>
          <w:sz w:val="20"/>
          <w:szCs w:val="20"/>
        </w:rPr>
        <w:t>2</w:t>
      </w:r>
      <w:r w:rsidRPr="00D6129F">
        <w:rPr>
          <w:rFonts w:ascii="Verdana" w:eastAsia="Verdana" w:hAnsi="Verdana"/>
          <w:sz w:val="20"/>
          <w:szCs w:val="20"/>
        </w:rPr>
        <w:t xml:space="preserve"> del Reglamento de la Corte señala que: “</w:t>
      </w:r>
      <w:r w:rsidR="008A278E">
        <w:rPr>
          <w:rFonts w:ascii="Verdana" w:eastAsia="Verdana" w:hAnsi="Verdana"/>
          <w:sz w:val="20"/>
          <w:szCs w:val="20"/>
        </w:rPr>
        <w:t>[s]i se tratare de asuntos aun no sometidos a su conocimiento, la Corte podrá actuar a solicitud de la Comisión</w:t>
      </w:r>
      <w:r w:rsidRPr="00D6129F">
        <w:rPr>
          <w:rFonts w:ascii="Verdana" w:eastAsia="Verdana" w:hAnsi="Verdana"/>
          <w:sz w:val="20"/>
          <w:szCs w:val="20"/>
        </w:rPr>
        <w:t>”.</w:t>
      </w:r>
    </w:p>
    <w:p w14:paraId="696E19C3" w14:textId="77777777" w:rsidR="00D6129F" w:rsidRPr="00D6129F" w:rsidRDefault="00D6129F" w:rsidP="00D6129F">
      <w:pPr>
        <w:pStyle w:val="Prrafodelista"/>
        <w:tabs>
          <w:tab w:val="left" w:pos="540"/>
        </w:tabs>
        <w:spacing w:line="246" w:lineRule="auto"/>
        <w:ind w:left="0" w:right="48"/>
        <w:contextualSpacing/>
        <w:jc w:val="both"/>
        <w:rPr>
          <w:rFonts w:ascii="Verdana" w:eastAsia="Verdana" w:hAnsi="Verdana"/>
          <w:sz w:val="20"/>
          <w:szCs w:val="20"/>
          <w:lang w:val="es-PE"/>
        </w:rPr>
      </w:pPr>
    </w:p>
    <w:p w14:paraId="60D60B59" w14:textId="7637BFF1" w:rsidR="00D6129F" w:rsidRPr="00D6129F" w:rsidRDefault="00D6129F" w:rsidP="00D6129F">
      <w:pPr>
        <w:pStyle w:val="Prrafodelista"/>
        <w:numPr>
          <w:ilvl w:val="0"/>
          <w:numId w:val="13"/>
        </w:numPr>
        <w:tabs>
          <w:tab w:val="left" w:pos="540"/>
        </w:tabs>
        <w:spacing w:line="246" w:lineRule="auto"/>
        <w:ind w:left="0" w:right="48" w:firstLine="0"/>
        <w:contextualSpacing/>
        <w:jc w:val="both"/>
        <w:rPr>
          <w:rFonts w:ascii="Verdana" w:eastAsia="Verdana" w:hAnsi="Verdana"/>
          <w:sz w:val="20"/>
          <w:szCs w:val="20"/>
          <w:lang w:val="es-PE"/>
        </w:rPr>
      </w:pPr>
      <w:r w:rsidRPr="00D6129F">
        <w:rPr>
          <w:rFonts w:ascii="Verdana" w:hAnsi="Verdana"/>
          <w:sz w:val="20"/>
          <w:szCs w:val="20"/>
        </w:rPr>
        <w:t>El artículo 63.2 de la Convención exige que par</w:t>
      </w:r>
      <w:r w:rsidR="004937ED">
        <w:rPr>
          <w:rFonts w:ascii="Verdana" w:hAnsi="Verdana"/>
          <w:sz w:val="20"/>
          <w:szCs w:val="20"/>
        </w:rPr>
        <w:t>a que la Corte pueda disponer</w:t>
      </w:r>
      <w:r w:rsidRPr="00D6129F">
        <w:rPr>
          <w:rFonts w:ascii="Verdana" w:hAnsi="Verdana"/>
          <w:sz w:val="20"/>
          <w:szCs w:val="20"/>
        </w:rPr>
        <w:t xml:space="preserve"> medidas provisionales deben concurrir tres condiciones: i) “extrema gravedad”; </w:t>
      </w:r>
      <w:proofErr w:type="spellStart"/>
      <w:r w:rsidRPr="00D6129F">
        <w:rPr>
          <w:rFonts w:ascii="Verdana" w:hAnsi="Verdana"/>
          <w:sz w:val="20"/>
          <w:szCs w:val="20"/>
        </w:rPr>
        <w:t>ii</w:t>
      </w:r>
      <w:proofErr w:type="spellEnd"/>
      <w:r w:rsidRPr="00D6129F">
        <w:rPr>
          <w:rFonts w:ascii="Verdana" w:hAnsi="Verdana"/>
          <w:sz w:val="20"/>
          <w:szCs w:val="20"/>
        </w:rPr>
        <w:t xml:space="preserve">) “urgencia”, y </w:t>
      </w:r>
      <w:proofErr w:type="spellStart"/>
      <w:r w:rsidRPr="00D6129F">
        <w:rPr>
          <w:rFonts w:ascii="Verdana" w:hAnsi="Verdana"/>
          <w:sz w:val="20"/>
          <w:szCs w:val="20"/>
        </w:rPr>
        <w:t>iii</w:t>
      </w:r>
      <w:proofErr w:type="spellEnd"/>
      <w:r w:rsidRPr="00D6129F">
        <w:rPr>
          <w:rFonts w:ascii="Verdana" w:hAnsi="Verdana"/>
          <w:sz w:val="20"/>
          <w:szCs w:val="20"/>
        </w:rPr>
        <w:t xml:space="preserve">) que se trate de “evitar daños irreparables a las personas”. El Tribunal ya ha señalado que, conforme a la Convención y al Reglamento, la carga procesal de demostrar </w:t>
      </w:r>
      <w:r w:rsidRPr="00D6129F">
        <w:rPr>
          <w:rFonts w:ascii="Verdana" w:hAnsi="Verdana"/>
          <w:i/>
          <w:sz w:val="20"/>
          <w:szCs w:val="20"/>
        </w:rPr>
        <w:t>prima facie</w:t>
      </w:r>
      <w:r w:rsidRPr="00D6129F">
        <w:rPr>
          <w:rFonts w:ascii="Verdana" w:hAnsi="Verdana"/>
          <w:sz w:val="20"/>
          <w:szCs w:val="20"/>
        </w:rPr>
        <w:t xml:space="preserve"> dichos requisitos recae en el solicitante</w:t>
      </w:r>
      <w:r w:rsidRPr="00D6129F">
        <w:rPr>
          <w:rStyle w:val="Refdenotaalpie"/>
          <w:rFonts w:ascii="Verdana" w:eastAsia="Verdana" w:hAnsi="Verdana"/>
          <w:sz w:val="20"/>
          <w:szCs w:val="20"/>
          <w:lang w:val="es-PE"/>
        </w:rPr>
        <w:footnoteReference w:id="1"/>
      </w:r>
      <w:r w:rsidRPr="00D6129F">
        <w:rPr>
          <w:rFonts w:ascii="Verdana" w:eastAsia="Verdana" w:hAnsi="Verdana"/>
          <w:sz w:val="20"/>
          <w:szCs w:val="20"/>
          <w:lang w:val="es-PE"/>
        </w:rPr>
        <w:t xml:space="preserve">. </w:t>
      </w:r>
      <w:r w:rsidRPr="00D6129F">
        <w:rPr>
          <w:rFonts w:ascii="Verdana" w:hAnsi="Verdana"/>
          <w:sz w:val="20"/>
          <w:szCs w:val="20"/>
        </w:rPr>
        <w:t>En razón de su competencia, en el marco de medidas provisionales, corresponde a la Corte considerar única y estrictamente aquellos argumentos que se relacionan directamente con la extrema gravedad, urgencia y la necesidad de evitar daños irreparables a las personas</w:t>
      </w:r>
      <w:r w:rsidRPr="00D6129F">
        <w:rPr>
          <w:rStyle w:val="Refdenotaalpie"/>
          <w:rFonts w:ascii="Verdana" w:hAnsi="Verdana"/>
          <w:sz w:val="20"/>
          <w:szCs w:val="20"/>
        </w:rPr>
        <w:footnoteReference w:id="2"/>
      </w:r>
      <w:r w:rsidRPr="00D6129F">
        <w:rPr>
          <w:rFonts w:ascii="Verdana" w:hAnsi="Verdana"/>
          <w:sz w:val="20"/>
          <w:szCs w:val="20"/>
        </w:rPr>
        <w:t>.</w:t>
      </w:r>
    </w:p>
    <w:p w14:paraId="15AD5681" w14:textId="77777777" w:rsidR="00A708C4" w:rsidRDefault="00A708C4" w:rsidP="00E841FA">
      <w:pPr>
        <w:pStyle w:val="Sangra3detindependiente"/>
        <w:widowControl w:val="0"/>
        <w:ind w:left="0" w:right="18"/>
        <w:rPr>
          <w:rFonts w:ascii="Verdana" w:eastAsia="Times" w:hAnsi="Verdana"/>
          <w:b w:val="0"/>
          <w:sz w:val="20"/>
          <w:lang w:val="es-ES"/>
        </w:rPr>
      </w:pPr>
    </w:p>
    <w:p w14:paraId="46060C49" w14:textId="467D9E57" w:rsidR="00A13563" w:rsidRPr="008C255F" w:rsidRDefault="00681099" w:rsidP="00517E1F">
      <w:pPr>
        <w:pStyle w:val="Prrafodelista1"/>
        <w:numPr>
          <w:ilvl w:val="0"/>
          <w:numId w:val="13"/>
        </w:numPr>
        <w:ind w:left="0" w:firstLine="0"/>
        <w:jc w:val="both"/>
        <w:rPr>
          <w:sz w:val="20"/>
          <w:szCs w:val="20"/>
        </w:rPr>
      </w:pPr>
      <w:r>
        <w:rPr>
          <w:rFonts w:eastAsia="Verdana" w:cs="Verdana"/>
          <w:sz w:val="20"/>
          <w:szCs w:val="20"/>
          <w:lang w:val="es-CR"/>
        </w:rPr>
        <w:t>La</w:t>
      </w:r>
      <w:r w:rsidR="00A13563" w:rsidRPr="008C255F">
        <w:rPr>
          <w:rFonts w:eastAsia="Verdana" w:cs="Verdana"/>
          <w:sz w:val="20"/>
          <w:szCs w:val="20"/>
          <w:lang w:val="es-CR"/>
        </w:rPr>
        <w:t xml:space="preserve"> Resolución de 21 de mayo de 2019</w:t>
      </w:r>
      <w:r>
        <w:rPr>
          <w:rFonts w:eastAsia="Verdana" w:cs="Verdana"/>
          <w:sz w:val="20"/>
          <w:szCs w:val="20"/>
          <w:lang w:val="es-CR"/>
        </w:rPr>
        <w:t xml:space="preserve"> no se originó en un caso en conocimiento de la Corte, sino en virtud de una solicitud de la Comisión Interamericana. En dicha Resolución</w:t>
      </w:r>
      <w:r w:rsidR="00A13563" w:rsidRPr="008C255F">
        <w:rPr>
          <w:rFonts w:eastAsia="Verdana" w:cs="Verdana"/>
          <w:sz w:val="20"/>
          <w:szCs w:val="20"/>
          <w:lang w:val="es-CR"/>
        </w:rPr>
        <w:t xml:space="preserve"> el </w:t>
      </w:r>
      <w:proofErr w:type="gramStart"/>
      <w:r w:rsidR="00A13563" w:rsidRPr="008C255F">
        <w:rPr>
          <w:rFonts w:eastAsia="Verdana" w:cs="Verdana"/>
          <w:sz w:val="20"/>
          <w:szCs w:val="20"/>
          <w:lang w:val="es-CR"/>
        </w:rPr>
        <w:t>Presidente</w:t>
      </w:r>
      <w:proofErr w:type="gramEnd"/>
      <w:r w:rsidR="008C255F" w:rsidRPr="008C255F">
        <w:rPr>
          <w:rFonts w:eastAsia="Verdana" w:cs="Verdana"/>
          <w:sz w:val="20"/>
          <w:szCs w:val="20"/>
          <w:lang w:val="es-CR"/>
        </w:rPr>
        <w:t xml:space="preserve">, </w:t>
      </w:r>
      <w:r w:rsidR="00A13563" w:rsidRPr="008C255F">
        <w:rPr>
          <w:sz w:val="20"/>
          <w:szCs w:val="20"/>
        </w:rPr>
        <w:t>resolvió</w:t>
      </w:r>
      <w:r>
        <w:rPr>
          <w:sz w:val="20"/>
          <w:szCs w:val="20"/>
        </w:rPr>
        <w:t xml:space="preserve">, </w:t>
      </w:r>
      <w:r>
        <w:rPr>
          <w:i/>
          <w:sz w:val="20"/>
          <w:szCs w:val="20"/>
        </w:rPr>
        <w:t xml:space="preserve">inter </w:t>
      </w:r>
      <w:proofErr w:type="spellStart"/>
      <w:r>
        <w:rPr>
          <w:i/>
          <w:sz w:val="20"/>
          <w:szCs w:val="20"/>
        </w:rPr>
        <w:t>alia</w:t>
      </w:r>
      <w:proofErr w:type="spellEnd"/>
      <w:r w:rsidRPr="00681099">
        <w:rPr>
          <w:sz w:val="20"/>
          <w:szCs w:val="20"/>
        </w:rPr>
        <w:t>,</w:t>
      </w:r>
      <w:r w:rsidR="00A13563" w:rsidRPr="008C255F">
        <w:rPr>
          <w:sz w:val="20"/>
          <w:szCs w:val="20"/>
        </w:rPr>
        <w:t xml:space="preserve"> lo siguiente:</w:t>
      </w:r>
    </w:p>
    <w:p w14:paraId="5EB45990" w14:textId="77777777" w:rsidR="00A13563" w:rsidRDefault="00A13563" w:rsidP="00A13563">
      <w:pPr>
        <w:pStyle w:val="Prrafodelista1"/>
        <w:jc w:val="both"/>
        <w:rPr>
          <w:sz w:val="20"/>
          <w:szCs w:val="20"/>
        </w:rPr>
      </w:pPr>
    </w:p>
    <w:p w14:paraId="71A66688" w14:textId="77777777" w:rsidR="008E4404" w:rsidRPr="00D96F88" w:rsidRDefault="008E4404" w:rsidP="008E4404">
      <w:pPr>
        <w:autoSpaceDE w:val="0"/>
        <w:autoSpaceDN w:val="0"/>
        <w:adjustRightInd w:val="0"/>
        <w:ind w:left="708" w:right="900"/>
        <w:jc w:val="both"/>
        <w:rPr>
          <w:rFonts w:ascii="Verdana" w:eastAsiaTheme="minorHAnsi" w:hAnsi="Verdana" w:cs="Verdana"/>
          <w:color w:val="000000"/>
          <w:sz w:val="18"/>
          <w:szCs w:val="18"/>
          <w:lang w:val="es-CR" w:eastAsia="en-US"/>
        </w:rPr>
      </w:pPr>
      <w:r w:rsidRPr="00D96F88">
        <w:rPr>
          <w:rFonts w:ascii="Verdana" w:eastAsiaTheme="minorHAnsi" w:hAnsi="Verdana" w:cs="Verdana"/>
          <w:color w:val="000000"/>
          <w:sz w:val="18"/>
          <w:szCs w:val="18"/>
          <w:lang w:val="es-CR" w:eastAsia="en-US"/>
        </w:rPr>
        <w:t xml:space="preserve">1. Requerir al Estado que adopte de forma inmediata las medidas necesarias para proteger eficazmente la salud, vida y la integridad personal de 1) Kevin Rodrigo Espinoza Gutiérrez, 2) Cristhian Rodrigo Fajardo Caballero, 3) </w:t>
      </w:r>
      <w:proofErr w:type="spellStart"/>
      <w:r w:rsidRPr="00D96F88">
        <w:rPr>
          <w:rFonts w:ascii="Verdana" w:eastAsiaTheme="minorHAnsi" w:hAnsi="Verdana" w:cs="Verdana"/>
          <w:color w:val="000000"/>
          <w:sz w:val="18"/>
          <w:szCs w:val="18"/>
          <w:lang w:val="es-CR" w:eastAsia="en-US"/>
        </w:rPr>
        <w:t>Yubrank</w:t>
      </w:r>
      <w:proofErr w:type="spellEnd"/>
      <w:r w:rsidRPr="00D96F88">
        <w:rPr>
          <w:rFonts w:ascii="Verdana" w:eastAsiaTheme="minorHAnsi" w:hAnsi="Verdana" w:cs="Verdana"/>
          <w:color w:val="000000"/>
          <w:sz w:val="18"/>
          <w:szCs w:val="18"/>
          <w:lang w:val="es-CR" w:eastAsia="en-US"/>
        </w:rPr>
        <w:t xml:space="preserve"> Miguel Suazo Herrera, 4) Edwin José </w:t>
      </w:r>
      <w:proofErr w:type="spellStart"/>
      <w:r w:rsidRPr="00D96F88">
        <w:rPr>
          <w:rFonts w:ascii="Verdana" w:eastAsiaTheme="minorHAnsi" w:hAnsi="Verdana" w:cs="Verdana"/>
          <w:color w:val="000000"/>
          <w:sz w:val="18"/>
          <w:szCs w:val="18"/>
          <w:lang w:val="es-CR" w:eastAsia="en-US"/>
        </w:rPr>
        <w:t>Carcache</w:t>
      </w:r>
      <w:proofErr w:type="spellEnd"/>
      <w:r w:rsidRPr="00D96F88">
        <w:rPr>
          <w:rFonts w:ascii="Verdana" w:eastAsiaTheme="minorHAnsi" w:hAnsi="Verdana" w:cs="Verdana"/>
          <w:color w:val="000000"/>
          <w:sz w:val="18"/>
          <w:szCs w:val="18"/>
          <w:lang w:val="es-CR" w:eastAsia="en-US"/>
        </w:rPr>
        <w:t xml:space="preserve"> Dávila, 5) Medardo Mairena Sequeira, 6) Mario </w:t>
      </w:r>
      <w:proofErr w:type="spellStart"/>
      <w:r w:rsidRPr="00D96F88">
        <w:rPr>
          <w:rFonts w:ascii="Verdana" w:eastAsiaTheme="minorHAnsi" w:hAnsi="Verdana" w:cs="Verdana"/>
          <w:color w:val="000000"/>
          <w:sz w:val="18"/>
          <w:szCs w:val="18"/>
          <w:lang w:val="es-CR" w:eastAsia="en-US"/>
        </w:rPr>
        <w:t>Lener</w:t>
      </w:r>
      <w:proofErr w:type="spellEnd"/>
      <w:r w:rsidRPr="00D96F88">
        <w:rPr>
          <w:rFonts w:ascii="Verdana" w:eastAsiaTheme="minorHAnsi" w:hAnsi="Verdana" w:cs="Verdana"/>
          <w:color w:val="000000"/>
          <w:sz w:val="18"/>
          <w:szCs w:val="18"/>
          <w:lang w:val="es-CR" w:eastAsia="en-US"/>
        </w:rPr>
        <w:t xml:space="preserve"> Fonseca Díaz, 7) Ricardo Baltodano, 8) Jaime Ramon </w:t>
      </w:r>
      <w:proofErr w:type="spellStart"/>
      <w:r w:rsidRPr="00D96F88">
        <w:rPr>
          <w:rFonts w:ascii="Verdana" w:eastAsiaTheme="minorHAnsi" w:hAnsi="Verdana" w:cs="Verdana"/>
          <w:color w:val="000000"/>
          <w:sz w:val="18"/>
          <w:szCs w:val="18"/>
          <w:lang w:val="es-CR" w:eastAsia="en-US"/>
        </w:rPr>
        <w:t>Ampie</w:t>
      </w:r>
      <w:proofErr w:type="spellEnd"/>
      <w:r w:rsidRPr="00D96F88">
        <w:rPr>
          <w:rFonts w:ascii="Verdana" w:eastAsiaTheme="minorHAnsi" w:hAnsi="Verdana" w:cs="Verdana"/>
          <w:color w:val="000000"/>
          <w:sz w:val="18"/>
          <w:szCs w:val="18"/>
          <w:lang w:val="es-CR" w:eastAsia="en-US"/>
        </w:rPr>
        <w:t xml:space="preserve"> Toledo, 9) Julio José </w:t>
      </w:r>
      <w:proofErr w:type="spellStart"/>
      <w:r w:rsidRPr="00D96F88">
        <w:rPr>
          <w:rFonts w:ascii="Verdana" w:eastAsiaTheme="minorHAnsi" w:hAnsi="Verdana" w:cs="Verdana"/>
          <w:color w:val="000000"/>
          <w:sz w:val="18"/>
          <w:szCs w:val="18"/>
          <w:lang w:val="es-CR" w:eastAsia="en-US"/>
        </w:rPr>
        <w:t>Ampie</w:t>
      </w:r>
      <w:proofErr w:type="spellEnd"/>
      <w:r w:rsidRPr="00D96F88">
        <w:rPr>
          <w:rFonts w:ascii="Verdana" w:eastAsiaTheme="minorHAnsi" w:hAnsi="Verdana" w:cs="Verdana"/>
          <w:color w:val="000000"/>
          <w:sz w:val="18"/>
          <w:szCs w:val="18"/>
          <w:lang w:val="es-CR" w:eastAsia="en-US"/>
        </w:rPr>
        <w:t xml:space="preserve"> Machado, 10) Reynaldo Lira </w:t>
      </w:r>
      <w:proofErr w:type="spellStart"/>
      <w:r w:rsidRPr="00D96F88">
        <w:rPr>
          <w:rFonts w:ascii="Verdana" w:eastAsiaTheme="minorHAnsi" w:hAnsi="Verdana" w:cs="Verdana"/>
          <w:color w:val="000000"/>
          <w:sz w:val="18"/>
          <w:szCs w:val="18"/>
          <w:lang w:val="es-CR" w:eastAsia="en-US"/>
        </w:rPr>
        <w:t>Luquez</w:t>
      </w:r>
      <w:proofErr w:type="spellEnd"/>
      <w:r w:rsidRPr="00D96F88">
        <w:rPr>
          <w:rFonts w:ascii="Verdana" w:eastAsiaTheme="minorHAnsi" w:hAnsi="Verdana" w:cs="Verdana"/>
          <w:color w:val="000000"/>
          <w:sz w:val="18"/>
          <w:szCs w:val="18"/>
          <w:lang w:val="es-CR" w:eastAsia="en-US"/>
        </w:rPr>
        <w:t xml:space="preserve">, 11) Miguel Mora Barberena, 12) Lucia Pineda </w:t>
      </w:r>
      <w:proofErr w:type="spellStart"/>
      <w:r w:rsidRPr="00D96F88">
        <w:rPr>
          <w:rFonts w:ascii="Verdana" w:eastAsiaTheme="minorHAnsi" w:hAnsi="Verdana" w:cs="Verdana"/>
          <w:color w:val="000000"/>
          <w:sz w:val="18"/>
          <w:szCs w:val="18"/>
          <w:lang w:val="es-CR" w:eastAsia="en-US"/>
        </w:rPr>
        <w:t>Ubau</w:t>
      </w:r>
      <w:proofErr w:type="spellEnd"/>
      <w:r w:rsidRPr="00D96F88">
        <w:rPr>
          <w:rFonts w:ascii="Verdana" w:eastAsiaTheme="minorHAnsi" w:hAnsi="Verdana" w:cs="Verdana"/>
          <w:color w:val="000000"/>
          <w:sz w:val="18"/>
          <w:szCs w:val="18"/>
          <w:lang w:val="es-CR" w:eastAsia="en-US"/>
        </w:rPr>
        <w:t xml:space="preserve">, 13) Amaya Eva </w:t>
      </w:r>
      <w:proofErr w:type="spellStart"/>
      <w:r w:rsidRPr="00D96F88">
        <w:rPr>
          <w:rFonts w:ascii="Verdana" w:eastAsiaTheme="minorHAnsi" w:hAnsi="Verdana" w:cs="Verdana"/>
          <w:color w:val="000000"/>
          <w:sz w:val="18"/>
          <w:szCs w:val="18"/>
          <w:lang w:val="es-CR" w:eastAsia="en-US"/>
        </w:rPr>
        <w:t>Coppens</w:t>
      </w:r>
      <w:proofErr w:type="spellEnd"/>
      <w:r w:rsidRPr="00D96F88">
        <w:rPr>
          <w:rFonts w:ascii="Verdana" w:eastAsiaTheme="minorHAnsi" w:hAnsi="Verdana" w:cs="Verdana"/>
          <w:color w:val="000000"/>
          <w:sz w:val="18"/>
          <w:szCs w:val="18"/>
          <w:lang w:val="es-CR" w:eastAsia="en-US"/>
        </w:rPr>
        <w:t xml:space="preserve"> Zamora, 14) </w:t>
      </w:r>
      <w:proofErr w:type="spellStart"/>
      <w:r w:rsidRPr="00D96F88">
        <w:rPr>
          <w:rFonts w:ascii="Verdana" w:eastAsiaTheme="minorHAnsi" w:hAnsi="Verdana" w:cs="Verdana"/>
          <w:color w:val="000000"/>
          <w:sz w:val="18"/>
          <w:szCs w:val="18"/>
          <w:lang w:val="es-CR" w:eastAsia="en-US"/>
        </w:rPr>
        <w:t>Olesia</w:t>
      </w:r>
      <w:proofErr w:type="spellEnd"/>
      <w:r w:rsidRPr="00D96F88">
        <w:rPr>
          <w:rFonts w:ascii="Verdana" w:eastAsiaTheme="minorHAnsi" w:hAnsi="Verdana" w:cs="Verdana"/>
          <w:color w:val="000000"/>
          <w:sz w:val="18"/>
          <w:szCs w:val="18"/>
          <w:lang w:val="es-CR" w:eastAsia="en-US"/>
        </w:rPr>
        <w:t xml:space="preserve"> Auxiliadora Muñoz Pavón, 15) Tania Verónica Muñoz Pavón, 16) María Adilia Peralta Serrato, e 17) Irlanda </w:t>
      </w:r>
      <w:proofErr w:type="spellStart"/>
      <w:r w:rsidRPr="00D96F88">
        <w:rPr>
          <w:rFonts w:ascii="Verdana" w:eastAsiaTheme="minorHAnsi" w:hAnsi="Verdana" w:cs="Verdana"/>
          <w:color w:val="000000"/>
          <w:sz w:val="18"/>
          <w:szCs w:val="18"/>
          <w:lang w:val="es-CR" w:eastAsia="en-US"/>
        </w:rPr>
        <w:t>Undina</w:t>
      </w:r>
      <w:proofErr w:type="spellEnd"/>
      <w:r w:rsidRPr="00D96F88">
        <w:rPr>
          <w:rFonts w:ascii="Verdana" w:eastAsiaTheme="minorHAnsi" w:hAnsi="Verdana" w:cs="Verdana"/>
          <w:color w:val="000000"/>
          <w:sz w:val="18"/>
          <w:szCs w:val="18"/>
          <w:lang w:val="es-CR" w:eastAsia="en-US"/>
        </w:rPr>
        <w:t xml:space="preserve"> </w:t>
      </w:r>
      <w:proofErr w:type="spellStart"/>
      <w:r w:rsidRPr="00D96F88">
        <w:rPr>
          <w:rFonts w:ascii="Verdana" w:eastAsiaTheme="minorHAnsi" w:hAnsi="Verdana" w:cs="Verdana"/>
          <w:color w:val="000000"/>
          <w:sz w:val="18"/>
          <w:szCs w:val="18"/>
          <w:lang w:val="es-CR" w:eastAsia="en-US"/>
        </w:rPr>
        <w:t>Jeréz</w:t>
      </w:r>
      <w:proofErr w:type="spellEnd"/>
      <w:r w:rsidRPr="00D96F88">
        <w:rPr>
          <w:rFonts w:ascii="Verdana" w:eastAsiaTheme="minorHAnsi" w:hAnsi="Verdana" w:cs="Verdana"/>
          <w:color w:val="000000"/>
          <w:sz w:val="18"/>
          <w:szCs w:val="18"/>
          <w:lang w:val="es-CR" w:eastAsia="en-US"/>
        </w:rPr>
        <w:t xml:space="preserve"> Barrera en los términos del Considerando 27 de la presente Resolución. </w:t>
      </w:r>
    </w:p>
    <w:p w14:paraId="17B85C94" w14:textId="77777777" w:rsidR="008E4404" w:rsidRPr="00D96F88" w:rsidRDefault="008E4404" w:rsidP="008E4404">
      <w:pPr>
        <w:autoSpaceDE w:val="0"/>
        <w:autoSpaceDN w:val="0"/>
        <w:adjustRightInd w:val="0"/>
        <w:ind w:left="708" w:right="900"/>
        <w:jc w:val="both"/>
        <w:rPr>
          <w:rFonts w:ascii="Verdana" w:eastAsiaTheme="minorHAnsi" w:hAnsi="Verdana" w:cs="Verdana"/>
          <w:color w:val="000000"/>
          <w:sz w:val="18"/>
          <w:szCs w:val="18"/>
          <w:lang w:val="es-CR" w:eastAsia="en-US"/>
        </w:rPr>
      </w:pPr>
    </w:p>
    <w:p w14:paraId="16C46645" w14:textId="77777777" w:rsidR="008E4404" w:rsidRPr="00D96F88" w:rsidRDefault="008E4404" w:rsidP="008E4404">
      <w:pPr>
        <w:autoSpaceDE w:val="0"/>
        <w:autoSpaceDN w:val="0"/>
        <w:adjustRightInd w:val="0"/>
        <w:ind w:left="708" w:right="900"/>
        <w:jc w:val="both"/>
        <w:rPr>
          <w:rFonts w:ascii="Verdana" w:eastAsiaTheme="minorHAnsi" w:hAnsi="Verdana" w:cs="Verdana"/>
          <w:color w:val="000000"/>
          <w:sz w:val="18"/>
          <w:szCs w:val="18"/>
          <w:lang w:val="es-CR" w:eastAsia="en-US"/>
        </w:rPr>
      </w:pPr>
      <w:r w:rsidRPr="00D96F88">
        <w:rPr>
          <w:rFonts w:ascii="Verdana" w:eastAsiaTheme="minorHAnsi" w:hAnsi="Verdana" w:cs="Verdana"/>
          <w:color w:val="000000"/>
          <w:sz w:val="18"/>
          <w:szCs w:val="18"/>
          <w:lang w:val="es-CR" w:eastAsia="en-US"/>
        </w:rPr>
        <w:t xml:space="preserve">2. Respecto de los beneficiarios María Adilia Peralta </w:t>
      </w:r>
      <w:proofErr w:type="spellStart"/>
      <w:r w:rsidRPr="00D96F88">
        <w:rPr>
          <w:rFonts w:ascii="Verdana" w:eastAsiaTheme="minorHAnsi" w:hAnsi="Verdana" w:cs="Verdana"/>
          <w:color w:val="000000"/>
          <w:sz w:val="18"/>
          <w:szCs w:val="18"/>
          <w:lang w:val="es-CR" w:eastAsia="en-US"/>
        </w:rPr>
        <w:t>Cerratos</w:t>
      </w:r>
      <w:proofErr w:type="spellEnd"/>
      <w:r w:rsidRPr="00D96F88">
        <w:rPr>
          <w:rFonts w:ascii="Verdana" w:eastAsiaTheme="minorHAnsi" w:hAnsi="Verdana" w:cs="Verdana"/>
          <w:color w:val="000000"/>
          <w:sz w:val="18"/>
          <w:szCs w:val="18"/>
          <w:lang w:val="es-CR" w:eastAsia="en-US"/>
        </w:rPr>
        <w:t xml:space="preserve">, Jaime Ramón </w:t>
      </w:r>
      <w:proofErr w:type="spellStart"/>
      <w:r w:rsidRPr="00D96F88">
        <w:rPr>
          <w:rFonts w:ascii="Verdana" w:eastAsiaTheme="minorHAnsi" w:hAnsi="Verdana" w:cs="Verdana"/>
          <w:color w:val="000000"/>
          <w:sz w:val="18"/>
          <w:szCs w:val="18"/>
          <w:lang w:val="es-CR" w:eastAsia="en-US"/>
        </w:rPr>
        <w:t>Ampié</w:t>
      </w:r>
      <w:proofErr w:type="spellEnd"/>
      <w:r w:rsidRPr="00D96F88">
        <w:rPr>
          <w:rFonts w:ascii="Verdana" w:eastAsiaTheme="minorHAnsi" w:hAnsi="Verdana" w:cs="Verdana"/>
          <w:color w:val="000000"/>
          <w:sz w:val="18"/>
          <w:szCs w:val="18"/>
          <w:lang w:val="es-CR" w:eastAsia="en-US"/>
        </w:rPr>
        <w:t xml:space="preserve"> Toledo, Julio José </w:t>
      </w:r>
      <w:proofErr w:type="spellStart"/>
      <w:r w:rsidRPr="00D96F88">
        <w:rPr>
          <w:rFonts w:ascii="Verdana" w:eastAsiaTheme="minorHAnsi" w:hAnsi="Verdana" w:cs="Verdana"/>
          <w:color w:val="000000"/>
          <w:sz w:val="18"/>
          <w:szCs w:val="18"/>
          <w:lang w:val="es-CR" w:eastAsia="en-US"/>
        </w:rPr>
        <w:t>Ampié</w:t>
      </w:r>
      <w:proofErr w:type="spellEnd"/>
      <w:r w:rsidRPr="00D96F88">
        <w:rPr>
          <w:rFonts w:ascii="Verdana" w:eastAsiaTheme="minorHAnsi" w:hAnsi="Verdana" w:cs="Verdana"/>
          <w:color w:val="000000"/>
          <w:sz w:val="18"/>
          <w:szCs w:val="18"/>
          <w:lang w:val="es-CR" w:eastAsia="en-US"/>
        </w:rPr>
        <w:t xml:space="preserve"> Machado, Reynaldo Lira </w:t>
      </w:r>
      <w:proofErr w:type="spellStart"/>
      <w:r w:rsidRPr="00D96F88">
        <w:rPr>
          <w:rFonts w:ascii="Verdana" w:eastAsiaTheme="minorHAnsi" w:hAnsi="Verdana" w:cs="Verdana"/>
          <w:color w:val="000000"/>
          <w:sz w:val="18"/>
          <w:szCs w:val="18"/>
          <w:lang w:val="es-CR" w:eastAsia="en-US"/>
        </w:rPr>
        <w:t>Luquez</w:t>
      </w:r>
      <w:proofErr w:type="spellEnd"/>
      <w:r w:rsidRPr="00D96F88">
        <w:rPr>
          <w:rFonts w:ascii="Verdana" w:eastAsiaTheme="minorHAnsi" w:hAnsi="Verdana" w:cs="Verdana"/>
          <w:color w:val="000000"/>
          <w:sz w:val="18"/>
          <w:szCs w:val="18"/>
          <w:lang w:val="es-CR" w:eastAsia="en-US"/>
        </w:rPr>
        <w:t xml:space="preserve">, y Tania Verónica Muñoz Pavón, tomando en cuenta que el Estado afirmó que se les “otorgó beneficio legal de convivencia familiar a partir del día 20 de mayo” de 2019, requerir a sus representantes o la Comisión Interamericana de Derechos Humanos que confirmen que tal beneficio se hizo efectivo y se encuentran en libertad. </w:t>
      </w:r>
    </w:p>
    <w:p w14:paraId="07942A01" w14:textId="77777777" w:rsidR="008E4404" w:rsidRPr="00D96F88" w:rsidRDefault="008E4404" w:rsidP="008E4404">
      <w:pPr>
        <w:autoSpaceDE w:val="0"/>
        <w:autoSpaceDN w:val="0"/>
        <w:adjustRightInd w:val="0"/>
        <w:ind w:left="708" w:right="900"/>
        <w:jc w:val="both"/>
        <w:rPr>
          <w:rFonts w:ascii="Verdana" w:eastAsiaTheme="minorHAnsi" w:hAnsi="Verdana" w:cs="Verdana"/>
          <w:color w:val="000000"/>
          <w:sz w:val="18"/>
          <w:szCs w:val="18"/>
          <w:lang w:val="es-CR" w:eastAsia="en-US"/>
        </w:rPr>
      </w:pPr>
    </w:p>
    <w:p w14:paraId="0405D18A" w14:textId="6E87F40D" w:rsidR="008E4404" w:rsidRPr="00D96F88" w:rsidRDefault="008E4404" w:rsidP="00A708C4">
      <w:pPr>
        <w:autoSpaceDE w:val="0"/>
        <w:autoSpaceDN w:val="0"/>
        <w:adjustRightInd w:val="0"/>
        <w:ind w:left="708" w:right="900"/>
        <w:jc w:val="both"/>
        <w:rPr>
          <w:rFonts w:ascii="Verdana" w:eastAsiaTheme="minorHAnsi" w:hAnsi="Verdana" w:cs="Verdana"/>
          <w:color w:val="000000"/>
          <w:sz w:val="18"/>
          <w:szCs w:val="18"/>
          <w:lang w:val="es-CR" w:eastAsia="en-US"/>
        </w:rPr>
      </w:pPr>
      <w:r w:rsidRPr="00D96F88">
        <w:rPr>
          <w:rFonts w:ascii="Verdana" w:eastAsiaTheme="minorHAnsi" w:hAnsi="Verdana" w:cs="Verdana"/>
          <w:color w:val="000000"/>
          <w:sz w:val="18"/>
          <w:szCs w:val="18"/>
          <w:lang w:val="es-CR" w:eastAsia="en-US"/>
        </w:rPr>
        <w:t xml:space="preserve">3. Requerir al Estado que, respecto de los restantes doce beneficiarios (Kevin Rodrigo Espinoza Gutiérrez, Cristhian Rodrigo Fajardo Caballero, </w:t>
      </w:r>
      <w:proofErr w:type="spellStart"/>
      <w:r w:rsidRPr="00D96F88">
        <w:rPr>
          <w:rFonts w:ascii="Verdana" w:eastAsiaTheme="minorHAnsi" w:hAnsi="Verdana" w:cs="Verdana"/>
          <w:color w:val="000000"/>
          <w:sz w:val="18"/>
          <w:szCs w:val="18"/>
          <w:lang w:val="es-CR" w:eastAsia="en-US"/>
        </w:rPr>
        <w:t>Yubrank</w:t>
      </w:r>
      <w:proofErr w:type="spellEnd"/>
      <w:r w:rsidRPr="00D96F88">
        <w:rPr>
          <w:rFonts w:ascii="Verdana" w:eastAsiaTheme="minorHAnsi" w:hAnsi="Verdana" w:cs="Verdana"/>
          <w:color w:val="000000"/>
          <w:sz w:val="18"/>
          <w:szCs w:val="18"/>
          <w:lang w:val="es-CR" w:eastAsia="en-US"/>
        </w:rPr>
        <w:t xml:space="preserve"> Miguel Suazo Herrera, Edwin José </w:t>
      </w:r>
      <w:proofErr w:type="spellStart"/>
      <w:r w:rsidRPr="00D96F88">
        <w:rPr>
          <w:rFonts w:ascii="Verdana" w:eastAsiaTheme="minorHAnsi" w:hAnsi="Verdana" w:cs="Verdana"/>
          <w:color w:val="000000"/>
          <w:sz w:val="18"/>
          <w:szCs w:val="18"/>
          <w:lang w:val="es-CR" w:eastAsia="en-US"/>
        </w:rPr>
        <w:t>Carcache</w:t>
      </w:r>
      <w:proofErr w:type="spellEnd"/>
      <w:r w:rsidRPr="00D96F88">
        <w:rPr>
          <w:rFonts w:ascii="Verdana" w:eastAsiaTheme="minorHAnsi" w:hAnsi="Verdana" w:cs="Verdana"/>
          <w:color w:val="000000"/>
          <w:sz w:val="18"/>
          <w:szCs w:val="18"/>
          <w:lang w:val="es-CR" w:eastAsia="en-US"/>
        </w:rPr>
        <w:t xml:space="preserve"> Dávila, Medardo Mairena Sequeira, Mario </w:t>
      </w:r>
      <w:proofErr w:type="spellStart"/>
      <w:r w:rsidRPr="00D96F88">
        <w:rPr>
          <w:rFonts w:ascii="Verdana" w:eastAsiaTheme="minorHAnsi" w:hAnsi="Verdana" w:cs="Verdana"/>
          <w:color w:val="000000"/>
          <w:sz w:val="18"/>
          <w:szCs w:val="18"/>
          <w:lang w:val="es-CR" w:eastAsia="en-US"/>
        </w:rPr>
        <w:t>Lener</w:t>
      </w:r>
      <w:proofErr w:type="spellEnd"/>
      <w:r w:rsidRPr="00D96F88">
        <w:rPr>
          <w:rFonts w:ascii="Verdana" w:eastAsiaTheme="minorHAnsi" w:hAnsi="Verdana" w:cs="Verdana"/>
          <w:color w:val="000000"/>
          <w:sz w:val="18"/>
          <w:szCs w:val="18"/>
          <w:lang w:val="es-CR" w:eastAsia="en-US"/>
        </w:rPr>
        <w:t xml:space="preserve"> Fonseca Díaz, Ricardo Baltodano, Miguel Mora Barberena, Lucia Pineda </w:t>
      </w:r>
      <w:proofErr w:type="spellStart"/>
      <w:r w:rsidRPr="00D96F88">
        <w:rPr>
          <w:rFonts w:ascii="Verdana" w:eastAsiaTheme="minorHAnsi" w:hAnsi="Verdana" w:cs="Verdana"/>
          <w:color w:val="000000"/>
          <w:sz w:val="18"/>
          <w:szCs w:val="18"/>
          <w:lang w:val="es-CR" w:eastAsia="en-US"/>
        </w:rPr>
        <w:t>Ubau</w:t>
      </w:r>
      <w:proofErr w:type="spellEnd"/>
      <w:r w:rsidRPr="00D96F88">
        <w:rPr>
          <w:rFonts w:ascii="Verdana" w:eastAsiaTheme="minorHAnsi" w:hAnsi="Verdana" w:cs="Verdana"/>
          <w:color w:val="000000"/>
          <w:sz w:val="18"/>
          <w:szCs w:val="18"/>
          <w:lang w:val="es-CR" w:eastAsia="en-US"/>
        </w:rPr>
        <w:t xml:space="preserve">, Amaya Eva </w:t>
      </w:r>
      <w:proofErr w:type="spellStart"/>
      <w:r w:rsidRPr="00D96F88">
        <w:rPr>
          <w:rFonts w:ascii="Verdana" w:eastAsiaTheme="minorHAnsi" w:hAnsi="Verdana" w:cs="Verdana"/>
          <w:color w:val="000000"/>
          <w:sz w:val="18"/>
          <w:szCs w:val="18"/>
          <w:lang w:val="es-CR" w:eastAsia="en-US"/>
        </w:rPr>
        <w:t>Coppens</w:t>
      </w:r>
      <w:proofErr w:type="spellEnd"/>
      <w:r w:rsidRPr="00D96F88">
        <w:rPr>
          <w:rFonts w:ascii="Verdana" w:eastAsiaTheme="minorHAnsi" w:hAnsi="Verdana" w:cs="Verdana"/>
          <w:color w:val="000000"/>
          <w:sz w:val="18"/>
          <w:szCs w:val="18"/>
          <w:lang w:val="es-CR" w:eastAsia="en-US"/>
        </w:rPr>
        <w:t xml:space="preserve"> Zamora, </w:t>
      </w:r>
      <w:proofErr w:type="spellStart"/>
      <w:r w:rsidRPr="00D96F88">
        <w:rPr>
          <w:rFonts w:ascii="Verdana" w:eastAsiaTheme="minorHAnsi" w:hAnsi="Verdana" w:cs="Verdana"/>
          <w:color w:val="000000"/>
          <w:sz w:val="18"/>
          <w:szCs w:val="18"/>
          <w:lang w:val="es-CR" w:eastAsia="en-US"/>
        </w:rPr>
        <w:t>Olesia</w:t>
      </w:r>
      <w:proofErr w:type="spellEnd"/>
      <w:r w:rsidRPr="00D96F88">
        <w:rPr>
          <w:rFonts w:ascii="Verdana" w:eastAsiaTheme="minorHAnsi" w:hAnsi="Verdana" w:cs="Verdana"/>
          <w:color w:val="000000"/>
          <w:sz w:val="18"/>
          <w:szCs w:val="18"/>
          <w:lang w:val="es-CR" w:eastAsia="en-US"/>
        </w:rPr>
        <w:t xml:space="preserve"> Auxiliadora Muñoz Pavón, e Irlanda </w:t>
      </w:r>
      <w:proofErr w:type="spellStart"/>
      <w:r w:rsidRPr="00D96F88">
        <w:rPr>
          <w:rFonts w:ascii="Verdana" w:eastAsiaTheme="minorHAnsi" w:hAnsi="Verdana" w:cs="Verdana"/>
          <w:color w:val="000000"/>
          <w:sz w:val="18"/>
          <w:szCs w:val="18"/>
          <w:lang w:val="es-CR" w:eastAsia="en-US"/>
        </w:rPr>
        <w:t>Undina</w:t>
      </w:r>
      <w:proofErr w:type="spellEnd"/>
      <w:r w:rsidRPr="00D96F88">
        <w:rPr>
          <w:rFonts w:ascii="Verdana" w:eastAsiaTheme="minorHAnsi" w:hAnsi="Verdana" w:cs="Verdana"/>
          <w:color w:val="000000"/>
          <w:sz w:val="18"/>
          <w:szCs w:val="18"/>
          <w:lang w:val="es-CR" w:eastAsia="en-US"/>
        </w:rPr>
        <w:t xml:space="preserve"> </w:t>
      </w:r>
      <w:proofErr w:type="spellStart"/>
      <w:r w:rsidRPr="00D96F88">
        <w:rPr>
          <w:rFonts w:ascii="Verdana" w:eastAsiaTheme="minorHAnsi" w:hAnsi="Verdana" w:cs="Verdana"/>
          <w:color w:val="000000"/>
          <w:sz w:val="18"/>
          <w:szCs w:val="18"/>
          <w:lang w:val="es-CR" w:eastAsia="en-US"/>
        </w:rPr>
        <w:t>Jeréz</w:t>
      </w:r>
      <w:proofErr w:type="spellEnd"/>
      <w:r w:rsidRPr="00D96F88">
        <w:rPr>
          <w:rFonts w:ascii="Verdana" w:eastAsiaTheme="minorHAnsi" w:hAnsi="Verdana" w:cs="Verdana"/>
          <w:color w:val="000000"/>
          <w:sz w:val="18"/>
          <w:szCs w:val="18"/>
          <w:lang w:val="es-CR" w:eastAsia="en-US"/>
        </w:rPr>
        <w:t xml:space="preserve"> Barrera), evalúe, de manera inmediata, el otorgamiento de medidas alternativas a la privación de libertad, de conformidad con su </w:t>
      </w:r>
      <w:r w:rsidRPr="00D96F88">
        <w:rPr>
          <w:rFonts w:ascii="Verdana" w:eastAsiaTheme="minorHAnsi" w:hAnsi="Verdana" w:cs="Verdana"/>
          <w:color w:val="000000"/>
          <w:sz w:val="18"/>
          <w:szCs w:val="18"/>
          <w:lang w:val="es-CR" w:eastAsia="en-US"/>
        </w:rPr>
        <w:lastRenderedPageBreak/>
        <w:t>normativa interna y los estándares interamericanos, tomando en cuenta lo indicado en los Considerandos 27 al 30 de la presente Resoluc</w:t>
      </w:r>
      <w:r w:rsidR="00A708C4">
        <w:rPr>
          <w:rFonts w:ascii="Verdana" w:eastAsiaTheme="minorHAnsi" w:hAnsi="Verdana" w:cs="Verdana"/>
          <w:color w:val="000000"/>
          <w:sz w:val="18"/>
          <w:szCs w:val="18"/>
          <w:lang w:val="es-CR" w:eastAsia="en-US"/>
        </w:rPr>
        <w:t xml:space="preserve">ión. </w:t>
      </w:r>
    </w:p>
    <w:p w14:paraId="6319D8FE" w14:textId="77777777" w:rsidR="008E4404" w:rsidRDefault="008E4404" w:rsidP="00A13563">
      <w:pPr>
        <w:pStyle w:val="Prrafodelista1"/>
        <w:jc w:val="both"/>
        <w:rPr>
          <w:sz w:val="20"/>
          <w:szCs w:val="20"/>
          <w:lang w:val="es-CR"/>
        </w:rPr>
      </w:pPr>
    </w:p>
    <w:p w14:paraId="7B732161" w14:textId="7414CBF0" w:rsidR="00681099" w:rsidRPr="00681099" w:rsidRDefault="00681099" w:rsidP="00681099">
      <w:pPr>
        <w:pStyle w:val="Sangra3detindependiente"/>
        <w:widowControl w:val="0"/>
        <w:numPr>
          <w:ilvl w:val="0"/>
          <w:numId w:val="18"/>
        </w:numPr>
        <w:ind w:right="18"/>
        <w:rPr>
          <w:rFonts w:ascii="Verdana" w:eastAsia="Times" w:hAnsi="Verdana"/>
          <w:i/>
          <w:sz w:val="20"/>
          <w:lang w:val="es-ES"/>
        </w:rPr>
      </w:pPr>
      <w:r>
        <w:rPr>
          <w:rFonts w:ascii="Verdana" w:eastAsia="Times" w:hAnsi="Verdana"/>
          <w:i/>
          <w:sz w:val="20"/>
          <w:lang w:val="es-ES"/>
        </w:rPr>
        <w:t>Solicitud del Estado y observaciones de los representantes y la Comisión</w:t>
      </w:r>
    </w:p>
    <w:p w14:paraId="25B0672E" w14:textId="77777777" w:rsidR="00681099" w:rsidRDefault="00681099" w:rsidP="00A13563">
      <w:pPr>
        <w:pStyle w:val="Prrafodelista1"/>
        <w:jc w:val="both"/>
        <w:rPr>
          <w:sz w:val="20"/>
          <w:szCs w:val="20"/>
          <w:lang w:val="es-CR"/>
        </w:rPr>
      </w:pPr>
    </w:p>
    <w:p w14:paraId="7CFC5059" w14:textId="69A828C6" w:rsidR="00BE4E26" w:rsidRPr="00BE4E26" w:rsidRDefault="00A421E9" w:rsidP="00D6129F">
      <w:pPr>
        <w:pStyle w:val="Sangra3detindependiente"/>
        <w:widowControl w:val="0"/>
        <w:numPr>
          <w:ilvl w:val="0"/>
          <w:numId w:val="13"/>
        </w:numPr>
        <w:ind w:left="0" w:right="18" w:firstLine="0"/>
        <w:rPr>
          <w:rFonts w:ascii="Verdana" w:eastAsia="Times" w:hAnsi="Verdana"/>
          <w:b w:val="0"/>
          <w:sz w:val="20"/>
          <w:lang w:val="es-ES"/>
        </w:rPr>
      </w:pPr>
      <w:r>
        <w:rPr>
          <w:rFonts w:ascii="Verdana" w:eastAsia="Times" w:hAnsi="Verdana"/>
          <w:b w:val="0"/>
          <w:sz w:val="20"/>
          <w:lang w:val="es-ES"/>
        </w:rPr>
        <w:t>El</w:t>
      </w:r>
      <w:r w:rsidR="00BE4E26">
        <w:rPr>
          <w:rFonts w:ascii="Verdana" w:eastAsia="Times" w:hAnsi="Verdana"/>
          <w:b w:val="0"/>
          <w:sz w:val="20"/>
          <w:lang w:val="es-ES"/>
        </w:rPr>
        <w:t xml:space="preserve"> </w:t>
      </w:r>
      <w:r>
        <w:rPr>
          <w:rFonts w:ascii="Verdana" w:eastAsia="Times" w:hAnsi="Verdana"/>
          <w:i/>
          <w:sz w:val="20"/>
          <w:lang w:val="es-ES"/>
        </w:rPr>
        <w:t>Estado</w:t>
      </w:r>
      <w:r>
        <w:rPr>
          <w:rFonts w:ascii="Verdana" w:eastAsia="Times" w:hAnsi="Verdana"/>
          <w:sz w:val="20"/>
          <w:lang w:val="es-ES"/>
        </w:rPr>
        <w:t xml:space="preserve"> </w:t>
      </w:r>
      <w:r w:rsidR="0075037B">
        <w:rPr>
          <w:rFonts w:ascii="Verdana" w:eastAsia="Times" w:hAnsi="Verdana"/>
          <w:b w:val="0"/>
          <w:sz w:val="20"/>
          <w:lang w:val="es-ES"/>
        </w:rPr>
        <w:t xml:space="preserve">informó a la Corte </w:t>
      </w:r>
      <w:r w:rsidR="00BE4E26">
        <w:rPr>
          <w:rFonts w:ascii="Verdana" w:eastAsia="Times" w:hAnsi="Verdana"/>
          <w:b w:val="0"/>
          <w:sz w:val="20"/>
          <w:lang w:val="es-ES"/>
        </w:rPr>
        <w:t>que el 20</w:t>
      </w:r>
      <w:r w:rsidR="0075037B">
        <w:rPr>
          <w:rFonts w:ascii="Verdana" w:eastAsia="Times" w:hAnsi="Verdana"/>
          <w:b w:val="0"/>
          <w:sz w:val="20"/>
          <w:lang w:val="es-ES"/>
        </w:rPr>
        <w:t xml:space="preserve"> de mayo de 2019 se otorgó la libertad bajo el beneficio de convivencia familiar a 100 personas que se encontraban detenidas, y que entre estas personas se encontraban 5 beneficiarios de las medidas </w:t>
      </w:r>
      <w:r w:rsidR="00BE4E26">
        <w:rPr>
          <w:rFonts w:ascii="Verdana" w:eastAsia="Times" w:hAnsi="Verdana"/>
          <w:b w:val="0"/>
          <w:sz w:val="20"/>
          <w:lang w:val="es-ES"/>
        </w:rPr>
        <w:t xml:space="preserve">urgentes de 21 de mayo de 2019: María Adilia Peralta </w:t>
      </w:r>
      <w:proofErr w:type="spellStart"/>
      <w:r w:rsidR="00BE4E26">
        <w:rPr>
          <w:rFonts w:ascii="Verdana" w:eastAsia="Times" w:hAnsi="Verdana"/>
          <w:b w:val="0"/>
          <w:sz w:val="20"/>
          <w:lang w:val="es-ES"/>
        </w:rPr>
        <w:t>Cerratos</w:t>
      </w:r>
      <w:proofErr w:type="spellEnd"/>
      <w:r w:rsidR="00BE4E26">
        <w:rPr>
          <w:rFonts w:ascii="Verdana" w:eastAsia="Times" w:hAnsi="Verdana"/>
          <w:b w:val="0"/>
          <w:sz w:val="20"/>
          <w:lang w:val="es-ES"/>
        </w:rPr>
        <w:t xml:space="preserve">, Jaime Ramón </w:t>
      </w:r>
      <w:proofErr w:type="spellStart"/>
      <w:r w:rsidR="00BE4E26">
        <w:rPr>
          <w:rFonts w:ascii="Verdana" w:eastAsia="Times" w:hAnsi="Verdana"/>
          <w:b w:val="0"/>
          <w:sz w:val="20"/>
          <w:lang w:val="es-ES"/>
        </w:rPr>
        <w:t>Ampié</w:t>
      </w:r>
      <w:proofErr w:type="spellEnd"/>
      <w:r w:rsidR="00BE4E26">
        <w:rPr>
          <w:rFonts w:ascii="Verdana" w:eastAsia="Times" w:hAnsi="Verdana"/>
          <w:b w:val="0"/>
          <w:sz w:val="20"/>
          <w:lang w:val="es-ES"/>
        </w:rPr>
        <w:t xml:space="preserve"> Toledo, Julio José </w:t>
      </w:r>
      <w:proofErr w:type="spellStart"/>
      <w:r w:rsidR="00BE4E26">
        <w:rPr>
          <w:rFonts w:ascii="Verdana" w:eastAsia="Times" w:hAnsi="Verdana"/>
          <w:b w:val="0"/>
          <w:sz w:val="20"/>
          <w:lang w:val="es-ES"/>
        </w:rPr>
        <w:t>Ampié</w:t>
      </w:r>
      <w:proofErr w:type="spellEnd"/>
      <w:r w:rsidR="00BE4E26">
        <w:rPr>
          <w:rFonts w:ascii="Verdana" w:eastAsia="Times" w:hAnsi="Verdana"/>
          <w:b w:val="0"/>
          <w:sz w:val="20"/>
          <w:lang w:val="es-ES"/>
        </w:rPr>
        <w:t xml:space="preserve"> Machado, Reynaldo Lira </w:t>
      </w:r>
      <w:proofErr w:type="spellStart"/>
      <w:r w:rsidR="00BE4E26">
        <w:rPr>
          <w:rFonts w:ascii="Verdana" w:eastAsia="Times" w:hAnsi="Verdana"/>
          <w:b w:val="0"/>
          <w:sz w:val="20"/>
          <w:lang w:val="es-ES"/>
        </w:rPr>
        <w:t>Luquez</w:t>
      </w:r>
      <w:proofErr w:type="spellEnd"/>
      <w:r w:rsidR="00BE4E26">
        <w:rPr>
          <w:rFonts w:ascii="Verdana" w:eastAsia="Times" w:hAnsi="Verdana"/>
          <w:b w:val="0"/>
          <w:sz w:val="20"/>
          <w:lang w:val="es-ES"/>
        </w:rPr>
        <w:t>, y Tania Verónica Muñoz Pav</w:t>
      </w:r>
      <w:r w:rsidR="006B15BE">
        <w:rPr>
          <w:rFonts w:ascii="Verdana" w:eastAsia="Times" w:hAnsi="Verdana"/>
          <w:b w:val="0"/>
          <w:sz w:val="20"/>
          <w:lang w:val="es-ES"/>
        </w:rPr>
        <w:t>ó</w:t>
      </w:r>
      <w:r w:rsidR="00BE4E26">
        <w:rPr>
          <w:rFonts w:ascii="Verdana" w:eastAsia="Times" w:hAnsi="Verdana"/>
          <w:b w:val="0"/>
          <w:sz w:val="20"/>
          <w:lang w:val="es-ES"/>
        </w:rPr>
        <w:t>n. En relación con las 12 personas restantes, el Estado afirmó que fueron beneficiadas por la “Ley de Amnistía, Ley No. 996, publicada en la Gaceta, Diario Oficial No. 108 del 10 de junio de 2019, misma que entró en vigencia a partir de su publicación”</w:t>
      </w:r>
      <w:r w:rsidR="004937ED">
        <w:rPr>
          <w:rFonts w:ascii="Verdana" w:eastAsia="Times" w:hAnsi="Verdana"/>
          <w:b w:val="0"/>
          <w:sz w:val="20"/>
          <w:lang w:val="es-ES"/>
        </w:rPr>
        <w:t>. En cumplimiento de</w:t>
      </w:r>
      <w:r w:rsidR="00BE4E26">
        <w:rPr>
          <w:rFonts w:ascii="Verdana" w:eastAsia="Times" w:hAnsi="Verdana"/>
          <w:b w:val="0"/>
          <w:sz w:val="20"/>
          <w:lang w:val="es-ES"/>
        </w:rPr>
        <w:t xml:space="preserve"> lo establecido en dicha ley, el Estado afirmó que las siguientes personas obtuvieron su libertad: Kevin Rodrigo Espinoza Gutiérrez, Crist</w:t>
      </w:r>
      <w:r w:rsidR="006B15BE">
        <w:rPr>
          <w:rFonts w:ascii="Verdana" w:eastAsia="Times" w:hAnsi="Verdana"/>
          <w:b w:val="0"/>
          <w:sz w:val="20"/>
          <w:lang w:val="es-ES"/>
        </w:rPr>
        <w:t>h</w:t>
      </w:r>
      <w:r w:rsidR="00BE4E26">
        <w:rPr>
          <w:rFonts w:ascii="Verdana" w:eastAsia="Times" w:hAnsi="Verdana"/>
          <w:b w:val="0"/>
          <w:sz w:val="20"/>
          <w:lang w:val="es-ES"/>
        </w:rPr>
        <w:t xml:space="preserve">ian Rodrigo Fajardo Caballero, </w:t>
      </w:r>
      <w:proofErr w:type="spellStart"/>
      <w:r w:rsidR="00BE4E26">
        <w:rPr>
          <w:rFonts w:ascii="Verdana" w:eastAsia="Times" w:hAnsi="Verdana"/>
          <w:b w:val="0"/>
          <w:sz w:val="20"/>
          <w:lang w:val="es-ES"/>
        </w:rPr>
        <w:t>Yubrank</w:t>
      </w:r>
      <w:proofErr w:type="spellEnd"/>
      <w:r w:rsidR="00BE4E26">
        <w:rPr>
          <w:rFonts w:ascii="Verdana" w:eastAsia="Times" w:hAnsi="Verdana"/>
          <w:b w:val="0"/>
          <w:sz w:val="20"/>
          <w:lang w:val="es-ES"/>
        </w:rPr>
        <w:t xml:space="preserve"> Miguel Suazo Herrera, Edwin José </w:t>
      </w:r>
      <w:proofErr w:type="spellStart"/>
      <w:r w:rsidR="00BE4E26">
        <w:rPr>
          <w:rFonts w:ascii="Verdana" w:eastAsia="Times" w:hAnsi="Verdana"/>
          <w:b w:val="0"/>
          <w:sz w:val="20"/>
          <w:lang w:val="es-ES"/>
        </w:rPr>
        <w:t>Carcache</w:t>
      </w:r>
      <w:proofErr w:type="spellEnd"/>
      <w:r w:rsidR="00BE4E26">
        <w:rPr>
          <w:rFonts w:ascii="Verdana" w:eastAsia="Times" w:hAnsi="Verdana"/>
          <w:b w:val="0"/>
          <w:sz w:val="20"/>
          <w:lang w:val="es-ES"/>
        </w:rPr>
        <w:t xml:space="preserve"> Dávila, Medardo Mairena Sequeira, Mario </w:t>
      </w:r>
      <w:proofErr w:type="spellStart"/>
      <w:r w:rsidR="00BE4E26">
        <w:rPr>
          <w:rFonts w:ascii="Verdana" w:eastAsia="Times" w:hAnsi="Verdana"/>
          <w:b w:val="0"/>
          <w:sz w:val="20"/>
          <w:lang w:val="es-ES"/>
        </w:rPr>
        <w:t>Lener</w:t>
      </w:r>
      <w:proofErr w:type="spellEnd"/>
      <w:r w:rsidR="00BE4E26">
        <w:rPr>
          <w:rFonts w:ascii="Verdana" w:eastAsia="Times" w:hAnsi="Verdana"/>
          <w:b w:val="0"/>
          <w:sz w:val="20"/>
          <w:lang w:val="es-ES"/>
        </w:rPr>
        <w:t xml:space="preserve"> Fonseca Díaz, Ricardo Baltodano, Miguel Mora Barberena, Lucia Pineda </w:t>
      </w:r>
      <w:proofErr w:type="spellStart"/>
      <w:r w:rsidR="00BE4E26">
        <w:rPr>
          <w:rFonts w:ascii="Verdana" w:eastAsia="Times" w:hAnsi="Verdana"/>
          <w:b w:val="0"/>
          <w:sz w:val="20"/>
          <w:lang w:val="es-ES"/>
        </w:rPr>
        <w:t>Ubau</w:t>
      </w:r>
      <w:proofErr w:type="spellEnd"/>
      <w:r w:rsidR="00BE4E26">
        <w:rPr>
          <w:rFonts w:ascii="Verdana" w:eastAsia="Times" w:hAnsi="Verdana"/>
          <w:b w:val="0"/>
          <w:sz w:val="20"/>
          <w:lang w:val="es-ES"/>
        </w:rPr>
        <w:t xml:space="preserve">, Amaya Eva </w:t>
      </w:r>
      <w:proofErr w:type="spellStart"/>
      <w:r w:rsidR="00BE4E26">
        <w:rPr>
          <w:rFonts w:ascii="Verdana" w:eastAsia="Times" w:hAnsi="Verdana"/>
          <w:b w:val="0"/>
          <w:sz w:val="20"/>
          <w:lang w:val="es-ES"/>
        </w:rPr>
        <w:t>Coppens</w:t>
      </w:r>
      <w:proofErr w:type="spellEnd"/>
      <w:r w:rsidR="00BE4E26">
        <w:rPr>
          <w:rFonts w:ascii="Verdana" w:eastAsia="Times" w:hAnsi="Verdana"/>
          <w:b w:val="0"/>
          <w:sz w:val="20"/>
          <w:lang w:val="es-ES"/>
        </w:rPr>
        <w:t xml:space="preserve"> Zamora, </w:t>
      </w:r>
      <w:proofErr w:type="spellStart"/>
      <w:r w:rsidR="00BE4E26">
        <w:rPr>
          <w:rFonts w:ascii="Verdana" w:eastAsia="Times" w:hAnsi="Verdana"/>
          <w:b w:val="0"/>
          <w:sz w:val="20"/>
          <w:lang w:val="es-ES"/>
        </w:rPr>
        <w:t>Olesia</w:t>
      </w:r>
      <w:proofErr w:type="spellEnd"/>
      <w:r w:rsidR="00BE4E26">
        <w:rPr>
          <w:rFonts w:ascii="Verdana" w:eastAsia="Times" w:hAnsi="Verdana"/>
          <w:b w:val="0"/>
          <w:sz w:val="20"/>
          <w:lang w:val="es-ES"/>
        </w:rPr>
        <w:t xml:space="preserve"> Auxiliadora Muñoz Pavón, e Irlanda Ondina Jerez Barrera. El Estado manifestó que el otorgamiento de la libertad a los 17 beneficiarios de las referidas medidas conlleva al “consecuente desvanecimiento de la supuesta situación de </w:t>
      </w:r>
      <w:r w:rsidR="006B15BE">
        <w:rPr>
          <w:rFonts w:ascii="Verdana" w:eastAsia="Times" w:hAnsi="Verdana"/>
          <w:b w:val="0"/>
          <w:sz w:val="20"/>
          <w:lang w:val="es-ES"/>
        </w:rPr>
        <w:t>‘</w:t>
      </w:r>
      <w:r w:rsidR="00BE4E26">
        <w:rPr>
          <w:rFonts w:ascii="Verdana" w:eastAsia="Times" w:hAnsi="Verdana"/>
          <w:b w:val="0"/>
          <w:sz w:val="20"/>
          <w:lang w:val="es-ES"/>
        </w:rPr>
        <w:t xml:space="preserve">extrema gravedad, urgencia y necesidad de evitar daños irreparables a </w:t>
      </w:r>
      <w:proofErr w:type="gramStart"/>
      <w:r w:rsidR="00BE4E26">
        <w:rPr>
          <w:rFonts w:ascii="Verdana" w:eastAsia="Times" w:hAnsi="Verdana"/>
          <w:b w:val="0"/>
          <w:sz w:val="20"/>
          <w:lang w:val="es-ES"/>
        </w:rPr>
        <w:t>las persona</w:t>
      </w:r>
      <w:proofErr w:type="gramEnd"/>
      <w:r w:rsidR="006B15BE">
        <w:rPr>
          <w:rFonts w:ascii="Verdana" w:eastAsia="Times" w:hAnsi="Verdana"/>
          <w:b w:val="0"/>
          <w:sz w:val="20"/>
          <w:lang w:val="es-ES"/>
        </w:rPr>
        <w:t>[</w:t>
      </w:r>
      <w:r w:rsidR="00BE4E26">
        <w:rPr>
          <w:rFonts w:ascii="Verdana" w:eastAsia="Times" w:hAnsi="Verdana"/>
          <w:b w:val="0"/>
          <w:sz w:val="20"/>
          <w:lang w:val="es-ES"/>
        </w:rPr>
        <w:t>s</w:t>
      </w:r>
      <w:r w:rsidR="006B15BE">
        <w:rPr>
          <w:rFonts w:ascii="Verdana" w:eastAsia="Times" w:hAnsi="Verdana"/>
          <w:b w:val="0"/>
          <w:sz w:val="20"/>
          <w:lang w:val="es-ES"/>
        </w:rPr>
        <w:t>]</w:t>
      </w:r>
      <w:r w:rsidR="00BE4E26">
        <w:rPr>
          <w:rFonts w:ascii="Verdana" w:eastAsia="Times" w:hAnsi="Verdana"/>
          <w:b w:val="0"/>
          <w:sz w:val="20"/>
          <w:lang w:val="es-ES"/>
        </w:rPr>
        <w:t>’ a las que hace alusión el Presidente de la Corte en el párrafo 26 de su resolución</w:t>
      </w:r>
      <w:r w:rsidR="008A278E">
        <w:rPr>
          <w:rFonts w:ascii="Verdana" w:eastAsia="Times" w:hAnsi="Verdana"/>
          <w:b w:val="0"/>
          <w:sz w:val="20"/>
          <w:lang w:val="es-ES"/>
        </w:rPr>
        <w:t>”</w:t>
      </w:r>
      <w:r w:rsidR="00BE4E26">
        <w:rPr>
          <w:rFonts w:ascii="Verdana" w:eastAsia="Times" w:hAnsi="Verdana"/>
          <w:b w:val="0"/>
          <w:sz w:val="20"/>
          <w:lang w:val="es-ES"/>
        </w:rPr>
        <w:t xml:space="preserve">. En consecuencia, solicitó que proceda a “archivar las presentes medidas provisionales”. </w:t>
      </w:r>
    </w:p>
    <w:p w14:paraId="559E1E30" w14:textId="77777777" w:rsidR="00A421E9" w:rsidRDefault="00A421E9" w:rsidP="00A421E9">
      <w:pPr>
        <w:pStyle w:val="Sangra3detindependiente"/>
        <w:widowControl w:val="0"/>
        <w:ind w:left="0" w:right="18"/>
        <w:rPr>
          <w:rFonts w:ascii="Verdana" w:eastAsia="Times" w:hAnsi="Verdana"/>
          <w:b w:val="0"/>
          <w:sz w:val="20"/>
          <w:lang w:val="es-ES"/>
        </w:rPr>
      </w:pPr>
    </w:p>
    <w:p w14:paraId="50FB594F" w14:textId="6F5427CD" w:rsidR="00A421E9" w:rsidRDefault="001F3BE2" w:rsidP="00D6129F">
      <w:pPr>
        <w:pStyle w:val="Sangra3detindependiente"/>
        <w:widowControl w:val="0"/>
        <w:numPr>
          <w:ilvl w:val="0"/>
          <w:numId w:val="13"/>
        </w:numPr>
        <w:ind w:left="0" w:right="18" w:firstLine="0"/>
        <w:rPr>
          <w:rFonts w:ascii="Verdana" w:eastAsia="Times" w:hAnsi="Verdana"/>
          <w:b w:val="0"/>
          <w:sz w:val="20"/>
          <w:lang w:val="es-ES"/>
        </w:rPr>
      </w:pPr>
      <w:r>
        <w:rPr>
          <w:rFonts w:ascii="Verdana" w:eastAsia="Times" w:hAnsi="Verdana"/>
          <w:b w:val="0"/>
          <w:sz w:val="20"/>
          <w:lang w:val="es-ES"/>
        </w:rPr>
        <w:t xml:space="preserve">Los </w:t>
      </w:r>
      <w:r>
        <w:rPr>
          <w:rFonts w:ascii="Verdana" w:eastAsia="Times" w:hAnsi="Verdana"/>
          <w:i/>
          <w:sz w:val="20"/>
          <w:lang w:val="es-ES"/>
        </w:rPr>
        <w:t xml:space="preserve">representantes </w:t>
      </w:r>
      <w:r>
        <w:rPr>
          <w:rFonts w:ascii="Verdana" w:eastAsia="Times" w:hAnsi="Verdana"/>
          <w:b w:val="0"/>
          <w:sz w:val="20"/>
          <w:lang w:val="es-ES"/>
        </w:rPr>
        <w:t>alegaron</w:t>
      </w:r>
      <w:r w:rsidR="00DC6555">
        <w:rPr>
          <w:rFonts w:ascii="Verdana" w:eastAsia="Times" w:hAnsi="Verdana"/>
          <w:b w:val="0"/>
          <w:sz w:val="20"/>
          <w:lang w:val="es-ES"/>
        </w:rPr>
        <w:t>,</w:t>
      </w:r>
      <w:r>
        <w:rPr>
          <w:rFonts w:ascii="Verdana" w:eastAsia="Times" w:hAnsi="Verdana"/>
          <w:b w:val="0"/>
          <w:sz w:val="20"/>
          <w:lang w:val="es-ES"/>
        </w:rPr>
        <w:t xml:space="preserve"> de forma general</w:t>
      </w:r>
      <w:r w:rsidR="00DC6555">
        <w:rPr>
          <w:rFonts w:ascii="Verdana" w:eastAsia="Times" w:hAnsi="Verdana"/>
          <w:b w:val="0"/>
          <w:sz w:val="20"/>
          <w:lang w:val="es-ES"/>
        </w:rPr>
        <w:t>,</w:t>
      </w:r>
      <w:r>
        <w:rPr>
          <w:rFonts w:ascii="Verdana" w:eastAsia="Times" w:hAnsi="Verdana"/>
          <w:b w:val="0"/>
          <w:sz w:val="20"/>
          <w:lang w:val="es-ES"/>
        </w:rPr>
        <w:t xml:space="preserve"> que en la práctica la </w:t>
      </w:r>
      <w:r w:rsidR="00DC6555">
        <w:rPr>
          <w:rFonts w:ascii="Verdana" w:eastAsia="Times" w:hAnsi="Verdana"/>
          <w:b w:val="0"/>
          <w:sz w:val="20"/>
          <w:lang w:val="es-ES"/>
        </w:rPr>
        <w:t>Ley de Amnistía</w:t>
      </w:r>
      <w:r>
        <w:rPr>
          <w:rFonts w:ascii="Verdana" w:eastAsia="Times" w:hAnsi="Verdana"/>
          <w:b w:val="0"/>
          <w:sz w:val="20"/>
          <w:lang w:val="es-ES"/>
        </w:rPr>
        <w:t xml:space="preserve"> condicionó la liberación de las personas detenidas a cambio de que no se realizara ninguna investigación contra los responsables de la violencia estatal ocurrida desde abril de 2018.</w:t>
      </w:r>
      <w:r w:rsidR="00DC6555">
        <w:rPr>
          <w:rFonts w:ascii="Verdana" w:eastAsia="Times" w:hAnsi="Verdana"/>
          <w:b w:val="0"/>
          <w:sz w:val="20"/>
          <w:lang w:val="es-ES"/>
        </w:rPr>
        <w:t xml:space="preserve"> </w:t>
      </w:r>
      <w:r w:rsidR="004937ED">
        <w:rPr>
          <w:rFonts w:ascii="Verdana" w:eastAsia="Times" w:hAnsi="Verdana"/>
          <w:b w:val="0"/>
          <w:sz w:val="20"/>
          <w:lang w:val="es-ES"/>
        </w:rPr>
        <w:t>Sostuvieron que e</w:t>
      </w:r>
      <w:r w:rsidR="00DC6555">
        <w:rPr>
          <w:rFonts w:ascii="Verdana" w:eastAsia="Times" w:hAnsi="Verdana"/>
          <w:b w:val="0"/>
          <w:sz w:val="20"/>
          <w:lang w:val="es-ES"/>
        </w:rPr>
        <w:t xml:space="preserve">l contenido ambiguo y amplio de la norma puede dejar en la impunidad las graves violaciones de derechos humanos que han ocurrido, además de que no benefició a la totalidad de presos políticos pues algunos de ellos siguen detenidos. </w:t>
      </w:r>
      <w:r>
        <w:rPr>
          <w:rFonts w:ascii="Verdana" w:eastAsia="Times" w:hAnsi="Verdana"/>
          <w:b w:val="0"/>
          <w:sz w:val="20"/>
          <w:lang w:val="es-ES"/>
        </w:rPr>
        <w:t>Asimismo, manifestaron que el contenido de la norma condiciona la permanencia del beneficio a que no existan conductas repetitivas generadoras de los delitos contemplados en la ley, lo que constituye una amenaza y una restricción al ejercicio de los derechos ciudadanos.</w:t>
      </w:r>
      <w:r w:rsidR="00DC6555">
        <w:rPr>
          <w:rFonts w:ascii="Verdana" w:eastAsia="Times" w:hAnsi="Verdana"/>
          <w:b w:val="0"/>
          <w:sz w:val="20"/>
          <w:lang w:val="es-ES"/>
        </w:rPr>
        <w:t xml:space="preserve"> Además, que no se ha obtenido ninguna sentencia de sobreseimiento que establezca la extinción de la acción y la responsabilidad penal</w:t>
      </w:r>
      <w:r w:rsidR="000F4D11">
        <w:rPr>
          <w:rFonts w:ascii="Verdana" w:eastAsia="Times" w:hAnsi="Verdana"/>
          <w:b w:val="0"/>
          <w:sz w:val="20"/>
          <w:lang w:val="es-ES"/>
        </w:rPr>
        <w:t>, lo cual no proporciona seguridad jurídica a los excarcelados</w:t>
      </w:r>
      <w:r w:rsidR="00DC6555">
        <w:rPr>
          <w:rFonts w:ascii="Verdana" w:eastAsia="Times" w:hAnsi="Verdana"/>
          <w:b w:val="0"/>
          <w:sz w:val="20"/>
          <w:lang w:val="es-ES"/>
        </w:rPr>
        <w:t>.</w:t>
      </w:r>
      <w:r>
        <w:rPr>
          <w:rFonts w:ascii="Verdana" w:eastAsia="Times" w:hAnsi="Verdana"/>
          <w:b w:val="0"/>
          <w:sz w:val="20"/>
          <w:lang w:val="es-ES"/>
        </w:rPr>
        <w:t xml:space="preserve"> Adicionalmente, señalaron que el asedio y el discurso de odio continúa en contra de las personas otrora privadas de libertad</w:t>
      </w:r>
      <w:r w:rsidR="000F4D11">
        <w:rPr>
          <w:rFonts w:ascii="Verdana" w:eastAsia="Times" w:hAnsi="Verdana"/>
          <w:b w:val="0"/>
          <w:sz w:val="20"/>
          <w:lang w:val="es-ES"/>
        </w:rPr>
        <w:t>, lo que en algunos casos ha llevado a que se vean obligados a huir de sus casas</w:t>
      </w:r>
      <w:r w:rsidR="00DC6555">
        <w:rPr>
          <w:rFonts w:ascii="Verdana" w:eastAsia="Times" w:hAnsi="Verdana"/>
          <w:b w:val="0"/>
          <w:sz w:val="20"/>
          <w:lang w:val="es-ES"/>
        </w:rPr>
        <w:t xml:space="preserve">. En consecuencia, solicitaron el mantenimiento de las medidas urgentes del </w:t>
      </w:r>
      <w:proofErr w:type="gramStart"/>
      <w:r w:rsidR="00DC6555">
        <w:rPr>
          <w:rFonts w:ascii="Verdana" w:eastAsia="Times" w:hAnsi="Verdana"/>
          <w:b w:val="0"/>
          <w:sz w:val="20"/>
          <w:lang w:val="es-ES"/>
        </w:rPr>
        <w:t>Presidente</w:t>
      </w:r>
      <w:proofErr w:type="gramEnd"/>
      <w:r w:rsidR="00DC6555">
        <w:rPr>
          <w:rFonts w:ascii="Verdana" w:eastAsia="Times" w:hAnsi="Verdana"/>
          <w:b w:val="0"/>
          <w:sz w:val="20"/>
          <w:lang w:val="es-ES"/>
        </w:rPr>
        <w:t xml:space="preserve"> de la Corte</w:t>
      </w:r>
      <w:r w:rsidR="000F4D11">
        <w:rPr>
          <w:rFonts w:ascii="Verdana" w:eastAsia="Times" w:hAnsi="Verdana"/>
          <w:b w:val="0"/>
          <w:sz w:val="20"/>
          <w:lang w:val="es-ES"/>
        </w:rPr>
        <w:t>.</w:t>
      </w:r>
    </w:p>
    <w:p w14:paraId="77469D4B" w14:textId="77777777" w:rsidR="000F4D11" w:rsidRDefault="000F4D11" w:rsidP="000F4D11">
      <w:pPr>
        <w:pStyle w:val="Sangra3detindependiente"/>
        <w:widowControl w:val="0"/>
        <w:ind w:left="0" w:right="18"/>
        <w:rPr>
          <w:rFonts w:ascii="Verdana" w:eastAsia="Times" w:hAnsi="Verdana"/>
          <w:b w:val="0"/>
          <w:sz w:val="20"/>
          <w:lang w:val="es-ES"/>
        </w:rPr>
      </w:pPr>
    </w:p>
    <w:p w14:paraId="4AF2B589" w14:textId="425A17FD" w:rsidR="005571FB" w:rsidRDefault="000F4D11" w:rsidP="00D6129F">
      <w:pPr>
        <w:pStyle w:val="Sangra3detindependiente"/>
        <w:widowControl w:val="0"/>
        <w:numPr>
          <w:ilvl w:val="0"/>
          <w:numId w:val="13"/>
        </w:numPr>
        <w:ind w:left="0" w:right="18" w:firstLine="0"/>
        <w:rPr>
          <w:rFonts w:ascii="Verdana" w:eastAsia="Times" w:hAnsi="Verdana"/>
          <w:b w:val="0"/>
          <w:sz w:val="20"/>
          <w:lang w:val="es-ES"/>
        </w:rPr>
      </w:pPr>
      <w:r>
        <w:rPr>
          <w:rFonts w:ascii="Verdana" w:eastAsia="Times" w:hAnsi="Verdana"/>
          <w:b w:val="0"/>
          <w:sz w:val="20"/>
          <w:lang w:val="es-ES"/>
        </w:rPr>
        <w:t xml:space="preserve">La </w:t>
      </w:r>
      <w:r>
        <w:rPr>
          <w:rFonts w:ascii="Verdana" w:eastAsia="Times" w:hAnsi="Verdana"/>
          <w:i/>
          <w:sz w:val="20"/>
          <w:lang w:val="es-ES"/>
        </w:rPr>
        <w:t xml:space="preserve">Comisión </w:t>
      </w:r>
      <w:r>
        <w:rPr>
          <w:rFonts w:ascii="Verdana" w:eastAsia="Times" w:hAnsi="Verdana"/>
          <w:b w:val="0"/>
          <w:sz w:val="20"/>
          <w:lang w:val="es-ES"/>
        </w:rPr>
        <w:t>consideró que el Estado</w:t>
      </w:r>
      <w:r w:rsidR="004937ED">
        <w:rPr>
          <w:rFonts w:ascii="Verdana" w:eastAsia="Times" w:hAnsi="Verdana"/>
          <w:b w:val="0"/>
          <w:sz w:val="20"/>
          <w:lang w:val="es-ES"/>
        </w:rPr>
        <w:t xml:space="preserve"> debe informar</w:t>
      </w:r>
      <w:r>
        <w:rPr>
          <w:rFonts w:ascii="Verdana" w:eastAsia="Times" w:hAnsi="Verdana"/>
          <w:b w:val="0"/>
          <w:sz w:val="20"/>
          <w:lang w:val="es-ES"/>
        </w:rPr>
        <w:t xml:space="preserve"> de manera detallada y con el soporte documental necesario, la situación legal de cada una de las 17 personas beneficiarias debido a que la Ley de Amnistía establece que “la inobservancia del principio de No Repetición trae como consecuencia la revocación del beneficio establecido por esta Ley”. </w:t>
      </w:r>
      <w:r w:rsidR="002D010A">
        <w:rPr>
          <w:rFonts w:ascii="Verdana" w:eastAsia="Times" w:hAnsi="Verdana"/>
          <w:b w:val="0"/>
          <w:sz w:val="20"/>
          <w:lang w:val="es-ES"/>
        </w:rPr>
        <w:t>Asimismo, manifestó su preocupación por la aprobación de la Ley debido a que su contenido amplio puede dejar en la impunidad las graves violaciones a los derechos humanos en detrimento de los derechos a la verdad, justicia y reparación</w:t>
      </w:r>
      <w:r w:rsidR="00AF5469">
        <w:rPr>
          <w:rFonts w:ascii="Verdana" w:eastAsia="Times" w:hAnsi="Verdana"/>
          <w:b w:val="0"/>
          <w:sz w:val="20"/>
          <w:lang w:val="es-ES"/>
        </w:rPr>
        <w:t xml:space="preserve">. En sentido similar, manifestó que la sola posibilidad de que las causas sean reactivadas en cualquier momento puede generar un efecto disuasivo y de censura para el ejercicio de sus derechos. También destacó </w:t>
      </w:r>
      <w:proofErr w:type="gramStart"/>
      <w:r w:rsidR="00AF5469">
        <w:rPr>
          <w:rFonts w:ascii="Verdana" w:eastAsia="Times" w:hAnsi="Verdana"/>
          <w:b w:val="0"/>
          <w:sz w:val="20"/>
          <w:lang w:val="es-ES"/>
        </w:rPr>
        <w:t>que</w:t>
      </w:r>
      <w:proofErr w:type="gramEnd"/>
      <w:r w:rsidR="00AF5469">
        <w:rPr>
          <w:rFonts w:ascii="Verdana" w:eastAsia="Times" w:hAnsi="Verdana"/>
          <w:b w:val="0"/>
          <w:sz w:val="20"/>
          <w:lang w:val="es-ES"/>
        </w:rPr>
        <w:t xml:space="preserve"> según información del Mecanismo de Seguimiento Especial a Nicaragua de la CIDH, en muchos casos la Policía Nacional no habría devuelto bienes y objetos personales a las personas excarceladas.</w:t>
      </w:r>
      <w:r w:rsidR="00E90E34">
        <w:rPr>
          <w:rFonts w:ascii="Verdana" w:eastAsia="Times" w:hAnsi="Verdana"/>
          <w:b w:val="0"/>
          <w:sz w:val="20"/>
          <w:lang w:val="es-ES"/>
        </w:rPr>
        <w:t xml:space="preserve"> En un sentido similar, manifestó que las condiciones del conflicto que precedieron la detención de los 17 beneficiarios permanecen, y no existe ningún esquema de protección.</w:t>
      </w:r>
      <w:r w:rsidR="00AF5469">
        <w:rPr>
          <w:rFonts w:ascii="Verdana" w:eastAsia="Times" w:hAnsi="Verdana"/>
          <w:b w:val="0"/>
          <w:sz w:val="20"/>
          <w:lang w:val="es-ES"/>
        </w:rPr>
        <w:t xml:space="preserve"> En consecuencia, indicó que la situación de riesgo de las 17 personas continúa, por lo que se debe rechazar la solicitud de archivo del Estado.</w:t>
      </w:r>
    </w:p>
    <w:p w14:paraId="31FB5C47" w14:textId="77777777" w:rsidR="008C255F" w:rsidRDefault="008C255F" w:rsidP="008C255F">
      <w:pPr>
        <w:pStyle w:val="Sangra3detindependiente"/>
        <w:widowControl w:val="0"/>
        <w:ind w:left="0" w:right="18"/>
        <w:rPr>
          <w:rFonts w:ascii="Verdana" w:eastAsia="Times" w:hAnsi="Verdana"/>
          <w:b w:val="0"/>
          <w:sz w:val="20"/>
          <w:lang w:val="es-ES"/>
        </w:rPr>
      </w:pPr>
    </w:p>
    <w:p w14:paraId="0998477E" w14:textId="3AF5D222" w:rsidR="008C255F" w:rsidRDefault="008C255F" w:rsidP="00D6129F">
      <w:pPr>
        <w:pStyle w:val="Sangra3detindependiente"/>
        <w:widowControl w:val="0"/>
        <w:numPr>
          <w:ilvl w:val="0"/>
          <w:numId w:val="13"/>
        </w:numPr>
        <w:ind w:left="0" w:right="18" w:firstLine="0"/>
        <w:rPr>
          <w:rFonts w:ascii="Verdana" w:eastAsia="Times" w:hAnsi="Verdana"/>
          <w:b w:val="0"/>
          <w:sz w:val="20"/>
          <w:lang w:val="es-ES"/>
        </w:rPr>
      </w:pPr>
      <w:r>
        <w:rPr>
          <w:rFonts w:ascii="Verdana" w:eastAsia="Times" w:hAnsi="Verdana"/>
          <w:b w:val="0"/>
          <w:sz w:val="20"/>
          <w:lang w:val="es-ES"/>
        </w:rPr>
        <w:t>En relación a lo anteriormente expuesto, el Tribunal evaluará la informaci</w:t>
      </w:r>
      <w:r w:rsidR="004937ED">
        <w:rPr>
          <w:rFonts w:ascii="Verdana" w:eastAsia="Times" w:hAnsi="Verdana"/>
          <w:b w:val="0"/>
          <w:sz w:val="20"/>
          <w:lang w:val="es-ES"/>
        </w:rPr>
        <w:t>ón presentada por el Estado y la</w:t>
      </w:r>
      <w:r>
        <w:rPr>
          <w:rFonts w:ascii="Verdana" w:eastAsia="Times" w:hAnsi="Verdana"/>
          <w:b w:val="0"/>
          <w:sz w:val="20"/>
          <w:lang w:val="es-ES"/>
        </w:rPr>
        <w:t xml:space="preserve"> constatará con lo comunicado por los representantes y la Comisión, para así </w:t>
      </w:r>
      <w:r>
        <w:rPr>
          <w:rFonts w:ascii="Verdana" w:eastAsia="Times" w:hAnsi="Verdana"/>
          <w:b w:val="0"/>
          <w:sz w:val="20"/>
          <w:lang w:val="es-ES"/>
        </w:rPr>
        <w:lastRenderedPageBreak/>
        <w:t xml:space="preserve">determinar la continuidad de las medidas urgentes del </w:t>
      </w:r>
      <w:proofErr w:type="gramStart"/>
      <w:r>
        <w:rPr>
          <w:rFonts w:ascii="Verdana" w:eastAsia="Times" w:hAnsi="Verdana"/>
          <w:b w:val="0"/>
          <w:sz w:val="20"/>
          <w:lang w:val="es-ES"/>
        </w:rPr>
        <w:t>Presidente</w:t>
      </w:r>
      <w:proofErr w:type="gramEnd"/>
      <w:r>
        <w:rPr>
          <w:rFonts w:ascii="Verdana" w:eastAsia="Times" w:hAnsi="Verdana"/>
          <w:b w:val="0"/>
          <w:sz w:val="20"/>
          <w:lang w:val="es-ES"/>
        </w:rPr>
        <w:t>.</w:t>
      </w:r>
    </w:p>
    <w:p w14:paraId="7F99184B" w14:textId="77777777" w:rsidR="005571FB" w:rsidRDefault="005571FB" w:rsidP="005571FB">
      <w:pPr>
        <w:pStyle w:val="Sangra3detindependiente"/>
        <w:widowControl w:val="0"/>
        <w:ind w:left="0" w:right="18"/>
        <w:rPr>
          <w:rFonts w:ascii="Verdana" w:eastAsia="Times" w:hAnsi="Verdana"/>
          <w:b w:val="0"/>
          <w:sz w:val="20"/>
          <w:lang w:val="es-ES"/>
        </w:rPr>
      </w:pPr>
    </w:p>
    <w:p w14:paraId="43C63712" w14:textId="326EBB56" w:rsidR="00A708C4" w:rsidRPr="00A708C4" w:rsidRDefault="00A708C4" w:rsidP="00681099">
      <w:pPr>
        <w:pStyle w:val="Prrafodelista1"/>
        <w:numPr>
          <w:ilvl w:val="0"/>
          <w:numId w:val="18"/>
        </w:numPr>
        <w:jc w:val="both"/>
        <w:rPr>
          <w:b/>
          <w:i/>
          <w:sz w:val="20"/>
          <w:szCs w:val="20"/>
          <w:lang w:val="es-CR"/>
        </w:rPr>
      </w:pPr>
      <w:r>
        <w:rPr>
          <w:b/>
          <w:i/>
          <w:sz w:val="20"/>
          <w:szCs w:val="20"/>
          <w:lang w:val="es-CR"/>
        </w:rPr>
        <w:t>Consideraciones de la Corte</w:t>
      </w:r>
    </w:p>
    <w:p w14:paraId="1C56987F" w14:textId="77777777" w:rsidR="00A708C4" w:rsidRDefault="00A708C4" w:rsidP="005571FB">
      <w:pPr>
        <w:pStyle w:val="Sangra3detindependiente"/>
        <w:widowControl w:val="0"/>
        <w:ind w:left="0" w:right="18"/>
        <w:rPr>
          <w:rFonts w:ascii="Verdana" w:eastAsia="Times" w:hAnsi="Verdana"/>
          <w:b w:val="0"/>
          <w:sz w:val="20"/>
          <w:lang w:val="es-ES"/>
        </w:rPr>
      </w:pPr>
    </w:p>
    <w:p w14:paraId="50214D18" w14:textId="0E0E9EBB" w:rsidR="00D6129F" w:rsidRDefault="009A2CB8" w:rsidP="00D6129F">
      <w:pPr>
        <w:pStyle w:val="Sangra3detindependiente"/>
        <w:widowControl w:val="0"/>
        <w:numPr>
          <w:ilvl w:val="0"/>
          <w:numId w:val="13"/>
        </w:numPr>
        <w:autoSpaceDE w:val="0"/>
        <w:autoSpaceDN w:val="0"/>
        <w:adjustRightInd w:val="0"/>
        <w:ind w:left="0" w:right="18" w:firstLine="0"/>
        <w:rPr>
          <w:rFonts w:ascii="Verdana" w:eastAsiaTheme="minorHAnsi" w:hAnsi="Verdana" w:cs="Verdana"/>
          <w:b w:val="0"/>
          <w:sz w:val="20"/>
          <w:lang w:val="es-CR"/>
        </w:rPr>
      </w:pPr>
      <w:r>
        <w:rPr>
          <w:rFonts w:ascii="Verdana" w:eastAsia="Times" w:hAnsi="Verdana"/>
          <w:b w:val="0"/>
          <w:sz w:val="20"/>
          <w:lang w:val="es-ES"/>
        </w:rPr>
        <w:t>E</w:t>
      </w:r>
      <w:r w:rsidR="00A708C4" w:rsidRPr="00D6129F">
        <w:rPr>
          <w:rFonts w:ascii="Verdana" w:eastAsiaTheme="minorHAnsi" w:hAnsi="Verdana" w:cs="Verdana"/>
          <w:b w:val="0"/>
          <w:sz w:val="20"/>
          <w:lang w:val="es-CR"/>
        </w:rPr>
        <w:t xml:space="preserve">l artículo 63.2 de la Convención exige que para que la Corte pueda disponer de medidas provisionales deben concurrir tres condiciones: i) “extrema gravedad”; </w:t>
      </w:r>
      <w:proofErr w:type="spellStart"/>
      <w:r w:rsidR="00A708C4" w:rsidRPr="00D6129F">
        <w:rPr>
          <w:rFonts w:ascii="Verdana" w:eastAsiaTheme="minorHAnsi" w:hAnsi="Verdana" w:cs="Verdana"/>
          <w:b w:val="0"/>
          <w:sz w:val="20"/>
          <w:lang w:val="es-CR"/>
        </w:rPr>
        <w:t>ii</w:t>
      </w:r>
      <w:proofErr w:type="spellEnd"/>
      <w:r w:rsidR="00A708C4" w:rsidRPr="00D6129F">
        <w:rPr>
          <w:rFonts w:ascii="Verdana" w:eastAsiaTheme="minorHAnsi" w:hAnsi="Verdana" w:cs="Verdana"/>
          <w:b w:val="0"/>
          <w:sz w:val="20"/>
          <w:lang w:val="es-CR"/>
        </w:rPr>
        <w:t xml:space="preserve">) “urgencia”, y </w:t>
      </w:r>
      <w:proofErr w:type="spellStart"/>
      <w:r w:rsidR="00A708C4" w:rsidRPr="00D6129F">
        <w:rPr>
          <w:rFonts w:ascii="Verdana" w:eastAsiaTheme="minorHAnsi" w:hAnsi="Verdana" w:cs="Verdana"/>
          <w:b w:val="0"/>
          <w:sz w:val="20"/>
          <w:lang w:val="es-CR"/>
        </w:rPr>
        <w:t>iii</w:t>
      </w:r>
      <w:proofErr w:type="spellEnd"/>
      <w:r w:rsidR="00A708C4" w:rsidRPr="00D6129F">
        <w:rPr>
          <w:rFonts w:ascii="Verdana" w:eastAsiaTheme="minorHAnsi" w:hAnsi="Verdana" w:cs="Verdana"/>
          <w:b w:val="0"/>
          <w:sz w:val="20"/>
          <w:lang w:val="es-CR"/>
        </w:rPr>
        <w:t>) que se trate de “evitar daños irreparables” a las personas. Estas tres condiciones son coexistentes y deben estar presentes en toda situación en la que se solicite la intervención del Tribunal</w:t>
      </w:r>
      <w:r w:rsidR="00D462CB">
        <w:rPr>
          <w:rFonts w:ascii="Verdana" w:eastAsiaTheme="minorHAnsi" w:hAnsi="Verdana" w:cs="Verdana"/>
          <w:b w:val="0"/>
          <w:sz w:val="20"/>
          <w:lang w:val="es-CR"/>
        </w:rPr>
        <w:t xml:space="preserve"> a través de una medida provisional</w:t>
      </w:r>
      <w:r w:rsidR="00A708C4" w:rsidRPr="00D6129F">
        <w:rPr>
          <w:rFonts w:ascii="Verdana" w:eastAsiaTheme="minorHAnsi" w:hAnsi="Verdana" w:cs="Verdana"/>
          <w:b w:val="0"/>
          <w:sz w:val="20"/>
          <w:lang w:val="es-CR"/>
        </w:rPr>
        <w:t>. Del mismo modo, las tres condiciones descritas deben persistir para que la Corte mantenga la protección ordenada</w:t>
      </w:r>
      <w:r w:rsidR="004937ED">
        <w:rPr>
          <w:rStyle w:val="Refdenotaalpie"/>
          <w:rFonts w:ascii="Verdana" w:eastAsiaTheme="minorHAnsi" w:hAnsi="Verdana" w:cs="Verdana"/>
          <w:b w:val="0"/>
          <w:sz w:val="20"/>
          <w:lang w:val="es-CR"/>
        </w:rPr>
        <w:footnoteReference w:id="3"/>
      </w:r>
      <w:r w:rsidR="00A708C4" w:rsidRPr="00D6129F">
        <w:rPr>
          <w:rFonts w:ascii="Verdana" w:eastAsiaTheme="minorHAnsi" w:hAnsi="Verdana" w:cs="Verdana"/>
          <w:b w:val="0"/>
          <w:sz w:val="20"/>
          <w:lang w:val="es-CR"/>
        </w:rPr>
        <w:t xml:space="preserve">. Si una de ellas ha dejado de tener vigencia, corresponderá al Tribunal valorar la pertinencia de continuar con la protección ordenada. </w:t>
      </w:r>
      <w:r w:rsidR="00D6129F" w:rsidRPr="00D6129F">
        <w:rPr>
          <w:rFonts w:ascii="Verdana" w:eastAsiaTheme="minorHAnsi" w:hAnsi="Verdana" w:cs="Verdana"/>
          <w:b w:val="0"/>
          <w:sz w:val="20"/>
          <w:lang w:val="es-CR"/>
        </w:rPr>
        <w:t>A</w:t>
      </w:r>
      <w:r w:rsidR="00A708C4" w:rsidRPr="00D6129F">
        <w:rPr>
          <w:rFonts w:ascii="Verdana" w:eastAsiaTheme="minorHAnsi" w:hAnsi="Verdana" w:cs="Verdana"/>
          <w:b w:val="0"/>
          <w:sz w:val="20"/>
          <w:lang w:val="es-CR"/>
        </w:rPr>
        <w:t xml:space="preserve">l dictar las medidas de protección el Tribunal o quien lo presida no requiere, en principio, de pruebas de los hechos que </w:t>
      </w:r>
      <w:r w:rsidR="00A708C4" w:rsidRPr="00D6129F">
        <w:rPr>
          <w:rFonts w:ascii="Verdana" w:eastAsiaTheme="minorHAnsi" w:hAnsi="Verdana" w:cs="Verdana"/>
          <w:b w:val="0"/>
          <w:i/>
          <w:iCs/>
          <w:sz w:val="20"/>
          <w:lang w:val="es-CR"/>
        </w:rPr>
        <w:t xml:space="preserve">prima facie </w:t>
      </w:r>
      <w:r w:rsidR="00A708C4" w:rsidRPr="00D6129F">
        <w:rPr>
          <w:rFonts w:ascii="Verdana" w:eastAsiaTheme="minorHAnsi" w:hAnsi="Verdana" w:cs="Verdana"/>
          <w:b w:val="0"/>
          <w:sz w:val="20"/>
          <w:lang w:val="es-CR"/>
        </w:rPr>
        <w:t>parecen cumplir con los requisitos del art. 63. Por el contrario, el mantenimiento de las medidas de protección exige una evaluación de la Corte en cuanto a la persistencia de la situación de extrema gravedad y urgencia de evitar daños irreparables que dio origen a las mismas, sobre la base de información probatoria</w:t>
      </w:r>
      <w:r w:rsidR="004937ED">
        <w:rPr>
          <w:rStyle w:val="Refdenotaalpie"/>
          <w:rFonts w:ascii="Verdana" w:eastAsiaTheme="minorHAnsi" w:hAnsi="Verdana" w:cs="Verdana"/>
          <w:b w:val="0"/>
          <w:sz w:val="20"/>
          <w:lang w:val="es-CR"/>
        </w:rPr>
        <w:footnoteReference w:id="4"/>
      </w:r>
      <w:r w:rsidR="00A708C4" w:rsidRPr="00D6129F">
        <w:rPr>
          <w:rFonts w:ascii="Verdana" w:eastAsiaTheme="minorHAnsi" w:hAnsi="Verdana" w:cs="Verdana"/>
          <w:b w:val="0"/>
          <w:sz w:val="20"/>
          <w:lang w:val="es-CR"/>
        </w:rPr>
        <w:t>.</w:t>
      </w:r>
    </w:p>
    <w:p w14:paraId="5650843D" w14:textId="77777777" w:rsidR="00D6129F" w:rsidRDefault="00D6129F" w:rsidP="00D6129F">
      <w:pPr>
        <w:pStyle w:val="Sangra3detindependiente"/>
        <w:widowControl w:val="0"/>
        <w:autoSpaceDE w:val="0"/>
        <w:autoSpaceDN w:val="0"/>
        <w:adjustRightInd w:val="0"/>
        <w:ind w:left="0" w:right="18"/>
        <w:rPr>
          <w:rFonts w:ascii="Verdana" w:eastAsiaTheme="minorHAnsi" w:hAnsi="Verdana" w:cs="Verdana"/>
          <w:b w:val="0"/>
          <w:sz w:val="20"/>
          <w:lang w:val="es-CR"/>
        </w:rPr>
      </w:pPr>
    </w:p>
    <w:p w14:paraId="7C012AF7" w14:textId="5643D538" w:rsidR="008C255F" w:rsidRPr="00706449" w:rsidRDefault="009A2CB8" w:rsidP="008C255F">
      <w:pPr>
        <w:pStyle w:val="Prrafodelista1"/>
        <w:numPr>
          <w:ilvl w:val="0"/>
          <w:numId w:val="13"/>
        </w:numPr>
        <w:ind w:left="0" w:firstLine="0"/>
        <w:jc w:val="both"/>
        <w:rPr>
          <w:sz w:val="20"/>
          <w:szCs w:val="20"/>
        </w:rPr>
      </w:pPr>
      <w:r>
        <w:rPr>
          <w:rFonts w:eastAsia="Verdana" w:cs="Verdana"/>
          <w:sz w:val="20"/>
          <w:szCs w:val="20"/>
          <w:lang w:val="es-CR"/>
        </w:rPr>
        <w:t>La Corte recuerda que en</w:t>
      </w:r>
      <w:r w:rsidR="008C255F">
        <w:rPr>
          <w:rFonts w:eastAsia="Verdana" w:cs="Verdana"/>
          <w:sz w:val="20"/>
          <w:szCs w:val="20"/>
          <w:lang w:val="es-CR"/>
        </w:rPr>
        <w:t xml:space="preserve"> su Resolución de 21 de mayo de 2019, el Presidente de la Corte constató lo siguiente: a) la existencia de un conflicto en Nicaragua que inició desde el mes de abril de 2018 como resultado de las protestas iniciadas contra el gobierno, el cual habría provocado un elevado número de fallecidos y heridos; b) la existencia de procesos judiciales llevados a cabo en contra de personas que habrían participado en dichas protestas, y las características particulares de aquellos procesos</w:t>
      </w:r>
      <w:r w:rsidR="00D462CB">
        <w:rPr>
          <w:rFonts w:eastAsia="Verdana" w:cs="Verdana"/>
          <w:sz w:val="20"/>
          <w:szCs w:val="20"/>
          <w:lang w:val="es-CR"/>
        </w:rPr>
        <w:t xml:space="preserve"> llevados a cabo</w:t>
      </w:r>
      <w:r w:rsidR="008C255F">
        <w:rPr>
          <w:rFonts w:eastAsia="Verdana" w:cs="Verdana"/>
          <w:sz w:val="20"/>
          <w:szCs w:val="20"/>
          <w:lang w:val="es-CR"/>
        </w:rPr>
        <w:t xml:space="preserve"> en contra de los solicitantes; c) que el objeto de su resolución se encontraba estrechamente ligada con el contexto de protestas y la respuesta del gobierno a dichas acciones, que incluyó la detención de los solicitantes</w:t>
      </w:r>
      <w:r w:rsidR="00364E6F">
        <w:rPr>
          <w:rFonts w:eastAsia="Verdana" w:cs="Verdana"/>
          <w:sz w:val="20"/>
          <w:szCs w:val="20"/>
          <w:lang w:val="es-CR"/>
        </w:rPr>
        <w:t>, y</w:t>
      </w:r>
      <w:r w:rsidR="008C255F">
        <w:rPr>
          <w:rFonts w:eastAsia="Verdana" w:cs="Verdana"/>
          <w:sz w:val="20"/>
          <w:szCs w:val="20"/>
          <w:lang w:val="es-CR"/>
        </w:rPr>
        <w:t xml:space="preserve"> d) la existencia de información acerca de las condiciones carcelarias de los solicitantes que se encontraban privados de libertad, así como de los eventos de 16 de mayo de 2019 que derivaron en el fallecimiento de un interno de la cárcel “La Modelo”.</w:t>
      </w:r>
    </w:p>
    <w:p w14:paraId="53DA2D81" w14:textId="77777777" w:rsidR="008C255F" w:rsidRPr="00706449" w:rsidRDefault="008C255F" w:rsidP="008C255F">
      <w:pPr>
        <w:pStyle w:val="Prrafodelista"/>
        <w:rPr>
          <w:sz w:val="20"/>
          <w:szCs w:val="20"/>
        </w:rPr>
      </w:pPr>
    </w:p>
    <w:p w14:paraId="40E2F28B" w14:textId="127E84C1" w:rsidR="009A2CB8" w:rsidRPr="009A2CB8" w:rsidRDefault="00D462CB" w:rsidP="009A2CB8">
      <w:pPr>
        <w:pStyle w:val="Prrafodelista1"/>
        <w:numPr>
          <w:ilvl w:val="0"/>
          <w:numId w:val="13"/>
        </w:numPr>
        <w:ind w:left="0" w:firstLine="0"/>
        <w:jc w:val="both"/>
        <w:rPr>
          <w:sz w:val="20"/>
          <w:szCs w:val="20"/>
        </w:rPr>
      </w:pPr>
      <w:r>
        <w:rPr>
          <w:sz w:val="20"/>
          <w:szCs w:val="20"/>
        </w:rPr>
        <w:t>E</w:t>
      </w:r>
      <w:r w:rsidR="009A2CB8">
        <w:rPr>
          <w:sz w:val="20"/>
          <w:szCs w:val="20"/>
        </w:rPr>
        <w:t>n dicha Resolución, e</w:t>
      </w:r>
      <w:r w:rsidR="008C255F">
        <w:rPr>
          <w:sz w:val="20"/>
          <w:szCs w:val="20"/>
        </w:rPr>
        <w:t xml:space="preserve">l </w:t>
      </w:r>
      <w:proofErr w:type="gramStart"/>
      <w:r w:rsidR="008C255F">
        <w:rPr>
          <w:sz w:val="20"/>
          <w:szCs w:val="20"/>
        </w:rPr>
        <w:t>Presidente</w:t>
      </w:r>
      <w:proofErr w:type="gramEnd"/>
      <w:r w:rsidR="008C255F">
        <w:rPr>
          <w:sz w:val="20"/>
          <w:szCs w:val="20"/>
        </w:rPr>
        <w:t xml:space="preserve"> </w:t>
      </w:r>
      <w:r w:rsidR="008C255F">
        <w:rPr>
          <w:rFonts w:eastAsia="Verdana" w:cs="Verdana"/>
          <w:sz w:val="20"/>
          <w:szCs w:val="20"/>
          <w:lang w:val="es-CR"/>
        </w:rPr>
        <w:t>consideró que el Estado no aportó elementos que permitieran desestimar lo manifestado por la Comisión referente a las condiciones de encierro en que se encontraban los solicitantes, la falta de atención médica adecuada y el sometimiento a agresiones físicas y psíquicas a las que algunos de ellos habrían sido sometidos. De esta forma, dado el contexto en el que se llevaron a cabo las detenciones de los solicitantes, la información acerca de las condiciones de detención que podían poner en riesgo su salud y su vida, la información acerca de presuntos hechos de violencia ocurridos en el centro penitenciario “La Modelo” y “La Esperanza” en contra de los solicitantes, y la falta de material probatorio aportado por el Estado, el Presidente concluyó que existía una situación de extrema gravedad y por lo tanto la necesidad urgente de adopción de las medidas que fuesen necesarias para evitar daños irreparables a los derechos a la salud, vida e integridad personal de los solicitantes, de modo que se garantizara plenamente la seguridad de los solicitantes en el lugar en que se encontraran</w:t>
      </w:r>
      <w:r w:rsidR="00A6269D">
        <w:rPr>
          <w:rFonts w:eastAsia="Verdana" w:cs="Verdana"/>
          <w:sz w:val="20"/>
          <w:szCs w:val="20"/>
          <w:lang w:val="es-CR"/>
        </w:rPr>
        <w:t>.</w:t>
      </w:r>
    </w:p>
    <w:p w14:paraId="0057CBB3" w14:textId="77777777" w:rsidR="009A2CB8" w:rsidRPr="009A2CB8" w:rsidRDefault="009A2CB8" w:rsidP="009A2CB8">
      <w:pPr>
        <w:pStyle w:val="Prrafodelista1"/>
        <w:jc w:val="both"/>
        <w:rPr>
          <w:sz w:val="20"/>
          <w:szCs w:val="20"/>
        </w:rPr>
      </w:pPr>
    </w:p>
    <w:p w14:paraId="2408796D" w14:textId="6E5F0F62" w:rsidR="008C255F" w:rsidRDefault="009A2CB8" w:rsidP="009A2CB8">
      <w:pPr>
        <w:pStyle w:val="Prrafodelista1"/>
        <w:numPr>
          <w:ilvl w:val="0"/>
          <w:numId w:val="13"/>
        </w:numPr>
        <w:ind w:left="0" w:firstLine="0"/>
        <w:jc w:val="both"/>
        <w:rPr>
          <w:sz w:val="20"/>
          <w:szCs w:val="20"/>
        </w:rPr>
      </w:pPr>
      <w:r>
        <w:rPr>
          <w:sz w:val="20"/>
          <w:szCs w:val="20"/>
        </w:rPr>
        <w:t>En razón de lo anterior, e</w:t>
      </w:r>
      <w:r w:rsidR="008C255F" w:rsidRPr="009A2CB8">
        <w:rPr>
          <w:sz w:val="20"/>
          <w:szCs w:val="20"/>
        </w:rPr>
        <w:t xml:space="preserve">l Presidente determinó que el Estado debía adoptar las providencias necesarias para garantizar la salud, vida e integridad personas de los solicitantes, lo cual requería que las 17 personas detenidas: a) recibieran una valoración médica adecuada para determinar su estado de salud, y en caso de que se requiriera atención médica, ésta debía ser proporcionada; y b) no vieran afectado su derecho a acceder a sus familiares y visitantes, a sus </w:t>
      </w:r>
      <w:r w:rsidR="008C255F" w:rsidRPr="009A2CB8">
        <w:rPr>
          <w:sz w:val="20"/>
          <w:szCs w:val="20"/>
        </w:rPr>
        <w:lastRenderedPageBreak/>
        <w:t xml:space="preserve">abogados o a los médicos que los fueran a examinar. Asimismo, el </w:t>
      </w:r>
      <w:proofErr w:type="gramStart"/>
      <w:r w:rsidR="008C255F" w:rsidRPr="009A2CB8">
        <w:rPr>
          <w:sz w:val="20"/>
          <w:szCs w:val="20"/>
        </w:rPr>
        <w:t>Presidente</w:t>
      </w:r>
      <w:proofErr w:type="gramEnd"/>
      <w:r w:rsidR="008C255F" w:rsidRPr="009A2CB8">
        <w:rPr>
          <w:sz w:val="20"/>
          <w:szCs w:val="20"/>
        </w:rPr>
        <w:t xml:space="preserve"> determinó que c) las autoridades estatales de Nicaragua debían evaluar, de manera inmediata, el otorgamiento de medidas alternativas a la privación de la libertad.</w:t>
      </w:r>
      <w:r w:rsidR="00913CAB">
        <w:rPr>
          <w:sz w:val="20"/>
          <w:szCs w:val="20"/>
        </w:rPr>
        <w:t xml:space="preserve"> </w:t>
      </w:r>
      <w:r w:rsidR="00D462CB">
        <w:rPr>
          <w:sz w:val="20"/>
          <w:szCs w:val="20"/>
        </w:rPr>
        <w:t>En el mismo sentido, se dispuso que, previa aquiescencia del Estado, una delegación de la Corte Interamericana realice una visita a las cárceles de “La Esperanza” y “La Modelo”, o en el lugar donde se encontraran detenidos, con el fin de poderse entrevistar con ellos.</w:t>
      </w:r>
    </w:p>
    <w:p w14:paraId="1E8942D7" w14:textId="77777777" w:rsidR="00AA6032" w:rsidRDefault="00AA6032" w:rsidP="00AA6032">
      <w:pPr>
        <w:pStyle w:val="Prrafodelista"/>
        <w:rPr>
          <w:sz w:val="20"/>
          <w:szCs w:val="20"/>
        </w:rPr>
      </w:pPr>
    </w:p>
    <w:p w14:paraId="7636E1FC" w14:textId="46766BDD" w:rsidR="009E0F8F" w:rsidRDefault="00AA6032" w:rsidP="009E0F8F">
      <w:pPr>
        <w:pStyle w:val="Prrafodelista1"/>
        <w:numPr>
          <w:ilvl w:val="0"/>
          <w:numId w:val="13"/>
        </w:numPr>
        <w:ind w:left="0" w:firstLine="0"/>
        <w:jc w:val="both"/>
        <w:rPr>
          <w:sz w:val="20"/>
          <w:szCs w:val="20"/>
        </w:rPr>
      </w:pPr>
      <w:r w:rsidRPr="0086569D">
        <w:rPr>
          <w:sz w:val="20"/>
          <w:szCs w:val="20"/>
        </w:rPr>
        <w:t>El Estado informó que</w:t>
      </w:r>
      <w:r w:rsidR="00F0281E" w:rsidRPr="0086569D">
        <w:rPr>
          <w:sz w:val="20"/>
          <w:szCs w:val="20"/>
        </w:rPr>
        <w:t xml:space="preserve"> 5 beneficiarios de las medidas urgentes de 21 de mayo de 2019 habrían sido liberados bajo el </w:t>
      </w:r>
      <w:r w:rsidR="00730C7D">
        <w:rPr>
          <w:sz w:val="20"/>
          <w:szCs w:val="20"/>
        </w:rPr>
        <w:t>“</w:t>
      </w:r>
      <w:r w:rsidR="00F0281E" w:rsidRPr="0086569D">
        <w:rPr>
          <w:sz w:val="20"/>
          <w:szCs w:val="20"/>
        </w:rPr>
        <w:t>beneficio de convivencia familiar</w:t>
      </w:r>
      <w:r w:rsidR="00730C7D">
        <w:rPr>
          <w:sz w:val="20"/>
          <w:szCs w:val="20"/>
        </w:rPr>
        <w:t>”</w:t>
      </w:r>
      <w:r w:rsidR="00F0281E" w:rsidRPr="0086569D">
        <w:rPr>
          <w:sz w:val="20"/>
          <w:szCs w:val="20"/>
        </w:rPr>
        <w:t xml:space="preserve"> el 20 de mayo de 2019</w:t>
      </w:r>
      <w:r w:rsidR="00730C7D">
        <w:rPr>
          <w:sz w:val="20"/>
          <w:szCs w:val="20"/>
        </w:rPr>
        <w:t>,</w:t>
      </w:r>
      <w:r w:rsidR="00F0281E" w:rsidRPr="0086569D">
        <w:rPr>
          <w:sz w:val="20"/>
          <w:szCs w:val="20"/>
        </w:rPr>
        <w:t xml:space="preserve"> y que 12 beneficiarios más habrían sido liberados</w:t>
      </w:r>
      <w:r w:rsidRPr="0086569D">
        <w:rPr>
          <w:sz w:val="20"/>
          <w:szCs w:val="20"/>
        </w:rPr>
        <w:t xml:space="preserve"> en virtud de la entrada en vigor de la Ley de Amnistía </w:t>
      </w:r>
      <w:r w:rsidR="00F0281E" w:rsidRPr="0086569D">
        <w:rPr>
          <w:sz w:val="20"/>
          <w:szCs w:val="20"/>
        </w:rPr>
        <w:t>No. 996 de 10 de junio de 2019, por lo que habría cesado la situación que dio lugar a la adopción de las medidas (</w:t>
      </w:r>
      <w:r w:rsidR="00F0281E" w:rsidRPr="00302F88">
        <w:rPr>
          <w:i/>
          <w:sz w:val="20"/>
          <w:szCs w:val="20"/>
        </w:rPr>
        <w:t>supra</w:t>
      </w:r>
      <w:r w:rsidR="00F0281E" w:rsidRPr="0086569D">
        <w:rPr>
          <w:sz w:val="20"/>
          <w:szCs w:val="20"/>
        </w:rPr>
        <w:t>, párr.</w:t>
      </w:r>
      <w:r w:rsidR="005C6CCA">
        <w:rPr>
          <w:sz w:val="20"/>
          <w:szCs w:val="20"/>
        </w:rPr>
        <w:t xml:space="preserve"> 5</w:t>
      </w:r>
      <w:r w:rsidR="00F0281E" w:rsidRPr="0086569D">
        <w:rPr>
          <w:sz w:val="20"/>
          <w:szCs w:val="20"/>
        </w:rPr>
        <w:t xml:space="preserve">). </w:t>
      </w:r>
      <w:r w:rsidR="0086569D" w:rsidRPr="0086569D">
        <w:rPr>
          <w:sz w:val="20"/>
          <w:szCs w:val="20"/>
        </w:rPr>
        <w:t xml:space="preserve">Dicha norma establece en su artículo 1 que se concede “amplia amnistía a todas las personas que </w:t>
      </w:r>
      <w:r w:rsidR="0086569D">
        <w:rPr>
          <w:sz w:val="20"/>
          <w:szCs w:val="20"/>
        </w:rPr>
        <w:t xml:space="preserve">han participado en los sucesos acaecidos en todo el territorio nacional a partir del 18 de abril de 2018 hasta la fecha de entrada en vigencia de la presente Ley”. Asimismo, dicho artículo </w:t>
      </w:r>
      <w:r w:rsidR="00D7171D">
        <w:rPr>
          <w:sz w:val="20"/>
          <w:szCs w:val="20"/>
        </w:rPr>
        <w:t>dispone</w:t>
      </w:r>
      <w:r w:rsidR="0086569D">
        <w:rPr>
          <w:sz w:val="20"/>
          <w:szCs w:val="20"/>
        </w:rPr>
        <w:t xml:space="preserve"> qu</w:t>
      </w:r>
      <w:r w:rsidR="00D7171D">
        <w:rPr>
          <w:sz w:val="20"/>
          <w:szCs w:val="20"/>
        </w:rPr>
        <w:t>e “las personas que se encuentra</w:t>
      </w:r>
      <w:r w:rsidR="0086569D">
        <w:rPr>
          <w:sz w:val="20"/>
          <w:szCs w:val="20"/>
        </w:rPr>
        <w:t xml:space="preserve">n privadas de libertad al momento de entrada en vigencia de la presente Ley, deberán obtener su libertad de </w:t>
      </w:r>
      <w:r w:rsidR="00D7171D">
        <w:rPr>
          <w:sz w:val="20"/>
          <w:szCs w:val="20"/>
        </w:rPr>
        <w:t>forma</w:t>
      </w:r>
      <w:r w:rsidR="0086569D">
        <w:rPr>
          <w:sz w:val="20"/>
          <w:szCs w:val="20"/>
        </w:rPr>
        <w:t xml:space="preserve"> inmediata”</w:t>
      </w:r>
      <w:r w:rsidR="00FF126E">
        <w:rPr>
          <w:sz w:val="20"/>
          <w:szCs w:val="20"/>
        </w:rPr>
        <w:t>, y señala que “[p]</w:t>
      </w:r>
      <w:proofErr w:type="spellStart"/>
      <w:r w:rsidR="00FF126E">
        <w:rPr>
          <w:sz w:val="20"/>
          <w:szCs w:val="20"/>
        </w:rPr>
        <w:t>or</w:t>
      </w:r>
      <w:proofErr w:type="spellEnd"/>
      <w:r w:rsidR="00FF126E">
        <w:rPr>
          <w:sz w:val="20"/>
          <w:szCs w:val="20"/>
        </w:rPr>
        <w:t xml:space="preserve"> disposición de esta Ley, las autoridades competentes cancelarán los Registros de antecedentes penales de todas las personas beneficiadas por la Amnistía”</w:t>
      </w:r>
      <w:r w:rsidR="0086569D">
        <w:rPr>
          <w:sz w:val="20"/>
          <w:szCs w:val="20"/>
        </w:rPr>
        <w:t>. Por otro lado, el artículo 3 señala que las personas beneficiadas por la Ley “deben abstenerse de perpetrar nuevos hechos que incurran en conductas repetitivas generadoras de los delitos aquí contemplados. La inobservancia de este principio</w:t>
      </w:r>
      <w:r w:rsidR="00D7171D">
        <w:rPr>
          <w:sz w:val="20"/>
          <w:szCs w:val="20"/>
        </w:rPr>
        <w:t xml:space="preserve"> de No Repetición</w:t>
      </w:r>
      <w:r w:rsidR="0086569D">
        <w:rPr>
          <w:sz w:val="20"/>
          <w:szCs w:val="20"/>
        </w:rPr>
        <w:t xml:space="preserve"> trae como consecuencia la revocación del beneficio […]”.</w:t>
      </w:r>
    </w:p>
    <w:p w14:paraId="36BADA5C" w14:textId="77777777" w:rsidR="009E0F8F" w:rsidRDefault="009E0F8F" w:rsidP="009E0F8F">
      <w:pPr>
        <w:pStyle w:val="Prrafodelista1"/>
        <w:jc w:val="both"/>
        <w:rPr>
          <w:sz w:val="20"/>
          <w:szCs w:val="20"/>
        </w:rPr>
      </w:pPr>
    </w:p>
    <w:p w14:paraId="5EE1705A" w14:textId="5037BB79" w:rsidR="009E0F8F" w:rsidRPr="009E0F8F" w:rsidRDefault="009E0F8F" w:rsidP="009E0F8F">
      <w:pPr>
        <w:pStyle w:val="Prrafodelista1"/>
        <w:numPr>
          <w:ilvl w:val="0"/>
          <w:numId w:val="13"/>
        </w:numPr>
        <w:ind w:left="0" w:firstLine="0"/>
        <w:jc w:val="both"/>
        <w:rPr>
          <w:sz w:val="20"/>
          <w:szCs w:val="20"/>
        </w:rPr>
      </w:pPr>
      <w:r w:rsidRPr="009E0F8F">
        <w:rPr>
          <w:sz w:val="20"/>
          <w:szCs w:val="20"/>
        </w:rPr>
        <w:t>Al respecto, el Tribunal constata que, en efecto, los señores</w:t>
      </w:r>
      <w:r w:rsidRPr="009E0F8F">
        <w:rPr>
          <w:rFonts w:eastAsia="Times"/>
          <w:sz w:val="20"/>
          <w:szCs w:val="20"/>
        </w:rPr>
        <w:t xml:space="preserve"> Jaime Ramón </w:t>
      </w:r>
      <w:proofErr w:type="spellStart"/>
      <w:r w:rsidRPr="009E0F8F">
        <w:rPr>
          <w:rFonts w:eastAsia="Times"/>
          <w:sz w:val="20"/>
          <w:szCs w:val="20"/>
        </w:rPr>
        <w:t>Ampié</w:t>
      </w:r>
      <w:proofErr w:type="spellEnd"/>
      <w:r w:rsidRPr="009E0F8F">
        <w:rPr>
          <w:rFonts w:eastAsia="Times"/>
          <w:sz w:val="20"/>
          <w:szCs w:val="20"/>
        </w:rPr>
        <w:t xml:space="preserve"> Toledo, Julio José </w:t>
      </w:r>
      <w:proofErr w:type="spellStart"/>
      <w:r w:rsidRPr="009E0F8F">
        <w:rPr>
          <w:rFonts w:eastAsia="Times"/>
          <w:sz w:val="20"/>
          <w:szCs w:val="20"/>
        </w:rPr>
        <w:t>Ampié</w:t>
      </w:r>
      <w:proofErr w:type="spellEnd"/>
      <w:r w:rsidRPr="009E0F8F">
        <w:rPr>
          <w:rFonts w:eastAsia="Times"/>
          <w:sz w:val="20"/>
          <w:szCs w:val="20"/>
        </w:rPr>
        <w:t xml:space="preserve"> </w:t>
      </w:r>
      <w:r w:rsidR="00D7171D">
        <w:rPr>
          <w:rFonts w:eastAsia="Times"/>
          <w:sz w:val="20"/>
          <w:szCs w:val="20"/>
        </w:rPr>
        <w:t xml:space="preserve">Machado, Reynaldo Lira </w:t>
      </w:r>
      <w:proofErr w:type="spellStart"/>
      <w:r w:rsidR="00D7171D">
        <w:rPr>
          <w:rFonts w:eastAsia="Times"/>
          <w:sz w:val="20"/>
          <w:szCs w:val="20"/>
        </w:rPr>
        <w:t>Luquez</w:t>
      </w:r>
      <w:proofErr w:type="spellEnd"/>
      <w:r w:rsidR="00D7171D">
        <w:rPr>
          <w:rFonts w:eastAsia="Times"/>
          <w:sz w:val="20"/>
          <w:szCs w:val="20"/>
        </w:rPr>
        <w:t>,</w:t>
      </w:r>
      <w:r w:rsidRPr="009E0F8F">
        <w:rPr>
          <w:rFonts w:eastAsia="Times"/>
          <w:sz w:val="20"/>
          <w:szCs w:val="20"/>
        </w:rPr>
        <w:t xml:space="preserve"> Tania Verónica Muñoz Pav</w:t>
      </w:r>
      <w:r w:rsidR="005C6CCA">
        <w:rPr>
          <w:rFonts w:eastAsia="Times"/>
          <w:sz w:val="20"/>
          <w:szCs w:val="20"/>
        </w:rPr>
        <w:t>ó</w:t>
      </w:r>
      <w:r w:rsidRPr="009E0F8F">
        <w:rPr>
          <w:rFonts w:eastAsia="Times"/>
          <w:sz w:val="20"/>
          <w:szCs w:val="20"/>
        </w:rPr>
        <w:t>n</w:t>
      </w:r>
      <w:r w:rsidR="00D7171D">
        <w:rPr>
          <w:rFonts w:eastAsia="Times"/>
          <w:sz w:val="20"/>
          <w:szCs w:val="20"/>
        </w:rPr>
        <w:t xml:space="preserve"> y </w:t>
      </w:r>
      <w:r w:rsidR="00D7171D" w:rsidRPr="009E0F8F">
        <w:rPr>
          <w:rFonts w:eastAsia="Times"/>
          <w:sz w:val="20"/>
          <w:szCs w:val="20"/>
        </w:rPr>
        <w:t xml:space="preserve">María Adilia Peralta </w:t>
      </w:r>
      <w:proofErr w:type="spellStart"/>
      <w:r w:rsidR="00D7171D" w:rsidRPr="009E0F8F">
        <w:rPr>
          <w:rFonts w:eastAsia="Times"/>
          <w:sz w:val="20"/>
          <w:szCs w:val="20"/>
        </w:rPr>
        <w:t>Cerratos</w:t>
      </w:r>
      <w:proofErr w:type="spellEnd"/>
      <w:r w:rsidRPr="009E0F8F">
        <w:rPr>
          <w:rFonts w:eastAsia="Times"/>
          <w:sz w:val="20"/>
          <w:szCs w:val="20"/>
        </w:rPr>
        <w:t xml:space="preserve"> obtuvieron su libertad </w:t>
      </w:r>
      <w:r w:rsidR="00D7171D">
        <w:rPr>
          <w:rFonts w:eastAsia="Times"/>
          <w:sz w:val="20"/>
          <w:szCs w:val="20"/>
        </w:rPr>
        <w:t>por</w:t>
      </w:r>
      <w:r w:rsidRPr="009E0F8F">
        <w:rPr>
          <w:rFonts w:eastAsia="Times"/>
          <w:sz w:val="20"/>
          <w:szCs w:val="20"/>
        </w:rPr>
        <w:t xml:space="preserve"> la aplicación del beneficio</w:t>
      </w:r>
      <w:r w:rsidR="00D7171D">
        <w:rPr>
          <w:rFonts w:eastAsia="Times"/>
          <w:sz w:val="20"/>
          <w:szCs w:val="20"/>
        </w:rPr>
        <w:t xml:space="preserve"> de convivencia</w:t>
      </w:r>
      <w:r w:rsidRPr="009E0F8F">
        <w:rPr>
          <w:rFonts w:eastAsia="Times"/>
          <w:sz w:val="20"/>
          <w:szCs w:val="20"/>
        </w:rPr>
        <w:t xml:space="preserve"> manifestado por el Estado</w:t>
      </w:r>
      <w:r w:rsidR="00D7171D">
        <w:rPr>
          <w:rFonts w:eastAsia="Times"/>
          <w:sz w:val="20"/>
          <w:szCs w:val="20"/>
        </w:rPr>
        <w:t>,</w:t>
      </w:r>
      <w:r w:rsidRPr="009E0F8F">
        <w:rPr>
          <w:rFonts w:eastAsia="Times"/>
          <w:sz w:val="20"/>
          <w:szCs w:val="20"/>
        </w:rPr>
        <w:t xml:space="preserve"> y que </w:t>
      </w:r>
      <w:r w:rsidRPr="009E0F8F">
        <w:rPr>
          <w:rFonts w:eastAsiaTheme="minorHAnsi" w:cs="Verdana"/>
          <w:color w:val="000000"/>
          <w:sz w:val="20"/>
          <w:szCs w:val="20"/>
          <w:lang w:val="es-CR"/>
        </w:rPr>
        <w:t xml:space="preserve">Kevin Rodrigo Espinoza Gutiérrez, Cristhian Rodrigo Fajardo Caballero, </w:t>
      </w:r>
      <w:proofErr w:type="spellStart"/>
      <w:r w:rsidRPr="009E0F8F">
        <w:rPr>
          <w:rFonts w:eastAsiaTheme="minorHAnsi" w:cs="Verdana"/>
          <w:color w:val="000000"/>
          <w:sz w:val="20"/>
          <w:szCs w:val="20"/>
          <w:lang w:val="es-CR"/>
        </w:rPr>
        <w:t>Yubrank</w:t>
      </w:r>
      <w:proofErr w:type="spellEnd"/>
      <w:r w:rsidRPr="009E0F8F">
        <w:rPr>
          <w:rFonts w:eastAsiaTheme="minorHAnsi" w:cs="Verdana"/>
          <w:color w:val="000000"/>
          <w:sz w:val="20"/>
          <w:szCs w:val="20"/>
          <w:lang w:val="es-CR"/>
        </w:rPr>
        <w:t xml:space="preserve"> Miguel Suazo Herrera, Edwin José </w:t>
      </w:r>
      <w:proofErr w:type="spellStart"/>
      <w:r w:rsidRPr="009E0F8F">
        <w:rPr>
          <w:rFonts w:eastAsiaTheme="minorHAnsi" w:cs="Verdana"/>
          <w:color w:val="000000"/>
          <w:sz w:val="20"/>
          <w:szCs w:val="20"/>
          <w:lang w:val="es-CR"/>
        </w:rPr>
        <w:t>Carcache</w:t>
      </w:r>
      <w:proofErr w:type="spellEnd"/>
      <w:r w:rsidRPr="009E0F8F">
        <w:rPr>
          <w:rFonts w:eastAsiaTheme="minorHAnsi" w:cs="Verdana"/>
          <w:color w:val="000000"/>
          <w:sz w:val="20"/>
          <w:szCs w:val="20"/>
          <w:lang w:val="es-CR"/>
        </w:rPr>
        <w:t xml:space="preserve"> Dávila, Medardo Mairena Sequeira, Mario </w:t>
      </w:r>
      <w:proofErr w:type="spellStart"/>
      <w:r w:rsidRPr="009E0F8F">
        <w:rPr>
          <w:rFonts w:eastAsiaTheme="minorHAnsi" w:cs="Verdana"/>
          <w:color w:val="000000"/>
          <w:sz w:val="20"/>
          <w:szCs w:val="20"/>
          <w:lang w:val="es-CR"/>
        </w:rPr>
        <w:t>Lener</w:t>
      </w:r>
      <w:proofErr w:type="spellEnd"/>
      <w:r w:rsidRPr="009E0F8F">
        <w:rPr>
          <w:rFonts w:eastAsiaTheme="minorHAnsi" w:cs="Verdana"/>
          <w:color w:val="000000"/>
          <w:sz w:val="20"/>
          <w:szCs w:val="20"/>
          <w:lang w:val="es-CR"/>
        </w:rPr>
        <w:t xml:space="preserve"> Fonseca Díaz, Ricardo Baltodano, Miguel Mora Barberena, Luc</w:t>
      </w:r>
      <w:r w:rsidR="00D7171D">
        <w:rPr>
          <w:rFonts w:eastAsiaTheme="minorHAnsi" w:cs="Verdana"/>
          <w:color w:val="000000"/>
          <w:sz w:val="20"/>
          <w:szCs w:val="20"/>
          <w:lang w:val="es-CR"/>
        </w:rPr>
        <w:t>í</w:t>
      </w:r>
      <w:r w:rsidRPr="009E0F8F">
        <w:rPr>
          <w:rFonts w:eastAsiaTheme="minorHAnsi" w:cs="Verdana"/>
          <w:color w:val="000000"/>
          <w:sz w:val="20"/>
          <w:szCs w:val="20"/>
          <w:lang w:val="es-CR"/>
        </w:rPr>
        <w:t xml:space="preserve">a Pineda </w:t>
      </w:r>
      <w:proofErr w:type="spellStart"/>
      <w:r w:rsidRPr="009E0F8F">
        <w:rPr>
          <w:rFonts w:eastAsiaTheme="minorHAnsi" w:cs="Verdana"/>
          <w:color w:val="000000"/>
          <w:sz w:val="20"/>
          <w:szCs w:val="20"/>
          <w:lang w:val="es-CR"/>
        </w:rPr>
        <w:t>Ubau</w:t>
      </w:r>
      <w:proofErr w:type="spellEnd"/>
      <w:r w:rsidRPr="009E0F8F">
        <w:rPr>
          <w:rFonts w:eastAsiaTheme="minorHAnsi" w:cs="Verdana"/>
          <w:color w:val="000000"/>
          <w:sz w:val="20"/>
          <w:szCs w:val="20"/>
          <w:lang w:val="es-CR"/>
        </w:rPr>
        <w:t xml:space="preserve">, Amaya Eva </w:t>
      </w:r>
      <w:proofErr w:type="spellStart"/>
      <w:r w:rsidRPr="009E0F8F">
        <w:rPr>
          <w:rFonts w:eastAsiaTheme="minorHAnsi" w:cs="Verdana"/>
          <w:color w:val="000000"/>
          <w:sz w:val="20"/>
          <w:szCs w:val="20"/>
          <w:lang w:val="es-CR"/>
        </w:rPr>
        <w:t>Coppens</w:t>
      </w:r>
      <w:proofErr w:type="spellEnd"/>
      <w:r w:rsidRPr="009E0F8F">
        <w:rPr>
          <w:rFonts w:eastAsiaTheme="minorHAnsi" w:cs="Verdana"/>
          <w:color w:val="000000"/>
          <w:sz w:val="20"/>
          <w:szCs w:val="20"/>
          <w:lang w:val="es-CR"/>
        </w:rPr>
        <w:t xml:space="preserve"> Zamora, </w:t>
      </w:r>
      <w:proofErr w:type="spellStart"/>
      <w:r w:rsidRPr="009E0F8F">
        <w:rPr>
          <w:rFonts w:eastAsiaTheme="minorHAnsi" w:cs="Verdana"/>
          <w:color w:val="000000"/>
          <w:sz w:val="20"/>
          <w:szCs w:val="20"/>
          <w:lang w:val="es-CR"/>
        </w:rPr>
        <w:t>Olesia</w:t>
      </w:r>
      <w:proofErr w:type="spellEnd"/>
      <w:r w:rsidRPr="009E0F8F">
        <w:rPr>
          <w:rFonts w:eastAsiaTheme="minorHAnsi" w:cs="Verdana"/>
          <w:color w:val="000000"/>
          <w:sz w:val="20"/>
          <w:szCs w:val="20"/>
          <w:lang w:val="es-CR"/>
        </w:rPr>
        <w:t xml:space="preserve"> Auxiliadora Muñoz Pavón, e Irlanda </w:t>
      </w:r>
      <w:proofErr w:type="spellStart"/>
      <w:r w:rsidRPr="009E0F8F">
        <w:rPr>
          <w:rFonts w:eastAsiaTheme="minorHAnsi" w:cs="Verdana"/>
          <w:color w:val="000000"/>
          <w:sz w:val="20"/>
          <w:szCs w:val="20"/>
          <w:lang w:val="es-CR"/>
        </w:rPr>
        <w:t>Undina</w:t>
      </w:r>
      <w:proofErr w:type="spellEnd"/>
      <w:r w:rsidRPr="009E0F8F">
        <w:rPr>
          <w:rFonts w:eastAsiaTheme="minorHAnsi" w:cs="Verdana"/>
          <w:color w:val="000000"/>
          <w:sz w:val="20"/>
          <w:szCs w:val="20"/>
          <w:lang w:val="es-CR"/>
        </w:rPr>
        <w:t xml:space="preserve"> </w:t>
      </w:r>
      <w:proofErr w:type="spellStart"/>
      <w:r w:rsidRPr="009E0F8F">
        <w:rPr>
          <w:rFonts w:eastAsiaTheme="minorHAnsi" w:cs="Verdana"/>
          <w:color w:val="000000"/>
          <w:sz w:val="20"/>
          <w:szCs w:val="20"/>
          <w:lang w:val="es-CR"/>
        </w:rPr>
        <w:t>Jeréz</w:t>
      </w:r>
      <w:proofErr w:type="spellEnd"/>
      <w:r w:rsidRPr="009E0F8F">
        <w:rPr>
          <w:rFonts w:eastAsiaTheme="minorHAnsi" w:cs="Verdana"/>
          <w:color w:val="000000"/>
          <w:sz w:val="20"/>
          <w:szCs w:val="20"/>
          <w:lang w:val="es-CR"/>
        </w:rPr>
        <w:t xml:space="preserve"> Barrera, obtuvieron su libertad en virtud de la aplicación de la Ley de Amnistía No. 996</w:t>
      </w:r>
      <w:r w:rsidRPr="003A5965">
        <w:rPr>
          <w:rStyle w:val="Refdenotaalpie"/>
          <w:rFonts w:eastAsia="Times"/>
          <w:sz w:val="20"/>
          <w:szCs w:val="20"/>
        </w:rPr>
        <w:footnoteReference w:id="5"/>
      </w:r>
      <w:r w:rsidRPr="009E0F8F">
        <w:rPr>
          <w:rFonts w:eastAsiaTheme="minorHAnsi" w:cs="Verdana"/>
          <w:color w:val="000000"/>
          <w:sz w:val="20"/>
          <w:szCs w:val="20"/>
          <w:lang w:val="es-CR"/>
        </w:rPr>
        <w:t>.</w:t>
      </w:r>
      <w:r w:rsidR="00FF126E">
        <w:rPr>
          <w:rFonts w:eastAsiaTheme="minorHAnsi" w:cs="Verdana"/>
          <w:color w:val="000000"/>
          <w:sz w:val="20"/>
          <w:szCs w:val="20"/>
          <w:lang w:val="es-CR"/>
        </w:rPr>
        <w:t xml:space="preserve"> </w:t>
      </w:r>
    </w:p>
    <w:p w14:paraId="633F307B" w14:textId="77777777" w:rsidR="00F01BD7" w:rsidRDefault="00F01BD7" w:rsidP="00F01BD7">
      <w:pPr>
        <w:pStyle w:val="Prrafodelista"/>
        <w:rPr>
          <w:sz w:val="20"/>
          <w:szCs w:val="20"/>
        </w:rPr>
      </w:pPr>
    </w:p>
    <w:p w14:paraId="2BA1CBB9" w14:textId="051FF810" w:rsidR="00F01BD7" w:rsidRPr="00E01489" w:rsidRDefault="00F01BD7" w:rsidP="007E645D">
      <w:pPr>
        <w:pStyle w:val="Prrafodelista1"/>
        <w:numPr>
          <w:ilvl w:val="0"/>
          <w:numId w:val="13"/>
        </w:numPr>
        <w:ind w:left="0" w:firstLine="0"/>
        <w:jc w:val="both"/>
        <w:rPr>
          <w:sz w:val="20"/>
          <w:szCs w:val="20"/>
        </w:rPr>
      </w:pPr>
      <w:r w:rsidRPr="00E01489">
        <w:rPr>
          <w:sz w:val="20"/>
          <w:szCs w:val="20"/>
        </w:rPr>
        <w:t>El Tribunal</w:t>
      </w:r>
      <w:r w:rsidRPr="00E01489">
        <w:rPr>
          <w:sz w:val="20"/>
          <w:szCs w:val="20"/>
          <w:lang w:val="es-CO"/>
        </w:rPr>
        <w:t xml:space="preserve"> recuerda que el mantenimiento de las medidas de protección exige una evaluación más rigurosa de este Tribunal en cuanto a la persistencia de la situación que dio origen a las mismas</w:t>
      </w:r>
      <w:r>
        <w:rPr>
          <w:vertAlign w:val="superscript"/>
        </w:rPr>
        <w:footnoteReference w:id="6"/>
      </w:r>
      <w:r w:rsidRPr="00E01489">
        <w:rPr>
          <w:sz w:val="20"/>
          <w:szCs w:val="20"/>
          <w:lang w:val="es-CO"/>
        </w:rPr>
        <w:t xml:space="preserve">. Por ello, el Tribunal debe </w:t>
      </w:r>
      <w:r w:rsidRPr="00E01489">
        <w:rPr>
          <w:sz w:val="20"/>
          <w:szCs w:val="20"/>
        </w:rPr>
        <w:t>analizar si persiste la situación de extrema gravedad y urgencia que determinó su adopción, o bien si nuevas circunstancias igualmente graves y urgentes ameritan su mantenimiento</w:t>
      </w:r>
      <w:r>
        <w:rPr>
          <w:rStyle w:val="Refdenotaalpie"/>
          <w:sz w:val="20"/>
          <w:szCs w:val="20"/>
        </w:rPr>
        <w:footnoteReference w:id="7"/>
      </w:r>
      <w:r w:rsidRPr="00E01489">
        <w:rPr>
          <w:sz w:val="20"/>
          <w:szCs w:val="20"/>
        </w:rPr>
        <w:t xml:space="preserve">. Asimismo, la Corte reitera que </w:t>
      </w:r>
      <w:r w:rsidRPr="00E01489">
        <w:rPr>
          <w:sz w:val="20"/>
          <w:szCs w:val="20"/>
          <w:lang w:val="es-CO"/>
        </w:rPr>
        <w:t xml:space="preserve">el Estado, al solicitar el levantamiento de las medidas provisionales, </w:t>
      </w:r>
      <w:r w:rsidRPr="00E01489">
        <w:rPr>
          <w:color w:val="000000"/>
          <w:sz w:val="20"/>
          <w:szCs w:val="20"/>
          <w:lang w:val="es-CO"/>
        </w:rPr>
        <w:t xml:space="preserve">deberá presentar la suficiente evidencia y argumentación que permita al Tribunal apreciar que el riesgo o la amenaza ya no reúnen los </w:t>
      </w:r>
      <w:r w:rsidRPr="00E01489">
        <w:rPr>
          <w:color w:val="000000"/>
          <w:sz w:val="20"/>
          <w:szCs w:val="20"/>
          <w:lang w:val="es-CO"/>
        </w:rPr>
        <w:lastRenderedPageBreak/>
        <w:t>requisitos de extrema gravedad y urgencia de evitar daños irreparables</w:t>
      </w:r>
      <w:r>
        <w:rPr>
          <w:rStyle w:val="Refdenotaalpie"/>
          <w:sz w:val="20"/>
          <w:szCs w:val="20"/>
          <w:lang w:val="es-CO"/>
        </w:rPr>
        <w:footnoteReference w:id="8"/>
      </w:r>
      <w:r w:rsidRPr="00E01489">
        <w:rPr>
          <w:sz w:val="20"/>
          <w:szCs w:val="20"/>
          <w:lang w:val="es-CO"/>
        </w:rPr>
        <w:t xml:space="preserve">. En el presente caso, </w:t>
      </w:r>
      <w:r w:rsidRPr="00E01489">
        <w:rPr>
          <w:sz w:val="20"/>
          <w:szCs w:val="20"/>
        </w:rPr>
        <w:t xml:space="preserve">la Corte </w:t>
      </w:r>
      <w:r w:rsidR="00730C7D" w:rsidRPr="00E01489">
        <w:rPr>
          <w:sz w:val="20"/>
          <w:szCs w:val="20"/>
        </w:rPr>
        <w:t>recuerda</w:t>
      </w:r>
      <w:r w:rsidRPr="00E01489">
        <w:rPr>
          <w:sz w:val="20"/>
          <w:szCs w:val="20"/>
        </w:rPr>
        <w:t xml:space="preserve"> que las medidas</w:t>
      </w:r>
      <w:r w:rsidR="00730C7D" w:rsidRPr="00E01489">
        <w:rPr>
          <w:sz w:val="20"/>
          <w:szCs w:val="20"/>
        </w:rPr>
        <w:t xml:space="preserve"> urgentes</w:t>
      </w:r>
      <w:r w:rsidRPr="00E01489">
        <w:rPr>
          <w:sz w:val="20"/>
          <w:szCs w:val="20"/>
        </w:rPr>
        <w:t xml:space="preserve"> ordenadas por el Presidente el 21 de mayo de 2019 tenían un objetivo doble: </w:t>
      </w:r>
      <w:r w:rsidR="002C621E" w:rsidRPr="00E01489">
        <w:rPr>
          <w:sz w:val="20"/>
          <w:szCs w:val="20"/>
        </w:rPr>
        <w:t xml:space="preserve">a) </w:t>
      </w:r>
      <w:r w:rsidRPr="00E01489">
        <w:rPr>
          <w:sz w:val="20"/>
          <w:szCs w:val="20"/>
        </w:rPr>
        <w:t>garantizar que mientras los solicitantes se encontraran privados de su libertad, el Estado garantizara sus derechos a la vida, la integridad personal y la salud</w:t>
      </w:r>
      <w:r w:rsidR="002C621E" w:rsidRPr="00E01489">
        <w:rPr>
          <w:sz w:val="20"/>
          <w:szCs w:val="20"/>
        </w:rPr>
        <w:t>,</w:t>
      </w:r>
      <w:r w:rsidR="00730C7D" w:rsidRPr="00E01489">
        <w:rPr>
          <w:sz w:val="20"/>
          <w:szCs w:val="20"/>
        </w:rPr>
        <w:t xml:space="preserve"> ante la situación de extrema gravedad y urgencia de un daño irreparable a dichos derechos</w:t>
      </w:r>
      <w:r w:rsidR="00B36401">
        <w:rPr>
          <w:sz w:val="20"/>
          <w:szCs w:val="20"/>
        </w:rPr>
        <w:t>,</w:t>
      </w:r>
      <w:r w:rsidR="002C621E" w:rsidRPr="00E01489">
        <w:rPr>
          <w:sz w:val="20"/>
          <w:szCs w:val="20"/>
        </w:rPr>
        <w:t xml:space="preserve"> y b)</w:t>
      </w:r>
      <w:r w:rsidRPr="00E01489">
        <w:rPr>
          <w:sz w:val="20"/>
          <w:szCs w:val="20"/>
        </w:rPr>
        <w:t xml:space="preserve"> que el Estado adoptara las medidas pertinentes para permitir que los beneficiarios obtuvieran su libertad </w:t>
      </w:r>
      <w:r w:rsidR="00D7171D">
        <w:rPr>
          <w:sz w:val="20"/>
          <w:szCs w:val="20"/>
        </w:rPr>
        <w:t>conforme a</w:t>
      </w:r>
      <w:r w:rsidRPr="00E01489">
        <w:rPr>
          <w:sz w:val="20"/>
          <w:szCs w:val="20"/>
        </w:rPr>
        <w:t xml:space="preserve"> los procedimientos que el propio Estado decidiera </w:t>
      </w:r>
      <w:r w:rsidR="00D7171D">
        <w:rPr>
          <w:sz w:val="20"/>
          <w:szCs w:val="20"/>
        </w:rPr>
        <w:t>de acuerdo</w:t>
      </w:r>
      <w:r w:rsidRPr="00E01489">
        <w:rPr>
          <w:sz w:val="20"/>
          <w:szCs w:val="20"/>
        </w:rPr>
        <w:t xml:space="preserve"> a su legislación interna, y de conformidad con los estándares interamericanos.</w:t>
      </w:r>
    </w:p>
    <w:p w14:paraId="4BB3C9E9" w14:textId="77777777" w:rsidR="00F01BD7" w:rsidRPr="00F01BD7" w:rsidRDefault="00F01BD7" w:rsidP="00F01BD7">
      <w:pPr>
        <w:pStyle w:val="Prrafodelista1"/>
        <w:jc w:val="both"/>
        <w:rPr>
          <w:sz w:val="20"/>
          <w:szCs w:val="20"/>
        </w:rPr>
      </w:pPr>
    </w:p>
    <w:p w14:paraId="5450E249" w14:textId="05FAC3BE" w:rsidR="005B6AF1" w:rsidRDefault="00F01BD7" w:rsidP="005B6AF1">
      <w:pPr>
        <w:pStyle w:val="Prrafodelista1"/>
        <w:numPr>
          <w:ilvl w:val="0"/>
          <w:numId w:val="13"/>
        </w:numPr>
        <w:ind w:left="0" w:firstLine="0"/>
        <w:jc w:val="both"/>
        <w:rPr>
          <w:sz w:val="20"/>
          <w:szCs w:val="20"/>
        </w:rPr>
      </w:pPr>
      <w:r>
        <w:rPr>
          <w:sz w:val="20"/>
          <w:szCs w:val="20"/>
        </w:rPr>
        <w:t>En razón de lo anterior, la Corte considera que</w:t>
      </w:r>
      <w:r w:rsidR="00204F6C">
        <w:rPr>
          <w:sz w:val="20"/>
          <w:szCs w:val="20"/>
        </w:rPr>
        <w:t>,</w:t>
      </w:r>
      <w:r>
        <w:rPr>
          <w:sz w:val="20"/>
          <w:szCs w:val="20"/>
        </w:rPr>
        <w:t xml:space="preserve"> </w:t>
      </w:r>
      <w:r w:rsidR="00204F6C">
        <w:rPr>
          <w:sz w:val="20"/>
          <w:szCs w:val="20"/>
        </w:rPr>
        <w:t>al constatarse la</w:t>
      </w:r>
      <w:r w:rsidR="008A278E">
        <w:rPr>
          <w:sz w:val="20"/>
          <w:szCs w:val="20"/>
        </w:rPr>
        <w:t xml:space="preserve"> liberación de</w:t>
      </w:r>
      <w:r>
        <w:rPr>
          <w:sz w:val="20"/>
          <w:szCs w:val="20"/>
        </w:rPr>
        <w:t xml:space="preserve"> los beneficiari</w:t>
      </w:r>
      <w:r w:rsidR="00E01489">
        <w:rPr>
          <w:sz w:val="20"/>
          <w:szCs w:val="20"/>
        </w:rPr>
        <w:t>os de las medidas en virtud de la aplicación de</w:t>
      </w:r>
      <w:r w:rsidR="00A055B2">
        <w:rPr>
          <w:sz w:val="20"/>
          <w:szCs w:val="20"/>
        </w:rPr>
        <w:t>l beneficio de convivencia familiar o por</w:t>
      </w:r>
      <w:r w:rsidR="00D354F7">
        <w:rPr>
          <w:sz w:val="20"/>
          <w:szCs w:val="20"/>
        </w:rPr>
        <w:t xml:space="preserve"> la aplicación de la Ley de Amnistía No. 996</w:t>
      </w:r>
      <w:r>
        <w:rPr>
          <w:sz w:val="20"/>
          <w:szCs w:val="20"/>
        </w:rPr>
        <w:t xml:space="preserve">, </w:t>
      </w:r>
      <w:r w:rsidR="00204F6C">
        <w:rPr>
          <w:sz w:val="20"/>
          <w:szCs w:val="20"/>
        </w:rPr>
        <w:t xml:space="preserve">el Estado </w:t>
      </w:r>
      <w:r w:rsidR="002C621E">
        <w:rPr>
          <w:sz w:val="20"/>
          <w:szCs w:val="20"/>
        </w:rPr>
        <w:t>dio cumplimi</w:t>
      </w:r>
      <w:r w:rsidR="00D354F7">
        <w:rPr>
          <w:sz w:val="20"/>
          <w:szCs w:val="20"/>
        </w:rPr>
        <w:t xml:space="preserve">ento a la orden del </w:t>
      </w:r>
      <w:proofErr w:type="gramStart"/>
      <w:r w:rsidR="00D354F7">
        <w:rPr>
          <w:sz w:val="20"/>
          <w:szCs w:val="20"/>
        </w:rPr>
        <w:t>P</w:t>
      </w:r>
      <w:r w:rsidR="002C621E">
        <w:rPr>
          <w:sz w:val="20"/>
          <w:szCs w:val="20"/>
        </w:rPr>
        <w:t>residente</w:t>
      </w:r>
      <w:proofErr w:type="gramEnd"/>
      <w:r w:rsidR="002C621E">
        <w:rPr>
          <w:sz w:val="20"/>
          <w:szCs w:val="20"/>
        </w:rPr>
        <w:t xml:space="preserve"> en los puntos resolutivos </w:t>
      </w:r>
      <w:r w:rsidR="004B29F4">
        <w:rPr>
          <w:sz w:val="20"/>
          <w:szCs w:val="20"/>
        </w:rPr>
        <w:t>segundo y tercero</w:t>
      </w:r>
      <w:r w:rsidR="002C621E">
        <w:rPr>
          <w:sz w:val="20"/>
          <w:szCs w:val="20"/>
        </w:rPr>
        <w:t xml:space="preserve"> de las medidas urgentes</w:t>
      </w:r>
      <w:r w:rsidR="00E01489">
        <w:rPr>
          <w:sz w:val="20"/>
          <w:szCs w:val="20"/>
        </w:rPr>
        <w:t xml:space="preserve"> de 21 de mayo de 2019</w:t>
      </w:r>
      <w:r w:rsidR="004B29F4">
        <w:rPr>
          <w:sz w:val="20"/>
          <w:szCs w:val="20"/>
        </w:rPr>
        <w:t>. El mismo hecho tuvo como consecuencia</w:t>
      </w:r>
      <w:r w:rsidR="00E01489">
        <w:rPr>
          <w:sz w:val="20"/>
          <w:szCs w:val="20"/>
        </w:rPr>
        <w:t xml:space="preserve"> </w:t>
      </w:r>
      <w:r w:rsidR="004B29F4">
        <w:rPr>
          <w:sz w:val="20"/>
          <w:szCs w:val="20"/>
        </w:rPr>
        <w:t>que cesaran</w:t>
      </w:r>
      <w:r>
        <w:rPr>
          <w:sz w:val="20"/>
          <w:szCs w:val="20"/>
        </w:rPr>
        <w:t xml:space="preserve"> las condiciones preexistentes que </w:t>
      </w:r>
      <w:r w:rsidR="002C621E">
        <w:rPr>
          <w:sz w:val="20"/>
          <w:szCs w:val="20"/>
        </w:rPr>
        <w:t>motivaron la orden establecida en el punto resolutivo primero</w:t>
      </w:r>
      <w:r w:rsidR="00D354F7">
        <w:rPr>
          <w:sz w:val="20"/>
          <w:szCs w:val="20"/>
        </w:rPr>
        <w:t>,</w:t>
      </w:r>
      <w:r w:rsidR="004B29F4">
        <w:rPr>
          <w:sz w:val="20"/>
          <w:szCs w:val="20"/>
        </w:rPr>
        <w:t xml:space="preserve"> cuarto,</w:t>
      </w:r>
      <w:r w:rsidR="00D354F7">
        <w:rPr>
          <w:sz w:val="20"/>
          <w:szCs w:val="20"/>
        </w:rPr>
        <w:t xml:space="preserve"> quinto y sexto</w:t>
      </w:r>
      <w:r w:rsidR="003D32D1">
        <w:rPr>
          <w:sz w:val="20"/>
          <w:szCs w:val="20"/>
        </w:rPr>
        <w:t xml:space="preserve"> de la Resolución</w:t>
      </w:r>
      <w:r w:rsidR="004B29F4">
        <w:rPr>
          <w:sz w:val="20"/>
          <w:szCs w:val="20"/>
        </w:rPr>
        <w:t>, pues</w:t>
      </w:r>
      <w:r w:rsidR="003D32D1">
        <w:rPr>
          <w:sz w:val="20"/>
          <w:szCs w:val="20"/>
        </w:rPr>
        <w:t xml:space="preserve"> la relevancia de una visita </w:t>
      </w:r>
      <w:r w:rsidR="003D32D1">
        <w:rPr>
          <w:i/>
          <w:sz w:val="20"/>
          <w:szCs w:val="20"/>
        </w:rPr>
        <w:t xml:space="preserve">in situ </w:t>
      </w:r>
      <w:r w:rsidR="00D7171D">
        <w:rPr>
          <w:sz w:val="20"/>
          <w:szCs w:val="20"/>
        </w:rPr>
        <w:t>estaba</w:t>
      </w:r>
      <w:r w:rsidR="003D32D1">
        <w:rPr>
          <w:sz w:val="20"/>
          <w:szCs w:val="20"/>
        </w:rPr>
        <w:t xml:space="preserve"> determinada por</w:t>
      </w:r>
      <w:r w:rsidR="004B29F4">
        <w:rPr>
          <w:sz w:val="20"/>
          <w:szCs w:val="20"/>
        </w:rPr>
        <w:t xml:space="preserve"> </w:t>
      </w:r>
      <w:r w:rsidR="003D32D1">
        <w:rPr>
          <w:sz w:val="20"/>
          <w:szCs w:val="20"/>
        </w:rPr>
        <w:t>el hecho de que los solicitantes se encontraran detenidos en condiciones que ponían en riesgo sus derechos</w:t>
      </w:r>
      <w:r w:rsidR="002C621E">
        <w:rPr>
          <w:sz w:val="20"/>
          <w:szCs w:val="20"/>
        </w:rPr>
        <w:t xml:space="preserve">. En consecuencia, al cesar la </w:t>
      </w:r>
      <w:r w:rsidR="00D7171D">
        <w:rPr>
          <w:sz w:val="20"/>
          <w:szCs w:val="20"/>
        </w:rPr>
        <w:t xml:space="preserve">existencia de las circunstancias que motivaron </w:t>
      </w:r>
      <w:r w:rsidR="002C621E">
        <w:rPr>
          <w:sz w:val="20"/>
          <w:szCs w:val="20"/>
        </w:rPr>
        <w:t>las adopción de las medidas</w:t>
      </w:r>
      <w:r w:rsidR="004B29F4">
        <w:rPr>
          <w:sz w:val="20"/>
          <w:szCs w:val="20"/>
        </w:rPr>
        <w:t xml:space="preserve"> en virtud de la liberación de las 17 personas beneficiarias de las medidas urgentes de 21 de mayo de 2019</w:t>
      </w:r>
      <w:r w:rsidR="002C621E">
        <w:rPr>
          <w:sz w:val="20"/>
          <w:szCs w:val="20"/>
        </w:rPr>
        <w:t>, el Tribunal considera que también ces</w:t>
      </w:r>
      <w:r w:rsidR="00E50000">
        <w:rPr>
          <w:sz w:val="20"/>
          <w:szCs w:val="20"/>
        </w:rPr>
        <w:t>ó</w:t>
      </w:r>
      <w:r w:rsidR="002C621E">
        <w:rPr>
          <w:sz w:val="20"/>
          <w:szCs w:val="20"/>
        </w:rPr>
        <w:t xml:space="preserve"> la existencia de una situación de extrema gravedad y urgencia de evitar daños irreparables</w:t>
      </w:r>
      <w:r w:rsidR="003D32D1">
        <w:rPr>
          <w:sz w:val="20"/>
          <w:szCs w:val="20"/>
        </w:rPr>
        <w:t xml:space="preserve"> a la salud, integridad personal y vida de los beneficiarios</w:t>
      </w:r>
      <w:r w:rsidR="002C621E">
        <w:rPr>
          <w:sz w:val="20"/>
          <w:szCs w:val="20"/>
        </w:rPr>
        <w:t>, por lo que procede al levantamiento de las medidas provisionales adoptadas en el presente asunto.</w:t>
      </w:r>
      <w:r w:rsidR="004B29F4">
        <w:rPr>
          <w:sz w:val="20"/>
          <w:szCs w:val="20"/>
        </w:rPr>
        <w:t xml:space="preserve"> </w:t>
      </w:r>
      <w:r w:rsidR="004B29F4">
        <w:rPr>
          <w:rFonts w:eastAsia="Verdana" w:cs="Verdana"/>
          <w:sz w:val="20"/>
          <w:szCs w:val="20"/>
          <w:lang w:val="es-CR"/>
        </w:rPr>
        <w:t>Esta decisión</w:t>
      </w:r>
      <w:r w:rsidR="004B29F4" w:rsidRPr="005B6AF1">
        <w:rPr>
          <w:rFonts w:eastAsia="Verdana" w:cs="Verdana"/>
          <w:sz w:val="20"/>
          <w:szCs w:val="20"/>
          <w:lang w:val="es-CR"/>
        </w:rPr>
        <w:t xml:space="preserve"> no prejuzga la responsabilidad estatal por los hechos informados</w:t>
      </w:r>
      <w:r w:rsidR="004B29F4">
        <w:rPr>
          <w:rFonts w:eastAsia="Verdana" w:cs="Verdana"/>
          <w:sz w:val="20"/>
          <w:szCs w:val="20"/>
          <w:lang w:val="es-CR"/>
        </w:rPr>
        <w:t xml:space="preserve"> mientras los beneficiarios se encontraban detenidos ni después de su liberación</w:t>
      </w:r>
      <w:r w:rsidR="004B29F4" w:rsidRPr="005B6AF1">
        <w:rPr>
          <w:rFonts w:eastAsia="Verdana" w:cs="Verdana"/>
          <w:sz w:val="20"/>
          <w:szCs w:val="20"/>
          <w:lang w:val="es-CR"/>
        </w:rPr>
        <w:t>.</w:t>
      </w:r>
    </w:p>
    <w:p w14:paraId="066668F2" w14:textId="77777777" w:rsidR="005B6AF1" w:rsidRDefault="005B6AF1" w:rsidP="005B6AF1">
      <w:pPr>
        <w:pStyle w:val="Prrafodelista"/>
        <w:rPr>
          <w:sz w:val="20"/>
          <w:szCs w:val="20"/>
        </w:rPr>
      </w:pPr>
    </w:p>
    <w:p w14:paraId="263370A5" w14:textId="70EADF2B" w:rsidR="004B29F4" w:rsidRDefault="005B6AF1" w:rsidP="005B6AF1">
      <w:pPr>
        <w:pStyle w:val="Prrafodelista1"/>
        <w:numPr>
          <w:ilvl w:val="0"/>
          <w:numId w:val="13"/>
        </w:numPr>
        <w:ind w:left="0" w:firstLine="0"/>
        <w:jc w:val="both"/>
        <w:rPr>
          <w:sz w:val="20"/>
          <w:szCs w:val="20"/>
        </w:rPr>
      </w:pPr>
      <w:r w:rsidRPr="00280741">
        <w:rPr>
          <w:sz w:val="20"/>
          <w:szCs w:val="20"/>
        </w:rPr>
        <w:t>Sin perjuicio de lo anterior,</w:t>
      </w:r>
      <w:r w:rsidR="004B29F4" w:rsidRPr="00280741">
        <w:rPr>
          <w:sz w:val="20"/>
          <w:szCs w:val="20"/>
        </w:rPr>
        <w:t xml:space="preserve"> y en atención a las observaciones de los representantes y de la Comisión a los informes del Estado,</w:t>
      </w:r>
      <w:r w:rsidRPr="00280741">
        <w:rPr>
          <w:sz w:val="20"/>
          <w:szCs w:val="20"/>
        </w:rPr>
        <w:t xml:space="preserve"> la Corte recuerda que el artículo 1.1 de la Convención establece las obligaciones generales que tienen los Estados Parte de respetar los derechos y libertades en ella consagrados y de garantizar su libre y pleno ejercicio a toda persona que esté sujeta a su jurisdicción, las cuales se imponen no sólo en relación con el poder del Estado sino también en relación con actuaciones de terceros particulares</w:t>
      </w:r>
      <w:r w:rsidRPr="00280741">
        <w:rPr>
          <w:rStyle w:val="Refdenotaalpie"/>
        </w:rPr>
        <w:footnoteReference w:id="9"/>
      </w:r>
      <w:r w:rsidRPr="00280741">
        <w:rPr>
          <w:sz w:val="20"/>
          <w:szCs w:val="20"/>
        </w:rPr>
        <w:t xml:space="preserve">. En ese sentido, el Tribunal reitera que, en atención al principio de complementariedad y subsidiariedad, son los mismos Estados los que </w:t>
      </w:r>
      <w:r w:rsidR="00D7171D">
        <w:rPr>
          <w:sz w:val="20"/>
          <w:szCs w:val="20"/>
        </w:rPr>
        <w:t>primero se encuentran</w:t>
      </w:r>
      <w:r w:rsidRPr="00280741">
        <w:rPr>
          <w:sz w:val="20"/>
          <w:szCs w:val="20"/>
        </w:rPr>
        <w:t xml:space="preserve"> obligados a garantizar la vida, seguridad e integridad de las personas a través de sus órganos y jurisdicción interna</w:t>
      </w:r>
      <w:r w:rsidRPr="00280741">
        <w:rPr>
          <w:rStyle w:val="Refdenotaalpie"/>
        </w:rPr>
        <w:footnoteReference w:id="10"/>
      </w:r>
      <w:r w:rsidRPr="00280741">
        <w:rPr>
          <w:sz w:val="20"/>
          <w:szCs w:val="20"/>
        </w:rPr>
        <w:t xml:space="preserve">. </w:t>
      </w:r>
      <w:r w:rsidR="008A278E">
        <w:rPr>
          <w:sz w:val="20"/>
          <w:szCs w:val="20"/>
        </w:rPr>
        <w:t xml:space="preserve">En </w:t>
      </w:r>
      <w:proofErr w:type="gramStart"/>
      <w:r w:rsidR="008A278E">
        <w:rPr>
          <w:sz w:val="20"/>
          <w:szCs w:val="20"/>
        </w:rPr>
        <w:t>consecuencia</w:t>
      </w:r>
      <w:proofErr w:type="gramEnd"/>
      <w:r w:rsidR="008A278E">
        <w:rPr>
          <w:sz w:val="20"/>
          <w:szCs w:val="20"/>
        </w:rPr>
        <w:t xml:space="preserve"> el</w:t>
      </w:r>
      <w:r w:rsidRPr="00280741">
        <w:rPr>
          <w:sz w:val="20"/>
          <w:szCs w:val="20"/>
        </w:rPr>
        <w:t xml:space="preserve"> levantamiento de </w:t>
      </w:r>
      <w:r w:rsidR="00E50000">
        <w:rPr>
          <w:sz w:val="20"/>
          <w:szCs w:val="20"/>
        </w:rPr>
        <w:t xml:space="preserve">las </w:t>
      </w:r>
      <w:r w:rsidRPr="00280741">
        <w:rPr>
          <w:sz w:val="20"/>
          <w:szCs w:val="20"/>
        </w:rPr>
        <w:t>medidas provisionales no implica que el Estado quede relevado de sus obligacione</w:t>
      </w:r>
      <w:r w:rsidR="007E3432">
        <w:rPr>
          <w:sz w:val="20"/>
          <w:szCs w:val="20"/>
        </w:rPr>
        <w:t>s convencionales de protección.</w:t>
      </w:r>
    </w:p>
    <w:p w14:paraId="3C242183" w14:textId="77777777" w:rsidR="007E3432" w:rsidRDefault="007E3432" w:rsidP="007E3432">
      <w:pPr>
        <w:pStyle w:val="Prrafodelista"/>
        <w:rPr>
          <w:sz w:val="20"/>
          <w:szCs w:val="20"/>
        </w:rPr>
      </w:pPr>
    </w:p>
    <w:p w14:paraId="33E4C7ED" w14:textId="77777777" w:rsidR="00E22E23" w:rsidRDefault="00E22E23" w:rsidP="00E22E23">
      <w:pPr>
        <w:pStyle w:val="Prrafodelista"/>
        <w:ind w:left="0" w:right="18"/>
        <w:jc w:val="both"/>
        <w:rPr>
          <w:rFonts w:ascii="Verdana" w:hAnsi="Verdana"/>
          <w:b/>
          <w:sz w:val="20"/>
          <w:lang w:val="es-PR"/>
        </w:rPr>
      </w:pPr>
      <w:r>
        <w:rPr>
          <w:rFonts w:ascii="Verdana" w:hAnsi="Verdana"/>
          <w:b/>
          <w:sz w:val="20"/>
          <w:lang w:val="es-PR"/>
        </w:rPr>
        <w:t>POR TANTO:</w:t>
      </w:r>
    </w:p>
    <w:p w14:paraId="6AD6A63D" w14:textId="77777777" w:rsidR="00E22E23" w:rsidRDefault="00E22E23" w:rsidP="00E22E23">
      <w:pPr>
        <w:pStyle w:val="Prrafodelista"/>
        <w:ind w:left="0" w:right="18"/>
        <w:jc w:val="both"/>
        <w:rPr>
          <w:rFonts w:ascii="Verdana" w:hAnsi="Verdana"/>
          <w:b/>
          <w:sz w:val="20"/>
          <w:lang w:val="es-PR"/>
        </w:rPr>
      </w:pPr>
    </w:p>
    <w:p w14:paraId="47B45584" w14:textId="77777777" w:rsidR="00E22E23" w:rsidRDefault="00E22E23" w:rsidP="00E22E23">
      <w:pPr>
        <w:pStyle w:val="Prrafodelista"/>
        <w:ind w:left="0" w:right="18"/>
        <w:jc w:val="both"/>
        <w:rPr>
          <w:rFonts w:ascii="Verdana" w:hAnsi="Verdana"/>
          <w:b/>
          <w:sz w:val="20"/>
        </w:rPr>
      </w:pPr>
      <w:r>
        <w:rPr>
          <w:rFonts w:ascii="Verdana" w:hAnsi="Verdana"/>
          <w:b/>
          <w:sz w:val="20"/>
        </w:rPr>
        <w:t>LA CORTE INTERAMERICANA DE DERECHOS HUMANOS,</w:t>
      </w:r>
    </w:p>
    <w:p w14:paraId="6C417D65" w14:textId="77777777" w:rsidR="00E22E23" w:rsidRDefault="00E22E23" w:rsidP="00E22E23">
      <w:pPr>
        <w:pStyle w:val="Prrafodelista"/>
        <w:ind w:left="0" w:right="18"/>
        <w:jc w:val="both"/>
        <w:rPr>
          <w:rFonts w:ascii="Verdana" w:hAnsi="Verdana"/>
          <w:b/>
          <w:sz w:val="20"/>
        </w:rPr>
      </w:pPr>
    </w:p>
    <w:p w14:paraId="277480BB" w14:textId="77777777" w:rsidR="00E22E23" w:rsidRDefault="00E22E23" w:rsidP="00E22E23">
      <w:pPr>
        <w:pStyle w:val="Prrafodelista"/>
        <w:ind w:left="0" w:right="18"/>
        <w:jc w:val="both"/>
        <w:rPr>
          <w:rFonts w:ascii="Verdana" w:hAnsi="Verdana"/>
          <w:sz w:val="20"/>
          <w:lang w:val="es-MX"/>
        </w:rPr>
      </w:pPr>
      <w:r>
        <w:rPr>
          <w:rFonts w:ascii="Verdana" w:hAnsi="Verdana"/>
          <w:sz w:val="20"/>
          <w:lang w:val="es-MX"/>
        </w:rPr>
        <w:t>en uso de las atribuciones que le confieren el artículo 63.2 de la Convención Americana sobre Derechos Humanos y los artículos 27 y</w:t>
      </w:r>
      <w:r>
        <w:rPr>
          <w:rFonts w:ascii="Verdana" w:hAnsi="Verdana"/>
          <w:color w:val="00B050"/>
          <w:sz w:val="20"/>
          <w:lang w:val="es-MX"/>
        </w:rPr>
        <w:t xml:space="preserve"> </w:t>
      </w:r>
      <w:r>
        <w:rPr>
          <w:rFonts w:ascii="Verdana" w:hAnsi="Verdana"/>
          <w:sz w:val="20"/>
          <w:lang w:val="es-MX"/>
        </w:rPr>
        <w:t>31.2 del Reglamento,</w:t>
      </w:r>
    </w:p>
    <w:p w14:paraId="3B7B5549" w14:textId="77777777" w:rsidR="00E22E23" w:rsidRDefault="00E22E23" w:rsidP="00E22E23">
      <w:pPr>
        <w:pStyle w:val="Prrafodelista"/>
        <w:ind w:left="0" w:right="18"/>
        <w:jc w:val="both"/>
        <w:rPr>
          <w:rFonts w:ascii="Verdana" w:hAnsi="Verdana"/>
          <w:sz w:val="20"/>
          <w:lang w:val="es-MX"/>
        </w:rPr>
      </w:pPr>
    </w:p>
    <w:p w14:paraId="53A374B1" w14:textId="77777777" w:rsidR="00E22E23" w:rsidRDefault="00E22E23" w:rsidP="00E22E23">
      <w:pPr>
        <w:ind w:right="18"/>
        <w:contextualSpacing/>
        <w:jc w:val="both"/>
        <w:rPr>
          <w:rFonts w:ascii="Verdana" w:hAnsi="Verdana"/>
          <w:b/>
          <w:sz w:val="20"/>
        </w:rPr>
      </w:pPr>
      <w:r>
        <w:rPr>
          <w:rFonts w:ascii="Verdana" w:hAnsi="Verdana"/>
          <w:b/>
          <w:sz w:val="20"/>
        </w:rPr>
        <w:t>RESUELVE:</w:t>
      </w:r>
    </w:p>
    <w:p w14:paraId="38A21C53" w14:textId="77777777" w:rsidR="00E22E23" w:rsidRDefault="00E22E23" w:rsidP="00E22E23">
      <w:pPr>
        <w:ind w:right="18"/>
        <w:contextualSpacing/>
        <w:jc w:val="both"/>
        <w:rPr>
          <w:rFonts w:ascii="Verdana" w:hAnsi="Verdana"/>
          <w:b/>
          <w:sz w:val="20"/>
        </w:rPr>
      </w:pPr>
    </w:p>
    <w:p w14:paraId="643EE707" w14:textId="27CE9A19" w:rsidR="00F47153" w:rsidRDefault="008A278E" w:rsidP="00E22E23">
      <w:pPr>
        <w:pStyle w:val="Prrafodelista"/>
        <w:numPr>
          <w:ilvl w:val="0"/>
          <w:numId w:val="20"/>
        </w:numPr>
        <w:ind w:left="0" w:right="18" w:firstLine="0"/>
        <w:contextualSpacing/>
        <w:jc w:val="both"/>
        <w:rPr>
          <w:rFonts w:ascii="Verdana" w:hAnsi="Verdana"/>
          <w:sz w:val="20"/>
        </w:rPr>
      </w:pPr>
      <w:r>
        <w:rPr>
          <w:rFonts w:ascii="Verdana" w:hAnsi="Verdana"/>
          <w:sz w:val="20"/>
        </w:rPr>
        <w:lastRenderedPageBreak/>
        <w:t>Las medidas urgentes ordenadas por el Presidente el 21 de mayo de 2019 han quedado sin materia debido a la liberación de los 17 beneficiarios, y por lo tanto procede l</w:t>
      </w:r>
      <w:r w:rsidR="007E3432">
        <w:rPr>
          <w:rFonts w:ascii="Verdana" w:hAnsi="Verdana"/>
          <w:sz w:val="20"/>
        </w:rPr>
        <w:t>evantar las medidas urgentes</w:t>
      </w:r>
      <w:r w:rsidR="00E22E23" w:rsidRPr="007E3432">
        <w:rPr>
          <w:rFonts w:ascii="Verdana" w:hAnsi="Verdana"/>
          <w:sz w:val="20"/>
        </w:rPr>
        <w:t xml:space="preserve"> </w:t>
      </w:r>
      <w:r w:rsidR="007E3432">
        <w:rPr>
          <w:rFonts w:ascii="Verdana" w:hAnsi="Verdana"/>
          <w:sz w:val="20"/>
        </w:rPr>
        <w:t>ordenadas el 21 de mayo de 2019 por el Presidente</w:t>
      </w:r>
      <w:r w:rsidR="00E22E23" w:rsidRPr="007E3432">
        <w:rPr>
          <w:rFonts w:ascii="Verdana" w:hAnsi="Verdana"/>
          <w:sz w:val="20"/>
        </w:rPr>
        <w:t xml:space="preserve"> a favor de los señores </w:t>
      </w:r>
      <w:r w:rsidR="002B6B84" w:rsidRPr="00CA40C0">
        <w:rPr>
          <w:rFonts w:ascii="Verdana" w:hAnsi="Verdana"/>
          <w:sz w:val="20"/>
          <w:szCs w:val="20"/>
        </w:rPr>
        <w:t xml:space="preserve">1) Kevin Rodrigo Espinoza Gutiérrez, 2) Cristhian Rodrigo Fajardo Caballero, 3) </w:t>
      </w:r>
      <w:proofErr w:type="spellStart"/>
      <w:r w:rsidR="002B6B84" w:rsidRPr="00CA40C0">
        <w:rPr>
          <w:rFonts w:ascii="Verdana" w:hAnsi="Verdana"/>
          <w:sz w:val="20"/>
          <w:szCs w:val="20"/>
        </w:rPr>
        <w:t>Yubrank</w:t>
      </w:r>
      <w:proofErr w:type="spellEnd"/>
      <w:r w:rsidR="002B6B84" w:rsidRPr="00CA40C0">
        <w:rPr>
          <w:rFonts w:ascii="Verdana" w:hAnsi="Verdana"/>
          <w:sz w:val="20"/>
          <w:szCs w:val="20"/>
        </w:rPr>
        <w:t xml:space="preserve"> Miguel Suazo Herrera, 4) Edwin José </w:t>
      </w:r>
      <w:proofErr w:type="spellStart"/>
      <w:r w:rsidR="002B6B84" w:rsidRPr="00CA40C0">
        <w:rPr>
          <w:rFonts w:ascii="Verdana" w:hAnsi="Verdana"/>
          <w:sz w:val="20"/>
          <w:szCs w:val="20"/>
        </w:rPr>
        <w:t>Carcache</w:t>
      </w:r>
      <w:proofErr w:type="spellEnd"/>
      <w:r w:rsidR="002B6B84" w:rsidRPr="00CA40C0">
        <w:rPr>
          <w:rFonts w:ascii="Verdana" w:hAnsi="Verdana"/>
          <w:sz w:val="20"/>
          <w:szCs w:val="20"/>
        </w:rPr>
        <w:t xml:space="preserve"> Dávila, 5) Medardo Mairena Sequeira, 6) Mario </w:t>
      </w:r>
      <w:proofErr w:type="spellStart"/>
      <w:r w:rsidR="002B6B84" w:rsidRPr="00CA40C0">
        <w:rPr>
          <w:rFonts w:ascii="Verdana" w:hAnsi="Verdana"/>
          <w:sz w:val="20"/>
          <w:szCs w:val="20"/>
        </w:rPr>
        <w:t>Lener</w:t>
      </w:r>
      <w:proofErr w:type="spellEnd"/>
      <w:r w:rsidR="002B6B84" w:rsidRPr="00CA40C0">
        <w:rPr>
          <w:rFonts w:ascii="Verdana" w:hAnsi="Verdana"/>
          <w:sz w:val="20"/>
          <w:szCs w:val="20"/>
        </w:rPr>
        <w:t xml:space="preserve"> Fonseca Díaz, 7) Ricardo Baltodano, 8) Jaime Ramon </w:t>
      </w:r>
      <w:proofErr w:type="spellStart"/>
      <w:r w:rsidR="002B6B84" w:rsidRPr="00CA40C0">
        <w:rPr>
          <w:rFonts w:ascii="Verdana" w:hAnsi="Verdana"/>
          <w:sz w:val="20"/>
          <w:szCs w:val="20"/>
        </w:rPr>
        <w:t>Ampie</w:t>
      </w:r>
      <w:proofErr w:type="spellEnd"/>
      <w:r w:rsidR="002B6B84" w:rsidRPr="00CA40C0">
        <w:rPr>
          <w:rFonts w:ascii="Verdana" w:hAnsi="Verdana"/>
          <w:sz w:val="20"/>
          <w:szCs w:val="20"/>
        </w:rPr>
        <w:t xml:space="preserve"> Toledo, 9) Julio José </w:t>
      </w:r>
      <w:proofErr w:type="spellStart"/>
      <w:r w:rsidR="002B6B84" w:rsidRPr="00CA40C0">
        <w:rPr>
          <w:rFonts w:ascii="Verdana" w:hAnsi="Verdana"/>
          <w:sz w:val="20"/>
          <w:szCs w:val="20"/>
        </w:rPr>
        <w:t>Ampie</w:t>
      </w:r>
      <w:proofErr w:type="spellEnd"/>
      <w:r w:rsidR="002B6B84" w:rsidRPr="00CA40C0">
        <w:rPr>
          <w:rFonts w:ascii="Verdana" w:hAnsi="Verdana"/>
          <w:sz w:val="20"/>
          <w:szCs w:val="20"/>
        </w:rPr>
        <w:t xml:space="preserve"> Machado, 10) Reynaldo Lira </w:t>
      </w:r>
      <w:proofErr w:type="spellStart"/>
      <w:r w:rsidR="002B6B84" w:rsidRPr="00CA40C0">
        <w:rPr>
          <w:rFonts w:ascii="Verdana" w:hAnsi="Verdana"/>
          <w:sz w:val="20"/>
          <w:szCs w:val="20"/>
        </w:rPr>
        <w:t>Luquez</w:t>
      </w:r>
      <w:proofErr w:type="spellEnd"/>
      <w:r w:rsidR="002B6B84" w:rsidRPr="00CA40C0">
        <w:rPr>
          <w:rFonts w:ascii="Verdana" w:hAnsi="Verdana"/>
          <w:sz w:val="20"/>
          <w:szCs w:val="20"/>
        </w:rPr>
        <w:t>, 11)</w:t>
      </w:r>
      <w:r w:rsidR="002B6B84" w:rsidRPr="00F11DEB">
        <w:rPr>
          <w:rFonts w:ascii="Verdana" w:hAnsi="Verdana"/>
          <w:sz w:val="20"/>
          <w:szCs w:val="20"/>
        </w:rPr>
        <w:t xml:space="preserve"> Miguel Mora Barberena, 12) Luc</w:t>
      </w:r>
      <w:r w:rsidR="002B6B84">
        <w:rPr>
          <w:rFonts w:ascii="Verdana" w:hAnsi="Verdana"/>
          <w:sz w:val="20"/>
          <w:szCs w:val="20"/>
        </w:rPr>
        <w:t>í</w:t>
      </w:r>
      <w:r w:rsidR="002B6B84" w:rsidRPr="00CA40C0">
        <w:rPr>
          <w:rFonts w:ascii="Verdana" w:hAnsi="Verdana"/>
          <w:sz w:val="20"/>
          <w:szCs w:val="20"/>
        </w:rPr>
        <w:t xml:space="preserve">a Pineda </w:t>
      </w:r>
      <w:proofErr w:type="spellStart"/>
      <w:r w:rsidR="002B6B84" w:rsidRPr="00CA40C0">
        <w:rPr>
          <w:rFonts w:ascii="Verdana" w:hAnsi="Verdana"/>
          <w:sz w:val="20"/>
          <w:szCs w:val="20"/>
        </w:rPr>
        <w:t>Ubau</w:t>
      </w:r>
      <w:proofErr w:type="spellEnd"/>
      <w:r w:rsidR="002B6B84" w:rsidRPr="00CA40C0">
        <w:rPr>
          <w:rFonts w:ascii="Verdana" w:hAnsi="Verdana"/>
          <w:sz w:val="20"/>
          <w:szCs w:val="20"/>
        </w:rPr>
        <w:t xml:space="preserve">, 13) Amaya Eva </w:t>
      </w:r>
      <w:proofErr w:type="spellStart"/>
      <w:r w:rsidR="002B6B84" w:rsidRPr="00CA40C0">
        <w:rPr>
          <w:rFonts w:ascii="Verdana" w:hAnsi="Verdana"/>
          <w:sz w:val="20"/>
          <w:szCs w:val="20"/>
        </w:rPr>
        <w:t>Coppens</w:t>
      </w:r>
      <w:proofErr w:type="spellEnd"/>
      <w:r w:rsidR="002B6B84" w:rsidRPr="00CA40C0">
        <w:rPr>
          <w:rFonts w:ascii="Verdana" w:hAnsi="Verdana"/>
          <w:sz w:val="20"/>
          <w:szCs w:val="20"/>
        </w:rPr>
        <w:t xml:space="preserve"> Zamora, 14) </w:t>
      </w:r>
      <w:proofErr w:type="spellStart"/>
      <w:r w:rsidR="002B6B84" w:rsidRPr="00CA40C0">
        <w:rPr>
          <w:rFonts w:ascii="Verdana" w:hAnsi="Verdana"/>
          <w:sz w:val="20"/>
          <w:szCs w:val="20"/>
        </w:rPr>
        <w:t>Olesia</w:t>
      </w:r>
      <w:proofErr w:type="spellEnd"/>
      <w:r w:rsidR="002B6B84" w:rsidRPr="00CA40C0">
        <w:rPr>
          <w:rFonts w:ascii="Verdana" w:hAnsi="Verdana"/>
          <w:sz w:val="20"/>
          <w:szCs w:val="20"/>
        </w:rPr>
        <w:t xml:space="preserve"> Auxiliadora Muñoz Pavón, 15) Tania Verónica Muñoz Pavón, 16) María Adilia Peralta Serrato, e 17) Irlanda </w:t>
      </w:r>
      <w:proofErr w:type="spellStart"/>
      <w:r w:rsidR="002B6B84" w:rsidRPr="00CA40C0">
        <w:rPr>
          <w:rFonts w:ascii="Verdana" w:hAnsi="Verdana"/>
          <w:sz w:val="20"/>
          <w:szCs w:val="20"/>
        </w:rPr>
        <w:t>Undina</w:t>
      </w:r>
      <w:proofErr w:type="spellEnd"/>
      <w:r w:rsidR="002B6B84" w:rsidRPr="00CA40C0">
        <w:rPr>
          <w:rFonts w:ascii="Verdana" w:hAnsi="Verdana"/>
          <w:sz w:val="20"/>
          <w:szCs w:val="20"/>
        </w:rPr>
        <w:t xml:space="preserve"> </w:t>
      </w:r>
      <w:proofErr w:type="spellStart"/>
      <w:r w:rsidR="002B6B84" w:rsidRPr="00CA40C0">
        <w:rPr>
          <w:rFonts w:ascii="Verdana" w:hAnsi="Verdana"/>
          <w:sz w:val="20"/>
          <w:szCs w:val="20"/>
        </w:rPr>
        <w:t>Jeréz</w:t>
      </w:r>
      <w:proofErr w:type="spellEnd"/>
      <w:r w:rsidR="002B6B84" w:rsidRPr="00CA40C0">
        <w:rPr>
          <w:rFonts w:ascii="Verdana" w:hAnsi="Verdana"/>
          <w:sz w:val="20"/>
          <w:szCs w:val="20"/>
        </w:rPr>
        <w:t xml:space="preserve"> Barrera</w:t>
      </w:r>
      <w:r w:rsidR="002B6B84">
        <w:rPr>
          <w:rFonts w:ascii="Verdana" w:hAnsi="Verdana"/>
          <w:sz w:val="20"/>
          <w:szCs w:val="20"/>
        </w:rPr>
        <w:t>.</w:t>
      </w:r>
    </w:p>
    <w:p w14:paraId="7EDB6707" w14:textId="77777777" w:rsidR="00F47153" w:rsidRDefault="00F47153" w:rsidP="00F47153">
      <w:pPr>
        <w:pStyle w:val="Prrafodelista"/>
        <w:ind w:left="0" w:right="18"/>
        <w:contextualSpacing/>
        <w:jc w:val="both"/>
        <w:rPr>
          <w:rFonts w:ascii="Verdana" w:hAnsi="Verdana"/>
          <w:sz w:val="20"/>
        </w:rPr>
      </w:pPr>
    </w:p>
    <w:p w14:paraId="403909ED" w14:textId="1D81BF70" w:rsidR="00F47153" w:rsidRDefault="00E22E23" w:rsidP="00F47153">
      <w:pPr>
        <w:pStyle w:val="Prrafodelista"/>
        <w:numPr>
          <w:ilvl w:val="0"/>
          <w:numId w:val="20"/>
        </w:numPr>
        <w:ind w:left="0" w:right="18" w:firstLine="0"/>
        <w:contextualSpacing/>
        <w:jc w:val="both"/>
        <w:rPr>
          <w:rFonts w:ascii="Verdana" w:hAnsi="Verdana"/>
          <w:sz w:val="20"/>
        </w:rPr>
      </w:pPr>
      <w:r w:rsidRPr="00F47153">
        <w:rPr>
          <w:rFonts w:ascii="Verdana" w:hAnsi="Verdana"/>
          <w:sz w:val="20"/>
        </w:rPr>
        <w:t>Requerir a la Secretaría de la Corte</w:t>
      </w:r>
      <w:r w:rsidR="002B6B84">
        <w:rPr>
          <w:rFonts w:ascii="Verdana" w:hAnsi="Verdana"/>
          <w:sz w:val="20"/>
        </w:rPr>
        <w:t xml:space="preserve"> que</w:t>
      </w:r>
      <w:r w:rsidRPr="00F47153">
        <w:rPr>
          <w:rFonts w:ascii="Verdana" w:hAnsi="Verdana"/>
          <w:sz w:val="20"/>
        </w:rPr>
        <w:t xml:space="preserve"> notifique la presente Resolución a</w:t>
      </w:r>
      <w:r w:rsidR="00F47153" w:rsidRPr="00F47153">
        <w:rPr>
          <w:rFonts w:ascii="Verdana" w:hAnsi="Verdana"/>
          <w:sz w:val="20"/>
        </w:rPr>
        <w:t xml:space="preserve"> la Comisión Interamericana de Derechos Humanos, a</w:t>
      </w:r>
      <w:r w:rsidRPr="00F47153">
        <w:rPr>
          <w:rFonts w:ascii="Verdana" w:hAnsi="Verdana"/>
          <w:sz w:val="20"/>
        </w:rPr>
        <w:t xml:space="preserve"> los representantes</w:t>
      </w:r>
      <w:r w:rsidR="00F47153" w:rsidRPr="00F47153">
        <w:rPr>
          <w:rFonts w:ascii="Verdana" w:hAnsi="Verdana"/>
          <w:sz w:val="20"/>
        </w:rPr>
        <w:t xml:space="preserve"> </w:t>
      </w:r>
      <w:r w:rsidRPr="00F47153">
        <w:rPr>
          <w:rFonts w:ascii="Verdana" w:hAnsi="Verdana"/>
          <w:sz w:val="20"/>
        </w:rPr>
        <w:t xml:space="preserve">de </w:t>
      </w:r>
      <w:r w:rsidR="00F47153" w:rsidRPr="00F47153">
        <w:rPr>
          <w:rFonts w:ascii="Verdana" w:hAnsi="Verdana"/>
          <w:sz w:val="20"/>
        </w:rPr>
        <w:t>las</w:t>
      </w:r>
      <w:r w:rsidR="002B6B84">
        <w:rPr>
          <w:rFonts w:ascii="Verdana" w:hAnsi="Verdana"/>
          <w:sz w:val="20"/>
        </w:rPr>
        <w:t xml:space="preserve"> personas</w:t>
      </w:r>
      <w:r w:rsidR="00F47153" w:rsidRPr="00F47153">
        <w:rPr>
          <w:rFonts w:ascii="Verdana" w:hAnsi="Verdana"/>
          <w:sz w:val="20"/>
        </w:rPr>
        <w:t xml:space="preserve"> beneficiarias y al Estado de Nicaragua</w:t>
      </w:r>
      <w:r w:rsidRPr="00F47153">
        <w:rPr>
          <w:rFonts w:ascii="Verdana" w:hAnsi="Verdana"/>
          <w:sz w:val="20"/>
        </w:rPr>
        <w:t>.</w:t>
      </w:r>
    </w:p>
    <w:p w14:paraId="4B83195B" w14:textId="77777777" w:rsidR="00F47153" w:rsidRPr="00F47153" w:rsidRDefault="00F47153" w:rsidP="00F47153">
      <w:pPr>
        <w:pStyle w:val="Prrafodelista"/>
        <w:rPr>
          <w:rFonts w:ascii="Verdana" w:hAnsi="Verdana"/>
          <w:sz w:val="20"/>
        </w:rPr>
      </w:pPr>
    </w:p>
    <w:p w14:paraId="6AB56225" w14:textId="4EF1FC3B" w:rsidR="00F47153" w:rsidRPr="00F47153" w:rsidRDefault="00F47153" w:rsidP="00F47153">
      <w:pPr>
        <w:pStyle w:val="Prrafodelista"/>
        <w:numPr>
          <w:ilvl w:val="0"/>
          <w:numId w:val="20"/>
        </w:numPr>
        <w:ind w:left="0" w:right="18" w:firstLine="0"/>
        <w:contextualSpacing/>
        <w:jc w:val="both"/>
        <w:rPr>
          <w:rFonts w:ascii="Verdana" w:hAnsi="Verdana"/>
          <w:sz w:val="20"/>
        </w:rPr>
      </w:pPr>
      <w:r>
        <w:rPr>
          <w:rFonts w:ascii="Verdana" w:hAnsi="Verdana"/>
          <w:sz w:val="20"/>
        </w:rPr>
        <w:t>Archivar este expediente.</w:t>
      </w:r>
    </w:p>
    <w:p w14:paraId="1F6061B0" w14:textId="195FD6C1" w:rsidR="004B7805" w:rsidRDefault="004B7805">
      <w:pPr>
        <w:spacing w:after="200" w:line="276" w:lineRule="auto"/>
        <w:rPr>
          <w:rFonts w:ascii="Verdana" w:hAnsi="Verdana"/>
          <w:sz w:val="20"/>
          <w:lang w:val="es-CR"/>
        </w:rPr>
      </w:pPr>
      <w:r>
        <w:rPr>
          <w:rFonts w:ascii="Verdana" w:hAnsi="Verdana"/>
          <w:sz w:val="20"/>
          <w:lang w:val="es-CR"/>
        </w:rPr>
        <w:br w:type="page"/>
      </w:r>
    </w:p>
    <w:p w14:paraId="34663EEC" w14:textId="77777777" w:rsidR="00F47153" w:rsidRDefault="00F47153" w:rsidP="00E22E23">
      <w:pPr>
        <w:rPr>
          <w:rFonts w:ascii="Verdana" w:hAnsi="Verdana"/>
          <w:sz w:val="20"/>
          <w:lang w:val="es-CR"/>
        </w:rPr>
      </w:pPr>
    </w:p>
    <w:p w14:paraId="4F907068" w14:textId="4C934C2C" w:rsidR="00E22E23" w:rsidRPr="00CE7D40" w:rsidRDefault="00E22E23" w:rsidP="00E22E23">
      <w:pPr>
        <w:keepNext/>
        <w:jc w:val="both"/>
        <w:outlineLvl w:val="0"/>
        <w:rPr>
          <w:rFonts w:ascii="Verdana" w:hAnsi="Verdana"/>
          <w:sz w:val="20"/>
        </w:rPr>
      </w:pPr>
      <w:r w:rsidRPr="008A278E">
        <w:rPr>
          <w:rFonts w:ascii="Verdana" w:hAnsi="Verdana" w:cs="Courier New"/>
          <w:noProof/>
          <w:sz w:val="20"/>
          <w:lang w:val="es-AR"/>
        </w:rPr>
        <w:t>Corte IDH.</w:t>
      </w:r>
      <w:r w:rsidRPr="008A278E">
        <w:rPr>
          <w:rFonts w:ascii="Verdana" w:hAnsi="Verdana" w:cs="Courier New"/>
          <w:i/>
          <w:noProof/>
          <w:sz w:val="20"/>
          <w:lang w:val="es-AR"/>
        </w:rPr>
        <w:t>Asunto diecisiete personas privadas de libertad Vs. Nicaragua</w:t>
      </w:r>
      <w:r w:rsidRPr="00F50BEB">
        <w:rPr>
          <w:rFonts w:ascii="Verdana" w:hAnsi="Verdana" w:cs="Courier New"/>
          <w:i/>
          <w:noProof/>
          <w:sz w:val="20"/>
          <w:lang w:val="es-AR"/>
        </w:rPr>
        <w:t>.</w:t>
      </w:r>
      <w:r w:rsidRPr="00F50BEB">
        <w:rPr>
          <w:rFonts w:ascii="Verdana" w:hAnsi="Verdana"/>
          <w:bCs/>
          <w:i/>
          <w:sz w:val="20"/>
          <w:lang w:val="es-CR"/>
        </w:rPr>
        <w:t xml:space="preserve"> </w:t>
      </w:r>
      <w:r w:rsidRPr="00204F6C">
        <w:rPr>
          <w:rFonts w:ascii="Verdana" w:hAnsi="Verdana"/>
          <w:bCs/>
          <w:i/>
          <w:sz w:val="20"/>
          <w:lang w:val="es-CR"/>
        </w:rPr>
        <w:t>Medidas Provisionales</w:t>
      </w:r>
      <w:r w:rsidRPr="008A278E">
        <w:rPr>
          <w:rFonts w:ascii="Verdana" w:hAnsi="Verdana"/>
          <w:bCs/>
          <w:sz w:val="20"/>
          <w:lang w:val="es-CR"/>
        </w:rPr>
        <w:t xml:space="preserve">. Resolución de la Corte Interamericana de Derechos Humanos de </w:t>
      </w:r>
      <w:r w:rsidR="008A278E">
        <w:rPr>
          <w:rFonts w:ascii="Verdana" w:hAnsi="Verdana"/>
          <w:bCs/>
          <w:sz w:val="20"/>
          <w:lang w:val="es-CR"/>
        </w:rPr>
        <w:t>14</w:t>
      </w:r>
      <w:r w:rsidRPr="008A278E">
        <w:rPr>
          <w:rFonts w:ascii="Verdana" w:hAnsi="Verdana"/>
          <w:bCs/>
          <w:sz w:val="20"/>
          <w:lang w:val="es-CR"/>
        </w:rPr>
        <w:t xml:space="preserve"> de octubre de 2019.</w:t>
      </w:r>
    </w:p>
    <w:p w14:paraId="73352CF4" w14:textId="77777777" w:rsidR="00E22E23" w:rsidRDefault="00E22E23" w:rsidP="00E22E23">
      <w:pPr>
        <w:rPr>
          <w:rFonts w:ascii="Verdana" w:hAnsi="Verdana"/>
          <w:strike/>
          <w:sz w:val="20"/>
          <w:szCs w:val="20"/>
          <w:lang w:val="pt-BR"/>
        </w:rPr>
      </w:pPr>
    </w:p>
    <w:p w14:paraId="62796440" w14:textId="77777777" w:rsidR="00E22E23" w:rsidRDefault="00E22E23" w:rsidP="00E22E23">
      <w:pPr>
        <w:rPr>
          <w:rFonts w:ascii="Verdana" w:hAnsi="Verdana"/>
          <w:strike/>
          <w:sz w:val="20"/>
          <w:szCs w:val="20"/>
          <w:lang w:val="pt-BR"/>
        </w:rPr>
      </w:pPr>
    </w:p>
    <w:p w14:paraId="3E255FE3" w14:textId="77777777" w:rsidR="00E22E23" w:rsidRDefault="00E22E23" w:rsidP="00E22E23">
      <w:pPr>
        <w:rPr>
          <w:rFonts w:ascii="Verdana" w:hAnsi="Verdana"/>
          <w:strike/>
          <w:sz w:val="20"/>
          <w:szCs w:val="20"/>
          <w:lang w:val="pt-BR"/>
        </w:rPr>
      </w:pPr>
    </w:p>
    <w:p w14:paraId="3ADC6919" w14:textId="77777777" w:rsidR="00E22E23" w:rsidRDefault="00E22E23" w:rsidP="00E22E23">
      <w:pPr>
        <w:rPr>
          <w:rFonts w:ascii="Verdana" w:hAnsi="Verdana"/>
          <w:strike/>
          <w:sz w:val="20"/>
          <w:szCs w:val="20"/>
          <w:lang w:val="pt-BR"/>
        </w:rPr>
      </w:pPr>
    </w:p>
    <w:p w14:paraId="6607D5CC" w14:textId="77777777" w:rsidR="00E22E23" w:rsidRPr="0072225F" w:rsidRDefault="00E22E23" w:rsidP="00E22E23">
      <w:pPr>
        <w:rPr>
          <w:rFonts w:ascii="Verdana" w:hAnsi="Verdana"/>
          <w:sz w:val="20"/>
          <w:szCs w:val="20"/>
          <w:lang w:val="pt-BR"/>
        </w:rPr>
      </w:pPr>
    </w:p>
    <w:p w14:paraId="7C68E761" w14:textId="77777777" w:rsidR="0072225F" w:rsidRPr="0072225F" w:rsidRDefault="0072225F" w:rsidP="0072225F">
      <w:pPr>
        <w:jc w:val="center"/>
        <w:rPr>
          <w:rFonts w:ascii="Verdana" w:hAnsi="Verdana"/>
          <w:sz w:val="20"/>
          <w:szCs w:val="20"/>
          <w:lang w:val="pt-BR"/>
        </w:rPr>
      </w:pPr>
      <w:r w:rsidRPr="0072225F">
        <w:rPr>
          <w:rFonts w:ascii="Verdana" w:hAnsi="Verdana"/>
          <w:sz w:val="20"/>
          <w:szCs w:val="20"/>
          <w:lang w:val="pt-BR"/>
        </w:rPr>
        <w:t xml:space="preserve">Eduardo Ferrer </w:t>
      </w:r>
      <w:proofErr w:type="spellStart"/>
      <w:r w:rsidRPr="0072225F">
        <w:rPr>
          <w:rFonts w:ascii="Verdana" w:hAnsi="Verdana"/>
          <w:sz w:val="20"/>
          <w:szCs w:val="20"/>
          <w:lang w:val="pt-BR"/>
        </w:rPr>
        <w:t>Mac-Gregor</w:t>
      </w:r>
      <w:proofErr w:type="spellEnd"/>
      <w:r w:rsidRPr="0072225F">
        <w:rPr>
          <w:rFonts w:ascii="Verdana" w:hAnsi="Verdana"/>
          <w:sz w:val="20"/>
          <w:szCs w:val="20"/>
          <w:lang w:val="pt-BR"/>
        </w:rPr>
        <w:t xml:space="preserve"> </w:t>
      </w:r>
      <w:proofErr w:type="spellStart"/>
      <w:r w:rsidRPr="0072225F">
        <w:rPr>
          <w:rFonts w:ascii="Verdana" w:hAnsi="Verdana"/>
          <w:sz w:val="20"/>
          <w:szCs w:val="20"/>
          <w:lang w:val="pt-BR"/>
        </w:rPr>
        <w:t>Poisot</w:t>
      </w:r>
      <w:proofErr w:type="spellEnd"/>
    </w:p>
    <w:p w14:paraId="5F817B08" w14:textId="77777777" w:rsidR="0072225F" w:rsidRPr="0072225F" w:rsidRDefault="0072225F" w:rsidP="0072225F">
      <w:pPr>
        <w:jc w:val="center"/>
        <w:rPr>
          <w:rFonts w:ascii="Verdana" w:hAnsi="Verdana"/>
          <w:sz w:val="20"/>
          <w:szCs w:val="20"/>
          <w:lang w:val="pt-BR"/>
        </w:rPr>
      </w:pPr>
      <w:r w:rsidRPr="0072225F">
        <w:rPr>
          <w:rFonts w:ascii="Verdana" w:hAnsi="Verdana"/>
          <w:sz w:val="20"/>
          <w:szCs w:val="20"/>
          <w:lang w:val="pt-BR"/>
        </w:rPr>
        <w:t xml:space="preserve">Presidente </w:t>
      </w:r>
    </w:p>
    <w:p w14:paraId="0559D96C" w14:textId="77777777" w:rsidR="0072225F" w:rsidRPr="0072225F" w:rsidRDefault="0072225F" w:rsidP="0072225F">
      <w:pPr>
        <w:rPr>
          <w:rFonts w:ascii="Verdana" w:hAnsi="Verdana"/>
          <w:sz w:val="20"/>
          <w:szCs w:val="20"/>
          <w:lang w:val="pt-BR"/>
        </w:rPr>
      </w:pPr>
    </w:p>
    <w:p w14:paraId="62F6ACD8" w14:textId="77777777" w:rsidR="0072225F" w:rsidRPr="0072225F" w:rsidRDefault="0072225F" w:rsidP="0072225F">
      <w:pPr>
        <w:rPr>
          <w:rFonts w:ascii="Verdana" w:hAnsi="Verdana"/>
          <w:sz w:val="20"/>
          <w:szCs w:val="20"/>
          <w:lang w:val="pt-BR"/>
        </w:rPr>
      </w:pPr>
    </w:p>
    <w:p w14:paraId="2C51C58B" w14:textId="77777777" w:rsidR="0072225F" w:rsidRPr="0072225F" w:rsidRDefault="0072225F" w:rsidP="0072225F">
      <w:pPr>
        <w:rPr>
          <w:rFonts w:ascii="Verdana" w:hAnsi="Verdana"/>
          <w:sz w:val="20"/>
          <w:szCs w:val="20"/>
          <w:lang w:val="pt-BR"/>
        </w:rPr>
      </w:pPr>
    </w:p>
    <w:p w14:paraId="58142EA0" w14:textId="77777777" w:rsidR="0072225F" w:rsidRPr="0072225F" w:rsidRDefault="0072225F" w:rsidP="0072225F">
      <w:pPr>
        <w:rPr>
          <w:rFonts w:ascii="Verdana" w:hAnsi="Verdana"/>
          <w:sz w:val="20"/>
          <w:szCs w:val="20"/>
          <w:lang w:val="pt-BR"/>
        </w:rPr>
      </w:pPr>
    </w:p>
    <w:p w14:paraId="194D94C2" w14:textId="19056F04" w:rsidR="0072225F" w:rsidRPr="0072225F" w:rsidRDefault="0072225F" w:rsidP="0072225F">
      <w:pPr>
        <w:rPr>
          <w:rFonts w:ascii="Verdana" w:hAnsi="Verdana"/>
          <w:sz w:val="20"/>
          <w:szCs w:val="20"/>
          <w:lang w:val="pt-BR"/>
        </w:rPr>
      </w:pPr>
      <w:r w:rsidRPr="0072225F">
        <w:rPr>
          <w:rFonts w:ascii="Verdana" w:hAnsi="Verdana"/>
          <w:sz w:val="20"/>
          <w:szCs w:val="20"/>
          <w:lang w:val="pt-BR"/>
        </w:rPr>
        <w:t xml:space="preserve">Eduardo </w:t>
      </w:r>
      <w:proofErr w:type="spellStart"/>
      <w:r w:rsidRPr="0072225F">
        <w:rPr>
          <w:rFonts w:ascii="Verdana" w:hAnsi="Verdana"/>
          <w:sz w:val="20"/>
          <w:szCs w:val="20"/>
          <w:lang w:val="pt-BR"/>
        </w:rPr>
        <w:t>Vio</w:t>
      </w:r>
      <w:proofErr w:type="spellEnd"/>
      <w:r w:rsidRPr="0072225F">
        <w:rPr>
          <w:rFonts w:ascii="Verdana" w:hAnsi="Verdana"/>
          <w:sz w:val="20"/>
          <w:szCs w:val="20"/>
          <w:lang w:val="pt-BR"/>
        </w:rPr>
        <w:t xml:space="preserve"> Grossi</w:t>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Pr>
          <w:rFonts w:ascii="Verdana" w:hAnsi="Verdana"/>
          <w:sz w:val="20"/>
          <w:szCs w:val="20"/>
          <w:lang w:val="pt-BR"/>
        </w:rPr>
        <w:t xml:space="preserve">    </w:t>
      </w:r>
      <w:r w:rsidRPr="0072225F">
        <w:rPr>
          <w:rFonts w:ascii="Verdana" w:hAnsi="Verdana"/>
          <w:sz w:val="20"/>
          <w:szCs w:val="20"/>
          <w:lang w:val="pt-BR"/>
        </w:rPr>
        <w:t xml:space="preserve">Humberto A. </w:t>
      </w:r>
      <w:proofErr w:type="spellStart"/>
      <w:r w:rsidRPr="0072225F">
        <w:rPr>
          <w:rFonts w:ascii="Verdana" w:hAnsi="Verdana"/>
          <w:sz w:val="20"/>
          <w:szCs w:val="20"/>
          <w:lang w:val="pt-BR"/>
        </w:rPr>
        <w:t>Sierra</w:t>
      </w:r>
      <w:proofErr w:type="spellEnd"/>
      <w:r w:rsidRPr="0072225F">
        <w:rPr>
          <w:rFonts w:ascii="Verdana" w:hAnsi="Verdana"/>
          <w:sz w:val="20"/>
          <w:szCs w:val="20"/>
          <w:lang w:val="pt-BR"/>
        </w:rPr>
        <w:t xml:space="preserve"> Porto</w:t>
      </w:r>
      <w:r w:rsidRPr="0072225F">
        <w:rPr>
          <w:rFonts w:ascii="Verdana" w:hAnsi="Verdana"/>
          <w:sz w:val="20"/>
          <w:szCs w:val="20"/>
          <w:lang w:val="pt-BR"/>
        </w:rPr>
        <w:tab/>
      </w:r>
    </w:p>
    <w:p w14:paraId="505087C7" w14:textId="77777777" w:rsidR="0072225F" w:rsidRPr="0072225F" w:rsidRDefault="0072225F" w:rsidP="0072225F">
      <w:pPr>
        <w:rPr>
          <w:rFonts w:ascii="Verdana" w:hAnsi="Verdana"/>
          <w:sz w:val="20"/>
          <w:szCs w:val="20"/>
          <w:lang w:val="pt-BR"/>
        </w:rPr>
      </w:pPr>
    </w:p>
    <w:p w14:paraId="3C75CB10" w14:textId="77777777" w:rsidR="0072225F" w:rsidRPr="0072225F" w:rsidRDefault="0072225F" w:rsidP="0072225F">
      <w:pPr>
        <w:rPr>
          <w:rFonts w:ascii="Verdana" w:hAnsi="Verdana"/>
          <w:sz w:val="20"/>
          <w:szCs w:val="20"/>
          <w:lang w:val="pt-BR"/>
        </w:rPr>
      </w:pPr>
    </w:p>
    <w:p w14:paraId="0DFC02A0" w14:textId="77777777" w:rsidR="0072225F" w:rsidRPr="0072225F" w:rsidRDefault="0072225F" w:rsidP="0072225F">
      <w:pPr>
        <w:rPr>
          <w:rFonts w:ascii="Verdana" w:hAnsi="Verdana"/>
          <w:sz w:val="20"/>
          <w:szCs w:val="20"/>
          <w:lang w:val="pt-BR"/>
        </w:rPr>
      </w:pPr>
    </w:p>
    <w:p w14:paraId="17FD777D" w14:textId="77777777" w:rsidR="0072225F" w:rsidRPr="0072225F" w:rsidRDefault="0072225F" w:rsidP="0072225F">
      <w:pPr>
        <w:rPr>
          <w:rFonts w:ascii="Verdana" w:hAnsi="Verdana"/>
          <w:sz w:val="20"/>
          <w:szCs w:val="20"/>
          <w:lang w:val="pt-BR"/>
        </w:rPr>
      </w:pPr>
    </w:p>
    <w:p w14:paraId="71DDB533" w14:textId="77777777" w:rsidR="0072225F" w:rsidRPr="0072225F" w:rsidRDefault="0072225F" w:rsidP="0072225F">
      <w:pPr>
        <w:rPr>
          <w:rFonts w:ascii="Verdana" w:hAnsi="Verdana"/>
          <w:sz w:val="20"/>
          <w:szCs w:val="20"/>
          <w:lang w:val="pt-BR"/>
        </w:rPr>
      </w:pPr>
    </w:p>
    <w:p w14:paraId="617D479B" w14:textId="772F08F4" w:rsidR="0072225F" w:rsidRPr="0072225F" w:rsidRDefault="0072225F" w:rsidP="0072225F">
      <w:pPr>
        <w:rPr>
          <w:rFonts w:ascii="Verdana" w:hAnsi="Verdana"/>
          <w:sz w:val="20"/>
          <w:szCs w:val="20"/>
          <w:lang w:val="pt-BR"/>
        </w:rPr>
      </w:pPr>
      <w:r w:rsidRPr="0072225F">
        <w:rPr>
          <w:rFonts w:ascii="Verdana" w:hAnsi="Verdana"/>
          <w:sz w:val="20"/>
          <w:szCs w:val="20"/>
          <w:lang w:val="pt-BR"/>
        </w:rPr>
        <w:t xml:space="preserve">Elizabeth </w:t>
      </w:r>
      <w:proofErr w:type="spellStart"/>
      <w:r>
        <w:rPr>
          <w:rFonts w:ascii="Verdana" w:hAnsi="Verdana"/>
          <w:sz w:val="20"/>
          <w:szCs w:val="20"/>
          <w:lang w:val="pt-BR"/>
        </w:rPr>
        <w:t>Odio</w:t>
      </w:r>
      <w:proofErr w:type="spellEnd"/>
      <w:r>
        <w:rPr>
          <w:rFonts w:ascii="Verdana" w:hAnsi="Verdana"/>
          <w:sz w:val="20"/>
          <w:szCs w:val="20"/>
          <w:lang w:val="pt-BR"/>
        </w:rPr>
        <w:t xml:space="preserve"> Benito </w:t>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t xml:space="preserve">    </w:t>
      </w:r>
      <w:r w:rsidRPr="0072225F">
        <w:rPr>
          <w:rFonts w:ascii="Verdana" w:hAnsi="Verdana"/>
          <w:sz w:val="20"/>
          <w:szCs w:val="20"/>
          <w:lang w:val="pt-BR"/>
        </w:rPr>
        <w:t xml:space="preserve">Eugenio </w:t>
      </w:r>
      <w:proofErr w:type="spellStart"/>
      <w:r w:rsidRPr="0072225F">
        <w:rPr>
          <w:rFonts w:ascii="Verdana" w:hAnsi="Verdana"/>
          <w:sz w:val="20"/>
          <w:szCs w:val="20"/>
          <w:lang w:val="pt-BR"/>
        </w:rPr>
        <w:t>Raúl</w:t>
      </w:r>
      <w:proofErr w:type="spellEnd"/>
      <w:r w:rsidRPr="0072225F">
        <w:rPr>
          <w:rFonts w:ascii="Verdana" w:hAnsi="Verdana"/>
          <w:sz w:val="20"/>
          <w:szCs w:val="20"/>
          <w:lang w:val="pt-BR"/>
        </w:rPr>
        <w:t xml:space="preserve"> </w:t>
      </w:r>
      <w:proofErr w:type="spellStart"/>
      <w:r w:rsidRPr="0072225F">
        <w:rPr>
          <w:rFonts w:ascii="Verdana" w:hAnsi="Verdana"/>
          <w:sz w:val="20"/>
          <w:szCs w:val="20"/>
          <w:lang w:val="pt-BR"/>
        </w:rPr>
        <w:t>Zaffaroni</w:t>
      </w:r>
      <w:proofErr w:type="spellEnd"/>
      <w:r w:rsidRPr="0072225F">
        <w:rPr>
          <w:rFonts w:ascii="Verdana" w:hAnsi="Verdana"/>
          <w:sz w:val="20"/>
          <w:szCs w:val="20"/>
          <w:lang w:val="pt-BR"/>
        </w:rPr>
        <w:t xml:space="preserve"> </w:t>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t xml:space="preserve">    </w:t>
      </w:r>
    </w:p>
    <w:p w14:paraId="1E30FCAC" w14:textId="77777777" w:rsidR="0072225F" w:rsidRPr="0072225F" w:rsidRDefault="0072225F" w:rsidP="0072225F">
      <w:pPr>
        <w:rPr>
          <w:rFonts w:ascii="Verdana" w:hAnsi="Verdana"/>
          <w:sz w:val="20"/>
          <w:szCs w:val="20"/>
          <w:lang w:val="pt-BR"/>
        </w:rPr>
      </w:pPr>
    </w:p>
    <w:p w14:paraId="585A1385" w14:textId="77777777" w:rsidR="0072225F" w:rsidRPr="0072225F" w:rsidRDefault="0072225F" w:rsidP="0072225F">
      <w:pPr>
        <w:rPr>
          <w:rFonts w:ascii="Verdana" w:hAnsi="Verdana"/>
          <w:sz w:val="20"/>
          <w:szCs w:val="20"/>
          <w:lang w:val="pt-BR"/>
        </w:rPr>
      </w:pPr>
    </w:p>
    <w:p w14:paraId="12ABC8A2" w14:textId="77777777" w:rsidR="0072225F" w:rsidRPr="0072225F" w:rsidRDefault="0072225F" w:rsidP="0072225F">
      <w:pPr>
        <w:rPr>
          <w:rFonts w:ascii="Verdana" w:hAnsi="Verdana"/>
          <w:sz w:val="20"/>
          <w:szCs w:val="20"/>
          <w:lang w:val="pt-BR"/>
        </w:rPr>
      </w:pPr>
    </w:p>
    <w:p w14:paraId="633CB73B" w14:textId="77777777" w:rsidR="0072225F" w:rsidRPr="0072225F" w:rsidRDefault="0072225F" w:rsidP="0072225F">
      <w:pPr>
        <w:rPr>
          <w:rFonts w:ascii="Verdana" w:hAnsi="Verdana"/>
          <w:sz w:val="20"/>
          <w:szCs w:val="20"/>
          <w:lang w:val="pt-BR"/>
        </w:rPr>
      </w:pPr>
    </w:p>
    <w:p w14:paraId="0EEF9669" w14:textId="2B4E3E1B" w:rsidR="00E22E23" w:rsidRPr="0072225F" w:rsidRDefault="0072225F" w:rsidP="0072225F">
      <w:pPr>
        <w:rPr>
          <w:rFonts w:ascii="Verdana" w:hAnsi="Verdana"/>
          <w:sz w:val="20"/>
          <w:szCs w:val="20"/>
          <w:lang w:val="pt-BR"/>
        </w:rPr>
      </w:pPr>
      <w:r w:rsidRPr="0072225F">
        <w:rPr>
          <w:rFonts w:ascii="Verdana" w:hAnsi="Verdana"/>
          <w:sz w:val="20"/>
          <w:szCs w:val="20"/>
          <w:lang w:val="pt-BR"/>
        </w:rPr>
        <w:t xml:space="preserve">L. </w:t>
      </w:r>
      <w:proofErr w:type="spellStart"/>
      <w:r w:rsidRPr="0072225F">
        <w:rPr>
          <w:rFonts w:ascii="Verdana" w:hAnsi="Verdana"/>
          <w:sz w:val="20"/>
          <w:szCs w:val="20"/>
          <w:lang w:val="pt-BR"/>
        </w:rPr>
        <w:t>Patricio</w:t>
      </w:r>
      <w:proofErr w:type="spellEnd"/>
      <w:r w:rsidRPr="0072225F">
        <w:rPr>
          <w:rFonts w:ascii="Verdana" w:hAnsi="Verdana"/>
          <w:sz w:val="20"/>
          <w:szCs w:val="20"/>
          <w:lang w:val="pt-BR"/>
        </w:rPr>
        <w:t xml:space="preserve"> </w:t>
      </w:r>
      <w:proofErr w:type="spellStart"/>
      <w:r w:rsidRPr="0072225F">
        <w:rPr>
          <w:rFonts w:ascii="Verdana" w:hAnsi="Verdana"/>
          <w:sz w:val="20"/>
          <w:szCs w:val="20"/>
          <w:lang w:val="pt-BR"/>
        </w:rPr>
        <w:t>Pazmiño</w:t>
      </w:r>
      <w:proofErr w:type="spellEnd"/>
      <w:r w:rsidRPr="0072225F">
        <w:rPr>
          <w:rFonts w:ascii="Verdana" w:hAnsi="Verdana"/>
          <w:sz w:val="20"/>
          <w:szCs w:val="20"/>
          <w:lang w:val="pt-BR"/>
        </w:rPr>
        <w:t xml:space="preserve"> Freire</w:t>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t xml:space="preserve">   Ricardo C. Pérez </w:t>
      </w:r>
      <w:proofErr w:type="spellStart"/>
      <w:r w:rsidRPr="0072225F">
        <w:rPr>
          <w:rFonts w:ascii="Verdana" w:hAnsi="Verdana"/>
          <w:sz w:val="20"/>
          <w:szCs w:val="20"/>
          <w:lang w:val="pt-BR"/>
        </w:rPr>
        <w:t>Manrique</w:t>
      </w:r>
      <w:proofErr w:type="spellEnd"/>
    </w:p>
    <w:p w14:paraId="1869EF59" w14:textId="77777777" w:rsidR="00E22E23" w:rsidRPr="0072225F" w:rsidRDefault="00E22E23" w:rsidP="00E22E23">
      <w:pPr>
        <w:rPr>
          <w:rFonts w:ascii="Verdana" w:hAnsi="Verdana"/>
          <w:sz w:val="20"/>
          <w:szCs w:val="20"/>
          <w:lang w:val="pt-BR"/>
        </w:rPr>
      </w:pPr>
    </w:p>
    <w:p w14:paraId="330FDB76" w14:textId="77777777" w:rsidR="00E22E23" w:rsidRPr="0072225F" w:rsidRDefault="00E22E23" w:rsidP="00E22E23">
      <w:pPr>
        <w:rPr>
          <w:rFonts w:ascii="Verdana" w:hAnsi="Verdana"/>
          <w:sz w:val="20"/>
          <w:szCs w:val="20"/>
          <w:lang w:val="pt-BR"/>
        </w:rPr>
      </w:pPr>
    </w:p>
    <w:p w14:paraId="02630534" w14:textId="77777777" w:rsidR="00E22E23" w:rsidRPr="0072225F" w:rsidRDefault="00E22E23" w:rsidP="00E22E23">
      <w:pPr>
        <w:rPr>
          <w:rFonts w:ascii="Verdana" w:hAnsi="Verdana"/>
          <w:sz w:val="20"/>
          <w:szCs w:val="20"/>
          <w:lang w:val="pt-BR"/>
        </w:rPr>
      </w:pPr>
    </w:p>
    <w:p w14:paraId="2BCB4C5F" w14:textId="77777777" w:rsidR="00E22E23" w:rsidRPr="0072225F" w:rsidRDefault="00E22E23" w:rsidP="00E22E23">
      <w:pPr>
        <w:jc w:val="both"/>
        <w:rPr>
          <w:rFonts w:ascii="Verdana" w:hAnsi="Verdana"/>
          <w:sz w:val="20"/>
          <w:szCs w:val="20"/>
          <w:lang w:val="pt-BR"/>
        </w:rPr>
      </w:pPr>
    </w:p>
    <w:p w14:paraId="313D9FFF" w14:textId="77777777" w:rsidR="00E22E23" w:rsidRPr="0072225F" w:rsidRDefault="00E22E23" w:rsidP="00E22E23">
      <w:pPr>
        <w:jc w:val="center"/>
        <w:rPr>
          <w:rFonts w:ascii="Verdana" w:hAnsi="Verdana"/>
          <w:sz w:val="20"/>
          <w:szCs w:val="20"/>
          <w:lang w:val="pt-BR"/>
        </w:rPr>
      </w:pPr>
      <w:r w:rsidRPr="0072225F">
        <w:rPr>
          <w:rFonts w:ascii="Verdana" w:hAnsi="Verdana"/>
          <w:sz w:val="20"/>
          <w:szCs w:val="20"/>
          <w:lang w:val="pt-BR"/>
        </w:rPr>
        <w:t xml:space="preserve">Pablo Saavedra </w:t>
      </w:r>
      <w:proofErr w:type="spellStart"/>
      <w:r w:rsidRPr="0072225F">
        <w:rPr>
          <w:rFonts w:ascii="Verdana" w:hAnsi="Verdana"/>
          <w:sz w:val="20"/>
          <w:szCs w:val="20"/>
          <w:lang w:val="pt-BR"/>
        </w:rPr>
        <w:t>Alessandri</w:t>
      </w:r>
      <w:proofErr w:type="spellEnd"/>
    </w:p>
    <w:p w14:paraId="242FCF0F" w14:textId="77777777" w:rsidR="00E22E23" w:rsidRPr="0072225F" w:rsidRDefault="00E22E23" w:rsidP="00E22E23">
      <w:pPr>
        <w:jc w:val="center"/>
        <w:rPr>
          <w:rFonts w:ascii="Verdana" w:hAnsi="Verdana"/>
          <w:sz w:val="20"/>
          <w:szCs w:val="20"/>
          <w:lang w:val="pt-BR"/>
        </w:rPr>
      </w:pPr>
      <w:r w:rsidRPr="0072225F">
        <w:rPr>
          <w:rFonts w:ascii="Verdana" w:hAnsi="Verdana"/>
          <w:sz w:val="20"/>
          <w:szCs w:val="20"/>
          <w:lang w:val="pt-BR"/>
        </w:rPr>
        <w:t>Secretario</w:t>
      </w:r>
    </w:p>
    <w:p w14:paraId="5927289F" w14:textId="77777777" w:rsidR="00E22E23" w:rsidRPr="0072225F" w:rsidRDefault="00E22E23" w:rsidP="00E22E23">
      <w:pPr>
        <w:pStyle w:val="Textonotapie"/>
        <w:rPr>
          <w:rFonts w:ascii="Verdana" w:hAnsi="Verdana"/>
          <w:lang w:val="pt-BR"/>
        </w:rPr>
      </w:pPr>
    </w:p>
    <w:p w14:paraId="4E4E421D" w14:textId="77777777" w:rsidR="00E22E23" w:rsidRPr="0072225F" w:rsidRDefault="00E22E23" w:rsidP="00E22E23">
      <w:pPr>
        <w:pStyle w:val="Textonotapie"/>
        <w:rPr>
          <w:rFonts w:ascii="Verdana" w:hAnsi="Verdana"/>
          <w:lang w:val="pt-BR"/>
        </w:rPr>
      </w:pPr>
    </w:p>
    <w:p w14:paraId="2B4B3105" w14:textId="77777777" w:rsidR="00E22E23" w:rsidRPr="0072225F" w:rsidRDefault="00E22E23" w:rsidP="00E22E23">
      <w:pPr>
        <w:jc w:val="both"/>
        <w:rPr>
          <w:rFonts w:ascii="Verdana" w:hAnsi="Verdana"/>
          <w:sz w:val="20"/>
          <w:szCs w:val="20"/>
          <w:lang w:val="pt-BR"/>
        </w:rPr>
      </w:pPr>
      <w:proofErr w:type="spellStart"/>
      <w:r w:rsidRPr="0072225F">
        <w:rPr>
          <w:rFonts w:ascii="Verdana" w:hAnsi="Verdana"/>
          <w:sz w:val="20"/>
          <w:szCs w:val="20"/>
          <w:lang w:val="pt-BR"/>
        </w:rPr>
        <w:t>Comuníquese</w:t>
      </w:r>
      <w:proofErr w:type="spellEnd"/>
      <w:r w:rsidRPr="0072225F">
        <w:rPr>
          <w:rFonts w:ascii="Verdana" w:hAnsi="Verdana"/>
          <w:sz w:val="20"/>
          <w:szCs w:val="20"/>
          <w:lang w:val="pt-BR"/>
        </w:rPr>
        <w:t xml:space="preserve"> y </w:t>
      </w:r>
      <w:proofErr w:type="spellStart"/>
      <w:r w:rsidRPr="0072225F">
        <w:rPr>
          <w:rFonts w:ascii="Verdana" w:hAnsi="Verdana"/>
          <w:sz w:val="20"/>
          <w:szCs w:val="20"/>
          <w:lang w:val="pt-BR"/>
        </w:rPr>
        <w:t>ejecútese</w:t>
      </w:r>
      <w:proofErr w:type="spellEnd"/>
      <w:r w:rsidRPr="0072225F">
        <w:rPr>
          <w:rFonts w:ascii="Verdana" w:hAnsi="Verdana"/>
          <w:sz w:val="20"/>
          <w:szCs w:val="20"/>
          <w:lang w:val="pt-BR"/>
        </w:rPr>
        <w:t>,</w:t>
      </w:r>
    </w:p>
    <w:p w14:paraId="7EA46886" w14:textId="77777777" w:rsidR="00E22E23" w:rsidRPr="0072225F" w:rsidRDefault="00E22E23" w:rsidP="00E22E23">
      <w:pPr>
        <w:rPr>
          <w:rFonts w:ascii="Verdana" w:hAnsi="Verdana"/>
          <w:sz w:val="20"/>
          <w:szCs w:val="20"/>
          <w:lang w:val="pt-BR"/>
        </w:rPr>
      </w:pPr>
    </w:p>
    <w:p w14:paraId="044AE979" w14:textId="77777777" w:rsidR="00E22E23" w:rsidRPr="0072225F" w:rsidRDefault="00E22E23" w:rsidP="00E22E23">
      <w:pPr>
        <w:rPr>
          <w:rFonts w:ascii="Verdana" w:hAnsi="Verdana"/>
          <w:sz w:val="20"/>
          <w:szCs w:val="20"/>
          <w:lang w:val="pt-BR"/>
        </w:rPr>
      </w:pPr>
    </w:p>
    <w:p w14:paraId="48EB861F" w14:textId="77777777" w:rsidR="00E22E23" w:rsidRPr="0072225F" w:rsidRDefault="00E22E23" w:rsidP="00E22E23">
      <w:pPr>
        <w:jc w:val="right"/>
        <w:rPr>
          <w:rFonts w:ascii="Verdana" w:hAnsi="Verdana"/>
          <w:sz w:val="20"/>
          <w:szCs w:val="20"/>
          <w:lang w:val="pt-BR"/>
        </w:rPr>
      </w:pPr>
    </w:p>
    <w:p w14:paraId="0E8531D3" w14:textId="77777777" w:rsidR="00E22E23" w:rsidRPr="0072225F" w:rsidRDefault="00E22E23" w:rsidP="00E22E23">
      <w:pPr>
        <w:jc w:val="center"/>
        <w:rPr>
          <w:rFonts w:ascii="Verdana" w:hAnsi="Verdana"/>
          <w:sz w:val="20"/>
          <w:szCs w:val="20"/>
          <w:lang w:val="pt-BR"/>
        </w:rPr>
      </w:pPr>
      <w:r w:rsidRPr="0072225F">
        <w:rPr>
          <w:rFonts w:ascii="Verdana" w:hAnsi="Verdana"/>
          <w:sz w:val="20"/>
          <w:szCs w:val="20"/>
          <w:lang w:val="pt-BR"/>
        </w:rPr>
        <w:t xml:space="preserve">                                                                        Eduardo Ferrer </w:t>
      </w:r>
      <w:proofErr w:type="spellStart"/>
      <w:r w:rsidRPr="0072225F">
        <w:rPr>
          <w:rFonts w:ascii="Verdana" w:hAnsi="Verdana"/>
          <w:sz w:val="20"/>
          <w:szCs w:val="20"/>
          <w:lang w:val="pt-BR"/>
        </w:rPr>
        <w:t>Mac-Gregor</w:t>
      </w:r>
      <w:proofErr w:type="spellEnd"/>
      <w:r w:rsidRPr="0072225F">
        <w:rPr>
          <w:rFonts w:ascii="Verdana" w:hAnsi="Verdana"/>
          <w:sz w:val="20"/>
          <w:szCs w:val="20"/>
          <w:lang w:val="pt-BR"/>
        </w:rPr>
        <w:t xml:space="preserve"> </w:t>
      </w:r>
      <w:proofErr w:type="spellStart"/>
      <w:r w:rsidRPr="0072225F">
        <w:rPr>
          <w:rFonts w:ascii="Verdana" w:hAnsi="Verdana"/>
          <w:sz w:val="20"/>
          <w:szCs w:val="20"/>
          <w:lang w:val="pt-BR"/>
        </w:rPr>
        <w:t>Poisot</w:t>
      </w:r>
      <w:proofErr w:type="spellEnd"/>
    </w:p>
    <w:p w14:paraId="26D527F9" w14:textId="77777777" w:rsidR="00E22E23" w:rsidRPr="0072225F" w:rsidRDefault="00E22E23" w:rsidP="00E22E23">
      <w:pPr>
        <w:rPr>
          <w:rFonts w:ascii="Verdana" w:hAnsi="Verdana"/>
          <w:sz w:val="20"/>
          <w:szCs w:val="20"/>
          <w:lang w:val="pt-BR"/>
        </w:rPr>
      </w:pPr>
      <w:r w:rsidRPr="0072225F">
        <w:rPr>
          <w:rFonts w:ascii="Verdana" w:hAnsi="Verdana"/>
          <w:sz w:val="20"/>
          <w:szCs w:val="20"/>
          <w:lang w:val="pt-BR"/>
        </w:rPr>
        <w:t xml:space="preserve">       </w:t>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r>
      <w:r w:rsidRPr="0072225F">
        <w:rPr>
          <w:rFonts w:ascii="Verdana" w:hAnsi="Verdana"/>
          <w:sz w:val="20"/>
          <w:szCs w:val="20"/>
          <w:lang w:val="pt-BR"/>
        </w:rPr>
        <w:tab/>
        <w:t xml:space="preserve">Presidente </w:t>
      </w:r>
    </w:p>
    <w:p w14:paraId="5A6B3766" w14:textId="77777777" w:rsidR="00E22E23" w:rsidRPr="0072225F" w:rsidRDefault="00E22E23" w:rsidP="00E22E23">
      <w:pPr>
        <w:ind w:firstLine="720"/>
        <w:jc w:val="center"/>
        <w:rPr>
          <w:rFonts w:ascii="Verdana" w:hAnsi="Verdana"/>
          <w:sz w:val="20"/>
          <w:szCs w:val="20"/>
          <w:lang w:val="pt-BR"/>
        </w:rPr>
      </w:pPr>
    </w:p>
    <w:p w14:paraId="5E3929E1" w14:textId="77777777" w:rsidR="00E22E23" w:rsidRPr="0072225F" w:rsidRDefault="00E22E23" w:rsidP="00E22E23">
      <w:pPr>
        <w:jc w:val="both"/>
        <w:rPr>
          <w:rFonts w:ascii="Verdana" w:hAnsi="Verdana"/>
          <w:sz w:val="20"/>
          <w:szCs w:val="20"/>
          <w:lang w:val="pt-BR"/>
        </w:rPr>
      </w:pPr>
    </w:p>
    <w:p w14:paraId="5208972C" w14:textId="77777777" w:rsidR="00E22E23" w:rsidRPr="0072225F" w:rsidRDefault="00E22E23" w:rsidP="00E22E23">
      <w:pPr>
        <w:jc w:val="both"/>
        <w:rPr>
          <w:rFonts w:ascii="Verdana" w:hAnsi="Verdana"/>
          <w:sz w:val="20"/>
          <w:szCs w:val="20"/>
          <w:lang w:val="pt-BR"/>
        </w:rPr>
      </w:pPr>
    </w:p>
    <w:p w14:paraId="2E9C452F" w14:textId="77777777" w:rsidR="00E22E23" w:rsidRPr="0072225F" w:rsidRDefault="00E22E23" w:rsidP="00E22E23">
      <w:pPr>
        <w:jc w:val="both"/>
        <w:rPr>
          <w:rFonts w:ascii="Verdana" w:hAnsi="Verdana"/>
          <w:sz w:val="20"/>
          <w:szCs w:val="20"/>
          <w:lang w:val="pt-BR"/>
        </w:rPr>
      </w:pPr>
      <w:r w:rsidRPr="0072225F">
        <w:rPr>
          <w:rFonts w:ascii="Verdana" w:hAnsi="Verdana"/>
          <w:sz w:val="20"/>
          <w:szCs w:val="20"/>
          <w:lang w:val="pt-BR"/>
        </w:rPr>
        <w:t xml:space="preserve">Pablo Saavedra </w:t>
      </w:r>
      <w:proofErr w:type="spellStart"/>
      <w:r w:rsidRPr="0072225F">
        <w:rPr>
          <w:rFonts w:ascii="Verdana" w:hAnsi="Verdana"/>
          <w:sz w:val="20"/>
          <w:szCs w:val="20"/>
          <w:lang w:val="pt-BR"/>
        </w:rPr>
        <w:t>Alessandri</w:t>
      </w:r>
      <w:proofErr w:type="spellEnd"/>
    </w:p>
    <w:p w14:paraId="2E9D412B" w14:textId="3C16D984" w:rsidR="00BE4E26" w:rsidRPr="0072225F" w:rsidRDefault="00E22E23" w:rsidP="00E22E23">
      <w:pPr>
        <w:rPr>
          <w:rFonts w:ascii="Verdana" w:hAnsi="Verdana"/>
          <w:sz w:val="20"/>
          <w:szCs w:val="20"/>
        </w:rPr>
      </w:pPr>
      <w:r w:rsidRPr="0072225F">
        <w:rPr>
          <w:rFonts w:ascii="Verdana" w:hAnsi="Verdana"/>
          <w:sz w:val="20"/>
          <w:szCs w:val="20"/>
          <w:lang w:val="pt-BR"/>
        </w:rPr>
        <w:tab/>
        <w:t xml:space="preserve"> </w:t>
      </w:r>
      <w:r w:rsidRPr="0072225F">
        <w:rPr>
          <w:rFonts w:ascii="Verdana" w:hAnsi="Verdana"/>
          <w:sz w:val="20"/>
          <w:szCs w:val="20"/>
        </w:rPr>
        <w:t xml:space="preserve"> Secretario</w:t>
      </w:r>
    </w:p>
    <w:sectPr w:rsidR="00BE4E26" w:rsidRPr="0072225F" w:rsidSect="00AA549A">
      <w:headerReference w:type="even" r:id="rId8"/>
      <w:headerReference w:type="default" r:id="rId9"/>
      <w:footerReference w:type="even" r:id="rId10"/>
      <w:footerReference w:type="default" r:id="rId11"/>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AD6F3" w14:textId="77777777" w:rsidR="00BE4E26" w:rsidRDefault="00BE4E26" w:rsidP="0097028F">
      <w:r>
        <w:separator/>
      </w:r>
    </w:p>
  </w:endnote>
  <w:endnote w:type="continuationSeparator" w:id="0">
    <w:p w14:paraId="3AE5CF5F" w14:textId="77777777" w:rsidR="00BE4E26" w:rsidRDefault="00BE4E26" w:rsidP="0097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931B" w14:textId="77777777" w:rsidR="00BE4E26" w:rsidRDefault="00BE4E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1F6155" w14:textId="77777777" w:rsidR="00BE4E26" w:rsidRDefault="00BE4E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7308" w14:textId="77777777" w:rsidR="00BE4E26" w:rsidRDefault="00BE4E2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C94B9" w14:textId="77777777" w:rsidR="00BE4E26" w:rsidRDefault="00BE4E26" w:rsidP="0097028F">
      <w:r>
        <w:separator/>
      </w:r>
    </w:p>
  </w:footnote>
  <w:footnote w:type="continuationSeparator" w:id="0">
    <w:p w14:paraId="619533DB" w14:textId="77777777" w:rsidR="00BE4E26" w:rsidRDefault="00BE4E26" w:rsidP="0097028F">
      <w:r>
        <w:continuationSeparator/>
      </w:r>
    </w:p>
  </w:footnote>
  <w:footnote w:id="1">
    <w:p w14:paraId="5C27869B" w14:textId="385E1F96" w:rsidR="00D6129F" w:rsidRPr="00302F88" w:rsidRDefault="00D6129F" w:rsidP="005B6929">
      <w:pPr>
        <w:tabs>
          <w:tab w:val="left" w:pos="567"/>
          <w:tab w:val="left" w:pos="900"/>
        </w:tabs>
        <w:spacing w:before="120" w:after="120" w:line="232" w:lineRule="auto"/>
        <w:ind w:right="2"/>
        <w:jc w:val="both"/>
        <w:rPr>
          <w:rFonts w:ascii="Verdana" w:eastAsia="Verdana" w:hAnsi="Verdana"/>
          <w:sz w:val="16"/>
          <w:szCs w:val="16"/>
          <w:vertAlign w:val="superscript"/>
          <w:lang w:val="es-PE"/>
        </w:rPr>
      </w:pPr>
      <w:r w:rsidRPr="00302F88">
        <w:rPr>
          <w:rStyle w:val="Refdenotaalpie"/>
          <w:rFonts w:ascii="Verdana" w:hAnsi="Verdana"/>
          <w:sz w:val="16"/>
          <w:szCs w:val="16"/>
        </w:rPr>
        <w:footnoteRef/>
      </w:r>
      <w:r w:rsidRPr="00302F88">
        <w:rPr>
          <w:rFonts w:ascii="Verdana" w:hAnsi="Verdana"/>
          <w:sz w:val="16"/>
          <w:szCs w:val="16"/>
          <w:lang w:val="es-PE"/>
        </w:rPr>
        <w:t xml:space="preserve">  </w:t>
      </w:r>
      <w:r w:rsidRPr="00302F88">
        <w:rPr>
          <w:rFonts w:ascii="Verdana" w:hAnsi="Verdana"/>
          <w:sz w:val="16"/>
          <w:szCs w:val="16"/>
          <w:lang w:val="es-PE"/>
        </w:rPr>
        <w:tab/>
      </w:r>
      <w:r w:rsidR="004937ED" w:rsidRPr="0074393C">
        <w:rPr>
          <w:rFonts w:ascii="Verdana" w:eastAsia="Verdana" w:hAnsi="Verdana"/>
          <w:i/>
          <w:sz w:val="16"/>
          <w:szCs w:val="16"/>
          <w:lang w:val="es-PE"/>
        </w:rPr>
        <w:t>Cfr. Caso Bámaca Velásquez</w:t>
      </w:r>
      <w:r w:rsidR="00336B0B">
        <w:rPr>
          <w:rFonts w:ascii="Verdana" w:eastAsia="Verdana" w:hAnsi="Verdana"/>
          <w:i/>
          <w:sz w:val="16"/>
          <w:szCs w:val="16"/>
          <w:lang w:val="es-PE"/>
        </w:rPr>
        <w:t xml:space="preserve"> </w:t>
      </w:r>
      <w:r w:rsidR="004937ED" w:rsidRPr="0074393C">
        <w:rPr>
          <w:rFonts w:ascii="Verdana" w:eastAsia="Verdana" w:hAnsi="Verdana"/>
          <w:i/>
          <w:sz w:val="16"/>
          <w:szCs w:val="16"/>
          <w:lang w:val="es-PE"/>
        </w:rPr>
        <w:t>respecto de Guatemala</w:t>
      </w:r>
      <w:r w:rsidR="00336B0B">
        <w:rPr>
          <w:rFonts w:ascii="Verdana" w:eastAsia="Verdana" w:hAnsi="Verdana"/>
          <w:i/>
          <w:sz w:val="16"/>
          <w:szCs w:val="16"/>
          <w:lang w:val="es-PE"/>
        </w:rPr>
        <w:t>. Medidas Provisionales</w:t>
      </w:r>
      <w:r w:rsidR="004937ED" w:rsidRPr="0074393C">
        <w:rPr>
          <w:rFonts w:ascii="Verdana" w:eastAsia="Verdana" w:hAnsi="Verdana"/>
          <w:i/>
          <w:sz w:val="16"/>
          <w:szCs w:val="16"/>
          <w:lang w:val="es-PE"/>
        </w:rPr>
        <w:t>.</w:t>
      </w:r>
      <w:r w:rsidR="004937ED" w:rsidRPr="0074393C">
        <w:rPr>
          <w:rFonts w:ascii="Verdana" w:eastAsia="Verdana" w:hAnsi="Verdana"/>
          <w:sz w:val="16"/>
          <w:szCs w:val="16"/>
          <w:lang w:val="es-PE"/>
        </w:rPr>
        <w:t xml:space="preserve"> Resolución de la Corte Interamericana de Derechos Humanos</w:t>
      </w:r>
      <w:r w:rsidR="004937ED" w:rsidRPr="0074393C">
        <w:rPr>
          <w:rFonts w:ascii="Verdana" w:eastAsia="Verdana" w:hAnsi="Verdana"/>
          <w:i/>
          <w:sz w:val="16"/>
          <w:szCs w:val="16"/>
          <w:lang w:val="es-PE"/>
        </w:rPr>
        <w:t xml:space="preserve"> </w:t>
      </w:r>
      <w:r w:rsidR="004937ED" w:rsidRPr="0074393C">
        <w:rPr>
          <w:rFonts w:ascii="Verdana" w:eastAsia="Verdana" w:hAnsi="Verdana"/>
          <w:sz w:val="16"/>
          <w:szCs w:val="16"/>
          <w:lang w:val="es-PE"/>
        </w:rPr>
        <w:t xml:space="preserve">de 20 de noviembre de 2003, Considerando 10, y </w:t>
      </w:r>
      <w:r w:rsidR="004937ED" w:rsidRPr="0074393C">
        <w:rPr>
          <w:rFonts w:ascii="Verdana" w:eastAsia="Verdana" w:hAnsi="Verdana"/>
          <w:i/>
          <w:sz w:val="16"/>
          <w:szCs w:val="16"/>
          <w:lang w:val="es-PE"/>
        </w:rPr>
        <w:t xml:space="preserve">Caso Arrom </w:t>
      </w:r>
      <w:proofErr w:type="spellStart"/>
      <w:r w:rsidR="004937ED" w:rsidRPr="0074393C">
        <w:rPr>
          <w:rFonts w:ascii="Verdana" w:eastAsia="Verdana" w:hAnsi="Verdana"/>
          <w:i/>
          <w:sz w:val="16"/>
          <w:szCs w:val="16"/>
          <w:lang w:val="es-PE"/>
        </w:rPr>
        <w:t>Suhurt</w:t>
      </w:r>
      <w:proofErr w:type="spellEnd"/>
      <w:r w:rsidR="004937ED" w:rsidRPr="0074393C">
        <w:rPr>
          <w:rFonts w:ascii="Verdana" w:eastAsia="Verdana" w:hAnsi="Verdana"/>
          <w:i/>
          <w:sz w:val="16"/>
          <w:szCs w:val="16"/>
          <w:lang w:val="es-PE"/>
        </w:rPr>
        <w:t xml:space="preserve"> y otros Vs. Paraguay. </w:t>
      </w:r>
      <w:r w:rsidR="004937ED" w:rsidRPr="00302F88">
        <w:rPr>
          <w:rFonts w:ascii="Verdana" w:eastAsia="Verdana" w:hAnsi="Verdana"/>
          <w:i/>
          <w:sz w:val="16"/>
          <w:szCs w:val="16"/>
          <w:lang w:val="es-PE"/>
        </w:rPr>
        <w:t>Solicitud de Medidas Provisionales</w:t>
      </w:r>
      <w:r w:rsidR="004937ED" w:rsidRPr="0074393C">
        <w:rPr>
          <w:rFonts w:ascii="Verdana" w:eastAsia="Verdana" w:hAnsi="Verdana"/>
          <w:sz w:val="16"/>
          <w:szCs w:val="16"/>
          <w:lang w:val="es-PE"/>
        </w:rPr>
        <w:t xml:space="preserve">. Resolución de la Corte Interamericana de Derechos Humanos de </w:t>
      </w:r>
      <w:r w:rsidR="00A23EBA" w:rsidRPr="0074393C">
        <w:rPr>
          <w:rFonts w:ascii="Verdana" w:eastAsia="Verdana" w:hAnsi="Verdana"/>
          <w:sz w:val="16"/>
          <w:szCs w:val="16"/>
          <w:lang w:val="es-PE"/>
        </w:rPr>
        <w:t>13 de mayo</w:t>
      </w:r>
      <w:r w:rsidR="004937ED" w:rsidRPr="0074393C">
        <w:rPr>
          <w:rFonts w:ascii="Verdana" w:eastAsia="Verdana" w:hAnsi="Verdana"/>
          <w:sz w:val="16"/>
          <w:szCs w:val="16"/>
          <w:lang w:val="es-PE"/>
        </w:rPr>
        <w:t xml:space="preserve"> de 2019, Considerando 3.</w:t>
      </w:r>
    </w:p>
  </w:footnote>
  <w:footnote w:id="2">
    <w:p w14:paraId="7363CD29" w14:textId="1CD46699" w:rsidR="00D6129F" w:rsidRPr="00302F88" w:rsidRDefault="00D6129F" w:rsidP="005B6929">
      <w:pPr>
        <w:pStyle w:val="Textonotapie"/>
        <w:tabs>
          <w:tab w:val="left" w:pos="567"/>
        </w:tabs>
        <w:spacing w:before="120" w:after="120"/>
        <w:jc w:val="both"/>
        <w:rPr>
          <w:rFonts w:ascii="Verdana" w:hAnsi="Verdana"/>
          <w:sz w:val="16"/>
          <w:szCs w:val="16"/>
          <w:lang w:val="es-CR"/>
        </w:rPr>
      </w:pPr>
      <w:r w:rsidRPr="0074393C">
        <w:rPr>
          <w:rStyle w:val="Refdenotaalpie"/>
          <w:rFonts w:ascii="Verdana" w:hAnsi="Verdana"/>
          <w:sz w:val="16"/>
          <w:szCs w:val="16"/>
        </w:rPr>
        <w:footnoteRef/>
      </w:r>
      <w:r w:rsidRPr="0074393C">
        <w:rPr>
          <w:rFonts w:ascii="Verdana" w:hAnsi="Verdana"/>
          <w:sz w:val="16"/>
          <w:szCs w:val="16"/>
          <w:lang w:val="es-CR"/>
        </w:rPr>
        <w:t xml:space="preserve"> </w:t>
      </w:r>
      <w:r w:rsidRPr="0074393C">
        <w:rPr>
          <w:rFonts w:ascii="Verdana" w:hAnsi="Verdana"/>
          <w:sz w:val="16"/>
          <w:szCs w:val="16"/>
          <w:lang w:val="es-CR"/>
        </w:rPr>
        <w:tab/>
      </w:r>
      <w:r w:rsidRPr="0074393C">
        <w:rPr>
          <w:rFonts w:ascii="Verdana" w:hAnsi="Verdana"/>
          <w:i/>
          <w:sz w:val="16"/>
          <w:szCs w:val="16"/>
          <w:lang w:val="es-PE"/>
        </w:rPr>
        <w:t xml:space="preserve">Cfr. </w:t>
      </w:r>
      <w:r w:rsidRPr="0074393C">
        <w:rPr>
          <w:rFonts w:ascii="Verdana" w:hAnsi="Verdana"/>
          <w:i/>
          <w:sz w:val="16"/>
          <w:szCs w:val="16"/>
          <w:lang w:val="es-CR"/>
        </w:rPr>
        <w:t>Asunto James y otros</w:t>
      </w:r>
      <w:r w:rsidR="002B2A2E">
        <w:rPr>
          <w:rFonts w:ascii="Verdana" w:hAnsi="Verdana"/>
          <w:i/>
          <w:sz w:val="16"/>
          <w:szCs w:val="16"/>
          <w:lang w:val="es-CR"/>
        </w:rPr>
        <w:t xml:space="preserve"> </w:t>
      </w:r>
      <w:r w:rsidRPr="0074393C">
        <w:rPr>
          <w:rFonts w:ascii="Verdana" w:hAnsi="Verdana"/>
          <w:i/>
          <w:sz w:val="16"/>
          <w:szCs w:val="16"/>
          <w:lang w:val="es-CR"/>
        </w:rPr>
        <w:t>respecto de Trinidad y Tobago</w:t>
      </w:r>
      <w:r w:rsidR="002B2A2E">
        <w:rPr>
          <w:rFonts w:ascii="Verdana" w:hAnsi="Verdana"/>
          <w:i/>
          <w:sz w:val="16"/>
          <w:szCs w:val="16"/>
          <w:lang w:val="es-CR"/>
        </w:rPr>
        <w:t>. Medidas Provisionales</w:t>
      </w:r>
      <w:r w:rsidRPr="0074393C">
        <w:rPr>
          <w:rFonts w:ascii="Verdana" w:hAnsi="Verdana"/>
          <w:i/>
          <w:sz w:val="16"/>
          <w:szCs w:val="16"/>
          <w:lang w:val="es-CR"/>
        </w:rPr>
        <w:t xml:space="preserve">. </w:t>
      </w:r>
      <w:r w:rsidRPr="0074393C">
        <w:rPr>
          <w:rFonts w:ascii="Verdana" w:hAnsi="Verdana"/>
          <w:sz w:val="16"/>
          <w:szCs w:val="16"/>
          <w:lang w:val="es-CR"/>
        </w:rPr>
        <w:t xml:space="preserve">Resolución de la Corte Interamericana de Derechos Humanos de 29 de agosto de 1998, Considerando 6, y </w:t>
      </w:r>
      <w:r w:rsidRPr="0074393C">
        <w:rPr>
          <w:rFonts w:ascii="Verdana" w:eastAsia="Verdana" w:hAnsi="Verdana"/>
          <w:i/>
          <w:sz w:val="16"/>
          <w:szCs w:val="16"/>
          <w:lang w:val="es-PE"/>
        </w:rPr>
        <w:t xml:space="preserve">Caso Arrom </w:t>
      </w:r>
      <w:proofErr w:type="spellStart"/>
      <w:r w:rsidRPr="0074393C">
        <w:rPr>
          <w:rFonts w:ascii="Verdana" w:eastAsia="Verdana" w:hAnsi="Verdana"/>
          <w:i/>
          <w:sz w:val="16"/>
          <w:szCs w:val="16"/>
          <w:lang w:val="es-PE"/>
        </w:rPr>
        <w:t>Suhurt</w:t>
      </w:r>
      <w:proofErr w:type="spellEnd"/>
      <w:r w:rsidRPr="0074393C">
        <w:rPr>
          <w:rFonts w:ascii="Verdana" w:eastAsia="Verdana" w:hAnsi="Verdana"/>
          <w:i/>
          <w:sz w:val="16"/>
          <w:szCs w:val="16"/>
          <w:lang w:val="es-PE"/>
        </w:rPr>
        <w:t xml:space="preserve"> y otros Vs. Paraguay. </w:t>
      </w:r>
      <w:r w:rsidRPr="00302F88">
        <w:rPr>
          <w:rFonts w:ascii="Verdana" w:eastAsia="Verdana" w:hAnsi="Verdana"/>
          <w:i/>
          <w:sz w:val="16"/>
          <w:szCs w:val="16"/>
          <w:lang w:val="es-PE"/>
        </w:rPr>
        <w:t>Solicitud de Medidas Provisionales</w:t>
      </w:r>
      <w:r w:rsidRPr="0074393C">
        <w:rPr>
          <w:rFonts w:ascii="Verdana" w:eastAsia="Verdana" w:hAnsi="Verdana"/>
          <w:sz w:val="16"/>
          <w:szCs w:val="16"/>
          <w:lang w:val="es-PE"/>
        </w:rPr>
        <w:t xml:space="preserve">. Resolución de la Corte Interamericana de Derechos Humanos de </w:t>
      </w:r>
      <w:r w:rsidR="00813BDE" w:rsidRPr="0074393C">
        <w:rPr>
          <w:rFonts w:ascii="Verdana" w:eastAsia="Verdana" w:hAnsi="Verdana"/>
          <w:sz w:val="16"/>
          <w:szCs w:val="16"/>
          <w:lang w:val="es-PE"/>
        </w:rPr>
        <w:t>13 de mayo</w:t>
      </w:r>
      <w:r w:rsidRPr="0074393C">
        <w:rPr>
          <w:rFonts w:ascii="Verdana" w:eastAsia="Verdana" w:hAnsi="Verdana"/>
          <w:sz w:val="16"/>
          <w:szCs w:val="16"/>
          <w:lang w:val="es-PE"/>
        </w:rPr>
        <w:t xml:space="preserve"> de 2019, Considerando 3.</w:t>
      </w:r>
    </w:p>
  </w:footnote>
  <w:footnote w:id="3">
    <w:p w14:paraId="2E9687A5" w14:textId="3EEFB283" w:rsidR="004937ED" w:rsidRPr="0074393C" w:rsidRDefault="004937ED" w:rsidP="005B6929">
      <w:pPr>
        <w:pStyle w:val="Textonotapie"/>
        <w:spacing w:before="120" w:after="120"/>
        <w:jc w:val="both"/>
        <w:rPr>
          <w:rFonts w:ascii="Verdana" w:hAnsi="Verdana"/>
          <w:sz w:val="16"/>
          <w:szCs w:val="16"/>
        </w:rPr>
      </w:pPr>
      <w:r w:rsidRPr="00204F6C">
        <w:rPr>
          <w:rStyle w:val="Refdenotaalpie"/>
          <w:rFonts w:ascii="Verdana" w:hAnsi="Verdana"/>
          <w:sz w:val="16"/>
          <w:szCs w:val="16"/>
        </w:rPr>
        <w:footnoteRef/>
      </w:r>
      <w:r w:rsidRPr="00204F6C">
        <w:rPr>
          <w:rFonts w:ascii="Verdana" w:hAnsi="Verdana"/>
          <w:sz w:val="16"/>
          <w:szCs w:val="16"/>
        </w:rPr>
        <w:t xml:space="preserve"> </w:t>
      </w:r>
      <w:r w:rsidRPr="00204F6C">
        <w:rPr>
          <w:rFonts w:ascii="Verdana" w:hAnsi="Verdana"/>
          <w:sz w:val="16"/>
          <w:szCs w:val="16"/>
        </w:rPr>
        <w:tab/>
      </w:r>
      <w:r w:rsidRPr="0074393C">
        <w:rPr>
          <w:rFonts w:ascii="Verdana" w:hAnsi="Verdana"/>
          <w:i/>
          <w:sz w:val="16"/>
          <w:szCs w:val="16"/>
        </w:rPr>
        <w:t xml:space="preserve">Cfr. Caso Carpio </w:t>
      </w:r>
      <w:proofErr w:type="spellStart"/>
      <w:r w:rsidRPr="0074393C">
        <w:rPr>
          <w:rFonts w:ascii="Verdana" w:hAnsi="Verdana"/>
          <w:i/>
          <w:sz w:val="16"/>
          <w:szCs w:val="16"/>
        </w:rPr>
        <w:t>Nicolle</w:t>
      </w:r>
      <w:proofErr w:type="spellEnd"/>
      <w:r w:rsidR="00F36CB5">
        <w:rPr>
          <w:rFonts w:ascii="Verdana" w:hAnsi="Verdana"/>
          <w:i/>
          <w:sz w:val="16"/>
          <w:szCs w:val="16"/>
        </w:rPr>
        <w:t xml:space="preserve"> </w:t>
      </w:r>
      <w:r w:rsidRPr="0074393C">
        <w:rPr>
          <w:rFonts w:ascii="Verdana" w:hAnsi="Verdana"/>
          <w:i/>
          <w:sz w:val="16"/>
          <w:szCs w:val="16"/>
        </w:rPr>
        <w:t>respecto de Guatemala</w:t>
      </w:r>
      <w:r w:rsidR="00F36CB5">
        <w:rPr>
          <w:rFonts w:ascii="Verdana" w:hAnsi="Verdana"/>
          <w:i/>
          <w:sz w:val="16"/>
          <w:szCs w:val="16"/>
        </w:rPr>
        <w:t>. Medidas Provisionales</w:t>
      </w:r>
      <w:r w:rsidRPr="0074393C">
        <w:rPr>
          <w:rFonts w:ascii="Verdana" w:hAnsi="Verdana"/>
          <w:sz w:val="16"/>
          <w:szCs w:val="16"/>
        </w:rPr>
        <w:t>. Resolución de la Corte Interamericana</w:t>
      </w:r>
      <w:r w:rsidR="00A6269D" w:rsidRPr="0074393C">
        <w:rPr>
          <w:rFonts w:ascii="Verdana" w:hAnsi="Verdana"/>
          <w:sz w:val="16"/>
          <w:szCs w:val="16"/>
        </w:rPr>
        <w:t xml:space="preserve"> </w:t>
      </w:r>
      <w:r w:rsidRPr="0074393C">
        <w:rPr>
          <w:rFonts w:ascii="Verdana" w:hAnsi="Verdana"/>
          <w:sz w:val="16"/>
          <w:szCs w:val="16"/>
        </w:rPr>
        <w:t xml:space="preserve">de Derechos Humanos de 6 de julio de 2009, Considerando 14, y </w:t>
      </w:r>
      <w:r w:rsidRPr="0074393C">
        <w:rPr>
          <w:rFonts w:ascii="Verdana" w:hAnsi="Verdana"/>
          <w:i/>
          <w:sz w:val="16"/>
          <w:szCs w:val="16"/>
        </w:rPr>
        <w:t>Caso Masacres de El Mozote y lugares aledaños Vs. El Salvador. Solicitud de Medidas Provisionales y Supervisión de Cumplimiento de Sentencia</w:t>
      </w:r>
      <w:r w:rsidRPr="0074393C">
        <w:rPr>
          <w:rFonts w:ascii="Verdana" w:hAnsi="Verdana"/>
          <w:sz w:val="16"/>
          <w:szCs w:val="16"/>
        </w:rPr>
        <w:t>. Resolución de la Corte Interamericana de Derechos Humanos de 3 de septiembre de 2019, Considerando 38.</w:t>
      </w:r>
    </w:p>
  </w:footnote>
  <w:footnote w:id="4">
    <w:p w14:paraId="61EC1CA3" w14:textId="5CC80EEF" w:rsidR="004937ED" w:rsidRPr="0074393C" w:rsidRDefault="004937ED" w:rsidP="005B6929">
      <w:pPr>
        <w:pStyle w:val="Textonotapie"/>
        <w:spacing w:before="120" w:after="120"/>
        <w:jc w:val="both"/>
        <w:rPr>
          <w:rFonts w:ascii="Verdana" w:hAnsi="Verdana"/>
          <w:sz w:val="16"/>
          <w:szCs w:val="16"/>
        </w:rPr>
      </w:pPr>
      <w:r w:rsidRPr="0074393C">
        <w:rPr>
          <w:rStyle w:val="Refdenotaalpie"/>
          <w:rFonts w:ascii="Verdana" w:hAnsi="Verdana"/>
          <w:sz w:val="16"/>
          <w:szCs w:val="16"/>
        </w:rPr>
        <w:footnoteRef/>
      </w:r>
      <w:r w:rsidRPr="0074393C">
        <w:rPr>
          <w:rFonts w:ascii="Verdana" w:hAnsi="Verdana"/>
          <w:sz w:val="16"/>
          <w:szCs w:val="16"/>
        </w:rPr>
        <w:t xml:space="preserve"> </w:t>
      </w:r>
      <w:r w:rsidRPr="0074393C">
        <w:rPr>
          <w:rFonts w:ascii="Verdana" w:hAnsi="Verdana"/>
          <w:sz w:val="16"/>
          <w:szCs w:val="16"/>
        </w:rPr>
        <w:tab/>
      </w:r>
      <w:r w:rsidRPr="0074393C">
        <w:rPr>
          <w:rFonts w:ascii="Verdana" w:hAnsi="Verdana"/>
          <w:i/>
          <w:sz w:val="16"/>
          <w:szCs w:val="16"/>
        </w:rPr>
        <w:t>Cfr.</w:t>
      </w:r>
      <w:r w:rsidRPr="0074393C">
        <w:rPr>
          <w:rFonts w:ascii="Verdana" w:hAnsi="Verdana"/>
          <w:b/>
          <w:bCs/>
          <w:sz w:val="16"/>
          <w:szCs w:val="16"/>
        </w:rPr>
        <w:t xml:space="preserve"> </w:t>
      </w:r>
      <w:r w:rsidRPr="00336B0B">
        <w:rPr>
          <w:rFonts w:ascii="Verdana" w:hAnsi="Verdana"/>
          <w:bCs/>
          <w:i/>
          <w:sz w:val="16"/>
          <w:szCs w:val="16"/>
        </w:rPr>
        <w:t>Asunto Liliana Ortega y otras respecto de Venezuela</w:t>
      </w:r>
      <w:r w:rsidRPr="00336B0B">
        <w:rPr>
          <w:rFonts w:ascii="Verdana" w:hAnsi="Verdana"/>
          <w:i/>
          <w:sz w:val="16"/>
          <w:szCs w:val="16"/>
        </w:rPr>
        <w:t>. Medidas Provisionales</w:t>
      </w:r>
      <w:r w:rsidRPr="00204F6C">
        <w:rPr>
          <w:rFonts w:ascii="Verdana" w:hAnsi="Verdana"/>
          <w:i/>
          <w:sz w:val="16"/>
          <w:szCs w:val="16"/>
        </w:rPr>
        <w:t>.</w:t>
      </w:r>
      <w:r w:rsidRPr="0074393C">
        <w:rPr>
          <w:rFonts w:ascii="Verdana" w:hAnsi="Verdana"/>
          <w:sz w:val="16"/>
          <w:szCs w:val="16"/>
        </w:rPr>
        <w:t xml:space="preserve"> Resolución de la Corte Interamericana de Derechos Humanos de 9 de julio de 2009, Considerando 33</w:t>
      </w:r>
      <w:r w:rsidR="00A6269D" w:rsidRPr="0074393C">
        <w:rPr>
          <w:rFonts w:ascii="Verdana" w:hAnsi="Verdana"/>
          <w:sz w:val="16"/>
          <w:szCs w:val="16"/>
        </w:rPr>
        <w:t xml:space="preserve">, </w:t>
      </w:r>
      <w:r w:rsidR="00A6269D" w:rsidRPr="0049665F">
        <w:rPr>
          <w:rFonts w:ascii="Verdana" w:hAnsi="Verdana"/>
          <w:bCs/>
          <w:sz w:val="16"/>
          <w:szCs w:val="16"/>
        </w:rPr>
        <w:t>y</w:t>
      </w:r>
      <w:r w:rsidR="00A6269D" w:rsidRPr="00204F6C">
        <w:rPr>
          <w:rFonts w:ascii="Verdana" w:hAnsi="Verdana"/>
          <w:bCs/>
          <w:i/>
          <w:sz w:val="16"/>
          <w:szCs w:val="16"/>
        </w:rPr>
        <w:t xml:space="preserve"> </w:t>
      </w:r>
      <w:r w:rsidR="00875FFD" w:rsidRPr="00204F6C">
        <w:rPr>
          <w:rFonts w:ascii="Verdana" w:hAnsi="Verdana"/>
          <w:i/>
          <w:sz w:val="16"/>
          <w:szCs w:val="16"/>
        </w:rPr>
        <w:t>Asunto A. J. y otros respecto de Haití. Medidas Provisionales.</w:t>
      </w:r>
      <w:r w:rsidR="00875FFD" w:rsidRPr="00204F6C">
        <w:rPr>
          <w:rFonts w:ascii="Verdana" w:hAnsi="Verdana"/>
          <w:sz w:val="16"/>
          <w:szCs w:val="16"/>
        </w:rPr>
        <w:t xml:space="preserve"> Resolución de la Corte Interamericana de Derechos Humanos de 22 de febrero de 2011, Considerando 11.</w:t>
      </w:r>
    </w:p>
  </w:footnote>
  <w:footnote w:id="5">
    <w:p w14:paraId="09A00B7C" w14:textId="050FF507" w:rsidR="009E0F8F" w:rsidRPr="0074393C" w:rsidRDefault="009E0F8F" w:rsidP="005B6929">
      <w:pPr>
        <w:pStyle w:val="Textonotapie"/>
        <w:spacing w:before="120" w:after="120"/>
        <w:jc w:val="both"/>
        <w:rPr>
          <w:rFonts w:ascii="Verdana" w:hAnsi="Verdana"/>
          <w:sz w:val="16"/>
          <w:szCs w:val="16"/>
          <w:lang w:val="es-DO"/>
        </w:rPr>
      </w:pPr>
      <w:r w:rsidRPr="0074393C">
        <w:rPr>
          <w:rStyle w:val="Refdenotaalpie"/>
          <w:rFonts w:ascii="Verdana" w:hAnsi="Verdana"/>
          <w:sz w:val="16"/>
          <w:szCs w:val="16"/>
        </w:rPr>
        <w:footnoteRef/>
      </w:r>
      <w:r w:rsidRPr="0074393C">
        <w:rPr>
          <w:rFonts w:ascii="Verdana" w:hAnsi="Verdana"/>
          <w:sz w:val="16"/>
          <w:szCs w:val="16"/>
          <w:lang w:val="es-DO"/>
        </w:rPr>
        <w:t xml:space="preserve"> </w:t>
      </w:r>
      <w:r w:rsidRPr="0074393C">
        <w:rPr>
          <w:rFonts w:ascii="Verdana" w:hAnsi="Verdana"/>
          <w:sz w:val="16"/>
          <w:szCs w:val="16"/>
          <w:lang w:val="es-DO"/>
        </w:rPr>
        <w:tab/>
      </w:r>
      <w:r w:rsidR="00D7171D" w:rsidRPr="0074393C">
        <w:rPr>
          <w:rFonts w:ascii="Verdana" w:hAnsi="Verdana"/>
          <w:i/>
          <w:sz w:val="16"/>
          <w:szCs w:val="16"/>
          <w:lang w:val="es-DO"/>
        </w:rPr>
        <w:t>Cfr</w:t>
      </w:r>
      <w:r w:rsidR="00D7171D" w:rsidRPr="0074393C">
        <w:rPr>
          <w:rFonts w:ascii="Verdana" w:hAnsi="Verdana"/>
          <w:sz w:val="16"/>
          <w:szCs w:val="16"/>
          <w:lang w:val="es-DO"/>
        </w:rPr>
        <w:t>. Notas de prensa de 20 de mayo y 11 junio de 2019 del Ministerio de Gobernación de Nicaragua, anex</w:t>
      </w:r>
      <w:r w:rsidR="000C0E11" w:rsidRPr="0074393C">
        <w:rPr>
          <w:rFonts w:ascii="Verdana" w:hAnsi="Verdana"/>
          <w:sz w:val="16"/>
          <w:szCs w:val="16"/>
          <w:lang w:val="es-DO"/>
        </w:rPr>
        <w:t>os</w:t>
      </w:r>
      <w:r w:rsidR="00D7171D" w:rsidRPr="0074393C">
        <w:rPr>
          <w:rFonts w:ascii="Verdana" w:hAnsi="Verdana"/>
          <w:sz w:val="16"/>
          <w:szCs w:val="16"/>
          <w:lang w:val="es-DO"/>
        </w:rPr>
        <w:t xml:space="preserve"> al informe rendido el 28 de junio de 2019 por Nicaragua; Ley de Amnistía No. 996, La Gaceta No. 108 de 10 de junio de 2019, anex</w:t>
      </w:r>
      <w:r w:rsidR="000C0E11" w:rsidRPr="0074393C">
        <w:rPr>
          <w:rFonts w:ascii="Verdana" w:hAnsi="Verdana"/>
          <w:sz w:val="16"/>
          <w:szCs w:val="16"/>
          <w:lang w:val="es-DO"/>
        </w:rPr>
        <w:t>o</w:t>
      </w:r>
      <w:r w:rsidR="00D7171D" w:rsidRPr="0074393C">
        <w:rPr>
          <w:rFonts w:ascii="Verdana" w:hAnsi="Verdana"/>
          <w:sz w:val="16"/>
          <w:szCs w:val="16"/>
          <w:lang w:val="es-DO"/>
        </w:rPr>
        <w:t xml:space="preserve"> al informe rendido el 28 de junio de 2019 por Nicaragua; </w:t>
      </w:r>
      <w:r w:rsidR="000C0E11" w:rsidRPr="0074393C">
        <w:rPr>
          <w:rFonts w:ascii="Verdana" w:hAnsi="Verdana"/>
          <w:sz w:val="16"/>
          <w:szCs w:val="16"/>
          <w:lang w:val="es-DO"/>
        </w:rPr>
        <w:t>e</w:t>
      </w:r>
      <w:r w:rsidR="00D7171D" w:rsidRPr="0074393C">
        <w:rPr>
          <w:rFonts w:ascii="Verdana" w:hAnsi="Verdana"/>
          <w:sz w:val="16"/>
          <w:szCs w:val="16"/>
          <w:lang w:val="es-DO"/>
        </w:rPr>
        <w:t>scrito de observaciones presentado el 4 de julio de 2019 por el Centro Nicaragüense de Derechos Humanos (CENIDH)</w:t>
      </w:r>
      <w:r w:rsidR="000C0E11" w:rsidRPr="0074393C">
        <w:rPr>
          <w:rFonts w:ascii="Verdana" w:hAnsi="Verdana"/>
          <w:sz w:val="16"/>
          <w:szCs w:val="16"/>
          <w:lang w:val="es-DO"/>
        </w:rPr>
        <w:t>; e</w:t>
      </w:r>
      <w:r w:rsidR="00D7171D" w:rsidRPr="0074393C">
        <w:rPr>
          <w:rFonts w:ascii="Verdana" w:hAnsi="Verdana"/>
          <w:sz w:val="16"/>
          <w:szCs w:val="16"/>
          <w:lang w:val="es-DO"/>
        </w:rPr>
        <w:t>scritos de observaciones presentados el 4 y 17 de julio de 2019 por la Iniciativa Nicaragüense de Defensoras de Derechos Humanos (IND) y el Centro por la Justicia y el Derecho Internacional (CEJIL)</w:t>
      </w:r>
      <w:r w:rsidR="000C0E11" w:rsidRPr="0074393C">
        <w:rPr>
          <w:rFonts w:ascii="Verdana" w:hAnsi="Verdana"/>
          <w:sz w:val="16"/>
          <w:szCs w:val="16"/>
          <w:lang w:val="es-DO"/>
        </w:rPr>
        <w:t>, y e</w:t>
      </w:r>
      <w:r w:rsidR="00D7171D" w:rsidRPr="0074393C">
        <w:rPr>
          <w:rFonts w:ascii="Verdana" w:hAnsi="Verdana"/>
          <w:sz w:val="16"/>
          <w:szCs w:val="16"/>
          <w:lang w:val="es-DO"/>
        </w:rPr>
        <w:t>scritos de observaciones presentados el 21 de junio, 15 de julio y 5 de agosto de 2019 por el Instituto Internacional sobre Raza, Igualdad y Derechos Humanos, el Centro Nicaragüense de Derechos Humanos (CENIDH) y la Fundación Violeta Barrios de Chamorro.</w:t>
      </w:r>
    </w:p>
  </w:footnote>
  <w:footnote w:id="6">
    <w:p w14:paraId="79114070" w14:textId="291400B9" w:rsidR="00F01BD7" w:rsidRPr="0074393C" w:rsidRDefault="00F01BD7" w:rsidP="005B6929">
      <w:pPr>
        <w:pStyle w:val="Textonotapie"/>
        <w:spacing w:before="120" w:after="120"/>
        <w:jc w:val="both"/>
        <w:rPr>
          <w:rFonts w:ascii="Verdana" w:hAnsi="Verdana"/>
          <w:sz w:val="16"/>
          <w:szCs w:val="16"/>
        </w:rPr>
      </w:pPr>
      <w:r w:rsidRPr="00204F6C">
        <w:rPr>
          <w:rStyle w:val="Refdenotaalpie"/>
          <w:rFonts w:ascii="Verdana" w:eastAsia="Times" w:hAnsi="Verdana"/>
          <w:sz w:val="16"/>
          <w:szCs w:val="16"/>
        </w:rPr>
        <w:footnoteRef/>
      </w:r>
      <w:r w:rsidRPr="0074393C">
        <w:rPr>
          <w:rFonts w:ascii="Verdana" w:hAnsi="Verdana"/>
          <w:sz w:val="16"/>
          <w:szCs w:val="16"/>
        </w:rPr>
        <w:t xml:space="preserve"> </w:t>
      </w:r>
      <w:r w:rsidRPr="0074393C">
        <w:rPr>
          <w:rFonts w:ascii="Verdana" w:hAnsi="Verdana"/>
          <w:sz w:val="16"/>
          <w:szCs w:val="16"/>
        </w:rPr>
        <w:tab/>
      </w:r>
      <w:r w:rsidR="00D7171D" w:rsidRPr="0074393C">
        <w:rPr>
          <w:rFonts w:ascii="Verdana" w:hAnsi="Verdana"/>
          <w:i/>
          <w:sz w:val="16"/>
          <w:szCs w:val="16"/>
        </w:rPr>
        <w:t>Cfr. Asunto del Pueblo Indígena Kankuamo</w:t>
      </w:r>
      <w:r w:rsidR="000C0E11" w:rsidRPr="0074393C">
        <w:rPr>
          <w:rFonts w:ascii="Verdana" w:hAnsi="Verdana"/>
          <w:i/>
          <w:sz w:val="16"/>
          <w:szCs w:val="16"/>
        </w:rPr>
        <w:t xml:space="preserve"> respecto de Colombia</w:t>
      </w:r>
      <w:r w:rsidR="00D7171D" w:rsidRPr="00204F6C">
        <w:rPr>
          <w:rFonts w:ascii="Verdana" w:hAnsi="Verdana"/>
          <w:i/>
          <w:sz w:val="16"/>
          <w:szCs w:val="16"/>
        </w:rPr>
        <w:t>.</w:t>
      </w:r>
      <w:r w:rsidR="00D7171D" w:rsidRPr="0074393C">
        <w:rPr>
          <w:rFonts w:ascii="Verdana" w:hAnsi="Verdana"/>
          <w:sz w:val="16"/>
          <w:szCs w:val="16"/>
        </w:rPr>
        <w:t xml:space="preserve"> </w:t>
      </w:r>
      <w:r w:rsidR="00D7171D" w:rsidRPr="00204F6C">
        <w:rPr>
          <w:rFonts w:ascii="Verdana" w:hAnsi="Verdana"/>
          <w:i/>
          <w:sz w:val="16"/>
          <w:szCs w:val="16"/>
        </w:rPr>
        <w:t>Medidas Provisionales</w:t>
      </w:r>
      <w:r w:rsidR="00D7171D" w:rsidRPr="0074393C">
        <w:rPr>
          <w:rFonts w:ascii="Verdana" w:hAnsi="Verdana"/>
          <w:sz w:val="16"/>
          <w:szCs w:val="16"/>
        </w:rPr>
        <w:t xml:space="preserve">. </w:t>
      </w:r>
      <w:r w:rsidR="00D7171D" w:rsidRPr="0074393C">
        <w:rPr>
          <w:rFonts w:ascii="Verdana" w:hAnsi="Verdana"/>
          <w:bCs/>
          <w:color w:val="000000"/>
          <w:sz w:val="16"/>
          <w:szCs w:val="16"/>
        </w:rPr>
        <w:t>Resolución de la Corte</w:t>
      </w:r>
      <w:r w:rsidR="0074393C" w:rsidRPr="0074393C">
        <w:rPr>
          <w:rFonts w:ascii="Verdana" w:hAnsi="Verdana"/>
          <w:bCs/>
          <w:color w:val="000000"/>
          <w:sz w:val="16"/>
          <w:szCs w:val="16"/>
        </w:rPr>
        <w:t xml:space="preserve"> Interamericana de Derechos Humanos</w:t>
      </w:r>
      <w:r w:rsidR="00D7171D" w:rsidRPr="0074393C">
        <w:rPr>
          <w:rFonts w:ascii="Verdana" w:hAnsi="Verdana"/>
          <w:bCs/>
          <w:color w:val="000000"/>
          <w:sz w:val="16"/>
          <w:szCs w:val="16"/>
        </w:rPr>
        <w:t xml:space="preserve"> </w:t>
      </w:r>
      <w:r w:rsidR="00D7171D" w:rsidRPr="0074393C">
        <w:rPr>
          <w:rFonts w:ascii="Verdana" w:hAnsi="Verdana"/>
          <w:sz w:val="16"/>
          <w:szCs w:val="16"/>
        </w:rPr>
        <w:t xml:space="preserve">de 3 de abril de 2009, Considerando 7, y </w:t>
      </w:r>
      <w:r w:rsidR="000C0E11" w:rsidRPr="0074393C">
        <w:rPr>
          <w:rFonts w:ascii="Verdana" w:hAnsi="Verdana"/>
          <w:i/>
          <w:sz w:val="16"/>
          <w:szCs w:val="16"/>
        </w:rPr>
        <w:t>Caso Masacres de El Mozote y lugares aledaños Vs. El Salvador. Solicitud de Medidas Provisionales y Supervisión de Cumplimiento de Sentencia</w:t>
      </w:r>
      <w:r w:rsidR="000C0E11" w:rsidRPr="0074393C">
        <w:rPr>
          <w:rFonts w:ascii="Verdana" w:hAnsi="Verdana"/>
          <w:sz w:val="16"/>
          <w:szCs w:val="16"/>
        </w:rPr>
        <w:t>. Resolución de la Corte Interamericana de Derechos Humanos de 3 de septiembre de 2019, Considerando 38.</w:t>
      </w:r>
    </w:p>
  </w:footnote>
  <w:footnote w:id="7">
    <w:p w14:paraId="25E1FD6D" w14:textId="46FB7BD0" w:rsidR="00F01BD7" w:rsidRPr="0074393C" w:rsidRDefault="00F01BD7" w:rsidP="005B6929">
      <w:pPr>
        <w:pStyle w:val="Textonotapie"/>
        <w:spacing w:before="120" w:after="120"/>
        <w:jc w:val="both"/>
        <w:rPr>
          <w:rFonts w:ascii="Verdana" w:hAnsi="Verdana"/>
          <w:sz w:val="16"/>
          <w:szCs w:val="16"/>
          <w:lang w:val="es-CR"/>
        </w:rPr>
      </w:pPr>
      <w:r w:rsidRPr="00204F6C">
        <w:rPr>
          <w:rStyle w:val="Refdenotaalpie"/>
          <w:rFonts w:ascii="Verdana" w:eastAsia="Times" w:hAnsi="Verdana"/>
          <w:sz w:val="16"/>
          <w:szCs w:val="16"/>
        </w:rPr>
        <w:footnoteRef/>
      </w:r>
      <w:r w:rsidRPr="0074393C">
        <w:rPr>
          <w:rFonts w:ascii="Verdana" w:hAnsi="Verdana"/>
          <w:sz w:val="16"/>
          <w:szCs w:val="16"/>
          <w:lang w:val="es-CR"/>
        </w:rPr>
        <w:t xml:space="preserve"> </w:t>
      </w:r>
      <w:r w:rsidRPr="0074393C">
        <w:rPr>
          <w:rFonts w:ascii="Verdana" w:hAnsi="Verdana"/>
          <w:sz w:val="16"/>
          <w:szCs w:val="16"/>
          <w:lang w:val="es-CR"/>
        </w:rPr>
        <w:tab/>
      </w:r>
      <w:r w:rsidR="00D7171D" w:rsidRPr="0074393C">
        <w:rPr>
          <w:rFonts w:ascii="Verdana" w:hAnsi="Verdana"/>
          <w:i/>
          <w:sz w:val="16"/>
          <w:szCs w:val="16"/>
        </w:rPr>
        <w:t>Cfr.</w:t>
      </w:r>
      <w:r w:rsidR="00D7171D" w:rsidRPr="0074393C">
        <w:rPr>
          <w:rFonts w:ascii="Verdana" w:hAnsi="Verdana"/>
          <w:sz w:val="16"/>
          <w:szCs w:val="16"/>
        </w:rPr>
        <w:t xml:space="preserve"> </w:t>
      </w:r>
      <w:r w:rsidR="00D7171D" w:rsidRPr="0074393C">
        <w:rPr>
          <w:rFonts w:ascii="Verdana" w:hAnsi="Verdana"/>
          <w:i/>
          <w:sz w:val="16"/>
          <w:szCs w:val="16"/>
          <w:lang w:val="es-CR"/>
        </w:rPr>
        <w:t>Asunto James y otros</w:t>
      </w:r>
      <w:r w:rsidR="0074393C" w:rsidRPr="0074393C">
        <w:rPr>
          <w:rFonts w:ascii="Verdana" w:hAnsi="Verdana"/>
          <w:sz w:val="16"/>
          <w:szCs w:val="16"/>
          <w:lang w:val="es-CR"/>
        </w:rPr>
        <w:t xml:space="preserve"> </w:t>
      </w:r>
      <w:r w:rsidR="00D7171D" w:rsidRPr="00204F6C">
        <w:rPr>
          <w:rFonts w:ascii="Verdana" w:hAnsi="Verdana"/>
          <w:i/>
          <w:sz w:val="16"/>
          <w:szCs w:val="16"/>
        </w:rPr>
        <w:t>respecto de Trinidad y Tobago</w:t>
      </w:r>
      <w:r w:rsidR="0074393C" w:rsidRPr="0074393C">
        <w:rPr>
          <w:rFonts w:ascii="Verdana" w:hAnsi="Verdana"/>
          <w:i/>
          <w:sz w:val="16"/>
          <w:szCs w:val="16"/>
          <w:lang w:val="es-CR"/>
        </w:rPr>
        <w:t>. Medidas Provisionales</w:t>
      </w:r>
      <w:r w:rsidR="00D7171D" w:rsidRPr="0074393C">
        <w:rPr>
          <w:rFonts w:ascii="Verdana" w:hAnsi="Verdana"/>
          <w:i/>
          <w:sz w:val="16"/>
          <w:szCs w:val="16"/>
          <w:lang w:val="es-CR"/>
        </w:rPr>
        <w:t xml:space="preserve">. </w:t>
      </w:r>
      <w:r w:rsidR="00D7171D" w:rsidRPr="0074393C">
        <w:rPr>
          <w:rFonts w:ascii="Verdana" w:hAnsi="Verdana"/>
          <w:sz w:val="16"/>
          <w:szCs w:val="16"/>
          <w:lang w:val="es-CR"/>
        </w:rPr>
        <w:t>R</w:t>
      </w:r>
      <w:proofErr w:type="spellStart"/>
      <w:r w:rsidR="00D7171D" w:rsidRPr="0074393C">
        <w:rPr>
          <w:rFonts w:ascii="Verdana" w:hAnsi="Verdana"/>
          <w:bCs/>
          <w:color w:val="000000"/>
          <w:sz w:val="16"/>
          <w:szCs w:val="16"/>
        </w:rPr>
        <w:t>esolución</w:t>
      </w:r>
      <w:proofErr w:type="spellEnd"/>
      <w:r w:rsidR="00D7171D" w:rsidRPr="0074393C">
        <w:rPr>
          <w:rFonts w:ascii="Verdana" w:hAnsi="Verdana"/>
          <w:bCs/>
          <w:color w:val="000000"/>
          <w:sz w:val="16"/>
          <w:szCs w:val="16"/>
        </w:rPr>
        <w:t xml:space="preserve"> de la Corte</w:t>
      </w:r>
      <w:r w:rsidR="0074393C" w:rsidRPr="0074393C">
        <w:rPr>
          <w:rFonts w:ascii="Verdana" w:hAnsi="Verdana"/>
          <w:bCs/>
          <w:color w:val="000000"/>
          <w:sz w:val="16"/>
          <w:szCs w:val="16"/>
        </w:rPr>
        <w:t xml:space="preserve"> Interamericana de Derechos Humanos</w:t>
      </w:r>
      <w:r w:rsidR="00D7171D" w:rsidRPr="0074393C">
        <w:rPr>
          <w:rFonts w:ascii="Verdana" w:hAnsi="Verdana"/>
          <w:bCs/>
          <w:color w:val="000000"/>
          <w:sz w:val="16"/>
          <w:szCs w:val="16"/>
        </w:rPr>
        <w:t xml:space="preserve"> </w:t>
      </w:r>
      <w:r w:rsidR="00D7171D" w:rsidRPr="0074393C">
        <w:rPr>
          <w:rFonts w:ascii="Verdana" w:hAnsi="Verdana"/>
          <w:sz w:val="16"/>
          <w:szCs w:val="16"/>
          <w:lang w:val="es-CR"/>
        </w:rPr>
        <w:t xml:space="preserve">de 29 de agosto de 1998, Considerando </w:t>
      </w:r>
      <w:r w:rsidR="00594BCA">
        <w:rPr>
          <w:rFonts w:ascii="Verdana" w:hAnsi="Verdana"/>
          <w:sz w:val="16"/>
          <w:szCs w:val="16"/>
          <w:lang w:val="es-CR"/>
        </w:rPr>
        <w:t>6</w:t>
      </w:r>
      <w:r w:rsidR="00D7171D" w:rsidRPr="0074393C">
        <w:rPr>
          <w:rFonts w:ascii="Verdana" w:hAnsi="Verdana"/>
          <w:sz w:val="16"/>
          <w:szCs w:val="16"/>
          <w:lang w:val="es-CR"/>
        </w:rPr>
        <w:t>, y</w:t>
      </w:r>
      <w:r w:rsidR="00D7171D" w:rsidRPr="00204F6C">
        <w:rPr>
          <w:rFonts w:ascii="Verdana" w:hAnsi="Verdana"/>
          <w:i/>
          <w:sz w:val="16"/>
          <w:szCs w:val="16"/>
          <w:lang w:val="es-CR"/>
        </w:rPr>
        <w:t xml:space="preserve"> </w:t>
      </w:r>
      <w:r w:rsidR="0074393C" w:rsidRPr="00204F6C">
        <w:rPr>
          <w:rStyle w:val="Textoennegrita"/>
          <w:rFonts w:ascii="Verdana" w:hAnsi="Verdana"/>
          <w:b w:val="0"/>
          <w:i/>
          <w:color w:val="000000"/>
          <w:sz w:val="16"/>
          <w:szCs w:val="16"/>
          <w:shd w:val="clear" w:color="auto" w:fill="FFFFFF"/>
        </w:rPr>
        <w:t xml:space="preserve">Caso Mack Chang y otros Vs. Guatemala. Medidas Provisionales. </w:t>
      </w:r>
      <w:r w:rsidR="0074393C" w:rsidRPr="00204F6C">
        <w:rPr>
          <w:rStyle w:val="Textoennegrita"/>
          <w:rFonts w:ascii="Verdana" w:hAnsi="Verdana"/>
          <w:b w:val="0"/>
          <w:color w:val="000000"/>
          <w:sz w:val="16"/>
          <w:szCs w:val="16"/>
          <w:shd w:val="clear" w:color="auto" w:fill="FFFFFF"/>
        </w:rPr>
        <w:t>Resolución de la Corte Interamericana de Derechos Humanos de 5 de marzo de 2019, Considerando 5.</w:t>
      </w:r>
    </w:p>
  </w:footnote>
  <w:footnote w:id="8">
    <w:p w14:paraId="69C4186F" w14:textId="6DC7DE08" w:rsidR="00F01BD7" w:rsidRPr="0074393C" w:rsidRDefault="00F01BD7" w:rsidP="005B6929">
      <w:pPr>
        <w:pStyle w:val="Textonotapie"/>
        <w:spacing w:before="120" w:after="120"/>
        <w:jc w:val="both"/>
        <w:rPr>
          <w:rFonts w:ascii="Verdana" w:hAnsi="Verdana"/>
          <w:sz w:val="16"/>
          <w:szCs w:val="16"/>
        </w:rPr>
      </w:pPr>
      <w:r w:rsidRPr="00204F6C">
        <w:rPr>
          <w:rStyle w:val="Refdenotaalpie"/>
          <w:rFonts w:ascii="Verdana" w:hAnsi="Verdana"/>
          <w:sz w:val="16"/>
          <w:szCs w:val="16"/>
        </w:rPr>
        <w:footnoteRef/>
      </w:r>
      <w:r w:rsidRPr="0074393C">
        <w:rPr>
          <w:rFonts w:ascii="Verdana" w:hAnsi="Verdana"/>
          <w:sz w:val="16"/>
          <w:szCs w:val="16"/>
        </w:rPr>
        <w:t xml:space="preserve"> </w:t>
      </w:r>
      <w:r w:rsidRPr="0074393C">
        <w:rPr>
          <w:rFonts w:ascii="Verdana" w:hAnsi="Verdana"/>
          <w:sz w:val="16"/>
          <w:szCs w:val="16"/>
        </w:rPr>
        <w:tab/>
      </w:r>
      <w:r w:rsidRPr="0074393C">
        <w:rPr>
          <w:rFonts w:ascii="Verdana" w:hAnsi="Verdana"/>
          <w:i/>
          <w:sz w:val="16"/>
          <w:szCs w:val="16"/>
        </w:rPr>
        <w:t xml:space="preserve">Cfr. </w:t>
      </w:r>
      <w:r w:rsidR="00D7171D" w:rsidRPr="008C55C6">
        <w:rPr>
          <w:rFonts w:ascii="Verdana" w:hAnsi="Verdana"/>
          <w:i/>
          <w:sz w:val="16"/>
          <w:szCs w:val="16"/>
        </w:rPr>
        <w:t>Asunto B</w:t>
      </w:r>
      <w:r w:rsidR="008C55C6" w:rsidRPr="00204F6C">
        <w:rPr>
          <w:rFonts w:ascii="Verdana" w:hAnsi="Verdana"/>
          <w:i/>
          <w:sz w:val="16"/>
          <w:szCs w:val="16"/>
        </w:rPr>
        <w:t xml:space="preserve"> </w:t>
      </w:r>
      <w:r w:rsidR="00D7171D" w:rsidRPr="00204F6C">
        <w:rPr>
          <w:rFonts w:ascii="Verdana" w:hAnsi="Verdana"/>
          <w:i/>
          <w:sz w:val="16"/>
          <w:szCs w:val="16"/>
        </w:rPr>
        <w:t>respecto de El Salvador.</w:t>
      </w:r>
      <w:r w:rsidR="008C55C6" w:rsidRPr="00204F6C">
        <w:rPr>
          <w:rFonts w:ascii="Verdana" w:hAnsi="Verdana"/>
          <w:i/>
          <w:sz w:val="16"/>
          <w:szCs w:val="16"/>
        </w:rPr>
        <w:t xml:space="preserve"> Medidas Provisionales</w:t>
      </w:r>
      <w:r w:rsidR="008C55C6">
        <w:rPr>
          <w:rFonts w:ascii="Verdana" w:hAnsi="Verdana"/>
          <w:sz w:val="16"/>
          <w:szCs w:val="16"/>
        </w:rPr>
        <w:t>.</w:t>
      </w:r>
      <w:r w:rsidR="00D7171D" w:rsidRPr="0074393C">
        <w:rPr>
          <w:rFonts w:ascii="Verdana" w:hAnsi="Verdana"/>
          <w:sz w:val="16"/>
          <w:szCs w:val="16"/>
        </w:rPr>
        <w:t xml:space="preserve"> Resolución de la Corte </w:t>
      </w:r>
      <w:r w:rsidR="008C55C6">
        <w:rPr>
          <w:rFonts w:ascii="Verdana" w:hAnsi="Verdana"/>
          <w:sz w:val="16"/>
          <w:szCs w:val="16"/>
        </w:rPr>
        <w:t xml:space="preserve">Interamericana de Derechos Humanos </w:t>
      </w:r>
      <w:r w:rsidR="00D7171D" w:rsidRPr="0074393C">
        <w:rPr>
          <w:rFonts w:ascii="Verdana" w:hAnsi="Verdana"/>
          <w:sz w:val="16"/>
          <w:szCs w:val="16"/>
        </w:rPr>
        <w:t>de 19 de agosto de 2013</w:t>
      </w:r>
      <w:r w:rsidR="008C55C6">
        <w:rPr>
          <w:rFonts w:ascii="Verdana" w:hAnsi="Verdana"/>
          <w:sz w:val="16"/>
          <w:szCs w:val="16"/>
        </w:rPr>
        <w:t xml:space="preserve">, </w:t>
      </w:r>
      <w:r w:rsidR="00D7171D" w:rsidRPr="0074393C">
        <w:rPr>
          <w:rFonts w:ascii="Verdana" w:hAnsi="Verdana"/>
          <w:sz w:val="16"/>
          <w:szCs w:val="16"/>
        </w:rPr>
        <w:t>Considerando 12</w:t>
      </w:r>
      <w:r w:rsidR="008C55C6">
        <w:rPr>
          <w:rFonts w:ascii="Verdana" w:hAnsi="Verdana"/>
          <w:sz w:val="16"/>
          <w:szCs w:val="16"/>
        </w:rPr>
        <w:t xml:space="preserve">, y </w:t>
      </w:r>
      <w:r w:rsidR="008C55C6" w:rsidRPr="00204F6C">
        <w:rPr>
          <w:rFonts w:ascii="Verdana" w:hAnsi="Verdana"/>
          <w:i/>
          <w:sz w:val="16"/>
          <w:szCs w:val="16"/>
        </w:rPr>
        <w:t>Caso Fernández Ortega y otros Vs. México. Medidas Provisionales</w:t>
      </w:r>
      <w:r w:rsidR="008C55C6">
        <w:rPr>
          <w:rFonts w:ascii="Verdana" w:hAnsi="Verdana"/>
          <w:sz w:val="16"/>
          <w:szCs w:val="16"/>
        </w:rPr>
        <w:t>. Resolución de la Corte Interamericana de Derechos Humanos de 13 de marzo de 2019, Considerando 14</w:t>
      </w:r>
      <w:r w:rsidR="000D2BE1">
        <w:rPr>
          <w:rFonts w:ascii="Verdana" w:hAnsi="Verdana"/>
          <w:sz w:val="16"/>
          <w:szCs w:val="16"/>
        </w:rPr>
        <w:t>.</w:t>
      </w:r>
    </w:p>
  </w:footnote>
  <w:footnote w:id="9">
    <w:p w14:paraId="02EEBC8D" w14:textId="2BD6996D" w:rsidR="005B6AF1" w:rsidRPr="0074393C" w:rsidRDefault="005B6AF1" w:rsidP="005B6929">
      <w:pPr>
        <w:pStyle w:val="Textonotapie"/>
        <w:spacing w:before="120" w:after="120"/>
        <w:jc w:val="both"/>
        <w:rPr>
          <w:rFonts w:ascii="Verdana" w:hAnsi="Verdana"/>
          <w:sz w:val="16"/>
          <w:szCs w:val="16"/>
          <w:lang w:val="es-CR"/>
        </w:rPr>
      </w:pPr>
      <w:r w:rsidRPr="0074393C">
        <w:rPr>
          <w:rStyle w:val="Refdenotaalpie"/>
          <w:rFonts w:ascii="Verdana" w:hAnsi="Verdana"/>
          <w:sz w:val="16"/>
          <w:szCs w:val="16"/>
          <w:lang w:val="es-CR"/>
        </w:rPr>
        <w:footnoteRef/>
      </w:r>
      <w:r w:rsidRPr="0074393C">
        <w:rPr>
          <w:rFonts w:ascii="Verdana" w:hAnsi="Verdana"/>
          <w:sz w:val="16"/>
          <w:szCs w:val="16"/>
          <w:lang w:val="es-CR"/>
        </w:rPr>
        <w:t xml:space="preserve"> </w:t>
      </w:r>
      <w:r w:rsidRPr="0074393C">
        <w:rPr>
          <w:rFonts w:ascii="Verdana" w:hAnsi="Verdana"/>
          <w:sz w:val="16"/>
          <w:szCs w:val="16"/>
          <w:lang w:val="es-CR"/>
        </w:rPr>
        <w:tab/>
      </w:r>
      <w:r w:rsidRPr="0074393C">
        <w:rPr>
          <w:rFonts w:ascii="Verdana" w:hAnsi="Verdana"/>
          <w:i/>
          <w:sz w:val="16"/>
          <w:szCs w:val="16"/>
          <w:lang w:val="es-CR"/>
        </w:rPr>
        <w:t>Cfr</w:t>
      </w:r>
      <w:r w:rsidRPr="0074393C">
        <w:rPr>
          <w:rFonts w:ascii="Verdana" w:hAnsi="Verdana"/>
          <w:sz w:val="16"/>
          <w:szCs w:val="16"/>
          <w:lang w:val="es-CR"/>
        </w:rPr>
        <w:t xml:space="preserve">. </w:t>
      </w:r>
      <w:r w:rsidRPr="0074393C">
        <w:rPr>
          <w:rFonts w:ascii="Verdana" w:hAnsi="Verdana"/>
          <w:i/>
          <w:sz w:val="16"/>
          <w:szCs w:val="16"/>
          <w:lang w:val="es-CR"/>
        </w:rPr>
        <w:t>Asunto de la Comunidad de Paz de San José de Apartadó respecto de Colombia</w:t>
      </w:r>
      <w:r w:rsidR="00C013C1">
        <w:rPr>
          <w:rFonts w:ascii="Verdana" w:hAnsi="Verdana"/>
          <w:i/>
          <w:sz w:val="16"/>
          <w:szCs w:val="16"/>
          <w:lang w:val="es-CR"/>
        </w:rPr>
        <w:t>. Medidas Provisionales</w:t>
      </w:r>
      <w:r w:rsidRPr="0074393C">
        <w:rPr>
          <w:rFonts w:ascii="Verdana" w:hAnsi="Verdana"/>
          <w:sz w:val="16"/>
          <w:szCs w:val="16"/>
          <w:lang w:val="es-CR"/>
        </w:rPr>
        <w:t>. Resolución de la Corte</w:t>
      </w:r>
      <w:r w:rsidR="00C013C1">
        <w:rPr>
          <w:rFonts w:ascii="Verdana" w:hAnsi="Verdana"/>
          <w:sz w:val="16"/>
          <w:szCs w:val="16"/>
          <w:lang w:val="es-CR"/>
        </w:rPr>
        <w:t xml:space="preserve"> Interamericana de Derechos Humanos</w:t>
      </w:r>
      <w:r w:rsidRPr="0074393C">
        <w:rPr>
          <w:rFonts w:ascii="Verdana" w:hAnsi="Verdana"/>
          <w:sz w:val="16"/>
          <w:szCs w:val="16"/>
          <w:lang w:val="es-CR"/>
        </w:rPr>
        <w:t xml:space="preserve"> de 18 de junio de 2002, Considerando 11</w:t>
      </w:r>
      <w:r w:rsidR="00242DFE">
        <w:rPr>
          <w:rFonts w:ascii="Verdana" w:hAnsi="Verdana"/>
          <w:sz w:val="16"/>
          <w:szCs w:val="16"/>
          <w:lang w:val="es-CR"/>
        </w:rPr>
        <w:t>,</w:t>
      </w:r>
      <w:r w:rsidRPr="0074393C">
        <w:rPr>
          <w:rFonts w:ascii="Verdana" w:hAnsi="Verdana"/>
          <w:sz w:val="16"/>
          <w:szCs w:val="16"/>
          <w:lang w:val="es-CR"/>
        </w:rPr>
        <w:t xml:space="preserve"> y </w:t>
      </w:r>
      <w:r w:rsidR="00594BCA" w:rsidRPr="00594BCA">
        <w:rPr>
          <w:rStyle w:val="Textoennegrita"/>
          <w:rFonts w:ascii="Verdana" w:hAnsi="Verdana"/>
          <w:b w:val="0"/>
          <w:i/>
          <w:color w:val="000000"/>
          <w:sz w:val="16"/>
          <w:szCs w:val="16"/>
          <w:shd w:val="clear" w:color="auto" w:fill="FFFFFF"/>
        </w:rPr>
        <w:t xml:space="preserve">Caso </w:t>
      </w:r>
      <w:proofErr w:type="spellStart"/>
      <w:r w:rsidR="00594BCA" w:rsidRPr="00594BCA">
        <w:rPr>
          <w:rStyle w:val="Textoennegrita"/>
          <w:rFonts w:ascii="Verdana" w:hAnsi="Verdana"/>
          <w:b w:val="0"/>
          <w:i/>
          <w:color w:val="000000"/>
          <w:sz w:val="16"/>
          <w:szCs w:val="16"/>
          <w:shd w:val="clear" w:color="auto" w:fill="FFFFFF"/>
        </w:rPr>
        <w:t>Coc</w:t>
      </w:r>
      <w:proofErr w:type="spellEnd"/>
      <w:r w:rsidR="00594BCA" w:rsidRPr="00594BCA">
        <w:rPr>
          <w:rStyle w:val="Textoennegrita"/>
          <w:rFonts w:ascii="Verdana" w:hAnsi="Verdana"/>
          <w:b w:val="0"/>
          <w:i/>
          <w:color w:val="000000"/>
          <w:sz w:val="16"/>
          <w:szCs w:val="16"/>
          <w:shd w:val="clear" w:color="auto" w:fill="FFFFFF"/>
        </w:rPr>
        <w:t xml:space="preserve"> Max y otros (Masacre de </w:t>
      </w:r>
      <w:proofErr w:type="spellStart"/>
      <w:r w:rsidR="00594BCA" w:rsidRPr="00594BCA">
        <w:rPr>
          <w:rStyle w:val="Textoennegrita"/>
          <w:rFonts w:ascii="Verdana" w:hAnsi="Verdana"/>
          <w:b w:val="0"/>
          <w:i/>
          <w:color w:val="000000"/>
          <w:sz w:val="16"/>
          <w:szCs w:val="16"/>
          <w:shd w:val="clear" w:color="auto" w:fill="FFFFFF"/>
        </w:rPr>
        <w:t>Xamán</w:t>
      </w:r>
      <w:proofErr w:type="spellEnd"/>
      <w:r w:rsidR="00594BCA" w:rsidRPr="00594BCA">
        <w:rPr>
          <w:rStyle w:val="Textoennegrita"/>
          <w:rFonts w:ascii="Verdana" w:hAnsi="Verdana"/>
          <w:b w:val="0"/>
          <w:i/>
          <w:color w:val="000000"/>
          <w:sz w:val="16"/>
          <w:szCs w:val="16"/>
          <w:shd w:val="clear" w:color="auto" w:fill="FFFFFF"/>
        </w:rPr>
        <w:t>) Vs. Guatemala. Medidas Provisionales.</w:t>
      </w:r>
      <w:r w:rsidR="00594BCA" w:rsidRPr="00594BCA">
        <w:rPr>
          <w:rStyle w:val="Textoennegrita"/>
          <w:rFonts w:ascii="Verdana" w:hAnsi="Verdana"/>
          <w:b w:val="0"/>
          <w:color w:val="000000"/>
          <w:sz w:val="16"/>
          <w:szCs w:val="16"/>
          <w:shd w:val="clear" w:color="auto" w:fill="FFFFFF"/>
        </w:rPr>
        <w:t xml:space="preserve"> Resolución de la Corte Interamericana de Derechos Humanos de 6 de febrero de 2019</w:t>
      </w:r>
      <w:r w:rsidRPr="0074393C">
        <w:rPr>
          <w:rFonts w:ascii="Verdana" w:hAnsi="Verdana"/>
          <w:sz w:val="16"/>
          <w:szCs w:val="16"/>
          <w:lang w:val="es-CR"/>
        </w:rPr>
        <w:t xml:space="preserve">, Considerando </w:t>
      </w:r>
      <w:r w:rsidR="00594BCA">
        <w:rPr>
          <w:rFonts w:ascii="Verdana" w:hAnsi="Verdana"/>
          <w:sz w:val="16"/>
          <w:szCs w:val="16"/>
          <w:lang w:val="es-CR"/>
        </w:rPr>
        <w:t>18</w:t>
      </w:r>
      <w:r w:rsidRPr="0074393C">
        <w:rPr>
          <w:rFonts w:ascii="Verdana" w:hAnsi="Verdana"/>
          <w:sz w:val="16"/>
          <w:szCs w:val="16"/>
          <w:lang w:val="es-CR"/>
        </w:rPr>
        <w:t>.</w:t>
      </w:r>
    </w:p>
  </w:footnote>
  <w:footnote w:id="10">
    <w:p w14:paraId="1BC4135D" w14:textId="2690AC5A" w:rsidR="005B6AF1" w:rsidRPr="0074393C" w:rsidRDefault="005B6AF1" w:rsidP="005B6929">
      <w:pPr>
        <w:pStyle w:val="Textonotapie"/>
        <w:spacing w:before="120" w:after="120"/>
        <w:jc w:val="both"/>
        <w:rPr>
          <w:rFonts w:ascii="Verdana" w:hAnsi="Verdana"/>
          <w:sz w:val="16"/>
          <w:szCs w:val="16"/>
          <w:lang w:val="es-CR"/>
        </w:rPr>
      </w:pPr>
      <w:r w:rsidRPr="0074393C">
        <w:rPr>
          <w:rStyle w:val="Refdenotaalpie"/>
          <w:rFonts w:ascii="Verdana" w:hAnsi="Verdana"/>
          <w:sz w:val="16"/>
          <w:szCs w:val="16"/>
          <w:lang w:val="es-CR"/>
        </w:rPr>
        <w:footnoteRef/>
      </w:r>
      <w:r w:rsidRPr="0074393C">
        <w:rPr>
          <w:rFonts w:ascii="Verdana" w:hAnsi="Verdana"/>
          <w:sz w:val="16"/>
          <w:szCs w:val="16"/>
          <w:lang w:val="es-CR"/>
        </w:rPr>
        <w:t xml:space="preserve"> </w:t>
      </w:r>
      <w:r w:rsidRPr="0074393C">
        <w:rPr>
          <w:rFonts w:ascii="Verdana" w:hAnsi="Verdana"/>
          <w:sz w:val="16"/>
          <w:szCs w:val="16"/>
          <w:lang w:val="es-CR"/>
        </w:rPr>
        <w:tab/>
      </w:r>
      <w:r w:rsidRPr="0074393C">
        <w:rPr>
          <w:rFonts w:ascii="Verdana" w:hAnsi="Verdana"/>
          <w:i/>
          <w:sz w:val="16"/>
          <w:szCs w:val="16"/>
          <w:lang w:val="es-CR"/>
        </w:rPr>
        <w:t>Cfr. Caso Ávila Moreno y otros (Caso Operación Génesis)</w:t>
      </w:r>
      <w:r w:rsidR="00242DFE">
        <w:rPr>
          <w:rFonts w:ascii="Verdana" w:hAnsi="Verdana"/>
          <w:i/>
          <w:sz w:val="16"/>
          <w:szCs w:val="16"/>
          <w:lang w:val="es-CR"/>
        </w:rPr>
        <w:t xml:space="preserve"> </w:t>
      </w:r>
      <w:r w:rsidRPr="0074393C">
        <w:rPr>
          <w:rFonts w:ascii="Verdana" w:hAnsi="Verdana"/>
          <w:i/>
          <w:sz w:val="16"/>
          <w:szCs w:val="16"/>
          <w:lang w:val="es-CR"/>
        </w:rPr>
        <w:t>respecto de Colombia</w:t>
      </w:r>
      <w:r w:rsidR="00242DFE">
        <w:rPr>
          <w:rFonts w:ascii="Verdana" w:hAnsi="Verdana"/>
          <w:i/>
          <w:sz w:val="16"/>
          <w:szCs w:val="16"/>
          <w:lang w:val="es-CR"/>
        </w:rPr>
        <w:t>. Medidas Provisionales</w:t>
      </w:r>
      <w:r w:rsidRPr="0074393C">
        <w:rPr>
          <w:rFonts w:ascii="Verdana" w:hAnsi="Verdana"/>
          <w:sz w:val="16"/>
          <w:szCs w:val="16"/>
          <w:lang w:val="es-CR"/>
        </w:rPr>
        <w:t xml:space="preserve">. Resolución de la Corte </w:t>
      </w:r>
      <w:r w:rsidR="00242DFE">
        <w:rPr>
          <w:rFonts w:ascii="Verdana" w:hAnsi="Verdana"/>
          <w:sz w:val="16"/>
          <w:szCs w:val="16"/>
          <w:lang w:val="es-CR"/>
        </w:rPr>
        <w:t xml:space="preserve">Interamericana de Derechos Humanos </w:t>
      </w:r>
      <w:r w:rsidRPr="0074393C">
        <w:rPr>
          <w:rFonts w:ascii="Verdana" w:hAnsi="Verdana"/>
          <w:sz w:val="16"/>
          <w:szCs w:val="16"/>
          <w:lang w:val="es-CR"/>
        </w:rPr>
        <w:t>de 30 de mayo de 2013, Considerando 23</w:t>
      </w:r>
      <w:r w:rsidR="00F50BEB">
        <w:rPr>
          <w:rFonts w:ascii="Verdana" w:hAnsi="Verdana"/>
          <w:sz w:val="16"/>
          <w:szCs w:val="16"/>
          <w:lang w:val="es-C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CDAE" w14:textId="77777777" w:rsidR="00BE4E26" w:rsidRDefault="00BE4E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84F93" w14:textId="77777777" w:rsidR="00BE4E26" w:rsidRDefault="00BE4E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2EE2" w14:textId="77777777" w:rsidR="00BE4E26" w:rsidRPr="00B6639D" w:rsidRDefault="00BE4E26" w:rsidP="00BE4E26">
    <w:pPr>
      <w:pStyle w:val="Encabezado"/>
      <w:framePr w:wrap="around" w:vAnchor="text" w:hAnchor="page" w:x="6022" w:y="-14"/>
      <w:rPr>
        <w:rStyle w:val="Nmerodepgina"/>
        <w:rFonts w:ascii="Verdana" w:hAnsi="Verdana"/>
        <w:sz w:val="20"/>
      </w:rPr>
    </w:pPr>
    <w:r w:rsidRPr="00B6639D">
      <w:rPr>
        <w:rStyle w:val="Nmerodepgina"/>
        <w:rFonts w:ascii="Verdana" w:hAnsi="Verdana"/>
        <w:sz w:val="20"/>
      </w:rPr>
      <w:t>-</w:t>
    </w:r>
    <w:r w:rsidRPr="00B6639D">
      <w:rPr>
        <w:rStyle w:val="Nmerodepgina"/>
        <w:sz w:val="20"/>
      </w:rPr>
      <w:fldChar w:fldCharType="begin"/>
    </w:r>
    <w:r w:rsidRPr="00B6639D">
      <w:rPr>
        <w:rStyle w:val="Nmerodepgina"/>
        <w:rFonts w:ascii="Verdana" w:hAnsi="Verdana"/>
        <w:sz w:val="20"/>
      </w:rPr>
      <w:instrText xml:space="preserve">PAGE  </w:instrText>
    </w:r>
    <w:r w:rsidRPr="00B6639D">
      <w:rPr>
        <w:rStyle w:val="Nmerodepgina"/>
        <w:sz w:val="20"/>
      </w:rPr>
      <w:fldChar w:fldCharType="separate"/>
    </w:r>
    <w:r w:rsidR="007502A9">
      <w:rPr>
        <w:rStyle w:val="Nmerodepgina"/>
        <w:rFonts w:ascii="Verdana" w:hAnsi="Verdana"/>
        <w:noProof/>
        <w:sz w:val="20"/>
      </w:rPr>
      <w:t>2</w:t>
    </w:r>
    <w:r w:rsidRPr="00B6639D">
      <w:rPr>
        <w:rStyle w:val="Nmerodepgina"/>
        <w:sz w:val="20"/>
      </w:rPr>
      <w:fldChar w:fldCharType="end"/>
    </w:r>
    <w:r w:rsidRPr="00B6639D">
      <w:rPr>
        <w:rStyle w:val="Nmerodepgina"/>
        <w:rFonts w:ascii="Verdana" w:hAnsi="Verdana"/>
        <w:sz w:val="20"/>
      </w:rPr>
      <w:t>-</w:t>
    </w:r>
  </w:p>
  <w:p w14:paraId="0CFA6507" w14:textId="77777777" w:rsidR="00BE4E26" w:rsidRDefault="00BE4E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338"/>
    <w:multiLevelType w:val="hybridMultilevel"/>
    <w:tmpl w:val="A3E876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7013B4"/>
    <w:multiLevelType w:val="hybridMultilevel"/>
    <w:tmpl w:val="2F38F1B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414407"/>
    <w:multiLevelType w:val="hybridMultilevel"/>
    <w:tmpl w:val="E54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2E43ED"/>
    <w:multiLevelType w:val="hybridMultilevel"/>
    <w:tmpl w:val="0EFA13F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0B5D1D58"/>
    <w:multiLevelType w:val="hybridMultilevel"/>
    <w:tmpl w:val="5C8003F6"/>
    <w:lvl w:ilvl="0" w:tplc="C78830F4">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F4540C"/>
    <w:multiLevelType w:val="hybridMultilevel"/>
    <w:tmpl w:val="8364098A"/>
    <w:lvl w:ilvl="0" w:tplc="3F22692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34D6A7A"/>
    <w:multiLevelType w:val="hybridMultilevel"/>
    <w:tmpl w:val="90FEF2E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537700F"/>
    <w:multiLevelType w:val="hybridMultilevel"/>
    <w:tmpl w:val="0A744868"/>
    <w:lvl w:ilvl="0" w:tplc="D83CF144">
      <w:start w:val="1"/>
      <w:numFmt w:val="bullet"/>
      <w:lvlText w:val=""/>
      <w:lvlJc w:val="left"/>
      <w:pPr>
        <w:tabs>
          <w:tab w:val="num" w:pos="720"/>
        </w:tabs>
        <w:ind w:left="720" w:hanging="360"/>
      </w:pPr>
      <w:rPr>
        <w:rFonts w:ascii="Symbol" w:hAnsi="Symbol" w:hint="default"/>
        <w:lang w:val="es-ES"/>
      </w:rPr>
    </w:lvl>
    <w:lvl w:ilvl="1" w:tplc="0C0A0001">
      <w:start w:val="1"/>
      <w:numFmt w:val="bullet"/>
      <w:lvlText w:val=""/>
      <w:lvlJc w:val="left"/>
      <w:pPr>
        <w:tabs>
          <w:tab w:val="num" w:pos="1440"/>
        </w:tabs>
        <w:ind w:left="1440" w:hanging="360"/>
      </w:pPr>
      <w:rPr>
        <w:rFonts w:ascii="Symbol" w:hAnsi="Symbol" w:hint="default"/>
      </w:rPr>
    </w:lvl>
    <w:lvl w:ilvl="2" w:tplc="B3DEC98C">
      <w:start w:val="1"/>
      <w:numFmt w:val="decimal"/>
      <w:lvlText w:val="%3."/>
      <w:lvlJc w:val="left"/>
      <w:pPr>
        <w:ind w:left="2700" w:hanging="720"/>
      </w:pPr>
      <w:rPr>
        <w:lang w:val="es-ES_tradnl"/>
      </w:rPr>
    </w:lvl>
    <w:lvl w:ilvl="3" w:tplc="951E301E">
      <w:start w:val="2"/>
      <w:numFmt w:val="decimal"/>
      <w:lvlText w:val="%4"/>
      <w:lvlJc w:val="left"/>
      <w:pPr>
        <w:ind w:left="2880" w:hanging="360"/>
      </w:pPr>
    </w:lvl>
    <w:lvl w:ilvl="4" w:tplc="3F728AB4">
      <w:start w:val="1"/>
      <w:numFmt w:val="upperLetter"/>
      <w:lvlText w:val="%5."/>
      <w:lvlJc w:val="left"/>
      <w:pPr>
        <w:ind w:left="3600" w:hanging="360"/>
      </w:pPr>
    </w:lvl>
    <w:lvl w:ilvl="5" w:tplc="19AE7D9E">
      <w:start w:val="1"/>
      <w:numFmt w:val="lowerRoman"/>
      <w:lvlText w:val="%6)"/>
      <w:lvlJc w:val="left"/>
      <w:pPr>
        <w:ind w:left="4860" w:hanging="72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E4C4934"/>
    <w:multiLevelType w:val="hybridMultilevel"/>
    <w:tmpl w:val="66402418"/>
    <w:lvl w:ilvl="0" w:tplc="3580CA10">
      <w:start w:val="1"/>
      <w:numFmt w:val="decimal"/>
      <w:lvlText w:val="%1."/>
      <w:lvlJc w:val="left"/>
      <w:pPr>
        <w:ind w:left="1065" w:hanging="705"/>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E4C21"/>
    <w:multiLevelType w:val="hybridMultilevel"/>
    <w:tmpl w:val="903CD64A"/>
    <w:lvl w:ilvl="0" w:tplc="1FE63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662EC"/>
    <w:multiLevelType w:val="hybridMultilevel"/>
    <w:tmpl w:val="5C8003F6"/>
    <w:lvl w:ilvl="0" w:tplc="C78830F4">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7E07DBB"/>
    <w:multiLevelType w:val="hybridMultilevel"/>
    <w:tmpl w:val="328EFE12"/>
    <w:lvl w:ilvl="0" w:tplc="996EB5C0">
      <w:start w:val="1"/>
      <w:numFmt w:val="decimal"/>
      <w:lvlText w:val="%1."/>
      <w:lvlJc w:val="left"/>
      <w:pPr>
        <w:ind w:left="72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F0876D0"/>
    <w:multiLevelType w:val="hybridMultilevel"/>
    <w:tmpl w:val="86FE48A0"/>
    <w:lvl w:ilvl="0" w:tplc="A648AAF2">
      <w:start w:val="1"/>
      <w:numFmt w:val="low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15:restartNumberingAfterBreak="0">
    <w:nsid w:val="6CCE5DA1"/>
    <w:multiLevelType w:val="hybridMultilevel"/>
    <w:tmpl w:val="7CD44E10"/>
    <w:lvl w:ilvl="0" w:tplc="D7903138">
      <w:start w:val="1"/>
      <w:numFmt w:val="upperLetter"/>
      <w:lvlText w:val="%1)"/>
      <w:lvlJc w:val="left"/>
      <w:pPr>
        <w:ind w:left="1065" w:hanging="36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14" w15:restartNumberingAfterBreak="0">
    <w:nsid w:val="744010E1"/>
    <w:multiLevelType w:val="hybridMultilevel"/>
    <w:tmpl w:val="D4DA6042"/>
    <w:lvl w:ilvl="0" w:tplc="F172E020">
      <w:start w:val="1"/>
      <w:numFmt w:val="decimal"/>
      <w:lvlText w:val="%1."/>
      <w:lvlJc w:val="left"/>
      <w:pPr>
        <w:tabs>
          <w:tab w:val="num" w:pos="360"/>
        </w:tabs>
        <w:ind w:left="360" w:hanging="360"/>
      </w:pPr>
      <w:rPr>
        <w:rFonts w:ascii="Verdana" w:hAnsi="Verdana" w:hint="default"/>
        <w:b w:val="0"/>
        <w:sz w:val="20"/>
      </w:rPr>
    </w:lvl>
    <w:lvl w:ilvl="1" w:tplc="0409000F">
      <w:start w:val="1"/>
      <w:numFmt w:val="decimal"/>
      <w:lvlText w:val="%2."/>
      <w:lvlJc w:val="left"/>
      <w:pPr>
        <w:tabs>
          <w:tab w:val="num" w:pos="1440"/>
        </w:tabs>
        <w:ind w:left="1440" w:hanging="360"/>
      </w:pPr>
      <w:rPr>
        <w:rFonts w:hint="default"/>
        <w:b w:val="0"/>
      </w:rPr>
    </w:lvl>
    <w:lvl w:ilvl="2" w:tplc="1C68202E">
      <w:start w:val="1"/>
      <w:numFmt w:val="lowerLetter"/>
      <w:lvlText w:val="%3."/>
      <w:lvlJc w:val="left"/>
      <w:pPr>
        <w:tabs>
          <w:tab w:val="num" w:pos="2340"/>
        </w:tabs>
        <w:ind w:left="2340" w:hanging="360"/>
      </w:pPr>
      <w:rPr>
        <w:rFonts w:ascii="Verdana" w:eastAsia="Calibri" w:hAnsi="Verdana" w:cs="Times New Roman"/>
      </w:rPr>
    </w:lvl>
    <w:lvl w:ilvl="3" w:tplc="A9E0C762">
      <w:start w:val="1"/>
      <w:numFmt w:val="lowerLetter"/>
      <w:lvlText w:val="%4)"/>
      <w:lvlJc w:val="left"/>
      <w:pPr>
        <w:tabs>
          <w:tab w:val="num" w:pos="1440"/>
        </w:tabs>
        <w:ind w:left="144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354707"/>
    <w:multiLevelType w:val="hybridMultilevel"/>
    <w:tmpl w:val="B90EDDB8"/>
    <w:lvl w:ilvl="0" w:tplc="985C757E">
      <w:start w:val="1"/>
      <w:numFmt w:val="decimal"/>
      <w:lvlText w:val="%1."/>
      <w:lvlJc w:val="left"/>
      <w:pPr>
        <w:ind w:left="1109" w:hanging="825"/>
      </w:pPr>
      <w:rPr>
        <w:rFonts w:ascii="Verdana" w:eastAsia="Verdana" w:hAnsi="Verdana" w:cs="Verdana" w:hint="default"/>
        <w:b w:val="0"/>
        <w:i w:val="0"/>
        <w:color w:val="auto"/>
        <w:sz w:val="20"/>
        <w:szCs w:val="20"/>
        <w:lang w:val="es-ES"/>
      </w:rPr>
    </w:lvl>
    <w:lvl w:ilvl="1" w:tplc="140A0019">
      <w:start w:val="1"/>
      <w:numFmt w:val="lowerLetter"/>
      <w:lvlText w:val="%2."/>
      <w:lvlJc w:val="left"/>
      <w:pPr>
        <w:ind w:left="1724" w:hanging="360"/>
      </w:pPr>
    </w:lvl>
    <w:lvl w:ilvl="2" w:tplc="140A001B">
      <w:start w:val="1"/>
      <w:numFmt w:val="lowerRoman"/>
      <w:lvlText w:val="%3."/>
      <w:lvlJc w:val="right"/>
      <w:pPr>
        <w:ind w:left="2444" w:hanging="180"/>
      </w:pPr>
    </w:lvl>
    <w:lvl w:ilvl="3" w:tplc="140A000F">
      <w:start w:val="1"/>
      <w:numFmt w:val="decimal"/>
      <w:lvlText w:val="%4."/>
      <w:lvlJc w:val="left"/>
      <w:pPr>
        <w:ind w:left="3164" w:hanging="360"/>
      </w:pPr>
    </w:lvl>
    <w:lvl w:ilvl="4" w:tplc="140A0019">
      <w:start w:val="1"/>
      <w:numFmt w:val="lowerLetter"/>
      <w:lvlText w:val="%5."/>
      <w:lvlJc w:val="left"/>
      <w:pPr>
        <w:ind w:left="3884" w:hanging="360"/>
      </w:pPr>
    </w:lvl>
    <w:lvl w:ilvl="5" w:tplc="140A001B">
      <w:start w:val="1"/>
      <w:numFmt w:val="lowerRoman"/>
      <w:lvlText w:val="%6."/>
      <w:lvlJc w:val="right"/>
      <w:pPr>
        <w:ind w:left="4604" w:hanging="180"/>
      </w:pPr>
    </w:lvl>
    <w:lvl w:ilvl="6" w:tplc="140A000F">
      <w:start w:val="1"/>
      <w:numFmt w:val="decimal"/>
      <w:lvlText w:val="%7."/>
      <w:lvlJc w:val="left"/>
      <w:pPr>
        <w:ind w:left="5324" w:hanging="360"/>
      </w:pPr>
    </w:lvl>
    <w:lvl w:ilvl="7" w:tplc="140A0019">
      <w:start w:val="1"/>
      <w:numFmt w:val="lowerLetter"/>
      <w:lvlText w:val="%8."/>
      <w:lvlJc w:val="left"/>
      <w:pPr>
        <w:ind w:left="6044" w:hanging="360"/>
      </w:pPr>
    </w:lvl>
    <w:lvl w:ilvl="8" w:tplc="140A001B">
      <w:start w:val="1"/>
      <w:numFmt w:val="lowerRoman"/>
      <w:lvlText w:val="%9."/>
      <w:lvlJc w:val="right"/>
      <w:pPr>
        <w:ind w:left="6764" w:hanging="180"/>
      </w:pPr>
    </w:lvl>
  </w:abstractNum>
  <w:abstractNum w:abstractNumId="16" w15:restartNumberingAfterBreak="0">
    <w:nsid w:val="7E8E6586"/>
    <w:multiLevelType w:val="hybridMultilevel"/>
    <w:tmpl w:val="1EE8EA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EE853F5"/>
    <w:multiLevelType w:val="hybridMultilevel"/>
    <w:tmpl w:val="52B2E3C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4"/>
  </w:num>
  <w:num w:numId="2">
    <w:abstractNumId w:val="8"/>
  </w:num>
  <w:num w:numId="3">
    <w:abstractNumId w:val="16"/>
  </w:num>
  <w:num w:numId="4">
    <w:abstractNumId w:val="1"/>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4"/>
  </w:num>
  <w:num w:numId="12">
    <w:abstractNumId w:val="10"/>
  </w:num>
  <w:num w:numId="13">
    <w:abstractNumId w:val="9"/>
  </w:num>
  <w:num w:numId="14">
    <w:abstractNumId w:val="7"/>
    <w:lvlOverride w:ilvl="0"/>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3"/>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R"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PR" w:vendorID="64" w:dllVersion="6" w:nlCheck="1" w:checkStyle="1"/>
  <w:activeWritingStyle w:appName="MSWord" w:lang="es-CL" w:vendorID="64" w:dllVersion="6" w:nlCheck="1" w:checkStyle="1"/>
  <w:activeWritingStyle w:appName="MSWord" w:lang="es-DO" w:vendorID="64" w:dllVersion="6" w:nlCheck="1" w:checkStyle="1"/>
  <w:activeWritingStyle w:appName="MSWord" w:lang="es-PE"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CR" w:vendorID="64" w:dllVersion="4096" w:nlCheck="1" w:checkStyle="0"/>
  <w:activeWritingStyle w:appName="MSWord" w:lang="es-CO" w:vendorID="64" w:dllVersion="4096" w:nlCheck="1" w:checkStyle="0"/>
  <w:activeWritingStyle w:appName="MSWord" w:lang="es-P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DO"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8F"/>
    <w:rsid w:val="00004CB7"/>
    <w:rsid w:val="000312D2"/>
    <w:rsid w:val="0008089D"/>
    <w:rsid w:val="00083816"/>
    <w:rsid w:val="00090893"/>
    <w:rsid w:val="00097C2D"/>
    <w:rsid w:val="000C0E11"/>
    <w:rsid w:val="000D2BE1"/>
    <w:rsid w:val="000D6257"/>
    <w:rsid w:val="000F4D11"/>
    <w:rsid w:val="0010235A"/>
    <w:rsid w:val="00105590"/>
    <w:rsid w:val="00106FFF"/>
    <w:rsid w:val="00133B9E"/>
    <w:rsid w:val="001643F8"/>
    <w:rsid w:val="00167506"/>
    <w:rsid w:val="001D168C"/>
    <w:rsid w:val="001E36B3"/>
    <w:rsid w:val="001F0300"/>
    <w:rsid w:val="001F3BE2"/>
    <w:rsid w:val="001F5959"/>
    <w:rsid w:val="00204F6C"/>
    <w:rsid w:val="0022636F"/>
    <w:rsid w:val="00242DFE"/>
    <w:rsid w:val="002434B3"/>
    <w:rsid w:val="00261DD2"/>
    <w:rsid w:val="00280741"/>
    <w:rsid w:val="002B2A2E"/>
    <w:rsid w:val="002B6B84"/>
    <w:rsid w:val="002C621E"/>
    <w:rsid w:val="002D010A"/>
    <w:rsid w:val="002E046B"/>
    <w:rsid w:val="002E0FC5"/>
    <w:rsid w:val="002E4F42"/>
    <w:rsid w:val="00302F88"/>
    <w:rsid w:val="003104A4"/>
    <w:rsid w:val="003106FB"/>
    <w:rsid w:val="003211F9"/>
    <w:rsid w:val="00336B0B"/>
    <w:rsid w:val="003530C3"/>
    <w:rsid w:val="00362312"/>
    <w:rsid w:val="00364E6F"/>
    <w:rsid w:val="003B6B29"/>
    <w:rsid w:val="003C21EA"/>
    <w:rsid w:val="003D08B0"/>
    <w:rsid w:val="003D32D1"/>
    <w:rsid w:val="003E63EF"/>
    <w:rsid w:val="003F233E"/>
    <w:rsid w:val="00404991"/>
    <w:rsid w:val="00407382"/>
    <w:rsid w:val="00416D71"/>
    <w:rsid w:val="00440BFA"/>
    <w:rsid w:val="00451E94"/>
    <w:rsid w:val="00452D39"/>
    <w:rsid w:val="004937ED"/>
    <w:rsid w:val="0049665F"/>
    <w:rsid w:val="004B29F4"/>
    <w:rsid w:val="004B7805"/>
    <w:rsid w:val="004C0237"/>
    <w:rsid w:val="005212B8"/>
    <w:rsid w:val="005571FB"/>
    <w:rsid w:val="00557EC0"/>
    <w:rsid w:val="00561DCD"/>
    <w:rsid w:val="00567C52"/>
    <w:rsid w:val="005704D0"/>
    <w:rsid w:val="00573FB4"/>
    <w:rsid w:val="00594BCA"/>
    <w:rsid w:val="005B103A"/>
    <w:rsid w:val="005B3185"/>
    <w:rsid w:val="005B536B"/>
    <w:rsid w:val="005B6929"/>
    <w:rsid w:val="005B6AF1"/>
    <w:rsid w:val="005C6CCA"/>
    <w:rsid w:val="005E1776"/>
    <w:rsid w:val="00606A32"/>
    <w:rsid w:val="00613FE7"/>
    <w:rsid w:val="00636DE4"/>
    <w:rsid w:val="00642903"/>
    <w:rsid w:val="006600AE"/>
    <w:rsid w:val="0066178A"/>
    <w:rsid w:val="00681099"/>
    <w:rsid w:val="00697E07"/>
    <w:rsid w:val="006B15BE"/>
    <w:rsid w:val="006F6AC5"/>
    <w:rsid w:val="00704150"/>
    <w:rsid w:val="00716375"/>
    <w:rsid w:val="0072225F"/>
    <w:rsid w:val="00730C7D"/>
    <w:rsid w:val="0073440E"/>
    <w:rsid w:val="0074393C"/>
    <w:rsid w:val="007453F1"/>
    <w:rsid w:val="007502A9"/>
    <w:rsid w:val="0075037B"/>
    <w:rsid w:val="0075135D"/>
    <w:rsid w:val="0076062C"/>
    <w:rsid w:val="00760C63"/>
    <w:rsid w:val="00761A34"/>
    <w:rsid w:val="00775283"/>
    <w:rsid w:val="00791CCA"/>
    <w:rsid w:val="00793BA0"/>
    <w:rsid w:val="007D66A1"/>
    <w:rsid w:val="007E29A2"/>
    <w:rsid w:val="007E3432"/>
    <w:rsid w:val="00807B28"/>
    <w:rsid w:val="00812DF9"/>
    <w:rsid w:val="00813BDE"/>
    <w:rsid w:val="00826019"/>
    <w:rsid w:val="008319D3"/>
    <w:rsid w:val="00845E3A"/>
    <w:rsid w:val="00851BAC"/>
    <w:rsid w:val="0086569D"/>
    <w:rsid w:val="00872E2F"/>
    <w:rsid w:val="00872F7A"/>
    <w:rsid w:val="00875FFD"/>
    <w:rsid w:val="00882C22"/>
    <w:rsid w:val="00892AAF"/>
    <w:rsid w:val="00895662"/>
    <w:rsid w:val="008A278E"/>
    <w:rsid w:val="008A2A32"/>
    <w:rsid w:val="008B269F"/>
    <w:rsid w:val="008C255F"/>
    <w:rsid w:val="008C55C6"/>
    <w:rsid w:val="008E2965"/>
    <w:rsid w:val="008E32BB"/>
    <w:rsid w:val="008E4404"/>
    <w:rsid w:val="00913CAB"/>
    <w:rsid w:val="00927F6F"/>
    <w:rsid w:val="00966A23"/>
    <w:rsid w:val="0097028F"/>
    <w:rsid w:val="009A2CB8"/>
    <w:rsid w:val="009E0F8F"/>
    <w:rsid w:val="009F1651"/>
    <w:rsid w:val="00A055B2"/>
    <w:rsid w:val="00A13563"/>
    <w:rsid w:val="00A16EF5"/>
    <w:rsid w:val="00A23EBA"/>
    <w:rsid w:val="00A35F1C"/>
    <w:rsid w:val="00A421E9"/>
    <w:rsid w:val="00A54B37"/>
    <w:rsid w:val="00A6269D"/>
    <w:rsid w:val="00A708C4"/>
    <w:rsid w:val="00A9103A"/>
    <w:rsid w:val="00A95C72"/>
    <w:rsid w:val="00AA549A"/>
    <w:rsid w:val="00AA6032"/>
    <w:rsid w:val="00AA7F13"/>
    <w:rsid w:val="00AC6F2D"/>
    <w:rsid w:val="00AC77BD"/>
    <w:rsid w:val="00AD0B5F"/>
    <w:rsid w:val="00AD2E44"/>
    <w:rsid w:val="00AE343E"/>
    <w:rsid w:val="00AF5469"/>
    <w:rsid w:val="00B30BAC"/>
    <w:rsid w:val="00B36401"/>
    <w:rsid w:val="00B44CF2"/>
    <w:rsid w:val="00B50A58"/>
    <w:rsid w:val="00B55E3E"/>
    <w:rsid w:val="00B606CC"/>
    <w:rsid w:val="00B65E18"/>
    <w:rsid w:val="00BC17CC"/>
    <w:rsid w:val="00BD439D"/>
    <w:rsid w:val="00BD5B1E"/>
    <w:rsid w:val="00BE0562"/>
    <w:rsid w:val="00BE4E26"/>
    <w:rsid w:val="00C013C1"/>
    <w:rsid w:val="00C0179B"/>
    <w:rsid w:val="00C60E7D"/>
    <w:rsid w:val="00C74844"/>
    <w:rsid w:val="00C77551"/>
    <w:rsid w:val="00CE2F11"/>
    <w:rsid w:val="00CE4E4D"/>
    <w:rsid w:val="00CE59C1"/>
    <w:rsid w:val="00D01D90"/>
    <w:rsid w:val="00D354F7"/>
    <w:rsid w:val="00D462CB"/>
    <w:rsid w:val="00D6129F"/>
    <w:rsid w:val="00D7171D"/>
    <w:rsid w:val="00D73C17"/>
    <w:rsid w:val="00D96F88"/>
    <w:rsid w:val="00DC3843"/>
    <w:rsid w:val="00DC6555"/>
    <w:rsid w:val="00E01489"/>
    <w:rsid w:val="00E22E23"/>
    <w:rsid w:val="00E26661"/>
    <w:rsid w:val="00E37ED6"/>
    <w:rsid w:val="00E50000"/>
    <w:rsid w:val="00E7357B"/>
    <w:rsid w:val="00E841FA"/>
    <w:rsid w:val="00E90E34"/>
    <w:rsid w:val="00EB2C43"/>
    <w:rsid w:val="00F01BD7"/>
    <w:rsid w:val="00F0281E"/>
    <w:rsid w:val="00F35657"/>
    <w:rsid w:val="00F36CB5"/>
    <w:rsid w:val="00F47153"/>
    <w:rsid w:val="00F50BEB"/>
    <w:rsid w:val="00F53EFD"/>
    <w:rsid w:val="00F54ADF"/>
    <w:rsid w:val="00F605C6"/>
    <w:rsid w:val="00FA3D47"/>
    <w:rsid w:val="00FB457F"/>
    <w:rsid w:val="00FF0B7F"/>
    <w:rsid w:val="00FF109A"/>
    <w:rsid w:val="00FF126E"/>
    <w:rsid w:val="00FF37A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F15A"/>
  <w15:docId w15:val="{43975161-A34B-4BCA-89ED-44EEC2BD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8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7028F"/>
    <w:pPr>
      <w:keepNext/>
      <w:jc w:val="center"/>
      <w:outlineLvl w:val="0"/>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028F"/>
    <w:rPr>
      <w:rFonts w:ascii="Verdana" w:eastAsia="Times New Roman" w:hAnsi="Verdana" w:cs="Times New Roman"/>
      <w:b/>
      <w:bCs/>
      <w:sz w:val="20"/>
      <w:szCs w:val="24"/>
      <w:lang w:val="es-ES" w:eastAsia="es-ES"/>
    </w:rPr>
  </w:style>
  <w:style w:type="paragraph" w:styleId="Encabezado">
    <w:name w:val="header"/>
    <w:basedOn w:val="Normal"/>
    <w:link w:val="EncabezadoCar"/>
    <w:rsid w:val="0097028F"/>
    <w:pPr>
      <w:tabs>
        <w:tab w:val="center" w:pos="4320"/>
        <w:tab w:val="right" w:pos="8640"/>
      </w:tabs>
    </w:pPr>
    <w:rPr>
      <w:rFonts w:ascii="Garamond" w:hAnsi="Garamond"/>
      <w:szCs w:val="20"/>
      <w:lang w:val="es-ES_tradnl" w:eastAsia="en-US"/>
    </w:rPr>
  </w:style>
  <w:style w:type="character" w:customStyle="1" w:styleId="EncabezadoCar">
    <w:name w:val="Encabezado Car"/>
    <w:basedOn w:val="Fuentedeprrafopredeter"/>
    <w:link w:val="Encabezado"/>
    <w:rsid w:val="0097028F"/>
    <w:rPr>
      <w:rFonts w:ascii="Garamond" w:eastAsia="Times New Roman" w:hAnsi="Garamond" w:cs="Times New Roman"/>
      <w:sz w:val="24"/>
      <w:szCs w:val="20"/>
      <w:lang w:val="es-ES_tradnl"/>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FA Fu?notente,C,ft"/>
    <w:basedOn w:val="Normal"/>
    <w:link w:val="TextonotapieCar"/>
    <w:uiPriority w:val="99"/>
    <w:qFormat/>
    <w:rsid w:val="0097028F"/>
    <w:rPr>
      <w:rFonts w:ascii="Times" w:hAnsi="Times"/>
      <w:sz w:val="20"/>
      <w:szCs w:val="20"/>
      <w:lang w:val="es-ES_tradnl" w:eastAsia="en-U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C Car"/>
    <w:basedOn w:val="Fuentedeprrafopredeter"/>
    <w:link w:val="Textonotapie"/>
    <w:uiPriority w:val="99"/>
    <w:qFormat/>
    <w:rsid w:val="0097028F"/>
    <w:rPr>
      <w:rFonts w:ascii="Times" w:eastAsia="Times New Roman" w:hAnsi="Times" w:cs="Times New Roman"/>
      <w:sz w:val="20"/>
      <w:szCs w:val="20"/>
      <w:lang w:val="es-ES_tradnl"/>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ootnote symbol"/>
    <w:link w:val="4GChar"/>
    <w:uiPriority w:val="99"/>
    <w:qFormat/>
    <w:rsid w:val="0097028F"/>
    <w:rPr>
      <w:vertAlign w:val="superscript"/>
    </w:rPr>
  </w:style>
  <w:style w:type="paragraph" w:styleId="Textoindependiente">
    <w:name w:val="Body Text"/>
    <w:basedOn w:val="Normal"/>
    <w:link w:val="TextoindependienteCar"/>
    <w:rsid w:val="0097028F"/>
    <w:pPr>
      <w:widowControl w:val="0"/>
      <w:tabs>
        <w:tab w:val="left" w:pos="360"/>
      </w:tabs>
      <w:ind w:right="720"/>
      <w:jc w:val="both"/>
    </w:pPr>
    <w:rPr>
      <w:rFonts w:ascii="Garamond" w:hAnsi="Garamond"/>
      <w:szCs w:val="20"/>
      <w:lang w:val="es-ES_tradnl" w:eastAsia="en-US"/>
    </w:rPr>
  </w:style>
  <w:style w:type="character" w:customStyle="1" w:styleId="TextoindependienteCar">
    <w:name w:val="Texto independiente Car"/>
    <w:basedOn w:val="Fuentedeprrafopredeter"/>
    <w:link w:val="Textoindependiente"/>
    <w:rsid w:val="0097028F"/>
    <w:rPr>
      <w:rFonts w:ascii="Garamond" w:eastAsia="Times New Roman" w:hAnsi="Garamond" w:cs="Times New Roman"/>
      <w:sz w:val="24"/>
      <w:szCs w:val="20"/>
      <w:lang w:val="es-ES_tradnl"/>
    </w:rPr>
  </w:style>
  <w:style w:type="paragraph" w:customStyle="1" w:styleId="Lneadereferencia">
    <w:name w:val="Línea de referencia"/>
    <w:basedOn w:val="Sangradetextonormal"/>
    <w:rsid w:val="0097028F"/>
    <w:pPr>
      <w:spacing w:after="0"/>
      <w:ind w:left="0"/>
      <w:jc w:val="both"/>
    </w:pPr>
    <w:rPr>
      <w:rFonts w:ascii="Garamond" w:hAnsi="Garamond"/>
      <w:szCs w:val="20"/>
      <w:lang w:val="es-ES_tradnl" w:eastAsia="en-US"/>
    </w:rPr>
  </w:style>
  <w:style w:type="paragraph" w:styleId="Sangra3detindependiente">
    <w:name w:val="Body Text Indent 3"/>
    <w:basedOn w:val="Normal"/>
    <w:link w:val="Sangra3detindependienteCar"/>
    <w:rsid w:val="0097028F"/>
    <w:pPr>
      <w:ind w:left="1440"/>
      <w:jc w:val="both"/>
    </w:pPr>
    <w:rPr>
      <w:rFonts w:ascii="Garamond" w:hAnsi="Garamond"/>
      <w:b/>
      <w:szCs w:val="20"/>
      <w:lang w:val="es-ES_tradnl" w:eastAsia="en-US"/>
    </w:rPr>
  </w:style>
  <w:style w:type="character" w:customStyle="1" w:styleId="Sangra3detindependienteCar">
    <w:name w:val="Sangría 3 de t. independiente Car"/>
    <w:basedOn w:val="Fuentedeprrafopredeter"/>
    <w:link w:val="Sangra3detindependiente"/>
    <w:rsid w:val="0097028F"/>
    <w:rPr>
      <w:rFonts w:ascii="Garamond" w:eastAsia="Times New Roman" w:hAnsi="Garamond" w:cs="Times New Roman"/>
      <w:b/>
      <w:sz w:val="24"/>
      <w:szCs w:val="20"/>
      <w:lang w:val="es-ES_tradnl"/>
    </w:rPr>
  </w:style>
  <w:style w:type="character" w:styleId="nfasis">
    <w:name w:val="Emphasis"/>
    <w:qFormat/>
    <w:rsid w:val="0097028F"/>
    <w:rPr>
      <w:i/>
      <w:iCs/>
    </w:rPr>
  </w:style>
  <w:style w:type="paragraph" w:styleId="Piedepgina">
    <w:name w:val="footer"/>
    <w:basedOn w:val="Normal"/>
    <w:link w:val="PiedepginaCar"/>
    <w:semiHidden/>
    <w:rsid w:val="0097028F"/>
    <w:pPr>
      <w:tabs>
        <w:tab w:val="center" w:pos="4320"/>
        <w:tab w:val="right" w:pos="8640"/>
      </w:tabs>
    </w:pPr>
  </w:style>
  <w:style w:type="character" w:customStyle="1" w:styleId="PiedepginaCar">
    <w:name w:val="Pie de página Car"/>
    <w:basedOn w:val="Fuentedeprrafopredeter"/>
    <w:link w:val="Piedepgina"/>
    <w:semiHidden/>
    <w:rsid w:val="0097028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7028F"/>
  </w:style>
  <w:style w:type="paragraph" w:customStyle="1" w:styleId="Prrafodelista1">
    <w:name w:val="Párrafo de lista1"/>
    <w:aliases w:val="Footnote"/>
    <w:basedOn w:val="Normal"/>
    <w:qFormat/>
    <w:rsid w:val="0097028F"/>
    <w:pPr>
      <w:contextualSpacing/>
    </w:pPr>
    <w:rPr>
      <w:rFonts w:ascii="Verdana" w:eastAsia="Batang" w:hAnsi="Verdana"/>
      <w:sz w:val="16"/>
      <w:szCs w:val="22"/>
      <w:lang w:eastAsia="en-US"/>
    </w:rPr>
  </w:style>
  <w:style w:type="paragraph" w:styleId="Prrafodelista">
    <w:name w:val="List Paragraph"/>
    <w:aliases w:val="Colorful List - Accent 11,List Paragraph2,List Paragraph1,Lista vistosa - Énfasis 11,List Paragraph11,Cuadrícula clara - Énfasis 31"/>
    <w:basedOn w:val="Normal"/>
    <w:link w:val="PrrafodelistaCar"/>
    <w:uiPriority w:val="34"/>
    <w:qFormat/>
    <w:rsid w:val="0097028F"/>
    <w:pPr>
      <w:ind w:left="720"/>
    </w:pPr>
  </w:style>
  <w:style w:type="character" w:customStyle="1" w:styleId="PrrafodelistaCar">
    <w:name w:val="Párrafo de lista Car"/>
    <w:aliases w:val="Colorful List - Accent 11 Car,List Paragraph2 Car,List Paragraph1 Car,Lista vistosa - Énfasis 11 Car,List Paragraph11 Car,Cuadrícula clara - Énfasis 31 Car"/>
    <w:link w:val="Prrafodelista"/>
    <w:locked/>
    <w:rsid w:val="0097028F"/>
    <w:rPr>
      <w:rFonts w:ascii="Times New Roman" w:eastAsia="Times New Roman" w:hAnsi="Times New Roman" w:cs="Times New Roman"/>
      <w:sz w:val="24"/>
      <w:szCs w:val="24"/>
      <w:lang w:val="es-ES" w:eastAsia="es-ES"/>
    </w:rPr>
  </w:style>
  <w:style w:type="character" w:styleId="Textoennegrita">
    <w:name w:val="Strong"/>
    <w:aliases w:val="Heading 2.1"/>
    <w:uiPriority w:val="22"/>
    <w:qFormat/>
    <w:rsid w:val="0097028F"/>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7028F"/>
    <w:pPr>
      <w:jc w:val="both"/>
    </w:pPr>
    <w:rPr>
      <w:rFonts w:asciiTheme="minorHAnsi" w:eastAsiaTheme="minorHAnsi" w:hAnsiTheme="minorHAnsi" w:cstheme="minorBidi"/>
      <w:sz w:val="22"/>
      <w:szCs w:val="22"/>
      <w:vertAlign w:val="superscript"/>
      <w:lang w:val="es-CR" w:eastAsia="en-US"/>
    </w:rPr>
  </w:style>
  <w:style w:type="paragraph" w:customStyle="1" w:styleId="Default">
    <w:name w:val="Default"/>
    <w:rsid w:val="0097028F"/>
    <w:pPr>
      <w:autoSpaceDE w:val="0"/>
      <w:autoSpaceDN w:val="0"/>
      <w:adjustRightInd w:val="0"/>
      <w:spacing w:after="0" w:line="240" w:lineRule="auto"/>
    </w:pPr>
    <w:rPr>
      <w:rFonts w:ascii="Verdana" w:eastAsia="Calibri" w:hAnsi="Verdana" w:cs="Verdana"/>
      <w:color w:val="000000"/>
      <w:sz w:val="24"/>
      <w:szCs w:val="24"/>
    </w:rPr>
  </w:style>
  <w:style w:type="paragraph" w:styleId="Sangradetextonormal">
    <w:name w:val="Body Text Indent"/>
    <w:basedOn w:val="Normal"/>
    <w:link w:val="SangradetextonormalCar"/>
    <w:uiPriority w:val="99"/>
    <w:semiHidden/>
    <w:unhideWhenUsed/>
    <w:rsid w:val="0097028F"/>
    <w:pPr>
      <w:spacing w:after="120"/>
      <w:ind w:left="283"/>
    </w:pPr>
  </w:style>
  <w:style w:type="character" w:customStyle="1" w:styleId="SangradetextonormalCar">
    <w:name w:val="Sangría de texto normal Car"/>
    <w:basedOn w:val="Fuentedeprrafopredeter"/>
    <w:link w:val="Sangradetextonormal"/>
    <w:rsid w:val="009702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43F8"/>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3F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D0B5F"/>
    <w:rPr>
      <w:sz w:val="16"/>
      <w:szCs w:val="16"/>
    </w:rPr>
  </w:style>
  <w:style w:type="paragraph" w:styleId="Textocomentario">
    <w:name w:val="annotation text"/>
    <w:basedOn w:val="Normal"/>
    <w:link w:val="TextocomentarioCar"/>
    <w:uiPriority w:val="99"/>
    <w:semiHidden/>
    <w:unhideWhenUsed/>
    <w:rsid w:val="00AD0B5F"/>
    <w:rPr>
      <w:sz w:val="20"/>
      <w:szCs w:val="20"/>
    </w:rPr>
  </w:style>
  <w:style w:type="character" w:customStyle="1" w:styleId="TextocomentarioCar">
    <w:name w:val="Texto comentario Car"/>
    <w:basedOn w:val="Fuentedeprrafopredeter"/>
    <w:link w:val="Textocomentario"/>
    <w:uiPriority w:val="99"/>
    <w:semiHidden/>
    <w:rsid w:val="00AD0B5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D0B5F"/>
    <w:rPr>
      <w:b/>
      <w:bCs/>
    </w:rPr>
  </w:style>
  <w:style w:type="character" w:customStyle="1" w:styleId="AsuntodelcomentarioCar">
    <w:name w:val="Asunto del comentario Car"/>
    <w:basedOn w:val="TextocomentarioCar"/>
    <w:link w:val="Asuntodelcomentario"/>
    <w:uiPriority w:val="99"/>
    <w:semiHidden/>
    <w:rsid w:val="00AD0B5F"/>
    <w:rPr>
      <w:rFonts w:ascii="Times New Roman" w:eastAsia="Times New Roman" w:hAnsi="Times New Roman" w:cs="Times New Roman"/>
      <w:b/>
      <w:bCs/>
      <w:sz w:val="20"/>
      <w:szCs w:val="20"/>
      <w:lang w:val="es-ES" w:eastAsia="es-ES"/>
    </w:rPr>
  </w:style>
  <w:style w:type="paragraph" w:styleId="Textodebloque">
    <w:name w:val="Block Text"/>
    <w:basedOn w:val="Normal"/>
    <w:rsid w:val="00D6129F"/>
    <w:pPr>
      <w:widowControl w:val="0"/>
      <w:spacing w:line="360" w:lineRule="auto"/>
      <w:ind w:left="709" w:right="566"/>
      <w:jc w:val="both"/>
    </w:pPr>
    <w:rPr>
      <w:rFonts w:ascii="Garamond" w:hAnsi="Garamond"/>
      <w:sz w:val="20"/>
      <w:szCs w:val="20"/>
    </w:rPr>
  </w:style>
  <w:style w:type="character" w:customStyle="1" w:styleId="ListParagraphChar1">
    <w:name w:val="List Paragraph Char1"/>
    <w:aliases w:val="Párrafo de lista1 Char1,List Paragraph2 Char1,Lista vistosa - Énfasis 11 Char1,List Paragraph11 Char1"/>
    <w:basedOn w:val="Fuentedeprrafopredeter"/>
    <w:uiPriority w:val="34"/>
    <w:locked/>
    <w:rsid w:val="00D612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109823">
      <w:bodyDiv w:val="1"/>
      <w:marLeft w:val="0"/>
      <w:marRight w:val="0"/>
      <w:marTop w:val="0"/>
      <w:marBottom w:val="0"/>
      <w:divBdr>
        <w:top w:val="none" w:sz="0" w:space="0" w:color="auto"/>
        <w:left w:val="none" w:sz="0" w:space="0" w:color="auto"/>
        <w:bottom w:val="none" w:sz="0" w:space="0" w:color="auto"/>
        <w:right w:val="none" w:sz="0" w:space="0" w:color="auto"/>
      </w:divBdr>
    </w:div>
    <w:div w:id="1016418065">
      <w:bodyDiv w:val="1"/>
      <w:marLeft w:val="0"/>
      <w:marRight w:val="0"/>
      <w:marTop w:val="0"/>
      <w:marBottom w:val="0"/>
      <w:divBdr>
        <w:top w:val="none" w:sz="0" w:space="0" w:color="auto"/>
        <w:left w:val="none" w:sz="0" w:space="0" w:color="auto"/>
        <w:bottom w:val="none" w:sz="0" w:space="0" w:color="auto"/>
        <w:right w:val="none" w:sz="0" w:space="0" w:color="auto"/>
      </w:divBdr>
    </w:div>
    <w:div w:id="1248031220">
      <w:bodyDiv w:val="1"/>
      <w:marLeft w:val="0"/>
      <w:marRight w:val="0"/>
      <w:marTop w:val="0"/>
      <w:marBottom w:val="0"/>
      <w:divBdr>
        <w:top w:val="none" w:sz="0" w:space="0" w:color="auto"/>
        <w:left w:val="none" w:sz="0" w:space="0" w:color="auto"/>
        <w:bottom w:val="none" w:sz="0" w:space="0" w:color="auto"/>
        <w:right w:val="none" w:sz="0" w:space="0" w:color="auto"/>
      </w:divBdr>
    </w:div>
    <w:div w:id="131742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C2EA-E8B7-49DF-BBF7-636C67D3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3490</Words>
  <Characters>19196</Characters>
  <Application>Microsoft Office Word</Application>
  <DocSecurity>4</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Julliana Saborio</cp:lastModifiedBy>
  <cp:revision>2</cp:revision>
  <cp:lastPrinted>2019-10-23T19:15:00Z</cp:lastPrinted>
  <dcterms:created xsi:type="dcterms:W3CDTF">2019-11-18T23:05:00Z</dcterms:created>
  <dcterms:modified xsi:type="dcterms:W3CDTF">2019-11-18T23:05:00Z</dcterms:modified>
</cp:coreProperties>
</file>