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5F" w:rsidRDefault="00EC295F" w:rsidP="00F44E8F">
      <w:pPr>
        <w:spacing w:after="0" w:line="240" w:lineRule="auto"/>
        <w:jc w:val="center"/>
        <w:rPr>
          <w:rFonts w:ascii="Verdana" w:hAnsi="Verdana"/>
          <w:b/>
          <w:sz w:val="20"/>
          <w:szCs w:val="16"/>
          <w:lang w:val="es-CR"/>
        </w:rPr>
      </w:pPr>
    </w:p>
    <w:p w:rsidR="00004C0A" w:rsidRDefault="00004C0A" w:rsidP="00F44E8F">
      <w:pPr>
        <w:spacing w:after="0" w:line="240" w:lineRule="auto"/>
        <w:jc w:val="center"/>
        <w:rPr>
          <w:rFonts w:ascii="Verdana" w:hAnsi="Verdana"/>
          <w:b/>
          <w:sz w:val="20"/>
          <w:szCs w:val="16"/>
          <w:lang w:val="es-CR"/>
        </w:rPr>
      </w:pPr>
    </w:p>
    <w:p w:rsidR="00004C0A" w:rsidRDefault="00004C0A" w:rsidP="00F44E8F">
      <w:pPr>
        <w:spacing w:after="0" w:line="240" w:lineRule="auto"/>
        <w:jc w:val="center"/>
        <w:rPr>
          <w:rFonts w:ascii="Verdana" w:hAnsi="Verdana"/>
          <w:b/>
          <w:sz w:val="20"/>
          <w:szCs w:val="16"/>
          <w:lang w:val="es-CR"/>
        </w:rPr>
      </w:pPr>
    </w:p>
    <w:p w:rsidR="00004C0A" w:rsidRDefault="00004C0A" w:rsidP="00F44E8F">
      <w:pPr>
        <w:spacing w:after="0" w:line="240" w:lineRule="auto"/>
        <w:jc w:val="center"/>
        <w:rPr>
          <w:rFonts w:ascii="Verdana" w:hAnsi="Verdana"/>
          <w:b/>
          <w:sz w:val="20"/>
          <w:szCs w:val="16"/>
          <w:lang w:val="es-CR"/>
        </w:rPr>
      </w:pPr>
    </w:p>
    <w:p w:rsidR="00004C0A" w:rsidRDefault="00004C0A" w:rsidP="00F44E8F">
      <w:pPr>
        <w:spacing w:after="0" w:line="240" w:lineRule="auto"/>
        <w:jc w:val="center"/>
        <w:rPr>
          <w:rFonts w:ascii="Verdana" w:hAnsi="Verdana"/>
          <w:b/>
          <w:sz w:val="20"/>
          <w:szCs w:val="16"/>
          <w:lang w:val="es-CR"/>
        </w:rPr>
      </w:pPr>
    </w:p>
    <w:p w:rsidR="00004C0A" w:rsidRDefault="00004C0A" w:rsidP="00F44E8F">
      <w:pPr>
        <w:spacing w:after="0" w:line="240" w:lineRule="auto"/>
        <w:jc w:val="center"/>
        <w:rPr>
          <w:rFonts w:ascii="Verdana" w:hAnsi="Verdana"/>
          <w:b/>
          <w:sz w:val="20"/>
          <w:szCs w:val="16"/>
          <w:lang w:val="es-CR"/>
        </w:rPr>
      </w:pPr>
    </w:p>
    <w:p w:rsidR="00004C0A" w:rsidRDefault="00004C0A" w:rsidP="00004C0A">
      <w:pPr>
        <w:spacing w:after="0" w:line="240" w:lineRule="auto"/>
        <w:rPr>
          <w:rFonts w:ascii="Verdana" w:hAnsi="Verdana"/>
          <w:b/>
          <w:sz w:val="20"/>
          <w:szCs w:val="16"/>
          <w:lang w:val="es-CR"/>
        </w:rPr>
      </w:pPr>
    </w:p>
    <w:p w:rsidR="00046664" w:rsidRPr="006B6FAD" w:rsidRDefault="00046664" w:rsidP="00F44E8F">
      <w:pPr>
        <w:spacing w:after="0" w:line="240" w:lineRule="auto"/>
        <w:jc w:val="center"/>
        <w:rPr>
          <w:rFonts w:ascii="Verdana" w:hAnsi="Verdana"/>
          <w:b/>
          <w:sz w:val="20"/>
          <w:szCs w:val="16"/>
          <w:lang w:val="es-CR"/>
        </w:rPr>
      </w:pPr>
      <w:r w:rsidRPr="006B6FAD">
        <w:rPr>
          <w:rFonts w:ascii="Verdana" w:hAnsi="Verdana"/>
          <w:b/>
          <w:sz w:val="20"/>
          <w:szCs w:val="16"/>
          <w:lang w:val="es-CR"/>
        </w:rPr>
        <w:t>RESOLUCIÓN DE LA</w:t>
      </w:r>
    </w:p>
    <w:p w:rsidR="00046664" w:rsidRPr="006B6FAD" w:rsidRDefault="00046664" w:rsidP="00F44E8F">
      <w:pPr>
        <w:spacing w:after="0" w:line="240" w:lineRule="auto"/>
        <w:jc w:val="center"/>
        <w:rPr>
          <w:rFonts w:ascii="Verdana" w:hAnsi="Verdana"/>
          <w:b/>
          <w:sz w:val="20"/>
          <w:szCs w:val="16"/>
          <w:lang w:val="es-CR"/>
        </w:rPr>
      </w:pPr>
      <w:r w:rsidRPr="006B6FAD">
        <w:rPr>
          <w:rFonts w:ascii="Verdana" w:hAnsi="Verdana"/>
          <w:b/>
          <w:sz w:val="20"/>
          <w:szCs w:val="16"/>
          <w:lang w:val="es-CR"/>
        </w:rPr>
        <w:t>CORTE INTERAMERICANA DE DERECHOS HUMANOS</w:t>
      </w:r>
      <w:r w:rsidR="00EC295F" w:rsidRPr="006B6FAD">
        <w:rPr>
          <w:rFonts w:ascii="Verdana" w:hAnsi="Verdana"/>
          <w:b/>
          <w:sz w:val="20"/>
          <w:szCs w:val="16"/>
          <w:lang w:val="es-CR"/>
        </w:rPr>
        <w:t>*</w:t>
      </w:r>
    </w:p>
    <w:p w:rsidR="00046664" w:rsidRPr="006B6FAD" w:rsidRDefault="00046664" w:rsidP="00F44E8F">
      <w:pPr>
        <w:spacing w:after="0" w:line="240" w:lineRule="auto"/>
        <w:jc w:val="center"/>
        <w:rPr>
          <w:rFonts w:ascii="Verdana" w:hAnsi="Verdana"/>
          <w:b/>
          <w:sz w:val="14"/>
          <w:szCs w:val="14"/>
          <w:lang w:val="es-CR"/>
        </w:rPr>
      </w:pPr>
    </w:p>
    <w:p w:rsidR="00046664" w:rsidRPr="006B6FAD" w:rsidRDefault="00046664" w:rsidP="00F44E8F">
      <w:pPr>
        <w:spacing w:after="0" w:line="240" w:lineRule="auto"/>
        <w:jc w:val="center"/>
        <w:rPr>
          <w:rFonts w:ascii="Verdana" w:hAnsi="Verdana"/>
          <w:b/>
          <w:sz w:val="20"/>
          <w:szCs w:val="16"/>
          <w:lang w:val="es-CR"/>
        </w:rPr>
      </w:pPr>
      <w:r w:rsidRPr="006B6FAD">
        <w:rPr>
          <w:rFonts w:ascii="Verdana" w:hAnsi="Verdana"/>
          <w:b/>
          <w:sz w:val="20"/>
          <w:szCs w:val="16"/>
          <w:lang w:val="es-CR"/>
        </w:rPr>
        <w:t xml:space="preserve">DE </w:t>
      </w:r>
      <w:r w:rsidR="00EC295F" w:rsidRPr="006B6FAD">
        <w:rPr>
          <w:rFonts w:ascii="Verdana" w:hAnsi="Verdana"/>
          <w:b/>
          <w:sz w:val="20"/>
          <w:szCs w:val="16"/>
          <w:lang w:val="es-CR"/>
        </w:rPr>
        <w:t>30</w:t>
      </w:r>
      <w:r w:rsidRPr="006B6FAD">
        <w:rPr>
          <w:rFonts w:ascii="Verdana" w:hAnsi="Verdana"/>
          <w:b/>
          <w:sz w:val="20"/>
          <w:szCs w:val="16"/>
          <w:lang w:val="es-CR"/>
        </w:rPr>
        <w:t xml:space="preserve"> DE </w:t>
      </w:r>
      <w:r w:rsidR="007625BA" w:rsidRPr="006B6FAD">
        <w:rPr>
          <w:rFonts w:ascii="Verdana" w:hAnsi="Verdana"/>
          <w:b/>
          <w:sz w:val="20"/>
          <w:szCs w:val="16"/>
          <w:lang w:val="es-CR"/>
        </w:rPr>
        <w:t>MAYO</w:t>
      </w:r>
      <w:r w:rsidRPr="006B6FAD">
        <w:rPr>
          <w:rFonts w:ascii="Verdana" w:hAnsi="Verdana"/>
          <w:b/>
          <w:sz w:val="20"/>
          <w:szCs w:val="16"/>
          <w:lang w:val="es-CR"/>
        </w:rPr>
        <w:t xml:space="preserve"> DE 2018</w:t>
      </w:r>
      <w:bookmarkStart w:id="0" w:name="_GoBack"/>
      <w:bookmarkEnd w:id="0"/>
    </w:p>
    <w:p w:rsidR="00046664" w:rsidRPr="006B6FAD" w:rsidRDefault="00046664" w:rsidP="00F44E8F">
      <w:pPr>
        <w:spacing w:after="0" w:line="240" w:lineRule="auto"/>
        <w:jc w:val="center"/>
        <w:rPr>
          <w:rFonts w:ascii="Verdana" w:hAnsi="Verdana"/>
          <w:b/>
          <w:sz w:val="14"/>
          <w:szCs w:val="14"/>
          <w:lang w:val="es-CR"/>
        </w:rPr>
      </w:pPr>
    </w:p>
    <w:p w:rsidR="00E37303" w:rsidRPr="006B6FAD" w:rsidRDefault="00E37303" w:rsidP="00F44E8F">
      <w:pPr>
        <w:spacing w:after="0" w:line="240" w:lineRule="auto"/>
        <w:jc w:val="center"/>
        <w:rPr>
          <w:rFonts w:ascii="Verdana" w:hAnsi="Verdana"/>
          <w:b/>
          <w:sz w:val="14"/>
          <w:szCs w:val="14"/>
          <w:lang w:val="es-CR"/>
        </w:rPr>
      </w:pPr>
    </w:p>
    <w:p w:rsidR="005D557A" w:rsidRPr="006B6FAD" w:rsidRDefault="005D557A" w:rsidP="00F44E8F">
      <w:pPr>
        <w:spacing w:after="0" w:line="240" w:lineRule="auto"/>
        <w:jc w:val="center"/>
        <w:rPr>
          <w:rFonts w:ascii="Verdana" w:hAnsi="Verdana"/>
          <w:b/>
          <w:sz w:val="20"/>
          <w:szCs w:val="16"/>
          <w:lang w:val="es-CR"/>
        </w:rPr>
      </w:pPr>
      <w:r w:rsidRPr="006B6FAD">
        <w:rPr>
          <w:rFonts w:ascii="Verdana" w:hAnsi="Verdana"/>
          <w:b/>
          <w:sz w:val="20"/>
          <w:szCs w:val="16"/>
          <w:lang w:val="es-CR"/>
        </w:rPr>
        <w:t>MEDIDAS PROVISIONALES</w:t>
      </w:r>
    </w:p>
    <w:p w:rsidR="005D557A" w:rsidRPr="006B6FAD" w:rsidRDefault="005D557A" w:rsidP="00F44E8F">
      <w:pPr>
        <w:spacing w:after="0" w:line="240" w:lineRule="auto"/>
        <w:jc w:val="center"/>
        <w:rPr>
          <w:rFonts w:ascii="Verdana" w:hAnsi="Verdana"/>
          <w:b/>
          <w:sz w:val="20"/>
          <w:szCs w:val="16"/>
          <w:lang w:val="es-CR"/>
        </w:rPr>
      </w:pPr>
      <w:r w:rsidRPr="006B6FAD">
        <w:rPr>
          <w:rFonts w:ascii="Verdana" w:hAnsi="Verdana"/>
          <w:b/>
          <w:sz w:val="20"/>
          <w:szCs w:val="16"/>
          <w:lang w:val="es-CR"/>
        </w:rPr>
        <w:t>RESPECTO DEL PERÚ</w:t>
      </w:r>
    </w:p>
    <w:p w:rsidR="005D557A" w:rsidRPr="006B6FAD" w:rsidRDefault="005D557A" w:rsidP="00F44E8F">
      <w:pPr>
        <w:spacing w:after="0" w:line="240" w:lineRule="auto"/>
        <w:jc w:val="center"/>
        <w:rPr>
          <w:rFonts w:ascii="Verdana" w:hAnsi="Verdana"/>
          <w:b/>
          <w:sz w:val="14"/>
          <w:szCs w:val="14"/>
          <w:lang w:val="es-CR"/>
        </w:rPr>
      </w:pPr>
    </w:p>
    <w:p w:rsidR="00046664" w:rsidRPr="006B6FAD" w:rsidRDefault="00046664" w:rsidP="00F44E8F">
      <w:pPr>
        <w:spacing w:after="0" w:line="240" w:lineRule="auto"/>
        <w:jc w:val="center"/>
        <w:rPr>
          <w:rFonts w:ascii="Verdana" w:hAnsi="Verdana"/>
          <w:b/>
          <w:sz w:val="20"/>
          <w:szCs w:val="16"/>
          <w:lang w:val="es-CR"/>
        </w:rPr>
      </w:pPr>
      <w:r w:rsidRPr="006B6FAD">
        <w:rPr>
          <w:rFonts w:ascii="Verdana" w:hAnsi="Verdana"/>
          <w:b/>
          <w:sz w:val="20"/>
          <w:szCs w:val="16"/>
          <w:lang w:val="es-CR"/>
        </w:rPr>
        <w:t xml:space="preserve">CASO </w:t>
      </w:r>
      <w:r w:rsidR="00E60B46" w:rsidRPr="006B6FAD">
        <w:rPr>
          <w:rFonts w:ascii="Verdana" w:hAnsi="Verdana"/>
          <w:b/>
          <w:sz w:val="20"/>
          <w:szCs w:val="16"/>
          <w:lang w:val="es-CR"/>
        </w:rPr>
        <w:t>DURAND Y UGARTE</w:t>
      </w:r>
      <w:r w:rsidRPr="006B6FAD">
        <w:rPr>
          <w:rFonts w:ascii="Verdana" w:hAnsi="Verdana"/>
          <w:b/>
          <w:sz w:val="20"/>
          <w:szCs w:val="16"/>
          <w:lang w:val="es-CR"/>
        </w:rPr>
        <w:t xml:space="preserve"> VS. PERÚ</w:t>
      </w:r>
    </w:p>
    <w:p w:rsidR="00046664" w:rsidRPr="006B6FAD" w:rsidRDefault="00046664" w:rsidP="00F44E8F">
      <w:pPr>
        <w:spacing w:after="0" w:line="240" w:lineRule="auto"/>
        <w:jc w:val="center"/>
        <w:rPr>
          <w:rFonts w:ascii="Verdana" w:hAnsi="Verdana"/>
          <w:b/>
          <w:sz w:val="14"/>
          <w:szCs w:val="14"/>
          <w:lang w:val="es-CR"/>
        </w:rPr>
      </w:pPr>
    </w:p>
    <w:p w:rsidR="00004C0A" w:rsidRPr="006B6FAD" w:rsidRDefault="00004C0A" w:rsidP="00F44E8F">
      <w:pPr>
        <w:spacing w:after="0" w:line="240" w:lineRule="auto"/>
        <w:jc w:val="center"/>
        <w:rPr>
          <w:rFonts w:ascii="Verdana" w:hAnsi="Verdana"/>
          <w:b/>
          <w:sz w:val="14"/>
          <w:szCs w:val="14"/>
          <w:lang w:val="es-CR"/>
        </w:rPr>
      </w:pPr>
    </w:p>
    <w:p w:rsidR="00004C0A" w:rsidRPr="006B6FAD" w:rsidRDefault="00004C0A" w:rsidP="00F44E8F">
      <w:pPr>
        <w:spacing w:after="0" w:line="240" w:lineRule="auto"/>
        <w:jc w:val="center"/>
        <w:rPr>
          <w:rFonts w:ascii="Verdana" w:hAnsi="Verdana"/>
          <w:b/>
          <w:sz w:val="14"/>
          <w:szCs w:val="14"/>
          <w:lang w:val="es-CR"/>
        </w:rPr>
      </w:pPr>
    </w:p>
    <w:p w:rsidR="00A16ECA" w:rsidRPr="006B6FAD" w:rsidRDefault="00A16ECA" w:rsidP="00F44E8F">
      <w:pPr>
        <w:spacing w:after="0" w:line="240" w:lineRule="auto"/>
        <w:jc w:val="center"/>
        <w:rPr>
          <w:rFonts w:ascii="Verdana" w:hAnsi="Verdana"/>
          <w:b/>
          <w:sz w:val="14"/>
          <w:szCs w:val="14"/>
          <w:lang w:val="es-CR"/>
        </w:rPr>
      </w:pPr>
    </w:p>
    <w:p w:rsidR="00046664" w:rsidRPr="006B6FAD" w:rsidRDefault="00046664" w:rsidP="00F44E8F">
      <w:pPr>
        <w:spacing w:after="0" w:line="240" w:lineRule="auto"/>
        <w:rPr>
          <w:rFonts w:ascii="Verdana" w:hAnsi="Verdana"/>
          <w:b/>
          <w:sz w:val="20"/>
          <w:szCs w:val="16"/>
          <w:lang w:val="es-CR"/>
        </w:rPr>
      </w:pPr>
      <w:r w:rsidRPr="006B6FAD">
        <w:rPr>
          <w:rFonts w:ascii="Verdana" w:hAnsi="Verdana"/>
          <w:b/>
          <w:sz w:val="20"/>
          <w:szCs w:val="16"/>
          <w:lang w:val="es-CR"/>
        </w:rPr>
        <w:t>VISTO:</w:t>
      </w:r>
    </w:p>
    <w:p w:rsidR="00046664" w:rsidRPr="006B6FAD" w:rsidRDefault="00046664" w:rsidP="00F44E8F">
      <w:pPr>
        <w:spacing w:after="0" w:line="240" w:lineRule="auto"/>
        <w:rPr>
          <w:b/>
          <w:sz w:val="14"/>
          <w:szCs w:val="14"/>
          <w:lang w:val="es-CR"/>
        </w:rPr>
      </w:pPr>
    </w:p>
    <w:p w:rsidR="00E76AA5" w:rsidRPr="006B6FAD" w:rsidRDefault="00645B03" w:rsidP="00F44E8F">
      <w:pPr>
        <w:pStyle w:val="ListParagraph"/>
        <w:numPr>
          <w:ilvl w:val="0"/>
          <w:numId w:val="2"/>
        </w:numPr>
        <w:autoSpaceDE w:val="0"/>
        <w:autoSpaceDN w:val="0"/>
        <w:adjustRightInd w:val="0"/>
        <w:spacing w:after="0" w:line="240" w:lineRule="auto"/>
        <w:ind w:left="0" w:firstLine="0"/>
        <w:jc w:val="both"/>
        <w:rPr>
          <w:rFonts w:ascii="Verdana" w:hAnsi="Verdana"/>
          <w:sz w:val="20"/>
          <w:szCs w:val="20"/>
          <w:lang w:val="es-CR"/>
        </w:rPr>
      </w:pPr>
      <w:r w:rsidRPr="006B6FAD">
        <w:rPr>
          <w:rFonts w:ascii="Verdana" w:hAnsi="Verdana"/>
          <w:sz w:val="20"/>
          <w:szCs w:val="20"/>
          <w:lang w:val="es-CR"/>
        </w:rPr>
        <w:t>La Sentencia de fondo de 16 de agosto de 2000 (en adelante “la Sentencia”)</w:t>
      </w:r>
      <w:r w:rsidRPr="006B6FAD">
        <w:rPr>
          <w:rStyle w:val="FootnoteReference"/>
          <w:rFonts w:ascii="Verdana" w:hAnsi="Verdana"/>
          <w:sz w:val="20"/>
          <w:szCs w:val="20"/>
          <w:lang w:val="es-CR"/>
        </w:rPr>
        <w:footnoteReference w:id="1"/>
      </w:r>
      <w:r w:rsidRPr="006B6FAD">
        <w:rPr>
          <w:rFonts w:ascii="Verdana" w:hAnsi="Verdana"/>
          <w:sz w:val="20"/>
          <w:szCs w:val="20"/>
          <w:lang w:val="es-CR"/>
        </w:rPr>
        <w:t xml:space="preserve"> mediante la cual la Corte Interamericana de Derechos Humanos (en adelante también “la Corte Interamericana” o “el Tribunal”) declaró responsable internacionalmente a la República del Perú (en adelante “el Estado” o “Perú”) por la violación del derecho a la vida de los señores Nolberto Durand Ugarte y Gabriel Pablo Ugarte Rivera, quienes se encontraban detenidos en el establecimiento penal de la Isla “El Frontón” cuando, en junio de 1986, el Estado develó el motín que se dio en el mismo, resultando en un gran número de reclusos muertos o cuyos restos no fueron encontrados.</w:t>
      </w:r>
      <w:r w:rsidRPr="006B6FAD">
        <w:rPr>
          <w:rFonts w:ascii="Verdana" w:hAnsi="Verdana"/>
          <w:sz w:val="18"/>
          <w:szCs w:val="18"/>
          <w:lang w:val="es-CR"/>
        </w:rPr>
        <w:t xml:space="preserve"> </w:t>
      </w:r>
      <w:r w:rsidRPr="006B6FAD">
        <w:rPr>
          <w:rFonts w:ascii="Verdana" w:hAnsi="Verdana"/>
          <w:sz w:val="20"/>
          <w:szCs w:val="20"/>
          <w:lang w:val="es-CR"/>
        </w:rPr>
        <w:t>Al momento de emisión de la Sentencia se desconocía el paradero de dichas víctimas</w:t>
      </w:r>
      <w:r w:rsidRPr="006B6FAD">
        <w:rPr>
          <w:rFonts w:ascii="Verdana" w:hAnsi="Verdana"/>
          <w:sz w:val="20"/>
          <w:szCs w:val="20"/>
          <w:lang w:val="es-CL"/>
        </w:rPr>
        <w:t xml:space="preserve">. </w:t>
      </w:r>
      <w:r w:rsidRPr="006B6FAD">
        <w:rPr>
          <w:rFonts w:ascii="Verdana" w:hAnsi="Verdana"/>
          <w:sz w:val="20"/>
          <w:szCs w:val="20"/>
          <w:lang w:val="es-CR"/>
        </w:rPr>
        <w:t>Asimismo, debido a que el señor Durand y el señor Ugarte fueron detenidos sin mediar orden judicial ni haber sido encontrados en flagrante delito, y tampoco fueron puestos sin demora a disposición del órgano jurisdiccional competente, la Corte declaró que el Estado violó el derecho a la libertad personal de dichas víctimas. Por otra parte, en razón de la aplicación de Decretos-Supremos que declararon el estado de emergencia y una zona militar restringida, así como el control efectivo de las Fuerzas Armadas sobre el centro penitenciario “El Frontón”, produciendo implícitamente la suspensión de la acción de hábeas corpus, el Tribunal encontró al Perú responsable por la violación a los derechos a recurrir ante un juez o tribunal competente y a la protección judicial. A su vez, la Corte declaró la violación a los derechos a las garantías judiciales y protección judicial de los familiares del señor Durand y del señor Ugarte, debido a que las autoridades estatales no les garantizaron una investigación de la desaparición y muerte de los referidos señores. Tanto en la Sentencia de fondo como en la posterior sentencia de reparaciones</w:t>
      </w:r>
      <w:r w:rsidRPr="006B6FAD">
        <w:rPr>
          <w:rStyle w:val="FootnoteReference"/>
          <w:rFonts w:ascii="Verdana" w:hAnsi="Verdana"/>
          <w:sz w:val="20"/>
          <w:szCs w:val="20"/>
          <w:lang w:val="es-CR"/>
        </w:rPr>
        <w:footnoteReference w:id="2"/>
      </w:r>
      <w:r w:rsidRPr="006B6FAD">
        <w:rPr>
          <w:rFonts w:ascii="Verdana" w:hAnsi="Verdana"/>
          <w:sz w:val="20"/>
          <w:szCs w:val="20"/>
          <w:lang w:val="es-CR"/>
        </w:rPr>
        <w:t>, el Tribunal dispuso que el Estado debía cumplir con su obligación de investigar, juzgar y sancionar</w:t>
      </w:r>
      <w:r w:rsidR="007A4E9B" w:rsidRPr="006B6FAD">
        <w:rPr>
          <w:rFonts w:ascii="Verdana" w:hAnsi="Verdana"/>
          <w:sz w:val="20"/>
          <w:szCs w:val="20"/>
          <w:lang w:val="es-CR"/>
        </w:rPr>
        <w:t xml:space="preserve"> (</w:t>
      </w:r>
      <w:r w:rsidR="007A4E9B" w:rsidRPr="006B6FAD">
        <w:rPr>
          <w:rFonts w:ascii="Verdana" w:hAnsi="Verdana"/>
          <w:i/>
          <w:sz w:val="20"/>
          <w:szCs w:val="20"/>
          <w:lang w:val="es-CR"/>
        </w:rPr>
        <w:t xml:space="preserve">infra </w:t>
      </w:r>
      <w:r w:rsidR="007A4E9B" w:rsidRPr="006B6FAD">
        <w:rPr>
          <w:rFonts w:ascii="Verdana" w:hAnsi="Verdana"/>
          <w:sz w:val="20"/>
          <w:szCs w:val="20"/>
          <w:lang w:val="es-CR"/>
        </w:rPr>
        <w:t>Considerando 1)</w:t>
      </w:r>
      <w:r w:rsidRPr="006B6FAD">
        <w:rPr>
          <w:rFonts w:ascii="Verdana" w:hAnsi="Verdana"/>
          <w:sz w:val="20"/>
          <w:szCs w:val="20"/>
          <w:lang w:val="es-CR"/>
        </w:rPr>
        <w:t xml:space="preserve">. </w:t>
      </w:r>
    </w:p>
    <w:p w:rsidR="00E76AA5" w:rsidRPr="006B6FAD" w:rsidRDefault="00E76AA5" w:rsidP="00F44E8F">
      <w:pPr>
        <w:pStyle w:val="ListParagraph"/>
        <w:autoSpaceDE w:val="0"/>
        <w:autoSpaceDN w:val="0"/>
        <w:adjustRightInd w:val="0"/>
        <w:spacing w:after="0" w:line="240" w:lineRule="auto"/>
        <w:ind w:left="0"/>
        <w:jc w:val="both"/>
        <w:rPr>
          <w:rFonts w:ascii="Verdana" w:hAnsi="Verdana"/>
          <w:sz w:val="14"/>
          <w:szCs w:val="14"/>
          <w:lang w:val="es-CR"/>
        </w:rPr>
      </w:pPr>
    </w:p>
    <w:p w:rsidR="00046664" w:rsidRPr="006B6FAD" w:rsidRDefault="00E76AA5" w:rsidP="00F44E8F">
      <w:pPr>
        <w:pStyle w:val="ListParagraph"/>
        <w:numPr>
          <w:ilvl w:val="0"/>
          <w:numId w:val="2"/>
        </w:numPr>
        <w:autoSpaceDE w:val="0"/>
        <w:autoSpaceDN w:val="0"/>
        <w:adjustRightInd w:val="0"/>
        <w:spacing w:after="0" w:line="240" w:lineRule="auto"/>
        <w:ind w:left="0" w:firstLine="0"/>
        <w:jc w:val="both"/>
        <w:rPr>
          <w:rFonts w:ascii="Verdana" w:hAnsi="Verdana"/>
          <w:sz w:val="20"/>
          <w:szCs w:val="20"/>
          <w:lang w:val="es-CR"/>
        </w:rPr>
      </w:pPr>
      <w:r w:rsidRPr="006B6FAD">
        <w:rPr>
          <w:rFonts w:ascii="Verdana" w:hAnsi="Verdana"/>
          <w:sz w:val="20"/>
          <w:szCs w:val="20"/>
          <w:lang w:val="es-CR"/>
        </w:rPr>
        <w:lastRenderedPageBreak/>
        <w:t>La Resolución de adopción de medidas urgentes emitida por el Presidente del Tribunal el 17 de diciembre de 2017</w:t>
      </w:r>
      <w:r w:rsidR="00811DA9" w:rsidRPr="006B6FAD">
        <w:rPr>
          <w:rStyle w:val="FootnoteReference"/>
          <w:rFonts w:ascii="Verdana" w:hAnsi="Verdana"/>
          <w:sz w:val="20"/>
          <w:szCs w:val="20"/>
          <w:lang w:val="es-CR"/>
        </w:rPr>
        <w:footnoteReference w:id="3"/>
      </w:r>
      <w:r w:rsidRPr="006B6FAD">
        <w:rPr>
          <w:rFonts w:ascii="Verdana" w:hAnsi="Verdana"/>
          <w:sz w:val="20"/>
          <w:szCs w:val="20"/>
          <w:lang w:val="es-CR"/>
        </w:rPr>
        <w:t xml:space="preserve"> y la </w:t>
      </w:r>
      <w:r w:rsidR="00046664" w:rsidRPr="006B6FAD">
        <w:rPr>
          <w:rFonts w:ascii="Verdana" w:hAnsi="Verdana"/>
          <w:sz w:val="20"/>
          <w:szCs w:val="20"/>
          <w:lang w:val="es-CR"/>
        </w:rPr>
        <w:t>Resoluci</w:t>
      </w:r>
      <w:r w:rsidR="005C1A26" w:rsidRPr="006B6FAD">
        <w:rPr>
          <w:rFonts w:ascii="Verdana" w:hAnsi="Verdana"/>
          <w:sz w:val="20"/>
          <w:szCs w:val="20"/>
          <w:lang w:val="es-CR"/>
        </w:rPr>
        <w:t>ón</w:t>
      </w:r>
      <w:r w:rsidR="00046664" w:rsidRPr="006B6FAD">
        <w:rPr>
          <w:rFonts w:ascii="Verdana" w:hAnsi="Verdana"/>
          <w:sz w:val="20"/>
          <w:szCs w:val="20"/>
          <w:lang w:val="es-CR"/>
        </w:rPr>
        <w:t xml:space="preserve"> </w:t>
      </w:r>
      <w:r w:rsidR="0009526F" w:rsidRPr="006B6FAD">
        <w:rPr>
          <w:rFonts w:ascii="Verdana" w:hAnsi="Verdana"/>
          <w:sz w:val="20"/>
          <w:szCs w:val="20"/>
          <w:lang w:val="es-CR"/>
        </w:rPr>
        <w:t xml:space="preserve">de adopción de </w:t>
      </w:r>
      <w:r w:rsidR="00645B03" w:rsidRPr="006B6FAD">
        <w:rPr>
          <w:rFonts w:ascii="Verdana" w:hAnsi="Verdana"/>
          <w:sz w:val="20"/>
          <w:szCs w:val="20"/>
          <w:lang w:val="es-CR"/>
        </w:rPr>
        <w:t>medidas provisionales</w:t>
      </w:r>
      <w:r w:rsidR="00046664" w:rsidRPr="006B6FAD">
        <w:rPr>
          <w:rFonts w:ascii="Verdana" w:hAnsi="Verdana"/>
          <w:sz w:val="20"/>
          <w:szCs w:val="20"/>
          <w:lang w:val="es-CR"/>
        </w:rPr>
        <w:t xml:space="preserve"> dictada por la Corte</w:t>
      </w:r>
      <w:r w:rsidR="005C1A26" w:rsidRPr="006B6FAD">
        <w:rPr>
          <w:rFonts w:ascii="Verdana" w:hAnsi="Verdana"/>
          <w:sz w:val="20"/>
          <w:szCs w:val="20"/>
          <w:lang w:val="es-CR"/>
        </w:rPr>
        <w:t xml:space="preserve"> el </w:t>
      </w:r>
      <w:r w:rsidR="00645B03" w:rsidRPr="006B6FAD">
        <w:rPr>
          <w:rFonts w:ascii="Verdana" w:hAnsi="Verdana"/>
          <w:sz w:val="20"/>
          <w:szCs w:val="20"/>
          <w:lang w:val="es-CR"/>
        </w:rPr>
        <w:t>8 de febrero de 2018</w:t>
      </w:r>
      <w:r w:rsidR="0009526F" w:rsidRPr="006B6FAD">
        <w:rPr>
          <w:rFonts w:ascii="Verdana" w:hAnsi="Verdana"/>
          <w:sz w:val="20"/>
          <w:szCs w:val="20"/>
          <w:lang w:val="es-CR"/>
        </w:rPr>
        <w:t xml:space="preserve"> (</w:t>
      </w:r>
      <w:r w:rsidR="0009526F" w:rsidRPr="006B6FAD">
        <w:rPr>
          <w:rFonts w:ascii="Verdana" w:hAnsi="Verdana"/>
          <w:i/>
          <w:sz w:val="20"/>
          <w:szCs w:val="20"/>
          <w:lang w:val="es-CR"/>
        </w:rPr>
        <w:t>infra</w:t>
      </w:r>
      <w:r w:rsidR="0009526F" w:rsidRPr="006B6FAD">
        <w:rPr>
          <w:rFonts w:ascii="Verdana" w:hAnsi="Verdana"/>
          <w:sz w:val="20"/>
          <w:szCs w:val="20"/>
          <w:lang w:val="es-CR"/>
        </w:rPr>
        <w:t xml:space="preserve"> Considerandos 2 y 3)</w:t>
      </w:r>
      <w:r w:rsidR="00046664" w:rsidRPr="006B6FAD">
        <w:rPr>
          <w:rStyle w:val="FootnoteReference"/>
          <w:rFonts w:ascii="Verdana" w:hAnsi="Verdana"/>
          <w:sz w:val="20"/>
          <w:szCs w:val="20"/>
          <w:lang w:val="es-CR"/>
        </w:rPr>
        <w:footnoteReference w:id="4"/>
      </w:r>
      <w:r w:rsidR="00676740" w:rsidRPr="006B6FAD">
        <w:rPr>
          <w:rFonts w:ascii="Verdana" w:hAnsi="Verdana"/>
          <w:sz w:val="20"/>
          <w:szCs w:val="20"/>
          <w:lang w:val="es-CR"/>
        </w:rPr>
        <w:t xml:space="preserve">. </w:t>
      </w:r>
    </w:p>
    <w:p w:rsidR="00676740" w:rsidRPr="006B6FAD" w:rsidRDefault="00676740" w:rsidP="00F44E8F">
      <w:pPr>
        <w:pStyle w:val="ListParagraph"/>
        <w:autoSpaceDE w:val="0"/>
        <w:autoSpaceDN w:val="0"/>
        <w:adjustRightInd w:val="0"/>
        <w:spacing w:after="0" w:line="240" w:lineRule="auto"/>
        <w:ind w:left="0"/>
        <w:jc w:val="both"/>
        <w:rPr>
          <w:rFonts w:ascii="Verdana" w:hAnsi="Verdana"/>
          <w:sz w:val="14"/>
          <w:szCs w:val="14"/>
          <w:lang w:val="es-CR"/>
        </w:rPr>
      </w:pPr>
    </w:p>
    <w:p w:rsidR="00E15AB7" w:rsidRPr="006B6FAD" w:rsidRDefault="00046664" w:rsidP="00F44E8F">
      <w:pPr>
        <w:pStyle w:val="ListParagraph"/>
        <w:numPr>
          <w:ilvl w:val="0"/>
          <w:numId w:val="2"/>
        </w:numPr>
        <w:autoSpaceDE w:val="0"/>
        <w:autoSpaceDN w:val="0"/>
        <w:adjustRightInd w:val="0"/>
        <w:spacing w:after="0" w:line="240" w:lineRule="auto"/>
        <w:ind w:left="0" w:firstLine="0"/>
        <w:jc w:val="both"/>
        <w:rPr>
          <w:rFonts w:ascii="Verdana" w:hAnsi="Verdana"/>
          <w:b/>
          <w:sz w:val="20"/>
          <w:szCs w:val="20"/>
          <w:lang w:val="es-CR"/>
        </w:rPr>
      </w:pPr>
      <w:r w:rsidRPr="006B6FAD">
        <w:rPr>
          <w:rFonts w:ascii="Verdana" w:hAnsi="Verdana"/>
          <w:sz w:val="20"/>
          <w:szCs w:val="20"/>
          <w:lang w:val="es-CR"/>
        </w:rPr>
        <w:t xml:space="preserve">El </w:t>
      </w:r>
      <w:r w:rsidR="001E1BF3" w:rsidRPr="006B6FAD">
        <w:rPr>
          <w:rFonts w:ascii="Verdana" w:hAnsi="Verdana"/>
          <w:sz w:val="20"/>
          <w:szCs w:val="20"/>
          <w:lang w:val="es-CR"/>
        </w:rPr>
        <w:t>escrito</w:t>
      </w:r>
      <w:r w:rsidRPr="006B6FAD">
        <w:rPr>
          <w:rFonts w:ascii="Verdana" w:hAnsi="Verdana"/>
          <w:sz w:val="20"/>
          <w:szCs w:val="20"/>
          <w:lang w:val="es-CR"/>
        </w:rPr>
        <w:t xml:space="preserve"> presentado por el Estado el </w:t>
      </w:r>
      <w:r w:rsidR="001E1BF3" w:rsidRPr="006B6FAD">
        <w:rPr>
          <w:rFonts w:ascii="Verdana" w:hAnsi="Verdana"/>
          <w:sz w:val="20"/>
          <w:szCs w:val="20"/>
          <w:lang w:val="es-CR"/>
        </w:rPr>
        <w:t>12</w:t>
      </w:r>
      <w:r w:rsidRPr="006B6FAD">
        <w:rPr>
          <w:rFonts w:ascii="Verdana" w:hAnsi="Verdana"/>
          <w:sz w:val="20"/>
          <w:szCs w:val="20"/>
          <w:lang w:val="es-CR"/>
        </w:rPr>
        <w:t xml:space="preserve"> de abril de 201</w:t>
      </w:r>
      <w:r w:rsidR="001E1BF3" w:rsidRPr="006B6FAD">
        <w:rPr>
          <w:rFonts w:ascii="Verdana" w:hAnsi="Verdana"/>
          <w:sz w:val="20"/>
          <w:szCs w:val="20"/>
          <w:lang w:val="es-CR"/>
        </w:rPr>
        <w:t>8</w:t>
      </w:r>
      <w:r w:rsidRPr="006B6FAD">
        <w:rPr>
          <w:rFonts w:ascii="Verdana" w:hAnsi="Verdana"/>
          <w:sz w:val="20"/>
          <w:szCs w:val="20"/>
          <w:lang w:val="es-CR"/>
        </w:rPr>
        <w:t xml:space="preserve">, mediante el cual </w:t>
      </w:r>
      <w:r w:rsidR="001E1BF3" w:rsidRPr="006B6FAD">
        <w:rPr>
          <w:rFonts w:ascii="Verdana" w:hAnsi="Verdana" w:cs="Times"/>
          <w:sz w:val="20"/>
          <w:lang w:val="es-CR"/>
        </w:rPr>
        <w:t>solicitó</w:t>
      </w:r>
      <w:r w:rsidR="00075CE4" w:rsidRPr="006B6FAD">
        <w:rPr>
          <w:rFonts w:ascii="Verdana" w:hAnsi="Verdana" w:cs="Times"/>
          <w:sz w:val="20"/>
          <w:lang w:val="es-CR"/>
        </w:rPr>
        <w:t xml:space="preserve"> al Tribunal</w:t>
      </w:r>
      <w:r w:rsidR="001E1BF3" w:rsidRPr="006B6FAD">
        <w:rPr>
          <w:rFonts w:ascii="Verdana" w:hAnsi="Verdana" w:cs="Times"/>
          <w:sz w:val="20"/>
          <w:lang w:val="es-CR"/>
        </w:rPr>
        <w:t xml:space="preserve"> que </w:t>
      </w:r>
      <w:r w:rsidR="00075CE4" w:rsidRPr="006B6FAD">
        <w:rPr>
          <w:rFonts w:ascii="Verdana" w:hAnsi="Verdana" w:cs="Times"/>
          <w:sz w:val="20"/>
          <w:lang w:val="es-CR"/>
        </w:rPr>
        <w:t>“</w:t>
      </w:r>
      <w:r w:rsidR="001E1BF3" w:rsidRPr="006B6FAD">
        <w:rPr>
          <w:rFonts w:ascii="Verdana" w:hAnsi="Verdana" w:cs="Times"/>
          <w:sz w:val="20"/>
          <w:lang w:val="es-CR"/>
        </w:rPr>
        <w:t>reconsidere</w:t>
      </w:r>
      <w:r w:rsidR="00075CE4" w:rsidRPr="006B6FAD">
        <w:rPr>
          <w:rFonts w:ascii="Verdana" w:hAnsi="Verdana" w:cs="Times"/>
          <w:sz w:val="20"/>
          <w:lang w:val="es-CR"/>
        </w:rPr>
        <w:t>”</w:t>
      </w:r>
      <w:r w:rsidR="001E1BF3" w:rsidRPr="006B6FAD">
        <w:rPr>
          <w:rFonts w:ascii="Verdana" w:hAnsi="Verdana" w:cs="Times"/>
          <w:sz w:val="20"/>
          <w:lang w:val="es-CR"/>
        </w:rPr>
        <w:t xml:space="preserve"> </w:t>
      </w:r>
      <w:r w:rsidR="00075CE4" w:rsidRPr="006B6FAD">
        <w:rPr>
          <w:rFonts w:ascii="Verdana" w:hAnsi="Verdana" w:cs="Times"/>
          <w:sz w:val="20"/>
          <w:lang w:val="es-CR"/>
        </w:rPr>
        <w:t>la Resolución de medidas p</w:t>
      </w:r>
      <w:r w:rsidR="001E1BF3" w:rsidRPr="006B6FAD">
        <w:rPr>
          <w:rFonts w:ascii="Verdana" w:hAnsi="Verdana" w:cs="Times"/>
          <w:sz w:val="20"/>
          <w:lang w:val="es-CR"/>
        </w:rPr>
        <w:t xml:space="preserve">rovisionales </w:t>
      </w:r>
      <w:r w:rsidR="00075CE4" w:rsidRPr="006B6FAD">
        <w:rPr>
          <w:rFonts w:ascii="Verdana" w:hAnsi="Verdana" w:cs="Times"/>
          <w:sz w:val="20"/>
          <w:lang w:val="es-CR"/>
        </w:rPr>
        <w:t>de 8 de febrero de 2018 o, “</w:t>
      </w:r>
      <w:r w:rsidR="001E1BF3" w:rsidRPr="006B6FAD">
        <w:rPr>
          <w:rFonts w:ascii="Verdana" w:hAnsi="Verdana" w:cs="Times"/>
          <w:sz w:val="20"/>
          <w:lang w:val="es-CR"/>
        </w:rPr>
        <w:t xml:space="preserve">en su defecto, se precise el límite temporal de la medida provisional que la Corte </w:t>
      </w:r>
      <w:r w:rsidR="00075CE4" w:rsidRPr="006B6FAD">
        <w:rPr>
          <w:rFonts w:ascii="Verdana" w:hAnsi="Verdana" w:cs="Times"/>
          <w:sz w:val="20"/>
          <w:lang w:val="es-CR"/>
        </w:rPr>
        <w:t>[…]</w:t>
      </w:r>
      <w:r w:rsidR="001E1BF3" w:rsidRPr="006B6FAD">
        <w:rPr>
          <w:rFonts w:ascii="Verdana" w:hAnsi="Verdana" w:cs="Times"/>
          <w:sz w:val="20"/>
          <w:lang w:val="es-CR"/>
        </w:rPr>
        <w:t xml:space="preserve"> considere conveniente otorgar”</w:t>
      </w:r>
      <w:r w:rsidR="00E15AB7" w:rsidRPr="006B6FAD">
        <w:rPr>
          <w:rFonts w:ascii="Verdana" w:hAnsi="Verdana" w:cs="Times"/>
          <w:sz w:val="20"/>
          <w:lang w:val="es-CR"/>
        </w:rPr>
        <w:t>.</w:t>
      </w:r>
      <w:r w:rsidR="001529EF" w:rsidRPr="006B6FAD">
        <w:rPr>
          <w:rFonts w:ascii="Verdana" w:hAnsi="Verdana" w:cs="Times"/>
          <w:sz w:val="20"/>
          <w:lang w:val="es-CR"/>
        </w:rPr>
        <w:t xml:space="preserve"> </w:t>
      </w:r>
    </w:p>
    <w:p w:rsidR="00F44E8F" w:rsidRPr="006B6FAD" w:rsidRDefault="00F44E8F" w:rsidP="003935A2">
      <w:pPr>
        <w:spacing w:after="0"/>
        <w:rPr>
          <w:rFonts w:ascii="Verdana" w:hAnsi="Verdana"/>
          <w:b/>
          <w:sz w:val="14"/>
          <w:szCs w:val="14"/>
          <w:lang w:val="es-CR"/>
        </w:rPr>
      </w:pPr>
    </w:p>
    <w:p w:rsidR="00046664" w:rsidRPr="006B6FAD" w:rsidRDefault="00E15AB7" w:rsidP="00F44E8F">
      <w:pPr>
        <w:pStyle w:val="ListParagraph"/>
        <w:numPr>
          <w:ilvl w:val="0"/>
          <w:numId w:val="2"/>
        </w:numPr>
        <w:autoSpaceDE w:val="0"/>
        <w:autoSpaceDN w:val="0"/>
        <w:adjustRightInd w:val="0"/>
        <w:spacing w:after="0" w:line="240" w:lineRule="auto"/>
        <w:ind w:left="0" w:firstLine="0"/>
        <w:jc w:val="both"/>
        <w:rPr>
          <w:rFonts w:ascii="Verdana" w:hAnsi="Verdana"/>
          <w:b/>
          <w:sz w:val="20"/>
          <w:szCs w:val="20"/>
          <w:lang w:val="es-CR"/>
        </w:rPr>
      </w:pPr>
      <w:r w:rsidRPr="006B6FAD">
        <w:rPr>
          <w:rFonts w:ascii="Verdana" w:hAnsi="Verdana" w:cs="Times"/>
          <w:sz w:val="20"/>
          <w:lang w:val="es-CR"/>
        </w:rPr>
        <w:t xml:space="preserve">La </w:t>
      </w:r>
      <w:r w:rsidR="001529EF" w:rsidRPr="006B6FAD">
        <w:rPr>
          <w:rFonts w:ascii="Verdana" w:hAnsi="Verdana" w:cs="Times"/>
          <w:sz w:val="20"/>
          <w:lang w:val="es-CR"/>
        </w:rPr>
        <w:t xml:space="preserve">nota </w:t>
      </w:r>
      <w:r w:rsidR="001529EF" w:rsidRPr="006B6FAD">
        <w:rPr>
          <w:rFonts w:ascii="Verdana" w:hAnsi="Verdana"/>
          <w:sz w:val="20"/>
          <w:szCs w:val="20"/>
          <w:lang w:val="es-CR"/>
        </w:rPr>
        <w:t xml:space="preserve">de Secretaría de 16 de abril de 2018, mediante la cual se indicó </w:t>
      </w:r>
      <w:r w:rsidRPr="006B6FAD">
        <w:rPr>
          <w:rFonts w:ascii="Verdana" w:hAnsi="Verdana"/>
          <w:sz w:val="20"/>
          <w:szCs w:val="20"/>
          <w:lang w:val="es-CR"/>
        </w:rPr>
        <w:t xml:space="preserve">a las partes y la Comisión Interamericana de Derechos Humanos </w:t>
      </w:r>
      <w:r w:rsidR="001529EF" w:rsidRPr="006B6FAD">
        <w:rPr>
          <w:rFonts w:ascii="Verdana" w:hAnsi="Verdana"/>
          <w:sz w:val="20"/>
          <w:szCs w:val="20"/>
          <w:lang w:val="es-CR"/>
        </w:rPr>
        <w:t>que dicha solicitud había sido puesta en conocimiento del Presidente del Tribunal, para los efectos pertinentes</w:t>
      </w:r>
      <w:r w:rsidR="00046664" w:rsidRPr="006B6FAD">
        <w:rPr>
          <w:rFonts w:ascii="Verdana" w:hAnsi="Verdana"/>
          <w:sz w:val="20"/>
          <w:szCs w:val="20"/>
          <w:lang w:val="es-CR"/>
        </w:rPr>
        <w:t xml:space="preserve">. </w:t>
      </w:r>
    </w:p>
    <w:p w:rsidR="00046664" w:rsidRPr="006B6FAD" w:rsidRDefault="00046664" w:rsidP="00F44E8F">
      <w:pPr>
        <w:pStyle w:val="ListParagraph"/>
        <w:spacing w:after="0"/>
        <w:ind w:left="0"/>
        <w:rPr>
          <w:rFonts w:ascii="Verdana" w:hAnsi="Verdana"/>
          <w:b/>
          <w:sz w:val="14"/>
          <w:szCs w:val="14"/>
          <w:lang w:val="es-CR"/>
        </w:rPr>
      </w:pPr>
    </w:p>
    <w:p w:rsidR="00A51E0E" w:rsidRPr="006B6FAD" w:rsidRDefault="00A51E0E" w:rsidP="00F44E8F">
      <w:pPr>
        <w:pStyle w:val="ListParagraph"/>
        <w:spacing w:after="0"/>
        <w:ind w:left="0"/>
        <w:rPr>
          <w:rFonts w:ascii="Verdana" w:hAnsi="Verdana"/>
          <w:b/>
          <w:sz w:val="14"/>
          <w:szCs w:val="14"/>
          <w:lang w:val="es-CR"/>
        </w:rPr>
      </w:pPr>
    </w:p>
    <w:p w:rsidR="002C0903" w:rsidRPr="006B6FAD" w:rsidRDefault="002C0903" w:rsidP="00F44E8F">
      <w:pPr>
        <w:spacing w:after="0" w:line="240" w:lineRule="auto"/>
        <w:jc w:val="both"/>
        <w:rPr>
          <w:rFonts w:ascii="Verdana" w:hAnsi="Verdana"/>
          <w:b/>
          <w:sz w:val="20"/>
          <w:szCs w:val="20"/>
          <w:lang w:val="es-CR"/>
        </w:rPr>
      </w:pPr>
      <w:r w:rsidRPr="006B6FAD">
        <w:rPr>
          <w:rFonts w:ascii="Verdana" w:hAnsi="Verdana"/>
          <w:b/>
          <w:sz w:val="20"/>
          <w:szCs w:val="20"/>
          <w:lang w:val="es-CR"/>
        </w:rPr>
        <w:t>CONSIDERANDO QUE:</w:t>
      </w:r>
    </w:p>
    <w:p w:rsidR="002C0903" w:rsidRPr="006B6FAD" w:rsidRDefault="002C0903" w:rsidP="00F44E8F">
      <w:pPr>
        <w:spacing w:after="0" w:line="240" w:lineRule="auto"/>
        <w:jc w:val="both"/>
        <w:rPr>
          <w:rFonts w:ascii="Verdana" w:hAnsi="Verdana"/>
          <w:b/>
          <w:sz w:val="14"/>
          <w:szCs w:val="14"/>
          <w:lang w:val="es-CR"/>
        </w:rPr>
      </w:pPr>
    </w:p>
    <w:p w:rsidR="004C5BEC" w:rsidRPr="006B6FAD" w:rsidRDefault="004C5BEC"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cs="Verdana"/>
          <w:sz w:val="20"/>
          <w:szCs w:val="20"/>
          <w:lang w:val="es-CR"/>
        </w:rPr>
        <w:t xml:space="preserve">En las Sentencias que emitió la Corte en el </w:t>
      </w:r>
      <w:r w:rsidRPr="006B6FAD">
        <w:rPr>
          <w:rFonts w:ascii="Verdana" w:hAnsi="Verdana" w:cs="Verdana"/>
          <w:i/>
          <w:sz w:val="20"/>
          <w:szCs w:val="20"/>
          <w:lang w:val="es-CR"/>
        </w:rPr>
        <w:t>caso Durand y Ugarte Vs. Perú</w:t>
      </w:r>
      <w:r w:rsidRPr="006B6FAD">
        <w:rPr>
          <w:rFonts w:ascii="Verdana" w:hAnsi="Verdana"/>
          <w:sz w:val="20"/>
          <w:szCs w:val="20"/>
          <w:lang w:val="es-CR"/>
        </w:rPr>
        <w:t xml:space="preserve"> ordenó al Estado que cumpla con su obligación de investigar los hechos violatorios (</w:t>
      </w:r>
      <w:r w:rsidRPr="006B6FAD">
        <w:rPr>
          <w:rFonts w:ascii="Verdana" w:hAnsi="Verdana"/>
          <w:i/>
          <w:sz w:val="20"/>
          <w:szCs w:val="20"/>
          <w:lang w:val="es-CR"/>
        </w:rPr>
        <w:t>supra</w:t>
      </w:r>
      <w:r w:rsidRPr="006B6FAD">
        <w:rPr>
          <w:rFonts w:ascii="Verdana" w:hAnsi="Verdana"/>
          <w:sz w:val="20"/>
          <w:szCs w:val="20"/>
          <w:lang w:val="es-CR"/>
        </w:rPr>
        <w:t xml:space="preserve"> Visto 1), y juzgar y sancionar a los responsables</w:t>
      </w:r>
      <w:r w:rsidRPr="006B6FAD">
        <w:rPr>
          <w:rStyle w:val="FootnoteReference"/>
          <w:rFonts w:ascii="Verdana" w:hAnsi="Verdana"/>
          <w:sz w:val="20"/>
          <w:szCs w:val="20"/>
          <w:lang w:val="es-CR"/>
        </w:rPr>
        <w:footnoteReference w:id="5"/>
      </w:r>
      <w:r w:rsidRPr="006B6FAD">
        <w:rPr>
          <w:rFonts w:ascii="Verdana" w:hAnsi="Verdana"/>
          <w:sz w:val="20"/>
          <w:szCs w:val="20"/>
          <w:lang w:val="es-CR"/>
        </w:rPr>
        <w:t>.</w:t>
      </w:r>
    </w:p>
    <w:p w:rsidR="004C5BEC" w:rsidRPr="006B6FAD" w:rsidRDefault="004C5BEC" w:rsidP="00F44E8F">
      <w:pPr>
        <w:spacing w:after="0" w:line="240" w:lineRule="auto"/>
        <w:jc w:val="both"/>
        <w:rPr>
          <w:rFonts w:ascii="Verdana" w:hAnsi="Verdana"/>
          <w:sz w:val="14"/>
          <w:szCs w:val="14"/>
          <w:lang w:val="es-CR"/>
        </w:rPr>
      </w:pPr>
    </w:p>
    <w:p w:rsidR="00004C0A" w:rsidRPr="006B6FAD" w:rsidRDefault="00004C0A" w:rsidP="00F44E8F">
      <w:pPr>
        <w:spacing w:after="0" w:line="240" w:lineRule="auto"/>
        <w:jc w:val="both"/>
        <w:rPr>
          <w:rFonts w:ascii="Verdana" w:hAnsi="Verdana"/>
          <w:sz w:val="14"/>
          <w:szCs w:val="14"/>
          <w:lang w:val="es-CR"/>
        </w:rPr>
      </w:pPr>
    </w:p>
    <w:p w:rsidR="00DC642C" w:rsidRPr="006B6FAD" w:rsidRDefault="00DD1235"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cs="Verdana"/>
          <w:sz w:val="20"/>
          <w:szCs w:val="20"/>
          <w:lang w:val="es-CR"/>
        </w:rPr>
        <w:t>De acuerdo a las facultades que le otorga el artículo 63.2 de la Convención Americana</w:t>
      </w:r>
      <w:r w:rsidR="008E6700" w:rsidRPr="006B6FAD">
        <w:rPr>
          <w:rFonts w:ascii="Verdana" w:hAnsi="Verdana" w:cs="Verdana"/>
          <w:sz w:val="20"/>
          <w:szCs w:val="20"/>
          <w:lang w:val="es-CR"/>
        </w:rPr>
        <w:t xml:space="preserve"> y </w:t>
      </w:r>
      <w:r w:rsidR="00722076" w:rsidRPr="006B6FAD">
        <w:rPr>
          <w:rFonts w:ascii="Verdana" w:hAnsi="Verdana" w:cs="Verdana"/>
          <w:sz w:val="20"/>
          <w:szCs w:val="20"/>
          <w:lang w:val="es-CR"/>
        </w:rPr>
        <w:t xml:space="preserve">los </w:t>
      </w:r>
      <w:r w:rsidR="008E6700" w:rsidRPr="006B6FAD">
        <w:rPr>
          <w:rFonts w:ascii="Verdana" w:hAnsi="Verdana" w:cs="Verdana"/>
          <w:sz w:val="20"/>
          <w:szCs w:val="20"/>
          <w:lang w:val="es-CR"/>
        </w:rPr>
        <w:t>artículos 27 y 31 del Reglamento del Tribunal</w:t>
      </w:r>
      <w:r w:rsidRPr="006B6FAD">
        <w:rPr>
          <w:rFonts w:ascii="Verdana" w:hAnsi="Verdana" w:cs="Verdana"/>
          <w:sz w:val="20"/>
          <w:szCs w:val="20"/>
          <w:lang w:val="es-CR"/>
        </w:rPr>
        <w:t xml:space="preserve">, </w:t>
      </w:r>
      <w:r w:rsidR="00DC642C" w:rsidRPr="006B6FAD">
        <w:rPr>
          <w:rFonts w:ascii="Verdana" w:hAnsi="Verdana" w:cs="Verdana"/>
          <w:sz w:val="20"/>
          <w:szCs w:val="20"/>
          <w:lang w:val="es-CR"/>
        </w:rPr>
        <w:t xml:space="preserve">en </w:t>
      </w:r>
      <w:r w:rsidR="00DC642C" w:rsidRPr="006B6FAD">
        <w:rPr>
          <w:rFonts w:ascii="Verdana" w:hAnsi="Verdana"/>
          <w:sz w:val="20"/>
          <w:szCs w:val="20"/>
          <w:lang w:val="es-CR"/>
        </w:rPr>
        <w:t>el punto resolutivo primero de dicha Resolución de 8 de febrero de 2018</w:t>
      </w:r>
      <w:r w:rsidR="005372E8" w:rsidRPr="006B6FAD">
        <w:rPr>
          <w:rFonts w:ascii="Verdana" w:hAnsi="Verdana"/>
          <w:sz w:val="20"/>
          <w:szCs w:val="20"/>
          <w:lang w:val="es-CR"/>
        </w:rPr>
        <w:t xml:space="preserve"> (</w:t>
      </w:r>
      <w:r w:rsidR="005372E8" w:rsidRPr="006B6FAD">
        <w:rPr>
          <w:rFonts w:ascii="Verdana" w:hAnsi="Verdana"/>
          <w:i/>
          <w:sz w:val="20"/>
          <w:szCs w:val="20"/>
          <w:lang w:val="es-CR"/>
        </w:rPr>
        <w:t xml:space="preserve">supra </w:t>
      </w:r>
      <w:r w:rsidR="005372E8" w:rsidRPr="006B6FAD">
        <w:rPr>
          <w:rFonts w:ascii="Verdana" w:hAnsi="Verdana"/>
          <w:sz w:val="20"/>
          <w:szCs w:val="20"/>
          <w:lang w:val="es-CR"/>
        </w:rPr>
        <w:t>Visto 2)</w:t>
      </w:r>
      <w:r w:rsidR="00DC642C" w:rsidRPr="006B6FAD">
        <w:rPr>
          <w:rFonts w:ascii="Verdana" w:hAnsi="Verdana"/>
          <w:sz w:val="20"/>
          <w:szCs w:val="20"/>
          <w:lang w:val="es-CR"/>
        </w:rPr>
        <w:t>, la Corte dispuso “[r]</w:t>
      </w:r>
      <w:r w:rsidR="00DC642C" w:rsidRPr="006B6FAD">
        <w:rPr>
          <w:rFonts w:ascii="Verdana" w:hAnsi="Verdana"/>
          <w:sz w:val="20"/>
          <w:lang w:val="es-CR"/>
        </w:rPr>
        <w:t xml:space="preserve">atificar la Resolución del Presidente de la Corte Interamericana de Derechos Humanos de 17 de diciembre de </w:t>
      </w:r>
      <w:r w:rsidR="00DC642C" w:rsidRPr="006B6FAD">
        <w:rPr>
          <w:rFonts w:ascii="Verdana" w:hAnsi="Verdana"/>
          <w:sz w:val="20"/>
          <w:szCs w:val="20"/>
          <w:lang w:val="es-CR"/>
        </w:rPr>
        <w:t xml:space="preserve">2017 y requerir al Estado del Perú que, para garantizar </w:t>
      </w:r>
      <w:r w:rsidR="00DC642C" w:rsidRPr="006B6FAD">
        <w:rPr>
          <w:rFonts w:ascii="Verdana" w:hAnsi="Verdana" w:cs="Verdana"/>
          <w:sz w:val="20"/>
          <w:szCs w:val="20"/>
          <w:lang w:val="es-CR"/>
        </w:rPr>
        <w:t xml:space="preserve">el derecho de las víctimas del </w:t>
      </w:r>
      <w:r w:rsidR="00DC642C" w:rsidRPr="006B6FAD">
        <w:rPr>
          <w:rFonts w:ascii="Verdana" w:hAnsi="Verdana" w:cs="Verdana"/>
          <w:i/>
          <w:sz w:val="20"/>
          <w:szCs w:val="20"/>
          <w:lang w:val="es-CR"/>
        </w:rPr>
        <w:t>caso Durand y Ugarte</w:t>
      </w:r>
      <w:r w:rsidR="00DC642C" w:rsidRPr="006B6FAD">
        <w:rPr>
          <w:rFonts w:ascii="Verdana" w:hAnsi="Verdana" w:cs="Verdana"/>
          <w:sz w:val="20"/>
          <w:szCs w:val="20"/>
          <w:lang w:val="es-CR"/>
        </w:rPr>
        <w:t xml:space="preserve"> a obtener un acceso a la justicia sin interferencias en la independencia judicial, </w:t>
      </w:r>
      <w:r w:rsidR="00DC642C" w:rsidRPr="006B6FAD">
        <w:rPr>
          <w:rFonts w:ascii="Verdana" w:hAnsi="Verdana"/>
          <w:sz w:val="20"/>
          <w:szCs w:val="20"/>
          <w:lang w:val="es-CR"/>
        </w:rPr>
        <w:t xml:space="preserve">archive el procedimiento de acusación constitucional actualmente seguido ante el Congreso de la República contra los Magistrados </w:t>
      </w:r>
      <w:r w:rsidR="00DC642C" w:rsidRPr="006B6FAD">
        <w:rPr>
          <w:rFonts w:ascii="Verdana" w:hAnsi="Verdana" w:cs="Verdana"/>
          <w:color w:val="000000"/>
          <w:sz w:val="20"/>
          <w:szCs w:val="20"/>
          <w:lang w:val="es-CR"/>
        </w:rPr>
        <w:t xml:space="preserve">Manuel Miranda, Marianella Ledesma, Carlos Ramos y Eloy Espinosa-Saldaña, al que </w:t>
      </w:r>
      <w:r w:rsidR="00722076" w:rsidRPr="006B6FAD">
        <w:rPr>
          <w:rFonts w:ascii="Verdana" w:hAnsi="Verdana" w:cs="Verdana"/>
          <w:color w:val="000000"/>
          <w:sz w:val="20"/>
          <w:szCs w:val="20"/>
          <w:lang w:val="es-CR"/>
        </w:rPr>
        <w:t>[hizo]</w:t>
      </w:r>
      <w:r w:rsidR="00DC642C" w:rsidRPr="006B6FAD">
        <w:rPr>
          <w:rFonts w:ascii="Verdana" w:hAnsi="Verdana" w:cs="Verdana"/>
          <w:color w:val="000000"/>
          <w:sz w:val="20"/>
          <w:szCs w:val="20"/>
          <w:lang w:val="es-CR"/>
        </w:rPr>
        <w:t xml:space="preserve"> referencia en </w:t>
      </w:r>
      <w:r w:rsidR="00722076" w:rsidRPr="006B6FAD">
        <w:rPr>
          <w:rFonts w:ascii="Verdana" w:hAnsi="Verdana" w:cs="Verdana"/>
          <w:color w:val="000000"/>
          <w:sz w:val="20"/>
          <w:szCs w:val="20"/>
          <w:lang w:val="es-CR"/>
        </w:rPr>
        <w:t xml:space="preserve">[dicha] </w:t>
      </w:r>
      <w:r w:rsidR="00DC642C" w:rsidRPr="006B6FAD">
        <w:rPr>
          <w:rFonts w:ascii="Verdana" w:hAnsi="Verdana" w:cs="Verdana"/>
          <w:color w:val="000000"/>
          <w:sz w:val="20"/>
          <w:szCs w:val="20"/>
          <w:lang w:val="es-CR"/>
        </w:rPr>
        <w:t>Resolución”.</w:t>
      </w:r>
      <w:r w:rsidR="00DC642C" w:rsidRPr="006B6FAD">
        <w:rPr>
          <w:rFonts w:ascii="Verdana" w:hAnsi="Verdana"/>
          <w:sz w:val="20"/>
          <w:szCs w:val="20"/>
          <w:lang w:val="es-CR"/>
        </w:rPr>
        <w:t xml:space="preserve"> En el punto resolutivo segundo le solicitó un informe de cumplimiento</w:t>
      </w:r>
      <w:r w:rsidR="00DC642C" w:rsidRPr="006B6FAD">
        <w:rPr>
          <w:rStyle w:val="FootnoteReference"/>
          <w:rFonts w:ascii="Verdana" w:hAnsi="Verdana"/>
          <w:sz w:val="20"/>
          <w:szCs w:val="20"/>
          <w:lang w:val="es-CR"/>
        </w:rPr>
        <w:footnoteReference w:id="6"/>
      </w:r>
      <w:r w:rsidR="00DC642C" w:rsidRPr="006B6FAD">
        <w:rPr>
          <w:rFonts w:ascii="Verdana" w:hAnsi="Verdana"/>
          <w:sz w:val="20"/>
          <w:szCs w:val="20"/>
          <w:lang w:val="es-CR"/>
        </w:rPr>
        <w:t>.</w:t>
      </w:r>
    </w:p>
    <w:p w:rsidR="00DC642C" w:rsidRPr="006B6FAD" w:rsidRDefault="00DC642C" w:rsidP="00F44E8F">
      <w:pPr>
        <w:pStyle w:val="ListParagraph"/>
        <w:spacing w:after="0"/>
        <w:rPr>
          <w:rFonts w:ascii="Verdana" w:hAnsi="Verdana" w:cs="Verdana"/>
          <w:sz w:val="14"/>
          <w:szCs w:val="14"/>
          <w:lang w:val="es-CR"/>
        </w:rPr>
      </w:pPr>
    </w:p>
    <w:p w:rsidR="00004C0A" w:rsidRPr="006B6FAD" w:rsidRDefault="00004C0A" w:rsidP="00F44E8F">
      <w:pPr>
        <w:pStyle w:val="ListParagraph"/>
        <w:spacing w:after="0"/>
        <w:rPr>
          <w:rFonts w:ascii="Verdana" w:hAnsi="Verdana" w:cs="Verdana"/>
          <w:sz w:val="14"/>
          <w:szCs w:val="14"/>
          <w:lang w:val="es-CR"/>
        </w:rPr>
      </w:pPr>
    </w:p>
    <w:p w:rsidR="00DD1235" w:rsidRPr="006B6FAD" w:rsidRDefault="00A9614F"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cs="Verdana"/>
          <w:sz w:val="20"/>
          <w:szCs w:val="20"/>
          <w:lang w:val="es-CR"/>
        </w:rPr>
        <w:t>E</w:t>
      </w:r>
      <w:r w:rsidR="008B47C8" w:rsidRPr="006B6FAD">
        <w:rPr>
          <w:rFonts w:ascii="Verdana" w:hAnsi="Verdana" w:cs="Verdana"/>
          <w:sz w:val="20"/>
          <w:szCs w:val="20"/>
          <w:lang w:val="es-CR"/>
        </w:rPr>
        <w:t>n</w:t>
      </w:r>
      <w:r w:rsidR="00DD1235" w:rsidRPr="006B6FAD">
        <w:rPr>
          <w:rFonts w:ascii="Verdana" w:hAnsi="Verdana" w:cs="Verdana"/>
          <w:sz w:val="20"/>
          <w:szCs w:val="20"/>
          <w:lang w:val="es-CR"/>
        </w:rPr>
        <w:t xml:space="preserve"> </w:t>
      </w:r>
      <w:r w:rsidR="008B47C8" w:rsidRPr="006B6FAD">
        <w:rPr>
          <w:rFonts w:ascii="Verdana" w:hAnsi="Verdana" w:cs="Verdana"/>
          <w:sz w:val="20"/>
          <w:szCs w:val="20"/>
          <w:lang w:val="es-CR"/>
        </w:rPr>
        <w:t xml:space="preserve">el Considerando 42 de </w:t>
      </w:r>
      <w:r w:rsidRPr="006B6FAD">
        <w:rPr>
          <w:rFonts w:ascii="Verdana" w:hAnsi="Verdana" w:cs="Verdana"/>
          <w:sz w:val="20"/>
          <w:szCs w:val="20"/>
          <w:lang w:val="es-CR"/>
        </w:rPr>
        <w:t xml:space="preserve">dicha </w:t>
      </w:r>
      <w:r w:rsidR="00DD1235" w:rsidRPr="006B6FAD">
        <w:rPr>
          <w:rFonts w:ascii="Verdana" w:hAnsi="Verdana" w:cs="Verdana"/>
          <w:sz w:val="20"/>
          <w:szCs w:val="20"/>
          <w:lang w:val="es-CR"/>
        </w:rPr>
        <w:t xml:space="preserve">Resolución, la Corte requirió al Estado: </w:t>
      </w:r>
    </w:p>
    <w:p w:rsidR="00DD1235" w:rsidRPr="006B6FAD" w:rsidRDefault="00DD1235" w:rsidP="00F44E8F">
      <w:pPr>
        <w:pStyle w:val="ListParagraph"/>
        <w:spacing w:after="0" w:line="240" w:lineRule="auto"/>
        <w:ind w:right="720"/>
        <w:jc w:val="both"/>
        <w:rPr>
          <w:rFonts w:ascii="Verdana" w:hAnsi="Verdana" w:cs="Verdana"/>
          <w:sz w:val="10"/>
          <w:szCs w:val="10"/>
          <w:lang w:val="es-CR"/>
        </w:rPr>
      </w:pPr>
    </w:p>
    <w:p w:rsidR="00DD1235" w:rsidRPr="006B6FAD" w:rsidRDefault="00DD1235" w:rsidP="00F44E8F">
      <w:pPr>
        <w:pStyle w:val="ListParagraph"/>
        <w:spacing w:after="0" w:line="240" w:lineRule="auto"/>
        <w:ind w:right="720"/>
        <w:jc w:val="both"/>
        <w:rPr>
          <w:rFonts w:ascii="Verdana" w:hAnsi="Verdana"/>
          <w:sz w:val="16"/>
          <w:szCs w:val="16"/>
          <w:lang w:val="es-CR"/>
        </w:rPr>
      </w:pPr>
      <w:r w:rsidRPr="006B6FAD">
        <w:rPr>
          <w:rFonts w:ascii="Verdana" w:hAnsi="Verdana" w:cs="Verdana"/>
          <w:sz w:val="16"/>
          <w:szCs w:val="16"/>
          <w:lang w:val="es-CR"/>
        </w:rPr>
        <w:lastRenderedPageBreak/>
        <w:t xml:space="preserve">archivar </w:t>
      </w:r>
      <w:r w:rsidRPr="006B6FAD">
        <w:rPr>
          <w:rFonts w:ascii="Verdana" w:hAnsi="Verdana"/>
          <w:sz w:val="16"/>
          <w:szCs w:val="16"/>
          <w:lang w:val="es-CR"/>
        </w:rPr>
        <w:t xml:space="preserve">el procedimiento de acusación constitucional seguido actualmente en el Congreso de la República contra los Magistrados del Tribunal Constitucional </w:t>
      </w:r>
      <w:r w:rsidRPr="006B6FAD">
        <w:rPr>
          <w:rFonts w:ascii="Verdana" w:hAnsi="Verdana" w:cs="Verdana"/>
          <w:color w:val="000000"/>
          <w:sz w:val="16"/>
          <w:szCs w:val="16"/>
          <w:lang w:val="es-CR"/>
        </w:rPr>
        <w:t>Manuel Miranda, Marianella Ledesma, Carlos Ramos y Eloy Espinosa-Saldaña,</w:t>
      </w:r>
      <w:r w:rsidRPr="006B6FAD">
        <w:rPr>
          <w:rFonts w:ascii="Verdana" w:hAnsi="Verdana"/>
          <w:sz w:val="16"/>
          <w:szCs w:val="16"/>
          <w:lang w:val="es-CR"/>
        </w:rPr>
        <w:t xml:space="preserve"> </w:t>
      </w:r>
      <w:r w:rsidRPr="006B6FAD">
        <w:rPr>
          <w:rFonts w:ascii="Verdana" w:hAnsi="Verdana" w:cs="Verdana"/>
          <w:color w:val="000000"/>
          <w:sz w:val="16"/>
          <w:szCs w:val="16"/>
          <w:lang w:val="es-CR"/>
        </w:rPr>
        <w:t xml:space="preserve">al que se ha hecho referencia en esta Resolución, </w:t>
      </w:r>
      <w:r w:rsidRPr="006B6FAD">
        <w:rPr>
          <w:rFonts w:ascii="Verdana" w:hAnsi="Verdana"/>
          <w:sz w:val="16"/>
          <w:szCs w:val="16"/>
          <w:lang w:val="es-CR"/>
        </w:rPr>
        <w:t xml:space="preserve">de manera que ese procedimiento no siga generando presiones indebidas tanto en ese alto tribunal como en los jueces penales para resolver lo pertinente en relación con el referido caso. Esto constituye una condición necesaria para que los familiares de los señores Nolberto Durand y Gabriel Ugarte, víctimas del caso, sean reparados en su derecho a conocer la verdad en el caso a través del cumplimiento efectivo de la obligación de investigar, juzgar y, de ser el caso, sancionar, ordenada en la Sentencia. Por tanto, la presente medida se ordena en relación con la situación que actualmente enfrentan las víctimas del caso, en tanto si bien existen avances en la obligación de investigar con el inicio del juicio oral del proceso penal actualmente en trámite, han transcurrido más de treinta y un años desde que ocurrieron los hechos sin que, a la fecha, se hayan determinado las responsabilidades correspondientes, lo cual es una afrenta a su acceso a la justicia. </w:t>
      </w:r>
    </w:p>
    <w:p w:rsidR="00004C0A" w:rsidRPr="006B6FAD" w:rsidRDefault="00004C0A" w:rsidP="00F44E8F">
      <w:pPr>
        <w:pStyle w:val="ListParagraph"/>
        <w:spacing w:after="0" w:line="240" w:lineRule="auto"/>
        <w:ind w:left="0"/>
        <w:jc w:val="both"/>
        <w:rPr>
          <w:rFonts w:ascii="Verdana" w:hAnsi="Verdana"/>
          <w:sz w:val="20"/>
          <w:szCs w:val="20"/>
          <w:lang w:val="es-CR"/>
        </w:rPr>
      </w:pPr>
    </w:p>
    <w:p w:rsidR="00FD51B5" w:rsidRPr="006B6FAD" w:rsidRDefault="00306C5A"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sz w:val="20"/>
          <w:szCs w:val="20"/>
          <w:lang w:val="es-CR"/>
        </w:rPr>
        <w:t>La disposición establecida en el artículo 63.2 de la Convención confiere un carácter obligatorio a la adopción, por parte del Estado, de las medidas provisionales que le ordena este Tribunal, ya que, de acuerdo a un principio básico del Derecho Internacional, los Estados deben cumplir sus obligaciones de buena fe (</w:t>
      </w:r>
      <w:r w:rsidRPr="006B6FAD">
        <w:rPr>
          <w:rFonts w:ascii="Verdana" w:hAnsi="Verdana"/>
          <w:i/>
          <w:sz w:val="20"/>
          <w:szCs w:val="20"/>
          <w:lang w:val="es-CR"/>
        </w:rPr>
        <w:t>pacta sunt servanda)</w:t>
      </w:r>
      <w:r w:rsidRPr="006B6FAD">
        <w:rPr>
          <w:rStyle w:val="FootnoteReference"/>
          <w:sz w:val="20"/>
          <w:szCs w:val="20"/>
        </w:rPr>
        <w:footnoteReference w:id="7"/>
      </w:r>
      <w:r w:rsidRPr="006B6FAD">
        <w:rPr>
          <w:rFonts w:ascii="Verdana" w:hAnsi="Verdana"/>
          <w:sz w:val="20"/>
          <w:szCs w:val="20"/>
          <w:lang w:val="es-CR"/>
        </w:rPr>
        <w:t xml:space="preserve">. </w:t>
      </w:r>
    </w:p>
    <w:p w:rsidR="0031553E" w:rsidRPr="006B6FAD" w:rsidRDefault="0031553E" w:rsidP="00F44E8F">
      <w:pPr>
        <w:pStyle w:val="ListParagraph"/>
        <w:spacing w:after="0" w:line="240" w:lineRule="auto"/>
        <w:ind w:left="0"/>
        <w:jc w:val="both"/>
        <w:rPr>
          <w:rFonts w:ascii="Verdana" w:hAnsi="Verdana"/>
          <w:sz w:val="20"/>
          <w:szCs w:val="20"/>
          <w:lang w:val="es-CR"/>
        </w:rPr>
      </w:pPr>
    </w:p>
    <w:p w:rsidR="00546429" w:rsidRPr="006B6FAD" w:rsidRDefault="006D654F"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sz w:val="20"/>
          <w:szCs w:val="20"/>
          <w:lang w:val="es-CR"/>
        </w:rPr>
        <w:t>M</w:t>
      </w:r>
      <w:r w:rsidR="00FD51B5" w:rsidRPr="006B6FAD">
        <w:rPr>
          <w:rFonts w:ascii="Verdana" w:hAnsi="Verdana"/>
          <w:sz w:val="20"/>
          <w:szCs w:val="20"/>
          <w:lang w:val="es-CR"/>
        </w:rPr>
        <w:t xml:space="preserve">ediante </w:t>
      </w:r>
      <w:r w:rsidR="0031553E" w:rsidRPr="006B6FAD">
        <w:rPr>
          <w:rFonts w:ascii="Verdana" w:hAnsi="Verdana"/>
          <w:sz w:val="20"/>
          <w:szCs w:val="20"/>
          <w:lang w:val="es-CR"/>
        </w:rPr>
        <w:t>escrito de abril</w:t>
      </w:r>
      <w:r w:rsidR="00FD51B5" w:rsidRPr="006B6FAD">
        <w:rPr>
          <w:rFonts w:ascii="Verdana" w:hAnsi="Verdana"/>
          <w:sz w:val="20"/>
          <w:szCs w:val="20"/>
          <w:lang w:val="es-CR"/>
        </w:rPr>
        <w:t xml:space="preserve"> de 201</w:t>
      </w:r>
      <w:r w:rsidR="0031553E" w:rsidRPr="006B6FAD">
        <w:rPr>
          <w:rFonts w:ascii="Verdana" w:hAnsi="Verdana"/>
          <w:sz w:val="20"/>
          <w:szCs w:val="20"/>
          <w:lang w:val="es-CR"/>
        </w:rPr>
        <w:t>8</w:t>
      </w:r>
      <w:r w:rsidR="00FD51B5" w:rsidRPr="006B6FAD">
        <w:rPr>
          <w:rFonts w:ascii="Verdana" w:hAnsi="Verdana"/>
          <w:sz w:val="20"/>
          <w:szCs w:val="20"/>
          <w:lang w:val="es-CR"/>
        </w:rPr>
        <w:t xml:space="preserve">, </w:t>
      </w:r>
      <w:r w:rsidRPr="006B6FAD">
        <w:rPr>
          <w:rFonts w:ascii="Verdana" w:hAnsi="Verdana"/>
          <w:sz w:val="20"/>
          <w:szCs w:val="20"/>
          <w:lang w:val="es-CR"/>
        </w:rPr>
        <w:t xml:space="preserve">el Perú </w:t>
      </w:r>
      <w:r w:rsidR="00FD51B5" w:rsidRPr="006B6FAD">
        <w:rPr>
          <w:rFonts w:ascii="Verdana" w:hAnsi="Verdana"/>
          <w:sz w:val="20"/>
          <w:szCs w:val="20"/>
          <w:lang w:val="es-CR"/>
        </w:rPr>
        <w:t xml:space="preserve">solicitó </w:t>
      </w:r>
      <w:r w:rsidR="00854EE2" w:rsidRPr="006B6FAD">
        <w:rPr>
          <w:rFonts w:ascii="Verdana" w:hAnsi="Verdana"/>
          <w:sz w:val="20"/>
          <w:szCs w:val="20"/>
          <w:lang w:val="es-CR"/>
        </w:rPr>
        <w:t xml:space="preserve">a la Corte </w:t>
      </w:r>
      <w:r w:rsidR="00FD51B5" w:rsidRPr="006B6FAD">
        <w:rPr>
          <w:rFonts w:ascii="Verdana" w:hAnsi="Verdana"/>
          <w:sz w:val="20"/>
          <w:szCs w:val="20"/>
          <w:lang w:val="es-CR"/>
        </w:rPr>
        <w:t xml:space="preserve">que </w:t>
      </w:r>
      <w:r w:rsidR="0031553E" w:rsidRPr="006B6FAD">
        <w:rPr>
          <w:rFonts w:ascii="Verdana" w:hAnsi="Verdana"/>
          <w:sz w:val="20"/>
          <w:szCs w:val="20"/>
          <w:lang w:val="es-CR"/>
        </w:rPr>
        <w:t xml:space="preserve">reconsidere los </w:t>
      </w:r>
      <w:r w:rsidR="00F44E8F" w:rsidRPr="006B6FAD">
        <w:rPr>
          <w:rFonts w:ascii="Verdana" w:hAnsi="Verdana"/>
          <w:sz w:val="20"/>
          <w:szCs w:val="20"/>
          <w:lang w:val="es-CR"/>
        </w:rPr>
        <w:t>“</w:t>
      </w:r>
      <w:r w:rsidR="0031553E" w:rsidRPr="006B6FAD">
        <w:rPr>
          <w:rFonts w:ascii="Verdana" w:hAnsi="Verdana"/>
          <w:sz w:val="20"/>
          <w:szCs w:val="20"/>
          <w:lang w:val="es-CR"/>
        </w:rPr>
        <w:t>fundamentos y los Puntos Resolutivos de la Resolución de Medidas Provisionales [emitida el 8 de febrero de 2018] y, dejándose sin efecto la misma, se disponga […q]ue se deniegue de la solicitud de medidas provisionales [… o], en su defecto, se precise el límite temporal de la medida provisional que la Corte IDH considere conveniente otorgar”.</w:t>
      </w:r>
      <w:r w:rsidR="00546429" w:rsidRPr="006B6FAD">
        <w:rPr>
          <w:rFonts w:ascii="Verdana" w:hAnsi="Verdana"/>
          <w:sz w:val="20"/>
          <w:szCs w:val="20"/>
          <w:lang w:val="es-CR"/>
        </w:rPr>
        <w:t xml:space="preserve"> </w:t>
      </w:r>
    </w:p>
    <w:p w:rsidR="00546429" w:rsidRPr="006B6FAD" w:rsidRDefault="00546429" w:rsidP="00F44E8F">
      <w:pPr>
        <w:pStyle w:val="ListParagraph"/>
        <w:spacing w:after="0" w:line="240" w:lineRule="auto"/>
        <w:ind w:left="0"/>
        <w:jc w:val="both"/>
        <w:rPr>
          <w:rFonts w:ascii="Verdana" w:hAnsi="Verdana"/>
          <w:sz w:val="20"/>
          <w:szCs w:val="20"/>
          <w:lang w:val="es-CR"/>
        </w:rPr>
      </w:pPr>
    </w:p>
    <w:p w:rsidR="0083101C" w:rsidRPr="006B6FAD" w:rsidRDefault="00546429"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sz w:val="20"/>
          <w:szCs w:val="20"/>
          <w:lang w:val="es-CR"/>
        </w:rPr>
        <w:t>El Estado argumentó que</w:t>
      </w:r>
      <w:r w:rsidR="009964F4" w:rsidRPr="006B6FAD">
        <w:rPr>
          <w:rFonts w:ascii="Verdana" w:hAnsi="Verdana"/>
          <w:sz w:val="20"/>
          <w:szCs w:val="20"/>
          <w:lang w:val="es-CR"/>
        </w:rPr>
        <w:t>,</w:t>
      </w:r>
      <w:r w:rsidRPr="006B6FAD">
        <w:rPr>
          <w:rFonts w:ascii="Verdana" w:hAnsi="Verdana"/>
          <w:sz w:val="20"/>
          <w:szCs w:val="20"/>
          <w:lang w:val="es-CR"/>
        </w:rPr>
        <w:t xml:space="preserve"> si bien las normas del sistema interamericano “no recoge[n] procedimiento alguno que permita cuestionar las actuaciones de la Corte IDH o solicita</w:t>
      </w:r>
      <w:r w:rsidR="00B0317F" w:rsidRPr="006B6FAD">
        <w:rPr>
          <w:rFonts w:ascii="Verdana" w:hAnsi="Verdana"/>
          <w:sz w:val="20"/>
          <w:szCs w:val="20"/>
          <w:lang w:val="es-CR"/>
        </w:rPr>
        <w:t>r</w:t>
      </w:r>
      <w:r w:rsidRPr="006B6FAD">
        <w:rPr>
          <w:rFonts w:ascii="Verdana" w:hAnsi="Verdana"/>
          <w:sz w:val="20"/>
          <w:szCs w:val="20"/>
          <w:lang w:val="es-CR"/>
        </w:rPr>
        <w:t xml:space="preserve"> la reconsideración de lo resuelto por ella, esta </w:t>
      </w:r>
      <w:r w:rsidR="0031553E" w:rsidRPr="006B6FAD">
        <w:rPr>
          <w:rFonts w:ascii="Verdana" w:hAnsi="Verdana"/>
          <w:sz w:val="20"/>
          <w:szCs w:val="20"/>
          <w:lang w:val="es-CR"/>
        </w:rPr>
        <w:t>[</w:t>
      </w:r>
      <w:r w:rsidRPr="006B6FAD">
        <w:rPr>
          <w:rFonts w:ascii="Verdana" w:hAnsi="Verdana"/>
          <w:sz w:val="20"/>
          <w:szCs w:val="20"/>
          <w:lang w:val="es-CR"/>
        </w:rPr>
        <w:t>p</w:t>
      </w:r>
      <w:r w:rsidR="0031553E" w:rsidRPr="006B6FAD">
        <w:rPr>
          <w:rFonts w:ascii="Verdana" w:hAnsi="Verdana"/>
          <w:sz w:val="20"/>
          <w:szCs w:val="20"/>
          <w:lang w:val="es-CR"/>
        </w:rPr>
        <w:t>]</w:t>
      </w:r>
      <w:r w:rsidRPr="006B6FAD">
        <w:rPr>
          <w:rFonts w:ascii="Verdana" w:hAnsi="Verdana"/>
          <w:sz w:val="20"/>
          <w:szCs w:val="20"/>
          <w:lang w:val="es-CR"/>
        </w:rPr>
        <w:t xml:space="preserve">arte considera que </w:t>
      </w:r>
      <w:r w:rsidR="00CC5567" w:rsidRPr="006B6FAD">
        <w:rPr>
          <w:rFonts w:ascii="Verdana" w:hAnsi="Verdana"/>
          <w:sz w:val="20"/>
          <w:szCs w:val="20"/>
          <w:lang w:val="es-CR"/>
        </w:rPr>
        <w:t xml:space="preserve">ello </w:t>
      </w:r>
      <w:r w:rsidR="0031553E" w:rsidRPr="006B6FAD">
        <w:rPr>
          <w:rFonts w:ascii="Verdana" w:hAnsi="Verdana"/>
          <w:sz w:val="20"/>
          <w:szCs w:val="20"/>
          <w:lang w:val="es-CR"/>
        </w:rPr>
        <w:t>puede</w:t>
      </w:r>
      <w:r w:rsidRPr="006B6FAD">
        <w:rPr>
          <w:rFonts w:ascii="Verdana" w:hAnsi="Verdana"/>
          <w:sz w:val="20"/>
          <w:szCs w:val="20"/>
          <w:lang w:val="es-CR"/>
        </w:rPr>
        <w:t xml:space="preserve"> ser procedente si se </w:t>
      </w:r>
      <w:r w:rsidR="0031553E" w:rsidRPr="006B6FAD">
        <w:rPr>
          <w:rFonts w:ascii="Verdana" w:hAnsi="Verdana"/>
          <w:sz w:val="20"/>
          <w:szCs w:val="20"/>
          <w:lang w:val="es-CR"/>
        </w:rPr>
        <w:t>constata</w:t>
      </w:r>
      <w:r w:rsidRPr="006B6FAD">
        <w:rPr>
          <w:rFonts w:ascii="Verdana" w:hAnsi="Verdana"/>
          <w:sz w:val="20"/>
          <w:szCs w:val="20"/>
          <w:lang w:val="es-CR"/>
        </w:rPr>
        <w:t xml:space="preserve"> que existe una afectación de las garantías que se reconoce a ambas partes de la controversia supranacional”</w:t>
      </w:r>
      <w:r w:rsidR="00534506" w:rsidRPr="006B6FAD">
        <w:rPr>
          <w:rStyle w:val="FootnoteReference"/>
          <w:rFonts w:ascii="Verdana" w:hAnsi="Verdana"/>
          <w:sz w:val="20"/>
          <w:szCs w:val="20"/>
          <w:lang w:val="es-CR"/>
        </w:rPr>
        <w:footnoteReference w:id="8"/>
      </w:r>
      <w:r w:rsidRPr="006B6FAD">
        <w:rPr>
          <w:rFonts w:ascii="Verdana" w:hAnsi="Verdana"/>
          <w:sz w:val="20"/>
          <w:szCs w:val="20"/>
          <w:lang w:val="es-CR"/>
        </w:rPr>
        <w:t>.</w:t>
      </w:r>
      <w:r w:rsidR="0031553E" w:rsidRPr="006B6FAD">
        <w:rPr>
          <w:rFonts w:ascii="Verdana" w:hAnsi="Verdana"/>
          <w:sz w:val="20"/>
          <w:szCs w:val="20"/>
          <w:lang w:val="es-CR"/>
        </w:rPr>
        <w:t xml:space="preserve"> </w:t>
      </w:r>
      <w:r w:rsidRPr="006B6FAD">
        <w:rPr>
          <w:rFonts w:ascii="Verdana" w:hAnsi="Verdana"/>
          <w:sz w:val="20"/>
          <w:szCs w:val="20"/>
          <w:lang w:val="es-CR"/>
        </w:rPr>
        <w:t xml:space="preserve">El Estado argumentó </w:t>
      </w:r>
      <w:r w:rsidR="009964F4" w:rsidRPr="006B6FAD">
        <w:rPr>
          <w:rFonts w:ascii="Verdana" w:hAnsi="Verdana"/>
          <w:sz w:val="20"/>
          <w:szCs w:val="20"/>
          <w:lang w:val="es-CR"/>
        </w:rPr>
        <w:t xml:space="preserve">que </w:t>
      </w:r>
      <w:r w:rsidRPr="006B6FAD">
        <w:rPr>
          <w:rFonts w:ascii="Verdana" w:hAnsi="Verdana"/>
          <w:sz w:val="20"/>
          <w:szCs w:val="20"/>
          <w:lang w:val="es-CR"/>
        </w:rPr>
        <w:t xml:space="preserve">en la Resolución de 13 de septiembre de 1997 del caso </w:t>
      </w:r>
      <w:r w:rsidRPr="006B6FAD">
        <w:rPr>
          <w:rFonts w:ascii="Verdana" w:hAnsi="Verdana"/>
          <w:i/>
          <w:sz w:val="20"/>
          <w:szCs w:val="20"/>
          <w:lang w:val="es-CR"/>
        </w:rPr>
        <w:t>Genie Lacayo Vs. Nicaragua</w:t>
      </w:r>
      <w:r w:rsidRPr="006B6FAD">
        <w:rPr>
          <w:rFonts w:ascii="Verdana" w:hAnsi="Verdana"/>
          <w:sz w:val="20"/>
          <w:szCs w:val="20"/>
          <w:lang w:val="es-CR"/>
        </w:rPr>
        <w:t xml:space="preserve">, “se admite la posibilidad de revisar una </w:t>
      </w:r>
      <w:r w:rsidR="00CC5567" w:rsidRPr="006B6FAD">
        <w:rPr>
          <w:rFonts w:ascii="Verdana" w:hAnsi="Verdana"/>
          <w:sz w:val="20"/>
          <w:szCs w:val="20"/>
          <w:lang w:val="es-CR"/>
        </w:rPr>
        <w:t>[S]</w:t>
      </w:r>
      <w:r w:rsidRPr="006B6FAD">
        <w:rPr>
          <w:rFonts w:ascii="Verdana" w:hAnsi="Verdana"/>
          <w:sz w:val="20"/>
          <w:szCs w:val="20"/>
          <w:lang w:val="es-CR"/>
        </w:rPr>
        <w:t>entencia de la Corte IDH”</w:t>
      </w:r>
      <w:r w:rsidR="0083101C" w:rsidRPr="006B6FAD">
        <w:rPr>
          <w:rFonts w:ascii="Verdana" w:hAnsi="Verdana"/>
          <w:sz w:val="20"/>
          <w:szCs w:val="20"/>
          <w:lang w:val="es-CR"/>
        </w:rPr>
        <w:t xml:space="preserve">. </w:t>
      </w:r>
      <w:r w:rsidR="00F431C0" w:rsidRPr="006B6FAD">
        <w:rPr>
          <w:rFonts w:ascii="Verdana" w:hAnsi="Verdana"/>
          <w:sz w:val="20"/>
          <w:szCs w:val="20"/>
          <w:lang w:val="es-CR"/>
        </w:rPr>
        <w:t>Perú sostuvo</w:t>
      </w:r>
      <w:r w:rsidR="0083101C" w:rsidRPr="006B6FAD">
        <w:rPr>
          <w:rFonts w:ascii="Verdana" w:hAnsi="Verdana"/>
          <w:sz w:val="20"/>
          <w:szCs w:val="20"/>
          <w:lang w:val="es-CR"/>
        </w:rPr>
        <w:t xml:space="preserve"> además que</w:t>
      </w:r>
      <w:r w:rsidR="00F431C0" w:rsidRPr="006B6FAD">
        <w:rPr>
          <w:rFonts w:ascii="Verdana" w:hAnsi="Verdana"/>
          <w:sz w:val="20"/>
          <w:szCs w:val="20"/>
          <w:lang w:val="es-CR"/>
        </w:rPr>
        <w:t xml:space="preserve"> </w:t>
      </w:r>
      <w:r w:rsidR="0083101C" w:rsidRPr="006B6FAD">
        <w:rPr>
          <w:rFonts w:ascii="Verdana" w:hAnsi="Verdana"/>
          <w:sz w:val="20"/>
          <w:szCs w:val="20"/>
          <w:lang w:val="es-CR"/>
        </w:rPr>
        <w:t xml:space="preserve">lo indicado en el artículo 67 de la Convención, respecto al carácter </w:t>
      </w:r>
      <w:r w:rsidR="00A17682" w:rsidRPr="006B6FAD">
        <w:rPr>
          <w:rFonts w:ascii="Verdana" w:hAnsi="Verdana"/>
          <w:sz w:val="20"/>
          <w:szCs w:val="20"/>
          <w:lang w:val="es-CR"/>
        </w:rPr>
        <w:t xml:space="preserve">definitivo e </w:t>
      </w:r>
      <w:r w:rsidR="0083101C" w:rsidRPr="006B6FAD">
        <w:rPr>
          <w:rFonts w:ascii="Verdana" w:hAnsi="Verdana"/>
          <w:sz w:val="20"/>
          <w:szCs w:val="20"/>
          <w:lang w:val="es-CR"/>
        </w:rPr>
        <w:t xml:space="preserve">inapelable de las decisiones de la Corte, se refiere a las sentencias de la Corte y no a las resoluciones de </w:t>
      </w:r>
      <w:r w:rsidR="00F431C0" w:rsidRPr="006B6FAD">
        <w:rPr>
          <w:rFonts w:ascii="Verdana" w:hAnsi="Verdana"/>
          <w:sz w:val="20"/>
          <w:szCs w:val="20"/>
          <w:lang w:val="es-CR"/>
        </w:rPr>
        <w:t>medidas provisionales</w:t>
      </w:r>
      <w:r w:rsidR="007711A2" w:rsidRPr="006B6FAD">
        <w:rPr>
          <w:rStyle w:val="FootnoteReference"/>
          <w:rFonts w:ascii="Verdana" w:hAnsi="Verdana"/>
          <w:sz w:val="20"/>
          <w:szCs w:val="20"/>
          <w:lang w:val="es-CR"/>
        </w:rPr>
        <w:footnoteReference w:id="9"/>
      </w:r>
      <w:r w:rsidR="0083101C" w:rsidRPr="006B6FAD">
        <w:rPr>
          <w:rFonts w:ascii="Verdana" w:hAnsi="Verdana"/>
          <w:sz w:val="20"/>
          <w:szCs w:val="20"/>
          <w:lang w:val="es-CR"/>
        </w:rPr>
        <w:t>.</w:t>
      </w:r>
    </w:p>
    <w:p w:rsidR="00095109" w:rsidRPr="006B6FAD" w:rsidRDefault="00095109" w:rsidP="00F44E8F">
      <w:pPr>
        <w:pStyle w:val="ListParagraph"/>
        <w:spacing w:after="0" w:line="240" w:lineRule="auto"/>
        <w:ind w:left="0"/>
        <w:jc w:val="both"/>
        <w:rPr>
          <w:rFonts w:ascii="Verdana" w:hAnsi="Verdana"/>
          <w:sz w:val="20"/>
          <w:szCs w:val="20"/>
          <w:lang w:val="es-CR"/>
        </w:rPr>
      </w:pPr>
    </w:p>
    <w:p w:rsidR="00247930" w:rsidRPr="006B6FAD" w:rsidRDefault="00EC0B07" w:rsidP="00F44E8F">
      <w:pPr>
        <w:pStyle w:val="ListParagraph"/>
        <w:numPr>
          <w:ilvl w:val="0"/>
          <w:numId w:val="1"/>
        </w:numPr>
        <w:spacing w:after="0" w:line="240" w:lineRule="auto"/>
        <w:ind w:left="0" w:firstLine="0"/>
        <w:jc w:val="both"/>
        <w:rPr>
          <w:rFonts w:ascii="Verdana" w:hAnsi="Verdana"/>
          <w:sz w:val="14"/>
          <w:szCs w:val="14"/>
          <w:lang w:val="es-CR"/>
        </w:rPr>
      </w:pPr>
      <w:r w:rsidRPr="006B6FAD">
        <w:rPr>
          <w:rFonts w:ascii="Verdana" w:hAnsi="Verdana"/>
          <w:sz w:val="20"/>
          <w:szCs w:val="20"/>
          <w:lang w:val="es-CR"/>
        </w:rPr>
        <w:t>La Corte se referirá primeramente a la solicitud del Estado relativa a reconsiderar la Resolución que adopt</w:t>
      </w:r>
      <w:r w:rsidR="00A17682" w:rsidRPr="006B6FAD">
        <w:rPr>
          <w:rFonts w:ascii="Verdana" w:hAnsi="Verdana"/>
          <w:sz w:val="20"/>
          <w:szCs w:val="20"/>
          <w:lang w:val="es-CR"/>
        </w:rPr>
        <w:t>ó</w:t>
      </w:r>
      <w:r w:rsidRPr="006B6FAD">
        <w:rPr>
          <w:rFonts w:ascii="Verdana" w:hAnsi="Verdana"/>
          <w:sz w:val="20"/>
          <w:szCs w:val="20"/>
          <w:lang w:val="es-CR"/>
        </w:rPr>
        <w:t xml:space="preserve"> las medidas provisionales</w:t>
      </w:r>
      <w:r w:rsidR="00A2167C" w:rsidRPr="006B6FAD">
        <w:rPr>
          <w:rFonts w:ascii="Verdana" w:hAnsi="Verdana"/>
          <w:sz w:val="20"/>
          <w:szCs w:val="20"/>
          <w:lang w:val="es-CR"/>
        </w:rPr>
        <w:t>,</w:t>
      </w:r>
      <w:r w:rsidRPr="006B6FAD">
        <w:rPr>
          <w:rFonts w:ascii="Verdana" w:hAnsi="Verdana"/>
          <w:sz w:val="20"/>
          <w:szCs w:val="20"/>
          <w:lang w:val="es-CR"/>
        </w:rPr>
        <w:t xml:space="preserve"> para dejarla sin efectos. Tomando en consideración que el artículo 31.3 del Reglamento de la Corte dispone expresamente que “[c]ontra las sentencias y resoluciones de la Corte no procede ningún medio de impugnación”, este Tribunal considera que tanto dicha norma </w:t>
      </w:r>
      <w:r w:rsidRPr="006B6FAD">
        <w:rPr>
          <w:rFonts w:ascii="Verdana" w:hAnsi="Verdana"/>
          <w:sz w:val="20"/>
          <w:szCs w:val="20"/>
          <w:lang w:val="es-CR"/>
        </w:rPr>
        <w:lastRenderedPageBreak/>
        <w:t>como los artículos 67</w:t>
      </w:r>
      <w:r w:rsidRPr="006B6FAD">
        <w:rPr>
          <w:rStyle w:val="FootnoteReference"/>
          <w:rFonts w:ascii="Verdana" w:hAnsi="Verdana"/>
          <w:sz w:val="20"/>
          <w:szCs w:val="20"/>
          <w:lang w:val="es-CR"/>
        </w:rPr>
        <w:footnoteReference w:id="10"/>
      </w:r>
      <w:r w:rsidRPr="006B6FAD">
        <w:rPr>
          <w:rFonts w:ascii="Verdana" w:hAnsi="Verdana"/>
          <w:sz w:val="20"/>
          <w:szCs w:val="20"/>
          <w:lang w:val="es-CR"/>
        </w:rPr>
        <w:t xml:space="preserve"> y 68.1</w:t>
      </w:r>
      <w:r w:rsidRPr="006B6FAD">
        <w:rPr>
          <w:rStyle w:val="FootnoteReference"/>
          <w:rFonts w:ascii="Verdana" w:hAnsi="Verdana"/>
          <w:sz w:val="20"/>
          <w:szCs w:val="20"/>
          <w:lang w:val="es-CR"/>
        </w:rPr>
        <w:footnoteReference w:id="11"/>
      </w:r>
      <w:r w:rsidRPr="006B6FAD">
        <w:rPr>
          <w:rFonts w:ascii="Verdana" w:hAnsi="Verdana"/>
          <w:sz w:val="20"/>
          <w:szCs w:val="20"/>
          <w:lang w:val="es-CR"/>
        </w:rPr>
        <w:t xml:space="preserve"> de la Convención </w:t>
      </w:r>
      <w:r w:rsidR="00A2167C" w:rsidRPr="006B6FAD">
        <w:rPr>
          <w:rFonts w:ascii="Verdana" w:hAnsi="Verdana"/>
          <w:sz w:val="20"/>
          <w:szCs w:val="20"/>
          <w:lang w:val="es-CR"/>
        </w:rPr>
        <w:t>se refieren</w:t>
      </w:r>
      <w:r w:rsidRPr="006B6FAD">
        <w:rPr>
          <w:rFonts w:ascii="Verdana" w:hAnsi="Verdana"/>
          <w:sz w:val="20"/>
          <w:szCs w:val="20"/>
          <w:lang w:val="es-CR"/>
        </w:rPr>
        <w:t xml:space="preserve"> a la totalidad de las decisiones emitidas por la Corte, incluyendo las resoluciones de medidas provisionales, por lo cual tales decisiones son </w:t>
      </w:r>
      <w:r w:rsidR="00064A08" w:rsidRPr="006B6FAD">
        <w:rPr>
          <w:rFonts w:ascii="Verdana" w:hAnsi="Verdana"/>
          <w:sz w:val="20"/>
          <w:szCs w:val="20"/>
          <w:lang w:val="es-CR"/>
        </w:rPr>
        <w:t>inimpugnables</w:t>
      </w:r>
      <w:r w:rsidRPr="006B6FAD">
        <w:rPr>
          <w:rFonts w:ascii="Verdana" w:hAnsi="Verdana"/>
          <w:sz w:val="20"/>
          <w:szCs w:val="20"/>
          <w:lang w:val="es-CR"/>
        </w:rPr>
        <w:t>.</w:t>
      </w:r>
      <w:r w:rsidR="00095109" w:rsidRPr="006B6FAD">
        <w:rPr>
          <w:rFonts w:ascii="Verdana" w:hAnsi="Verdana"/>
          <w:sz w:val="20"/>
          <w:szCs w:val="20"/>
          <w:lang w:val="es-CR"/>
        </w:rPr>
        <w:t xml:space="preserve"> </w:t>
      </w:r>
    </w:p>
    <w:p w:rsidR="00EC295F" w:rsidRPr="006B6FAD" w:rsidRDefault="00EC295F" w:rsidP="00EC295F">
      <w:pPr>
        <w:pStyle w:val="ListParagraph"/>
        <w:spacing w:after="0" w:line="240" w:lineRule="auto"/>
        <w:ind w:left="0"/>
        <w:jc w:val="both"/>
        <w:rPr>
          <w:rFonts w:ascii="Verdana" w:hAnsi="Verdana"/>
          <w:sz w:val="20"/>
          <w:szCs w:val="20"/>
          <w:lang w:val="es-CR"/>
        </w:rPr>
      </w:pPr>
    </w:p>
    <w:p w:rsidR="00613DE2" w:rsidRPr="006B6FAD" w:rsidRDefault="00247930"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sz w:val="20"/>
          <w:szCs w:val="20"/>
          <w:lang w:val="es-CR"/>
        </w:rPr>
        <w:t>E</w:t>
      </w:r>
      <w:r w:rsidR="00613DE2" w:rsidRPr="006B6FAD">
        <w:rPr>
          <w:rFonts w:ascii="Verdana" w:hAnsi="Verdana"/>
          <w:sz w:val="20"/>
          <w:szCs w:val="20"/>
          <w:lang w:val="es-CR"/>
        </w:rPr>
        <w:t xml:space="preserve">n cuanto al precedente citado del caso </w:t>
      </w:r>
      <w:r w:rsidR="00613DE2" w:rsidRPr="006B6FAD">
        <w:rPr>
          <w:rFonts w:ascii="Verdana" w:hAnsi="Verdana"/>
          <w:i/>
          <w:sz w:val="20"/>
          <w:szCs w:val="20"/>
          <w:lang w:val="es-CR"/>
        </w:rPr>
        <w:t>Genie Lacayo</w:t>
      </w:r>
      <w:r w:rsidR="00613DE2" w:rsidRPr="006B6FAD">
        <w:rPr>
          <w:rFonts w:ascii="Verdana" w:hAnsi="Verdana"/>
          <w:sz w:val="20"/>
          <w:szCs w:val="20"/>
          <w:lang w:val="es-CR"/>
        </w:rPr>
        <w:t xml:space="preserve">, conviene aclarar que la Corte indicó en dicha oportunidad que un eventual recurso de revisión debe ser entendido </w:t>
      </w:r>
      <w:r w:rsidR="009964F4" w:rsidRPr="006B6FAD">
        <w:rPr>
          <w:rFonts w:ascii="Verdana" w:hAnsi="Verdana"/>
          <w:sz w:val="20"/>
          <w:szCs w:val="20"/>
          <w:lang w:val="es-CR"/>
        </w:rPr>
        <w:t>con</w:t>
      </w:r>
      <w:r w:rsidR="00613DE2" w:rsidRPr="006B6FAD">
        <w:rPr>
          <w:rFonts w:ascii="Verdana" w:hAnsi="Verdana"/>
          <w:sz w:val="20"/>
          <w:szCs w:val="20"/>
          <w:lang w:val="es-CR"/>
        </w:rPr>
        <w:t xml:space="preserve"> carácter restrictivo, y que</w:t>
      </w:r>
      <w:r w:rsidR="00CD4A4A" w:rsidRPr="006B6FAD">
        <w:rPr>
          <w:rFonts w:ascii="Verdana" w:hAnsi="Verdana"/>
          <w:sz w:val="20"/>
          <w:szCs w:val="20"/>
          <w:lang w:val="es-CR"/>
        </w:rPr>
        <w:t>:</w:t>
      </w:r>
      <w:r w:rsidR="00613DE2" w:rsidRPr="006B6FAD">
        <w:rPr>
          <w:rFonts w:ascii="Verdana" w:hAnsi="Verdana"/>
          <w:sz w:val="20"/>
          <w:szCs w:val="20"/>
          <w:lang w:val="es-CR"/>
        </w:rPr>
        <w:t xml:space="preserve"> </w:t>
      </w:r>
    </w:p>
    <w:p w:rsidR="000F6140" w:rsidRPr="006B6FAD" w:rsidRDefault="000F6140" w:rsidP="00F44E8F">
      <w:pPr>
        <w:pStyle w:val="ListParagraph"/>
        <w:spacing w:after="0" w:line="240" w:lineRule="auto"/>
        <w:ind w:left="0"/>
        <w:jc w:val="both"/>
        <w:rPr>
          <w:rFonts w:ascii="Verdana" w:hAnsi="Verdana"/>
          <w:sz w:val="10"/>
          <w:szCs w:val="10"/>
          <w:lang w:val="es-CR"/>
        </w:rPr>
      </w:pPr>
    </w:p>
    <w:p w:rsidR="00613DE2" w:rsidRPr="006B6FAD" w:rsidRDefault="00613DE2" w:rsidP="00F44E8F">
      <w:pPr>
        <w:spacing w:after="0" w:line="240" w:lineRule="auto"/>
        <w:ind w:left="708" w:right="616"/>
        <w:jc w:val="both"/>
        <w:rPr>
          <w:rFonts w:ascii="Verdana" w:hAnsi="Verdana"/>
          <w:sz w:val="16"/>
          <w:szCs w:val="16"/>
          <w:lang w:val="es-CR"/>
        </w:rPr>
      </w:pPr>
      <w:r w:rsidRPr="006B6FAD">
        <w:rPr>
          <w:rFonts w:ascii="Verdana" w:hAnsi="Verdana"/>
          <w:sz w:val="16"/>
          <w:szCs w:val="16"/>
          <w:lang w:val="es-CR"/>
        </w:rPr>
        <w:t>debe fundamentarse en hechos o situaciones relevantes desconocidas en el momento de dictarse la sentencia. De ahí que ella se puede impugnar de acuerdo a causales excepcionales, tales como las que se refieren a documentos ignorados al momento de dictarse el fallo, a la prueba documental, testimonial o confesional declarada falsa posteriormente en una sentencia pasada en autoridad de cosa juzgada; a la existencia de prevaricación, cohecho, violencia o fraude y a los hechos cuya falsedad se demuestra posteriormente, como sería estar viva la persona que fue declarada desaparecida</w:t>
      </w:r>
      <w:r w:rsidRPr="006B6FAD">
        <w:rPr>
          <w:rStyle w:val="FootnoteReference"/>
          <w:rFonts w:ascii="Verdana" w:hAnsi="Verdana"/>
          <w:sz w:val="16"/>
          <w:szCs w:val="16"/>
          <w:lang w:val="es-CR"/>
        </w:rPr>
        <w:footnoteReference w:id="12"/>
      </w:r>
      <w:r w:rsidR="00094A62" w:rsidRPr="006B6FAD">
        <w:rPr>
          <w:rFonts w:ascii="Verdana" w:hAnsi="Verdana"/>
          <w:sz w:val="16"/>
          <w:szCs w:val="16"/>
          <w:lang w:val="es-CR"/>
        </w:rPr>
        <w:t>.</w:t>
      </w:r>
    </w:p>
    <w:p w:rsidR="00613DE2" w:rsidRPr="006B6FAD" w:rsidRDefault="00613DE2" w:rsidP="00F44E8F">
      <w:pPr>
        <w:spacing w:after="0" w:line="240" w:lineRule="auto"/>
        <w:ind w:right="616"/>
        <w:jc w:val="both"/>
        <w:rPr>
          <w:rFonts w:ascii="Verdana" w:hAnsi="Verdana"/>
          <w:sz w:val="16"/>
          <w:szCs w:val="16"/>
          <w:lang w:val="es-CR"/>
        </w:rPr>
      </w:pPr>
    </w:p>
    <w:p w:rsidR="00661B24" w:rsidRPr="006B6FAD" w:rsidRDefault="00613DE2"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sz w:val="20"/>
          <w:szCs w:val="20"/>
          <w:lang w:val="es-CR"/>
        </w:rPr>
        <w:t>Teniendo en cuenta lo anterior, la Corte nota que los alegatos del Estado no se refieren a situaciones de hecho desconocidas en el momento de dictarse la Resolución de</w:t>
      </w:r>
      <w:r w:rsidR="003935A2" w:rsidRPr="006B6FAD">
        <w:rPr>
          <w:rFonts w:ascii="Verdana" w:hAnsi="Verdana"/>
          <w:sz w:val="20"/>
          <w:szCs w:val="20"/>
          <w:lang w:val="es-CR"/>
        </w:rPr>
        <w:t xml:space="preserve"> febrero de</w:t>
      </w:r>
      <w:r w:rsidRPr="006B6FAD">
        <w:rPr>
          <w:rFonts w:ascii="Verdana" w:hAnsi="Verdana"/>
          <w:sz w:val="20"/>
          <w:szCs w:val="20"/>
          <w:lang w:val="es-CR"/>
        </w:rPr>
        <w:t xml:space="preserve"> </w:t>
      </w:r>
      <w:r w:rsidR="00F51118" w:rsidRPr="006B6FAD">
        <w:rPr>
          <w:rFonts w:ascii="Verdana" w:hAnsi="Verdana"/>
          <w:sz w:val="20"/>
          <w:szCs w:val="20"/>
          <w:lang w:val="es-CR"/>
        </w:rPr>
        <w:t>2018</w:t>
      </w:r>
      <w:r w:rsidRPr="006B6FAD">
        <w:rPr>
          <w:rFonts w:ascii="Verdana" w:hAnsi="Verdana"/>
          <w:sz w:val="20"/>
          <w:szCs w:val="20"/>
          <w:lang w:val="es-CR"/>
        </w:rPr>
        <w:t xml:space="preserve">, sino en su disconformidad con lo </w:t>
      </w:r>
      <w:r w:rsidR="00FE720C" w:rsidRPr="006B6FAD">
        <w:rPr>
          <w:rFonts w:ascii="Verdana" w:hAnsi="Verdana"/>
          <w:sz w:val="20"/>
          <w:szCs w:val="20"/>
          <w:lang w:val="es-CR"/>
        </w:rPr>
        <w:t>decidido</w:t>
      </w:r>
      <w:r w:rsidRPr="006B6FAD">
        <w:rPr>
          <w:rFonts w:ascii="Verdana" w:hAnsi="Verdana"/>
          <w:sz w:val="20"/>
          <w:szCs w:val="20"/>
          <w:lang w:val="es-CR"/>
        </w:rPr>
        <w:t xml:space="preserve"> por</w:t>
      </w:r>
      <w:r w:rsidR="00046664" w:rsidRPr="006B6FAD">
        <w:rPr>
          <w:rFonts w:ascii="Verdana" w:hAnsi="Verdana"/>
          <w:sz w:val="20"/>
          <w:szCs w:val="20"/>
          <w:lang w:val="es-CR"/>
        </w:rPr>
        <w:t xml:space="preserve"> </w:t>
      </w:r>
      <w:r w:rsidR="00746BF0" w:rsidRPr="006B6FAD">
        <w:rPr>
          <w:rFonts w:ascii="Verdana" w:hAnsi="Verdana"/>
          <w:sz w:val="20"/>
          <w:szCs w:val="20"/>
          <w:lang w:val="es-CR"/>
        </w:rPr>
        <w:t>el Tribunal</w:t>
      </w:r>
      <w:r w:rsidR="00046664" w:rsidRPr="006B6FAD">
        <w:rPr>
          <w:rFonts w:ascii="Verdana" w:hAnsi="Verdana"/>
          <w:sz w:val="20"/>
          <w:szCs w:val="20"/>
          <w:lang w:val="es-CR"/>
        </w:rPr>
        <w:t xml:space="preserve"> en esa oportunidad. </w:t>
      </w:r>
    </w:p>
    <w:p w:rsidR="00661B24" w:rsidRPr="006B6FAD" w:rsidRDefault="00661B24" w:rsidP="00661B24">
      <w:pPr>
        <w:pStyle w:val="ListParagraph"/>
        <w:spacing w:after="0" w:line="240" w:lineRule="auto"/>
        <w:ind w:left="0"/>
        <w:jc w:val="both"/>
        <w:rPr>
          <w:rFonts w:ascii="Verdana" w:hAnsi="Verdana"/>
          <w:sz w:val="20"/>
          <w:szCs w:val="20"/>
          <w:lang w:val="es-CR"/>
        </w:rPr>
      </w:pPr>
    </w:p>
    <w:p w:rsidR="00A57967" w:rsidRPr="006B6FAD" w:rsidRDefault="00E76C37"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sz w:val="20"/>
          <w:szCs w:val="20"/>
          <w:lang w:val="es-CR"/>
        </w:rPr>
        <w:t>Con base en las consideraciones anteriores</w:t>
      </w:r>
      <w:r w:rsidR="001444E2" w:rsidRPr="006B6FAD">
        <w:rPr>
          <w:rFonts w:ascii="Verdana" w:hAnsi="Verdana"/>
          <w:sz w:val="20"/>
          <w:szCs w:val="20"/>
          <w:lang w:val="es-CR"/>
        </w:rPr>
        <w:t>,</w:t>
      </w:r>
      <w:r w:rsidR="00046664" w:rsidRPr="006B6FAD">
        <w:rPr>
          <w:rFonts w:ascii="Verdana" w:hAnsi="Verdana"/>
          <w:sz w:val="20"/>
          <w:szCs w:val="20"/>
          <w:lang w:val="es-CR"/>
        </w:rPr>
        <w:t xml:space="preserve"> </w:t>
      </w:r>
      <w:r w:rsidR="009964F4" w:rsidRPr="006B6FAD">
        <w:rPr>
          <w:rFonts w:ascii="Verdana" w:hAnsi="Verdana"/>
          <w:sz w:val="20"/>
          <w:szCs w:val="20"/>
          <w:lang w:val="es-CR"/>
        </w:rPr>
        <w:t xml:space="preserve">se </w:t>
      </w:r>
      <w:r w:rsidR="00046664" w:rsidRPr="006B6FAD">
        <w:rPr>
          <w:rFonts w:ascii="Verdana" w:hAnsi="Verdana"/>
          <w:sz w:val="20"/>
          <w:szCs w:val="20"/>
          <w:lang w:val="es-CR"/>
        </w:rPr>
        <w:t xml:space="preserve">declara </w:t>
      </w:r>
      <w:r w:rsidR="003573F9" w:rsidRPr="006B6FAD">
        <w:rPr>
          <w:rFonts w:ascii="Verdana" w:hAnsi="Verdana"/>
          <w:sz w:val="20"/>
          <w:szCs w:val="20"/>
          <w:lang w:val="es-CR"/>
        </w:rPr>
        <w:t>inadmisible</w:t>
      </w:r>
      <w:r w:rsidR="00046664" w:rsidRPr="006B6FAD">
        <w:rPr>
          <w:rFonts w:ascii="Verdana" w:hAnsi="Verdana"/>
          <w:sz w:val="20"/>
          <w:szCs w:val="20"/>
          <w:lang w:val="es-CR"/>
        </w:rPr>
        <w:t xml:space="preserve"> la solicitud de reconsideración presentada por el </w:t>
      </w:r>
      <w:r w:rsidR="009964F4" w:rsidRPr="006B6FAD">
        <w:rPr>
          <w:rFonts w:ascii="Verdana" w:hAnsi="Verdana"/>
          <w:sz w:val="20"/>
          <w:szCs w:val="20"/>
          <w:lang w:val="es-CR"/>
        </w:rPr>
        <w:t>Perú</w:t>
      </w:r>
      <w:r w:rsidR="00046664" w:rsidRPr="006B6FAD">
        <w:rPr>
          <w:rFonts w:ascii="Verdana" w:hAnsi="Verdana"/>
          <w:sz w:val="20"/>
          <w:szCs w:val="20"/>
          <w:lang w:val="es-CR"/>
        </w:rPr>
        <w:t xml:space="preserve"> </w:t>
      </w:r>
      <w:r w:rsidR="009964F4" w:rsidRPr="006B6FAD">
        <w:rPr>
          <w:rFonts w:ascii="Verdana" w:hAnsi="Verdana"/>
          <w:sz w:val="20"/>
          <w:szCs w:val="20"/>
          <w:lang w:val="es-CR"/>
        </w:rPr>
        <w:t xml:space="preserve">respecto </w:t>
      </w:r>
      <w:r w:rsidR="00046664" w:rsidRPr="006B6FAD">
        <w:rPr>
          <w:rFonts w:ascii="Verdana" w:hAnsi="Verdana"/>
          <w:sz w:val="20"/>
          <w:szCs w:val="20"/>
          <w:lang w:val="es-CR"/>
        </w:rPr>
        <w:t>de la Resolución de</w:t>
      </w:r>
      <w:r w:rsidR="00F51118" w:rsidRPr="006B6FAD">
        <w:rPr>
          <w:rFonts w:ascii="Verdana" w:hAnsi="Verdana"/>
          <w:sz w:val="20"/>
          <w:szCs w:val="20"/>
          <w:lang w:val="es-CR"/>
        </w:rPr>
        <w:t xml:space="preserve"> </w:t>
      </w:r>
      <w:r w:rsidR="00FE720C" w:rsidRPr="006B6FAD">
        <w:rPr>
          <w:rFonts w:ascii="Verdana" w:hAnsi="Verdana"/>
          <w:sz w:val="20"/>
          <w:szCs w:val="20"/>
          <w:lang w:val="es-CR"/>
        </w:rPr>
        <w:t>m</w:t>
      </w:r>
      <w:r w:rsidR="00F51118" w:rsidRPr="006B6FAD">
        <w:rPr>
          <w:rFonts w:ascii="Verdana" w:hAnsi="Verdana"/>
          <w:sz w:val="20"/>
          <w:szCs w:val="20"/>
          <w:lang w:val="es-CR"/>
        </w:rPr>
        <w:t xml:space="preserve">edidas </w:t>
      </w:r>
      <w:r w:rsidR="00FE720C" w:rsidRPr="006B6FAD">
        <w:rPr>
          <w:rFonts w:ascii="Verdana" w:hAnsi="Verdana"/>
          <w:sz w:val="20"/>
          <w:szCs w:val="20"/>
          <w:lang w:val="es-CR"/>
        </w:rPr>
        <w:t>p</w:t>
      </w:r>
      <w:r w:rsidR="00F51118" w:rsidRPr="006B6FAD">
        <w:rPr>
          <w:rFonts w:ascii="Verdana" w:hAnsi="Verdana"/>
          <w:sz w:val="20"/>
          <w:szCs w:val="20"/>
          <w:lang w:val="es-CR"/>
        </w:rPr>
        <w:t>rovisionales de 8 de febrero de 2018</w:t>
      </w:r>
      <w:r w:rsidR="00046664" w:rsidRPr="006B6FAD">
        <w:rPr>
          <w:rFonts w:ascii="Verdana" w:hAnsi="Verdana"/>
          <w:sz w:val="20"/>
          <w:szCs w:val="20"/>
          <w:lang w:val="es-CR"/>
        </w:rPr>
        <w:t xml:space="preserve">. </w:t>
      </w:r>
    </w:p>
    <w:p w:rsidR="00A57967" w:rsidRPr="006B6FAD" w:rsidRDefault="00A57967" w:rsidP="00F44E8F">
      <w:pPr>
        <w:pStyle w:val="ListParagraph"/>
        <w:spacing w:after="0" w:line="240" w:lineRule="auto"/>
        <w:ind w:left="0"/>
        <w:jc w:val="both"/>
        <w:rPr>
          <w:rFonts w:ascii="Verdana" w:hAnsi="Verdana"/>
          <w:sz w:val="20"/>
          <w:szCs w:val="20"/>
          <w:lang w:val="es-CR"/>
        </w:rPr>
      </w:pPr>
    </w:p>
    <w:p w:rsidR="00663D89" w:rsidRPr="006B6FAD" w:rsidRDefault="001B4711" w:rsidP="00F44E8F">
      <w:pPr>
        <w:pStyle w:val="ListParagraph"/>
        <w:numPr>
          <w:ilvl w:val="0"/>
          <w:numId w:val="1"/>
        </w:numPr>
        <w:spacing w:after="0" w:line="240" w:lineRule="auto"/>
        <w:ind w:left="0" w:firstLine="0"/>
        <w:jc w:val="both"/>
        <w:rPr>
          <w:rFonts w:ascii="Verdana" w:hAnsi="Verdana"/>
          <w:sz w:val="20"/>
          <w:szCs w:val="20"/>
          <w:lang w:val="es-CR"/>
        </w:rPr>
      </w:pPr>
      <w:r w:rsidRPr="006B6FAD">
        <w:rPr>
          <w:rFonts w:ascii="Verdana" w:hAnsi="Verdana"/>
          <w:sz w:val="20"/>
          <w:szCs w:val="20"/>
          <w:lang w:val="es-CR"/>
        </w:rPr>
        <w:t>Con respecto a la solicitud de</w:t>
      </w:r>
      <w:r w:rsidR="00797028" w:rsidRPr="006B6FAD">
        <w:rPr>
          <w:rFonts w:ascii="Verdana" w:hAnsi="Verdana"/>
          <w:sz w:val="20"/>
          <w:szCs w:val="20"/>
          <w:lang w:val="es-CR"/>
        </w:rPr>
        <w:t xml:space="preserve"> que la Corte </w:t>
      </w:r>
      <w:r w:rsidRPr="006B6FAD">
        <w:rPr>
          <w:rFonts w:ascii="Verdana" w:hAnsi="Verdana"/>
          <w:sz w:val="20"/>
          <w:szCs w:val="20"/>
          <w:lang w:val="es-CR"/>
        </w:rPr>
        <w:t>“</w:t>
      </w:r>
      <w:r w:rsidR="00F53FF2" w:rsidRPr="006B6FAD">
        <w:rPr>
          <w:rFonts w:ascii="Verdana" w:hAnsi="Verdana"/>
          <w:sz w:val="20"/>
          <w:szCs w:val="20"/>
          <w:lang w:val="es-CR"/>
        </w:rPr>
        <w:t>precise el límite temporal de la medida provisional</w:t>
      </w:r>
      <w:r w:rsidR="00BE1823" w:rsidRPr="006B6FAD">
        <w:rPr>
          <w:rFonts w:ascii="Verdana" w:hAnsi="Verdana"/>
          <w:sz w:val="20"/>
          <w:szCs w:val="20"/>
          <w:lang w:val="es-CR"/>
        </w:rPr>
        <w:t>”</w:t>
      </w:r>
      <w:r w:rsidR="00D0195B" w:rsidRPr="006B6FAD">
        <w:rPr>
          <w:rFonts w:ascii="Verdana" w:hAnsi="Verdana"/>
          <w:sz w:val="20"/>
          <w:szCs w:val="20"/>
          <w:lang w:val="es-CR"/>
        </w:rPr>
        <w:t xml:space="preserve"> (</w:t>
      </w:r>
      <w:r w:rsidR="00D0195B" w:rsidRPr="006B6FAD">
        <w:rPr>
          <w:rFonts w:ascii="Verdana" w:hAnsi="Verdana"/>
          <w:i/>
          <w:sz w:val="20"/>
          <w:szCs w:val="20"/>
          <w:lang w:val="es-CR"/>
        </w:rPr>
        <w:t>supra</w:t>
      </w:r>
      <w:r w:rsidR="00D0195B" w:rsidRPr="006B6FAD">
        <w:rPr>
          <w:rFonts w:ascii="Verdana" w:hAnsi="Verdana"/>
          <w:sz w:val="20"/>
          <w:szCs w:val="20"/>
          <w:lang w:val="es-CR"/>
        </w:rPr>
        <w:t xml:space="preserve"> Considerando </w:t>
      </w:r>
      <w:r w:rsidR="00CD4A4A" w:rsidRPr="006B6FAD">
        <w:rPr>
          <w:rFonts w:ascii="Verdana" w:hAnsi="Verdana"/>
          <w:sz w:val="20"/>
          <w:szCs w:val="20"/>
          <w:lang w:val="es-CR"/>
        </w:rPr>
        <w:t xml:space="preserve">5), </w:t>
      </w:r>
      <w:r w:rsidRPr="006B6FAD">
        <w:rPr>
          <w:rFonts w:ascii="Verdana" w:hAnsi="Verdana"/>
          <w:sz w:val="20"/>
          <w:szCs w:val="20"/>
          <w:lang w:val="es-CR"/>
        </w:rPr>
        <w:t>e</w:t>
      </w:r>
      <w:r w:rsidR="00F53FF2" w:rsidRPr="006B6FAD">
        <w:rPr>
          <w:rFonts w:ascii="Verdana" w:hAnsi="Verdana"/>
          <w:sz w:val="20"/>
          <w:szCs w:val="20"/>
          <w:lang w:val="es-CR"/>
        </w:rPr>
        <w:t xml:space="preserve">ste Tribunal </w:t>
      </w:r>
      <w:r w:rsidR="0060575E" w:rsidRPr="006B6FAD">
        <w:rPr>
          <w:rFonts w:ascii="Verdana" w:hAnsi="Verdana"/>
          <w:sz w:val="20"/>
          <w:szCs w:val="20"/>
          <w:lang w:val="es-CR"/>
        </w:rPr>
        <w:t xml:space="preserve">considera que la medida ordenada al Estado es clara en cuanto </w:t>
      </w:r>
      <w:r w:rsidR="00BE7584" w:rsidRPr="006B6FAD">
        <w:rPr>
          <w:rFonts w:ascii="Verdana" w:hAnsi="Verdana"/>
          <w:sz w:val="20"/>
          <w:szCs w:val="20"/>
          <w:lang w:val="es-CR"/>
        </w:rPr>
        <w:t xml:space="preserve">se </w:t>
      </w:r>
      <w:r w:rsidR="008122DB" w:rsidRPr="006B6FAD">
        <w:rPr>
          <w:rFonts w:ascii="Verdana" w:hAnsi="Verdana"/>
          <w:sz w:val="20"/>
          <w:szCs w:val="20"/>
          <w:lang w:val="es-CR"/>
        </w:rPr>
        <w:t xml:space="preserve">le </w:t>
      </w:r>
      <w:r w:rsidR="00C623D8" w:rsidRPr="006B6FAD">
        <w:rPr>
          <w:rFonts w:ascii="Verdana" w:hAnsi="Verdana"/>
          <w:sz w:val="20"/>
          <w:szCs w:val="20"/>
          <w:lang w:val="es-CR"/>
        </w:rPr>
        <w:t>requiri</w:t>
      </w:r>
      <w:r w:rsidR="00541049" w:rsidRPr="006B6FAD">
        <w:rPr>
          <w:rFonts w:ascii="Verdana" w:hAnsi="Verdana"/>
          <w:sz w:val="20"/>
          <w:szCs w:val="20"/>
          <w:lang w:val="es-CR"/>
        </w:rPr>
        <w:t xml:space="preserve">ó </w:t>
      </w:r>
      <w:r w:rsidR="00BE7584" w:rsidRPr="006B6FAD">
        <w:rPr>
          <w:rFonts w:ascii="Verdana" w:hAnsi="Verdana"/>
          <w:sz w:val="20"/>
          <w:szCs w:val="20"/>
          <w:lang w:val="es-CR"/>
        </w:rPr>
        <w:t>“</w:t>
      </w:r>
      <w:r w:rsidR="00C623D8" w:rsidRPr="006B6FAD">
        <w:rPr>
          <w:rFonts w:ascii="Verdana" w:hAnsi="Verdana"/>
          <w:sz w:val="20"/>
          <w:szCs w:val="20"/>
          <w:lang w:val="es-CR"/>
        </w:rPr>
        <w:t xml:space="preserve">archivar </w:t>
      </w:r>
      <w:r w:rsidR="006A7386" w:rsidRPr="006B6FAD">
        <w:rPr>
          <w:rFonts w:ascii="Verdana" w:hAnsi="Verdana"/>
          <w:sz w:val="20"/>
          <w:szCs w:val="20"/>
          <w:lang w:val="es-CR"/>
        </w:rPr>
        <w:t>el procedimiento de acusación constitucional</w:t>
      </w:r>
      <w:r w:rsidR="00BE7584" w:rsidRPr="006B6FAD">
        <w:rPr>
          <w:rFonts w:ascii="Verdana" w:hAnsi="Verdana"/>
          <w:sz w:val="20"/>
          <w:szCs w:val="20"/>
          <w:lang w:val="es-CR"/>
        </w:rPr>
        <w:t>”</w:t>
      </w:r>
      <w:r w:rsidR="006A7386" w:rsidRPr="006B6FAD">
        <w:rPr>
          <w:rFonts w:ascii="Verdana" w:hAnsi="Verdana"/>
          <w:sz w:val="20"/>
          <w:szCs w:val="20"/>
          <w:lang w:val="es-CR"/>
        </w:rPr>
        <w:t xml:space="preserve"> seguido ante el Congreso de la República contra los referidos cuatro magistrados del Tribunal Constitucional</w:t>
      </w:r>
      <w:r w:rsidR="00663D89" w:rsidRPr="006B6FAD">
        <w:rPr>
          <w:rFonts w:ascii="Verdana" w:hAnsi="Verdana"/>
          <w:sz w:val="20"/>
          <w:szCs w:val="20"/>
          <w:lang w:val="es-CR"/>
        </w:rPr>
        <w:t xml:space="preserve"> por autos emitidos en los años 2016 y 2017</w:t>
      </w:r>
      <w:r w:rsidR="00F975C4" w:rsidRPr="006B6FAD">
        <w:rPr>
          <w:rStyle w:val="FootnoteReference"/>
          <w:rFonts w:ascii="Verdana" w:hAnsi="Verdana"/>
          <w:sz w:val="20"/>
          <w:szCs w:val="20"/>
          <w:lang w:val="es-CR"/>
        </w:rPr>
        <w:footnoteReference w:id="13"/>
      </w:r>
      <w:r w:rsidR="00663D89" w:rsidRPr="006B6FAD">
        <w:rPr>
          <w:rFonts w:ascii="Verdana" w:hAnsi="Verdana"/>
          <w:sz w:val="20"/>
          <w:szCs w:val="20"/>
          <w:lang w:val="es-CR"/>
        </w:rPr>
        <w:t xml:space="preserve">, </w:t>
      </w:r>
      <w:r w:rsidR="00BE7584" w:rsidRPr="006B6FAD">
        <w:rPr>
          <w:rFonts w:ascii="Verdana" w:hAnsi="Verdana"/>
          <w:sz w:val="20"/>
          <w:szCs w:val="20"/>
          <w:lang w:val="es-CR"/>
        </w:rPr>
        <w:t>que tienen incidencia en el proceso penal actualmente en trámite por los hechos sucedidos en el establecimiento penal “El Frontón”</w:t>
      </w:r>
      <w:r w:rsidR="00F975C4" w:rsidRPr="006B6FAD">
        <w:rPr>
          <w:rFonts w:ascii="Verdana" w:hAnsi="Verdana"/>
          <w:sz w:val="20"/>
          <w:szCs w:val="20"/>
          <w:lang w:val="es-CR"/>
        </w:rPr>
        <w:t xml:space="preserve"> en perjuicio de las víctimas Durand y Ugarte, así como en la posibilidad de iniciar nuevos procesos contra otros eventuales responsables.</w:t>
      </w:r>
      <w:r w:rsidR="00BE7584" w:rsidRPr="006B6FAD">
        <w:rPr>
          <w:rFonts w:ascii="Verdana" w:hAnsi="Verdana"/>
          <w:sz w:val="20"/>
          <w:szCs w:val="20"/>
          <w:lang w:val="es-CR"/>
        </w:rPr>
        <w:t xml:space="preserve"> Dicho proceso penal </w:t>
      </w:r>
      <w:r w:rsidR="00F975C4" w:rsidRPr="006B6FAD">
        <w:rPr>
          <w:rFonts w:ascii="Verdana" w:hAnsi="Verdana"/>
          <w:sz w:val="20"/>
          <w:szCs w:val="20"/>
          <w:lang w:val="es-CR"/>
        </w:rPr>
        <w:t xml:space="preserve">se realiza </w:t>
      </w:r>
      <w:r w:rsidR="00BE7584" w:rsidRPr="006B6FAD">
        <w:rPr>
          <w:rFonts w:ascii="Verdana" w:hAnsi="Verdana"/>
          <w:sz w:val="20"/>
          <w:szCs w:val="20"/>
          <w:lang w:val="es-CR"/>
        </w:rPr>
        <w:t>en cumplimiento de la obligación de investigar</w:t>
      </w:r>
      <w:r w:rsidR="009E573C" w:rsidRPr="006B6FAD">
        <w:rPr>
          <w:rFonts w:ascii="Verdana" w:hAnsi="Verdana"/>
          <w:sz w:val="20"/>
          <w:szCs w:val="20"/>
          <w:lang w:val="es-CR"/>
        </w:rPr>
        <w:t>, juzgar y, de ser el caso, sancionar</w:t>
      </w:r>
      <w:r w:rsidR="00BE7584" w:rsidRPr="006B6FAD">
        <w:rPr>
          <w:rFonts w:ascii="Verdana" w:hAnsi="Verdana"/>
          <w:sz w:val="20"/>
          <w:szCs w:val="20"/>
          <w:lang w:val="es-CR"/>
        </w:rPr>
        <w:t xml:space="preserve"> las violaciones constatadas por la Corte Interamericana en su Sentencia</w:t>
      </w:r>
      <w:r w:rsidR="00F975C4" w:rsidRPr="006B6FAD">
        <w:rPr>
          <w:rFonts w:ascii="Verdana" w:hAnsi="Verdana"/>
          <w:sz w:val="20"/>
          <w:szCs w:val="20"/>
          <w:lang w:val="es-CR"/>
        </w:rPr>
        <w:t xml:space="preserve"> del caso Durand y Ugarte</w:t>
      </w:r>
      <w:r w:rsidR="00BE7584" w:rsidRPr="006B6FAD">
        <w:rPr>
          <w:rFonts w:ascii="Verdana" w:hAnsi="Verdana"/>
          <w:sz w:val="20"/>
          <w:szCs w:val="20"/>
          <w:lang w:val="es-CR"/>
        </w:rPr>
        <w:t>.</w:t>
      </w:r>
      <w:r w:rsidR="00C623D8" w:rsidRPr="006B6FAD">
        <w:rPr>
          <w:rFonts w:ascii="Verdana" w:hAnsi="Verdana"/>
          <w:sz w:val="20"/>
          <w:szCs w:val="20"/>
          <w:lang w:val="es-CR"/>
        </w:rPr>
        <w:t xml:space="preserve"> </w:t>
      </w:r>
      <w:r w:rsidR="00BE7584" w:rsidRPr="006B6FAD">
        <w:rPr>
          <w:rFonts w:ascii="Verdana" w:hAnsi="Verdana"/>
          <w:sz w:val="20"/>
          <w:szCs w:val="20"/>
          <w:lang w:val="es-CR"/>
        </w:rPr>
        <w:t xml:space="preserve">La Corte consideró que </w:t>
      </w:r>
      <w:r w:rsidR="00847D41" w:rsidRPr="006B6FAD">
        <w:rPr>
          <w:rFonts w:ascii="Verdana" w:hAnsi="Verdana"/>
          <w:sz w:val="20"/>
          <w:szCs w:val="20"/>
          <w:lang w:val="es-CR"/>
        </w:rPr>
        <w:t xml:space="preserve">con </w:t>
      </w:r>
      <w:r w:rsidR="00BE7584" w:rsidRPr="006B6FAD">
        <w:rPr>
          <w:rFonts w:ascii="Verdana" w:hAnsi="Verdana"/>
          <w:sz w:val="20"/>
          <w:szCs w:val="20"/>
          <w:lang w:val="es-CR"/>
        </w:rPr>
        <w:t xml:space="preserve">tal procedimiento </w:t>
      </w:r>
      <w:r w:rsidR="00847D41" w:rsidRPr="006B6FAD">
        <w:rPr>
          <w:rFonts w:ascii="Verdana" w:hAnsi="Verdana"/>
          <w:sz w:val="20"/>
          <w:szCs w:val="20"/>
          <w:lang w:val="es-CR"/>
        </w:rPr>
        <w:t xml:space="preserve">de acusación contra los magistrados </w:t>
      </w:r>
      <w:r w:rsidR="00BE7584" w:rsidRPr="006B6FAD">
        <w:rPr>
          <w:rFonts w:ascii="Verdana" w:hAnsi="Verdana"/>
          <w:sz w:val="20"/>
          <w:szCs w:val="20"/>
          <w:lang w:val="es-CR"/>
        </w:rPr>
        <w:t>se generaban</w:t>
      </w:r>
      <w:r w:rsidR="00EF797A" w:rsidRPr="006B6FAD">
        <w:rPr>
          <w:rFonts w:ascii="Verdana" w:hAnsi="Verdana"/>
          <w:sz w:val="20"/>
          <w:szCs w:val="20"/>
          <w:lang w:val="es-CR"/>
        </w:rPr>
        <w:t xml:space="preserve"> una incertidumbre jurídica y</w:t>
      </w:r>
      <w:r w:rsidR="00BE7584" w:rsidRPr="006B6FAD">
        <w:rPr>
          <w:rFonts w:ascii="Verdana" w:hAnsi="Verdana"/>
          <w:sz w:val="20"/>
          <w:szCs w:val="20"/>
          <w:lang w:val="es-CR"/>
        </w:rPr>
        <w:t xml:space="preserve"> </w:t>
      </w:r>
      <w:r w:rsidR="006A7386" w:rsidRPr="006B6FAD">
        <w:rPr>
          <w:rFonts w:ascii="Verdana" w:hAnsi="Verdana"/>
          <w:sz w:val="20"/>
          <w:szCs w:val="20"/>
          <w:lang w:val="es-CR"/>
        </w:rPr>
        <w:t>presiones indebidas tanto en dicho alto tribunal como en los jueces</w:t>
      </w:r>
      <w:r w:rsidR="00847D41" w:rsidRPr="006B6FAD">
        <w:rPr>
          <w:rFonts w:ascii="Verdana" w:hAnsi="Verdana"/>
          <w:sz w:val="20"/>
          <w:szCs w:val="20"/>
          <w:lang w:val="es-CR"/>
        </w:rPr>
        <w:t xml:space="preserve"> penales</w:t>
      </w:r>
      <w:r w:rsidR="00EF797A" w:rsidRPr="006B6FAD">
        <w:rPr>
          <w:rFonts w:ascii="Verdana" w:hAnsi="Verdana"/>
          <w:sz w:val="20"/>
          <w:szCs w:val="20"/>
          <w:lang w:val="es-CR"/>
        </w:rPr>
        <w:t xml:space="preserve"> que llevan el proceso penal actualmente en trámite, así como sobre los que puedan dar inicio a investigaciones de personas que no sean parte del mismo</w:t>
      </w:r>
      <w:r w:rsidR="00EF797A" w:rsidRPr="006B6FAD">
        <w:rPr>
          <w:rStyle w:val="FootnoteReference"/>
          <w:rFonts w:ascii="Verdana" w:hAnsi="Verdana"/>
          <w:sz w:val="20"/>
          <w:szCs w:val="20"/>
          <w:lang w:val="es-CR"/>
        </w:rPr>
        <w:footnoteReference w:id="14"/>
      </w:r>
      <w:r w:rsidR="00663D89" w:rsidRPr="006B6FAD">
        <w:rPr>
          <w:rFonts w:ascii="Verdana" w:hAnsi="Verdana"/>
          <w:sz w:val="20"/>
          <w:szCs w:val="20"/>
          <w:lang w:val="es-CR"/>
        </w:rPr>
        <w:t>.</w:t>
      </w:r>
    </w:p>
    <w:p w:rsidR="00BE7584" w:rsidRPr="006B6FAD" w:rsidRDefault="00BE7584" w:rsidP="00F44E8F">
      <w:pPr>
        <w:pStyle w:val="ListParagraph"/>
        <w:spacing w:after="0" w:line="240" w:lineRule="auto"/>
        <w:ind w:left="0"/>
        <w:jc w:val="both"/>
        <w:rPr>
          <w:rFonts w:ascii="Verdana" w:hAnsi="Verdana"/>
          <w:sz w:val="20"/>
          <w:szCs w:val="20"/>
          <w:lang w:val="es-CR"/>
        </w:rPr>
      </w:pPr>
    </w:p>
    <w:p w:rsidR="006A7386" w:rsidRPr="006B6FAD" w:rsidRDefault="00C623D8" w:rsidP="00F44E8F">
      <w:pPr>
        <w:pStyle w:val="ListParagraph"/>
        <w:numPr>
          <w:ilvl w:val="0"/>
          <w:numId w:val="1"/>
        </w:numPr>
        <w:spacing w:after="0" w:line="240" w:lineRule="auto"/>
        <w:ind w:left="0" w:firstLine="0"/>
        <w:jc w:val="both"/>
        <w:rPr>
          <w:rFonts w:ascii="Verdana" w:hAnsi="Verdana"/>
          <w:sz w:val="18"/>
          <w:szCs w:val="20"/>
          <w:lang w:val="es-CR"/>
        </w:rPr>
      </w:pPr>
      <w:r w:rsidRPr="006B6FAD">
        <w:rPr>
          <w:rFonts w:ascii="Verdana" w:hAnsi="Verdana"/>
          <w:sz w:val="20"/>
          <w:szCs w:val="20"/>
          <w:lang w:val="es-CR"/>
        </w:rPr>
        <w:t xml:space="preserve">Por tanto, una vez que </w:t>
      </w:r>
      <w:r w:rsidR="00A23E5B" w:rsidRPr="006B6FAD">
        <w:rPr>
          <w:rFonts w:ascii="Verdana" w:hAnsi="Verdana"/>
          <w:sz w:val="20"/>
          <w:szCs w:val="20"/>
          <w:lang w:val="es-CR"/>
        </w:rPr>
        <w:t xml:space="preserve">el Estado informe a esta Corte que dicho </w:t>
      </w:r>
      <w:r w:rsidRPr="006B6FAD">
        <w:rPr>
          <w:rFonts w:ascii="Verdana" w:hAnsi="Verdana"/>
          <w:sz w:val="20"/>
          <w:szCs w:val="20"/>
          <w:lang w:val="es-CR"/>
        </w:rPr>
        <w:t>procedimiento ha</w:t>
      </w:r>
      <w:r w:rsidR="00A23E5B" w:rsidRPr="006B6FAD">
        <w:rPr>
          <w:rFonts w:ascii="Verdana" w:hAnsi="Verdana"/>
          <w:sz w:val="20"/>
          <w:szCs w:val="20"/>
          <w:lang w:val="es-CR"/>
        </w:rPr>
        <w:t xml:space="preserve"> </w:t>
      </w:r>
      <w:r w:rsidR="003A4B56" w:rsidRPr="006B6FAD">
        <w:rPr>
          <w:rFonts w:ascii="Verdana" w:hAnsi="Verdana"/>
          <w:sz w:val="20"/>
          <w:szCs w:val="20"/>
          <w:lang w:val="es-CR"/>
        </w:rPr>
        <w:t xml:space="preserve">sido </w:t>
      </w:r>
      <w:r w:rsidR="00BE7584" w:rsidRPr="006B6FAD">
        <w:rPr>
          <w:rFonts w:ascii="Verdana" w:hAnsi="Verdana"/>
          <w:sz w:val="20"/>
          <w:szCs w:val="20"/>
          <w:lang w:val="es-CR"/>
        </w:rPr>
        <w:t>archivado</w:t>
      </w:r>
      <w:r w:rsidR="000A52DB">
        <w:rPr>
          <w:rFonts w:ascii="Verdana" w:hAnsi="Verdana"/>
          <w:sz w:val="20"/>
          <w:szCs w:val="20"/>
          <w:lang w:val="es-CR"/>
        </w:rPr>
        <w:t xml:space="preserve"> </w:t>
      </w:r>
      <w:r w:rsidR="000A52DB" w:rsidRPr="006B6FAD">
        <w:rPr>
          <w:rFonts w:ascii="Verdana" w:hAnsi="Verdana"/>
          <w:sz w:val="20"/>
          <w:szCs w:val="20"/>
          <w:lang w:val="es-CR"/>
        </w:rPr>
        <w:t>(</w:t>
      </w:r>
      <w:r w:rsidR="000A52DB" w:rsidRPr="006B6FAD">
        <w:rPr>
          <w:rFonts w:ascii="Verdana" w:hAnsi="Verdana"/>
          <w:i/>
          <w:sz w:val="20"/>
          <w:szCs w:val="20"/>
          <w:lang w:val="es-CR"/>
        </w:rPr>
        <w:t xml:space="preserve">supra </w:t>
      </w:r>
      <w:r w:rsidR="000A52DB" w:rsidRPr="006B6FAD">
        <w:rPr>
          <w:rFonts w:ascii="Verdana" w:hAnsi="Verdana"/>
          <w:sz w:val="20"/>
          <w:szCs w:val="20"/>
          <w:lang w:val="es-CR"/>
        </w:rPr>
        <w:t>Considerando 11)</w:t>
      </w:r>
      <w:r w:rsidR="00BE7584" w:rsidRPr="006B6FAD">
        <w:rPr>
          <w:rFonts w:ascii="Verdana" w:hAnsi="Verdana"/>
          <w:sz w:val="20"/>
          <w:szCs w:val="20"/>
          <w:lang w:val="es-CR"/>
        </w:rPr>
        <w:t xml:space="preserve">, la Corte </w:t>
      </w:r>
      <w:r w:rsidRPr="006B6FAD">
        <w:rPr>
          <w:rFonts w:ascii="Verdana" w:hAnsi="Verdana"/>
          <w:sz w:val="20"/>
          <w:szCs w:val="20"/>
          <w:lang w:val="es-CR"/>
        </w:rPr>
        <w:t xml:space="preserve">podría </w:t>
      </w:r>
      <w:r w:rsidR="00BE7584" w:rsidRPr="006B6FAD">
        <w:rPr>
          <w:rFonts w:ascii="Verdana" w:hAnsi="Verdana"/>
          <w:sz w:val="20"/>
          <w:szCs w:val="20"/>
          <w:lang w:val="es-CR"/>
        </w:rPr>
        <w:t xml:space="preserve">evaluar </w:t>
      </w:r>
      <w:r w:rsidRPr="006B6FAD">
        <w:rPr>
          <w:rFonts w:ascii="Verdana" w:hAnsi="Verdana"/>
          <w:sz w:val="20"/>
          <w:szCs w:val="20"/>
          <w:lang w:val="es-CR"/>
        </w:rPr>
        <w:t>el leva</w:t>
      </w:r>
      <w:r w:rsidR="00BE7584" w:rsidRPr="006B6FAD">
        <w:rPr>
          <w:rFonts w:ascii="Verdana" w:hAnsi="Verdana"/>
          <w:sz w:val="20"/>
          <w:szCs w:val="20"/>
          <w:lang w:val="es-CR"/>
        </w:rPr>
        <w:t>ntamiento de la referida medida</w:t>
      </w:r>
      <w:r w:rsidR="0046215E" w:rsidRPr="006B6FAD">
        <w:rPr>
          <w:rFonts w:ascii="Verdana" w:hAnsi="Verdana"/>
          <w:sz w:val="20"/>
          <w:szCs w:val="20"/>
          <w:lang w:val="es-CR"/>
        </w:rPr>
        <w:t>, ya sea por solicitud del Estado o de oficio</w:t>
      </w:r>
      <w:r w:rsidRPr="006B6FAD">
        <w:rPr>
          <w:rFonts w:ascii="Verdana" w:hAnsi="Verdana"/>
          <w:sz w:val="20"/>
          <w:szCs w:val="20"/>
          <w:lang w:val="es-CR"/>
        </w:rPr>
        <w:t>.</w:t>
      </w:r>
      <w:r w:rsidR="00684123" w:rsidRPr="006B6FAD">
        <w:rPr>
          <w:rFonts w:ascii="Verdana" w:hAnsi="Verdana"/>
          <w:sz w:val="20"/>
          <w:szCs w:val="20"/>
          <w:lang w:val="es-CR"/>
        </w:rPr>
        <w:t xml:space="preserve"> </w:t>
      </w:r>
    </w:p>
    <w:p w:rsidR="00BE7584" w:rsidRPr="006B6FAD" w:rsidRDefault="00BE7584" w:rsidP="00F44E8F">
      <w:pPr>
        <w:autoSpaceDE w:val="0"/>
        <w:autoSpaceDN w:val="0"/>
        <w:adjustRightInd w:val="0"/>
        <w:spacing w:after="0" w:line="240" w:lineRule="auto"/>
        <w:jc w:val="both"/>
        <w:rPr>
          <w:rFonts w:ascii="Verdana" w:hAnsi="Verdana"/>
          <w:b/>
          <w:sz w:val="14"/>
          <w:szCs w:val="14"/>
          <w:lang w:val="es-ES"/>
        </w:rPr>
      </w:pPr>
    </w:p>
    <w:p w:rsidR="00004C0A" w:rsidRPr="006B6FAD" w:rsidRDefault="00004C0A" w:rsidP="00F44E8F">
      <w:pPr>
        <w:autoSpaceDE w:val="0"/>
        <w:autoSpaceDN w:val="0"/>
        <w:adjustRightInd w:val="0"/>
        <w:spacing w:after="0" w:line="240" w:lineRule="auto"/>
        <w:jc w:val="both"/>
        <w:rPr>
          <w:rFonts w:ascii="Verdana" w:hAnsi="Verdana"/>
          <w:b/>
          <w:sz w:val="14"/>
          <w:szCs w:val="14"/>
          <w:lang w:val="es-ES"/>
        </w:rPr>
      </w:pPr>
    </w:p>
    <w:p w:rsidR="00A16ECA" w:rsidRPr="006B6FAD" w:rsidRDefault="00A16ECA" w:rsidP="00F44E8F">
      <w:pPr>
        <w:autoSpaceDE w:val="0"/>
        <w:autoSpaceDN w:val="0"/>
        <w:adjustRightInd w:val="0"/>
        <w:spacing w:after="0" w:line="240" w:lineRule="auto"/>
        <w:jc w:val="both"/>
        <w:rPr>
          <w:rFonts w:ascii="Verdana" w:hAnsi="Verdana"/>
          <w:b/>
          <w:sz w:val="14"/>
          <w:szCs w:val="14"/>
          <w:lang w:val="es-ES"/>
        </w:rPr>
      </w:pPr>
    </w:p>
    <w:p w:rsidR="007F5121" w:rsidRPr="006B6FAD" w:rsidRDefault="007F5121" w:rsidP="00F44E8F">
      <w:pPr>
        <w:autoSpaceDE w:val="0"/>
        <w:autoSpaceDN w:val="0"/>
        <w:adjustRightInd w:val="0"/>
        <w:spacing w:after="0" w:line="240" w:lineRule="auto"/>
        <w:jc w:val="both"/>
        <w:rPr>
          <w:rFonts w:ascii="Verdana" w:hAnsi="Verdana"/>
          <w:b/>
          <w:sz w:val="20"/>
          <w:lang w:val="es-ES"/>
        </w:rPr>
      </w:pPr>
      <w:r w:rsidRPr="006B6FAD">
        <w:rPr>
          <w:rFonts w:ascii="Verdana" w:hAnsi="Verdana"/>
          <w:b/>
          <w:sz w:val="20"/>
          <w:lang w:val="es-ES"/>
        </w:rPr>
        <w:t>POR TANTO:</w:t>
      </w:r>
    </w:p>
    <w:p w:rsidR="007F5121" w:rsidRPr="006B6FAD" w:rsidRDefault="007F5121" w:rsidP="00F44E8F">
      <w:pPr>
        <w:autoSpaceDE w:val="0"/>
        <w:autoSpaceDN w:val="0"/>
        <w:adjustRightInd w:val="0"/>
        <w:spacing w:after="0" w:line="240" w:lineRule="auto"/>
        <w:jc w:val="both"/>
        <w:rPr>
          <w:rFonts w:ascii="Verdana" w:hAnsi="Verdana"/>
          <w:b/>
          <w:sz w:val="14"/>
          <w:szCs w:val="14"/>
          <w:lang w:val="es-ES"/>
        </w:rPr>
      </w:pPr>
    </w:p>
    <w:p w:rsidR="007F5121" w:rsidRPr="006B6FAD" w:rsidRDefault="007F5121" w:rsidP="00F44E8F">
      <w:pPr>
        <w:autoSpaceDE w:val="0"/>
        <w:autoSpaceDN w:val="0"/>
        <w:adjustRightInd w:val="0"/>
        <w:spacing w:after="0" w:line="240" w:lineRule="auto"/>
        <w:jc w:val="both"/>
        <w:rPr>
          <w:rFonts w:ascii="Verdana" w:hAnsi="Verdana"/>
          <w:b/>
          <w:sz w:val="20"/>
          <w:lang w:val="es-ES"/>
        </w:rPr>
      </w:pPr>
      <w:r w:rsidRPr="006B6FAD">
        <w:rPr>
          <w:rFonts w:ascii="Verdana" w:hAnsi="Verdana"/>
          <w:b/>
          <w:sz w:val="20"/>
          <w:lang w:val="es-ES"/>
        </w:rPr>
        <w:t>LA CORTE INTERAMERICANA DE DERECHOS HUMANOS,</w:t>
      </w:r>
    </w:p>
    <w:p w:rsidR="007F5121" w:rsidRPr="006B6FAD" w:rsidRDefault="007F5121" w:rsidP="00F44E8F">
      <w:pPr>
        <w:autoSpaceDE w:val="0"/>
        <w:autoSpaceDN w:val="0"/>
        <w:adjustRightInd w:val="0"/>
        <w:spacing w:after="0" w:line="240" w:lineRule="auto"/>
        <w:jc w:val="both"/>
        <w:rPr>
          <w:rFonts w:ascii="Verdana" w:hAnsi="Verdana"/>
          <w:b/>
          <w:sz w:val="14"/>
          <w:szCs w:val="14"/>
          <w:lang w:val="es-ES"/>
        </w:rPr>
      </w:pPr>
    </w:p>
    <w:p w:rsidR="007F5121" w:rsidRPr="006B6FAD" w:rsidRDefault="007F5121" w:rsidP="00F44E8F">
      <w:pPr>
        <w:spacing w:after="0" w:line="240" w:lineRule="auto"/>
        <w:jc w:val="both"/>
        <w:rPr>
          <w:rFonts w:ascii="Verdana" w:hAnsi="Verdana"/>
          <w:sz w:val="20"/>
          <w:szCs w:val="20"/>
          <w:lang w:val="es-CR"/>
        </w:rPr>
      </w:pPr>
      <w:r w:rsidRPr="006B6FAD">
        <w:rPr>
          <w:rFonts w:ascii="Verdana" w:hAnsi="Verdana"/>
          <w:sz w:val="20"/>
          <w:szCs w:val="20"/>
          <w:lang w:val="es-ES"/>
        </w:rPr>
        <w:t>e</w:t>
      </w:r>
      <w:r w:rsidRPr="006B6FAD">
        <w:rPr>
          <w:rFonts w:ascii="Verdana" w:hAnsi="Verdana"/>
          <w:sz w:val="20"/>
          <w:szCs w:val="20"/>
          <w:lang w:val="es-CR"/>
        </w:rPr>
        <w:t xml:space="preserve">n el ejercicio de </w:t>
      </w:r>
      <w:r w:rsidR="00F06C70" w:rsidRPr="006B6FAD">
        <w:rPr>
          <w:rFonts w:ascii="Verdana" w:hAnsi="Verdana"/>
          <w:sz w:val="20"/>
          <w:szCs w:val="20"/>
          <w:lang w:val="es-CR"/>
        </w:rPr>
        <w:t>las</w:t>
      </w:r>
      <w:r w:rsidRPr="006B6FAD">
        <w:rPr>
          <w:rFonts w:ascii="Verdana" w:hAnsi="Verdana"/>
          <w:sz w:val="20"/>
          <w:szCs w:val="20"/>
          <w:lang w:val="es-CR"/>
        </w:rPr>
        <w:t xml:space="preserve"> atribuciones </w:t>
      </w:r>
      <w:r w:rsidR="00F06C70" w:rsidRPr="006B6FAD">
        <w:rPr>
          <w:rFonts w:ascii="Verdana" w:hAnsi="Verdana"/>
          <w:sz w:val="20"/>
          <w:szCs w:val="20"/>
          <w:lang w:val="es-CR"/>
        </w:rPr>
        <w:t xml:space="preserve">que le confieren </w:t>
      </w:r>
      <w:r w:rsidRPr="006B6FAD">
        <w:rPr>
          <w:rFonts w:ascii="Verdana" w:hAnsi="Verdana"/>
          <w:sz w:val="20"/>
          <w:szCs w:val="20"/>
          <w:lang w:val="es-CR"/>
        </w:rPr>
        <w:t xml:space="preserve">los artículos </w:t>
      </w:r>
      <w:r w:rsidR="00F06C70" w:rsidRPr="006B6FAD">
        <w:rPr>
          <w:rFonts w:ascii="Verdana" w:hAnsi="Verdana"/>
          <w:sz w:val="20"/>
          <w:szCs w:val="20"/>
          <w:lang w:val="es-CR"/>
        </w:rPr>
        <w:t>63.2,</w:t>
      </w:r>
      <w:r w:rsidRPr="006B6FAD">
        <w:rPr>
          <w:rFonts w:ascii="Verdana" w:hAnsi="Verdana"/>
          <w:sz w:val="20"/>
          <w:szCs w:val="20"/>
          <w:lang w:val="es-CR"/>
        </w:rPr>
        <w:t xml:space="preserve"> 67 y 68.1 de la Convención Americana sobre Derechos Humanos</w:t>
      </w:r>
      <w:r w:rsidR="00F06C70" w:rsidRPr="006B6FAD">
        <w:rPr>
          <w:rFonts w:ascii="Verdana" w:hAnsi="Verdana"/>
          <w:sz w:val="20"/>
          <w:szCs w:val="20"/>
          <w:lang w:val="es-CR"/>
        </w:rPr>
        <w:t xml:space="preserve"> y los artículos 27 y 31 de su </w:t>
      </w:r>
      <w:r w:rsidRPr="006B6FAD">
        <w:rPr>
          <w:rFonts w:ascii="Verdana" w:hAnsi="Verdana"/>
          <w:sz w:val="20"/>
          <w:szCs w:val="20"/>
          <w:lang w:val="es-CR"/>
        </w:rPr>
        <w:t>Reglamento,</w:t>
      </w:r>
    </w:p>
    <w:p w:rsidR="007F5121" w:rsidRPr="006B6FAD" w:rsidRDefault="007F5121" w:rsidP="00F44E8F">
      <w:pPr>
        <w:autoSpaceDE w:val="0"/>
        <w:autoSpaceDN w:val="0"/>
        <w:adjustRightInd w:val="0"/>
        <w:spacing w:after="0" w:line="240" w:lineRule="auto"/>
        <w:jc w:val="both"/>
        <w:rPr>
          <w:rFonts w:ascii="Verdana" w:hAnsi="Verdana"/>
          <w:sz w:val="14"/>
          <w:szCs w:val="14"/>
          <w:lang w:val="es-CR"/>
        </w:rPr>
      </w:pPr>
    </w:p>
    <w:p w:rsidR="00A16ECA" w:rsidRPr="006B6FAD" w:rsidRDefault="00A16ECA" w:rsidP="00F44E8F">
      <w:pPr>
        <w:autoSpaceDE w:val="0"/>
        <w:autoSpaceDN w:val="0"/>
        <w:adjustRightInd w:val="0"/>
        <w:spacing w:after="0" w:line="240" w:lineRule="auto"/>
        <w:jc w:val="both"/>
        <w:rPr>
          <w:rFonts w:ascii="Verdana" w:hAnsi="Verdana"/>
          <w:sz w:val="14"/>
          <w:szCs w:val="14"/>
          <w:lang w:val="es-CR"/>
        </w:rPr>
      </w:pPr>
    </w:p>
    <w:p w:rsidR="007F5121" w:rsidRPr="006B6FAD" w:rsidRDefault="007F5121" w:rsidP="00F44E8F">
      <w:pPr>
        <w:autoSpaceDE w:val="0"/>
        <w:autoSpaceDN w:val="0"/>
        <w:adjustRightInd w:val="0"/>
        <w:spacing w:after="0" w:line="240" w:lineRule="auto"/>
        <w:jc w:val="both"/>
        <w:rPr>
          <w:rFonts w:ascii="Verdana" w:hAnsi="Verdana"/>
          <w:b/>
          <w:sz w:val="20"/>
          <w:szCs w:val="20"/>
          <w:lang w:val="es-CR"/>
        </w:rPr>
      </w:pPr>
      <w:r w:rsidRPr="006B6FAD">
        <w:rPr>
          <w:rFonts w:ascii="Verdana" w:hAnsi="Verdana"/>
          <w:b/>
          <w:sz w:val="20"/>
          <w:szCs w:val="20"/>
          <w:lang w:val="es-CR"/>
        </w:rPr>
        <w:t>RESUELVE:</w:t>
      </w:r>
    </w:p>
    <w:p w:rsidR="007F5121" w:rsidRPr="006B6FAD" w:rsidRDefault="007F5121" w:rsidP="00F44E8F">
      <w:pPr>
        <w:autoSpaceDE w:val="0"/>
        <w:autoSpaceDN w:val="0"/>
        <w:adjustRightInd w:val="0"/>
        <w:spacing w:after="0" w:line="240" w:lineRule="auto"/>
        <w:jc w:val="both"/>
        <w:rPr>
          <w:rFonts w:ascii="Verdana" w:hAnsi="Verdana"/>
          <w:b/>
          <w:sz w:val="20"/>
          <w:szCs w:val="20"/>
          <w:lang w:val="es-CR"/>
        </w:rPr>
      </w:pPr>
    </w:p>
    <w:p w:rsidR="007F5121" w:rsidRPr="006B6FAD" w:rsidRDefault="00086EAA" w:rsidP="00F44E8F">
      <w:pPr>
        <w:pStyle w:val="BodyText2"/>
        <w:numPr>
          <w:ilvl w:val="0"/>
          <w:numId w:val="4"/>
        </w:numPr>
        <w:spacing w:after="0" w:line="240" w:lineRule="auto"/>
        <w:ind w:right="20"/>
        <w:rPr>
          <w:lang w:val="es-CR"/>
        </w:rPr>
      </w:pPr>
      <w:r w:rsidRPr="006B6FAD">
        <w:rPr>
          <w:lang w:val="es-CR"/>
        </w:rPr>
        <w:t>Declarar inadmisible</w:t>
      </w:r>
      <w:r w:rsidR="001B4711" w:rsidRPr="006B6FAD">
        <w:rPr>
          <w:lang w:val="es-CR"/>
        </w:rPr>
        <w:t>s</w:t>
      </w:r>
      <w:r w:rsidR="007F5121" w:rsidRPr="006B6FAD">
        <w:rPr>
          <w:lang w:val="es-CR"/>
        </w:rPr>
        <w:t xml:space="preserve"> la</w:t>
      </w:r>
      <w:r w:rsidR="001B4711" w:rsidRPr="006B6FAD">
        <w:rPr>
          <w:lang w:val="es-CR"/>
        </w:rPr>
        <w:t>s</w:t>
      </w:r>
      <w:r w:rsidR="007F5121" w:rsidRPr="006B6FAD">
        <w:rPr>
          <w:lang w:val="es-CR"/>
        </w:rPr>
        <w:t xml:space="preserve"> </w:t>
      </w:r>
      <w:r w:rsidR="00033366" w:rsidRPr="006B6FAD">
        <w:rPr>
          <w:lang w:val="es-CR"/>
        </w:rPr>
        <w:t>solicitud</w:t>
      </w:r>
      <w:r w:rsidR="001B4711" w:rsidRPr="006B6FAD">
        <w:rPr>
          <w:lang w:val="es-CR"/>
        </w:rPr>
        <w:t>es</w:t>
      </w:r>
      <w:r w:rsidR="00033366" w:rsidRPr="006B6FAD">
        <w:rPr>
          <w:lang w:val="es-CR"/>
        </w:rPr>
        <w:t xml:space="preserve"> </w:t>
      </w:r>
      <w:r w:rsidR="001B4711" w:rsidRPr="006B6FAD">
        <w:rPr>
          <w:lang w:val="es-CR"/>
        </w:rPr>
        <w:t>presentadas</w:t>
      </w:r>
      <w:r w:rsidR="00EC295F" w:rsidRPr="006B6FAD">
        <w:rPr>
          <w:lang w:val="es-CR"/>
        </w:rPr>
        <w:t xml:space="preserve"> por el Estado del Perú el 12 de abril de 2018</w:t>
      </w:r>
      <w:r w:rsidR="009964F4" w:rsidRPr="006B6FAD">
        <w:rPr>
          <w:lang w:val="es-CR"/>
        </w:rPr>
        <w:t>,</w:t>
      </w:r>
      <w:r w:rsidR="007F5121" w:rsidRPr="006B6FAD">
        <w:rPr>
          <w:lang w:val="es-CR"/>
        </w:rPr>
        <w:t xml:space="preserve"> según lo indicado en </w:t>
      </w:r>
      <w:r w:rsidR="002A39EE" w:rsidRPr="006B6FAD">
        <w:rPr>
          <w:lang w:val="es-CR"/>
        </w:rPr>
        <w:t xml:space="preserve">la parte considerativa </w:t>
      </w:r>
      <w:r w:rsidR="007F5121" w:rsidRPr="006B6FAD">
        <w:rPr>
          <w:lang w:val="es-CR"/>
        </w:rPr>
        <w:t xml:space="preserve">de la presente Resolución. </w:t>
      </w:r>
    </w:p>
    <w:p w:rsidR="007F5121" w:rsidRPr="006B6FAD" w:rsidRDefault="007F5121" w:rsidP="00F44E8F">
      <w:pPr>
        <w:pStyle w:val="BodyText2"/>
        <w:spacing w:after="0" w:line="240" w:lineRule="auto"/>
        <w:ind w:right="20"/>
        <w:rPr>
          <w:b/>
        </w:rPr>
      </w:pPr>
    </w:p>
    <w:p w:rsidR="00975566" w:rsidRDefault="007F5121" w:rsidP="00F44E8F">
      <w:pPr>
        <w:pStyle w:val="BodyText2"/>
        <w:numPr>
          <w:ilvl w:val="0"/>
          <w:numId w:val="4"/>
        </w:numPr>
        <w:spacing w:after="0" w:line="240" w:lineRule="auto"/>
        <w:ind w:right="20"/>
      </w:pPr>
      <w:r w:rsidRPr="006B6FAD">
        <w:t>Disponer que la Secretaría de la Corte notifique la presente Resolución al Estado, a</w:t>
      </w:r>
      <w:r w:rsidR="00E37303" w:rsidRPr="006B6FAD">
        <w:t xml:space="preserve"> </w:t>
      </w:r>
      <w:r w:rsidRPr="006B6FAD">
        <w:t>l</w:t>
      </w:r>
      <w:r w:rsidR="00E37303" w:rsidRPr="006B6FAD">
        <w:t>os</w:t>
      </w:r>
      <w:r w:rsidRPr="006B6FAD">
        <w:t xml:space="preserve"> representante</w:t>
      </w:r>
      <w:r w:rsidR="00E37303" w:rsidRPr="006B6FAD">
        <w:t>s</w:t>
      </w:r>
      <w:r w:rsidRPr="006B6FAD">
        <w:t xml:space="preserve"> de las víctimas, y a la Comisión Interamericana de Derechos Humanos.</w:t>
      </w:r>
      <w:r w:rsidR="00F44E8F" w:rsidRPr="006B6FAD">
        <w:t xml:space="preserve"> </w:t>
      </w:r>
    </w:p>
    <w:p w:rsidR="00975566" w:rsidRDefault="00975566">
      <w:pPr>
        <w:rPr>
          <w:rFonts w:ascii="Verdana" w:eastAsia="Times" w:hAnsi="Verdana" w:cs="Times New Roman"/>
          <w:sz w:val="20"/>
          <w:szCs w:val="20"/>
          <w:lang w:val="es-ES_tradnl"/>
        </w:rPr>
      </w:pPr>
      <w:r w:rsidRPr="00975566">
        <w:rPr>
          <w:lang w:val="es-CR"/>
        </w:rPr>
        <w:br w:type="page"/>
      </w:r>
    </w:p>
    <w:p w:rsidR="00975566" w:rsidRPr="00975566" w:rsidRDefault="00975566" w:rsidP="00975566">
      <w:pPr>
        <w:keepNext/>
        <w:spacing w:after="0" w:line="240" w:lineRule="auto"/>
        <w:jc w:val="both"/>
        <w:outlineLvl w:val="0"/>
        <w:rPr>
          <w:rFonts w:ascii="Verdana" w:eastAsia="Times" w:hAnsi="Verdana" w:cs="Verdana"/>
          <w:b/>
          <w:bCs/>
          <w:sz w:val="20"/>
          <w:szCs w:val="20"/>
          <w:lang w:val="es-ES"/>
        </w:rPr>
      </w:pPr>
      <w:r w:rsidRPr="00975566">
        <w:rPr>
          <w:rFonts w:ascii="Verdana" w:eastAsia="Times" w:hAnsi="Verdana" w:cs="Courier New"/>
          <w:noProof/>
          <w:sz w:val="20"/>
          <w:szCs w:val="20"/>
          <w:lang w:val="es-AR"/>
        </w:rPr>
        <w:lastRenderedPageBreak/>
        <w:t xml:space="preserve">Corte IDH. </w:t>
      </w:r>
      <w:r w:rsidRPr="00975566">
        <w:rPr>
          <w:rFonts w:ascii="Verdana" w:eastAsia="Times" w:hAnsi="Verdana" w:cs="Times New Roman"/>
          <w:bCs/>
          <w:i/>
          <w:sz w:val="20"/>
          <w:szCs w:val="20"/>
          <w:lang w:val="es-CR"/>
        </w:rPr>
        <w:t>Caso Durand y Ugarte Vs. Perú</w:t>
      </w:r>
      <w:r w:rsidRPr="00975566">
        <w:rPr>
          <w:rFonts w:ascii="Verdana" w:eastAsia="Times" w:hAnsi="Verdana" w:cs="Times New Roman"/>
          <w:i/>
          <w:sz w:val="20"/>
          <w:szCs w:val="20"/>
          <w:lang w:val="es-ES"/>
        </w:rPr>
        <w:t>.</w:t>
      </w:r>
      <w:r w:rsidRPr="00975566">
        <w:rPr>
          <w:rFonts w:ascii="Verdana" w:eastAsia="Times" w:hAnsi="Verdana" w:cs="Arial"/>
          <w:i/>
          <w:sz w:val="20"/>
          <w:szCs w:val="20"/>
          <w:lang w:val="es-CR"/>
        </w:rPr>
        <w:t xml:space="preserve"> </w:t>
      </w:r>
      <w:r w:rsidRPr="00975566">
        <w:rPr>
          <w:rFonts w:ascii="Verdana" w:eastAsia="Times" w:hAnsi="Verdana" w:cs="Times New Roman"/>
          <w:sz w:val="20"/>
          <w:szCs w:val="20"/>
          <w:lang w:val="es-CR"/>
        </w:rPr>
        <w:t xml:space="preserve">Medidas Provisionales. </w:t>
      </w:r>
      <w:r w:rsidRPr="00975566">
        <w:rPr>
          <w:rFonts w:ascii="Verdana" w:eastAsia="Times" w:hAnsi="Verdana" w:cs="Times New Roman"/>
          <w:sz w:val="20"/>
          <w:szCs w:val="20"/>
          <w:lang w:val="es-ES"/>
        </w:rPr>
        <w:t xml:space="preserve">Resolución de la Corte Interamericana de Derechos Humanos de </w:t>
      </w:r>
      <w:r w:rsidRPr="00975566">
        <w:rPr>
          <w:rFonts w:ascii="Verdana" w:eastAsia="Times" w:hAnsi="Verdana" w:cs="Times New Roman"/>
          <w:sz w:val="20"/>
          <w:szCs w:val="20"/>
          <w:lang w:val="es-CR"/>
        </w:rPr>
        <w:t>30 de mayo de 2018</w:t>
      </w:r>
      <w:r w:rsidRPr="00975566">
        <w:rPr>
          <w:rFonts w:ascii="Verdana" w:eastAsia="Times" w:hAnsi="Verdana" w:cs="Times New Roman"/>
          <w:sz w:val="20"/>
          <w:szCs w:val="20"/>
          <w:lang w:val="es-ES"/>
        </w:rPr>
        <w:t xml:space="preserve">. </w:t>
      </w:r>
    </w:p>
    <w:p w:rsidR="00975566" w:rsidRPr="00975566" w:rsidRDefault="00975566" w:rsidP="00975566">
      <w:pPr>
        <w:spacing w:after="0" w:line="240" w:lineRule="auto"/>
        <w:jc w:val="center"/>
        <w:rPr>
          <w:rFonts w:ascii="Verdana" w:eastAsia="Times" w:hAnsi="Verdana" w:cs="Times New Roman"/>
          <w:sz w:val="20"/>
          <w:szCs w:val="20"/>
          <w:lang w:val="es-ES"/>
        </w:rPr>
      </w:pPr>
    </w:p>
    <w:p w:rsidR="00975566" w:rsidRPr="00975566" w:rsidRDefault="00975566" w:rsidP="00975566">
      <w:pPr>
        <w:spacing w:after="0" w:line="240" w:lineRule="auto"/>
        <w:jc w:val="center"/>
        <w:rPr>
          <w:rFonts w:ascii="Verdana" w:eastAsia="Times" w:hAnsi="Verdana" w:cs="Times New Roman"/>
          <w:sz w:val="20"/>
          <w:szCs w:val="20"/>
          <w:lang w:val="es-ES"/>
        </w:rPr>
      </w:pPr>
    </w:p>
    <w:p w:rsidR="00975566" w:rsidRPr="00975566" w:rsidRDefault="00975566" w:rsidP="00975566">
      <w:pPr>
        <w:spacing w:after="0" w:line="240" w:lineRule="auto"/>
        <w:jc w:val="center"/>
        <w:rPr>
          <w:rFonts w:ascii="Verdana" w:eastAsia="Times" w:hAnsi="Verdana" w:cs="Times New Roman"/>
          <w:sz w:val="20"/>
          <w:szCs w:val="20"/>
          <w:lang w:val="es-ES"/>
        </w:rPr>
      </w:pPr>
    </w:p>
    <w:p w:rsidR="00975566" w:rsidRPr="00975566" w:rsidRDefault="00975566" w:rsidP="00975566">
      <w:pPr>
        <w:spacing w:after="0" w:line="240" w:lineRule="auto"/>
        <w:jc w:val="center"/>
        <w:rPr>
          <w:rFonts w:ascii="Verdana" w:eastAsia="Times" w:hAnsi="Verdana" w:cs="Times New Roman"/>
          <w:sz w:val="20"/>
          <w:szCs w:val="20"/>
          <w:lang w:val="es-ES"/>
        </w:rPr>
      </w:pPr>
    </w:p>
    <w:p w:rsidR="00975566" w:rsidRPr="00975566" w:rsidRDefault="00975566" w:rsidP="00975566">
      <w:pPr>
        <w:spacing w:after="0" w:line="240" w:lineRule="auto"/>
        <w:jc w:val="center"/>
        <w:rPr>
          <w:rFonts w:ascii="Verdana" w:eastAsia="Times" w:hAnsi="Verdana" w:cs="Times New Roman"/>
          <w:sz w:val="20"/>
          <w:szCs w:val="20"/>
          <w:lang w:val="es-ES"/>
        </w:rPr>
      </w:pPr>
    </w:p>
    <w:p w:rsidR="00975566" w:rsidRPr="00975566" w:rsidRDefault="00975566" w:rsidP="00975566">
      <w:pPr>
        <w:spacing w:after="0" w:line="240" w:lineRule="auto"/>
        <w:jc w:val="center"/>
        <w:rPr>
          <w:rFonts w:ascii="Verdana" w:eastAsia="Times" w:hAnsi="Verdana" w:cs="Times New Roman"/>
          <w:sz w:val="20"/>
          <w:szCs w:val="20"/>
          <w:lang w:val="es-ES"/>
        </w:rPr>
      </w:pPr>
    </w:p>
    <w:p w:rsidR="00975566" w:rsidRPr="00975566" w:rsidRDefault="00975566" w:rsidP="00975566">
      <w:pPr>
        <w:spacing w:after="0" w:line="240" w:lineRule="auto"/>
        <w:jc w:val="center"/>
        <w:rPr>
          <w:rFonts w:ascii="Verdana" w:eastAsia="Times" w:hAnsi="Verdana" w:cs="Times New Roman"/>
          <w:sz w:val="20"/>
          <w:szCs w:val="20"/>
          <w:lang w:val="pt-BR"/>
        </w:rPr>
      </w:pPr>
      <w:r w:rsidRPr="00975566">
        <w:rPr>
          <w:rFonts w:ascii="Verdana" w:eastAsia="Times" w:hAnsi="Verdana" w:cs="Times New Roman"/>
          <w:sz w:val="20"/>
          <w:szCs w:val="20"/>
          <w:lang w:val="pt-BR"/>
        </w:rPr>
        <w:t xml:space="preserve">Eduardo Ferrer Mac-Gregor Poisot </w:t>
      </w:r>
    </w:p>
    <w:p w:rsidR="00975566" w:rsidRPr="00975566" w:rsidRDefault="00975566" w:rsidP="00975566">
      <w:pPr>
        <w:spacing w:after="0" w:line="240" w:lineRule="auto"/>
        <w:jc w:val="center"/>
        <w:rPr>
          <w:rFonts w:ascii="Verdana" w:eastAsia="Times" w:hAnsi="Verdana" w:cs="Times New Roman"/>
          <w:sz w:val="20"/>
          <w:szCs w:val="20"/>
          <w:lang w:val="pt-BR"/>
        </w:rPr>
      </w:pPr>
      <w:r w:rsidRPr="00975566">
        <w:rPr>
          <w:rFonts w:ascii="Verdana" w:eastAsia="Times" w:hAnsi="Verdana" w:cs="Times New Roman"/>
          <w:sz w:val="20"/>
          <w:szCs w:val="20"/>
          <w:lang w:val="pt-BR"/>
        </w:rPr>
        <w:t>Presidente</w:t>
      </w: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r w:rsidRPr="00975566">
        <w:rPr>
          <w:rFonts w:ascii="Verdana" w:eastAsia="Times" w:hAnsi="Verdana" w:cs="Times New Roman"/>
          <w:sz w:val="20"/>
          <w:szCs w:val="20"/>
          <w:lang w:val="pt-BR"/>
        </w:rPr>
        <w:t>Eduardo Vio Grossi</w:t>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t>Humberto Antonio Sierra Porto</w:t>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t xml:space="preserve">        </w:t>
      </w: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r w:rsidRPr="00975566">
        <w:rPr>
          <w:rFonts w:ascii="Verdana" w:eastAsia="Times" w:hAnsi="Verdana" w:cs="Times New Roman"/>
          <w:sz w:val="20"/>
          <w:szCs w:val="20"/>
          <w:lang w:val="pt-BR"/>
        </w:rPr>
        <w:t>Elizabeth Odio Benito</w:t>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r>
      <w:r w:rsidRPr="00975566">
        <w:rPr>
          <w:rFonts w:ascii="Verdana" w:eastAsia="Times" w:hAnsi="Verdana" w:cs="Times New Roman"/>
          <w:sz w:val="20"/>
          <w:szCs w:val="20"/>
          <w:lang w:val="pt-BR"/>
        </w:rPr>
        <w:tab/>
        <w:t xml:space="preserve">    </w:t>
      </w:r>
      <w:r w:rsidRPr="00975566">
        <w:rPr>
          <w:rFonts w:ascii="Verdana" w:eastAsia="Times" w:hAnsi="Verdana" w:cs="Times New Roman"/>
          <w:sz w:val="20"/>
          <w:szCs w:val="20"/>
          <w:lang w:val="pt-BR"/>
        </w:rPr>
        <w:tab/>
        <w:t xml:space="preserve">        L. Patricio Pazmiño Freire</w:t>
      </w: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center"/>
        <w:rPr>
          <w:rFonts w:ascii="Verdana" w:eastAsia="Times" w:hAnsi="Verdana" w:cs="Times New Roman"/>
          <w:sz w:val="20"/>
          <w:szCs w:val="20"/>
          <w:lang w:val="pt-BR"/>
        </w:rPr>
      </w:pPr>
      <w:r w:rsidRPr="00975566">
        <w:rPr>
          <w:rFonts w:ascii="Verdana" w:eastAsia="Times" w:hAnsi="Verdana" w:cs="Times New Roman"/>
          <w:sz w:val="20"/>
          <w:szCs w:val="20"/>
          <w:lang w:val="pt-BR"/>
        </w:rPr>
        <w:t>Pablo Saavedra Alessandri</w:t>
      </w:r>
    </w:p>
    <w:p w:rsidR="00975566" w:rsidRPr="00975566" w:rsidRDefault="00975566" w:rsidP="00975566">
      <w:pPr>
        <w:spacing w:after="0" w:line="240" w:lineRule="auto"/>
        <w:jc w:val="center"/>
        <w:rPr>
          <w:rFonts w:ascii="Verdana" w:eastAsia="Times" w:hAnsi="Verdana" w:cs="Times New Roman"/>
          <w:sz w:val="20"/>
          <w:szCs w:val="20"/>
          <w:lang w:val="pt-BR"/>
        </w:rPr>
      </w:pPr>
      <w:r w:rsidRPr="00975566">
        <w:rPr>
          <w:rFonts w:ascii="Verdana" w:eastAsia="Times" w:hAnsi="Verdana" w:cs="Times New Roman"/>
          <w:sz w:val="20"/>
          <w:szCs w:val="20"/>
          <w:lang w:val="pt-BR"/>
        </w:rPr>
        <w:t>Secretario</w:t>
      </w:r>
    </w:p>
    <w:p w:rsidR="00975566" w:rsidRPr="00975566" w:rsidRDefault="00975566" w:rsidP="00975566">
      <w:pPr>
        <w:spacing w:after="0" w:line="240" w:lineRule="auto"/>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r w:rsidRPr="00975566">
        <w:rPr>
          <w:rFonts w:ascii="Verdana" w:eastAsia="Times" w:hAnsi="Verdana" w:cs="Times New Roman"/>
          <w:sz w:val="20"/>
          <w:szCs w:val="20"/>
          <w:lang w:val="pt-BR"/>
        </w:rPr>
        <w:t>Comuníquese y ejecútese,</w:t>
      </w: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ind w:left="4956"/>
        <w:jc w:val="center"/>
        <w:rPr>
          <w:rFonts w:ascii="Verdana" w:eastAsia="Times" w:hAnsi="Verdana" w:cs="Times New Roman"/>
          <w:sz w:val="20"/>
          <w:szCs w:val="20"/>
          <w:lang w:val="pt-BR"/>
        </w:rPr>
      </w:pPr>
      <w:r w:rsidRPr="00975566">
        <w:rPr>
          <w:rFonts w:ascii="Verdana" w:eastAsia="Times" w:hAnsi="Verdana" w:cs="Times New Roman"/>
          <w:sz w:val="20"/>
          <w:szCs w:val="20"/>
          <w:lang w:val="pt-BR"/>
        </w:rPr>
        <w:t xml:space="preserve">Eduardo Ferrer Mac-Gregor Poisot </w:t>
      </w:r>
    </w:p>
    <w:p w:rsidR="00975566" w:rsidRPr="00975566" w:rsidRDefault="00975566" w:rsidP="00975566">
      <w:pPr>
        <w:spacing w:after="0" w:line="240" w:lineRule="auto"/>
        <w:ind w:left="4956"/>
        <w:jc w:val="center"/>
        <w:rPr>
          <w:rFonts w:ascii="Verdana" w:eastAsia="Times" w:hAnsi="Verdana" w:cs="Times New Roman"/>
          <w:sz w:val="20"/>
          <w:szCs w:val="20"/>
          <w:lang w:val="pt-BR"/>
        </w:rPr>
      </w:pPr>
      <w:r w:rsidRPr="00975566">
        <w:rPr>
          <w:rFonts w:ascii="Verdana" w:eastAsia="Times" w:hAnsi="Verdana" w:cs="Times New Roman"/>
          <w:sz w:val="20"/>
          <w:szCs w:val="20"/>
          <w:lang w:val="pt-BR"/>
        </w:rPr>
        <w:t>Presidente</w:t>
      </w: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pt-BR"/>
        </w:rPr>
      </w:pPr>
    </w:p>
    <w:p w:rsidR="00975566" w:rsidRPr="00975566" w:rsidRDefault="00975566" w:rsidP="00975566">
      <w:pPr>
        <w:spacing w:after="0" w:line="240" w:lineRule="auto"/>
        <w:jc w:val="both"/>
        <w:rPr>
          <w:rFonts w:ascii="Verdana" w:eastAsia="Times" w:hAnsi="Verdana" w:cs="Times New Roman"/>
          <w:sz w:val="20"/>
          <w:szCs w:val="20"/>
          <w:lang w:val="es-ES"/>
        </w:rPr>
      </w:pPr>
      <w:r w:rsidRPr="00975566">
        <w:rPr>
          <w:rFonts w:ascii="Verdana" w:eastAsia="Times" w:hAnsi="Verdana" w:cs="Times New Roman"/>
          <w:sz w:val="20"/>
          <w:szCs w:val="20"/>
          <w:lang w:val="es-ES"/>
        </w:rPr>
        <w:t>Pablo Saavedra Alessandri</w:t>
      </w:r>
    </w:p>
    <w:p w:rsidR="00975566" w:rsidRPr="00975566" w:rsidRDefault="00975566" w:rsidP="00975566">
      <w:pPr>
        <w:spacing w:after="0" w:line="240" w:lineRule="auto"/>
        <w:rPr>
          <w:rFonts w:ascii="Verdana" w:eastAsia="Times" w:hAnsi="Verdana" w:cs="Times New Roman"/>
          <w:sz w:val="20"/>
          <w:szCs w:val="20"/>
          <w:lang w:val="es-CR"/>
        </w:rPr>
      </w:pPr>
      <w:r w:rsidRPr="00975566">
        <w:rPr>
          <w:rFonts w:ascii="Verdana" w:eastAsia="Times" w:hAnsi="Verdana" w:cs="Times New Roman"/>
          <w:sz w:val="20"/>
          <w:szCs w:val="20"/>
          <w:lang w:val="es-ES"/>
        </w:rPr>
        <w:tab/>
      </w:r>
      <w:r w:rsidRPr="00975566">
        <w:rPr>
          <w:rFonts w:ascii="Verdana" w:eastAsia="Times" w:hAnsi="Verdana" w:cs="Times New Roman"/>
          <w:sz w:val="20"/>
          <w:szCs w:val="20"/>
          <w:lang w:val="es-CR"/>
        </w:rPr>
        <w:t>Secretario</w:t>
      </w:r>
    </w:p>
    <w:p w:rsidR="007F5121" w:rsidRPr="006B6FAD" w:rsidRDefault="007F5121" w:rsidP="00975566">
      <w:pPr>
        <w:pStyle w:val="BodyText2"/>
        <w:spacing w:after="0" w:line="240" w:lineRule="auto"/>
        <w:ind w:right="20"/>
      </w:pPr>
    </w:p>
    <w:sectPr w:rsidR="007F5121" w:rsidRPr="006B6FAD" w:rsidSect="00973CC9">
      <w:headerReference w:type="default" r:id="rId9"/>
      <w:footerReference w:type="default" r:id="rId10"/>
      <w:pgSz w:w="12240" w:h="15840" w:code="1"/>
      <w:pgMar w:top="1411" w:right="1699" w:bottom="1411"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03" w:rsidRDefault="002C0903" w:rsidP="002C0903">
      <w:pPr>
        <w:spacing w:after="0" w:line="240" w:lineRule="auto"/>
      </w:pPr>
      <w:r>
        <w:separator/>
      </w:r>
    </w:p>
  </w:endnote>
  <w:endnote w:type="continuationSeparator" w:id="0">
    <w:p w:rsidR="002C0903" w:rsidRDefault="002C0903" w:rsidP="002C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21" w:rsidRDefault="007F5121">
    <w:pPr>
      <w:pStyle w:val="Footer"/>
      <w:jc w:val="center"/>
    </w:pPr>
  </w:p>
  <w:p w:rsidR="007F5121" w:rsidRDefault="007F5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03" w:rsidRDefault="002C0903" w:rsidP="002C0903">
      <w:pPr>
        <w:spacing w:after="0" w:line="240" w:lineRule="auto"/>
      </w:pPr>
      <w:r>
        <w:separator/>
      </w:r>
    </w:p>
  </w:footnote>
  <w:footnote w:type="continuationSeparator" w:id="0">
    <w:p w:rsidR="002C0903" w:rsidRDefault="002C0903" w:rsidP="002C0903">
      <w:pPr>
        <w:spacing w:after="0" w:line="240" w:lineRule="auto"/>
      </w:pPr>
      <w:r>
        <w:continuationSeparator/>
      </w:r>
    </w:p>
  </w:footnote>
  <w:footnote w:id="1">
    <w:p w:rsidR="00EC295F" w:rsidRDefault="00EC295F" w:rsidP="00F34E8A">
      <w:pPr>
        <w:pStyle w:val="FootnoteText"/>
        <w:jc w:val="both"/>
        <w:rPr>
          <w:rFonts w:ascii="Verdana" w:hAnsi="Verdana"/>
          <w:sz w:val="16"/>
          <w:szCs w:val="16"/>
          <w:lang w:val="es-CR"/>
        </w:rPr>
      </w:pPr>
      <w:r>
        <w:rPr>
          <w:rFonts w:ascii="Verdana" w:hAnsi="Verdana"/>
          <w:sz w:val="16"/>
          <w:szCs w:val="16"/>
          <w:lang w:val="es-CR"/>
        </w:rPr>
        <w:t>*</w:t>
      </w:r>
      <w:r>
        <w:rPr>
          <w:rFonts w:ascii="Verdana" w:hAnsi="Verdana"/>
          <w:sz w:val="16"/>
          <w:szCs w:val="16"/>
          <w:lang w:val="es-CR"/>
        </w:rPr>
        <w:tab/>
      </w:r>
      <w:r w:rsidRPr="00EC295F">
        <w:rPr>
          <w:rFonts w:ascii="Verdana" w:hAnsi="Verdana"/>
          <w:sz w:val="16"/>
          <w:szCs w:val="16"/>
          <w:lang w:val="es-CR"/>
        </w:rPr>
        <w:t>El Juez Eugenio Raúl Zaffaroni no asistió al 124º Período Ordinario de Sesiones de la Corte Interamericana por motivos de fuerza mayor, lo cual fue aceptado por el Pleno. Por esa razón no participó en la deliberación y firma de esta Resolución</w:t>
      </w:r>
      <w:r>
        <w:rPr>
          <w:rFonts w:ascii="Verdana" w:hAnsi="Verdana"/>
          <w:sz w:val="16"/>
          <w:szCs w:val="16"/>
          <w:lang w:val="es-CR"/>
        </w:rPr>
        <w:t>.</w:t>
      </w:r>
    </w:p>
    <w:p w:rsidR="00645B03" w:rsidRPr="00F34E8A" w:rsidRDefault="00645B03" w:rsidP="00F34E8A">
      <w:pPr>
        <w:pStyle w:val="FootnoteText"/>
        <w:jc w:val="both"/>
        <w:rPr>
          <w:rFonts w:ascii="Verdana" w:hAnsi="Verdana"/>
          <w:sz w:val="16"/>
          <w:szCs w:val="16"/>
          <w:lang w:val="es-ES_tradnl"/>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ES_tradnl"/>
        </w:rPr>
        <w:tab/>
      </w:r>
      <w:r w:rsidRPr="00F34E8A">
        <w:rPr>
          <w:rFonts w:ascii="Verdana" w:hAnsi="Verdana"/>
          <w:i/>
          <w:sz w:val="16"/>
          <w:szCs w:val="16"/>
          <w:lang w:val="es-ES_tradnl"/>
        </w:rPr>
        <w:t>Cfr. Caso Durand y Ugarte Vs. Perú. Fondo</w:t>
      </w:r>
      <w:r w:rsidRPr="00F34E8A">
        <w:rPr>
          <w:rFonts w:ascii="Verdana" w:hAnsi="Verdana"/>
          <w:sz w:val="16"/>
          <w:szCs w:val="16"/>
          <w:lang w:val="es-ES_tradnl"/>
        </w:rPr>
        <w:t xml:space="preserve">. Sentencia de 16 de agosto de 2000. Serie C No. 68, disponible en: </w:t>
      </w:r>
      <w:hyperlink r:id="rId1" w:history="1">
        <w:r w:rsidRPr="00F34E8A">
          <w:rPr>
            <w:rStyle w:val="Hyperlink"/>
            <w:rFonts w:ascii="Verdana" w:hAnsi="Verdana"/>
            <w:sz w:val="16"/>
            <w:szCs w:val="16"/>
            <w:lang w:val="es-ES_tradnl"/>
          </w:rPr>
          <w:t>http://www.corteidh.or.cr/docs/casos/articulos/Seriec_68_esp.pdf</w:t>
        </w:r>
      </w:hyperlink>
      <w:r w:rsidRPr="00F34E8A">
        <w:rPr>
          <w:rFonts w:ascii="Verdana" w:hAnsi="Verdana"/>
          <w:sz w:val="16"/>
          <w:szCs w:val="16"/>
          <w:lang w:val="es-ES_tradnl"/>
        </w:rPr>
        <w:t>.</w:t>
      </w:r>
    </w:p>
  </w:footnote>
  <w:footnote w:id="2">
    <w:p w:rsidR="00645B03" w:rsidRPr="00F34E8A" w:rsidRDefault="00645B03" w:rsidP="00F34E8A">
      <w:pPr>
        <w:pStyle w:val="FootnoteText"/>
        <w:jc w:val="both"/>
        <w:rPr>
          <w:rFonts w:ascii="Verdana" w:hAnsi="Verdana"/>
          <w:sz w:val="16"/>
          <w:szCs w:val="16"/>
          <w:lang w:val="es-ES_tradnl"/>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ES_tradnl"/>
        </w:rPr>
        <w:tab/>
      </w:r>
      <w:r w:rsidRPr="00F34E8A">
        <w:rPr>
          <w:rFonts w:ascii="Verdana" w:hAnsi="Verdana"/>
          <w:i/>
          <w:sz w:val="16"/>
          <w:szCs w:val="16"/>
          <w:lang w:val="es-ES_tradnl"/>
        </w:rPr>
        <w:t xml:space="preserve">Cfr. Caso Durand y Ugarte Vs. Perú. Reparaciones y Costas. </w:t>
      </w:r>
      <w:r w:rsidRPr="00F34E8A">
        <w:rPr>
          <w:rFonts w:ascii="Verdana" w:hAnsi="Verdana"/>
          <w:sz w:val="16"/>
          <w:szCs w:val="16"/>
          <w:lang w:val="es-ES_tradnl"/>
        </w:rPr>
        <w:t xml:space="preserve">Sentencia de 3 de diciembre de 2001. Serie C No. 89, disponible en: </w:t>
      </w:r>
      <w:hyperlink r:id="rId2" w:history="1">
        <w:r w:rsidRPr="00F34E8A">
          <w:rPr>
            <w:rStyle w:val="Hyperlink"/>
            <w:rFonts w:ascii="Verdana" w:hAnsi="Verdana"/>
            <w:sz w:val="16"/>
            <w:szCs w:val="16"/>
            <w:lang w:val="es-ES_tradnl"/>
          </w:rPr>
          <w:t>http://www.corteidh.or.cr/docs/casos/articulos/Seriec_89_esp.pdf</w:t>
        </w:r>
      </w:hyperlink>
      <w:r w:rsidRPr="00F34E8A">
        <w:rPr>
          <w:rFonts w:ascii="Verdana" w:hAnsi="Verdana"/>
          <w:sz w:val="16"/>
          <w:szCs w:val="16"/>
          <w:lang w:val="es-ES_tradnl"/>
        </w:rPr>
        <w:t>.</w:t>
      </w:r>
    </w:p>
  </w:footnote>
  <w:footnote w:id="3">
    <w:p w:rsidR="00811DA9" w:rsidRPr="00F34E8A" w:rsidRDefault="00811DA9" w:rsidP="00F34E8A">
      <w:pPr>
        <w:pStyle w:val="FootnoteText"/>
        <w:jc w:val="both"/>
        <w:rPr>
          <w:rFonts w:ascii="Verdana" w:hAnsi="Verdana"/>
          <w:i/>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r>
      <w:r w:rsidRPr="00F34E8A">
        <w:rPr>
          <w:rFonts w:ascii="Verdana" w:hAnsi="Verdana"/>
          <w:i/>
          <w:sz w:val="16"/>
          <w:szCs w:val="16"/>
          <w:lang w:val="es-CR"/>
        </w:rPr>
        <w:t xml:space="preserve">Cfr. Caso Durand y Ugarte Vs. Perú. Medidas Urgentes. </w:t>
      </w:r>
      <w:r w:rsidRPr="00F34E8A">
        <w:rPr>
          <w:rFonts w:ascii="Verdana" w:hAnsi="Verdana"/>
          <w:sz w:val="16"/>
          <w:szCs w:val="16"/>
          <w:lang w:val="es-CR"/>
        </w:rPr>
        <w:t xml:space="preserve">Resolución del Presidente de la Corte Interamericana de Derechos Humanos de 17 de diciembre del 2017, disponible en: </w:t>
      </w:r>
      <w:hyperlink r:id="rId3" w:history="1">
        <w:r w:rsidRPr="00F34E8A">
          <w:rPr>
            <w:rStyle w:val="Hyperlink"/>
            <w:rFonts w:ascii="Verdana" w:hAnsi="Verdana"/>
            <w:sz w:val="16"/>
            <w:szCs w:val="16"/>
            <w:lang w:val="es-CR"/>
          </w:rPr>
          <w:t>http://www.corteidh.or.cr/docs/medidas/durand_se_01.pdf</w:t>
        </w:r>
      </w:hyperlink>
      <w:r w:rsidR="00B61A92" w:rsidRPr="00B61A92">
        <w:rPr>
          <w:rStyle w:val="Hyperlink"/>
          <w:rFonts w:ascii="Verdana" w:hAnsi="Verdana"/>
          <w:sz w:val="16"/>
          <w:szCs w:val="16"/>
          <w:u w:val="none"/>
          <w:lang w:val="es-CR"/>
        </w:rPr>
        <w:t>.</w:t>
      </w:r>
      <w:r w:rsidRPr="00F34E8A">
        <w:rPr>
          <w:rFonts w:ascii="Verdana" w:hAnsi="Verdana"/>
          <w:sz w:val="16"/>
          <w:szCs w:val="16"/>
          <w:lang w:val="es-CR"/>
        </w:rPr>
        <w:t xml:space="preserve"> </w:t>
      </w:r>
    </w:p>
  </w:footnote>
  <w:footnote w:id="4">
    <w:p w:rsidR="00046664" w:rsidRPr="00F34E8A" w:rsidRDefault="00046664" w:rsidP="00F34E8A">
      <w:pPr>
        <w:pStyle w:val="FootnoteText"/>
        <w:jc w:val="both"/>
        <w:rPr>
          <w:rFonts w:ascii="Verdana" w:hAnsi="Verdana"/>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r>
      <w:r w:rsidR="00084630" w:rsidRPr="00F34E8A">
        <w:rPr>
          <w:rFonts w:ascii="Verdana" w:hAnsi="Verdana"/>
          <w:i/>
          <w:sz w:val="16"/>
          <w:szCs w:val="16"/>
          <w:lang w:val="es-ES_tradnl"/>
        </w:rPr>
        <w:t xml:space="preserve">Cfr. Caso Durand y Ugarte Vs. Perú. Medidas Provisionales. </w:t>
      </w:r>
      <w:r w:rsidR="00084630" w:rsidRPr="00F34E8A">
        <w:rPr>
          <w:rFonts w:ascii="Verdana" w:hAnsi="Verdana"/>
          <w:sz w:val="16"/>
          <w:szCs w:val="16"/>
          <w:lang w:val="es-ES_tradnl"/>
        </w:rPr>
        <w:t>Resolución de la Corte Interamericana de Derechos Humanos de 8 de febrero de 2018, disponible</w:t>
      </w:r>
      <w:r w:rsidRPr="00F34E8A">
        <w:rPr>
          <w:rFonts w:ascii="Verdana" w:hAnsi="Verdana"/>
          <w:sz w:val="16"/>
          <w:szCs w:val="16"/>
          <w:lang w:val="es-CR"/>
        </w:rPr>
        <w:t xml:space="preserve"> en</w:t>
      </w:r>
      <w:r w:rsidR="00084630" w:rsidRPr="00F34E8A">
        <w:rPr>
          <w:rFonts w:ascii="Verdana" w:hAnsi="Verdana"/>
          <w:sz w:val="16"/>
          <w:szCs w:val="16"/>
          <w:lang w:val="es-CR"/>
        </w:rPr>
        <w:t>:</w:t>
      </w:r>
      <w:r w:rsidRPr="00F34E8A">
        <w:rPr>
          <w:rFonts w:ascii="Verdana" w:hAnsi="Verdana"/>
          <w:sz w:val="16"/>
          <w:szCs w:val="16"/>
          <w:lang w:val="es-CR"/>
        </w:rPr>
        <w:t xml:space="preserve"> </w:t>
      </w:r>
      <w:hyperlink r:id="rId4" w:history="1">
        <w:r w:rsidR="00645B03" w:rsidRPr="00F34E8A">
          <w:rPr>
            <w:rStyle w:val="Hyperlink"/>
            <w:rFonts w:ascii="Verdana" w:hAnsi="Verdana"/>
            <w:sz w:val="16"/>
            <w:szCs w:val="16"/>
            <w:lang w:val="es-CR"/>
          </w:rPr>
          <w:t>http://www.corteidh.or.cr/docs/medidas/durand_se_02.pdf</w:t>
        </w:r>
      </w:hyperlink>
      <w:r w:rsidRPr="00F34E8A">
        <w:rPr>
          <w:rFonts w:ascii="Verdana" w:hAnsi="Verdana"/>
          <w:sz w:val="16"/>
          <w:szCs w:val="16"/>
          <w:lang w:val="es-CR"/>
        </w:rPr>
        <w:t>.</w:t>
      </w:r>
      <w:r w:rsidR="005C1A26" w:rsidRPr="00F34E8A">
        <w:rPr>
          <w:rFonts w:ascii="Verdana" w:hAnsi="Verdana"/>
          <w:sz w:val="16"/>
          <w:szCs w:val="16"/>
          <w:lang w:val="es-CR"/>
        </w:rPr>
        <w:t xml:space="preserve"> </w:t>
      </w:r>
    </w:p>
  </w:footnote>
  <w:footnote w:id="5">
    <w:p w:rsidR="004C5BEC" w:rsidRPr="00F34E8A" w:rsidRDefault="004C5BEC" w:rsidP="00F34E8A">
      <w:pPr>
        <w:widowControl w:val="0"/>
        <w:spacing w:after="0" w:line="240" w:lineRule="auto"/>
        <w:ind w:right="9"/>
        <w:jc w:val="both"/>
        <w:rPr>
          <w:rFonts w:ascii="Verdana" w:hAnsi="Verdana" w:cs="Arial"/>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t xml:space="preserve">En la Sentencia de fondo la Corte dispuso que “el Estado está obligado a hacer todo el esfuerzo posible para localizar e identificar los restos de las víctimas y entregarlos a sus familiares, así como para investigar los hechos y procesar y sancionar a los responsables”. Asimismo, en la Sentencia de reparaciones y costas el Tribunal homologó el acuerdo </w:t>
      </w:r>
      <w:r w:rsidR="00A536C7">
        <w:rPr>
          <w:rFonts w:ascii="Verdana" w:hAnsi="Verdana"/>
          <w:sz w:val="16"/>
          <w:szCs w:val="16"/>
          <w:lang w:val="es-CR"/>
        </w:rPr>
        <w:t xml:space="preserve">entre las partes </w:t>
      </w:r>
      <w:r w:rsidRPr="00F34E8A">
        <w:rPr>
          <w:rFonts w:ascii="Verdana" w:hAnsi="Verdana"/>
          <w:sz w:val="16"/>
          <w:szCs w:val="16"/>
          <w:lang w:val="es-CR"/>
        </w:rPr>
        <w:t xml:space="preserve">que disponía </w:t>
      </w:r>
      <w:r w:rsidRPr="00F34E8A">
        <w:rPr>
          <w:rFonts w:ascii="Verdana" w:hAnsi="Verdana" w:cs="Arial"/>
          <w:sz w:val="16"/>
          <w:szCs w:val="16"/>
          <w:lang w:val="es-CR"/>
        </w:rPr>
        <w:t xml:space="preserve">“investigar y sancionar a los responsables de los hechos, </w:t>
      </w:r>
      <w:r w:rsidRPr="00F34E8A">
        <w:rPr>
          <w:rFonts w:ascii="Verdana" w:hAnsi="Verdana"/>
          <w:sz w:val="16"/>
          <w:szCs w:val="16"/>
          <w:lang w:val="es-CR"/>
        </w:rPr>
        <w:t xml:space="preserve">en virtud del punto resolutivo </w:t>
      </w:r>
      <w:r w:rsidR="00722076" w:rsidRPr="00F34E8A">
        <w:rPr>
          <w:rFonts w:ascii="Verdana" w:hAnsi="Verdana"/>
          <w:sz w:val="16"/>
          <w:szCs w:val="16"/>
          <w:lang w:val="es-CR"/>
        </w:rPr>
        <w:t>séptimo</w:t>
      </w:r>
      <w:r w:rsidRPr="00F34E8A">
        <w:rPr>
          <w:rFonts w:ascii="Verdana" w:hAnsi="Verdana"/>
          <w:sz w:val="16"/>
          <w:szCs w:val="16"/>
          <w:lang w:val="es-CR"/>
        </w:rPr>
        <w:t xml:space="preserve"> de la sentencia de fondo dictada por la Corte el 16 de agosto de 2000,</w:t>
      </w:r>
      <w:r w:rsidRPr="00F34E8A" w:rsidDel="00E91080">
        <w:rPr>
          <w:rFonts w:ascii="Verdana" w:hAnsi="Verdana" w:cs="Arial"/>
          <w:sz w:val="16"/>
          <w:szCs w:val="16"/>
          <w:lang w:val="es-CR"/>
        </w:rPr>
        <w:t xml:space="preserve"> </w:t>
      </w:r>
      <w:r w:rsidRPr="00F34E8A">
        <w:rPr>
          <w:rFonts w:ascii="Verdana" w:hAnsi="Verdana" w:cs="Arial"/>
          <w:sz w:val="16"/>
          <w:szCs w:val="16"/>
          <w:lang w:val="es-CR"/>
        </w:rPr>
        <w:t xml:space="preserve">y seguir impulsando la investigación que se tramita ante la 41 Fiscalía Penal de Lima, por el delito de homicidio en perjuicio de 30 personas, entre las cuales se encuentran Nolberto Durand Ugarte y Gabriel Pablo Ugarte Rivera”. </w:t>
      </w:r>
      <w:r w:rsidRPr="00F34E8A">
        <w:rPr>
          <w:rFonts w:ascii="Verdana" w:hAnsi="Verdana" w:cs="Arial"/>
          <w:i/>
          <w:sz w:val="16"/>
          <w:szCs w:val="16"/>
          <w:lang w:val="es-CR"/>
        </w:rPr>
        <w:t xml:space="preserve">Cfr. Caso Durand y Ugarte Vs. Perú. Fondo, supra </w:t>
      </w:r>
      <w:r w:rsidRPr="00F34E8A">
        <w:rPr>
          <w:rFonts w:ascii="Verdana" w:hAnsi="Verdana" w:cs="Arial"/>
          <w:sz w:val="16"/>
          <w:szCs w:val="16"/>
          <w:lang w:val="es-CR"/>
        </w:rPr>
        <w:t xml:space="preserve">nota 1, punto dispositivo 7 y </w:t>
      </w:r>
      <w:r w:rsidRPr="00F34E8A">
        <w:rPr>
          <w:rFonts w:ascii="Verdana" w:hAnsi="Verdana" w:cs="Arial"/>
          <w:i/>
          <w:sz w:val="16"/>
          <w:szCs w:val="16"/>
          <w:lang w:val="es-CR"/>
        </w:rPr>
        <w:t xml:space="preserve">Caso Durand y Ugarte Vs. Perú. Reparaciones y Costas, supra </w:t>
      </w:r>
      <w:r w:rsidRPr="00F34E8A">
        <w:rPr>
          <w:rFonts w:ascii="Verdana" w:hAnsi="Verdana" w:cs="Arial"/>
          <w:sz w:val="16"/>
          <w:szCs w:val="16"/>
          <w:lang w:val="es-CR"/>
        </w:rPr>
        <w:t>nota 2,</w:t>
      </w:r>
      <w:r w:rsidRPr="00F34E8A">
        <w:rPr>
          <w:rFonts w:ascii="Verdana" w:hAnsi="Verdana"/>
          <w:sz w:val="16"/>
          <w:szCs w:val="16"/>
          <w:lang w:val="es-CR"/>
        </w:rPr>
        <w:t xml:space="preserve"> </w:t>
      </w:r>
      <w:r w:rsidRPr="00F34E8A">
        <w:rPr>
          <w:rFonts w:ascii="Verdana" w:hAnsi="Verdana" w:cs="Arial"/>
          <w:sz w:val="16"/>
          <w:szCs w:val="16"/>
          <w:lang w:val="es-CR"/>
        </w:rPr>
        <w:t xml:space="preserve">punto dispositivo 4.c. </w:t>
      </w:r>
    </w:p>
  </w:footnote>
  <w:footnote w:id="6">
    <w:p w:rsidR="00DC642C" w:rsidRPr="005D557A" w:rsidRDefault="00DC642C" w:rsidP="00DC642C">
      <w:pPr>
        <w:pStyle w:val="FootnoteText"/>
        <w:jc w:val="both"/>
        <w:rPr>
          <w:color w:val="7F7F7F" w:themeColor="text1" w:themeTint="80"/>
          <w:sz w:val="16"/>
          <w:szCs w:val="16"/>
          <w:lang w:val="es-CR"/>
        </w:rPr>
      </w:pPr>
      <w:r w:rsidRPr="005D557A">
        <w:rPr>
          <w:rStyle w:val="FootnoteReference"/>
          <w:sz w:val="16"/>
          <w:szCs w:val="16"/>
        </w:rPr>
        <w:footnoteRef/>
      </w:r>
      <w:r w:rsidRPr="005D557A">
        <w:rPr>
          <w:sz w:val="16"/>
          <w:szCs w:val="16"/>
          <w:lang w:val="es-CR"/>
        </w:rPr>
        <w:t xml:space="preserve"> </w:t>
      </w:r>
      <w:r w:rsidRPr="005D557A">
        <w:rPr>
          <w:sz w:val="16"/>
          <w:szCs w:val="16"/>
          <w:lang w:val="es-CR"/>
        </w:rPr>
        <w:tab/>
      </w:r>
      <w:r w:rsidRPr="005D557A">
        <w:rPr>
          <w:rFonts w:ascii="Verdana" w:hAnsi="Verdana"/>
          <w:sz w:val="16"/>
          <w:szCs w:val="16"/>
          <w:lang w:val="es-CR"/>
        </w:rPr>
        <w:t xml:space="preserve">El Estado presentó un escrito el 16 de abril de 2018, mediante el cual solicitó el otorgamiento de una “prórroga de un mes” para presentar el informe requerido en dicho punto resolutivo. Mediante nota de Secretaría de 17 de abril de 2018, </w:t>
      </w:r>
      <w:r w:rsidRPr="00793759">
        <w:rPr>
          <w:rFonts w:ascii="Verdana" w:hAnsi="Verdana"/>
          <w:sz w:val="16"/>
          <w:szCs w:val="16"/>
          <w:lang w:val="es-CR"/>
        </w:rPr>
        <w:t>siguiendo instrucciones del Presidente del Tribunal, se concedió la prórroga solicitada hasta el 18 de mayo de 2018</w:t>
      </w:r>
      <w:r w:rsidR="00FA359C">
        <w:rPr>
          <w:rFonts w:ascii="Verdana" w:hAnsi="Verdana"/>
          <w:sz w:val="16"/>
          <w:szCs w:val="16"/>
          <w:lang w:val="es-CR"/>
        </w:rPr>
        <w:t>.</w:t>
      </w:r>
      <w:r w:rsidR="007A4E9B" w:rsidRPr="00793759">
        <w:rPr>
          <w:rFonts w:ascii="Verdana" w:hAnsi="Verdana"/>
          <w:sz w:val="16"/>
          <w:szCs w:val="16"/>
          <w:lang w:val="es-CR"/>
        </w:rPr>
        <w:t xml:space="preserve"> </w:t>
      </w:r>
      <w:r w:rsidR="00FA359C">
        <w:rPr>
          <w:rFonts w:ascii="Verdana" w:hAnsi="Verdana"/>
          <w:sz w:val="16"/>
          <w:szCs w:val="16"/>
          <w:lang w:val="es-CR"/>
        </w:rPr>
        <w:t>E</w:t>
      </w:r>
      <w:r w:rsidR="007A4E9B" w:rsidRPr="00793759">
        <w:rPr>
          <w:rFonts w:ascii="Verdana" w:hAnsi="Verdana"/>
          <w:sz w:val="16"/>
          <w:szCs w:val="16"/>
          <w:lang w:val="es-CR"/>
        </w:rPr>
        <w:t xml:space="preserve">n este último día, el Perú </w:t>
      </w:r>
      <w:r w:rsidR="00243986" w:rsidRPr="00793759">
        <w:rPr>
          <w:rFonts w:ascii="Verdana" w:hAnsi="Verdana"/>
          <w:sz w:val="16"/>
          <w:szCs w:val="16"/>
          <w:lang w:val="es-CR"/>
        </w:rPr>
        <w:t>remitió a la Corte</w:t>
      </w:r>
      <w:r w:rsidR="007A4E9B" w:rsidRPr="00793759">
        <w:rPr>
          <w:rFonts w:ascii="Verdana" w:hAnsi="Verdana"/>
          <w:sz w:val="16"/>
          <w:szCs w:val="16"/>
          <w:lang w:val="es-CR"/>
        </w:rPr>
        <w:t xml:space="preserve"> el referido informe</w:t>
      </w:r>
      <w:r w:rsidR="0082661F" w:rsidRPr="00793759">
        <w:rPr>
          <w:rFonts w:ascii="Verdana" w:hAnsi="Verdana"/>
          <w:sz w:val="16"/>
          <w:szCs w:val="16"/>
          <w:lang w:val="es-CR"/>
        </w:rPr>
        <w:t>, el cual</w:t>
      </w:r>
      <w:r w:rsidR="00722076" w:rsidRPr="00793759">
        <w:rPr>
          <w:rFonts w:ascii="Verdana" w:hAnsi="Verdana"/>
          <w:sz w:val="16"/>
          <w:szCs w:val="16"/>
          <w:lang w:val="es-CR"/>
        </w:rPr>
        <w:t xml:space="preserve"> será valorado en una posterior </w:t>
      </w:r>
      <w:r w:rsidR="00025C8A" w:rsidRPr="00793759">
        <w:rPr>
          <w:rFonts w:ascii="Verdana" w:hAnsi="Verdana"/>
          <w:sz w:val="16"/>
          <w:szCs w:val="16"/>
          <w:lang w:val="es-CR"/>
        </w:rPr>
        <w:t>r</w:t>
      </w:r>
      <w:r w:rsidR="00722076" w:rsidRPr="00793759">
        <w:rPr>
          <w:rFonts w:ascii="Verdana" w:hAnsi="Verdana"/>
          <w:sz w:val="16"/>
          <w:szCs w:val="16"/>
          <w:lang w:val="es-CR"/>
        </w:rPr>
        <w:t>eso</w:t>
      </w:r>
      <w:r w:rsidR="00793759">
        <w:rPr>
          <w:rFonts w:ascii="Verdana" w:hAnsi="Verdana"/>
          <w:sz w:val="16"/>
          <w:szCs w:val="16"/>
          <w:lang w:val="es-CR"/>
        </w:rPr>
        <w:t>lución de medidas provisionales, después de otorgar plazos para observaciones a los representantes de las víctimas y a la Comisión Interamericana.</w:t>
      </w:r>
      <w:r w:rsidR="00722076">
        <w:rPr>
          <w:rFonts w:ascii="Verdana" w:hAnsi="Verdana"/>
          <w:sz w:val="16"/>
          <w:szCs w:val="16"/>
          <w:lang w:val="es-CR"/>
        </w:rPr>
        <w:t xml:space="preserve"> </w:t>
      </w:r>
    </w:p>
  </w:footnote>
  <w:footnote w:id="7">
    <w:p w:rsidR="00306C5A" w:rsidRPr="00F34E8A" w:rsidRDefault="00306C5A" w:rsidP="00F34E8A">
      <w:pPr>
        <w:pStyle w:val="FootnoteText"/>
        <w:jc w:val="both"/>
        <w:rPr>
          <w:rFonts w:ascii="Verdana" w:hAnsi="Verdana"/>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r>
      <w:r w:rsidRPr="00F34E8A">
        <w:rPr>
          <w:rFonts w:ascii="Verdana" w:hAnsi="Verdana"/>
          <w:i/>
          <w:sz w:val="16"/>
          <w:szCs w:val="16"/>
          <w:lang w:val="es-CR"/>
        </w:rPr>
        <w:t xml:space="preserve">Cfr. </w:t>
      </w:r>
      <w:r w:rsidR="00CC5567" w:rsidRPr="00794993">
        <w:rPr>
          <w:rFonts w:ascii="Verdana" w:hAnsi="Verdana"/>
          <w:i/>
          <w:sz w:val="16"/>
          <w:szCs w:val="16"/>
          <w:lang w:val="es-CR"/>
        </w:rPr>
        <w:t>Asunto James y otros respecto Trinidad y Tobago. Medidas Provisionales</w:t>
      </w:r>
      <w:r w:rsidR="00CC5567">
        <w:rPr>
          <w:rFonts w:ascii="Verdana" w:hAnsi="Verdana"/>
          <w:sz w:val="16"/>
          <w:szCs w:val="16"/>
          <w:lang w:val="es-CR"/>
        </w:rPr>
        <w:t xml:space="preserve">. Resolución de la Corte Interamericana de Derechos Humanos de 14 de junio de 1998, Considerando 6, y </w:t>
      </w:r>
      <w:r w:rsidR="00CC5567" w:rsidRPr="00794993">
        <w:rPr>
          <w:rFonts w:ascii="Verdana" w:hAnsi="Verdana"/>
          <w:i/>
          <w:sz w:val="16"/>
          <w:szCs w:val="16"/>
          <w:lang w:val="es-CR"/>
        </w:rPr>
        <w:t>Caso Durand y Ugarte Vs. Perú. Medidas Provisionales</w:t>
      </w:r>
      <w:r w:rsidR="00CC5567">
        <w:rPr>
          <w:rFonts w:ascii="Verdana" w:hAnsi="Verdana"/>
          <w:sz w:val="16"/>
          <w:szCs w:val="16"/>
          <w:lang w:val="es-CR"/>
        </w:rPr>
        <w:t xml:space="preserve">, </w:t>
      </w:r>
      <w:r w:rsidR="00CC5567" w:rsidRPr="00794993">
        <w:rPr>
          <w:rFonts w:ascii="Verdana" w:hAnsi="Verdana"/>
          <w:i/>
          <w:sz w:val="16"/>
          <w:szCs w:val="16"/>
          <w:lang w:val="es-CR"/>
        </w:rPr>
        <w:t>supra</w:t>
      </w:r>
      <w:r w:rsidR="008E6700">
        <w:rPr>
          <w:rFonts w:ascii="Verdana" w:hAnsi="Verdana"/>
          <w:sz w:val="16"/>
          <w:szCs w:val="16"/>
          <w:lang w:val="es-CR"/>
        </w:rPr>
        <w:t xml:space="preserve"> nota </w:t>
      </w:r>
      <w:r w:rsidR="009C3422">
        <w:rPr>
          <w:rFonts w:ascii="Verdana" w:hAnsi="Verdana"/>
          <w:sz w:val="16"/>
          <w:szCs w:val="16"/>
          <w:lang w:val="es-CR"/>
        </w:rPr>
        <w:t>4</w:t>
      </w:r>
      <w:r w:rsidR="008E6700">
        <w:rPr>
          <w:rFonts w:ascii="Verdana" w:hAnsi="Verdana"/>
          <w:sz w:val="16"/>
          <w:szCs w:val="16"/>
          <w:lang w:val="es-CR"/>
        </w:rPr>
        <w:t xml:space="preserve">, Considerando </w:t>
      </w:r>
      <w:r w:rsidR="009C3422">
        <w:rPr>
          <w:rFonts w:ascii="Verdana" w:hAnsi="Verdana"/>
          <w:sz w:val="16"/>
          <w:szCs w:val="16"/>
          <w:lang w:val="es-CR"/>
        </w:rPr>
        <w:t>6</w:t>
      </w:r>
      <w:r w:rsidR="00CC5567">
        <w:rPr>
          <w:rFonts w:ascii="Verdana" w:hAnsi="Verdana"/>
          <w:sz w:val="16"/>
          <w:szCs w:val="16"/>
          <w:lang w:val="es-CR"/>
        </w:rPr>
        <w:t>.</w:t>
      </w:r>
    </w:p>
  </w:footnote>
  <w:footnote w:id="8">
    <w:p w:rsidR="00534506" w:rsidRPr="00064A08" w:rsidRDefault="00534506" w:rsidP="00F34E8A">
      <w:pPr>
        <w:pStyle w:val="FootnoteText"/>
        <w:jc w:val="both"/>
        <w:rPr>
          <w:rFonts w:ascii="Verdana" w:hAnsi="Verdana"/>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t xml:space="preserve">El Estado </w:t>
      </w:r>
      <w:r w:rsidR="00AA2718" w:rsidRPr="00064A08">
        <w:rPr>
          <w:rFonts w:ascii="Verdana" w:hAnsi="Verdana"/>
          <w:sz w:val="16"/>
          <w:szCs w:val="16"/>
          <w:lang w:val="es-CR"/>
        </w:rPr>
        <w:t xml:space="preserve">expuso los motivos por los cuales considera </w:t>
      </w:r>
      <w:r w:rsidRPr="00064A08">
        <w:rPr>
          <w:rFonts w:ascii="Verdana" w:hAnsi="Verdana"/>
          <w:sz w:val="16"/>
          <w:szCs w:val="16"/>
          <w:lang w:val="es-CR"/>
        </w:rPr>
        <w:t xml:space="preserve"> que la Resolución de </w:t>
      </w:r>
      <w:r w:rsidR="006D654F" w:rsidRPr="00064A08">
        <w:rPr>
          <w:rFonts w:ascii="Verdana" w:hAnsi="Verdana"/>
          <w:sz w:val="16"/>
          <w:szCs w:val="16"/>
          <w:lang w:val="es-CR"/>
        </w:rPr>
        <w:t>m</w:t>
      </w:r>
      <w:r w:rsidRPr="00064A08">
        <w:rPr>
          <w:rFonts w:ascii="Verdana" w:hAnsi="Verdana"/>
          <w:sz w:val="16"/>
          <w:szCs w:val="16"/>
          <w:lang w:val="es-CR"/>
        </w:rPr>
        <w:t xml:space="preserve">edidas </w:t>
      </w:r>
      <w:r w:rsidR="006D654F" w:rsidRPr="00064A08">
        <w:rPr>
          <w:rFonts w:ascii="Verdana" w:hAnsi="Verdana"/>
          <w:sz w:val="16"/>
          <w:szCs w:val="16"/>
          <w:lang w:val="es-CR"/>
        </w:rPr>
        <w:t>p</w:t>
      </w:r>
      <w:r w:rsidRPr="00064A08">
        <w:rPr>
          <w:rFonts w:ascii="Verdana" w:hAnsi="Verdana"/>
          <w:sz w:val="16"/>
          <w:szCs w:val="16"/>
          <w:lang w:val="es-CR"/>
        </w:rPr>
        <w:t xml:space="preserve">rovisionales de 8 de febrero de 2018 </w:t>
      </w:r>
      <w:r w:rsidR="006D654F" w:rsidRPr="00064A08">
        <w:rPr>
          <w:rFonts w:ascii="Verdana" w:hAnsi="Verdana"/>
          <w:sz w:val="16"/>
          <w:szCs w:val="16"/>
          <w:lang w:val="es-CR"/>
        </w:rPr>
        <w:t xml:space="preserve">le </w:t>
      </w:r>
      <w:r w:rsidRPr="00064A08">
        <w:rPr>
          <w:rFonts w:ascii="Verdana" w:hAnsi="Verdana"/>
          <w:sz w:val="16"/>
          <w:szCs w:val="16"/>
          <w:lang w:val="es-CR"/>
        </w:rPr>
        <w:t>generó afectaciones a las siguientes garantías judiciales: a) a la defensa y equilibrio procesal; b) a la seguridad jurídica, y c) a la debida motivación.</w:t>
      </w:r>
      <w:r w:rsidR="00A17682" w:rsidRPr="00064A08">
        <w:rPr>
          <w:rFonts w:ascii="Verdana" w:hAnsi="Verdana"/>
          <w:sz w:val="16"/>
          <w:szCs w:val="16"/>
          <w:lang w:val="es-CR"/>
        </w:rPr>
        <w:t xml:space="preserve"> </w:t>
      </w:r>
      <w:r w:rsidR="00A17682" w:rsidRPr="00064A08">
        <w:rPr>
          <w:rFonts w:ascii="Verdana" w:hAnsi="Verdana"/>
          <w:i/>
          <w:sz w:val="16"/>
          <w:szCs w:val="16"/>
          <w:lang w:val="es-CR"/>
        </w:rPr>
        <w:t xml:space="preserve">Cfr. </w:t>
      </w:r>
      <w:r w:rsidR="00A17682" w:rsidRPr="00064A08">
        <w:rPr>
          <w:rFonts w:ascii="Verdana" w:hAnsi="Verdana"/>
          <w:sz w:val="16"/>
          <w:szCs w:val="16"/>
          <w:lang w:val="es-CR"/>
        </w:rPr>
        <w:t xml:space="preserve">Escrito </w:t>
      </w:r>
      <w:r w:rsidR="00153A88" w:rsidRPr="00064A08">
        <w:rPr>
          <w:rFonts w:ascii="Verdana" w:hAnsi="Verdana"/>
          <w:sz w:val="16"/>
          <w:szCs w:val="16"/>
          <w:lang w:val="es-CR"/>
        </w:rPr>
        <w:t xml:space="preserve">del Estado de solicitud de reconsideración </w:t>
      </w:r>
      <w:r w:rsidR="00A17682" w:rsidRPr="00064A08">
        <w:rPr>
          <w:rFonts w:ascii="Verdana" w:hAnsi="Verdana"/>
          <w:sz w:val="16"/>
          <w:szCs w:val="16"/>
          <w:lang w:val="es-CR"/>
        </w:rPr>
        <w:t>de 12 de abril de 2018.</w:t>
      </w:r>
    </w:p>
  </w:footnote>
  <w:footnote w:id="9">
    <w:p w:rsidR="007711A2" w:rsidRPr="00F34E8A" w:rsidRDefault="007711A2" w:rsidP="00F34E8A">
      <w:pPr>
        <w:pStyle w:val="FootnoteText"/>
        <w:jc w:val="both"/>
        <w:rPr>
          <w:rFonts w:ascii="Verdana" w:hAnsi="Verdana"/>
          <w:sz w:val="16"/>
          <w:szCs w:val="16"/>
          <w:lang w:val="es-CR"/>
        </w:rPr>
      </w:pPr>
      <w:r w:rsidRPr="00064A08">
        <w:rPr>
          <w:rStyle w:val="FootnoteReference"/>
          <w:rFonts w:ascii="Verdana" w:hAnsi="Verdana"/>
          <w:sz w:val="16"/>
          <w:szCs w:val="16"/>
        </w:rPr>
        <w:footnoteRef/>
      </w:r>
      <w:r w:rsidRPr="00064A08">
        <w:rPr>
          <w:rFonts w:ascii="Verdana" w:hAnsi="Verdana"/>
          <w:sz w:val="16"/>
          <w:szCs w:val="16"/>
          <w:lang w:val="es-CR"/>
        </w:rPr>
        <w:t xml:space="preserve"> </w:t>
      </w:r>
      <w:r w:rsidRPr="00064A08">
        <w:rPr>
          <w:rFonts w:ascii="Verdana" w:hAnsi="Verdana"/>
          <w:sz w:val="16"/>
          <w:szCs w:val="16"/>
          <w:lang w:val="es-CR"/>
        </w:rPr>
        <w:tab/>
        <w:t xml:space="preserve">Además, el Estado </w:t>
      </w:r>
      <w:r w:rsidR="00A17682" w:rsidRPr="00064A08">
        <w:rPr>
          <w:rFonts w:ascii="Verdana" w:hAnsi="Verdana"/>
          <w:sz w:val="16"/>
          <w:szCs w:val="16"/>
          <w:lang w:val="es-CR"/>
        </w:rPr>
        <w:t>i</w:t>
      </w:r>
      <w:r w:rsidR="00095109" w:rsidRPr="00064A08">
        <w:rPr>
          <w:rFonts w:ascii="Verdana" w:hAnsi="Verdana"/>
          <w:sz w:val="16"/>
          <w:szCs w:val="16"/>
          <w:lang w:val="es-CR"/>
        </w:rPr>
        <w:t>ndicó las razones por las cuales estaba en desacuerdo con la decisión adoptada por la Corte.</w:t>
      </w:r>
      <w:r w:rsidR="00A17682" w:rsidRPr="00064A08">
        <w:rPr>
          <w:rFonts w:ascii="Verdana" w:hAnsi="Verdana"/>
          <w:sz w:val="16"/>
          <w:szCs w:val="16"/>
          <w:lang w:val="es-CR"/>
        </w:rPr>
        <w:t xml:space="preserve"> En este sentido, cuestionó “afirmaciones incluidas en la Resolución […] con relación a la supuesta conexidad entre el objeto y la solicitud” de las medidas provisionales. </w:t>
      </w:r>
      <w:r w:rsidR="00A17682" w:rsidRPr="00064A08">
        <w:rPr>
          <w:rFonts w:ascii="Verdana" w:hAnsi="Verdana"/>
          <w:i/>
          <w:sz w:val="16"/>
          <w:szCs w:val="16"/>
          <w:lang w:val="es-CR"/>
        </w:rPr>
        <w:t xml:space="preserve">Cfr. </w:t>
      </w:r>
      <w:r w:rsidR="00A17682" w:rsidRPr="00064A08">
        <w:rPr>
          <w:rFonts w:ascii="Verdana" w:hAnsi="Verdana"/>
          <w:sz w:val="16"/>
          <w:szCs w:val="16"/>
          <w:lang w:val="es-CR"/>
        </w:rPr>
        <w:t xml:space="preserve">Escrito </w:t>
      </w:r>
      <w:r w:rsidR="00153A88" w:rsidRPr="00064A08">
        <w:rPr>
          <w:rFonts w:ascii="Verdana" w:hAnsi="Verdana"/>
          <w:sz w:val="16"/>
          <w:szCs w:val="16"/>
          <w:lang w:val="es-CR"/>
        </w:rPr>
        <w:t xml:space="preserve">del Estado de solicitud de reconsideración </w:t>
      </w:r>
      <w:r w:rsidR="00A17682" w:rsidRPr="00064A08">
        <w:rPr>
          <w:rFonts w:ascii="Verdana" w:hAnsi="Verdana"/>
          <w:sz w:val="16"/>
          <w:szCs w:val="16"/>
          <w:lang w:val="es-CR"/>
        </w:rPr>
        <w:t>de 12 de abril de 2018.</w:t>
      </w:r>
    </w:p>
  </w:footnote>
  <w:footnote w:id="10">
    <w:p w:rsidR="00EC0B07" w:rsidRPr="00F34E8A" w:rsidRDefault="00EC0B07" w:rsidP="00EC0B07">
      <w:pPr>
        <w:pStyle w:val="FootnoteText"/>
        <w:jc w:val="both"/>
        <w:rPr>
          <w:rFonts w:ascii="Verdana" w:hAnsi="Verdana"/>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r w:rsidR="007051DA">
        <w:rPr>
          <w:rFonts w:ascii="Verdana" w:hAnsi="Verdana"/>
          <w:sz w:val="16"/>
          <w:szCs w:val="16"/>
          <w:lang w:val="es-CR"/>
        </w:rPr>
        <w:t>”</w:t>
      </w:r>
      <w:r w:rsidRPr="00F34E8A">
        <w:rPr>
          <w:rFonts w:ascii="Verdana" w:hAnsi="Verdana"/>
          <w:sz w:val="16"/>
          <w:szCs w:val="16"/>
          <w:lang w:val="es-CR"/>
        </w:rPr>
        <w:t>.</w:t>
      </w:r>
    </w:p>
  </w:footnote>
  <w:footnote w:id="11">
    <w:p w:rsidR="00EC0B07" w:rsidRPr="00F34E8A" w:rsidRDefault="00EC0B07" w:rsidP="00EC0B07">
      <w:pPr>
        <w:pStyle w:val="FootnoteText"/>
        <w:jc w:val="both"/>
        <w:rPr>
          <w:rFonts w:ascii="Verdana" w:hAnsi="Verdana"/>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r>
      <w:r>
        <w:rPr>
          <w:rFonts w:ascii="Verdana" w:hAnsi="Verdana"/>
          <w:sz w:val="16"/>
          <w:szCs w:val="16"/>
          <w:lang w:val="es-CR"/>
        </w:rPr>
        <w:t>“</w:t>
      </w:r>
      <w:r w:rsidRPr="00F34E8A">
        <w:rPr>
          <w:rFonts w:ascii="Verdana" w:hAnsi="Verdana"/>
          <w:sz w:val="16"/>
          <w:szCs w:val="16"/>
          <w:lang w:val="es-CR"/>
        </w:rPr>
        <w:t>Los Estados Partes en la Convención se comprometen a cumplir la decisión de la Corte en todo caso en que sean partes</w:t>
      </w:r>
      <w:r>
        <w:rPr>
          <w:rFonts w:ascii="Verdana" w:hAnsi="Verdana"/>
          <w:sz w:val="16"/>
          <w:szCs w:val="16"/>
          <w:lang w:val="es-CR"/>
        </w:rPr>
        <w:t>”.</w:t>
      </w:r>
    </w:p>
  </w:footnote>
  <w:footnote w:id="12">
    <w:p w:rsidR="00613DE2" w:rsidRPr="00587C19" w:rsidRDefault="00613DE2" w:rsidP="00F34E8A">
      <w:pPr>
        <w:pStyle w:val="FootnoteText"/>
        <w:jc w:val="both"/>
        <w:rPr>
          <w:rFonts w:ascii="Verdana" w:hAnsi="Verdana"/>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pt-BR"/>
        </w:rPr>
        <w:t xml:space="preserve"> </w:t>
      </w:r>
      <w:r w:rsidRPr="00F34E8A">
        <w:rPr>
          <w:rFonts w:ascii="Verdana" w:hAnsi="Verdana"/>
          <w:sz w:val="16"/>
          <w:szCs w:val="16"/>
          <w:lang w:val="pt-BR"/>
        </w:rPr>
        <w:tab/>
      </w:r>
      <w:r w:rsidRPr="00F34E8A">
        <w:rPr>
          <w:rFonts w:ascii="Verdana" w:hAnsi="Verdana"/>
          <w:i/>
          <w:sz w:val="16"/>
          <w:szCs w:val="16"/>
          <w:lang w:val="pt-BR"/>
        </w:rPr>
        <w:t xml:space="preserve">Cfr. Caso Genie Lacayo Vs. Nicaragua. </w:t>
      </w:r>
      <w:r w:rsidRPr="00F34E8A">
        <w:rPr>
          <w:rFonts w:ascii="Verdana" w:hAnsi="Verdana"/>
          <w:i/>
          <w:sz w:val="16"/>
          <w:szCs w:val="16"/>
          <w:lang w:val="es-CR"/>
        </w:rPr>
        <w:t xml:space="preserve">Solicitud de Revisión de la Sentencia de Fondo, Reparaciones y Costas. </w:t>
      </w:r>
      <w:r w:rsidRPr="00153A88">
        <w:rPr>
          <w:rFonts w:ascii="Verdana" w:hAnsi="Verdana"/>
          <w:sz w:val="16"/>
          <w:szCs w:val="16"/>
          <w:lang w:val="es-CR"/>
        </w:rPr>
        <w:t xml:space="preserve">Resolución de </w:t>
      </w:r>
      <w:r w:rsidRPr="00587C19">
        <w:rPr>
          <w:rFonts w:ascii="Verdana" w:hAnsi="Verdana"/>
          <w:sz w:val="16"/>
          <w:szCs w:val="16"/>
          <w:lang w:val="es-CR"/>
        </w:rPr>
        <w:t>la Corte de 13 de septiembre de 1997. Serie C No. 45, párrs. 11 y 12.</w:t>
      </w:r>
    </w:p>
  </w:footnote>
  <w:footnote w:id="13">
    <w:p w:rsidR="00F975C4" w:rsidRPr="00587C19" w:rsidRDefault="00F975C4" w:rsidP="00F975C4">
      <w:pPr>
        <w:pStyle w:val="FootnoteText"/>
        <w:jc w:val="both"/>
        <w:rPr>
          <w:rFonts w:ascii="Verdana" w:hAnsi="Verdana"/>
          <w:sz w:val="16"/>
          <w:szCs w:val="16"/>
          <w:lang w:val="es-CR"/>
        </w:rPr>
      </w:pPr>
      <w:r w:rsidRPr="00587C19">
        <w:rPr>
          <w:rStyle w:val="FootnoteReference"/>
          <w:rFonts w:ascii="Verdana" w:hAnsi="Verdana"/>
          <w:sz w:val="16"/>
          <w:szCs w:val="16"/>
        </w:rPr>
        <w:footnoteRef/>
      </w:r>
      <w:r w:rsidRPr="00587C19">
        <w:rPr>
          <w:rFonts w:ascii="Verdana" w:hAnsi="Verdana"/>
          <w:sz w:val="16"/>
          <w:szCs w:val="16"/>
          <w:lang w:val="es-CR"/>
        </w:rPr>
        <w:t xml:space="preserve"> </w:t>
      </w:r>
      <w:r w:rsidRPr="00587C19">
        <w:rPr>
          <w:rFonts w:ascii="Verdana" w:hAnsi="Verdana"/>
          <w:sz w:val="16"/>
          <w:szCs w:val="16"/>
          <w:lang w:val="es-CR"/>
        </w:rPr>
        <w:tab/>
        <w:t>Mediante las cuales resolvieron “subsanar un error material” con respecto al conteo de votos de una sentencia del año 2013 que resolvió un recurso de agravio constitucional presentado por varios imputados del proceso penal abierto.</w:t>
      </w:r>
      <w:r w:rsidR="00E37303" w:rsidRPr="00587C19">
        <w:rPr>
          <w:rFonts w:ascii="Verdana" w:hAnsi="Verdana"/>
          <w:sz w:val="16"/>
          <w:szCs w:val="16"/>
          <w:lang w:val="es-CR"/>
        </w:rPr>
        <w:t xml:space="preserve"> </w:t>
      </w:r>
      <w:r w:rsidR="00E37303" w:rsidRPr="00587C19">
        <w:rPr>
          <w:rFonts w:ascii="Verdana" w:hAnsi="Verdana"/>
          <w:i/>
          <w:sz w:val="16"/>
          <w:szCs w:val="16"/>
          <w:lang w:val="es-CR"/>
        </w:rPr>
        <w:t xml:space="preserve">Cfr. </w:t>
      </w:r>
      <w:r w:rsidR="00E37303" w:rsidRPr="00587C19">
        <w:rPr>
          <w:rFonts w:ascii="Verdana" w:hAnsi="Verdana"/>
          <w:i/>
          <w:sz w:val="16"/>
          <w:szCs w:val="16"/>
          <w:lang w:val="es-ES_tradnl"/>
        </w:rPr>
        <w:t xml:space="preserve">Caso Durand y Ugarte Vs. Perú, supra </w:t>
      </w:r>
      <w:r w:rsidR="00E37303" w:rsidRPr="00587C19">
        <w:rPr>
          <w:rFonts w:ascii="Verdana" w:hAnsi="Verdana"/>
          <w:sz w:val="16"/>
          <w:szCs w:val="16"/>
          <w:lang w:val="es-ES_tradnl"/>
        </w:rPr>
        <w:t>nota 4, Considerando 29.</w:t>
      </w:r>
    </w:p>
  </w:footnote>
  <w:footnote w:id="14">
    <w:p w:rsidR="00EF797A" w:rsidRPr="00153A88" w:rsidRDefault="00EF797A">
      <w:pPr>
        <w:pStyle w:val="FootnoteText"/>
        <w:rPr>
          <w:lang w:val="es-CR"/>
        </w:rPr>
      </w:pPr>
      <w:r w:rsidRPr="00587C19">
        <w:rPr>
          <w:rStyle w:val="FootnoteReference"/>
        </w:rPr>
        <w:footnoteRef/>
      </w:r>
      <w:r w:rsidRPr="00587C19">
        <w:rPr>
          <w:lang w:val="es-CR"/>
        </w:rPr>
        <w:t xml:space="preserve"> </w:t>
      </w:r>
      <w:r w:rsidRPr="00587C19">
        <w:rPr>
          <w:lang w:val="es-CR"/>
        </w:rPr>
        <w:tab/>
      </w:r>
      <w:r w:rsidRPr="00587C19">
        <w:rPr>
          <w:rFonts w:ascii="Verdana" w:hAnsi="Verdana"/>
          <w:i/>
          <w:sz w:val="16"/>
          <w:szCs w:val="16"/>
          <w:lang w:val="es-CR"/>
        </w:rPr>
        <w:t xml:space="preserve">Cfr. </w:t>
      </w:r>
      <w:r w:rsidRPr="00587C19">
        <w:rPr>
          <w:rFonts w:ascii="Verdana" w:hAnsi="Verdana"/>
          <w:i/>
          <w:sz w:val="16"/>
          <w:szCs w:val="16"/>
          <w:lang w:val="es-ES_tradnl"/>
        </w:rPr>
        <w:t xml:space="preserve">Caso Durand y Ugarte Vs. Perú, supra </w:t>
      </w:r>
      <w:r w:rsidRPr="00587C19">
        <w:rPr>
          <w:rFonts w:ascii="Verdana" w:hAnsi="Verdana"/>
          <w:sz w:val="16"/>
          <w:szCs w:val="16"/>
          <w:lang w:val="es-ES_tradnl"/>
        </w:rPr>
        <w:t>nota 4, Considerando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40388"/>
      <w:docPartObj>
        <w:docPartGallery w:val="Page Numbers (Top of Page)"/>
        <w:docPartUnique/>
      </w:docPartObj>
    </w:sdtPr>
    <w:sdtEndPr>
      <w:rPr>
        <w:noProof/>
      </w:rPr>
    </w:sdtEndPr>
    <w:sdtContent>
      <w:p w:rsidR="0004175F" w:rsidRDefault="00973CC9">
        <w:pPr>
          <w:pStyle w:val="Header"/>
          <w:jc w:val="center"/>
        </w:pPr>
        <w:r>
          <w:t>-</w:t>
        </w:r>
        <w:r w:rsidR="0004175F">
          <w:fldChar w:fldCharType="begin"/>
        </w:r>
        <w:r w:rsidR="0004175F">
          <w:instrText xml:space="preserve"> PAGE   \* MERGEFORMAT </w:instrText>
        </w:r>
        <w:r w:rsidR="0004175F">
          <w:fldChar w:fldCharType="separate"/>
        </w:r>
        <w:r w:rsidR="00C666E2">
          <w:rPr>
            <w:noProof/>
          </w:rPr>
          <w:t>6</w:t>
        </w:r>
        <w:r w:rsidR="0004175F">
          <w:rPr>
            <w:noProof/>
          </w:rPr>
          <w:fldChar w:fldCharType="end"/>
        </w:r>
        <w:r>
          <w:rPr>
            <w:noProof/>
          </w:rPr>
          <w:t>-</w:t>
        </w:r>
      </w:p>
    </w:sdtContent>
  </w:sdt>
  <w:p w:rsidR="00EC295F" w:rsidRPr="00EC295F" w:rsidRDefault="00EC295F" w:rsidP="00EC29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45E"/>
    <w:multiLevelType w:val="hybridMultilevel"/>
    <w:tmpl w:val="B3065B72"/>
    <w:lvl w:ilvl="0" w:tplc="AD6A39EC">
      <w:start w:val="1"/>
      <w:numFmt w:val="decimal"/>
      <w:lvlText w:val="%1."/>
      <w:lvlJc w:val="left"/>
      <w:pPr>
        <w:ind w:left="540" w:hanging="360"/>
      </w:pPr>
      <w:rPr>
        <w:rFonts w:ascii="Verdana" w:hAnsi="Verdana" w:hint="default"/>
        <w:b w:val="0"/>
        <w:sz w:val="20"/>
        <w:szCs w:val="2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AE64769"/>
    <w:multiLevelType w:val="hybridMultilevel"/>
    <w:tmpl w:val="6ABE82C8"/>
    <w:lvl w:ilvl="0" w:tplc="C248D03E">
      <w:start w:val="1"/>
      <w:numFmt w:val="decimal"/>
      <w:lvlText w:val="%1."/>
      <w:lvlJc w:val="left"/>
      <w:pPr>
        <w:tabs>
          <w:tab w:val="num" w:pos="720"/>
        </w:tabs>
        <w:ind w:left="0" w:firstLine="0"/>
      </w:pPr>
      <w:rPr>
        <w:rFonts w:ascii="Verdana" w:hAnsi="Verdana" w:hint="default"/>
        <w:b w:val="0"/>
        <w:i w:val="0"/>
        <w:color w:val="000000"/>
        <w:sz w:val="20"/>
        <w:szCs w:val="20"/>
      </w:rPr>
    </w:lvl>
    <w:lvl w:ilvl="1" w:tplc="04090017">
      <w:start w:val="1"/>
      <w:numFmt w:val="lowerLetter"/>
      <w:lvlText w:val="%2)"/>
      <w:lvlJc w:val="left"/>
      <w:pPr>
        <w:tabs>
          <w:tab w:val="num" w:pos="1800"/>
        </w:tabs>
        <w:ind w:left="1800" w:hanging="72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2">
    <w:nsid w:val="16433C8C"/>
    <w:multiLevelType w:val="hybridMultilevel"/>
    <w:tmpl w:val="13562B12"/>
    <w:lvl w:ilvl="0" w:tplc="CC383AE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6F34245"/>
    <w:multiLevelType w:val="hybridMultilevel"/>
    <w:tmpl w:val="BB24F4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B2977ED"/>
    <w:multiLevelType w:val="hybridMultilevel"/>
    <w:tmpl w:val="C2641A4A"/>
    <w:lvl w:ilvl="0" w:tplc="D83AD9D2">
      <w:start w:val="1"/>
      <w:numFmt w:val="decimal"/>
      <w:lvlText w:val="%1."/>
      <w:lvlJc w:val="left"/>
      <w:pPr>
        <w:ind w:left="720" w:hanging="360"/>
      </w:pPr>
      <w:rPr>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03"/>
    <w:rsid w:val="00004C0A"/>
    <w:rsid w:val="00025C8A"/>
    <w:rsid w:val="00033366"/>
    <w:rsid w:val="00034BFE"/>
    <w:rsid w:val="0004175F"/>
    <w:rsid w:val="00046664"/>
    <w:rsid w:val="00064A08"/>
    <w:rsid w:val="00075CE4"/>
    <w:rsid w:val="00084630"/>
    <w:rsid w:val="00086EAA"/>
    <w:rsid w:val="00094A62"/>
    <w:rsid w:val="00095109"/>
    <w:rsid w:val="0009526F"/>
    <w:rsid w:val="000A2D26"/>
    <w:rsid w:val="000A52DB"/>
    <w:rsid w:val="000A738F"/>
    <w:rsid w:val="000C4D84"/>
    <w:rsid w:val="000F6140"/>
    <w:rsid w:val="0011011B"/>
    <w:rsid w:val="001444E2"/>
    <w:rsid w:val="001529EF"/>
    <w:rsid w:val="00153A88"/>
    <w:rsid w:val="001A350D"/>
    <w:rsid w:val="001B4711"/>
    <w:rsid w:val="001E1BF3"/>
    <w:rsid w:val="00223A8A"/>
    <w:rsid w:val="002271CF"/>
    <w:rsid w:val="00243986"/>
    <w:rsid w:val="00247930"/>
    <w:rsid w:val="00272E58"/>
    <w:rsid w:val="00273FF8"/>
    <w:rsid w:val="002A39EE"/>
    <w:rsid w:val="002A4994"/>
    <w:rsid w:val="002C0903"/>
    <w:rsid w:val="00306C5A"/>
    <w:rsid w:val="0031553E"/>
    <w:rsid w:val="00355326"/>
    <w:rsid w:val="003573F9"/>
    <w:rsid w:val="00381615"/>
    <w:rsid w:val="003935A2"/>
    <w:rsid w:val="003940D1"/>
    <w:rsid w:val="003A4B56"/>
    <w:rsid w:val="003B788D"/>
    <w:rsid w:val="003E1CB8"/>
    <w:rsid w:val="0041726C"/>
    <w:rsid w:val="00442BE4"/>
    <w:rsid w:val="0046215E"/>
    <w:rsid w:val="0047449E"/>
    <w:rsid w:val="00495A8F"/>
    <w:rsid w:val="004A7EF5"/>
    <w:rsid w:val="004C5BEC"/>
    <w:rsid w:val="00534506"/>
    <w:rsid w:val="005372E8"/>
    <w:rsid w:val="00541049"/>
    <w:rsid w:val="00546429"/>
    <w:rsid w:val="00587C19"/>
    <w:rsid w:val="005C18DE"/>
    <w:rsid w:val="005C1A26"/>
    <w:rsid w:val="005D557A"/>
    <w:rsid w:val="0060575E"/>
    <w:rsid w:val="0061055C"/>
    <w:rsid w:val="00613DE2"/>
    <w:rsid w:val="00632593"/>
    <w:rsid w:val="00645B03"/>
    <w:rsid w:val="00661B24"/>
    <w:rsid w:val="00663D89"/>
    <w:rsid w:val="00675C92"/>
    <w:rsid w:val="00676740"/>
    <w:rsid w:val="00684123"/>
    <w:rsid w:val="006A1AB6"/>
    <w:rsid w:val="006A7386"/>
    <w:rsid w:val="006B6FAD"/>
    <w:rsid w:val="006D654F"/>
    <w:rsid w:val="006D676C"/>
    <w:rsid w:val="006E0635"/>
    <w:rsid w:val="007051DA"/>
    <w:rsid w:val="007156D9"/>
    <w:rsid w:val="00722076"/>
    <w:rsid w:val="00746BF0"/>
    <w:rsid w:val="007625BA"/>
    <w:rsid w:val="007653DE"/>
    <w:rsid w:val="007711A2"/>
    <w:rsid w:val="00793759"/>
    <w:rsid w:val="00797028"/>
    <w:rsid w:val="007A4DBC"/>
    <w:rsid w:val="007A4E9B"/>
    <w:rsid w:val="007F5121"/>
    <w:rsid w:val="00803815"/>
    <w:rsid w:val="00811DA9"/>
    <w:rsid w:val="008120B8"/>
    <w:rsid w:val="008122DB"/>
    <w:rsid w:val="00814E3F"/>
    <w:rsid w:val="0082661F"/>
    <w:rsid w:val="0083101C"/>
    <w:rsid w:val="00847D41"/>
    <w:rsid w:val="0085424F"/>
    <w:rsid w:val="00854EE2"/>
    <w:rsid w:val="00882DBE"/>
    <w:rsid w:val="0089097F"/>
    <w:rsid w:val="008B47C8"/>
    <w:rsid w:val="008B75EE"/>
    <w:rsid w:val="008E6700"/>
    <w:rsid w:val="009143C0"/>
    <w:rsid w:val="00944972"/>
    <w:rsid w:val="00973CC9"/>
    <w:rsid w:val="00975566"/>
    <w:rsid w:val="00983F67"/>
    <w:rsid w:val="009964F4"/>
    <w:rsid w:val="009C3422"/>
    <w:rsid w:val="009D6A4F"/>
    <w:rsid w:val="009D7F42"/>
    <w:rsid w:val="009E573C"/>
    <w:rsid w:val="00A110DB"/>
    <w:rsid w:val="00A1696F"/>
    <w:rsid w:val="00A16ECA"/>
    <w:rsid w:val="00A17682"/>
    <w:rsid w:val="00A2167C"/>
    <w:rsid w:val="00A23E5B"/>
    <w:rsid w:val="00A27FFC"/>
    <w:rsid w:val="00A51E0E"/>
    <w:rsid w:val="00A536C7"/>
    <w:rsid w:val="00A57967"/>
    <w:rsid w:val="00A75E25"/>
    <w:rsid w:val="00A9614F"/>
    <w:rsid w:val="00AA2718"/>
    <w:rsid w:val="00AB4054"/>
    <w:rsid w:val="00B00A07"/>
    <w:rsid w:val="00B0317F"/>
    <w:rsid w:val="00B61A92"/>
    <w:rsid w:val="00B874BE"/>
    <w:rsid w:val="00B94E26"/>
    <w:rsid w:val="00BA4052"/>
    <w:rsid w:val="00BE1823"/>
    <w:rsid w:val="00BE7584"/>
    <w:rsid w:val="00BF04AF"/>
    <w:rsid w:val="00C01F29"/>
    <w:rsid w:val="00C10375"/>
    <w:rsid w:val="00C623D8"/>
    <w:rsid w:val="00C666E2"/>
    <w:rsid w:val="00C71EBC"/>
    <w:rsid w:val="00C743D3"/>
    <w:rsid w:val="00CC034C"/>
    <w:rsid w:val="00CC5567"/>
    <w:rsid w:val="00CD0B79"/>
    <w:rsid w:val="00CD4A4A"/>
    <w:rsid w:val="00CF51BF"/>
    <w:rsid w:val="00CF5D43"/>
    <w:rsid w:val="00D0195B"/>
    <w:rsid w:val="00D475DC"/>
    <w:rsid w:val="00D52E78"/>
    <w:rsid w:val="00D70A70"/>
    <w:rsid w:val="00DA00A6"/>
    <w:rsid w:val="00DB0DF1"/>
    <w:rsid w:val="00DC2532"/>
    <w:rsid w:val="00DC642C"/>
    <w:rsid w:val="00DD1235"/>
    <w:rsid w:val="00DF0635"/>
    <w:rsid w:val="00E15AB7"/>
    <w:rsid w:val="00E37303"/>
    <w:rsid w:val="00E4396F"/>
    <w:rsid w:val="00E60B46"/>
    <w:rsid w:val="00E63691"/>
    <w:rsid w:val="00E64CDF"/>
    <w:rsid w:val="00E76AA5"/>
    <w:rsid w:val="00E76C37"/>
    <w:rsid w:val="00EA5952"/>
    <w:rsid w:val="00EA6724"/>
    <w:rsid w:val="00EA6AB8"/>
    <w:rsid w:val="00EC0B07"/>
    <w:rsid w:val="00EC295F"/>
    <w:rsid w:val="00EF797A"/>
    <w:rsid w:val="00F06C70"/>
    <w:rsid w:val="00F14B8E"/>
    <w:rsid w:val="00F26D5E"/>
    <w:rsid w:val="00F34E8A"/>
    <w:rsid w:val="00F431C0"/>
    <w:rsid w:val="00F44E8F"/>
    <w:rsid w:val="00F51118"/>
    <w:rsid w:val="00F53FF2"/>
    <w:rsid w:val="00F8321E"/>
    <w:rsid w:val="00F975C4"/>
    <w:rsid w:val="00FA359C"/>
    <w:rsid w:val="00FB1408"/>
    <w:rsid w:val="00FB222B"/>
    <w:rsid w:val="00FD51B5"/>
    <w:rsid w:val="00FD77AE"/>
    <w:rsid w:val="00FE2F21"/>
    <w:rsid w:val="00FE44D9"/>
    <w:rsid w:val="00FE72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 Car,cita,c,C"/>
    <w:basedOn w:val="Normal"/>
    <w:link w:val="FootnoteTextChar"/>
    <w:unhideWhenUsed/>
    <w:qFormat/>
    <w:rsid w:val="002C090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2C0903"/>
    <w:rPr>
      <w:sz w:val="20"/>
      <w:szCs w:val="20"/>
      <w:lang w:val="en-US"/>
    </w:rPr>
  </w:style>
  <w:style w:type="paragraph" w:styleId="ListParagraph">
    <w:name w:val="List Paragraph"/>
    <w:aliases w:val="Footnote,Párrafo de lista1,Colorful List - Accent 11,Cuadrícula clara - Énfasis 31"/>
    <w:basedOn w:val="Normal"/>
    <w:link w:val="ListParagraphChar"/>
    <w:qFormat/>
    <w:rsid w:val="002C0903"/>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2C0903"/>
    <w:rPr>
      <w:vertAlign w:val="superscript"/>
    </w:rPr>
  </w:style>
  <w:style w:type="paragraph" w:styleId="BodyText3">
    <w:name w:val="Body Text 3"/>
    <w:basedOn w:val="Normal"/>
    <w:link w:val="BodyText3Char"/>
    <w:uiPriority w:val="99"/>
    <w:semiHidden/>
    <w:unhideWhenUsed/>
    <w:rsid w:val="007711A2"/>
    <w:pPr>
      <w:spacing w:after="120" w:line="240" w:lineRule="auto"/>
    </w:pPr>
    <w:rPr>
      <w:rFonts w:ascii="Garamond" w:hAnsi="Garamond" w:cs="Times New Roman"/>
      <w:sz w:val="16"/>
      <w:szCs w:val="16"/>
      <w:lang w:val="es-CR"/>
    </w:rPr>
  </w:style>
  <w:style w:type="character" w:customStyle="1" w:styleId="BodyText3Char">
    <w:name w:val="Body Text 3 Char"/>
    <w:basedOn w:val="DefaultParagraphFont"/>
    <w:link w:val="BodyText3"/>
    <w:uiPriority w:val="99"/>
    <w:semiHidden/>
    <w:rsid w:val="007711A2"/>
    <w:rPr>
      <w:rFonts w:ascii="Garamond" w:hAnsi="Garamond" w:cs="Times New Roman"/>
      <w:sz w:val="16"/>
      <w:szCs w:val="16"/>
    </w:rPr>
  </w:style>
  <w:style w:type="character" w:styleId="Hyperlink">
    <w:name w:val="Hyperlink"/>
    <w:basedOn w:val="DefaultParagraphFont"/>
    <w:uiPriority w:val="99"/>
    <w:unhideWhenUsed/>
    <w:rsid w:val="00046664"/>
    <w:rPr>
      <w:color w:val="0000FF" w:themeColor="hyperlink"/>
      <w:u w:val="single"/>
    </w:rPr>
  </w:style>
  <w:style w:type="paragraph" w:styleId="BodyText2">
    <w:name w:val="Body Text 2"/>
    <w:basedOn w:val="Normal"/>
    <w:link w:val="BodyText2Char"/>
    <w:uiPriority w:val="99"/>
    <w:unhideWhenUsed/>
    <w:rsid w:val="007F5121"/>
    <w:pPr>
      <w:spacing w:after="120" w:line="48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uiPriority w:val="99"/>
    <w:rsid w:val="007F5121"/>
    <w:rPr>
      <w:rFonts w:ascii="Verdana" w:eastAsia="Times" w:hAnsi="Verdana" w:cs="Times New Roman"/>
      <w:sz w:val="20"/>
      <w:szCs w:val="20"/>
      <w:lang w:val="es-ES_tradnl"/>
    </w:rPr>
  </w:style>
  <w:style w:type="character" w:customStyle="1" w:styleId="ListParagraphChar">
    <w:name w:val="List Paragraph Char"/>
    <w:aliases w:val="Footnote Char,Párrafo de lista1 Char,Colorful List - Accent 11 Char,Cuadrícula clara - Énfasis 31 Char"/>
    <w:link w:val="ListParagraph"/>
    <w:rsid w:val="007F5121"/>
    <w:rPr>
      <w:lang w:val="en-US"/>
    </w:rPr>
  </w:style>
  <w:style w:type="paragraph" w:styleId="Header">
    <w:name w:val="header"/>
    <w:basedOn w:val="Normal"/>
    <w:link w:val="HeaderChar"/>
    <w:uiPriority w:val="99"/>
    <w:unhideWhenUsed/>
    <w:rsid w:val="007F512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5121"/>
    <w:rPr>
      <w:lang w:val="en-US"/>
    </w:rPr>
  </w:style>
  <w:style w:type="paragraph" w:styleId="Footer">
    <w:name w:val="footer"/>
    <w:basedOn w:val="Normal"/>
    <w:link w:val="FooterChar"/>
    <w:uiPriority w:val="99"/>
    <w:unhideWhenUsed/>
    <w:rsid w:val="007F512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5121"/>
    <w:rPr>
      <w:lang w:val="en-US"/>
    </w:rPr>
  </w:style>
  <w:style w:type="character" w:styleId="LineNumber">
    <w:name w:val="line number"/>
    <w:basedOn w:val="DefaultParagraphFont"/>
    <w:uiPriority w:val="99"/>
    <w:semiHidden/>
    <w:unhideWhenUsed/>
    <w:rsid w:val="007F5121"/>
  </w:style>
  <w:style w:type="paragraph" w:styleId="BalloonText">
    <w:name w:val="Balloon Text"/>
    <w:basedOn w:val="Normal"/>
    <w:link w:val="BalloonTextChar"/>
    <w:uiPriority w:val="99"/>
    <w:semiHidden/>
    <w:unhideWhenUsed/>
    <w:rsid w:val="006A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B6"/>
    <w:rPr>
      <w:rFonts w:ascii="Tahoma" w:hAnsi="Tahoma" w:cs="Tahoma"/>
      <w:sz w:val="16"/>
      <w:szCs w:val="16"/>
      <w:lang w:val="en-US"/>
    </w:rPr>
  </w:style>
  <w:style w:type="character" w:styleId="CommentReference">
    <w:name w:val="annotation reference"/>
    <w:basedOn w:val="DefaultParagraphFont"/>
    <w:uiPriority w:val="99"/>
    <w:semiHidden/>
    <w:unhideWhenUsed/>
    <w:rsid w:val="006A1AB6"/>
    <w:rPr>
      <w:sz w:val="16"/>
      <w:szCs w:val="16"/>
    </w:rPr>
  </w:style>
  <w:style w:type="paragraph" w:styleId="CommentText">
    <w:name w:val="annotation text"/>
    <w:basedOn w:val="Normal"/>
    <w:link w:val="CommentTextChar"/>
    <w:uiPriority w:val="99"/>
    <w:semiHidden/>
    <w:unhideWhenUsed/>
    <w:rsid w:val="006A1AB6"/>
    <w:pPr>
      <w:spacing w:line="240" w:lineRule="auto"/>
    </w:pPr>
    <w:rPr>
      <w:sz w:val="20"/>
      <w:szCs w:val="20"/>
    </w:rPr>
  </w:style>
  <w:style w:type="character" w:customStyle="1" w:styleId="CommentTextChar">
    <w:name w:val="Comment Text Char"/>
    <w:basedOn w:val="DefaultParagraphFont"/>
    <w:link w:val="CommentText"/>
    <w:uiPriority w:val="99"/>
    <w:semiHidden/>
    <w:rsid w:val="006A1AB6"/>
    <w:rPr>
      <w:sz w:val="20"/>
      <w:szCs w:val="20"/>
      <w:lang w:val="en-US"/>
    </w:rPr>
  </w:style>
  <w:style w:type="paragraph" w:styleId="CommentSubject">
    <w:name w:val="annotation subject"/>
    <w:basedOn w:val="CommentText"/>
    <w:next w:val="CommentText"/>
    <w:link w:val="CommentSubjectChar"/>
    <w:uiPriority w:val="99"/>
    <w:semiHidden/>
    <w:unhideWhenUsed/>
    <w:rsid w:val="006A1AB6"/>
    <w:rPr>
      <w:b/>
      <w:bCs/>
    </w:rPr>
  </w:style>
  <w:style w:type="character" w:customStyle="1" w:styleId="CommentSubjectChar">
    <w:name w:val="Comment Subject Char"/>
    <w:basedOn w:val="CommentTextChar"/>
    <w:link w:val="CommentSubject"/>
    <w:uiPriority w:val="99"/>
    <w:semiHidden/>
    <w:rsid w:val="006A1AB6"/>
    <w:rPr>
      <w:b/>
      <w:bCs/>
      <w:sz w:val="20"/>
      <w:szCs w:val="2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645B03"/>
    <w:pPr>
      <w:spacing w:after="0" w:line="240" w:lineRule="auto"/>
      <w:jc w:val="both"/>
    </w:pPr>
    <w:rPr>
      <w:vertAlign w:val="superscript"/>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 Car,cita,c,C"/>
    <w:basedOn w:val="Normal"/>
    <w:link w:val="FootnoteTextChar"/>
    <w:unhideWhenUsed/>
    <w:qFormat/>
    <w:rsid w:val="002C090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2C0903"/>
    <w:rPr>
      <w:sz w:val="20"/>
      <w:szCs w:val="20"/>
      <w:lang w:val="en-US"/>
    </w:rPr>
  </w:style>
  <w:style w:type="paragraph" w:styleId="ListParagraph">
    <w:name w:val="List Paragraph"/>
    <w:aliases w:val="Footnote,Párrafo de lista1,Colorful List - Accent 11,Cuadrícula clara - Énfasis 31"/>
    <w:basedOn w:val="Normal"/>
    <w:link w:val="ListParagraphChar"/>
    <w:qFormat/>
    <w:rsid w:val="002C0903"/>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2C0903"/>
    <w:rPr>
      <w:vertAlign w:val="superscript"/>
    </w:rPr>
  </w:style>
  <w:style w:type="paragraph" w:styleId="BodyText3">
    <w:name w:val="Body Text 3"/>
    <w:basedOn w:val="Normal"/>
    <w:link w:val="BodyText3Char"/>
    <w:uiPriority w:val="99"/>
    <w:semiHidden/>
    <w:unhideWhenUsed/>
    <w:rsid w:val="007711A2"/>
    <w:pPr>
      <w:spacing w:after="120" w:line="240" w:lineRule="auto"/>
    </w:pPr>
    <w:rPr>
      <w:rFonts w:ascii="Garamond" w:hAnsi="Garamond" w:cs="Times New Roman"/>
      <w:sz w:val="16"/>
      <w:szCs w:val="16"/>
      <w:lang w:val="es-CR"/>
    </w:rPr>
  </w:style>
  <w:style w:type="character" w:customStyle="1" w:styleId="BodyText3Char">
    <w:name w:val="Body Text 3 Char"/>
    <w:basedOn w:val="DefaultParagraphFont"/>
    <w:link w:val="BodyText3"/>
    <w:uiPriority w:val="99"/>
    <w:semiHidden/>
    <w:rsid w:val="007711A2"/>
    <w:rPr>
      <w:rFonts w:ascii="Garamond" w:hAnsi="Garamond" w:cs="Times New Roman"/>
      <w:sz w:val="16"/>
      <w:szCs w:val="16"/>
    </w:rPr>
  </w:style>
  <w:style w:type="character" w:styleId="Hyperlink">
    <w:name w:val="Hyperlink"/>
    <w:basedOn w:val="DefaultParagraphFont"/>
    <w:uiPriority w:val="99"/>
    <w:unhideWhenUsed/>
    <w:rsid w:val="00046664"/>
    <w:rPr>
      <w:color w:val="0000FF" w:themeColor="hyperlink"/>
      <w:u w:val="single"/>
    </w:rPr>
  </w:style>
  <w:style w:type="paragraph" w:styleId="BodyText2">
    <w:name w:val="Body Text 2"/>
    <w:basedOn w:val="Normal"/>
    <w:link w:val="BodyText2Char"/>
    <w:uiPriority w:val="99"/>
    <w:unhideWhenUsed/>
    <w:rsid w:val="007F5121"/>
    <w:pPr>
      <w:spacing w:after="120" w:line="48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uiPriority w:val="99"/>
    <w:rsid w:val="007F5121"/>
    <w:rPr>
      <w:rFonts w:ascii="Verdana" w:eastAsia="Times" w:hAnsi="Verdana" w:cs="Times New Roman"/>
      <w:sz w:val="20"/>
      <w:szCs w:val="20"/>
      <w:lang w:val="es-ES_tradnl"/>
    </w:rPr>
  </w:style>
  <w:style w:type="character" w:customStyle="1" w:styleId="ListParagraphChar">
    <w:name w:val="List Paragraph Char"/>
    <w:aliases w:val="Footnote Char,Párrafo de lista1 Char,Colorful List - Accent 11 Char,Cuadrícula clara - Énfasis 31 Char"/>
    <w:link w:val="ListParagraph"/>
    <w:rsid w:val="007F5121"/>
    <w:rPr>
      <w:lang w:val="en-US"/>
    </w:rPr>
  </w:style>
  <w:style w:type="paragraph" w:styleId="Header">
    <w:name w:val="header"/>
    <w:basedOn w:val="Normal"/>
    <w:link w:val="HeaderChar"/>
    <w:uiPriority w:val="99"/>
    <w:unhideWhenUsed/>
    <w:rsid w:val="007F512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5121"/>
    <w:rPr>
      <w:lang w:val="en-US"/>
    </w:rPr>
  </w:style>
  <w:style w:type="paragraph" w:styleId="Footer">
    <w:name w:val="footer"/>
    <w:basedOn w:val="Normal"/>
    <w:link w:val="FooterChar"/>
    <w:uiPriority w:val="99"/>
    <w:unhideWhenUsed/>
    <w:rsid w:val="007F512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5121"/>
    <w:rPr>
      <w:lang w:val="en-US"/>
    </w:rPr>
  </w:style>
  <w:style w:type="character" w:styleId="LineNumber">
    <w:name w:val="line number"/>
    <w:basedOn w:val="DefaultParagraphFont"/>
    <w:uiPriority w:val="99"/>
    <w:semiHidden/>
    <w:unhideWhenUsed/>
    <w:rsid w:val="007F5121"/>
  </w:style>
  <w:style w:type="paragraph" w:styleId="BalloonText">
    <w:name w:val="Balloon Text"/>
    <w:basedOn w:val="Normal"/>
    <w:link w:val="BalloonTextChar"/>
    <w:uiPriority w:val="99"/>
    <w:semiHidden/>
    <w:unhideWhenUsed/>
    <w:rsid w:val="006A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B6"/>
    <w:rPr>
      <w:rFonts w:ascii="Tahoma" w:hAnsi="Tahoma" w:cs="Tahoma"/>
      <w:sz w:val="16"/>
      <w:szCs w:val="16"/>
      <w:lang w:val="en-US"/>
    </w:rPr>
  </w:style>
  <w:style w:type="character" w:styleId="CommentReference">
    <w:name w:val="annotation reference"/>
    <w:basedOn w:val="DefaultParagraphFont"/>
    <w:uiPriority w:val="99"/>
    <w:semiHidden/>
    <w:unhideWhenUsed/>
    <w:rsid w:val="006A1AB6"/>
    <w:rPr>
      <w:sz w:val="16"/>
      <w:szCs w:val="16"/>
    </w:rPr>
  </w:style>
  <w:style w:type="paragraph" w:styleId="CommentText">
    <w:name w:val="annotation text"/>
    <w:basedOn w:val="Normal"/>
    <w:link w:val="CommentTextChar"/>
    <w:uiPriority w:val="99"/>
    <w:semiHidden/>
    <w:unhideWhenUsed/>
    <w:rsid w:val="006A1AB6"/>
    <w:pPr>
      <w:spacing w:line="240" w:lineRule="auto"/>
    </w:pPr>
    <w:rPr>
      <w:sz w:val="20"/>
      <w:szCs w:val="20"/>
    </w:rPr>
  </w:style>
  <w:style w:type="character" w:customStyle="1" w:styleId="CommentTextChar">
    <w:name w:val="Comment Text Char"/>
    <w:basedOn w:val="DefaultParagraphFont"/>
    <w:link w:val="CommentText"/>
    <w:uiPriority w:val="99"/>
    <w:semiHidden/>
    <w:rsid w:val="006A1AB6"/>
    <w:rPr>
      <w:sz w:val="20"/>
      <w:szCs w:val="20"/>
      <w:lang w:val="en-US"/>
    </w:rPr>
  </w:style>
  <w:style w:type="paragraph" w:styleId="CommentSubject">
    <w:name w:val="annotation subject"/>
    <w:basedOn w:val="CommentText"/>
    <w:next w:val="CommentText"/>
    <w:link w:val="CommentSubjectChar"/>
    <w:uiPriority w:val="99"/>
    <w:semiHidden/>
    <w:unhideWhenUsed/>
    <w:rsid w:val="006A1AB6"/>
    <w:rPr>
      <w:b/>
      <w:bCs/>
    </w:rPr>
  </w:style>
  <w:style w:type="character" w:customStyle="1" w:styleId="CommentSubjectChar">
    <w:name w:val="Comment Subject Char"/>
    <w:basedOn w:val="CommentTextChar"/>
    <w:link w:val="CommentSubject"/>
    <w:uiPriority w:val="99"/>
    <w:semiHidden/>
    <w:rsid w:val="006A1AB6"/>
    <w:rPr>
      <w:b/>
      <w:bCs/>
      <w:sz w:val="20"/>
      <w:szCs w:val="2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645B03"/>
    <w:pPr>
      <w:spacing w:after="0" w:line="240" w:lineRule="auto"/>
      <w:jc w:val="both"/>
    </w:pPr>
    <w:rPr>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243">
      <w:bodyDiv w:val="1"/>
      <w:marLeft w:val="0"/>
      <w:marRight w:val="0"/>
      <w:marTop w:val="0"/>
      <w:marBottom w:val="0"/>
      <w:divBdr>
        <w:top w:val="none" w:sz="0" w:space="0" w:color="auto"/>
        <w:left w:val="none" w:sz="0" w:space="0" w:color="auto"/>
        <w:bottom w:val="none" w:sz="0" w:space="0" w:color="auto"/>
        <w:right w:val="none" w:sz="0" w:space="0" w:color="auto"/>
      </w:divBdr>
    </w:div>
    <w:div w:id="852454898">
      <w:bodyDiv w:val="1"/>
      <w:marLeft w:val="0"/>
      <w:marRight w:val="0"/>
      <w:marTop w:val="0"/>
      <w:marBottom w:val="0"/>
      <w:divBdr>
        <w:top w:val="none" w:sz="0" w:space="0" w:color="auto"/>
        <w:left w:val="none" w:sz="0" w:space="0" w:color="auto"/>
        <w:bottom w:val="none" w:sz="0" w:space="0" w:color="auto"/>
        <w:right w:val="none" w:sz="0" w:space="0" w:color="auto"/>
      </w:divBdr>
    </w:div>
    <w:div w:id="910506020">
      <w:bodyDiv w:val="1"/>
      <w:marLeft w:val="0"/>
      <w:marRight w:val="0"/>
      <w:marTop w:val="0"/>
      <w:marBottom w:val="0"/>
      <w:divBdr>
        <w:top w:val="none" w:sz="0" w:space="0" w:color="auto"/>
        <w:left w:val="none" w:sz="0" w:space="0" w:color="auto"/>
        <w:bottom w:val="none" w:sz="0" w:space="0" w:color="auto"/>
        <w:right w:val="none" w:sz="0" w:space="0" w:color="auto"/>
      </w:divBdr>
    </w:div>
    <w:div w:id="1126893629">
      <w:bodyDiv w:val="1"/>
      <w:marLeft w:val="0"/>
      <w:marRight w:val="0"/>
      <w:marTop w:val="0"/>
      <w:marBottom w:val="0"/>
      <w:divBdr>
        <w:top w:val="none" w:sz="0" w:space="0" w:color="auto"/>
        <w:left w:val="none" w:sz="0" w:space="0" w:color="auto"/>
        <w:bottom w:val="none" w:sz="0" w:space="0" w:color="auto"/>
        <w:right w:val="none" w:sz="0" w:space="0" w:color="auto"/>
      </w:divBdr>
    </w:div>
    <w:div w:id="1429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medidas/durand_se_01.pdf" TargetMode="External"/><Relationship Id="rId2" Type="http://schemas.openxmlformats.org/officeDocument/2006/relationships/hyperlink" Target="http://www.corteidh.or.cr/docs/casos/articulos/Seriec_89_esp.pdf" TargetMode="External"/><Relationship Id="rId1" Type="http://schemas.openxmlformats.org/officeDocument/2006/relationships/hyperlink" Target="http://www.corteidh.or.cr/docs/casos/articulos/Seriec_68_esp.pdf" TargetMode="External"/><Relationship Id="rId4" Type="http://schemas.openxmlformats.org/officeDocument/2006/relationships/hyperlink" Target="http://www.corteidh.or.cr/docs/medidas/durand_se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62AC-6758-4A8C-B21D-39C3FB6E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9702</Characters>
  <Application>Microsoft Office Word</Application>
  <DocSecurity>4</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2018-07-02T17:04:00Z</cp:lastPrinted>
  <dcterms:created xsi:type="dcterms:W3CDTF">2018-07-02T17:10:00Z</dcterms:created>
  <dcterms:modified xsi:type="dcterms:W3CDTF">2018-07-02T17:10:00Z</dcterms:modified>
</cp:coreProperties>
</file>