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D0506" w14:textId="77777777" w:rsidR="00A02056" w:rsidRPr="005A17C2" w:rsidRDefault="009747B6" w:rsidP="00BB145E">
      <w:pPr>
        <w:pStyle w:val="Heading1"/>
        <w:spacing w:line="220" w:lineRule="atLeast"/>
        <w:jc w:val="both"/>
        <w:rPr>
          <w:spacing w:val="-4"/>
          <w:sz w:val="20"/>
        </w:rPr>
      </w:pPr>
      <w:r w:rsidRPr="005A17C2">
        <w:rPr>
          <w:spacing w:val="-4"/>
          <w:sz w:val="20"/>
        </w:rPr>
        <w:t xml:space="preserve">  </w:t>
      </w:r>
    </w:p>
    <w:p w14:paraId="0FD6A182" w14:textId="77777777" w:rsidR="00DF154A" w:rsidRPr="005A17C2" w:rsidRDefault="00A02056" w:rsidP="00BB145E">
      <w:pPr>
        <w:pStyle w:val="Heading1"/>
        <w:spacing w:line="220" w:lineRule="atLeast"/>
        <w:jc w:val="both"/>
        <w:rPr>
          <w:spacing w:val="-4"/>
          <w:sz w:val="20"/>
        </w:rPr>
      </w:pPr>
      <w:r w:rsidRPr="005A17C2">
        <w:rPr>
          <w:spacing w:val="-4"/>
          <w:sz w:val="20"/>
        </w:rPr>
        <w:t xml:space="preserve"> </w:t>
      </w:r>
      <w:r w:rsidRPr="005A17C2">
        <w:rPr>
          <w:spacing w:val="-4"/>
          <w:sz w:val="20"/>
        </w:rPr>
        <w:tab/>
      </w:r>
      <w:r w:rsidR="00FB3806" w:rsidRPr="005A17C2">
        <w:rPr>
          <w:spacing w:val="-4"/>
          <w:sz w:val="20"/>
        </w:rPr>
        <w:t xml:space="preserve"> </w:t>
      </w:r>
      <w:r w:rsidR="00832DBF" w:rsidRPr="005A17C2">
        <w:rPr>
          <w:spacing w:val="-4"/>
          <w:sz w:val="20"/>
        </w:rPr>
        <w:t xml:space="preserve">                    </w:t>
      </w:r>
    </w:p>
    <w:p w14:paraId="37FEA20A" w14:textId="77777777" w:rsidR="00DF154A" w:rsidRPr="005A17C2" w:rsidRDefault="00DF154A" w:rsidP="00BB145E">
      <w:pPr>
        <w:pStyle w:val="Heading1"/>
        <w:spacing w:line="220" w:lineRule="atLeast"/>
        <w:jc w:val="both"/>
        <w:rPr>
          <w:spacing w:val="-4"/>
          <w:sz w:val="20"/>
        </w:rPr>
      </w:pPr>
    </w:p>
    <w:p w14:paraId="3E9B1ABF" w14:textId="77777777" w:rsidR="00DF154A" w:rsidRPr="005A17C2" w:rsidRDefault="00DF154A" w:rsidP="00BB145E">
      <w:pPr>
        <w:pStyle w:val="Heading1"/>
        <w:spacing w:line="220" w:lineRule="atLeast"/>
        <w:jc w:val="both"/>
        <w:rPr>
          <w:spacing w:val="-4"/>
          <w:sz w:val="20"/>
        </w:rPr>
      </w:pPr>
    </w:p>
    <w:p w14:paraId="27C7620D" w14:textId="77777777" w:rsidR="00DF154A" w:rsidRPr="005A17C2" w:rsidRDefault="00DF154A" w:rsidP="00BB145E">
      <w:pPr>
        <w:jc w:val="both"/>
        <w:rPr>
          <w:spacing w:val="-4"/>
          <w:lang w:eastAsia="es-ES"/>
        </w:rPr>
      </w:pPr>
    </w:p>
    <w:p w14:paraId="270963B7" w14:textId="77777777" w:rsidR="00DF154A" w:rsidRPr="005A17C2" w:rsidRDefault="00DF154A" w:rsidP="00BB145E">
      <w:pPr>
        <w:jc w:val="both"/>
        <w:rPr>
          <w:spacing w:val="-4"/>
          <w:lang w:eastAsia="es-ES"/>
        </w:rPr>
      </w:pPr>
    </w:p>
    <w:p w14:paraId="2E4338E6" w14:textId="77777777" w:rsidR="008C001C" w:rsidRPr="005A17C2" w:rsidRDefault="008C001C" w:rsidP="00BB145E">
      <w:pPr>
        <w:pStyle w:val="Heading1"/>
        <w:rPr>
          <w:spacing w:val="-4"/>
          <w:sz w:val="20"/>
        </w:rPr>
      </w:pPr>
      <w:r w:rsidRPr="005A17C2">
        <w:rPr>
          <w:spacing w:val="-4"/>
          <w:sz w:val="20"/>
        </w:rPr>
        <w:t>Resolución de lA</w:t>
      </w:r>
    </w:p>
    <w:p w14:paraId="63EAAC17" w14:textId="71723727" w:rsidR="008C001C" w:rsidRPr="005A17C2" w:rsidRDefault="008C001C" w:rsidP="00BB145E">
      <w:pPr>
        <w:jc w:val="center"/>
        <w:rPr>
          <w:rFonts w:ascii="Verdana" w:hAnsi="Verdana"/>
          <w:b/>
          <w:caps/>
          <w:spacing w:val="-4"/>
          <w:sz w:val="20"/>
        </w:rPr>
      </w:pPr>
      <w:r w:rsidRPr="005A17C2">
        <w:rPr>
          <w:rFonts w:ascii="Verdana" w:hAnsi="Verdana"/>
          <w:b/>
          <w:caps/>
          <w:spacing w:val="-4"/>
          <w:sz w:val="20"/>
        </w:rPr>
        <w:t>Corte Interamericana de Derechos Humanos</w:t>
      </w:r>
      <w:r w:rsidR="004A754F" w:rsidRPr="005A17C2">
        <w:rPr>
          <w:rStyle w:val="FootnoteReference"/>
          <w:b/>
          <w:caps/>
          <w:spacing w:val="-4"/>
          <w:sz w:val="20"/>
          <w:szCs w:val="20"/>
        </w:rPr>
        <w:footnoteReference w:customMarkFollows="1" w:id="1"/>
        <w:sym w:font="Symbol" w:char="F02A"/>
      </w:r>
    </w:p>
    <w:p w14:paraId="3CD8D4B5" w14:textId="6C707861" w:rsidR="008C001C" w:rsidRPr="005A17C2" w:rsidRDefault="008C001C" w:rsidP="00BB145E">
      <w:pPr>
        <w:jc w:val="center"/>
        <w:rPr>
          <w:rFonts w:ascii="Verdana" w:hAnsi="Verdana"/>
          <w:b/>
          <w:caps/>
          <w:spacing w:val="-4"/>
          <w:sz w:val="20"/>
        </w:rPr>
      </w:pPr>
      <w:r w:rsidRPr="005A17C2">
        <w:rPr>
          <w:rFonts w:ascii="Verdana" w:hAnsi="Verdana"/>
          <w:b/>
          <w:caps/>
          <w:spacing w:val="-4"/>
          <w:sz w:val="20"/>
        </w:rPr>
        <w:t xml:space="preserve">de </w:t>
      </w:r>
      <w:r w:rsidR="00FB6E9C" w:rsidRPr="005A17C2">
        <w:rPr>
          <w:rFonts w:ascii="Verdana" w:hAnsi="Verdana"/>
          <w:b/>
          <w:caps/>
          <w:spacing w:val="-4"/>
          <w:sz w:val="20"/>
        </w:rPr>
        <w:t>23</w:t>
      </w:r>
      <w:r w:rsidR="00493E46" w:rsidRPr="005A17C2">
        <w:rPr>
          <w:rFonts w:ascii="Verdana" w:hAnsi="Verdana"/>
          <w:b/>
          <w:caps/>
          <w:spacing w:val="-4"/>
          <w:sz w:val="20"/>
        </w:rPr>
        <w:t xml:space="preserve"> de </w:t>
      </w:r>
      <w:r w:rsidR="00660E94" w:rsidRPr="005A17C2">
        <w:rPr>
          <w:rFonts w:ascii="Verdana" w:hAnsi="Verdana"/>
          <w:b/>
          <w:caps/>
          <w:spacing w:val="-4"/>
          <w:sz w:val="20"/>
        </w:rPr>
        <w:t>FEBRERO</w:t>
      </w:r>
      <w:r w:rsidR="00066584" w:rsidRPr="005A17C2">
        <w:rPr>
          <w:rFonts w:ascii="Verdana" w:hAnsi="Verdana"/>
          <w:b/>
          <w:caps/>
          <w:spacing w:val="-4"/>
          <w:sz w:val="20"/>
        </w:rPr>
        <w:t xml:space="preserve"> </w:t>
      </w:r>
      <w:r w:rsidRPr="005A17C2">
        <w:rPr>
          <w:rFonts w:ascii="Verdana" w:hAnsi="Verdana"/>
          <w:b/>
          <w:caps/>
          <w:spacing w:val="-4"/>
          <w:sz w:val="20"/>
        </w:rPr>
        <w:t xml:space="preserve">de </w:t>
      </w:r>
      <w:r w:rsidR="00493E46" w:rsidRPr="005A17C2">
        <w:rPr>
          <w:rFonts w:ascii="Verdana" w:hAnsi="Verdana"/>
          <w:b/>
          <w:caps/>
          <w:spacing w:val="-4"/>
          <w:sz w:val="20"/>
        </w:rPr>
        <w:t>201</w:t>
      </w:r>
      <w:r w:rsidR="00660E94" w:rsidRPr="005A17C2">
        <w:rPr>
          <w:rFonts w:ascii="Verdana" w:hAnsi="Verdana"/>
          <w:b/>
          <w:caps/>
          <w:spacing w:val="-4"/>
          <w:sz w:val="20"/>
        </w:rPr>
        <w:t>6</w:t>
      </w:r>
    </w:p>
    <w:p w14:paraId="6565023D" w14:textId="77777777" w:rsidR="008C001C" w:rsidRPr="005A17C2" w:rsidRDefault="008C001C" w:rsidP="00BB145E">
      <w:pPr>
        <w:jc w:val="center"/>
        <w:rPr>
          <w:rFonts w:ascii="Verdana" w:hAnsi="Verdana"/>
          <w:b/>
          <w:caps/>
          <w:spacing w:val="-4"/>
          <w:sz w:val="20"/>
        </w:rPr>
      </w:pPr>
    </w:p>
    <w:p w14:paraId="6F13B9DF" w14:textId="77777777" w:rsidR="008C001C" w:rsidRPr="005A17C2" w:rsidRDefault="008C001C" w:rsidP="00BB145E">
      <w:pPr>
        <w:jc w:val="center"/>
        <w:rPr>
          <w:rFonts w:ascii="Verdana" w:hAnsi="Verdana"/>
          <w:b/>
          <w:caps/>
          <w:spacing w:val="-4"/>
          <w:sz w:val="20"/>
        </w:rPr>
      </w:pPr>
      <w:r w:rsidRPr="005A17C2">
        <w:rPr>
          <w:rFonts w:ascii="Verdana" w:hAnsi="Verdana"/>
          <w:b/>
          <w:caps/>
          <w:spacing w:val="-4"/>
          <w:sz w:val="20"/>
        </w:rPr>
        <w:t>Medidas Provisionales</w:t>
      </w:r>
    </w:p>
    <w:p w14:paraId="62CE8670" w14:textId="77777777" w:rsidR="008C001C" w:rsidRPr="005A17C2" w:rsidRDefault="008C001C" w:rsidP="00BB145E">
      <w:pPr>
        <w:jc w:val="center"/>
        <w:rPr>
          <w:rFonts w:ascii="Verdana" w:hAnsi="Verdana"/>
          <w:b/>
          <w:caps/>
          <w:spacing w:val="-4"/>
          <w:sz w:val="20"/>
        </w:rPr>
      </w:pPr>
      <w:r w:rsidRPr="005A17C2">
        <w:rPr>
          <w:rFonts w:ascii="Verdana" w:hAnsi="Verdana"/>
          <w:b/>
          <w:caps/>
          <w:spacing w:val="-4"/>
          <w:sz w:val="20"/>
        </w:rPr>
        <w:t xml:space="preserve">Respecto de </w:t>
      </w:r>
      <w:r w:rsidR="00531606" w:rsidRPr="005A17C2">
        <w:rPr>
          <w:rFonts w:ascii="Verdana" w:hAnsi="Verdana"/>
          <w:b/>
          <w:caps/>
          <w:spacing w:val="-4"/>
          <w:sz w:val="20"/>
        </w:rPr>
        <w:t>MÉXICO</w:t>
      </w:r>
    </w:p>
    <w:p w14:paraId="28085C38" w14:textId="77777777" w:rsidR="008C001C" w:rsidRPr="005A17C2" w:rsidRDefault="008C001C" w:rsidP="00BB145E">
      <w:pPr>
        <w:jc w:val="center"/>
        <w:rPr>
          <w:rFonts w:ascii="Verdana" w:hAnsi="Verdana"/>
          <w:b/>
          <w:caps/>
          <w:spacing w:val="-4"/>
          <w:sz w:val="20"/>
        </w:rPr>
      </w:pPr>
    </w:p>
    <w:p w14:paraId="63C6888A" w14:textId="77777777" w:rsidR="008C001C" w:rsidRPr="005A17C2" w:rsidRDefault="008C001C" w:rsidP="00BB145E">
      <w:pPr>
        <w:jc w:val="center"/>
        <w:rPr>
          <w:rFonts w:ascii="Verdana" w:hAnsi="Verdana"/>
          <w:b/>
          <w:caps/>
          <w:spacing w:val="-4"/>
          <w:sz w:val="20"/>
        </w:rPr>
      </w:pPr>
      <w:r w:rsidRPr="005A17C2">
        <w:rPr>
          <w:rFonts w:ascii="Verdana" w:hAnsi="Verdana"/>
          <w:b/>
          <w:caps/>
          <w:spacing w:val="-4"/>
          <w:sz w:val="20"/>
        </w:rPr>
        <w:t xml:space="preserve">cASO </w:t>
      </w:r>
      <w:r w:rsidR="00A44F21" w:rsidRPr="005A17C2">
        <w:rPr>
          <w:rFonts w:ascii="Verdana" w:hAnsi="Verdana"/>
          <w:b/>
          <w:caps/>
          <w:spacing w:val="-4"/>
          <w:sz w:val="20"/>
        </w:rPr>
        <w:t>Fernández Ortega y otros</w:t>
      </w:r>
    </w:p>
    <w:p w14:paraId="5270F8D0" w14:textId="77777777" w:rsidR="008C001C" w:rsidRPr="005A17C2" w:rsidRDefault="008C001C" w:rsidP="00BB145E">
      <w:pPr>
        <w:spacing w:line="220" w:lineRule="atLeast"/>
        <w:jc w:val="center"/>
        <w:rPr>
          <w:rFonts w:ascii="Verdana" w:hAnsi="Verdana"/>
          <w:b/>
          <w:caps/>
          <w:spacing w:val="-4"/>
          <w:sz w:val="20"/>
        </w:rPr>
      </w:pPr>
    </w:p>
    <w:p w14:paraId="530625DE" w14:textId="77777777" w:rsidR="006E70CB" w:rsidRPr="005A17C2" w:rsidRDefault="008C001C" w:rsidP="00BB145E">
      <w:pPr>
        <w:spacing w:line="220" w:lineRule="atLeast"/>
        <w:rPr>
          <w:rFonts w:ascii="Verdana" w:hAnsi="Verdana"/>
          <w:b/>
          <w:caps/>
          <w:spacing w:val="-4"/>
          <w:sz w:val="20"/>
        </w:rPr>
      </w:pPr>
      <w:r w:rsidRPr="005A17C2">
        <w:rPr>
          <w:rFonts w:ascii="Verdana" w:hAnsi="Verdana"/>
          <w:b/>
          <w:caps/>
          <w:spacing w:val="-4"/>
          <w:sz w:val="20"/>
        </w:rPr>
        <w:t>VISTO:</w:t>
      </w:r>
    </w:p>
    <w:p w14:paraId="2DE79B7A" w14:textId="77777777" w:rsidR="008C001C" w:rsidRPr="005A17C2" w:rsidRDefault="008C001C" w:rsidP="00BB145E">
      <w:pPr>
        <w:spacing w:line="220" w:lineRule="atLeast"/>
        <w:jc w:val="both"/>
        <w:rPr>
          <w:rFonts w:ascii="Verdana" w:hAnsi="Verdana"/>
          <w:spacing w:val="-4"/>
          <w:sz w:val="20"/>
          <w:szCs w:val="20"/>
        </w:rPr>
      </w:pPr>
    </w:p>
    <w:p w14:paraId="29446B64" w14:textId="13C183BE" w:rsidR="003F0975" w:rsidRPr="005A17C2" w:rsidRDefault="003F0975" w:rsidP="00BB145E">
      <w:pPr>
        <w:pStyle w:val="ColorfulList-Accent11"/>
        <w:numPr>
          <w:ilvl w:val="0"/>
          <w:numId w:val="1"/>
        </w:numPr>
        <w:contextualSpacing w:val="0"/>
        <w:jc w:val="both"/>
        <w:rPr>
          <w:rFonts w:ascii="Verdana" w:hAnsi="Verdana"/>
          <w:spacing w:val="-4"/>
          <w:sz w:val="20"/>
        </w:rPr>
      </w:pPr>
      <w:r w:rsidRPr="005A17C2">
        <w:rPr>
          <w:rFonts w:ascii="Verdana" w:hAnsi="Verdana"/>
          <w:spacing w:val="-4"/>
          <w:sz w:val="20"/>
        </w:rPr>
        <w:t>La</w:t>
      </w:r>
      <w:r w:rsidR="00066584" w:rsidRPr="005A17C2">
        <w:rPr>
          <w:rFonts w:ascii="Verdana" w:hAnsi="Verdana"/>
          <w:spacing w:val="-4"/>
          <w:sz w:val="20"/>
        </w:rPr>
        <w:t>s Resoluciones</w:t>
      </w:r>
      <w:r w:rsidRPr="005A17C2">
        <w:rPr>
          <w:rFonts w:ascii="Verdana" w:hAnsi="Verdana"/>
          <w:spacing w:val="-4"/>
          <w:sz w:val="20"/>
        </w:rPr>
        <w:t xml:space="preserve"> de la Corte</w:t>
      </w:r>
      <w:r w:rsidR="00B24065" w:rsidRPr="005A17C2">
        <w:rPr>
          <w:rFonts w:ascii="Verdana" w:hAnsi="Verdana"/>
          <w:spacing w:val="-4"/>
          <w:sz w:val="20"/>
        </w:rPr>
        <w:t xml:space="preserve"> Interamericana de Derechos Humanos (en adelante “la Corte Interamericana”, “la Corte” o “el Tribunal”)</w:t>
      </w:r>
      <w:r w:rsidRPr="005A17C2">
        <w:rPr>
          <w:rFonts w:ascii="Verdana" w:hAnsi="Verdana"/>
          <w:spacing w:val="-4"/>
          <w:sz w:val="20"/>
        </w:rPr>
        <w:t xml:space="preserve"> </w:t>
      </w:r>
      <w:r w:rsidR="00493E46" w:rsidRPr="005A17C2">
        <w:rPr>
          <w:rFonts w:ascii="Verdana" w:hAnsi="Verdana"/>
          <w:spacing w:val="-4"/>
          <w:sz w:val="20"/>
        </w:rPr>
        <w:t>y su Presidencia de 9 y</w:t>
      </w:r>
      <w:r w:rsidRPr="005A17C2">
        <w:rPr>
          <w:rFonts w:ascii="Verdana" w:hAnsi="Verdana"/>
          <w:spacing w:val="-4"/>
          <w:sz w:val="20"/>
        </w:rPr>
        <w:t xml:space="preserve"> </w:t>
      </w:r>
      <w:r w:rsidR="006346DC" w:rsidRPr="005A17C2">
        <w:rPr>
          <w:rFonts w:ascii="Verdana" w:hAnsi="Verdana"/>
          <w:spacing w:val="-4"/>
          <w:sz w:val="20"/>
        </w:rPr>
        <w:t>30</w:t>
      </w:r>
      <w:r w:rsidR="00FF1815" w:rsidRPr="005A17C2">
        <w:rPr>
          <w:rFonts w:ascii="Verdana" w:hAnsi="Verdana"/>
          <w:spacing w:val="-4"/>
          <w:sz w:val="20"/>
        </w:rPr>
        <w:t xml:space="preserve"> de abril y 23 de diciembre de 2009</w:t>
      </w:r>
      <w:r w:rsidR="00C379D7">
        <w:rPr>
          <w:rFonts w:ascii="Verdana" w:hAnsi="Verdana"/>
          <w:spacing w:val="-4"/>
          <w:sz w:val="20"/>
        </w:rPr>
        <w:t>,</w:t>
      </w:r>
      <w:r w:rsidR="00AF63C9" w:rsidRPr="005A17C2">
        <w:rPr>
          <w:rFonts w:ascii="Verdana" w:hAnsi="Verdana"/>
          <w:spacing w:val="-4"/>
          <w:sz w:val="20"/>
        </w:rPr>
        <w:t xml:space="preserve"> </w:t>
      </w:r>
      <w:r w:rsidR="0084630C" w:rsidRPr="005A17C2">
        <w:rPr>
          <w:rFonts w:ascii="Verdana" w:hAnsi="Verdana"/>
          <w:spacing w:val="-4"/>
          <w:sz w:val="20"/>
        </w:rPr>
        <w:t xml:space="preserve">de </w:t>
      </w:r>
      <w:r w:rsidR="00FF1815" w:rsidRPr="005A17C2">
        <w:rPr>
          <w:rFonts w:ascii="Verdana" w:hAnsi="Verdana"/>
          <w:spacing w:val="-4"/>
          <w:sz w:val="20"/>
        </w:rPr>
        <w:t xml:space="preserve">23 de noviembre de 2010, </w:t>
      </w:r>
      <w:r w:rsidR="00AF4F3D" w:rsidRPr="005A17C2">
        <w:rPr>
          <w:rFonts w:ascii="Verdana" w:hAnsi="Verdana"/>
          <w:spacing w:val="-4"/>
          <w:sz w:val="20"/>
        </w:rPr>
        <w:t>y</w:t>
      </w:r>
      <w:r w:rsidR="006346DC" w:rsidRPr="005A17C2">
        <w:rPr>
          <w:rFonts w:ascii="Verdana" w:hAnsi="Verdana"/>
          <w:spacing w:val="-4"/>
          <w:sz w:val="20"/>
        </w:rPr>
        <w:t xml:space="preserve"> </w:t>
      </w:r>
      <w:r w:rsidR="0084630C" w:rsidRPr="005A17C2">
        <w:rPr>
          <w:rFonts w:ascii="Verdana" w:hAnsi="Verdana"/>
          <w:spacing w:val="-4"/>
          <w:sz w:val="20"/>
        </w:rPr>
        <w:t xml:space="preserve">de </w:t>
      </w:r>
      <w:r w:rsidR="00493E46" w:rsidRPr="005A17C2">
        <w:rPr>
          <w:rFonts w:ascii="Verdana" w:hAnsi="Verdana"/>
          <w:spacing w:val="-4"/>
          <w:sz w:val="20"/>
        </w:rPr>
        <w:t>20 de febrero de 2012.</w:t>
      </w:r>
      <w:r w:rsidR="00AF4F3D" w:rsidRPr="005A17C2">
        <w:rPr>
          <w:rFonts w:ascii="Verdana" w:hAnsi="Verdana"/>
          <w:spacing w:val="-4"/>
          <w:sz w:val="20"/>
        </w:rPr>
        <w:t xml:space="preserve"> </w:t>
      </w:r>
      <w:r w:rsidR="00533476" w:rsidRPr="005A17C2">
        <w:rPr>
          <w:rFonts w:ascii="Verdana" w:hAnsi="Verdana"/>
          <w:spacing w:val="-4"/>
          <w:sz w:val="20"/>
        </w:rPr>
        <w:t xml:space="preserve">En </w:t>
      </w:r>
      <w:r w:rsidR="002E0C77" w:rsidRPr="005A17C2">
        <w:rPr>
          <w:rFonts w:ascii="Verdana" w:hAnsi="Verdana"/>
          <w:spacing w:val="-4"/>
          <w:sz w:val="20"/>
        </w:rPr>
        <w:t xml:space="preserve">esta </w:t>
      </w:r>
      <w:r w:rsidR="00533476" w:rsidRPr="005A17C2">
        <w:rPr>
          <w:rFonts w:ascii="Verdana" w:hAnsi="Verdana"/>
          <w:spacing w:val="-4"/>
          <w:sz w:val="20"/>
        </w:rPr>
        <w:t>última</w:t>
      </w:r>
      <w:r w:rsidR="00493E46" w:rsidRPr="005A17C2">
        <w:rPr>
          <w:rFonts w:ascii="Verdana" w:hAnsi="Verdana"/>
          <w:spacing w:val="-4"/>
          <w:sz w:val="20"/>
        </w:rPr>
        <w:t>,</w:t>
      </w:r>
      <w:r w:rsidR="00533476" w:rsidRPr="005A17C2">
        <w:rPr>
          <w:rFonts w:ascii="Verdana" w:hAnsi="Verdana"/>
          <w:spacing w:val="-4"/>
          <w:sz w:val="20"/>
        </w:rPr>
        <w:t xml:space="preserve"> </w:t>
      </w:r>
      <w:r w:rsidR="002E0C77" w:rsidRPr="005A17C2">
        <w:rPr>
          <w:rFonts w:ascii="Verdana" w:hAnsi="Verdana"/>
          <w:spacing w:val="-4"/>
          <w:sz w:val="20"/>
        </w:rPr>
        <w:t>la Corte</w:t>
      </w:r>
      <w:r w:rsidR="00533476" w:rsidRPr="005A17C2">
        <w:rPr>
          <w:rFonts w:ascii="Verdana" w:hAnsi="Verdana"/>
          <w:spacing w:val="-4"/>
          <w:sz w:val="20"/>
        </w:rPr>
        <w:t xml:space="preserve"> resolvió, </w:t>
      </w:r>
      <w:r w:rsidR="00533476" w:rsidRPr="005A17C2">
        <w:rPr>
          <w:rFonts w:ascii="Verdana" w:hAnsi="Verdana"/>
          <w:i/>
          <w:spacing w:val="-4"/>
          <w:sz w:val="20"/>
        </w:rPr>
        <w:t xml:space="preserve">inter </w:t>
      </w:r>
      <w:proofErr w:type="spellStart"/>
      <w:r w:rsidR="00533476" w:rsidRPr="005A17C2">
        <w:rPr>
          <w:rFonts w:ascii="Verdana" w:hAnsi="Verdana"/>
          <w:i/>
          <w:spacing w:val="-4"/>
          <w:sz w:val="20"/>
        </w:rPr>
        <w:t>alia</w:t>
      </w:r>
      <w:proofErr w:type="spellEnd"/>
      <w:r w:rsidR="00533476" w:rsidRPr="005A17C2">
        <w:rPr>
          <w:rFonts w:ascii="Verdana" w:hAnsi="Verdana"/>
          <w:spacing w:val="-4"/>
          <w:sz w:val="20"/>
        </w:rPr>
        <w:t>:</w:t>
      </w:r>
    </w:p>
    <w:p w14:paraId="4FC259CA" w14:textId="77777777" w:rsidR="006346DC" w:rsidRPr="005A17C2" w:rsidRDefault="006346DC" w:rsidP="00BB145E">
      <w:pPr>
        <w:pStyle w:val="Default"/>
        <w:ind w:right="428"/>
        <w:jc w:val="both"/>
        <w:rPr>
          <w:spacing w:val="-4"/>
          <w:sz w:val="16"/>
          <w:szCs w:val="16"/>
          <w:lang w:val="es-ES"/>
        </w:rPr>
      </w:pPr>
    </w:p>
    <w:p w14:paraId="6DFB68C1" w14:textId="77777777" w:rsidR="006346DC" w:rsidRPr="005A17C2" w:rsidRDefault="006346DC" w:rsidP="00BB145E">
      <w:pPr>
        <w:pStyle w:val="Default"/>
        <w:ind w:left="540" w:right="428"/>
        <w:jc w:val="both"/>
        <w:rPr>
          <w:spacing w:val="-4"/>
          <w:sz w:val="16"/>
          <w:szCs w:val="16"/>
          <w:lang w:val="es-ES"/>
        </w:rPr>
      </w:pPr>
      <w:r w:rsidRPr="005A17C2">
        <w:rPr>
          <w:spacing w:val="-4"/>
          <w:sz w:val="16"/>
          <w:szCs w:val="16"/>
          <w:lang w:val="es-ES"/>
        </w:rPr>
        <w:t xml:space="preserve">2. Reiterar al Estado que continúe adoptando de forma inmediata las medidas complementarias que sean necesarias para proteger la vida e integridad personal de: a) </w:t>
      </w:r>
      <w:proofErr w:type="spellStart"/>
      <w:r w:rsidRPr="005A17C2">
        <w:rPr>
          <w:spacing w:val="-4"/>
          <w:sz w:val="16"/>
          <w:szCs w:val="16"/>
          <w:lang w:val="es-ES"/>
        </w:rPr>
        <w:t>Obtilia</w:t>
      </w:r>
      <w:proofErr w:type="spellEnd"/>
      <w:r w:rsidRPr="005A17C2">
        <w:rPr>
          <w:spacing w:val="-4"/>
          <w:sz w:val="16"/>
          <w:szCs w:val="16"/>
          <w:lang w:val="es-ES"/>
        </w:rPr>
        <w:t xml:space="preserve"> Eugenio Manuel y determinados familiares; b) Inés Fernández Ortega y determinados familiares; c) 41 integrantes de la Organización del Pueblo Indígena </w:t>
      </w:r>
      <w:proofErr w:type="spellStart"/>
      <w:r w:rsidRPr="005A17C2">
        <w:rPr>
          <w:spacing w:val="-4"/>
          <w:sz w:val="16"/>
          <w:szCs w:val="16"/>
          <w:lang w:val="es-ES"/>
        </w:rPr>
        <w:t>Tlapaneco</w:t>
      </w:r>
      <w:proofErr w:type="spellEnd"/>
      <w:r w:rsidRPr="005A17C2">
        <w:rPr>
          <w:spacing w:val="-4"/>
          <w:sz w:val="16"/>
          <w:szCs w:val="16"/>
          <w:lang w:val="es-ES"/>
        </w:rPr>
        <w:t xml:space="preserve"> A.C. y d) 18 miembros del Centro de Derechos Humanos de la Montaña </w:t>
      </w:r>
      <w:r w:rsidR="00493E46" w:rsidRPr="005A17C2">
        <w:rPr>
          <w:spacing w:val="-4"/>
          <w:sz w:val="16"/>
          <w:szCs w:val="16"/>
          <w:lang w:val="es-ES"/>
        </w:rPr>
        <w:t>[…]</w:t>
      </w:r>
      <w:r w:rsidRPr="005A17C2">
        <w:rPr>
          <w:spacing w:val="-4"/>
          <w:sz w:val="16"/>
          <w:szCs w:val="16"/>
          <w:lang w:val="es-ES"/>
        </w:rPr>
        <w:t xml:space="preserve">, tomando en consideración las circunstancias particulares de riesgo. </w:t>
      </w:r>
    </w:p>
    <w:p w14:paraId="60EEB42A" w14:textId="77777777" w:rsidR="006346DC" w:rsidRPr="005A17C2" w:rsidRDefault="006346DC" w:rsidP="00BB145E">
      <w:pPr>
        <w:pStyle w:val="Default"/>
        <w:ind w:left="540" w:right="428"/>
        <w:jc w:val="both"/>
        <w:rPr>
          <w:spacing w:val="-4"/>
          <w:sz w:val="16"/>
          <w:szCs w:val="16"/>
          <w:lang w:val="es-ES"/>
        </w:rPr>
      </w:pPr>
    </w:p>
    <w:p w14:paraId="4082996E" w14:textId="77777777" w:rsidR="006346DC" w:rsidRPr="005A17C2" w:rsidRDefault="006346DC" w:rsidP="00BB145E">
      <w:pPr>
        <w:pStyle w:val="Default"/>
        <w:ind w:left="540" w:right="428"/>
        <w:jc w:val="both"/>
        <w:rPr>
          <w:spacing w:val="-4"/>
          <w:sz w:val="16"/>
          <w:szCs w:val="16"/>
          <w:lang w:val="es-ES"/>
        </w:rPr>
      </w:pPr>
      <w:r w:rsidRPr="005A17C2">
        <w:rPr>
          <w:spacing w:val="-4"/>
          <w:sz w:val="16"/>
          <w:szCs w:val="16"/>
          <w:lang w:val="es-ES"/>
        </w:rPr>
        <w:t xml:space="preserve">3. Reiterar al Estado que realice todas las gestiones pertinentes para que las medidas de protección ordenadas en la presente Resolución se planifiquen e implementen con la participación de los beneficiarios de las mismas o sus representantes, de manera tal que las referidas medidas se brinden de forma diligente y efectiva y que, en general, les mantenga informados sobre el avance de su ejecución. </w:t>
      </w:r>
    </w:p>
    <w:p w14:paraId="6C711BEE" w14:textId="77777777" w:rsidR="006346DC" w:rsidRPr="005A17C2" w:rsidRDefault="006346DC" w:rsidP="00BB145E">
      <w:pPr>
        <w:pStyle w:val="ColorfulList-Accent11"/>
        <w:ind w:left="0"/>
        <w:contextualSpacing w:val="0"/>
        <w:jc w:val="both"/>
        <w:rPr>
          <w:rFonts w:ascii="Verdana" w:hAnsi="Verdana"/>
          <w:spacing w:val="-4"/>
          <w:sz w:val="20"/>
          <w:lang w:val="es-ES"/>
        </w:rPr>
      </w:pPr>
    </w:p>
    <w:p w14:paraId="4A4971DF" w14:textId="34D129E4" w:rsidR="00DF154A" w:rsidRPr="005A17C2" w:rsidRDefault="00BD2F33" w:rsidP="00BB145E">
      <w:pPr>
        <w:numPr>
          <w:ilvl w:val="0"/>
          <w:numId w:val="1"/>
        </w:numPr>
        <w:jc w:val="both"/>
        <w:rPr>
          <w:rFonts w:ascii="Verdana" w:hAnsi="Verdana"/>
          <w:spacing w:val="-4"/>
          <w:sz w:val="20"/>
          <w:szCs w:val="20"/>
          <w:lang w:val="es-ES"/>
        </w:rPr>
      </w:pPr>
      <w:r w:rsidRPr="005A17C2">
        <w:rPr>
          <w:rFonts w:ascii="Verdana" w:hAnsi="Verdana"/>
          <w:spacing w:val="-4"/>
          <w:sz w:val="20"/>
          <w:szCs w:val="20"/>
          <w:lang w:val="es-ES"/>
        </w:rPr>
        <w:t xml:space="preserve">Los escritos de </w:t>
      </w:r>
      <w:r w:rsidR="00E2237A" w:rsidRPr="005A17C2">
        <w:rPr>
          <w:rFonts w:ascii="Verdana" w:hAnsi="Verdana"/>
          <w:spacing w:val="-4"/>
          <w:sz w:val="20"/>
          <w:szCs w:val="20"/>
          <w:lang w:val="es-ES"/>
        </w:rPr>
        <w:t>9 de febrero</w:t>
      </w:r>
      <w:r w:rsidRPr="005A17C2">
        <w:rPr>
          <w:rFonts w:ascii="Verdana" w:hAnsi="Verdana"/>
          <w:spacing w:val="-4"/>
          <w:sz w:val="20"/>
          <w:szCs w:val="20"/>
          <w:lang w:val="es-ES"/>
        </w:rPr>
        <w:t xml:space="preserve">, </w:t>
      </w:r>
      <w:r w:rsidR="00E540ED">
        <w:rPr>
          <w:rFonts w:ascii="Verdana" w:hAnsi="Verdana"/>
          <w:spacing w:val="-4"/>
          <w:sz w:val="20"/>
          <w:szCs w:val="20"/>
          <w:lang w:val="es-ES"/>
        </w:rPr>
        <w:t>27</w:t>
      </w:r>
      <w:bookmarkStart w:id="0" w:name="_GoBack"/>
      <w:bookmarkEnd w:id="0"/>
      <w:r w:rsidR="00E2237A" w:rsidRPr="005A17C2">
        <w:rPr>
          <w:rFonts w:ascii="Verdana" w:hAnsi="Verdana"/>
          <w:spacing w:val="-4"/>
          <w:sz w:val="20"/>
          <w:szCs w:val="20"/>
          <w:lang w:val="es-ES"/>
        </w:rPr>
        <w:t xml:space="preserve"> de abril</w:t>
      </w:r>
      <w:r w:rsidRPr="005A17C2">
        <w:rPr>
          <w:rFonts w:ascii="Verdana" w:hAnsi="Verdana"/>
          <w:spacing w:val="-4"/>
          <w:sz w:val="20"/>
          <w:szCs w:val="20"/>
          <w:lang w:val="es-ES"/>
        </w:rPr>
        <w:t xml:space="preserve">, </w:t>
      </w:r>
      <w:r w:rsidR="00722CB2" w:rsidRPr="005A17C2">
        <w:rPr>
          <w:rFonts w:ascii="Verdana" w:hAnsi="Verdana"/>
          <w:spacing w:val="-4"/>
          <w:sz w:val="20"/>
          <w:szCs w:val="20"/>
          <w:lang w:val="es-ES"/>
        </w:rPr>
        <w:t>23 de julio</w:t>
      </w:r>
      <w:r w:rsidRPr="005A17C2">
        <w:rPr>
          <w:rFonts w:ascii="Verdana" w:hAnsi="Verdana"/>
          <w:spacing w:val="-4"/>
          <w:sz w:val="20"/>
          <w:szCs w:val="20"/>
          <w:lang w:val="es-ES"/>
        </w:rPr>
        <w:t xml:space="preserve">, </w:t>
      </w:r>
      <w:r w:rsidR="00722CB2" w:rsidRPr="005A17C2">
        <w:rPr>
          <w:rFonts w:ascii="Verdana" w:hAnsi="Verdana"/>
          <w:spacing w:val="-4"/>
          <w:sz w:val="20"/>
          <w:szCs w:val="20"/>
          <w:lang w:val="es-ES"/>
        </w:rPr>
        <w:t>14 de agosto</w:t>
      </w:r>
      <w:r w:rsidRPr="005A17C2">
        <w:rPr>
          <w:rFonts w:ascii="Verdana" w:hAnsi="Verdana"/>
          <w:spacing w:val="-4"/>
          <w:sz w:val="20"/>
          <w:szCs w:val="20"/>
          <w:lang w:val="es-ES"/>
        </w:rPr>
        <w:t xml:space="preserve"> </w:t>
      </w:r>
      <w:r w:rsidR="00722CB2" w:rsidRPr="005A17C2">
        <w:rPr>
          <w:rFonts w:ascii="Verdana" w:hAnsi="Verdana"/>
          <w:spacing w:val="-4"/>
          <w:sz w:val="20"/>
          <w:szCs w:val="20"/>
          <w:lang w:val="es-ES"/>
        </w:rPr>
        <w:t xml:space="preserve">y </w:t>
      </w:r>
      <w:r w:rsidRPr="005A17C2">
        <w:rPr>
          <w:rFonts w:ascii="Verdana" w:hAnsi="Verdana"/>
          <w:spacing w:val="-4"/>
          <w:sz w:val="20"/>
          <w:szCs w:val="20"/>
          <w:lang w:val="es-ES"/>
        </w:rPr>
        <w:t>2</w:t>
      </w:r>
      <w:r w:rsidR="00722CB2" w:rsidRPr="005A17C2">
        <w:rPr>
          <w:rFonts w:ascii="Verdana" w:hAnsi="Verdana"/>
          <w:spacing w:val="-4"/>
          <w:sz w:val="20"/>
          <w:szCs w:val="20"/>
          <w:lang w:val="es-ES"/>
        </w:rPr>
        <w:t>3 de octubre de 2012</w:t>
      </w:r>
      <w:r w:rsidR="007463AE">
        <w:rPr>
          <w:rFonts w:ascii="Verdana" w:hAnsi="Verdana"/>
          <w:spacing w:val="-4"/>
          <w:sz w:val="20"/>
          <w:szCs w:val="20"/>
          <w:lang w:val="es-ES"/>
        </w:rPr>
        <w:t>,</w:t>
      </w:r>
      <w:r w:rsidRPr="005A17C2">
        <w:rPr>
          <w:rFonts w:ascii="Verdana" w:hAnsi="Verdana"/>
          <w:spacing w:val="-4"/>
          <w:sz w:val="20"/>
          <w:szCs w:val="20"/>
          <w:lang w:val="es-ES"/>
        </w:rPr>
        <w:t xml:space="preserve"> </w:t>
      </w:r>
      <w:r w:rsidR="007463AE">
        <w:rPr>
          <w:rFonts w:ascii="Verdana" w:hAnsi="Verdana"/>
          <w:spacing w:val="-4"/>
          <w:sz w:val="20"/>
          <w:szCs w:val="20"/>
          <w:lang w:val="es-ES"/>
        </w:rPr>
        <w:t xml:space="preserve">de </w:t>
      </w:r>
      <w:r w:rsidR="00722CB2" w:rsidRPr="005A17C2">
        <w:rPr>
          <w:rFonts w:ascii="Verdana" w:hAnsi="Verdana"/>
          <w:spacing w:val="-4"/>
          <w:sz w:val="20"/>
          <w:szCs w:val="20"/>
          <w:lang w:val="es-ES"/>
        </w:rPr>
        <w:t>21 de enero</w:t>
      </w:r>
      <w:r w:rsidRPr="005A17C2">
        <w:rPr>
          <w:rFonts w:ascii="Verdana" w:hAnsi="Verdana"/>
          <w:spacing w:val="-4"/>
          <w:sz w:val="20"/>
          <w:szCs w:val="20"/>
          <w:lang w:val="es-ES"/>
        </w:rPr>
        <w:t xml:space="preserve">, </w:t>
      </w:r>
      <w:r w:rsidR="00C75B2D" w:rsidRPr="005A17C2">
        <w:rPr>
          <w:rFonts w:ascii="Verdana" w:hAnsi="Verdana"/>
          <w:spacing w:val="-4"/>
          <w:sz w:val="20"/>
          <w:szCs w:val="20"/>
          <w:lang w:val="es-ES"/>
        </w:rPr>
        <w:t>20 de junio</w:t>
      </w:r>
      <w:r w:rsidRPr="005A17C2">
        <w:rPr>
          <w:rFonts w:ascii="Verdana" w:hAnsi="Verdana"/>
          <w:spacing w:val="-4"/>
          <w:sz w:val="20"/>
          <w:szCs w:val="20"/>
          <w:lang w:val="es-ES"/>
        </w:rPr>
        <w:t xml:space="preserve">, </w:t>
      </w:r>
      <w:r w:rsidR="00C75B2D" w:rsidRPr="005A17C2">
        <w:rPr>
          <w:rFonts w:ascii="Verdana" w:hAnsi="Verdana"/>
          <w:spacing w:val="-4"/>
          <w:sz w:val="20"/>
          <w:szCs w:val="20"/>
          <w:lang w:val="es-ES"/>
        </w:rPr>
        <w:t>16 de agosto</w:t>
      </w:r>
      <w:r w:rsidRPr="005A17C2">
        <w:rPr>
          <w:rFonts w:ascii="Verdana" w:hAnsi="Verdana"/>
          <w:spacing w:val="-4"/>
          <w:sz w:val="20"/>
          <w:szCs w:val="20"/>
          <w:lang w:val="es-ES"/>
        </w:rPr>
        <w:t xml:space="preserve"> </w:t>
      </w:r>
      <w:r w:rsidR="00C75B2D" w:rsidRPr="005A17C2">
        <w:rPr>
          <w:rFonts w:ascii="Verdana" w:hAnsi="Verdana"/>
          <w:spacing w:val="-4"/>
          <w:sz w:val="20"/>
          <w:szCs w:val="20"/>
          <w:lang w:val="es-ES"/>
        </w:rPr>
        <w:t xml:space="preserve">y </w:t>
      </w:r>
      <w:r w:rsidR="00C6605C">
        <w:rPr>
          <w:rFonts w:ascii="Verdana" w:hAnsi="Verdana"/>
          <w:spacing w:val="-4"/>
          <w:sz w:val="20"/>
          <w:szCs w:val="20"/>
          <w:lang w:val="es-ES"/>
        </w:rPr>
        <w:t>5</w:t>
      </w:r>
      <w:r w:rsidR="00C6605C" w:rsidRPr="005A17C2">
        <w:rPr>
          <w:rFonts w:ascii="Verdana" w:hAnsi="Verdana"/>
          <w:spacing w:val="-4"/>
          <w:sz w:val="20"/>
          <w:szCs w:val="20"/>
          <w:lang w:val="es-ES"/>
        </w:rPr>
        <w:t xml:space="preserve"> </w:t>
      </w:r>
      <w:r w:rsidR="00C75B2D" w:rsidRPr="005A17C2">
        <w:rPr>
          <w:rFonts w:ascii="Verdana" w:hAnsi="Verdana"/>
          <w:spacing w:val="-4"/>
          <w:sz w:val="20"/>
          <w:szCs w:val="20"/>
          <w:lang w:val="es-ES"/>
        </w:rPr>
        <w:t>de noviembre de 2013</w:t>
      </w:r>
      <w:r w:rsidR="007463AE">
        <w:rPr>
          <w:rFonts w:ascii="Verdana" w:hAnsi="Verdana"/>
          <w:spacing w:val="-4"/>
          <w:sz w:val="20"/>
          <w:szCs w:val="20"/>
          <w:lang w:val="es-ES"/>
        </w:rPr>
        <w:t>,</w:t>
      </w:r>
      <w:r w:rsidRPr="005A17C2">
        <w:rPr>
          <w:rFonts w:ascii="Verdana" w:hAnsi="Verdana"/>
          <w:spacing w:val="-4"/>
          <w:sz w:val="20"/>
          <w:szCs w:val="20"/>
          <w:lang w:val="es-ES"/>
        </w:rPr>
        <w:t xml:space="preserve"> </w:t>
      </w:r>
      <w:r w:rsidR="007463AE">
        <w:rPr>
          <w:rFonts w:ascii="Verdana" w:hAnsi="Verdana"/>
          <w:spacing w:val="-4"/>
          <w:sz w:val="20"/>
          <w:szCs w:val="20"/>
          <w:lang w:val="es-ES"/>
        </w:rPr>
        <w:t xml:space="preserve">de </w:t>
      </w:r>
      <w:r w:rsidR="00C75B2D" w:rsidRPr="005A17C2">
        <w:rPr>
          <w:rFonts w:ascii="Verdana" w:hAnsi="Verdana"/>
          <w:spacing w:val="-4"/>
          <w:sz w:val="20"/>
          <w:szCs w:val="20"/>
          <w:lang w:val="es-ES"/>
        </w:rPr>
        <w:t>21 de enero</w:t>
      </w:r>
      <w:r w:rsidRPr="005A17C2">
        <w:rPr>
          <w:rFonts w:ascii="Verdana" w:hAnsi="Verdana"/>
          <w:spacing w:val="-4"/>
          <w:sz w:val="20"/>
          <w:szCs w:val="20"/>
          <w:lang w:val="es-ES"/>
        </w:rPr>
        <w:t xml:space="preserve">, </w:t>
      </w:r>
      <w:r w:rsidR="001A7F7B" w:rsidRPr="005A17C2">
        <w:rPr>
          <w:rFonts w:ascii="Verdana" w:hAnsi="Verdana"/>
          <w:spacing w:val="-4"/>
          <w:sz w:val="20"/>
          <w:szCs w:val="20"/>
          <w:lang w:val="es-ES"/>
        </w:rPr>
        <w:t>2 de mayo</w:t>
      </w:r>
      <w:r w:rsidRPr="005A17C2">
        <w:rPr>
          <w:rFonts w:ascii="Verdana" w:hAnsi="Verdana"/>
          <w:spacing w:val="-4"/>
          <w:sz w:val="20"/>
          <w:szCs w:val="20"/>
          <w:lang w:val="es-ES"/>
        </w:rPr>
        <w:t xml:space="preserve">, </w:t>
      </w:r>
      <w:r w:rsidR="001A7F7B" w:rsidRPr="005A17C2">
        <w:rPr>
          <w:rFonts w:ascii="Verdana" w:hAnsi="Verdana"/>
          <w:spacing w:val="-4"/>
          <w:sz w:val="20"/>
          <w:szCs w:val="20"/>
          <w:lang w:val="es-ES"/>
        </w:rPr>
        <w:t>21 de mayo</w:t>
      </w:r>
      <w:r w:rsidRPr="005A17C2">
        <w:rPr>
          <w:rFonts w:ascii="Verdana" w:hAnsi="Verdana"/>
          <w:spacing w:val="-4"/>
          <w:sz w:val="20"/>
          <w:szCs w:val="20"/>
          <w:lang w:val="es-ES"/>
        </w:rPr>
        <w:t xml:space="preserve">, </w:t>
      </w:r>
      <w:r w:rsidR="001A7F7B" w:rsidRPr="005A17C2">
        <w:rPr>
          <w:rFonts w:ascii="Verdana" w:hAnsi="Verdana"/>
          <w:spacing w:val="-4"/>
          <w:sz w:val="20"/>
          <w:szCs w:val="20"/>
          <w:lang w:val="es-ES"/>
        </w:rPr>
        <w:t>2</w:t>
      </w:r>
      <w:r w:rsidR="00C6605C">
        <w:rPr>
          <w:rFonts w:ascii="Verdana" w:hAnsi="Verdana"/>
          <w:spacing w:val="-4"/>
          <w:sz w:val="20"/>
          <w:szCs w:val="20"/>
          <w:lang w:val="es-ES"/>
        </w:rPr>
        <w:t>4</w:t>
      </w:r>
      <w:r w:rsidRPr="005A17C2">
        <w:rPr>
          <w:rFonts w:ascii="Verdana" w:hAnsi="Verdana"/>
          <w:spacing w:val="-4"/>
          <w:sz w:val="20"/>
          <w:szCs w:val="20"/>
          <w:lang w:val="es-ES"/>
        </w:rPr>
        <w:t xml:space="preserve"> de </w:t>
      </w:r>
      <w:r w:rsidR="001A7F7B" w:rsidRPr="005A17C2">
        <w:rPr>
          <w:rFonts w:ascii="Verdana" w:hAnsi="Verdana"/>
          <w:spacing w:val="-4"/>
          <w:sz w:val="20"/>
          <w:szCs w:val="20"/>
          <w:lang w:val="es-ES"/>
        </w:rPr>
        <w:t>julio</w:t>
      </w:r>
      <w:r w:rsidRPr="005A17C2">
        <w:rPr>
          <w:rFonts w:ascii="Verdana" w:hAnsi="Verdana"/>
          <w:spacing w:val="-4"/>
          <w:sz w:val="20"/>
          <w:szCs w:val="20"/>
          <w:lang w:val="es-ES"/>
        </w:rPr>
        <w:t xml:space="preserve"> </w:t>
      </w:r>
      <w:r w:rsidR="001A7F7B" w:rsidRPr="005A17C2">
        <w:rPr>
          <w:rFonts w:ascii="Verdana" w:hAnsi="Verdana"/>
          <w:spacing w:val="-4"/>
          <w:sz w:val="20"/>
          <w:szCs w:val="20"/>
          <w:lang w:val="es-ES"/>
        </w:rPr>
        <w:t xml:space="preserve">y </w:t>
      </w:r>
      <w:r w:rsidR="00C6605C" w:rsidRPr="005A17C2">
        <w:rPr>
          <w:rFonts w:ascii="Verdana" w:hAnsi="Verdana"/>
          <w:spacing w:val="-4"/>
          <w:sz w:val="20"/>
          <w:szCs w:val="20"/>
          <w:lang w:val="es-ES"/>
        </w:rPr>
        <w:t>2</w:t>
      </w:r>
      <w:r w:rsidR="00C6605C">
        <w:rPr>
          <w:rFonts w:ascii="Verdana" w:hAnsi="Verdana"/>
          <w:spacing w:val="-4"/>
          <w:sz w:val="20"/>
          <w:szCs w:val="20"/>
          <w:lang w:val="es-ES"/>
        </w:rPr>
        <w:t>8</w:t>
      </w:r>
      <w:r w:rsidR="00C6605C" w:rsidRPr="005A17C2">
        <w:rPr>
          <w:rFonts w:ascii="Verdana" w:hAnsi="Verdana"/>
          <w:spacing w:val="-4"/>
          <w:sz w:val="20"/>
          <w:szCs w:val="20"/>
          <w:lang w:val="es-ES"/>
        </w:rPr>
        <w:t xml:space="preserve"> </w:t>
      </w:r>
      <w:r w:rsidR="001A7F7B" w:rsidRPr="005A17C2">
        <w:rPr>
          <w:rFonts w:ascii="Verdana" w:hAnsi="Verdana"/>
          <w:spacing w:val="-4"/>
          <w:sz w:val="20"/>
          <w:szCs w:val="20"/>
          <w:lang w:val="es-ES"/>
        </w:rPr>
        <w:t>de octubre de 2014</w:t>
      </w:r>
      <w:r w:rsidRPr="005A17C2">
        <w:rPr>
          <w:rFonts w:ascii="Verdana" w:hAnsi="Verdana"/>
          <w:spacing w:val="-4"/>
          <w:sz w:val="20"/>
          <w:szCs w:val="20"/>
          <w:lang w:val="es-ES"/>
        </w:rPr>
        <w:t xml:space="preserve">, </w:t>
      </w:r>
      <w:r w:rsidR="007463AE">
        <w:rPr>
          <w:rFonts w:ascii="Verdana" w:hAnsi="Verdana"/>
          <w:spacing w:val="-4"/>
          <w:sz w:val="20"/>
          <w:szCs w:val="20"/>
          <w:lang w:val="es-ES"/>
        </w:rPr>
        <w:t xml:space="preserve">de </w:t>
      </w:r>
      <w:r w:rsidR="00C6605C" w:rsidRPr="005A17C2">
        <w:rPr>
          <w:rFonts w:ascii="Verdana" w:hAnsi="Verdana"/>
          <w:spacing w:val="-4"/>
          <w:sz w:val="20"/>
          <w:szCs w:val="20"/>
          <w:lang w:val="es-ES"/>
        </w:rPr>
        <w:t>2</w:t>
      </w:r>
      <w:r w:rsidR="00C6605C">
        <w:rPr>
          <w:rFonts w:ascii="Verdana" w:hAnsi="Verdana"/>
          <w:spacing w:val="-4"/>
          <w:sz w:val="20"/>
          <w:szCs w:val="20"/>
          <w:lang w:val="es-ES"/>
        </w:rPr>
        <w:t>8</w:t>
      </w:r>
      <w:r w:rsidR="00C6605C" w:rsidRPr="005A17C2">
        <w:rPr>
          <w:rFonts w:ascii="Verdana" w:hAnsi="Verdana"/>
          <w:spacing w:val="-4"/>
          <w:sz w:val="20"/>
          <w:szCs w:val="20"/>
          <w:lang w:val="es-ES"/>
        </w:rPr>
        <w:t xml:space="preserve"> </w:t>
      </w:r>
      <w:r w:rsidR="001A7F7B" w:rsidRPr="005A17C2">
        <w:rPr>
          <w:rFonts w:ascii="Verdana" w:hAnsi="Verdana"/>
          <w:spacing w:val="-4"/>
          <w:sz w:val="20"/>
          <w:szCs w:val="20"/>
          <w:lang w:val="es-ES"/>
        </w:rPr>
        <w:t>de enero</w:t>
      </w:r>
      <w:r w:rsidR="005833B3" w:rsidRPr="005A17C2">
        <w:rPr>
          <w:rFonts w:ascii="Verdana" w:hAnsi="Verdana"/>
          <w:spacing w:val="-4"/>
          <w:sz w:val="20"/>
          <w:szCs w:val="20"/>
          <w:lang w:val="es-ES"/>
        </w:rPr>
        <w:t>,</w:t>
      </w:r>
      <w:r w:rsidR="001A7F7B" w:rsidRPr="005A17C2">
        <w:rPr>
          <w:rFonts w:ascii="Verdana" w:hAnsi="Verdana"/>
          <w:spacing w:val="-4"/>
          <w:sz w:val="20"/>
          <w:szCs w:val="20"/>
          <w:lang w:val="es-ES"/>
        </w:rPr>
        <w:t xml:space="preserve"> </w:t>
      </w:r>
      <w:r w:rsidR="007463AE">
        <w:rPr>
          <w:rFonts w:ascii="Verdana" w:hAnsi="Verdana"/>
          <w:spacing w:val="-4"/>
          <w:sz w:val="20"/>
          <w:szCs w:val="20"/>
          <w:lang w:val="es-ES"/>
        </w:rPr>
        <w:t>25 de mayo</w:t>
      </w:r>
      <w:r w:rsidR="005833B3" w:rsidRPr="005A17C2">
        <w:rPr>
          <w:rFonts w:ascii="Verdana" w:hAnsi="Verdana"/>
          <w:spacing w:val="-4"/>
          <w:sz w:val="20"/>
          <w:szCs w:val="20"/>
          <w:lang w:val="es-ES"/>
        </w:rPr>
        <w:t xml:space="preserve"> y 24 de agosto de 2015</w:t>
      </w:r>
      <w:r w:rsidR="00373C7C" w:rsidRPr="005A17C2">
        <w:rPr>
          <w:rFonts w:ascii="Verdana" w:hAnsi="Verdana"/>
          <w:spacing w:val="-4"/>
          <w:sz w:val="20"/>
          <w:szCs w:val="20"/>
          <w:lang w:val="es-ES"/>
        </w:rPr>
        <w:t>,</w:t>
      </w:r>
      <w:r w:rsidR="005833B3" w:rsidRPr="005A17C2">
        <w:rPr>
          <w:rFonts w:ascii="Verdana" w:hAnsi="Verdana"/>
          <w:spacing w:val="-4"/>
          <w:sz w:val="20"/>
          <w:szCs w:val="20"/>
          <w:lang w:val="es-ES"/>
        </w:rPr>
        <w:t xml:space="preserve"> </w:t>
      </w:r>
      <w:r w:rsidR="00373C7C" w:rsidRPr="005A17C2">
        <w:rPr>
          <w:rFonts w:ascii="Verdana" w:hAnsi="Verdana"/>
          <w:spacing w:val="-4"/>
          <w:sz w:val="20"/>
          <w:szCs w:val="20"/>
          <w:lang w:val="es-ES"/>
        </w:rPr>
        <w:t>así como de 25 de enero de 2016</w:t>
      </w:r>
      <w:r w:rsidR="00373C7C" w:rsidRPr="005A17C2">
        <w:rPr>
          <w:rFonts w:ascii="Verdana" w:hAnsi="Verdana"/>
          <w:b/>
          <w:spacing w:val="-4"/>
          <w:sz w:val="20"/>
          <w:szCs w:val="20"/>
          <w:lang w:val="es-ES"/>
        </w:rPr>
        <w:t xml:space="preserve"> </w:t>
      </w:r>
      <w:r w:rsidRPr="005A17C2">
        <w:rPr>
          <w:rFonts w:ascii="Verdana" w:hAnsi="Verdana"/>
          <w:spacing w:val="-4"/>
          <w:sz w:val="20"/>
          <w:szCs w:val="20"/>
          <w:lang w:val="es-ES"/>
        </w:rPr>
        <w:t>y sus respectivos anexos</w:t>
      </w:r>
      <w:r w:rsidR="00493E46" w:rsidRPr="005A17C2">
        <w:rPr>
          <w:rFonts w:ascii="Verdana" w:hAnsi="Verdana"/>
          <w:spacing w:val="-4"/>
          <w:sz w:val="20"/>
          <w:szCs w:val="20"/>
          <w:lang w:val="es-ES"/>
        </w:rPr>
        <w:t>,</w:t>
      </w:r>
      <w:r w:rsidRPr="005A17C2">
        <w:rPr>
          <w:rFonts w:ascii="Verdana" w:hAnsi="Verdana"/>
          <w:spacing w:val="-4"/>
          <w:sz w:val="20"/>
          <w:szCs w:val="20"/>
          <w:lang w:val="es-ES"/>
        </w:rPr>
        <w:t xml:space="preserve"> </w:t>
      </w:r>
      <w:r w:rsidR="00DF154A" w:rsidRPr="005A17C2">
        <w:rPr>
          <w:rFonts w:ascii="Verdana" w:hAnsi="Verdana"/>
          <w:spacing w:val="-4"/>
          <w:sz w:val="20"/>
          <w:szCs w:val="20"/>
          <w:lang w:val="es-ES"/>
        </w:rPr>
        <w:t xml:space="preserve">mediante los cuales </w:t>
      </w:r>
      <w:r w:rsidR="00DF154A" w:rsidRPr="005A17C2">
        <w:rPr>
          <w:rFonts w:ascii="Verdana" w:hAnsi="Verdana"/>
          <w:spacing w:val="-4"/>
          <w:sz w:val="20"/>
          <w:szCs w:val="20"/>
        </w:rPr>
        <w:t xml:space="preserve">el Estado </w:t>
      </w:r>
      <w:r w:rsidR="00FA3758" w:rsidRPr="005A17C2">
        <w:rPr>
          <w:rFonts w:ascii="Verdana" w:hAnsi="Verdana"/>
          <w:spacing w:val="-4"/>
          <w:sz w:val="20"/>
          <w:szCs w:val="20"/>
        </w:rPr>
        <w:t xml:space="preserve">de México (en adelante “Estado” o “México”) </w:t>
      </w:r>
      <w:r w:rsidR="00DF154A" w:rsidRPr="005A17C2">
        <w:rPr>
          <w:rFonts w:ascii="Verdana" w:hAnsi="Verdana"/>
          <w:spacing w:val="-4"/>
          <w:sz w:val="20"/>
          <w:szCs w:val="20"/>
        </w:rPr>
        <w:t xml:space="preserve">remitió </w:t>
      </w:r>
      <w:r w:rsidR="007F2F01" w:rsidRPr="005A17C2">
        <w:rPr>
          <w:rFonts w:ascii="Verdana" w:hAnsi="Verdana"/>
          <w:spacing w:val="-4"/>
          <w:sz w:val="20"/>
          <w:szCs w:val="20"/>
        </w:rPr>
        <w:t xml:space="preserve">sus </w:t>
      </w:r>
      <w:r w:rsidR="00DF154A" w:rsidRPr="005A17C2">
        <w:rPr>
          <w:rFonts w:ascii="Verdana" w:hAnsi="Verdana"/>
          <w:spacing w:val="-4"/>
          <w:sz w:val="20"/>
          <w:szCs w:val="20"/>
        </w:rPr>
        <w:t xml:space="preserve">informes respecto de </w:t>
      </w:r>
      <w:r w:rsidR="00C6782C" w:rsidRPr="005A17C2">
        <w:rPr>
          <w:rFonts w:ascii="Verdana" w:hAnsi="Verdana"/>
          <w:spacing w:val="-4"/>
          <w:sz w:val="20"/>
          <w:szCs w:val="20"/>
        </w:rPr>
        <w:t xml:space="preserve">la implementación de </w:t>
      </w:r>
      <w:r w:rsidR="00DF154A" w:rsidRPr="005A17C2">
        <w:rPr>
          <w:rFonts w:ascii="Verdana" w:hAnsi="Verdana"/>
          <w:spacing w:val="-4"/>
          <w:sz w:val="20"/>
          <w:szCs w:val="20"/>
        </w:rPr>
        <w:t>las medidas provisionales ordenadas por la Corte en el presente caso.</w:t>
      </w:r>
    </w:p>
    <w:p w14:paraId="7EA2597D" w14:textId="77777777" w:rsidR="00F16FB5" w:rsidRPr="005A17C2" w:rsidRDefault="00F16FB5" w:rsidP="00BB145E">
      <w:pPr>
        <w:jc w:val="both"/>
        <w:rPr>
          <w:rFonts w:ascii="Verdana" w:hAnsi="Verdana"/>
          <w:spacing w:val="-4"/>
          <w:sz w:val="20"/>
          <w:szCs w:val="20"/>
          <w:lang w:val="es-ES"/>
        </w:rPr>
      </w:pPr>
    </w:p>
    <w:p w14:paraId="35501CAD" w14:textId="3137EF99" w:rsidR="001C2262" w:rsidRPr="005A17C2" w:rsidRDefault="00BD2F33" w:rsidP="00BB145E">
      <w:pPr>
        <w:numPr>
          <w:ilvl w:val="0"/>
          <w:numId w:val="1"/>
        </w:numPr>
        <w:jc w:val="both"/>
        <w:rPr>
          <w:rFonts w:ascii="Verdana" w:hAnsi="Verdana"/>
          <w:spacing w:val="-4"/>
          <w:sz w:val="20"/>
          <w:szCs w:val="20"/>
          <w:lang w:val="es-ES"/>
        </w:rPr>
      </w:pPr>
      <w:r w:rsidRPr="005A17C2">
        <w:rPr>
          <w:rFonts w:ascii="Verdana" w:hAnsi="Verdana"/>
          <w:spacing w:val="-4"/>
          <w:sz w:val="20"/>
          <w:szCs w:val="20"/>
          <w:lang w:val="es-ES"/>
        </w:rPr>
        <w:t xml:space="preserve">Los escritos de </w:t>
      </w:r>
      <w:r w:rsidR="00E2237A" w:rsidRPr="005A17C2">
        <w:rPr>
          <w:rFonts w:ascii="Verdana" w:hAnsi="Verdana"/>
          <w:spacing w:val="-4"/>
          <w:sz w:val="20"/>
          <w:szCs w:val="20"/>
          <w:lang w:val="es-ES"/>
        </w:rPr>
        <w:t xml:space="preserve">20 de febrero, </w:t>
      </w:r>
      <w:r w:rsidRPr="005A17C2">
        <w:rPr>
          <w:rFonts w:ascii="Verdana" w:hAnsi="Verdana"/>
          <w:spacing w:val="-4"/>
          <w:sz w:val="20"/>
          <w:szCs w:val="20"/>
          <w:lang w:val="es-ES"/>
        </w:rPr>
        <w:t xml:space="preserve">21 de marzo, 25 de mayo, </w:t>
      </w:r>
      <w:r w:rsidR="0084014D">
        <w:rPr>
          <w:rFonts w:ascii="Verdana" w:hAnsi="Verdana"/>
          <w:spacing w:val="-4"/>
          <w:sz w:val="20"/>
          <w:szCs w:val="20"/>
          <w:lang w:val="es-ES"/>
        </w:rPr>
        <w:t>1 de junio de 2012</w:t>
      </w:r>
      <w:r w:rsidR="00103B71">
        <w:rPr>
          <w:rFonts w:ascii="Verdana" w:hAnsi="Verdana"/>
          <w:spacing w:val="-4"/>
          <w:sz w:val="20"/>
          <w:szCs w:val="20"/>
          <w:lang w:val="es-ES"/>
        </w:rPr>
        <w:t>, 19 de septiembre</w:t>
      </w:r>
      <w:r w:rsidRPr="005A17C2">
        <w:rPr>
          <w:rFonts w:ascii="Verdana" w:hAnsi="Verdana"/>
          <w:spacing w:val="-4"/>
          <w:sz w:val="20"/>
          <w:szCs w:val="20"/>
          <w:lang w:val="es-ES"/>
        </w:rPr>
        <w:t xml:space="preserve"> y 21 de noviembre de 2012, </w:t>
      </w:r>
      <w:r w:rsidR="00103B71">
        <w:rPr>
          <w:rFonts w:ascii="Verdana" w:hAnsi="Verdana"/>
          <w:spacing w:val="-4"/>
          <w:sz w:val="20"/>
          <w:szCs w:val="20"/>
          <w:lang w:val="es-ES"/>
        </w:rPr>
        <w:t>de 21 de febrero</w:t>
      </w:r>
      <w:r w:rsidRPr="005A17C2">
        <w:rPr>
          <w:rFonts w:ascii="Verdana" w:hAnsi="Verdana"/>
          <w:spacing w:val="-4"/>
          <w:sz w:val="20"/>
          <w:szCs w:val="20"/>
          <w:lang w:val="es-ES"/>
        </w:rPr>
        <w:t xml:space="preserve"> y 3 de diciembre de 2013, </w:t>
      </w:r>
      <w:r w:rsidR="00103B71">
        <w:rPr>
          <w:rFonts w:ascii="Verdana" w:hAnsi="Verdana"/>
          <w:spacing w:val="-4"/>
          <w:sz w:val="20"/>
          <w:szCs w:val="20"/>
          <w:lang w:val="es-ES"/>
        </w:rPr>
        <w:t xml:space="preserve">de </w:t>
      </w:r>
      <w:r w:rsidRPr="005A17C2">
        <w:rPr>
          <w:rFonts w:ascii="Verdana" w:hAnsi="Verdana"/>
          <w:spacing w:val="-4"/>
          <w:sz w:val="20"/>
          <w:szCs w:val="20"/>
          <w:lang w:val="es-ES"/>
        </w:rPr>
        <w:t xml:space="preserve">27 de febrero, </w:t>
      </w:r>
      <w:r w:rsidR="00FD77EA" w:rsidRPr="005A17C2">
        <w:rPr>
          <w:rFonts w:ascii="Verdana" w:hAnsi="Verdana"/>
          <w:spacing w:val="-4"/>
          <w:sz w:val="20"/>
          <w:szCs w:val="20"/>
          <w:lang w:val="es-ES"/>
        </w:rPr>
        <w:t>24 de</w:t>
      </w:r>
      <w:r w:rsidRPr="005A17C2">
        <w:rPr>
          <w:rFonts w:ascii="Verdana" w:hAnsi="Verdana"/>
          <w:spacing w:val="-4"/>
          <w:sz w:val="20"/>
          <w:szCs w:val="20"/>
          <w:lang w:val="es-ES"/>
        </w:rPr>
        <w:t xml:space="preserve"> marzo, 20 de junio, </w:t>
      </w:r>
      <w:r w:rsidR="00103B71">
        <w:rPr>
          <w:rFonts w:ascii="Verdana" w:hAnsi="Verdana"/>
          <w:spacing w:val="-4"/>
          <w:sz w:val="20"/>
          <w:szCs w:val="20"/>
          <w:lang w:val="es-ES"/>
        </w:rPr>
        <w:t>5 de septiembre, 1 de diciembre</w:t>
      </w:r>
      <w:r w:rsidRPr="005A17C2">
        <w:rPr>
          <w:rFonts w:ascii="Verdana" w:hAnsi="Verdana"/>
          <w:spacing w:val="-4"/>
          <w:sz w:val="20"/>
          <w:szCs w:val="20"/>
          <w:lang w:val="es-ES"/>
        </w:rPr>
        <w:t xml:space="preserve"> y 18 de diciembre de 2014</w:t>
      </w:r>
      <w:r w:rsidR="0084014D">
        <w:rPr>
          <w:rFonts w:ascii="Verdana" w:hAnsi="Verdana"/>
          <w:spacing w:val="-4"/>
          <w:sz w:val="20"/>
          <w:szCs w:val="20"/>
          <w:lang w:val="es-ES"/>
        </w:rPr>
        <w:t>,</w:t>
      </w:r>
      <w:r w:rsidRPr="005A17C2">
        <w:rPr>
          <w:rFonts w:ascii="Verdana" w:hAnsi="Verdana"/>
          <w:spacing w:val="-4"/>
          <w:sz w:val="20"/>
          <w:szCs w:val="20"/>
          <w:lang w:val="es-ES"/>
        </w:rPr>
        <w:t xml:space="preserve"> </w:t>
      </w:r>
      <w:r w:rsidR="006E615A" w:rsidRPr="005A17C2">
        <w:rPr>
          <w:rFonts w:ascii="Verdana" w:hAnsi="Verdana"/>
          <w:spacing w:val="-4"/>
          <w:sz w:val="20"/>
          <w:szCs w:val="20"/>
          <w:lang w:val="es-ES"/>
        </w:rPr>
        <w:t xml:space="preserve">y </w:t>
      </w:r>
      <w:r w:rsidR="00103B71">
        <w:rPr>
          <w:rFonts w:ascii="Verdana" w:hAnsi="Verdana"/>
          <w:spacing w:val="-4"/>
          <w:sz w:val="20"/>
          <w:szCs w:val="20"/>
          <w:lang w:val="es-ES"/>
        </w:rPr>
        <w:t xml:space="preserve">de </w:t>
      </w:r>
      <w:r w:rsidR="006E615A" w:rsidRPr="005A17C2">
        <w:rPr>
          <w:rFonts w:ascii="Verdana" w:hAnsi="Verdana"/>
          <w:spacing w:val="-4"/>
          <w:sz w:val="20"/>
          <w:szCs w:val="20"/>
          <w:lang w:val="es-ES"/>
        </w:rPr>
        <w:t>16 de abril</w:t>
      </w:r>
      <w:r w:rsidRPr="005A17C2">
        <w:rPr>
          <w:rFonts w:ascii="Verdana" w:hAnsi="Verdana"/>
          <w:spacing w:val="-4"/>
          <w:sz w:val="20"/>
          <w:szCs w:val="20"/>
          <w:lang w:val="es-ES"/>
        </w:rPr>
        <w:t xml:space="preserve">, </w:t>
      </w:r>
      <w:r w:rsidR="00C202A2" w:rsidRPr="005A17C2">
        <w:rPr>
          <w:rFonts w:ascii="Verdana" w:hAnsi="Verdana"/>
          <w:spacing w:val="-4"/>
          <w:sz w:val="20"/>
          <w:szCs w:val="20"/>
          <w:lang w:val="es-ES"/>
        </w:rPr>
        <w:t>23 de junio</w:t>
      </w:r>
      <w:r w:rsidR="006E615A" w:rsidRPr="005A17C2">
        <w:rPr>
          <w:rFonts w:ascii="Verdana" w:hAnsi="Verdana"/>
          <w:spacing w:val="-4"/>
          <w:sz w:val="20"/>
          <w:szCs w:val="20"/>
          <w:lang w:val="es-ES"/>
        </w:rPr>
        <w:t xml:space="preserve"> y 3 de octubre de 2015 </w:t>
      </w:r>
      <w:r w:rsidRPr="005A17C2">
        <w:rPr>
          <w:rFonts w:ascii="Verdana" w:hAnsi="Verdana"/>
          <w:spacing w:val="-4"/>
          <w:sz w:val="20"/>
          <w:szCs w:val="20"/>
          <w:lang w:val="es-ES"/>
        </w:rPr>
        <w:t>y sus respectivos anexos</w:t>
      </w:r>
      <w:r w:rsidR="001E58D8" w:rsidRPr="005A17C2">
        <w:rPr>
          <w:rFonts w:ascii="Verdana" w:hAnsi="Verdana"/>
          <w:spacing w:val="-4"/>
          <w:sz w:val="20"/>
          <w:szCs w:val="20"/>
          <w:lang w:val="es-ES"/>
        </w:rPr>
        <w:t>, mediante los cuales los representantes</w:t>
      </w:r>
      <w:r w:rsidRPr="005A17C2">
        <w:rPr>
          <w:rFonts w:ascii="Verdana" w:hAnsi="Verdana"/>
          <w:spacing w:val="-4"/>
          <w:sz w:val="20"/>
          <w:szCs w:val="20"/>
          <w:lang w:val="es-ES"/>
        </w:rPr>
        <w:t xml:space="preserve"> de los beneficiario</w:t>
      </w:r>
      <w:r w:rsidR="00452294" w:rsidRPr="005A17C2">
        <w:rPr>
          <w:rFonts w:ascii="Verdana" w:hAnsi="Verdana"/>
          <w:spacing w:val="-4"/>
          <w:sz w:val="20"/>
          <w:szCs w:val="20"/>
          <w:lang w:val="es-ES"/>
        </w:rPr>
        <w:t>s</w:t>
      </w:r>
      <w:r w:rsidR="001E58D8" w:rsidRPr="005A17C2">
        <w:rPr>
          <w:rFonts w:ascii="Verdana" w:hAnsi="Verdana"/>
          <w:spacing w:val="-4"/>
          <w:sz w:val="20"/>
          <w:szCs w:val="20"/>
          <w:lang w:val="es-ES"/>
        </w:rPr>
        <w:t xml:space="preserve"> </w:t>
      </w:r>
      <w:r w:rsidR="00452294" w:rsidRPr="005A17C2">
        <w:rPr>
          <w:rFonts w:ascii="Verdana" w:hAnsi="Verdana"/>
          <w:spacing w:val="-4"/>
          <w:sz w:val="20"/>
          <w:szCs w:val="20"/>
          <w:lang w:val="es-ES"/>
        </w:rPr>
        <w:t>(en adelante “los representantes”)</w:t>
      </w:r>
      <w:r w:rsidR="00CD00EA" w:rsidRPr="005A17C2">
        <w:rPr>
          <w:rFonts w:ascii="Verdana" w:hAnsi="Verdana"/>
          <w:spacing w:val="-4"/>
          <w:sz w:val="20"/>
          <w:szCs w:val="20"/>
          <w:lang w:val="es-ES"/>
        </w:rPr>
        <w:t xml:space="preserve"> </w:t>
      </w:r>
      <w:r w:rsidR="001E58D8" w:rsidRPr="005A17C2">
        <w:rPr>
          <w:rFonts w:ascii="Verdana" w:hAnsi="Verdana"/>
          <w:spacing w:val="-4"/>
          <w:sz w:val="20"/>
          <w:szCs w:val="20"/>
          <w:lang w:val="es-ES"/>
        </w:rPr>
        <w:t>remitieron sus observaciones a los informes del Estado</w:t>
      </w:r>
      <w:r w:rsidR="00FA3758" w:rsidRPr="005A17C2">
        <w:rPr>
          <w:rFonts w:ascii="Verdana" w:hAnsi="Verdana"/>
          <w:spacing w:val="-4"/>
          <w:sz w:val="20"/>
          <w:szCs w:val="20"/>
          <w:lang w:val="es-ES"/>
        </w:rPr>
        <w:t>,</w:t>
      </w:r>
      <w:r w:rsidR="00697D1A" w:rsidRPr="005A17C2">
        <w:rPr>
          <w:rFonts w:ascii="Verdana" w:hAnsi="Verdana"/>
          <w:spacing w:val="-4"/>
          <w:sz w:val="20"/>
          <w:szCs w:val="20"/>
          <w:lang w:val="es-ES"/>
        </w:rPr>
        <w:t xml:space="preserve"> así como información adicional sobre alegados nuevos hechos</w:t>
      </w:r>
      <w:r w:rsidR="00FA3758" w:rsidRPr="005A17C2">
        <w:rPr>
          <w:rFonts w:ascii="Verdana" w:hAnsi="Verdana"/>
          <w:spacing w:val="-4"/>
          <w:sz w:val="20"/>
          <w:szCs w:val="20"/>
          <w:lang w:val="es-ES"/>
        </w:rPr>
        <w:t xml:space="preserve"> de riesgo en perjuicio de los beneficiarios.</w:t>
      </w:r>
    </w:p>
    <w:p w14:paraId="5D68F3E2" w14:textId="77777777" w:rsidR="001E58D8" w:rsidRPr="005A17C2" w:rsidRDefault="001E58D8" w:rsidP="00BB145E">
      <w:pPr>
        <w:pStyle w:val="ColorfulList-Accent11"/>
        <w:contextualSpacing w:val="0"/>
        <w:jc w:val="both"/>
        <w:rPr>
          <w:rFonts w:ascii="Verdana" w:hAnsi="Verdana"/>
          <w:spacing w:val="-4"/>
          <w:sz w:val="20"/>
          <w:szCs w:val="20"/>
          <w:lang w:val="es-ES"/>
        </w:rPr>
      </w:pPr>
    </w:p>
    <w:p w14:paraId="1E61198B" w14:textId="5248E926" w:rsidR="001E1EFD" w:rsidRPr="005A17C2" w:rsidRDefault="001E58D8" w:rsidP="00BB145E">
      <w:pPr>
        <w:pStyle w:val="ColorfulList-Accent11"/>
        <w:numPr>
          <w:ilvl w:val="0"/>
          <w:numId w:val="1"/>
        </w:numPr>
        <w:contextualSpacing w:val="0"/>
        <w:jc w:val="both"/>
        <w:rPr>
          <w:rFonts w:ascii="Verdana" w:hAnsi="Verdana"/>
          <w:spacing w:val="-4"/>
          <w:sz w:val="20"/>
          <w:szCs w:val="20"/>
          <w:lang w:val="es-ES"/>
        </w:rPr>
      </w:pPr>
      <w:r w:rsidRPr="005A17C2">
        <w:rPr>
          <w:rFonts w:ascii="Verdana" w:hAnsi="Verdana"/>
          <w:spacing w:val="-4"/>
          <w:sz w:val="20"/>
          <w:szCs w:val="20"/>
          <w:lang w:val="es-ES"/>
        </w:rPr>
        <w:t xml:space="preserve">Las comunicaciones de </w:t>
      </w:r>
      <w:r w:rsidR="00AF0647" w:rsidRPr="005A17C2">
        <w:rPr>
          <w:rFonts w:ascii="Verdana" w:hAnsi="Verdana"/>
          <w:spacing w:val="-4"/>
          <w:sz w:val="20"/>
          <w:szCs w:val="20"/>
          <w:lang w:val="es-ES"/>
        </w:rPr>
        <w:t>16 de febrero</w:t>
      </w:r>
      <w:r w:rsidR="00123F4A" w:rsidRPr="005A17C2">
        <w:rPr>
          <w:rFonts w:ascii="Verdana" w:hAnsi="Verdana"/>
          <w:spacing w:val="-4"/>
          <w:sz w:val="20"/>
          <w:szCs w:val="20"/>
          <w:lang w:val="es-ES"/>
        </w:rPr>
        <w:t>,</w:t>
      </w:r>
      <w:r w:rsidR="00EA42E4" w:rsidRPr="005A17C2">
        <w:rPr>
          <w:rFonts w:ascii="Verdana" w:hAnsi="Verdana"/>
          <w:spacing w:val="-4"/>
          <w:sz w:val="20"/>
          <w:szCs w:val="20"/>
          <w:lang w:val="es-ES"/>
        </w:rPr>
        <w:t xml:space="preserve"> </w:t>
      </w:r>
      <w:r w:rsidR="00AD2066" w:rsidRPr="005A17C2">
        <w:rPr>
          <w:rFonts w:ascii="Verdana" w:hAnsi="Verdana"/>
          <w:spacing w:val="-4"/>
          <w:sz w:val="20"/>
          <w:szCs w:val="20"/>
          <w:lang w:val="es-ES"/>
        </w:rPr>
        <w:t>10 de abril</w:t>
      </w:r>
      <w:r w:rsidR="00123F4A" w:rsidRPr="005A17C2">
        <w:rPr>
          <w:rFonts w:ascii="Verdana" w:hAnsi="Verdana"/>
          <w:spacing w:val="-4"/>
          <w:sz w:val="20"/>
          <w:szCs w:val="20"/>
          <w:lang w:val="es-ES"/>
        </w:rPr>
        <w:t>,</w:t>
      </w:r>
      <w:r w:rsidR="00EA42E4" w:rsidRPr="005A17C2">
        <w:rPr>
          <w:rFonts w:ascii="Verdana" w:hAnsi="Verdana"/>
          <w:spacing w:val="-4"/>
          <w:sz w:val="20"/>
          <w:szCs w:val="20"/>
          <w:lang w:val="es-ES"/>
        </w:rPr>
        <w:t xml:space="preserve"> </w:t>
      </w:r>
      <w:r w:rsidR="00AD2066" w:rsidRPr="005A17C2">
        <w:rPr>
          <w:rFonts w:ascii="Verdana" w:hAnsi="Verdana"/>
          <w:spacing w:val="-4"/>
          <w:sz w:val="20"/>
          <w:szCs w:val="20"/>
          <w:lang w:val="es-ES"/>
        </w:rPr>
        <w:t>27 de mayo</w:t>
      </w:r>
      <w:r w:rsidR="00BA2760" w:rsidRPr="005A17C2">
        <w:rPr>
          <w:rFonts w:ascii="Verdana" w:hAnsi="Verdana"/>
          <w:spacing w:val="-4"/>
          <w:sz w:val="20"/>
          <w:szCs w:val="20"/>
          <w:lang w:val="es-ES"/>
        </w:rPr>
        <w:t>,</w:t>
      </w:r>
      <w:r w:rsidR="00EA42E4" w:rsidRPr="005A17C2">
        <w:rPr>
          <w:rFonts w:ascii="Verdana" w:hAnsi="Verdana"/>
          <w:spacing w:val="-4"/>
          <w:sz w:val="20"/>
          <w:szCs w:val="20"/>
          <w:lang w:val="es-ES"/>
        </w:rPr>
        <w:t xml:space="preserve"> </w:t>
      </w:r>
      <w:r w:rsidR="00AD2066" w:rsidRPr="005A17C2">
        <w:rPr>
          <w:rFonts w:ascii="Verdana" w:hAnsi="Verdana"/>
          <w:spacing w:val="-4"/>
          <w:sz w:val="20"/>
          <w:szCs w:val="20"/>
          <w:lang w:val="es-ES"/>
        </w:rPr>
        <w:t>10 de octubre</w:t>
      </w:r>
      <w:r w:rsidR="00EA42E4" w:rsidRPr="005A17C2">
        <w:rPr>
          <w:rFonts w:ascii="Verdana" w:hAnsi="Verdana"/>
          <w:spacing w:val="-4"/>
          <w:sz w:val="20"/>
          <w:szCs w:val="20"/>
          <w:lang w:val="es-ES"/>
        </w:rPr>
        <w:t xml:space="preserve"> </w:t>
      </w:r>
      <w:r w:rsidR="00AD2066" w:rsidRPr="005A17C2">
        <w:rPr>
          <w:rFonts w:ascii="Verdana" w:hAnsi="Verdana"/>
          <w:spacing w:val="-4"/>
          <w:sz w:val="20"/>
          <w:szCs w:val="20"/>
          <w:lang w:val="es-ES"/>
        </w:rPr>
        <w:t>y 21 de diciembre de 2012</w:t>
      </w:r>
      <w:r w:rsidR="00BA2760" w:rsidRPr="005A17C2">
        <w:rPr>
          <w:rFonts w:ascii="Verdana" w:hAnsi="Verdana"/>
          <w:spacing w:val="-4"/>
          <w:sz w:val="20"/>
          <w:szCs w:val="20"/>
          <w:lang w:val="es-ES"/>
        </w:rPr>
        <w:t>,</w:t>
      </w:r>
      <w:r w:rsidR="00EA42E4" w:rsidRPr="005A17C2">
        <w:rPr>
          <w:rFonts w:ascii="Verdana" w:hAnsi="Verdana"/>
          <w:spacing w:val="-4"/>
          <w:sz w:val="20"/>
          <w:szCs w:val="20"/>
          <w:lang w:val="es-ES"/>
        </w:rPr>
        <w:t xml:space="preserve"> </w:t>
      </w:r>
      <w:r w:rsidR="00103B71">
        <w:rPr>
          <w:rFonts w:ascii="Verdana" w:hAnsi="Verdana"/>
          <w:spacing w:val="-4"/>
          <w:sz w:val="20"/>
          <w:szCs w:val="20"/>
          <w:lang w:val="es-ES"/>
        </w:rPr>
        <w:t xml:space="preserve">de </w:t>
      </w:r>
      <w:r w:rsidR="00AD2066" w:rsidRPr="005A17C2">
        <w:rPr>
          <w:rFonts w:ascii="Verdana" w:hAnsi="Verdana"/>
          <w:spacing w:val="-4"/>
          <w:sz w:val="20"/>
          <w:szCs w:val="20"/>
          <w:lang w:val="es-ES"/>
        </w:rPr>
        <w:t>3 de abril</w:t>
      </w:r>
      <w:r w:rsidR="00BA2760" w:rsidRPr="005A17C2">
        <w:rPr>
          <w:rFonts w:ascii="Verdana" w:hAnsi="Verdana"/>
          <w:spacing w:val="-4"/>
          <w:sz w:val="20"/>
          <w:szCs w:val="20"/>
          <w:lang w:val="es-ES"/>
        </w:rPr>
        <w:t>,</w:t>
      </w:r>
      <w:r w:rsidR="00AD2066" w:rsidRPr="005A17C2">
        <w:rPr>
          <w:rFonts w:ascii="Verdana" w:hAnsi="Verdana"/>
          <w:spacing w:val="-4"/>
          <w:sz w:val="20"/>
          <w:szCs w:val="20"/>
          <w:lang w:val="es-ES"/>
        </w:rPr>
        <w:t xml:space="preserve"> 28 de octubre</w:t>
      </w:r>
      <w:r w:rsidR="00EA42E4" w:rsidRPr="005A17C2">
        <w:rPr>
          <w:rFonts w:ascii="Verdana" w:hAnsi="Verdana"/>
          <w:spacing w:val="-4"/>
          <w:sz w:val="20"/>
          <w:szCs w:val="20"/>
          <w:lang w:val="es-ES"/>
        </w:rPr>
        <w:t xml:space="preserve"> </w:t>
      </w:r>
      <w:r w:rsidR="00AD2066" w:rsidRPr="005A17C2">
        <w:rPr>
          <w:rFonts w:ascii="Verdana" w:hAnsi="Verdana"/>
          <w:spacing w:val="-4"/>
          <w:sz w:val="20"/>
          <w:szCs w:val="20"/>
          <w:lang w:val="es-ES"/>
        </w:rPr>
        <w:t>y 19 de diciembre de 2013</w:t>
      </w:r>
      <w:r w:rsidR="00A43A11" w:rsidRPr="005A17C2">
        <w:rPr>
          <w:rFonts w:ascii="Verdana" w:hAnsi="Verdana"/>
          <w:spacing w:val="-4"/>
          <w:sz w:val="20"/>
          <w:szCs w:val="20"/>
          <w:lang w:val="es-ES"/>
        </w:rPr>
        <w:t>,</w:t>
      </w:r>
      <w:r w:rsidR="00EA42E4" w:rsidRPr="005A17C2">
        <w:rPr>
          <w:rFonts w:ascii="Verdana" w:hAnsi="Verdana"/>
          <w:spacing w:val="-4"/>
          <w:sz w:val="20"/>
          <w:szCs w:val="20"/>
          <w:lang w:val="es-ES"/>
        </w:rPr>
        <w:t xml:space="preserve"> </w:t>
      </w:r>
      <w:r w:rsidR="00103B71">
        <w:rPr>
          <w:rFonts w:ascii="Verdana" w:hAnsi="Verdana"/>
          <w:spacing w:val="-4"/>
          <w:sz w:val="20"/>
          <w:szCs w:val="20"/>
          <w:lang w:val="es-ES"/>
        </w:rPr>
        <w:t xml:space="preserve">de </w:t>
      </w:r>
      <w:r w:rsidR="00AD2066" w:rsidRPr="005A17C2">
        <w:rPr>
          <w:rFonts w:ascii="Verdana" w:hAnsi="Verdana"/>
          <w:spacing w:val="-4"/>
          <w:sz w:val="20"/>
          <w:szCs w:val="20"/>
          <w:lang w:val="es-ES"/>
        </w:rPr>
        <w:t>28 de marzo</w:t>
      </w:r>
      <w:r w:rsidR="00A43A11" w:rsidRPr="005A17C2">
        <w:rPr>
          <w:rFonts w:ascii="Verdana" w:hAnsi="Verdana"/>
          <w:spacing w:val="-4"/>
          <w:sz w:val="20"/>
          <w:szCs w:val="20"/>
          <w:lang w:val="es-ES"/>
        </w:rPr>
        <w:t>,</w:t>
      </w:r>
      <w:r w:rsidR="00EA42E4" w:rsidRPr="005A17C2">
        <w:rPr>
          <w:rFonts w:ascii="Verdana" w:hAnsi="Verdana"/>
          <w:spacing w:val="-4"/>
          <w:sz w:val="20"/>
          <w:szCs w:val="20"/>
          <w:lang w:val="es-ES"/>
        </w:rPr>
        <w:t xml:space="preserve"> </w:t>
      </w:r>
      <w:r w:rsidR="00AD2066" w:rsidRPr="005A17C2">
        <w:rPr>
          <w:rFonts w:ascii="Verdana" w:hAnsi="Verdana"/>
          <w:spacing w:val="-4"/>
          <w:sz w:val="20"/>
          <w:szCs w:val="20"/>
          <w:lang w:val="es-ES"/>
        </w:rPr>
        <w:t>23</w:t>
      </w:r>
      <w:r w:rsidR="00103B71">
        <w:rPr>
          <w:rFonts w:ascii="Verdana" w:hAnsi="Verdana"/>
          <w:spacing w:val="-4"/>
          <w:sz w:val="20"/>
          <w:szCs w:val="20"/>
          <w:lang w:val="es-ES"/>
        </w:rPr>
        <w:t xml:space="preserve"> de julio</w:t>
      </w:r>
      <w:r w:rsidR="00EA42E4" w:rsidRPr="005A17C2">
        <w:rPr>
          <w:rFonts w:ascii="Verdana" w:hAnsi="Verdana"/>
          <w:spacing w:val="-4"/>
          <w:sz w:val="20"/>
          <w:szCs w:val="20"/>
          <w:lang w:val="es-ES"/>
        </w:rPr>
        <w:t xml:space="preserve"> </w:t>
      </w:r>
      <w:r w:rsidR="00F16D97" w:rsidRPr="005A17C2">
        <w:rPr>
          <w:rFonts w:ascii="Verdana" w:hAnsi="Verdana"/>
          <w:spacing w:val="-4"/>
          <w:sz w:val="20"/>
          <w:szCs w:val="20"/>
          <w:lang w:val="es-ES"/>
        </w:rPr>
        <w:t>y 30</w:t>
      </w:r>
      <w:r w:rsidR="00A43A11" w:rsidRPr="005A17C2">
        <w:rPr>
          <w:rFonts w:ascii="Verdana" w:hAnsi="Verdana"/>
          <w:spacing w:val="-4"/>
          <w:sz w:val="20"/>
          <w:szCs w:val="20"/>
          <w:lang w:val="es-ES"/>
        </w:rPr>
        <w:t xml:space="preserve"> de septiembre</w:t>
      </w:r>
      <w:r w:rsidR="00F16D97" w:rsidRPr="005A17C2">
        <w:rPr>
          <w:rFonts w:ascii="Verdana" w:hAnsi="Verdana"/>
          <w:spacing w:val="-4"/>
          <w:sz w:val="20"/>
          <w:szCs w:val="20"/>
          <w:lang w:val="es-ES"/>
        </w:rPr>
        <w:t xml:space="preserve"> de 2014</w:t>
      </w:r>
      <w:r w:rsidR="00A43A11" w:rsidRPr="005A17C2">
        <w:rPr>
          <w:rFonts w:ascii="Verdana" w:hAnsi="Verdana"/>
          <w:spacing w:val="-4"/>
          <w:sz w:val="20"/>
          <w:szCs w:val="20"/>
          <w:lang w:val="es-ES"/>
        </w:rPr>
        <w:t>,</w:t>
      </w:r>
      <w:r w:rsidR="00EA42E4" w:rsidRPr="005A17C2">
        <w:rPr>
          <w:rFonts w:ascii="Verdana" w:hAnsi="Verdana"/>
          <w:spacing w:val="-4"/>
          <w:sz w:val="20"/>
          <w:szCs w:val="20"/>
          <w:lang w:val="es-ES"/>
        </w:rPr>
        <w:t xml:space="preserve"> </w:t>
      </w:r>
      <w:r w:rsidR="00103B71">
        <w:rPr>
          <w:rFonts w:ascii="Verdana" w:hAnsi="Verdana"/>
          <w:spacing w:val="-4"/>
          <w:sz w:val="20"/>
          <w:szCs w:val="20"/>
          <w:lang w:val="es-ES"/>
        </w:rPr>
        <w:t xml:space="preserve">y de </w:t>
      </w:r>
      <w:r w:rsidR="000C4086">
        <w:rPr>
          <w:rFonts w:ascii="Verdana" w:hAnsi="Verdana"/>
          <w:spacing w:val="-4"/>
          <w:sz w:val="20"/>
          <w:szCs w:val="20"/>
          <w:lang w:val="es-ES"/>
        </w:rPr>
        <w:t>8</w:t>
      </w:r>
      <w:r w:rsidR="000C4086" w:rsidRPr="005A17C2">
        <w:rPr>
          <w:rFonts w:ascii="Verdana" w:hAnsi="Verdana"/>
          <w:spacing w:val="-4"/>
          <w:sz w:val="20"/>
          <w:szCs w:val="20"/>
          <w:lang w:val="es-ES"/>
        </w:rPr>
        <w:t xml:space="preserve"> </w:t>
      </w:r>
      <w:r w:rsidR="00F16D97" w:rsidRPr="005A17C2">
        <w:rPr>
          <w:rFonts w:ascii="Verdana" w:hAnsi="Verdana"/>
          <w:spacing w:val="-4"/>
          <w:sz w:val="20"/>
          <w:szCs w:val="20"/>
          <w:lang w:val="es-ES"/>
        </w:rPr>
        <w:t>de enero</w:t>
      </w:r>
      <w:r w:rsidR="00A43A11" w:rsidRPr="005A17C2">
        <w:rPr>
          <w:rFonts w:ascii="Verdana" w:hAnsi="Verdana"/>
          <w:spacing w:val="-4"/>
          <w:sz w:val="20"/>
          <w:szCs w:val="20"/>
          <w:lang w:val="es-ES"/>
        </w:rPr>
        <w:t>,</w:t>
      </w:r>
      <w:r w:rsidR="00EA42E4" w:rsidRPr="005A17C2">
        <w:rPr>
          <w:rFonts w:ascii="Verdana" w:hAnsi="Verdana"/>
          <w:spacing w:val="-4"/>
          <w:sz w:val="20"/>
          <w:szCs w:val="20"/>
          <w:lang w:val="es-ES"/>
        </w:rPr>
        <w:t xml:space="preserve"> </w:t>
      </w:r>
      <w:r w:rsidR="00F16D97" w:rsidRPr="005A17C2">
        <w:rPr>
          <w:rFonts w:ascii="Verdana" w:hAnsi="Verdana"/>
          <w:spacing w:val="-4"/>
          <w:sz w:val="20"/>
          <w:szCs w:val="20"/>
          <w:lang w:val="es-ES"/>
        </w:rPr>
        <w:t>10 de abril</w:t>
      </w:r>
      <w:r w:rsidR="0084630C" w:rsidRPr="005A17C2">
        <w:rPr>
          <w:rFonts w:ascii="Verdana" w:hAnsi="Verdana"/>
          <w:spacing w:val="-4"/>
          <w:sz w:val="20"/>
          <w:szCs w:val="20"/>
          <w:lang w:val="es-ES"/>
        </w:rPr>
        <w:t>,</w:t>
      </w:r>
      <w:r w:rsidR="00F16D97" w:rsidRPr="005A17C2">
        <w:rPr>
          <w:rFonts w:ascii="Verdana" w:hAnsi="Verdana"/>
          <w:spacing w:val="-4"/>
          <w:sz w:val="20"/>
          <w:szCs w:val="20"/>
          <w:lang w:val="es-ES"/>
        </w:rPr>
        <w:t xml:space="preserve"> </w:t>
      </w:r>
      <w:r w:rsidR="000C4086">
        <w:rPr>
          <w:rFonts w:ascii="Verdana" w:hAnsi="Verdana"/>
          <w:spacing w:val="-4"/>
          <w:sz w:val="20"/>
          <w:szCs w:val="20"/>
          <w:lang w:val="es-ES"/>
        </w:rPr>
        <w:t>30</w:t>
      </w:r>
      <w:r w:rsidR="000C4086" w:rsidRPr="005A17C2">
        <w:rPr>
          <w:rFonts w:ascii="Verdana" w:hAnsi="Verdana"/>
          <w:spacing w:val="-4"/>
          <w:sz w:val="20"/>
          <w:szCs w:val="20"/>
          <w:lang w:val="es-ES"/>
        </w:rPr>
        <w:t xml:space="preserve"> </w:t>
      </w:r>
      <w:r w:rsidR="00E901EE" w:rsidRPr="005A17C2">
        <w:rPr>
          <w:rFonts w:ascii="Verdana" w:hAnsi="Verdana"/>
          <w:spacing w:val="-4"/>
          <w:sz w:val="20"/>
          <w:szCs w:val="20"/>
          <w:lang w:val="es-ES"/>
        </w:rPr>
        <w:t>de julio</w:t>
      </w:r>
      <w:r w:rsidR="00821792">
        <w:rPr>
          <w:rFonts w:ascii="Verdana" w:hAnsi="Verdana"/>
          <w:spacing w:val="-4"/>
          <w:sz w:val="20"/>
          <w:szCs w:val="20"/>
          <w:lang w:val="es-ES"/>
        </w:rPr>
        <w:t xml:space="preserve"> </w:t>
      </w:r>
      <w:r w:rsidR="0084630C" w:rsidRPr="005A17C2">
        <w:rPr>
          <w:rFonts w:ascii="Verdana" w:hAnsi="Verdana"/>
          <w:spacing w:val="-4"/>
          <w:sz w:val="20"/>
          <w:szCs w:val="20"/>
          <w:lang w:val="es-ES"/>
        </w:rPr>
        <w:t xml:space="preserve">y 30 de octubre </w:t>
      </w:r>
      <w:r w:rsidR="00E901EE" w:rsidRPr="005A17C2">
        <w:rPr>
          <w:rFonts w:ascii="Verdana" w:hAnsi="Verdana"/>
          <w:spacing w:val="-4"/>
          <w:sz w:val="20"/>
          <w:szCs w:val="20"/>
          <w:lang w:val="es-ES"/>
        </w:rPr>
        <w:t>de 2015</w:t>
      </w:r>
      <w:r w:rsidR="0084630C" w:rsidRPr="005A17C2">
        <w:rPr>
          <w:rFonts w:ascii="Verdana" w:hAnsi="Verdana"/>
          <w:spacing w:val="-4"/>
          <w:sz w:val="20"/>
          <w:szCs w:val="20"/>
          <w:lang w:val="es-ES"/>
        </w:rPr>
        <w:t>,</w:t>
      </w:r>
      <w:r w:rsidR="00E901EE" w:rsidRPr="005A17C2">
        <w:rPr>
          <w:rFonts w:ascii="Verdana" w:hAnsi="Verdana"/>
          <w:spacing w:val="-4"/>
          <w:sz w:val="20"/>
          <w:szCs w:val="20"/>
          <w:lang w:val="es-ES"/>
        </w:rPr>
        <w:t xml:space="preserve"> </w:t>
      </w:r>
      <w:r w:rsidRPr="005A17C2">
        <w:rPr>
          <w:rFonts w:ascii="Verdana" w:hAnsi="Verdana"/>
          <w:spacing w:val="-4"/>
          <w:sz w:val="20"/>
          <w:szCs w:val="20"/>
          <w:lang w:val="es-ES"/>
        </w:rPr>
        <w:t xml:space="preserve">mediante los cuales la Comisión Interamericana de Derechos Humanos (en adelante también “la </w:t>
      </w:r>
      <w:r w:rsidRPr="005A17C2">
        <w:rPr>
          <w:rFonts w:ascii="Verdana" w:hAnsi="Verdana"/>
          <w:spacing w:val="-4"/>
          <w:sz w:val="20"/>
          <w:szCs w:val="20"/>
          <w:lang w:val="es-ES"/>
        </w:rPr>
        <w:lastRenderedPageBreak/>
        <w:t xml:space="preserve">Comisión Interamericana” </w:t>
      </w:r>
      <w:r w:rsidR="007D1323" w:rsidRPr="005A17C2">
        <w:rPr>
          <w:rFonts w:ascii="Verdana" w:hAnsi="Verdana"/>
          <w:spacing w:val="-4"/>
          <w:sz w:val="20"/>
          <w:szCs w:val="20"/>
          <w:lang w:val="es-ES"/>
        </w:rPr>
        <w:t>o</w:t>
      </w:r>
      <w:r w:rsidRPr="005A17C2">
        <w:rPr>
          <w:rFonts w:ascii="Verdana" w:hAnsi="Verdana"/>
          <w:spacing w:val="-4"/>
          <w:sz w:val="20"/>
          <w:szCs w:val="20"/>
          <w:lang w:val="es-ES"/>
        </w:rPr>
        <w:t xml:space="preserve"> “la Comisión”) remitió sus observaciones a los informes del Estado y </w:t>
      </w:r>
      <w:r w:rsidR="00CD00EA" w:rsidRPr="005A17C2">
        <w:rPr>
          <w:rFonts w:ascii="Verdana" w:hAnsi="Verdana"/>
          <w:spacing w:val="-4"/>
          <w:sz w:val="20"/>
          <w:szCs w:val="20"/>
          <w:lang w:val="es-ES"/>
        </w:rPr>
        <w:t xml:space="preserve">a </w:t>
      </w:r>
      <w:r w:rsidRPr="005A17C2">
        <w:rPr>
          <w:rFonts w:ascii="Verdana" w:hAnsi="Verdana"/>
          <w:spacing w:val="-4"/>
          <w:sz w:val="20"/>
          <w:szCs w:val="20"/>
          <w:lang w:val="es-ES"/>
        </w:rPr>
        <w:t>lo</w:t>
      </w:r>
      <w:r w:rsidR="00C6782C" w:rsidRPr="005A17C2">
        <w:rPr>
          <w:rFonts w:ascii="Verdana" w:hAnsi="Verdana"/>
          <w:spacing w:val="-4"/>
          <w:sz w:val="20"/>
          <w:szCs w:val="20"/>
          <w:lang w:val="es-ES"/>
        </w:rPr>
        <w:t>s escritos de los</w:t>
      </w:r>
      <w:r w:rsidRPr="005A17C2">
        <w:rPr>
          <w:rFonts w:ascii="Verdana" w:hAnsi="Verdana"/>
          <w:spacing w:val="-4"/>
          <w:sz w:val="20"/>
          <w:szCs w:val="20"/>
          <w:lang w:val="es-ES"/>
        </w:rPr>
        <w:t xml:space="preserve"> representantes</w:t>
      </w:r>
      <w:r w:rsidR="00AD2066" w:rsidRPr="005A17C2">
        <w:rPr>
          <w:rFonts w:ascii="Verdana" w:hAnsi="Verdana"/>
          <w:spacing w:val="-4"/>
          <w:sz w:val="20"/>
          <w:szCs w:val="20"/>
          <w:lang w:val="es-ES"/>
        </w:rPr>
        <w:t>.</w:t>
      </w:r>
    </w:p>
    <w:p w14:paraId="0E1DA751" w14:textId="77777777" w:rsidR="001E58D8" w:rsidRPr="005A17C2" w:rsidRDefault="001E58D8" w:rsidP="00BB145E">
      <w:pPr>
        <w:jc w:val="both"/>
        <w:rPr>
          <w:rFonts w:ascii="Verdana" w:hAnsi="Verdana"/>
          <w:spacing w:val="-4"/>
          <w:sz w:val="20"/>
          <w:szCs w:val="20"/>
          <w:lang w:val="es-ES"/>
        </w:rPr>
      </w:pPr>
    </w:p>
    <w:p w14:paraId="22A87C49" w14:textId="77777777" w:rsidR="001E58D8" w:rsidRPr="005A17C2" w:rsidRDefault="001E58D8" w:rsidP="00BB145E">
      <w:pPr>
        <w:pStyle w:val="Heading4"/>
        <w:spacing w:before="0"/>
        <w:jc w:val="both"/>
        <w:rPr>
          <w:rFonts w:ascii="Verdana" w:hAnsi="Verdana"/>
          <w:i w:val="0"/>
          <w:color w:val="auto"/>
          <w:spacing w:val="-4"/>
          <w:sz w:val="20"/>
          <w:szCs w:val="20"/>
        </w:rPr>
      </w:pPr>
      <w:r w:rsidRPr="005A17C2">
        <w:rPr>
          <w:rFonts w:ascii="Verdana" w:hAnsi="Verdana"/>
          <w:i w:val="0"/>
          <w:color w:val="auto"/>
          <w:spacing w:val="-4"/>
          <w:sz w:val="20"/>
          <w:szCs w:val="20"/>
        </w:rPr>
        <w:t>C</w:t>
      </w:r>
      <w:r w:rsidRPr="005A17C2">
        <w:rPr>
          <w:rFonts w:ascii="Verdana" w:hAnsi="Verdana"/>
          <w:i w:val="0"/>
          <w:caps/>
          <w:smallCaps/>
          <w:color w:val="auto"/>
          <w:spacing w:val="-4"/>
          <w:sz w:val="20"/>
          <w:szCs w:val="20"/>
        </w:rPr>
        <w:t>onsiderando que:</w:t>
      </w:r>
    </w:p>
    <w:p w14:paraId="34B4B64A" w14:textId="77777777" w:rsidR="001E58D8" w:rsidRPr="005A17C2" w:rsidRDefault="001E58D8" w:rsidP="00BB145E">
      <w:pPr>
        <w:jc w:val="both"/>
        <w:rPr>
          <w:rFonts w:ascii="Verdana" w:hAnsi="Verdana"/>
          <w:smallCaps/>
          <w:spacing w:val="-4"/>
          <w:sz w:val="20"/>
          <w:szCs w:val="20"/>
        </w:rPr>
      </w:pPr>
    </w:p>
    <w:p w14:paraId="13C21073" w14:textId="77777777" w:rsidR="001E58D8" w:rsidRPr="005A17C2" w:rsidRDefault="001E58D8" w:rsidP="00BB145E">
      <w:pPr>
        <w:numPr>
          <w:ilvl w:val="0"/>
          <w:numId w:val="22"/>
        </w:numPr>
        <w:tabs>
          <w:tab w:val="left" w:pos="709"/>
        </w:tabs>
        <w:jc w:val="both"/>
        <w:rPr>
          <w:rFonts w:ascii="Verdana" w:hAnsi="Verdana"/>
          <w:spacing w:val="-4"/>
          <w:sz w:val="20"/>
          <w:szCs w:val="20"/>
        </w:rPr>
      </w:pPr>
      <w:r w:rsidRPr="005A17C2">
        <w:rPr>
          <w:rFonts w:ascii="Verdana" w:hAnsi="Verdana"/>
          <w:spacing w:val="-4"/>
          <w:sz w:val="20"/>
          <w:szCs w:val="20"/>
        </w:rPr>
        <w:t xml:space="preserve">México es Estado Parte en la Convención Americana </w:t>
      </w:r>
      <w:r w:rsidR="00D4621D" w:rsidRPr="005A17C2">
        <w:rPr>
          <w:rFonts w:ascii="Verdana" w:hAnsi="Verdana"/>
          <w:spacing w:val="-4"/>
          <w:sz w:val="20"/>
          <w:szCs w:val="20"/>
        </w:rPr>
        <w:t xml:space="preserve">sobre Derechos Humanos (en adelante “la Convención Americana” o “la Convención”) </w:t>
      </w:r>
      <w:r w:rsidRPr="005A17C2">
        <w:rPr>
          <w:rFonts w:ascii="Verdana" w:hAnsi="Verdana"/>
          <w:spacing w:val="-4"/>
          <w:sz w:val="20"/>
          <w:szCs w:val="20"/>
        </w:rPr>
        <w:t xml:space="preserve">desde el 24 de marzo de 1981 y, de acuerdo con el artículo 62 de la </w:t>
      </w:r>
      <w:r w:rsidR="00D4621D" w:rsidRPr="005A17C2">
        <w:rPr>
          <w:rFonts w:ascii="Verdana" w:hAnsi="Verdana"/>
          <w:spacing w:val="-4"/>
          <w:sz w:val="20"/>
          <w:szCs w:val="20"/>
        </w:rPr>
        <w:t>misma</w:t>
      </w:r>
      <w:r w:rsidRPr="005A17C2">
        <w:rPr>
          <w:rFonts w:ascii="Verdana" w:hAnsi="Verdana"/>
          <w:spacing w:val="-4"/>
          <w:sz w:val="20"/>
          <w:szCs w:val="20"/>
        </w:rPr>
        <w:t>, reconoció la competencia contenciosa de la Corte el 16 de diciembre de 1998.</w:t>
      </w:r>
    </w:p>
    <w:p w14:paraId="16FDBDE8" w14:textId="77777777" w:rsidR="00B54137" w:rsidRPr="005A17C2" w:rsidRDefault="00B54137" w:rsidP="00BB145E">
      <w:pPr>
        <w:tabs>
          <w:tab w:val="left" w:pos="709"/>
        </w:tabs>
        <w:jc w:val="both"/>
        <w:rPr>
          <w:rFonts w:ascii="Verdana" w:hAnsi="Verdana"/>
          <w:spacing w:val="-4"/>
          <w:sz w:val="20"/>
          <w:szCs w:val="20"/>
        </w:rPr>
      </w:pPr>
    </w:p>
    <w:p w14:paraId="1F6B349E" w14:textId="017E8601" w:rsidR="00AA361F" w:rsidRPr="005A17C2" w:rsidRDefault="00AA361F" w:rsidP="00BB145E">
      <w:pPr>
        <w:numPr>
          <w:ilvl w:val="0"/>
          <w:numId w:val="22"/>
        </w:numPr>
        <w:ind w:right="22"/>
        <w:jc w:val="both"/>
        <w:rPr>
          <w:rFonts w:ascii="Verdana" w:hAnsi="Verdana"/>
          <w:spacing w:val="-4"/>
          <w:sz w:val="20"/>
          <w:szCs w:val="20"/>
        </w:rPr>
      </w:pPr>
      <w:r w:rsidRPr="005A17C2">
        <w:rPr>
          <w:rFonts w:ascii="Verdana" w:hAnsi="Verdana"/>
          <w:spacing w:val="-4"/>
          <w:sz w:val="20"/>
          <w:szCs w:val="20"/>
        </w:rPr>
        <w:t xml:space="preserve">En razón de su competencia, en el marco de medidas provisionales la Corte debe considerar únicamente aquellos argumentos que se relacionen estricta y directamente con la extrema gravedad, urgencia y necesidad de evitar daños irreparables a las personas. </w:t>
      </w:r>
      <w:r w:rsidR="008D1080" w:rsidRPr="005A17C2">
        <w:rPr>
          <w:rFonts w:ascii="Verdana" w:hAnsi="Verdana"/>
          <w:spacing w:val="-4"/>
          <w:sz w:val="20"/>
          <w:szCs w:val="20"/>
        </w:rPr>
        <w:t>Es así que, a efectos de decidir si se mantiene la vigencia de las medidas provisionales, el Tribunal debe analizar si persiste la situación que determinó su adopción, o bien si nuevas circunstancias igualmente graves y urgentes ameritan su mantenimiento</w:t>
      </w:r>
      <w:r w:rsidR="00C77F17" w:rsidRPr="005A17C2">
        <w:rPr>
          <w:rStyle w:val="FootnoteReference"/>
          <w:spacing w:val="-4"/>
          <w:sz w:val="20"/>
          <w:szCs w:val="20"/>
        </w:rPr>
        <w:footnoteReference w:id="2"/>
      </w:r>
      <w:r w:rsidR="008D1080" w:rsidRPr="005A17C2">
        <w:rPr>
          <w:rFonts w:ascii="Verdana" w:hAnsi="Verdana"/>
          <w:spacing w:val="-4"/>
          <w:sz w:val="20"/>
          <w:szCs w:val="20"/>
        </w:rPr>
        <w:t xml:space="preserve">. Cualquier otro </w:t>
      </w:r>
      <w:r w:rsidRPr="005A17C2">
        <w:rPr>
          <w:rFonts w:ascii="Verdana" w:hAnsi="Verdana"/>
          <w:spacing w:val="-4"/>
          <w:sz w:val="20"/>
          <w:szCs w:val="20"/>
        </w:rPr>
        <w:t>hecho o argumento s</w:t>
      </w:r>
      <w:r w:rsidR="001C1727" w:rsidRPr="005A17C2">
        <w:rPr>
          <w:rFonts w:ascii="Verdana" w:hAnsi="Verdana"/>
          <w:spacing w:val="-4"/>
          <w:sz w:val="20"/>
          <w:szCs w:val="20"/>
        </w:rPr>
        <w:t>o</w:t>
      </w:r>
      <w:r w:rsidRPr="005A17C2">
        <w:rPr>
          <w:rFonts w:ascii="Verdana" w:hAnsi="Verdana"/>
          <w:spacing w:val="-4"/>
          <w:sz w:val="20"/>
          <w:szCs w:val="20"/>
        </w:rPr>
        <w:t>lo puede ser analizado y resuelto por la Corte mediante la consideración del fondo de un caso contencioso o dentro del proceso de supervisión de cumplimiento de la sentencia respectiva</w:t>
      </w:r>
      <w:r w:rsidRPr="005A17C2">
        <w:rPr>
          <w:rStyle w:val="FootnoteReference"/>
          <w:spacing w:val="-4"/>
          <w:sz w:val="20"/>
          <w:szCs w:val="20"/>
        </w:rPr>
        <w:footnoteReference w:id="3"/>
      </w:r>
      <w:r w:rsidRPr="005A17C2">
        <w:rPr>
          <w:rFonts w:ascii="Verdana" w:hAnsi="Verdana"/>
          <w:spacing w:val="-4"/>
          <w:sz w:val="20"/>
          <w:szCs w:val="20"/>
        </w:rPr>
        <w:t>.</w:t>
      </w:r>
    </w:p>
    <w:p w14:paraId="6ECE41E0" w14:textId="77777777" w:rsidR="000E2A92" w:rsidRPr="005A17C2" w:rsidRDefault="000E2A92" w:rsidP="00BB145E">
      <w:pPr>
        <w:ind w:right="22"/>
        <w:jc w:val="both"/>
        <w:rPr>
          <w:rFonts w:ascii="Verdana" w:hAnsi="Verdana"/>
          <w:spacing w:val="-4"/>
          <w:sz w:val="20"/>
          <w:szCs w:val="20"/>
          <w:lang w:val="es-ES"/>
        </w:rPr>
      </w:pPr>
    </w:p>
    <w:p w14:paraId="79C21C37" w14:textId="439EA3A2" w:rsidR="00A21CBF" w:rsidRPr="006B43CC" w:rsidRDefault="00C76A0E" w:rsidP="00BB145E">
      <w:pPr>
        <w:numPr>
          <w:ilvl w:val="0"/>
          <w:numId w:val="22"/>
        </w:numPr>
        <w:ind w:right="22"/>
        <w:jc w:val="both"/>
        <w:rPr>
          <w:rFonts w:ascii="Verdana" w:hAnsi="Verdana"/>
          <w:spacing w:val="-4"/>
          <w:sz w:val="20"/>
          <w:szCs w:val="20"/>
        </w:rPr>
      </w:pPr>
      <w:bookmarkStart w:id="1" w:name="_Ref442098702"/>
      <w:r w:rsidRPr="006B43CC">
        <w:rPr>
          <w:rFonts w:ascii="Verdana" w:hAnsi="Verdana"/>
          <w:spacing w:val="-4"/>
          <w:sz w:val="20"/>
          <w:szCs w:val="20"/>
          <w:lang w:val="es-ES"/>
        </w:rPr>
        <w:t>L</w:t>
      </w:r>
      <w:r w:rsidR="00FE0BD6" w:rsidRPr="006B43CC">
        <w:rPr>
          <w:rFonts w:ascii="Verdana" w:hAnsi="Verdana"/>
          <w:spacing w:val="-4"/>
          <w:sz w:val="20"/>
          <w:szCs w:val="20"/>
          <w:lang w:val="es-ES"/>
        </w:rPr>
        <w:t xml:space="preserve">as presentes medidas </w:t>
      </w:r>
      <w:r w:rsidRPr="006B43CC">
        <w:rPr>
          <w:rFonts w:ascii="Verdana" w:hAnsi="Verdana"/>
          <w:spacing w:val="-4"/>
          <w:sz w:val="20"/>
          <w:szCs w:val="20"/>
          <w:lang w:val="es-ES"/>
        </w:rPr>
        <w:t xml:space="preserve">provisionales </w:t>
      </w:r>
      <w:r w:rsidR="00FE0BD6" w:rsidRPr="006B43CC">
        <w:rPr>
          <w:rFonts w:ascii="Verdana" w:hAnsi="Verdana"/>
          <w:spacing w:val="-4"/>
          <w:sz w:val="20"/>
          <w:szCs w:val="20"/>
          <w:lang w:val="es-ES"/>
        </w:rPr>
        <w:t>protegen a</w:t>
      </w:r>
      <w:r w:rsidRPr="006B43CC">
        <w:rPr>
          <w:rFonts w:ascii="Verdana" w:hAnsi="Verdana"/>
          <w:spacing w:val="-4"/>
          <w:sz w:val="20"/>
          <w:szCs w:val="20"/>
          <w:lang w:val="es-ES"/>
        </w:rPr>
        <w:t xml:space="preserve"> las siguientes personas</w:t>
      </w:r>
      <w:r w:rsidR="00FE0BD6" w:rsidRPr="006B43CC">
        <w:rPr>
          <w:rFonts w:ascii="Verdana" w:hAnsi="Verdana"/>
          <w:spacing w:val="-4"/>
          <w:sz w:val="20"/>
          <w:szCs w:val="20"/>
          <w:lang w:val="es-ES"/>
        </w:rPr>
        <w:t>:</w:t>
      </w:r>
      <w:r w:rsidR="00A21CBF" w:rsidRPr="006B43CC">
        <w:rPr>
          <w:rStyle w:val="Strong"/>
          <w:rFonts w:ascii="Verdana" w:hAnsi="Verdana"/>
          <w:b w:val="0"/>
          <w:spacing w:val="-4"/>
          <w:sz w:val="20"/>
          <w:szCs w:val="20"/>
          <w:shd w:val="clear" w:color="auto" w:fill="FFFFFF"/>
          <w:lang w:val="es-ES"/>
        </w:rPr>
        <w:t xml:space="preserve"> </w:t>
      </w:r>
      <w:r w:rsidR="00C202A2" w:rsidRPr="006B43CC">
        <w:rPr>
          <w:rFonts w:ascii="Verdana" w:hAnsi="Verdana"/>
          <w:spacing w:val="-4"/>
          <w:sz w:val="20"/>
          <w:szCs w:val="20"/>
          <w:lang w:val="es-ES"/>
        </w:rPr>
        <w:t>i</w:t>
      </w:r>
      <w:r w:rsidR="00A21CBF" w:rsidRPr="006B43CC">
        <w:rPr>
          <w:rFonts w:ascii="Verdana" w:hAnsi="Verdana"/>
          <w:spacing w:val="-4"/>
          <w:sz w:val="20"/>
          <w:szCs w:val="20"/>
          <w:lang w:val="es-ES"/>
        </w:rPr>
        <w:t xml:space="preserve">) </w:t>
      </w:r>
      <w:proofErr w:type="spellStart"/>
      <w:r w:rsidR="00A21CBF" w:rsidRPr="006B43CC">
        <w:rPr>
          <w:rFonts w:ascii="Verdana" w:hAnsi="Verdana"/>
          <w:spacing w:val="-4"/>
          <w:sz w:val="20"/>
          <w:szCs w:val="20"/>
          <w:lang w:val="es-ES"/>
        </w:rPr>
        <w:t>Obtilia</w:t>
      </w:r>
      <w:proofErr w:type="spellEnd"/>
      <w:r w:rsidR="00A21CBF" w:rsidRPr="006B43CC">
        <w:rPr>
          <w:rFonts w:ascii="Verdana" w:hAnsi="Verdana"/>
          <w:spacing w:val="-4"/>
          <w:sz w:val="20"/>
          <w:szCs w:val="20"/>
          <w:lang w:val="es-ES"/>
        </w:rPr>
        <w:t xml:space="preserve"> Eugenio M</w:t>
      </w:r>
      <w:r w:rsidR="00FE0BD6" w:rsidRPr="006B43CC">
        <w:rPr>
          <w:rFonts w:ascii="Verdana" w:hAnsi="Verdana"/>
          <w:spacing w:val="-4"/>
          <w:sz w:val="20"/>
          <w:szCs w:val="20"/>
          <w:lang w:val="es-ES"/>
        </w:rPr>
        <w:t>anuel y determinados familiares</w:t>
      </w:r>
      <w:r w:rsidR="002C21E5" w:rsidRPr="006B43CC">
        <w:rPr>
          <w:rFonts w:ascii="Verdana" w:hAnsi="Verdana"/>
          <w:spacing w:val="-4"/>
          <w:sz w:val="20"/>
          <w:szCs w:val="20"/>
          <w:lang w:val="es-ES"/>
        </w:rPr>
        <w:t>;</w:t>
      </w:r>
      <w:r w:rsidR="00C202A2" w:rsidRPr="006B43CC">
        <w:rPr>
          <w:rFonts w:ascii="Verdana" w:hAnsi="Verdana"/>
          <w:spacing w:val="-4"/>
          <w:sz w:val="20"/>
          <w:szCs w:val="20"/>
          <w:lang w:val="es-ES"/>
        </w:rPr>
        <w:t xml:space="preserve"> ii</w:t>
      </w:r>
      <w:r w:rsidR="00A21CBF" w:rsidRPr="006B43CC">
        <w:rPr>
          <w:rFonts w:ascii="Verdana" w:hAnsi="Verdana"/>
          <w:spacing w:val="-4"/>
          <w:sz w:val="20"/>
          <w:szCs w:val="20"/>
          <w:lang w:val="es-ES"/>
        </w:rPr>
        <w:t>) Inés Fernández O</w:t>
      </w:r>
      <w:r w:rsidR="00FE0BD6" w:rsidRPr="006B43CC">
        <w:rPr>
          <w:rFonts w:ascii="Verdana" w:hAnsi="Verdana"/>
          <w:spacing w:val="-4"/>
          <w:sz w:val="20"/>
          <w:szCs w:val="20"/>
          <w:lang w:val="es-ES"/>
        </w:rPr>
        <w:t>rtega y determinados familiares</w:t>
      </w:r>
      <w:r w:rsidR="002C21E5" w:rsidRPr="006B43CC">
        <w:rPr>
          <w:rFonts w:ascii="Verdana" w:hAnsi="Verdana"/>
          <w:spacing w:val="-4"/>
          <w:sz w:val="20"/>
          <w:szCs w:val="20"/>
          <w:lang w:val="es-ES"/>
        </w:rPr>
        <w:t>;</w:t>
      </w:r>
      <w:r w:rsidR="00A21CBF" w:rsidRPr="006B43CC">
        <w:rPr>
          <w:rFonts w:ascii="Verdana" w:hAnsi="Verdana"/>
          <w:spacing w:val="-4"/>
          <w:sz w:val="20"/>
          <w:szCs w:val="20"/>
          <w:lang w:val="es-ES"/>
        </w:rPr>
        <w:t xml:space="preserve"> c) 41 integrantes de la Organización del Pueblo Indígena </w:t>
      </w:r>
      <w:proofErr w:type="spellStart"/>
      <w:r w:rsidR="00A21CBF" w:rsidRPr="006B43CC">
        <w:rPr>
          <w:rFonts w:ascii="Verdana" w:hAnsi="Verdana"/>
          <w:spacing w:val="-4"/>
          <w:sz w:val="20"/>
          <w:szCs w:val="20"/>
          <w:lang w:val="es-ES"/>
        </w:rPr>
        <w:t>Tlapaneco</w:t>
      </w:r>
      <w:proofErr w:type="spellEnd"/>
      <w:r w:rsidR="00FE0BD6" w:rsidRPr="006B43CC">
        <w:rPr>
          <w:rFonts w:ascii="Verdana" w:hAnsi="Verdana"/>
          <w:spacing w:val="-4"/>
          <w:sz w:val="20"/>
          <w:szCs w:val="20"/>
          <w:lang w:val="es-ES"/>
        </w:rPr>
        <w:t>/</w:t>
      </w:r>
      <w:proofErr w:type="spellStart"/>
      <w:r w:rsidR="00FE0BD6" w:rsidRPr="006B43CC">
        <w:rPr>
          <w:rFonts w:ascii="Verdana" w:hAnsi="Verdana"/>
          <w:spacing w:val="-4"/>
          <w:sz w:val="20"/>
          <w:szCs w:val="20"/>
          <w:lang w:val="es-ES"/>
        </w:rPr>
        <w:t>Me’phaa</w:t>
      </w:r>
      <w:proofErr w:type="spellEnd"/>
      <w:r w:rsidR="00A21CBF" w:rsidRPr="006B43CC">
        <w:rPr>
          <w:rFonts w:ascii="Verdana" w:hAnsi="Verdana"/>
          <w:spacing w:val="-4"/>
          <w:sz w:val="20"/>
          <w:szCs w:val="20"/>
          <w:lang w:val="es-ES"/>
        </w:rPr>
        <w:t xml:space="preserve"> A.C.</w:t>
      </w:r>
      <w:r w:rsidR="00FE0BD6" w:rsidRPr="006B43CC">
        <w:rPr>
          <w:rFonts w:ascii="Verdana" w:hAnsi="Verdana"/>
          <w:spacing w:val="-4"/>
          <w:sz w:val="20"/>
          <w:szCs w:val="20"/>
          <w:lang w:val="es-ES"/>
        </w:rPr>
        <w:t xml:space="preserve"> (en adelante “OPIM”),</w:t>
      </w:r>
      <w:r w:rsidR="00A21CBF" w:rsidRPr="006B43CC">
        <w:rPr>
          <w:rFonts w:ascii="Verdana" w:hAnsi="Verdana"/>
          <w:spacing w:val="-4"/>
          <w:sz w:val="20"/>
          <w:szCs w:val="20"/>
          <w:lang w:val="es-ES"/>
        </w:rPr>
        <w:t xml:space="preserve"> y d) 18 miembros del Centro de Derechos Humanos de la Montaña</w:t>
      </w:r>
      <w:r w:rsidR="00FE0BD6" w:rsidRPr="006B43CC">
        <w:rPr>
          <w:rFonts w:ascii="Verdana" w:hAnsi="Verdana"/>
          <w:spacing w:val="-4"/>
          <w:sz w:val="20"/>
          <w:szCs w:val="20"/>
          <w:lang w:val="es-ES"/>
        </w:rPr>
        <w:t xml:space="preserve"> </w:t>
      </w:r>
      <w:proofErr w:type="spellStart"/>
      <w:r w:rsidR="00FE0BD6" w:rsidRPr="006B43CC">
        <w:rPr>
          <w:rFonts w:ascii="Verdana" w:hAnsi="Verdana"/>
          <w:spacing w:val="-4"/>
          <w:sz w:val="20"/>
          <w:szCs w:val="20"/>
          <w:lang w:val="es-ES"/>
        </w:rPr>
        <w:t>Tlachinollan</w:t>
      </w:r>
      <w:proofErr w:type="spellEnd"/>
      <w:r w:rsidR="00FE0BD6" w:rsidRPr="006B43CC">
        <w:rPr>
          <w:rFonts w:ascii="Verdana" w:hAnsi="Verdana"/>
          <w:spacing w:val="-4"/>
          <w:sz w:val="20"/>
          <w:szCs w:val="20"/>
          <w:lang w:val="es-ES"/>
        </w:rPr>
        <w:t>, A.C. (</w:t>
      </w:r>
      <w:r w:rsidR="00103B71">
        <w:rPr>
          <w:rFonts w:ascii="Verdana" w:hAnsi="Verdana"/>
          <w:spacing w:val="-4"/>
          <w:sz w:val="20"/>
          <w:szCs w:val="20"/>
          <w:lang w:val="es-ES"/>
        </w:rPr>
        <w:t>en adelante “</w:t>
      </w:r>
      <w:proofErr w:type="spellStart"/>
      <w:r w:rsidR="00FE0BD6" w:rsidRPr="006B43CC">
        <w:rPr>
          <w:rFonts w:ascii="Verdana" w:hAnsi="Verdana"/>
          <w:spacing w:val="-4"/>
          <w:sz w:val="20"/>
          <w:szCs w:val="20"/>
          <w:lang w:val="es-ES"/>
        </w:rPr>
        <w:t>Tlachinollan</w:t>
      </w:r>
      <w:proofErr w:type="spellEnd"/>
      <w:r w:rsidR="00103B71">
        <w:rPr>
          <w:rFonts w:ascii="Verdana" w:hAnsi="Verdana"/>
          <w:spacing w:val="-4"/>
          <w:sz w:val="20"/>
          <w:szCs w:val="20"/>
          <w:lang w:val="es-ES"/>
        </w:rPr>
        <w:t>”</w:t>
      </w:r>
      <w:r w:rsidR="00FE0BD6" w:rsidRPr="006B43CC">
        <w:rPr>
          <w:rFonts w:ascii="Verdana" w:hAnsi="Verdana"/>
          <w:spacing w:val="-4"/>
          <w:sz w:val="20"/>
          <w:szCs w:val="20"/>
          <w:lang w:val="es-ES"/>
        </w:rPr>
        <w:t>)</w:t>
      </w:r>
      <w:r w:rsidR="00C202A2" w:rsidRPr="006B43CC">
        <w:rPr>
          <w:rStyle w:val="FootnoteReference"/>
          <w:spacing w:val="-4"/>
          <w:sz w:val="20"/>
          <w:szCs w:val="20"/>
        </w:rPr>
        <w:footnoteReference w:id="4"/>
      </w:r>
      <w:r w:rsidR="00C202A2" w:rsidRPr="006B43CC">
        <w:rPr>
          <w:rFonts w:ascii="Verdana" w:hAnsi="Verdana"/>
          <w:spacing w:val="-4"/>
          <w:sz w:val="20"/>
          <w:szCs w:val="20"/>
        </w:rPr>
        <w:t>.</w:t>
      </w:r>
      <w:bookmarkEnd w:id="1"/>
    </w:p>
    <w:p w14:paraId="26C17546" w14:textId="77777777" w:rsidR="00FE0BD6" w:rsidRPr="005A17C2" w:rsidRDefault="00FE0BD6" w:rsidP="00BB145E">
      <w:pPr>
        <w:ind w:right="22"/>
        <w:jc w:val="both"/>
        <w:rPr>
          <w:rFonts w:ascii="Verdana" w:hAnsi="Verdana"/>
          <w:spacing w:val="-4"/>
          <w:sz w:val="20"/>
          <w:szCs w:val="20"/>
        </w:rPr>
      </w:pPr>
    </w:p>
    <w:p w14:paraId="66BCCBAE" w14:textId="0599AFB6" w:rsidR="00F66F74" w:rsidRPr="005A17C2" w:rsidRDefault="00F66F74" w:rsidP="00BB145E">
      <w:pPr>
        <w:numPr>
          <w:ilvl w:val="0"/>
          <w:numId w:val="22"/>
        </w:numPr>
        <w:ind w:right="22"/>
        <w:jc w:val="both"/>
        <w:rPr>
          <w:rFonts w:ascii="Verdana" w:hAnsi="Verdana"/>
          <w:spacing w:val="-4"/>
          <w:sz w:val="20"/>
          <w:szCs w:val="20"/>
          <w:lang w:val="es-ES"/>
        </w:rPr>
      </w:pPr>
      <w:r w:rsidRPr="005A17C2">
        <w:rPr>
          <w:rFonts w:ascii="Verdana" w:hAnsi="Verdana"/>
          <w:spacing w:val="-4"/>
          <w:sz w:val="20"/>
          <w:szCs w:val="20"/>
        </w:rPr>
        <w:t xml:space="preserve">De conformidad </w:t>
      </w:r>
      <w:r w:rsidR="00787859">
        <w:rPr>
          <w:rFonts w:ascii="Verdana" w:hAnsi="Verdana"/>
          <w:spacing w:val="-4"/>
          <w:sz w:val="20"/>
          <w:szCs w:val="20"/>
        </w:rPr>
        <w:t>con</w:t>
      </w:r>
      <w:r w:rsidRPr="005A17C2">
        <w:rPr>
          <w:rFonts w:ascii="Verdana" w:hAnsi="Verdana"/>
          <w:spacing w:val="-4"/>
          <w:sz w:val="20"/>
          <w:szCs w:val="20"/>
        </w:rPr>
        <w:t xml:space="preserve"> lo resuelto en su Resolución </w:t>
      </w:r>
      <w:r w:rsidR="00C76A0E" w:rsidRPr="005A17C2">
        <w:rPr>
          <w:rFonts w:ascii="Verdana" w:hAnsi="Verdana"/>
          <w:spacing w:val="-4"/>
          <w:sz w:val="20"/>
          <w:szCs w:val="20"/>
        </w:rPr>
        <w:t xml:space="preserve">anterior </w:t>
      </w:r>
      <w:r w:rsidRPr="005A17C2">
        <w:rPr>
          <w:rFonts w:ascii="Verdana" w:hAnsi="Verdana"/>
          <w:spacing w:val="-4"/>
          <w:sz w:val="20"/>
          <w:szCs w:val="20"/>
        </w:rPr>
        <w:t>(</w:t>
      </w:r>
      <w:r w:rsidRPr="005A17C2">
        <w:rPr>
          <w:rFonts w:ascii="Verdana" w:hAnsi="Verdana"/>
          <w:i/>
          <w:spacing w:val="-4"/>
          <w:sz w:val="20"/>
          <w:szCs w:val="20"/>
        </w:rPr>
        <w:t>supra</w:t>
      </w:r>
      <w:r w:rsidRPr="005A17C2">
        <w:rPr>
          <w:rFonts w:ascii="Verdana" w:hAnsi="Verdana"/>
          <w:spacing w:val="-4"/>
          <w:sz w:val="20"/>
          <w:szCs w:val="20"/>
        </w:rPr>
        <w:t xml:space="preserve"> Visto 1), </w:t>
      </w:r>
      <w:r w:rsidR="00C76A0E" w:rsidRPr="005A17C2">
        <w:rPr>
          <w:rFonts w:ascii="Verdana" w:hAnsi="Verdana"/>
          <w:spacing w:val="-4"/>
          <w:sz w:val="20"/>
          <w:szCs w:val="20"/>
        </w:rPr>
        <w:t xml:space="preserve">en esta Resolución la Corte </w:t>
      </w:r>
      <w:r w:rsidRPr="005A17C2">
        <w:rPr>
          <w:rFonts w:ascii="Verdana" w:hAnsi="Verdana"/>
          <w:spacing w:val="-4"/>
          <w:sz w:val="20"/>
          <w:szCs w:val="20"/>
        </w:rPr>
        <w:t>examinará: (</w:t>
      </w:r>
      <w:r w:rsidR="007C771C" w:rsidRPr="005A17C2">
        <w:rPr>
          <w:rFonts w:ascii="Verdana" w:hAnsi="Verdana"/>
          <w:spacing w:val="-4"/>
          <w:sz w:val="20"/>
          <w:szCs w:val="20"/>
        </w:rPr>
        <w:t>A</w:t>
      </w:r>
      <w:r w:rsidRPr="005A17C2">
        <w:rPr>
          <w:rFonts w:ascii="Verdana" w:hAnsi="Verdana"/>
          <w:spacing w:val="-4"/>
          <w:sz w:val="20"/>
          <w:szCs w:val="20"/>
        </w:rPr>
        <w:t>) la implementación de las medidas provisionales</w:t>
      </w:r>
      <w:r w:rsidR="00857CD8">
        <w:rPr>
          <w:rFonts w:ascii="Verdana" w:hAnsi="Verdana"/>
          <w:spacing w:val="-4"/>
          <w:sz w:val="20"/>
          <w:szCs w:val="20"/>
        </w:rPr>
        <w:t>;</w:t>
      </w:r>
      <w:r w:rsidRPr="005A17C2">
        <w:rPr>
          <w:rFonts w:ascii="Verdana" w:hAnsi="Verdana"/>
          <w:spacing w:val="-4"/>
          <w:sz w:val="20"/>
          <w:szCs w:val="20"/>
        </w:rPr>
        <w:t xml:space="preserve"> (</w:t>
      </w:r>
      <w:r w:rsidR="007C771C" w:rsidRPr="005A17C2">
        <w:rPr>
          <w:rFonts w:ascii="Verdana" w:hAnsi="Verdana"/>
          <w:spacing w:val="-4"/>
          <w:sz w:val="20"/>
          <w:szCs w:val="20"/>
        </w:rPr>
        <w:t>B</w:t>
      </w:r>
      <w:r w:rsidRPr="005A17C2">
        <w:rPr>
          <w:rFonts w:ascii="Verdana" w:hAnsi="Verdana"/>
          <w:spacing w:val="-4"/>
          <w:sz w:val="20"/>
          <w:szCs w:val="20"/>
        </w:rPr>
        <w:t xml:space="preserve">) la </w:t>
      </w:r>
      <w:r w:rsidR="00097D7C" w:rsidRPr="005A17C2">
        <w:rPr>
          <w:rFonts w:ascii="Verdana" w:hAnsi="Verdana"/>
          <w:spacing w:val="-4"/>
          <w:sz w:val="20"/>
          <w:szCs w:val="20"/>
          <w:lang w:val="es-ES"/>
        </w:rPr>
        <w:t xml:space="preserve">situación </w:t>
      </w:r>
      <w:r w:rsidR="00857CD8">
        <w:rPr>
          <w:rFonts w:ascii="Verdana" w:hAnsi="Verdana"/>
          <w:spacing w:val="-4"/>
          <w:sz w:val="20"/>
          <w:szCs w:val="20"/>
          <w:lang w:val="es-ES"/>
        </w:rPr>
        <w:t xml:space="preserve"> actual </w:t>
      </w:r>
      <w:r w:rsidR="00097D7C" w:rsidRPr="005A17C2">
        <w:rPr>
          <w:rFonts w:ascii="Verdana" w:hAnsi="Verdana"/>
          <w:spacing w:val="-4"/>
          <w:sz w:val="20"/>
          <w:szCs w:val="20"/>
          <w:lang w:val="es-ES"/>
        </w:rPr>
        <w:t>de riesgo de los beneficiario</w:t>
      </w:r>
      <w:r w:rsidRPr="005A17C2">
        <w:rPr>
          <w:rFonts w:ascii="Verdana" w:hAnsi="Verdana"/>
          <w:spacing w:val="-4"/>
          <w:sz w:val="20"/>
          <w:szCs w:val="20"/>
          <w:lang w:val="es-ES"/>
        </w:rPr>
        <w:t>s</w:t>
      </w:r>
      <w:r w:rsidR="00C76A0E" w:rsidRPr="005A17C2">
        <w:rPr>
          <w:rFonts w:ascii="Verdana" w:hAnsi="Verdana"/>
          <w:spacing w:val="-4"/>
          <w:sz w:val="20"/>
          <w:szCs w:val="20"/>
          <w:lang w:val="es-ES"/>
        </w:rPr>
        <w:t xml:space="preserve"> y, p</w:t>
      </w:r>
      <w:r w:rsidR="00FE0BD6" w:rsidRPr="005A17C2">
        <w:rPr>
          <w:rFonts w:ascii="Verdana" w:hAnsi="Verdana"/>
          <w:spacing w:val="-4"/>
          <w:sz w:val="20"/>
          <w:szCs w:val="20"/>
          <w:lang w:val="es-ES"/>
        </w:rPr>
        <w:t xml:space="preserve">or último, </w:t>
      </w:r>
      <w:r w:rsidR="000E2A92" w:rsidRPr="005A17C2">
        <w:rPr>
          <w:rFonts w:ascii="Verdana" w:hAnsi="Verdana"/>
          <w:spacing w:val="-4"/>
          <w:sz w:val="20"/>
          <w:szCs w:val="20"/>
          <w:lang w:val="es-ES"/>
        </w:rPr>
        <w:t xml:space="preserve">se referirá a </w:t>
      </w:r>
      <w:r w:rsidR="00FE0BD6" w:rsidRPr="005A17C2">
        <w:rPr>
          <w:rFonts w:ascii="Verdana" w:hAnsi="Verdana"/>
          <w:spacing w:val="-4"/>
          <w:sz w:val="20"/>
          <w:szCs w:val="20"/>
          <w:lang w:val="es-ES"/>
        </w:rPr>
        <w:t xml:space="preserve">(C) </w:t>
      </w:r>
      <w:r w:rsidR="000E2A92" w:rsidRPr="005A17C2">
        <w:rPr>
          <w:rFonts w:ascii="Verdana" w:hAnsi="Verdana"/>
          <w:spacing w:val="-4"/>
          <w:sz w:val="20"/>
          <w:szCs w:val="20"/>
          <w:lang w:val="es-ES"/>
        </w:rPr>
        <w:t xml:space="preserve">la información </w:t>
      </w:r>
      <w:r w:rsidR="00FE0BD6" w:rsidRPr="005A17C2">
        <w:rPr>
          <w:rFonts w:ascii="Verdana" w:hAnsi="Verdana"/>
          <w:spacing w:val="-4"/>
          <w:sz w:val="20"/>
          <w:szCs w:val="20"/>
          <w:lang w:val="es-ES"/>
        </w:rPr>
        <w:t xml:space="preserve">remitida por las partes </w:t>
      </w:r>
      <w:r w:rsidR="000E2A92" w:rsidRPr="005A17C2">
        <w:rPr>
          <w:rFonts w:ascii="Verdana" w:hAnsi="Verdana"/>
          <w:spacing w:val="-4"/>
          <w:sz w:val="20"/>
          <w:szCs w:val="20"/>
          <w:lang w:val="es-ES"/>
        </w:rPr>
        <w:t xml:space="preserve">sobre las investigaciones iniciadas </w:t>
      </w:r>
      <w:r w:rsidR="00FE0BD6" w:rsidRPr="005A17C2">
        <w:rPr>
          <w:rFonts w:ascii="Verdana" w:hAnsi="Verdana"/>
          <w:spacing w:val="-4"/>
          <w:sz w:val="20"/>
          <w:szCs w:val="20"/>
          <w:lang w:val="es-ES"/>
        </w:rPr>
        <w:t>en relación</w:t>
      </w:r>
      <w:r w:rsidR="000E2A92" w:rsidRPr="005A17C2">
        <w:rPr>
          <w:rFonts w:ascii="Verdana" w:hAnsi="Verdana"/>
          <w:spacing w:val="-4"/>
          <w:sz w:val="20"/>
          <w:szCs w:val="20"/>
          <w:lang w:val="es-ES"/>
        </w:rPr>
        <w:t xml:space="preserve"> con </w:t>
      </w:r>
      <w:r w:rsidR="00C76A0E" w:rsidRPr="005A17C2">
        <w:rPr>
          <w:rFonts w:ascii="Verdana" w:hAnsi="Verdana"/>
          <w:spacing w:val="-4"/>
          <w:sz w:val="20"/>
          <w:szCs w:val="20"/>
          <w:lang w:val="es-ES"/>
        </w:rPr>
        <w:t>las</w:t>
      </w:r>
      <w:r w:rsidR="000E2A92" w:rsidRPr="005A17C2">
        <w:rPr>
          <w:rFonts w:ascii="Verdana" w:hAnsi="Verdana"/>
          <w:spacing w:val="-4"/>
          <w:sz w:val="20"/>
          <w:szCs w:val="20"/>
          <w:lang w:val="es-ES"/>
        </w:rPr>
        <w:t xml:space="preserve"> medidas. </w:t>
      </w:r>
    </w:p>
    <w:p w14:paraId="73DEB676" w14:textId="77777777" w:rsidR="00F66F74" w:rsidRPr="005A17C2" w:rsidRDefault="00F66F74" w:rsidP="00BB145E">
      <w:pPr>
        <w:ind w:right="22"/>
        <w:jc w:val="both"/>
        <w:rPr>
          <w:rFonts w:ascii="Verdana" w:hAnsi="Verdana"/>
          <w:spacing w:val="-4"/>
          <w:sz w:val="20"/>
          <w:szCs w:val="20"/>
          <w:lang w:val="es-ES"/>
        </w:rPr>
      </w:pPr>
    </w:p>
    <w:p w14:paraId="420ACE6B" w14:textId="77777777" w:rsidR="00E579F9" w:rsidRPr="005A17C2" w:rsidRDefault="00BE112B" w:rsidP="00BB145E">
      <w:pPr>
        <w:ind w:left="720" w:right="22"/>
        <w:jc w:val="both"/>
        <w:rPr>
          <w:rFonts w:ascii="Verdana" w:hAnsi="Verdana"/>
          <w:b/>
          <w:color w:val="00B050"/>
          <w:spacing w:val="-4"/>
          <w:sz w:val="18"/>
          <w:szCs w:val="18"/>
        </w:rPr>
      </w:pPr>
      <w:r w:rsidRPr="005A17C2">
        <w:rPr>
          <w:rFonts w:ascii="Verdana" w:hAnsi="Verdana"/>
          <w:b/>
          <w:i/>
          <w:spacing w:val="-4"/>
          <w:sz w:val="20"/>
        </w:rPr>
        <w:t>A</w:t>
      </w:r>
      <w:r w:rsidR="00165A5D" w:rsidRPr="005A17C2">
        <w:rPr>
          <w:rFonts w:ascii="Verdana" w:hAnsi="Verdana"/>
          <w:b/>
          <w:i/>
          <w:spacing w:val="-4"/>
          <w:sz w:val="20"/>
        </w:rPr>
        <w:t xml:space="preserve">. </w:t>
      </w:r>
      <w:r w:rsidR="00E579F9" w:rsidRPr="005A17C2">
        <w:rPr>
          <w:rFonts w:ascii="Verdana" w:hAnsi="Verdana"/>
          <w:b/>
          <w:i/>
          <w:spacing w:val="-4"/>
          <w:sz w:val="20"/>
        </w:rPr>
        <w:t>Implementación de las presentes medidas provisionales</w:t>
      </w:r>
    </w:p>
    <w:p w14:paraId="339DBAF6" w14:textId="77777777" w:rsidR="00E579F9" w:rsidRPr="005A17C2" w:rsidRDefault="00E579F9" w:rsidP="00BB145E">
      <w:pPr>
        <w:ind w:right="22"/>
        <w:jc w:val="both"/>
        <w:rPr>
          <w:rFonts w:ascii="Verdana" w:hAnsi="Verdana"/>
          <w:i/>
          <w:spacing w:val="-4"/>
          <w:sz w:val="20"/>
        </w:rPr>
      </w:pPr>
    </w:p>
    <w:p w14:paraId="39836D3D" w14:textId="6AF98C99" w:rsidR="005932AF" w:rsidRPr="005A17C2" w:rsidRDefault="008358C2" w:rsidP="00BB145E">
      <w:pPr>
        <w:pStyle w:val="BodyText2"/>
        <w:numPr>
          <w:ilvl w:val="0"/>
          <w:numId w:val="22"/>
        </w:numPr>
        <w:spacing w:after="0" w:line="240" w:lineRule="auto"/>
        <w:jc w:val="both"/>
        <w:rPr>
          <w:rFonts w:ascii="Verdana" w:hAnsi="Verdana"/>
          <w:spacing w:val="-4"/>
          <w:sz w:val="20"/>
        </w:rPr>
      </w:pPr>
      <w:bookmarkStart w:id="2" w:name="_Ref416263072"/>
      <w:r w:rsidRPr="005A17C2">
        <w:rPr>
          <w:rFonts w:ascii="Verdana" w:hAnsi="Verdana"/>
          <w:spacing w:val="-4"/>
          <w:sz w:val="20"/>
        </w:rPr>
        <w:lastRenderedPageBreak/>
        <w:t xml:space="preserve">En el marco de las presentes medidas, la Corte ha ordenado </w:t>
      </w:r>
      <w:r w:rsidR="00630461" w:rsidRPr="005A17C2">
        <w:rPr>
          <w:rFonts w:ascii="Verdana" w:hAnsi="Verdana"/>
          <w:spacing w:val="-4"/>
          <w:sz w:val="20"/>
        </w:rPr>
        <w:t xml:space="preserve">al Estado </w:t>
      </w:r>
      <w:r w:rsidR="00A11BDB" w:rsidRPr="005A17C2">
        <w:rPr>
          <w:rFonts w:ascii="Verdana" w:hAnsi="Verdana"/>
          <w:spacing w:val="-4"/>
          <w:sz w:val="20"/>
        </w:rPr>
        <w:t xml:space="preserve">mantener las medidas de protección que estuviere implementando y adoptar las medidas complementarias </w:t>
      </w:r>
      <w:r w:rsidR="00526880" w:rsidRPr="005A17C2">
        <w:rPr>
          <w:rFonts w:ascii="Verdana" w:hAnsi="Verdana"/>
          <w:spacing w:val="-4"/>
          <w:sz w:val="20"/>
        </w:rPr>
        <w:t xml:space="preserve">que fueran </w:t>
      </w:r>
      <w:r w:rsidR="00A11BDB" w:rsidRPr="005A17C2">
        <w:rPr>
          <w:rFonts w:ascii="Verdana" w:hAnsi="Verdana"/>
          <w:spacing w:val="-4"/>
          <w:sz w:val="20"/>
        </w:rPr>
        <w:t>necesarias</w:t>
      </w:r>
      <w:r w:rsidR="00706FCC" w:rsidRPr="005A17C2">
        <w:rPr>
          <w:rFonts w:ascii="Verdana" w:hAnsi="Verdana"/>
          <w:spacing w:val="-4"/>
          <w:sz w:val="20"/>
        </w:rPr>
        <w:t xml:space="preserve"> para proteger la vida e integridad de ciertas personas</w:t>
      </w:r>
      <w:r w:rsidR="00C76A0E" w:rsidRPr="005A17C2">
        <w:rPr>
          <w:rStyle w:val="FootnoteReference"/>
          <w:spacing w:val="-4"/>
        </w:rPr>
        <w:footnoteReference w:id="5"/>
      </w:r>
      <w:r w:rsidR="001115B4" w:rsidRPr="005A17C2">
        <w:rPr>
          <w:rFonts w:ascii="Verdana" w:hAnsi="Verdana"/>
          <w:spacing w:val="-4"/>
          <w:sz w:val="20"/>
        </w:rPr>
        <w:t>.</w:t>
      </w:r>
      <w:r w:rsidR="00E42444" w:rsidRPr="005A17C2">
        <w:rPr>
          <w:rFonts w:ascii="Verdana" w:hAnsi="Verdana"/>
          <w:spacing w:val="-4"/>
          <w:sz w:val="20"/>
        </w:rPr>
        <w:t xml:space="preserve"> </w:t>
      </w:r>
      <w:r w:rsidR="00630461" w:rsidRPr="005A17C2">
        <w:rPr>
          <w:rFonts w:ascii="Verdana" w:hAnsi="Verdana"/>
          <w:spacing w:val="-4"/>
          <w:sz w:val="20"/>
        </w:rPr>
        <w:t xml:space="preserve">De acuerdo a la información suministrada por las partes, las medidas de protección implementadas en el presente caso consisten </w:t>
      </w:r>
      <w:r w:rsidR="002844CA" w:rsidRPr="005A17C2">
        <w:rPr>
          <w:rFonts w:ascii="Verdana" w:hAnsi="Verdana"/>
          <w:spacing w:val="-4"/>
          <w:sz w:val="20"/>
        </w:rPr>
        <w:t xml:space="preserve">en: </w:t>
      </w:r>
      <w:r w:rsidR="001430B0" w:rsidRPr="005A17C2">
        <w:rPr>
          <w:rFonts w:ascii="Verdana" w:hAnsi="Verdana"/>
          <w:spacing w:val="-4"/>
          <w:sz w:val="20"/>
        </w:rPr>
        <w:t>1</w:t>
      </w:r>
      <w:r w:rsidR="002844CA" w:rsidRPr="005A17C2">
        <w:rPr>
          <w:rFonts w:ascii="Verdana" w:hAnsi="Verdana"/>
          <w:spacing w:val="-4"/>
          <w:sz w:val="20"/>
        </w:rPr>
        <w:t>) in</w:t>
      </w:r>
      <w:r w:rsidR="001430B0" w:rsidRPr="005A17C2">
        <w:rPr>
          <w:rFonts w:ascii="Verdana" w:hAnsi="Verdana"/>
          <w:spacing w:val="-4"/>
          <w:sz w:val="20"/>
        </w:rPr>
        <w:t>fraestructura de seguridad y</w:t>
      </w:r>
      <w:r w:rsidR="0004542D" w:rsidRPr="005A17C2">
        <w:rPr>
          <w:rFonts w:ascii="Verdana" w:hAnsi="Verdana"/>
          <w:spacing w:val="-4"/>
          <w:sz w:val="20"/>
        </w:rPr>
        <w:t xml:space="preserve"> sist</w:t>
      </w:r>
      <w:r w:rsidR="001430B0" w:rsidRPr="005A17C2">
        <w:rPr>
          <w:rFonts w:ascii="Verdana" w:hAnsi="Verdana"/>
          <w:spacing w:val="-4"/>
          <w:sz w:val="20"/>
        </w:rPr>
        <w:t>emas de comunicación, así como 2</w:t>
      </w:r>
      <w:r w:rsidR="0004542D" w:rsidRPr="005A17C2">
        <w:rPr>
          <w:rFonts w:ascii="Verdana" w:hAnsi="Verdana"/>
          <w:spacing w:val="-4"/>
          <w:sz w:val="20"/>
        </w:rPr>
        <w:t>) r</w:t>
      </w:r>
      <w:r w:rsidR="002844CA" w:rsidRPr="005A17C2">
        <w:rPr>
          <w:rFonts w:ascii="Verdana" w:hAnsi="Verdana"/>
          <w:spacing w:val="-4"/>
          <w:sz w:val="20"/>
        </w:rPr>
        <w:t xml:space="preserve">ondines y </w:t>
      </w:r>
      <w:r w:rsidR="002E39FC" w:rsidRPr="005A17C2">
        <w:rPr>
          <w:rFonts w:ascii="Verdana" w:hAnsi="Verdana"/>
          <w:spacing w:val="-4"/>
          <w:sz w:val="20"/>
        </w:rPr>
        <w:t xml:space="preserve">medidas de </w:t>
      </w:r>
      <w:r w:rsidR="002844CA" w:rsidRPr="005A17C2">
        <w:rPr>
          <w:rFonts w:ascii="Verdana" w:hAnsi="Verdana"/>
          <w:spacing w:val="-4"/>
          <w:sz w:val="20"/>
        </w:rPr>
        <w:t xml:space="preserve">acompañamiento. </w:t>
      </w:r>
      <w:bookmarkEnd w:id="2"/>
      <w:r w:rsidR="00F5334C" w:rsidRPr="005A17C2">
        <w:rPr>
          <w:rFonts w:ascii="Verdana" w:hAnsi="Verdana"/>
          <w:spacing w:val="-4"/>
          <w:sz w:val="20"/>
        </w:rPr>
        <w:t>A</w:t>
      </w:r>
      <w:r w:rsidR="005932AF" w:rsidRPr="005A17C2">
        <w:rPr>
          <w:rFonts w:ascii="Verdana" w:hAnsi="Verdana"/>
          <w:spacing w:val="-4"/>
          <w:sz w:val="20"/>
        </w:rPr>
        <w:t xml:space="preserve"> continuación este Tribunal se referirá a la información remitida respecto de las mismas</w:t>
      </w:r>
      <w:r w:rsidR="00B9633B">
        <w:rPr>
          <w:rFonts w:ascii="Verdana" w:hAnsi="Verdana"/>
          <w:spacing w:val="-4"/>
          <w:sz w:val="20"/>
        </w:rPr>
        <w:t>,</w:t>
      </w:r>
      <w:r w:rsidR="005932AF" w:rsidRPr="005A17C2">
        <w:rPr>
          <w:rFonts w:ascii="Verdana" w:hAnsi="Verdana"/>
          <w:spacing w:val="-4"/>
          <w:sz w:val="20"/>
        </w:rPr>
        <w:t xml:space="preserve"> en ese mismo orden.</w:t>
      </w:r>
    </w:p>
    <w:p w14:paraId="0202925C" w14:textId="77777777" w:rsidR="00E42444" w:rsidRPr="005A17C2" w:rsidRDefault="00E42444" w:rsidP="00BB145E">
      <w:pPr>
        <w:ind w:right="22"/>
        <w:jc w:val="both"/>
        <w:rPr>
          <w:rFonts w:ascii="Verdana" w:hAnsi="Verdana"/>
          <w:i/>
          <w:spacing w:val="-4"/>
          <w:sz w:val="20"/>
        </w:rPr>
      </w:pPr>
    </w:p>
    <w:p w14:paraId="37B574B1" w14:textId="561B5F09" w:rsidR="00BB0C21" w:rsidRPr="005A17C2" w:rsidRDefault="00D517F5" w:rsidP="00BB145E">
      <w:pPr>
        <w:ind w:left="1440" w:right="22"/>
        <w:jc w:val="both"/>
        <w:rPr>
          <w:rFonts w:ascii="Verdana" w:hAnsi="Verdana"/>
          <w:b/>
          <w:spacing w:val="-4"/>
          <w:sz w:val="20"/>
        </w:rPr>
      </w:pPr>
      <w:r w:rsidRPr="005A17C2">
        <w:rPr>
          <w:rFonts w:ascii="Verdana" w:hAnsi="Verdana"/>
          <w:b/>
          <w:spacing w:val="-4"/>
          <w:sz w:val="20"/>
        </w:rPr>
        <w:t>A</w:t>
      </w:r>
      <w:r w:rsidR="00BB0C21" w:rsidRPr="005A17C2">
        <w:rPr>
          <w:rFonts w:ascii="Verdana" w:hAnsi="Verdana"/>
          <w:b/>
          <w:spacing w:val="-4"/>
          <w:sz w:val="20"/>
        </w:rPr>
        <w:t xml:space="preserve">.1) </w:t>
      </w:r>
      <w:r w:rsidR="00526880" w:rsidRPr="005A17C2">
        <w:rPr>
          <w:rFonts w:ascii="Verdana" w:hAnsi="Verdana"/>
          <w:b/>
          <w:spacing w:val="-4"/>
          <w:sz w:val="20"/>
        </w:rPr>
        <w:t xml:space="preserve">Sobre la provisión de </w:t>
      </w:r>
      <w:r w:rsidR="007B6366" w:rsidRPr="005A17C2">
        <w:rPr>
          <w:rFonts w:ascii="Verdana" w:hAnsi="Verdana"/>
          <w:b/>
          <w:spacing w:val="-4"/>
          <w:sz w:val="20"/>
        </w:rPr>
        <w:t>infraestructura de seguridad</w:t>
      </w:r>
      <w:r w:rsidR="001430B0" w:rsidRPr="005A17C2">
        <w:rPr>
          <w:rFonts w:ascii="Verdana" w:hAnsi="Verdana"/>
          <w:b/>
          <w:spacing w:val="-4"/>
          <w:sz w:val="20"/>
        </w:rPr>
        <w:t xml:space="preserve"> y sistemas de comunicación </w:t>
      </w:r>
    </w:p>
    <w:p w14:paraId="474A76A8" w14:textId="77777777" w:rsidR="008D5765" w:rsidRPr="005A17C2" w:rsidRDefault="008D5765" w:rsidP="00BB145E">
      <w:pPr>
        <w:pStyle w:val="BodyText2"/>
        <w:spacing w:after="0" w:line="240" w:lineRule="auto"/>
        <w:jc w:val="both"/>
        <w:rPr>
          <w:rFonts w:ascii="Verdana" w:hAnsi="Verdana"/>
          <w:b/>
          <w:spacing w:val="-4"/>
          <w:sz w:val="20"/>
          <w:lang w:val="es-ES"/>
        </w:rPr>
      </w:pPr>
      <w:bookmarkStart w:id="3" w:name="_Ref416258928"/>
    </w:p>
    <w:p w14:paraId="0EB6D909" w14:textId="4F20590A" w:rsidR="0067685B" w:rsidRPr="005A17C2" w:rsidRDefault="008D5765" w:rsidP="00BB145E">
      <w:pPr>
        <w:pStyle w:val="BodyText2"/>
        <w:numPr>
          <w:ilvl w:val="0"/>
          <w:numId w:val="22"/>
        </w:numPr>
        <w:spacing w:after="0" w:line="240" w:lineRule="auto"/>
        <w:jc w:val="both"/>
        <w:rPr>
          <w:rFonts w:ascii="Verdana" w:hAnsi="Verdana"/>
          <w:color w:val="000000"/>
          <w:spacing w:val="-4"/>
          <w:sz w:val="20"/>
          <w:shd w:val="clear" w:color="auto" w:fill="FFFFFF"/>
          <w:lang w:val="es-CR"/>
        </w:rPr>
      </w:pPr>
      <w:bookmarkStart w:id="4" w:name="_Ref444073525"/>
      <w:r w:rsidRPr="005A17C2">
        <w:rPr>
          <w:rFonts w:ascii="Verdana" w:hAnsi="Verdana"/>
          <w:spacing w:val="-4"/>
          <w:sz w:val="20"/>
          <w:lang w:val="es-ES"/>
        </w:rPr>
        <w:t>El</w:t>
      </w:r>
      <w:r w:rsidRPr="005A17C2">
        <w:rPr>
          <w:rFonts w:ascii="Verdana" w:hAnsi="Verdana"/>
          <w:i/>
          <w:spacing w:val="-4"/>
          <w:sz w:val="20"/>
          <w:lang w:val="es-ES"/>
        </w:rPr>
        <w:t xml:space="preserve"> </w:t>
      </w:r>
      <w:r w:rsidRPr="005A17C2">
        <w:rPr>
          <w:rFonts w:ascii="Verdana" w:hAnsi="Verdana"/>
          <w:b/>
          <w:i/>
          <w:spacing w:val="-4"/>
          <w:sz w:val="20"/>
          <w:lang w:val="es-ES"/>
        </w:rPr>
        <w:t>Estado</w:t>
      </w:r>
      <w:r w:rsidRPr="005A17C2">
        <w:rPr>
          <w:rFonts w:ascii="Verdana" w:hAnsi="Verdana"/>
          <w:b/>
          <w:spacing w:val="-4"/>
          <w:sz w:val="20"/>
          <w:lang w:val="es-ES"/>
        </w:rPr>
        <w:t xml:space="preserve"> </w:t>
      </w:r>
      <w:r w:rsidR="0034248F" w:rsidRPr="005A17C2">
        <w:rPr>
          <w:rFonts w:ascii="Verdana" w:hAnsi="Verdana"/>
          <w:spacing w:val="-4"/>
          <w:sz w:val="20"/>
          <w:lang w:val="es-ES"/>
        </w:rPr>
        <w:t xml:space="preserve">informó </w:t>
      </w:r>
      <w:r w:rsidR="001C17A4" w:rsidRPr="005A17C2">
        <w:rPr>
          <w:rFonts w:ascii="Verdana" w:hAnsi="Verdana"/>
          <w:spacing w:val="-4"/>
          <w:sz w:val="20"/>
          <w:lang w:val="es-ES"/>
        </w:rPr>
        <w:t>sobre</w:t>
      </w:r>
      <w:r w:rsidR="00365238" w:rsidRPr="005A17C2">
        <w:rPr>
          <w:rFonts w:ascii="Verdana" w:hAnsi="Verdana"/>
          <w:spacing w:val="-4"/>
          <w:sz w:val="20"/>
          <w:lang w:val="es-ES"/>
        </w:rPr>
        <w:t xml:space="preserve"> las gestiones re</w:t>
      </w:r>
      <w:r w:rsidR="00FE1B6C" w:rsidRPr="005A17C2">
        <w:rPr>
          <w:rFonts w:ascii="Verdana" w:hAnsi="Verdana"/>
          <w:spacing w:val="-4"/>
          <w:sz w:val="20"/>
          <w:lang w:val="es-ES"/>
        </w:rPr>
        <w:t>alizadas para revisar, instalar</w:t>
      </w:r>
      <w:r w:rsidR="00365238" w:rsidRPr="005A17C2">
        <w:rPr>
          <w:rFonts w:ascii="Verdana" w:hAnsi="Verdana"/>
          <w:spacing w:val="-4"/>
          <w:sz w:val="20"/>
          <w:lang w:val="es-ES"/>
        </w:rPr>
        <w:t xml:space="preserve"> y re</w:t>
      </w:r>
      <w:r w:rsidR="003B5DE4" w:rsidRPr="005A17C2">
        <w:rPr>
          <w:rFonts w:ascii="Verdana" w:hAnsi="Verdana"/>
          <w:spacing w:val="-4"/>
          <w:sz w:val="20"/>
          <w:lang w:val="es-ES"/>
        </w:rPr>
        <w:t xml:space="preserve">parar equipos de seguridad </w:t>
      </w:r>
      <w:r w:rsidR="0088642D" w:rsidRPr="005A17C2">
        <w:rPr>
          <w:rFonts w:ascii="Verdana" w:hAnsi="Verdana"/>
          <w:spacing w:val="-4"/>
          <w:sz w:val="20"/>
          <w:lang w:val="es-ES"/>
        </w:rPr>
        <w:t>en las oficinas</w:t>
      </w:r>
      <w:r w:rsidR="003B5DE4" w:rsidRPr="005A17C2">
        <w:rPr>
          <w:rFonts w:ascii="Verdana" w:hAnsi="Verdana"/>
          <w:spacing w:val="-4"/>
          <w:sz w:val="20"/>
          <w:lang w:val="es-ES"/>
        </w:rPr>
        <w:t xml:space="preserve"> </w:t>
      </w:r>
      <w:r w:rsidR="00C87579" w:rsidRPr="005A17C2">
        <w:rPr>
          <w:rFonts w:ascii="Verdana" w:hAnsi="Verdana"/>
          <w:spacing w:val="-4"/>
          <w:sz w:val="20"/>
          <w:lang w:val="es-ES"/>
        </w:rPr>
        <w:t xml:space="preserve">de </w:t>
      </w:r>
      <w:r w:rsidR="00FE1B6C" w:rsidRPr="005A17C2">
        <w:rPr>
          <w:rFonts w:ascii="Verdana" w:hAnsi="Verdana"/>
          <w:spacing w:val="-4"/>
          <w:sz w:val="20"/>
          <w:lang w:val="es-ES"/>
        </w:rPr>
        <w:t xml:space="preserve">OPIM </w:t>
      </w:r>
      <w:r w:rsidR="00C87579" w:rsidRPr="005A17C2">
        <w:rPr>
          <w:rFonts w:ascii="Verdana" w:hAnsi="Verdana"/>
          <w:spacing w:val="-4"/>
          <w:sz w:val="20"/>
          <w:lang w:val="es-ES"/>
        </w:rPr>
        <w:t xml:space="preserve">y </w:t>
      </w:r>
      <w:r w:rsidR="00177B59">
        <w:rPr>
          <w:rFonts w:ascii="Verdana" w:hAnsi="Verdana"/>
          <w:spacing w:val="-4"/>
          <w:sz w:val="20"/>
          <w:lang w:val="es-ES"/>
        </w:rPr>
        <w:t xml:space="preserve">de </w:t>
      </w:r>
      <w:proofErr w:type="spellStart"/>
      <w:r w:rsidR="003B5DE4" w:rsidRPr="005A17C2">
        <w:rPr>
          <w:rFonts w:ascii="Verdana" w:hAnsi="Verdana"/>
          <w:spacing w:val="-4"/>
          <w:sz w:val="20"/>
          <w:lang w:val="es-ES"/>
        </w:rPr>
        <w:t>Tlachinollan</w:t>
      </w:r>
      <w:proofErr w:type="spellEnd"/>
      <w:r w:rsidR="00B66F8F" w:rsidRPr="005A17C2">
        <w:rPr>
          <w:rFonts w:ascii="Verdana" w:hAnsi="Verdana"/>
          <w:spacing w:val="-4"/>
          <w:sz w:val="20"/>
          <w:lang w:val="es-ES"/>
        </w:rPr>
        <w:t>, tanto</w:t>
      </w:r>
      <w:r w:rsidR="00C87579" w:rsidRPr="005A17C2">
        <w:rPr>
          <w:rFonts w:ascii="Verdana" w:hAnsi="Verdana"/>
          <w:spacing w:val="-4"/>
          <w:sz w:val="20"/>
          <w:lang w:val="es-ES"/>
        </w:rPr>
        <w:t xml:space="preserve"> en </w:t>
      </w:r>
      <w:r w:rsidR="00B66F8F" w:rsidRPr="005A17C2">
        <w:rPr>
          <w:rFonts w:ascii="Verdana" w:hAnsi="Verdana"/>
          <w:spacing w:val="-4"/>
          <w:sz w:val="20"/>
          <w:lang w:val="es-ES"/>
        </w:rPr>
        <w:t>Ayutla como en</w:t>
      </w:r>
      <w:r w:rsidR="0034248F" w:rsidRPr="005A17C2">
        <w:rPr>
          <w:rFonts w:ascii="Verdana" w:hAnsi="Verdana"/>
          <w:spacing w:val="-4"/>
          <w:sz w:val="20"/>
          <w:lang w:val="es-ES"/>
        </w:rPr>
        <w:t xml:space="preserve"> Tlapa de Comonfort</w:t>
      </w:r>
      <w:r w:rsidR="00B9633B">
        <w:rPr>
          <w:rFonts w:ascii="Verdana" w:hAnsi="Verdana"/>
          <w:spacing w:val="-4"/>
          <w:sz w:val="20"/>
          <w:lang w:val="es-ES"/>
        </w:rPr>
        <w:t>;</w:t>
      </w:r>
      <w:r w:rsidR="00B9633B" w:rsidRPr="005A17C2">
        <w:rPr>
          <w:rFonts w:ascii="Verdana" w:hAnsi="Verdana"/>
          <w:spacing w:val="-4"/>
          <w:sz w:val="20"/>
          <w:lang w:val="es-ES"/>
        </w:rPr>
        <w:t xml:space="preserve"> </w:t>
      </w:r>
      <w:r w:rsidR="0034248F" w:rsidRPr="005A17C2">
        <w:rPr>
          <w:rFonts w:ascii="Verdana" w:hAnsi="Verdana"/>
          <w:spacing w:val="-4"/>
          <w:sz w:val="20"/>
          <w:lang w:val="es-ES"/>
        </w:rPr>
        <w:t>en los domicilios de Inés Fernández y Abel Barrera</w:t>
      </w:r>
      <w:r w:rsidR="004D64B9" w:rsidRPr="005A17C2">
        <w:rPr>
          <w:rStyle w:val="FootnoteReference"/>
          <w:spacing w:val="-4"/>
          <w:sz w:val="20"/>
          <w:lang w:val="es-ES"/>
        </w:rPr>
        <w:footnoteReference w:id="6"/>
      </w:r>
      <w:r w:rsidR="00B9633B">
        <w:rPr>
          <w:rFonts w:ascii="Verdana" w:hAnsi="Verdana"/>
          <w:spacing w:val="-4"/>
          <w:sz w:val="20"/>
          <w:lang w:val="es-ES"/>
        </w:rPr>
        <w:t>,</w:t>
      </w:r>
      <w:r w:rsidR="0034248F" w:rsidRPr="005A17C2">
        <w:rPr>
          <w:rFonts w:ascii="Verdana" w:hAnsi="Verdana"/>
          <w:spacing w:val="-4"/>
          <w:sz w:val="20"/>
          <w:lang w:val="es-ES"/>
        </w:rPr>
        <w:t xml:space="preserve"> </w:t>
      </w:r>
      <w:r w:rsidR="00BA729C" w:rsidRPr="005A17C2">
        <w:rPr>
          <w:rFonts w:ascii="Verdana" w:hAnsi="Verdana"/>
          <w:spacing w:val="-4"/>
          <w:sz w:val="20"/>
          <w:lang w:val="es-ES"/>
        </w:rPr>
        <w:t xml:space="preserve">y </w:t>
      </w:r>
      <w:r w:rsidR="0034248F" w:rsidRPr="005A17C2">
        <w:rPr>
          <w:rFonts w:ascii="Verdana" w:hAnsi="Verdana"/>
          <w:spacing w:val="-4"/>
          <w:sz w:val="20"/>
          <w:lang w:val="es-ES"/>
        </w:rPr>
        <w:t xml:space="preserve">en las </w:t>
      </w:r>
      <w:r w:rsidR="006864DE" w:rsidRPr="005A17C2">
        <w:rPr>
          <w:rFonts w:ascii="Verdana" w:hAnsi="Verdana"/>
          <w:spacing w:val="-4"/>
          <w:sz w:val="20"/>
          <w:lang w:val="es-ES"/>
        </w:rPr>
        <w:t xml:space="preserve">oficinas </w:t>
      </w:r>
      <w:r w:rsidR="000B06F6" w:rsidRPr="005A17C2">
        <w:rPr>
          <w:rFonts w:ascii="Verdana" w:hAnsi="Verdana"/>
          <w:spacing w:val="-4"/>
          <w:sz w:val="20"/>
          <w:lang w:val="es-ES"/>
        </w:rPr>
        <w:t xml:space="preserve">de </w:t>
      </w:r>
      <w:r w:rsidR="006864DE" w:rsidRPr="005A17C2">
        <w:rPr>
          <w:rFonts w:ascii="Verdana" w:hAnsi="Verdana"/>
          <w:spacing w:val="-4"/>
          <w:sz w:val="20"/>
          <w:lang w:val="es-ES"/>
        </w:rPr>
        <w:t xml:space="preserve">la organización </w:t>
      </w:r>
      <w:r w:rsidR="0013140D" w:rsidRPr="005A17C2">
        <w:rPr>
          <w:rFonts w:ascii="Verdana" w:hAnsi="Verdana"/>
          <w:color w:val="000000"/>
          <w:spacing w:val="-4"/>
          <w:sz w:val="20"/>
          <w:shd w:val="clear" w:color="auto" w:fill="FFFFFF"/>
        </w:rPr>
        <w:t>Monitor Civil de la Policía y de las Fuerzas de Seguridad de La Montaña</w:t>
      </w:r>
      <w:r w:rsidR="0013140D" w:rsidRPr="005A17C2">
        <w:rPr>
          <w:rFonts w:ascii="Verdana" w:hAnsi="Verdana"/>
          <w:spacing w:val="-4"/>
          <w:sz w:val="20"/>
          <w:lang w:val="es-ES"/>
        </w:rPr>
        <w:t xml:space="preserve"> </w:t>
      </w:r>
      <w:r w:rsidR="000B06F6" w:rsidRPr="005A17C2">
        <w:rPr>
          <w:rFonts w:ascii="Verdana" w:hAnsi="Verdana"/>
          <w:spacing w:val="-4"/>
          <w:sz w:val="20"/>
          <w:lang w:val="es-ES"/>
        </w:rPr>
        <w:t>(en adelante</w:t>
      </w:r>
      <w:r w:rsidR="0013140D" w:rsidRPr="005A17C2">
        <w:rPr>
          <w:rFonts w:ascii="Verdana" w:hAnsi="Verdana"/>
          <w:spacing w:val="-4"/>
          <w:sz w:val="20"/>
          <w:lang w:val="es-ES"/>
        </w:rPr>
        <w:t xml:space="preserve"> MOCIPOL</w:t>
      </w:r>
      <w:r w:rsidR="000B06F6" w:rsidRPr="005A17C2">
        <w:rPr>
          <w:rFonts w:ascii="Verdana" w:hAnsi="Verdana"/>
          <w:color w:val="000000"/>
          <w:spacing w:val="-4"/>
          <w:sz w:val="20"/>
          <w:shd w:val="clear" w:color="auto" w:fill="FFFFFF"/>
        </w:rPr>
        <w:t>)</w:t>
      </w:r>
      <w:r w:rsidR="000958A3" w:rsidRPr="005A17C2">
        <w:rPr>
          <w:rFonts w:ascii="Verdana" w:hAnsi="Verdana"/>
          <w:color w:val="000000"/>
          <w:spacing w:val="-4"/>
          <w:sz w:val="20"/>
          <w:shd w:val="clear" w:color="auto" w:fill="FFFFFF"/>
        </w:rPr>
        <w:t xml:space="preserve"> en la cual trabajarían algunos de los beneficiarios</w:t>
      </w:r>
      <w:r w:rsidR="0013140D" w:rsidRPr="005A17C2">
        <w:rPr>
          <w:rFonts w:ascii="Verdana" w:hAnsi="Verdana"/>
          <w:color w:val="000000"/>
          <w:spacing w:val="-4"/>
          <w:sz w:val="20"/>
          <w:shd w:val="clear" w:color="auto" w:fill="FFFFFF"/>
        </w:rPr>
        <w:t>.</w:t>
      </w:r>
      <w:r w:rsidR="001D7D63" w:rsidRPr="005A17C2">
        <w:rPr>
          <w:rFonts w:ascii="Verdana" w:hAnsi="Verdana"/>
          <w:color w:val="000000"/>
          <w:spacing w:val="-4"/>
          <w:sz w:val="20"/>
          <w:shd w:val="clear" w:color="auto" w:fill="FFFFFF"/>
        </w:rPr>
        <w:t xml:space="preserve"> </w:t>
      </w:r>
      <w:r w:rsidR="00FC26BD" w:rsidRPr="005A17C2">
        <w:rPr>
          <w:rFonts w:ascii="Verdana" w:hAnsi="Verdana"/>
          <w:color w:val="000000"/>
          <w:spacing w:val="-4"/>
          <w:sz w:val="20"/>
          <w:shd w:val="clear" w:color="auto" w:fill="FFFFFF"/>
          <w:lang w:val="es-CR"/>
        </w:rPr>
        <w:t>D</w:t>
      </w:r>
      <w:r w:rsidR="00F219F5" w:rsidRPr="005A17C2">
        <w:rPr>
          <w:rFonts w:ascii="Verdana" w:hAnsi="Verdana"/>
          <w:color w:val="000000"/>
          <w:spacing w:val="-4"/>
          <w:sz w:val="20"/>
          <w:shd w:val="clear" w:color="auto" w:fill="FFFFFF"/>
          <w:lang w:val="es-CR"/>
        </w:rPr>
        <w:t>estacó que</w:t>
      </w:r>
      <w:r w:rsidR="00177B59">
        <w:rPr>
          <w:rFonts w:ascii="Verdana" w:hAnsi="Verdana"/>
          <w:color w:val="000000"/>
          <w:spacing w:val="-4"/>
          <w:sz w:val="20"/>
          <w:shd w:val="clear" w:color="auto" w:fill="FFFFFF"/>
          <w:lang w:val="es-CR"/>
        </w:rPr>
        <w:t>,</w:t>
      </w:r>
      <w:r w:rsidR="00F219F5" w:rsidRPr="005A17C2">
        <w:rPr>
          <w:rFonts w:ascii="Verdana" w:hAnsi="Verdana"/>
          <w:color w:val="000000"/>
          <w:spacing w:val="-4"/>
          <w:sz w:val="20"/>
          <w:shd w:val="clear" w:color="auto" w:fill="FFFFFF"/>
          <w:lang w:val="es-CR"/>
        </w:rPr>
        <w:t xml:space="preserve"> </w:t>
      </w:r>
      <w:r w:rsidR="00FC26BD" w:rsidRPr="005A17C2">
        <w:rPr>
          <w:rFonts w:ascii="Verdana" w:hAnsi="Verdana"/>
          <w:color w:val="000000"/>
          <w:spacing w:val="-4"/>
          <w:sz w:val="20"/>
          <w:shd w:val="clear" w:color="auto" w:fill="FFFFFF"/>
          <w:lang w:val="es-CR"/>
        </w:rPr>
        <w:t>alrededor del 15% de</w:t>
      </w:r>
      <w:r w:rsidR="00F219F5" w:rsidRPr="005A17C2">
        <w:rPr>
          <w:rFonts w:ascii="Verdana" w:hAnsi="Verdana"/>
          <w:color w:val="000000"/>
          <w:spacing w:val="-4"/>
          <w:sz w:val="20"/>
          <w:shd w:val="clear" w:color="auto" w:fill="FFFFFF"/>
          <w:lang w:val="es-CR"/>
        </w:rPr>
        <w:t xml:space="preserve"> su </w:t>
      </w:r>
      <w:r w:rsidR="00FC26BD" w:rsidRPr="005A17C2">
        <w:rPr>
          <w:rFonts w:ascii="Verdana" w:hAnsi="Verdana"/>
          <w:color w:val="000000"/>
          <w:spacing w:val="-4"/>
          <w:sz w:val="20"/>
          <w:shd w:val="clear" w:color="auto" w:fill="FFFFFF"/>
          <w:lang w:val="es-CR"/>
        </w:rPr>
        <w:t>presupuesto para servicios de infraestructura</w:t>
      </w:r>
      <w:r w:rsidR="00177B59">
        <w:rPr>
          <w:rFonts w:ascii="Verdana" w:hAnsi="Verdana"/>
          <w:color w:val="000000"/>
          <w:spacing w:val="-4"/>
          <w:sz w:val="20"/>
          <w:shd w:val="clear" w:color="auto" w:fill="FFFFFF"/>
          <w:lang w:val="es-CR"/>
        </w:rPr>
        <w:t>,</w:t>
      </w:r>
      <w:r w:rsidR="00FC26BD" w:rsidRPr="005A17C2">
        <w:rPr>
          <w:rFonts w:ascii="Verdana" w:hAnsi="Verdana"/>
          <w:color w:val="000000"/>
          <w:spacing w:val="-4"/>
          <w:sz w:val="20"/>
          <w:shd w:val="clear" w:color="auto" w:fill="FFFFFF"/>
          <w:lang w:val="es-CR"/>
        </w:rPr>
        <w:t xml:space="preserve"> es destinado exclusivamente para </w:t>
      </w:r>
      <w:r w:rsidR="00BA68E1" w:rsidRPr="005A17C2">
        <w:rPr>
          <w:rFonts w:ascii="Verdana" w:hAnsi="Verdana"/>
          <w:color w:val="000000"/>
          <w:spacing w:val="-4"/>
          <w:sz w:val="20"/>
          <w:shd w:val="clear" w:color="auto" w:fill="FFFFFF"/>
          <w:lang w:val="es-CR"/>
        </w:rPr>
        <w:t xml:space="preserve">estas </w:t>
      </w:r>
      <w:r w:rsidR="00F219F5" w:rsidRPr="005A17C2">
        <w:rPr>
          <w:rFonts w:ascii="Verdana" w:hAnsi="Verdana"/>
          <w:color w:val="000000"/>
          <w:spacing w:val="-4"/>
          <w:sz w:val="20"/>
          <w:shd w:val="clear" w:color="auto" w:fill="FFFFFF"/>
          <w:lang w:val="es-CR"/>
        </w:rPr>
        <w:t>medidas</w:t>
      </w:r>
      <w:r w:rsidR="00FC26BD" w:rsidRPr="005A17C2">
        <w:rPr>
          <w:rFonts w:ascii="Verdana" w:hAnsi="Verdana"/>
          <w:color w:val="000000"/>
          <w:spacing w:val="-4"/>
          <w:sz w:val="20"/>
          <w:shd w:val="clear" w:color="auto" w:fill="FFFFFF"/>
          <w:lang w:val="es-CR"/>
        </w:rPr>
        <w:t xml:space="preserve">. </w:t>
      </w:r>
      <w:r w:rsidR="00FC26BD" w:rsidRPr="005A17C2">
        <w:rPr>
          <w:rFonts w:ascii="Verdana" w:hAnsi="Verdana"/>
          <w:spacing w:val="-4"/>
          <w:sz w:val="20"/>
          <w:lang w:val="es-ES"/>
        </w:rPr>
        <w:t>En mayo de 2015, informó que frente a las fallas técnicas que había</w:t>
      </w:r>
      <w:r w:rsidR="00BA68E1" w:rsidRPr="005A17C2">
        <w:rPr>
          <w:rFonts w:ascii="Verdana" w:hAnsi="Verdana"/>
          <w:spacing w:val="-4"/>
          <w:sz w:val="20"/>
          <w:lang w:val="es-ES"/>
        </w:rPr>
        <w:t>n</w:t>
      </w:r>
      <w:r w:rsidR="00FC26BD" w:rsidRPr="005A17C2">
        <w:rPr>
          <w:rFonts w:ascii="Verdana" w:hAnsi="Verdana"/>
          <w:spacing w:val="-4"/>
          <w:sz w:val="20"/>
          <w:lang w:val="es-ES"/>
        </w:rPr>
        <w:t xml:space="preserve"> presentado el teléfono satelital</w:t>
      </w:r>
      <w:r w:rsidR="00A859D7" w:rsidRPr="005A17C2">
        <w:rPr>
          <w:rFonts w:ascii="Verdana" w:hAnsi="Verdana"/>
          <w:spacing w:val="-4"/>
          <w:sz w:val="20"/>
          <w:lang w:val="es-ES"/>
        </w:rPr>
        <w:t>,</w:t>
      </w:r>
      <w:r w:rsidR="00FC26BD" w:rsidRPr="005A17C2">
        <w:rPr>
          <w:rFonts w:ascii="Verdana" w:hAnsi="Verdana"/>
          <w:spacing w:val="-4"/>
          <w:sz w:val="20"/>
          <w:lang w:val="es-ES"/>
        </w:rPr>
        <w:t xml:space="preserve"> el sistema de CCTV y </w:t>
      </w:r>
      <w:r w:rsidR="00A859D7" w:rsidRPr="005A17C2">
        <w:rPr>
          <w:rFonts w:ascii="Verdana" w:hAnsi="Verdana"/>
          <w:spacing w:val="-4"/>
          <w:sz w:val="20"/>
          <w:lang w:val="es-ES"/>
        </w:rPr>
        <w:t xml:space="preserve">las </w:t>
      </w:r>
      <w:r w:rsidR="00FC26BD" w:rsidRPr="005A17C2">
        <w:rPr>
          <w:rFonts w:ascii="Verdana" w:hAnsi="Verdana"/>
          <w:spacing w:val="-4"/>
          <w:sz w:val="20"/>
          <w:lang w:val="es-ES"/>
        </w:rPr>
        <w:t xml:space="preserve">cámaras instaladas en el domicilio de </w:t>
      </w:r>
      <w:r w:rsidR="006A5D77" w:rsidRPr="005A17C2">
        <w:rPr>
          <w:rFonts w:ascii="Verdana" w:hAnsi="Verdana"/>
          <w:spacing w:val="-4"/>
          <w:sz w:val="20"/>
          <w:lang w:val="es-ES"/>
        </w:rPr>
        <w:t>Inés</w:t>
      </w:r>
      <w:r w:rsidR="00FC26BD" w:rsidRPr="005A17C2">
        <w:rPr>
          <w:rFonts w:ascii="Verdana" w:hAnsi="Verdana"/>
          <w:spacing w:val="-4"/>
          <w:sz w:val="20"/>
          <w:lang w:val="es-ES"/>
        </w:rPr>
        <w:t xml:space="preserve"> Fernández,</w:t>
      </w:r>
      <w:r w:rsidR="00FC26BD" w:rsidRPr="005A17C2">
        <w:rPr>
          <w:rFonts w:ascii="Verdana" w:hAnsi="Verdana"/>
          <w:b/>
          <w:spacing w:val="-4"/>
          <w:sz w:val="20"/>
          <w:lang w:val="es-ES"/>
        </w:rPr>
        <w:t xml:space="preserve"> </w:t>
      </w:r>
      <w:r w:rsidR="00BA68E1" w:rsidRPr="005A17C2">
        <w:rPr>
          <w:rFonts w:ascii="Verdana" w:hAnsi="Verdana"/>
          <w:spacing w:val="-4"/>
          <w:sz w:val="20"/>
          <w:lang w:val="es-ES"/>
        </w:rPr>
        <w:t>coordinó</w:t>
      </w:r>
      <w:r w:rsidR="00BA68E1" w:rsidRPr="005A17C2">
        <w:rPr>
          <w:rFonts w:ascii="Verdana" w:hAnsi="Verdana"/>
          <w:b/>
          <w:spacing w:val="-4"/>
          <w:sz w:val="20"/>
          <w:lang w:val="es-ES"/>
        </w:rPr>
        <w:t xml:space="preserve"> </w:t>
      </w:r>
      <w:r w:rsidR="00FC26BD" w:rsidRPr="005A17C2">
        <w:rPr>
          <w:rFonts w:ascii="Verdana" w:hAnsi="Verdana"/>
          <w:spacing w:val="-4"/>
          <w:sz w:val="20"/>
          <w:lang w:val="es-ES"/>
        </w:rPr>
        <w:t xml:space="preserve">con la empresa proveedora su </w:t>
      </w:r>
      <w:r w:rsidR="00A859D7" w:rsidRPr="005A17C2">
        <w:rPr>
          <w:rFonts w:ascii="Verdana" w:hAnsi="Verdana"/>
          <w:spacing w:val="-4"/>
          <w:sz w:val="20"/>
          <w:lang w:val="es-ES"/>
        </w:rPr>
        <w:t>sustitución</w:t>
      </w:r>
      <w:r w:rsidR="004379E1" w:rsidRPr="005A17C2">
        <w:rPr>
          <w:rFonts w:ascii="Verdana" w:hAnsi="Verdana"/>
          <w:spacing w:val="-4"/>
          <w:sz w:val="20"/>
          <w:lang w:val="es-ES"/>
        </w:rPr>
        <w:t>.</w:t>
      </w:r>
      <w:r w:rsidR="00FC26BD" w:rsidRPr="005A17C2">
        <w:rPr>
          <w:rFonts w:ascii="Verdana" w:hAnsi="Verdana"/>
          <w:b/>
          <w:spacing w:val="-4"/>
          <w:sz w:val="20"/>
          <w:lang w:val="es-ES"/>
        </w:rPr>
        <w:t xml:space="preserve"> </w:t>
      </w:r>
      <w:r w:rsidR="002F1DC0" w:rsidRPr="005A17C2">
        <w:rPr>
          <w:rFonts w:ascii="Verdana" w:hAnsi="Verdana"/>
          <w:spacing w:val="-4"/>
          <w:sz w:val="20"/>
          <w:lang w:val="es-ES"/>
        </w:rPr>
        <w:t>Por otro lado,</w:t>
      </w:r>
      <w:r w:rsidR="002D498B" w:rsidRPr="005A17C2">
        <w:rPr>
          <w:rFonts w:ascii="Verdana" w:hAnsi="Verdana"/>
          <w:spacing w:val="-4"/>
          <w:sz w:val="20"/>
          <w:lang w:val="es-ES"/>
        </w:rPr>
        <w:t xml:space="preserve"> respecto la reja </w:t>
      </w:r>
      <w:r w:rsidR="0094277B" w:rsidRPr="005A17C2">
        <w:rPr>
          <w:rFonts w:ascii="Verdana" w:hAnsi="Verdana"/>
          <w:spacing w:val="-4"/>
          <w:sz w:val="20"/>
          <w:lang w:val="es-ES"/>
        </w:rPr>
        <w:t>perimetral</w:t>
      </w:r>
      <w:r w:rsidR="002D498B" w:rsidRPr="005A17C2">
        <w:rPr>
          <w:rFonts w:ascii="Verdana" w:hAnsi="Verdana"/>
          <w:spacing w:val="-4"/>
          <w:sz w:val="20"/>
          <w:lang w:val="es-ES"/>
        </w:rPr>
        <w:t xml:space="preserve"> </w:t>
      </w:r>
      <w:r w:rsidR="00B954E0" w:rsidRPr="005A17C2">
        <w:rPr>
          <w:rFonts w:ascii="Verdana" w:hAnsi="Verdana"/>
          <w:spacing w:val="-4"/>
          <w:sz w:val="20"/>
          <w:lang w:val="es-ES"/>
        </w:rPr>
        <w:t>para el domicilio de Abel Barrera</w:t>
      </w:r>
      <w:r w:rsidR="006864DE" w:rsidRPr="005A17C2">
        <w:rPr>
          <w:rStyle w:val="FootnoteReference"/>
          <w:spacing w:val="-4"/>
          <w:sz w:val="20"/>
          <w:lang w:val="es-ES"/>
        </w:rPr>
        <w:footnoteReference w:id="7"/>
      </w:r>
      <w:r w:rsidR="002D498B" w:rsidRPr="005A17C2">
        <w:rPr>
          <w:rFonts w:ascii="Verdana" w:hAnsi="Verdana"/>
          <w:spacing w:val="-4"/>
          <w:sz w:val="20"/>
          <w:lang w:val="es-ES"/>
        </w:rPr>
        <w:t xml:space="preserve">, </w:t>
      </w:r>
      <w:r w:rsidR="00676C73" w:rsidRPr="005A17C2">
        <w:rPr>
          <w:rFonts w:ascii="Verdana" w:hAnsi="Verdana"/>
          <w:spacing w:val="-4"/>
          <w:sz w:val="20"/>
          <w:lang w:val="es-ES"/>
        </w:rPr>
        <w:t xml:space="preserve">en abril de 2012 </w:t>
      </w:r>
      <w:r w:rsidR="002D498B" w:rsidRPr="005A17C2">
        <w:rPr>
          <w:rFonts w:ascii="Verdana" w:hAnsi="Verdana"/>
          <w:spacing w:val="-4"/>
          <w:sz w:val="20"/>
          <w:lang w:val="es-ES"/>
        </w:rPr>
        <w:t xml:space="preserve">señaló que </w:t>
      </w:r>
      <w:r w:rsidR="002D498B" w:rsidRPr="005A17C2">
        <w:rPr>
          <w:rFonts w:ascii="Verdana" w:hAnsi="Verdana"/>
          <w:spacing w:val="-4"/>
          <w:sz w:val="20"/>
        </w:rPr>
        <w:t>“la Secretaría Gen</w:t>
      </w:r>
      <w:r w:rsidR="00DD6991" w:rsidRPr="005A17C2">
        <w:rPr>
          <w:rFonts w:ascii="Verdana" w:hAnsi="Verdana"/>
          <w:spacing w:val="-4"/>
          <w:sz w:val="20"/>
        </w:rPr>
        <w:t xml:space="preserve">eral de Gobierno del </w:t>
      </w:r>
      <w:r w:rsidR="00277977">
        <w:rPr>
          <w:rFonts w:ascii="Verdana" w:hAnsi="Verdana"/>
          <w:spacing w:val="-4"/>
          <w:sz w:val="20"/>
          <w:lang w:val="es-ES"/>
        </w:rPr>
        <w:t>e</w:t>
      </w:r>
      <w:proofErr w:type="spellStart"/>
      <w:r w:rsidR="00236DCF" w:rsidRPr="005A17C2">
        <w:rPr>
          <w:rFonts w:ascii="Verdana" w:hAnsi="Verdana"/>
          <w:spacing w:val="-4"/>
          <w:sz w:val="20"/>
        </w:rPr>
        <w:t>stado</w:t>
      </w:r>
      <w:proofErr w:type="spellEnd"/>
      <w:r w:rsidR="00236DCF" w:rsidRPr="005A17C2">
        <w:rPr>
          <w:rFonts w:ascii="Verdana" w:hAnsi="Verdana"/>
          <w:spacing w:val="-4"/>
          <w:sz w:val="20"/>
        </w:rPr>
        <w:t xml:space="preserve"> de G</w:t>
      </w:r>
      <w:r w:rsidR="002D498B" w:rsidRPr="005A17C2">
        <w:rPr>
          <w:rFonts w:ascii="Verdana" w:hAnsi="Verdana"/>
          <w:spacing w:val="-4"/>
          <w:sz w:val="20"/>
        </w:rPr>
        <w:t xml:space="preserve">uerrero </w:t>
      </w:r>
      <w:r w:rsidR="00766161" w:rsidRPr="005A17C2">
        <w:rPr>
          <w:rFonts w:ascii="Verdana" w:hAnsi="Verdana"/>
          <w:spacing w:val="-4"/>
          <w:sz w:val="20"/>
          <w:lang w:val="es-ES"/>
        </w:rPr>
        <w:t>[</w:t>
      </w:r>
      <w:r w:rsidR="00807B1D" w:rsidRPr="005A17C2">
        <w:rPr>
          <w:rFonts w:ascii="Verdana" w:hAnsi="Verdana"/>
          <w:spacing w:val="-4"/>
          <w:sz w:val="20"/>
          <w:lang w:val="es-ES"/>
        </w:rPr>
        <w:t>había</w:t>
      </w:r>
      <w:r w:rsidR="00766161" w:rsidRPr="005A17C2">
        <w:rPr>
          <w:rFonts w:ascii="Verdana" w:hAnsi="Verdana"/>
          <w:spacing w:val="-4"/>
          <w:sz w:val="20"/>
          <w:lang w:val="es-ES"/>
        </w:rPr>
        <w:t>]</w:t>
      </w:r>
      <w:r w:rsidR="00766161" w:rsidRPr="005A17C2">
        <w:rPr>
          <w:rFonts w:ascii="Verdana" w:hAnsi="Verdana"/>
          <w:spacing w:val="-4"/>
          <w:sz w:val="20"/>
        </w:rPr>
        <w:t xml:space="preserve"> </w:t>
      </w:r>
      <w:proofErr w:type="spellStart"/>
      <w:r w:rsidR="00766161" w:rsidRPr="005A17C2">
        <w:rPr>
          <w:rFonts w:ascii="Verdana" w:hAnsi="Verdana"/>
          <w:spacing w:val="-4"/>
          <w:sz w:val="20"/>
        </w:rPr>
        <w:t>inform</w:t>
      </w:r>
      <w:r w:rsidR="00807B1D" w:rsidRPr="005A17C2">
        <w:rPr>
          <w:rFonts w:ascii="Verdana" w:hAnsi="Verdana"/>
          <w:spacing w:val="-4"/>
          <w:sz w:val="20"/>
          <w:lang w:val="es-ES"/>
        </w:rPr>
        <w:t>ado</w:t>
      </w:r>
      <w:proofErr w:type="spellEnd"/>
      <w:r w:rsidR="002D498B" w:rsidRPr="005A17C2">
        <w:rPr>
          <w:rFonts w:ascii="Verdana" w:hAnsi="Verdana"/>
          <w:spacing w:val="-4"/>
          <w:sz w:val="20"/>
        </w:rPr>
        <w:t xml:space="preserve"> a la </w:t>
      </w:r>
      <w:r w:rsidR="00236DCF" w:rsidRPr="005A17C2">
        <w:rPr>
          <w:rFonts w:ascii="Verdana" w:hAnsi="Verdana"/>
          <w:spacing w:val="-4"/>
          <w:sz w:val="20"/>
          <w:lang w:val="es-ES"/>
        </w:rPr>
        <w:t>[Unidad para la Defensa de los Derechos Humanos]</w:t>
      </w:r>
      <w:r w:rsidR="00766161" w:rsidRPr="005A17C2">
        <w:rPr>
          <w:rFonts w:ascii="Verdana" w:hAnsi="Verdana"/>
          <w:spacing w:val="-4"/>
          <w:sz w:val="20"/>
        </w:rPr>
        <w:t xml:space="preserve"> que se </w:t>
      </w:r>
      <w:proofErr w:type="spellStart"/>
      <w:proofErr w:type="gramStart"/>
      <w:r w:rsidR="00766161" w:rsidRPr="005A17C2">
        <w:rPr>
          <w:rFonts w:ascii="Verdana" w:hAnsi="Verdana"/>
          <w:spacing w:val="-4"/>
          <w:sz w:val="20"/>
        </w:rPr>
        <w:t>enc</w:t>
      </w:r>
      <w:proofErr w:type="spellEnd"/>
      <w:r w:rsidR="00766161" w:rsidRPr="005A17C2">
        <w:rPr>
          <w:rFonts w:ascii="Verdana" w:hAnsi="Verdana"/>
          <w:spacing w:val="-4"/>
          <w:sz w:val="20"/>
          <w:lang w:val="es-ES"/>
        </w:rPr>
        <w:t>[</w:t>
      </w:r>
      <w:proofErr w:type="spellStart"/>
      <w:proofErr w:type="gramEnd"/>
      <w:r w:rsidR="00766161" w:rsidRPr="005A17C2">
        <w:rPr>
          <w:rFonts w:ascii="Verdana" w:hAnsi="Verdana"/>
          <w:spacing w:val="-4"/>
          <w:sz w:val="20"/>
          <w:lang w:val="es-ES"/>
        </w:rPr>
        <w:t>ontraba</w:t>
      </w:r>
      <w:proofErr w:type="spellEnd"/>
      <w:r w:rsidR="00766161" w:rsidRPr="005A17C2">
        <w:rPr>
          <w:rFonts w:ascii="Verdana" w:hAnsi="Verdana"/>
          <w:spacing w:val="-4"/>
          <w:sz w:val="20"/>
          <w:lang w:val="es-ES"/>
        </w:rPr>
        <w:t>]</w:t>
      </w:r>
      <w:r w:rsidR="002D498B" w:rsidRPr="005A17C2">
        <w:rPr>
          <w:rFonts w:ascii="Verdana" w:hAnsi="Verdana"/>
          <w:spacing w:val="-4"/>
          <w:sz w:val="20"/>
        </w:rPr>
        <w:t xml:space="preserve"> en posibilidad de instalar de manera inmediata </w:t>
      </w:r>
      <w:r w:rsidR="006A5D77" w:rsidRPr="005A17C2">
        <w:rPr>
          <w:rFonts w:ascii="Verdana" w:hAnsi="Verdana"/>
          <w:spacing w:val="-4"/>
          <w:sz w:val="20"/>
        </w:rPr>
        <w:t xml:space="preserve">[dicha] </w:t>
      </w:r>
      <w:r w:rsidR="002D498B" w:rsidRPr="005A17C2">
        <w:rPr>
          <w:rFonts w:ascii="Verdana" w:hAnsi="Verdana"/>
          <w:spacing w:val="-4"/>
          <w:sz w:val="20"/>
        </w:rPr>
        <w:t>reja”</w:t>
      </w:r>
      <w:r w:rsidR="00CE6E74" w:rsidRPr="005A17C2">
        <w:rPr>
          <w:rFonts w:ascii="Verdana" w:hAnsi="Verdana"/>
          <w:spacing w:val="-4"/>
          <w:sz w:val="20"/>
        </w:rPr>
        <w:t>.</w:t>
      </w:r>
      <w:r w:rsidR="002D498B" w:rsidRPr="005A17C2">
        <w:rPr>
          <w:rFonts w:ascii="Verdana" w:hAnsi="Verdana"/>
          <w:spacing w:val="-4"/>
          <w:sz w:val="20"/>
        </w:rPr>
        <w:t xml:space="preserve"> </w:t>
      </w:r>
      <w:r w:rsidR="00B954E0" w:rsidRPr="005A17C2">
        <w:rPr>
          <w:rFonts w:ascii="Verdana" w:hAnsi="Verdana"/>
          <w:spacing w:val="-4"/>
          <w:sz w:val="20"/>
        </w:rPr>
        <w:t xml:space="preserve">Sin embargo, en </w:t>
      </w:r>
      <w:r w:rsidR="00236DCF" w:rsidRPr="005A17C2">
        <w:rPr>
          <w:rFonts w:ascii="Verdana" w:hAnsi="Verdana"/>
          <w:spacing w:val="-4"/>
          <w:sz w:val="20"/>
        </w:rPr>
        <w:t>octubre de 2014</w:t>
      </w:r>
      <w:r w:rsidR="00C56B09" w:rsidRPr="005A17C2">
        <w:rPr>
          <w:rFonts w:ascii="Verdana" w:hAnsi="Verdana"/>
          <w:spacing w:val="-4"/>
          <w:sz w:val="20"/>
        </w:rPr>
        <w:t xml:space="preserve"> </w:t>
      </w:r>
      <w:r w:rsidR="00B954E0" w:rsidRPr="005A17C2">
        <w:rPr>
          <w:rFonts w:ascii="Verdana" w:hAnsi="Verdana"/>
          <w:spacing w:val="-4"/>
          <w:sz w:val="20"/>
        </w:rPr>
        <w:t xml:space="preserve">señaló que </w:t>
      </w:r>
      <w:r w:rsidR="008421C4" w:rsidRPr="005A17C2">
        <w:rPr>
          <w:rFonts w:ascii="Verdana" w:hAnsi="Verdana"/>
          <w:spacing w:val="-4"/>
          <w:sz w:val="20"/>
          <w:lang w:val="es-ES"/>
        </w:rPr>
        <w:t xml:space="preserve">“no se </w:t>
      </w:r>
      <w:r w:rsidR="00B954E0" w:rsidRPr="005A17C2">
        <w:rPr>
          <w:rFonts w:ascii="Verdana" w:hAnsi="Verdana"/>
          <w:spacing w:val="-4"/>
          <w:sz w:val="20"/>
          <w:lang w:val="es-ES"/>
        </w:rPr>
        <w:t xml:space="preserve">[había] </w:t>
      </w:r>
      <w:proofErr w:type="spellStart"/>
      <w:proofErr w:type="gramStart"/>
      <w:r w:rsidR="00B954E0" w:rsidRPr="005A17C2">
        <w:rPr>
          <w:rFonts w:ascii="Verdana" w:hAnsi="Verdana"/>
          <w:spacing w:val="-4"/>
          <w:sz w:val="20"/>
          <w:lang w:val="es-ES"/>
        </w:rPr>
        <w:t>pact</w:t>
      </w:r>
      <w:proofErr w:type="spellEnd"/>
      <w:r w:rsidR="00B954E0" w:rsidRPr="005A17C2">
        <w:rPr>
          <w:rFonts w:ascii="Verdana" w:hAnsi="Verdana"/>
          <w:spacing w:val="-4"/>
          <w:sz w:val="20"/>
          <w:lang w:val="es-ES"/>
        </w:rPr>
        <w:t>[</w:t>
      </w:r>
      <w:proofErr w:type="spellStart"/>
      <w:proofErr w:type="gramEnd"/>
      <w:r w:rsidR="00B954E0" w:rsidRPr="005A17C2">
        <w:rPr>
          <w:rFonts w:ascii="Verdana" w:hAnsi="Verdana"/>
          <w:spacing w:val="-4"/>
          <w:sz w:val="20"/>
          <w:lang w:val="es-ES"/>
        </w:rPr>
        <w:t>ado</w:t>
      </w:r>
      <w:proofErr w:type="spellEnd"/>
      <w:r w:rsidR="00B954E0" w:rsidRPr="005A17C2">
        <w:rPr>
          <w:rFonts w:ascii="Verdana" w:hAnsi="Verdana"/>
          <w:spacing w:val="-4"/>
          <w:sz w:val="20"/>
          <w:lang w:val="es-ES"/>
        </w:rPr>
        <w:t>]</w:t>
      </w:r>
      <w:r w:rsidR="007660AC" w:rsidRPr="005A17C2">
        <w:rPr>
          <w:rFonts w:ascii="Verdana" w:hAnsi="Verdana"/>
          <w:spacing w:val="-4"/>
          <w:sz w:val="20"/>
          <w:lang w:val="es-ES"/>
        </w:rPr>
        <w:t xml:space="preserve">” la instalación de dicha reja, ni el sistema de </w:t>
      </w:r>
      <w:r w:rsidR="007660AC" w:rsidRPr="005A17C2">
        <w:rPr>
          <w:rFonts w:ascii="Verdana" w:eastAsia="Calibri" w:hAnsi="Verdana" w:cs="Arial"/>
          <w:spacing w:val="-4"/>
          <w:sz w:val="20"/>
          <w:lang w:val="es-CR" w:eastAsia="es-CR"/>
        </w:rPr>
        <w:t xml:space="preserve">comunicación entre las oficinas de </w:t>
      </w:r>
      <w:proofErr w:type="spellStart"/>
      <w:r w:rsidR="007660AC" w:rsidRPr="005A17C2">
        <w:rPr>
          <w:rFonts w:ascii="Verdana" w:eastAsia="Calibri" w:hAnsi="Verdana" w:cs="Arial"/>
          <w:spacing w:val="-4"/>
          <w:sz w:val="20"/>
          <w:lang w:val="es-CR" w:eastAsia="es-CR"/>
        </w:rPr>
        <w:t>Tlachinollan</w:t>
      </w:r>
      <w:proofErr w:type="spellEnd"/>
      <w:r w:rsidR="007660AC" w:rsidRPr="005A17C2">
        <w:rPr>
          <w:rFonts w:ascii="Verdana" w:eastAsia="Calibri" w:hAnsi="Verdana" w:cs="Arial"/>
          <w:spacing w:val="-4"/>
          <w:sz w:val="20"/>
          <w:lang w:val="es-CR" w:eastAsia="es-CR"/>
        </w:rPr>
        <w:t xml:space="preserve"> en Tlapa de Comonfort y en Ayutla de los Libres</w:t>
      </w:r>
      <w:r w:rsidR="00B954E0" w:rsidRPr="005A17C2">
        <w:rPr>
          <w:rFonts w:ascii="Verdana" w:hAnsi="Verdana"/>
          <w:spacing w:val="-4"/>
          <w:sz w:val="20"/>
          <w:lang w:val="es-ES"/>
        </w:rPr>
        <w:t xml:space="preserve">, pero </w:t>
      </w:r>
      <w:r w:rsidR="008421C4" w:rsidRPr="005A17C2">
        <w:rPr>
          <w:rFonts w:ascii="Verdana" w:hAnsi="Verdana"/>
          <w:spacing w:val="-4"/>
          <w:sz w:val="20"/>
          <w:lang w:val="es-ES"/>
        </w:rPr>
        <w:t xml:space="preserve">que </w:t>
      </w:r>
      <w:r w:rsidR="00676C73" w:rsidRPr="005A17C2">
        <w:rPr>
          <w:rFonts w:ascii="Verdana" w:hAnsi="Verdana"/>
          <w:spacing w:val="-4"/>
          <w:sz w:val="20"/>
          <w:lang w:val="es-ES"/>
        </w:rPr>
        <w:t>analizaría</w:t>
      </w:r>
      <w:r w:rsidR="008421C4" w:rsidRPr="005A17C2">
        <w:rPr>
          <w:rFonts w:ascii="Verdana" w:hAnsi="Verdana"/>
          <w:spacing w:val="-4"/>
          <w:sz w:val="20"/>
          <w:lang w:val="es-ES"/>
        </w:rPr>
        <w:t xml:space="preserve"> la posibilidad de implementar</w:t>
      </w:r>
      <w:r w:rsidR="00676C73" w:rsidRPr="005A17C2">
        <w:rPr>
          <w:rFonts w:ascii="Verdana" w:hAnsi="Verdana"/>
          <w:spacing w:val="-4"/>
          <w:sz w:val="20"/>
          <w:lang w:val="es-ES"/>
        </w:rPr>
        <w:t>las</w:t>
      </w:r>
      <w:r w:rsidR="00236DCF" w:rsidRPr="005A17C2">
        <w:rPr>
          <w:rFonts w:ascii="Verdana" w:hAnsi="Verdana"/>
          <w:spacing w:val="-4"/>
          <w:sz w:val="20"/>
          <w:lang w:val="es-ES"/>
        </w:rPr>
        <w:t>.</w:t>
      </w:r>
      <w:r w:rsidR="000958A3" w:rsidRPr="005A17C2">
        <w:rPr>
          <w:rFonts w:ascii="Verdana" w:hAnsi="Verdana"/>
          <w:spacing w:val="-4"/>
          <w:sz w:val="20"/>
          <w:lang w:val="es-ES"/>
        </w:rPr>
        <w:t xml:space="preserve"> </w:t>
      </w:r>
      <w:r w:rsidR="004638D8" w:rsidRPr="005A17C2">
        <w:rPr>
          <w:rFonts w:ascii="Verdana" w:hAnsi="Verdana"/>
          <w:spacing w:val="-4"/>
          <w:sz w:val="20"/>
          <w:lang w:val="es-ES"/>
        </w:rPr>
        <w:t>Por otra parte,</w:t>
      </w:r>
      <w:r w:rsidR="004638D8" w:rsidRPr="005A17C2">
        <w:rPr>
          <w:rFonts w:ascii="Verdana" w:hAnsi="Verdana"/>
          <w:b/>
          <w:spacing w:val="-4"/>
          <w:sz w:val="20"/>
          <w:lang w:val="es-ES"/>
        </w:rPr>
        <w:t xml:space="preserve"> </w:t>
      </w:r>
      <w:r w:rsidR="009D4757" w:rsidRPr="005A17C2">
        <w:rPr>
          <w:rFonts w:ascii="Verdana" w:hAnsi="Verdana"/>
          <w:spacing w:val="-4"/>
          <w:sz w:val="20"/>
          <w:lang w:val="es-ES"/>
        </w:rPr>
        <w:t xml:space="preserve">en abril de 2012 informó que el servicio </w:t>
      </w:r>
      <w:r w:rsidR="004638D8" w:rsidRPr="005A17C2">
        <w:rPr>
          <w:rFonts w:ascii="Verdana" w:hAnsi="Verdana"/>
          <w:spacing w:val="-4"/>
          <w:sz w:val="20"/>
          <w:lang w:val="es-ES"/>
        </w:rPr>
        <w:t xml:space="preserve">de presencia policíaca permanente en las oficinas de </w:t>
      </w:r>
      <w:proofErr w:type="spellStart"/>
      <w:r w:rsidR="004638D8" w:rsidRPr="005A17C2">
        <w:rPr>
          <w:rFonts w:ascii="Verdana" w:hAnsi="Verdana"/>
          <w:spacing w:val="-4"/>
          <w:sz w:val="20"/>
          <w:lang w:val="es-ES"/>
        </w:rPr>
        <w:t>Tlachinollan</w:t>
      </w:r>
      <w:proofErr w:type="spellEnd"/>
      <w:r w:rsidR="004638D8" w:rsidRPr="005A17C2">
        <w:rPr>
          <w:rFonts w:ascii="Verdana" w:hAnsi="Verdana"/>
          <w:spacing w:val="-4"/>
          <w:sz w:val="20"/>
          <w:lang w:val="es-ES"/>
        </w:rPr>
        <w:t xml:space="preserve"> en Ayutla </w:t>
      </w:r>
      <w:r w:rsidR="009D4757" w:rsidRPr="005A17C2">
        <w:rPr>
          <w:rFonts w:ascii="Verdana" w:hAnsi="Verdana"/>
          <w:spacing w:val="-4"/>
          <w:sz w:val="20"/>
          <w:lang w:val="es-ES"/>
        </w:rPr>
        <w:t>se seguía prestando “según lo pactado”</w:t>
      </w:r>
      <w:r w:rsidR="004638D8" w:rsidRPr="005A17C2">
        <w:rPr>
          <w:rFonts w:ascii="Verdana" w:hAnsi="Verdana"/>
          <w:spacing w:val="-4"/>
          <w:sz w:val="20"/>
          <w:lang w:val="es-ES"/>
        </w:rPr>
        <w:t>.</w:t>
      </w:r>
      <w:r w:rsidR="009D4757" w:rsidRPr="005A17C2">
        <w:rPr>
          <w:rFonts w:ascii="Verdana" w:hAnsi="Verdana"/>
          <w:spacing w:val="-4"/>
          <w:sz w:val="20"/>
          <w:lang w:val="es-ES"/>
        </w:rPr>
        <w:t xml:space="preserve"> </w:t>
      </w:r>
      <w:bookmarkEnd w:id="4"/>
    </w:p>
    <w:p w14:paraId="4024868F" w14:textId="77777777" w:rsidR="00DC663A" w:rsidRPr="005A17C2" w:rsidRDefault="00DC663A" w:rsidP="00BB145E">
      <w:pPr>
        <w:pStyle w:val="BodyText2"/>
        <w:spacing w:after="0" w:line="240" w:lineRule="auto"/>
        <w:jc w:val="both"/>
        <w:rPr>
          <w:rFonts w:ascii="Verdana" w:hAnsi="Verdana"/>
          <w:color w:val="000000"/>
          <w:spacing w:val="-4"/>
          <w:sz w:val="20"/>
          <w:shd w:val="clear" w:color="auto" w:fill="FFFFFF"/>
          <w:lang w:val="es-CR"/>
        </w:rPr>
      </w:pPr>
    </w:p>
    <w:p w14:paraId="647F769E" w14:textId="33813402" w:rsidR="001430B0" w:rsidRPr="005A17C2" w:rsidRDefault="001430B0" w:rsidP="00BB145E">
      <w:pPr>
        <w:pStyle w:val="BodyText2"/>
        <w:numPr>
          <w:ilvl w:val="0"/>
          <w:numId w:val="22"/>
        </w:numPr>
        <w:spacing w:after="0" w:line="220" w:lineRule="atLeast"/>
        <w:jc w:val="both"/>
        <w:rPr>
          <w:rFonts w:ascii="Verdana" w:hAnsi="Verdana"/>
          <w:b/>
          <w:spacing w:val="-4"/>
          <w:sz w:val="20"/>
          <w:lang w:val="es-ES"/>
        </w:rPr>
      </w:pPr>
      <w:bookmarkStart w:id="5" w:name="_Ref444073530"/>
      <w:r w:rsidRPr="005A17C2">
        <w:rPr>
          <w:rFonts w:ascii="Verdana" w:hAnsi="Verdana"/>
          <w:spacing w:val="-4"/>
          <w:sz w:val="20"/>
          <w:lang w:val="es-ES"/>
        </w:rPr>
        <w:t>Adicionalmente, sobre la provisión de sistema</w:t>
      </w:r>
      <w:r w:rsidR="00DC663A" w:rsidRPr="005A17C2">
        <w:rPr>
          <w:rFonts w:ascii="Verdana" w:hAnsi="Verdana"/>
          <w:spacing w:val="-4"/>
          <w:sz w:val="20"/>
          <w:lang w:val="es-ES"/>
        </w:rPr>
        <w:t>s</w:t>
      </w:r>
      <w:r w:rsidRPr="005A17C2">
        <w:rPr>
          <w:rFonts w:ascii="Verdana" w:hAnsi="Verdana"/>
          <w:spacing w:val="-4"/>
          <w:sz w:val="20"/>
          <w:lang w:val="es-ES"/>
        </w:rPr>
        <w:t xml:space="preserve"> de comunicación, en abril de 2012 el Estado</w:t>
      </w:r>
      <w:r w:rsidRPr="005A17C2">
        <w:rPr>
          <w:rFonts w:ascii="Verdana" w:hAnsi="Verdana"/>
          <w:b/>
          <w:i/>
          <w:spacing w:val="-4"/>
          <w:sz w:val="20"/>
          <w:lang w:val="es-ES"/>
        </w:rPr>
        <w:t xml:space="preserve"> </w:t>
      </w:r>
      <w:r w:rsidR="00676C73" w:rsidRPr="005A17C2">
        <w:rPr>
          <w:rFonts w:ascii="Verdana" w:hAnsi="Verdana"/>
          <w:spacing w:val="-4"/>
          <w:sz w:val="20"/>
          <w:lang w:val="es-ES"/>
        </w:rPr>
        <w:t xml:space="preserve">señaló que </w:t>
      </w:r>
      <w:r w:rsidRPr="005A17C2">
        <w:rPr>
          <w:rFonts w:ascii="Verdana" w:hAnsi="Verdana"/>
          <w:spacing w:val="-4"/>
          <w:sz w:val="20"/>
          <w:lang w:val="es-ES"/>
        </w:rPr>
        <w:t>personal de Telecomunicaciones de México</w:t>
      </w:r>
      <w:r w:rsidR="00676C73" w:rsidRPr="005A17C2">
        <w:rPr>
          <w:rFonts w:ascii="Verdana" w:hAnsi="Verdana"/>
          <w:spacing w:val="-4"/>
          <w:sz w:val="20"/>
          <w:lang w:val="es-ES"/>
        </w:rPr>
        <w:t xml:space="preserve"> </w:t>
      </w:r>
      <w:r w:rsidRPr="005A17C2">
        <w:rPr>
          <w:rFonts w:ascii="Verdana" w:hAnsi="Verdana"/>
          <w:spacing w:val="-4"/>
          <w:sz w:val="20"/>
          <w:lang w:val="es-ES"/>
        </w:rPr>
        <w:t xml:space="preserve">había </w:t>
      </w:r>
      <w:r w:rsidR="00676C73" w:rsidRPr="005A17C2">
        <w:rPr>
          <w:rFonts w:ascii="Verdana" w:hAnsi="Verdana"/>
          <w:spacing w:val="-4"/>
          <w:sz w:val="20"/>
          <w:lang w:val="es-ES"/>
        </w:rPr>
        <w:t xml:space="preserve">reparado </w:t>
      </w:r>
      <w:r w:rsidRPr="005A17C2">
        <w:rPr>
          <w:rFonts w:ascii="Verdana" w:hAnsi="Verdana"/>
          <w:spacing w:val="-4"/>
          <w:sz w:val="20"/>
          <w:lang w:val="es-ES"/>
        </w:rPr>
        <w:t>la totalidad de los telé</w:t>
      </w:r>
      <w:r w:rsidR="00676C73" w:rsidRPr="005A17C2">
        <w:rPr>
          <w:rFonts w:ascii="Verdana" w:hAnsi="Verdana"/>
          <w:spacing w:val="-4"/>
          <w:sz w:val="20"/>
          <w:lang w:val="es-ES"/>
        </w:rPr>
        <w:t>fonos satelitales fijos</w:t>
      </w:r>
      <w:r w:rsidR="001B109F" w:rsidRPr="005A17C2">
        <w:rPr>
          <w:rFonts w:ascii="Verdana" w:hAnsi="Verdana"/>
          <w:spacing w:val="-4"/>
          <w:sz w:val="20"/>
          <w:lang w:val="es-ES"/>
        </w:rPr>
        <w:t xml:space="preserve"> y que les ha</w:t>
      </w:r>
      <w:r w:rsidRPr="005A17C2">
        <w:rPr>
          <w:rFonts w:ascii="Verdana" w:hAnsi="Verdana"/>
          <w:spacing w:val="-4"/>
          <w:sz w:val="20"/>
          <w:lang w:val="es-ES"/>
        </w:rPr>
        <w:t>bían entregado reguladores de energía eléctrica</w:t>
      </w:r>
      <w:r w:rsidR="001B109F" w:rsidRPr="005A17C2">
        <w:rPr>
          <w:rFonts w:ascii="Verdana" w:hAnsi="Verdana"/>
          <w:spacing w:val="-4"/>
          <w:sz w:val="20"/>
          <w:lang w:val="es-ES"/>
        </w:rPr>
        <w:t>.</w:t>
      </w:r>
      <w:r w:rsidRPr="005A17C2">
        <w:rPr>
          <w:rFonts w:ascii="Verdana" w:hAnsi="Verdana"/>
          <w:spacing w:val="-4"/>
          <w:sz w:val="20"/>
          <w:lang w:val="es-ES"/>
        </w:rPr>
        <w:t xml:space="preserve"> Manifestó que </w:t>
      </w:r>
      <w:r w:rsidR="00A859D7" w:rsidRPr="005A17C2">
        <w:rPr>
          <w:rFonts w:ascii="Verdana" w:hAnsi="Verdana"/>
          <w:spacing w:val="-4"/>
          <w:sz w:val="20"/>
          <w:lang w:val="es-ES"/>
        </w:rPr>
        <w:t xml:space="preserve">en </w:t>
      </w:r>
      <w:r w:rsidRPr="005A17C2">
        <w:rPr>
          <w:rFonts w:ascii="Verdana" w:hAnsi="Verdana"/>
          <w:spacing w:val="-4"/>
          <w:sz w:val="20"/>
          <w:lang w:val="es-ES"/>
        </w:rPr>
        <w:t xml:space="preserve">marzo </w:t>
      </w:r>
      <w:r w:rsidR="001A1910" w:rsidRPr="005A17C2">
        <w:rPr>
          <w:rFonts w:ascii="Verdana" w:hAnsi="Verdana"/>
          <w:spacing w:val="-4"/>
          <w:sz w:val="20"/>
          <w:lang w:val="es-ES"/>
        </w:rPr>
        <w:t>y</w:t>
      </w:r>
      <w:r w:rsidRPr="005A17C2">
        <w:rPr>
          <w:rFonts w:ascii="Verdana" w:hAnsi="Verdana"/>
          <w:spacing w:val="-4"/>
          <w:sz w:val="20"/>
          <w:lang w:val="es-ES"/>
        </w:rPr>
        <w:t xml:space="preserve"> mayo de 2013 se llevaron a cabo reuniones de trabajo con los beneficiari</w:t>
      </w:r>
      <w:r w:rsidR="00DC663A" w:rsidRPr="005A17C2">
        <w:rPr>
          <w:rFonts w:ascii="Verdana" w:hAnsi="Verdana"/>
          <w:spacing w:val="-4"/>
          <w:sz w:val="20"/>
          <w:lang w:val="es-ES"/>
        </w:rPr>
        <w:t xml:space="preserve">os, a partir de las cuales </w:t>
      </w:r>
      <w:r w:rsidRPr="005A17C2">
        <w:rPr>
          <w:rFonts w:ascii="Verdana" w:hAnsi="Verdana"/>
          <w:spacing w:val="-4"/>
          <w:sz w:val="20"/>
          <w:lang w:val="es-ES"/>
        </w:rPr>
        <w:t xml:space="preserve">la Secretaría de Gobernación realizó gestiones para revisar y reparar </w:t>
      </w:r>
      <w:r w:rsidR="00E3643E" w:rsidRPr="005A17C2">
        <w:rPr>
          <w:rFonts w:ascii="Verdana" w:hAnsi="Verdana"/>
          <w:spacing w:val="-4"/>
          <w:sz w:val="20"/>
          <w:lang w:val="es-ES"/>
        </w:rPr>
        <w:t xml:space="preserve">dichos </w:t>
      </w:r>
      <w:r w:rsidRPr="005A17C2">
        <w:rPr>
          <w:rFonts w:ascii="Verdana" w:hAnsi="Verdana"/>
          <w:spacing w:val="-4"/>
          <w:sz w:val="20"/>
          <w:lang w:val="es-ES"/>
        </w:rPr>
        <w:t>teléfonos, así como explorar otras alternativas. Respecto a las fallas del teléfono</w:t>
      </w:r>
      <w:r w:rsidR="00C56AB4" w:rsidRPr="005A17C2">
        <w:rPr>
          <w:rFonts w:ascii="Verdana" w:hAnsi="Verdana"/>
          <w:spacing w:val="-4"/>
          <w:sz w:val="20"/>
          <w:lang w:val="es-ES"/>
        </w:rPr>
        <w:t xml:space="preserve"> de la señora Fernández Ortega</w:t>
      </w:r>
      <w:r w:rsidRPr="005A17C2">
        <w:rPr>
          <w:rFonts w:ascii="Verdana" w:hAnsi="Verdana"/>
          <w:spacing w:val="-4"/>
          <w:sz w:val="20"/>
          <w:lang w:val="es-ES"/>
        </w:rPr>
        <w:t xml:space="preserve">, el Estado </w:t>
      </w:r>
      <w:r w:rsidR="00981B66" w:rsidRPr="005A17C2">
        <w:rPr>
          <w:rFonts w:ascii="Verdana" w:hAnsi="Verdana"/>
          <w:spacing w:val="-4"/>
          <w:sz w:val="20"/>
          <w:lang w:val="es-ES"/>
        </w:rPr>
        <w:t xml:space="preserve">informó que </w:t>
      </w:r>
      <w:r w:rsidR="002436F7" w:rsidRPr="005A17C2">
        <w:rPr>
          <w:rFonts w:ascii="Verdana" w:hAnsi="Verdana"/>
          <w:spacing w:val="-4"/>
          <w:sz w:val="20"/>
          <w:lang w:val="es-ES"/>
        </w:rPr>
        <w:t>en septiembre de 2015 le otorgó “el servicio de arrendamiento de línea y equipo de telefonía</w:t>
      </w:r>
      <w:r w:rsidR="001A1910" w:rsidRPr="005A17C2">
        <w:rPr>
          <w:rFonts w:ascii="Verdana" w:hAnsi="Verdana"/>
          <w:spacing w:val="-4"/>
          <w:sz w:val="20"/>
          <w:lang w:val="es-ES"/>
        </w:rPr>
        <w:t>”</w:t>
      </w:r>
      <w:r w:rsidR="002436F7" w:rsidRPr="005A17C2">
        <w:rPr>
          <w:rFonts w:ascii="Verdana" w:hAnsi="Verdana"/>
          <w:spacing w:val="-4"/>
          <w:sz w:val="20"/>
          <w:lang w:val="es-ES"/>
        </w:rPr>
        <w:t>.</w:t>
      </w:r>
      <w:r w:rsidR="001A1910" w:rsidRPr="005A17C2">
        <w:rPr>
          <w:rFonts w:ascii="Verdana" w:hAnsi="Verdana"/>
          <w:spacing w:val="-4"/>
          <w:sz w:val="20"/>
          <w:lang w:val="es-ES"/>
        </w:rPr>
        <w:t xml:space="preserve"> </w:t>
      </w:r>
      <w:bookmarkEnd w:id="5"/>
    </w:p>
    <w:p w14:paraId="17B0E51F" w14:textId="77777777" w:rsidR="00C56B09" w:rsidRPr="005A17C2" w:rsidRDefault="00C56B09" w:rsidP="00BB145E">
      <w:pPr>
        <w:pStyle w:val="BodyText2"/>
        <w:spacing w:after="0" w:line="240" w:lineRule="auto"/>
        <w:jc w:val="both"/>
        <w:rPr>
          <w:rFonts w:ascii="Verdana" w:hAnsi="Verdana"/>
          <w:spacing w:val="-4"/>
          <w:sz w:val="20"/>
        </w:rPr>
      </w:pPr>
    </w:p>
    <w:p w14:paraId="7852883C" w14:textId="4E9F0461" w:rsidR="00EE16EE" w:rsidRPr="005A17C2" w:rsidRDefault="00BB0C21" w:rsidP="00BB145E">
      <w:pPr>
        <w:pStyle w:val="BodyText2"/>
        <w:numPr>
          <w:ilvl w:val="0"/>
          <w:numId w:val="22"/>
        </w:numPr>
        <w:spacing w:after="0" w:line="220" w:lineRule="atLeast"/>
        <w:jc w:val="both"/>
        <w:rPr>
          <w:rFonts w:ascii="Verdana" w:hAnsi="Verdana"/>
          <w:b/>
          <w:spacing w:val="-4"/>
          <w:sz w:val="20"/>
          <w:lang w:val="es-CR"/>
        </w:rPr>
      </w:pPr>
      <w:bookmarkStart w:id="6" w:name="_Ref416258939"/>
      <w:bookmarkStart w:id="7" w:name="_Ref416263588"/>
      <w:bookmarkStart w:id="8" w:name="_Ref445973853"/>
      <w:bookmarkEnd w:id="3"/>
      <w:r w:rsidRPr="005A17C2">
        <w:rPr>
          <w:rFonts w:ascii="Verdana" w:hAnsi="Verdana"/>
          <w:spacing w:val="-4"/>
          <w:sz w:val="20"/>
          <w:lang w:val="es-ES"/>
        </w:rPr>
        <w:lastRenderedPageBreak/>
        <w:t>L</w:t>
      </w:r>
      <w:r w:rsidR="00BB656C" w:rsidRPr="005A17C2">
        <w:rPr>
          <w:rFonts w:ascii="Verdana" w:hAnsi="Verdana"/>
          <w:spacing w:val="-4"/>
          <w:sz w:val="20"/>
          <w:lang w:val="es-ES"/>
        </w:rPr>
        <w:t>o</w:t>
      </w:r>
      <w:r w:rsidRPr="005A17C2">
        <w:rPr>
          <w:rFonts w:ascii="Verdana" w:hAnsi="Verdana"/>
          <w:spacing w:val="-4"/>
          <w:sz w:val="20"/>
          <w:lang w:val="es-ES"/>
        </w:rPr>
        <w:t>s</w:t>
      </w:r>
      <w:r w:rsidRPr="005A17C2">
        <w:rPr>
          <w:rFonts w:ascii="Verdana" w:hAnsi="Verdana"/>
          <w:b/>
          <w:i/>
          <w:spacing w:val="-4"/>
          <w:sz w:val="20"/>
          <w:lang w:val="es-ES"/>
        </w:rPr>
        <w:t xml:space="preserve"> representantes</w:t>
      </w:r>
      <w:r w:rsidR="00FB6EBF" w:rsidRPr="005A17C2">
        <w:rPr>
          <w:rFonts w:ascii="Verdana" w:hAnsi="Verdana"/>
          <w:spacing w:val="-4"/>
          <w:sz w:val="20"/>
          <w:lang w:val="es-ES"/>
        </w:rPr>
        <w:t xml:space="preserve"> </w:t>
      </w:r>
      <w:r w:rsidR="001963A9" w:rsidRPr="005A17C2">
        <w:rPr>
          <w:rFonts w:ascii="Verdana" w:hAnsi="Verdana"/>
          <w:spacing w:val="-4"/>
          <w:sz w:val="20"/>
          <w:lang w:val="es-ES"/>
        </w:rPr>
        <w:t xml:space="preserve">indicaron </w:t>
      </w:r>
      <w:r w:rsidR="00C73FAC" w:rsidRPr="005A17C2">
        <w:rPr>
          <w:rFonts w:ascii="Verdana" w:hAnsi="Verdana"/>
          <w:spacing w:val="-4"/>
          <w:sz w:val="20"/>
          <w:lang w:val="es-ES"/>
        </w:rPr>
        <w:t xml:space="preserve">que la falta de coordinación </w:t>
      </w:r>
      <w:r w:rsidR="00C73FAC" w:rsidRPr="005A17C2">
        <w:rPr>
          <w:rFonts w:ascii="Verdana" w:hAnsi="Verdana"/>
          <w:spacing w:val="-4"/>
          <w:sz w:val="20"/>
        </w:rPr>
        <w:t xml:space="preserve">del Estado mexicano con los proveedores </w:t>
      </w:r>
      <w:r w:rsidR="00C73FAC" w:rsidRPr="005A17C2">
        <w:rPr>
          <w:rFonts w:ascii="Verdana" w:hAnsi="Verdana"/>
          <w:spacing w:val="-4"/>
          <w:sz w:val="20"/>
          <w:lang w:val="es-ES"/>
        </w:rPr>
        <w:t xml:space="preserve">de servicios </w:t>
      </w:r>
      <w:r w:rsidR="00676C73" w:rsidRPr="005A17C2">
        <w:rPr>
          <w:rFonts w:ascii="Verdana" w:hAnsi="Verdana"/>
          <w:spacing w:val="-4"/>
          <w:sz w:val="20"/>
          <w:lang w:val="es-ES"/>
        </w:rPr>
        <w:t xml:space="preserve">continuaba alargando </w:t>
      </w:r>
      <w:r w:rsidR="008635D5" w:rsidRPr="005A17C2">
        <w:rPr>
          <w:rFonts w:ascii="Verdana" w:hAnsi="Verdana"/>
          <w:spacing w:val="-4"/>
          <w:sz w:val="20"/>
          <w:lang w:val="es-ES"/>
        </w:rPr>
        <w:t>la</w:t>
      </w:r>
      <w:r w:rsidR="00676C73" w:rsidRPr="005A17C2">
        <w:rPr>
          <w:rFonts w:ascii="Verdana" w:hAnsi="Verdana"/>
          <w:spacing w:val="-4"/>
          <w:sz w:val="20"/>
          <w:lang w:val="es-ES"/>
        </w:rPr>
        <w:t xml:space="preserve"> implementación</w:t>
      </w:r>
      <w:r w:rsidR="008635D5" w:rsidRPr="005A17C2">
        <w:rPr>
          <w:rFonts w:ascii="Verdana" w:hAnsi="Verdana"/>
          <w:spacing w:val="-4"/>
          <w:sz w:val="20"/>
          <w:lang w:val="es-ES"/>
        </w:rPr>
        <w:t xml:space="preserve"> de estas medidas</w:t>
      </w:r>
      <w:r w:rsidR="00C73FAC" w:rsidRPr="005A17C2">
        <w:rPr>
          <w:rFonts w:ascii="Verdana" w:hAnsi="Verdana"/>
          <w:spacing w:val="-4"/>
          <w:sz w:val="20"/>
          <w:lang w:val="es-ES"/>
        </w:rPr>
        <w:t>.</w:t>
      </w:r>
      <w:r w:rsidR="00676C73" w:rsidRPr="005A17C2">
        <w:rPr>
          <w:rFonts w:ascii="Verdana" w:hAnsi="Verdana"/>
          <w:spacing w:val="-4"/>
          <w:sz w:val="20"/>
          <w:lang w:val="es-ES"/>
        </w:rPr>
        <w:t xml:space="preserve"> </w:t>
      </w:r>
      <w:r w:rsidR="00AF4345" w:rsidRPr="005A17C2">
        <w:rPr>
          <w:rFonts w:ascii="Verdana" w:hAnsi="Verdana"/>
          <w:spacing w:val="-4"/>
          <w:sz w:val="20"/>
          <w:lang w:val="es-ES"/>
        </w:rPr>
        <w:t>R</w:t>
      </w:r>
      <w:r w:rsidR="00D531AF" w:rsidRPr="005A17C2">
        <w:rPr>
          <w:rFonts w:ascii="Verdana" w:hAnsi="Verdana"/>
          <w:spacing w:val="-4"/>
          <w:sz w:val="20"/>
          <w:lang w:val="es-ES"/>
        </w:rPr>
        <w:t xml:space="preserve">econocieron que </w:t>
      </w:r>
      <w:r w:rsidR="005A50BC" w:rsidRPr="005A17C2">
        <w:rPr>
          <w:rFonts w:ascii="Verdana" w:hAnsi="Verdana"/>
          <w:spacing w:val="-4"/>
          <w:sz w:val="20"/>
          <w:lang w:val="es-ES"/>
        </w:rPr>
        <w:t>las últimas revisiones e instalaciones fueron realizada</w:t>
      </w:r>
      <w:r w:rsidR="00224014" w:rsidRPr="005A17C2">
        <w:rPr>
          <w:rFonts w:ascii="Verdana" w:hAnsi="Verdana"/>
          <w:spacing w:val="-4"/>
          <w:sz w:val="20"/>
          <w:lang w:val="es-ES"/>
        </w:rPr>
        <w:t>s</w:t>
      </w:r>
      <w:r w:rsidR="00D531AF" w:rsidRPr="005A17C2">
        <w:rPr>
          <w:rFonts w:ascii="Verdana" w:hAnsi="Verdana"/>
          <w:spacing w:val="-4"/>
          <w:sz w:val="20"/>
          <w:lang w:val="es-ES"/>
        </w:rPr>
        <w:t xml:space="preserve"> </w:t>
      </w:r>
      <w:r w:rsidR="00C73FAC" w:rsidRPr="005A17C2">
        <w:rPr>
          <w:rFonts w:ascii="Verdana" w:hAnsi="Verdana"/>
          <w:spacing w:val="-4"/>
          <w:sz w:val="20"/>
          <w:lang w:val="es-ES"/>
        </w:rPr>
        <w:t>en</w:t>
      </w:r>
      <w:r w:rsidR="009269FE">
        <w:rPr>
          <w:rFonts w:ascii="Verdana" w:hAnsi="Verdana"/>
          <w:spacing w:val="-4"/>
          <w:sz w:val="20"/>
          <w:lang w:val="es-ES"/>
        </w:rPr>
        <w:t xml:space="preserve"> agosto de 2014. N</w:t>
      </w:r>
      <w:r w:rsidR="00D531AF" w:rsidRPr="005A17C2">
        <w:rPr>
          <w:rFonts w:ascii="Verdana" w:hAnsi="Verdana"/>
          <w:spacing w:val="-4"/>
          <w:sz w:val="20"/>
          <w:lang w:val="es-ES"/>
        </w:rPr>
        <w:t>o obstante resaltaron que</w:t>
      </w:r>
      <w:r w:rsidR="00224014" w:rsidRPr="005A17C2">
        <w:rPr>
          <w:rFonts w:ascii="Verdana" w:hAnsi="Verdana"/>
          <w:spacing w:val="-4"/>
          <w:sz w:val="20"/>
          <w:lang w:val="es-ES"/>
        </w:rPr>
        <w:t xml:space="preserve"> </w:t>
      </w:r>
      <w:r w:rsidR="005A50BC" w:rsidRPr="005A17C2">
        <w:rPr>
          <w:rFonts w:ascii="Verdana" w:hAnsi="Verdana"/>
          <w:spacing w:val="-4"/>
          <w:sz w:val="20"/>
          <w:lang w:val="es-ES"/>
        </w:rPr>
        <w:t xml:space="preserve">“no </w:t>
      </w:r>
      <w:r w:rsidR="007660AC" w:rsidRPr="005A17C2">
        <w:rPr>
          <w:rFonts w:ascii="Verdana" w:hAnsi="Verdana"/>
          <w:spacing w:val="-4"/>
          <w:sz w:val="20"/>
          <w:lang w:val="es-ES"/>
        </w:rPr>
        <w:t xml:space="preserve">[habían] </w:t>
      </w:r>
      <w:proofErr w:type="gramStart"/>
      <w:r w:rsidR="005A50BC" w:rsidRPr="005A17C2">
        <w:rPr>
          <w:rFonts w:ascii="Verdana" w:hAnsi="Verdana"/>
          <w:spacing w:val="-4"/>
          <w:sz w:val="20"/>
          <w:lang w:val="es-ES"/>
        </w:rPr>
        <w:t>funciona</w:t>
      </w:r>
      <w:r w:rsidR="007660AC" w:rsidRPr="005A17C2">
        <w:rPr>
          <w:rFonts w:ascii="Verdana" w:hAnsi="Verdana"/>
          <w:spacing w:val="-4"/>
          <w:sz w:val="20"/>
          <w:lang w:val="es-ES"/>
        </w:rPr>
        <w:t>[</w:t>
      </w:r>
      <w:proofErr w:type="gramEnd"/>
      <w:r w:rsidR="007660AC" w:rsidRPr="005A17C2">
        <w:rPr>
          <w:rFonts w:ascii="Verdana" w:hAnsi="Verdana"/>
          <w:spacing w:val="-4"/>
          <w:sz w:val="20"/>
          <w:lang w:val="es-ES"/>
        </w:rPr>
        <w:t>do]</w:t>
      </w:r>
      <w:r w:rsidR="005A50BC" w:rsidRPr="005A17C2">
        <w:rPr>
          <w:rFonts w:ascii="Verdana" w:hAnsi="Verdana"/>
          <w:spacing w:val="-4"/>
          <w:sz w:val="20"/>
          <w:lang w:val="es-ES"/>
        </w:rPr>
        <w:t xml:space="preserve"> adecuadamente, d</w:t>
      </w:r>
      <w:r w:rsidR="00340E3A" w:rsidRPr="005A17C2">
        <w:rPr>
          <w:rFonts w:ascii="Verdana" w:hAnsi="Verdana"/>
          <w:spacing w:val="-4"/>
          <w:sz w:val="20"/>
          <w:lang w:val="es-ES"/>
        </w:rPr>
        <w:t>urante aproximadamente dos años</w:t>
      </w:r>
      <w:r w:rsidR="005A50BC" w:rsidRPr="005A17C2">
        <w:rPr>
          <w:rFonts w:ascii="Verdana" w:hAnsi="Verdana"/>
          <w:spacing w:val="-4"/>
          <w:sz w:val="20"/>
          <w:lang w:val="es-ES"/>
        </w:rPr>
        <w:t>”</w:t>
      </w:r>
      <w:r w:rsidR="00A859D7" w:rsidRPr="005A17C2">
        <w:rPr>
          <w:rFonts w:ascii="Verdana" w:hAnsi="Verdana"/>
          <w:spacing w:val="-4"/>
          <w:sz w:val="20"/>
          <w:lang w:val="es-ES"/>
        </w:rPr>
        <w:t>.</w:t>
      </w:r>
      <w:r w:rsidR="00D531AF" w:rsidRPr="005A17C2">
        <w:rPr>
          <w:rFonts w:ascii="Verdana" w:hAnsi="Verdana"/>
          <w:spacing w:val="-4"/>
          <w:sz w:val="20"/>
          <w:lang w:val="es-ES"/>
        </w:rPr>
        <w:t xml:space="preserve"> </w:t>
      </w:r>
      <w:bookmarkEnd w:id="6"/>
      <w:bookmarkEnd w:id="7"/>
      <w:r w:rsidR="009269FE">
        <w:rPr>
          <w:rFonts w:ascii="Verdana" w:hAnsi="Verdana"/>
          <w:spacing w:val="-4"/>
          <w:sz w:val="20"/>
        </w:rPr>
        <w:t>Sobre la presencia policí</w:t>
      </w:r>
      <w:r w:rsidR="00A67187" w:rsidRPr="005A17C2">
        <w:rPr>
          <w:rFonts w:ascii="Verdana" w:hAnsi="Verdana"/>
          <w:spacing w:val="-4"/>
          <w:sz w:val="20"/>
        </w:rPr>
        <w:t xml:space="preserve">aca permanente en Ayutla, indicaron de forma reiterada </w:t>
      </w:r>
      <w:r w:rsidR="007660AC" w:rsidRPr="005A17C2">
        <w:rPr>
          <w:rFonts w:ascii="Verdana" w:hAnsi="Verdana"/>
          <w:spacing w:val="-4"/>
          <w:sz w:val="20"/>
        </w:rPr>
        <w:t xml:space="preserve">que esta </w:t>
      </w:r>
      <w:r w:rsidR="00A67187" w:rsidRPr="005A17C2">
        <w:rPr>
          <w:rFonts w:ascii="Verdana" w:hAnsi="Verdana"/>
          <w:spacing w:val="-4"/>
          <w:sz w:val="20"/>
        </w:rPr>
        <w:t xml:space="preserve">no </w:t>
      </w:r>
      <w:r w:rsidR="0034410E" w:rsidRPr="005A17C2">
        <w:rPr>
          <w:rFonts w:ascii="Verdana" w:hAnsi="Verdana"/>
          <w:spacing w:val="-4"/>
          <w:sz w:val="20"/>
        </w:rPr>
        <w:t xml:space="preserve">era </w:t>
      </w:r>
      <w:r w:rsidR="00A67187" w:rsidRPr="005A17C2">
        <w:rPr>
          <w:rFonts w:ascii="Verdana" w:hAnsi="Verdana"/>
          <w:spacing w:val="-4"/>
          <w:sz w:val="20"/>
        </w:rPr>
        <w:t>continua ni efectiva, que</w:t>
      </w:r>
      <w:r w:rsidR="00C56AB4" w:rsidRPr="005A17C2">
        <w:rPr>
          <w:rFonts w:ascii="Verdana" w:hAnsi="Verdana"/>
          <w:spacing w:val="-4"/>
          <w:sz w:val="20"/>
          <w:lang w:val="es-ES"/>
        </w:rPr>
        <w:t xml:space="preserve"> no se habían</w:t>
      </w:r>
      <w:r w:rsidR="00A67187" w:rsidRPr="005A17C2">
        <w:rPr>
          <w:rFonts w:ascii="Verdana" w:hAnsi="Verdana"/>
          <w:spacing w:val="-4"/>
          <w:sz w:val="20"/>
          <w:lang w:val="es-ES"/>
        </w:rPr>
        <w:t xml:space="preserve"> entregado a </w:t>
      </w:r>
      <w:r w:rsidR="009269FE">
        <w:rPr>
          <w:rFonts w:ascii="Verdana" w:hAnsi="Verdana"/>
          <w:spacing w:val="-4"/>
          <w:sz w:val="20"/>
          <w:lang w:val="es-ES"/>
        </w:rPr>
        <w:t>los</w:t>
      </w:r>
      <w:r w:rsidR="001C1727" w:rsidRPr="005A17C2">
        <w:rPr>
          <w:rFonts w:ascii="Verdana" w:hAnsi="Verdana"/>
          <w:spacing w:val="-4"/>
          <w:sz w:val="20"/>
          <w:lang w:val="es-ES"/>
        </w:rPr>
        <w:t xml:space="preserve"> </w:t>
      </w:r>
      <w:r w:rsidR="00A67187" w:rsidRPr="005A17C2">
        <w:rPr>
          <w:rFonts w:ascii="Verdana" w:hAnsi="Verdana"/>
          <w:spacing w:val="-4"/>
          <w:sz w:val="20"/>
          <w:lang w:val="es-ES"/>
        </w:rPr>
        <w:t>beneficiari</w:t>
      </w:r>
      <w:r w:rsidR="00C56AB4" w:rsidRPr="005A17C2">
        <w:rPr>
          <w:rFonts w:ascii="Verdana" w:hAnsi="Verdana"/>
          <w:spacing w:val="-4"/>
          <w:sz w:val="20"/>
          <w:lang w:val="es-ES"/>
        </w:rPr>
        <w:t>o</w:t>
      </w:r>
      <w:r w:rsidR="00A67187" w:rsidRPr="005A17C2">
        <w:rPr>
          <w:rFonts w:ascii="Verdana" w:hAnsi="Verdana"/>
          <w:spacing w:val="-4"/>
          <w:sz w:val="20"/>
          <w:lang w:val="es-ES"/>
        </w:rPr>
        <w:t xml:space="preserve">s los nombres </w:t>
      </w:r>
      <w:r w:rsidR="00E54F6B">
        <w:rPr>
          <w:rFonts w:ascii="Verdana" w:hAnsi="Verdana"/>
          <w:spacing w:val="-4"/>
          <w:sz w:val="20"/>
          <w:lang w:val="es-ES"/>
        </w:rPr>
        <w:t>ni</w:t>
      </w:r>
      <w:r w:rsidR="00E54F6B" w:rsidRPr="005A17C2">
        <w:rPr>
          <w:rFonts w:ascii="Verdana" w:hAnsi="Verdana"/>
          <w:spacing w:val="-4"/>
          <w:sz w:val="20"/>
          <w:lang w:val="es-ES"/>
        </w:rPr>
        <w:t xml:space="preserve"> </w:t>
      </w:r>
      <w:r w:rsidR="00A67187" w:rsidRPr="005A17C2">
        <w:rPr>
          <w:rFonts w:ascii="Verdana" w:hAnsi="Verdana"/>
          <w:spacing w:val="-4"/>
          <w:sz w:val="20"/>
          <w:lang w:val="es-ES"/>
        </w:rPr>
        <w:t xml:space="preserve">las hojas de </w:t>
      </w:r>
      <w:r w:rsidR="00DD163B" w:rsidRPr="005A17C2">
        <w:rPr>
          <w:rFonts w:ascii="Verdana" w:hAnsi="Verdana"/>
          <w:spacing w:val="-4"/>
          <w:sz w:val="20"/>
          <w:lang w:val="es-ES"/>
        </w:rPr>
        <w:t>vida de los policías</w:t>
      </w:r>
      <w:r w:rsidR="00C56AB4" w:rsidRPr="005A17C2">
        <w:rPr>
          <w:rFonts w:ascii="Verdana" w:hAnsi="Verdana"/>
          <w:spacing w:val="-4"/>
          <w:sz w:val="20"/>
          <w:lang w:val="es-ES"/>
        </w:rPr>
        <w:t xml:space="preserve"> asignados</w:t>
      </w:r>
      <w:r w:rsidR="00A67187" w:rsidRPr="005A17C2">
        <w:rPr>
          <w:rFonts w:ascii="Verdana" w:hAnsi="Verdana"/>
          <w:spacing w:val="-4"/>
          <w:sz w:val="20"/>
          <w:lang w:val="es-ES"/>
        </w:rPr>
        <w:t xml:space="preserve">, y que </w:t>
      </w:r>
      <w:r w:rsidR="00C56AB4" w:rsidRPr="005A17C2">
        <w:rPr>
          <w:rFonts w:ascii="Verdana" w:hAnsi="Verdana"/>
          <w:spacing w:val="-4"/>
          <w:sz w:val="20"/>
          <w:lang w:val="es-ES"/>
        </w:rPr>
        <w:t>los policías acudían</w:t>
      </w:r>
      <w:r w:rsidR="00A67187" w:rsidRPr="005A17C2">
        <w:rPr>
          <w:rFonts w:ascii="Verdana" w:hAnsi="Verdana"/>
          <w:spacing w:val="-4"/>
          <w:sz w:val="20"/>
          <w:lang w:val="es-ES"/>
        </w:rPr>
        <w:t xml:space="preserve"> con el rostro </w:t>
      </w:r>
      <w:r w:rsidR="00C56AB4" w:rsidRPr="005A17C2">
        <w:rPr>
          <w:rFonts w:ascii="Verdana" w:hAnsi="Verdana"/>
          <w:spacing w:val="-4"/>
          <w:sz w:val="20"/>
          <w:lang w:val="es-ES"/>
        </w:rPr>
        <w:t xml:space="preserve">cubierto con pasamontañas </w:t>
      </w:r>
      <w:r w:rsidR="0009713A">
        <w:rPr>
          <w:rFonts w:ascii="Verdana" w:hAnsi="Verdana"/>
          <w:spacing w:val="-4"/>
          <w:sz w:val="20"/>
          <w:lang w:val="es-ES"/>
        </w:rPr>
        <w:t>negándose</w:t>
      </w:r>
      <w:r w:rsidR="00A67187" w:rsidRPr="005A17C2">
        <w:rPr>
          <w:rFonts w:ascii="Verdana" w:hAnsi="Verdana"/>
          <w:spacing w:val="-4"/>
          <w:sz w:val="20"/>
          <w:lang w:val="es-ES"/>
        </w:rPr>
        <w:t xml:space="preserve"> a descubrirse, </w:t>
      </w:r>
      <w:r w:rsidR="00C56AB4" w:rsidRPr="005A17C2">
        <w:rPr>
          <w:rFonts w:ascii="Verdana" w:hAnsi="Verdana"/>
          <w:spacing w:val="-4"/>
          <w:sz w:val="20"/>
          <w:lang w:val="es-ES"/>
        </w:rPr>
        <w:t xml:space="preserve">por supuestas </w:t>
      </w:r>
      <w:r w:rsidR="00A67187" w:rsidRPr="005A17C2">
        <w:rPr>
          <w:rFonts w:ascii="Verdana" w:hAnsi="Verdana"/>
          <w:spacing w:val="-4"/>
          <w:sz w:val="20"/>
          <w:lang w:val="es-ES"/>
        </w:rPr>
        <w:t xml:space="preserve">consideraciones de seguridad, </w:t>
      </w:r>
      <w:r w:rsidR="00C56AB4" w:rsidRPr="005A17C2">
        <w:rPr>
          <w:rFonts w:ascii="Verdana" w:hAnsi="Verdana"/>
          <w:spacing w:val="-4"/>
          <w:sz w:val="20"/>
          <w:lang w:val="es-ES"/>
        </w:rPr>
        <w:t>“</w:t>
      </w:r>
      <w:r w:rsidR="00A67187" w:rsidRPr="005A17C2">
        <w:rPr>
          <w:rFonts w:ascii="Verdana" w:hAnsi="Verdana"/>
          <w:spacing w:val="-4"/>
          <w:sz w:val="20"/>
          <w:lang w:val="es-ES"/>
        </w:rPr>
        <w:t>lo que […] genera[</w:t>
      </w:r>
      <w:proofErr w:type="spellStart"/>
      <w:r w:rsidR="00A67187" w:rsidRPr="005A17C2">
        <w:rPr>
          <w:rFonts w:ascii="Verdana" w:hAnsi="Verdana"/>
          <w:spacing w:val="-4"/>
          <w:sz w:val="20"/>
          <w:lang w:val="es-ES"/>
        </w:rPr>
        <w:t>ba</w:t>
      </w:r>
      <w:proofErr w:type="spellEnd"/>
      <w:r w:rsidR="00A67187" w:rsidRPr="005A17C2">
        <w:rPr>
          <w:rFonts w:ascii="Verdana" w:hAnsi="Verdana"/>
          <w:spacing w:val="-4"/>
          <w:sz w:val="20"/>
          <w:lang w:val="es-ES"/>
        </w:rPr>
        <w:t xml:space="preserve">] zozobra </w:t>
      </w:r>
      <w:r w:rsidR="0009713A">
        <w:rPr>
          <w:rFonts w:ascii="Verdana" w:hAnsi="Verdana"/>
          <w:spacing w:val="-4"/>
          <w:sz w:val="20"/>
          <w:lang w:val="es-ES"/>
        </w:rPr>
        <w:t xml:space="preserve">a </w:t>
      </w:r>
      <w:r w:rsidR="001C1727" w:rsidRPr="005A17C2">
        <w:rPr>
          <w:rFonts w:ascii="Verdana" w:hAnsi="Verdana"/>
          <w:spacing w:val="-4"/>
          <w:sz w:val="20"/>
          <w:lang w:val="es-ES"/>
        </w:rPr>
        <w:t>[los]</w:t>
      </w:r>
      <w:r w:rsidR="00A67187" w:rsidRPr="005A17C2">
        <w:rPr>
          <w:rFonts w:ascii="Verdana" w:hAnsi="Verdana"/>
          <w:spacing w:val="-4"/>
          <w:sz w:val="20"/>
          <w:lang w:val="es-ES"/>
        </w:rPr>
        <w:t xml:space="preserve"> </w:t>
      </w:r>
      <w:proofErr w:type="spellStart"/>
      <w:r w:rsidR="00A67187" w:rsidRPr="005A17C2">
        <w:rPr>
          <w:rFonts w:ascii="Verdana" w:hAnsi="Verdana"/>
          <w:spacing w:val="-4"/>
          <w:sz w:val="20"/>
          <w:lang w:val="es-ES"/>
        </w:rPr>
        <w:t>beneficiari</w:t>
      </w:r>
      <w:proofErr w:type="spellEnd"/>
      <w:r w:rsidR="001C1727" w:rsidRPr="005A17C2">
        <w:rPr>
          <w:rFonts w:ascii="Verdana" w:hAnsi="Verdana"/>
          <w:spacing w:val="-4"/>
          <w:sz w:val="20"/>
          <w:lang w:val="es-ES"/>
        </w:rPr>
        <w:t>[o]</w:t>
      </w:r>
      <w:r w:rsidR="00A67187" w:rsidRPr="005A17C2">
        <w:rPr>
          <w:rFonts w:ascii="Verdana" w:hAnsi="Verdana"/>
          <w:spacing w:val="-4"/>
          <w:sz w:val="20"/>
          <w:lang w:val="es-ES"/>
        </w:rPr>
        <w:t>s y, sobretodo, a los usuarios que acuden a las oficinas […] buscando asesoría legal en casos de violaciones a derechos humanos”</w:t>
      </w:r>
      <w:r w:rsidR="00DD163B" w:rsidRPr="005A17C2">
        <w:rPr>
          <w:rFonts w:ascii="Verdana" w:hAnsi="Verdana"/>
          <w:spacing w:val="-4"/>
          <w:sz w:val="20"/>
          <w:lang w:val="es-ES"/>
        </w:rPr>
        <w:t>.</w:t>
      </w:r>
      <w:r w:rsidR="00A67187" w:rsidRPr="005A17C2">
        <w:rPr>
          <w:rFonts w:ascii="Verdana" w:hAnsi="Verdana"/>
          <w:spacing w:val="-4"/>
          <w:sz w:val="20"/>
          <w:lang w:val="es-ES"/>
        </w:rPr>
        <w:t xml:space="preserve"> </w:t>
      </w:r>
      <w:r w:rsidR="00DD163B" w:rsidRPr="005A17C2">
        <w:rPr>
          <w:rFonts w:ascii="Verdana" w:hAnsi="Verdana"/>
          <w:spacing w:val="-4"/>
          <w:sz w:val="20"/>
          <w:lang w:val="es-ES"/>
        </w:rPr>
        <w:t>E</w:t>
      </w:r>
      <w:r w:rsidR="00A67187" w:rsidRPr="005A17C2">
        <w:rPr>
          <w:rFonts w:ascii="Verdana" w:hAnsi="Verdana"/>
          <w:spacing w:val="-4"/>
          <w:sz w:val="20"/>
          <w:lang w:val="es-ES"/>
        </w:rPr>
        <w:t xml:space="preserve">n noviembre de 2012 </w:t>
      </w:r>
      <w:r w:rsidR="00DD163B" w:rsidRPr="005A17C2">
        <w:rPr>
          <w:rFonts w:ascii="Verdana" w:hAnsi="Verdana"/>
          <w:spacing w:val="-4"/>
          <w:sz w:val="20"/>
          <w:lang w:val="es-ES"/>
        </w:rPr>
        <w:t>manifestaron</w:t>
      </w:r>
      <w:r w:rsidR="00A67187" w:rsidRPr="005A17C2">
        <w:rPr>
          <w:rFonts w:ascii="Verdana" w:hAnsi="Verdana"/>
          <w:spacing w:val="-4"/>
          <w:sz w:val="20"/>
          <w:lang w:val="es-ES"/>
        </w:rPr>
        <w:t xml:space="preserve"> que “se dejó de contar con protección policial permanente</w:t>
      </w:r>
      <w:r w:rsidR="00DD163B" w:rsidRPr="005A17C2">
        <w:rPr>
          <w:rFonts w:ascii="Verdana" w:hAnsi="Verdana"/>
          <w:spacing w:val="-4"/>
          <w:sz w:val="20"/>
          <w:lang w:val="es-ES"/>
        </w:rPr>
        <w:t>”</w:t>
      </w:r>
      <w:r w:rsidR="004C7B1C" w:rsidRPr="005A17C2">
        <w:rPr>
          <w:rFonts w:ascii="Verdana" w:hAnsi="Verdana"/>
          <w:spacing w:val="-4"/>
          <w:sz w:val="20"/>
          <w:lang w:val="es-ES"/>
        </w:rPr>
        <w:t>,</w:t>
      </w:r>
      <w:r w:rsidR="00A67187" w:rsidRPr="005A17C2">
        <w:rPr>
          <w:rFonts w:ascii="Verdana" w:hAnsi="Verdana"/>
          <w:spacing w:val="-4"/>
          <w:sz w:val="20"/>
          <w:lang w:val="es-ES"/>
        </w:rPr>
        <w:t xml:space="preserve"> </w:t>
      </w:r>
      <w:r w:rsidR="004C7B1C" w:rsidRPr="005A17C2">
        <w:rPr>
          <w:rFonts w:ascii="Verdana" w:hAnsi="Verdana"/>
          <w:spacing w:val="-4"/>
          <w:sz w:val="20"/>
          <w:lang w:val="es-ES"/>
        </w:rPr>
        <w:t>aunque</w:t>
      </w:r>
      <w:r w:rsidR="00A67187" w:rsidRPr="005A17C2">
        <w:rPr>
          <w:rFonts w:ascii="Verdana" w:hAnsi="Verdana"/>
          <w:spacing w:val="-4"/>
          <w:sz w:val="20"/>
          <w:lang w:val="es-ES"/>
        </w:rPr>
        <w:t xml:space="preserve"> en febrero de 2013 señalaron que contaban “con presencia permanente de s</w:t>
      </w:r>
      <w:r w:rsidR="0034410E" w:rsidRPr="005A17C2">
        <w:rPr>
          <w:rFonts w:ascii="Verdana" w:hAnsi="Verdana"/>
          <w:spacing w:val="-4"/>
          <w:sz w:val="20"/>
          <w:lang w:val="es-ES"/>
        </w:rPr>
        <w:t>[o]</w:t>
      </w:r>
      <w:r w:rsidR="00A67187" w:rsidRPr="005A17C2">
        <w:rPr>
          <w:rFonts w:ascii="Verdana" w:hAnsi="Verdana"/>
          <w:spacing w:val="-4"/>
          <w:sz w:val="20"/>
          <w:lang w:val="es-ES"/>
        </w:rPr>
        <w:t>lo un elemento de la policía estatal”.</w:t>
      </w:r>
      <w:bookmarkEnd w:id="8"/>
      <w:r w:rsidR="00A67187" w:rsidRPr="005A17C2">
        <w:rPr>
          <w:rFonts w:ascii="Verdana" w:hAnsi="Verdana"/>
          <w:spacing w:val="-4"/>
          <w:sz w:val="20"/>
          <w:lang w:val="es-ES"/>
        </w:rPr>
        <w:t xml:space="preserve"> </w:t>
      </w:r>
    </w:p>
    <w:p w14:paraId="11416BEC" w14:textId="77777777" w:rsidR="00FB7055" w:rsidRPr="005A17C2" w:rsidRDefault="00FB7055" w:rsidP="00BB145E">
      <w:pPr>
        <w:pStyle w:val="BodyText2"/>
        <w:spacing w:after="0" w:line="220" w:lineRule="atLeast"/>
        <w:jc w:val="both"/>
        <w:rPr>
          <w:rFonts w:ascii="Verdana" w:hAnsi="Verdana"/>
          <w:b/>
          <w:spacing w:val="-4"/>
          <w:sz w:val="20"/>
        </w:rPr>
      </w:pPr>
    </w:p>
    <w:p w14:paraId="4090D7F1" w14:textId="5200F479" w:rsidR="001430B0" w:rsidRPr="005A17C2" w:rsidRDefault="001430B0" w:rsidP="00BB145E">
      <w:pPr>
        <w:pStyle w:val="BodyText2"/>
        <w:numPr>
          <w:ilvl w:val="0"/>
          <w:numId w:val="22"/>
        </w:numPr>
        <w:spacing w:after="0" w:line="220" w:lineRule="atLeast"/>
        <w:jc w:val="both"/>
        <w:rPr>
          <w:rFonts w:ascii="Verdana" w:hAnsi="Verdana"/>
          <w:b/>
          <w:spacing w:val="-4"/>
          <w:sz w:val="20"/>
          <w:lang w:val="es-CR"/>
        </w:rPr>
      </w:pPr>
      <w:bookmarkStart w:id="9" w:name="_Ref444073539"/>
      <w:r w:rsidRPr="005A17C2">
        <w:rPr>
          <w:rFonts w:ascii="Verdana" w:eastAsia="Calibri" w:hAnsi="Verdana" w:cs="Arial"/>
          <w:spacing w:val="-4"/>
          <w:sz w:val="20"/>
          <w:lang w:val="es-CR" w:eastAsia="es-CR"/>
        </w:rPr>
        <w:t>Sobre la provisión de medidas de comunicación, los representantes</w:t>
      </w:r>
      <w:r w:rsidR="00F35316" w:rsidRPr="005A17C2">
        <w:rPr>
          <w:rFonts w:ascii="Verdana" w:eastAsia="Calibri" w:hAnsi="Verdana" w:cs="Arial"/>
          <w:spacing w:val="-4"/>
          <w:sz w:val="20"/>
          <w:lang w:val="es-CR" w:eastAsia="es-CR"/>
        </w:rPr>
        <w:t xml:space="preserve"> indicaron </w:t>
      </w:r>
      <w:r w:rsidRPr="005A17C2">
        <w:rPr>
          <w:rFonts w:ascii="Verdana" w:hAnsi="Verdana"/>
          <w:spacing w:val="-4"/>
          <w:sz w:val="20"/>
        </w:rPr>
        <w:t xml:space="preserve">que </w:t>
      </w:r>
      <w:r w:rsidRPr="005A17C2">
        <w:rPr>
          <w:rFonts w:ascii="Verdana" w:eastAsia="Calibri" w:hAnsi="Verdana" w:cs="Arial"/>
          <w:spacing w:val="-4"/>
          <w:sz w:val="20"/>
          <w:lang w:val="es-CR" w:eastAsia="es-CR"/>
        </w:rPr>
        <w:t xml:space="preserve">“los teléfonos satelitales </w:t>
      </w:r>
      <w:r w:rsidRPr="005A17C2">
        <w:rPr>
          <w:rFonts w:ascii="Verdana" w:hAnsi="Verdana"/>
          <w:spacing w:val="-4"/>
          <w:sz w:val="20"/>
        </w:rPr>
        <w:t xml:space="preserve">[…] </w:t>
      </w:r>
      <w:r w:rsidRPr="005A17C2">
        <w:rPr>
          <w:rFonts w:ascii="Verdana" w:eastAsia="Calibri" w:hAnsi="Verdana" w:cs="Arial"/>
          <w:spacing w:val="-4"/>
          <w:sz w:val="20"/>
          <w:lang w:val="es-CR" w:eastAsia="es-CR"/>
        </w:rPr>
        <w:t>han tenido reiteradas fallas en su funcionamiento”. En febrero de 2014 señalaron</w:t>
      </w:r>
      <w:r w:rsidR="004811BC" w:rsidRPr="005A17C2">
        <w:rPr>
          <w:rFonts w:ascii="Verdana" w:eastAsia="Calibri" w:hAnsi="Verdana" w:cs="Arial"/>
          <w:spacing w:val="-4"/>
          <w:sz w:val="20"/>
          <w:lang w:val="es-CR" w:eastAsia="es-CR"/>
        </w:rPr>
        <w:t xml:space="preserve"> que los cinco equipos instalados no funcionaban desde hacía más de un año.</w:t>
      </w:r>
      <w:r w:rsidRPr="005A17C2">
        <w:rPr>
          <w:rFonts w:ascii="Verdana" w:eastAsia="Calibri" w:hAnsi="Verdana" w:cs="Arial"/>
          <w:spacing w:val="-4"/>
          <w:sz w:val="20"/>
          <w:lang w:val="es-CR" w:eastAsia="es-CR"/>
        </w:rPr>
        <w:t xml:space="preserve"> </w:t>
      </w:r>
      <w:r w:rsidRPr="005A17C2">
        <w:rPr>
          <w:rFonts w:ascii="Verdana" w:hAnsi="Verdana"/>
          <w:spacing w:val="-4"/>
          <w:sz w:val="20"/>
          <w:lang w:val="es-ES"/>
        </w:rPr>
        <w:t xml:space="preserve">Destacaron que, </w:t>
      </w:r>
      <w:r w:rsidR="002436F7" w:rsidRPr="005A17C2">
        <w:rPr>
          <w:rFonts w:ascii="Verdana" w:hAnsi="Verdana"/>
          <w:spacing w:val="-4"/>
          <w:sz w:val="20"/>
          <w:lang w:val="es-ES"/>
        </w:rPr>
        <w:t xml:space="preserve">se han tenido </w:t>
      </w:r>
      <w:r w:rsidR="002436F7" w:rsidRPr="00A96FFA">
        <w:rPr>
          <w:rFonts w:ascii="Verdana" w:hAnsi="Verdana"/>
          <w:spacing w:val="-4"/>
          <w:sz w:val="20"/>
          <w:lang w:val="es-ES"/>
        </w:rPr>
        <w:t xml:space="preserve">que desplazar en varias oportunidades hasta Ayutla de </w:t>
      </w:r>
      <w:r w:rsidR="00A96FFA" w:rsidRPr="00A96FFA">
        <w:rPr>
          <w:rFonts w:ascii="Verdana" w:hAnsi="Verdana"/>
          <w:spacing w:val="-4"/>
          <w:sz w:val="20"/>
          <w:lang w:val="es-ES"/>
        </w:rPr>
        <w:t xml:space="preserve">los </w:t>
      </w:r>
      <w:r w:rsidR="002436F7" w:rsidRPr="00A96FFA">
        <w:rPr>
          <w:rFonts w:ascii="Verdana" w:hAnsi="Verdana"/>
          <w:spacing w:val="-4"/>
          <w:sz w:val="20"/>
          <w:lang w:val="es-ES"/>
        </w:rPr>
        <w:t xml:space="preserve">Libres </w:t>
      </w:r>
      <w:r w:rsidR="00A96FFA" w:rsidRPr="00A96FFA">
        <w:rPr>
          <w:rFonts w:ascii="Verdana" w:hAnsi="Verdana"/>
          <w:spacing w:val="-4"/>
          <w:sz w:val="20"/>
          <w:lang w:val="es-ES"/>
        </w:rPr>
        <w:t xml:space="preserve">y a Ciudad de México </w:t>
      </w:r>
      <w:r w:rsidR="002436F7" w:rsidRPr="00A96FFA">
        <w:rPr>
          <w:rFonts w:ascii="Verdana" w:hAnsi="Verdana"/>
          <w:spacing w:val="-4"/>
          <w:sz w:val="20"/>
          <w:lang w:val="es-ES"/>
        </w:rPr>
        <w:t xml:space="preserve">para la </w:t>
      </w:r>
      <w:r w:rsidR="00E3643E" w:rsidRPr="00A96FFA">
        <w:rPr>
          <w:rFonts w:ascii="Verdana" w:hAnsi="Verdana"/>
          <w:spacing w:val="-4"/>
          <w:sz w:val="20"/>
          <w:lang w:val="es-ES"/>
        </w:rPr>
        <w:t>sustitución</w:t>
      </w:r>
      <w:r w:rsidR="002436F7" w:rsidRPr="00A96FFA">
        <w:rPr>
          <w:rFonts w:ascii="Verdana" w:hAnsi="Verdana"/>
          <w:spacing w:val="-4"/>
          <w:sz w:val="20"/>
          <w:lang w:val="es-ES"/>
        </w:rPr>
        <w:t xml:space="preserve"> de </w:t>
      </w:r>
      <w:r w:rsidR="00E3643E" w:rsidRPr="00A96FFA">
        <w:rPr>
          <w:rFonts w:ascii="Verdana" w:hAnsi="Verdana"/>
          <w:spacing w:val="-4"/>
          <w:sz w:val="20"/>
          <w:lang w:val="es-ES"/>
        </w:rPr>
        <w:t>los</w:t>
      </w:r>
      <w:r w:rsidR="002436F7" w:rsidRPr="00A96FFA">
        <w:rPr>
          <w:rFonts w:ascii="Verdana" w:hAnsi="Verdana"/>
          <w:spacing w:val="-4"/>
          <w:sz w:val="20"/>
          <w:lang w:val="es-ES"/>
        </w:rPr>
        <w:t xml:space="preserve"> equipos</w:t>
      </w:r>
      <w:r w:rsidR="00871A1F" w:rsidRPr="00A96FFA">
        <w:rPr>
          <w:rFonts w:ascii="Verdana" w:hAnsi="Verdana"/>
          <w:spacing w:val="-4"/>
          <w:sz w:val="20"/>
          <w:lang w:val="es-ES"/>
        </w:rPr>
        <w:t>.</w:t>
      </w:r>
      <w:r w:rsidR="002436F7" w:rsidRPr="00A96FFA">
        <w:rPr>
          <w:rFonts w:ascii="Verdana" w:hAnsi="Verdana"/>
          <w:spacing w:val="-4"/>
          <w:sz w:val="20"/>
          <w:lang w:val="es-ES"/>
        </w:rPr>
        <w:t xml:space="preserve"> </w:t>
      </w:r>
      <w:r w:rsidR="00F61A1B" w:rsidRPr="00A96FFA">
        <w:rPr>
          <w:rFonts w:ascii="Verdana" w:hAnsi="Verdana"/>
          <w:spacing w:val="-4"/>
          <w:sz w:val="20"/>
        </w:rPr>
        <w:t>Agregaron que</w:t>
      </w:r>
      <w:r w:rsidR="00F61A1B" w:rsidRPr="00A96FFA">
        <w:rPr>
          <w:rFonts w:ascii="Verdana" w:hAnsi="Verdana"/>
          <w:b/>
          <w:spacing w:val="-4"/>
          <w:sz w:val="20"/>
        </w:rPr>
        <w:t xml:space="preserve"> </w:t>
      </w:r>
      <w:r w:rsidR="00F61A1B" w:rsidRPr="00A96FFA">
        <w:rPr>
          <w:rFonts w:ascii="Verdana" w:hAnsi="Verdana"/>
          <w:spacing w:val="-4"/>
          <w:sz w:val="20"/>
          <w:lang w:val="es-ES"/>
        </w:rPr>
        <w:t xml:space="preserve">el teléfono satelital fue finalmente sustituido a </w:t>
      </w:r>
      <w:r w:rsidR="00E3643E" w:rsidRPr="00A96FFA">
        <w:rPr>
          <w:rFonts w:ascii="Verdana" w:hAnsi="Verdana"/>
          <w:spacing w:val="-4"/>
          <w:sz w:val="20"/>
          <w:lang w:val="es-ES"/>
        </w:rPr>
        <w:t>Inés</w:t>
      </w:r>
      <w:r w:rsidR="00F61A1B" w:rsidRPr="00A96FFA">
        <w:rPr>
          <w:rFonts w:ascii="Verdana" w:hAnsi="Verdana"/>
          <w:spacing w:val="-4"/>
          <w:sz w:val="20"/>
          <w:lang w:val="es-ES"/>
        </w:rPr>
        <w:t xml:space="preserve"> Fernández en septiembre de 2015</w:t>
      </w:r>
      <w:r w:rsidR="00C73FAC" w:rsidRPr="00A96FFA">
        <w:rPr>
          <w:rFonts w:ascii="Verdana" w:hAnsi="Verdana"/>
          <w:spacing w:val="-4"/>
          <w:sz w:val="20"/>
          <w:lang w:val="es-ES"/>
        </w:rPr>
        <w:t>.</w:t>
      </w:r>
      <w:r w:rsidR="00F61A1B" w:rsidRPr="00A96FFA">
        <w:rPr>
          <w:rFonts w:ascii="Verdana" w:hAnsi="Verdana"/>
          <w:spacing w:val="-4"/>
          <w:sz w:val="20"/>
          <w:lang w:val="es-ES"/>
        </w:rPr>
        <w:t xml:space="preserve"> </w:t>
      </w:r>
      <w:r w:rsidR="00871A1F" w:rsidRPr="00A96FFA">
        <w:rPr>
          <w:rFonts w:ascii="Verdana" w:hAnsi="Verdana"/>
          <w:spacing w:val="-4"/>
          <w:sz w:val="20"/>
        </w:rPr>
        <w:t xml:space="preserve">Indicaron que </w:t>
      </w:r>
      <w:r w:rsidR="007A77D3" w:rsidRPr="00A96FFA">
        <w:rPr>
          <w:rFonts w:ascii="Verdana" w:hAnsi="Verdana"/>
          <w:spacing w:val="-4"/>
          <w:sz w:val="20"/>
        </w:rPr>
        <w:t>han informado al Estado</w:t>
      </w:r>
      <w:r w:rsidR="00871A1F" w:rsidRPr="00A96FFA">
        <w:rPr>
          <w:rFonts w:ascii="Verdana" w:hAnsi="Verdana"/>
          <w:spacing w:val="-4"/>
          <w:sz w:val="20"/>
        </w:rPr>
        <w:t xml:space="preserve"> que</w:t>
      </w:r>
      <w:r w:rsidR="007A77D3" w:rsidRPr="00A96FFA">
        <w:rPr>
          <w:rFonts w:ascii="Verdana" w:hAnsi="Verdana"/>
          <w:spacing w:val="-4"/>
          <w:sz w:val="20"/>
        </w:rPr>
        <w:t xml:space="preserve"> el </w:t>
      </w:r>
      <w:r w:rsidRPr="00A96FFA">
        <w:rPr>
          <w:rFonts w:ascii="Verdana" w:eastAsia="Calibri" w:hAnsi="Verdana" w:cs="Arial"/>
          <w:spacing w:val="-4"/>
          <w:sz w:val="20"/>
          <w:lang w:val="es-CR" w:eastAsia="es-CR"/>
        </w:rPr>
        <w:t xml:space="preserve">teléfono satelital móvil </w:t>
      </w:r>
      <w:r w:rsidR="00871A1F" w:rsidRPr="00A96FFA">
        <w:rPr>
          <w:rFonts w:ascii="Verdana" w:eastAsia="Calibri" w:hAnsi="Verdana" w:cs="Arial"/>
          <w:spacing w:val="-4"/>
          <w:sz w:val="20"/>
          <w:lang w:val="es-CR" w:eastAsia="es-CR"/>
        </w:rPr>
        <w:t>puesto</w:t>
      </w:r>
      <w:r w:rsidRPr="00A96FFA">
        <w:rPr>
          <w:rFonts w:ascii="Verdana" w:eastAsia="Calibri" w:hAnsi="Verdana" w:cs="Arial"/>
          <w:spacing w:val="-4"/>
          <w:sz w:val="20"/>
          <w:lang w:val="es-CR" w:eastAsia="es-CR"/>
        </w:rPr>
        <w:t xml:space="preserve"> a disposición de la organización </w:t>
      </w:r>
      <w:proofErr w:type="spellStart"/>
      <w:r w:rsidRPr="00A96FFA">
        <w:rPr>
          <w:rFonts w:ascii="Verdana" w:eastAsia="Calibri" w:hAnsi="Verdana" w:cs="Arial"/>
          <w:spacing w:val="-4"/>
          <w:sz w:val="20"/>
          <w:lang w:val="es-CR" w:eastAsia="es-CR"/>
        </w:rPr>
        <w:t>Tlachinollan</w:t>
      </w:r>
      <w:proofErr w:type="spellEnd"/>
      <w:r w:rsidR="00F35316" w:rsidRPr="00A96FFA">
        <w:rPr>
          <w:rFonts w:ascii="Verdana" w:eastAsia="Calibri" w:hAnsi="Verdana" w:cs="Arial"/>
          <w:spacing w:val="-4"/>
          <w:sz w:val="20"/>
          <w:lang w:val="es-CR" w:eastAsia="es-CR"/>
        </w:rPr>
        <w:t xml:space="preserve"> </w:t>
      </w:r>
      <w:r w:rsidR="007A77D3" w:rsidRPr="00A96FFA">
        <w:rPr>
          <w:rFonts w:ascii="Verdana" w:eastAsia="Calibri" w:hAnsi="Verdana" w:cs="Arial"/>
          <w:spacing w:val="-4"/>
          <w:sz w:val="20"/>
          <w:lang w:val="es-CR" w:eastAsia="es-CR"/>
        </w:rPr>
        <w:t>“</w:t>
      </w:r>
      <w:r w:rsidRPr="00A96FFA">
        <w:rPr>
          <w:rFonts w:ascii="Verdana" w:eastAsia="Calibri" w:hAnsi="Verdana" w:cs="Arial"/>
          <w:spacing w:val="-4"/>
          <w:sz w:val="20"/>
          <w:lang w:val="es-CR" w:eastAsia="es-CR"/>
        </w:rPr>
        <w:t>no satisface las necesidades de la organización, por su difícil operación en caso de emergencia”. Respecto los radios de comunicación</w:t>
      </w:r>
      <w:r w:rsidR="00E3643E" w:rsidRPr="00A96FFA">
        <w:rPr>
          <w:rFonts w:ascii="Verdana" w:eastAsia="Calibri" w:hAnsi="Verdana" w:cs="Arial"/>
          <w:spacing w:val="-4"/>
          <w:sz w:val="20"/>
          <w:lang w:val="es-CR" w:eastAsia="es-CR"/>
        </w:rPr>
        <w:t>,</w:t>
      </w:r>
      <w:r w:rsidRPr="00A96FFA">
        <w:rPr>
          <w:rFonts w:ascii="Verdana" w:eastAsia="Calibri" w:hAnsi="Verdana" w:cs="Arial"/>
          <w:spacing w:val="-4"/>
          <w:sz w:val="20"/>
          <w:lang w:val="es-CR" w:eastAsia="es-CR"/>
        </w:rPr>
        <w:t xml:space="preserve"> señalaron que</w:t>
      </w:r>
      <w:r w:rsidR="0034410E" w:rsidRPr="00A96FFA">
        <w:rPr>
          <w:rFonts w:ascii="Verdana" w:eastAsia="Calibri" w:hAnsi="Verdana" w:cs="Arial"/>
          <w:spacing w:val="-4"/>
          <w:sz w:val="20"/>
          <w:lang w:val="es-CR" w:eastAsia="es-CR"/>
        </w:rPr>
        <w:t xml:space="preserve"> habían informado al Estado </w:t>
      </w:r>
      <w:r w:rsidRPr="00A96FFA">
        <w:rPr>
          <w:rFonts w:ascii="Verdana" w:eastAsia="Calibri" w:hAnsi="Verdana" w:cs="Arial"/>
          <w:spacing w:val="-4"/>
          <w:sz w:val="20"/>
          <w:lang w:val="es-CR" w:eastAsia="es-CR"/>
        </w:rPr>
        <w:t>“desde el 21 de agosto de 2009, que no pueden funcionar correctamente, debido a que se requieren 5 reguladores de energía” y que</w:t>
      </w:r>
      <w:r w:rsidR="00871A1F" w:rsidRPr="00A96FFA">
        <w:rPr>
          <w:rFonts w:ascii="Verdana" w:eastAsia="Calibri" w:hAnsi="Verdana" w:cs="Arial"/>
          <w:spacing w:val="-4"/>
          <w:sz w:val="20"/>
          <w:lang w:val="es-CR" w:eastAsia="es-CR"/>
        </w:rPr>
        <w:t xml:space="preserve"> si bien fueron entregados en </w:t>
      </w:r>
      <w:r w:rsidR="00A96FFA" w:rsidRPr="00A96FFA">
        <w:rPr>
          <w:rFonts w:ascii="Verdana" w:eastAsia="Calibri" w:hAnsi="Verdana" w:cs="Arial"/>
          <w:spacing w:val="-4"/>
          <w:sz w:val="20"/>
          <w:lang w:val="es-CR" w:eastAsia="es-CR"/>
        </w:rPr>
        <w:t xml:space="preserve">2012 </w:t>
      </w:r>
      <w:r w:rsidR="00F35316" w:rsidRPr="00A96FFA">
        <w:rPr>
          <w:rFonts w:ascii="Verdana" w:eastAsia="Calibri" w:hAnsi="Verdana" w:cs="Arial"/>
          <w:spacing w:val="-4"/>
          <w:sz w:val="20"/>
          <w:lang w:val="es-CR" w:eastAsia="es-CR"/>
        </w:rPr>
        <w:t xml:space="preserve">no </w:t>
      </w:r>
      <w:r w:rsidR="00E3643E" w:rsidRPr="00A96FFA">
        <w:rPr>
          <w:rFonts w:ascii="Verdana" w:eastAsia="Calibri" w:hAnsi="Verdana" w:cs="Arial"/>
          <w:spacing w:val="-4"/>
          <w:sz w:val="20"/>
          <w:lang w:val="es-CR" w:eastAsia="es-CR"/>
        </w:rPr>
        <w:t>habían sido</w:t>
      </w:r>
      <w:r w:rsidR="00C73FAC" w:rsidRPr="00A96FFA">
        <w:rPr>
          <w:rFonts w:ascii="Verdana" w:eastAsia="Calibri" w:hAnsi="Verdana" w:cs="Arial"/>
          <w:spacing w:val="-4"/>
          <w:sz w:val="20"/>
          <w:lang w:val="es-CR" w:eastAsia="es-CR"/>
        </w:rPr>
        <w:t xml:space="preserve"> </w:t>
      </w:r>
      <w:r w:rsidR="00F35316" w:rsidRPr="00A96FFA">
        <w:rPr>
          <w:rFonts w:ascii="Verdana" w:eastAsia="Calibri" w:hAnsi="Verdana" w:cs="Arial"/>
          <w:spacing w:val="-4"/>
          <w:sz w:val="20"/>
          <w:lang w:val="es-CR" w:eastAsia="es-CR"/>
        </w:rPr>
        <w:t>instalados</w:t>
      </w:r>
      <w:r w:rsidRPr="00A96FFA">
        <w:rPr>
          <w:rFonts w:ascii="Verdana" w:eastAsia="Calibri" w:hAnsi="Verdana" w:cs="Arial"/>
          <w:spacing w:val="-4"/>
          <w:sz w:val="20"/>
          <w:lang w:val="es-CR" w:eastAsia="es-CR"/>
        </w:rPr>
        <w:t xml:space="preserve">. </w:t>
      </w:r>
      <w:r w:rsidR="00F61A1B" w:rsidRPr="00A96FFA">
        <w:rPr>
          <w:rFonts w:ascii="Verdana" w:hAnsi="Verdana"/>
          <w:spacing w:val="-4"/>
          <w:sz w:val="20"/>
          <w:lang w:val="es-ES"/>
        </w:rPr>
        <w:t>Por otra parte</w:t>
      </w:r>
      <w:r w:rsidR="00F61A1B" w:rsidRPr="00A96FFA">
        <w:rPr>
          <w:rFonts w:ascii="Verdana" w:hAnsi="Verdana"/>
          <w:spacing w:val="-4"/>
          <w:sz w:val="20"/>
        </w:rPr>
        <w:t>, con respecto a los costos del “chip de telefonía celular y el crédito permanente para el funcionamiento del monitoreo satelital”, los representantes consideraron que “</w:t>
      </w:r>
      <w:r w:rsidR="00C73FAC" w:rsidRPr="00A96FFA">
        <w:rPr>
          <w:rFonts w:ascii="Verdana" w:hAnsi="Verdana"/>
          <w:spacing w:val="-4"/>
          <w:sz w:val="20"/>
        </w:rPr>
        <w:t>[era]</w:t>
      </w:r>
      <w:r w:rsidR="00F61A1B" w:rsidRPr="00A96FFA">
        <w:rPr>
          <w:rFonts w:ascii="Verdana" w:hAnsi="Verdana"/>
          <w:spacing w:val="-4"/>
          <w:sz w:val="20"/>
        </w:rPr>
        <w:t xml:space="preserve"> responsabilidad del Estado </w:t>
      </w:r>
      <w:r w:rsidR="00F61A1B" w:rsidRPr="00A96FFA">
        <w:rPr>
          <w:rFonts w:ascii="Verdana" w:hAnsi="Verdana"/>
          <w:spacing w:val="-4"/>
          <w:sz w:val="20"/>
          <w:lang w:val="es-ES"/>
        </w:rPr>
        <w:t xml:space="preserve">[…] asumir el monto económico que se destina para los mecanismos de protección”. </w:t>
      </w:r>
      <w:r w:rsidR="00F61A1B" w:rsidRPr="00A96FFA">
        <w:rPr>
          <w:rFonts w:ascii="Verdana" w:eastAsia="Calibri" w:hAnsi="Verdana" w:cs="Arial"/>
          <w:spacing w:val="-4"/>
          <w:sz w:val="20"/>
          <w:lang w:val="es-CR" w:eastAsia="es-CR"/>
        </w:rPr>
        <w:t>Finalmente,</w:t>
      </w:r>
      <w:r w:rsidR="008635D5" w:rsidRPr="00A96FFA">
        <w:rPr>
          <w:rFonts w:ascii="Verdana" w:eastAsia="Calibri" w:hAnsi="Verdana" w:cs="Arial"/>
          <w:b/>
          <w:spacing w:val="-4"/>
          <w:sz w:val="20"/>
          <w:lang w:val="es-CR" w:eastAsia="es-CR"/>
        </w:rPr>
        <w:t xml:space="preserve"> </w:t>
      </w:r>
      <w:r w:rsidR="00F35316" w:rsidRPr="00A96FFA">
        <w:rPr>
          <w:rFonts w:ascii="Verdana" w:eastAsia="Calibri" w:hAnsi="Verdana" w:cs="Arial"/>
          <w:spacing w:val="-4"/>
          <w:sz w:val="20"/>
          <w:lang w:val="es-CR" w:eastAsia="es-CR"/>
        </w:rPr>
        <w:t xml:space="preserve">los representantes </w:t>
      </w:r>
      <w:r w:rsidRPr="00A96FFA">
        <w:rPr>
          <w:rFonts w:ascii="Verdana" w:hAnsi="Verdana"/>
          <w:spacing w:val="-4"/>
          <w:sz w:val="20"/>
        </w:rPr>
        <w:t>precisaron que actualmente se encontrarían pendientes de implementar las siguientes medidas</w:t>
      </w:r>
      <w:r w:rsidR="00F35316" w:rsidRPr="00A96FFA">
        <w:rPr>
          <w:rFonts w:ascii="Verdana" w:hAnsi="Verdana"/>
          <w:spacing w:val="-4"/>
          <w:sz w:val="20"/>
        </w:rPr>
        <w:t xml:space="preserve"> de infraestructura y sistemas de comunicación</w:t>
      </w:r>
      <w:r w:rsidRPr="00A96FFA">
        <w:rPr>
          <w:rFonts w:ascii="Verdana" w:hAnsi="Verdana"/>
          <w:spacing w:val="-4"/>
          <w:sz w:val="20"/>
        </w:rPr>
        <w:t xml:space="preserve">: </w:t>
      </w:r>
      <w:r w:rsidR="00F35316" w:rsidRPr="00A96FFA">
        <w:rPr>
          <w:rFonts w:ascii="Verdana" w:hAnsi="Verdana"/>
          <w:spacing w:val="-4"/>
          <w:sz w:val="20"/>
        </w:rPr>
        <w:t xml:space="preserve">(i) </w:t>
      </w:r>
      <w:r w:rsidRPr="00A96FFA">
        <w:rPr>
          <w:rFonts w:ascii="Verdana" w:hAnsi="Verdana"/>
          <w:spacing w:val="-4"/>
          <w:sz w:val="20"/>
          <w:lang w:val="es-CR"/>
        </w:rPr>
        <w:t xml:space="preserve">instalación de malla ciclónica en el domicilio de Abel Barrera; (ii) instalación del sistema de comunicación telefónica de enlace satelital entre las oficinas de </w:t>
      </w:r>
      <w:proofErr w:type="spellStart"/>
      <w:r w:rsidRPr="00A96FFA">
        <w:rPr>
          <w:rFonts w:ascii="Verdana" w:hAnsi="Verdana"/>
          <w:spacing w:val="-4"/>
          <w:sz w:val="20"/>
          <w:lang w:val="es-CR"/>
        </w:rPr>
        <w:t>Tlachinollan</w:t>
      </w:r>
      <w:proofErr w:type="spellEnd"/>
      <w:r w:rsidRPr="00A96FFA">
        <w:rPr>
          <w:rFonts w:ascii="Verdana" w:hAnsi="Verdana"/>
          <w:spacing w:val="-4"/>
          <w:sz w:val="20"/>
          <w:lang w:val="es-CR"/>
        </w:rPr>
        <w:t xml:space="preserve"> en Tlapa de Comonfort y en Ayutla de los Libres, y (iii) entrega de sistemas de seguridad con equipo de localización satelital para las unidades vehiculares de </w:t>
      </w:r>
      <w:proofErr w:type="spellStart"/>
      <w:r w:rsidRPr="00A96FFA">
        <w:rPr>
          <w:rFonts w:ascii="Verdana" w:hAnsi="Verdana"/>
          <w:spacing w:val="-4"/>
          <w:sz w:val="20"/>
          <w:lang w:val="es-CR"/>
        </w:rPr>
        <w:t>Tlachinollan</w:t>
      </w:r>
      <w:proofErr w:type="spellEnd"/>
      <w:r w:rsidRPr="00A96FFA">
        <w:rPr>
          <w:rFonts w:ascii="Verdana" w:hAnsi="Verdana"/>
          <w:spacing w:val="-4"/>
          <w:sz w:val="20"/>
          <w:lang w:val="es-CR"/>
        </w:rPr>
        <w:t>, así como para el vehículo personal de Abel Barrera</w:t>
      </w:r>
      <w:r w:rsidR="007F267E" w:rsidRPr="00A96FFA">
        <w:rPr>
          <w:rStyle w:val="FootnoteReference"/>
          <w:spacing w:val="-4"/>
          <w:sz w:val="20"/>
          <w:lang w:val="en-US"/>
        </w:rPr>
        <w:footnoteReference w:id="8"/>
      </w:r>
      <w:r w:rsidRPr="00A96FFA">
        <w:rPr>
          <w:rFonts w:ascii="Verdana" w:hAnsi="Verdana"/>
          <w:spacing w:val="-4"/>
          <w:sz w:val="20"/>
          <w:lang w:val="es-CR"/>
        </w:rPr>
        <w:t>.</w:t>
      </w:r>
      <w:r w:rsidRPr="005A17C2">
        <w:rPr>
          <w:rFonts w:ascii="Verdana" w:hAnsi="Verdana"/>
          <w:b/>
          <w:spacing w:val="-4"/>
          <w:sz w:val="20"/>
          <w:lang w:val="es-CR"/>
        </w:rPr>
        <w:t xml:space="preserve"> </w:t>
      </w:r>
      <w:bookmarkEnd w:id="9"/>
    </w:p>
    <w:p w14:paraId="208244A9" w14:textId="77777777" w:rsidR="001430B0" w:rsidRPr="005A17C2" w:rsidRDefault="001430B0" w:rsidP="00BB145E">
      <w:pPr>
        <w:pStyle w:val="BodyText2"/>
        <w:spacing w:after="0" w:line="220" w:lineRule="atLeast"/>
        <w:jc w:val="both"/>
        <w:rPr>
          <w:rFonts w:ascii="Verdana" w:hAnsi="Verdana"/>
          <w:b/>
          <w:spacing w:val="-4"/>
          <w:sz w:val="20"/>
        </w:rPr>
      </w:pPr>
    </w:p>
    <w:p w14:paraId="0E6F461A" w14:textId="09AF9A54" w:rsidR="001430B0" w:rsidRPr="005A17C2" w:rsidRDefault="00BB0C21" w:rsidP="00BB145E">
      <w:pPr>
        <w:pStyle w:val="BodyText2"/>
        <w:numPr>
          <w:ilvl w:val="0"/>
          <w:numId w:val="22"/>
        </w:numPr>
        <w:spacing w:after="0" w:line="240" w:lineRule="auto"/>
        <w:jc w:val="both"/>
        <w:rPr>
          <w:rFonts w:ascii="Verdana" w:hAnsi="Verdana"/>
          <w:spacing w:val="-4"/>
          <w:sz w:val="20"/>
          <w:lang w:val="es-ES"/>
        </w:rPr>
      </w:pPr>
      <w:r w:rsidRPr="005A17C2">
        <w:rPr>
          <w:rFonts w:ascii="Verdana" w:hAnsi="Verdana"/>
          <w:spacing w:val="-4"/>
          <w:sz w:val="20"/>
          <w:lang w:val="es-ES"/>
        </w:rPr>
        <w:t>La</w:t>
      </w:r>
      <w:r w:rsidRPr="005A17C2">
        <w:rPr>
          <w:rFonts w:ascii="Verdana" w:hAnsi="Verdana"/>
          <w:b/>
          <w:i/>
          <w:spacing w:val="-4"/>
          <w:sz w:val="20"/>
          <w:lang w:val="es-ES"/>
        </w:rPr>
        <w:t xml:space="preserve"> Comisión</w:t>
      </w:r>
      <w:r w:rsidR="00E06C50" w:rsidRPr="005A17C2">
        <w:rPr>
          <w:rFonts w:ascii="Verdana" w:hAnsi="Verdana"/>
          <w:spacing w:val="-4"/>
          <w:sz w:val="20"/>
          <w:lang w:val="es-ES"/>
        </w:rPr>
        <w:t xml:space="preserve"> valoró la entrega del teléfono satelital a </w:t>
      </w:r>
      <w:r w:rsidR="0034410E" w:rsidRPr="005A17C2">
        <w:rPr>
          <w:rFonts w:ascii="Verdana" w:hAnsi="Verdana"/>
          <w:spacing w:val="-4"/>
          <w:sz w:val="20"/>
          <w:lang w:val="es-ES"/>
        </w:rPr>
        <w:t>Inés</w:t>
      </w:r>
      <w:r w:rsidR="00E06C50" w:rsidRPr="005A17C2">
        <w:rPr>
          <w:rFonts w:ascii="Verdana" w:hAnsi="Verdana"/>
          <w:spacing w:val="-4"/>
          <w:sz w:val="20"/>
          <w:lang w:val="es-ES"/>
        </w:rPr>
        <w:t xml:space="preserve"> Fernández</w:t>
      </w:r>
      <w:r w:rsidR="00B67EA7">
        <w:rPr>
          <w:rFonts w:ascii="Verdana" w:hAnsi="Verdana"/>
          <w:spacing w:val="-4"/>
          <w:sz w:val="20"/>
          <w:lang w:val="es-ES"/>
        </w:rPr>
        <w:t xml:space="preserve">; </w:t>
      </w:r>
      <w:r w:rsidR="00C0392D" w:rsidRPr="005A17C2">
        <w:rPr>
          <w:rFonts w:ascii="Verdana" w:hAnsi="Verdana"/>
          <w:spacing w:val="-4"/>
          <w:sz w:val="20"/>
          <w:lang w:val="es-ES"/>
        </w:rPr>
        <w:t>la</w:t>
      </w:r>
      <w:r w:rsidR="004D42AD" w:rsidRPr="005A17C2">
        <w:rPr>
          <w:rFonts w:ascii="Verdana" w:hAnsi="Verdana"/>
          <w:spacing w:val="-4"/>
          <w:sz w:val="20"/>
          <w:lang w:val="es-ES"/>
        </w:rPr>
        <w:t xml:space="preserve"> realización de </w:t>
      </w:r>
      <w:r w:rsidR="009E339E" w:rsidRPr="005A17C2">
        <w:rPr>
          <w:rFonts w:ascii="Verdana" w:hAnsi="Verdana"/>
          <w:spacing w:val="-4"/>
          <w:sz w:val="20"/>
          <w:lang w:val="es-ES"/>
        </w:rPr>
        <w:t xml:space="preserve">reuniones </w:t>
      </w:r>
      <w:r w:rsidR="00C0392D" w:rsidRPr="005A17C2">
        <w:rPr>
          <w:rFonts w:ascii="Verdana" w:hAnsi="Verdana"/>
          <w:spacing w:val="-4"/>
          <w:sz w:val="20"/>
          <w:lang w:val="es-ES"/>
        </w:rPr>
        <w:t>de trabajo</w:t>
      </w:r>
      <w:r w:rsidR="00B67EA7">
        <w:rPr>
          <w:rFonts w:ascii="Verdana" w:hAnsi="Verdana"/>
          <w:spacing w:val="-4"/>
          <w:sz w:val="20"/>
          <w:lang w:val="es-ES"/>
        </w:rPr>
        <w:t>,</w:t>
      </w:r>
      <w:r w:rsidR="009E339E" w:rsidRPr="005A17C2">
        <w:rPr>
          <w:rFonts w:ascii="Verdana" w:hAnsi="Verdana"/>
          <w:spacing w:val="-4"/>
          <w:sz w:val="20"/>
          <w:lang w:val="es-ES"/>
        </w:rPr>
        <w:t xml:space="preserve"> y</w:t>
      </w:r>
      <w:r w:rsidR="00C0392D" w:rsidRPr="005A17C2">
        <w:rPr>
          <w:rFonts w:ascii="Verdana" w:hAnsi="Verdana"/>
          <w:spacing w:val="-4"/>
          <w:sz w:val="20"/>
          <w:lang w:val="es-ES"/>
        </w:rPr>
        <w:t xml:space="preserve"> </w:t>
      </w:r>
      <w:r w:rsidR="004D42AD" w:rsidRPr="005A17C2">
        <w:rPr>
          <w:rFonts w:ascii="Verdana" w:hAnsi="Verdana"/>
          <w:spacing w:val="-4"/>
          <w:sz w:val="20"/>
          <w:lang w:val="es-ES"/>
        </w:rPr>
        <w:t xml:space="preserve">de gestiones para </w:t>
      </w:r>
      <w:r w:rsidR="00C0392D" w:rsidRPr="005A17C2">
        <w:rPr>
          <w:rFonts w:ascii="Verdana" w:hAnsi="Verdana"/>
          <w:spacing w:val="-4"/>
          <w:sz w:val="20"/>
          <w:lang w:val="es-ES"/>
        </w:rPr>
        <w:t xml:space="preserve">acordar la implementación de </w:t>
      </w:r>
      <w:r w:rsidR="009E339E" w:rsidRPr="005A17C2">
        <w:rPr>
          <w:rFonts w:ascii="Verdana" w:hAnsi="Verdana"/>
          <w:spacing w:val="-4"/>
          <w:sz w:val="20"/>
          <w:lang w:val="es-ES"/>
        </w:rPr>
        <w:t xml:space="preserve">las </w:t>
      </w:r>
      <w:r w:rsidR="00C0392D" w:rsidRPr="005A17C2">
        <w:rPr>
          <w:rFonts w:ascii="Verdana" w:hAnsi="Verdana"/>
          <w:spacing w:val="-4"/>
          <w:sz w:val="20"/>
          <w:lang w:val="es-ES"/>
        </w:rPr>
        <w:t>disti</w:t>
      </w:r>
      <w:r w:rsidR="00E06C50" w:rsidRPr="005A17C2">
        <w:rPr>
          <w:rFonts w:ascii="Verdana" w:hAnsi="Verdana"/>
          <w:spacing w:val="-4"/>
          <w:sz w:val="20"/>
          <w:lang w:val="es-ES"/>
        </w:rPr>
        <w:t>ntas medidas</w:t>
      </w:r>
      <w:r w:rsidR="009E339E" w:rsidRPr="005A17C2">
        <w:rPr>
          <w:rFonts w:ascii="Verdana" w:hAnsi="Verdana"/>
          <w:spacing w:val="-4"/>
          <w:sz w:val="20"/>
          <w:lang w:val="es-ES"/>
        </w:rPr>
        <w:t xml:space="preserve">, </w:t>
      </w:r>
      <w:r w:rsidR="00E06C50" w:rsidRPr="005A17C2">
        <w:rPr>
          <w:rFonts w:ascii="Verdana" w:hAnsi="Verdana"/>
          <w:spacing w:val="-4"/>
          <w:sz w:val="20"/>
          <w:lang w:val="es-ES"/>
        </w:rPr>
        <w:t>así como</w:t>
      </w:r>
      <w:r w:rsidR="009079D1" w:rsidRPr="005A17C2">
        <w:rPr>
          <w:rFonts w:ascii="Verdana" w:hAnsi="Verdana"/>
          <w:spacing w:val="-4"/>
          <w:sz w:val="20"/>
          <w:lang w:val="es-ES"/>
        </w:rPr>
        <w:t xml:space="preserve"> </w:t>
      </w:r>
      <w:r w:rsidR="00C0392D" w:rsidRPr="005A17C2">
        <w:rPr>
          <w:rFonts w:ascii="Verdana" w:hAnsi="Verdana"/>
          <w:spacing w:val="-4"/>
          <w:sz w:val="20"/>
          <w:lang w:val="es-ES"/>
        </w:rPr>
        <w:t>reconoció los esfuerzos del Estado para materializar</w:t>
      </w:r>
      <w:r w:rsidR="008F2595" w:rsidRPr="005A17C2">
        <w:rPr>
          <w:rFonts w:ascii="Verdana" w:hAnsi="Verdana"/>
          <w:spacing w:val="-4"/>
          <w:sz w:val="20"/>
          <w:lang w:val="es-ES"/>
        </w:rPr>
        <w:t>las</w:t>
      </w:r>
      <w:r w:rsidR="002E39FC" w:rsidRPr="005A17C2">
        <w:rPr>
          <w:rFonts w:ascii="Verdana" w:hAnsi="Verdana"/>
          <w:spacing w:val="-4"/>
          <w:sz w:val="20"/>
          <w:lang w:val="es-ES"/>
        </w:rPr>
        <w:t>.</w:t>
      </w:r>
      <w:r w:rsidR="009079D1" w:rsidRPr="005A17C2">
        <w:rPr>
          <w:rFonts w:ascii="Verdana" w:hAnsi="Verdana"/>
          <w:spacing w:val="-4"/>
          <w:sz w:val="20"/>
          <w:lang w:val="es-ES"/>
        </w:rPr>
        <w:t xml:space="preserve"> </w:t>
      </w:r>
      <w:r w:rsidR="008F2595" w:rsidRPr="005A17C2">
        <w:rPr>
          <w:rFonts w:ascii="Verdana" w:hAnsi="Verdana"/>
          <w:spacing w:val="-4"/>
          <w:sz w:val="20"/>
          <w:lang w:val="es-ES"/>
        </w:rPr>
        <w:t>Sin embargo, en octubre de 2015</w:t>
      </w:r>
      <w:r w:rsidR="002E39FC" w:rsidRPr="005A17C2">
        <w:rPr>
          <w:rFonts w:ascii="Verdana" w:hAnsi="Verdana"/>
          <w:spacing w:val="-4"/>
          <w:sz w:val="20"/>
          <w:lang w:val="es-ES"/>
        </w:rPr>
        <w:t xml:space="preserve">, </w:t>
      </w:r>
      <w:r w:rsidR="0034410E" w:rsidRPr="005A17C2">
        <w:rPr>
          <w:rFonts w:ascii="Verdana" w:hAnsi="Verdana"/>
          <w:spacing w:val="-4"/>
          <w:sz w:val="20"/>
          <w:lang w:val="es-ES"/>
        </w:rPr>
        <w:t>hizo</w:t>
      </w:r>
      <w:r w:rsidR="00EE375C" w:rsidRPr="005A17C2">
        <w:rPr>
          <w:rFonts w:ascii="Verdana" w:hAnsi="Verdana"/>
          <w:spacing w:val="-4"/>
          <w:sz w:val="20"/>
          <w:lang w:val="es-ES"/>
        </w:rPr>
        <w:t xml:space="preserve"> notar la falta de acciones del Estado frente a las medidas </w:t>
      </w:r>
      <w:r w:rsidR="002E39FC" w:rsidRPr="005A17C2">
        <w:rPr>
          <w:rFonts w:ascii="Verdana" w:hAnsi="Verdana"/>
          <w:spacing w:val="-4"/>
          <w:sz w:val="20"/>
          <w:lang w:val="es-ES"/>
        </w:rPr>
        <w:t>solicitad</w:t>
      </w:r>
      <w:r w:rsidR="008F2595" w:rsidRPr="005A17C2">
        <w:rPr>
          <w:rFonts w:ascii="Verdana" w:hAnsi="Verdana"/>
          <w:spacing w:val="-4"/>
          <w:sz w:val="20"/>
          <w:lang w:val="es-ES"/>
        </w:rPr>
        <w:t>as</w:t>
      </w:r>
      <w:r w:rsidR="00EE375C" w:rsidRPr="005A17C2">
        <w:rPr>
          <w:rFonts w:ascii="Verdana" w:hAnsi="Verdana"/>
          <w:spacing w:val="-4"/>
          <w:sz w:val="20"/>
          <w:lang w:val="es-ES"/>
        </w:rPr>
        <w:t xml:space="preserve">, particularmente </w:t>
      </w:r>
      <w:r w:rsidR="008F2595" w:rsidRPr="005A17C2">
        <w:rPr>
          <w:rFonts w:ascii="Verdana" w:hAnsi="Verdana"/>
          <w:spacing w:val="-4"/>
          <w:sz w:val="20"/>
          <w:lang w:val="es-ES"/>
        </w:rPr>
        <w:t xml:space="preserve">en relación </w:t>
      </w:r>
      <w:r w:rsidR="00EE375C" w:rsidRPr="005A17C2">
        <w:rPr>
          <w:rFonts w:ascii="Verdana" w:hAnsi="Verdana"/>
          <w:spacing w:val="-4"/>
          <w:sz w:val="20"/>
          <w:lang w:val="es-ES"/>
        </w:rPr>
        <w:t>con Abel Barrera.</w:t>
      </w:r>
      <w:r w:rsidR="002E39FC" w:rsidRPr="005A17C2">
        <w:rPr>
          <w:rFonts w:ascii="Verdana" w:hAnsi="Verdana"/>
          <w:spacing w:val="-4"/>
          <w:sz w:val="20"/>
          <w:lang w:val="es-ES"/>
        </w:rPr>
        <w:t xml:space="preserve"> </w:t>
      </w:r>
      <w:r w:rsidR="00A91C24" w:rsidRPr="005A17C2">
        <w:rPr>
          <w:rFonts w:ascii="Verdana" w:hAnsi="Verdana"/>
          <w:spacing w:val="-4"/>
          <w:sz w:val="20"/>
          <w:lang w:val="es-ES"/>
        </w:rPr>
        <w:t xml:space="preserve"> </w:t>
      </w:r>
    </w:p>
    <w:p w14:paraId="74D83145" w14:textId="77777777" w:rsidR="00BE112B" w:rsidRPr="005A17C2" w:rsidRDefault="00BE112B" w:rsidP="00BB145E">
      <w:pPr>
        <w:pStyle w:val="BodyText2"/>
        <w:spacing w:after="0" w:line="220" w:lineRule="atLeast"/>
        <w:jc w:val="both"/>
        <w:rPr>
          <w:rFonts w:ascii="Verdana" w:hAnsi="Verdana"/>
          <w:spacing w:val="-4"/>
          <w:sz w:val="20"/>
        </w:rPr>
      </w:pPr>
    </w:p>
    <w:p w14:paraId="24E71B6E" w14:textId="14855782" w:rsidR="00BE112B" w:rsidRPr="005A17C2" w:rsidRDefault="00D517F5" w:rsidP="00BB145E">
      <w:pPr>
        <w:tabs>
          <w:tab w:val="left" w:pos="851"/>
        </w:tabs>
        <w:ind w:left="1440" w:right="22"/>
        <w:jc w:val="both"/>
        <w:rPr>
          <w:rFonts w:ascii="Verdana" w:hAnsi="Verdana"/>
          <w:b/>
          <w:spacing w:val="-4"/>
          <w:sz w:val="20"/>
          <w:lang w:val="es-ES"/>
        </w:rPr>
      </w:pPr>
      <w:r w:rsidRPr="005A17C2">
        <w:rPr>
          <w:rFonts w:ascii="Verdana" w:hAnsi="Verdana"/>
          <w:b/>
          <w:spacing w:val="-4"/>
          <w:sz w:val="20"/>
        </w:rPr>
        <w:t>A</w:t>
      </w:r>
      <w:r w:rsidR="00BE112B" w:rsidRPr="005A17C2">
        <w:rPr>
          <w:rFonts w:ascii="Verdana" w:hAnsi="Verdana"/>
          <w:b/>
          <w:spacing w:val="-4"/>
          <w:sz w:val="20"/>
        </w:rPr>
        <w:t>.</w:t>
      </w:r>
      <w:r w:rsidR="001430B0" w:rsidRPr="005A17C2">
        <w:rPr>
          <w:rFonts w:ascii="Verdana" w:hAnsi="Verdana"/>
          <w:b/>
          <w:spacing w:val="-4"/>
          <w:sz w:val="20"/>
        </w:rPr>
        <w:t>2</w:t>
      </w:r>
      <w:r w:rsidR="00BE112B" w:rsidRPr="005A17C2">
        <w:rPr>
          <w:rFonts w:ascii="Verdana" w:hAnsi="Verdana"/>
          <w:b/>
          <w:spacing w:val="-4"/>
          <w:sz w:val="20"/>
        </w:rPr>
        <w:t xml:space="preserve">) </w:t>
      </w:r>
      <w:r w:rsidR="008E511E" w:rsidRPr="005A17C2">
        <w:rPr>
          <w:rFonts w:ascii="Verdana" w:hAnsi="Verdana"/>
          <w:b/>
          <w:spacing w:val="-4"/>
          <w:sz w:val="20"/>
        </w:rPr>
        <w:t>Sobre los r</w:t>
      </w:r>
      <w:r w:rsidR="00246A0E" w:rsidRPr="005A17C2">
        <w:rPr>
          <w:rFonts w:ascii="Verdana" w:hAnsi="Verdana"/>
          <w:b/>
          <w:spacing w:val="-4"/>
          <w:sz w:val="20"/>
        </w:rPr>
        <w:t xml:space="preserve">ondines y </w:t>
      </w:r>
      <w:r w:rsidR="008E511E" w:rsidRPr="005A17C2">
        <w:rPr>
          <w:rFonts w:ascii="Verdana" w:hAnsi="Verdana"/>
          <w:b/>
          <w:spacing w:val="-4"/>
          <w:sz w:val="20"/>
        </w:rPr>
        <w:t xml:space="preserve">otras </w:t>
      </w:r>
      <w:r w:rsidR="002E39FC" w:rsidRPr="005A17C2">
        <w:rPr>
          <w:rFonts w:ascii="Verdana" w:hAnsi="Verdana"/>
          <w:b/>
          <w:spacing w:val="-4"/>
          <w:sz w:val="20"/>
        </w:rPr>
        <w:t xml:space="preserve">medidas de </w:t>
      </w:r>
      <w:r w:rsidR="00C16C35" w:rsidRPr="005A17C2">
        <w:rPr>
          <w:rFonts w:ascii="Verdana" w:hAnsi="Verdana"/>
          <w:b/>
          <w:spacing w:val="-4"/>
          <w:sz w:val="20"/>
        </w:rPr>
        <w:t xml:space="preserve">acompañamiento </w:t>
      </w:r>
    </w:p>
    <w:p w14:paraId="51140C13" w14:textId="77777777" w:rsidR="00246A0E" w:rsidRPr="005A17C2" w:rsidRDefault="00246A0E" w:rsidP="00BB145E">
      <w:pPr>
        <w:tabs>
          <w:tab w:val="left" w:pos="851"/>
        </w:tabs>
        <w:ind w:left="1440" w:right="22"/>
        <w:jc w:val="both"/>
        <w:rPr>
          <w:rFonts w:ascii="Verdana" w:hAnsi="Verdana"/>
          <w:spacing w:val="-4"/>
          <w:sz w:val="20"/>
          <w:lang w:val="es-ES"/>
        </w:rPr>
      </w:pPr>
    </w:p>
    <w:p w14:paraId="2CFF4AEA" w14:textId="76489BAE" w:rsidR="006D0735" w:rsidRPr="00E706A2" w:rsidRDefault="00BE112B" w:rsidP="00E706A2">
      <w:pPr>
        <w:pStyle w:val="BodyText2"/>
        <w:numPr>
          <w:ilvl w:val="0"/>
          <w:numId w:val="22"/>
        </w:numPr>
        <w:spacing w:after="0" w:line="220" w:lineRule="atLeast"/>
        <w:jc w:val="both"/>
        <w:rPr>
          <w:rFonts w:ascii="Verdana" w:hAnsi="Verdana"/>
          <w:spacing w:val="-4"/>
          <w:sz w:val="20"/>
          <w:lang w:val="es-CR"/>
        </w:rPr>
      </w:pPr>
      <w:bookmarkStart w:id="10" w:name="_Ref414009747"/>
      <w:r w:rsidRPr="005A17C2">
        <w:rPr>
          <w:rFonts w:ascii="Verdana" w:hAnsi="Verdana"/>
          <w:spacing w:val="-4"/>
          <w:sz w:val="20"/>
          <w:lang w:val="es-ES"/>
        </w:rPr>
        <w:t xml:space="preserve">El </w:t>
      </w:r>
      <w:r w:rsidRPr="005A17C2">
        <w:rPr>
          <w:rFonts w:ascii="Verdana" w:hAnsi="Verdana"/>
          <w:b/>
          <w:i/>
          <w:spacing w:val="-4"/>
          <w:sz w:val="20"/>
          <w:lang w:val="es-ES"/>
        </w:rPr>
        <w:t>Estado</w:t>
      </w:r>
      <w:r w:rsidRPr="005A17C2">
        <w:rPr>
          <w:rFonts w:ascii="Verdana" w:hAnsi="Verdana"/>
          <w:b/>
          <w:spacing w:val="-4"/>
          <w:sz w:val="20"/>
          <w:lang w:val="es-ES"/>
        </w:rPr>
        <w:t xml:space="preserve"> </w:t>
      </w:r>
      <w:r w:rsidR="00246A0E" w:rsidRPr="005A17C2">
        <w:rPr>
          <w:rFonts w:ascii="Verdana" w:hAnsi="Verdana"/>
          <w:spacing w:val="-4"/>
          <w:sz w:val="20"/>
          <w:lang w:val="es-ES"/>
        </w:rPr>
        <w:t xml:space="preserve">señaló </w:t>
      </w:r>
      <w:r w:rsidR="001B4FFE" w:rsidRPr="005A17C2">
        <w:rPr>
          <w:rFonts w:ascii="Verdana" w:hAnsi="Verdana"/>
          <w:spacing w:val="-4"/>
          <w:sz w:val="20"/>
          <w:lang w:val="es-ES"/>
        </w:rPr>
        <w:t xml:space="preserve">que los rondines pactados </w:t>
      </w:r>
      <w:r w:rsidR="000E51EE" w:rsidRPr="005A17C2">
        <w:rPr>
          <w:rFonts w:ascii="Verdana" w:hAnsi="Verdana"/>
          <w:spacing w:val="-4"/>
          <w:sz w:val="20"/>
          <w:lang w:val="es-ES"/>
        </w:rPr>
        <w:t>continu</w:t>
      </w:r>
      <w:r w:rsidR="00C26EDD" w:rsidRPr="005A17C2">
        <w:rPr>
          <w:rFonts w:ascii="Verdana" w:hAnsi="Verdana"/>
          <w:spacing w:val="-4"/>
          <w:sz w:val="20"/>
          <w:lang w:val="es-ES"/>
        </w:rPr>
        <w:t xml:space="preserve">aban </w:t>
      </w:r>
      <w:r w:rsidR="001B4FFE" w:rsidRPr="005A17C2">
        <w:rPr>
          <w:rFonts w:ascii="Verdana" w:hAnsi="Verdana"/>
          <w:spacing w:val="-4"/>
          <w:sz w:val="20"/>
          <w:lang w:val="es-ES"/>
        </w:rPr>
        <w:t xml:space="preserve">realizándose </w:t>
      </w:r>
      <w:r w:rsidR="004850BE" w:rsidRPr="005A17C2">
        <w:rPr>
          <w:rFonts w:ascii="Verdana" w:hAnsi="Verdana"/>
          <w:spacing w:val="-4"/>
          <w:sz w:val="20"/>
          <w:lang w:val="es-ES"/>
        </w:rPr>
        <w:t>“de manera constante y adecuada”.</w:t>
      </w:r>
      <w:r w:rsidR="00EA697F" w:rsidRPr="005A17C2">
        <w:rPr>
          <w:rFonts w:ascii="Verdana" w:hAnsi="Verdana"/>
          <w:spacing w:val="-4"/>
          <w:sz w:val="20"/>
          <w:lang w:val="es-ES"/>
        </w:rPr>
        <w:t xml:space="preserve"> </w:t>
      </w:r>
      <w:r w:rsidR="004850BE" w:rsidRPr="005A17C2">
        <w:rPr>
          <w:rFonts w:ascii="Verdana" w:hAnsi="Verdana"/>
          <w:spacing w:val="-4"/>
          <w:sz w:val="20"/>
          <w:lang w:val="es-ES"/>
        </w:rPr>
        <w:t xml:space="preserve">Asimismo, informó que </w:t>
      </w:r>
      <w:r w:rsidR="00020D3B" w:rsidRPr="005A17C2">
        <w:rPr>
          <w:rFonts w:ascii="Verdana" w:hAnsi="Verdana"/>
          <w:spacing w:val="-4"/>
          <w:sz w:val="20"/>
          <w:lang w:val="es-CR"/>
        </w:rPr>
        <w:t xml:space="preserve">proporcionó </w:t>
      </w:r>
      <w:r w:rsidR="004850BE" w:rsidRPr="005A17C2">
        <w:rPr>
          <w:rFonts w:ascii="Verdana" w:hAnsi="Verdana"/>
          <w:spacing w:val="-4"/>
          <w:sz w:val="20"/>
          <w:lang w:val="es-CR"/>
        </w:rPr>
        <w:t>los números de emergencia</w:t>
      </w:r>
      <w:r w:rsidR="00B67EA7">
        <w:rPr>
          <w:rFonts w:ascii="Verdana" w:hAnsi="Verdana"/>
          <w:spacing w:val="-4"/>
          <w:sz w:val="20"/>
          <w:lang w:val="es-CR"/>
        </w:rPr>
        <w:t xml:space="preserve"> de la policía de la localidad. </w:t>
      </w:r>
      <w:r w:rsidR="006B339B" w:rsidRPr="005A17C2">
        <w:rPr>
          <w:rFonts w:ascii="Verdana" w:hAnsi="Verdana"/>
          <w:spacing w:val="-4"/>
          <w:sz w:val="20"/>
          <w:lang w:val="es-ES"/>
        </w:rPr>
        <w:t>A</w:t>
      </w:r>
      <w:r w:rsidR="00AB029E" w:rsidRPr="005A17C2">
        <w:rPr>
          <w:rFonts w:ascii="Verdana" w:hAnsi="Verdana"/>
          <w:spacing w:val="-4"/>
          <w:sz w:val="20"/>
          <w:lang w:val="es-ES"/>
        </w:rPr>
        <w:t xml:space="preserve">l respecto, </w:t>
      </w:r>
      <w:r w:rsidR="00541D4A" w:rsidRPr="005A17C2">
        <w:rPr>
          <w:rFonts w:ascii="Verdana" w:hAnsi="Verdana"/>
          <w:spacing w:val="-4"/>
          <w:sz w:val="20"/>
          <w:lang w:val="es-ES"/>
        </w:rPr>
        <w:t xml:space="preserve">remitió </w:t>
      </w:r>
      <w:r w:rsidR="00C26EDD" w:rsidRPr="005A17C2">
        <w:rPr>
          <w:rFonts w:ascii="Verdana" w:hAnsi="Verdana"/>
          <w:spacing w:val="-4"/>
          <w:sz w:val="20"/>
          <w:lang w:val="es-ES"/>
        </w:rPr>
        <w:t xml:space="preserve">bitácoras de </w:t>
      </w:r>
      <w:r w:rsidR="00020D3B" w:rsidRPr="005A17C2">
        <w:rPr>
          <w:rFonts w:ascii="Verdana" w:hAnsi="Verdana"/>
          <w:spacing w:val="-4"/>
          <w:sz w:val="20"/>
          <w:lang w:val="es-ES"/>
        </w:rPr>
        <w:t xml:space="preserve">los </w:t>
      </w:r>
      <w:r w:rsidR="00C26EDD" w:rsidRPr="005A17C2">
        <w:rPr>
          <w:rFonts w:ascii="Verdana" w:hAnsi="Verdana"/>
          <w:spacing w:val="-4"/>
          <w:sz w:val="20"/>
          <w:lang w:val="es-ES"/>
        </w:rPr>
        <w:t>rondines</w:t>
      </w:r>
      <w:r w:rsidR="00541D4A" w:rsidRPr="005A17C2">
        <w:rPr>
          <w:rFonts w:ascii="Verdana" w:hAnsi="Verdana"/>
          <w:spacing w:val="-4"/>
          <w:sz w:val="20"/>
          <w:lang w:val="es-ES"/>
        </w:rPr>
        <w:t xml:space="preserve"> policíacos realizados</w:t>
      </w:r>
      <w:r w:rsidR="001B4FFE" w:rsidRPr="005A17C2">
        <w:rPr>
          <w:rFonts w:ascii="Verdana" w:hAnsi="Verdana"/>
          <w:spacing w:val="-4"/>
          <w:sz w:val="20"/>
          <w:lang w:val="es-ES"/>
        </w:rPr>
        <w:t>.</w:t>
      </w:r>
      <w:r w:rsidR="00C16C35" w:rsidRPr="005A17C2">
        <w:rPr>
          <w:rFonts w:ascii="Verdana" w:hAnsi="Verdana"/>
          <w:spacing w:val="-4"/>
          <w:sz w:val="20"/>
          <w:lang w:val="es-ES"/>
        </w:rPr>
        <w:t xml:space="preserve"> </w:t>
      </w:r>
      <w:r w:rsidR="006B339B" w:rsidRPr="005A17C2">
        <w:rPr>
          <w:rFonts w:ascii="Verdana" w:hAnsi="Verdana"/>
          <w:spacing w:val="-4"/>
          <w:sz w:val="20"/>
          <w:lang w:val="es-ES"/>
        </w:rPr>
        <w:t>Indicó</w:t>
      </w:r>
      <w:r w:rsidR="00AB029E" w:rsidRPr="005A17C2">
        <w:rPr>
          <w:rFonts w:ascii="Verdana" w:hAnsi="Verdana"/>
          <w:spacing w:val="-4"/>
          <w:sz w:val="20"/>
          <w:lang w:val="es-ES"/>
        </w:rPr>
        <w:t xml:space="preserve"> </w:t>
      </w:r>
      <w:r w:rsidR="001D38DC" w:rsidRPr="005A17C2">
        <w:rPr>
          <w:rFonts w:ascii="Verdana" w:hAnsi="Verdana"/>
          <w:spacing w:val="-4"/>
          <w:sz w:val="20"/>
          <w:lang w:val="es-ES"/>
        </w:rPr>
        <w:t>que “en ocasiones s</w:t>
      </w:r>
      <w:r w:rsidR="00B10D2A" w:rsidRPr="005A17C2">
        <w:rPr>
          <w:rFonts w:ascii="Verdana" w:hAnsi="Verdana"/>
          <w:spacing w:val="-4"/>
          <w:sz w:val="20"/>
          <w:lang w:val="es-ES"/>
        </w:rPr>
        <w:t>e</w:t>
      </w:r>
      <w:r w:rsidR="001D38DC" w:rsidRPr="005A17C2">
        <w:rPr>
          <w:rFonts w:ascii="Verdana" w:hAnsi="Verdana"/>
          <w:spacing w:val="-4"/>
          <w:sz w:val="20"/>
          <w:lang w:val="es-ES"/>
        </w:rPr>
        <w:t xml:space="preserve"> </w:t>
      </w:r>
      <w:r w:rsidR="00B10D2A" w:rsidRPr="005A17C2">
        <w:rPr>
          <w:rFonts w:ascii="Verdana" w:hAnsi="Verdana"/>
          <w:spacing w:val="-4"/>
          <w:sz w:val="20"/>
          <w:lang w:val="es-ES"/>
        </w:rPr>
        <w:t xml:space="preserve">ha dificultado el acceso al </w:t>
      </w:r>
      <w:r w:rsidR="001D38DC" w:rsidRPr="005A17C2">
        <w:rPr>
          <w:rFonts w:ascii="Verdana" w:hAnsi="Verdana"/>
          <w:spacing w:val="-4"/>
          <w:sz w:val="20"/>
          <w:lang w:val="es-ES"/>
        </w:rPr>
        <w:t>domicilio</w:t>
      </w:r>
      <w:r w:rsidR="00B10D2A" w:rsidRPr="005A17C2">
        <w:rPr>
          <w:rFonts w:ascii="Verdana" w:hAnsi="Verdana"/>
          <w:spacing w:val="-4"/>
          <w:sz w:val="20"/>
          <w:lang w:val="es-ES"/>
        </w:rPr>
        <w:t xml:space="preserve"> de </w:t>
      </w:r>
      <w:r w:rsidR="006D52EA" w:rsidRPr="005A17C2">
        <w:rPr>
          <w:rFonts w:ascii="Verdana" w:hAnsi="Verdana"/>
          <w:spacing w:val="-4"/>
          <w:sz w:val="20"/>
          <w:lang w:val="es-ES"/>
        </w:rPr>
        <w:t>[Inés]</w:t>
      </w:r>
      <w:r w:rsidR="00B10D2A" w:rsidRPr="005A17C2">
        <w:rPr>
          <w:rFonts w:ascii="Verdana" w:hAnsi="Verdana"/>
          <w:spacing w:val="-4"/>
          <w:sz w:val="20"/>
          <w:lang w:val="es-ES"/>
        </w:rPr>
        <w:t xml:space="preserve"> Fernández</w:t>
      </w:r>
      <w:r w:rsidR="0039724D">
        <w:rPr>
          <w:rFonts w:ascii="Verdana" w:hAnsi="Verdana"/>
          <w:spacing w:val="-4"/>
          <w:sz w:val="20"/>
          <w:lang w:val="es-ES"/>
        </w:rPr>
        <w:t xml:space="preserve"> </w:t>
      </w:r>
      <w:r w:rsidR="00B67EA7">
        <w:rPr>
          <w:rFonts w:ascii="Verdana" w:hAnsi="Verdana"/>
          <w:spacing w:val="-4"/>
          <w:sz w:val="20"/>
          <w:lang w:val="es-ES"/>
        </w:rPr>
        <w:t>[…]</w:t>
      </w:r>
      <w:r w:rsidR="00B67EA7" w:rsidRPr="005A17C2">
        <w:rPr>
          <w:rFonts w:ascii="Verdana" w:hAnsi="Verdana"/>
          <w:spacing w:val="-4"/>
          <w:sz w:val="20"/>
          <w:lang w:val="es-ES"/>
        </w:rPr>
        <w:t xml:space="preserve"> </w:t>
      </w:r>
      <w:r w:rsidR="00B10D2A" w:rsidRPr="005A17C2">
        <w:rPr>
          <w:rFonts w:ascii="Verdana" w:hAnsi="Verdana"/>
          <w:spacing w:val="-4"/>
          <w:sz w:val="20"/>
          <w:lang w:val="es-ES"/>
        </w:rPr>
        <w:t>lo cua</w:t>
      </w:r>
      <w:r w:rsidR="001D38DC" w:rsidRPr="005A17C2">
        <w:rPr>
          <w:rFonts w:ascii="Verdana" w:hAnsi="Verdana"/>
          <w:spacing w:val="-4"/>
          <w:sz w:val="20"/>
          <w:lang w:val="es-ES"/>
        </w:rPr>
        <w:t>l</w:t>
      </w:r>
      <w:r w:rsidR="00B10D2A" w:rsidRPr="005A17C2">
        <w:rPr>
          <w:rFonts w:ascii="Verdana" w:hAnsi="Verdana"/>
          <w:spacing w:val="-4"/>
          <w:sz w:val="20"/>
          <w:lang w:val="es-ES"/>
        </w:rPr>
        <w:t xml:space="preserve"> a la fecha no ha </w:t>
      </w:r>
      <w:r w:rsidR="001D38DC" w:rsidRPr="005A17C2">
        <w:rPr>
          <w:rFonts w:ascii="Verdana" w:hAnsi="Verdana"/>
          <w:spacing w:val="-4"/>
          <w:sz w:val="20"/>
          <w:lang w:val="es-ES"/>
        </w:rPr>
        <w:t>implicado</w:t>
      </w:r>
      <w:r w:rsidR="00B10D2A" w:rsidRPr="005A17C2">
        <w:rPr>
          <w:rFonts w:ascii="Verdana" w:hAnsi="Verdana"/>
          <w:spacing w:val="-4"/>
          <w:sz w:val="20"/>
          <w:lang w:val="es-ES"/>
        </w:rPr>
        <w:t xml:space="preserve"> un menoscabo en</w:t>
      </w:r>
      <w:r w:rsidR="00E44DFF" w:rsidRPr="005A17C2">
        <w:rPr>
          <w:rFonts w:ascii="Verdana" w:hAnsi="Verdana"/>
          <w:spacing w:val="-4"/>
          <w:sz w:val="20"/>
          <w:lang w:val="es-ES"/>
        </w:rPr>
        <w:t xml:space="preserve"> su esfera esencial de derechos</w:t>
      </w:r>
      <w:r w:rsidR="00B10D2A" w:rsidRPr="005A17C2">
        <w:rPr>
          <w:rFonts w:ascii="Verdana" w:hAnsi="Verdana"/>
          <w:spacing w:val="-4"/>
          <w:sz w:val="20"/>
          <w:lang w:val="es-ES"/>
        </w:rPr>
        <w:t>”</w:t>
      </w:r>
      <w:r w:rsidR="00927BD4" w:rsidRPr="005A17C2">
        <w:rPr>
          <w:rFonts w:ascii="Verdana" w:hAnsi="Verdana"/>
          <w:spacing w:val="-4"/>
          <w:sz w:val="20"/>
          <w:lang w:val="es-ES"/>
        </w:rPr>
        <w:t>.</w:t>
      </w:r>
      <w:r w:rsidR="00B10D2A" w:rsidRPr="005A17C2">
        <w:rPr>
          <w:rFonts w:ascii="Verdana" w:hAnsi="Verdana"/>
          <w:spacing w:val="-4"/>
          <w:sz w:val="20"/>
          <w:lang w:val="es-ES"/>
        </w:rPr>
        <w:t xml:space="preserve"> </w:t>
      </w:r>
      <w:r w:rsidR="008D36E8" w:rsidRPr="005A17C2">
        <w:rPr>
          <w:rFonts w:ascii="Verdana" w:hAnsi="Verdana"/>
          <w:spacing w:val="-4"/>
          <w:sz w:val="20"/>
        </w:rPr>
        <w:t xml:space="preserve">Respecto a las medidas de </w:t>
      </w:r>
      <w:r w:rsidR="008D36E8" w:rsidRPr="005A17C2">
        <w:rPr>
          <w:rFonts w:ascii="Verdana" w:hAnsi="Verdana"/>
          <w:spacing w:val="-4"/>
          <w:sz w:val="20"/>
        </w:rPr>
        <w:lastRenderedPageBreak/>
        <w:t>acompañamie</w:t>
      </w:r>
      <w:r w:rsidR="00422BDB" w:rsidRPr="005A17C2">
        <w:rPr>
          <w:rFonts w:ascii="Verdana" w:hAnsi="Verdana"/>
          <w:spacing w:val="-4"/>
          <w:sz w:val="20"/>
        </w:rPr>
        <w:t>nto policial para los traslados</w:t>
      </w:r>
      <w:r w:rsidR="004D42AD" w:rsidRPr="005A17C2">
        <w:rPr>
          <w:rFonts w:ascii="Verdana" w:hAnsi="Verdana"/>
          <w:spacing w:val="-4"/>
          <w:sz w:val="20"/>
        </w:rPr>
        <w:t xml:space="preserve"> de </w:t>
      </w:r>
      <w:r w:rsidR="008D36E8" w:rsidRPr="005A17C2">
        <w:rPr>
          <w:rFonts w:ascii="Verdana" w:hAnsi="Verdana"/>
          <w:spacing w:val="-4"/>
          <w:sz w:val="20"/>
        </w:rPr>
        <w:t>Tlapa</w:t>
      </w:r>
      <w:r w:rsidR="004D42AD" w:rsidRPr="005A17C2">
        <w:rPr>
          <w:rFonts w:ascii="Verdana" w:hAnsi="Verdana"/>
          <w:spacing w:val="-4"/>
          <w:sz w:val="20"/>
        </w:rPr>
        <w:t xml:space="preserve"> a </w:t>
      </w:r>
      <w:r w:rsidR="008D36E8" w:rsidRPr="005A17C2">
        <w:rPr>
          <w:rFonts w:ascii="Verdana" w:hAnsi="Verdana"/>
          <w:spacing w:val="-4"/>
          <w:sz w:val="20"/>
        </w:rPr>
        <w:t xml:space="preserve">Chilpancingo y el ajuste de modalidad </w:t>
      </w:r>
      <w:r w:rsidR="0016117F" w:rsidRPr="005A17C2">
        <w:rPr>
          <w:rFonts w:ascii="Verdana" w:hAnsi="Verdana"/>
          <w:spacing w:val="-4"/>
          <w:sz w:val="20"/>
        </w:rPr>
        <w:t>de</w:t>
      </w:r>
      <w:r w:rsidR="008D36E8" w:rsidRPr="005A17C2">
        <w:rPr>
          <w:rFonts w:ascii="Verdana" w:hAnsi="Verdana"/>
          <w:spacing w:val="-4"/>
          <w:sz w:val="20"/>
        </w:rPr>
        <w:t xml:space="preserve"> los rondines en la oficina de </w:t>
      </w:r>
      <w:proofErr w:type="spellStart"/>
      <w:r w:rsidR="008D36E8" w:rsidRPr="005A17C2">
        <w:rPr>
          <w:rFonts w:ascii="Verdana" w:hAnsi="Verdana"/>
          <w:spacing w:val="-4"/>
          <w:sz w:val="20"/>
        </w:rPr>
        <w:t>Tlachinollan</w:t>
      </w:r>
      <w:proofErr w:type="spellEnd"/>
      <w:r w:rsidR="008D36E8" w:rsidRPr="005A17C2">
        <w:rPr>
          <w:rFonts w:ascii="Verdana" w:hAnsi="Verdana"/>
          <w:spacing w:val="-4"/>
          <w:sz w:val="20"/>
        </w:rPr>
        <w:t xml:space="preserve"> en Tlapa de Comonfort, el Estado informó que enviaría una propuesta y transmitió “la instrucción </w:t>
      </w:r>
      <w:r w:rsidR="008D36E8" w:rsidRPr="005A17C2">
        <w:rPr>
          <w:rFonts w:ascii="Verdana" w:hAnsi="Verdana"/>
          <w:spacing w:val="-4"/>
          <w:sz w:val="20"/>
          <w:lang w:val="es-ES"/>
        </w:rPr>
        <w:t xml:space="preserve">[…] para que al realizar los rondines </w:t>
      </w:r>
      <w:r w:rsidR="00AC650F" w:rsidRPr="005A17C2">
        <w:rPr>
          <w:rFonts w:ascii="Verdana" w:hAnsi="Verdana"/>
          <w:spacing w:val="-4"/>
          <w:sz w:val="20"/>
          <w:lang w:val="es-ES"/>
        </w:rPr>
        <w:t>[…]</w:t>
      </w:r>
      <w:r w:rsidR="008D36E8" w:rsidRPr="005A17C2">
        <w:rPr>
          <w:rFonts w:ascii="Verdana" w:hAnsi="Verdana"/>
          <w:spacing w:val="-4"/>
          <w:sz w:val="20"/>
          <w:lang w:val="es-ES"/>
        </w:rPr>
        <w:t xml:space="preserve"> los elementos a cargo permanezcan por un lapso mayor de tiempo”</w:t>
      </w:r>
      <w:r w:rsidR="006D0735" w:rsidRPr="005A17C2">
        <w:rPr>
          <w:rFonts w:ascii="Verdana" w:hAnsi="Verdana"/>
          <w:spacing w:val="-4"/>
          <w:sz w:val="20"/>
          <w:lang w:val="es-ES"/>
        </w:rPr>
        <w:t>.</w:t>
      </w:r>
      <w:r w:rsidR="008D36E8" w:rsidRPr="005A17C2">
        <w:rPr>
          <w:rFonts w:ascii="Verdana" w:hAnsi="Verdana"/>
          <w:spacing w:val="-4"/>
          <w:sz w:val="20"/>
          <w:lang w:val="es-ES"/>
        </w:rPr>
        <w:t xml:space="preserve"> </w:t>
      </w:r>
      <w:r w:rsidR="00BB10F4" w:rsidRPr="005A17C2">
        <w:rPr>
          <w:rFonts w:ascii="Verdana" w:hAnsi="Verdana"/>
          <w:spacing w:val="-4"/>
          <w:sz w:val="20"/>
        </w:rPr>
        <w:t>S</w:t>
      </w:r>
      <w:r w:rsidR="008A163A" w:rsidRPr="005A17C2">
        <w:rPr>
          <w:rFonts w:ascii="Verdana" w:hAnsi="Verdana"/>
          <w:spacing w:val="-4"/>
          <w:sz w:val="20"/>
          <w:lang w:val="es-ES"/>
        </w:rPr>
        <w:t xml:space="preserve">obre </w:t>
      </w:r>
      <w:r w:rsidR="00096E3B" w:rsidRPr="005A17C2">
        <w:rPr>
          <w:rFonts w:ascii="Verdana" w:hAnsi="Verdana"/>
          <w:spacing w:val="-4"/>
          <w:sz w:val="20"/>
          <w:lang w:val="es-ES"/>
        </w:rPr>
        <w:t>lo acordado en la reunión de 14 de agosto de 2013 “en relación con el requerimiento de los beneficiarios de tres vehículos a f</w:t>
      </w:r>
      <w:r w:rsidR="008A163A" w:rsidRPr="005A17C2">
        <w:rPr>
          <w:rFonts w:ascii="Verdana" w:hAnsi="Verdana"/>
          <w:spacing w:val="-4"/>
          <w:sz w:val="20"/>
          <w:lang w:val="es-ES"/>
        </w:rPr>
        <w:t>in de realizar sus recorridos</w:t>
      </w:r>
      <w:r w:rsidR="001D38DC" w:rsidRPr="005A17C2">
        <w:rPr>
          <w:rFonts w:ascii="Verdana" w:hAnsi="Verdana"/>
          <w:spacing w:val="-4"/>
          <w:sz w:val="20"/>
          <w:lang w:val="es-ES"/>
        </w:rPr>
        <w:t>”</w:t>
      </w:r>
      <w:r w:rsidR="006D0735" w:rsidRPr="005A17C2">
        <w:rPr>
          <w:rFonts w:ascii="Verdana" w:hAnsi="Verdana"/>
          <w:spacing w:val="-4"/>
          <w:sz w:val="20"/>
          <w:lang w:val="es-ES"/>
        </w:rPr>
        <w:t>,</w:t>
      </w:r>
      <w:r w:rsidR="001D38DC" w:rsidRPr="005A17C2">
        <w:rPr>
          <w:rFonts w:ascii="Verdana" w:hAnsi="Verdana"/>
          <w:spacing w:val="-4"/>
          <w:sz w:val="20"/>
          <w:lang w:val="es-ES"/>
        </w:rPr>
        <w:t xml:space="preserve"> señaló que el</w:t>
      </w:r>
      <w:r w:rsidR="00BD6B51" w:rsidRPr="005A17C2">
        <w:rPr>
          <w:rFonts w:ascii="Verdana" w:hAnsi="Verdana"/>
          <w:spacing w:val="-4"/>
          <w:sz w:val="20"/>
          <w:lang w:val="es-ES"/>
        </w:rPr>
        <w:t xml:space="preserve"> “28 de octubre de 2013, el gobernador del estado de Guerrero […] </w:t>
      </w:r>
      <w:r w:rsidR="001D38DC" w:rsidRPr="005A17C2">
        <w:rPr>
          <w:rFonts w:ascii="Verdana" w:hAnsi="Verdana"/>
          <w:spacing w:val="-4"/>
          <w:sz w:val="20"/>
          <w:lang w:val="es-ES"/>
        </w:rPr>
        <w:t>instruyó</w:t>
      </w:r>
      <w:r w:rsidR="00BD6B51" w:rsidRPr="005A17C2">
        <w:rPr>
          <w:rFonts w:ascii="Verdana" w:hAnsi="Verdana"/>
          <w:spacing w:val="-4"/>
          <w:sz w:val="20"/>
          <w:lang w:val="es-ES"/>
        </w:rPr>
        <w:t xml:space="preserve"> a la Secretaría de Finanzas y </w:t>
      </w:r>
      <w:r w:rsidR="001D38DC" w:rsidRPr="005A17C2">
        <w:rPr>
          <w:rFonts w:ascii="Verdana" w:hAnsi="Verdana"/>
          <w:spacing w:val="-4"/>
          <w:sz w:val="20"/>
          <w:lang w:val="es-ES"/>
        </w:rPr>
        <w:t>Administración</w:t>
      </w:r>
      <w:r w:rsidR="00BD6B51" w:rsidRPr="005A17C2">
        <w:rPr>
          <w:rFonts w:ascii="Verdana" w:hAnsi="Verdana"/>
          <w:spacing w:val="-4"/>
          <w:sz w:val="20"/>
          <w:lang w:val="es-ES"/>
        </w:rPr>
        <w:t xml:space="preserve"> […] a proporcionar un vehículo”</w:t>
      </w:r>
      <w:r w:rsidR="002E7463">
        <w:rPr>
          <w:rFonts w:ascii="Verdana" w:hAnsi="Verdana"/>
          <w:spacing w:val="-4"/>
          <w:sz w:val="20"/>
          <w:lang w:val="es-ES"/>
        </w:rPr>
        <w:t>,</w:t>
      </w:r>
      <w:r w:rsidR="00BD6B51" w:rsidRPr="005A17C2">
        <w:rPr>
          <w:rFonts w:ascii="Verdana" w:hAnsi="Verdana"/>
          <w:spacing w:val="-4"/>
          <w:sz w:val="20"/>
          <w:lang w:val="es-ES"/>
        </w:rPr>
        <w:t xml:space="preserve"> “el cual será entregado […]</w:t>
      </w:r>
      <w:r w:rsidR="00F804D5" w:rsidRPr="005A17C2">
        <w:rPr>
          <w:rFonts w:ascii="Verdana" w:hAnsi="Verdana"/>
          <w:spacing w:val="-4"/>
          <w:sz w:val="20"/>
          <w:lang w:val="es-ES"/>
        </w:rPr>
        <w:t xml:space="preserve"> </w:t>
      </w:r>
      <w:r w:rsidR="00BD6B51" w:rsidRPr="005A17C2">
        <w:rPr>
          <w:rFonts w:ascii="Verdana" w:hAnsi="Verdana"/>
          <w:spacing w:val="-4"/>
          <w:sz w:val="20"/>
          <w:lang w:val="es-ES"/>
        </w:rPr>
        <w:t>en e</w:t>
      </w:r>
      <w:r w:rsidR="001D38DC" w:rsidRPr="005A17C2">
        <w:rPr>
          <w:rFonts w:ascii="Verdana" w:hAnsi="Verdana"/>
          <w:spacing w:val="-4"/>
          <w:sz w:val="20"/>
          <w:lang w:val="es-ES"/>
        </w:rPr>
        <w:t>l</w:t>
      </w:r>
      <w:r w:rsidR="00BD6B51" w:rsidRPr="005A17C2">
        <w:rPr>
          <w:rFonts w:ascii="Verdana" w:hAnsi="Verdana"/>
          <w:spacing w:val="-4"/>
          <w:sz w:val="20"/>
          <w:lang w:val="es-ES"/>
        </w:rPr>
        <w:t xml:space="preserve"> marco de una próxima reunión </w:t>
      </w:r>
      <w:r w:rsidR="001D38DC" w:rsidRPr="005A17C2">
        <w:rPr>
          <w:rFonts w:ascii="Verdana" w:hAnsi="Verdana"/>
          <w:spacing w:val="-4"/>
          <w:sz w:val="20"/>
          <w:lang w:val="es-ES"/>
        </w:rPr>
        <w:t>con</w:t>
      </w:r>
      <w:r w:rsidR="00BB10F4" w:rsidRPr="005A17C2">
        <w:rPr>
          <w:rFonts w:ascii="Verdana" w:hAnsi="Verdana"/>
          <w:spacing w:val="-4"/>
          <w:sz w:val="20"/>
          <w:lang w:val="es-ES"/>
        </w:rPr>
        <w:t xml:space="preserve"> los beneficiaros”</w:t>
      </w:r>
      <w:r w:rsidR="002616C4" w:rsidRPr="005A17C2">
        <w:rPr>
          <w:rFonts w:ascii="Verdana" w:hAnsi="Verdana"/>
          <w:spacing w:val="-4"/>
          <w:sz w:val="20"/>
          <w:lang w:val="es-ES"/>
        </w:rPr>
        <w:t>.</w:t>
      </w:r>
      <w:r w:rsidR="00BB10F4" w:rsidRPr="005A17C2">
        <w:rPr>
          <w:rFonts w:ascii="Verdana" w:hAnsi="Verdana"/>
          <w:spacing w:val="-4"/>
          <w:sz w:val="20"/>
          <w:lang w:val="es-ES"/>
        </w:rPr>
        <w:t xml:space="preserve"> </w:t>
      </w:r>
      <w:bookmarkEnd w:id="10"/>
      <w:r w:rsidR="00277977" w:rsidRPr="005A17C2">
        <w:rPr>
          <w:rFonts w:ascii="Verdana" w:hAnsi="Verdana"/>
          <w:spacing w:val="-4"/>
          <w:sz w:val="20"/>
          <w:lang w:val="es-ES"/>
        </w:rPr>
        <w:t xml:space="preserve">En enero de 2016 informó que continuaba brindando </w:t>
      </w:r>
      <w:r w:rsidR="001A1B5C" w:rsidRPr="001A1B5C">
        <w:rPr>
          <w:rFonts w:ascii="Verdana" w:hAnsi="Verdana"/>
          <w:spacing w:val="-4"/>
          <w:sz w:val="20"/>
          <w:lang w:val="es-CR"/>
        </w:rPr>
        <w:t>rondines de vigilancia y</w:t>
      </w:r>
      <w:r w:rsidR="001A1B5C">
        <w:rPr>
          <w:rFonts w:ascii="Verdana" w:hAnsi="Verdana"/>
          <w:spacing w:val="-4"/>
          <w:sz w:val="20"/>
          <w:lang w:val="es-CR"/>
        </w:rPr>
        <w:t xml:space="preserve"> acompañamiento </w:t>
      </w:r>
      <w:r w:rsidR="00277977" w:rsidRPr="001A1B5C">
        <w:rPr>
          <w:rFonts w:ascii="Verdana" w:hAnsi="Verdana"/>
          <w:spacing w:val="-4"/>
          <w:sz w:val="20"/>
          <w:lang w:val="es-ES"/>
        </w:rPr>
        <w:t>a los beneficiarios.</w:t>
      </w:r>
    </w:p>
    <w:p w14:paraId="5A895DFE" w14:textId="77777777" w:rsidR="00E706A2" w:rsidRPr="00E706A2" w:rsidRDefault="00E706A2" w:rsidP="00E706A2">
      <w:pPr>
        <w:pStyle w:val="BodyText2"/>
        <w:spacing w:after="0" w:line="220" w:lineRule="atLeast"/>
        <w:jc w:val="both"/>
        <w:rPr>
          <w:rFonts w:ascii="Verdana" w:hAnsi="Verdana"/>
          <w:spacing w:val="-4"/>
          <w:sz w:val="20"/>
          <w:lang w:val="es-CR"/>
        </w:rPr>
      </w:pPr>
    </w:p>
    <w:p w14:paraId="58E9B8B1" w14:textId="50928ED8" w:rsidR="00AA235C" w:rsidRPr="005A17C2" w:rsidRDefault="00BE112B" w:rsidP="00E706A2">
      <w:pPr>
        <w:pStyle w:val="BodyText2"/>
        <w:numPr>
          <w:ilvl w:val="0"/>
          <w:numId w:val="22"/>
        </w:numPr>
        <w:spacing w:after="0" w:line="220" w:lineRule="atLeast"/>
        <w:jc w:val="both"/>
        <w:rPr>
          <w:rFonts w:ascii="Verdana" w:hAnsi="Verdana"/>
          <w:spacing w:val="-4"/>
          <w:sz w:val="20"/>
        </w:rPr>
      </w:pPr>
      <w:r w:rsidRPr="005A17C2">
        <w:rPr>
          <w:rFonts w:ascii="Verdana" w:hAnsi="Verdana"/>
          <w:spacing w:val="-4"/>
          <w:sz w:val="20"/>
          <w:lang w:val="es-ES"/>
        </w:rPr>
        <w:t xml:space="preserve">Los </w:t>
      </w:r>
      <w:r w:rsidRPr="005A17C2">
        <w:rPr>
          <w:rFonts w:ascii="Verdana" w:hAnsi="Verdana"/>
          <w:b/>
          <w:i/>
          <w:spacing w:val="-4"/>
          <w:sz w:val="20"/>
          <w:lang w:val="es-ES"/>
        </w:rPr>
        <w:t>representantes</w:t>
      </w:r>
      <w:r w:rsidR="00443886" w:rsidRPr="005A17C2">
        <w:rPr>
          <w:rFonts w:ascii="Verdana" w:hAnsi="Verdana"/>
          <w:spacing w:val="-4"/>
          <w:sz w:val="20"/>
          <w:lang w:val="es-ES"/>
        </w:rPr>
        <w:t xml:space="preserve"> </w:t>
      </w:r>
      <w:r w:rsidR="00C81505" w:rsidRPr="005A17C2">
        <w:rPr>
          <w:rFonts w:ascii="Verdana" w:hAnsi="Verdana"/>
          <w:spacing w:val="-4"/>
          <w:sz w:val="20"/>
          <w:lang w:val="es-ES"/>
        </w:rPr>
        <w:t>señalaron de manera reiterada</w:t>
      </w:r>
      <w:r w:rsidR="00496DA7" w:rsidRPr="005A17C2">
        <w:rPr>
          <w:rFonts w:ascii="Verdana" w:hAnsi="Verdana"/>
          <w:spacing w:val="-4"/>
          <w:sz w:val="20"/>
          <w:lang w:val="es-ES"/>
        </w:rPr>
        <w:t xml:space="preserve"> </w:t>
      </w:r>
      <w:r w:rsidR="00832714" w:rsidRPr="005A17C2">
        <w:rPr>
          <w:rFonts w:ascii="Verdana" w:hAnsi="Verdana"/>
          <w:spacing w:val="-4"/>
          <w:sz w:val="20"/>
          <w:lang w:val="es-ES"/>
        </w:rPr>
        <w:t>que los rondines n</w:t>
      </w:r>
      <w:r w:rsidR="00C81505" w:rsidRPr="005A17C2">
        <w:rPr>
          <w:rFonts w:ascii="Verdana" w:hAnsi="Verdana"/>
          <w:spacing w:val="-4"/>
          <w:sz w:val="20"/>
          <w:lang w:val="es-ES"/>
        </w:rPr>
        <w:t>o se llevaban</w:t>
      </w:r>
      <w:r w:rsidR="008635D5" w:rsidRPr="005A17C2">
        <w:rPr>
          <w:rFonts w:ascii="Verdana" w:hAnsi="Verdana"/>
          <w:spacing w:val="-4"/>
          <w:sz w:val="20"/>
          <w:lang w:val="es-ES"/>
        </w:rPr>
        <w:t xml:space="preserve"> a cabo</w:t>
      </w:r>
      <w:r w:rsidR="00C81505" w:rsidRPr="005A17C2">
        <w:rPr>
          <w:rFonts w:ascii="Verdana" w:hAnsi="Verdana"/>
          <w:spacing w:val="-4"/>
          <w:sz w:val="20"/>
          <w:lang w:val="es-ES"/>
        </w:rPr>
        <w:t xml:space="preserve"> de manera regular</w:t>
      </w:r>
      <w:r w:rsidR="00134C04" w:rsidRPr="005A17C2">
        <w:rPr>
          <w:rFonts w:ascii="Verdana" w:hAnsi="Verdana"/>
          <w:spacing w:val="-4"/>
          <w:sz w:val="20"/>
          <w:lang w:val="es-ES"/>
        </w:rPr>
        <w:t xml:space="preserve">. </w:t>
      </w:r>
      <w:r w:rsidR="00541D4A" w:rsidRPr="005A17C2">
        <w:rPr>
          <w:rFonts w:ascii="Verdana" w:hAnsi="Verdana"/>
          <w:spacing w:val="-4"/>
          <w:sz w:val="20"/>
          <w:lang w:val="es-ES"/>
        </w:rPr>
        <w:t>Manifest</w:t>
      </w:r>
      <w:r w:rsidR="000760E9" w:rsidRPr="005A17C2">
        <w:rPr>
          <w:rFonts w:ascii="Verdana" w:hAnsi="Verdana"/>
          <w:spacing w:val="-4"/>
          <w:sz w:val="20"/>
          <w:lang w:val="es-ES"/>
        </w:rPr>
        <w:t>aron que el E</w:t>
      </w:r>
      <w:r w:rsidR="00211A51" w:rsidRPr="005A17C2">
        <w:rPr>
          <w:rFonts w:ascii="Verdana" w:hAnsi="Verdana"/>
          <w:spacing w:val="-4"/>
          <w:sz w:val="20"/>
          <w:lang w:val="es-ES"/>
        </w:rPr>
        <w:t>stado omite</w:t>
      </w:r>
      <w:r w:rsidR="00541D4A" w:rsidRPr="005A17C2">
        <w:rPr>
          <w:rFonts w:ascii="Verdana" w:hAnsi="Verdana"/>
          <w:spacing w:val="-4"/>
          <w:sz w:val="20"/>
          <w:lang w:val="es-ES"/>
        </w:rPr>
        <w:t xml:space="preserve"> informar sobre las gestiones para efectivizar los rondines en las comunidades de El Camalote, el Salto y</w:t>
      </w:r>
      <w:r w:rsidR="00211A51" w:rsidRPr="005A17C2">
        <w:rPr>
          <w:rFonts w:ascii="Verdana" w:hAnsi="Verdana"/>
          <w:spacing w:val="-4"/>
          <w:sz w:val="20"/>
          <w:lang w:val="es-ES"/>
        </w:rPr>
        <w:t xml:space="preserve"> Barranca Guadalupe</w:t>
      </w:r>
      <w:r w:rsidR="00927BD4" w:rsidRPr="005A17C2">
        <w:rPr>
          <w:rFonts w:ascii="Verdana" w:hAnsi="Verdana"/>
          <w:spacing w:val="-4"/>
          <w:sz w:val="20"/>
          <w:lang w:val="es-ES"/>
        </w:rPr>
        <w:t>.</w:t>
      </w:r>
      <w:r w:rsidR="00541D4A" w:rsidRPr="005A17C2">
        <w:rPr>
          <w:rFonts w:ascii="Verdana" w:hAnsi="Verdana"/>
          <w:spacing w:val="-4"/>
          <w:sz w:val="20"/>
          <w:lang w:val="es-ES"/>
        </w:rPr>
        <w:t xml:space="preserve"> </w:t>
      </w:r>
      <w:r w:rsidR="000D5336" w:rsidRPr="005A17C2">
        <w:rPr>
          <w:rFonts w:ascii="Verdana" w:hAnsi="Verdana"/>
          <w:spacing w:val="-4"/>
          <w:sz w:val="20"/>
          <w:lang w:val="es-ES"/>
        </w:rPr>
        <w:t>Sobre</w:t>
      </w:r>
      <w:r w:rsidR="00E107D7" w:rsidRPr="005A17C2">
        <w:rPr>
          <w:rFonts w:ascii="Verdana" w:hAnsi="Verdana"/>
          <w:spacing w:val="-4"/>
          <w:sz w:val="20"/>
          <w:lang w:val="es-ES"/>
        </w:rPr>
        <w:t xml:space="preserve"> </w:t>
      </w:r>
      <w:r w:rsidR="0034410E" w:rsidRPr="005A17C2">
        <w:rPr>
          <w:rFonts w:ascii="Verdana" w:hAnsi="Verdana"/>
          <w:spacing w:val="-4"/>
          <w:sz w:val="20"/>
          <w:lang w:val="es-ES"/>
        </w:rPr>
        <w:t xml:space="preserve">las </w:t>
      </w:r>
      <w:r w:rsidR="000D5336" w:rsidRPr="005A17C2">
        <w:rPr>
          <w:rFonts w:ascii="Verdana" w:hAnsi="Verdana"/>
          <w:spacing w:val="-4"/>
          <w:sz w:val="20"/>
          <w:lang w:val="es-ES"/>
        </w:rPr>
        <w:t xml:space="preserve">presuntas </w:t>
      </w:r>
      <w:r w:rsidR="0034410E" w:rsidRPr="005A17C2">
        <w:rPr>
          <w:rFonts w:ascii="Verdana" w:hAnsi="Verdana"/>
          <w:spacing w:val="-4"/>
          <w:sz w:val="20"/>
          <w:lang w:val="es-ES"/>
        </w:rPr>
        <w:t xml:space="preserve">dificultades para realizar los rondines al domicilio de </w:t>
      </w:r>
      <w:r w:rsidR="00E107D7" w:rsidRPr="005A17C2">
        <w:rPr>
          <w:rFonts w:ascii="Verdana" w:hAnsi="Verdana"/>
          <w:spacing w:val="-4"/>
          <w:sz w:val="20"/>
          <w:lang w:val="es-ES"/>
        </w:rPr>
        <w:t>Inés Fernández</w:t>
      </w:r>
      <w:r w:rsidR="00666AF9" w:rsidRPr="005A17C2">
        <w:rPr>
          <w:rFonts w:ascii="Verdana" w:hAnsi="Verdana"/>
          <w:spacing w:val="-4"/>
          <w:sz w:val="20"/>
          <w:lang w:val="es-ES"/>
        </w:rPr>
        <w:t>,</w:t>
      </w:r>
      <w:r w:rsidR="00E107D7" w:rsidRPr="005A17C2">
        <w:rPr>
          <w:rFonts w:ascii="Verdana" w:hAnsi="Verdana"/>
          <w:spacing w:val="-4"/>
          <w:sz w:val="20"/>
          <w:lang w:val="es-ES"/>
        </w:rPr>
        <w:t xml:space="preserve"> </w:t>
      </w:r>
      <w:r w:rsidR="00733FD1" w:rsidRPr="005A17C2">
        <w:rPr>
          <w:rFonts w:ascii="Verdana" w:hAnsi="Verdana"/>
          <w:spacing w:val="-4"/>
          <w:sz w:val="20"/>
          <w:lang w:val="es-ES"/>
        </w:rPr>
        <w:t>manifestaron que “el Estado de</w:t>
      </w:r>
      <w:r w:rsidR="00666AF9" w:rsidRPr="005A17C2">
        <w:rPr>
          <w:rFonts w:ascii="Verdana" w:hAnsi="Verdana"/>
          <w:spacing w:val="-4"/>
          <w:sz w:val="20"/>
          <w:lang w:val="es-ES"/>
        </w:rPr>
        <w:t xml:space="preserve">be […] </w:t>
      </w:r>
      <w:r w:rsidR="00733FD1" w:rsidRPr="005A17C2">
        <w:rPr>
          <w:rFonts w:ascii="Verdana" w:hAnsi="Verdana"/>
          <w:spacing w:val="-4"/>
          <w:sz w:val="20"/>
          <w:lang w:val="es-ES"/>
        </w:rPr>
        <w:t xml:space="preserve">buscar los recursos necesarios para sobrellevar las adversidades de los </w:t>
      </w:r>
      <w:r w:rsidR="00541D4A" w:rsidRPr="005A17C2">
        <w:rPr>
          <w:rFonts w:ascii="Verdana" w:hAnsi="Verdana"/>
          <w:spacing w:val="-4"/>
          <w:sz w:val="20"/>
          <w:lang w:val="es-ES"/>
        </w:rPr>
        <w:t>caminos</w:t>
      </w:r>
      <w:r w:rsidR="00733FD1" w:rsidRPr="005A17C2">
        <w:rPr>
          <w:rFonts w:ascii="Verdana" w:hAnsi="Verdana"/>
          <w:spacing w:val="-4"/>
          <w:sz w:val="20"/>
          <w:lang w:val="es-ES"/>
        </w:rPr>
        <w:t xml:space="preserve">, </w:t>
      </w:r>
      <w:r w:rsidR="00127296" w:rsidRPr="005A17C2">
        <w:rPr>
          <w:rFonts w:ascii="Verdana" w:hAnsi="Verdana"/>
          <w:spacing w:val="-4"/>
          <w:sz w:val="20"/>
          <w:lang w:val="es-ES"/>
        </w:rPr>
        <w:t>[sin]</w:t>
      </w:r>
      <w:r w:rsidR="000D5336" w:rsidRPr="005A17C2">
        <w:rPr>
          <w:rFonts w:ascii="Verdana" w:hAnsi="Verdana"/>
          <w:spacing w:val="-4"/>
          <w:sz w:val="20"/>
          <w:lang w:val="es-ES"/>
        </w:rPr>
        <w:t xml:space="preserve"> </w:t>
      </w:r>
      <w:r w:rsidR="00733FD1" w:rsidRPr="005A17C2">
        <w:rPr>
          <w:rFonts w:ascii="Verdana" w:hAnsi="Verdana"/>
          <w:spacing w:val="-4"/>
          <w:sz w:val="20"/>
          <w:lang w:val="es-ES"/>
        </w:rPr>
        <w:t xml:space="preserve">poner en riesgo la seguridad </w:t>
      </w:r>
      <w:r w:rsidR="006D0735" w:rsidRPr="005A17C2">
        <w:rPr>
          <w:rFonts w:ascii="Verdana" w:hAnsi="Verdana"/>
          <w:spacing w:val="-4"/>
          <w:sz w:val="20"/>
          <w:lang w:val="es-ES"/>
        </w:rPr>
        <w:t>de la beneficiaria y su familia</w:t>
      </w:r>
      <w:r w:rsidR="00733FD1" w:rsidRPr="005A17C2">
        <w:rPr>
          <w:rFonts w:ascii="Verdana" w:hAnsi="Verdana"/>
          <w:spacing w:val="-4"/>
          <w:sz w:val="20"/>
          <w:lang w:val="es-ES"/>
        </w:rPr>
        <w:t>”</w:t>
      </w:r>
      <w:r w:rsidR="00666AF9" w:rsidRPr="005A17C2">
        <w:rPr>
          <w:rFonts w:ascii="Verdana" w:hAnsi="Verdana"/>
          <w:spacing w:val="-4"/>
          <w:sz w:val="20"/>
          <w:lang w:val="es-ES"/>
        </w:rPr>
        <w:t>.</w:t>
      </w:r>
      <w:r w:rsidR="00733FD1" w:rsidRPr="005A17C2">
        <w:rPr>
          <w:rFonts w:ascii="Verdana" w:hAnsi="Verdana"/>
          <w:spacing w:val="-4"/>
          <w:sz w:val="20"/>
          <w:lang w:val="es-ES"/>
        </w:rPr>
        <w:t xml:space="preserve"> </w:t>
      </w:r>
      <w:r w:rsidR="008773C7" w:rsidRPr="005A17C2">
        <w:rPr>
          <w:rFonts w:ascii="Verdana" w:hAnsi="Verdana"/>
          <w:spacing w:val="-4"/>
          <w:sz w:val="20"/>
          <w:lang w:val="es-ES"/>
        </w:rPr>
        <w:t xml:space="preserve">Además, </w:t>
      </w:r>
      <w:r w:rsidR="000D5336" w:rsidRPr="005A17C2">
        <w:rPr>
          <w:rFonts w:ascii="Verdana" w:hAnsi="Verdana"/>
          <w:spacing w:val="-4"/>
          <w:sz w:val="20"/>
          <w:lang w:val="es-ES"/>
        </w:rPr>
        <w:t xml:space="preserve">indicaron que </w:t>
      </w:r>
      <w:r w:rsidR="00234E22" w:rsidRPr="005A17C2">
        <w:rPr>
          <w:rFonts w:ascii="Verdana" w:hAnsi="Verdana" w:cs="Arial"/>
          <w:spacing w:val="-4"/>
          <w:sz w:val="20"/>
        </w:rPr>
        <w:t xml:space="preserve">el Estado únicamente presenta bitácoras sobre los rondines </w:t>
      </w:r>
      <w:r w:rsidR="000D5336" w:rsidRPr="005A17C2">
        <w:rPr>
          <w:rFonts w:ascii="Verdana" w:hAnsi="Verdana" w:cs="Arial"/>
          <w:spacing w:val="-4"/>
          <w:sz w:val="20"/>
        </w:rPr>
        <w:t xml:space="preserve">en </w:t>
      </w:r>
      <w:r w:rsidR="00234E22" w:rsidRPr="005A17C2">
        <w:rPr>
          <w:rFonts w:ascii="Verdana" w:hAnsi="Verdana" w:cs="Arial"/>
          <w:spacing w:val="-4"/>
          <w:sz w:val="20"/>
        </w:rPr>
        <w:t xml:space="preserve">Puebla y Ayutla de los Libres pero no los realizados en las oficinas de Tlapa de Comonfort, ni en el domicilio de </w:t>
      </w:r>
      <w:r w:rsidR="000D5336" w:rsidRPr="005A17C2">
        <w:rPr>
          <w:rFonts w:ascii="Verdana" w:hAnsi="Verdana" w:cs="Arial"/>
          <w:spacing w:val="-4"/>
          <w:sz w:val="20"/>
        </w:rPr>
        <w:t>Inés</w:t>
      </w:r>
      <w:r w:rsidR="00234E22" w:rsidRPr="005A17C2">
        <w:rPr>
          <w:rFonts w:ascii="Verdana" w:hAnsi="Verdana" w:cs="Arial"/>
          <w:spacing w:val="-4"/>
          <w:sz w:val="20"/>
        </w:rPr>
        <w:t xml:space="preserve"> Fernández los cuales </w:t>
      </w:r>
      <w:r w:rsidR="00752C68">
        <w:rPr>
          <w:rFonts w:ascii="Verdana" w:hAnsi="Verdana" w:cs="Arial"/>
          <w:spacing w:val="-4"/>
          <w:sz w:val="20"/>
        </w:rPr>
        <w:t>“</w:t>
      </w:r>
      <w:r w:rsidR="00234E22" w:rsidRPr="005A17C2">
        <w:rPr>
          <w:rFonts w:ascii="Verdana" w:hAnsi="Verdana" w:cs="Arial"/>
          <w:spacing w:val="-4"/>
          <w:sz w:val="20"/>
        </w:rPr>
        <w:t xml:space="preserve">no se llevan a cabo desde hace más de un año”. </w:t>
      </w:r>
      <w:r w:rsidR="00AF3718" w:rsidRPr="005A17C2">
        <w:rPr>
          <w:rFonts w:ascii="Verdana" w:hAnsi="Verdana"/>
          <w:spacing w:val="-4"/>
          <w:sz w:val="20"/>
          <w:lang w:val="es-ES"/>
        </w:rPr>
        <w:t>R</w:t>
      </w:r>
      <w:r w:rsidR="00D03D96" w:rsidRPr="005A17C2">
        <w:rPr>
          <w:rFonts w:ascii="Verdana" w:hAnsi="Verdana"/>
          <w:spacing w:val="-4"/>
          <w:sz w:val="20"/>
          <w:lang w:val="es-ES"/>
        </w:rPr>
        <w:t>especto a la sol</w:t>
      </w:r>
      <w:r w:rsidR="00E213AD" w:rsidRPr="005A17C2">
        <w:rPr>
          <w:rFonts w:ascii="Verdana" w:hAnsi="Verdana"/>
          <w:spacing w:val="-4"/>
          <w:sz w:val="20"/>
          <w:lang w:val="es-ES"/>
        </w:rPr>
        <w:t>icitud de</w:t>
      </w:r>
      <w:r w:rsidR="00127296" w:rsidRPr="005A17C2">
        <w:rPr>
          <w:rFonts w:ascii="Verdana" w:hAnsi="Verdana"/>
          <w:spacing w:val="-4"/>
          <w:sz w:val="20"/>
          <w:lang w:val="es-ES"/>
        </w:rPr>
        <w:t xml:space="preserve"> acompañamiento policial entre </w:t>
      </w:r>
      <w:r w:rsidR="00D03D96" w:rsidRPr="005A17C2">
        <w:rPr>
          <w:rFonts w:ascii="Verdana" w:hAnsi="Verdana"/>
          <w:spacing w:val="-4"/>
          <w:sz w:val="20"/>
          <w:lang w:val="es-ES"/>
        </w:rPr>
        <w:t xml:space="preserve">Tlapa </w:t>
      </w:r>
      <w:r w:rsidR="00127296" w:rsidRPr="005A17C2">
        <w:rPr>
          <w:rFonts w:ascii="Verdana" w:hAnsi="Verdana"/>
          <w:spacing w:val="-4"/>
          <w:sz w:val="20"/>
          <w:lang w:val="es-ES"/>
        </w:rPr>
        <w:t>y</w:t>
      </w:r>
      <w:r w:rsidR="00134C04" w:rsidRPr="005A17C2">
        <w:rPr>
          <w:rFonts w:ascii="Verdana" w:hAnsi="Verdana"/>
          <w:spacing w:val="-4"/>
          <w:sz w:val="20"/>
          <w:lang w:val="es-ES"/>
        </w:rPr>
        <w:t xml:space="preserve"> Chilpancingo</w:t>
      </w:r>
      <w:r w:rsidR="00D03D96" w:rsidRPr="005A17C2">
        <w:rPr>
          <w:rFonts w:ascii="Verdana" w:hAnsi="Verdana"/>
          <w:spacing w:val="-4"/>
          <w:sz w:val="20"/>
          <w:lang w:val="es-ES"/>
        </w:rPr>
        <w:t xml:space="preserve">, </w:t>
      </w:r>
      <w:r w:rsidR="00266124" w:rsidRPr="005A17C2">
        <w:rPr>
          <w:rFonts w:ascii="Verdana" w:hAnsi="Verdana"/>
          <w:spacing w:val="-4"/>
          <w:sz w:val="20"/>
          <w:lang w:val="es-ES"/>
        </w:rPr>
        <w:t>señalaron</w:t>
      </w:r>
      <w:r w:rsidR="00D03D96" w:rsidRPr="005A17C2">
        <w:rPr>
          <w:rFonts w:ascii="Verdana" w:hAnsi="Verdana"/>
          <w:spacing w:val="-4"/>
          <w:sz w:val="20"/>
          <w:lang w:val="es-ES"/>
        </w:rPr>
        <w:t xml:space="preserve"> que</w:t>
      </w:r>
      <w:r w:rsidR="00127296" w:rsidRPr="005A17C2">
        <w:rPr>
          <w:rFonts w:ascii="Verdana" w:hAnsi="Verdana"/>
          <w:spacing w:val="-4"/>
          <w:sz w:val="20"/>
          <w:lang w:val="es-ES"/>
        </w:rPr>
        <w:t xml:space="preserve"> aunque </w:t>
      </w:r>
      <w:r w:rsidR="009904F1" w:rsidRPr="005A17C2">
        <w:rPr>
          <w:rFonts w:ascii="Verdana" w:hAnsi="Verdana"/>
          <w:spacing w:val="-4"/>
          <w:sz w:val="20"/>
          <w:lang w:val="es-ES"/>
        </w:rPr>
        <w:t>e</w:t>
      </w:r>
      <w:r w:rsidR="00D03D96" w:rsidRPr="005A17C2">
        <w:rPr>
          <w:rFonts w:ascii="Verdana" w:hAnsi="Verdana"/>
          <w:spacing w:val="-4"/>
          <w:sz w:val="20"/>
          <w:lang w:val="es-ES"/>
        </w:rPr>
        <w:t>l Estado</w:t>
      </w:r>
      <w:r w:rsidR="009879B2" w:rsidRPr="005A17C2">
        <w:rPr>
          <w:rFonts w:ascii="Verdana" w:hAnsi="Verdana"/>
          <w:spacing w:val="-4"/>
          <w:sz w:val="20"/>
          <w:lang w:val="es-ES"/>
        </w:rPr>
        <w:t xml:space="preserve"> </w:t>
      </w:r>
      <w:r w:rsidR="009904F1" w:rsidRPr="005A17C2">
        <w:rPr>
          <w:rFonts w:ascii="Verdana" w:hAnsi="Verdana"/>
          <w:spacing w:val="-4"/>
          <w:sz w:val="20"/>
          <w:lang w:val="es-ES"/>
        </w:rPr>
        <w:t>manifestó</w:t>
      </w:r>
      <w:r w:rsidR="009879B2" w:rsidRPr="005A17C2">
        <w:rPr>
          <w:rFonts w:ascii="Verdana" w:hAnsi="Verdana"/>
          <w:spacing w:val="-4"/>
          <w:sz w:val="20"/>
          <w:lang w:val="es-ES"/>
        </w:rPr>
        <w:t xml:space="preserve"> </w:t>
      </w:r>
      <w:r w:rsidR="00134C04" w:rsidRPr="005A17C2">
        <w:rPr>
          <w:rFonts w:ascii="Verdana" w:hAnsi="Verdana"/>
          <w:spacing w:val="-4"/>
          <w:sz w:val="20"/>
          <w:lang w:val="es-ES"/>
        </w:rPr>
        <w:t>que brindaría</w:t>
      </w:r>
      <w:r w:rsidR="009879B2" w:rsidRPr="005A17C2">
        <w:rPr>
          <w:rFonts w:ascii="Verdana" w:hAnsi="Verdana"/>
          <w:spacing w:val="-4"/>
          <w:sz w:val="20"/>
          <w:lang w:val="es-ES"/>
        </w:rPr>
        <w:t xml:space="preserve"> el acompañamiento cuando </w:t>
      </w:r>
      <w:r w:rsidR="00127296" w:rsidRPr="005A17C2">
        <w:rPr>
          <w:rFonts w:ascii="Verdana" w:hAnsi="Verdana"/>
          <w:spacing w:val="-4"/>
          <w:sz w:val="20"/>
          <w:lang w:val="es-ES"/>
        </w:rPr>
        <w:t xml:space="preserve">fuera </w:t>
      </w:r>
      <w:r w:rsidR="009879B2" w:rsidRPr="005A17C2">
        <w:rPr>
          <w:rFonts w:ascii="Verdana" w:hAnsi="Verdana"/>
          <w:spacing w:val="-4"/>
          <w:sz w:val="20"/>
          <w:lang w:val="es-ES"/>
        </w:rPr>
        <w:t>requerido</w:t>
      </w:r>
      <w:r w:rsidR="00D03D96" w:rsidRPr="005A17C2">
        <w:rPr>
          <w:rFonts w:ascii="Verdana" w:hAnsi="Verdana"/>
          <w:spacing w:val="-4"/>
          <w:sz w:val="20"/>
          <w:lang w:val="es-ES"/>
        </w:rPr>
        <w:t xml:space="preserve"> </w:t>
      </w:r>
      <w:r w:rsidR="00127296" w:rsidRPr="005A17C2">
        <w:rPr>
          <w:rFonts w:ascii="Verdana" w:hAnsi="Verdana"/>
          <w:spacing w:val="-4"/>
          <w:sz w:val="20"/>
          <w:lang w:val="es-ES"/>
        </w:rPr>
        <w:t xml:space="preserve">no indicó qué agentes </w:t>
      </w:r>
      <w:r w:rsidR="008773C7" w:rsidRPr="005A17C2">
        <w:rPr>
          <w:rFonts w:ascii="Verdana" w:hAnsi="Verdana"/>
          <w:spacing w:val="-4"/>
          <w:sz w:val="20"/>
          <w:lang w:val="es-ES"/>
        </w:rPr>
        <w:t>los llevarían a cabo</w:t>
      </w:r>
      <w:r w:rsidR="00752C68">
        <w:rPr>
          <w:rFonts w:ascii="Verdana" w:hAnsi="Verdana"/>
          <w:spacing w:val="-4"/>
          <w:sz w:val="20"/>
          <w:lang w:val="es-ES"/>
        </w:rPr>
        <w:t>.</w:t>
      </w:r>
    </w:p>
    <w:p w14:paraId="195F354C" w14:textId="77777777" w:rsidR="00AA235C" w:rsidRPr="005A17C2" w:rsidRDefault="00AA235C" w:rsidP="00BB145E">
      <w:pPr>
        <w:pStyle w:val="BodyText2"/>
        <w:spacing w:after="0" w:line="220" w:lineRule="atLeast"/>
        <w:jc w:val="both"/>
        <w:rPr>
          <w:rFonts w:ascii="Verdana" w:hAnsi="Verdana"/>
          <w:b/>
          <w:spacing w:val="-4"/>
          <w:sz w:val="20"/>
          <w:lang w:val="es-ES"/>
        </w:rPr>
      </w:pPr>
    </w:p>
    <w:p w14:paraId="748C53A9" w14:textId="162741D9" w:rsidR="00BE112B" w:rsidRPr="005A17C2" w:rsidRDefault="00BE112B" w:rsidP="00BB145E">
      <w:pPr>
        <w:pStyle w:val="BodyText2"/>
        <w:numPr>
          <w:ilvl w:val="0"/>
          <w:numId w:val="22"/>
        </w:numPr>
        <w:spacing w:after="0" w:line="240" w:lineRule="auto"/>
        <w:jc w:val="both"/>
        <w:rPr>
          <w:rFonts w:ascii="Verdana" w:hAnsi="Verdana"/>
          <w:spacing w:val="-4"/>
          <w:sz w:val="20"/>
          <w:lang w:val="es-ES"/>
        </w:rPr>
      </w:pPr>
      <w:bookmarkStart w:id="11" w:name="_Ref414009748"/>
      <w:r w:rsidRPr="005A17C2">
        <w:rPr>
          <w:rFonts w:ascii="Verdana" w:hAnsi="Verdana"/>
          <w:spacing w:val="-4"/>
          <w:sz w:val="20"/>
          <w:lang w:val="es-ES"/>
        </w:rPr>
        <w:t xml:space="preserve">La </w:t>
      </w:r>
      <w:r w:rsidRPr="005A17C2">
        <w:rPr>
          <w:rFonts w:ascii="Verdana" w:hAnsi="Verdana"/>
          <w:b/>
          <w:i/>
          <w:spacing w:val="-4"/>
          <w:sz w:val="20"/>
          <w:lang w:val="es-ES"/>
        </w:rPr>
        <w:t>Comisión</w:t>
      </w:r>
      <w:r w:rsidR="003B3AD2" w:rsidRPr="005A17C2">
        <w:rPr>
          <w:rFonts w:ascii="Verdana" w:hAnsi="Verdana"/>
          <w:i/>
          <w:spacing w:val="-4"/>
          <w:sz w:val="20"/>
          <w:lang w:val="es-ES"/>
        </w:rPr>
        <w:t xml:space="preserve"> </w:t>
      </w:r>
      <w:r w:rsidR="001F4728" w:rsidRPr="005A17C2">
        <w:rPr>
          <w:rFonts w:ascii="Verdana" w:hAnsi="Verdana"/>
          <w:spacing w:val="-4"/>
          <w:sz w:val="20"/>
          <w:lang w:val="es-ES"/>
        </w:rPr>
        <w:t xml:space="preserve">consideró </w:t>
      </w:r>
      <w:r w:rsidR="00913DF7" w:rsidRPr="005A17C2">
        <w:rPr>
          <w:rFonts w:ascii="Verdana" w:hAnsi="Verdana"/>
          <w:spacing w:val="-4"/>
          <w:sz w:val="20"/>
          <w:lang w:val="es-ES"/>
        </w:rPr>
        <w:t>que, a efectos de monitorear el cumplimiento de esta medida,  el Estado debía presentar la documentación correspondiente</w:t>
      </w:r>
      <w:r w:rsidR="003B4046" w:rsidRPr="005A17C2">
        <w:rPr>
          <w:rFonts w:ascii="Verdana" w:hAnsi="Verdana"/>
          <w:spacing w:val="-4"/>
          <w:sz w:val="20"/>
          <w:lang w:val="es-ES"/>
        </w:rPr>
        <w:t xml:space="preserve">. </w:t>
      </w:r>
      <w:r w:rsidR="003B3AD2" w:rsidRPr="005A17C2">
        <w:rPr>
          <w:rFonts w:ascii="Verdana" w:hAnsi="Verdana"/>
          <w:spacing w:val="-4"/>
          <w:sz w:val="20"/>
          <w:lang w:val="es-ES"/>
        </w:rPr>
        <w:t xml:space="preserve">Adicionalmente, </w:t>
      </w:r>
      <w:r w:rsidR="001A4F5D" w:rsidRPr="005A17C2">
        <w:rPr>
          <w:rFonts w:ascii="Verdana" w:hAnsi="Verdana"/>
          <w:spacing w:val="-4"/>
          <w:sz w:val="20"/>
          <w:lang w:val="es-ES"/>
        </w:rPr>
        <w:t>e</w:t>
      </w:r>
      <w:r w:rsidR="004D440F" w:rsidRPr="005A17C2">
        <w:rPr>
          <w:rFonts w:ascii="Verdana" w:hAnsi="Verdana"/>
          <w:spacing w:val="-4"/>
          <w:sz w:val="20"/>
          <w:lang w:val="es-ES"/>
        </w:rPr>
        <w:t>n su</w:t>
      </w:r>
      <w:r w:rsidR="003B3AD2" w:rsidRPr="005A17C2">
        <w:rPr>
          <w:rFonts w:ascii="Verdana" w:hAnsi="Verdana"/>
          <w:spacing w:val="-4"/>
          <w:sz w:val="20"/>
          <w:lang w:val="es-ES"/>
        </w:rPr>
        <w:t>s</w:t>
      </w:r>
      <w:r w:rsidR="004D440F" w:rsidRPr="005A17C2">
        <w:rPr>
          <w:rFonts w:ascii="Verdana" w:hAnsi="Verdana"/>
          <w:spacing w:val="-4"/>
          <w:sz w:val="20"/>
          <w:lang w:val="es-ES"/>
        </w:rPr>
        <w:t xml:space="preserve"> última</w:t>
      </w:r>
      <w:r w:rsidR="003B3AD2" w:rsidRPr="005A17C2">
        <w:rPr>
          <w:rFonts w:ascii="Verdana" w:hAnsi="Verdana"/>
          <w:spacing w:val="-4"/>
          <w:sz w:val="20"/>
          <w:lang w:val="es-ES"/>
        </w:rPr>
        <w:t>s comunicaciones</w:t>
      </w:r>
      <w:r w:rsidR="004D440F" w:rsidRPr="005A17C2">
        <w:rPr>
          <w:rFonts w:ascii="Verdana" w:hAnsi="Verdana"/>
          <w:spacing w:val="-4"/>
          <w:sz w:val="20"/>
          <w:lang w:val="es-ES"/>
        </w:rPr>
        <w:t xml:space="preserve">, </w:t>
      </w:r>
      <w:r w:rsidR="003B3AD2" w:rsidRPr="005A17C2">
        <w:rPr>
          <w:rFonts w:ascii="Verdana" w:hAnsi="Verdana"/>
          <w:spacing w:val="-4"/>
          <w:sz w:val="20"/>
          <w:lang w:val="es-ES"/>
        </w:rPr>
        <w:t>“</w:t>
      </w:r>
      <w:proofErr w:type="spellStart"/>
      <w:r w:rsidR="003B3AD2" w:rsidRPr="005A17C2">
        <w:rPr>
          <w:rFonts w:ascii="Verdana" w:hAnsi="Verdana"/>
          <w:spacing w:val="-4"/>
          <w:sz w:val="20"/>
          <w:lang w:val="es-ES"/>
        </w:rPr>
        <w:t>mostr</w:t>
      </w:r>
      <w:proofErr w:type="spellEnd"/>
      <w:r w:rsidR="003B3AD2" w:rsidRPr="005A17C2">
        <w:rPr>
          <w:rFonts w:ascii="Verdana" w:hAnsi="Verdana"/>
          <w:spacing w:val="-4"/>
          <w:sz w:val="20"/>
          <w:lang w:val="es-ES"/>
        </w:rPr>
        <w:t>[</w:t>
      </w:r>
      <w:proofErr w:type="spellStart"/>
      <w:r w:rsidR="003B3AD2" w:rsidRPr="005A17C2">
        <w:rPr>
          <w:rFonts w:ascii="Verdana" w:hAnsi="Verdana"/>
          <w:spacing w:val="-4"/>
          <w:sz w:val="20"/>
          <w:lang w:val="es-ES"/>
        </w:rPr>
        <w:t>ó</w:t>
      </w:r>
      <w:proofErr w:type="spellEnd"/>
      <w:r w:rsidR="003B3AD2" w:rsidRPr="005A17C2">
        <w:rPr>
          <w:rFonts w:ascii="Verdana" w:hAnsi="Verdana"/>
          <w:spacing w:val="-4"/>
          <w:sz w:val="20"/>
          <w:lang w:val="es-ES"/>
        </w:rPr>
        <w:t xml:space="preserve">] </w:t>
      </w:r>
      <w:bookmarkEnd w:id="11"/>
      <w:r w:rsidR="006679E3" w:rsidRPr="005A17C2">
        <w:rPr>
          <w:rFonts w:ascii="Verdana" w:hAnsi="Verdana"/>
          <w:spacing w:val="-4"/>
          <w:sz w:val="20"/>
          <w:lang w:val="es-ES"/>
        </w:rPr>
        <w:t>su preocupación</w:t>
      </w:r>
      <w:r w:rsidR="003B3AD2" w:rsidRPr="005A17C2">
        <w:rPr>
          <w:rFonts w:ascii="Verdana" w:hAnsi="Verdana"/>
          <w:spacing w:val="-4"/>
          <w:sz w:val="20"/>
          <w:lang w:val="es-ES"/>
        </w:rPr>
        <w:t xml:space="preserve">” ante la ausencia de rondines al domicilio </w:t>
      </w:r>
      <w:r w:rsidR="0034410E" w:rsidRPr="005A17C2">
        <w:rPr>
          <w:rFonts w:ascii="Verdana" w:hAnsi="Verdana"/>
          <w:spacing w:val="-4"/>
          <w:sz w:val="20"/>
          <w:lang w:val="es-ES"/>
        </w:rPr>
        <w:t>Inés</w:t>
      </w:r>
      <w:r w:rsidR="003B3AD2" w:rsidRPr="005A17C2">
        <w:rPr>
          <w:rFonts w:ascii="Verdana" w:hAnsi="Verdana"/>
          <w:spacing w:val="-4"/>
          <w:sz w:val="20"/>
          <w:lang w:val="es-ES"/>
        </w:rPr>
        <w:t xml:space="preserve"> Fernández desde hace un año</w:t>
      </w:r>
      <w:r w:rsidR="00752C68">
        <w:rPr>
          <w:rFonts w:ascii="Verdana" w:hAnsi="Verdana"/>
          <w:spacing w:val="-4"/>
          <w:sz w:val="20"/>
          <w:lang w:val="es-ES"/>
        </w:rPr>
        <w:t>, así como</w:t>
      </w:r>
      <w:r w:rsidR="003B3AD2" w:rsidRPr="005A17C2">
        <w:rPr>
          <w:rFonts w:ascii="Verdana" w:hAnsi="Verdana"/>
          <w:spacing w:val="-4"/>
          <w:sz w:val="20"/>
          <w:lang w:val="es-ES"/>
        </w:rPr>
        <w:t xml:space="preserve"> falencias en los rondines a la oficina de </w:t>
      </w:r>
      <w:proofErr w:type="spellStart"/>
      <w:r w:rsidR="003B3AD2" w:rsidRPr="005A17C2">
        <w:rPr>
          <w:rFonts w:ascii="Verdana" w:hAnsi="Verdana"/>
          <w:spacing w:val="-4"/>
          <w:sz w:val="20"/>
          <w:lang w:val="es-ES"/>
        </w:rPr>
        <w:t>Tlachinollan</w:t>
      </w:r>
      <w:proofErr w:type="spellEnd"/>
      <w:r w:rsidR="003B3AD2" w:rsidRPr="005A17C2">
        <w:rPr>
          <w:rFonts w:ascii="Verdana" w:hAnsi="Verdana"/>
          <w:spacing w:val="-4"/>
          <w:sz w:val="20"/>
          <w:lang w:val="es-ES"/>
        </w:rPr>
        <w:t xml:space="preserve">, por lo que </w:t>
      </w:r>
      <w:r w:rsidR="006679E3" w:rsidRPr="005A17C2">
        <w:rPr>
          <w:rFonts w:ascii="Verdana" w:hAnsi="Verdana"/>
          <w:spacing w:val="-4"/>
          <w:sz w:val="20"/>
          <w:lang w:val="es-ES"/>
        </w:rPr>
        <w:t>queda</w:t>
      </w:r>
      <w:r w:rsidR="004D440F" w:rsidRPr="005A17C2">
        <w:rPr>
          <w:rFonts w:ascii="Verdana" w:hAnsi="Verdana"/>
          <w:spacing w:val="-4"/>
          <w:sz w:val="20"/>
          <w:lang w:val="es-ES"/>
        </w:rPr>
        <w:t>ba</w:t>
      </w:r>
      <w:r w:rsidR="006679E3" w:rsidRPr="005A17C2">
        <w:rPr>
          <w:rFonts w:ascii="Verdana" w:hAnsi="Verdana"/>
          <w:spacing w:val="-4"/>
          <w:sz w:val="20"/>
          <w:lang w:val="es-ES"/>
        </w:rPr>
        <w:t xml:space="preserve"> a la espera de información del Estado</w:t>
      </w:r>
      <w:r w:rsidR="004D440F" w:rsidRPr="005A17C2">
        <w:rPr>
          <w:rFonts w:ascii="Verdana" w:hAnsi="Verdana"/>
          <w:spacing w:val="-4"/>
          <w:sz w:val="20"/>
          <w:lang w:val="es-ES"/>
        </w:rPr>
        <w:t>.</w:t>
      </w:r>
      <w:r w:rsidR="006679E3" w:rsidRPr="005A17C2">
        <w:rPr>
          <w:rFonts w:ascii="Verdana" w:hAnsi="Verdana"/>
          <w:spacing w:val="-4"/>
          <w:sz w:val="20"/>
          <w:lang w:val="es-ES"/>
        </w:rPr>
        <w:t xml:space="preserve"> </w:t>
      </w:r>
    </w:p>
    <w:p w14:paraId="46727D4B" w14:textId="77777777" w:rsidR="00BE112B" w:rsidRPr="005A17C2" w:rsidRDefault="00BE112B" w:rsidP="00BB145E">
      <w:pPr>
        <w:pStyle w:val="BodyText2"/>
        <w:spacing w:after="0" w:line="240" w:lineRule="auto"/>
        <w:jc w:val="both"/>
        <w:rPr>
          <w:rFonts w:ascii="Verdana" w:hAnsi="Verdana"/>
          <w:spacing w:val="-4"/>
          <w:sz w:val="20"/>
        </w:rPr>
      </w:pPr>
    </w:p>
    <w:p w14:paraId="313D8CAD" w14:textId="7E8ADE28" w:rsidR="00BE112B" w:rsidRPr="005A17C2" w:rsidRDefault="00D517F5" w:rsidP="00BB145E">
      <w:pPr>
        <w:ind w:left="720" w:right="22" w:firstLine="720"/>
        <w:jc w:val="both"/>
        <w:rPr>
          <w:rFonts w:ascii="Verdana" w:hAnsi="Verdana"/>
          <w:b/>
          <w:spacing w:val="-4"/>
          <w:sz w:val="20"/>
        </w:rPr>
      </w:pPr>
      <w:r w:rsidRPr="005A17C2">
        <w:rPr>
          <w:rFonts w:ascii="Verdana" w:hAnsi="Verdana"/>
          <w:b/>
          <w:spacing w:val="-4"/>
          <w:sz w:val="20"/>
        </w:rPr>
        <w:t>A.</w:t>
      </w:r>
      <w:r w:rsidR="00EF0FDD">
        <w:rPr>
          <w:rFonts w:ascii="Verdana" w:hAnsi="Verdana"/>
          <w:b/>
          <w:spacing w:val="-4"/>
          <w:sz w:val="20"/>
        </w:rPr>
        <w:t>3</w:t>
      </w:r>
      <w:r w:rsidRPr="005A17C2">
        <w:rPr>
          <w:rFonts w:ascii="Verdana" w:hAnsi="Verdana"/>
          <w:b/>
          <w:spacing w:val="-4"/>
          <w:sz w:val="20"/>
        </w:rPr>
        <w:t>) Consideraciones de la Corte</w:t>
      </w:r>
    </w:p>
    <w:p w14:paraId="214A87F1" w14:textId="77777777" w:rsidR="00AD0726" w:rsidRPr="005A17C2" w:rsidRDefault="00AD0726" w:rsidP="00BB145E">
      <w:pPr>
        <w:pStyle w:val="BodyText2"/>
        <w:spacing w:after="0" w:line="240" w:lineRule="auto"/>
        <w:jc w:val="both"/>
        <w:rPr>
          <w:rFonts w:ascii="Verdana" w:hAnsi="Verdana"/>
          <w:spacing w:val="-4"/>
          <w:sz w:val="20"/>
          <w:lang w:val="es-ES"/>
        </w:rPr>
      </w:pPr>
      <w:bookmarkStart w:id="12" w:name="_Ref414013017"/>
    </w:p>
    <w:p w14:paraId="096010A7" w14:textId="7B15D8FA" w:rsidR="00AC6A0B" w:rsidRPr="005A17C2" w:rsidRDefault="00AD0726" w:rsidP="00BB145E">
      <w:pPr>
        <w:pStyle w:val="BodyText2"/>
        <w:numPr>
          <w:ilvl w:val="0"/>
          <w:numId w:val="22"/>
        </w:numPr>
        <w:spacing w:after="0" w:line="240" w:lineRule="auto"/>
        <w:jc w:val="both"/>
        <w:rPr>
          <w:rFonts w:ascii="Verdana" w:hAnsi="Verdana"/>
          <w:spacing w:val="-4"/>
          <w:sz w:val="20"/>
          <w:lang w:val="es-ES"/>
        </w:rPr>
      </w:pPr>
      <w:r w:rsidRPr="005A17C2">
        <w:rPr>
          <w:rFonts w:ascii="Verdana" w:hAnsi="Verdana"/>
          <w:spacing w:val="-4"/>
          <w:sz w:val="20"/>
        </w:rPr>
        <w:t>Como se mencionó</w:t>
      </w:r>
      <w:r w:rsidRPr="005A17C2">
        <w:rPr>
          <w:rFonts w:ascii="Verdana" w:hAnsi="Verdana"/>
          <w:i/>
          <w:spacing w:val="-4"/>
          <w:sz w:val="20"/>
        </w:rPr>
        <w:t xml:space="preserve"> supra</w:t>
      </w:r>
      <w:r w:rsidRPr="005A17C2">
        <w:rPr>
          <w:rFonts w:ascii="Verdana" w:hAnsi="Verdana"/>
          <w:spacing w:val="-4"/>
          <w:sz w:val="20"/>
        </w:rPr>
        <w:t>, en el marco de las presentes medidas provisionales</w:t>
      </w:r>
      <w:r w:rsidR="00752C68">
        <w:rPr>
          <w:rFonts w:ascii="Verdana" w:hAnsi="Verdana"/>
          <w:spacing w:val="-4"/>
          <w:sz w:val="20"/>
        </w:rPr>
        <w:t>,</w:t>
      </w:r>
      <w:r w:rsidRPr="005A17C2">
        <w:rPr>
          <w:rFonts w:ascii="Verdana" w:hAnsi="Verdana"/>
          <w:spacing w:val="-4"/>
          <w:sz w:val="20"/>
        </w:rPr>
        <w:t xml:space="preserve"> las partes acordaron la implementación de una serie de mecanismos de protección (</w:t>
      </w:r>
      <w:r w:rsidRPr="005A17C2">
        <w:rPr>
          <w:rFonts w:ascii="Verdana" w:hAnsi="Verdana"/>
          <w:i/>
          <w:spacing w:val="-4"/>
          <w:sz w:val="20"/>
        </w:rPr>
        <w:t>supra</w:t>
      </w:r>
      <w:r w:rsidRPr="005A17C2">
        <w:rPr>
          <w:rFonts w:ascii="Verdana" w:hAnsi="Verdana"/>
          <w:spacing w:val="-4"/>
          <w:sz w:val="20"/>
        </w:rPr>
        <w:t xml:space="preserve"> </w:t>
      </w:r>
      <w:r w:rsidR="00AC6A0B" w:rsidRPr="005A17C2">
        <w:rPr>
          <w:rFonts w:ascii="Verdana" w:hAnsi="Verdana"/>
          <w:spacing w:val="-4"/>
          <w:sz w:val="20"/>
        </w:rPr>
        <w:t>Considerando 5</w:t>
      </w:r>
      <w:r w:rsidR="00913DF7" w:rsidRPr="005A17C2">
        <w:rPr>
          <w:rFonts w:ascii="Verdana" w:hAnsi="Verdana"/>
          <w:spacing w:val="-4"/>
          <w:sz w:val="20"/>
        </w:rPr>
        <w:t>). La Corte valora las medidas</w:t>
      </w:r>
      <w:r w:rsidR="00143D7C" w:rsidRPr="005A17C2">
        <w:rPr>
          <w:rFonts w:ascii="Verdana" w:hAnsi="Verdana"/>
          <w:spacing w:val="-4"/>
          <w:sz w:val="20"/>
        </w:rPr>
        <w:t xml:space="preserve"> </w:t>
      </w:r>
      <w:r w:rsidRPr="005A17C2">
        <w:rPr>
          <w:rFonts w:ascii="Verdana" w:hAnsi="Verdana"/>
          <w:spacing w:val="-4"/>
          <w:sz w:val="20"/>
        </w:rPr>
        <w:t>hasta ahora adoptadas para garantizar la vida y la integridad de</w:t>
      </w:r>
      <w:r w:rsidR="001C1727" w:rsidRPr="005A17C2">
        <w:rPr>
          <w:rFonts w:ascii="Verdana" w:hAnsi="Verdana"/>
          <w:spacing w:val="-4"/>
          <w:sz w:val="20"/>
        </w:rPr>
        <w:t xml:space="preserve"> los</w:t>
      </w:r>
      <w:r w:rsidR="00AC6A0B" w:rsidRPr="005A17C2">
        <w:rPr>
          <w:rFonts w:ascii="Verdana" w:hAnsi="Verdana"/>
          <w:spacing w:val="-4"/>
          <w:sz w:val="20"/>
        </w:rPr>
        <w:t xml:space="preserve"> </w:t>
      </w:r>
      <w:r w:rsidRPr="005A17C2">
        <w:rPr>
          <w:rFonts w:ascii="Verdana" w:hAnsi="Verdana"/>
          <w:spacing w:val="-4"/>
          <w:sz w:val="20"/>
        </w:rPr>
        <w:t>beneficiari</w:t>
      </w:r>
      <w:r w:rsidR="001C1727" w:rsidRPr="005A17C2">
        <w:rPr>
          <w:rFonts w:ascii="Verdana" w:hAnsi="Verdana"/>
          <w:spacing w:val="-4"/>
          <w:sz w:val="20"/>
        </w:rPr>
        <w:t>o</w:t>
      </w:r>
      <w:r w:rsidRPr="005A17C2">
        <w:rPr>
          <w:rFonts w:ascii="Verdana" w:hAnsi="Verdana"/>
          <w:spacing w:val="-4"/>
          <w:sz w:val="20"/>
        </w:rPr>
        <w:t>s, así como toma nota de los esfuerzos realizados para lograr la implementación de otras medidas acordadas.</w:t>
      </w:r>
      <w:r w:rsidR="00AC6A0B" w:rsidRPr="005A17C2">
        <w:rPr>
          <w:rFonts w:ascii="Verdana" w:hAnsi="Verdana"/>
          <w:spacing w:val="-4"/>
          <w:sz w:val="20"/>
        </w:rPr>
        <w:t xml:space="preserve"> </w:t>
      </w:r>
    </w:p>
    <w:p w14:paraId="456B99A7" w14:textId="77777777" w:rsidR="00AD0726" w:rsidRPr="005A17C2" w:rsidRDefault="00AD0726" w:rsidP="00BB145E">
      <w:pPr>
        <w:pStyle w:val="BodyText2"/>
        <w:spacing w:after="0" w:line="240" w:lineRule="auto"/>
        <w:jc w:val="both"/>
        <w:rPr>
          <w:rFonts w:ascii="Verdana" w:hAnsi="Verdana"/>
          <w:spacing w:val="-4"/>
          <w:sz w:val="20"/>
          <w:lang w:val="es-ES"/>
        </w:rPr>
      </w:pPr>
    </w:p>
    <w:p w14:paraId="2629669F" w14:textId="49B9A47B" w:rsidR="008D7A14" w:rsidRPr="005A17C2" w:rsidRDefault="00BC098E" w:rsidP="00BB145E">
      <w:pPr>
        <w:pStyle w:val="BodyText2"/>
        <w:numPr>
          <w:ilvl w:val="0"/>
          <w:numId w:val="22"/>
        </w:numPr>
        <w:spacing w:after="0" w:line="240" w:lineRule="auto"/>
        <w:jc w:val="both"/>
        <w:rPr>
          <w:rFonts w:ascii="Verdana" w:hAnsi="Verdana"/>
          <w:spacing w:val="-4"/>
          <w:sz w:val="20"/>
          <w:lang w:val="es-ES"/>
        </w:rPr>
      </w:pPr>
      <w:bookmarkStart w:id="13" w:name="_Ref308998841"/>
      <w:r w:rsidRPr="005A17C2">
        <w:rPr>
          <w:rFonts w:ascii="Verdana" w:hAnsi="Verdana"/>
          <w:spacing w:val="-4"/>
          <w:sz w:val="20"/>
          <w:lang w:val="es-ES"/>
        </w:rPr>
        <w:t>Respecto de las medidas de infraestructura, este Tribunal</w:t>
      </w:r>
      <w:r w:rsidR="00114903" w:rsidRPr="005A17C2">
        <w:rPr>
          <w:rFonts w:ascii="Verdana" w:hAnsi="Verdana"/>
          <w:spacing w:val="-4"/>
          <w:sz w:val="20"/>
        </w:rPr>
        <w:t xml:space="preserve"> constata </w:t>
      </w:r>
      <w:r w:rsidR="009160D4">
        <w:rPr>
          <w:rFonts w:ascii="Verdana" w:hAnsi="Verdana"/>
          <w:spacing w:val="-4"/>
          <w:sz w:val="20"/>
        </w:rPr>
        <w:t xml:space="preserve">que </w:t>
      </w:r>
      <w:r w:rsidR="008E511E" w:rsidRPr="005A17C2">
        <w:rPr>
          <w:rFonts w:ascii="Verdana" w:hAnsi="Verdana"/>
          <w:spacing w:val="-4"/>
          <w:sz w:val="20"/>
        </w:rPr>
        <w:t xml:space="preserve">el </w:t>
      </w:r>
      <w:r w:rsidR="00114903" w:rsidRPr="005A17C2">
        <w:rPr>
          <w:rFonts w:ascii="Verdana" w:hAnsi="Verdana"/>
          <w:spacing w:val="-4"/>
          <w:sz w:val="20"/>
        </w:rPr>
        <w:t xml:space="preserve">Estado </w:t>
      </w:r>
      <w:r w:rsidR="009160D4">
        <w:rPr>
          <w:rFonts w:ascii="Verdana" w:hAnsi="Verdana"/>
          <w:spacing w:val="-4"/>
          <w:sz w:val="20"/>
        </w:rPr>
        <w:t>instaló</w:t>
      </w:r>
      <w:r w:rsidR="008E511E" w:rsidRPr="005A17C2">
        <w:rPr>
          <w:rFonts w:ascii="Verdana" w:hAnsi="Verdana"/>
          <w:spacing w:val="-4"/>
          <w:sz w:val="20"/>
        </w:rPr>
        <w:t>, revis</w:t>
      </w:r>
      <w:r w:rsidR="009160D4">
        <w:rPr>
          <w:rFonts w:ascii="Verdana" w:hAnsi="Verdana"/>
          <w:spacing w:val="-4"/>
          <w:sz w:val="20"/>
        </w:rPr>
        <w:t>ó</w:t>
      </w:r>
      <w:r w:rsidR="008E511E" w:rsidRPr="005A17C2">
        <w:rPr>
          <w:rFonts w:ascii="Verdana" w:hAnsi="Verdana"/>
          <w:spacing w:val="-4"/>
          <w:sz w:val="20"/>
        </w:rPr>
        <w:t xml:space="preserve"> y repar</w:t>
      </w:r>
      <w:r w:rsidR="009160D4">
        <w:rPr>
          <w:rFonts w:ascii="Verdana" w:hAnsi="Verdana"/>
          <w:spacing w:val="-4"/>
          <w:sz w:val="20"/>
        </w:rPr>
        <w:t>ó</w:t>
      </w:r>
      <w:r w:rsidR="008E511E" w:rsidRPr="005A17C2">
        <w:rPr>
          <w:rFonts w:ascii="Verdana" w:hAnsi="Verdana"/>
          <w:spacing w:val="-4"/>
          <w:sz w:val="20"/>
        </w:rPr>
        <w:t xml:space="preserve"> </w:t>
      </w:r>
      <w:r w:rsidR="00114903" w:rsidRPr="005A17C2">
        <w:rPr>
          <w:rFonts w:ascii="Verdana" w:hAnsi="Verdana"/>
          <w:spacing w:val="-4"/>
          <w:sz w:val="20"/>
        </w:rPr>
        <w:t>sistem</w:t>
      </w:r>
      <w:r w:rsidR="008E511E" w:rsidRPr="005A17C2">
        <w:rPr>
          <w:rFonts w:ascii="Verdana" w:hAnsi="Verdana"/>
          <w:spacing w:val="-4"/>
          <w:sz w:val="20"/>
        </w:rPr>
        <w:t xml:space="preserve">as de </w:t>
      </w:r>
      <w:r w:rsidR="0034410E" w:rsidRPr="005A17C2">
        <w:rPr>
          <w:rFonts w:ascii="Verdana" w:hAnsi="Verdana"/>
          <w:spacing w:val="-4"/>
          <w:sz w:val="20"/>
        </w:rPr>
        <w:t>CCTV</w:t>
      </w:r>
      <w:r w:rsidR="008E511E" w:rsidRPr="005A17C2">
        <w:rPr>
          <w:rFonts w:ascii="Verdana" w:hAnsi="Verdana"/>
          <w:spacing w:val="-4"/>
          <w:sz w:val="20"/>
        </w:rPr>
        <w:t>,</w:t>
      </w:r>
      <w:r w:rsidR="005D3D4B" w:rsidRPr="005A17C2">
        <w:rPr>
          <w:rFonts w:ascii="Verdana" w:hAnsi="Verdana"/>
          <w:spacing w:val="-4"/>
          <w:sz w:val="20"/>
        </w:rPr>
        <w:t xml:space="preserve"> cámaras de vigilancia, luces sensoriales</w:t>
      </w:r>
      <w:r w:rsidR="00EA241B" w:rsidRPr="005A17C2">
        <w:rPr>
          <w:rFonts w:ascii="Verdana" w:hAnsi="Verdana"/>
          <w:spacing w:val="-4"/>
          <w:sz w:val="20"/>
        </w:rPr>
        <w:t xml:space="preserve"> y </w:t>
      </w:r>
      <w:r w:rsidR="00114903" w:rsidRPr="005A17C2">
        <w:rPr>
          <w:rFonts w:ascii="Verdana" w:hAnsi="Verdana"/>
          <w:spacing w:val="-4"/>
          <w:sz w:val="20"/>
        </w:rPr>
        <w:t>luminaria</w:t>
      </w:r>
      <w:r w:rsidR="004A3538" w:rsidRPr="005A17C2">
        <w:rPr>
          <w:rFonts w:ascii="Verdana" w:hAnsi="Verdana"/>
          <w:spacing w:val="-4"/>
          <w:sz w:val="20"/>
        </w:rPr>
        <w:t>s</w:t>
      </w:r>
      <w:r w:rsidR="00114903" w:rsidRPr="005A17C2">
        <w:rPr>
          <w:rFonts w:ascii="Verdana" w:hAnsi="Verdana"/>
          <w:spacing w:val="-4"/>
          <w:sz w:val="20"/>
        </w:rPr>
        <w:t xml:space="preserve"> </w:t>
      </w:r>
      <w:r w:rsidR="00114903" w:rsidRPr="005A17C2">
        <w:rPr>
          <w:rFonts w:ascii="Verdana" w:hAnsi="Verdana"/>
          <w:spacing w:val="-4"/>
          <w:sz w:val="20"/>
          <w:lang w:val="es-ES"/>
        </w:rPr>
        <w:t xml:space="preserve">en las oficinas de </w:t>
      </w:r>
      <w:r w:rsidR="00752C68">
        <w:rPr>
          <w:rFonts w:ascii="Verdana" w:hAnsi="Verdana"/>
          <w:spacing w:val="-4"/>
          <w:sz w:val="20"/>
          <w:lang w:val="es-ES"/>
        </w:rPr>
        <w:t xml:space="preserve">la </w:t>
      </w:r>
      <w:r w:rsidR="00752C68" w:rsidRPr="005A17C2">
        <w:rPr>
          <w:rFonts w:ascii="Verdana" w:hAnsi="Verdana"/>
          <w:spacing w:val="-4"/>
          <w:sz w:val="20"/>
          <w:lang w:val="es-ES"/>
        </w:rPr>
        <w:t xml:space="preserve">OPIM y </w:t>
      </w:r>
      <w:r w:rsidR="00752C68">
        <w:rPr>
          <w:rFonts w:ascii="Verdana" w:hAnsi="Verdana"/>
          <w:spacing w:val="-4"/>
          <w:sz w:val="20"/>
          <w:lang w:val="es-ES"/>
        </w:rPr>
        <w:t xml:space="preserve">de </w:t>
      </w:r>
      <w:proofErr w:type="spellStart"/>
      <w:r w:rsidR="005D3D4B" w:rsidRPr="005A17C2">
        <w:rPr>
          <w:rFonts w:ascii="Verdana" w:hAnsi="Verdana"/>
          <w:spacing w:val="-4"/>
          <w:sz w:val="20"/>
          <w:lang w:val="es-ES"/>
        </w:rPr>
        <w:t>Tlach</w:t>
      </w:r>
      <w:r w:rsidR="00913DF7" w:rsidRPr="005A17C2">
        <w:rPr>
          <w:rFonts w:ascii="Verdana" w:hAnsi="Verdana"/>
          <w:spacing w:val="-4"/>
          <w:sz w:val="20"/>
          <w:lang w:val="es-ES"/>
        </w:rPr>
        <w:t>inollan</w:t>
      </w:r>
      <w:proofErr w:type="spellEnd"/>
      <w:r w:rsidR="00913DF7" w:rsidRPr="005A17C2">
        <w:rPr>
          <w:rFonts w:ascii="Verdana" w:hAnsi="Verdana"/>
          <w:spacing w:val="-4"/>
          <w:sz w:val="20"/>
          <w:lang w:val="es-ES"/>
        </w:rPr>
        <w:t xml:space="preserve"> en Tlapa de Comonfort, </w:t>
      </w:r>
      <w:r w:rsidR="005D3D4B" w:rsidRPr="005A17C2">
        <w:rPr>
          <w:rFonts w:ascii="Verdana" w:hAnsi="Verdana"/>
          <w:spacing w:val="-4"/>
          <w:sz w:val="20"/>
          <w:lang w:val="es-ES"/>
        </w:rPr>
        <w:t xml:space="preserve">Ayutla, </w:t>
      </w:r>
      <w:r w:rsidR="00114903" w:rsidRPr="005A17C2">
        <w:rPr>
          <w:rFonts w:ascii="Verdana" w:hAnsi="Verdana"/>
          <w:spacing w:val="-4"/>
          <w:sz w:val="20"/>
          <w:lang w:val="es-ES"/>
        </w:rPr>
        <w:t>así como en los domicilios de Inés Fernández y Abel Barrera</w:t>
      </w:r>
      <w:r w:rsidR="008E511E" w:rsidRPr="005A17C2">
        <w:rPr>
          <w:rFonts w:ascii="Verdana" w:hAnsi="Verdana"/>
          <w:spacing w:val="-4"/>
          <w:sz w:val="20"/>
          <w:lang w:val="es-ES"/>
        </w:rPr>
        <w:t>.</w:t>
      </w:r>
      <w:r w:rsidR="00A977A9" w:rsidRPr="005A17C2">
        <w:rPr>
          <w:rFonts w:ascii="Verdana" w:hAnsi="Verdana"/>
          <w:spacing w:val="-4"/>
          <w:sz w:val="20"/>
          <w:lang w:val="es-ES"/>
        </w:rPr>
        <w:t xml:space="preserve"> </w:t>
      </w:r>
      <w:r w:rsidRPr="005A17C2">
        <w:rPr>
          <w:rFonts w:ascii="Verdana" w:hAnsi="Verdana"/>
          <w:spacing w:val="-4"/>
          <w:sz w:val="20"/>
          <w:lang w:val="es-ES"/>
        </w:rPr>
        <w:t xml:space="preserve">Al respecto, </w:t>
      </w:r>
      <w:r w:rsidR="0025419D" w:rsidRPr="005A17C2">
        <w:rPr>
          <w:rFonts w:ascii="Verdana" w:hAnsi="Verdana"/>
          <w:spacing w:val="-4"/>
          <w:sz w:val="20"/>
          <w:lang w:val="es-ES"/>
        </w:rPr>
        <w:t>observa que, conforme al último reporte de instalación d</w:t>
      </w:r>
      <w:r w:rsidR="00263314" w:rsidRPr="005A17C2">
        <w:rPr>
          <w:rFonts w:ascii="Verdana" w:hAnsi="Verdana"/>
          <w:spacing w:val="-4"/>
          <w:sz w:val="20"/>
          <w:lang w:val="es-ES"/>
        </w:rPr>
        <w:t>e agosto de 2014</w:t>
      </w:r>
      <w:r w:rsidR="007129A1" w:rsidRPr="005A17C2">
        <w:rPr>
          <w:rFonts w:ascii="Verdana" w:hAnsi="Verdana"/>
          <w:spacing w:val="-4"/>
          <w:sz w:val="20"/>
          <w:lang w:val="es-ES"/>
        </w:rPr>
        <w:t xml:space="preserve"> y </w:t>
      </w:r>
      <w:r w:rsidRPr="005A17C2">
        <w:rPr>
          <w:rFonts w:ascii="Verdana" w:hAnsi="Verdana"/>
          <w:spacing w:val="-4"/>
          <w:sz w:val="20"/>
          <w:lang w:val="es-ES"/>
        </w:rPr>
        <w:t>la posterior información de las partes</w:t>
      </w:r>
      <w:r w:rsidR="009160D4">
        <w:rPr>
          <w:rFonts w:ascii="Verdana" w:hAnsi="Verdana"/>
          <w:spacing w:val="-4"/>
          <w:sz w:val="20"/>
          <w:lang w:val="es-ES"/>
        </w:rPr>
        <w:t>,</w:t>
      </w:r>
      <w:r w:rsidRPr="005A17C2">
        <w:rPr>
          <w:rFonts w:ascii="Verdana" w:hAnsi="Verdana"/>
          <w:spacing w:val="-4"/>
          <w:sz w:val="20"/>
          <w:lang w:val="es-ES"/>
        </w:rPr>
        <w:t xml:space="preserve"> </w:t>
      </w:r>
      <w:r w:rsidR="00A977A9" w:rsidRPr="005A17C2">
        <w:rPr>
          <w:rFonts w:ascii="Verdana" w:hAnsi="Verdana"/>
          <w:spacing w:val="-4"/>
          <w:sz w:val="20"/>
          <w:lang w:val="es-ES"/>
        </w:rPr>
        <w:t xml:space="preserve">actualmente </w:t>
      </w:r>
      <w:r w:rsidR="00263314" w:rsidRPr="005A17C2">
        <w:rPr>
          <w:rFonts w:ascii="Verdana" w:hAnsi="Verdana"/>
          <w:spacing w:val="-4"/>
          <w:sz w:val="20"/>
          <w:lang w:val="es-ES"/>
        </w:rPr>
        <w:t xml:space="preserve">estos sistemas </w:t>
      </w:r>
      <w:r w:rsidR="00A977A9" w:rsidRPr="005A17C2">
        <w:rPr>
          <w:rFonts w:ascii="Verdana" w:hAnsi="Verdana"/>
          <w:spacing w:val="-4"/>
          <w:sz w:val="20"/>
          <w:lang w:val="es-ES"/>
        </w:rPr>
        <w:t>se encuentran funcionando</w:t>
      </w:r>
      <w:r w:rsidR="00263314" w:rsidRPr="005A17C2">
        <w:rPr>
          <w:rFonts w:ascii="Verdana" w:hAnsi="Verdana"/>
          <w:spacing w:val="-4"/>
          <w:sz w:val="20"/>
          <w:lang w:val="es-ES"/>
        </w:rPr>
        <w:t xml:space="preserve"> </w:t>
      </w:r>
      <w:r w:rsidR="0025419D" w:rsidRPr="005A17C2">
        <w:rPr>
          <w:rFonts w:ascii="Verdana" w:hAnsi="Verdana"/>
          <w:spacing w:val="-4"/>
          <w:sz w:val="20"/>
          <w:lang w:val="es-ES"/>
        </w:rPr>
        <w:t xml:space="preserve">en las oficinas de </w:t>
      </w:r>
      <w:r w:rsidR="00752C68" w:rsidRPr="005A17C2">
        <w:rPr>
          <w:rFonts w:ascii="Verdana" w:hAnsi="Verdana"/>
          <w:spacing w:val="-4"/>
          <w:sz w:val="20"/>
          <w:lang w:val="es-ES"/>
        </w:rPr>
        <w:t xml:space="preserve">la OPIM, </w:t>
      </w:r>
      <w:r w:rsidR="00752C68">
        <w:rPr>
          <w:rFonts w:ascii="Verdana" w:hAnsi="Verdana"/>
          <w:spacing w:val="-4"/>
          <w:sz w:val="20"/>
          <w:lang w:val="es-ES"/>
        </w:rPr>
        <w:t>de</w:t>
      </w:r>
      <w:r w:rsidR="00752C68" w:rsidRPr="005A17C2">
        <w:rPr>
          <w:rFonts w:ascii="Verdana" w:hAnsi="Verdana"/>
          <w:spacing w:val="-4"/>
          <w:sz w:val="20"/>
          <w:lang w:val="es-ES"/>
        </w:rPr>
        <w:t xml:space="preserve"> </w:t>
      </w:r>
      <w:proofErr w:type="spellStart"/>
      <w:r w:rsidR="0025419D" w:rsidRPr="005A17C2">
        <w:rPr>
          <w:rFonts w:ascii="Verdana" w:hAnsi="Verdana"/>
          <w:spacing w:val="-4"/>
          <w:sz w:val="20"/>
          <w:lang w:val="es-ES"/>
        </w:rPr>
        <w:t>Tlachinollan</w:t>
      </w:r>
      <w:proofErr w:type="spellEnd"/>
      <w:r w:rsidR="0025419D" w:rsidRPr="005A17C2">
        <w:rPr>
          <w:rFonts w:ascii="Verdana" w:hAnsi="Verdana"/>
          <w:spacing w:val="-4"/>
          <w:sz w:val="20"/>
          <w:lang w:val="es-ES"/>
        </w:rPr>
        <w:t xml:space="preserve"> en Tlapa de Comonfort</w:t>
      </w:r>
      <w:r w:rsidR="00B258C0" w:rsidRPr="005A17C2">
        <w:rPr>
          <w:rFonts w:ascii="Verdana" w:hAnsi="Verdana"/>
          <w:spacing w:val="-4"/>
          <w:sz w:val="20"/>
          <w:lang w:val="es-ES"/>
        </w:rPr>
        <w:t xml:space="preserve"> y Ayutla, así</w:t>
      </w:r>
      <w:r w:rsidR="0025419D" w:rsidRPr="005A17C2">
        <w:rPr>
          <w:rFonts w:ascii="Verdana" w:hAnsi="Verdana"/>
          <w:spacing w:val="-4"/>
          <w:sz w:val="20"/>
          <w:lang w:val="es-ES"/>
        </w:rPr>
        <w:t xml:space="preserve"> </w:t>
      </w:r>
      <w:r w:rsidR="00B258C0" w:rsidRPr="005A17C2">
        <w:rPr>
          <w:rFonts w:ascii="Verdana" w:hAnsi="Verdana"/>
          <w:spacing w:val="-4"/>
          <w:sz w:val="20"/>
          <w:lang w:val="es-ES"/>
        </w:rPr>
        <w:t xml:space="preserve">como en el domicilio de Abel Barrera, Director de </w:t>
      </w:r>
      <w:proofErr w:type="spellStart"/>
      <w:r w:rsidR="00B258C0" w:rsidRPr="005A17C2">
        <w:rPr>
          <w:rFonts w:ascii="Verdana" w:hAnsi="Verdana"/>
          <w:spacing w:val="-4"/>
          <w:sz w:val="20"/>
          <w:lang w:val="es-ES"/>
        </w:rPr>
        <w:t>Tlachinollan</w:t>
      </w:r>
      <w:proofErr w:type="spellEnd"/>
      <w:r w:rsidR="00B258C0" w:rsidRPr="005A17C2">
        <w:rPr>
          <w:rFonts w:ascii="Verdana" w:hAnsi="Verdana"/>
          <w:spacing w:val="-4"/>
          <w:sz w:val="20"/>
          <w:lang w:val="es-ES"/>
        </w:rPr>
        <w:t>.</w:t>
      </w:r>
      <w:r w:rsidRPr="005A17C2">
        <w:rPr>
          <w:rFonts w:ascii="Verdana" w:hAnsi="Verdana"/>
          <w:b/>
          <w:spacing w:val="-4"/>
          <w:sz w:val="20"/>
        </w:rPr>
        <w:t xml:space="preserve"> </w:t>
      </w:r>
      <w:r w:rsidRPr="005A17C2">
        <w:rPr>
          <w:rFonts w:ascii="Verdana" w:hAnsi="Verdana"/>
          <w:spacing w:val="-4"/>
          <w:sz w:val="20"/>
          <w:lang w:val="es-ES"/>
        </w:rPr>
        <w:t xml:space="preserve">No obstante, no es claro para este Tribunal si </w:t>
      </w:r>
      <w:r w:rsidR="001F4BC8" w:rsidRPr="005A17C2">
        <w:rPr>
          <w:rFonts w:ascii="Verdana" w:hAnsi="Verdana"/>
          <w:spacing w:val="-4"/>
          <w:sz w:val="20"/>
          <w:lang w:val="es-ES"/>
        </w:rPr>
        <w:t xml:space="preserve">los sistemas </w:t>
      </w:r>
      <w:r w:rsidRPr="005A17C2">
        <w:rPr>
          <w:rFonts w:ascii="Verdana" w:hAnsi="Verdana"/>
          <w:spacing w:val="-4"/>
          <w:sz w:val="20"/>
          <w:lang w:val="es-ES"/>
        </w:rPr>
        <w:t>instalad</w:t>
      </w:r>
      <w:r w:rsidR="001F4BC8" w:rsidRPr="005A17C2">
        <w:rPr>
          <w:rFonts w:ascii="Verdana" w:hAnsi="Verdana"/>
          <w:spacing w:val="-4"/>
          <w:sz w:val="20"/>
          <w:lang w:val="es-ES"/>
        </w:rPr>
        <w:t>o</w:t>
      </w:r>
      <w:r w:rsidRPr="005A17C2">
        <w:rPr>
          <w:rFonts w:ascii="Verdana" w:hAnsi="Verdana"/>
          <w:spacing w:val="-4"/>
          <w:sz w:val="20"/>
          <w:lang w:val="es-ES"/>
        </w:rPr>
        <w:t xml:space="preserve">s en el domicilio de </w:t>
      </w:r>
      <w:r w:rsidR="008773C7" w:rsidRPr="005A17C2">
        <w:rPr>
          <w:rFonts w:ascii="Verdana" w:hAnsi="Verdana"/>
          <w:spacing w:val="-4"/>
          <w:sz w:val="20"/>
          <w:lang w:val="es-ES"/>
        </w:rPr>
        <w:t xml:space="preserve">Inés </w:t>
      </w:r>
      <w:r w:rsidRPr="005A17C2">
        <w:rPr>
          <w:rFonts w:ascii="Verdana" w:hAnsi="Verdana"/>
          <w:spacing w:val="-4"/>
          <w:sz w:val="20"/>
          <w:lang w:val="es-ES"/>
        </w:rPr>
        <w:t>Fernández se encue</w:t>
      </w:r>
      <w:r w:rsidR="001A4F5D" w:rsidRPr="005A17C2">
        <w:rPr>
          <w:rFonts w:ascii="Verdana" w:hAnsi="Verdana"/>
          <w:spacing w:val="-4"/>
          <w:sz w:val="20"/>
          <w:lang w:val="es-ES"/>
        </w:rPr>
        <w:t>ntran funcionando</w:t>
      </w:r>
      <w:r w:rsidRPr="005A17C2">
        <w:rPr>
          <w:rFonts w:ascii="Verdana" w:hAnsi="Verdana"/>
          <w:spacing w:val="-4"/>
          <w:sz w:val="20"/>
          <w:lang w:val="es-ES"/>
        </w:rPr>
        <w:t xml:space="preserve">. Asimismo, la Corte toma nota de </w:t>
      </w:r>
      <w:r w:rsidR="008D7A14" w:rsidRPr="005A17C2">
        <w:rPr>
          <w:rFonts w:ascii="Verdana" w:hAnsi="Verdana"/>
          <w:spacing w:val="-4"/>
          <w:sz w:val="20"/>
          <w:lang w:val="es-ES"/>
        </w:rPr>
        <w:t xml:space="preserve">lo manifestado por los representantes en cuanto a la </w:t>
      </w:r>
      <w:r w:rsidRPr="005A17C2">
        <w:rPr>
          <w:rFonts w:ascii="Verdana" w:hAnsi="Verdana"/>
          <w:spacing w:val="-4"/>
          <w:sz w:val="20"/>
          <w:lang w:val="es-ES"/>
        </w:rPr>
        <w:t xml:space="preserve">necesidad de implementar tres medidas complementarias </w:t>
      </w:r>
      <w:r w:rsidR="008D7A14" w:rsidRPr="005A17C2">
        <w:rPr>
          <w:rFonts w:ascii="Verdana" w:hAnsi="Verdana"/>
          <w:spacing w:val="-4"/>
          <w:sz w:val="20"/>
          <w:lang w:val="es-ES"/>
        </w:rPr>
        <w:t>y de la disposición del Estado para analizar la posibilidad de implementar</w:t>
      </w:r>
      <w:r w:rsidR="00F869C2" w:rsidRPr="005A17C2">
        <w:rPr>
          <w:rFonts w:ascii="Verdana" w:hAnsi="Verdana"/>
          <w:spacing w:val="-4"/>
          <w:sz w:val="20"/>
          <w:lang w:val="es-ES"/>
        </w:rPr>
        <w:t>las</w:t>
      </w:r>
      <w:r w:rsidR="008D7A14" w:rsidRPr="005A17C2">
        <w:rPr>
          <w:rFonts w:ascii="Verdana" w:hAnsi="Verdana"/>
          <w:spacing w:val="-4"/>
          <w:sz w:val="20"/>
          <w:lang w:val="es-ES"/>
        </w:rPr>
        <w:t xml:space="preserve"> (</w:t>
      </w:r>
      <w:r w:rsidR="008D7A14" w:rsidRPr="005A17C2">
        <w:rPr>
          <w:rFonts w:ascii="Verdana" w:hAnsi="Verdana"/>
          <w:i/>
          <w:spacing w:val="-4"/>
          <w:sz w:val="20"/>
          <w:lang w:val="es-ES"/>
        </w:rPr>
        <w:t>supra</w:t>
      </w:r>
      <w:r w:rsidR="008D7A14" w:rsidRPr="005A17C2">
        <w:rPr>
          <w:rFonts w:ascii="Verdana" w:hAnsi="Verdana"/>
          <w:spacing w:val="-4"/>
          <w:sz w:val="20"/>
          <w:lang w:val="es-ES"/>
        </w:rPr>
        <w:t xml:space="preserve"> Consideran</w:t>
      </w:r>
      <w:r w:rsidR="006A57D5" w:rsidRPr="005A17C2">
        <w:rPr>
          <w:rFonts w:ascii="Verdana" w:hAnsi="Verdana"/>
          <w:spacing w:val="-4"/>
          <w:sz w:val="20"/>
          <w:lang w:val="es-ES"/>
        </w:rPr>
        <w:t xml:space="preserve">dos </w:t>
      </w:r>
      <w:r w:rsidR="00EF0FDD">
        <w:rPr>
          <w:rFonts w:ascii="Verdana" w:hAnsi="Verdana"/>
          <w:spacing w:val="-4"/>
          <w:sz w:val="20"/>
          <w:lang w:val="es-ES"/>
        </w:rPr>
        <w:fldChar w:fldCharType="begin"/>
      </w:r>
      <w:r w:rsidR="00EF0FDD">
        <w:rPr>
          <w:rFonts w:ascii="Verdana" w:hAnsi="Verdana"/>
          <w:spacing w:val="-4"/>
          <w:sz w:val="20"/>
          <w:lang w:val="es-ES"/>
        </w:rPr>
        <w:instrText xml:space="preserve"> REF _Ref444073525 \r \h </w:instrText>
      </w:r>
      <w:r w:rsidR="00EF0FDD">
        <w:rPr>
          <w:rFonts w:ascii="Verdana" w:hAnsi="Verdana"/>
          <w:spacing w:val="-4"/>
          <w:sz w:val="20"/>
          <w:lang w:val="es-ES"/>
        </w:rPr>
      </w:r>
      <w:r w:rsidR="00EF0FDD">
        <w:rPr>
          <w:rFonts w:ascii="Verdana" w:hAnsi="Verdana"/>
          <w:spacing w:val="-4"/>
          <w:sz w:val="20"/>
          <w:lang w:val="es-ES"/>
        </w:rPr>
        <w:fldChar w:fldCharType="separate"/>
      </w:r>
      <w:r w:rsidR="00820C73">
        <w:rPr>
          <w:rFonts w:ascii="Verdana" w:hAnsi="Verdana"/>
          <w:spacing w:val="-4"/>
          <w:sz w:val="20"/>
          <w:lang w:val="es-ES"/>
        </w:rPr>
        <w:t>6</w:t>
      </w:r>
      <w:r w:rsidR="00EF0FDD">
        <w:rPr>
          <w:rFonts w:ascii="Verdana" w:hAnsi="Verdana"/>
          <w:spacing w:val="-4"/>
          <w:sz w:val="20"/>
          <w:lang w:val="es-ES"/>
        </w:rPr>
        <w:fldChar w:fldCharType="end"/>
      </w:r>
      <w:r w:rsidR="009160D4">
        <w:rPr>
          <w:rFonts w:ascii="Verdana" w:hAnsi="Verdana"/>
          <w:spacing w:val="-4"/>
          <w:sz w:val="20"/>
          <w:lang w:val="es-ES"/>
        </w:rPr>
        <w:t xml:space="preserve"> a</w:t>
      </w:r>
      <w:r w:rsidR="006A57D5" w:rsidRPr="005A17C2">
        <w:rPr>
          <w:rFonts w:ascii="Verdana" w:hAnsi="Verdana"/>
          <w:spacing w:val="-4"/>
          <w:sz w:val="20"/>
          <w:lang w:val="es-ES"/>
        </w:rPr>
        <w:t xml:space="preserve"> </w:t>
      </w:r>
      <w:r w:rsidR="00EF0FDD">
        <w:rPr>
          <w:rFonts w:ascii="Verdana" w:hAnsi="Verdana"/>
          <w:spacing w:val="-4"/>
          <w:sz w:val="20"/>
          <w:lang w:val="es-ES"/>
        </w:rPr>
        <w:fldChar w:fldCharType="begin"/>
      </w:r>
      <w:r w:rsidR="00EF0FDD">
        <w:rPr>
          <w:rFonts w:ascii="Verdana" w:hAnsi="Verdana"/>
          <w:spacing w:val="-4"/>
          <w:sz w:val="20"/>
          <w:lang w:val="es-ES"/>
        </w:rPr>
        <w:instrText xml:space="preserve"> REF _Ref444073539 \r \h </w:instrText>
      </w:r>
      <w:r w:rsidR="00EF0FDD">
        <w:rPr>
          <w:rFonts w:ascii="Verdana" w:hAnsi="Verdana"/>
          <w:spacing w:val="-4"/>
          <w:sz w:val="20"/>
          <w:lang w:val="es-ES"/>
        </w:rPr>
      </w:r>
      <w:r w:rsidR="00EF0FDD">
        <w:rPr>
          <w:rFonts w:ascii="Verdana" w:hAnsi="Verdana"/>
          <w:spacing w:val="-4"/>
          <w:sz w:val="20"/>
          <w:lang w:val="es-ES"/>
        </w:rPr>
        <w:fldChar w:fldCharType="separate"/>
      </w:r>
      <w:r w:rsidR="00820C73">
        <w:rPr>
          <w:rFonts w:ascii="Verdana" w:hAnsi="Verdana"/>
          <w:spacing w:val="-4"/>
          <w:sz w:val="20"/>
          <w:lang w:val="es-ES"/>
        </w:rPr>
        <w:t>9</w:t>
      </w:r>
      <w:r w:rsidR="00EF0FDD">
        <w:rPr>
          <w:rFonts w:ascii="Verdana" w:hAnsi="Verdana"/>
          <w:spacing w:val="-4"/>
          <w:sz w:val="20"/>
          <w:lang w:val="es-ES"/>
        </w:rPr>
        <w:fldChar w:fldCharType="end"/>
      </w:r>
      <w:r w:rsidR="006A57D5" w:rsidRPr="005A17C2">
        <w:rPr>
          <w:rFonts w:ascii="Verdana" w:hAnsi="Verdana"/>
          <w:spacing w:val="-4"/>
          <w:sz w:val="20"/>
          <w:lang w:val="es-ES"/>
        </w:rPr>
        <w:t>). Si bien existe desacuerdo</w:t>
      </w:r>
      <w:r w:rsidR="008D7A14" w:rsidRPr="005A17C2">
        <w:rPr>
          <w:rFonts w:ascii="Verdana" w:hAnsi="Verdana"/>
          <w:spacing w:val="-4"/>
          <w:sz w:val="20"/>
          <w:lang w:val="es-ES"/>
        </w:rPr>
        <w:t xml:space="preserve"> entre las partes </w:t>
      </w:r>
      <w:r w:rsidR="00E83E7C" w:rsidRPr="005A17C2">
        <w:rPr>
          <w:rFonts w:ascii="Verdana" w:hAnsi="Verdana"/>
          <w:spacing w:val="-4"/>
          <w:sz w:val="20"/>
          <w:lang w:val="es-ES"/>
        </w:rPr>
        <w:t>sobre</w:t>
      </w:r>
      <w:r w:rsidR="008D7A14" w:rsidRPr="005A17C2">
        <w:rPr>
          <w:rFonts w:ascii="Verdana" w:hAnsi="Verdana"/>
          <w:spacing w:val="-4"/>
          <w:sz w:val="20"/>
          <w:lang w:val="es-ES"/>
        </w:rPr>
        <w:t xml:space="preserve"> si las referidas medidas fueron pactadas, </w:t>
      </w:r>
      <w:r w:rsidR="00F869C2" w:rsidRPr="005A17C2">
        <w:rPr>
          <w:rFonts w:ascii="Verdana" w:hAnsi="Verdana"/>
          <w:spacing w:val="-4"/>
          <w:sz w:val="20"/>
          <w:lang w:val="es-ES"/>
        </w:rPr>
        <w:t xml:space="preserve">este Tribunal advierte que los representantes han remarcado la necesidad de estas medidas, tanto a nivel interno como internacional, así como han </w:t>
      </w:r>
      <w:r w:rsidR="00E83E7C" w:rsidRPr="005A17C2">
        <w:rPr>
          <w:rFonts w:ascii="Verdana" w:hAnsi="Verdana"/>
          <w:spacing w:val="-4"/>
          <w:sz w:val="20"/>
          <w:lang w:val="es-ES"/>
        </w:rPr>
        <w:t>señalado</w:t>
      </w:r>
      <w:r w:rsidR="00F869C2" w:rsidRPr="005A17C2">
        <w:rPr>
          <w:rFonts w:ascii="Verdana" w:hAnsi="Verdana"/>
          <w:spacing w:val="-4"/>
          <w:sz w:val="20"/>
          <w:lang w:val="es-ES"/>
        </w:rPr>
        <w:t xml:space="preserve"> manifestaciones </w:t>
      </w:r>
      <w:r w:rsidR="00E83E7C" w:rsidRPr="005A17C2">
        <w:rPr>
          <w:rFonts w:ascii="Verdana" w:hAnsi="Verdana"/>
          <w:spacing w:val="-4"/>
          <w:sz w:val="20"/>
          <w:lang w:val="es-ES"/>
        </w:rPr>
        <w:t xml:space="preserve">y acciones de autoridades estatales a partir de las </w:t>
      </w:r>
      <w:r w:rsidR="00F869C2" w:rsidRPr="005A17C2">
        <w:rPr>
          <w:rFonts w:ascii="Verdana" w:hAnsi="Verdana"/>
          <w:spacing w:val="-4"/>
          <w:sz w:val="20"/>
          <w:lang w:val="es-ES"/>
        </w:rPr>
        <w:t xml:space="preserve">cuales podría derivarse su acuerdo al respecto. Por consiguiente, la Corte </w:t>
      </w:r>
      <w:r w:rsidR="008D7A14" w:rsidRPr="005A17C2">
        <w:rPr>
          <w:rFonts w:ascii="Verdana" w:hAnsi="Verdana"/>
          <w:spacing w:val="-4"/>
          <w:sz w:val="20"/>
          <w:lang w:val="es-ES"/>
        </w:rPr>
        <w:t>estima pertinente que, en su próximo informe, e</w:t>
      </w:r>
      <w:r w:rsidRPr="005A17C2">
        <w:rPr>
          <w:rFonts w:ascii="Verdana" w:hAnsi="Verdana"/>
          <w:spacing w:val="-4"/>
          <w:sz w:val="20"/>
          <w:lang w:val="es-ES"/>
        </w:rPr>
        <w:t xml:space="preserve">l Estado </w:t>
      </w:r>
      <w:r w:rsidR="008D7A14" w:rsidRPr="005A17C2">
        <w:rPr>
          <w:rFonts w:ascii="Verdana" w:hAnsi="Verdana"/>
          <w:spacing w:val="-4"/>
          <w:sz w:val="20"/>
          <w:lang w:val="es-ES"/>
        </w:rPr>
        <w:t xml:space="preserve">se refiera </w:t>
      </w:r>
      <w:r w:rsidRPr="005A17C2">
        <w:rPr>
          <w:rFonts w:ascii="Verdana" w:hAnsi="Verdana"/>
          <w:spacing w:val="-4"/>
          <w:sz w:val="20"/>
          <w:lang w:val="es-ES"/>
        </w:rPr>
        <w:t>de manera específica a las solicitudes de los representantes</w:t>
      </w:r>
      <w:r w:rsidR="00E83E7C" w:rsidRPr="005A17C2">
        <w:rPr>
          <w:rFonts w:ascii="Verdana" w:hAnsi="Verdana"/>
          <w:spacing w:val="-4"/>
          <w:sz w:val="20"/>
          <w:lang w:val="es-ES"/>
        </w:rPr>
        <w:t xml:space="preserve"> o remita las aclaraciones pertinentes</w:t>
      </w:r>
      <w:r w:rsidRPr="005A17C2">
        <w:rPr>
          <w:rFonts w:ascii="Verdana" w:hAnsi="Verdana"/>
          <w:spacing w:val="-4"/>
          <w:sz w:val="20"/>
          <w:lang w:val="es-ES"/>
        </w:rPr>
        <w:t xml:space="preserve"> y</w:t>
      </w:r>
      <w:r w:rsidR="00E83E7C" w:rsidRPr="005A17C2">
        <w:rPr>
          <w:rFonts w:ascii="Verdana" w:hAnsi="Verdana"/>
          <w:spacing w:val="-4"/>
          <w:sz w:val="20"/>
          <w:lang w:val="es-ES"/>
        </w:rPr>
        <w:t>,</w:t>
      </w:r>
      <w:r w:rsidRPr="005A17C2">
        <w:rPr>
          <w:rFonts w:ascii="Verdana" w:hAnsi="Verdana"/>
          <w:spacing w:val="-4"/>
          <w:sz w:val="20"/>
          <w:lang w:val="es-ES"/>
        </w:rPr>
        <w:t xml:space="preserve"> de ser el caso, </w:t>
      </w:r>
      <w:r w:rsidR="008D7A14" w:rsidRPr="005A17C2">
        <w:rPr>
          <w:rFonts w:ascii="Verdana" w:hAnsi="Verdana"/>
          <w:spacing w:val="-4"/>
          <w:sz w:val="20"/>
          <w:lang w:val="es-ES"/>
        </w:rPr>
        <w:t xml:space="preserve">remita </w:t>
      </w:r>
      <w:r w:rsidRPr="005A17C2">
        <w:rPr>
          <w:rFonts w:ascii="Verdana" w:hAnsi="Verdana"/>
          <w:spacing w:val="-4"/>
          <w:sz w:val="20"/>
          <w:lang w:val="es-ES"/>
        </w:rPr>
        <w:t xml:space="preserve">un cronograma para la implementación de </w:t>
      </w:r>
      <w:r w:rsidR="008D7A14" w:rsidRPr="005A17C2">
        <w:rPr>
          <w:rFonts w:ascii="Verdana" w:hAnsi="Verdana"/>
          <w:spacing w:val="-4"/>
          <w:sz w:val="20"/>
          <w:lang w:val="es-ES"/>
        </w:rPr>
        <w:lastRenderedPageBreak/>
        <w:t>estas medidas</w:t>
      </w:r>
      <w:r w:rsidRPr="005A17C2">
        <w:rPr>
          <w:rFonts w:ascii="Verdana" w:hAnsi="Verdana"/>
          <w:spacing w:val="-4"/>
          <w:sz w:val="20"/>
          <w:lang w:val="es-ES"/>
        </w:rPr>
        <w:t xml:space="preserve">. En dicha oportunidad, </w:t>
      </w:r>
      <w:r w:rsidR="008D7A14" w:rsidRPr="005A17C2">
        <w:rPr>
          <w:rFonts w:ascii="Verdana" w:hAnsi="Verdana"/>
          <w:spacing w:val="-4"/>
          <w:sz w:val="20"/>
          <w:lang w:val="es-ES"/>
        </w:rPr>
        <w:t>también deberá referirse al estado de funcionamiento de las medidas de infraestructura instaladas en el dom</w:t>
      </w:r>
      <w:r w:rsidR="00E83E7C" w:rsidRPr="005A17C2">
        <w:rPr>
          <w:rFonts w:ascii="Verdana" w:hAnsi="Verdana"/>
          <w:spacing w:val="-4"/>
          <w:sz w:val="20"/>
          <w:lang w:val="es-ES"/>
        </w:rPr>
        <w:t xml:space="preserve">icilio de </w:t>
      </w:r>
      <w:r w:rsidR="0034410E" w:rsidRPr="005A17C2">
        <w:rPr>
          <w:rFonts w:ascii="Verdana" w:hAnsi="Verdana"/>
          <w:spacing w:val="-4"/>
          <w:sz w:val="20"/>
          <w:lang w:val="es-ES"/>
        </w:rPr>
        <w:t>Inés</w:t>
      </w:r>
      <w:r w:rsidR="00E83E7C" w:rsidRPr="005A17C2">
        <w:rPr>
          <w:rFonts w:ascii="Verdana" w:hAnsi="Verdana"/>
          <w:spacing w:val="-4"/>
          <w:sz w:val="20"/>
          <w:lang w:val="es-ES"/>
        </w:rPr>
        <w:t xml:space="preserve"> </w:t>
      </w:r>
      <w:r w:rsidR="008D7A14" w:rsidRPr="005A17C2">
        <w:rPr>
          <w:rFonts w:ascii="Verdana" w:hAnsi="Verdana"/>
          <w:spacing w:val="-4"/>
          <w:sz w:val="20"/>
          <w:lang w:val="es-ES"/>
        </w:rPr>
        <w:t>Fernández.</w:t>
      </w:r>
      <w:bookmarkEnd w:id="13"/>
      <w:r w:rsidR="008D7A14" w:rsidRPr="005A17C2">
        <w:rPr>
          <w:rFonts w:ascii="Verdana" w:hAnsi="Verdana"/>
          <w:spacing w:val="-4"/>
          <w:sz w:val="20"/>
          <w:lang w:val="es-ES"/>
        </w:rPr>
        <w:t xml:space="preserve"> </w:t>
      </w:r>
    </w:p>
    <w:p w14:paraId="0713F5BA" w14:textId="77777777" w:rsidR="008D7A14" w:rsidRPr="005A17C2" w:rsidRDefault="008D7A14" w:rsidP="00BB145E">
      <w:pPr>
        <w:pStyle w:val="BodyText2"/>
        <w:spacing w:after="0" w:line="240" w:lineRule="auto"/>
        <w:jc w:val="both"/>
        <w:rPr>
          <w:rFonts w:ascii="Verdana" w:hAnsi="Verdana"/>
          <w:spacing w:val="-4"/>
          <w:sz w:val="20"/>
          <w:lang w:val="es-ES"/>
        </w:rPr>
      </w:pPr>
    </w:p>
    <w:p w14:paraId="3C17FBD6" w14:textId="6E75D5C9" w:rsidR="0037302C" w:rsidRPr="005A17C2" w:rsidRDefault="00671AFC" w:rsidP="00BB145E">
      <w:pPr>
        <w:pStyle w:val="BodyText2"/>
        <w:numPr>
          <w:ilvl w:val="0"/>
          <w:numId w:val="22"/>
        </w:numPr>
        <w:spacing w:after="0" w:line="240" w:lineRule="auto"/>
        <w:jc w:val="both"/>
        <w:rPr>
          <w:rFonts w:ascii="Verdana" w:hAnsi="Verdana"/>
          <w:spacing w:val="-4"/>
          <w:sz w:val="20"/>
        </w:rPr>
      </w:pPr>
      <w:bookmarkStart w:id="14" w:name="_Ref308998856"/>
      <w:r w:rsidRPr="005A17C2">
        <w:rPr>
          <w:rFonts w:ascii="Verdana" w:hAnsi="Verdana"/>
          <w:spacing w:val="-4"/>
          <w:sz w:val="20"/>
        </w:rPr>
        <w:t>Respecto a los sistemas de comunicación, la Corte constata que el Estado ha entregado a los beneficiarios teléfonos satelitales, fijos y móviles, radios de comunicación, así como los reguladores de energía eléctrica solicitados por los beneficiarios.</w:t>
      </w:r>
      <w:r w:rsidRPr="005A17C2">
        <w:rPr>
          <w:rFonts w:ascii="Verdana" w:hAnsi="Verdana"/>
          <w:spacing w:val="-4"/>
          <w:sz w:val="20"/>
          <w:lang w:val="es-ES"/>
        </w:rPr>
        <w:t xml:space="preserve"> </w:t>
      </w:r>
      <w:r w:rsidRPr="005A17C2">
        <w:rPr>
          <w:rFonts w:ascii="Verdana" w:hAnsi="Verdana"/>
          <w:spacing w:val="-4"/>
          <w:sz w:val="20"/>
        </w:rPr>
        <w:t>No obstante, toma nota de l</w:t>
      </w:r>
      <w:r w:rsidR="001F4BC8" w:rsidRPr="005A17C2">
        <w:rPr>
          <w:rFonts w:ascii="Verdana" w:hAnsi="Verdana"/>
          <w:spacing w:val="-4"/>
          <w:sz w:val="20"/>
        </w:rPr>
        <w:t>a</w:t>
      </w:r>
      <w:r w:rsidRPr="005A17C2">
        <w:rPr>
          <w:rFonts w:ascii="Verdana" w:hAnsi="Verdana"/>
          <w:spacing w:val="-4"/>
          <w:sz w:val="20"/>
        </w:rPr>
        <w:t xml:space="preserve">s </w:t>
      </w:r>
      <w:r w:rsidR="0037302C" w:rsidRPr="005A17C2">
        <w:rPr>
          <w:rFonts w:ascii="Verdana" w:hAnsi="Verdana"/>
          <w:spacing w:val="-4"/>
          <w:sz w:val="20"/>
        </w:rPr>
        <w:t xml:space="preserve">demoras experimentadas al momento de reparación o </w:t>
      </w:r>
      <w:r w:rsidR="0034410E" w:rsidRPr="005A17C2">
        <w:rPr>
          <w:rFonts w:ascii="Verdana" w:hAnsi="Verdana"/>
          <w:spacing w:val="-4"/>
          <w:sz w:val="20"/>
        </w:rPr>
        <w:t xml:space="preserve">sustitución </w:t>
      </w:r>
      <w:r w:rsidR="0037302C" w:rsidRPr="005A17C2">
        <w:rPr>
          <w:rFonts w:ascii="Verdana" w:hAnsi="Verdana"/>
          <w:spacing w:val="-4"/>
          <w:sz w:val="20"/>
        </w:rPr>
        <w:t>de los equipos que presentan fallas</w:t>
      </w:r>
      <w:r w:rsidRPr="005A17C2">
        <w:rPr>
          <w:rFonts w:ascii="Verdana" w:hAnsi="Verdana"/>
          <w:spacing w:val="-4"/>
          <w:sz w:val="20"/>
        </w:rPr>
        <w:t xml:space="preserve">. </w:t>
      </w:r>
      <w:r w:rsidR="0037302C" w:rsidRPr="005A17C2">
        <w:rPr>
          <w:rFonts w:ascii="Verdana" w:hAnsi="Verdana"/>
          <w:spacing w:val="-4"/>
          <w:sz w:val="20"/>
          <w:lang w:val="es-ES"/>
        </w:rPr>
        <w:t>La</w:t>
      </w:r>
      <w:r w:rsidR="0037302C" w:rsidRPr="005A17C2">
        <w:rPr>
          <w:rFonts w:ascii="Verdana" w:hAnsi="Verdana"/>
          <w:spacing w:val="-4"/>
          <w:sz w:val="20"/>
        </w:rPr>
        <w:t xml:space="preserve"> Corte llama la atención a lo indicado por los representantes en el sentido que “la posibilidad de comunicarse adecuadamente en caso de emergencia es una condición indispensable para garantizar la seguridad de </w:t>
      </w:r>
      <w:r w:rsidR="00143D7C" w:rsidRPr="005A17C2">
        <w:rPr>
          <w:rFonts w:ascii="Verdana" w:hAnsi="Verdana"/>
          <w:spacing w:val="-4"/>
          <w:sz w:val="20"/>
        </w:rPr>
        <w:t xml:space="preserve">[los] </w:t>
      </w:r>
      <w:proofErr w:type="spellStart"/>
      <w:r w:rsidR="0037302C" w:rsidRPr="005A17C2">
        <w:rPr>
          <w:rFonts w:ascii="Verdana" w:hAnsi="Verdana"/>
          <w:spacing w:val="-4"/>
          <w:sz w:val="20"/>
        </w:rPr>
        <w:t>beneficiari</w:t>
      </w:r>
      <w:proofErr w:type="spellEnd"/>
      <w:r w:rsidR="00143D7C" w:rsidRPr="005A17C2">
        <w:rPr>
          <w:rFonts w:ascii="Verdana" w:hAnsi="Verdana"/>
          <w:spacing w:val="-4"/>
          <w:sz w:val="20"/>
        </w:rPr>
        <w:t>[o]</w:t>
      </w:r>
      <w:r w:rsidR="0037302C" w:rsidRPr="005A17C2">
        <w:rPr>
          <w:rFonts w:ascii="Verdana" w:hAnsi="Verdana"/>
          <w:spacing w:val="-4"/>
          <w:sz w:val="20"/>
        </w:rPr>
        <w:t>s</w:t>
      </w:r>
      <w:r w:rsidR="00AA5D27">
        <w:rPr>
          <w:rFonts w:ascii="Verdana" w:hAnsi="Verdana"/>
          <w:spacing w:val="-4"/>
          <w:sz w:val="20"/>
        </w:rPr>
        <w:t>”</w:t>
      </w:r>
      <w:r w:rsidR="0037302C" w:rsidRPr="005A17C2">
        <w:rPr>
          <w:rFonts w:ascii="Verdana" w:hAnsi="Verdana"/>
          <w:spacing w:val="-4"/>
          <w:sz w:val="20"/>
        </w:rPr>
        <w:t>, sobre todo si se consideran las partic</w:t>
      </w:r>
      <w:r w:rsidR="009E0592">
        <w:rPr>
          <w:rFonts w:ascii="Verdana" w:hAnsi="Verdana"/>
          <w:spacing w:val="-4"/>
          <w:sz w:val="20"/>
        </w:rPr>
        <w:t xml:space="preserve">ularidades de la zona en la que </w:t>
      </w:r>
      <w:r w:rsidR="0037302C" w:rsidRPr="005A17C2">
        <w:rPr>
          <w:rFonts w:ascii="Verdana" w:hAnsi="Verdana"/>
          <w:spacing w:val="-4"/>
          <w:sz w:val="20"/>
        </w:rPr>
        <w:t xml:space="preserve">habitan. </w:t>
      </w:r>
      <w:r w:rsidRPr="005A17C2">
        <w:rPr>
          <w:rFonts w:ascii="Verdana" w:hAnsi="Verdana"/>
          <w:spacing w:val="-4"/>
          <w:sz w:val="20"/>
        </w:rPr>
        <w:t xml:space="preserve">Por otra parte, este Tribunal </w:t>
      </w:r>
      <w:r w:rsidR="001A4F5D" w:rsidRPr="005A17C2">
        <w:rPr>
          <w:rFonts w:ascii="Verdana" w:hAnsi="Verdana"/>
          <w:spacing w:val="-4"/>
          <w:sz w:val="20"/>
        </w:rPr>
        <w:t>advierte</w:t>
      </w:r>
      <w:r w:rsidRPr="005A17C2">
        <w:rPr>
          <w:rFonts w:ascii="Verdana" w:hAnsi="Verdana"/>
          <w:spacing w:val="-4"/>
          <w:sz w:val="20"/>
        </w:rPr>
        <w:t xml:space="preserve"> que </w:t>
      </w:r>
      <w:r w:rsidR="007528D8" w:rsidRPr="005A17C2">
        <w:rPr>
          <w:rFonts w:ascii="Verdana" w:hAnsi="Verdana"/>
          <w:spacing w:val="-4"/>
          <w:sz w:val="20"/>
        </w:rPr>
        <w:t>México</w:t>
      </w:r>
      <w:r w:rsidRPr="005A17C2">
        <w:rPr>
          <w:rFonts w:ascii="Verdana" w:hAnsi="Verdana"/>
          <w:spacing w:val="-4"/>
          <w:sz w:val="20"/>
        </w:rPr>
        <w:t xml:space="preserve"> se comprometió a presentar propuestas alternativas </w:t>
      </w:r>
      <w:r w:rsidR="00A05D3C" w:rsidRPr="005A17C2">
        <w:rPr>
          <w:rFonts w:ascii="Verdana" w:hAnsi="Verdana"/>
          <w:spacing w:val="-4"/>
          <w:sz w:val="20"/>
        </w:rPr>
        <w:t>al</w:t>
      </w:r>
      <w:r w:rsidRPr="005A17C2">
        <w:rPr>
          <w:rFonts w:ascii="Verdana" w:hAnsi="Verdana"/>
          <w:spacing w:val="-4"/>
          <w:sz w:val="20"/>
        </w:rPr>
        <w:t xml:space="preserve"> teléfono satelital móvil </w:t>
      </w:r>
      <w:r w:rsidR="00A05D3C" w:rsidRPr="005A17C2">
        <w:rPr>
          <w:rFonts w:ascii="Verdana" w:hAnsi="Verdana"/>
          <w:spacing w:val="-4"/>
          <w:sz w:val="20"/>
        </w:rPr>
        <w:t>entregado a</w:t>
      </w:r>
      <w:r w:rsidRPr="005A17C2">
        <w:rPr>
          <w:rFonts w:ascii="Verdana" w:hAnsi="Verdana"/>
          <w:spacing w:val="-4"/>
          <w:sz w:val="20"/>
        </w:rPr>
        <w:t xml:space="preserve"> </w:t>
      </w:r>
      <w:proofErr w:type="spellStart"/>
      <w:r w:rsidRPr="005A17C2">
        <w:rPr>
          <w:rFonts w:ascii="Verdana" w:hAnsi="Verdana"/>
          <w:spacing w:val="-4"/>
          <w:sz w:val="20"/>
        </w:rPr>
        <w:t>Tlachinollan</w:t>
      </w:r>
      <w:proofErr w:type="spellEnd"/>
      <w:r w:rsidR="001A4F5D" w:rsidRPr="005A17C2">
        <w:rPr>
          <w:rFonts w:ascii="Verdana" w:hAnsi="Verdana"/>
          <w:spacing w:val="-4"/>
          <w:sz w:val="20"/>
        </w:rPr>
        <w:t>, el cual</w:t>
      </w:r>
      <w:r w:rsidRPr="005A17C2">
        <w:rPr>
          <w:rFonts w:ascii="Verdana" w:hAnsi="Verdana"/>
          <w:spacing w:val="-4"/>
          <w:sz w:val="20"/>
        </w:rPr>
        <w:t xml:space="preserve">, de acuerdo a los representantes, no satisface sus necesidades. </w:t>
      </w:r>
      <w:r w:rsidR="003B3AD2" w:rsidRPr="005A17C2">
        <w:rPr>
          <w:rFonts w:ascii="Verdana" w:hAnsi="Verdana"/>
          <w:spacing w:val="-4"/>
          <w:sz w:val="20"/>
        </w:rPr>
        <w:t xml:space="preserve">No obstante, la Corte no cuenta </w:t>
      </w:r>
      <w:r w:rsidRPr="005A17C2">
        <w:rPr>
          <w:rFonts w:ascii="Verdana" w:hAnsi="Verdana"/>
          <w:spacing w:val="-4"/>
          <w:sz w:val="20"/>
        </w:rPr>
        <w:t xml:space="preserve">con </w:t>
      </w:r>
      <w:r w:rsidR="003B3AD2" w:rsidRPr="005A17C2">
        <w:rPr>
          <w:rFonts w:ascii="Verdana" w:hAnsi="Verdana"/>
          <w:spacing w:val="-4"/>
          <w:sz w:val="20"/>
        </w:rPr>
        <w:t xml:space="preserve">información sobre </w:t>
      </w:r>
      <w:r w:rsidRPr="005A17C2">
        <w:rPr>
          <w:rFonts w:ascii="Verdana" w:hAnsi="Verdana"/>
          <w:spacing w:val="-4"/>
          <w:sz w:val="20"/>
        </w:rPr>
        <w:t>los resultados de dicha revisión.</w:t>
      </w:r>
      <w:r w:rsidR="003B3AD2" w:rsidRPr="005A17C2">
        <w:rPr>
          <w:rFonts w:ascii="Verdana" w:hAnsi="Verdana"/>
          <w:spacing w:val="-4"/>
          <w:sz w:val="20"/>
        </w:rPr>
        <w:t xml:space="preserve"> </w:t>
      </w:r>
      <w:r w:rsidR="0037302C" w:rsidRPr="005A17C2">
        <w:rPr>
          <w:rFonts w:ascii="Verdana" w:hAnsi="Verdana"/>
          <w:spacing w:val="-4"/>
          <w:sz w:val="20"/>
        </w:rPr>
        <w:t>Por tanto, la Corte estima necesario que</w:t>
      </w:r>
      <w:r w:rsidR="003B3AD2" w:rsidRPr="005A17C2">
        <w:rPr>
          <w:rFonts w:ascii="Verdana" w:hAnsi="Verdana"/>
          <w:spacing w:val="-4"/>
          <w:sz w:val="20"/>
        </w:rPr>
        <w:t>, en su próximo informe,</w:t>
      </w:r>
      <w:r w:rsidR="0037302C" w:rsidRPr="005A17C2">
        <w:rPr>
          <w:rFonts w:ascii="Verdana" w:hAnsi="Verdana"/>
          <w:spacing w:val="-4"/>
          <w:sz w:val="20"/>
        </w:rPr>
        <w:t xml:space="preserve"> el Estado</w:t>
      </w:r>
      <w:r w:rsidR="003B3AD2" w:rsidRPr="005A17C2">
        <w:rPr>
          <w:rFonts w:ascii="Verdana" w:hAnsi="Verdana"/>
          <w:spacing w:val="-4"/>
          <w:sz w:val="20"/>
        </w:rPr>
        <w:t xml:space="preserve"> presente información detallada y actualizada sobre los equipos de comunicación otorgados a los beneficiarios, su estado de funcionamiento</w:t>
      </w:r>
      <w:r w:rsidR="00E85564" w:rsidRPr="005A17C2">
        <w:rPr>
          <w:rFonts w:ascii="Verdana" w:hAnsi="Verdana"/>
          <w:spacing w:val="-4"/>
          <w:sz w:val="20"/>
        </w:rPr>
        <w:t>,</w:t>
      </w:r>
      <w:r w:rsidR="003B3AD2" w:rsidRPr="005A17C2">
        <w:rPr>
          <w:rFonts w:ascii="Verdana" w:hAnsi="Verdana"/>
          <w:spacing w:val="-4"/>
          <w:sz w:val="20"/>
        </w:rPr>
        <w:t xml:space="preserve"> las propuestas que hubiera hecho para sustituir el equi</w:t>
      </w:r>
      <w:r w:rsidR="00CE7850" w:rsidRPr="005A17C2">
        <w:rPr>
          <w:rFonts w:ascii="Verdana" w:hAnsi="Verdana"/>
          <w:spacing w:val="-4"/>
          <w:sz w:val="20"/>
        </w:rPr>
        <w:t>po de telefonía satelital móvil</w:t>
      </w:r>
      <w:r w:rsidR="00AA5D27">
        <w:rPr>
          <w:rFonts w:ascii="Verdana" w:hAnsi="Verdana"/>
          <w:spacing w:val="-4"/>
          <w:sz w:val="20"/>
        </w:rPr>
        <w:t>,</w:t>
      </w:r>
      <w:r w:rsidR="003B3AD2" w:rsidRPr="005A17C2">
        <w:rPr>
          <w:rFonts w:ascii="Verdana" w:hAnsi="Verdana"/>
          <w:spacing w:val="-4"/>
          <w:sz w:val="20"/>
        </w:rPr>
        <w:t xml:space="preserve"> o las aclaraciones pertinentes.</w:t>
      </w:r>
      <w:bookmarkEnd w:id="14"/>
      <w:r w:rsidR="003B3AD2" w:rsidRPr="005A17C2">
        <w:rPr>
          <w:rFonts w:ascii="Verdana" w:hAnsi="Verdana"/>
          <w:spacing w:val="-4"/>
          <w:sz w:val="20"/>
        </w:rPr>
        <w:t xml:space="preserve"> </w:t>
      </w:r>
    </w:p>
    <w:p w14:paraId="291A657A" w14:textId="77777777" w:rsidR="007C39F2" w:rsidRPr="005A17C2" w:rsidRDefault="007C39F2" w:rsidP="00BB145E">
      <w:pPr>
        <w:pStyle w:val="BodyText2"/>
        <w:spacing w:after="0" w:line="220" w:lineRule="atLeast"/>
        <w:jc w:val="both"/>
        <w:rPr>
          <w:rFonts w:ascii="Verdana" w:hAnsi="Verdana"/>
          <w:b/>
          <w:spacing w:val="-4"/>
          <w:sz w:val="20"/>
        </w:rPr>
      </w:pPr>
    </w:p>
    <w:p w14:paraId="1B43B263" w14:textId="0DB408D8" w:rsidR="005051C7" w:rsidRPr="005A17C2" w:rsidRDefault="007C39F2" w:rsidP="00BB145E">
      <w:pPr>
        <w:pStyle w:val="BodyText2"/>
        <w:numPr>
          <w:ilvl w:val="0"/>
          <w:numId w:val="22"/>
        </w:numPr>
        <w:spacing w:after="0" w:line="240" w:lineRule="auto"/>
        <w:jc w:val="both"/>
        <w:rPr>
          <w:rFonts w:ascii="Verdana" w:hAnsi="Verdana"/>
          <w:spacing w:val="-4"/>
        </w:rPr>
      </w:pPr>
      <w:bookmarkStart w:id="15" w:name="_Ref308998876"/>
      <w:r w:rsidRPr="005A17C2">
        <w:rPr>
          <w:rFonts w:ascii="Verdana" w:hAnsi="Verdana"/>
          <w:spacing w:val="-4"/>
          <w:sz w:val="20"/>
        </w:rPr>
        <w:t>Respecto de los rondines y acomp</w:t>
      </w:r>
      <w:r w:rsidR="000F75A6" w:rsidRPr="005A17C2">
        <w:rPr>
          <w:rFonts w:ascii="Verdana" w:hAnsi="Verdana"/>
          <w:spacing w:val="-4"/>
          <w:sz w:val="20"/>
        </w:rPr>
        <w:t>añamientos policí</w:t>
      </w:r>
      <w:r w:rsidRPr="005A17C2">
        <w:rPr>
          <w:rFonts w:ascii="Verdana" w:hAnsi="Verdana"/>
          <w:spacing w:val="-4"/>
          <w:sz w:val="20"/>
        </w:rPr>
        <w:t>acos, la Corte valora los esfuer</w:t>
      </w:r>
      <w:r w:rsidR="00433BA8" w:rsidRPr="005A17C2">
        <w:rPr>
          <w:rFonts w:ascii="Verdana" w:hAnsi="Verdana"/>
          <w:spacing w:val="-4"/>
          <w:sz w:val="20"/>
        </w:rPr>
        <w:t>zos del Estado para implementar</w:t>
      </w:r>
      <w:r w:rsidRPr="005A17C2">
        <w:rPr>
          <w:rFonts w:ascii="Verdana" w:hAnsi="Verdana"/>
          <w:spacing w:val="-4"/>
          <w:sz w:val="20"/>
        </w:rPr>
        <w:t>los. No obstante</w:t>
      </w:r>
      <w:r w:rsidR="00433BA8" w:rsidRPr="005A17C2">
        <w:rPr>
          <w:rFonts w:ascii="Verdana" w:hAnsi="Verdana"/>
          <w:spacing w:val="-4"/>
          <w:sz w:val="20"/>
        </w:rPr>
        <w:t>,</w:t>
      </w:r>
      <w:r w:rsidRPr="005A17C2">
        <w:rPr>
          <w:rFonts w:ascii="Verdana" w:hAnsi="Verdana"/>
          <w:spacing w:val="-4"/>
          <w:sz w:val="20"/>
        </w:rPr>
        <w:t xml:space="preserve"> </w:t>
      </w:r>
      <w:r w:rsidR="000F75A6" w:rsidRPr="005A17C2">
        <w:rPr>
          <w:rFonts w:ascii="Verdana" w:hAnsi="Verdana"/>
          <w:spacing w:val="-4"/>
          <w:sz w:val="20"/>
        </w:rPr>
        <w:t xml:space="preserve">toma nota de </w:t>
      </w:r>
      <w:r w:rsidR="000C09DE" w:rsidRPr="005A17C2">
        <w:rPr>
          <w:rFonts w:ascii="Verdana" w:hAnsi="Verdana"/>
          <w:spacing w:val="-4"/>
          <w:sz w:val="20"/>
        </w:rPr>
        <w:t xml:space="preserve">lo informado por </w:t>
      </w:r>
      <w:r w:rsidRPr="005A17C2">
        <w:rPr>
          <w:rFonts w:ascii="Verdana" w:hAnsi="Verdana"/>
          <w:spacing w:val="-4"/>
          <w:sz w:val="20"/>
        </w:rPr>
        <w:t xml:space="preserve">los representantes respecto a </w:t>
      </w:r>
      <w:r w:rsidR="000C09DE" w:rsidRPr="005A17C2">
        <w:rPr>
          <w:rFonts w:ascii="Verdana" w:hAnsi="Verdana"/>
          <w:spacing w:val="-4"/>
          <w:sz w:val="20"/>
        </w:rPr>
        <w:t xml:space="preserve">su </w:t>
      </w:r>
      <w:r w:rsidRPr="005A17C2">
        <w:rPr>
          <w:rFonts w:ascii="Verdana" w:hAnsi="Verdana"/>
          <w:spacing w:val="-4"/>
          <w:sz w:val="20"/>
        </w:rPr>
        <w:t>aleatoriedad</w:t>
      </w:r>
      <w:r w:rsidR="00C00F79" w:rsidRPr="005A17C2">
        <w:rPr>
          <w:rFonts w:ascii="Verdana" w:hAnsi="Verdana"/>
          <w:spacing w:val="-4"/>
          <w:sz w:val="20"/>
        </w:rPr>
        <w:t>.</w:t>
      </w:r>
      <w:r w:rsidRPr="005A17C2">
        <w:rPr>
          <w:rFonts w:ascii="Verdana" w:hAnsi="Verdana"/>
          <w:spacing w:val="-4"/>
          <w:sz w:val="20"/>
        </w:rPr>
        <w:t xml:space="preserve"> </w:t>
      </w:r>
      <w:r w:rsidR="000F75A6" w:rsidRPr="005A17C2">
        <w:rPr>
          <w:rFonts w:ascii="Verdana" w:hAnsi="Verdana"/>
          <w:color w:val="000000"/>
          <w:spacing w:val="-4"/>
          <w:sz w:val="20"/>
        </w:rPr>
        <w:t xml:space="preserve">La Corte constata que </w:t>
      </w:r>
      <w:r w:rsidR="00E83E7C" w:rsidRPr="005A17C2">
        <w:rPr>
          <w:rFonts w:ascii="Verdana" w:hAnsi="Verdana"/>
          <w:color w:val="000000"/>
          <w:spacing w:val="-4"/>
          <w:sz w:val="20"/>
        </w:rPr>
        <w:t xml:space="preserve">el Estado </w:t>
      </w:r>
      <w:r w:rsidR="0037302C" w:rsidRPr="005A17C2">
        <w:rPr>
          <w:rFonts w:ascii="Verdana" w:hAnsi="Verdana"/>
          <w:color w:val="000000"/>
          <w:spacing w:val="-4"/>
          <w:sz w:val="20"/>
        </w:rPr>
        <w:t xml:space="preserve">ha reconocido la ausencia de rondines periódicos al domicilio de </w:t>
      </w:r>
      <w:r w:rsidR="0034410E" w:rsidRPr="005A17C2">
        <w:rPr>
          <w:rFonts w:ascii="Verdana" w:hAnsi="Verdana"/>
          <w:color w:val="000000"/>
          <w:spacing w:val="-4"/>
          <w:sz w:val="20"/>
        </w:rPr>
        <w:t>Inés</w:t>
      </w:r>
      <w:r w:rsidR="0037302C" w:rsidRPr="005A17C2">
        <w:rPr>
          <w:rFonts w:ascii="Verdana" w:hAnsi="Verdana"/>
          <w:color w:val="000000"/>
          <w:spacing w:val="-4"/>
          <w:sz w:val="20"/>
        </w:rPr>
        <w:t xml:space="preserve"> Fernández, por supuestas dificultades en el camino</w:t>
      </w:r>
      <w:r w:rsidR="001A4F5D" w:rsidRPr="005A17C2">
        <w:rPr>
          <w:rFonts w:ascii="Verdana" w:hAnsi="Verdana"/>
          <w:color w:val="000000"/>
          <w:spacing w:val="-4"/>
          <w:sz w:val="20"/>
        </w:rPr>
        <w:t xml:space="preserve"> y </w:t>
      </w:r>
      <w:r w:rsidR="0037302C" w:rsidRPr="005A17C2">
        <w:rPr>
          <w:rFonts w:ascii="Verdana" w:hAnsi="Verdana"/>
          <w:color w:val="000000"/>
          <w:spacing w:val="-4"/>
          <w:sz w:val="20"/>
        </w:rPr>
        <w:t>advierte que el Estado debe hacer todos los esfuerzos necesarios para implementar las medidas de seguridad acordadas, de manera eficie</w:t>
      </w:r>
      <w:r w:rsidR="000C09DE" w:rsidRPr="005A17C2">
        <w:rPr>
          <w:rFonts w:ascii="Verdana" w:hAnsi="Verdana"/>
          <w:color w:val="000000"/>
          <w:spacing w:val="-4"/>
          <w:sz w:val="20"/>
        </w:rPr>
        <w:t xml:space="preserve">nte y efectiva. El hecho de </w:t>
      </w:r>
      <w:r w:rsidR="004D036F" w:rsidRPr="005A17C2">
        <w:rPr>
          <w:rFonts w:ascii="Verdana" w:hAnsi="Verdana"/>
          <w:color w:val="000000"/>
          <w:spacing w:val="-4"/>
          <w:sz w:val="20"/>
        </w:rPr>
        <w:t xml:space="preserve">la ausencia de periodicidad </w:t>
      </w:r>
      <w:r w:rsidR="0037302C" w:rsidRPr="005A17C2">
        <w:rPr>
          <w:rFonts w:ascii="Verdana" w:hAnsi="Verdana"/>
          <w:spacing w:val="-4"/>
          <w:sz w:val="20"/>
          <w:lang w:val="es-ES"/>
        </w:rPr>
        <w:t xml:space="preserve">“no </w:t>
      </w:r>
      <w:proofErr w:type="gramStart"/>
      <w:r w:rsidR="0037302C" w:rsidRPr="005A17C2">
        <w:rPr>
          <w:rFonts w:ascii="Verdana" w:hAnsi="Verdana"/>
          <w:spacing w:val="-4"/>
          <w:sz w:val="20"/>
          <w:lang w:val="es-ES"/>
        </w:rPr>
        <w:t>ha</w:t>
      </w:r>
      <w:r w:rsidR="0034410E" w:rsidRPr="005A17C2">
        <w:rPr>
          <w:rFonts w:ascii="Verdana" w:hAnsi="Verdana"/>
          <w:spacing w:val="-4"/>
          <w:sz w:val="20"/>
          <w:lang w:val="es-ES"/>
        </w:rPr>
        <w:t>[</w:t>
      </w:r>
      <w:proofErr w:type="gramEnd"/>
      <w:r w:rsidR="0034410E" w:rsidRPr="005A17C2">
        <w:rPr>
          <w:rFonts w:ascii="Verdana" w:hAnsi="Verdana"/>
          <w:spacing w:val="-4"/>
          <w:sz w:val="20"/>
          <w:lang w:val="es-ES"/>
        </w:rPr>
        <w:t>ya]</w:t>
      </w:r>
      <w:r w:rsidR="0037302C" w:rsidRPr="005A17C2">
        <w:rPr>
          <w:rFonts w:ascii="Verdana" w:hAnsi="Verdana"/>
          <w:spacing w:val="-4"/>
          <w:sz w:val="20"/>
          <w:lang w:val="es-ES"/>
        </w:rPr>
        <w:t xml:space="preserve"> implicado un menoscabo en </w:t>
      </w:r>
      <w:r w:rsidR="00CF4D55" w:rsidRPr="005A17C2">
        <w:rPr>
          <w:rFonts w:ascii="Verdana" w:hAnsi="Verdana"/>
          <w:spacing w:val="-4"/>
          <w:sz w:val="20"/>
          <w:lang w:val="es-ES"/>
        </w:rPr>
        <w:t>su</w:t>
      </w:r>
      <w:r w:rsidR="0037302C" w:rsidRPr="005A17C2">
        <w:rPr>
          <w:rFonts w:ascii="Verdana" w:hAnsi="Verdana"/>
          <w:spacing w:val="-4"/>
          <w:sz w:val="20"/>
          <w:lang w:val="es-ES"/>
        </w:rPr>
        <w:t xml:space="preserve"> esfera esencial de derechos”, no releva al Estado de su responsabilidad </w:t>
      </w:r>
      <w:r w:rsidR="00CF4D55" w:rsidRPr="005A17C2">
        <w:rPr>
          <w:rFonts w:ascii="Verdana" w:hAnsi="Verdana"/>
          <w:spacing w:val="-4"/>
          <w:sz w:val="20"/>
          <w:lang w:val="es-ES"/>
        </w:rPr>
        <w:t xml:space="preserve">de implementar las medidas acordadas, más aun cuando el propósito de las medidas provisionales es precisamente evitar que se materialice un daño irreparable a los derechos de los beneficiarios. </w:t>
      </w:r>
      <w:r w:rsidR="005051C7" w:rsidRPr="005A17C2">
        <w:rPr>
          <w:rFonts w:ascii="Verdana" w:hAnsi="Verdana"/>
          <w:spacing w:val="-4"/>
          <w:sz w:val="20"/>
        </w:rPr>
        <w:t xml:space="preserve">Por otra parte, este Tribunal no cuenta con información actualizada sobre las medidas de acompañamiento a </w:t>
      </w:r>
      <w:r w:rsidR="00143D7C" w:rsidRPr="005A17C2">
        <w:rPr>
          <w:rFonts w:ascii="Verdana" w:hAnsi="Verdana"/>
          <w:spacing w:val="-4"/>
          <w:sz w:val="20"/>
        </w:rPr>
        <w:t>los beneficiarios</w:t>
      </w:r>
      <w:r w:rsidR="005051C7" w:rsidRPr="005A17C2">
        <w:rPr>
          <w:rFonts w:ascii="Verdana" w:hAnsi="Verdana"/>
          <w:spacing w:val="-4"/>
          <w:sz w:val="20"/>
        </w:rPr>
        <w:t xml:space="preserve"> durante sus traslados de Tlapa a Chilpancingo. En mayo de 2014 el Estado manifestó su disposición </w:t>
      </w:r>
      <w:r w:rsidR="004D036F" w:rsidRPr="005A17C2">
        <w:rPr>
          <w:rFonts w:ascii="Verdana" w:hAnsi="Verdana"/>
          <w:spacing w:val="-4"/>
          <w:sz w:val="20"/>
        </w:rPr>
        <w:t>a</w:t>
      </w:r>
      <w:r w:rsidR="005051C7" w:rsidRPr="005A17C2">
        <w:rPr>
          <w:rFonts w:ascii="Verdana" w:hAnsi="Verdana"/>
          <w:spacing w:val="-4"/>
          <w:sz w:val="20"/>
        </w:rPr>
        <w:t xml:space="preserve"> brindar esta medida cuando fuera requerido. En septiembre de 2014 los representantes indicaron que si bien habrían sido informados que serían realizados por la Secretaría de Seguridad Pública </w:t>
      </w:r>
      <w:r w:rsidR="00AA5D27">
        <w:rPr>
          <w:rFonts w:ascii="Verdana" w:hAnsi="Verdana"/>
          <w:spacing w:val="-4"/>
          <w:sz w:val="20"/>
        </w:rPr>
        <w:t xml:space="preserve">del estado </w:t>
      </w:r>
      <w:r w:rsidR="005051C7" w:rsidRPr="005A17C2">
        <w:rPr>
          <w:rFonts w:ascii="Verdana" w:hAnsi="Verdana"/>
          <w:spacing w:val="-4"/>
          <w:sz w:val="20"/>
        </w:rPr>
        <w:t>de Guerrero, no se les había informado qué agentes llevarían a</w:t>
      </w:r>
      <w:r w:rsidR="00B1191E" w:rsidRPr="005A17C2">
        <w:rPr>
          <w:rFonts w:ascii="Verdana" w:hAnsi="Verdana"/>
          <w:spacing w:val="-4"/>
          <w:sz w:val="20"/>
        </w:rPr>
        <w:t xml:space="preserve"> </w:t>
      </w:r>
      <w:r w:rsidR="005051C7" w:rsidRPr="005A17C2">
        <w:rPr>
          <w:rFonts w:ascii="Verdana" w:hAnsi="Verdana"/>
          <w:spacing w:val="-4"/>
          <w:sz w:val="20"/>
        </w:rPr>
        <w:t xml:space="preserve">cabo estos acompañamientos. </w:t>
      </w:r>
      <w:r w:rsidR="00CF4D55" w:rsidRPr="005A17C2">
        <w:rPr>
          <w:rFonts w:ascii="Verdana" w:hAnsi="Verdana"/>
          <w:spacing w:val="-4"/>
          <w:sz w:val="20"/>
          <w:lang w:val="es-ES"/>
        </w:rPr>
        <w:t xml:space="preserve">Por tanto, en su próximo </w:t>
      </w:r>
      <w:r w:rsidR="008635D5" w:rsidRPr="005A17C2">
        <w:rPr>
          <w:rFonts w:ascii="Verdana" w:hAnsi="Verdana"/>
          <w:spacing w:val="-4"/>
          <w:sz w:val="20"/>
          <w:lang w:val="es-ES"/>
        </w:rPr>
        <w:t xml:space="preserve">informe </w:t>
      </w:r>
      <w:r w:rsidR="004D036F" w:rsidRPr="005A17C2">
        <w:rPr>
          <w:rFonts w:ascii="Verdana" w:hAnsi="Verdana"/>
          <w:spacing w:val="-4"/>
          <w:sz w:val="20"/>
          <w:lang w:val="es-ES"/>
        </w:rPr>
        <w:t xml:space="preserve">el Estado deberá </w:t>
      </w:r>
      <w:r w:rsidR="004D036F" w:rsidRPr="005A17C2">
        <w:rPr>
          <w:rFonts w:ascii="Verdana" w:hAnsi="Verdana"/>
          <w:spacing w:val="-4"/>
          <w:sz w:val="20"/>
        </w:rPr>
        <w:t>remitir</w:t>
      </w:r>
      <w:r w:rsidR="0037302C" w:rsidRPr="005A17C2">
        <w:rPr>
          <w:rFonts w:ascii="Verdana" w:hAnsi="Verdana"/>
          <w:spacing w:val="-4"/>
          <w:sz w:val="20"/>
        </w:rPr>
        <w:t xml:space="preserve"> información </w:t>
      </w:r>
      <w:r w:rsidR="00CF4D55" w:rsidRPr="005A17C2">
        <w:rPr>
          <w:rFonts w:ascii="Verdana" w:hAnsi="Verdana"/>
          <w:spacing w:val="-4"/>
          <w:sz w:val="20"/>
        </w:rPr>
        <w:t xml:space="preserve">detallada, actualizada y completa </w:t>
      </w:r>
      <w:r w:rsidR="004D036F" w:rsidRPr="005A17C2">
        <w:rPr>
          <w:rFonts w:ascii="Verdana" w:hAnsi="Verdana"/>
          <w:spacing w:val="-4"/>
          <w:sz w:val="20"/>
        </w:rPr>
        <w:t xml:space="preserve">sobre </w:t>
      </w:r>
      <w:r w:rsidR="00CF4D55" w:rsidRPr="005A17C2">
        <w:rPr>
          <w:rFonts w:ascii="Verdana" w:hAnsi="Verdana"/>
          <w:spacing w:val="-4"/>
          <w:sz w:val="20"/>
        </w:rPr>
        <w:t>los rondines y acompañamientos que realiza a los beneficiarios, su periodicidad, horas y formas de implementación</w:t>
      </w:r>
      <w:r w:rsidR="005051C7" w:rsidRPr="005A17C2">
        <w:rPr>
          <w:rFonts w:ascii="Verdana" w:hAnsi="Verdana"/>
          <w:spacing w:val="-4"/>
          <w:sz w:val="20"/>
        </w:rPr>
        <w:t xml:space="preserve">, así como </w:t>
      </w:r>
      <w:r w:rsidR="004D036F" w:rsidRPr="005A17C2">
        <w:rPr>
          <w:rFonts w:ascii="Verdana" w:hAnsi="Verdana"/>
          <w:spacing w:val="-4"/>
          <w:sz w:val="20"/>
        </w:rPr>
        <w:t xml:space="preserve">referirse </w:t>
      </w:r>
      <w:r w:rsidR="005051C7" w:rsidRPr="005A17C2">
        <w:rPr>
          <w:rFonts w:ascii="Verdana" w:hAnsi="Verdana"/>
          <w:spacing w:val="-4"/>
          <w:sz w:val="20"/>
        </w:rPr>
        <w:t xml:space="preserve">a la solicitud de los representantes </w:t>
      </w:r>
      <w:r w:rsidR="004D036F" w:rsidRPr="005A17C2">
        <w:rPr>
          <w:rFonts w:ascii="Verdana" w:hAnsi="Verdana"/>
          <w:spacing w:val="-4"/>
          <w:sz w:val="20"/>
        </w:rPr>
        <w:t xml:space="preserve">para </w:t>
      </w:r>
      <w:r w:rsidR="005051C7" w:rsidRPr="005A17C2">
        <w:rPr>
          <w:rFonts w:ascii="Verdana" w:hAnsi="Verdana"/>
          <w:spacing w:val="-4"/>
          <w:sz w:val="20"/>
        </w:rPr>
        <w:t xml:space="preserve">conocer la identidad de los agentes que realizarían </w:t>
      </w:r>
      <w:r w:rsidR="004D036F" w:rsidRPr="005A17C2">
        <w:rPr>
          <w:rFonts w:ascii="Verdana" w:hAnsi="Verdana"/>
          <w:spacing w:val="-4"/>
          <w:sz w:val="20"/>
        </w:rPr>
        <w:t xml:space="preserve">dichos </w:t>
      </w:r>
      <w:r w:rsidR="005051C7" w:rsidRPr="005A17C2">
        <w:rPr>
          <w:rFonts w:ascii="Verdana" w:hAnsi="Verdana"/>
          <w:spacing w:val="-4"/>
          <w:sz w:val="20"/>
        </w:rPr>
        <w:t xml:space="preserve">acompañamientos durante </w:t>
      </w:r>
      <w:r w:rsidR="004D036F" w:rsidRPr="005A17C2">
        <w:rPr>
          <w:rFonts w:ascii="Verdana" w:hAnsi="Verdana"/>
          <w:spacing w:val="-4"/>
          <w:sz w:val="20"/>
        </w:rPr>
        <w:t xml:space="preserve">los </w:t>
      </w:r>
      <w:r w:rsidR="005051C7" w:rsidRPr="005A17C2">
        <w:rPr>
          <w:rFonts w:ascii="Verdana" w:hAnsi="Verdana"/>
          <w:spacing w:val="-4"/>
          <w:sz w:val="20"/>
        </w:rPr>
        <w:t xml:space="preserve">traslados de Tlapa a </w:t>
      </w:r>
      <w:proofErr w:type="spellStart"/>
      <w:r w:rsidR="005051C7" w:rsidRPr="005A17C2">
        <w:rPr>
          <w:rFonts w:ascii="Verdana" w:hAnsi="Verdana"/>
          <w:spacing w:val="-4"/>
          <w:sz w:val="20"/>
        </w:rPr>
        <w:t>Chilpancigo</w:t>
      </w:r>
      <w:proofErr w:type="spellEnd"/>
      <w:r w:rsidR="005051C7" w:rsidRPr="005A17C2">
        <w:rPr>
          <w:rFonts w:ascii="Verdana" w:hAnsi="Verdana"/>
          <w:spacing w:val="-4"/>
          <w:sz w:val="20"/>
        </w:rPr>
        <w:t>.</w:t>
      </w:r>
      <w:bookmarkEnd w:id="15"/>
    </w:p>
    <w:p w14:paraId="2B8465C6" w14:textId="77777777" w:rsidR="00CE7850" w:rsidRPr="005A17C2" w:rsidRDefault="00CE7850" w:rsidP="00BB145E">
      <w:pPr>
        <w:pStyle w:val="BodyText2"/>
        <w:spacing w:after="0" w:line="240" w:lineRule="auto"/>
        <w:jc w:val="both"/>
        <w:rPr>
          <w:rFonts w:ascii="Verdana" w:hAnsi="Verdana"/>
          <w:spacing w:val="-4"/>
        </w:rPr>
      </w:pPr>
    </w:p>
    <w:p w14:paraId="77FCA222" w14:textId="7E05CACF" w:rsidR="00B1191E" w:rsidRPr="005A17C2" w:rsidRDefault="00B1191E" w:rsidP="00BB145E">
      <w:pPr>
        <w:pStyle w:val="BodyText2"/>
        <w:numPr>
          <w:ilvl w:val="0"/>
          <w:numId w:val="22"/>
        </w:numPr>
        <w:spacing w:after="0" w:line="240" w:lineRule="auto"/>
        <w:jc w:val="both"/>
        <w:rPr>
          <w:rFonts w:ascii="Verdana" w:eastAsia="Calibri" w:hAnsi="Verdana" w:cs="Arial"/>
          <w:spacing w:val="-4"/>
          <w:sz w:val="20"/>
          <w:lang w:val="es-CR" w:eastAsia="es-CR"/>
        </w:rPr>
      </w:pPr>
      <w:bookmarkStart w:id="16" w:name="_Ref308998891"/>
      <w:r w:rsidRPr="005A17C2">
        <w:rPr>
          <w:rFonts w:ascii="Verdana" w:hAnsi="Verdana"/>
          <w:spacing w:val="-4"/>
          <w:sz w:val="20"/>
        </w:rPr>
        <w:t>De manera general, este Tribunal toma nota que en los</w:t>
      </w:r>
      <w:r w:rsidR="00F468F9">
        <w:rPr>
          <w:rFonts w:ascii="Verdana" w:hAnsi="Verdana"/>
          <w:spacing w:val="-4"/>
          <w:sz w:val="20"/>
        </w:rPr>
        <w:t xml:space="preserve"> cuatro</w:t>
      </w:r>
      <w:r w:rsidRPr="005A17C2">
        <w:rPr>
          <w:rFonts w:ascii="Verdana" w:hAnsi="Verdana"/>
          <w:spacing w:val="-4"/>
          <w:sz w:val="20"/>
        </w:rPr>
        <w:t xml:space="preserve"> años desde su última Resolución se han presentado diversos problemas en la implementación de las medidas de protección, sea por fallas de los equipos de seguridad</w:t>
      </w:r>
      <w:r w:rsidR="00B67B36">
        <w:rPr>
          <w:rFonts w:ascii="Verdana" w:hAnsi="Verdana"/>
          <w:spacing w:val="-4"/>
          <w:sz w:val="20"/>
        </w:rPr>
        <w:t>,</w:t>
      </w:r>
      <w:r w:rsidRPr="005A17C2">
        <w:rPr>
          <w:rFonts w:ascii="Verdana" w:hAnsi="Verdana"/>
          <w:spacing w:val="-4"/>
          <w:sz w:val="20"/>
        </w:rPr>
        <w:t xml:space="preserve"> de los sistemas de comunicación o por la dificultad de acceso al domicilio de </w:t>
      </w:r>
      <w:r w:rsidR="0034410E" w:rsidRPr="005A17C2">
        <w:rPr>
          <w:rFonts w:ascii="Verdana" w:hAnsi="Verdana"/>
          <w:spacing w:val="-4"/>
          <w:sz w:val="20"/>
        </w:rPr>
        <w:t>Inés</w:t>
      </w:r>
      <w:r w:rsidRPr="005A17C2">
        <w:rPr>
          <w:rFonts w:ascii="Verdana" w:hAnsi="Verdana"/>
          <w:spacing w:val="-4"/>
          <w:sz w:val="20"/>
        </w:rPr>
        <w:t xml:space="preserve"> Fernández para realizar los rondines de seguridad. Dichos problemas han </w:t>
      </w:r>
      <w:r w:rsidR="00F468F9">
        <w:rPr>
          <w:rFonts w:ascii="Verdana" w:hAnsi="Verdana"/>
          <w:spacing w:val="-4"/>
          <w:sz w:val="20"/>
        </w:rPr>
        <w:t>generado que, por distintos perí</w:t>
      </w:r>
      <w:r w:rsidRPr="005A17C2">
        <w:rPr>
          <w:rFonts w:ascii="Verdana" w:hAnsi="Verdana"/>
          <w:spacing w:val="-4"/>
          <w:sz w:val="20"/>
        </w:rPr>
        <w:t>odos, las medidas no ha</w:t>
      </w:r>
      <w:r w:rsidR="001C1727" w:rsidRPr="005A17C2">
        <w:rPr>
          <w:rFonts w:ascii="Verdana" w:hAnsi="Verdana"/>
          <w:spacing w:val="-4"/>
          <w:sz w:val="20"/>
        </w:rPr>
        <w:t>ya</w:t>
      </w:r>
      <w:r w:rsidRPr="005A17C2">
        <w:rPr>
          <w:rFonts w:ascii="Verdana" w:hAnsi="Verdana"/>
          <w:spacing w:val="-4"/>
          <w:sz w:val="20"/>
        </w:rPr>
        <w:t>n sido implementadas de manera efectiva. La Corte recuerda que los beneficiarios de medidas provisionales deben gozar de</w:t>
      </w:r>
      <w:r w:rsidR="001C1727" w:rsidRPr="005A17C2">
        <w:rPr>
          <w:rFonts w:ascii="Verdana" w:hAnsi="Verdana"/>
          <w:spacing w:val="-4"/>
          <w:sz w:val="20"/>
        </w:rPr>
        <w:t xml:space="preserve"> las</w:t>
      </w:r>
      <w:r w:rsidRPr="005A17C2">
        <w:rPr>
          <w:rFonts w:ascii="Verdana" w:hAnsi="Verdana"/>
          <w:spacing w:val="-4"/>
          <w:sz w:val="20"/>
        </w:rPr>
        <w:t xml:space="preserve"> medidas de protección de manera</w:t>
      </w:r>
      <w:r w:rsidR="001C1727" w:rsidRPr="005A17C2">
        <w:rPr>
          <w:rFonts w:ascii="Verdana" w:hAnsi="Verdana"/>
          <w:spacing w:val="-4"/>
          <w:sz w:val="20"/>
        </w:rPr>
        <w:t xml:space="preserve"> efectiva,</w:t>
      </w:r>
      <w:r w:rsidRPr="005A17C2">
        <w:rPr>
          <w:rFonts w:ascii="Verdana" w:hAnsi="Verdana"/>
          <w:spacing w:val="-4"/>
          <w:sz w:val="20"/>
        </w:rPr>
        <w:t xml:space="preserve"> continua e ininterrumpida mientras se encuentre vigente la situación de extrema gravedad y urgencia que dio origen a las mismas</w:t>
      </w:r>
      <w:r w:rsidR="001C1727" w:rsidRPr="005A17C2">
        <w:rPr>
          <w:rFonts w:ascii="Verdana" w:hAnsi="Verdana"/>
          <w:spacing w:val="-4"/>
          <w:sz w:val="20"/>
          <w:lang w:val="es-ES"/>
        </w:rPr>
        <w:t>, de forma tal que cese el riesgo para las personas cuya protección se pretende</w:t>
      </w:r>
      <w:r w:rsidR="001C1727" w:rsidRPr="005A17C2">
        <w:rPr>
          <w:rStyle w:val="FootnoteReference"/>
          <w:spacing w:val="-4"/>
          <w:sz w:val="20"/>
          <w:lang w:val="es-ES"/>
        </w:rPr>
        <w:footnoteReference w:id="9"/>
      </w:r>
      <w:r w:rsidR="001C1727" w:rsidRPr="005A17C2">
        <w:rPr>
          <w:rFonts w:ascii="Verdana" w:hAnsi="Verdana"/>
          <w:spacing w:val="-4"/>
          <w:sz w:val="20"/>
          <w:lang w:val="es-ES"/>
        </w:rPr>
        <w:t>.</w:t>
      </w:r>
      <w:r w:rsidRPr="005A17C2">
        <w:rPr>
          <w:rFonts w:ascii="Verdana" w:hAnsi="Verdana"/>
          <w:spacing w:val="-4"/>
          <w:sz w:val="20"/>
        </w:rPr>
        <w:t xml:space="preserve"> </w:t>
      </w:r>
      <w:r w:rsidRPr="005A17C2">
        <w:rPr>
          <w:rFonts w:ascii="Verdana" w:hAnsi="Verdana"/>
          <w:spacing w:val="-4"/>
          <w:sz w:val="20"/>
          <w:lang w:val="es-ES"/>
        </w:rPr>
        <w:t xml:space="preserve">En consecuencia, este Tribunal estima pertinente que, en coordinación con los beneficiarios y sus representantes, el Estado proponga una estrategia para el mantenimiento, revisión, reparación </w:t>
      </w:r>
      <w:r w:rsidRPr="005A17C2">
        <w:rPr>
          <w:rFonts w:ascii="Verdana" w:hAnsi="Verdana"/>
          <w:spacing w:val="-4"/>
          <w:sz w:val="20"/>
        </w:rPr>
        <w:t xml:space="preserve">o reposición de los equipos </w:t>
      </w:r>
      <w:r w:rsidRPr="005A17C2">
        <w:rPr>
          <w:rFonts w:ascii="Verdana" w:hAnsi="Verdana"/>
          <w:spacing w:val="-4"/>
          <w:sz w:val="20"/>
        </w:rPr>
        <w:lastRenderedPageBreak/>
        <w:t xml:space="preserve">provistos, incluyendo mejorar la coordinación con los proveedores de servicios, a efectos de </w:t>
      </w:r>
      <w:r w:rsidR="00632039" w:rsidRPr="005A17C2">
        <w:rPr>
          <w:rFonts w:ascii="Verdana" w:hAnsi="Verdana"/>
          <w:spacing w:val="-4"/>
          <w:sz w:val="20"/>
        </w:rPr>
        <w:t xml:space="preserve">asegurar </w:t>
      </w:r>
      <w:r w:rsidRPr="005A17C2">
        <w:rPr>
          <w:rFonts w:ascii="Verdana" w:hAnsi="Verdana"/>
          <w:spacing w:val="-4"/>
          <w:sz w:val="20"/>
        </w:rPr>
        <w:t>que l</w:t>
      </w:r>
      <w:r w:rsidR="00632039" w:rsidRPr="005A17C2">
        <w:rPr>
          <w:rFonts w:ascii="Verdana" w:hAnsi="Verdana"/>
          <w:spacing w:val="-4"/>
          <w:sz w:val="20"/>
        </w:rPr>
        <w:t>as medidas de protección se implementen ininterrumpidamente.</w:t>
      </w:r>
      <w:r w:rsidR="0039724D">
        <w:rPr>
          <w:rFonts w:ascii="Verdana" w:hAnsi="Verdana"/>
          <w:spacing w:val="-4"/>
          <w:sz w:val="20"/>
        </w:rPr>
        <w:t xml:space="preserve"> </w:t>
      </w:r>
      <w:r w:rsidR="00A1678D">
        <w:rPr>
          <w:rFonts w:ascii="Verdana" w:hAnsi="Verdana"/>
          <w:spacing w:val="-4"/>
          <w:sz w:val="20"/>
          <w:lang w:val="es-ES"/>
        </w:rPr>
        <w:t>E</w:t>
      </w:r>
      <w:r w:rsidR="0039724D" w:rsidRPr="005A17C2">
        <w:rPr>
          <w:rFonts w:ascii="Verdana" w:hAnsi="Verdana"/>
          <w:spacing w:val="-4"/>
          <w:sz w:val="20"/>
          <w:lang w:val="es-ES"/>
        </w:rPr>
        <w:t xml:space="preserve">l Estado deberá </w:t>
      </w:r>
      <w:r w:rsidR="0039724D" w:rsidRPr="005A17C2">
        <w:rPr>
          <w:rFonts w:ascii="Verdana" w:hAnsi="Verdana"/>
          <w:spacing w:val="-4"/>
          <w:sz w:val="20"/>
        </w:rPr>
        <w:t xml:space="preserve">remitir información </w:t>
      </w:r>
      <w:r w:rsidR="00A1678D">
        <w:rPr>
          <w:rFonts w:ascii="Verdana" w:hAnsi="Verdana"/>
          <w:spacing w:val="-4"/>
          <w:sz w:val="20"/>
        </w:rPr>
        <w:t xml:space="preserve">al respecto en su próximo informe. </w:t>
      </w:r>
      <w:bookmarkEnd w:id="16"/>
    </w:p>
    <w:p w14:paraId="31E4E392" w14:textId="77777777" w:rsidR="00B1191E" w:rsidRPr="005A17C2" w:rsidRDefault="00B1191E" w:rsidP="00BB145E">
      <w:pPr>
        <w:pStyle w:val="BodyText2"/>
        <w:spacing w:after="0" w:line="240" w:lineRule="auto"/>
        <w:jc w:val="both"/>
        <w:rPr>
          <w:rFonts w:ascii="Verdana" w:hAnsi="Verdana"/>
          <w:spacing w:val="-4"/>
          <w:sz w:val="20"/>
          <w:lang w:val="es-ES"/>
        </w:rPr>
      </w:pPr>
    </w:p>
    <w:p w14:paraId="34FB1D33" w14:textId="138816AF" w:rsidR="00B1191E" w:rsidRPr="005A17C2" w:rsidRDefault="00B1191E" w:rsidP="00BB145E">
      <w:pPr>
        <w:pStyle w:val="BodyText2"/>
        <w:numPr>
          <w:ilvl w:val="0"/>
          <w:numId w:val="22"/>
        </w:numPr>
        <w:spacing w:after="0" w:line="220" w:lineRule="atLeast"/>
        <w:jc w:val="both"/>
        <w:rPr>
          <w:rFonts w:ascii="Verdana" w:hAnsi="Verdana"/>
          <w:b/>
          <w:spacing w:val="-4"/>
          <w:sz w:val="20"/>
        </w:rPr>
      </w:pPr>
      <w:bookmarkStart w:id="17" w:name="_Ref308998909"/>
      <w:r w:rsidRPr="005A17C2">
        <w:rPr>
          <w:rFonts w:ascii="Verdana" w:hAnsi="Verdana"/>
          <w:spacing w:val="-4"/>
          <w:sz w:val="20"/>
        </w:rPr>
        <w:t>Por otra parte, la Corte nota que, desde su última Resoluc</w:t>
      </w:r>
      <w:r w:rsidR="000C1E8C" w:rsidRPr="005A17C2">
        <w:rPr>
          <w:rFonts w:ascii="Verdana" w:hAnsi="Verdana"/>
          <w:spacing w:val="-4"/>
          <w:sz w:val="20"/>
        </w:rPr>
        <w:t>ión, las partes y la Comisión no</w:t>
      </w:r>
      <w:r w:rsidRPr="005A17C2">
        <w:rPr>
          <w:rFonts w:ascii="Verdana" w:hAnsi="Verdana"/>
          <w:spacing w:val="-4"/>
          <w:sz w:val="20"/>
        </w:rPr>
        <w:t xml:space="preserve"> han </w:t>
      </w:r>
      <w:r w:rsidR="00632039" w:rsidRPr="005A17C2">
        <w:rPr>
          <w:rFonts w:ascii="Verdana" w:hAnsi="Verdana"/>
          <w:spacing w:val="-4"/>
          <w:sz w:val="20"/>
        </w:rPr>
        <w:t xml:space="preserve">aportado información actualizada respecto </w:t>
      </w:r>
      <w:r w:rsidR="000C1E8C" w:rsidRPr="005A17C2">
        <w:rPr>
          <w:rFonts w:ascii="Verdana" w:hAnsi="Verdana"/>
          <w:spacing w:val="-4"/>
          <w:sz w:val="20"/>
        </w:rPr>
        <w:t>a ciertas medidas de protección</w:t>
      </w:r>
      <w:r w:rsidRPr="005A17C2">
        <w:rPr>
          <w:rFonts w:ascii="Verdana" w:hAnsi="Verdana"/>
          <w:spacing w:val="-4"/>
          <w:sz w:val="20"/>
        </w:rPr>
        <w:t xml:space="preserve">. De manera particular, se hace notar la información remitida hasta 2013 sobre la presencia policíaca permanente en las oficinas de </w:t>
      </w:r>
      <w:proofErr w:type="spellStart"/>
      <w:r w:rsidRPr="005A17C2">
        <w:rPr>
          <w:rFonts w:ascii="Verdana" w:hAnsi="Verdana"/>
          <w:spacing w:val="-4"/>
          <w:sz w:val="20"/>
        </w:rPr>
        <w:t>Tlachinollan</w:t>
      </w:r>
      <w:proofErr w:type="spellEnd"/>
      <w:r w:rsidRPr="005A17C2">
        <w:rPr>
          <w:rFonts w:ascii="Verdana" w:hAnsi="Verdana"/>
          <w:spacing w:val="-4"/>
          <w:sz w:val="20"/>
        </w:rPr>
        <w:t xml:space="preserve"> en Ayutla, así como el ofrecimiento de un vehículo para los traslados de los representantes de </w:t>
      </w:r>
      <w:proofErr w:type="spellStart"/>
      <w:r w:rsidRPr="005A17C2">
        <w:rPr>
          <w:rFonts w:ascii="Verdana" w:hAnsi="Verdana"/>
          <w:spacing w:val="-4"/>
          <w:sz w:val="20"/>
        </w:rPr>
        <w:t>Tlachinollan</w:t>
      </w:r>
      <w:proofErr w:type="spellEnd"/>
      <w:r w:rsidRPr="005A17C2">
        <w:rPr>
          <w:rFonts w:ascii="Verdana" w:hAnsi="Verdana"/>
          <w:spacing w:val="-4"/>
          <w:sz w:val="20"/>
        </w:rPr>
        <w:t xml:space="preserve"> (</w:t>
      </w:r>
      <w:r w:rsidRPr="005A17C2">
        <w:rPr>
          <w:rFonts w:ascii="Verdana" w:hAnsi="Verdana"/>
          <w:i/>
          <w:spacing w:val="-4"/>
          <w:sz w:val="20"/>
        </w:rPr>
        <w:t>supra</w:t>
      </w:r>
      <w:r w:rsidR="000C1E8C" w:rsidRPr="005A17C2">
        <w:rPr>
          <w:rFonts w:ascii="Verdana" w:hAnsi="Verdana"/>
          <w:spacing w:val="-4"/>
          <w:sz w:val="20"/>
        </w:rPr>
        <w:t xml:space="preserve"> Considerandos</w:t>
      </w:r>
      <w:r w:rsidR="00F468F9">
        <w:rPr>
          <w:rFonts w:ascii="Verdana" w:hAnsi="Verdana"/>
          <w:spacing w:val="-4"/>
          <w:sz w:val="20"/>
        </w:rPr>
        <w:t xml:space="preserve"> </w:t>
      </w:r>
      <w:r w:rsidR="00F468F9">
        <w:rPr>
          <w:rFonts w:ascii="Verdana" w:hAnsi="Verdana"/>
          <w:spacing w:val="-4"/>
          <w:sz w:val="20"/>
        </w:rPr>
        <w:fldChar w:fldCharType="begin"/>
      </w:r>
      <w:r w:rsidR="00F468F9">
        <w:rPr>
          <w:rFonts w:ascii="Verdana" w:hAnsi="Verdana"/>
          <w:spacing w:val="-4"/>
          <w:sz w:val="20"/>
        </w:rPr>
        <w:instrText xml:space="preserve"> REF _Ref444073525 \r \h </w:instrText>
      </w:r>
      <w:r w:rsidR="00F468F9">
        <w:rPr>
          <w:rFonts w:ascii="Verdana" w:hAnsi="Verdana"/>
          <w:spacing w:val="-4"/>
          <w:sz w:val="20"/>
        </w:rPr>
      </w:r>
      <w:r w:rsidR="00F468F9">
        <w:rPr>
          <w:rFonts w:ascii="Verdana" w:hAnsi="Verdana"/>
          <w:spacing w:val="-4"/>
          <w:sz w:val="20"/>
        </w:rPr>
        <w:fldChar w:fldCharType="separate"/>
      </w:r>
      <w:r w:rsidR="00820C73">
        <w:rPr>
          <w:rFonts w:ascii="Verdana" w:hAnsi="Verdana"/>
          <w:spacing w:val="-4"/>
          <w:sz w:val="20"/>
        </w:rPr>
        <w:t>6</w:t>
      </w:r>
      <w:r w:rsidR="00F468F9">
        <w:rPr>
          <w:rFonts w:ascii="Verdana" w:hAnsi="Verdana"/>
          <w:spacing w:val="-4"/>
          <w:sz w:val="20"/>
        </w:rPr>
        <w:fldChar w:fldCharType="end"/>
      </w:r>
      <w:r w:rsidR="00F468F9">
        <w:rPr>
          <w:rFonts w:ascii="Verdana" w:hAnsi="Verdana"/>
          <w:spacing w:val="-4"/>
          <w:sz w:val="20"/>
        </w:rPr>
        <w:t xml:space="preserve"> y</w:t>
      </w:r>
      <w:r w:rsidR="00912431">
        <w:rPr>
          <w:rFonts w:ascii="Verdana" w:hAnsi="Verdana"/>
          <w:spacing w:val="-4"/>
          <w:sz w:val="20"/>
        </w:rPr>
        <w:t xml:space="preserve"> </w:t>
      </w:r>
      <w:r w:rsidR="00B67B36">
        <w:rPr>
          <w:rFonts w:ascii="Verdana" w:hAnsi="Verdana"/>
          <w:spacing w:val="-4"/>
          <w:sz w:val="20"/>
        </w:rPr>
        <w:fldChar w:fldCharType="begin"/>
      </w:r>
      <w:r w:rsidR="00B67B36">
        <w:rPr>
          <w:rFonts w:ascii="Verdana" w:hAnsi="Verdana"/>
          <w:spacing w:val="-4"/>
          <w:sz w:val="20"/>
        </w:rPr>
        <w:instrText xml:space="preserve"> REF _Ref445973853 \r \h </w:instrText>
      </w:r>
      <w:r w:rsidR="00B67B36">
        <w:rPr>
          <w:rFonts w:ascii="Verdana" w:hAnsi="Verdana"/>
          <w:spacing w:val="-4"/>
          <w:sz w:val="20"/>
        </w:rPr>
      </w:r>
      <w:r w:rsidR="00B67B36">
        <w:rPr>
          <w:rFonts w:ascii="Verdana" w:hAnsi="Verdana"/>
          <w:spacing w:val="-4"/>
          <w:sz w:val="20"/>
        </w:rPr>
        <w:fldChar w:fldCharType="separate"/>
      </w:r>
      <w:r w:rsidR="00820C73">
        <w:rPr>
          <w:rFonts w:ascii="Verdana" w:hAnsi="Verdana"/>
          <w:spacing w:val="-4"/>
          <w:sz w:val="20"/>
        </w:rPr>
        <w:t>8</w:t>
      </w:r>
      <w:r w:rsidR="00B67B36">
        <w:rPr>
          <w:rFonts w:ascii="Verdana" w:hAnsi="Verdana"/>
          <w:spacing w:val="-4"/>
          <w:sz w:val="20"/>
        </w:rPr>
        <w:fldChar w:fldCharType="end"/>
      </w:r>
      <w:r w:rsidRPr="005A17C2">
        <w:rPr>
          <w:rFonts w:ascii="Verdana" w:hAnsi="Verdana"/>
          <w:spacing w:val="-4"/>
          <w:sz w:val="20"/>
        </w:rPr>
        <w:t>). Al respecto, se solicita al Estado y a los representantes que, en sus próximas comunicaciones a este Tribunal, se refieran a estas medidas y su estado de implementación o remitan las aclaraciones pertinentes.</w:t>
      </w:r>
      <w:bookmarkEnd w:id="17"/>
      <w:r w:rsidRPr="005A17C2">
        <w:rPr>
          <w:rFonts w:ascii="Verdana" w:hAnsi="Verdana"/>
          <w:spacing w:val="-4"/>
          <w:sz w:val="20"/>
        </w:rPr>
        <w:t xml:space="preserve"> </w:t>
      </w:r>
    </w:p>
    <w:p w14:paraId="3FF63791" w14:textId="77777777" w:rsidR="00F5334C" w:rsidRPr="005A17C2" w:rsidRDefault="00F5334C" w:rsidP="00BB145E">
      <w:pPr>
        <w:pStyle w:val="BodyText2"/>
        <w:spacing w:after="0" w:line="240" w:lineRule="auto"/>
        <w:jc w:val="both"/>
        <w:rPr>
          <w:rFonts w:ascii="Verdana" w:hAnsi="Verdana"/>
          <w:b/>
          <w:spacing w:val="-4"/>
          <w:sz w:val="20"/>
        </w:rPr>
      </w:pPr>
    </w:p>
    <w:p w14:paraId="63BE8E50" w14:textId="78FA6C9C" w:rsidR="00F5334C" w:rsidRPr="005A17C2" w:rsidRDefault="00AD440B" w:rsidP="00BB145E">
      <w:pPr>
        <w:pStyle w:val="BodyText2"/>
        <w:numPr>
          <w:ilvl w:val="0"/>
          <w:numId w:val="22"/>
        </w:numPr>
        <w:spacing w:after="0" w:line="240" w:lineRule="auto"/>
        <w:jc w:val="both"/>
        <w:rPr>
          <w:rFonts w:ascii="Verdana" w:hAnsi="Verdana"/>
          <w:spacing w:val="-4"/>
          <w:sz w:val="20"/>
        </w:rPr>
      </w:pPr>
      <w:bookmarkStart w:id="18" w:name="_Ref308998927"/>
      <w:r w:rsidRPr="005A17C2">
        <w:rPr>
          <w:rFonts w:ascii="Verdana" w:hAnsi="Verdana"/>
          <w:spacing w:val="-4"/>
          <w:sz w:val="20"/>
          <w:lang w:val="es-CR"/>
        </w:rPr>
        <w:t>Por último, e</w:t>
      </w:r>
      <w:r w:rsidR="00F5334C" w:rsidRPr="005A17C2">
        <w:rPr>
          <w:rFonts w:ascii="Verdana" w:hAnsi="Verdana"/>
          <w:spacing w:val="-4"/>
          <w:sz w:val="20"/>
          <w:lang w:val="es-CR"/>
        </w:rPr>
        <w:t xml:space="preserve">ste Tribunal </w:t>
      </w:r>
      <w:r w:rsidR="00B1191E" w:rsidRPr="005A17C2">
        <w:rPr>
          <w:rFonts w:ascii="Verdana" w:hAnsi="Verdana"/>
          <w:spacing w:val="-4"/>
          <w:sz w:val="20"/>
          <w:lang w:val="es-CR"/>
        </w:rPr>
        <w:t>valora la celebración de reuniones entre el Estado y los beneficiarios, a efectos de lograr acuerdos para la implementación de la</w:t>
      </w:r>
      <w:r w:rsidR="00B80492" w:rsidRPr="005A17C2">
        <w:rPr>
          <w:rFonts w:ascii="Verdana" w:hAnsi="Verdana"/>
          <w:spacing w:val="-4"/>
          <w:sz w:val="20"/>
          <w:lang w:val="es-CR"/>
        </w:rPr>
        <w:t>s</w:t>
      </w:r>
      <w:r w:rsidR="00B1191E" w:rsidRPr="005A17C2">
        <w:rPr>
          <w:rFonts w:ascii="Verdana" w:hAnsi="Verdana"/>
          <w:spacing w:val="-4"/>
          <w:sz w:val="20"/>
          <w:lang w:val="es-CR"/>
        </w:rPr>
        <w:t xml:space="preserve"> medidas. La Corte </w:t>
      </w:r>
      <w:r w:rsidR="008246CD" w:rsidRPr="005A17C2">
        <w:rPr>
          <w:rFonts w:ascii="Verdana" w:hAnsi="Verdana"/>
          <w:spacing w:val="-4"/>
          <w:sz w:val="20"/>
          <w:lang w:val="es-CR"/>
        </w:rPr>
        <w:t xml:space="preserve">considera </w:t>
      </w:r>
      <w:bookmarkStart w:id="19" w:name="_Ref416266678"/>
      <w:r w:rsidR="00F5334C" w:rsidRPr="005A17C2">
        <w:rPr>
          <w:rFonts w:ascii="Verdana" w:hAnsi="Verdana"/>
          <w:spacing w:val="-4"/>
          <w:sz w:val="20"/>
        </w:rPr>
        <w:t xml:space="preserve">que resulta imprescindible el establecimiento de mecanismos de comunicación periódica entre las partes, sea mediante la celebración de reuniones u otros medios, a efectos de coordinar la efectiva implementación de estas medidas. El proceso de determinación y concreción de las medidas que vienen gestionándose debe realizarse de manera conjunta, constructiva y pronta, en continua comunicación y acuerdo entre </w:t>
      </w:r>
      <w:r w:rsidR="00686910" w:rsidRPr="005A17C2">
        <w:rPr>
          <w:rFonts w:ascii="Verdana" w:hAnsi="Verdana"/>
          <w:spacing w:val="-4"/>
          <w:sz w:val="20"/>
        </w:rPr>
        <w:t>el Estado y los beneficiarios</w:t>
      </w:r>
      <w:r w:rsidR="00F5334C" w:rsidRPr="005A17C2">
        <w:rPr>
          <w:rFonts w:ascii="Verdana" w:hAnsi="Verdana"/>
          <w:spacing w:val="-4"/>
          <w:sz w:val="20"/>
        </w:rPr>
        <w:t xml:space="preserve">. Por tanto, la Corte solicita </w:t>
      </w:r>
      <w:r w:rsidR="00F6126B" w:rsidRPr="005A17C2">
        <w:rPr>
          <w:rFonts w:ascii="Verdana" w:hAnsi="Verdana"/>
          <w:spacing w:val="-4"/>
          <w:sz w:val="20"/>
        </w:rPr>
        <w:t xml:space="preserve">a los representantes y al Estado </w:t>
      </w:r>
      <w:r w:rsidR="00F5334C" w:rsidRPr="005A17C2">
        <w:rPr>
          <w:rFonts w:ascii="Verdana" w:hAnsi="Verdana"/>
          <w:spacing w:val="-4"/>
          <w:sz w:val="20"/>
        </w:rPr>
        <w:t xml:space="preserve">que le mantengan informada de cualquier reunión </w:t>
      </w:r>
      <w:r w:rsidR="00F04175" w:rsidRPr="005A17C2">
        <w:rPr>
          <w:rFonts w:ascii="Verdana" w:hAnsi="Verdana"/>
          <w:spacing w:val="-4"/>
          <w:sz w:val="20"/>
        </w:rPr>
        <w:t>que celebren</w:t>
      </w:r>
      <w:r w:rsidR="00F5334C" w:rsidRPr="005A17C2">
        <w:rPr>
          <w:rFonts w:ascii="Verdana" w:hAnsi="Verdana"/>
          <w:spacing w:val="-4"/>
          <w:sz w:val="20"/>
        </w:rPr>
        <w:t>, así como que remitan información actualizada sobre los avances que de ellas se deriven.</w:t>
      </w:r>
      <w:bookmarkEnd w:id="18"/>
      <w:bookmarkEnd w:id="19"/>
    </w:p>
    <w:bookmarkEnd w:id="12"/>
    <w:p w14:paraId="20668EB2" w14:textId="77777777" w:rsidR="00BE112B" w:rsidRPr="005A17C2" w:rsidRDefault="00BE112B" w:rsidP="00BB145E">
      <w:pPr>
        <w:pStyle w:val="BodyText2"/>
        <w:spacing w:after="0" w:line="220" w:lineRule="atLeast"/>
        <w:jc w:val="both"/>
        <w:rPr>
          <w:rFonts w:ascii="Verdana" w:hAnsi="Verdana"/>
          <w:b/>
          <w:i/>
          <w:spacing w:val="-4"/>
          <w:sz w:val="20"/>
        </w:rPr>
      </w:pPr>
    </w:p>
    <w:p w14:paraId="197D1144" w14:textId="5FE05C9E" w:rsidR="003C759C" w:rsidRPr="005A17C2" w:rsidRDefault="00AF38B5" w:rsidP="00BB145E">
      <w:pPr>
        <w:ind w:left="720" w:right="22"/>
        <w:jc w:val="both"/>
        <w:rPr>
          <w:rFonts w:ascii="Verdana" w:hAnsi="Verdana"/>
          <w:b/>
          <w:i/>
          <w:spacing w:val="-4"/>
          <w:sz w:val="20"/>
        </w:rPr>
      </w:pPr>
      <w:r w:rsidRPr="005A17C2">
        <w:rPr>
          <w:rFonts w:ascii="Verdana" w:hAnsi="Verdana"/>
          <w:b/>
          <w:i/>
          <w:spacing w:val="-4"/>
          <w:sz w:val="20"/>
        </w:rPr>
        <w:t>B</w:t>
      </w:r>
      <w:r w:rsidR="003C759C" w:rsidRPr="005A17C2">
        <w:rPr>
          <w:rFonts w:ascii="Verdana" w:hAnsi="Verdana"/>
          <w:b/>
          <w:i/>
          <w:spacing w:val="-4"/>
          <w:sz w:val="20"/>
        </w:rPr>
        <w:t xml:space="preserve">. </w:t>
      </w:r>
      <w:r w:rsidR="00EA64F5" w:rsidRPr="005A17C2">
        <w:rPr>
          <w:rFonts w:ascii="Verdana" w:hAnsi="Verdana"/>
          <w:b/>
          <w:i/>
          <w:spacing w:val="-4"/>
          <w:sz w:val="20"/>
        </w:rPr>
        <w:t>S</w:t>
      </w:r>
      <w:r w:rsidR="003C759C" w:rsidRPr="005A17C2">
        <w:rPr>
          <w:rFonts w:ascii="Verdana" w:hAnsi="Verdana"/>
          <w:b/>
          <w:i/>
          <w:spacing w:val="-4"/>
          <w:sz w:val="20"/>
        </w:rPr>
        <w:t xml:space="preserve">ituación </w:t>
      </w:r>
      <w:r w:rsidR="00EA64F5" w:rsidRPr="005A17C2">
        <w:rPr>
          <w:rFonts w:ascii="Verdana" w:hAnsi="Verdana"/>
          <w:b/>
          <w:i/>
          <w:spacing w:val="-4"/>
          <w:sz w:val="20"/>
        </w:rPr>
        <w:t xml:space="preserve">actual </w:t>
      </w:r>
      <w:r w:rsidR="003C759C" w:rsidRPr="005A17C2">
        <w:rPr>
          <w:rFonts w:ascii="Verdana" w:hAnsi="Verdana"/>
          <w:b/>
          <w:i/>
          <w:spacing w:val="-4"/>
          <w:sz w:val="20"/>
        </w:rPr>
        <w:t>de riesgo</w:t>
      </w:r>
      <w:r w:rsidR="00D517F5" w:rsidRPr="005A17C2">
        <w:rPr>
          <w:rFonts w:ascii="Verdana" w:hAnsi="Verdana"/>
          <w:b/>
          <w:i/>
          <w:spacing w:val="-4"/>
          <w:sz w:val="20"/>
        </w:rPr>
        <w:t xml:space="preserve"> de l</w:t>
      </w:r>
      <w:r w:rsidR="008635D5" w:rsidRPr="005A17C2">
        <w:rPr>
          <w:rFonts w:ascii="Verdana" w:hAnsi="Verdana"/>
          <w:b/>
          <w:i/>
          <w:spacing w:val="-4"/>
          <w:sz w:val="20"/>
        </w:rPr>
        <w:t>o</w:t>
      </w:r>
      <w:r w:rsidR="00D517F5" w:rsidRPr="005A17C2">
        <w:rPr>
          <w:rFonts w:ascii="Verdana" w:hAnsi="Verdana"/>
          <w:b/>
          <w:i/>
          <w:spacing w:val="-4"/>
          <w:sz w:val="20"/>
        </w:rPr>
        <w:t>s beneficiari</w:t>
      </w:r>
      <w:r w:rsidR="008635D5" w:rsidRPr="005A17C2">
        <w:rPr>
          <w:rFonts w:ascii="Verdana" w:hAnsi="Verdana"/>
          <w:b/>
          <w:i/>
          <w:spacing w:val="-4"/>
          <w:sz w:val="20"/>
        </w:rPr>
        <w:t>o</w:t>
      </w:r>
      <w:r w:rsidR="00D517F5" w:rsidRPr="005A17C2">
        <w:rPr>
          <w:rFonts w:ascii="Verdana" w:hAnsi="Verdana"/>
          <w:b/>
          <w:i/>
          <w:spacing w:val="-4"/>
          <w:sz w:val="20"/>
        </w:rPr>
        <w:t>s</w:t>
      </w:r>
    </w:p>
    <w:p w14:paraId="6E0C25EE" w14:textId="77777777" w:rsidR="00A26104" w:rsidRPr="005A17C2" w:rsidRDefault="00A26104" w:rsidP="00BB145E">
      <w:pPr>
        <w:ind w:left="720" w:right="22"/>
        <w:jc w:val="both"/>
        <w:rPr>
          <w:rFonts w:ascii="Verdana" w:hAnsi="Verdana"/>
          <w:b/>
          <w:i/>
          <w:spacing w:val="-4"/>
          <w:sz w:val="20"/>
        </w:rPr>
      </w:pPr>
    </w:p>
    <w:p w14:paraId="63181F8F" w14:textId="716BFF7A" w:rsidR="00A26104" w:rsidRPr="005A17C2" w:rsidRDefault="008358C2" w:rsidP="00BB145E">
      <w:pPr>
        <w:ind w:left="720" w:right="22" w:firstLine="720"/>
        <w:jc w:val="both"/>
        <w:rPr>
          <w:rFonts w:ascii="Verdana" w:hAnsi="Verdana"/>
          <w:b/>
          <w:spacing w:val="-4"/>
          <w:sz w:val="20"/>
        </w:rPr>
      </w:pPr>
      <w:r w:rsidRPr="005A17C2">
        <w:rPr>
          <w:rFonts w:ascii="Verdana" w:hAnsi="Verdana"/>
          <w:b/>
          <w:spacing w:val="-4"/>
          <w:sz w:val="20"/>
        </w:rPr>
        <w:t xml:space="preserve">B.1) </w:t>
      </w:r>
      <w:r w:rsidR="00613192" w:rsidRPr="005A17C2">
        <w:rPr>
          <w:rFonts w:ascii="Verdana" w:hAnsi="Verdana"/>
          <w:b/>
          <w:spacing w:val="-4"/>
          <w:sz w:val="20"/>
        </w:rPr>
        <w:t>Alegatos e información remitida por las partes y la Comisión</w:t>
      </w:r>
    </w:p>
    <w:p w14:paraId="2F7F93C8" w14:textId="77777777" w:rsidR="003C759C" w:rsidRPr="005A17C2" w:rsidRDefault="003C759C" w:rsidP="00BB145E">
      <w:pPr>
        <w:pStyle w:val="BodyText2"/>
        <w:spacing w:after="0" w:line="220" w:lineRule="atLeast"/>
        <w:jc w:val="both"/>
        <w:rPr>
          <w:rFonts w:ascii="Verdana" w:hAnsi="Verdana"/>
          <w:spacing w:val="-4"/>
          <w:sz w:val="20"/>
        </w:rPr>
      </w:pPr>
    </w:p>
    <w:p w14:paraId="4C552989" w14:textId="05A08F75" w:rsidR="00011A4F" w:rsidRPr="005A17C2" w:rsidRDefault="003C759C" w:rsidP="00BB145E">
      <w:pPr>
        <w:pStyle w:val="BodyText2"/>
        <w:numPr>
          <w:ilvl w:val="0"/>
          <w:numId w:val="22"/>
        </w:numPr>
        <w:spacing w:after="0" w:line="240" w:lineRule="auto"/>
        <w:jc w:val="both"/>
        <w:rPr>
          <w:rFonts w:ascii="Verdana" w:hAnsi="Verdana"/>
          <w:b/>
          <w:spacing w:val="-4"/>
          <w:sz w:val="20"/>
          <w:lang w:val="es-CR"/>
        </w:rPr>
      </w:pPr>
      <w:bookmarkStart w:id="20" w:name="_Ref308996973"/>
      <w:r w:rsidRPr="005A17C2">
        <w:rPr>
          <w:rFonts w:ascii="Verdana" w:hAnsi="Verdana"/>
          <w:spacing w:val="-4"/>
          <w:sz w:val="20"/>
        </w:rPr>
        <w:t>D</w:t>
      </w:r>
      <w:r w:rsidR="00863BBA" w:rsidRPr="005A17C2">
        <w:rPr>
          <w:rFonts w:ascii="Verdana" w:hAnsi="Verdana"/>
          <w:spacing w:val="-4"/>
          <w:sz w:val="20"/>
        </w:rPr>
        <w:t>esde la última R</w:t>
      </w:r>
      <w:r w:rsidRPr="005A17C2">
        <w:rPr>
          <w:rFonts w:ascii="Verdana" w:hAnsi="Verdana"/>
          <w:spacing w:val="-4"/>
          <w:sz w:val="20"/>
        </w:rPr>
        <w:t xml:space="preserve">esolución, los </w:t>
      </w:r>
      <w:r w:rsidRPr="005A17C2">
        <w:rPr>
          <w:rFonts w:ascii="Verdana" w:hAnsi="Verdana"/>
          <w:b/>
          <w:i/>
          <w:spacing w:val="-4"/>
          <w:sz w:val="20"/>
        </w:rPr>
        <w:t>representantes</w:t>
      </w:r>
      <w:r w:rsidRPr="005A17C2">
        <w:rPr>
          <w:rFonts w:ascii="Verdana" w:hAnsi="Verdana"/>
          <w:spacing w:val="-4"/>
          <w:sz w:val="20"/>
        </w:rPr>
        <w:t xml:space="preserve"> </w:t>
      </w:r>
      <w:r w:rsidR="00011A4F" w:rsidRPr="005A17C2">
        <w:rPr>
          <w:rFonts w:ascii="Verdana" w:hAnsi="Verdana"/>
          <w:spacing w:val="-4"/>
          <w:sz w:val="20"/>
        </w:rPr>
        <w:t>han puesto e</w:t>
      </w:r>
      <w:r w:rsidR="0001621B">
        <w:rPr>
          <w:rFonts w:ascii="Verdana" w:hAnsi="Verdana"/>
          <w:spacing w:val="-4"/>
          <w:sz w:val="20"/>
        </w:rPr>
        <w:t>n conocimiento de este Tribunal</w:t>
      </w:r>
      <w:r w:rsidR="00011A4F" w:rsidRPr="005A17C2">
        <w:rPr>
          <w:rFonts w:ascii="Verdana" w:hAnsi="Verdana"/>
          <w:spacing w:val="-4"/>
          <w:sz w:val="20"/>
        </w:rPr>
        <w:t xml:space="preserve"> los </w:t>
      </w:r>
      <w:r w:rsidR="00560CE6" w:rsidRPr="005A17C2">
        <w:rPr>
          <w:rFonts w:ascii="Verdana" w:hAnsi="Verdana"/>
          <w:spacing w:val="-4"/>
          <w:sz w:val="20"/>
        </w:rPr>
        <w:t xml:space="preserve">siguientes </w:t>
      </w:r>
      <w:r w:rsidR="00011A4F" w:rsidRPr="005A17C2">
        <w:rPr>
          <w:rFonts w:ascii="Verdana" w:hAnsi="Verdana"/>
          <w:spacing w:val="-4"/>
          <w:sz w:val="20"/>
        </w:rPr>
        <w:t>presuntos nuevos hechos de amenaza y riesgo:</w:t>
      </w:r>
      <w:bookmarkEnd w:id="20"/>
    </w:p>
    <w:p w14:paraId="7A274A5A" w14:textId="77777777" w:rsidR="00011A4F" w:rsidRPr="005A17C2" w:rsidRDefault="00011A4F" w:rsidP="00BB145E">
      <w:pPr>
        <w:pStyle w:val="BodyText2"/>
        <w:spacing w:after="0" w:line="240" w:lineRule="auto"/>
        <w:jc w:val="both"/>
        <w:rPr>
          <w:rFonts w:ascii="Verdana" w:hAnsi="Verdana"/>
          <w:b/>
          <w:spacing w:val="-4"/>
          <w:sz w:val="20"/>
          <w:lang w:val="es-CR"/>
        </w:rPr>
      </w:pPr>
    </w:p>
    <w:p w14:paraId="505C59E0" w14:textId="0650CA85" w:rsidR="00011A4F" w:rsidRPr="005A17C2" w:rsidRDefault="00B67B36" w:rsidP="00BB145E">
      <w:pPr>
        <w:pStyle w:val="BodyText2"/>
        <w:numPr>
          <w:ilvl w:val="0"/>
          <w:numId w:val="49"/>
        </w:numPr>
        <w:spacing w:after="0" w:line="240" w:lineRule="auto"/>
        <w:jc w:val="both"/>
        <w:rPr>
          <w:rFonts w:ascii="Verdana" w:hAnsi="Verdana"/>
          <w:b/>
          <w:spacing w:val="-4"/>
          <w:sz w:val="20"/>
          <w:lang w:val="es-CR"/>
        </w:rPr>
      </w:pPr>
      <w:r w:rsidRPr="005A17C2">
        <w:rPr>
          <w:rFonts w:ascii="Verdana" w:hAnsi="Verdana"/>
          <w:spacing w:val="-4"/>
          <w:sz w:val="20"/>
          <w:lang w:val="es-CR"/>
        </w:rPr>
        <w:t>E</w:t>
      </w:r>
      <w:r>
        <w:rPr>
          <w:rFonts w:ascii="Verdana" w:hAnsi="Verdana"/>
          <w:spacing w:val="-4"/>
          <w:sz w:val="20"/>
          <w:lang w:val="es-ES"/>
        </w:rPr>
        <w:t>l 13 de</w:t>
      </w:r>
      <w:r w:rsidRPr="005A17C2">
        <w:rPr>
          <w:rFonts w:ascii="Verdana" w:hAnsi="Verdana"/>
          <w:spacing w:val="-4"/>
          <w:sz w:val="20"/>
          <w:lang w:val="es-ES"/>
        </w:rPr>
        <w:t xml:space="preserve"> </w:t>
      </w:r>
      <w:r w:rsidR="001A576B" w:rsidRPr="005A17C2">
        <w:rPr>
          <w:rFonts w:ascii="Verdana" w:hAnsi="Verdana"/>
          <w:spacing w:val="-4"/>
          <w:sz w:val="20"/>
          <w:lang w:val="es-ES"/>
        </w:rPr>
        <w:t xml:space="preserve">febrero de 2012 “un sujeto </w:t>
      </w:r>
      <w:r w:rsidR="00292EBC">
        <w:rPr>
          <w:rFonts w:ascii="Verdana" w:hAnsi="Verdana"/>
          <w:spacing w:val="-4"/>
          <w:sz w:val="20"/>
          <w:lang w:val="es-ES"/>
        </w:rPr>
        <w:t>[habría ingresado]</w:t>
      </w:r>
      <w:r w:rsidR="00292EBC" w:rsidRPr="005A17C2">
        <w:rPr>
          <w:rFonts w:ascii="Verdana" w:hAnsi="Verdana"/>
          <w:spacing w:val="-4"/>
          <w:sz w:val="20"/>
          <w:lang w:val="es-ES"/>
        </w:rPr>
        <w:t xml:space="preserve"> </w:t>
      </w:r>
      <w:r w:rsidR="001A576B" w:rsidRPr="005A17C2">
        <w:rPr>
          <w:rFonts w:ascii="Verdana" w:hAnsi="Verdana"/>
          <w:spacing w:val="-4"/>
          <w:sz w:val="20"/>
          <w:lang w:val="es-ES"/>
        </w:rPr>
        <w:t xml:space="preserve">a las oficinas de </w:t>
      </w:r>
      <w:proofErr w:type="spellStart"/>
      <w:r w:rsidR="001A576B" w:rsidRPr="005A17C2">
        <w:rPr>
          <w:rFonts w:ascii="Verdana" w:hAnsi="Verdana"/>
          <w:spacing w:val="-4"/>
          <w:sz w:val="20"/>
          <w:lang w:val="es-ES"/>
        </w:rPr>
        <w:t>Tlachinollan</w:t>
      </w:r>
      <w:proofErr w:type="spellEnd"/>
      <w:r w:rsidR="001A576B" w:rsidRPr="005A17C2">
        <w:rPr>
          <w:rFonts w:ascii="Verdana" w:hAnsi="Verdana"/>
          <w:spacing w:val="-4"/>
          <w:sz w:val="20"/>
          <w:lang w:val="es-ES"/>
        </w:rPr>
        <w:t xml:space="preserve"> ubicada en Ayutla de los Libres y de manera agresiva </w:t>
      </w:r>
      <w:r w:rsidR="00292EBC">
        <w:rPr>
          <w:rFonts w:ascii="Verdana" w:hAnsi="Verdana"/>
          <w:spacing w:val="-4"/>
          <w:sz w:val="20"/>
          <w:lang w:val="es-ES"/>
        </w:rPr>
        <w:t xml:space="preserve">[habría </w:t>
      </w:r>
      <w:proofErr w:type="spellStart"/>
      <w:r w:rsidR="001A576B" w:rsidRPr="005A17C2">
        <w:rPr>
          <w:rFonts w:ascii="Verdana" w:hAnsi="Verdana"/>
          <w:spacing w:val="-4"/>
          <w:sz w:val="20"/>
          <w:lang w:val="es-ES"/>
        </w:rPr>
        <w:t>requiri</w:t>
      </w:r>
      <w:r w:rsidR="00292EBC">
        <w:rPr>
          <w:rFonts w:ascii="Verdana" w:hAnsi="Verdana"/>
          <w:spacing w:val="-4"/>
          <w:sz w:val="20"/>
          <w:lang w:val="es-ES"/>
        </w:rPr>
        <w:t>do</w:t>
      </w:r>
      <w:proofErr w:type="spellEnd"/>
      <w:r w:rsidR="00292EBC">
        <w:rPr>
          <w:rFonts w:ascii="Verdana" w:hAnsi="Verdana"/>
          <w:spacing w:val="-4"/>
          <w:sz w:val="20"/>
          <w:lang w:val="es-ES"/>
        </w:rPr>
        <w:t>]</w:t>
      </w:r>
      <w:r w:rsidR="001A576B" w:rsidRPr="005A17C2">
        <w:rPr>
          <w:rFonts w:ascii="Verdana" w:hAnsi="Verdana"/>
          <w:spacing w:val="-4"/>
          <w:sz w:val="20"/>
          <w:lang w:val="es-ES"/>
        </w:rPr>
        <w:t xml:space="preserve"> información y </w:t>
      </w:r>
      <w:proofErr w:type="spellStart"/>
      <w:r w:rsidR="001A576B" w:rsidRPr="005A17C2">
        <w:rPr>
          <w:rFonts w:ascii="Verdana" w:hAnsi="Verdana"/>
          <w:spacing w:val="-4"/>
          <w:sz w:val="20"/>
          <w:lang w:val="es-ES"/>
        </w:rPr>
        <w:t>recrimin</w:t>
      </w:r>
      <w:proofErr w:type="spellEnd"/>
      <w:r w:rsidR="009E0592">
        <w:rPr>
          <w:rFonts w:ascii="Verdana" w:hAnsi="Verdana"/>
          <w:spacing w:val="-4"/>
          <w:sz w:val="20"/>
          <w:lang w:val="es-ES"/>
        </w:rPr>
        <w:t>[</w:t>
      </w:r>
      <w:proofErr w:type="spellStart"/>
      <w:r w:rsidR="009E0592">
        <w:rPr>
          <w:rFonts w:ascii="Verdana" w:hAnsi="Verdana"/>
          <w:spacing w:val="-4"/>
          <w:sz w:val="20"/>
          <w:lang w:val="es-ES"/>
        </w:rPr>
        <w:t>ado</w:t>
      </w:r>
      <w:proofErr w:type="spellEnd"/>
      <w:r w:rsidR="009E0592">
        <w:rPr>
          <w:rFonts w:ascii="Verdana" w:hAnsi="Verdana"/>
          <w:spacing w:val="-4"/>
          <w:sz w:val="20"/>
          <w:lang w:val="es-ES"/>
        </w:rPr>
        <w:t>]</w:t>
      </w:r>
      <w:r w:rsidR="001A576B" w:rsidRPr="005A17C2">
        <w:rPr>
          <w:rFonts w:ascii="Verdana" w:hAnsi="Verdana"/>
          <w:spacing w:val="-4"/>
          <w:sz w:val="20"/>
          <w:lang w:val="es-ES"/>
        </w:rPr>
        <w:t xml:space="preserve"> la labor de defensa jurídica que los abogados</w:t>
      </w:r>
      <w:r>
        <w:rPr>
          <w:rFonts w:ascii="Verdana" w:hAnsi="Verdana"/>
          <w:spacing w:val="-4"/>
          <w:sz w:val="20"/>
          <w:lang w:val="es-ES"/>
        </w:rPr>
        <w:t xml:space="preserve"> […]</w:t>
      </w:r>
      <w:r w:rsidR="001A576B" w:rsidRPr="005A17C2">
        <w:rPr>
          <w:rFonts w:ascii="Verdana" w:hAnsi="Verdana"/>
          <w:spacing w:val="-4"/>
          <w:sz w:val="20"/>
          <w:lang w:val="es-ES"/>
        </w:rPr>
        <w:t xml:space="preserve"> realizan”; </w:t>
      </w:r>
      <w:r w:rsidR="00560CE6" w:rsidRPr="005A17C2">
        <w:rPr>
          <w:rFonts w:ascii="Verdana" w:hAnsi="Verdana"/>
          <w:spacing w:val="-4"/>
          <w:sz w:val="20"/>
          <w:lang w:val="es-CR"/>
        </w:rPr>
        <w:t xml:space="preserve"> </w:t>
      </w:r>
    </w:p>
    <w:p w14:paraId="34B7C883" w14:textId="77777777" w:rsidR="00011A4F" w:rsidRPr="005A17C2" w:rsidRDefault="00011A4F" w:rsidP="00BB145E">
      <w:pPr>
        <w:pStyle w:val="BodyText2"/>
        <w:spacing w:after="0" w:line="240" w:lineRule="auto"/>
        <w:jc w:val="both"/>
        <w:rPr>
          <w:rFonts w:ascii="Verdana" w:hAnsi="Verdana"/>
          <w:b/>
          <w:spacing w:val="-4"/>
          <w:sz w:val="20"/>
          <w:lang w:val="es-CR"/>
        </w:rPr>
      </w:pPr>
    </w:p>
    <w:p w14:paraId="5D8434DB" w14:textId="64E7F215" w:rsidR="002D13EF" w:rsidRPr="005A17C2" w:rsidRDefault="002D13EF" w:rsidP="00BB145E">
      <w:pPr>
        <w:pStyle w:val="BodyText2"/>
        <w:numPr>
          <w:ilvl w:val="0"/>
          <w:numId w:val="42"/>
        </w:numPr>
        <w:spacing w:after="0" w:line="240" w:lineRule="auto"/>
        <w:ind w:left="720" w:hanging="360"/>
        <w:jc w:val="both"/>
        <w:rPr>
          <w:rFonts w:ascii="Verdana" w:hAnsi="Verdana"/>
          <w:b/>
          <w:spacing w:val="-4"/>
          <w:sz w:val="20"/>
          <w:lang w:val="es-CR"/>
        </w:rPr>
      </w:pPr>
      <w:r w:rsidRPr="005A17C2">
        <w:rPr>
          <w:rFonts w:ascii="Verdana" w:hAnsi="Verdana"/>
          <w:spacing w:val="-4"/>
          <w:sz w:val="20"/>
          <w:lang w:val="es-CR"/>
        </w:rPr>
        <w:t xml:space="preserve">El 4 de mayo </w:t>
      </w:r>
      <w:r w:rsidR="0034410E" w:rsidRPr="005A17C2">
        <w:rPr>
          <w:rFonts w:ascii="Verdana" w:hAnsi="Verdana"/>
          <w:spacing w:val="-4"/>
          <w:sz w:val="20"/>
          <w:lang w:val="es-CR"/>
        </w:rPr>
        <w:t>d</w:t>
      </w:r>
      <w:r w:rsidRPr="005A17C2">
        <w:rPr>
          <w:rFonts w:ascii="Verdana" w:hAnsi="Verdana"/>
          <w:spacing w:val="-4"/>
          <w:sz w:val="20"/>
          <w:lang w:val="es-CR"/>
        </w:rPr>
        <w:t xml:space="preserve">e 2012 el beneficiario </w:t>
      </w:r>
      <w:proofErr w:type="spellStart"/>
      <w:r w:rsidRPr="005A17C2">
        <w:rPr>
          <w:rFonts w:ascii="Verdana" w:hAnsi="Verdana"/>
          <w:spacing w:val="-4"/>
          <w:sz w:val="20"/>
          <w:lang w:val="es-CR"/>
        </w:rPr>
        <w:t>Vidulfo</w:t>
      </w:r>
      <w:proofErr w:type="spellEnd"/>
      <w:r w:rsidRPr="005A17C2">
        <w:rPr>
          <w:rFonts w:ascii="Verdana" w:hAnsi="Verdana"/>
          <w:spacing w:val="-4"/>
          <w:sz w:val="20"/>
          <w:lang w:val="es-CR"/>
        </w:rPr>
        <w:t xml:space="preserve"> Rosales Sierra, Coordinador del área jurídica de </w:t>
      </w:r>
      <w:proofErr w:type="spellStart"/>
      <w:r w:rsidRPr="005A17C2">
        <w:rPr>
          <w:rFonts w:ascii="Verdana" w:hAnsi="Verdana"/>
          <w:spacing w:val="-4"/>
          <w:sz w:val="20"/>
          <w:lang w:val="es-CR"/>
        </w:rPr>
        <w:t>Tlachinollan</w:t>
      </w:r>
      <w:proofErr w:type="spellEnd"/>
      <w:r w:rsidRPr="005A17C2">
        <w:rPr>
          <w:rFonts w:ascii="Verdana" w:hAnsi="Verdana"/>
          <w:spacing w:val="-4"/>
          <w:sz w:val="20"/>
          <w:lang w:val="es-CR"/>
        </w:rPr>
        <w:t xml:space="preserve"> habría recibido una amenaza anónima en la que se “</w:t>
      </w:r>
      <w:r w:rsidRPr="005A17C2">
        <w:rPr>
          <w:rFonts w:ascii="Verdana" w:hAnsi="Verdana"/>
          <w:spacing w:val="-4"/>
          <w:sz w:val="20"/>
          <w:lang w:val="es-ES"/>
        </w:rPr>
        <w:t xml:space="preserve">hacía alusión a la defensa de </w:t>
      </w:r>
      <w:r w:rsidR="0034410E" w:rsidRPr="005A17C2">
        <w:rPr>
          <w:rFonts w:ascii="Verdana" w:hAnsi="Verdana"/>
          <w:spacing w:val="-4"/>
          <w:sz w:val="20"/>
          <w:lang w:val="es-ES"/>
        </w:rPr>
        <w:t>[…]</w:t>
      </w:r>
      <w:r w:rsidR="00425628" w:rsidRPr="005A17C2">
        <w:rPr>
          <w:rFonts w:ascii="Verdana" w:hAnsi="Verdana"/>
          <w:spacing w:val="-4"/>
          <w:sz w:val="20"/>
          <w:lang w:val="es-ES"/>
        </w:rPr>
        <w:t xml:space="preserve"> </w:t>
      </w:r>
      <w:r w:rsidRPr="005A17C2">
        <w:rPr>
          <w:rFonts w:ascii="Verdana" w:hAnsi="Verdana"/>
          <w:spacing w:val="-4"/>
          <w:sz w:val="20"/>
          <w:lang w:val="es-ES"/>
        </w:rPr>
        <w:t xml:space="preserve">Inés Fernández”, </w:t>
      </w:r>
      <w:r w:rsidR="00292EBC">
        <w:rPr>
          <w:rFonts w:ascii="Verdana" w:hAnsi="Verdana"/>
          <w:spacing w:val="-4"/>
          <w:sz w:val="20"/>
          <w:lang w:val="es-ES"/>
        </w:rPr>
        <w:t>la</w:t>
      </w:r>
      <w:r w:rsidR="00292EBC" w:rsidRPr="005A17C2">
        <w:rPr>
          <w:rFonts w:ascii="Verdana" w:hAnsi="Verdana"/>
          <w:spacing w:val="-4"/>
          <w:sz w:val="20"/>
          <w:lang w:val="es-ES"/>
        </w:rPr>
        <w:t xml:space="preserve"> </w:t>
      </w:r>
      <w:r w:rsidRPr="005A17C2">
        <w:rPr>
          <w:rFonts w:ascii="Verdana" w:hAnsi="Verdana"/>
          <w:spacing w:val="-4"/>
          <w:sz w:val="20"/>
          <w:lang w:val="es-ES"/>
        </w:rPr>
        <w:t>cual “</w:t>
      </w:r>
      <w:proofErr w:type="spellStart"/>
      <w:r w:rsidRPr="005A17C2">
        <w:rPr>
          <w:rFonts w:ascii="Verdana" w:hAnsi="Verdana"/>
          <w:spacing w:val="-4"/>
          <w:sz w:val="20"/>
          <w:lang w:val="es-ES"/>
        </w:rPr>
        <w:t>provoc</w:t>
      </w:r>
      <w:proofErr w:type="spellEnd"/>
      <w:r w:rsidRPr="005A17C2">
        <w:rPr>
          <w:rFonts w:ascii="Verdana" w:hAnsi="Verdana"/>
          <w:spacing w:val="-4"/>
          <w:sz w:val="20"/>
          <w:lang w:val="es-ES"/>
        </w:rPr>
        <w:t>[</w:t>
      </w:r>
      <w:proofErr w:type="spellStart"/>
      <w:r w:rsidRPr="005A17C2">
        <w:rPr>
          <w:rFonts w:ascii="Verdana" w:hAnsi="Verdana"/>
          <w:spacing w:val="-4"/>
          <w:sz w:val="20"/>
          <w:lang w:val="es-ES"/>
        </w:rPr>
        <w:t>ó</w:t>
      </w:r>
      <w:proofErr w:type="spellEnd"/>
      <w:r w:rsidRPr="005A17C2">
        <w:rPr>
          <w:rFonts w:ascii="Verdana" w:hAnsi="Verdana"/>
          <w:spacing w:val="-4"/>
          <w:sz w:val="20"/>
          <w:lang w:val="es-ES"/>
        </w:rPr>
        <w:t xml:space="preserve">] </w:t>
      </w:r>
      <w:r w:rsidRPr="005A17C2">
        <w:rPr>
          <w:rFonts w:ascii="Verdana" w:hAnsi="Verdana"/>
          <w:spacing w:val="-4"/>
          <w:sz w:val="20"/>
        </w:rPr>
        <w:t>su salida del país como medida de seguridad hacia su persona”</w:t>
      </w:r>
      <w:r w:rsidRPr="005A17C2">
        <w:rPr>
          <w:rStyle w:val="FootnoteReference"/>
          <w:spacing w:val="-4"/>
        </w:rPr>
        <w:footnoteReference w:id="10"/>
      </w:r>
      <w:r w:rsidRPr="005A17C2">
        <w:rPr>
          <w:rFonts w:ascii="Verdana" w:hAnsi="Verdana"/>
          <w:spacing w:val="-4"/>
          <w:sz w:val="20"/>
        </w:rPr>
        <w:t xml:space="preserve">; </w:t>
      </w:r>
    </w:p>
    <w:p w14:paraId="1520AF69" w14:textId="77777777" w:rsidR="002D13EF" w:rsidRPr="005A17C2" w:rsidRDefault="002D13EF" w:rsidP="00BB145E">
      <w:pPr>
        <w:pStyle w:val="BodyText2"/>
        <w:spacing w:after="0" w:line="240" w:lineRule="auto"/>
        <w:ind w:left="720"/>
        <w:jc w:val="both"/>
        <w:rPr>
          <w:rFonts w:ascii="Verdana" w:hAnsi="Verdana"/>
          <w:b/>
          <w:spacing w:val="-4"/>
          <w:sz w:val="20"/>
          <w:lang w:val="es-CR"/>
        </w:rPr>
      </w:pPr>
    </w:p>
    <w:p w14:paraId="4E9B4D53" w14:textId="655E4D7C" w:rsidR="001A576B" w:rsidRPr="00292EBC" w:rsidRDefault="001A576B" w:rsidP="00BB145E">
      <w:pPr>
        <w:pStyle w:val="BodyText2"/>
        <w:numPr>
          <w:ilvl w:val="0"/>
          <w:numId w:val="42"/>
        </w:numPr>
        <w:spacing w:after="0" w:line="240" w:lineRule="auto"/>
        <w:ind w:left="720" w:hanging="360"/>
        <w:jc w:val="both"/>
        <w:rPr>
          <w:rFonts w:ascii="Verdana" w:hAnsi="Verdana"/>
          <w:b/>
          <w:spacing w:val="-4"/>
          <w:sz w:val="20"/>
          <w:lang w:val="es-CR"/>
        </w:rPr>
      </w:pPr>
      <w:r w:rsidRPr="005A17C2">
        <w:rPr>
          <w:rFonts w:ascii="Verdana" w:hAnsi="Verdana"/>
          <w:spacing w:val="-4"/>
          <w:sz w:val="20"/>
          <w:lang w:val="es-CR"/>
        </w:rPr>
        <w:t xml:space="preserve">El 11 de febrero de 2013 dos de los beneficiarios, Andrea Eugenio Manuel y Crispín </w:t>
      </w:r>
      <w:r w:rsidRPr="00292EBC">
        <w:rPr>
          <w:rFonts w:ascii="Verdana" w:hAnsi="Verdana"/>
          <w:spacing w:val="-4"/>
          <w:sz w:val="20"/>
          <w:lang w:val="es-CR"/>
        </w:rPr>
        <w:t xml:space="preserve">Santiago González, </w:t>
      </w:r>
      <w:r w:rsidR="002D13EF" w:rsidRPr="00292EBC">
        <w:rPr>
          <w:rFonts w:ascii="Verdana" w:hAnsi="Verdana"/>
          <w:spacing w:val="-4"/>
          <w:sz w:val="20"/>
          <w:lang w:val="es-CR"/>
        </w:rPr>
        <w:t xml:space="preserve">habrían </w:t>
      </w:r>
      <w:r w:rsidRPr="00292EBC">
        <w:rPr>
          <w:rFonts w:ascii="Verdana" w:hAnsi="Verdana"/>
          <w:spacing w:val="-4"/>
          <w:sz w:val="20"/>
          <w:lang w:val="es-CR"/>
        </w:rPr>
        <w:t>encontra</w:t>
      </w:r>
      <w:r w:rsidR="002D13EF" w:rsidRPr="00292EBC">
        <w:rPr>
          <w:rFonts w:ascii="Verdana" w:hAnsi="Verdana"/>
          <w:spacing w:val="-4"/>
          <w:sz w:val="20"/>
          <w:lang w:val="es-CR"/>
        </w:rPr>
        <w:t>do</w:t>
      </w:r>
      <w:r w:rsidRPr="00292EBC">
        <w:rPr>
          <w:rFonts w:ascii="Verdana" w:hAnsi="Verdana"/>
          <w:spacing w:val="-4"/>
          <w:sz w:val="20"/>
          <w:lang w:val="es-CR"/>
        </w:rPr>
        <w:t xml:space="preserve"> “un papel doblado, que contenía una amenaza por escrito”</w:t>
      </w:r>
      <w:r w:rsidRPr="00292EBC">
        <w:rPr>
          <w:rStyle w:val="FootnoteReference"/>
          <w:spacing w:val="-4"/>
          <w:sz w:val="20"/>
          <w:lang w:val="es-CR"/>
        </w:rPr>
        <w:footnoteReference w:id="11"/>
      </w:r>
      <w:r w:rsidRPr="00292EBC">
        <w:rPr>
          <w:rFonts w:ascii="Verdana" w:hAnsi="Verdana"/>
          <w:spacing w:val="-4"/>
          <w:sz w:val="20"/>
          <w:lang w:val="es-CR"/>
        </w:rPr>
        <w:t xml:space="preserve"> al salir de las oficinas de OPIM.</w:t>
      </w:r>
    </w:p>
    <w:p w14:paraId="36F250C7" w14:textId="77777777" w:rsidR="001A576B" w:rsidRPr="005A17C2" w:rsidRDefault="001A576B" w:rsidP="00BB145E">
      <w:pPr>
        <w:pStyle w:val="BodyText2"/>
        <w:spacing w:after="0" w:line="240" w:lineRule="auto"/>
        <w:jc w:val="both"/>
        <w:rPr>
          <w:rFonts w:ascii="Verdana" w:hAnsi="Verdana"/>
          <w:b/>
          <w:spacing w:val="-4"/>
          <w:sz w:val="20"/>
          <w:lang w:val="es-CR"/>
        </w:rPr>
      </w:pPr>
    </w:p>
    <w:p w14:paraId="0911C427" w14:textId="56C20977" w:rsidR="001A576B" w:rsidRPr="005A17C2" w:rsidRDefault="001A576B" w:rsidP="00BB145E">
      <w:pPr>
        <w:pStyle w:val="BodyText2"/>
        <w:numPr>
          <w:ilvl w:val="0"/>
          <w:numId w:val="42"/>
        </w:numPr>
        <w:spacing w:after="0" w:line="240" w:lineRule="auto"/>
        <w:ind w:left="720" w:hanging="360"/>
        <w:jc w:val="both"/>
        <w:rPr>
          <w:rFonts w:ascii="Verdana" w:hAnsi="Verdana"/>
          <w:b/>
          <w:spacing w:val="-4"/>
          <w:sz w:val="20"/>
          <w:lang w:val="es-CR"/>
        </w:rPr>
      </w:pPr>
      <w:r w:rsidRPr="005A17C2">
        <w:rPr>
          <w:rFonts w:ascii="Verdana" w:hAnsi="Verdana"/>
          <w:spacing w:val="-4"/>
          <w:sz w:val="20"/>
          <w:lang w:val="es-CR"/>
        </w:rPr>
        <w:t xml:space="preserve">Ese mismo día </w:t>
      </w:r>
      <w:proofErr w:type="spellStart"/>
      <w:r w:rsidRPr="005A17C2">
        <w:rPr>
          <w:rFonts w:ascii="Verdana" w:hAnsi="Verdana"/>
          <w:spacing w:val="-4"/>
          <w:sz w:val="20"/>
          <w:lang w:val="es-CR"/>
        </w:rPr>
        <w:t>Obtilia</w:t>
      </w:r>
      <w:proofErr w:type="spellEnd"/>
      <w:r w:rsidRPr="005A17C2">
        <w:rPr>
          <w:rFonts w:ascii="Verdana" w:hAnsi="Verdana"/>
          <w:spacing w:val="-4"/>
          <w:sz w:val="20"/>
          <w:lang w:val="es-CR"/>
        </w:rPr>
        <w:t xml:space="preserve"> Eugenio Manuel </w:t>
      </w:r>
      <w:r w:rsidR="002D13EF" w:rsidRPr="005A17C2">
        <w:rPr>
          <w:rFonts w:ascii="Verdana" w:hAnsi="Verdana"/>
          <w:spacing w:val="-4"/>
          <w:sz w:val="20"/>
          <w:lang w:val="es-CR"/>
        </w:rPr>
        <w:t xml:space="preserve">habría encontrado </w:t>
      </w:r>
      <w:r w:rsidRPr="005A17C2">
        <w:rPr>
          <w:rFonts w:ascii="Verdana" w:hAnsi="Verdana"/>
          <w:spacing w:val="-4"/>
          <w:sz w:val="20"/>
          <w:lang w:val="es-CR"/>
        </w:rPr>
        <w:t xml:space="preserve">un texto </w:t>
      </w:r>
      <w:r w:rsidR="002D13EF" w:rsidRPr="005A17C2">
        <w:rPr>
          <w:rFonts w:ascii="Verdana" w:hAnsi="Verdana"/>
          <w:spacing w:val="-4"/>
          <w:sz w:val="20"/>
          <w:lang w:val="es-CR"/>
        </w:rPr>
        <w:t xml:space="preserve">anónimo similar en el que se </w:t>
      </w:r>
      <w:r w:rsidRPr="005A17C2">
        <w:rPr>
          <w:rFonts w:ascii="Verdana" w:hAnsi="Verdana"/>
          <w:spacing w:val="-4"/>
          <w:sz w:val="20"/>
          <w:lang w:val="es-CR"/>
        </w:rPr>
        <w:t xml:space="preserve">“hace mención explícita del acompañamiento </w:t>
      </w:r>
      <w:r w:rsidRPr="0022578F">
        <w:rPr>
          <w:rFonts w:ascii="Verdana" w:hAnsi="Verdana"/>
          <w:spacing w:val="-4"/>
          <w:sz w:val="20"/>
          <w:lang w:val="es-CR"/>
        </w:rPr>
        <w:t xml:space="preserve">de la </w:t>
      </w:r>
      <w:r w:rsidRPr="0022578F">
        <w:rPr>
          <w:rFonts w:ascii="Verdana" w:hAnsi="Verdana"/>
          <w:spacing w:val="-4"/>
          <w:sz w:val="20"/>
        </w:rPr>
        <w:t>[señora]</w:t>
      </w:r>
      <w:r w:rsidRPr="0022578F">
        <w:rPr>
          <w:rFonts w:ascii="Verdana" w:hAnsi="Verdana"/>
          <w:spacing w:val="-4"/>
          <w:sz w:val="20"/>
          <w:lang w:val="es-CR"/>
        </w:rPr>
        <w:t xml:space="preserve"> Eugenio Manuel y de sus </w:t>
      </w:r>
      <w:r w:rsidRPr="0022578F">
        <w:rPr>
          <w:rFonts w:ascii="Verdana" w:hAnsi="Verdana"/>
          <w:spacing w:val="-4"/>
          <w:sz w:val="20"/>
          <w:lang w:val="es-CR"/>
        </w:rPr>
        <w:lastRenderedPageBreak/>
        <w:t xml:space="preserve">compañeros y compañeras de la OPIM, a </w:t>
      </w:r>
      <w:r w:rsidRPr="0022578F">
        <w:rPr>
          <w:rFonts w:ascii="Verdana" w:hAnsi="Verdana"/>
          <w:spacing w:val="-4"/>
          <w:sz w:val="20"/>
        </w:rPr>
        <w:t>[</w:t>
      </w:r>
      <w:r w:rsidR="00425628" w:rsidRPr="0022578F">
        <w:rPr>
          <w:rFonts w:ascii="Verdana" w:hAnsi="Verdana"/>
          <w:spacing w:val="-4"/>
          <w:sz w:val="20"/>
        </w:rPr>
        <w:t>Inés</w:t>
      </w:r>
      <w:r w:rsidRPr="0022578F">
        <w:rPr>
          <w:rFonts w:ascii="Verdana" w:hAnsi="Verdana"/>
          <w:spacing w:val="-4"/>
          <w:sz w:val="20"/>
        </w:rPr>
        <w:t>]</w:t>
      </w:r>
      <w:r w:rsidRPr="0022578F">
        <w:rPr>
          <w:rFonts w:ascii="Verdana" w:hAnsi="Verdana"/>
          <w:spacing w:val="-4"/>
          <w:sz w:val="20"/>
          <w:lang w:val="es-CR"/>
        </w:rPr>
        <w:t xml:space="preserve"> Fernández </w:t>
      </w:r>
      <w:r w:rsidR="00425628" w:rsidRPr="0022578F">
        <w:rPr>
          <w:rFonts w:ascii="Verdana" w:hAnsi="Verdana"/>
          <w:spacing w:val="-4"/>
          <w:sz w:val="20"/>
          <w:lang w:val="es-CR"/>
        </w:rPr>
        <w:t xml:space="preserve">[…] </w:t>
      </w:r>
      <w:r w:rsidRPr="0022578F">
        <w:rPr>
          <w:rFonts w:ascii="Verdana" w:hAnsi="Verdana"/>
          <w:spacing w:val="-4"/>
          <w:sz w:val="20"/>
          <w:lang w:val="es-CR"/>
        </w:rPr>
        <w:t>en el proceso de denuncia ante el Sistema Interamericano de Derechos Humanos”</w:t>
      </w:r>
      <w:r w:rsidRPr="0022578F">
        <w:rPr>
          <w:rStyle w:val="FootnoteReference"/>
          <w:spacing w:val="-4"/>
          <w:sz w:val="20"/>
          <w:lang w:val="es-CR"/>
        </w:rPr>
        <w:footnoteReference w:id="12"/>
      </w:r>
      <w:r w:rsidR="00425628" w:rsidRPr="0022578F">
        <w:rPr>
          <w:rFonts w:ascii="Verdana" w:hAnsi="Verdana"/>
          <w:spacing w:val="-4"/>
          <w:sz w:val="20"/>
          <w:lang w:val="es-CR"/>
        </w:rPr>
        <w:t>.</w:t>
      </w:r>
      <w:r w:rsidRPr="0022578F">
        <w:rPr>
          <w:rFonts w:ascii="Verdana" w:hAnsi="Verdana"/>
          <w:spacing w:val="-4"/>
          <w:sz w:val="20"/>
          <w:lang w:val="es-CR"/>
        </w:rPr>
        <w:t xml:space="preserve"> </w:t>
      </w:r>
    </w:p>
    <w:p w14:paraId="44035331" w14:textId="77777777" w:rsidR="001A576B" w:rsidRPr="005A17C2" w:rsidRDefault="001A576B" w:rsidP="00BB145E">
      <w:pPr>
        <w:pStyle w:val="BodyText2"/>
        <w:spacing w:after="0" w:line="240" w:lineRule="auto"/>
        <w:jc w:val="both"/>
        <w:rPr>
          <w:rFonts w:ascii="Verdana" w:hAnsi="Verdana"/>
          <w:b/>
          <w:spacing w:val="-4"/>
          <w:sz w:val="20"/>
          <w:lang w:val="es-CR"/>
        </w:rPr>
      </w:pPr>
    </w:p>
    <w:p w14:paraId="09940BC1" w14:textId="5E8E4892" w:rsidR="00011A4F" w:rsidRPr="0039724D" w:rsidRDefault="001A576B" w:rsidP="00BB145E">
      <w:pPr>
        <w:pStyle w:val="BodyText2"/>
        <w:numPr>
          <w:ilvl w:val="0"/>
          <w:numId w:val="42"/>
        </w:numPr>
        <w:spacing w:after="0" w:line="240" w:lineRule="auto"/>
        <w:ind w:left="720" w:hanging="360"/>
        <w:jc w:val="both"/>
        <w:rPr>
          <w:rFonts w:ascii="Verdana" w:hAnsi="Verdana"/>
          <w:spacing w:val="-4"/>
          <w:sz w:val="20"/>
          <w:lang w:val="es-CR"/>
        </w:rPr>
      </w:pPr>
      <w:r w:rsidRPr="005A17C2">
        <w:rPr>
          <w:rFonts w:ascii="Verdana" w:hAnsi="Verdana"/>
          <w:spacing w:val="-4"/>
          <w:sz w:val="20"/>
          <w:lang w:val="es-CR"/>
        </w:rPr>
        <w:t xml:space="preserve">El 12 de marzo de 2014 los beneficiarios Abel </w:t>
      </w:r>
      <w:r w:rsidR="006944BF" w:rsidRPr="005A17C2">
        <w:rPr>
          <w:rFonts w:ascii="Verdana" w:hAnsi="Verdana"/>
          <w:spacing w:val="-4"/>
          <w:sz w:val="20"/>
          <w:lang w:val="es-CR"/>
        </w:rPr>
        <w:t xml:space="preserve">Barrera, Director de </w:t>
      </w:r>
      <w:proofErr w:type="spellStart"/>
      <w:r w:rsidR="006944BF" w:rsidRPr="005A17C2">
        <w:rPr>
          <w:rFonts w:ascii="Verdana" w:hAnsi="Verdana"/>
          <w:spacing w:val="-4"/>
          <w:sz w:val="20"/>
          <w:lang w:val="es-CR"/>
        </w:rPr>
        <w:t>Tlachinollan</w:t>
      </w:r>
      <w:proofErr w:type="spellEnd"/>
      <w:r w:rsidR="006944BF" w:rsidRPr="005A17C2">
        <w:rPr>
          <w:rFonts w:ascii="Verdana" w:hAnsi="Verdana"/>
          <w:spacing w:val="-4"/>
          <w:sz w:val="20"/>
          <w:lang w:val="es-CR"/>
        </w:rPr>
        <w:t xml:space="preserve"> y Santiago Aguirre, integrante de la misma organización, </w:t>
      </w:r>
      <w:r w:rsidRPr="005A17C2">
        <w:rPr>
          <w:rFonts w:ascii="Verdana" w:hAnsi="Verdana"/>
          <w:spacing w:val="-4"/>
          <w:sz w:val="20"/>
          <w:lang w:val="es-CR"/>
        </w:rPr>
        <w:t xml:space="preserve">sufrieron un </w:t>
      </w:r>
      <w:r w:rsidR="006944BF" w:rsidRPr="005A17C2">
        <w:rPr>
          <w:rFonts w:ascii="Verdana" w:hAnsi="Verdana"/>
          <w:spacing w:val="-4"/>
          <w:sz w:val="20"/>
          <w:lang w:val="es-CR"/>
        </w:rPr>
        <w:t>“robo con violencia”</w:t>
      </w:r>
      <w:r w:rsidRPr="005A17C2">
        <w:rPr>
          <w:rFonts w:ascii="Verdana" w:hAnsi="Verdana"/>
          <w:spacing w:val="-4"/>
          <w:sz w:val="20"/>
          <w:lang w:val="es-CR"/>
        </w:rPr>
        <w:t xml:space="preserve">, cuando salieron de Tlapa </w:t>
      </w:r>
      <w:r w:rsidR="002D13EF" w:rsidRPr="005A17C2">
        <w:rPr>
          <w:rFonts w:ascii="Verdana" w:hAnsi="Verdana"/>
          <w:spacing w:val="-4"/>
          <w:sz w:val="20"/>
          <w:lang w:val="es-CR"/>
        </w:rPr>
        <w:t>camino</w:t>
      </w:r>
      <w:r w:rsidRPr="005A17C2">
        <w:rPr>
          <w:rFonts w:ascii="Verdana" w:hAnsi="Verdana"/>
          <w:spacing w:val="-4"/>
          <w:sz w:val="20"/>
          <w:lang w:val="es-CR"/>
        </w:rPr>
        <w:t xml:space="preserve"> </w:t>
      </w:r>
      <w:r w:rsidR="002D13EF" w:rsidRPr="005A17C2">
        <w:rPr>
          <w:rFonts w:ascii="Verdana" w:hAnsi="Verdana"/>
          <w:spacing w:val="-4"/>
          <w:sz w:val="20"/>
          <w:lang w:val="es-CR"/>
        </w:rPr>
        <w:t xml:space="preserve">a </w:t>
      </w:r>
      <w:r w:rsidRPr="005A17C2">
        <w:rPr>
          <w:rFonts w:ascii="Verdana" w:hAnsi="Verdana"/>
          <w:spacing w:val="-4"/>
          <w:sz w:val="20"/>
          <w:lang w:val="es-CR"/>
        </w:rPr>
        <w:t xml:space="preserve">Chilpancingo, </w:t>
      </w:r>
      <w:r w:rsidR="002D13EF" w:rsidRPr="005A17C2">
        <w:rPr>
          <w:rFonts w:ascii="Verdana" w:hAnsi="Verdana"/>
          <w:spacing w:val="-4"/>
          <w:sz w:val="20"/>
          <w:lang w:val="es-CR"/>
        </w:rPr>
        <w:t xml:space="preserve">donde tenían </w:t>
      </w:r>
      <w:r w:rsidRPr="005A17C2">
        <w:rPr>
          <w:rFonts w:ascii="Verdana" w:hAnsi="Verdana"/>
          <w:spacing w:val="-4"/>
          <w:sz w:val="20"/>
          <w:lang w:val="es-CR"/>
        </w:rPr>
        <w:t>diversas reuniones</w:t>
      </w:r>
      <w:r w:rsidR="000C13F0" w:rsidRPr="005A17C2">
        <w:rPr>
          <w:rStyle w:val="FootnoteReference"/>
          <w:spacing w:val="-4"/>
          <w:sz w:val="20"/>
          <w:lang w:val="en-US"/>
        </w:rPr>
        <w:footnoteReference w:id="13"/>
      </w:r>
      <w:r w:rsidR="000C13F0" w:rsidRPr="005A17C2">
        <w:rPr>
          <w:rFonts w:ascii="Verdana" w:hAnsi="Verdana"/>
          <w:spacing w:val="-4"/>
          <w:sz w:val="20"/>
          <w:lang w:val="es-CR"/>
        </w:rPr>
        <w:t>.</w:t>
      </w:r>
      <w:r w:rsidR="006944BF" w:rsidRPr="005A17C2">
        <w:rPr>
          <w:rFonts w:ascii="Verdana" w:hAnsi="Verdana"/>
          <w:spacing w:val="-4"/>
          <w:sz w:val="20"/>
        </w:rPr>
        <w:t xml:space="preserve"> </w:t>
      </w:r>
      <w:r w:rsidR="000C13F0" w:rsidRPr="005A17C2">
        <w:rPr>
          <w:rFonts w:ascii="Verdana" w:hAnsi="Verdana"/>
          <w:spacing w:val="-4"/>
          <w:sz w:val="20"/>
        </w:rPr>
        <w:t xml:space="preserve">De acuerdo a los representantes, estos hechos fueron ventilados en la prensa sin el consentimiento de </w:t>
      </w:r>
      <w:proofErr w:type="spellStart"/>
      <w:r w:rsidR="000C13F0" w:rsidRPr="005A17C2">
        <w:rPr>
          <w:rFonts w:ascii="Verdana" w:hAnsi="Verdana"/>
          <w:spacing w:val="-4"/>
          <w:sz w:val="20"/>
        </w:rPr>
        <w:t>Tlachinollan</w:t>
      </w:r>
      <w:proofErr w:type="spellEnd"/>
      <w:r w:rsidR="000C13F0" w:rsidRPr="005A17C2">
        <w:rPr>
          <w:rFonts w:ascii="Verdana" w:hAnsi="Verdana"/>
          <w:spacing w:val="-4"/>
          <w:sz w:val="20"/>
        </w:rPr>
        <w:t xml:space="preserve"> y sin que se </w:t>
      </w:r>
      <w:r w:rsidR="001C0866" w:rsidRPr="005A17C2">
        <w:rPr>
          <w:rFonts w:ascii="Verdana" w:hAnsi="Verdana"/>
          <w:spacing w:val="-4"/>
          <w:sz w:val="20"/>
        </w:rPr>
        <w:t xml:space="preserve">brindara </w:t>
      </w:r>
      <w:r w:rsidR="000C13F0" w:rsidRPr="005A17C2">
        <w:rPr>
          <w:rFonts w:ascii="Verdana" w:hAnsi="Verdana"/>
          <w:spacing w:val="-4"/>
          <w:sz w:val="20"/>
        </w:rPr>
        <w:t xml:space="preserve">alguna medida de seguridad. Además, algunos medios de comunicación vincularon los operativos policiales realizados en la ciudad de Chilapa con la denuncia que elevó </w:t>
      </w:r>
      <w:proofErr w:type="spellStart"/>
      <w:r w:rsidR="000C13F0" w:rsidRPr="005A17C2">
        <w:rPr>
          <w:rFonts w:ascii="Verdana" w:hAnsi="Verdana"/>
          <w:spacing w:val="-4"/>
          <w:sz w:val="20"/>
        </w:rPr>
        <w:t>Tlachinollan</w:t>
      </w:r>
      <w:proofErr w:type="spellEnd"/>
      <w:r w:rsidR="000C13F0" w:rsidRPr="005A17C2">
        <w:rPr>
          <w:rFonts w:ascii="Verdana" w:hAnsi="Verdana"/>
          <w:spacing w:val="-4"/>
          <w:sz w:val="20"/>
        </w:rPr>
        <w:t xml:space="preserve"> ante la </w:t>
      </w:r>
      <w:r w:rsidR="0059233A" w:rsidRPr="005A17C2">
        <w:rPr>
          <w:rFonts w:ascii="Verdana" w:hAnsi="Verdana"/>
          <w:spacing w:val="-4"/>
          <w:sz w:val="20"/>
        </w:rPr>
        <w:t>Procuraduría</w:t>
      </w:r>
      <w:r w:rsidR="000C13F0" w:rsidRPr="005A17C2">
        <w:rPr>
          <w:rFonts w:ascii="Verdana" w:hAnsi="Verdana"/>
          <w:spacing w:val="-4"/>
          <w:sz w:val="20"/>
        </w:rPr>
        <w:t xml:space="preserve"> General de Justicia de Guerrero. </w:t>
      </w:r>
      <w:r w:rsidR="000C13F0" w:rsidRPr="005A17C2">
        <w:rPr>
          <w:rFonts w:ascii="Verdana" w:hAnsi="Verdana"/>
          <w:spacing w:val="-4"/>
          <w:sz w:val="20"/>
          <w:lang w:val="es-CR"/>
        </w:rPr>
        <w:t xml:space="preserve">La vinculación mediática entre la denuncia y las acciones policiales contra el grupo delincuencial que controla Chilapa colocaron a </w:t>
      </w:r>
      <w:proofErr w:type="spellStart"/>
      <w:r w:rsidR="000C13F0" w:rsidRPr="005A17C2">
        <w:rPr>
          <w:rFonts w:ascii="Verdana" w:hAnsi="Verdana"/>
          <w:spacing w:val="-4"/>
          <w:sz w:val="20"/>
          <w:lang w:val="es-CR"/>
        </w:rPr>
        <w:t>Tlachinollan</w:t>
      </w:r>
      <w:proofErr w:type="spellEnd"/>
      <w:r w:rsidR="000C13F0" w:rsidRPr="005A17C2">
        <w:rPr>
          <w:rFonts w:ascii="Verdana" w:hAnsi="Verdana"/>
          <w:spacing w:val="-4"/>
          <w:sz w:val="20"/>
          <w:lang w:val="es-CR"/>
        </w:rPr>
        <w:t xml:space="preserve"> en un riesgo real e inminente. </w:t>
      </w:r>
    </w:p>
    <w:p w14:paraId="0F93AD81" w14:textId="77777777" w:rsidR="00011A4F" w:rsidRPr="005A17C2" w:rsidRDefault="00011A4F" w:rsidP="00BB145E">
      <w:pPr>
        <w:pStyle w:val="ListParagraph"/>
        <w:ind w:hanging="360"/>
        <w:rPr>
          <w:rFonts w:ascii="Verdana" w:hAnsi="Verdana"/>
          <w:b/>
          <w:spacing w:val="-4"/>
          <w:sz w:val="20"/>
          <w:lang w:val="es-CR"/>
        </w:rPr>
      </w:pPr>
    </w:p>
    <w:p w14:paraId="2A0EF368" w14:textId="3D9D31CE" w:rsidR="00011A4F" w:rsidRPr="005A17C2" w:rsidRDefault="00560CE6" w:rsidP="00BB145E">
      <w:pPr>
        <w:pStyle w:val="BodyText2"/>
        <w:numPr>
          <w:ilvl w:val="0"/>
          <w:numId w:val="42"/>
        </w:numPr>
        <w:spacing w:after="0" w:line="240" w:lineRule="auto"/>
        <w:ind w:left="720" w:hanging="360"/>
        <w:jc w:val="both"/>
        <w:rPr>
          <w:rFonts w:ascii="Verdana" w:hAnsi="Verdana"/>
          <w:spacing w:val="-4"/>
          <w:sz w:val="20"/>
          <w:lang w:val="es-CR"/>
        </w:rPr>
      </w:pPr>
      <w:r w:rsidRPr="005A17C2">
        <w:rPr>
          <w:rFonts w:ascii="Verdana" w:hAnsi="Verdana"/>
          <w:spacing w:val="-4"/>
          <w:sz w:val="20"/>
        </w:rPr>
        <w:t>E</w:t>
      </w:r>
      <w:r w:rsidR="00C66A73" w:rsidRPr="005A17C2">
        <w:rPr>
          <w:rFonts w:ascii="Verdana" w:hAnsi="Verdana"/>
          <w:spacing w:val="-4"/>
          <w:sz w:val="20"/>
        </w:rPr>
        <w:t xml:space="preserve">l 13 de mayo de 2015 “un vehículo </w:t>
      </w:r>
      <w:r w:rsidR="002201B3" w:rsidRPr="005A17C2">
        <w:rPr>
          <w:rFonts w:ascii="Verdana" w:hAnsi="Verdana"/>
          <w:spacing w:val="-4"/>
          <w:sz w:val="20"/>
        </w:rPr>
        <w:t xml:space="preserve">[…] le dio </w:t>
      </w:r>
      <w:r w:rsidR="0002379B" w:rsidRPr="005A17C2">
        <w:rPr>
          <w:rFonts w:ascii="Verdana" w:hAnsi="Verdana"/>
          <w:spacing w:val="-4"/>
          <w:sz w:val="20"/>
        </w:rPr>
        <w:t>alcance</w:t>
      </w:r>
      <w:r w:rsidR="002201B3" w:rsidRPr="005A17C2">
        <w:rPr>
          <w:rFonts w:ascii="Verdana" w:hAnsi="Verdana"/>
          <w:spacing w:val="-4"/>
          <w:sz w:val="20"/>
        </w:rPr>
        <w:t xml:space="preserve"> [a Abel Barrera] y se atravesó intempestivamente en su camino. Del auto descendieron tres hombres que portaban armas </w:t>
      </w:r>
      <w:proofErr w:type="gramStart"/>
      <w:r w:rsidR="002201B3" w:rsidRPr="005A17C2">
        <w:rPr>
          <w:rFonts w:ascii="Verdana" w:hAnsi="Verdana"/>
          <w:spacing w:val="-4"/>
          <w:sz w:val="20"/>
        </w:rPr>
        <w:t>cortas[</w:t>
      </w:r>
      <w:proofErr w:type="gramEnd"/>
      <w:r w:rsidR="0059233A">
        <w:rPr>
          <w:rFonts w:ascii="Verdana" w:hAnsi="Verdana"/>
          <w:spacing w:val="-4"/>
          <w:sz w:val="20"/>
        </w:rPr>
        <w:t>,</w:t>
      </w:r>
      <w:r w:rsidR="002201B3" w:rsidRPr="005A17C2">
        <w:rPr>
          <w:rFonts w:ascii="Verdana" w:hAnsi="Verdana"/>
          <w:spacing w:val="-4"/>
          <w:sz w:val="20"/>
        </w:rPr>
        <w:t xml:space="preserve">] le apuntaron directamente con sus armas y le espetaron </w:t>
      </w:r>
      <w:r w:rsidR="002201B3" w:rsidRPr="005A17C2">
        <w:rPr>
          <w:rFonts w:ascii="Verdana" w:hAnsi="Verdana"/>
          <w:i/>
          <w:spacing w:val="-4"/>
          <w:sz w:val="20"/>
        </w:rPr>
        <w:t xml:space="preserve">‘bájate hijo de tu pinche madre o te carga la chingada’. </w:t>
      </w:r>
      <w:r w:rsidR="002201B3" w:rsidRPr="005A17C2">
        <w:rPr>
          <w:rFonts w:ascii="Verdana" w:hAnsi="Verdana"/>
          <w:spacing w:val="-4"/>
          <w:sz w:val="20"/>
        </w:rPr>
        <w:t>Ante la amenaza, atemorizado […] descendió del vehículo […] y se tiró al suelo como le ordenaban. Una vez en el piso, constató que los agresores subieron a su vehículo y pusieron rumbo al</w:t>
      </w:r>
      <w:r w:rsidR="001A576B" w:rsidRPr="005A17C2">
        <w:rPr>
          <w:rFonts w:ascii="Verdana" w:hAnsi="Verdana"/>
          <w:spacing w:val="-4"/>
          <w:sz w:val="20"/>
        </w:rPr>
        <w:t xml:space="preserve"> lado este de la ciudad</w:t>
      </w:r>
      <w:r w:rsidR="002201B3" w:rsidRPr="005A17C2">
        <w:rPr>
          <w:rFonts w:ascii="Verdana" w:hAnsi="Verdana"/>
          <w:spacing w:val="-4"/>
          <w:sz w:val="20"/>
        </w:rPr>
        <w:t>”</w:t>
      </w:r>
      <w:r w:rsidR="001A576B" w:rsidRPr="005A17C2">
        <w:rPr>
          <w:rFonts w:ascii="Verdana" w:hAnsi="Verdana"/>
          <w:spacing w:val="-4"/>
          <w:sz w:val="20"/>
        </w:rPr>
        <w:t>.</w:t>
      </w:r>
      <w:r w:rsidR="002201B3" w:rsidRPr="005A17C2">
        <w:rPr>
          <w:rFonts w:ascii="Verdana" w:hAnsi="Verdana"/>
          <w:i/>
          <w:spacing w:val="-4"/>
          <w:sz w:val="20"/>
        </w:rPr>
        <w:t xml:space="preserve"> </w:t>
      </w:r>
      <w:r w:rsidR="001A576B" w:rsidRPr="005A17C2">
        <w:rPr>
          <w:rFonts w:ascii="Verdana" w:hAnsi="Verdana"/>
          <w:spacing w:val="-4"/>
          <w:sz w:val="20"/>
          <w:lang w:val="es-CR"/>
        </w:rPr>
        <w:t xml:space="preserve">Los representantes </w:t>
      </w:r>
      <w:r w:rsidR="000C13F0" w:rsidRPr="005A17C2">
        <w:rPr>
          <w:rFonts w:ascii="Verdana" w:hAnsi="Verdana"/>
          <w:spacing w:val="-4"/>
          <w:sz w:val="20"/>
          <w:lang w:val="es-CR"/>
        </w:rPr>
        <w:t xml:space="preserve">informaron que, días antes, varios integrantes de </w:t>
      </w:r>
      <w:proofErr w:type="spellStart"/>
      <w:r w:rsidR="000C13F0" w:rsidRPr="005A17C2">
        <w:rPr>
          <w:rFonts w:ascii="Verdana" w:hAnsi="Verdana"/>
          <w:spacing w:val="-4"/>
          <w:sz w:val="20"/>
          <w:lang w:val="es-CR"/>
        </w:rPr>
        <w:t>Tlachinollan</w:t>
      </w:r>
      <w:proofErr w:type="spellEnd"/>
      <w:r w:rsidR="000C13F0" w:rsidRPr="005A17C2">
        <w:rPr>
          <w:rFonts w:ascii="Verdana" w:hAnsi="Verdana"/>
          <w:spacing w:val="-4"/>
          <w:sz w:val="20"/>
          <w:lang w:val="es-CR"/>
        </w:rPr>
        <w:t xml:space="preserve"> </w:t>
      </w:r>
      <w:r w:rsidR="0059233A">
        <w:rPr>
          <w:rFonts w:ascii="Verdana" w:hAnsi="Verdana"/>
          <w:spacing w:val="-4"/>
          <w:sz w:val="20"/>
          <w:lang w:val="es-CR"/>
        </w:rPr>
        <w:t>“</w:t>
      </w:r>
      <w:r w:rsidR="000C13F0" w:rsidRPr="005A17C2">
        <w:rPr>
          <w:rFonts w:ascii="Verdana" w:hAnsi="Verdana"/>
          <w:spacing w:val="-4"/>
          <w:sz w:val="20"/>
          <w:lang w:val="es-CR"/>
        </w:rPr>
        <w:t xml:space="preserve">constataron que la puerta derecha de dicho </w:t>
      </w:r>
      <w:r w:rsidR="00060110" w:rsidRPr="005A17C2">
        <w:rPr>
          <w:rFonts w:ascii="Verdana" w:hAnsi="Verdana"/>
          <w:spacing w:val="-4"/>
          <w:sz w:val="20"/>
          <w:lang w:val="es-CR"/>
        </w:rPr>
        <w:t>vehículo</w:t>
      </w:r>
      <w:r w:rsidR="000C13F0" w:rsidRPr="005A17C2">
        <w:rPr>
          <w:rFonts w:ascii="Verdana" w:hAnsi="Verdana"/>
          <w:spacing w:val="-4"/>
          <w:sz w:val="20"/>
          <w:lang w:val="es-CR"/>
        </w:rPr>
        <w:t xml:space="preserve"> mostraba señales de haber sido forzada”, por lo cual desde entonces no la estaban estacionando en lugares públicos. I</w:t>
      </w:r>
      <w:r w:rsidR="001A576B" w:rsidRPr="005A17C2">
        <w:rPr>
          <w:rFonts w:ascii="Verdana" w:hAnsi="Verdana"/>
          <w:spacing w:val="-4"/>
          <w:sz w:val="20"/>
          <w:lang w:val="es-CR"/>
        </w:rPr>
        <w:t>ndicaron</w:t>
      </w:r>
      <w:r w:rsidR="0002379B" w:rsidRPr="005A17C2">
        <w:rPr>
          <w:rFonts w:ascii="Verdana" w:hAnsi="Verdana"/>
          <w:spacing w:val="-4"/>
          <w:sz w:val="20"/>
          <w:lang w:val="es-CR"/>
        </w:rPr>
        <w:t xml:space="preserve"> que “dada la gravedad de los hechos </w:t>
      </w:r>
      <w:r w:rsidR="0002379B" w:rsidRPr="005A17C2">
        <w:rPr>
          <w:rFonts w:ascii="Verdana" w:hAnsi="Verdana"/>
          <w:spacing w:val="-4"/>
          <w:sz w:val="20"/>
        </w:rPr>
        <w:t>[…]; el difícil contexto q</w:t>
      </w:r>
      <w:r w:rsidR="0059233A">
        <w:rPr>
          <w:rFonts w:ascii="Verdana" w:hAnsi="Verdana"/>
          <w:spacing w:val="-4"/>
          <w:sz w:val="20"/>
        </w:rPr>
        <w:t>ue se vive actualmente en el e</w:t>
      </w:r>
      <w:r w:rsidR="0002379B" w:rsidRPr="005A17C2">
        <w:rPr>
          <w:rFonts w:ascii="Verdana" w:hAnsi="Verdana"/>
          <w:spacing w:val="-4"/>
          <w:sz w:val="20"/>
        </w:rPr>
        <w:t xml:space="preserve">stado de Guerrero; así como la deficiente implementación de las medidas de protección […] queda de manifiesto la notoria situación de riesgo en que se encuentran </w:t>
      </w:r>
      <w:r w:rsidR="00143D7C" w:rsidRPr="005A17C2">
        <w:rPr>
          <w:rFonts w:ascii="Verdana" w:hAnsi="Verdana"/>
          <w:spacing w:val="-4"/>
          <w:sz w:val="20"/>
        </w:rPr>
        <w:t xml:space="preserve">[los] </w:t>
      </w:r>
      <w:proofErr w:type="spellStart"/>
      <w:r w:rsidR="0002379B" w:rsidRPr="005A17C2">
        <w:rPr>
          <w:rFonts w:ascii="Verdana" w:hAnsi="Verdana"/>
          <w:spacing w:val="-4"/>
          <w:sz w:val="20"/>
        </w:rPr>
        <w:t>beneficiari</w:t>
      </w:r>
      <w:proofErr w:type="spellEnd"/>
      <w:r w:rsidR="00143D7C" w:rsidRPr="005A17C2">
        <w:rPr>
          <w:rFonts w:ascii="Verdana" w:hAnsi="Verdana"/>
          <w:spacing w:val="-4"/>
          <w:sz w:val="20"/>
        </w:rPr>
        <w:t>[o]</w:t>
      </w:r>
      <w:r w:rsidR="0002379B" w:rsidRPr="005A17C2">
        <w:rPr>
          <w:rFonts w:ascii="Verdana" w:hAnsi="Verdana"/>
          <w:spacing w:val="-4"/>
          <w:sz w:val="20"/>
        </w:rPr>
        <w:t>s”</w:t>
      </w:r>
      <w:r w:rsidR="001A576B" w:rsidRPr="005A17C2">
        <w:rPr>
          <w:rFonts w:ascii="Verdana" w:hAnsi="Verdana"/>
          <w:spacing w:val="-4"/>
          <w:sz w:val="20"/>
        </w:rPr>
        <w:t>.</w:t>
      </w:r>
      <w:r w:rsidR="0002379B" w:rsidRPr="005A17C2">
        <w:rPr>
          <w:rFonts w:ascii="Verdana" w:hAnsi="Verdana"/>
          <w:spacing w:val="-4"/>
          <w:sz w:val="20"/>
        </w:rPr>
        <w:t xml:space="preserve"> </w:t>
      </w:r>
      <w:r w:rsidR="00CE7B76" w:rsidRPr="005A17C2">
        <w:rPr>
          <w:rFonts w:ascii="Verdana" w:hAnsi="Verdana"/>
          <w:b/>
          <w:spacing w:val="-4"/>
          <w:sz w:val="20"/>
          <w:lang w:val="es-CR"/>
        </w:rPr>
        <w:t xml:space="preserve"> </w:t>
      </w:r>
    </w:p>
    <w:p w14:paraId="23668B29" w14:textId="77777777" w:rsidR="00011A4F" w:rsidRPr="005A17C2" w:rsidRDefault="00011A4F" w:rsidP="00BB145E">
      <w:pPr>
        <w:pStyle w:val="BodyText2"/>
        <w:spacing w:after="0" w:line="240" w:lineRule="auto"/>
        <w:jc w:val="both"/>
        <w:rPr>
          <w:rFonts w:ascii="Verdana" w:hAnsi="Verdana"/>
          <w:b/>
          <w:spacing w:val="-4"/>
          <w:sz w:val="20"/>
          <w:lang w:val="es-CR"/>
        </w:rPr>
      </w:pPr>
    </w:p>
    <w:p w14:paraId="2FF55F04" w14:textId="59B6D674" w:rsidR="00B4695C" w:rsidRPr="005A17C2" w:rsidRDefault="0016117F" w:rsidP="00BB145E">
      <w:pPr>
        <w:pStyle w:val="BodyText2"/>
        <w:numPr>
          <w:ilvl w:val="0"/>
          <w:numId w:val="22"/>
        </w:numPr>
        <w:spacing w:after="0" w:line="240" w:lineRule="auto"/>
        <w:jc w:val="both"/>
        <w:rPr>
          <w:rFonts w:ascii="Verdana" w:hAnsi="Verdana"/>
          <w:b/>
          <w:spacing w:val="-4"/>
          <w:sz w:val="20"/>
          <w:lang w:val="es-CR"/>
        </w:rPr>
      </w:pPr>
      <w:r w:rsidRPr="005A17C2">
        <w:rPr>
          <w:rFonts w:ascii="Verdana" w:hAnsi="Verdana"/>
          <w:spacing w:val="-4"/>
          <w:sz w:val="20"/>
          <w:lang w:val="es-CR"/>
        </w:rPr>
        <w:t>Al r</w:t>
      </w:r>
      <w:r w:rsidR="00011A4F" w:rsidRPr="005A17C2">
        <w:rPr>
          <w:rFonts w:ascii="Verdana" w:hAnsi="Verdana"/>
          <w:spacing w:val="-4"/>
          <w:sz w:val="20"/>
          <w:lang w:val="es-CR"/>
        </w:rPr>
        <w:t>especto, los representantes señalaron</w:t>
      </w:r>
      <w:r w:rsidR="008910DB" w:rsidRPr="005A17C2">
        <w:rPr>
          <w:rFonts w:ascii="Verdana" w:hAnsi="Verdana"/>
          <w:spacing w:val="-4"/>
          <w:sz w:val="20"/>
          <w:lang w:val="es-CR"/>
        </w:rPr>
        <w:t xml:space="preserve"> que se “debe</w:t>
      </w:r>
      <w:r w:rsidR="00F04175" w:rsidRPr="005A17C2">
        <w:rPr>
          <w:rFonts w:ascii="Verdana" w:hAnsi="Verdana"/>
          <w:spacing w:val="-4"/>
          <w:sz w:val="20"/>
        </w:rPr>
        <w:t>[n]</w:t>
      </w:r>
      <w:r w:rsidR="008910DB" w:rsidRPr="005A17C2">
        <w:rPr>
          <w:rFonts w:ascii="Verdana" w:hAnsi="Verdana"/>
          <w:spacing w:val="-4"/>
          <w:sz w:val="20"/>
          <w:lang w:val="es-CR"/>
        </w:rPr>
        <w:t xml:space="preserve"> valorar las amenazas y hechos de hostigamiento cometidos en perjuicio de distintos beneficiarios de</w:t>
      </w:r>
      <w:r w:rsidR="00011A4F" w:rsidRPr="005A17C2">
        <w:rPr>
          <w:rFonts w:ascii="Verdana" w:hAnsi="Verdana"/>
          <w:spacing w:val="-4"/>
          <w:sz w:val="20"/>
          <w:lang w:val="es-CR"/>
        </w:rPr>
        <w:t xml:space="preserve"> forma global, entendiendo que é</w:t>
      </w:r>
      <w:r w:rsidR="008910DB" w:rsidRPr="005A17C2">
        <w:rPr>
          <w:rFonts w:ascii="Verdana" w:hAnsi="Verdana"/>
          <w:spacing w:val="-4"/>
          <w:sz w:val="20"/>
          <w:lang w:val="es-CR"/>
        </w:rPr>
        <w:t xml:space="preserve">stas se traducen en factores de riesgo contra todos ellos, a partir de </w:t>
      </w:r>
      <w:r w:rsidR="00011A4F" w:rsidRPr="005A17C2">
        <w:rPr>
          <w:rFonts w:ascii="Verdana" w:hAnsi="Verdana"/>
          <w:spacing w:val="-4"/>
          <w:sz w:val="20"/>
          <w:lang w:val="es-CR"/>
        </w:rPr>
        <w:t xml:space="preserve">su vinculación con </w:t>
      </w:r>
      <w:proofErr w:type="spellStart"/>
      <w:r w:rsidR="00011A4F" w:rsidRPr="005A17C2">
        <w:rPr>
          <w:rFonts w:ascii="Verdana" w:hAnsi="Verdana"/>
          <w:spacing w:val="-4"/>
          <w:sz w:val="20"/>
          <w:lang w:val="es-CR"/>
        </w:rPr>
        <w:t>Tlachinollan</w:t>
      </w:r>
      <w:proofErr w:type="spellEnd"/>
      <w:r w:rsidR="008910DB" w:rsidRPr="005A17C2">
        <w:rPr>
          <w:rFonts w:ascii="Verdana" w:hAnsi="Verdana"/>
          <w:spacing w:val="-4"/>
          <w:sz w:val="20"/>
          <w:lang w:val="es-CR"/>
        </w:rPr>
        <w:t>”</w:t>
      </w:r>
      <w:r w:rsidR="004F229E" w:rsidRPr="005A17C2">
        <w:rPr>
          <w:rFonts w:ascii="Verdana" w:hAnsi="Verdana"/>
          <w:spacing w:val="-4"/>
          <w:sz w:val="20"/>
          <w:lang w:val="es-CR"/>
        </w:rPr>
        <w:t>.</w:t>
      </w:r>
      <w:r w:rsidR="008910DB" w:rsidRPr="005A17C2">
        <w:rPr>
          <w:rFonts w:ascii="Verdana" w:hAnsi="Verdana"/>
          <w:spacing w:val="-4"/>
          <w:sz w:val="20"/>
          <w:lang w:val="es-CR"/>
        </w:rPr>
        <w:t xml:space="preserve"> </w:t>
      </w:r>
      <w:r w:rsidR="0021508B" w:rsidRPr="005A17C2">
        <w:rPr>
          <w:rFonts w:ascii="Verdana" w:hAnsi="Verdana"/>
          <w:spacing w:val="-4"/>
          <w:sz w:val="20"/>
          <w:lang w:val="es-CR"/>
        </w:rPr>
        <w:t>Asimismo, expresaron su “preocupación en tanto que el Es</w:t>
      </w:r>
      <w:r w:rsidR="0002168F" w:rsidRPr="005A17C2">
        <w:rPr>
          <w:rFonts w:ascii="Verdana" w:hAnsi="Verdana"/>
          <w:spacing w:val="-4"/>
          <w:sz w:val="20"/>
          <w:lang w:val="es-CR"/>
        </w:rPr>
        <w:t xml:space="preserve">tado </w:t>
      </w:r>
      <w:proofErr w:type="spellStart"/>
      <w:proofErr w:type="gramStart"/>
      <w:r w:rsidR="0002168F" w:rsidRPr="005A17C2">
        <w:rPr>
          <w:rFonts w:ascii="Verdana" w:hAnsi="Verdana"/>
          <w:spacing w:val="-4"/>
          <w:sz w:val="20"/>
          <w:lang w:val="es-CR"/>
        </w:rPr>
        <w:t>per</w:t>
      </w:r>
      <w:r w:rsidR="0021508B" w:rsidRPr="005A17C2">
        <w:rPr>
          <w:rFonts w:ascii="Verdana" w:hAnsi="Verdana"/>
          <w:spacing w:val="-4"/>
          <w:sz w:val="20"/>
          <w:lang w:val="es-CR"/>
        </w:rPr>
        <w:t>s</w:t>
      </w:r>
      <w:r w:rsidR="0002168F" w:rsidRPr="005A17C2">
        <w:rPr>
          <w:rFonts w:ascii="Verdana" w:hAnsi="Verdana"/>
          <w:spacing w:val="-4"/>
          <w:sz w:val="20"/>
          <w:lang w:val="es-CR"/>
        </w:rPr>
        <w:t>is</w:t>
      </w:r>
      <w:r w:rsidR="0021508B" w:rsidRPr="005A17C2">
        <w:rPr>
          <w:rFonts w:ascii="Verdana" w:hAnsi="Verdana"/>
          <w:spacing w:val="-4"/>
          <w:sz w:val="20"/>
          <w:lang w:val="es-CR"/>
        </w:rPr>
        <w:t>t</w:t>
      </w:r>
      <w:proofErr w:type="spellEnd"/>
      <w:r w:rsidR="0021508B" w:rsidRPr="005A17C2">
        <w:rPr>
          <w:rFonts w:ascii="Verdana" w:hAnsi="Verdana"/>
          <w:spacing w:val="-4"/>
          <w:sz w:val="20"/>
        </w:rPr>
        <w:t>[</w:t>
      </w:r>
      <w:proofErr w:type="spellStart"/>
      <w:proofErr w:type="gramEnd"/>
      <w:r w:rsidR="0021508B" w:rsidRPr="005A17C2">
        <w:rPr>
          <w:rFonts w:ascii="Verdana" w:hAnsi="Verdana"/>
          <w:spacing w:val="-4"/>
          <w:sz w:val="20"/>
        </w:rPr>
        <w:t>ía</w:t>
      </w:r>
      <w:proofErr w:type="spellEnd"/>
      <w:r w:rsidR="0021508B" w:rsidRPr="005A17C2">
        <w:rPr>
          <w:rFonts w:ascii="Verdana" w:hAnsi="Verdana"/>
          <w:spacing w:val="-4"/>
          <w:sz w:val="20"/>
        </w:rPr>
        <w:t>] en no considerar la condición de [</w:t>
      </w:r>
      <w:r w:rsidR="00632039" w:rsidRPr="005A17C2">
        <w:rPr>
          <w:rFonts w:ascii="Verdana" w:hAnsi="Verdana"/>
          <w:spacing w:val="-4"/>
          <w:sz w:val="20"/>
        </w:rPr>
        <w:t>…Abel</w:t>
      </w:r>
      <w:r w:rsidR="0021508B" w:rsidRPr="005A17C2">
        <w:rPr>
          <w:rFonts w:ascii="Verdana" w:hAnsi="Verdana"/>
          <w:spacing w:val="-4"/>
          <w:sz w:val="20"/>
        </w:rPr>
        <w:t xml:space="preserve">] Barrera como </w:t>
      </w:r>
      <w:r w:rsidR="00082187" w:rsidRPr="005A17C2">
        <w:rPr>
          <w:rFonts w:ascii="Verdana" w:hAnsi="Verdana"/>
          <w:spacing w:val="-4"/>
          <w:sz w:val="20"/>
        </w:rPr>
        <w:t>defensor</w:t>
      </w:r>
      <w:r w:rsidR="0021508B" w:rsidRPr="005A17C2">
        <w:rPr>
          <w:rFonts w:ascii="Verdana" w:hAnsi="Verdana"/>
          <w:spacing w:val="-4"/>
          <w:sz w:val="20"/>
        </w:rPr>
        <w:t xml:space="preserve"> de derechos humanos como uno de los móviles de [la agresión en su contra]”</w:t>
      </w:r>
      <w:r w:rsidR="0059233A">
        <w:rPr>
          <w:rFonts w:ascii="Verdana" w:hAnsi="Verdana"/>
          <w:spacing w:val="-4"/>
          <w:sz w:val="20"/>
        </w:rPr>
        <w:t>.C</w:t>
      </w:r>
      <w:r w:rsidR="0021508B" w:rsidRPr="005A17C2">
        <w:rPr>
          <w:rFonts w:ascii="Verdana" w:hAnsi="Verdana"/>
          <w:spacing w:val="-4"/>
          <w:sz w:val="20"/>
        </w:rPr>
        <w:t xml:space="preserve">onsideraron que era “lamentable que las autoridades no </w:t>
      </w:r>
      <w:proofErr w:type="spellStart"/>
      <w:r w:rsidR="0021508B" w:rsidRPr="005A17C2">
        <w:rPr>
          <w:rFonts w:ascii="Verdana" w:hAnsi="Verdana"/>
          <w:spacing w:val="-4"/>
          <w:sz w:val="20"/>
        </w:rPr>
        <w:t>atend</w:t>
      </w:r>
      <w:proofErr w:type="spellEnd"/>
      <w:r w:rsidR="0021508B" w:rsidRPr="005A17C2">
        <w:rPr>
          <w:rFonts w:ascii="Verdana" w:hAnsi="Verdana"/>
          <w:spacing w:val="-4"/>
          <w:sz w:val="20"/>
        </w:rPr>
        <w:t>[</w:t>
      </w:r>
      <w:proofErr w:type="spellStart"/>
      <w:r w:rsidR="0021508B" w:rsidRPr="005A17C2">
        <w:rPr>
          <w:rFonts w:ascii="Verdana" w:hAnsi="Verdana"/>
          <w:spacing w:val="-4"/>
          <w:sz w:val="20"/>
        </w:rPr>
        <w:t>ieran</w:t>
      </w:r>
      <w:proofErr w:type="spellEnd"/>
      <w:r w:rsidR="0021508B" w:rsidRPr="005A17C2">
        <w:rPr>
          <w:rFonts w:ascii="Verdana" w:hAnsi="Verdana"/>
          <w:spacing w:val="-4"/>
          <w:sz w:val="20"/>
        </w:rPr>
        <w:t xml:space="preserve">] a la gravedad del hecho de que fueron víctimas </w:t>
      </w:r>
      <w:r w:rsidR="0034410E" w:rsidRPr="005A17C2">
        <w:rPr>
          <w:rFonts w:ascii="Verdana" w:hAnsi="Verdana"/>
          <w:spacing w:val="-4"/>
          <w:sz w:val="20"/>
        </w:rPr>
        <w:t>[…]</w:t>
      </w:r>
      <w:r w:rsidR="0021508B" w:rsidRPr="005A17C2">
        <w:rPr>
          <w:rFonts w:ascii="Verdana" w:hAnsi="Verdana"/>
          <w:spacing w:val="-4"/>
          <w:sz w:val="20"/>
        </w:rPr>
        <w:t xml:space="preserve"> Abel Barrera y Santiago Aguirre”</w:t>
      </w:r>
      <w:r w:rsidR="00034700" w:rsidRPr="005A17C2">
        <w:rPr>
          <w:rFonts w:ascii="Verdana" w:hAnsi="Verdana"/>
          <w:spacing w:val="-4"/>
          <w:sz w:val="20"/>
        </w:rPr>
        <w:t>.</w:t>
      </w:r>
      <w:r w:rsidR="0021508B" w:rsidRPr="005A17C2">
        <w:rPr>
          <w:rFonts w:ascii="Verdana" w:hAnsi="Verdana"/>
          <w:spacing w:val="-4"/>
          <w:sz w:val="20"/>
        </w:rPr>
        <w:t xml:space="preserve"> </w:t>
      </w:r>
    </w:p>
    <w:p w14:paraId="734AF2FE" w14:textId="77777777" w:rsidR="00B4695C" w:rsidRPr="005A17C2" w:rsidRDefault="00B4695C" w:rsidP="00BB145E">
      <w:pPr>
        <w:pStyle w:val="BodyText2"/>
        <w:spacing w:after="0" w:line="240" w:lineRule="auto"/>
        <w:jc w:val="both"/>
        <w:rPr>
          <w:rFonts w:ascii="Verdana" w:hAnsi="Verdana"/>
          <w:b/>
          <w:spacing w:val="-4"/>
          <w:sz w:val="20"/>
          <w:lang w:val="es-CR"/>
        </w:rPr>
      </w:pPr>
    </w:p>
    <w:p w14:paraId="42B1116D" w14:textId="34654AAB" w:rsidR="00877B3B" w:rsidRPr="005A17C2" w:rsidRDefault="00AF7DBF" w:rsidP="00BB145E">
      <w:pPr>
        <w:pStyle w:val="BodyText2"/>
        <w:numPr>
          <w:ilvl w:val="0"/>
          <w:numId w:val="22"/>
        </w:numPr>
        <w:spacing w:after="0" w:line="240" w:lineRule="auto"/>
        <w:jc w:val="both"/>
        <w:rPr>
          <w:rFonts w:ascii="Verdana" w:hAnsi="Verdana"/>
          <w:spacing w:val="-4"/>
          <w:sz w:val="20"/>
          <w:lang w:val="es-CR"/>
        </w:rPr>
      </w:pPr>
      <w:r w:rsidRPr="005A17C2">
        <w:rPr>
          <w:rFonts w:ascii="Verdana" w:hAnsi="Verdana"/>
          <w:spacing w:val="-4"/>
          <w:sz w:val="20"/>
        </w:rPr>
        <w:t>Asimismo, manifestaron que</w:t>
      </w:r>
      <w:r w:rsidR="000E12F7" w:rsidRPr="005A17C2">
        <w:rPr>
          <w:rFonts w:ascii="Verdana" w:hAnsi="Verdana"/>
          <w:spacing w:val="-4"/>
          <w:sz w:val="20"/>
          <w:lang w:val="es-CR"/>
        </w:rPr>
        <w:t xml:space="preserve"> “la celebración del acto público de reconocimiento de responsabilidad por la violación sexual y tortura de la señora Inés Fernández Ortega (dónde participaron tanto beneficiarios de </w:t>
      </w:r>
      <w:proofErr w:type="spellStart"/>
      <w:r w:rsidR="000E12F7" w:rsidRPr="005A17C2">
        <w:rPr>
          <w:rFonts w:ascii="Verdana" w:hAnsi="Verdana"/>
          <w:spacing w:val="-4"/>
          <w:sz w:val="20"/>
          <w:lang w:val="es-CR"/>
        </w:rPr>
        <w:t>Tlachinollan</w:t>
      </w:r>
      <w:proofErr w:type="spellEnd"/>
      <w:r w:rsidR="000E12F7" w:rsidRPr="005A17C2">
        <w:rPr>
          <w:rFonts w:ascii="Verdana" w:hAnsi="Verdana"/>
          <w:spacing w:val="-4"/>
          <w:sz w:val="20"/>
          <w:lang w:val="es-CR"/>
        </w:rPr>
        <w:t xml:space="preserve"> como de </w:t>
      </w:r>
      <w:r w:rsidR="00A576E0" w:rsidRPr="005A17C2">
        <w:rPr>
          <w:rFonts w:ascii="Verdana" w:hAnsi="Verdana"/>
          <w:spacing w:val="-4"/>
          <w:sz w:val="20"/>
          <w:lang w:val="es-CR"/>
        </w:rPr>
        <w:t xml:space="preserve">la OPIM) el </w:t>
      </w:r>
      <w:r w:rsidR="00A339CF" w:rsidRPr="005A17C2">
        <w:rPr>
          <w:rFonts w:ascii="Verdana" w:hAnsi="Verdana"/>
          <w:spacing w:val="-4"/>
          <w:sz w:val="20"/>
          <w:lang w:val="es-CR"/>
        </w:rPr>
        <w:t>6 de marzo de 2012;</w:t>
      </w:r>
      <w:r w:rsidR="000E12F7" w:rsidRPr="005A17C2">
        <w:rPr>
          <w:rFonts w:ascii="Verdana" w:hAnsi="Verdana"/>
          <w:spacing w:val="-4"/>
          <w:sz w:val="20"/>
          <w:lang w:val="es-CR"/>
        </w:rPr>
        <w:t xml:space="preserve"> permite presumir que las nuevas amenazas pueden relacionarse con las causas originales que llevaron la adopción de medidas de protección. No obstante, solamente a través de una investigación diligente se puede esclare</w:t>
      </w:r>
      <w:r w:rsidR="007710CE" w:rsidRPr="005A17C2">
        <w:rPr>
          <w:rFonts w:ascii="Verdana" w:hAnsi="Verdana"/>
          <w:spacing w:val="-4"/>
          <w:sz w:val="20"/>
          <w:lang w:val="es-CR"/>
        </w:rPr>
        <w:t>cer la conexión de forma cierta</w:t>
      </w:r>
      <w:r w:rsidR="000E12F7" w:rsidRPr="005A17C2">
        <w:rPr>
          <w:rFonts w:ascii="Verdana" w:hAnsi="Verdana"/>
          <w:spacing w:val="-4"/>
          <w:sz w:val="20"/>
          <w:lang w:val="es-CR"/>
        </w:rPr>
        <w:t>”</w:t>
      </w:r>
      <w:r w:rsidR="007710CE" w:rsidRPr="005A17C2">
        <w:rPr>
          <w:rFonts w:ascii="Verdana" w:hAnsi="Verdana"/>
          <w:spacing w:val="-4"/>
          <w:sz w:val="20"/>
          <w:lang w:val="es-CR"/>
        </w:rPr>
        <w:t>.</w:t>
      </w:r>
      <w:r w:rsidR="000E12F7" w:rsidRPr="005A17C2">
        <w:rPr>
          <w:rFonts w:ascii="Verdana" w:hAnsi="Verdana"/>
          <w:spacing w:val="-4"/>
          <w:sz w:val="20"/>
          <w:lang w:val="es-CR"/>
        </w:rPr>
        <w:t xml:space="preserve"> Así, </w:t>
      </w:r>
      <w:r w:rsidR="00963E2E" w:rsidRPr="005A17C2">
        <w:rPr>
          <w:rFonts w:ascii="Verdana" w:hAnsi="Verdana"/>
          <w:spacing w:val="-4"/>
          <w:sz w:val="20"/>
          <w:lang w:val="es-CR"/>
        </w:rPr>
        <w:t xml:space="preserve">respecto de la amenaza de 4 de mayo dirigida a </w:t>
      </w:r>
      <w:proofErr w:type="spellStart"/>
      <w:r w:rsidR="00963E2E" w:rsidRPr="005A17C2">
        <w:rPr>
          <w:rFonts w:ascii="Verdana" w:hAnsi="Verdana"/>
          <w:spacing w:val="-4"/>
          <w:sz w:val="20"/>
          <w:lang w:val="es-CR"/>
        </w:rPr>
        <w:t>Vidulfo</w:t>
      </w:r>
      <w:proofErr w:type="spellEnd"/>
      <w:r w:rsidR="00963E2E" w:rsidRPr="005A17C2">
        <w:rPr>
          <w:rFonts w:ascii="Verdana" w:hAnsi="Verdana"/>
          <w:spacing w:val="-4"/>
          <w:sz w:val="20"/>
          <w:lang w:val="es-CR"/>
        </w:rPr>
        <w:t xml:space="preserve"> Rosales, señalaron que </w:t>
      </w:r>
      <w:r w:rsidR="000E12F7" w:rsidRPr="005A17C2">
        <w:rPr>
          <w:rFonts w:ascii="Verdana" w:hAnsi="Verdana"/>
          <w:spacing w:val="-4"/>
          <w:sz w:val="20"/>
          <w:lang w:val="es-CR"/>
        </w:rPr>
        <w:t xml:space="preserve">“el hecho de que los incidentes de hostigamiento estén referidos al </w:t>
      </w:r>
      <w:r w:rsidR="000E12F7" w:rsidRPr="005A17C2">
        <w:rPr>
          <w:rFonts w:ascii="Verdana" w:hAnsi="Verdana"/>
          <w:spacing w:val="-4"/>
          <w:sz w:val="20"/>
          <w:lang w:val="es-CR"/>
        </w:rPr>
        <w:lastRenderedPageBreak/>
        <w:t xml:space="preserve">trabajo de defensa de derechos humanos que realizan estas organizaciones y que se den en el marco de los esfuerzos para el cumplimiento de varias reparaciones ordenadas por la Corte </w:t>
      </w:r>
      <w:r w:rsidR="000E12F7" w:rsidRPr="005A17C2">
        <w:rPr>
          <w:rFonts w:ascii="Verdana" w:hAnsi="Verdana"/>
          <w:spacing w:val="-4"/>
          <w:sz w:val="20"/>
        </w:rPr>
        <w:t xml:space="preserve">[…] en el caso </w:t>
      </w:r>
      <w:r w:rsidR="000E12F7" w:rsidRPr="005A17C2">
        <w:rPr>
          <w:rFonts w:ascii="Verdana" w:hAnsi="Verdana"/>
          <w:i/>
          <w:spacing w:val="-4"/>
          <w:sz w:val="20"/>
        </w:rPr>
        <w:t>Fernández Ortega</w:t>
      </w:r>
      <w:r w:rsidR="00815213" w:rsidRPr="005A17C2">
        <w:rPr>
          <w:rFonts w:ascii="Verdana" w:hAnsi="Verdana"/>
          <w:i/>
          <w:spacing w:val="-4"/>
          <w:sz w:val="20"/>
        </w:rPr>
        <w:t xml:space="preserve"> </w:t>
      </w:r>
      <w:r w:rsidRPr="005A17C2">
        <w:rPr>
          <w:rFonts w:ascii="Verdana" w:hAnsi="Verdana"/>
          <w:i/>
          <w:spacing w:val="-4"/>
          <w:sz w:val="20"/>
        </w:rPr>
        <w:t>y otros</w:t>
      </w:r>
      <w:r w:rsidR="00D4364D" w:rsidRPr="005A17C2">
        <w:rPr>
          <w:rFonts w:ascii="Verdana" w:hAnsi="Verdana"/>
          <w:spacing w:val="-4"/>
          <w:sz w:val="20"/>
        </w:rPr>
        <w:t>,</w:t>
      </w:r>
      <w:r w:rsidRPr="005A17C2">
        <w:rPr>
          <w:rFonts w:ascii="Verdana" w:hAnsi="Verdana"/>
          <w:spacing w:val="-4"/>
          <w:sz w:val="20"/>
        </w:rPr>
        <w:t xml:space="preserve"> debe ser tomado en consideración en la valoración de la relación entre los incidentes más recientes y aquellos que sirvieron de fundamentación a las presentes medidas</w:t>
      </w:r>
      <w:r w:rsidR="000E12F7" w:rsidRPr="005A17C2">
        <w:rPr>
          <w:rFonts w:ascii="Verdana" w:hAnsi="Verdana"/>
          <w:spacing w:val="-4"/>
          <w:sz w:val="20"/>
        </w:rPr>
        <w:t>”</w:t>
      </w:r>
      <w:r w:rsidR="00F0250B" w:rsidRPr="005A17C2">
        <w:rPr>
          <w:rFonts w:ascii="Verdana" w:hAnsi="Verdana"/>
          <w:spacing w:val="-4"/>
          <w:sz w:val="20"/>
        </w:rPr>
        <w:t>.</w:t>
      </w:r>
      <w:r w:rsidR="000E12F7" w:rsidRPr="005A17C2">
        <w:rPr>
          <w:rFonts w:ascii="Verdana" w:hAnsi="Verdana"/>
          <w:spacing w:val="-4"/>
          <w:sz w:val="20"/>
          <w:lang w:val="es-CR"/>
        </w:rPr>
        <w:t xml:space="preserve"> </w:t>
      </w:r>
      <w:r w:rsidRPr="005A17C2">
        <w:rPr>
          <w:rFonts w:ascii="Verdana" w:hAnsi="Verdana"/>
          <w:spacing w:val="-4"/>
          <w:sz w:val="20"/>
          <w:lang w:val="es-CR"/>
        </w:rPr>
        <w:t>En febrero de 2014 s</w:t>
      </w:r>
      <w:r w:rsidR="00DD43BD" w:rsidRPr="005A17C2">
        <w:rPr>
          <w:rFonts w:ascii="Verdana" w:hAnsi="Verdana"/>
          <w:spacing w:val="-4"/>
          <w:sz w:val="20"/>
          <w:lang w:val="es-CR"/>
        </w:rPr>
        <w:t xml:space="preserve">olicitaron valorar la aprehensión de dos de los probables responsables y la apertura del proceso judicial como un nuevo factor de riesgo que afectaría a los beneficiarios hasta que se dictara sentencia en firme. </w:t>
      </w:r>
      <w:r w:rsidR="00797CD8" w:rsidRPr="005A17C2">
        <w:rPr>
          <w:rFonts w:ascii="Verdana" w:hAnsi="Verdana"/>
          <w:spacing w:val="-4"/>
          <w:sz w:val="20"/>
          <w:lang w:val="es-CR"/>
        </w:rPr>
        <w:t xml:space="preserve">Por otro lado, </w:t>
      </w:r>
      <w:r w:rsidRPr="005A17C2">
        <w:rPr>
          <w:rFonts w:ascii="Verdana" w:hAnsi="Verdana"/>
          <w:spacing w:val="-4"/>
          <w:sz w:val="20"/>
          <w:lang w:val="es-CR"/>
        </w:rPr>
        <w:t xml:space="preserve">se refirieron </w:t>
      </w:r>
      <w:r w:rsidR="0013162C" w:rsidRPr="005A17C2">
        <w:rPr>
          <w:rFonts w:ascii="Verdana" w:hAnsi="Verdana"/>
          <w:spacing w:val="-4"/>
          <w:sz w:val="20"/>
          <w:lang w:val="es-CR"/>
        </w:rPr>
        <w:t xml:space="preserve">a </w:t>
      </w:r>
      <w:r w:rsidRPr="005A17C2">
        <w:rPr>
          <w:rFonts w:ascii="Verdana" w:hAnsi="Verdana"/>
          <w:spacing w:val="-4"/>
          <w:sz w:val="20"/>
          <w:lang w:val="es-CR"/>
        </w:rPr>
        <w:t xml:space="preserve">la representación que realizan de los 43 estudiantes de la Normal Rural </w:t>
      </w:r>
      <w:r w:rsidR="00E03DB0" w:rsidRPr="005A17C2">
        <w:rPr>
          <w:rFonts w:ascii="Verdana" w:hAnsi="Verdana"/>
          <w:spacing w:val="-4"/>
          <w:sz w:val="20"/>
          <w:lang w:val="es-CR"/>
        </w:rPr>
        <w:t xml:space="preserve">“Raúl Isidro Burgos” de </w:t>
      </w:r>
      <w:proofErr w:type="spellStart"/>
      <w:r w:rsidR="00E03DB0" w:rsidRPr="005A17C2">
        <w:rPr>
          <w:rFonts w:ascii="Verdana" w:hAnsi="Verdana"/>
          <w:spacing w:val="-4"/>
          <w:sz w:val="20"/>
          <w:lang w:val="es-CR"/>
        </w:rPr>
        <w:t>Ayotzina</w:t>
      </w:r>
      <w:r w:rsidRPr="005A17C2">
        <w:rPr>
          <w:rFonts w:ascii="Verdana" w:hAnsi="Verdana"/>
          <w:spacing w:val="-4"/>
          <w:sz w:val="20"/>
          <w:lang w:val="es-CR"/>
        </w:rPr>
        <w:t>pa</w:t>
      </w:r>
      <w:proofErr w:type="spellEnd"/>
      <w:r w:rsidRPr="005A17C2">
        <w:rPr>
          <w:rFonts w:ascii="Verdana" w:hAnsi="Verdana"/>
          <w:spacing w:val="-4"/>
          <w:sz w:val="20"/>
          <w:lang w:val="es-CR"/>
        </w:rPr>
        <w:t xml:space="preserve"> Iguala, </w:t>
      </w:r>
      <w:r w:rsidR="00AB10DD" w:rsidRPr="005A17C2">
        <w:rPr>
          <w:rFonts w:ascii="Verdana" w:hAnsi="Verdana"/>
          <w:spacing w:val="-4"/>
          <w:sz w:val="20"/>
          <w:lang w:val="es-CR"/>
        </w:rPr>
        <w:t>presuntas</w:t>
      </w:r>
      <w:r w:rsidRPr="005A17C2">
        <w:rPr>
          <w:rFonts w:ascii="Verdana" w:hAnsi="Verdana"/>
          <w:spacing w:val="-4"/>
          <w:sz w:val="20"/>
          <w:lang w:val="es-CR"/>
        </w:rPr>
        <w:t xml:space="preserve"> víctimas de desaparición forzada</w:t>
      </w:r>
      <w:r w:rsidR="007304E6" w:rsidRPr="005A17C2">
        <w:rPr>
          <w:rFonts w:ascii="Verdana" w:hAnsi="Verdana"/>
          <w:spacing w:val="-4"/>
          <w:sz w:val="20"/>
          <w:lang w:val="es-CR"/>
        </w:rPr>
        <w:t xml:space="preserve"> e informaron</w:t>
      </w:r>
      <w:r w:rsidR="0013162C" w:rsidRPr="005A17C2">
        <w:rPr>
          <w:rFonts w:ascii="Verdana" w:hAnsi="Verdana"/>
          <w:spacing w:val="-4"/>
          <w:sz w:val="20"/>
          <w:lang w:val="es-CR"/>
        </w:rPr>
        <w:t xml:space="preserve"> que</w:t>
      </w:r>
      <w:r w:rsidRPr="005A17C2">
        <w:rPr>
          <w:rFonts w:ascii="Verdana" w:hAnsi="Verdana"/>
          <w:spacing w:val="-4"/>
          <w:sz w:val="20"/>
          <w:lang w:val="es-CR"/>
        </w:rPr>
        <w:t xml:space="preserve"> “diversas manifestaciones públicas </w:t>
      </w:r>
      <w:r w:rsidR="007304E6" w:rsidRPr="005A17C2">
        <w:rPr>
          <w:rFonts w:ascii="Verdana" w:hAnsi="Verdana"/>
          <w:spacing w:val="-4"/>
          <w:sz w:val="20"/>
          <w:lang w:val="es-CR"/>
        </w:rPr>
        <w:t xml:space="preserve">[…] </w:t>
      </w:r>
      <w:r w:rsidRPr="005A17C2">
        <w:rPr>
          <w:rFonts w:ascii="Verdana" w:hAnsi="Verdana"/>
          <w:spacing w:val="-4"/>
          <w:sz w:val="20"/>
          <w:lang w:val="es-CR"/>
        </w:rPr>
        <w:t xml:space="preserve">deslegitiman </w:t>
      </w:r>
      <w:r w:rsidR="0013162C" w:rsidRPr="005A17C2">
        <w:rPr>
          <w:rFonts w:ascii="Verdana" w:hAnsi="Verdana"/>
          <w:spacing w:val="-4"/>
          <w:sz w:val="20"/>
          <w:lang w:val="es-CR"/>
        </w:rPr>
        <w:t xml:space="preserve">[su] </w:t>
      </w:r>
      <w:r w:rsidRPr="005A17C2">
        <w:rPr>
          <w:rFonts w:ascii="Verdana" w:hAnsi="Verdana"/>
          <w:spacing w:val="-4"/>
          <w:sz w:val="20"/>
          <w:lang w:val="es-CR"/>
        </w:rPr>
        <w:t>labor</w:t>
      </w:r>
      <w:r w:rsidR="0013162C" w:rsidRPr="005A17C2">
        <w:rPr>
          <w:rFonts w:ascii="Verdana" w:hAnsi="Verdana"/>
          <w:spacing w:val="-4"/>
          <w:sz w:val="20"/>
          <w:lang w:val="es-CR"/>
        </w:rPr>
        <w:t xml:space="preserve"> [y…] </w:t>
      </w:r>
      <w:r w:rsidRPr="005A17C2">
        <w:rPr>
          <w:rFonts w:ascii="Verdana" w:hAnsi="Verdana"/>
          <w:spacing w:val="-4"/>
          <w:sz w:val="20"/>
          <w:lang w:val="es-CR"/>
        </w:rPr>
        <w:t>les col</w:t>
      </w:r>
      <w:r w:rsidR="0093606F" w:rsidRPr="005A17C2">
        <w:rPr>
          <w:rFonts w:ascii="Verdana" w:hAnsi="Verdana"/>
          <w:spacing w:val="-4"/>
          <w:sz w:val="20"/>
          <w:lang w:val="es-CR"/>
        </w:rPr>
        <w:t>o</w:t>
      </w:r>
      <w:r w:rsidRPr="005A17C2">
        <w:rPr>
          <w:rFonts w:ascii="Verdana" w:hAnsi="Verdana"/>
          <w:spacing w:val="-4"/>
          <w:sz w:val="20"/>
          <w:lang w:val="es-CR"/>
        </w:rPr>
        <w:t>ca en una mayor situación de riesgo”</w:t>
      </w:r>
      <w:r w:rsidR="0013162C" w:rsidRPr="005A17C2">
        <w:rPr>
          <w:rFonts w:ascii="Verdana" w:hAnsi="Verdana"/>
          <w:spacing w:val="-4"/>
          <w:sz w:val="20"/>
          <w:lang w:val="es-CR"/>
        </w:rPr>
        <w:t>.</w:t>
      </w:r>
      <w:r w:rsidRPr="005A17C2">
        <w:rPr>
          <w:rFonts w:ascii="Verdana" w:hAnsi="Verdana"/>
          <w:spacing w:val="-4"/>
          <w:sz w:val="20"/>
          <w:lang w:val="es-CR"/>
        </w:rPr>
        <w:t xml:space="preserve"> </w:t>
      </w:r>
      <w:r w:rsidR="0013162C" w:rsidRPr="005A17C2">
        <w:rPr>
          <w:rFonts w:ascii="Verdana" w:hAnsi="Verdana"/>
          <w:spacing w:val="-4"/>
          <w:sz w:val="20"/>
          <w:lang w:val="es-CR"/>
        </w:rPr>
        <w:t>E</w:t>
      </w:r>
      <w:r w:rsidR="00DD43BD" w:rsidRPr="005A17C2">
        <w:rPr>
          <w:rFonts w:ascii="Verdana" w:hAnsi="Verdana"/>
          <w:spacing w:val="-4"/>
          <w:sz w:val="20"/>
          <w:lang w:val="es-CR"/>
        </w:rPr>
        <w:t>xplicaron que</w:t>
      </w:r>
      <w:r w:rsidR="007304E6" w:rsidRPr="005A17C2">
        <w:rPr>
          <w:rFonts w:ascii="Verdana" w:hAnsi="Verdana"/>
          <w:spacing w:val="-4"/>
          <w:sz w:val="20"/>
          <w:lang w:val="es-CR"/>
        </w:rPr>
        <w:t>,</w:t>
      </w:r>
      <w:r w:rsidR="00DD43BD" w:rsidRPr="005A17C2">
        <w:rPr>
          <w:rFonts w:ascii="Verdana" w:hAnsi="Verdana"/>
          <w:spacing w:val="-4"/>
          <w:sz w:val="20"/>
          <w:lang w:val="es-CR"/>
        </w:rPr>
        <w:t xml:space="preserve"> </w:t>
      </w:r>
      <w:r w:rsidR="007304E6" w:rsidRPr="005A17C2">
        <w:rPr>
          <w:rFonts w:ascii="Verdana" w:hAnsi="Verdana"/>
          <w:spacing w:val="-4"/>
          <w:sz w:val="20"/>
          <w:lang w:val="es-CR"/>
        </w:rPr>
        <w:t xml:space="preserve">aunque estos hechos </w:t>
      </w:r>
      <w:r w:rsidRPr="005A17C2">
        <w:rPr>
          <w:rFonts w:ascii="Verdana" w:hAnsi="Verdana"/>
          <w:spacing w:val="-4"/>
          <w:sz w:val="20"/>
        </w:rPr>
        <w:t>no tiene</w:t>
      </w:r>
      <w:r w:rsidR="007D6346" w:rsidRPr="005A17C2">
        <w:rPr>
          <w:rFonts w:ascii="Verdana" w:hAnsi="Verdana"/>
          <w:spacing w:val="-4"/>
          <w:sz w:val="20"/>
        </w:rPr>
        <w:t>n</w:t>
      </w:r>
      <w:r w:rsidRPr="005A17C2">
        <w:rPr>
          <w:rFonts w:ascii="Verdana" w:hAnsi="Verdana"/>
          <w:spacing w:val="-4"/>
          <w:sz w:val="20"/>
        </w:rPr>
        <w:t xml:space="preserve"> relación con las presentes medidas</w:t>
      </w:r>
      <w:r w:rsidR="007304E6" w:rsidRPr="005A17C2">
        <w:rPr>
          <w:rFonts w:ascii="Verdana" w:hAnsi="Verdana"/>
          <w:spacing w:val="-4"/>
          <w:sz w:val="20"/>
        </w:rPr>
        <w:t>,</w:t>
      </w:r>
      <w:r w:rsidRPr="005A17C2">
        <w:rPr>
          <w:rFonts w:ascii="Verdana" w:hAnsi="Verdana"/>
          <w:spacing w:val="-4"/>
          <w:sz w:val="20"/>
        </w:rPr>
        <w:t xml:space="preserve"> son relevantes para demostrar el riesgo en que se encuentran</w:t>
      </w:r>
      <w:r w:rsidR="00E03DB0" w:rsidRPr="005A17C2">
        <w:rPr>
          <w:rFonts w:ascii="Verdana" w:hAnsi="Verdana"/>
          <w:spacing w:val="-4"/>
          <w:sz w:val="20"/>
        </w:rPr>
        <w:t>.</w:t>
      </w:r>
      <w:r w:rsidRPr="005A17C2">
        <w:rPr>
          <w:rFonts w:ascii="Verdana" w:hAnsi="Verdana"/>
          <w:spacing w:val="-4"/>
          <w:sz w:val="20"/>
        </w:rPr>
        <w:t xml:space="preserve"> </w:t>
      </w:r>
      <w:r w:rsidR="00E83D05" w:rsidRPr="005A17C2">
        <w:rPr>
          <w:rFonts w:ascii="Verdana" w:hAnsi="Verdana"/>
          <w:b/>
          <w:spacing w:val="-4"/>
          <w:sz w:val="20"/>
          <w:lang w:val="es-CR"/>
        </w:rPr>
        <w:t xml:space="preserve"> </w:t>
      </w:r>
    </w:p>
    <w:p w14:paraId="786019B8" w14:textId="77777777" w:rsidR="006944BF" w:rsidRPr="005A17C2" w:rsidRDefault="006944BF" w:rsidP="00BB145E">
      <w:pPr>
        <w:pStyle w:val="BodyText2"/>
        <w:spacing w:after="0" w:line="240" w:lineRule="auto"/>
        <w:jc w:val="both"/>
        <w:rPr>
          <w:rFonts w:ascii="Verdana" w:hAnsi="Verdana"/>
          <w:spacing w:val="-4"/>
          <w:sz w:val="20"/>
        </w:rPr>
      </w:pPr>
    </w:p>
    <w:p w14:paraId="19C799E3" w14:textId="528C8C1E" w:rsidR="0077002A" w:rsidRPr="005A17C2" w:rsidRDefault="004A738A" w:rsidP="00BB145E">
      <w:pPr>
        <w:pStyle w:val="BodyText2"/>
        <w:numPr>
          <w:ilvl w:val="0"/>
          <w:numId w:val="22"/>
        </w:numPr>
        <w:spacing w:after="0" w:line="240" w:lineRule="auto"/>
        <w:jc w:val="both"/>
        <w:rPr>
          <w:rFonts w:ascii="Verdana" w:hAnsi="Verdana"/>
          <w:spacing w:val="-4"/>
          <w:sz w:val="20"/>
        </w:rPr>
      </w:pPr>
      <w:r w:rsidRPr="005A17C2">
        <w:rPr>
          <w:rFonts w:ascii="Verdana" w:hAnsi="Verdana"/>
          <w:spacing w:val="-4"/>
          <w:sz w:val="20"/>
        </w:rPr>
        <w:t>Respecto lo</w:t>
      </w:r>
      <w:r w:rsidR="00F618DA" w:rsidRPr="005A17C2">
        <w:rPr>
          <w:rFonts w:ascii="Verdana" w:hAnsi="Verdana"/>
          <w:spacing w:val="-4"/>
          <w:sz w:val="20"/>
        </w:rPr>
        <w:t>s</w:t>
      </w:r>
      <w:r w:rsidR="0077002A" w:rsidRPr="005A17C2">
        <w:rPr>
          <w:rFonts w:ascii="Verdana" w:hAnsi="Verdana"/>
          <w:spacing w:val="-4"/>
          <w:sz w:val="20"/>
        </w:rPr>
        <w:t xml:space="preserve"> </w:t>
      </w:r>
      <w:r w:rsidRPr="005A17C2">
        <w:rPr>
          <w:rFonts w:ascii="Verdana" w:hAnsi="Verdana"/>
          <w:spacing w:val="-4"/>
          <w:sz w:val="20"/>
        </w:rPr>
        <w:t>hechos informados por los representantes</w:t>
      </w:r>
      <w:r w:rsidR="0077002A" w:rsidRPr="005A17C2">
        <w:rPr>
          <w:rFonts w:ascii="Verdana" w:hAnsi="Verdana"/>
          <w:spacing w:val="-4"/>
          <w:sz w:val="20"/>
        </w:rPr>
        <w:t xml:space="preserve"> </w:t>
      </w:r>
      <w:r w:rsidR="00C010EB" w:rsidRPr="005A17C2">
        <w:rPr>
          <w:rFonts w:ascii="Verdana" w:hAnsi="Verdana"/>
          <w:spacing w:val="-4"/>
          <w:sz w:val="20"/>
        </w:rPr>
        <w:t xml:space="preserve">en mayo de 2012, </w:t>
      </w:r>
      <w:r w:rsidR="0077002A" w:rsidRPr="005A17C2">
        <w:rPr>
          <w:rFonts w:ascii="Verdana" w:hAnsi="Verdana"/>
          <w:spacing w:val="-4"/>
          <w:sz w:val="20"/>
        </w:rPr>
        <w:t>la</w:t>
      </w:r>
      <w:r w:rsidR="003C759C" w:rsidRPr="005A17C2">
        <w:rPr>
          <w:rFonts w:ascii="Verdana" w:hAnsi="Verdana"/>
          <w:spacing w:val="-4"/>
          <w:sz w:val="20"/>
        </w:rPr>
        <w:t xml:space="preserve"> </w:t>
      </w:r>
      <w:r w:rsidR="003C759C" w:rsidRPr="005A17C2">
        <w:rPr>
          <w:rFonts w:ascii="Verdana" w:hAnsi="Verdana"/>
          <w:b/>
          <w:i/>
          <w:spacing w:val="-4"/>
          <w:sz w:val="20"/>
        </w:rPr>
        <w:t>Comisión</w:t>
      </w:r>
      <w:r w:rsidR="003C759C" w:rsidRPr="005A17C2">
        <w:rPr>
          <w:rFonts w:ascii="Verdana" w:hAnsi="Verdana"/>
          <w:spacing w:val="-4"/>
          <w:sz w:val="20"/>
        </w:rPr>
        <w:t xml:space="preserve"> </w:t>
      </w:r>
      <w:r w:rsidR="00C010EB" w:rsidRPr="005A17C2">
        <w:rPr>
          <w:rFonts w:ascii="Verdana" w:hAnsi="Verdana"/>
          <w:spacing w:val="-4"/>
          <w:sz w:val="20"/>
        </w:rPr>
        <w:t>manifestó que lo</w:t>
      </w:r>
      <w:r w:rsidR="002B20AB" w:rsidRPr="005A17C2">
        <w:rPr>
          <w:rFonts w:ascii="Verdana" w:hAnsi="Verdana"/>
          <w:spacing w:val="-4"/>
          <w:sz w:val="20"/>
        </w:rPr>
        <w:t>s</w:t>
      </w:r>
      <w:r w:rsidR="0077002A" w:rsidRPr="005A17C2">
        <w:rPr>
          <w:rFonts w:ascii="Verdana" w:hAnsi="Verdana"/>
          <w:spacing w:val="-4"/>
          <w:sz w:val="20"/>
        </w:rPr>
        <w:t xml:space="preserve"> consideraba de “suma gravedad</w:t>
      </w:r>
      <w:r w:rsidR="003E4EEF" w:rsidRPr="005A17C2">
        <w:rPr>
          <w:rFonts w:ascii="Verdana" w:hAnsi="Verdana"/>
          <w:spacing w:val="-4"/>
          <w:sz w:val="20"/>
        </w:rPr>
        <w:t>”</w:t>
      </w:r>
      <w:r w:rsidR="0077002A" w:rsidRPr="005A17C2">
        <w:rPr>
          <w:rFonts w:ascii="Verdana" w:hAnsi="Verdana"/>
          <w:spacing w:val="-4"/>
          <w:sz w:val="20"/>
        </w:rPr>
        <w:t xml:space="preserve"> y solicitó que </w:t>
      </w:r>
      <w:r w:rsidR="003E4EEF" w:rsidRPr="005A17C2">
        <w:rPr>
          <w:rFonts w:ascii="Verdana" w:hAnsi="Verdana"/>
          <w:spacing w:val="-4"/>
          <w:sz w:val="20"/>
        </w:rPr>
        <w:t>se req</w:t>
      </w:r>
      <w:r w:rsidRPr="005A17C2">
        <w:rPr>
          <w:rFonts w:ascii="Verdana" w:hAnsi="Verdana"/>
          <w:spacing w:val="-4"/>
          <w:sz w:val="20"/>
        </w:rPr>
        <w:t>u</w:t>
      </w:r>
      <w:r w:rsidR="0077002A" w:rsidRPr="005A17C2">
        <w:rPr>
          <w:rFonts w:ascii="Verdana" w:hAnsi="Verdana"/>
          <w:spacing w:val="-4"/>
          <w:sz w:val="20"/>
        </w:rPr>
        <w:t xml:space="preserve">iriera al Estado </w:t>
      </w:r>
      <w:r w:rsidR="003E4EEF" w:rsidRPr="005A17C2">
        <w:rPr>
          <w:rFonts w:ascii="Verdana" w:hAnsi="Verdana"/>
          <w:spacing w:val="-4"/>
          <w:sz w:val="20"/>
        </w:rPr>
        <w:t xml:space="preserve">adoptar </w:t>
      </w:r>
      <w:r w:rsidR="0077002A" w:rsidRPr="005A17C2">
        <w:rPr>
          <w:rFonts w:ascii="Verdana" w:hAnsi="Verdana"/>
          <w:spacing w:val="-4"/>
          <w:sz w:val="20"/>
        </w:rPr>
        <w:t>las medidas necesarias para proteger al señor Rosales y a los de</w:t>
      </w:r>
      <w:r w:rsidR="003E4EEF" w:rsidRPr="005A17C2">
        <w:rPr>
          <w:rFonts w:ascii="Verdana" w:hAnsi="Verdana"/>
          <w:spacing w:val="-4"/>
          <w:sz w:val="20"/>
        </w:rPr>
        <w:t xml:space="preserve">más miembros de la organización. De acuerdo a la Comisión, de </w:t>
      </w:r>
      <w:r w:rsidR="0077002A" w:rsidRPr="005A17C2">
        <w:rPr>
          <w:rFonts w:ascii="Verdana" w:hAnsi="Verdana"/>
          <w:spacing w:val="-4"/>
          <w:sz w:val="20"/>
        </w:rPr>
        <w:t xml:space="preserve">los términos de la amenaza es claro que ésta se basa en la labor del abogado Rosales, </w:t>
      </w:r>
      <w:r w:rsidR="00E43F5C" w:rsidRPr="005A17C2">
        <w:rPr>
          <w:rFonts w:ascii="Verdana" w:hAnsi="Verdana"/>
          <w:spacing w:val="-4"/>
          <w:sz w:val="20"/>
        </w:rPr>
        <w:t>como</w:t>
      </w:r>
      <w:r w:rsidR="002B20AB" w:rsidRPr="005A17C2">
        <w:rPr>
          <w:rFonts w:ascii="Verdana" w:hAnsi="Verdana"/>
          <w:spacing w:val="-4"/>
          <w:sz w:val="20"/>
        </w:rPr>
        <w:t xml:space="preserve"> parte de </w:t>
      </w:r>
      <w:proofErr w:type="spellStart"/>
      <w:r w:rsidR="002B20AB" w:rsidRPr="005A17C2">
        <w:rPr>
          <w:rFonts w:ascii="Verdana" w:hAnsi="Verdana"/>
          <w:spacing w:val="-4"/>
          <w:sz w:val="20"/>
        </w:rPr>
        <w:t>Tl</w:t>
      </w:r>
      <w:r w:rsidR="0077002A" w:rsidRPr="005A17C2">
        <w:rPr>
          <w:rFonts w:ascii="Verdana" w:hAnsi="Verdana"/>
          <w:spacing w:val="-4"/>
          <w:sz w:val="20"/>
        </w:rPr>
        <w:t>achinollan</w:t>
      </w:r>
      <w:proofErr w:type="spellEnd"/>
      <w:r w:rsidR="0077002A" w:rsidRPr="005A17C2">
        <w:rPr>
          <w:rFonts w:ascii="Verdana" w:hAnsi="Verdana"/>
          <w:spacing w:val="-4"/>
          <w:sz w:val="20"/>
        </w:rPr>
        <w:t>, en defensa de víctimas de violaciones de derechos human</w:t>
      </w:r>
      <w:r w:rsidR="004C555A" w:rsidRPr="005A17C2">
        <w:rPr>
          <w:rFonts w:ascii="Verdana" w:hAnsi="Verdana"/>
          <w:spacing w:val="-4"/>
          <w:sz w:val="20"/>
        </w:rPr>
        <w:t>os, entre las que se encuentra</w:t>
      </w:r>
      <w:r w:rsidR="003E4EEF" w:rsidRPr="005A17C2">
        <w:rPr>
          <w:rFonts w:ascii="Verdana" w:hAnsi="Verdana"/>
          <w:spacing w:val="-4"/>
          <w:sz w:val="20"/>
        </w:rPr>
        <w:t xml:space="preserve"> Inés Fernández</w:t>
      </w:r>
      <w:r w:rsidR="002B20AB" w:rsidRPr="005A17C2">
        <w:rPr>
          <w:rFonts w:ascii="Verdana" w:hAnsi="Verdana"/>
          <w:spacing w:val="-4"/>
          <w:sz w:val="20"/>
        </w:rPr>
        <w:t>.</w:t>
      </w:r>
      <w:r w:rsidR="0077002A" w:rsidRPr="005A17C2">
        <w:rPr>
          <w:rFonts w:ascii="Verdana" w:hAnsi="Verdana"/>
          <w:spacing w:val="-4"/>
          <w:sz w:val="20"/>
        </w:rPr>
        <w:t xml:space="preserve"> </w:t>
      </w:r>
      <w:r w:rsidR="002B20AB" w:rsidRPr="005A17C2">
        <w:rPr>
          <w:rFonts w:ascii="Verdana" w:hAnsi="Verdana"/>
          <w:spacing w:val="-4"/>
          <w:sz w:val="20"/>
        </w:rPr>
        <w:t>D</w:t>
      </w:r>
      <w:r w:rsidR="00E43F5C" w:rsidRPr="005A17C2">
        <w:rPr>
          <w:rFonts w:ascii="Verdana" w:hAnsi="Verdana"/>
          <w:spacing w:val="-4"/>
          <w:sz w:val="20"/>
        </w:rPr>
        <w:t>estacó que dichas amenazas “se extiende</w:t>
      </w:r>
      <w:r w:rsidR="00B774A9" w:rsidRPr="005A17C2">
        <w:rPr>
          <w:rFonts w:ascii="Verdana" w:hAnsi="Verdana"/>
          <w:spacing w:val="-4"/>
          <w:sz w:val="20"/>
        </w:rPr>
        <w:t>[n]</w:t>
      </w:r>
      <w:r w:rsidR="00E43F5C" w:rsidRPr="005A17C2">
        <w:rPr>
          <w:rFonts w:ascii="Verdana" w:hAnsi="Verdana"/>
          <w:spacing w:val="-4"/>
          <w:sz w:val="20"/>
        </w:rPr>
        <w:t xml:space="preserve"> a la organización a la que pertenece </w:t>
      </w:r>
      <w:r w:rsidR="00F0250B" w:rsidRPr="005A17C2">
        <w:rPr>
          <w:rFonts w:ascii="Verdana" w:hAnsi="Verdana"/>
          <w:spacing w:val="-4"/>
          <w:sz w:val="20"/>
        </w:rPr>
        <w:t>y a las víctimas que representa</w:t>
      </w:r>
      <w:r w:rsidR="00E43F5C" w:rsidRPr="005A17C2">
        <w:rPr>
          <w:rFonts w:ascii="Verdana" w:hAnsi="Verdana"/>
          <w:spacing w:val="-4"/>
          <w:sz w:val="20"/>
        </w:rPr>
        <w:t>”</w:t>
      </w:r>
      <w:r w:rsidR="003E4EEF" w:rsidRPr="005A17C2">
        <w:rPr>
          <w:rFonts w:ascii="Verdana" w:hAnsi="Verdana"/>
          <w:spacing w:val="-4"/>
          <w:sz w:val="20"/>
        </w:rPr>
        <w:t>.</w:t>
      </w:r>
      <w:r w:rsidR="00E43F5C" w:rsidRPr="005A17C2">
        <w:rPr>
          <w:rFonts w:ascii="Verdana" w:hAnsi="Verdana"/>
          <w:spacing w:val="-4"/>
          <w:sz w:val="20"/>
        </w:rPr>
        <w:t xml:space="preserve"> </w:t>
      </w:r>
      <w:r w:rsidR="00B774A9" w:rsidRPr="005A17C2">
        <w:rPr>
          <w:rFonts w:ascii="Verdana" w:hAnsi="Verdana"/>
          <w:spacing w:val="-4"/>
          <w:sz w:val="20"/>
        </w:rPr>
        <w:t xml:space="preserve">Señaló que el Estado tiene el deber de identificar a los responsables de los actos de amenazas y en ese sentido expresó su </w:t>
      </w:r>
      <w:r w:rsidR="00A8290B" w:rsidRPr="005A17C2">
        <w:rPr>
          <w:rFonts w:ascii="Verdana" w:hAnsi="Verdana"/>
          <w:spacing w:val="-4"/>
          <w:sz w:val="20"/>
        </w:rPr>
        <w:t xml:space="preserve">preocupación </w:t>
      </w:r>
      <w:r w:rsidR="001D77CD" w:rsidRPr="005A17C2">
        <w:rPr>
          <w:rFonts w:ascii="Verdana" w:hAnsi="Verdana"/>
          <w:spacing w:val="-4"/>
          <w:sz w:val="20"/>
        </w:rPr>
        <w:t xml:space="preserve">por la falta de </w:t>
      </w:r>
      <w:r w:rsidR="00A8290B" w:rsidRPr="005A17C2">
        <w:rPr>
          <w:rFonts w:ascii="Verdana" w:hAnsi="Verdana"/>
          <w:spacing w:val="-4"/>
          <w:sz w:val="20"/>
        </w:rPr>
        <w:t>avances en la</w:t>
      </w:r>
      <w:r w:rsidR="004C555A" w:rsidRPr="005A17C2">
        <w:rPr>
          <w:rFonts w:ascii="Verdana" w:hAnsi="Verdana"/>
          <w:spacing w:val="-4"/>
          <w:sz w:val="20"/>
        </w:rPr>
        <w:t>s investigaciones</w:t>
      </w:r>
      <w:r w:rsidR="00B774A9" w:rsidRPr="005A17C2">
        <w:rPr>
          <w:rFonts w:ascii="Verdana" w:hAnsi="Verdana"/>
          <w:spacing w:val="-4"/>
          <w:sz w:val="20"/>
        </w:rPr>
        <w:t xml:space="preserve">. Finalmente consideró </w:t>
      </w:r>
      <w:r w:rsidR="001D77CD" w:rsidRPr="005A17C2">
        <w:rPr>
          <w:rFonts w:ascii="Verdana" w:hAnsi="Verdana"/>
          <w:spacing w:val="-4"/>
          <w:sz w:val="20"/>
        </w:rPr>
        <w:t>que se debe tomar en cuenta la labor de l</w:t>
      </w:r>
      <w:r w:rsidR="00B774A9" w:rsidRPr="005A17C2">
        <w:rPr>
          <w:rFonts w:ascii="Verdana" w:hAnsi="Verdana"/>
          <w:spacing w:val="-4"/>
          <w:sz w:val="20"/>
        </w:rPr>
        <w:t>os</w:t>
      </w:r>
      <w:r w:rsidR="001D77CD" w:rsidRPr="005A17C2">
        <w:rPr>
          <w:rFonts w:ascii="Verdana" w:hAnsi="Verdana"/>
          <w:spacing w:val="-4"/>
          <w:sz w:val="20"/>
        </w:rPr>
        <w:t xml:space="preserve"> beneficiarios a fin de identificar las fuentes de riesgo</w:t>
      </w:r>
      <w:r w:rsidR="003F63F8" w:rsidRPr="005A17C2">
        <w:rPr>
          <w:rFonts w:ascii="Verdana" w:hAnsi="Verdana"/>
          <w:spacing w:val="-4"/>
          <w:sz w:val="20"/>
        </w:rPr>
        <w:t>.</w:t>
      </w:r>
      <w:r w:rsidR="003F63F8" w:rsidRPr="005A17C2">
        <w:rPr>
          <w:rFonts w:ascii="Verdana" w:hAnsi="Verdana"/>
          <w:b/>
          <w:spacing w:val="-4"/>
          <w:sz w:val="20"/>
        </w:rPr>
        <w:t xml:space="preserve"> </w:t>
      </w:r>
    </w:p>
    <w:p w14:paraId="19675EA0" w14:textId="77777777" w:rsidR="008B1EBC" w:rsidRPr="005A17C2" w:rsidRDefault="008B1EBC" w:rsidP="00BB145E">
      <w:pPr>
        <w:pStyle w:val="ColorfulList-Accent11"/>
        <w:contextualSpacing w:val="0"/>
        <w:jc w:val="both"/>
        <w:rPr>
          <w:rFonts w:ascii="Verdana" w:hAnsi="Verdana"/>
          <w:spacing w:val="-4"/>
          <w:sz w:val="20"/>
        </w:rPr>
      </w:pPr>
    </w:p>
    <w:p w14:paraId="2DA5ECB4" w14:textId="117AD96F" w:rsidR="00863BBA" w:rsidRPr="005A17C2" w:rsidRDefault="003C759C" w:rsidP="00BB145E">
      <w:pPr>
        <w:pStyle w:val="BodyText2"/>
        <w:numPr>
          <w:ilvl w:val="0"/>
          <w:numId w:val="22"/>
        </w:numPr>
        <w:spacing w:after="0" w:line="240" w:lineRule="auto"/>
        <w:jc w:val="both"/>
        <w:rPr>
          <w:rFonts w:ascii="Verdana" w:hAnsi="Verdana"/>
          <w:spacing w:val="-4"/>
          <w:sz w:val="20"/>
        </w:rPr>
      </w:pPr>
      <w:r w:rsidRPr="005A17C2">
        <w:rPr>
          <w:rFonts w:ascii="Verdana" w:hAnsi="Verdana"/>
          <w:spacing w:val="-4"/>
          <w:sz w:val="20"/>
        </w:rPr>
        <w:t xml:space="preserve">El </w:t>
      </w:r>
      <w:r w:rsidRPr="005A17C2">
        <w:rPr>
          <w:rFonts w:ascii="Verdana" w:hAnsi="Verdana"/>
          <w:b/>
          <w:i/>
          <w:spacing w:val="-4"/>
          <w:sz w:val="20"/>
        </w:rPr>
        <w:t>Estado</w:t>
      </w:r>
      <w:r w:rsidRPr="005A17C2">
        <w:rPr>
          <w:rFonts w:ascii="Verdana" w:hAnsi="Verdana"/>
          <w:spacing w:val="-4"/>
          <w:sz w:val="20"/>
        </w:rPr>
        <w:t xml:space="preserve"> </w:t>
      </w:r>
      <w:r w:rsidR="00901741" w:rsidRPr="005A17C2">
        <w:rPr>
          <w:rFonts w:ascii="Verdana" w:hAnsi="Verdana"/>
          <w:spacing w:val="-4"/>
          <w:sz w:val="20"/>
        </w:rPr>
        <w:t>señaló que “ha</w:t>
      </w:r>
      <w:r w:rsidR="008B1EBC" w:rsidRPr="005A17C2">
        <w:rPr>
          <w:rFonts w:ascii="Verdana" w:hAnsi="Verdana"/>
          <w:spacing w:val="-4"/>
          <w:sz w:val="20"/>
        </w:rPr>
        <w:t xml:space="preserve"> manifestado su total disposición para construir, en colaboración con l</w:t>
      </w:r>
      <w:r w:rsidR="00143D7C" w:rsidRPr="005A17C2">
        <w:rPr>
          <w:rFonts w:ascii="Verdana" w:hAnsi="Verdana"/>
          <w:spacing w:val="-4"/>
          <w:sz w:val="20"/>
        </w:rPr>
        <w:t>[o]</w:t>
      </w:r>
      <w:r w:rsidR="008B1EBC" w:rsidRPr="005A17C2">
        <w:rPr>
          <w:rFonts w:ascii="Verdana" w:hAnsi="Verdana"/>
          <w:spacing w:val="-4"/>
          <w:sz w:val="20"/>
        </w:rPr>
        <w:t xml:space="preserve">s </w:t>
      </w:r>
      <w:proofErr w:type="spellStart"/>
      <w:r w:rsidR="008B1EBC" w:rsidRPr="005A17C2">
        <w:rPr>
          <w:rFonts w:ascii="Verdana" w:hAnsi="Verdana"/>
          <w:spacing w:val="-4"/>
          <w:sz w:val="20"/>
        </w:rPr>
        <w:t>beneficiari</w:t>
      </w:r>
      <w:proofErr w:type="spellEnd"/>
      <w:r w:rsidR="00143D7C" w:rsidRPr="005A17C2">
        <w:rPr>
          <w:rFonts w:ascii="Verdana" w:hAnsi="Verdana"/>
          <w:spacing w:val="-4"/>
          <w:sz w:val="20"/>
        </w:rPr>
        <w:t>[o]</w:t>
      </w:r>
      <w:r w:rsidR="008B1EBC" w:rsidRPr="005A17C2">
        <w:rPr>
          <w:rFonts w:ascii="Verdana" w:hAnsi="Verdana"/>
          <w:spacing w:val="-4"/>
          <w:sz w:val="20"/>
        </w:rPr>
        <w:t xml:space="preserve">s, los mecanismos necesarios para garantizar la integridad </w:t>
      </w:r>
      <w:r w:rsidR="00F0250B" w:rsidRPr="005A17C2">
        <w:rPr>
          <w:rFonts w:ascii="Verdana" w:hAnsi="Verdana"/>
          <w:spacing w:val="-4"/>
          <w:sz w:val="20"/>
        </w:rPr>
        <w:t xml:space="preserve">de </w:t>
      </w:r>
      <w:r w:rsidR="00B643A7" w:rsidRPr="005A17C2">
        <w:rPr>
          <w:rFonts w:ascii="Verdana" w:hAnsi="Verdana"/>
          <w:spacing w:val="-4"/>
          <w:sz w:val="20"/>
        </w:rPr>
        <w:t>[</w:t>
      </w:r>
      <w:proofErr w:type="spellStart"/>
      <w:r w:rsidR="00B643A7" w:rsidRPr="005A17C2">
        <w:rPr>
          <w:rFonts w:ascii="Verdana" w:hAnsi="Verdana"/>
          <w:spacing w:val="-4"/>
          <w:sz w:val="20"/>
        </w:rPr>
        <w:t>Vidulfo</w:t>
      </w:r>
      <w:proofErr w:type="spellEnd"/>
      <w:r w:rsidR="00B643A7" w:rsidRPr="005A17C2">
        <w:rPr>
          <w:rFonts w:ascii="Verdana" w:hAnsi="Verdana"/>
          <w:spacing w:val="-4"/>
          <w:sz w:val="20"/>
        </w:rPr>
        <w:t xml:space="preserve"> Rosales Sierra]</w:t>
      </w:r>
      <w:r w:rsidR="00246AA1" w:rsidRPr="005A17C2">
        <w:rPr>
          <w:rFonts w:ascii="Verdana" w:hAnsi="Verdana"/>
          <w:spacing w:val="-4"/>
          <w:sz w:val="20"/>
        </w:rPr>
        <w:t xml:space="preserve">”. </w:t>
      </w:r>
      <w:r w:rsidR="009B5D6A" w:rsidRPr="005A17C2">
        <w:rPr>
          <w:rFonts w:ascii="Verdana" w:hAnsi="Verdana"/>
          <w:spacing w:val="-4"/>
          <w:sz w:val="20"/>
        </w:rPr>
        <w:t xml:space="preserve">Respecto de las </w:t>
      </w:r>
      <w:r w:rsidR="003F63F8" w:rsidRPr="005A17C2">
        <w:rPr>
          <w:rFonts w:ascii="Verdana" w:hAnsi="Verdana"/>
          <w:spacing w:val="-4"/>
          <w:sz w:val="20"/>
        </w:rPr>
        <w:t xml:space="preserve">presuntas </w:t>
      </w:r>
      <w:r w:rsidR="009B5D6A" w:rsidRPr="005A17C2">
        <w:rPr>
          <w:rFonts w:ascii="Verdana" w:hAnsi="Verdana"/>
          <w:spacing w:val="-4"/>
          <w:sz w:val="20"/>
        </w:rPr>
        <w:t xml:space="preserve">amenazas </w:t>
      </w:r>
      <w:r w:rsidR="003F63F8" w:rsidRPr="005A17C2">
        <w:rPr>
          <w:rFonts w:ascii="Verdana" w:hAnsi="Verdana"/>
          <w:spacing w:val="-4"/>
          <w:sz w:val="20"/>
        </w:rPr>
        <w:t xml:space="preserve">sufridas por </w:t>
      </w:r>
      <w:r w:rsidR="009B5D6A" w:rsidRPr="005A17C2">
        <w:rPr>
          <w:rFonts w:ascii="Verdana" w:hAnsi="Verdana"/>
          <w:spacing w:val="-4"/>
          <w:sz w:val="20"/>
        </w:rPr>
        <w:t xml:space="preserve">Andrea </w:t>
      </w:r>
      <w:r w:rsidR="00F93D58">
        <w:rPr>
          <w:rFonts w:ascii="Verdana" w:hAnsi="Verdana"/>
          <w:spacing w:val="-4"/>
          <w:sz w:val="20"/>
        </w:rPr>
        <w:t xml:space="preserve">Eugenio </w:t>
      </w:r>
      <w:r w:rsidR="009B5D6A" w:rsidRPr="005A17C2">
        <w:rPr>
          <w:rFonts w:ascii="Verdana" w:hAnsi="Verdana"/>
          <w:spacing w:val="-4"/>
          <w:sz w:val="20"/>
        </w:rPr>
        <w:t xml:space="preserve">Manuel, Crispín Santiago González y </w:t>
      </w:r>
      <w:proofErr w:type="spellStart"/>
      <w:r w:rsidR="009B5D6A" w:rsidRPr="005A17C2">
        <w:rPr>
          <w:rFonts w:ascii="Verdana" w:hAnsi="Verdana"/>
          <w:spacing w:val="-4"/>
          <w:sz w:val="20"/>
        </w:rPr>
        <w:t>Ob</w:t>
      </w:r>
      <w:r w:rsidR="00082187" w:rsidRPr="005A17C2">
        <w:rPr>
          <w:rFonts w:ascii="Verdana" w:hAnsi="Verdana"/>
          <w:spacing w:val="-4"/>
          <w:sz w:val="20"/>
        </w:rPr>
        <w:t>tilia</w:t>
      </w:r>
      <w:proofErr w:type="spellEnd"/>
      <w:r w:rsidR="00082187" w:rsidRPr="005A17C2">
        <w:rPr>
          <w:rFonts w:ascii="Verdana" w:hAnsi="Verdana"/>
          <w:spacing w:val="-4"/>
          <w:sz w:val="20"/>
        </w:rPr>
        <w:t xml:space="preserve"> Eugenio Manuel, </w:t>
      </w:r>
      <w:r w:rsidR="0052196D" w:rsidRPr="005A17C2">
        <w:rPr>
          <w:rFonts w:ascii="Verdana" w:hAnsi="Verdana"/>
          <w:spacing w:val="-4"/>
          <w:sz w:val="20"/>
        </w:rPr>
        <w:t xml:space="preserve">indicó </w:t>
      </w:r>
      <w:r w:rsidR="009B5D6A" w:rsidRPr="005A17C2">
        <w:rPr>
          <w:rFonts w:ascii="Verdana" w:hAnsi="Verdana"/>
          <w:spacing w:val="-4"/>
          <w:sz w:val="20"/>
        </w:rPr>
        <w:t xml:space="preserve">que </w:t>
      </w:r>
      <w:r w:rsidR="001D77CD" w:rsidRPr="005A17C2">
        <w:rPr>
          <w:rFonts w:ascii="Verdana" w:hAnsi="Verdana"/>
          <w:spacing w:val="-4"/>
          <w:sz w:val="20"/>
        </w:rPr>
        <w:t>las medidas acordadas</w:t>
      </w:r>
      <w:r w:rsidR="0052196D" w:rsidRPr="005A17C2">
        <w:rPr>
          <w:rFonts w:ascii="Verdana" w:hAnsi="Verdana"/>
          <w:spacing w:val="-4"/>
          <w:sz w:val="20"/>
        </w:rPr>
        <w:t xml:space="preserve"> se estaban llevando a cabo, así como </w:t>
      </w:r>
      <w:r w:rsidR="00EC02E4" w:rsidRPr="005A17C2">
        <w:rPr>
          <w:rFonts w:ascii="Verdana" w:hAnsi="Verdana"/>
          <w:spacing w:val="-4"/>
          <w:sz w:val="20"/>
        </w:rPr>
        <w:t xml:space="preserve">se refirió a </w:t>
      </w:r>
      <w:r w:rsidR="001D77CD" w:rsidRPr="005A17C2">
        <w:rPr>
          <w:rFonts w:ascii="Verdana" w:hAnsi="Verdana"/>
          <w:spacing w:val="-4"/>
          <w:sz w:val="20"/>
        </w:rPr>
        <w:t xml:space="preserve">la realización de </w:t>
      </w:r>
      <w:r w:rsidR="00EC02E4" w:rsidRPr="005A17C2">
        <w:rPr>
          <w:rFonts w:ascii="Verdana" w:hAnsi="Verdana"/>
          <w:spacing w:val="-4"/>
          <w:sz w:val="20"/>
        </w:rPr>
        <w:t xml:space="preserve">averiguaciones previas </w:t>
      </w:r>
      <w:r w:rsidR="003F63F8" w:rsidRPr="005A17C2">
        <w:rPr>
          <w:rFonts w:ascii="Verdana" w:hAnsi="Verdana"/>
          <w:spacing w:val="-4"/>
          <w:sz w:val="20"/>
        </w:rPr>
        <w:t xml:space="preserve">al respecto, al igual que por los hechos sufridos por el señor </w:t>
      </w:r>
      <w:proofErr w:type="spellStart"/>
      <w:r w:rsidR="003F63F8" w:rsidRPr="005A17C2">
        <w:rPr>
          <w:rFonts w:ascii="Verdana" w:hAnsi="Verdana"/>
          <w:spacing w:val="-4"/>
          <w:sz w:val="20"/>
        </w:rPr>
        <w:t>Vidulfo</w:t>
      </w:r>
      <w:proofErr w:type="spellEnd"/>
      <w:r w:rsidR="003F63F8" w:rsidRPr="005A17C2">
        <w:rPr>
          <w:rFonts w:ascii="Verdana" w:hAnsi="Verdana"/>
          <w:spacing w:val="-4"/>
          <w:sz w:val="20"/>
        </w:rPr>
        <w:t xml:space="preserve"> González y </w:t>
      </w:r>
      <w:r w:rsidR="00EC02E4" w:rsidRPr="005A17C2">
        <w:rPr>
          <w:rFonts w:ascii="Verdana" w:hAnsi="Verdana"/>
          <w:spacing w:val="-4"/>
          <w:sz w:val="20"/>
        </w:rPr>
        <w:t>Abel Barrera</w:t>
      </w:r>
      <w:r w:rsidR="0047662E" w:rsidRPr="005A17C2">
        <w:rPr>
          <w:rFonts w:ascii="Verdana" w:hAnsi="Verdana"/>
          <w:spacing w:val="-4"/>
          <w:sz w:val="20"/>
        </w:rPr>
        <w:t>.</w:t>
      </w:r>
      <w:r w:rsidR="00EC02E4" w:rsidRPr="005A17C2">
        <w:rPr>
          <w:rFonts w:ascii="Verdana" w:hAnsi="Verdana"/>
          <w:spacing w:val="-4"/>
          <w:sz w:val="20"/>
        </w:rPr>
        <w:t xml:space="preserve"> </w:t>
      </w:r>
      <w:r w:rsidR="00EC02E4" w:rsidRPr="005A17C2">
        <w:rPr>
          <w:rFonts w:ascii="Verdana" w:hAnsi="Verdana"/>
          <w:vanish/>
          <w:spacing w:val="-4"/>
          <w:sz w:val="20"/>
        </w:rPr>
        <w:t>H</w:t>
      </w:r>
      <w:r w:rsidR="001D77CD" w:rsidRPr="005A17C2">
        <w:rPr>
          <w:rFonts w:ascii="Verdana" w:hAnsi="Verdana"/>
          <w:spacing w:val="-4"/>
          <w:sz w:val="20"/>
        </w:rPr>
        <w:t xml:space="preserve">Respecto a los alegados hechos de riesgo relacionados con </w:t>
      </w:r>
      <w:r w:rsidR="00473F9A" w:rsidRPr="005A17C2">
        <w:rPr>
          <w:rFonts w:ascii="Verdana" w:hAnsi="Verdana"/>
          <w:spacing w:val="-4"/>
          <w:sz w:val="20"/>
        </w:rPr>
        <w:t xml:space="preserve">la </w:t>
      </w:r>
      <w:r w:rsidR="009622D3" w:rsidRPr="005A17C2">
        <w:rPr>
          <w:rFonts w:ascii="Verdana" w:hAnsi="Verdana"/>
          <w:spacing w:val="-4"/>
          <w:sz w:val="20"/>
        </w:rPr>
        <w:t xml:space="preserve">presunta </w:t>
      </w:r>
      <w:r w:rsidR="00473F9A" w:rsidRPr="005A17C2">
        <w:rPr>
          <w:rFonts w:ascii="Verdana" w:hAnsi="Verdana"/>
          <w:spacing w:val="-4"/>
          <w:sz w:val="20"/>
        </w:rPr>
        <w:t>des</w:t>
      </w:r>
      <w:r w:rsidR="001D77CD" w:rsidRPr="005A17C2">
        <w:rPr>
          <w:rFonts w:ascii="Verdana" w:hAnsi="Verdana"/>
          <w:spacing w:val="-4"/>
          <w:sz w:val="20"/>
        </w:rPr>
        <w:t xml:space="preserve">aparición de los 43 estudiantes, </w:t>
      </w:r>
      <w:r w:rsidR="00473F9A" w:rsidRPr="005A17C2">
        <w:rPr>
          <w:rFonts w:ascii="Verdana" w:hAnsi="Verdana"/>
          <w:spacing w:val="-4"/>
          <w:sz w:val="20"/>
        </w:rPr>
        <w:t xml:space="preserve">el Estado </w:t>
      </w:r>
      <w:r w:rsidR="001D77CD" w:rsidRPr="005A17C2">
        <w:rPr>
          <w:rFonts w:ascii="Verdana" w:hAnsi="Verdana"/>
          <w:spacing w:val="-4"/>
          <w:sz w:val="20"/>
        </w:rPr>
        <w:t>indicó que “e</w:t>
      </w:r>
      <w:r w:rsidR="0021508B" w:rsidRPr="005A17C2">
        <w:rPr>
          <w:rFonts w:ascii="Verdana" w:hAnsi="Verdana"/>
          <w:spacing w:val="-4"/>
          <w:sz w:val="20"/>
        </w:rPr>
        <w:t xml:space="preserve">stos no </w:t>
      </w:r>
      <w:proofErr w:type="gramStart"/>
      <w:r w:rsidR="0021508B" w:rsidRPr="005A17C2">
        <w:rPr>
          <w:rFonts w:ascii="Verdana" w:hAnsi="Verdana"/>
          <w:spacing w:val="-4"/>
          <w:sz w:val="20"/>
        </w:rPr>
        <w:t>guarda[</w:t>
      </w:r>
      <w:proofErr w:type="spellStart"/>
      <w:proofErr w:type="gramEnd"/>
      <w:r w:rsidR="0021508B" w:rsidRPr="005A17C2">
        <w:rPr>
          <w:rFonts w:ascii="Verdana" w:hAnsi="Verdana"/>
          <w:spacing w:val="-4"/>
          <w:sz w:val="20"/>
        </w:rPr>
        <w:t>ban</w:t>
      </w:r>
      <w:proofErr w:type="spellEnd"/>
      <w:r w:rsidR="0021508B" w:rsidRPr="005A17C2">
        <w:rPr>
          <w:rFonts w:ascii="Verdana" w:hAnsi="Verdana"/>
          <w:spacing w:val="-4"/>
          <w:sz w:val="20"/>
        </w:rPr>
        <w:t>]</w:t>
      </w:r>
      <w:r w:rsidR="00082187" w:rsidRPr="005A17C2">
        <w:rPr>
          <w:rFonts w:ascii="Verdana" w:hAnsi="Verdana"/>
          <w:spacing w:val="-4"/>
          <w:sz w:val="20"/>
        </w:rPr>
        <w:t xml:space="preserve"> relación alguna con aqué</w:t>
      </w:r>
      <w:r w:rsidR="00473F9A" w:rsidRPr="005A17C2">
        <w:rPr>
          <w:rFonts w:ascii="Verdana" w:hAnsi="Verdana"/>
          <w:spacing w:val="-4"/>
          <w:sz w:val="20"/>
        </w:rPr>
        <w:t xml:space="preserve">llos que motivaron el otorgamiento de las </w:t>
      </w:r>
      <w:r w:rsidR="0021508B" w:rsidRPr="005A17C2">
        <w:rPr>
          <w:rFonts w:ascii="Verdana" w:hAnsi="Verdana"/>
          <w:spacing w:val="-4"/>
          <w:sz w:val="20"/>
        </w:rPr>
        <w:t>presentes medidas provisionales</w:t>
      </w:r>
      <w:r w:rsidR="00473F9A" w:rsidRPr="005A17C2">
        <w:rPr>
          <w:rFonts w:ascii="Verdana" w:hAnsi="Verdana"/>
          <w:spacing w:val="-4"/>
          <w:sz w:val="20"/>
        </w:rPr>
        <w:t>”</w:t>
      </w:r>
      <w:r w:rsidR="00E83D05" w:rsidRPr="005A17C2">
        <w:rPr>
          <w:rFonts w:ascii="Verdana" w:hAnsi="Verdana"/>
          <w:spacing w:val="-4"/>
          <w:sz w:val="20"/>
        </w:rPr>
        <w:t>, por lo cual no debían ser materia de análisis</w:t>
      </w:r>
      <w:r w:rsidR="0052196D" w:rsidRPr="005A17C2">
        <w:rPr>
          <w:rFonts w:ascii="Verdana" w:hAnsi="Verdana"/>
          <w:spacing w:val="-4"/>
          <w:sz w:val="20"/>
        </w:rPr>
        <w:t xml:space="preserve"> en estas medidas</w:t>
      </w:r>
      <w:r w:rsidR="00F0250B" w:rsidRPr="005A17C2">
        <w:rPr>
          <w:rFonts w:ascii="Verdana" w:hAnsi="Verdana"/>
          <w:spacing w:val="-4"/>
          <w:sz w:val="20"/>
        </w:rPr>
        <w:t>.</w:t>
      </w:r>
      <w:r w:rsidR="00473F9A" w:rsidRPr="005A17C2">
        <w:rPr>
          <w:rFonts w:ascii="Verdana" w:hAnsi="Verdana"/>
          <w:spacing w:val="-4"/>
          <w:sz w:val="20"/>
        </w:rPr>
        <w:t xml:space="preserve"> </w:t>
      </w:r>
    </w:p>
    <w:p w14:paraId="5176814B" w14:textId="77777777" w:rsidR="0040534C" w:rsidRPr="005A17C2" w:rsidRDefault="0040534C" w:rsidP="00BB145E">
      <w:pPr>
        <w:pStyle w:val="BodyText2"/>
        <w:spacing w:after="0" w:line="240" w:lineRule="auto"/>
        <w:jc w:val="both"/>
        <w:rPr>
          <w:rFonts w:ascii="Verdana" w:hAnsi="Verdana"/>
          <w:b/>
          <w:spacing w:val="-4"/>
          <w:sz w:val="20"/>
        </w:rPr>
      </w:pPr>
    </w:p>
    <w:p w14:paraId="4A4AF429" w14:textId="6FAFACC3" w:rsidR="00CD3FF1" w:rsidRPr="005A17C2" w:rsidRDefault="00560CE6" w:rsidP="00BB145E">
      <w:pPr>
        <w:pStyle w:val="BodyText2"/>
        <w:spacing w:after="0" w:line="240" w:lineRule="auto"/>
        <w:ind w:left="720" w:firstLine="720"/>
        <w:jc w:val="both"/>
        <w:rPr>
          <w:rFonts w:ascii="Verdana" w:hAnsi="Verdana"/>
          <w:b/>
          <w:spacing w:val="-4"/>
          <w:sz w:val="20"/>
          <w:highlight w:val="magenta"/>
        </w:rPr>
      </w:pPr>
      <w:r w:rsidRPr="005A17C2">
        <w:rPr>
          <w:rFonts w:ascii="Verdana" w:hAnsi="Verdana"/>
          <w:b/>
          <w:spacing w:val="-4"/>
          <w:sz w:val="20"/>
        </w:rPr>
        <w:t xml:space="preserve">B.2) </w:t>
      </w:r>
      <w:r w:rsidR="00CD3FF1" w:rsidRPr="005A17C2">
        <w:rPr>
          <w:rFonts w:ascii="Verdana" w:hAnsi="Verdana"/>
          <w:b/>
          <w:spacing w:val="-4"/>
          <w:sz w:val="20"/>
        </w:rPr>
        <w:t>Consideraciones de la Corte</w:t>
      </w:r>
    </w:p>
    <w:p w14:paraId="3885A189" w14:textId="77777777" w:rsidR="00C010EB" w:rsidRPr="005A17C2" w:rsidRDefault="00C010EB" w:rsidP="00BB145E">
      <w:pPr>
        <w:pStyle w:val="BodyText2"/>
        <w:spacing w:after="0" w:line="240" w:lineRule="auto"/>
        <w:jc w:val="both"/>
        <w:rPr>
          <w:rFonts w:ascii="Verdana" w:hAnsi="Verdana"/>
          <w:spacing w:val="-4"/>
          <w:sz w:val="20"/>
          <w:highlight w:val="magenta"/>
        </w:rPr>
      </w:pPr>
    </w:p>
    <w:p w14:paraId="7992DA09" w14:textId="74E84465" w:rsidR="00082187" w:rsidRPr="005A17C2" w:rsidRDefault="00560CE6" w:rsidP="00BB145E">
      <w:pPr>
        <w:pStyle w:val="BodyText2"/>
        <w:numPr>
          <w:ilvl w:val="0"/>
          <w:numId w:val="22"/>
        </w:numPr>
        <w:spacing w:after="0" w:line="240" w:lineRule="auto"/>
        <w:jc w:val="both"/>
        <w:rPr>
          <w:rFonts w:ascii="Verdana" w:hAnsi="Verdana"/>
          <w:spacing w:val="-4"/>
          <w:sz w:val="20"/>
        </w:rPr>
      </w:pPr>
      <w:bookmarkStart w:id="21" w:name="_Ref308998242"/>
      <w:r w:rsidRPr="005A17C2">
        <w:rPr>
          <w:rFonts w:ascii="Verdana" w:hAnsi="Verdana"/>
          <w:spacing w:val="-4"/>
          <w:sz w:val="20"/>
        </w:rPr>
        <w:t>La Corte recuerda que</w:t>
      </w:r>
      <w:r w:rsidR="00791205" w:rsidRPr="005A17C2">
        <w:rPr>
          <w:rFonts w:ascii="Verdana" w:hAnsi="Verdana"/>
          <w:spacing w:val="-4"/>
          <w:sz w:val="20"/>
        </w:rPr>
        <w:t>,</w:t>
      </w:r>
      <w:r w:rsidRPr="005A17C2">
        <w:rPr>
          <w:rFonts w:ascii="Verdana" w:hAnsi="Verdana"/>
          <w:spacing w:val="-4"/>
          <w:sz w:val="20"/>
        </w:rPr>
        <w:t xml:space="preserve"> en su</w:t>
      </w:r>
      <w:r w:rsidR="00082187" w:rsidRPr="005A17C2">
        <w:rPr>
          <w:rFonts w:ascii="Verdana" w:hAnsi="Verdana"/>
          <w:spacing w:val="-4"/>
          <w:sz w:val="20"/>
        </w:rPr>
        <w:t xml:space="preserve"> </w:t>
      </w:r>
      <w:r w:rsidRPr="005A17C2">
        <w:rPr>
          <w:rFonts w:ascii="Verdana" w:hAnsi="Verdana"/>
          <w:spacing w:val="-4"/>
          <w:sz w:val="20"/>
        </w:rPr>
        <w:t>R</w:t>
      </w:r>
      <w:r w:rsidR="00082187" w:rsidRPr="005A17C2">
        <w:rPr>
          <w:rFonts w:ascii="Verdana" w:hAnsi="Verdana"/>
          <w:spacing w:val="-4"/>
          <w:sz w:val="20"/>
        </w:rPr>
        <w:t>esolución de febrero de 2012</w:t>
      </w:r>
      <w:r w:rsidR="00791205" w:rsidRPr="005A17C2">
        <w:rPr>
          <w:rFonts w:ascii="Verdana" w:hAnsi="Verdana"/>
          <w:spacing w:val="-4"/>
          <w:sz w:val="20"/>
        </w:rPr>
        <w:t>, solicitó a los representantes</w:t>
      </w:r>
      <w:r w:rsidR="00082187" w:rsidRPr="005A17C2">
        <w:rPr>
          <w:rFonts w:ascii="Verdana" w:hAnsi="Verdana"/>
          <w:spacing w:val="-4"/>
          <w:sz w:val="20"/>
        </w:rPr>
        <w:t xml:space="preserve"> información detallada y actualizada sobre las circunstancias de riesgo a la vida e integridad personal de los actuales miembros de las organizaciones OPIM y </w:t>
      </w:r>
      <w:proofErr w:type="spellStart"/>
      <w:r w:rsidR="00082187" w:rsidRPr="005A17C2">
        <w:rPr>
          <w:rFonts w:ascii="Verdana" w:hAnsi="Verdana"/>
          <w:spacing w:val="-4"/>
          <w:sz w:val="20"/>
        </w:rPr>
        <w:t>Tlachinollan</w:t>
      </w:r>
      <w:proofErr w:type="spellEnd"/>
      <w:r w:rsidR="00082187" w:rsidRPr="005A17C2">
        <w:rPr>
          <w:rFonts w:ascii="Verdana" w:hAnsi="Verdana"/>
          <w:spacing w:val="-4"/>
          <w:sz w:val="20"/>
        </w:rPr>
        <w:t>. Específicamente la Corte solicitó información específica y con elementos de respaldo sobre</w:t>
      </w:r>
      <w:r w:rsidR="00791205" w:rsidRPr="005A17C2">
        <w:rPr>
          <w:rFonts w:ascii="Verdana" w:hAnsi="Verdana"/>
          <w:spacing w:val="-4"/>
          <w:sz w:val="20"/>
        </w:rPr>
        <w:t>:</w:t>
      </w:r>
      <w:r w:rsidR="00082187" w:rsidRPr="005A17C2">
        <w:rPr>
          <w:rFonts w:ascii="Verdana" w:hAnsi="Verdana"/>
          <w:spacing w:val="-4"/>
          <w:sz w:val="20"/>
        </w:rPr>
        <w:t xml:space="preserve"> a) los hechos de amenazas que habrían sufrido cada </w:t>
      </w:r>
      <w:r w:rsidR="00156B6B" w:rsidRPr="005A17C2">
        <w:rPr>
          <w:rFonts w:ascii="Verdana" w:hAnsi="Verdana"/>
          <w:spacing w:val="-4"/>
          <w:sz w:val="20"/>
        </w:rPr>
        <w:t>un</w:t>
      </w:r>
      <w:r w:rsidR="00156B6B">
        <w:rPr>
          <w:rFonts w:ascii="Verdana" w:hAnsi="Verdana"/>
          <w:spacing w:val="-4"/>
          <w:sz w:val="20"/>
        </w:rPr>
        <w:t>a</w:t>
      </w:r>
      <w:r w:rsidR="00156B6B" w:rsidRPr="005A17C2">
        <w:rPr>
          <w:rFonts w:ascii="Verdana" w:hAnsi="Verdana"/>
          <w:spacing w:val="-4"/>
          <w:sz w:val="20"/>
        </w:rPr>
        <w:t xml:space="preserve"> </w:t>
      </w:r>
      <w:r w:rsidR="00082187" w:rsidRPr="005A17C2">
        <w:rPr>
          <w:rFonts w:ascii="Verdana" w:hAnsi="Verdana"/>
          <w:spacing w:val="-4"/>
          <w:sz w:val="20"/>
        </w:rPr>
        <w:t>de las personas beneficiarias, y b) la relación entre estos hechos y los fundamento</w:t>
      </w:r>
      <w:r w:rsidR="00FE1B51" w:rsidRPr="005A17C2">
        <w:rPr>
          <w:rFonts w:ascii="Verdana" w:hAnsi="Verdana"/>
          <w:spacing w:val="-4"/>
          <w:sz w:val="20"/>
        </w:rPr>
        <w:t>s</w:t>
      </w:r>
      <w:r w:rsidR="00082187" w:rsidRPr="005A17C2">
        <w:rPr>
          <w:rFonts w:ascii="Verdana" w:hAnsi="Verdana"/>
          <w:spacing w:val="-4"/>
          <w:sz w:val="20"/>
        </w:rPr>
        <w:t xml:space="preserve"> que justificaron la adopción, en su momento, de las presentes medidas provisionales, a fin de acreditar el cumplimiento de los requisitos de mantenimiento de las mismas. </w:t>
      </w:r>
      <w:r w:rsidR="00C010EB" w:rsidRPr="005A17C2">
        <w:rPr>
          <w:rFonts w:ascii="Verdana" w:hAnsi="Verdana"/>
          <w:spacing w:val="-4"/>
          <w:sz w:val="20"/>
        </w:rPr>
        <w:t>No obstante</w:t>
      </w:r>
      <w:r w:rsidR="00753EDE" w:rsidRPr="005A17C2">
        <w:rPr>
          <w:rFonts w:ascii="Verdana" w:hAnsi="Verdana"/>
          <w:spacing w:val="-4"/>
          <w:sz w:val="20"/>
        </w:rPr>
        <w:t xml:space="preserve"> lo anterior</w:t>
      </w:r>
      <w:r w:rsidR="00C010EB" w:rsidRPr="005A17C2">
        <w:rPr>
          <w:rFonts w:ascii="Verdana" w:hAnsi="Verdana"/>
          <w:spacing w:val="-4"/>
          <w:sz w:val="20"/>
        </w:rPr>
        <w:t xml:space="preserve">, la Corte </w:t>
      </w:r>
      <w:r w:rsidR="00753EDE" w:rsidRPr="005A17C2">
        <w:rPr>
          <w:rFonts w:ascii="Verdana" w:hAnsi="Verdana"/>
          <w:spacing w:val="-4"/>
          <w:sz w:val="20"/>
        </w:rPr>
        <w:t xml:space="preserve">resalta </w:t>
      </w:r>
      <w:r w:rsidR="00C010EB" w:rsidRPr="005A17C2">
        <w:rPr>
          <w:rFonts w:ascii="Verdana" w:hAnsi="Verdana"/>
          <w:spacing w:val="-4"/>
          <w:sz w:val="20"/>
        </w:rPr>
        <w:t xml:space="preserve">que dicha información no </w:t>
      </w:r>
      <w:r w:rsidR="00753EDE" w:rsidRPr="005A17C2">
        <w:rPr>
          <w:rFonts w:ascii="Verdana" w:hAnsi="Verdana"/>
          <w:spacing w:val="-4"/>
          <w:sz w:val="20"/>
        </w:rPr>
        <w:t xml:space="preserve">ha sido </w:t>
      </w:r>
      <w:r w:rsidR="00C010EB" w:rsidRPr="005A17C2">
        <w:rPr>
          <w:rFonts w:ascii="Verdana" w:hAnsi="Verdana"/>
          <w:spacing w:val="-4"/>
          <w:sz w:val="20"/>
        </w:rPr>
        <w:t>remitida por los representantes.</w:t>
      </w:r>
      <w:bookmarkEnd w:id="21"/>
    </w:p>
    <w:p w14:paraId="11C3803C" w14:textId="77777777" w:rsidR="00082187" w:rsidRPr="005A17C2" w:rsidRDefault="00082187" w:rsidP="00BB145E">
      <w:pPr>
        <w:pStyle w:val="ListParagraph"/>
        <w:rPr>
          <w:rFonts w:ascii="Verdana" w:hAnsi="Verdana"/>
          <w:spacing w:val="-4"/>
          <w:sz w:val="20"/>
        </w:rPr>
      </w:pPr>
    </w:p>
    <w:p w14:paraId="141B461B" w14:textId="3E38D11C" w:rsidR="003C759C" w:rsidRPr="005A17C2" w:rsidRDefault="00753EDE" w:rsidP="00BB145E">
      <w:pPr>
        <w:pStyle w:val="BodyText2"/>
        <w:numPr>
          <w:ilvl w:val="0"/>
          <w:numId w:val="22"/>
        </w:numPr>
        <w:spacing w:after="0" w:line="240" w:lineRule="auto"/>
        <w:jc w:val="both"/>
        <w:rPr>
          <w:rFonts w:ascii="Verdana" w:hAnsi="Verdana"/>
          <w:spacing w:val="-4"/>
          <w:sz w:val="20"/>
        </w:rPr>
      </w:pPr>
      <w:r w:rsidRPr="005A17C2">
        <w:rPr>
          <w:rFonts w:ascii="Verdana" w:hAnsi="Verdana"/>
          <w:spacing w:val="-4"/>
          <w:sz w:val="20"/>
        </w:rPr>
        <w:t>La</w:t>
      </w:r>
      <w:r w:rsidR="003C759C" w:rsidRPr="005A17C2">
        <w:rPr>
          <w:rFonts w:ascii="Verdana" w:hAnsi="Verdana"/>
          <w:spacing w:val="-4"/>
          <w:sz w:val="20"/>
        </w:rPr>
        <w:t xml:space="preserve"> Corte recuerda que la excepcionalidad y temporalidad es propia de las medidas provisionales dispuestas</w:t>
      </w:r>
      <w:r w:rsidR="003C759C" w:rsidRPr="005A17C2">
        <w:rPr>
          <w:rStyle w:val="FootnoteReference"/>
          <w:spacing w:val="-4"/>
          <w:sz w:val="20"/>
        </w:rPr>
        <w:footnoteReference w:id="14"/>
      </w:r>
      <w:r w:rsidR="003C759C" w:rsidRPr="005A17C2">
        <w:rPr>
          <w:rFonts w:ascii="Verdana" w:hAnsi="Verdana"/>
          <w:spacing w:val="-4"/>
          <w:sz w:val="20"/>
        </w:rPr>
        <w:t xml:space="preserve">. En ese sentido, cabe señalar que las presentes medidas provisionales fueron adoptadas en </w:t>
      </w:r>
      <w:r w:rsidR="00F64C08" w:rsidRPr="005A17C2">
        <w:rPr>
          <w:rFonts w:ascii="Verdana" w:hAnsi="Verdana"/>
          <w:spacing w:val="-4"/>
          <w:sz w:val="20"/>
        </w:rPr>
        <w:t>abril de 2009, hace más de 6</w:t>
      </w:r>
      <w:r w:rsidR="003C759C" w:rsidRPr="005A17C2">
        <w:rPr>
          <w:rFonts w:ascii="Verdana" w:hAnsi="Verdana"/>
          <w:spacing w:val="-4"/>
          <w:sz w:val="20"/>
        </w:rPr>
        <w:t xml:space="preserve"> años</w:t>
      </w:r>
      <w:r w:rsidR="00FE1B51" w:rsidRPr="005A17C2">
        <w:rPr>
          <w:rFonts w:ascii="Verdana" w:hAnsi="Verdana"/>
          <w:spacing w:val="-4"/>
          <w:sz w:val="20"/>
        </w:rPr>
        <w:t xml:space="preserve">, </w:t>
      </w:r>
      <w:r w:rsidR="00E57F03" w:rsidRPr="005A17C2">
        <w:rPr>
          <w:rFonts w:ascii="Verdana" w:hAnsi="Verdana"/>
          <w:spacing w:val="-4"/>
          <w:sz w:val="20"/>
        </w:rPr>
        <w:t>frente a</w:t>
      </w:r>
      <w:r w:rsidR="00446892" w:rsidRPr="005A17C2">
        <w:rPr>
          <w:rFonts w:ascii="Verdana" w:hAnsi="Verdana"/>
          <w:spacing w:val="-4"/>
          <w:sz w:val="20"/>
        </w:rPr>
        <w:t xml:space="preserve">l riesgo generado </w:t>
      </w:r>
      <w:r w:rsidR="00446892" w:rsidRPr="005A17C2">
        <w:rPr>
          <w:rFonts w:ascii="Verdana" w:hAnsi="Verdana" w:cs="Verdana"/>
          <w:spacing w:val="-4"/>
          <w:sz w:val="20"/>
        </w:rPr>
        <w:t>como consecuencia de presuntos</w:t>
      </w:r>
      <w:r w:rsidR="00E35E12" w:rsidRPr="005A17C2">
        <w:rPr>
          <w:rFonts w:ascii="Verdana" w:hAnsi="Verdana" w:cs="Verdana"/>
          <w:spacing w:val="-4"/>
          <w:sz w:val="20"/>
        </w:rPr>
        <w:t xml:space="preserve"> hechos de amenazas, seguimientos, interceptaciones telefónicas, entre </w:t>
      </w:r>
      <w:r w:rsidR="00E35E12" w:rsidRPr="005A17C2">
        <w:rPr>
          <w:rFonts w:ascii="Verdana" w:hAnsi="Verdana" w:cs="Verdana"/>
          <w:spacing w:val="-4"/>
          <w:sz w:val="20"/>
        </w:rPr>
        <w:lastRenderedPageBreak/>
        <w:t xml:space="preserve">otras acciones, respecto de </w:t>
      </w:r>
      <w:r w:rsidR="00143D7C" w:rsidRPr="005A17C2">
        <w:rPr>
          <w:rFonts w:ascii="Verdana" w:hAnsi="Verdana" w:cs="Verdana"/>
          <w:spacing w:val="-4"/>
          <w:sz w:val="20"/>
        </w:rPr>
        <w:t>los</w:t>
      </w:r>
      <w:r w:rsidR="00E35E12" w:rsidRPr="005A17C2">
        <w:rPr>
          <w:rFonts w:ascii="Verdana" w:hAnsi="Verdana" w:cs="Verdana"/>
          <w:spacing w:val="-4"/>
          <w:sz w:val="20"/>
        </w:rPr>
        <w:t xml:space="preserve"> beneficiari</w:t>
      </w:r>
      <w:r w:rsidR="00143D7C" w:rsidRPr="005A17C2">
        <w:rPr>
          <w:rFonts w:ascii="Verdana" w:hAnsi="Verdana" w:cs="Verdana"/>
          <w:spacing w:val="-4"/>
          <w:sz w:val="20"/>
        </w:rPr>
        <w:t>o</w:t>
      </w:r>
      <w:r w:rsidR="00E35E12" w:rsidRPr="005A17C2">
        <w:rPr>
          <w:rFonts w:ascii="Verdana" w:hAnsi="Verdana" w:cs="Verdana"/>
          <w:spacing w:val="-4"/>
          <w:sz w:val="20"/>
        </w:rPr>
        <w:t>s de las medidas</w:t>
      </w:r>
      <w:r w:rsidR="00156B6B">
        <w:rPr>
          <w:rFonts w:ascii="Verdana" w:hAnsi="Verdana" w:cs="Verdana"/>
          <w:spacing w:val="-4"/>
          <w:sz w:val="20"/>
        </w:rPr>
        <w:t>,</w:t>
      </w:r>
      <w:r w:rsidR="00E35E12" w:rsidRPr="005A17C2">
        <w:rPr>
          <w:rFonts w:ascii="Verdana" w:hAnsi="Verdana" w:cs="Verdana"/>
          <w:spacing w:val="-4"/>
          <w:sz w:val="20"/>
        </w:rPr>
        <w:t xml:space="preserve"> así como de otras personas vinculadas a aquellos, hechos que al parecer estarían motivados por su trabajo en relación con los derechos indígenas y por denuncias de violaciones de derechos humanos que dichas personas habrían realizado</w:t>
      </w:r>
      <w:r w:rsidR="003C759C" w:rsidRPr="005A17C2">
        <w:rPr>
          <w:rStyle w:val="FootnoteReference"/>
          <w:spacing w:val="-4"/>
          <w:sz w:val="20"/>
        </w:rPr>
        <w:footnoteReference w:id="15"/>
      </w:r>
      <w:r w:rsidRPr="005A17C2">
        <w:rPr>
          <w:rFonts w:ascii="Verdana" w:hAnsi="Verdana" w:cs="Verdana"/>
          <w:spacing w:val="-4"/>
          <w:sz w:val="20"/>
        </w:rPr>
        <w:t>.</w:t>
      </w:r>
    </w:p>
    <w:p w14:paraId="755D3825" w14:textId="77777777" w:rsidR="004A738A" w:rsidRPr="005A17C2" w:rsidRDefault="004A738A" w:rsidP="00BB145E">
      <w:pPr>
        <w:pStyle w:val="ListParagraph"/>
        <w:ind w:left="0"/>
        <w:rPr>
          <w:rFonts w:ascii="Verdana" w:hAnsi="Verdana"/>
          <w:spacing w:val="-4"/>
          <w:sz w:val="20"/>
        </w:rPr>
      </w:pPr>
      <w:bookmarkStart w:id="22" w:name="_Ref416206815"/>
    </w:p>
    <w:p w14:paraId="143FE871" w14:textId="06C169DF" w:rsidR="003C759C" w:rsidRPr="005A17C2" w:rsidRDefault="00563640" w:rsidP="00BB145E">
      <w:pPr>
        <w:pStyle w:val="BodyText2"/>
        <w:numPr>
          <w:ilvl w:val="0"/>
          <w:numId w:val="22"/>
        </w:numPr>
        <w:spacing w:after="0" w:line="240" w:lineRule="auto"/>
        <w:jc w:val="both"/>
        <w:rPr>
          <w:rFonts w:ascii="Verdana" w:hAnsi="Verdana"/>
          <w:spacing w:val="-4"/>
          <w:sz w:val="20"/>
        </w:rPr>
      </w:pPr>
      <w:r>
        <w:rPr>
          <w:rFonts w:ascii="Verdana" w:hAnsi="Verdana"/>
          <w:spacing w:val="-4"/>
          <w:sz w:val="20"/>
        </w:rPr>
        <w:t>A efecto</w:t>
      </w:r>
      <w:r w:rsidR="003C759C" w:rsidRPr="005A17C2">
        <w:rPr>
          <w:rFonts w:ascii="Verdana" w:hAnsi="Verdana"/>
          <w:spacing w:val="-4"/>
          <w:sz w:val="20"/>
        </w:rPr>
        <w:t xml:space="preserve"> de decidir si se mantiene la vigencia de las medidas provisionales</w:t>
      </w:r>
      <w:r w:rsidR="00156B6B">
        <w:rPr>
          <w:rFonts w:ascii="Verdana" w:hAnsi="Verdana"/>
          <w:spacing w:val="-4"/>
          <w:sz w:val="20"/>
        </w:rPr>
        <w:t>,</w:t>
      </w:r>
      <w:r w:rsidR="003C759C" w:rsidRPr="005A17C2">
        <w:rPr>
          <w:rFonts w:ascii="Verdana" w:hAnsi="Verdana"/>
          <w:spacing w:val="-4"/>
          <w:sz w:val="20"/>
        </w:rPr>
        <w:t xml:space="preserve"> el Tribunal debe analizar, de conformidad con el artículo 63 de la Convención, si persiste la situación de “</w:t>
      </w:r>
      <w:r w:rsidR="00156B6B">
        <w:rPr>
          <w:rFonts w:ascii="Verdana" w:hAnsi="Verdana"/>
          <w:spacing w:val="-4"/>
          <w:sz w:val="20"/>
        </w:rPr>
        <w:t>extrema</w:t>
      </w:r>
      <w:r w:rsidR="00156B6B" w:rsidRPr="005A17C2">
        <w:rPr>
          <w:rFonts w:ascii="Verdana" w:hAnsi="Verdana"/>
          <w:spacing w:val="-4"/>
          <w:sz w:val="20"/>
        </w:rPr>
        <w:t xml:space="preserve"> </w:t>
      </w:r>
      <w:r w:rsidR="00BD0251">
        <w:rPr>
          <w:rFonts w:ascii="Verdana" w:hAnsi="Verdana"/>
          <w:spacing w:val="-4"/>
          <w:sz w:val="20"/>
        </w:rPr>
        <w:t xml:space="preserve">gravedad” y “urgencia” </w:t>
      </w:r>
      <w:r w:rsidR="003C759C" w:rsidRPr="005A17C2">
        <w:rPr>
          <w:rFonts w:ascii="Verdana" w:hAnsi="Verdana"/>
          <w:spacing w:val="-4"/>
          <w:sz w:val="20"/>
        </w:rPr>
        <w:t>relativa a posibles “daños irreparables a la […] persona […]” beneficiaria</w:t>
      </w:r>
      <w:r w:rsidR="003C759C" w:rsidRPr="005A17C2">
        <w:rPr>
          <w:rStyle w:val="FootnoteReference"/>
          <w:spacing w:val="-4"/>
          <w:sz w:val="20"/>
        </w:rPr>
        <w:footnoteReference w:id="16"/>
      </w:r>
      <w:r w:rsidR="003C759C" w:rsidRPr="005A17C2">
        <w:rPr>
          <w:rFonts w:ascii="Verdana" w:hAnsi="Verdana"/>
          <w:spacing w:val="-4"/>
          <w:sz w:val="20"/>
        </w:rPr>
        <w:t>. Si bien la apreciación de tales requisitos al dictar la adopción de las medidas provisionales se hace “</w:t>
      </w:r>
      <w:r w:rsidR="003C759C" w:rsidRPr="005A17C2">
        <w:rPr>
          <w:rFonts w:ascii="Verdana" w:hAnsi="Verdana"/>
          <w:i/>
          <w:spacing w:val="-4"/>
          <w:sz w:val="20"/>
        </w:rPr>
        <w:t>prima facie</w:t>
      </w:r>
      <w:r w:rsidR="003C759C" w:rsidRPr="005A17C2">
        <w:rPr>
          <w:rFonts w:ascii="Verdana" w:hAnsi="Verdana"/>
          <w:spacing w:val="-4"/>
          <w:sz w:val="20"/>
        </w:rPr>
        <w:t>, siendo en ocasiones necesaria la aplicación de presunciones ante las necesidades de protección”</w:t>
      </w:r>
      <w:r w:rsidR="003C759C" w:rsidRPr="005A17C2">
        <w:rPr>
          <w:rStyle w:val="FootnoteReference"/>
          <w:spacing w:val="-4"/>
          <w:sz w:val="20"/>
        </w:rPr>
        <w:footnoteReference w:id="17"/>
      </w:r>
      <w:r w:rsidR="003C759C" w:rsidRPr="005A17C2">
        <w:rPr>
          <w:rFonts w:ascii="Verdana" w:hAnsi="Verdana"/>
          <w:spacing w:val="-4"/>
          <w:sz w:val="20"/>
        </w:rPr>
        <w:t xml:space="preserve">, </w:t>
      </w:r>
      <w:r w:rsidR="00BD0251" w:rsidRPr="005A17C2">
        <w:rPr>
          <w:rFonts w:ascii="Verdana" w:hAnsi="Verdana"/>
          <w:spacing w:val="-4"/>
          <w:sz w:val="20"/>
        </w:rPr>
        <w:t xml:space="preserve">este Tribunal </w:t>
      </w:r>
      <w:r w:rsidR="003C759C" w:rsidRPr="005A17C2">
        <w:rPr>
          <w:rFonts w:ascii="Verdana" w:hAnsi="Verdana"/>
          <w:spacing w:val="-4"/>
          <w:sz w:val="20"/>
        </w:rPr>
        <w:t>ha advertido que “el mantenimiento de las medidas de protección exige una evaluación más rigurosa de la Corte en cuanto a la persistencia de la situación que dio origen a las mismas”</w:t>
      </w:r>
      <w:r w:rsidR="003C759C" w:rsidRPr="005A17C2">
        <w:rPr>
          <w:rStyle w:val="FootnoteReference"/>
          <w:spacing w:val="-4"/>
          <w:sz w:val="20"/>
        </w:rPr>
        <w:footnoteReference w:id="18"/>
      </w:r>
      <w:r w:rsidR="003C759C" w:rsidRPr="005A17C2">
        <w:rPr>
          <w:rFonts w:ascii="Verdana" w:hAnsi="Verdana"/>
          <w:spacing w:val="-4"/>
          <w:sz w:val="20"/>
        </w:rPr>
        <w:t xml:space="preserve">. A la vez, la carga probatoria y argumentativa de los </w:t>
      </w:r>
      <w:r w:rsidR="00156B6B">
        <w:rPr>
          <w:rFonts w:ascii="Verdana" w:hAnsi="Verdana"/>
          <w:spacing w:val="-4"/>
          <w:sz w:val="20"/>
        </w:rPr>
        <w:t xml:space="preserve">representantes </w:t>
      </w:r>
      <w:r w:rsidR="003C759C" w:rsidRPr="005A17C2">
        <w:rPr>
          <w:rFonts w:ascii="Verdana" w:hAnsi="Verdana"/>
          <w:spacing w:val="-4"/>
          <w:sz w:val="20"/>
        </w:rPr>
        <w:t>y de la Comisión aumentará conforme transcurre el tiempo y no se presentan nuevas amenazas. Ciertamente, el hecho de que no se presenten nuevas amenazas puede deberse precisamente a la efectividad de la protección brindada o a la disuasión ocasionada con la orden de la Corte. No obstante, el Tribunal ha considerado que el transcurso de un razonable período de tiempo sin amenazas o intimidaciones, sumado a la falta de un riesgo inminente, puede conllevar el levantamiento de las medidas provisionales</w:t>
      </w:r>
      <w:r w:rsidR="003C759C" w:rsidRPr="005A17C2">
        <w:rPr>
          <w:rStyle w:val="FootnoteReference"/>
          <w:spacing w:val="-4"/>
          <w:sz w:val="20"/>
        </w:rPr>
        <w:footnoteReference w:id="19"/>
      </w:r>
      <w:r w:rsidR="003C759C" w:rsidRPr="005A17C2">
        <w:rPr>
          <w:rFonts w:ascii="Verdana" w:hAnsi="Verdana"/>
          <w:spacing w:val="-4"/>
          <w:sz w:val="20"/>
        </w:rPr>
        <w:t>.</w:t>
      </w:r>
      <w:bookmarkEnd w:id="22"/>
    </w:p>
    <w:p w14:paraId="72C4FA69" w14:textId="77777777" w:rsidR="003C759C" w:rsidRPr="005A17C2" w:rsidRDefault="003C759C" w:rsidP="00BB145E">
      <w:pPr>
        <w:pStyle w:val="BodyText2"/>
        <w:spacing w:after="0" w:line="240" w:lineRule="auto"/>
        <w:jc w:val="both"/>
        <w:rPr>
          <w:rFonts w:ascii="Verdana" w:hAnsi="Verdana"/>
          <w:spacing w:val="-4"/>
          <w:sz w:val="20"/>
        </w:rPr>
      </w:pPr>
    </w:p>
    <w:p w14:paraId="09C7734D" w14:textId="359232A1" w:rsidR="00AF792D" w:rsidRPr="005A17C2" w:rsidRDefault="003C759C" w:rsidP="00BB145E">
      <w:pPr>
        <w:pStyle w:val="BodyText2"/>
        <w:numPr>
          <w:ilvl w:val="0"/>
          <w:numId w:val="22"/>
        </w:numPr>
        <w:spacing w:after="0" w:line="240" w:lineRule="auto"/>
        <w:jc w:val="both"/>
        <w:rPr>
          <w:rFonts w:ascii="Verdana" w:hAnsi="Verdana"/>
          <w:spacing w:val="-4"/>
          <w:sz w:val="20"/>
        </w:rPr>
      </w:pPr>
      <w:bookmarkStart w:id="23" w:name="_Ref416206691"/>
      <w:r w:rsidRPr="005A17C2">
        <w:rPr>
          <w:rFonts w:ascii="Verdana" w:hAnsi="Verdana"/>
          <w:spacing w:val="-4"/>
          <w:sz w:val="20"/>
        </w:rPr>
        <w:t>A</w:t>
      </w:r>
      <w:r w:rsidR="00193626">
        <w:rPr>
          <w:rFonts w:ascii="Verdana" w:hAnsi="Verdana"/>
          <w:spacing w:val="-4"/>
          <w:sz w:val="20"/>
        </w:rPr>
        <w:t>dicionalmente</w:t>
      </w:r>
      <w:r w:rsidRPr="005A17C2">
        <w:rPr>
          <w:rFonts w:ascii="Verdana" w:hAnsi="Verdana"/>
          <w:spacing w:val="-4"/>
          <w:sz w:val="20"/>
        </w:rPr>
        <w:t>, la Corte debe tomar en cuenta que, conforme al Preámbulo de la Convención Americana, la protección internacional de naturaleza convencional es “coadyuvante o complementaria de la que ofrece el derecho interno de los Estados americanos”. Por ello, de comprobarse que el Estado en cuestión ha desarrollado mecanismos o acciones de protección eficaces para los beneficiarios de las medidas provisionales, el Tribunal podría decidir levantar o reducir el número de beneficiarios de las medidas provisionales descargando la obligación de protección en su responsable primario, esto es, el Estado</w:t>
      </w:r>
      <w:r w:rsidRPr="005A17C2">
        <w:rPr>
          <w:rStyle w:val="FootnoteReference"/>
          <w:spacing w:val="-4"/>
          <w:sz w:val="20"/>
        </w:rPr>
        <w:footnoteReference w:id="20"/>
      </w:r>
      <w:r w:rsidRPr="005A17C2">
        <w:rPr>
          <w:rFonts w:ascii="Verdana" w:hAnsi="Verdana"/>
          <w:spacing w:val="-4"/>
          <w:sz w:val="20"/>
        </w:rPr>
        <w:t>.</w:t>
      </w:r>
      <w:bookmarkEnd w:id="23"/>
      <w:r w:rsidRPr="005A17C2">
        <w:rPr>
          <w:rFonts w:ascii="Verdana" w:hAnsi="Verdana"/>
          <w:spacing w:val="-4"/>
          <w:sz w:val="20"/>
        </w:rPr>
        <w:t xml:space="preserve"> </w:t>
      </w:r>
    </w:p>
    <w:p w14:paraId="439F0CD7" w14:textId="77777777" w:rsidR="0040534C" w:rsidRPr="005A17C2" w:rsidRDefault="0040534C" w:rsidP="00BB145E">
      <w:pPr>
        <w:pStyle w:val="ListParagraph"/>
        <w:rPr>
          <w:rFonts w:ascii="Verdana" w:hAnsi="Verdana"/>
          <w:spacing w:val="-4"/>
          <w:sz w:val="20"/>
        </w:rPr>
      </w:pPr>
    </w:p>
    <w:p w14:paraId="47BC72F7" w14:textId="250261EA" w:rsidR="0040534C" w:rsidRPr="005A17C2" w:rsidRDefault="00560CE6" w:rsidP="00BB145E">
      <w:pPr>
        <w:pStyle w:val="BodyText2"/>
        <w:spacing w:after="0" w:line="240" w:lineRule="auto"/>
        <w:ind w:left="1440"/>
        <w:jc w:val="both"/>
        <w:rPr>
          <w:rFonts w:ascii="Verdana" w:hAnsi="Verdana"/>
          <w:i/>
          <w:spacing w:val="-4"/>
          <w:sz w:val="20"/>
          <w:u w:val="single"/>
        </w:rPr>
      </w:pPr>
      <w:r w:rsidRPr="005A17C2">
        <w:rPr>
          <w:rFonts w:ascii="Verdana" w:hAnsi="Verdana"/>
          <w:i/>
          <w:spacing w:val="-4"/>
          <w:sz w:val="20"/>
          <w:u w:val="single"/>
        </w:rPr>
        <w:t>i</w:t>
      </w:r>
      <w:r w:rsidR="0040534C" w:rsidRPr="005A17C2">
        <w:rPr>
          <w:rFonts w:ascii="Verdana" w:hAnsi="Verdana"/>
          <w:i/>
          <w:spacing w:val="-4"/>
          <w:sz w:val="20"/>
          <w:u w:val="single"/>
        </w:rPr>
        <w:t xml:space="preserve">) </w:t>
      </w:r>
      <w:r w:rsidRPr="005A17C2">
        <w:rPr>
          <w:rFonts w:ascii="Verdana" w:hAnsi="Verdana"/>
          <w:i/>
          <w:spacing w:val="-4"/>
          <w:sz w:val="20"/>
          <w:u w:val="single"/>
        </w:rPr>
        <w:t xml:space="preserve">Situación de riesgo de la </w:t>
      </w:r>
      <w:r w:rsidR="00D70616" w:rsidRPr="005A17C2">
        <w:rPr>
          <w:rFonts w:ascii="Verdana" w:hAnsi="Verdana"/>
          <w:i/>
          <w:spacing w:val="-4"/>
          <w:sz w:val="20"/>
          <w:u w:val="single"/>
        </w:rPr>
        <w:t>señora Inés Fern</w:t>
      </w:r>
      <w:r w:rsidRPr="005A17C2">
        <w:rPr>
          <w:rFonts w:ascii="Verdana" w:hAnsi="Verdana"/>
          <w:i/>
          <w:spacing w:val="-4"/>
          <w:sz w:val="20"/>
          <w:u w:val="single"/>
        </w:rPr>
        <w:t>ández Ortega</w:t>
      </w:r>
      <w:r w:rsidR="00E65409" w:rsidRPr="005A17C2">
        <w:rPr>
          <w:rFonts w:ascii="Verdana" w:hAnsi="Verdana"/>
          <w:i/>
          <w:spacing w:val="-4"/>
          <w:sz w:val="20"/>
          <w:u w:val="single"/>
        </w:rPr>
        <w:t xml:space="preserve"> y </w:t>
      </w:r>
      <w:r w:rsidR="00DD5D84" w:rsidRPr="005A17C2">
        <w:rPr>
          <w:rFonts w:ascii="Verdana" w:hAnsi="Verdana"/>
          <w:i/>
          <w:spacing w:val="-4"/>
          <w:sz w:val="20"/>
          <w:u w:val="single"/>
        </w:rPr>
        <w:t>su</w:t>
      </w:r>
      <w:r w:rsidR="00803B91" w:rsidRPr="005A17C2">
        <w:rPr>
          <w:rFonts w:ascii="Verdana" w:hAnsi="Verdana"/>
          <w:i/>
          <w:spacing w:val="-4"/>
          <w:sz w:val="20"/>
          <w:u w:val="single"/>
        </w:rPr>
        <w:t>s</w:t>
      </w:r>
      <w:r w:rsidR="00DD5D84" w:rsidRPr="005A17C2">
        <w:rPr>
          <w:rFonts w:ascii="Verdana" w:hAnsi="Verdana"/>
          <w:i/>
          <w:spacing w:val="-4"/>
          <w:sz w:val="20"/>
          <w:u w:val="single"/>
        </w:rPr>
        <w:t xml:space="preserve"> </w:t>
      </w:r>
      <w:r w:rsidR="00E65409" w:rsidRPr="005A17C2">
        <w:rPr>
          <w:rFonts w:ascii="Verdana" w:hAnsi="Verdana"/>
          <w:i/>
          <w:spacing w:val="-4"/>
          <w:sz w:val="20"/>
          <w:u w:val="single"/>
        </w:rPr>
        <w:t>f</w:t>
      </w:r>
      <w:r w:rsidR="00D70616" w:rsidRPr="005A17C2">
        <w:rPr>
          <w:rFonts w:ascii="Verdana" w:hAnsi="Verdana"/>
          <w:i/>
          <w:spacing w:val="-4"/>
          <w:sz w:val="20"/>
          <w:u w:val="single"/>
        </w:rPr>
        <w:t>amilia</w:t>
      </w:r>
      <w:r w:rsidR="00803B91" w:rsidRPr="005A17C2">
        <w:rPr>
          <w:rFonts w:ascii="Verdana" w:hAnsi="Verdana"/>
          <w:i/>
          <w:spacing w:val="-4"/>
          <w:sz w:val="20"/>
          <w:u w:val="single"/>
        </w:rPr>
        <w:t>res</w:t>
      </w:r>
    </w:p>
    <w:p w14:paraId="239345EC" w14:textId="77777777" w:rsidR="00D70616" w:rsidRPr="005A17C2" w:rsidRDefault="00D70616" w:rsidP="00BB145E">
      <w:pPr>
        <w:pStyle w:val="BodyText2"/>
        <w:spacing w:after="0" w:line="240" w:lineRule="auto"/>
        <w:jc w:val="both"/>
        <w:rPr>
          <w:rFonts w:ascii="Verdana" w:hAnsi="Verdana"/>
          <w:b/>
          <w:spacing w:val="-4"/>
          <w:sz w:val="20"/>
        </w:rPr>
      </w:pPr>
    </w:p>
    <w:p w14:paraId="63EE408E" w14:textId="2BDCB003" w:rsidR="00DD5D84" w:rsidRPr="005A17C2" w:rsidRDefault="00D70616" w:rsidP="00BB145E">
      <w:pPr>
        <w:pStyle w:val="BodyText2"/>
        <w:numPr>
          <w:ilvl w:val="0"/>
          <w:numId w:val="22"/>
        </w:numPr>
        <w:spacing w:after="0" w:line="240" w:lineRule="auto"/>
        <w:jc w:val="both"/>
        <w:rPr>
          <w:rFonts w:ascii="Verdana" w:hAnsi="Verdana"/>
          <w:spacing w:val="-4"/>
          <w:sz w:val="20"/>
        </w:rPr>
      </w:pPr>
      <w:r w:rsidRPr="005A17C2">
        <w:rPr>
          <w:rFonts w:ascii="Verdana" w:hAnsi="Verdana"/>
          <w:spacing w:val="-4"/>
          <w:sz w:val="20"/>
        </w:rPr>
        <w:t xml:space="preserve">En relación con las </w:t>
      </w:r>
      <w:r w:rsidRPr="00156B6B">
        <w:rPr>
          <w:rFonts w:ascii="Verdana" w:hAnsi="Verdana"/>
          <w:spacing w:val="-4"/>
          <w:sz w:val="20"/>
        </w:rPr>
        <w:t xml:space="preserve">medidas de seguridad </w:t>
      </w:r>
      <w:r w:rsidR="00E65409" w:rsidRPr="00156B6B">
        <w:rPr>
          <w:rFonts w:ascii="Verdana" w:hAnsi="Verdana"/>
          <w:spacing w:val="-4"/>
          <w:sz w:val="20"/>
        </w:rPr>
        <w:t>otorgadas a Inés Fernández Ortega</w:t>
      </w:r>
      <w:r w:rsidR="009E23DE" w:rsidRPr="00156B6B">
        <w:rPr>
          <w:rFonts w:ascii="Verdana" w:hAnsi="Verdana"/>
          <w:spacing w:val="-4"/>
          <w:sz w:val="20"/>
        </w:rPr>
        <w:t xml:space="preserve"> y </w:t>
      </w:r>
      <w:r w:rsidR="001963A9" w:rsidRPr="00156B6B">
        <w:rPr>
          <w:rFonts w:ascii="Verdana" w:hAnsi="Verdana"/>
          <w:spacing w:val="-4"/>
          <w:sz w:val="20"/>
        </w:rPr>
        <w:t>sus</w:t>
      </w:r>
      <w:r w:rsidR="009E23DE" w:rsidRPr="00156B6B">
        <w:rPr>
          <w:rFonts w:ascii="Verdana" w:hAnsi="Verdana"/>
          <w:spacing w:val="-4"/>
          <w:sz w:val="20"/>
        </w:rPr>
        <w:t xml:space="preserve"> familiares</w:t>
      </w:r>
      <w:r w:rsidR="00E65409" w:rsidRPr="00156B6B">
        <w:rPr>
          <w:rFonts w:ascii="Verdana" w:hAnsi="Verdana"/>
          <w:spacing w:val="-4"/>
          <w:sz w:val="20"/>
        </w:rPr>
        <w:t xml:space="preserve">, la Corte observa que </w:t>
      </w:r>
      <w:r w:rsidR="00DD5D84" w:rsidRPr="00156B6B">
        <w:rPr>
          <w:rFonts w:ascii="Verdana" w:hAnsi="Verdana"/>
          <w:spacing w:val="-4"/>
          <w:sz w:val="20"/>
        </w:rPr>
        <w:t xml:space="preserve">en </w:t>
      </w:r>
      <w:r w:rsidR="00BD0251">
        <w:rPr>
          <w:rFonts w:ascii="Verdana" w:hAnsi="Verdana"/>
          <w:spacing w:val="-4"/>
          <w:sz w:val="20"/>
        </w:rPr>
        <w:t xml:space="preserve">su </w:t>
      </w:r>
      <w:r w:rsidR="00DD5D84" w:rsidRPr="00156B6B">
        <w:rPr>
          <w:rFonts w:ascii="Verdana" w:hAnsi="Verdana"/>
          <w:spacing w:val="-4"/>
          <w:sz w:val="20"/>
        </w:rPr>
        <w:t>última</w:t>
      </w:r>
      <w:r w:rsidR="00E65409" w:rsidRPr="00156B6B">
        <w:rPr>
          <w:rFonts w:ascii="Verdana" w:hAnsi="Verdana"/>
          <w:spacing w:val="-4"/>
          <w:sz w:val="20"/>
        </w:rPr>
        <w:t xml:space="preserve"> resolución </w:t>
      </w:r>
      <w:r w:rsidR="00BD0251">
        <w:rPr>
          <w:rFonts w:ascii="Verdana" w:hAnsi="Verdana"/>
          <w:spacing w:val="-4"/>
          <w:sz w:val="20"/>
        </w:rPr>
        <w:t xml:space="preserve">sobre las presentes medidas, de febrero de 2012, </w:t>
      </w:r>
      <w:r w:rsidR="00DD5D84" w:rsidRPr="00156B6B">
        <w:rPr>
          <w:rFonts w:ascii="Verdana" w:hAnsi="Verdana"/>
          <w:spacing w:val="-4"/>
          <w:sz w:val="20"/>
        </w:rPr>
        <w:t>se hicieron constar diversos incidentes entre los años 2009 y 2010 que, entre</w:t>
      </w:r>
      <w:r w:rsidR="00DD5D84" w:rsidRPr="005A17C2">
        <w:rPr>
          <w:rFonts w:ascii="Verdana" w:hAnsi="Verdana"/>
          <w:spacing w:val="-4"/>
          <w:sz w:val="20"/>
        </w:rPr>
        <w:t xml:space="preserve"> otros, se dirigieron contra las hijas menores de edad de Inés Fernández Ortega</w:t>
      </w:r>
      <w:r w:rsidR="00DD5D84" w:rsidRPr="005A17C2">
        <w:rPr>
          <w:rStyle w:val="FootnoteReference"/>
          <w:spacing w:val="-4"/>
          <w:sz w:val="20"/>
        </w:rPr>
        <w:footnoteReference w:id="21"/>
      </w:r>
      <w:r w:rsidR="00DD5D84" w:rsidRPr="005A17C2">
        <w:rPr>
          <w:rFonts w:ascii="Verdana" w:hAnsi="Verdana"/>
          <w:spacing w:val="-4"/>
          <w:sz w:val="20"/>
        </w:rPr>
        <w:t>. En esta oportunidad</w:t>
      </w:r>
      <w:r w:rsidR="008117FC" w:rsidRPr="005A17C2">
        <w:rPr>
          <w:rFonts w:ascii="Verdana" w:hAnsi="Verdana"/>
          <w:spacing w:val="-4"/>
          <w:sz w:val="20"/>
        </w:rPr>
        <w:t>,</w:t>
      </w:r>
      <w:r w:rsidR="00DD5D84" w:rsidRPr="005A17C2">
        <w:rPr>
          <w:rFonts w:ascii="Verdana" w:hAnsi="Verdana"/>
          <w:spacing w:val="-4"/>
          <w:sz w:val="20"/>
        </w:rPr>
        <w:t xml:space="preserve"> la Corte </w:t>
      </w:r>
      <w:r w:rsidR="00753EDE" w:rsidRPr="005A17C2">
        <w:rPr>
          <w:rFonts w:ascii="Verdana" w:hAnsi="Verdana"/>
          <w:spacing w:val="-4"/>
          <w:sz w:val="20"/>
        </w:rPr>
        <w:t xml:space="preserve">destaca </w:t>
      </w:r>
      <w:r w:rsidR="00753EDE" w:rsidRPr="005A17C2">
        <w:rPr>
          <w:rFonts w:ascii="Verdana" w:hAnsi="Verdana"/>
          <w:spacing w:val="-4"/>
          <w:sz w:val="20"/>
        </w:rPr>
        <w:lastRenderedPageBreak/>
        <w:t xml:space="preserve">que </w:t>
      </w:r>
      <w:r w:rsidR="00DD5D84" w:rsidRPr="005A17C2">
        <w:rPr>
          <w:rFonts w:ascii="Verdana" w:hAnsi="Verdana"/>
          <w:spacing w:val="-4"/>
          <w:sz w:val="20"/>
        </w:rPr>
        <w:t xml:space="preserve">no ha sido informada de posibles hechos de riesgo en contra de </w:t>
      </w:r>
      <w:r w:rsidR="001963A9" w:rsidRPr="005A17C2">
        <w:rPr>
          <w:rFonts w:ascii="Verdana" w:hAnsi="Verdana"/>
          <w:spacing w:val="-4"/>
          <w:sz w:val="20"/>
        </w:rPr>
        <w:t>la señora</w:t>
      </w:r>
      <w:r w:rsidR="00753EDE" w:rsidRPr="005A17C2">
        <w:rPr>
          <w:rFonts w:ascii="Verdana" w:hAnsi="Verdana"/>
          <w:spacing w:val="-4"/>
          <w:sz w:val="20"/>
        </w:rPr>
        <w:t xml:space="preserve"> </w:t>
      </w:r>
      <w:r w:rsidR="00DD5D84" w:rsidRPr="005A17C2">
        <w:rPr>
          <w:rFonts w:ascii="Verdana" w:hAnsi="Verdana"/>
          <w:spacing w:val="-4"/>
          <w:sz w:val="20"/>
        </w:rPr>
        <w:t xml:space="preserve">Fernández Ortega o de su familia desde el </w:t>
      </w:r>
      <w:r w:rsidR="008117FC" w:rsidRPr="005A17C2">
        <w:rPr>
          <w:rFonts w:ascii="Verdana" w:hAnsi="Verdana"/>
          <w:spacing w:val="-4"/>
          <w:sz w:val="20"/>
        </w:rPr>
        <w:t xml:space="preserve">año </w:t>
      </w:r>
      <w:r w:rsidR="00DD5D84" w:rsidRPr="005A17C2">
        <w:rPr>
          <w:rFonts w:ascii="Verdana" w:hAnsi="Verdana"/>
          <w:spacing w:val="-4"/>
          <w:sz w:val="20"/>
        </w:rPr>
        <w:t xml:space="preserve">2010, es decir, desde hace </w:t>
      </w:r>
      <w:r w:rsidR="00193626">
        <w:rPr>
          <w:rFonts w:ascii="Verdana" w:hAnsi="Verdana"/>
          <w:spacing w:val="-4"/>
          <w:sz w:val="20"/>
        </w:rPr>
        <w:t xml:space="preserve">más de </w:t>
      </w:r>
      <w:r w:rsidR="00DD5D84" w:rsidRPr="005A17C2">
        <w:rPr>
          <w:rFonts w:ascii="Verdana" w:hAnsi="Verdana"/>
          <w:spacing w:val="-4"/>
          <w:sz w:val="20"/>
        </w:rPr>
        <w:t xml:space="preserve">5 años. El “nuevo factor de riesgo” </w:t>
      </w:r>
      <w:r w:rsidR="00904159" w:rsidRPr="005A17C2">
        <w:rPr>
          <w:rFonts w:ascii="Verdana" w:hAnsi="Verdana"/>
          <w:spacing w:val="-4"/>
          <w:sz w:val="20"/>
          <w:lang w:val="es-ES"/>
        </w:rPr>
        <w:t xml:space="preserve">alegado por los representantes como consecuencia de la aprehensión de dos de los </w:t>
      </w:r>
      <w:r w:rsidR="001963A9" w:rsidRPr="005A17C2">
        <w:rPr>
          <w:rFonts w:ascii="Verdana" w:hAnsi="Verdana"/>
          <w:spacing w:val="-4"/>
          <w:sz w:val="20"/>
          <w:lang w:val="es-ES"/>
        </w:rPr>
        <w:t xml:space="preserve">presuntos </w:t>
      </w:r>
      <w:r w:rsidR="00904159" w:rsidRPr="005A17C2">
        <w:rPr>
          <w:rFonts w:ascii="Verdana" w:hAnsi="Verdana"/>
          <w:spacing w:val="-4"/>
          <w:sz w:val="20"/>
          <w:lang w:val="es-ES"/>
        </w:rPr>
        <w:t xml:space="preserve">responsables y la apertura del proceso judicial </w:t>
      </w:r>
      <w:r w:rsidR="00904159" w:rsidRPr="005A17C2">
        <w:rPr>
          <w:rFonts w:ascii="Verdana" w:hAnsi="Verdana" w:cs="Arial"/>
          <w:spacing w:val="-4"/>
          <w:sz w:val="20"/>
          <w:lang w:val="es-CR"/>
        </w:rPr>
        <w:t xml:space="preserve">constituye </w:t>
      </w:r>
      <w:r w:rsidR="00904159" w:rsidRPr="005A17C2">
        <w:rPr>
          <w:rFonts w:ascii="Verdana" w:hAnsi="Verdana"/>
          <w:spacing w:val="-4"/>
          <w:sz w:val="20"/>
          <w:lang w:val="es-ES"/>
        </w:rPr>
        <w:t>una situación de peligro potencial, no circunscrito a hechos concretos.</w:t>
      </w:r>
    </w:p>
    <w:p w14:paraId="462F6EE9" w14:textId="77777777" w:rsidR="00904159" w:rsidRPr="005A17C2" w:rsidRDefault="00904159" w:rsidP="00BB145E">
      <w:pPr>
        <w:pStyle w:val="BodyText2"/>
        <w:spacing w:after="0" w:line="240" w:lineRule="auto"/>
        <w:jc w:val="both"/>
        <w:rPr>
          <w:rFonts w:ascii="Verdana" w:hAnsi="Verdana"/>
          <w:spacing w:val="-4"/>
          <w:sz w:val="20"/>
        </w:rPr>
      </w:pPr>
    </w:p>
    <w:p w14:paraId="6E8CB2B3" w14:textId="45074596" w:rsidR="00724E57" w:rsidRPr="005A17C2" w:rsidRDefault="00DD5D84" w:rsidP="00BB145E">
      <w:pPr>
        <w:pStyle w:val="BodyText2"/>
        <w:numPr>
          <w:ilvl w:val="0"/>
          <w:numId w:val="22"/>
        </w:numPr>
        <w:spacing w:after="0" w:line="240" w:lineRule="auto"/>
        <w:jc w:val="both"/>
        <w:rPr>
          <w:rFonts w:ascii="Verdana" w:hAnsi="Verdana"/>
          <w:spacing w:val="-4"/>
          <w:sz w:val="20"/>
        </w:rPr>
      </w:pPr>
      <w:bookmarkStart w:id="24" w:name="_Ref308998955"/>
      <w:r w:rsidRPr="005A17C2">
        <w:rPr>
          <w:rFonts w:ascii="Verdana" w:hAnsi="Verdana"/>
          <w:spacing w:val="-4"/>
          <w:sz w:val="20"/>
        </w:rPr>
        <w:t xml:space="preserve">Por tanto, con el fin de evaluar la necesidad de mantenimiento de las presentes medidas provisionales, la Corte considera pertinente que el Estado presente un informe detallado en el cual se refiera a la situación actual, en comparación con la situación que dio origen a las presentes medidas provisionales de </w:t>
      </w:r>
      <w:r w:rsidR="001963A9" w:rsidRPr="005A17C2">
        <w:rPr>
          <w:rFonts w:ascii="Verdana" w:hAnsi="Verdana"/>
          <w:spacing w:val="-4"/>
          <w:sz w:val="20"/>
        </w:rPr>
        <w:t xml:space="preserve">estos </w:t>
      </w:r>
      <w:r w:rsidRPr="005A17C2">
        <w:rPr>
          <w:rFonts w:ascii="Verdana" w:hAnsi="Verdana"/>
          <w:spacing w:val="-4"/>
          <w:sz w:val="20"/>
        </w:rPr>
        <w:t>beneficiari</w:t>
      </w:r>
      <w:r w:rsidR="00143D7C" w:rsidRPr="005A17C2">
        <w:rPr>
          <w:rFonts w:ascii="Verdana" w:hAnsi="Verdana"/>
          <w:spacing w:val="-4"/>
          <w:sz w:val="20"/>
        </w:rPr>
        <w:t>o</w:t>
      </w:r>
      <w:r w:rsidRPr="005A17C2">
        <w:rPr>
          <w:rFonts w:ascii="Verdana" w:hAnsi="Verdana"/>
          <w:spacing w:val="-4"/>
          <w:sz w:val="20"/>
        </w:rPr>
        <w:t xml:space="preserve">s, en el cual exponga los argumentos y elementos de prueba por los cuales considera que se deban mantener o no las medidas. Para ello, los representantes y, de ser el caso </w:t>
      </w:r>
      <w:r w:rsidR="00143D7C" w:rsidRPr="005A17C2">
        <w:rPr>
          <w:rFonts w:ascii="Verdana" w:hAnsi="Verdana"/>
          <w:spacing w:val="-4"/>
          <w:sz w:val="20"/>
        </w:rPr>
        <w:t xml:space="preserve">los </w:t>
      </w:r>
      <w:r w:rsidRPr="005A17C2">
        <w:rPr>
          <w:rFonts w:ascii="Verdana" w:hAnsi="Verdana"/>
          <w:spacing w:val="-4"/>
          <w:sz w:val="20"/>
        </w:rPr>
        <w:t>beneficiari</w:t>
      </w:r>
      <w:r w:rsidR="00143D7C" w:rsidRPr="005A17C2">
        <w:rPr>
          <w:rFonts w:ascii="Verdana" w:hAnsi="Verdana"/>
          <w:spacing w:val="-4"/>
          <w:sz w:val="20"/>
        </w:rPr>
        <w:t>o</w:t>
      </w:r>
      <w:r w:rsidRPr="005A17C2">
        <w:rPr>
          <w:rFonts w:ascii="Verdana" w:hAnsi="Verdana"/>
          <w:spacing w:val="-4"/>
          <w:sz w:val="20"/>
        </w:rPr>
        <w:t>s, deberán prestar la debida colaboración al Estado. Además, más allá de lo ya informado, es preciso que los representantes remitan información específica y con elementos de respaldo sobre la persistencia de la situación de extrema gravedad y urgencia</w:t>
      </w:r>
      <w:r w:rsidR="009F469B">
        <w:rPr>
          <w:rFonts w:ascii="Verdana" w:hAnsi="Verdana"/>
          <w:spacing w:val="-4"/>
          <w:sz w:val="20"/>
        </w:rPr>
        <w:t>, así como</w:t>
      </w:r>
      <w:r w:rsidRPr="005A17C2">
        <w:rPr>
          <w:rFonts w:ascii="Verdana" w:hAnsi="Verdana"/>
          <w:spacing w:val="-4"/>
          <w:sz w:val="20"/>
        </w:rPr>
        <w:t xml:space="preserve"> de </w:t>
      </w:r>
      <w:r w:rsidR="009F469B">
        <w:rPr>
          <w:rFonts w:ascii="Verdana" w:hAnsi="Verdana"/>
          <w:spacing w:val="-4"/>
          <w:sz w:val="20"/>
        </w:rPr>
        <w:t xml:space="preserve">la </w:t>
      </w:r>
      <w:r w:rsidRPr="005A17C2">
        <w:rPr>
          <w:rFonts w:ascii="Verdana" w:hAnsi="Verdana"/>
          <w:spacing w:val="-4"/>
          <w:sz w:val="20"/>
        </w:rPr>
        <w:t xml:space="preserve">necesidad de evitar daños irreparables respecto de </w:t>
      </w:r>
      <w:r w:rsidR="001963A9" w:rsidRPr="005A17C2">
        <w:rPr>
          <w:rFonts w:ascii="Verdana" w:hAnsi="Verdana"/>
          <w:spacing w:val="-4"/>
          <w:sz w:val="20"/>
        </w:rPr>
        <w:t>estos</w:t>
      </w:r>
      <w:r w:rsidR="00753EDE" w:rsidRPr="005A17C2">
        <w:rPr>
          <w:rFonts w:ascii="Verdana" w:hAnsi="Verdana"/>
          <w:spacing w:val="-4"/>
          <w:sz w:val="20"/>
        </w:rPr>
        <w:t xml:space="preserve"> beneficiario</w:t>
      </w:r>
      <w:r w:rsidRPr="005A17C2">
        <w:rPr>
          <w:rFonts w:ascii="Verdana" w:hAnsi="Verdana"/>
          <w:spacing w:val="-4"/>
          <w:sz w:val="20"/>
        </w:rPr>
        <w:t>s.</w:t>
      </w:r>
      <w:bookmarkEnd w:id="24"/>
      <w:r w:rsidRPr="005A17C2">
        <w:rPr>
          <w:rFonts w:ascii="Verdana" w:hAnsi="Verdana"/>
          <w:spacing w:val="-4"/>
          <w:sz w:val="20"/>
        </w:rPr>
        <w:t xml:space="preserve"> </w:t>
      </w:r>
    </w:p>
    <w:p w14:paraId="58379AD8" w14:textId="77777777" w:rsidR="00724E57" w:rsidRPr="005A17C2" w:rsidRDefault="00724E57" w:rsidP="00BB145E">
      <w:pPr>
        <w:pStyle w:val="BodyText2"/>
        <w:spacing w:after="0" w:line="240" w:lineRule="auto"/>
        <w:jc w:val="both"/>
        <w:rPr>
          <w:rFonts w:ascii="Verdana" w:hAnsi="Verdana"/>
          <w:spacing w:val="-4"/>
          <w:sz w:val="20"/>
        </w:rPr>
      </w:pPr>
    </w:p>
    <w:p w14:paraId="73B6AF39" w14:textId="649B1886" w:rsidR="0040534C" w:rsidRPr="005A17C2" w:rsidRDefault="001A2768" w:rsidP="00BB145E">
      <w:pPr>
        <w:pStyle w:val="BodyText2"/>
        <w:numPr>
          <w:ilvl w:val="0"/>
          <w:numId w:val="22"/>
        </w:numPr>
        <w:spacing w:after="0" w:line="240" w:lineRule="auto"/>
        <w:jc w:val="both"/>
        <w:rPr>
          <w:rFonts w:ascii="Verdana" w:hAnsi="Verdana"/>
          <w:spacing w:val="-4"/>
          <w:sz w:val="20"/>
        </w:rPr>
      </w:pPr>
      <w:r w:rsidRPr="005A17C2">
        <w:rPr>
          <w:rFonts w:ascii="Verdana" w:hAnsi="Verdana"/>
          <w:spacing w:val="-4"/>
          <w:sz w:val="20"/>
        </w:rPr>
        <w:t xml:space="preserve">A efectos de recibir dicha información, la Corte estima procedente mantener la vigencia de las presentes medidas provisionales por un período adicional de seis meses, el cual vencerá el </w:t>
      </w:r>
      <w:r w:rsidR="00193626" w:rsidRPr="00193626">
        <w:rPr>
          <w:rFonts w:ascii="Verdana" w:hAnsi="Verdana"/>
          <w:spacing w:val="-4"/>
          <w:sz w:val="20"/>
        </w:rPr>
        <w:t>30</w:t>
      </w:r>
      <w:r w:rsidRPr="00193626">
        <w:rPr>
          <w:rFonts w:ascii="Verdana" w:hAnsi="Verdana"/>
          <w:spacing w:val="-4"/>
          <w:sz w:val="20"/>
        </w:rPr>
        <w:t xml:space="preserve"> de </w:t>
      </w:r>
      <w:r w:rsidR="00C34DFC" w:rsidRPr="00193626">
        <w:rPr>
          <w:rFonts w:ascii="Verdana" w:hAnsi="Verdana"/>
          <w:spacing w:val="-4"/>
          <w:sz w:val="20"/>
        </w:rPr>
        <w:t>septiembre</w:t>
      </w:r>
      <w:r w:rsidRPr="00193626">
        <w:rPr>
          <w:rFonts w:ascii="Verdana" w:hAnsi="Verdana"/>
          <w:spacing w:val="-4"/>
          <w:sz w:val="20"/>
        </w:rPr>
        <w:t xml:space="preserve"> de 2016</w:t>
      </w:r>
      <w:r w:rsidRPr="005A17C2">
        <w:rPr>
          <w:rFonts w:ascii="Verdana" w:hAnsi="Verdana"/>
          <w:spacing w:val="-4"/>
          <w:sz w:val="20"/>
        </w:rPr>
        <w:t>. La Corte evaluará oportunamente la necesidad de mantenimiento de las medidas a favor de la señora Fernández Ortega y sus familiares.</w:t>
      </w:r>
    </w:p>
    <w:p w14:paraId="426D221B" w14:textId="77777777" w:rsidR="00DD5D84" w:rsidRPr="005A17C2" w:rsidRDefault="00DD5D84" w:rsidP="00BB145E">
      <w:pPr>
        <w:pStyle w:val="BodyText2"/>
        <w:spacing w:after="0" w:line="240" w:lineRule="auto"/>
        <w:jc w:val="both"/>
        <w:rPr>
          <w:rFonts w:ascii="Verdana" w:hAnsi="Verdana"/>
          <w:i/>
          <w:spacing w:val="-4"/>
          <w:sz w:val="20"/>
          <w:u w:val="single"/>
        </w:rPr>
      </w:pPr>
    </w:p>
    <w:p w14:paraId="6FC23E25" w14:textId="6695303A" w:rsidR="0040534C" w:rsidRPr="005A17C2" w:rsidRDefault="00560CE6" w:rsidP="00BB145E">
      <w:pPr>
        <w:pStyle w:val="BodyText2"/>
        <w:spacing w:after="0" w:line="240" w:lineRule="auto"/>
        <w:ind w:left="1440"/>
        <w:jc w:val="both"/>
        <w:rPr>
          <w:rFonts w:ascii="Verdana" w:hAnsi="Verdana"/>
          <w:i/>
          <w:spacing w:val="-4"/>
          <w:sz w:val="20"/>
          <w:u w:val="single"/>
        </w:rPr>
      </w:pPr>
      <w:r w:rsidRPr="005A17C2">
        <w:rPr>
          <w:rFonts w:ascii="Verdana" w:hAnsi="Verdana"/>
          <w:i/>
          <w:spacing w:val="-4"/>
          <w:sz w:val="20"/>
          <w:u w:val="single"/>
        </w:rPr>
        <w:t>ii</w:t>
      </w:r>
      <w:r w:rsidR="00803B91" w:rsidRPr="005A17C2">
        <w:rPr>
          <w:rFonts w:ascii="Verdana" w:hAnsi="Verdana"/>
          <w:i/>
          <w:spacing w:val="-4"/>
          <w:sz w:val="20"/>
          <w:u w:val="single"/>
        </w:rPr>
        <w:t xml:space="preserve">) </w:t>
      </w:r>
      <w:r w:rsidRPr="005A17C2">
        <w:rPr>
          <w:rFonts w:ascii="Verdana" w:hAnsi="Verdana"/>
          <w:i/>
          <w:spacing w:val="-4"/>
          <w:sz w:val="20"/>
          <w:u w:val="single"/>
        </w:rPr>
        <w:t xml:space="preserve">Situación de riesgo de </w:t>
      </w:r>
      <w:r w:rsidR="0040534C" w:rsidRPr="005A17C2">
        <w:rPr>
          <w:rFonts w:ascii="Verdana" w:hAnsi="Verdana"/>
          <w:i/>
          <w:spacing w:val="-4"/>
          <w:sz w:val="20"/>
          <w:u w:val="single"/>
        </w:rPr>
        <w:t xml:space="preserve">los integrantes de la OPIM y </w:t>
      </w:r>
      <w:proofErr w:type="spellStart"/>
      <w:r w:rsidR="0040534C" w:rsidRPr="005A17C2">
        <w:rPr>
          <w:rFonts w:ascii="Verdana" w:hAnsi="Verdana"/>
          <w:i/>
          <w:spacing w:val="-4"/>
          <w:sz w:val="20"/>
          <w:u w:val="single"/>
        </w:rPr>
        <w:t>Tlachinollan</w:t>
      </w:r>
      <w:proofErr w:type="spellEnd"/>
      <w:r w:rsidR="00803B91" w:rsidRPr="005A17C2">
        <w:rPr>
          <w:rFonts w:ascii="Verdana" w:hAnsi="Verdana"/>
          <w:i/>
          <w:spacing w:val="-4"/>
          <w:sz w:val="20"/>
          <w:u w:val="single"/>
        </w:rPr>
        <w:t xml:space="preserve">, así como de </w:t>
      </w:r>
      <w:proofErr w:type="spellStart"/>
      <w:r w:rsidR="00803B91" w:rsidRPr="005A17C2">
        <w:rPr>
          <w:rFonts w:ascii="Verdana" w:hAnsi="Verdana"/>
          <w:i/>
          <w:spacing w:val="-4"/>
          <w:sz w:val="20"/>
          <w:u w:val="single"/>
        </w:rPr>
        <w:t>Obtilia</w:t>
      </w:r>
      <w:proofErr w:type="spellEnd"/>
      <w:r w:rsidR="00803B91" w:rsidRPr="005A17C2">
        <w:rPr>
          <w:rFonts w:ascii="Verdana" w:hAnsi="Verdana"/>
          <w:i/>
          <w:spacing w:val="-4"/>
          <w:sz w:val="20"/>
          <w:u w:val="single"/>
        </w:rPr>
        <w:t xml:space="preserve"> Eugenio Manuel y sus familiares. </w:t>
      </w:r>
    </w:p>
    <w:p w14:paraId="09D71791" w14:textId="77777777" w:rsidR="00AF792D" w:rsidRPr="005A17C2" w:rsidRDefault="00AF792D" w:rsidP="00BB145E">
      <w:pPr>
        <w:pStyle w:val="ListParagraph"/>
        <w:jc w:val="both"/>
        <w:rPr>
          <w:rFonts w:ascii="Verdana" w:hAnsi="Verdana"/>
          <w:spacing w:val="-4"/>
          <w:sz w:val="20"/>
          <w:lang w:val="es-ES"/>
        </w:rPr>
      </w:pPr>
    </w:p>
    <w:p w14:paraId="69080DC0" w14:textId="15D7F9CE" w:rsidR="00A47A7D" w:rsidRPr="005A17C2" w:rsidRDefault="00AF792D" w:rsidP="00BB145E">
      <w:pPr>
        <w:pStyle w:val="BodyText2"/>
        <w:numPr>
          <w:ilvl w:val="0"/>
          <w:numId w:val="22"/>
        </w:numPr>
        <w:spacing w:after="0" w:line="240" w:lineRule="auto"/>
        <w:jc w:val="both"/>
        <w:rPr>
          <w:rFonts w:ascii="Verdana" w:hAnsi="Verdana"/>
          <w:spacing w:val="-4"/>
          <w:sz w:val="20"/>
          <w:lang w:val="es-CR"/>
        </w:rPr>
      </w:pPr>
      <w:r w:rsidRPr="005A17C2">
        <w:rPr>
          <w:rFonts w:ascii="Verdana" w:hAnsi="Verdana"/>
          <w:spacing w:val="-4"/>
          <w:sz w:val="20"/>
          <w:lang w:val="es-ES"/>
        </w:rPr>
        <w:t>La</w:t>
      </w:r>
      <w:r w:rsidR="00803B91" w:rsidRPr="005A17C2">
        <w:rPr>
          <w:rFonts w:ascii="Verdana" w:hAnsi="Verdana"/>
          <w:spacing w:val="-4"/>
          <w:sz w:val="20"/>
          <w:lang w:val="es-ES"/>
        </w:rPr>
        <w:t xml:space="preserve">s presentes medidas </w:t>
      </w:r>
      <w:r w:rsidR="00753EDE" w:rsidRPr="005A17C2">
        <w:rPr>
          <w:rFonts w:ascii="Verdana" w:hAnsi="Verdana"/>
          <w:spacing w:val="-4"/>
          <w:sz w:val="20"/>
          <w:lang w:val="es-ES"/>
        </w:rPr>
        <w:t xml:space="preserve">además </w:t>
      </w:r>
      <w:r w:rsidR="00803B91" w:rsidRPr="005A17C2">
        <w:rPr>
          <w:rFonts w:ascii="Verdana" w:hAnsi="Verdana"/>
          <w:spacing w:val="-4"/>
          <w:sz w:val="20"/>
          <w:lang w:val="es-ES"/>
        </w:rPr>
        <w:t xml:space="preserve">protegen a 41 integrantes de la OPIM, 18 integrantes de </w:t>
      </w:r>
      <w:proofErr w:type="spellStart"/>
      <w:r w:rsidR="00803B91" w:rsidRPr="005A17C2">
        <w:rPr>
          <w:rFonts w:ascii="Verdana" w:hAnsi="Verdana"/>
          <w:spacing w:val="-4"/>
          <w:sz w:val="20"/>
          <w:lang w:val="es-ES"/>
        </w:rPr>
        <w:t>Tlachino</w:t>
      </w:r>
      <w:r w:rsidR="004531DD" w:rsidRPr="005A17C2">
        <w:rPr>
          <w:rFonts w:ascii="Verdana" w:hAnsi="Verdana"/>
          <w:spacing w:val="-4"/>
          <w:sz w:val="20"/>
          <w:lang w:val="es-ES"/>
        </w:rPr>
        <w:t>llan</w:t>
      </w:r>
      <w:proofErr w:type="spellEnd"/>
      <w:r w:rsidR="004531DD" w:rsidRPr="005A17C2">
        <w:rPr>
          <w:rFonts w:ascii="Verdana" w:hAnsi="Verdana"/>
          <w:spacing w:val="-4"/>
          <w:sz w:val="20"/>
          <w:lang w:val="es-ES"/>
        </w:rPr>
        <w:t xml:space="preserve"> y a </w:t>
      </w:r>
      <w:proofErr w:type="spellStart"/>
      <w:r w:rsidR="004531DD" w:rsidRPr="005A17C2">
        <w:rPr>
          <w:rFonts w:ascii="Verdana" w:hAnsi="Verdana"/>
          <w:spacing w:val="-4"/>
          <w:sz w:val="20"/>
          <w:lang w:val="es-ES"/>
        </w:rPr>
        <w:t>Obtilia</w:t>
      </w:r>
      <w:proofErr w:type="spellEnd"/>
      <w:r w:rsidR="004531DD" w:rsidRPr="005A17C2">
        <w:rPr>
          <w:rFonts w:ascii="Verdana" w:hAnsi="Verdana"/>
          <w:spacing w:val="-4"/>
          <w:sz w:val="20"/>
          <w:lang w:val="es-ES"/>
        </w:rPr>
        <w:t xml:space="preserve"> Eugenio Manuel y algunos de sus famili</w:t>
      </w:r>
      <w:r w:rsidR="00222807" w:rsidRPr="005A17C2">
        <w:rPr>
          <w:rFonts w:ascii="Verdana" w:hAnsi="Verdana"/>
          <w:spacing w:val="-4"/>
          <w:sz w:val="20"/>
          <w:lang w:val="es-ES"/>
        </w:rPr>
        <w:t>a</w:t>
      </w:r>
      <w:r w:rsidR="004531DD" w:rsidRPr="005A17C2">
        <w:rPr>
          <w:rFonts w:ascii="Verdana" w:hAnsi="Verdana"/>
          <w:spacing w:val="-4"/>
          <w:sz w:val="20"/>
          <w:lang w:val="es-ES"/>
        </w:rPr>
        <w:t>res</w:t>
      </w:r>
      <w:r w:rsidR="004531DD" w:rsidRPr="005A17C2">
        <w:rPr>
          <w:rFonts w:ascii="Verdana" w:hAnsi="Verdana"/>
          <w:spacing w:val="-4"/>
          <w:sz w:val="20"/>
        </w:rPr>
        <w:t xml:space="preserve"> (</w:t>
      </w:r>
      <w:r w:rsidR="004531DD" w:rsidRPr="005A17C2">
        <w:rPr>
          <w:rFonts w:ascii="Verdana" w:hAnsi="Verdana"/>
          <w:i/>
          <w:spacing w:val="-4"/>
          <w:sz w:val="20"/>
        </w:rPr>
        <w:t>supra</w:t>
      </w:r>
      <w:r w:rsidR="004531DD" w:rsidRPr="005A17C2">
        <w:rPr>
          <w:rFonts w:ascii="Verdana" w:hAnsi="Verdana"/>
          <w:spacing w:val="-4"/>
          <w:sz w:val="20"/>
        </w:rPr>
        <w:t xml:space="preserve"> Considerando </w:t>
      </w:r>
      <w:r w:rsidR="004531DD" w:rsidRPr="005A17C2">
        <w:rPr>
          <w:rFonts w:ascii="Verdana" w:hAnsi="Verdana"/>
          <w:spacing w:val="-4"/>
          <w:sz w:val="20"/>
        </w:rPr>
        <w:fldChar w:fldCharType="begin"/>
      </w:r>
      <w:r w:rsidR="004531DD" w:rsidRPr="005A17C2">
        <w:rPr>
          <w:rFonts w:ascii="Verdana" w:hAnsi="Verdana"/>
          <w:spacing w:val="-4"/>
          <w:sz w:val="20"/>
        </w:rPr>
        <w:instrText xml:space="preserve"> REF _Ref442098702 \r \h </w:instrText>
      </w:r>
      <w:r w:rsidR="00290A76" w:rsidRPr="005A17C2">
        <w:rPr>
          <w:rFonts w:ascii="Verdana" w:hAnsi="Verdana"/>
          <w:spacing w:val="-4"/>
          <w:sz w:val="20"/>
        </w:rPr>
        <w:instrText xml:space="preserve"> \* MERGEFORMAT </w:instrText>
      </w:r>
      <w:r w:rsidR="004531DD" w:rsidRPr="005A17C2">
        <w:rPr>
          <w:rFonts w:ascii="Verdana" w:hAnsi="Verdana"/>
          <w:spacing w:val="-4"/>
          <w:sz w:val="20"/>
        </w:rPr>
      </w:r>
      <w:r w:rsidR="004531DD" w:rsidRPr="005A17C2">
        <w:rPr>
          <w:rFonts w:ascii="Verdana" w:hAnsi="Verdana"/>
          <w:spacing w:val="-4"/>
          <w:sz w:val="20"/>
        </w:rPr>
        <w:fldChar w:fldCharType="separate"/>
      </w:r>
      <w:r w:rsidR="00820C73">
        <w:rPr>
          <w:rFonts w:ascii="Verdana" w:hAnsi="Verdana"/>
          <w:spacing w:val="-4"/>
          <w:sz w:val="20"/>
        </w:rPr>
        <w:t>3</w:t>
      </w:r>
      <w:r w:rsidR="004531DD" w:rsidRPr="005A17C2">
        <w:rPr>
          <w:rFonts w:ascii="Verdana" w:hAnsi="Verdana"/>
          <w:spacing w:val="-4"/>
          <w:sz w:val="20"/>
        </w:rPr>
        <w:fldChar w:fldCharType="end"/>
      </w:r>
      <w:r w:rsidR="004531DD" w:rsidRPr="005A17C2">
        <w:rPr>
          <w:rFonts w:ascii="Verdana" w:hAnsi="Verdana"/>
          <w:spacing w:val="-4"/>
          <w:sz w:val="20"/>
        </w:rPr>
        <w:t>)</w:t>
      </w:r>
      <w:r w:rsidR="00B701BC" w:rsidRPr="005A17C2">
        <w:rPr>
          <w:rFonts w:ascii="Verdana" w:hAnsi="Verdana"/>
          <w:spacing w:val="-4"/>
          <w:sz w:val="20"/>
        </w:rPr>
        <w:t>, en virtud de las amenazas y hostigamiento a raíz de su labor de defensa de los derechos humanos de Inés Fernández Ortega</w:t>
      </w:r>
      <w:r w:rsidR="00803B91" w:rsidRPr="005A17C2">
        <w:rPr>
          <w:rFonts w:ascii="Verdana" w:hAnsi="Verdana"/>
          <w:spacing w:val="-4"/>
          <w:sz w:val="20"/>
        </w:rPr>
        <w:t xml:space="preserve">. </w:t>
      </w:r>
    </w:p>
    <w:p w14:paraId="5A599B92" w14:textId="77777777" w:rsidR="00A47A7D" w:rsidRPr="005A17C2" w:rsidRDefault="00A47A7D" w:rsidP="00BB145E">
      <w:pPr>
        <w:pStyle w:val="BodyText2"/>
        <w:spacing w:after="0" w:line="240" w:lineRule="auto"/>
        <w:jc w:val="both"/>
        <w:rPr>
          <w:rFonts w:ascii="Verdana" w:hAnsi="Verdana"/>
          <w:spacing w:val="-4"/>
          <w:sz w:val="20"/>
          <w:lang w:val="es-CR"/>
        </w:rPr>
      </w:pPr>
    </w:p>
    <w:p w14:paraId="7BED7724" w14:textId="6F4F4858" w:rsidR="00A47A7D" w:rsidRPr="005A17C2" w:rsidRDefault="00A47A7D" w:rsidP="00BB145E">
      <w:pPr>
        <w:pStyle w:val="BodyText2"/>
        <w:numPr>
          <w:ilvl w:val="0"/>
          <w:numId w:val="22"/>
        </w:numPr>
        <w:spacing w:after="0" w:line="240" w:lineRule="auto"/>
        <w:jc w:val="both"/>
        <w:rPr>
          <w:rFonts w:ascii="Verdana" w:hAnsi="Verdana"/>
          <w:spacing w:val="-4"/>
          <w:sz w:val="20"/>
          <w:lang w:val="es-CR"/>
        </w:rPr>
      </w:pPr>
      <w:r w:rsidRPr="005A17C2">
        <w:rPr>
          <w:rFonts w:ascii="Verdana" w:hAnsi="Verdana"/>
          <w:spacing w:val="-4"/>
          <w:sz w:val="20"/>
        </w:rPr>
        <w:t xml:space="preserve">Los representantes han informado de presuntos hechos de riesgo asociados a </w:t>
      </w:r>
      <w:r w:rsidRPr="005A17C2">
        <w:rPr>
          <w:rFonts w:ascii="Verdana" w:hAnsi="Verdana"/>
          <w:spacing w:val="-4"/>
          <w:sz w:val="20"/>
          <w:lang w:val="es-ES"/>
        </w:rPr>
        <w:t xml:space="preserve">la representación por parte de </w:t>
      </w:r>
      <w:proofErr w:type="spellStart"/>
      <w:r w:rsidRPr="005A17C2">
        <w:rPr>
          <w:rFonts w:ascii="Verdana" w:hAnsi="Verdana"/>
          <w:spacing w:val="-4"/>
          <w:sz w:val="20"/>
          <w:lang w:val="es-ES"/>
        </w:rPr>
        <w:t>Tlachinollan</w:t>
      </w:r>
      <w:proofErr w:type="spellEnd"/>
      <w:r w:rsidRPr="005A17C2">
        <w:rPr>
          <w:rFonts w:ascii="Verdana" w:hAnsi="Verdana"/>
          <w:spacing w:val="-4"/>
          <w:sz w:val="20"/>
          <w:lang w:val="es-ES"/>
        </w:rPr>
        <w:t xml:space="preserve"> del caso de los 43 estudiantes de la Normal Rural “Raúl Isidro Burgos” de </w:t>
      </w:r>
      <w:proofErr w:type="spellStart"/>
      <w:r w:rsidRPr="005A17C2">
        <w:rPr>
          <w:rFonts w:ascii="Verdana" w:hAnsi="Verdana"/>
          <w:spacing w:val="-4"/>
          <w:sz w:val="20"/>
          <w:lang w:val="es-ES"/>
        </w:rPr>
        <w:t>Ayotzinapa</w:t>
      </w:r>
      <w:proofErr w:type="spellEnd"/>
      <w:r w:rsidR="009F469B">
        <w:rPr>
          <w:rFonts w:ascii="Verdana" w:hAnsi="Verdana"/>
          <w:spacing w:val="-4"/>
          <w:sz w:val="20"/>
          <w:lang w:val="es-ES"/>
        </w:rPr>
        <w:t>,</w:t>
      </w:r>
      <w:r w:rsidRPr="005A17C2">
        <w:rPr>
          <w:rFonts w:ascii="Verdana" w:hAnsi="Verdana"/>
          <w:spacing w:val="-4"/>
          <w:sz w:val="20"/>
          <w:lang w:val="es-ES"/>
        </w:rPr>
        <w:t xml:space="preserve"> Iguala. No obstante, la Corte advierte que, </w:t>
      </w:r>
      <w:r w:rsidR="00AF792D" w:rsidRPr="005A17C2">
        <w:rPr>
          <w:rFonts w:ascii="Verdana" w:hAnsi="Verdana"/>
          <w:spacing w:val="-4"/>
          <w:sz w:val="20"/>
          <w:lang w:val="es-ES"/>
        </w:rPr>
        <w:t>a la luz del objeto de las presentes medidas provisionales</w:t>
      </w:r>
      <w:r w:rsidR="00BF04EF" w:rsidRPr="005A17C2">
        <w:rPr>
          <w:rFonts w:ascii="Verdana" w:hAnsi="Verdana"/>
          <w:spacing w:val="-4"/>
          <w:sz w:val="20"/>
          <w:lang w:val="es-ES"/>
        </w:rPr>
        <w:t>,</w:t>
      </w:r>
      <w:r w:rsidR="00AF792D" w:rsidRPr="005A17C2">
        <w:rPr>
          <w:rFonts w:ascii="Verdana" w:hAnsi="Verdana"/>
          <w:spacing w:val="-4"/>
          <w:sz w:val="20"/>
          <w:lang w:val="es-ES"/>
        </w:rPr>
        <w:t xml:space="preserve"> no se desprende que las alegadas amenazas y hostigamientos señalados por los representantes tengan vinculación con el caso </w:t>
      </w:r>
      <w:r w:rsidR="00AF792D" w:rsidRPr="005A17C2">
        <w:rPr>
          <w:rFonts w:ascii="Verdana" w:hAnsi="Verdana"/>
          <w:i/>
          <w:spacing w:val="-4"/>
          <w:sz w:val="20"/>
          <w:lang w:val="es-ES"/>
        </w:rPr>
        <w:t>Fernández Ortega y otros</w:t>
      </w:r>
      <w:r w:rsidR="00AF792D" w:rsidRPr="005A17C2">
        <w:rPr>
          <w:rFonts w:ascii="Verdana" w:hAnsi="Verdana"/>
          <w:spacing w:val="-4"/>
          <w:sz w:val="20"/>
          <w:lang w:val="es-ES"/>
        </w:rPr>
        <w:t xml:space="preserve">, ni con los eventos que justificaron, oportunamente, la adopción de </w:t>
      </w:r>
      <w:r w:rsidR="00FB0201" w:rsidRPr="005A17C2">
        <w:rPr>
          <w:rFonts w:ascii="Verdana" w:hAnsi="Verdana"/>
          <w:spacing w:val="-4"/>
          <w:sz w:val="20"/>
          <w:lang w:val="es-ES"/>
        </w:rPr>
        <w:t>estas</w:t>
      </w:r>
      <w:r w:rsidR="00AF792D" w:rsidRPr="005A17C2">
        <w:rPr>
          <w:rFonts w:ascii="Verdana" w:hAnsi="Verdana"/>
          <w:spacing w:val="-4"/>
          <w:sz w:val="20"/>
          <w:lang w:val="es-ES"/>
        </w:rPr>
        <w:t xml:space="preserve"> medidas. </w:t>
      </w:r>
      <w:r w:rsidR="00C557FC" w:rsidRPr="005A17C2">
        <w:rPr>
          <w:rFonts w:ascii="Verdana" w:hAnsi="Verdana"/>
          <w:spacing w:val="-4"/>
          <w:sz w:val="20"/>
          <w:lang w:val="es-ES"/>
        </w:rPr>
        <w:t xml:space="preserve">Además, la Corte nota que, conforme fue informado por el Estado, </w:t>
      </w:r>
      <w:r w:rsidR="00C557FC" w:rsidRPr="005A17C2">
        <w:rPr>
          <w:rFonts w:ascii="Verdana" w:hAnsi="Verdana"/>
          <w:spacing w:val="-4"/>
          <w:sz w:val="20"/>
          <w:lang w:val="es-CR"/>
        </w:rPr>
        <w:t>los eventos ocurridos a los 43 estudiantes están siendo analizados</w:t>
      </w:r>
      <w:r w:rsidR="00FB0201" w:rsidRPr="005A17C2">
        <w:rPr>
          <w:rFonts w:ascii="Verdana" w:hAnsi="Verdana"/>
          <w:spacing w:val="-4"/>
          <w:sz w:val="20"/>
          <w:lang w:val="es-CR"/>
        </w:rPr>
        <w:t xml:space="preserve"> </w:t>
      </w:r>
      <w:r w:rsidR="00C557FC" w:rsidRPr="005A17C2">
        <w:rPr>
          <w:rFonts w:ascii="Verdana" w:hAnsi="Verdana"/>
          <w:spacing w:val="-4"/>
          <w:sz w:val="20"/>
          <w:lang w:val="es-CR"/>
        </w:rPr>
        <w:t>por la Comisión Interamericana</w:t>
      </w:r>
      <w:r w:rsidR="00FB0201" w:rsidRPr="005A17C2">
        <w:rPr>
          <w:rFonts w:ascii="Verdana" w:hAnsi="Verdana"/>
          <w:spacing w:val="-4"/>
          <w:sz w:val="20"/>
          <w:lang w:val="es-CR"/>
        </w:rPr>
        <w:t>,</w:t>
      </w:r>
      <w:r w:rsidR="00C557FC" w:rsidRPr="005A17C2">
        <w:rPr>
          <w:rFonts w:ascii="Verdana" w:hAnsi="Verdana"/>
          <w:spacing w:val="-4"/>
          <w:sz w:val="20"/>
          <w:lang w:val="es-CR"/>
        </w:rPr>
        <w:t xml:space="preserve"> </w:t>
      </w:r>
      <w:r w:rsidR="00FB0201" w:rsidRPr="005A17C2">
        <w:rPr>
          <w:rFonts w:ascii="Verdana" w:hAnsi="Verdana"/>
          <w:spacing w:val="-4"/>
          <w:sz w:val="20"/>
          <w:lang w:val="es-CR"/>
        </w:rPr>
        <w:t xml:space="preserve">a través de </w:t>
      </w:r>
      <w:r w:rsidR="009F469B">
        <w:rPr>
          <w:rFonts w:ascii="Verdana" w:hAnsi="Verdana"/>
          <w:spacing w:val="-4"/>
          <w:sz w:val="20"/>
          <w:lang w:val="es-CR"/>
        </w:rPr>
        <w:t>las</w:t>
      </w:r>
      <w:r w:rsidR="00FB0201" w:rsidRPr="005A17C2">
        <w:rPr>
          <w:rFonts w:ascii="Verdana" w:hAnsi="Verdana"/>
          <w:spacing w:val="-4"/>
          <w:sz w:val="20"/>
          <w:lang w:val="es-CR"/>
        </w:rPr>
        <w:t xml:space="preserve"> medidas cautelares</w:t>
      </w:r>
      <w:r w:rsidR="00C557FC" w:rsidRPr="005A17C2">
        <w:rPr>
          <w:rFonts w:ascii="Verdana" w:hAnsi="Verdana"/>
          <w:spacing w:val="-4"/>
          <w:sz w:val="20"/>
          <w:lang w:val="es-CR"/>
        </w:rPr>
        <w:t xml:space="preserve"> MC-409-2014. </w:t>
      </w:r>
      <w:r w:rsidR="004D6B51" w:rsidRPr="005A17C2">
        <w:rPr>
          <w:rFonts w:ascii="Verdana" w:hAnsi="Verdana"/>
          <w:spacing w:val="-4"/>
          <w:sz w:val="20"/>
        </w:rPr>
        <w:t>Por consiguiente, la Corte estima que no corresponde analizar dichos hechos en el marco de las presentes medidas.</w:t>
      </w:r>
    </w:p>
    <w:p w14:paraId="10E9D4BD" w14:textId="77777777" w:rsidR="00A47A7D" w:rsidRPr="005A17C2" w:rsidRDefault="00A47A7D" w:rsidP="00BB145E">
      <w:pPr>
        <w:pStyle w:val="BodyText2"/>
        <w:spacing w:after="0" w:line="240" w:lineRule="auto"/>
        <w:jc w:val="both"/>
        <w:rPr>
          <w:rFonts w:ascii="Verdana" w:hAnsi="Verdana"/>
          <w:spacing w:val="-4"/>
          <w:sz w:val="20"/>
        </w:rPr>
      </w:pPr>
    </w:p>
    <w:p w14:paraId="01CE9375" w14:textId="178E4A40" w:rsidR="00832313" w:rsidRPr="005A17C2" w:rsidRDefault="00A47A7D" w:rsidP="00BB145E">
      <w:pPr>
        <w:pStyle w:val="BodyText2"/>
        <w:numPr>
          <w:ilvl w:val="0"/>
          <w:numId w:val="22"/>
        </w:numPr>
        <w:spacing w:after="0" w:line="240" w:lineRule="auto"/>
        <w:jc w:val="both"/>
        <w:rPr>
          <w:rFonts w:ascii="Verdana" w:hAnsi="Verdana"/>
          <w:spacing w:val="-4"/>
          <w:sz w:val="20"/>
        </w:rPr>
      </w:pPr>
      <w:r w:rsidRPr="005A17C2">
        <w:rPr>
          <w:rFonts w:ascii="Verdana" w:hAnsi="Verdana"/>
          <w:spacing w:val="-4"/>
          <w:sz w:val="20"/>
          <w:lang w:val="es-CR"/>
        </w:rPr>
        <w:t xml:space="preserve">Sin perjuicio de lo anterior, </w:t>
      </w:r>
      <w:r w:rsidRPr="005A17C2">
        <w:rPr>
          <w:rFonts w:ascii="Verdana" w:hAnsi="Verdana"/>
          <w:spacing w:val="-4"/>
          <w:sz w:val="20"/>
        </w:rPr>
        <w:t xml:space="preserve">la </w:t>
      </w:r>
      <w:r w:rsidR="00832313" w:rsidRPr="005A17C2">
        <w:rPr>
          <w:rFonts w:ascii="Verdana" w:hAnsi="Verdana"/>
          <w:spacing w:val="-4"/>
          <w:sz w:val="20"/>
          <w:lang w:val="es-ES"/>
        </w:rPr>
        <w:t xml:space="preserve">Corte toma nota </w:t>
      </w:r>
      <w:r w:rsidR="00513D22" w:rsidRPr="005A17C2">
        <w:rPr>
          <w:rFonts w:ascii="Verdana" w:hAnsi="Verdana"/>
          <w:spacing w:val="-4"/>
          <w:sz w:val="20"/>
          <w:lang w:val="es-ES"/>
        </w:rPr>
        <w:t xml:space="preserve">de amenazas o hechos de riesgo o violencia sucedidos contra </w:t>
      </w:r>
      <w:r w:rsidR="0016117F" w:rsidRPr="005A17C2">
        <w:rPr>
          <w:rFonts w:ascii="Verdana" w:hAnsi="Verdana"/>
          <w:spacing w:val="-4"/>
          <w:sz w:val="20"/>
          <w:lang w:val="es-ES"/>
        </w:rPr>
        <w:t xml:space="preserve">algunos de los </w:t>
      </w:r>
      <w:r w:rsidR="00513D22" w:rsidRPr="005A17C2">
        <w:rPr>
          <w:rFonts w:ascii="Verdana" w:hAnsi="Verdana"/>
          <w:spacing w:val="-4"/>
          <w:sz w:val="20"/>
          <w:lang w:val="es-ES"/>
        </w:rPr>
        <w:t>beneficiarios</w:t>
      </w:r>
      <w:r w:rsidR="00E6175A" w:rsidRPr="005A17C2">
        <w:rPr>
          <w:rFonts w:ascii="Verdana" w:hAnsi="Verdana"/>
          <w:spacing w:val="-4"/>
          <w:sz w:val="20"/>
          <w:lang w:val="es-ES"/>
        </w:rPr>
        <w:t xml:space="preserve"> </w:t>
      </w:r>
      <w:r w:rsidR="00951E15" w:rsidRPr="005A17C2">
        <w:rPr>
          <w:rFonts w:ascii="Verdana" w:hAnsi="Verdana"/>
          <w:spacing w:val="-4"/>
          <w:sz w:val="20"/>
          <w:lang w:val="es-ES"/>
        </w:rPr>
        <w:t xml:space="preserve">desde la última Resolución. Este Tribunal resalta los </w:t>
      </w:r>
      <w:r w:rsidRPr="005A17C2">
        <w:rPr>
          <w:rFonts w:ascii="Verdana" w:hAnsi="Verdana"/>
          <w:spacing w:val="-4"/>
          <w:sz w:val="20"/>
          <w:lang w:val="es-ES"/>
        </w:rPr>
        <w:t xml:space="preserve">hechos sucedidos en las oficinas </w:t>
      </w:r>
      <w:proofErr w:type="spellStart"/>
      <w:r w:rsidRPr="005A17C2">
        <w:rPr>
          <w:rFonts w:ascii="Verdana" w:hAnsi="Verdana"/>
          <w:spacing w:val="-4"/>
          <w:sz w:val="20"/>
          <w:lang w:val="es-ES"/>
        </w:rPr>
        <w:t>Tlachinollan</w:t>
      </w:r>
      <w:proofErr w:type="spellEnd"/>
      <w:r w:rsidRPr="005A17C2">
        <w:rPr>
          <w:rFonts w:ascii="Verdana" w:hAnsi="Verdana"/>
          <w:spacing w:val="-4"/>
          <w:sz w:val="20"/>
          <w:lang w:val="es-ES"/>
        </w:rPr>
        <w:t xml:space="preserve"> en Ayutla de los Libres </w:t>
      </w:r>
      <w:r w:rsidR="00951E15" w:rsidRPr="005A17C2">
        <w:rPr>
          <w:rFonts w:ascii="Verdana" w:hAnsi="Verdana"/>
          <w:spacing w:val="-4"/>
          <w:sz w:val="20"/>
          <w:lang w:val="es-ES"/>
        </w:rPr>
        <w:t xml:space="preserve">en 2012, </w:t>
      </w:r>
      <w:r w:rsidRPr="005A17C2">
        <w:rPr>
          <w:rFonts w:ascii="Verdana" w:hAnsi="Verdana"/>
          <w:spacing w:val="-4"/>
          <w:sz w:val="20"/>
          <w:lang w:val="es-ES"/>
        </w:rPr>
        <w:t>en donde un sujeto ingresó a las oficinas de manera agresiva y recriminó la labor de defensa jurídica que realizan</w:t>
      </w:r>
      <w:r w:rsidR="00951E15" w:rsidRPr="005A17C2">
        <w:rPr>
          <w:rFonts w:ascii="Verdana" w:hAnsi="Verdana"/>
          <w:spacing w:val="-4"/>
          <w:sz w:val="20"/>
          <w:lang w:val="es-ES"/>
        </w:rPr>
        <w:t xml:space="preserve">, </w:t>
      </w:r>
      <w:r w:rsidR="009F469B">
        <w:rPr>
          <w:rFonts w:ascii="Verdana" w:hAnsi="Verdana"/>
          <w:spacing w:val="-4"/>
          <w:sz w:val="20"/>
          <w:lang w:val="es-ES"/>
        </w:rPr>
        <w:t xml:space="preserve">así como </w:t>
      </w:r>
      <w:r w:rsidR="00951E15" w:rsidRPr="005A17C2">
        <w:rPr>
          <w:rFonts w:ascii="Verdana" w:hAnsi="Verdana"/>
          <w:spacing w:val="-4"/>
          <w:sz w:val="20"/>
          <w:lang w:val="es-ES"/>
        </w:rPr>
        <w:t>las amenazas anónimas recibidas por varios de los beneficiarios en el que se les recriminaba su labor de defensa de derechos humanos y, específicamente, se refirieron al caso de la señora Fernández Ortega (</w:t>
      </w:r>
      <w:r w:rsidR="00951E15" w:rsidRPr="005A17C2">
        <w:rPr>
          <w:rFonts w:ascii="Verdana" w:hAnsi="Verdana"/>
          <w:i/>
          <w:spacing w:val="-4"/>
          <w:sz w:val="20"/>
          <w:lang w:val="es-ES"/>
        </w:rPr>
        <w:t xml:space="preserve">supra </w:t>
      </w:r>
      <w:r w:rsidR="00951E15" w:rsidRPr="005A17C2">
        <w:rPr>
          <w:rFonts w:ascii="Verdana" w:hAnsi="Verdana"/>
          <w:spacing w:val="-4"/>
          <w:sz w:val="20"/>
          <w:lang w:val="es-ES"/>
        </w:rPr>
        <w:t xml:space="preserve">Considerando </w:t>
      </w:r>
      <w:r w:rsidR="00951E15" w:rsidRPr="005A17C2">
        <w:rPr>
          <w:rFonts w:ascii="Verdana" w:hAnsi="Verdana"/>
          <w:spacing w:val="-4"/>
          <w:sz w:val="20"/>
          <w:lang w:val="es-ES"/>
        </w:rPr>
        <w:fldChar w:fldCharType="begin"/>
      </w:r>
      <w:r w:rsidR="00951E15" w:rsidRPr="005A17C2">
        <w:rPr>
          <w:rFonts w:ascii="Verdana" w:hAnsi="Verdana"/>
          <w:spacing w:val="-4"/>
          <w:sz w:val="20"/>
          <w:lang w:val="es-ES"/>
        </w:rPr>
        <w:instrText xml:space="preserve"> REF _Ref308996973 \r \h </w:instrText>
      </w:r>
      <w:r w:rsidR="00290A76" w:rsidRPr="005A17C2">
        <w:rPr>
          <w:rFonts w:ascii="Verdana" w:hAnsi="Verdana"/>
          <w:spacing w:val="-4"/>
          <w:sz w:val="20"/>
          <w:lang w:val="es-ES"/>
        </w:rPr>
        <w:instrText xml:space="preserve"> \* MERGEFORMAT </w:instrText>
      </w:r>
      <w:r w:rsidR="00951E15" w:rsidRPr="005A17C2">
        <w:rPr>
          <w:rFonts w:ascii="Verdana" w:hAnsi="Verdana"/>
          <w:spacing w:val="-4"/>
          <w:sz w:val="20"/>
          <w:lang w:val="es-ES"/>
        </w:rPr>
      </w:r>
      <w:r w:rsidR="00951E15" w:rsidRPr="005A17C2">
        <w:rPr>
          <w:rFonts w:ascii="Verdana" w:hAnsi="Verdana"/>
          <w:spacing w:val="-4"/>
          <w:sz w:val="20"/>
          <w:lang w:val="es-ES"/>
        </w:rPr>
        <w:fldChar w:fldCharType="separate"/>
      </w:r>
      <w:r w:rsidR="00820C73">
        <w:rPr>
          <w:rFonts w:ascii="Verdana" w:hAnsi="Verdana"/>
          <w:spacing w:val="-4"/>
          <w:sz w:val="20"/>
          <w:lang w:val="es-ES"/>
        </w:rPr>
        <w:t>21</w:t>
      </w:r>
      <w:r w:rsidR="00951E15" w:rsidRPr="005A17C2">
        <w:rPr>
          <w:rFonts w:ascii="Verdana" w:hAnsi="Verdana"/>
          <w:spacing w:val="-4"/>
          <w:sz w:val="20"/>
          <w:lang w:val="es-ES"/>
        </w:rPr>
        <w:fldChar w:fldCharType="end"/>
      </w:r>
      <w:r w:rsidR="00951E15" w:rsidRPr="005A17C2">
        <w:rPr>
          <w:rFonts w:ascii="Verdana" w:hAnsi="Verdana"/>
          <w:spacing w:val="-4"/>
          <w:sz w:val="20"/>
          <w:lang w:val="es-ES"/>
        </w:rPr>
        <w:t xml:space="preserve"> </w:t>
      </w:r>
      <w:r w:rsidR="00465E57">
        <w:rPr>
          <w:rFonts w:ascii="Verdana" w:hAnsi="Verdana"/>
          <w:spacing w:val="-4"/>
          <w:sz w:val="20"/>
          <w:lang w:val="es-ES"/>
        </w:rPr>
        <w:t>-</w:t>
      </w:r>
      <w:r w:rsidR="00951E15" w:rsidRPr="005A17C2">
        <w:rPr>
          <w:rFonts w:ascii="Verdana" w:hAnsi="Verdana"/>
          <w:spacing w:val="-4"/>
          <w:sz w:val="20"/>
          <w:lang w:val="es-ES"/>
        </w:rPr>
        <w:t>i, ii, iii y iv</w:t>
      </w:r>
      <w:r w:rsidR="00465E57">
        <w:rPr>
          <w:rFonts w:ascii="Verdana" w:hAnsi="Verdana"/>
          <w:spacing w:val="-4"/>
          <w:sz w:val="20"/>
          <w:lang w:val="es-ES"/>
        </w:rPr>
        <w:t>-</w:t>
      </w:r>
      <w:r w:rsidR="00951E15" w:rsidRPr="005A17C2">
        <w:rPr>
          <w:rFonts w:ascii="Verdana" w:hAnsi="Verdana"/>
          <w:spacing w:val="-4"/>
          <w:sz w:val="20"/>
          <w:lang w:val="es-ES"/>
        </w:rPr>
        <w:t xml:space="preserve">). Por otra parte, la Corte toma nota de los actos de agresión y violencia sufridos por </w:t>
      </w:r>
      <w:r w:rsidR="0016117F" w:rsidRPr="005A17C2">
        <w:rPr>
          <w:rFonts w:ascii="Verdana" w:hAnsi="Verdana"/>
          <w:spacing w:val="-4"/>
          <w:sz w:val="20"/>
          <w:lang w:val="es-ES"/>
        </w:rPr>
        <w:t xml:space="preserve">los señores </w:t>
      </w:r>
      <w:r w:rsidR="00951E15" w:rsidRPr="005A17C2">
        <w:rPr>
          <w:rFonts w:ascii="Verdana" w:hAnsi="Verdana"/>
          <w:spacing w:val="-4"/>
          <w:sz w:val="20"/>
          <w:lang w:val="es-ES"/>
        </w:rPr>
        <w:t>Barrera y Aguirre en 2014 y 2015 (</w:t>
      </w:r>
      <w:r w:rsidR="00951E15" w:rsidRPr="005A17C2">
        <w:rPr>
          <w:rFonts w:ascii="Verdana" w:hAnsi="Verdana"/>
          <w:i/>
          <w:spacing w:val="-4"/>
          <w:sz w:val="20"/>
          <w:lang w:val="es-ES"/>
        </w:rPr>
        <w:t xml:space="preserve">supra </w:t>
      </w:r>
      <w:r w:rsidR="00951E15" w:rsidRPr="005A17C2">
        <w:rPr>
          <w:rFonts w:ascii="Verdana" w:hAnsi="Verdana"/>
          <w:spacing w:val="-4"/>
          <w:sz w:val="20"/>
          <w:lang w:val="es-ES"/>
        </w:rPr>
        <w:t xml:space="preserve">Considerando </w:t>
      </w:r>
      <w:r w:rsidR="00951E15" w:rsidRPr="005A17C2">
        <w:rPr>
          <w:rFonts w:ascii="Verdana" w:hAnsi="Verdana"/>
          <w:spacing w:val="-4"/>
          <w:sz w:val="20"/>
          <w:lang w:val="es-ES"/>
        </w:rPr>
        <w:fldChar w:fldCharType="begin"/>
      </w:r>
      <w:r w:rsidR="00951E15" w:rsidRPr="005A17C2">
        <w:rPr>
          <w:rFonts w:ascii="Verdana" w:hAnsi="Verdana"/>
          <w:spacing w:val="-4"/>
          <w:sz w:val="20"/>
          <w:lang w:val="es-ES"/>
        </w:rPr>
        <w:instrText xml:space="preserve"> REF _Ref308996973 \r \h </w:instrText>
      </w:r>
      <w:r w:rsidR="00290A76" w:rsidRPr="005A17C2">
        <w:rPr>
          <w:rFonts w:ascii="Verdana" w:hAnsi="Verdana"/>
          <w:spacing w:val="-4"/>
          <w:sz w:val="20"/>
          <w:lang w:val="es-ES"/>
        </w:rPr>
        <w:instrText xml:space="preserve"> \* MERGEFORMAT </w:instrText>
      </w:r>
      <w:r w:rsidR="00951E15" w:rsidRPr="005A17C2">
        <w:rPr>
          <w:rFonts w:ascii="Verdana" w:hAnsi="Verdana"/>
          <w:spacing w:val="-4"/>
          <w:sz w:val="20"/>
          <w:lang w:val="es-ES"/>
        </w:rPr>
      </w:r>
      <w:r w:rsidR="00951E15" w:rsidRPr="005A17C2">
        <w:rPr>
          <w:rFonts w:ascii="Verdana" w:hAnsi="Verdana"/>
          <w:spacing w:val="-4"/>
          <w:sz w:val="20"/>
          <w:lang w:val="es-ES"/>
        </w:rPr>
        <w:fldChar w:fldCharType="separate"/>
      </w:r>
      <w:r w:rsidR="00820C73">
        <w:rPr>
          <w:rFonts w:ascii="Verdana" w:hAnsi="Verdana"/>
          <w:spacing w:val="-4"/>
          <w:sz w:val="20"/>
          <w:lang w:val="es-ES"/>
        </w:rPr>
        <w:t>21</w:t>
      </w:r>
      <w:r w:rsidR="00951E15" w:rsidRPr="005A17C2">
        <w:rPr>
          <w:rFonts w:ascii="Verdana" w:hAnsi="Verdana"/>
          <w:spacing w:val="-4"/>
          <w:sz w:val="20"/>
          <w:lang w:val="es-ES"/>
        </w:rPr>
        <w:fldChar w:fldCharType="end"/>
      </w:r>
      <w:r w:rsidR="00465E57">
        <w:rPr>
          <w:rFonts w:ascii="Verdana" w:hAnsi="Verdana"/>
          <w:spacing w:val="-4"/>
          <w:sz w:val="20"/>
          <w:lang w:val="es-ES"/>
        </w:rPr>
        <w:t xml:space="preserve"> -</w:t>
      </w:r>
      <w:r w:rsidR="00951E15" w:rsidRPr="005A17C2">
        <w:rPr>
          <w:rFonts w:ascii="Verdana" w:hAnsi="Verdana"/>
          <w:spacing w:val="-4"/>
          <w:sz w:val="20"/>
          <w:lang w:val="es-ES"/>
        </w:rPr>
        <w:t>v y vi</w:t>
      </w:r>
      <w:r w:rsidR="00465E57">
        <w:rPr>
          <w:rFonts w:ascii="Verdana" w:hAnsi="Verdana"/>
          <w:spacing w:val="-4"/>
          <w:sz w:val="20"/>
          <w:lang w:val="es-ES"/>
        </w:rPr>
        <w:t>-</w:t>
      </w:r>
      <w:r w:rsidR="00951E15" w:rsidRPr="005A17C2">
        <w:rPr>
          <w:rFonts w:ascii="Verdana" w:hAnsi="Verdana"/>
          <w:spacing w:val="-4"/>
          <w:sz w:val="20"/>
          <w:lang w:val="es-ES"/>
        </w:rPr>
        <w:t xml:space="preserve">). Si bien no </w:t>
      </w:r>
      <w:r w:rsidR="00686910" w:rsidRPr="005A17C2">
        <w:rPr>
          <w:rFonts w:ascii="Verdana" w:hAnsi="Verdana"/>
          <w:spacing w:val="-4"/>
          <w:sz w:val="20"/>
          <w:lang w:val="es-ES"/>
        </w:rPr>
        <w:t xml:space="preserve">se </w:t>
      </w:r>
      <w:r w:rsidR="00951E15" w:rsidRPr="005A17C2">
        <w:rPr>
          <w:rFonts w:ascii="Verdana" w:hAnsi="Verdana"/>
          <w:spacing w:val="-4"/>
          <w:sz w:val="20"/>
          <w:lang w:val="es-ES"/>
        </w:rPr>
        <w:t xml:space="preserve">desprende de la información suministrada una clara conexión de estos </w:t>
      </w:r>
      <w:r w:rsidR="00465E57">
        <w:rPr>
          <w:rFonts w:ascii="Verdana" w:hAnsi="Verdana"/>
          <w:spacing w:val="-4"/>
          <w:sz w:val="20"/>
          <w:lang w:val="es-ES"/>
        </w:rPr>
        <w:t xml:space="preserve">últimos </w:t>
      </w:r>
      <w:r w:rsidR="00951E15" w:rsidRPr="005A17C2">
        <w:rPr>
          <w:rFonts w:ascii="Verdana" w:hAnsi="Verdana"/>
          <w:spacing w:val="-4"/>
          <w:sz w:val="20"/>
          <w:lang w:val="es-ES"/>
        </w:rPr>
        <w:t xml:space="preserve">hechos con </w:t>
      </w:r>
      <w:r w:rsidR="00E6175A" w:rsidRPr="005A17C2">
        <w:rPr>
          <w:rFonts w:ascii="Verdana" w:hAnsi="Verdana"/>
          <w:spacing w:val="-4"/>
          <w:sz w:val="20"/>
          <w:lang w:val="es-ES"/>
        </w:rPr>
        <w:t>sus</w:t>
      </w:r>
      <w:r w:rsidR="00951E15" w:rsidRPr="005A17C2">
        <w:rPr>
          <w:rFonts w:ascii="Verdana" w:hAnsi="Verdana"/>
          <w:spacing w:val="-4"/>
          <w:sz w:val="20"/>
          <w:lang w:val="es-ES"/>
        </w:rPr>
        <w:t xml:space="preserve"> labores de defensa de derechos humanos o específicamente del caso de la señora Fernández Ortega, este Tribunal estima que revelan un</w:t>
      </w:r>
      <w:r w:rsidR="00832313" w:rsidRPr="005A17C2">
        <w:rPr>
          <w:rFonts w:ascii="Verdana" w:hAnsi="Verdana"/>
          <w:spacing w:val="-4"/>
          <w:sz w:val="20"/>
          <w:lang w:val="es-ES"/>
        </w:rPr>
        <w:t xml:space="preserve"> factor adicional de</w:t>
      </w:r>
      <w:r w:rsidR="00951E15" w:rsidRPr="005A17C2">
        <w:rPr>
          <w:rFonts w:ascii="Verdana" w:hAnsi="Verdana"/>
          <w:spacing w:val="-4"/>
          <w:sz w:val="20"/>
          <w:lang w:val="es-ES"/>
        </w:rPr>
        <w:t xml:space="preserve"> la situación de riesgo de dichos beneficiarios, así como la ausencia de implementación efectiva de las medidas de protección. </w:t>
      </w:r>
    </w:p>
    <w:p w14:paraId="0C9CC961" w14:textId="77777777" w:rsidR="00832313" w:rsidRPr="005A17C2" w:rsidRDefault="00832313" w:rsidP="00BB145E">
      <w:pPr>
        <w:pStyle w:val="BodyText2"/>
        <w:spacing w:after="0" w:line="240" w:lineRule="auto"/>
        <w:jc w:val="both"/>
        <w:rPr>
          <w:rFonts w:ascii="Verdana" w:hAnsi="Verdana"/>
          <w:spacing w:val="-4"/>
          <w:sz w:val="20"/>
        </w:rPr>
      </w:pPr>
    </w:p>
    <w:p w14:paraId="43C9B73B" w14:textId="473E279D" w:rsidR="003B1247" w:rsidRPr="005A17C2" w:rsidRDefault="00832313" w:rsidP="00BB145E">
      <w:pPr>
        <w:pStyle w:val="BodyText2"/>
        <w:numPr>
          <w:ilvl w:val="0"/>
          <w:numId w:val="22"/>
        </w:numPr>
        <w:spacing w:after="0" w:line="240" w:lineRule="auto"/>
        <w:jc w:val="both"/>
        <w:rPr>
          <w:rFonts w:ascii="Verdana" w:hAnsi="Verdana"/>
          <w:spacing w:val="-4"/>
          <w:sz w:val="20"/>
        </w:rPr>
      </w:pPr>
      <w:bookmarkStart w:id="25" w:name="_Ref308998975"/>
      <w:r w:rsidRPr="005A17C2">
        <w:rPr>
          <w:rFonts w:ascii="Verdana" w:eastAsia="Calibri" w:hAnsi="Verdana"/>
          <w:spacing w:val="-4"/>
          <w:sz w:val="20"/>
          <w:lang w:val="es-CR"/>
        </w:rPr>
        <w:t xml:space="preserve">En virtud de las consideraciones anteriores y en atención del contexto </w:t>
      </w:r>
      <w:r w:rsidR="00686910" w:rsidRPr="005A17C2">
        <w:rPr>
          <w:rFonts w:ascii="Verdana" w:eastAsia="Calibri" w:hAnsi="Verdana"/>
          <w:spacing w:val="-4"/>
          <w:sz w:val="20"/>
          <w:lang w:val="es-CR"/>
        </w:rPr>
        <w:t>especí</w:t>
      </w:r>
      <w:r w:rsidR="00D9685B" w:rsidRPr="005A17C2">
        <w:rPr>
          <w:rFonts w:ascii="Verdana" w:eastAsia="Calibri" w:hAnsi="Verdana"/>
          <w:spacing w:val="-4"/>
          <w:sz w:val="20"/>
          <w:lang w:val="es-CR"/>
        </w:rPr>
        <w:t>fico</w:t>
      </w:r>
      <w:r w:rsidRPr="005A17C2">
        <w:rPr>
          <w:rFonts w:ascii="Verdana" w:eastAsia="Calibri" w:hAnsi="Verdana"/>
          <w:spacing w:val="-4"/>
          <w:sz w:val="20"/>
          <w:lang w:val="es-CR"/>
        </w:rPr>
        <w:t xml:space="preserve"> que se presenta en la zona donde laboran los beneficiarios</w:t>
      </w:r>
      <w:r w:rsidRPr="005A17C2">
        <w:rPr>
          <w:rStyle w:val="FootnoteReference"/>
          <w:rFonts w:eastAsia="Calibri"/>
          <w:spacing w:val="-4"/>
          <w:sz w:val="20"/>
          <w:lang w:val="en-US"/>
        </w:rPr>
        <w:footnoteReference w:id="22"/>
      </w:r>
      <w:r w:rsidRPr="005A17C2">
        <w:rPr>
          <w:rFonts w:ascii="Verdana" w:eastAsia="Calibri" w:hAnsi="Verdana"/>
          <w:spacing w:val="-4"/>
          <w:sz w:val="20"/>
          <w:lang w:val="es-CR"/>
        </w:rPr>
        <w:t xml:space="preserve">, este Tribunal considera </w:t>
      </w:r>
      <w:r w:rsidR="00686910" w:rsidRPr="005A17C2">
        <w:rPr>
          <w:rFonts w:ascii="Verdana" w:eastAsia="Calibri" w:hAnsi="Verdana"/>
          <w:spacing w:val="-4"/>
          <w:sz w:val="20"/>
          <w:lang w:val="es-CR"/>
        </w:rPr>
        <w:t xml:space="preserve">que </w:t>
      </w:r>
      <w:r w:rsidRPr="005A17C2">
        <w:rPr>
          <w:rFonts w:ascii="Verdana" w:eastAsia="Calibri" w:hAnsi="Verdana"/>
          <w:spacing w:val="-4"/>
          <w:sz w:val="20"/>
          <w:lang w:val="es-CR"/>
        </w:rPr>
        <w:t xml:space="preserve">persiste la situación de </w:t>
      </w:r>
      <w:r w:rsidRPr="005A17C2">
        <w:rPr>
          <w:rFonts w:ascii="Verdana" w:eastAsia="Calibri" w:hAnsi="Verdana"/>
          <w:spacing w:val="-4"/>
          <w:sz w:val="20"/>
          <w:lang w:val="es-CR" w:eastAsia="en-US"/>
        </w:rPr>
        <w:t xml:space="preserve">riesgo en perjuicio de estos beneficiarios, por lo que </w:t>
      </w:r>
      <w:r w:rsidR="00F75A63" w:rsidRPr="005A17C2">
        <w:rPr>
          <w:rFonts w:ascii="Verdana" w:eastAsia="Calibri" w:hAnsi="Verdana"/>
          <w:spacing w:val="-4"/>
          <w:sz w:val="20"/>
          <w:lang w:val="es-CR" w:eastAsia="en-US"/>
        </w:rPr>
        <w:t xml:space="preserve">estima </w:t>
      </w:r>
      <w:r w:rsidRPr="005A17C2">
        <w:rPr>
          <w:rFonts w:ascii="Verdana" w:eastAsia="Calibri" w:hAnsi="Verdana"/>
          <w:spacing w:val="-4"/>
          <w:sz w:val="20"/>
          <w:lang w:val="es-CR" w:eastAsia="en-US"/>
        </w:rPr>
        <w:t>pertinente el mantenimiento de las medidas provisionales a su favor</w:t>
      </w:r>
      <w:r w:rsidR="00F75A63" w:rsidRPr="005A17C2">
        <w:rPr>
          <w:rFonts w:ascii="Verdana" w:eastAsia="Calibri" w:hAnsi="Verdana"/>
          <w:spacing w:val="-4"/>
          <w:sz w:val="20"/>
          <w:lang w:val="es-CR" w:eastAsia="en-US"/>
        </w:rPr>
        <w:t xml:space="preserve"> en esta oportunidad</w:t>
      </w:r>
      <w:r w:rsidRPr="005A17C2">
        <w:rPr>
          <w:rFonts w:ascii="Verdana" w:eastAsia="Calibri" w:hAnsi="Verdana"/>
          <w:spacing w:val="-4"/>
          <w:sz w:val="20"/>
          <w:lang w:val="es-CR" w:eastAsia="en-US"/>
        </w:rPr>
        <w:t xml:space="preserve">. </w:t>
      </w:r>
      <w:r w:rsidR="00F75A63" w:rsidRPr="005A17C2">
        <w:rPr>
          <w:rFonts w:ascii="Verdana" w:hAnsi="Verdana"/>
          <w:spacing w:val="-4"/>
          <w:sz w:val="20"/>
          <w:lang w:val="es-ES"/>
        </w:rPr>
        <w:t>No obstante</w:t>
      </w:r>
      <w:r w:rsidRPr="005A17C2">
        <w:rPr>
          <w:rFonts w:ascii="Verdana" w:hAnsi="Verdana"/>
          <w:spacing w:val="-4"/>
          <w:sz w:val="20"/>
          <w:lang w:val="es-ES"/>
        </w:rPr>
        <w:t>, la Corte</w:t>
      </w:r>
      <w:r w:rsidR="00AF792D" w:rsidRPr="005A17C2">
        <w:rPr>
          <w:rFonts w:ascii="Verdana" w:hAnsi="Verdana"/>
          <w:spacing w:val="-4"/>
          <w:sz w:val="20"/>
          <w:lang w:val="es-ES"/>
        </w:rPr>
        <w:t xml:space="preserve"> </w:t>
      </w:r>
      <w:r w:rsidR="00F75A63" w:rsidRPr="005A17C2">
        <w:rPr>
          <w:rFonts w:ascii="Verdana" w:hAnsi="Verdana"/>
          <w:spacing w:val="-4"/>
          <w:sz w:val="20"/>
          <w:lang w:val="es-ES"/>
        </w:rPr>
        <w:t>recuerda que, en su R</w:t>
      </w:r>
      <w:r w:rsidR="00656F44" w:rsidRPr="005A17C2">
        <w:rPr>
          <w:rFonts w:ascii="Verdana" w:hAnsi="Verdana"/>
          <w:spacing w:val="-4"/>
          <w:sz w:val="20"/>
          <w:lang w:val="es-ES"/>
        </w:rPr>
        <w:t>esolución de febrero de 2012</w:t>
      </w:r>
      <w:r w:rsidR="00656F44" w:rsidRPr="005A17C2">
        <w:rPr>
          <w:rFonts w:ascii="Verdana" w:hAnsi="Verdana"/>
          <w:spacing w:val="-4"/>
          <w:sz w:val="20"/>
        </w:rPr>
        <w:t xml:space="preserve"> solicitó a los representantes que remitieran información detallada y actualizada sobre las circunstancias </w:t>
      </w:r>
      <w:r w:rsidR="00F75A63" w:rsidRPr="005A17C2">
        <w:rPr>
          <w:rFonts w:ascii="Verdana" w:hAnsi="Verdana"/>
          <w:spacing w:val="-4"/>
          <w:sz w:val="20"/>
        </w:rPr>
        <w:t xml:space="preserve">correspondientes a cada uno de los beneficiarios, sin que dicha información hubiera sido remitida </w:t>
      </w:r>
      <w:r w:rsidR="00656F44" w:rsidRPr="005A17C2">
        <w:rPr>
          <w:rFonts w:ascii="Verdana" w:hAnsi="Verdana"/>
          <w:spacing w:val="-4"/>
          <w:sz w:val="20"/>
        </w:rPr>
        <w:t>(</w:t>
      </w:r>
      <w:r w:rsidR="00656F44" w:rsidRPr="005A17C2">
        <w:rPr>
          <w:rFonts w:ascii="Verdana" w:hAnsi="Verdana"/>
          <w:i/>
          <w:spacing w:val="-4"/>
          <w:sz w:val="20"/>
        </w:rPr>
        <w:t xml:space="preserve">supra </w:t>
      </w:r>
      <w:r w:rsidR="00656F44" w:rsidRPr="005A17C2">
        <w:rPr>
          <w:rFonts w:ascii="Verdana" w:hAnsi="Verdana"/>
          <w:spacing w:val="-4"/>
          <w:sz w:val="20"/>
        </w:rPr>
        <w:t>Considerando</w:t>
      </w:r>
      <w:r w:rsidR="00F75A63" w:rsidRPr="005A17C2">
        <w:rPr>
          <w:rFonts w:ascii="Verdana" w:hAnsi="Verdana"/>
          <w:spacing w:val="-4"/>
          <w:sz w:val="20"/>
        </w:rPr>
        <w:t xml:space="preserve"> </w:t>
      </w:r>
      <w:r w:rsidR="00F75A63" w:rsidRPr="005A17C2">
        <w:rPr>
          <w:rFonts w:ascii="Verdana" w:hAnsi="Verdana"/>
          <w:spacing w:val="-4"/>
          <w:sz w:val="20"/>
        </w:rPr>
        <w:fldChar w:fldCharType="begin"/>
      </w:r>
      <w:r w:rsidR="00F75A63" w:rsidRPr="005A17C2">
        <w:rPr>
          <w:rFonts w:ascii="Verdana" w:hAnsi="Verdana"/>
          <w:spacing w:val="-4"/>
          <w:sz w:val="20"/>
        </w:rPr>
        <w:instrText xml:space="preserve"> REF _Ref308998242 \r \h </w:instrText>
      </w:r>
      <w:r w:rsidR="00290A76" w:rsidRPr="005A17C2">
        <w:rPr>
          <w:rFonts w:ascii="Verdana" w:hAnsi="Verdana"/>
          <w:spacing w:val="-4"/>
          <w:sz w:val="20"/>
        </w:rPr>
        <w:instrText xml:space="preserve"> \* MERGEFORMAT </w:instrText>
      </w:r>
      <w:r w:rsidR="00F75A63" w:rsidRPr="005A17C2">
        <w:rPr>
          <w:rFonts w:ascii="Verdana" w:hAnsi="Verdana"/>
          <w:spacing w:val="-4"/>
          <w:sz w:val="20"/>
        </w:rPr>
      </w:r>
      <w:r w:rsidR="00F75A63" w:rsidRPr="005A17C2">
        <w:rPr>
          <w:rFonts w:ascii="Verdana" w:hAnsi="Verdana"/>
          <w:spacing w:val="-4"/>
          <w:sz w:val="20"/>
        </w:rPr>
        <w:fldChar w:fldCharType="separate"/>
      </w:r>
      <w:r w:rsidR="00820C73">
        <w:rPr>
          <w:rFonts w:ascii="Verdana" w:hAnsi="Verdana"/>
          <w:spacing w:val="-4"/>
          <w:sz w:val="20"/>
        </w:rPr>
        <w:t>26</w:t>
      </w:r>
      <w:r w:rsidR="00F75A63" w:rsidRPr="005A17C2">
        <w:rPr>
          <w:rFonts w:ascii="Verdana" w:hAnsi="Verdana"/>
          <w:spacing w:val="-4"/>
          <w:sz w:val="20"/>
        </w:rPr>
        <w:fldChar w:fldCharType="end"/>
      </w:r>
      <w:r w:rsidR="00656F44" w:rsidRPr="005A17C2">
        <w:rPr>
          <w:rFonts w:ascii="Verdana" w:hAnsi="Verdana"/>
          <w:spacing w:val="-4"/>
          <w:sz w:val="20"/>
        </w:rPr>
        <w:t>).</w:t>
      </w:r>
      <w:r w:rsidR="00F75A63" w:rsidRPr="005A17C2">
        <w:rPr>
          <w:rFonts w:ascii="Verdana" w:hAnsi="Verdana"/>
          <w:spacing w:val="-4"/>
          <w:sz w:val="20"/>
        </w:rPr>
        <w:t xml:space="preserve"> En este mismo sentido, resalta que no se desprende de la información suministrada por las partes si todos los beneficiarios de estas medidas se encuentran en la misma situación de riesgo o siquiera siguen laborando en las organizaciones </w:t>
      </w:r>
      <w:r w:rsidR="00DA3DB0">
        <w:rPr>
          <w:rFonts w:ascii="Verdana" w:hAnsi="Verdana"/>
          <w:spacing w:val="-4"/>
          <w:sz w:val="20"/>
        </w:rPr>
        <w:t>beneficiarias</w:t>
      </w:r>
      <w:r w:rsidR="00F75A63" w:rsidRPr="005A17C2">
        <w:rPr>
          <w:rFonts w:ascii="Verdana" w:hAnsi="Verdana"/>
          <w:spacing w:val="-4"/>
          <w:sz w:val="20"/>
        </w:rPr>
        <w:t xml:space="preserve">. </w:t>
      </w:r>
      <w:r w:rsidR="00F75A63" w:rsidRPr="005A17C2">
        <w:rPr>
          <w:rFonts w:ascii="Verdana" w:eastAsia="Calibri" w:hAnsi="Verdana"/>
          <w:spacing w:val="-4"/>
          <w:sz w:val="20"/>
          <w:lang w:val="es-CR"/>
        </w:rPr>
        <w:t xml:space="preserve">Por tanto, a efecto de evaluar adecuadamente la necesidad de mantenimiento de las presentes medidas a todos los beneficiarios, </w:t>
      </w:r>
      <w:r w:rsidR="00F75A63" w:rsidRPr="00BD0251">
        <w:rPr>
          <w:rFonts w:ascii="Verdana" w:eastAsia="Calibri" w:hAnsi="Verdana"/>
          <w:spacing w:val="-4"/>
          <w:sz w:val="20"/>
          <w:lang w:val="es-CR"/>
        </w:rPr>
        <w:t xml:space="preserve">resulta </w:t>
      </w:r>
      <w:r w:rsidR="00F75A63" w:rsidRPr="005A17C2">
        <w:rPr>
          <w:rFonts w:ascii="Verdana" w:eastAsia="Calibri" w:hAnsi="Verdana"/>
          <w:spacing w:val="-4"/>
          <w:sz w:val="20"/>
          <w:lang w:val="es-CR"/>
        </w:rPr>
        <w:t xml:space="preserve">indispensable que: a) el Estado realice un </w:t>
      </w:r>
      <w:r w:rsidR="00D9685B" w:rsidRPr="005A17C2">
        <w:rPr>
          <w:rFonts w:ascii="Verdana" w:eastAsia="Calibri" w:hAnsi="Verdana"/>
          <w:spacing w:val="-4"/>
          <w:sz w:val="20"/>
          <w:lang w:val="es-CR"/>
        </w:rPr>
        <w:t>diagnóstico</w:t>
      </w:r>
      <w:r w:rsidR="00F75A63" w:rsidRPr="005A17C2">
        <w:rPr>
          <w:rFonts w:ascii="Verdana" w:eastAsia="Calibri" w:hAnsi="Verdana"/>
          <w:spacing w:val="-4"/>
          <w:sz w:val="20"/>
          <w:lang w:val="es-CR"/>
        </w:rPr>
        <w:t xml:space="preserve"> actualizado sobre la </w:t>
      </w:r>
      <w:r w:rsidR="00D9685B" w:rsidRPr="005A17C2">
        <w:rPr>
          <w:rFonts w:ascii="Verdana" w:eastAsia="Calibri" w:hAnsi="Verdana"/>
          <w:spacing w:val="-4"/>
          <w:sz w:val="20"/>
          <w:lang w:val="es-CR"/>
        </w:rPr>
        <w:t>situación</w:t>
      </w:r>
      <w:r w:rsidR="00F75A63" w:rsidRPr="005A17C2">
        <w:rPr>
          <w:rFonts w:ascii="Verdana" w:eastAsia="Calibri" w:hAnsi="Verdana"/>
          <w:spacing w:val="-4"/>
          <w:sz w:val="20"/>
          <w:lang w:val="es-CR"/>
        </w:rPr>
        <w:t xml:space="preserve"> de riesgo de cada uno de los beneficiarios, en el cual exponga</w:t>
      </w:r>
      <w:r w:rsidR="00F75A63" w:rsidRPr="005A17C2">
        <w:rPr>
          <w:rFonts w:ascii="Verdana" w:hAnsi="Verdana"/>
          <w:spacing w:val="-4"/>
          <w:sz w:val="20"/>
        </w:rPr>
        <w:t xml:space="preserve"> los argumentos y elementos de prueba por los cuales considera que se deban mantener o no las presentes medidas</w:t>
      </w:r>
      <w:r w:rsidR="003B1247" w:rsidRPr="005A17C2">
        <w:rPr>
          <w:rFonts w:ascii="Verdana" w:hAnsi="Verdana"/>
          <w:spacing w:val="-4"/>
          <w:sz w:val="20"/>
        </w:rPr>
        <w:t>. Para ello, los representantes y, de ser el caso l</w:t>
      </w:r>
      <w:r w:rsidR="00143D7C" w:rsidRPr="005A17C2">
        <w:rPr>
          <w:rFonts w:ascii="Verdana" w:hAnsi="Verdana"/>
          <w:spacing w:val="-4"/>
          <w:sz w:val="20"/>
        </w:rPr>
        <w:t>o</w:t>
      </w:r>
      <w:r w:rsidR="003B1247" w:rsidRPr="005A17C2">
        <w:rPr>
          <w:rFonts w:ascii="Verdana" w:hAnsi="Verdana"/>
          <w:spacing w:val="-4"/>
          <w:sz w:val="20"/>
        </w:rPr>
        <w:t>s beneficiari</w:t>
      </w:r>
      <w:r w:rsidR="00143D7C" w:rsidRPr="005A17C2">
        <w:rPr>
          <w:rFonts w:ascii="Verdana" w:hAnsi="Verdana"/>
          <w:spacing w:val="-4"/>
          <w:sz w:val="20"/>
        </w:rPr>
        <w:t>o</w:t>
      </w:r>
      <w:r w:rsidR="003B1247" w:rsidRPr="005A17C2">
        <w:rPr>
          <w:rFonts w:ascii="Verdana" w:hAnsi="Verdana"/>
          <w:spacing w:val="-4"/>
          <w:sz w:val="20"/>
        </w:rPr>
        <w:t xml:space="preserve">s, deberán prestar la debida colaboración al Estado, y b) los representantes remitan información específica y con elementos de respaldo sobre la persistencia de la situación de extrema gravedad y urgencia y de necesidad de evitar daños irreparables, relacionada con el caso </w:t>
      </w:r>
      <w:r w:rsidR="003B1247" w:rsidRPr="005A17C2">
        <w:rPr>
          <w:rFonts w:ascii="Verdana" w:hAnsi="Verdana"/>
          <w:i/>
          <w:spacing w:val="-4"/>
          <w:sz w:val="20"/>
        </w:rPr>
        <w:t>Fernández Ortega y otros vs. México</w:t>
      </w:r>
      <w:r w:rsidR="003B1247" w:rsidRPr="005A17C2">
        <w:rPr>
          <w:rFonts w:ascii="Verdana" w:hAnsi="Verdana"/>
          <w:spacing w:val="-4"/>
          <w:sz w:val="20"/>
        </w:rPr>
        <w:t>, respecto de cada uno de los referidos beneficiarios de las presentes medidas.</w:t>
      </w:r>
      <w:bookmarkEnd w:id="25"/>
      <w:r w:rsidR="003B1247" w:rsidRPr="005A17C2">
        <w:rPr>
          <w:rFonts w:ascii="Verdana" w:hAnsi="Verdana"/>
          <w:spacing w:val="-4"/>
          <w:sz w:val="20"/>
        </w:rPr>
        <w:t xml:space="preserve">  </w:t>
      </w:r>
    </w:p>
    <w:p w14:paraId="35876BB2" w14:textId="4BAF0120" w:rsidR="00832313" w:rsidRPr="005A17C2" w:rsidRDefault="00832313" w:rsidP="00BB145E">
      <w:pPr>
        <w:pStyle w:val="BodyText2"/>
        <w:spacing w:after="0" w:line="240" w:lineRule="auto"/>
        <w:jc w:val="both"/>
        <w:rPr>
          <w:rFonts w:ascii="Verdana" w:hAnsi="Verdana"/>
          <w:spacing w:val="-4"/>
          <w:sz w:val="20"/>
        </w:rPr>
      </w:pPr>
    </w:p>
    <w:p w14:paraId="6A45D946" w14:textId="77777777" w:rsidR="000E2A92" w:rsidRPr="005A17C2" w:rsidRDefault="000E2A92" w:rsidP="00BB145E">
      <w:pPr>
        <w:pStyle w:val="BodyText2"/>
        <w:spacing w:after="0" w:line="220" w:lineRule="atLeast"/>
        <w:ind w:firstLine="720"/>
        <w:jc w:val="both"/>
        <w:rPr>
          <w:rFonts w:ascii="Verdana" w:hAnsi="Verdana"/>
          <w:b/>
          <w:spacing w:val="-4"/>
          <w:sz w:val="20"/>
        </w:rPr>
      </w:pPr>
      <w:r w:rsidRPr="005A17C2">
        <w:rPr>
          <w:rFonts w:ascii="Verdana" w:hAnsi="Verdana"/>
          <w:b/>
          <w:spacing w:val="-4"/>
          <w:sz w:val="20"/>
        </w:rPr>
        <w:t>C) Información sobre las investigaciones</w:t>
      </w:r>
    </w:p>
    <w:p w14:paraId="14AD39D5" w14:textId="77777777" w:rsidR="000E2A92" w:rsidRPr="005A17C2" w:rsidRDefault="000E2A92" w:rsidP="00BB145E">
      <w:pPr>
        <w:pStyle w:val="BodyText2"/>
        <w:spacing w:after="0" w:line="220" w:lineRule="atLeast"/>
        <w:jc w:val="both"/>
        <w:rPr>
          <w:rFonts w:ascii="Verdana" w:hAnsi="Verdana"/>
          <w:spacing w:val="-4"/>
          <w:sz w:val="20"/>
        </w:rPr>
      </w:pPr>
    </w:p>
    <w:p w14:paraId="54906D54" w14:textId="25CF06F8" w:rsidR="007D6346" w:rsidRPr="005A17C2" w:rsidRDefault="000E2A92" w:rsidP="00BB145E">
      <w:pPr>
        <w:numPr>
          <w:ilvl w:val="0"/>
          <w:numId w:val="22"/>
        </w:numPr>
        <w:spacing w:line="220" w:lineRule="atLeast"/>
        <w:ind w:right="22"/>
        <w:jc w:val="both"/>
        <w:rPr>
          <w:rFonts w:ascii="Verdana" w:hAnsi="Verdana"/>
          <w:spacing w:val="-4"/>
          <w:sz w:val="20"/>
          <w:lang w:val="es-ES"/>
        </w:rPr>
      </w:pPr>
      <w:r w:rsidRPr="005A17C2">
        <w:rPr>
          <w:rFonts w:ascii="Verdana" w:hAnsi="Verdana"/>
          <w:spacing w:val="-4"/>
          <w:sz w:val="20"/>
          <w:szCs w:val="20"/>
          <w:lang w:val="es-ES"/>
        </w:rPr>
        <w:t xml:space="preserve">En el marco de las presentes medidas, </w:t>
      </w:r>
      <w:r w:rsidR="0016117F" w:rsidRPr="005A17C2">
        <w:rPr>
          <w:rFonts w:ascii="Verdana" w:hAnsi="Verdana"/>
          <w:spacing w:val="-4"/>
          <w:sz w:val="20"/>
          <w:szCs w:val="20"/>
          <w:lang w:val="es-ES"/>
        </w:rPr>
        <w:t xml:space="preserve">las </w:t>
      </w:r>
      <w:r w:rsidRPr="005A17C2">
        <w:rPr>
          <w:rFonts w:ascii="Verdana" w:hAnsi="Verdana"/>
          <w:spacing w:val="-4"/>
          <w:sz w:val="20"/>
          <w:szCs w:val="20"/>
          <w:lang w:val="es-ES"/>
        </w:rPr>
        <w:t>partes y la Comisión han proporcionado información sobre las investigaciones de l</w:t>
      </w:r>
      <w:r w:rsidRPr="005A17C2">
        <w:rPr>
          <w:rFonts w:ascii="Verdana" w:hAnsi="Verdana"/>
          <w:spacing w:val="-4"/>
          <w:sz w:val="20"/>
          <w:szCs w:val="20"/>
        </w:rPr>
        <w:t xml:space="preserve">os hechos que </w:t>
      </w:r>
      <w:r w:rsidR="001963A9" w:rsidRPr="005A17C2">
        <w:rPr>
          <w:rFonts w:ascii="Verdana" w:hAnsi="Verdana"/>
          <w:spacing w:val="-4"/>
          <w:sz w:val="20"/>
          <w:szCs w:val="20"/>
        </w:rPr>
        <w:t xml:space="preserve">le </w:t>
      </w:r>
      <w:r w:rsidRPr="005A17C2">
        <w:rPr>
          <w:rFonts w:ascii="Verdana" w:hAnsi="Verdana"/>
          <w:spacing w:val="-4"/>
          <w:sz w:val="20"/>
          <w:szCs w:val="20"/>
        </w:rPr>
        <w:t>dieron origen</w:t>
      </w:r>
      <w:r w:rsidRPr="005A17C2">
        <w:rPr>
          <w:rFonts w:ascii="Verdana" w:hAnsi="Verdana"/>
          <w:spacing w:val="-4"/>
          <w:sz w:val="20"/>
          <w:szCs w:val="20"/>
          <w:lang w:val="es-ES"/>
        </w:rPr>
        <w:t xml:space="preserve">. </w:t>
      </w:r>
      <w:r w:rsidR="007E3B89" w:rsidRPr="005A17C2">
        <w:rPr>
          <w:rFonts w:ascii="Verdana" w:hAnsi="Verdana"/>
          <w:spacing w:val="-4"/>
          <w:sz w:val="20"/>
          <w:szCs w:val="20"/>
          <w:lang w:val="es-ES"/>
        </w:rPr>
        <w:t>Los representantes</w:t>
      </w:r>
      <w:r w:rsidR="00977E5D" w:rsidRPr="005A17C2">
        <w:rPr>
          <w:rFonts w:ascii="Verdana" w:hAnsi="Verdana"/>
          <w:spacing w:val="-4"/>
          <w:sz w:val="20"/>
          <w:szCs w:val="20"/>
          <w:lang w:val="es-ES"/>
        </w:rPr>
        <w:t xml:space="preserve"> manifestaron que </w:t>
      </w:r>
      <w:r w:rsidR="00977E5D" w:rsidRPr="005A17C2">
        <w:rPr>
          <w:rFonts w:ascii="Verdana" w:hAnsi="Verdana"/>
          <w:spacing w:val="-4"/>
          <w:sz w:val="20"/>
        </w:rPr>
        <w:t>“la ausencia de investigaciones efectivas ha prevalecido en las diversas denuncias realizadas, con lo que se envía un mensaje de tolerancia respecto de los hec</w:t>
      </w:r>
      <w:r w:rsidR="007E3B89" w:rsidRPr="005A17C2">
        <w:rPr>
          <w:rFonts w:ascii="Verdana" w:hAnsi="Verdana"/>
          <w:spacing w:val="-4"/>
          <w:sz w:val="20"/>
        </w:rPr>
        <w:t>hos de amenazas y hostigamiento</w:t>
      </w:r>
      <w:r w:rsidR="00977E5D" w:rsidRPr="005A17C2">
        <w:rPr>
          <w:rFonts w:ascii="Verdana" w:hAnsi="Verdana"/>
          <w:spacing w:val="-4"/>
          <w:sz w:val="20"/>
        </w:rPr>
        <w:t>”</w:t>
      </w:r>
      <w:r w:rsidR="007E3B89" w:rsidRPr="005A17C2">
        <w:rPr>
          <w:rFonts w:ascii="Verdana" w:hAnsi="Verdana"/>
          <w:spacing w:val="-4"/>
          <w:sz w:val="20"/>
        </w:rPr>
        <w:t>.</w:t>
      </w:r>
      <w:r w:rsidR="00977E5D" w:rsidRPr="005A17C2">
        <w:rPr>
          <w:rFonts w:ascii="Verdana" w:hAnsi="Verdana"/>
          <w:spacing w:val="-4"/>
          <w:sz w:val="20"/>
        </w:rPr>
        <w:t xml:space="preserve"> </w:t>
      </w:r>
      <w:r w:rsidRPr="005A17C2">
        <w:rPr>
          <w:rFonts w:ascii="Verdana" w:hAnsi="Verdana"/>
          <w:spacing w:val="-4"/>
          <w:sz w:val="20"/>
          <w:szCs w:val="20"/>
          <w:lang w:val="es-ES"/>
        </w:rPr>
        <w:t xml:space="preserve">Al respecto, </w:t>
      </w:r>
      <w:r w:rsidRPr="005A17C2">
        <w:rPr>
          <w:rFonts w:ascii="Verdana" w:hAnsi="Verdana"/>
          <w:spacing w:val="-4"/>
          <w:sz w:val="20"/>
          <w:szCs w:val="20"/>
        </w:rPr>
        <w:t>la Corte recuerda l</w:t>
      </w:r>
      <w:r w:rsidR="0039138D" w:rsidRPr="005A17C2">
        <w:rPr>
          <w:rFonts w:ascii="Verdana" w:hAnsi="Verdana"/>
          <w:spacing w:val="-4"/>
          <w:sz w:val="20"/>
          <w:szCs w:val="20"/>
        </w:rPr>
        <w:t>o indicado en su Resolución de 20 de febrero de 2012</w:t>
      </w:r>
      <w:r w:rsidRPr="005A17C2">
        <w:rPr>
          <w:rFonts w:ascii="Verdana" w:hAnsi="Verdana"/>
          <w:spacing w:val="-4"/>
          <w:sz w:val="20"/>
          <w:szCs w:val="20"/>
        </w:rPr>
        <w:t>, en cuanto a que independientemente de la existencia de medidas provisionales específicas, el Estado se encuentra especialmente obligado a garantizar los derechos de las personas en situación de riesgo y debe impulsar las investigaciones necesarias para esclarecer los hechos y, en su caso, sancionar a los responsables</w:t>
      </w:r>
      <w:r w:rsidRPr="005A17C2">
        <w:rPr>
          <w:rStyle w:val="FootnoteReference"/>
          <w:spacing w:val="-4"/>
          <w:sz w:val="20"/>
          <w:szCs w:val="20"/>
        </w:rPr>
        <w:footnoteReference w:id="23"/>
      </w:r>
      <w:r w:rsidRPr="005A17C2">
        <w:rPr>
          <w:rFonts w:ascii="Verdana" w:hAnsi="Verdana"/>
          <w:spacing w:val="-4"/>
          <w:sz w:val="20"/>
          <w:szCs w:val="20"/>
        </w:rPr>
        <w:t>. No obstante, reitera que el análisis de la efectividad de las investigaciones y procedimientos referentes a los hechos que motivan las medidas provisionales no corresponde analizarlo en el marco de las mismas</w:t>
      </w:r>
      <w:r w:rsidRPr="005A17C2">
        <w:rPr>
          <w:rStyle w:val="FootnoteReference"/>
          <w:spacing w:val="-4"/>
          <w:sz w:val="20"/>
          <w:szCs w:val="20"/>
        </w:rPr>
        <w:footnoteReference w:id="24"/>
      </w:r>
      <w:r w:rsidRPr="005A17C2">
        <w:rPr>
          <w:rFonts w:ascii="Verdana" w:hAnsi="Verdana"/>
          <w:spacing w:val="-4"/>
          <w:sz w:val="20"/>
          <w:szCs w:val="20"/>
        </w:rPr>
        <w:t xml:space="preserve">. Además, recuerda que el incumplimiento </w:t>
      </w:r>
      <w:r w:rsidRPr="005A17C2">
        <w:rPr>
          <w:rFonts w:ascii="Verdana" w:hAnsi="Verdana"/>
          <w:spacing w:val="-4"/>
          <w:sz w:val="20"/>
          <w:szCs w:val="20"/>
          <w:lang w:val="es-CR"/>
        </w:rPr>
        <w:t xml:space="preserve">del deber de investigar no es </w:t>
      </w:r>
      <w:r w:rsidRPr="005A17C2">
        <w:rPr>
          <w:rFonts w:ascii="Verdana" w:hAnsi="Verdana"/>
          <w:i/>
          <w:spacing w:val="-4"/>
          <w:sz w:val="20"/>
          <w:szCs w:val="20"/>
          <w:lang w:val="es-CR"/>
        </w:rPr>
        <w:t>per se</w:t>
      </w:r>
      <w:r w:rsidRPr="005A17C2">
        <w:rPr>
          <w:rFonts w:ascii="Verdana" w:hAnsi="Verdana"/>
          <w:spacing w:val="-4"/>
          <w:sz w:val="20"/>
          <w:szCs w:val="20"/>
          <w:lang w:val="es-CR"/>
        </w:rPr>
        <w:t xml:space="preserve"> </w:t>
      </w:r>
      <w:proofErr w:type="spellStart"/>
      <w:r w:rsidRPr="005A17C2">
        <w:rPr>
          <w:rFonts w:ascii="Verdana" w:hAnsi="Verdana"/>
          <w:spacing w:val="-4"/>
          <w:sz w:val="20"/>
          <w:szCs w:val="20"/>
          <w:lang w:val="es-CR"/>
        </w:rPr>
        <w:t>motivo</w:t>
      </w:r>
      <w:proofErr w:type="spellEnd"/>
      <w:r w:rsidRPr="005A17C2">
        <w:rPr>
          <w:rFonts w:ascii="Verdana" w:hAnsi="Verdana"/>
          <w:spacing w:val="-4"/>
          <w:sz w:val="20"/>
          <w:szCs w:val="20"/>
          <w:lang w:val="es-CR"/>
        </w:rPr>
        <w:t xml:space="preserve"> suficiente para mantener las medidas provisionales</w:t>
      </w:r>
      <w:r w:rsidRPr="005A17C2">
        <w:rPr>
          <w:rFonts w:ascii="Verdana" w:hAnsi="Verdana"/>
          <w:spacing w:val="-4"/>
          <w:sz w:val="20"/>
          <w:szCs w:val="20"/>
          <w:vertAlign w:val="superscript"/>
        </w:rPr>
        <w:footnoteReference w:id="25"/>
      </w:r>
      <w:r w:rsidR="0039138D" w:rsidRPr="005A17C2">
        <w:rPr>
          <w:rFonts w:ascii="Verdana" w:hAnsi="Verdana"/>
          <w:spacing w:val="-4"/>
          <w:sz w:val="20"/>
          <w:szCs w:val="20"/>
        </w:rPr>
        <w:t xml:space="preserve">. Por tanto, la Corte </w:t>
      </w:r>
      <w:r w:rsidRPr="005A17C2">
        <w:rPr>
          <w:rFonts w:ascii="Verdana" w:hAnsi="Verdana"/>
          <w:spacing w:val="-4"/>
          <w:sz w:val="20"/>
          <w:szCs w:val="20"/>
        </w:rPr>
        <w:t xml:space="preserve">no considerará la información y observaciones </w:t>
      </w:r>
      <w:r w:rsidR="00DA314D" w:rsidRPr="005A17C2">
        <w:rPr>
          <w:rFonts w:ascii="Verdana" w:hAnsi="Verdana"/>
          <w:spacing w:val="-4"/>
          <w:sz w:val="20"/>
          <w:szCs w:val="20"/>
        </w:rPr>
        <w:t>relativas a las investigaciones.</w:t>
      </w:r>
    </w:p>
    <w:p w14:paraId="43BF1E42" w14:textId="77777777" w:rsidR="00DA314D" w:rsidRPr="005A17C2" w:rsidRDefault="00DA314D" w:rsidP="00BB145E">
      <w:pPr>
        <w:spacing w:line="220" w:lineRule="atLeast"/>
        <w:ind w:right="22"/>
        <w:jc w:val="both"/>
        <w:rPr>
          <w:rFonts w:ascii="Verdana" w:hAnsi="Verdana"/>
          <w:spacing w:val="-4"/>
          <w:sz w:val="20"/>
          <w:lang w:val="es-ES"/>
        </w:rPr>
      </w:pPr>
    </w:p>
    <w:p w14:paraId="15F8B5A7" w14:textId="77777777" w:rsidR="0084409A" w:rsidRPr="005A17C2" w:rsidRDefault="0084409A" w:rsidP="00BB145E">
      <w:pPr>
        <w:widowControl w:val="0"/>
        <w:autoSpaceDE w:val="0"/>
        <w:autoSpaceDN w:val="0"/>
        <w:adjustRightInd w:val="0"/>
        <w:jc w:val="both"/>
        <w:rPr>
          <w:rFonts w:ascii="Verdana" w:hAnsi="Verdana" w:cs="Verdana"/>
          <w:b/>
          <w:spacing w:val="-4"/>
          <w:sz w:val="20"/>
          <w:szCs w:val="20"/>
          <w:lang w:val="es-ES"/>
        </w:rPr>
      </w:pPr>
      <w:r w:rsidRPr="005A17C2">
        <w:rPr>
          <w:rFonts w:ascii="Verdana" w:hAnsi="Verdana" w:cs="Verdana"/>
          <w:b/>
          <w:spacing w:val="-4"/>
          <w:sz w:val="20"/>
          <w:szCs w:val="20"/>
          <w:lang w:val="es-ES"/>
        </w:rPr>
        <w:t>POR TANTO:</w:t>
      </w:r>
    </w:p>
    <w:p w14:paraId="41C1E29F" w14:textId="77777777" w:rsidR="0015738E" w:rsidRPr="005A17C2" w:rsidRDefault="0015738E" w:rsidP="00BB145E">
      <w:pPr>
        <w:widowControl w:val="0"/>
        <w:autoSpaceDE w:val="0"/>
        <w:autoSpaceDN w:val="0"/>
        <w:adjustRightInd w:val="0"/>
        <w:jc w:val="both"/>
        <w:rPr>
          <w:rFonts w:ascii="Verdana" w:hAnsi="Verdana" w:cs="Verdana"/>
          <w:b/>
          <w:spacing w:val="-4"/>
          <w:sz w:val="20"/>
          <w:szCs w:val="20"/>
          <w:lang w:val="es-ES"/>
        </w:rPr>
      </w:pPr>
    </w:p>
    <w:p w14:paraId="7A63EAF2" w14:textId="7BD2DA6F" w:rsidR="0084409A" w:rsidRPr="005A17C2" w:rsidRDefault="0084409A" w:rsidP="00BB145E">
      <w:pPr>
        <w:widowControl w:val="0"/>
        <w:autoSpaceDE w:val="0"/>
        <w:autoSpaceDN w:val="0"/>
        <w:adjustRightInd w:val="0"/>
        <w:jc w:val="both"/>
        <w:rPr>
          <w:rFonts w:ascii="Verdana" w:hAnsi="Verdana" w:cs="Verdana"/>
          <w:b/>
          <w:spacing w:val="-4"/>
          <w:sz w:val="20"/>
          <w:szCs w:val="20"/>
          <w:lang w:val="es-ES"/>
        </w:rPr>
      </w:pPr>
      <w:r w:rsidRPr="005A17C2">
        <w:rPr>
          <w:rFonts w:ascii="Verdana" w:hAnsi="Verdana" w:cs="Verdana"/>
          <w:b/>
          <w:spacing w:val="-4"/>
          <w:sz w:val="20"/>
          <w:szCs w:val="20"/>
          <w:lang w:val="es-ES"/>
        </w:rPr>
        <w:t>LA CORTE INTERAMERICANA DE DERECHOS HUMANOS</w:t>
      </w:r>
      <w:r w:rsidR="00465E57">
        <w:rPr>
          <w:rStyle w:val="FootnoteReference"/>
          <w:rFonts w:cs="Verdana"/>
          <w:b/>
          <w:spacing w:val="-4"/>
          <w:szCs w:val="20"/>
          <w:lang w:val="es-ES"/>
        </w:rPr>
        <w:footnoteReference w:id="26"/>
      </w:r>
      <w:r w:rsidRPr="005A17C2">
        <w:rPr>
          <w:rFonts w:ascii="Verdana" w:hAnsi="Verdana" w:cs="Verdana"/>
          <w:b/>
          <w:spacing w:val="-4"/>
          <w:sz w:val="20"/>
          <w:szCs w:val="20"/>
          <w:lang w:val="es-ES"/>
        </w:rPr>
        <w:t>,</w:t>
      </w:r>
    </w:p>
    <w:p w14:paraId="663946F1" w14:textId="77777777" w:rsidR="0084409A" w:rsidRPr="005A17C2" w:rsidRDefault="0084409A" w:rsidP="00BB145E">
      <w:pPr>
        <w:widowControl w:val="0"/>
        <w:autoSpaceDE w:val="0"/>
        <w:autoSpaceDN w:val="0"/>
        <w:adjustRightInd w:val="0"/>
        <w:jc w:val="both"/>
        <w:rPr>
          <w:rFonts w:ascii="Verdana" w:hAnsi="Verdana" w:cs="Verdana"/>
          <w:b/>
          <w:spacing w:val="-4"/>
          <w:sz w:val="20"/>
          <w:szCs w:val="20"/>
          <w:lang w:val="es-ES"/>
        </w:rPr>
      </w:pPr>
    </w:p>
    <w:p w14:paraId="3E6368B0" w14:textId="77777777" w:rsidR="0084409A" w:rsidRPr="005A17C2" w:rsidRDefault="0084409A" w:rsidP="00BB145E">
      <w:pPr>
        <w:widowControl w:val="0"/>
        <w:autoSpaceDE w:val="0"/>
        <w:autoSpaceDN w:val="0"/>
        <w:adjustRightInd w:val="0"/>
        <w:jc w:val="both"/>
        <w:rPr>
          <w:rFonts w:ascii="Verdana" w:hAnsi="Verdana" w:cs="Times"/>
          <w:spacing w:val="-4"/>
          <w:sz w:val="20"/>
          <w:szCs w:val="20"/>
          <w:lang w:val="es-ES"/>
        </w:rPr>
      </w:pPr>
      <w:r w:rsidRPr="005A17C2">
        <w:rPr>
          <w:rFonts w:ascii="Verdana" w:hAnsi="Verdana" w:cs="Verdana"/>
          <w:spacing w:val="-4"/>
          <w:sz w:val="20"/>
          <w:szCs w:val="20"/>
          <w:lang w:val="es-ES"/>
        </w:rPr>
        <w:t>en uso de sus atribuciones conferidas por el artículo 63.2 de la Convención Americana sobre Derechos Humanos y los artículos 27 y 31 del Reglamento de la Corte,</w:t>
      </w:r>
    </w:p>
    <w:p w14:paraId="06B3F950" w14:textId="77777777" w:rsidR="0084409A" w:rsidRPr="005A17C2" w:rsidRDefault="0084409A" w:rsidP="002F7B57">
      <w:pPr>
        <w:ind w:right="386"/>
        <w:jc w:val="both"/>
        <w:rPr>
          <w:rFonts w:ascii="Verdana" w:hAnsi="Verdana"/>
          <w:b/>
          <w:spacing w:val="-4"/>
          <w:sz w:val="20"/>
          <w:lang w:val="es-ES"/>
        </w:rPr>
      </w:pPr>
    </w:p>
    <w:p w14:paraId="41702F94" w14:textId="77777777" w:rsidR="0084409A" w:rsidRPr="005A17C2" w:rsidRDefault="0084409A" w:rsidP="002F7B57">
      <w:pPr>
        <w:ind w:right="386"/>
        <w:jc w:val="both"/>
        <w:rPr>
          <w:rFonts w:ascii="Verdana" w:hAnsi="Verdana"/>
          <w:b/>
          <w:spacing w:val="-4"/>
          <w:sz w:val="20"/>
        </w:rPr>
      </w:pPr>
      <w:r w:rsidRPr="005A17C2">
        <w:rPr>
          <w:rFonts w:ascii="Verdana" w:hAnsi="Verdana"/>
          <w:b/>
          <w:spacing w:val="-4"/>
          <w:sz w:val="20"/>
        </w:rPr>
        <w:t xml:space="preserve">RESUELVE: </w:t>
      </w:r>
    </w:p>
    <w:p w14:paraId="07DE1F7B" w14:textId="77777777" w:rsidR="0084409A" w:rsidRPr="005A17C2" w:rsidRDefault="0084409A" w:rsidP="00461C9F">
      <w:pPr>
        <w:widowControl w:val="0"/>
        <w:autoSpaceDE w:val="0"/>
        <w:autoSpaceDN w:val="0"/>
        <w:adjustRightInd w:val="0"/>
        <w:spacing w:before="40" w:after="40"/>
        <w:jc w:val="both"/>
        <w:rPr>
          <w:rFonts w:ascii="Verdana" w:hAnsi="Verdana" w:cs="Verdana"/>
          <w:spacing w:val="-4"/>
          <w:sz w:val="20"/>
          <w:szCs w:val="20"/>
          <w:lang w:val="es-ES"/>
        </w:rPr>
      </w:pPr>
    </w:p>
    <w:p w14:paraId="6F6A5592" w14:textId="42E722A9" w:rsidR="00FA18C4" w:rsidRPr="005A17C2" w:rsidRDefault="00FA18C4" w:rsidP="00461C9F">
      <w:pPr>
        <w:numPr>
          <w:ilvl w:val="0"/>
          <w:numId w:val="20"/>
        </w:numPr>
        <w:spacing w:before="40" w:after="40"/>
        <w:ind w:right="-6"/>
        <w:jc w:val="both"/>
        <w:rPr>
          <w:rFonts w:ascii="Verdana" w:hAnsi="Verdana"/>
          <w:spacing w:val="-4"/>
          <w:sz w:val="20"/>
          <w:u w:val="single"/>
        </w:rPr>
      </w:pPr>
      <w:r w:rsidRPr="005A17C2">
        <w:rPr>
          <w:rFonts w:ascii="Verdana" w:hAnsi="Verdana"/>
          <w:spacing w:val="-4"/>
          <w:sz w:val="20"/>
        </w:rPr>
        <w:t xml:space="preserve">Mantener las medidas provisionales ordenadas a favor de </w:t>
      </w:r>
      <w:r w:rsidR="0039138D" w:rsidRPr="005A17C2">
        <w:rPr>
          <w:rFonts w:ascii="Verdana" w:hAnsi="Verdana"/>
          <w:spacing w:val="-4"/>
          <w:sz w:val="20"/>
        </w:rPr>
        <w:t xml:space="preserve">Inés </w:t>
      </w:r>
      <w:r w:rsidR="00DA314D" w:rsidRPr="005A17C2">
        <w:rPr>
          <w:rFonts w:ascii="Verdana" w:hAnsi="Verdana"/>
          <w:spacing w:val="-4"/>
          <w:sz w:val="20"/>
        </w:rPr>
        <w:t>Fernández</w:t>
      </w:r>
      <w:r w:rsidR="0039138D" w:rsidRPr="005A17C2">
        <w:rPr>
          <w:rFonts w:ascii="Verdana" w:hAnsi="Verdana"/>
          <w:spacing w:val="-4"/>
          <w:sz w:val="20"/>
        </w:rPr>
        <w:t xml:space="preserve"> Ortega y </w:t>
      </w:r>
      <w:r w:rsidR="00753EDE" w:rsidRPr="005A17C2">
        <w:rPr>
          <w:rFonts w:ascii="Verdana" w:hAnsi="Verdana"/>
          <w:spacing w:val="-4"/>
          <w:sz w:val="20"/>
        </w:rPr>
        <w:t>sus familiares</w:t>
      </w:r>
      <w:r w:rsidR="0039138D" w:rsidRPr="005A17C2">
        <w:rPr>
          <w:rFonts w:ascii="Verdana" w:hAnsi="Verdana"/>
          <w:spacing w:val="-4"/>
          <w:sz w:val="20"/>
        </w:rPr>
        <w:t xml:space="preserve"> </w:t>
      </w:r>
      <w:r w:rsidRPr="005A17C2">
        <w:rPr>
          <w:rFonts w:ascii="Verdana" w:hAnsi="Verdana"/>
          <w:spacing w:val="-4"/>
          <w:sz w:val="20"/>
        </w:rPr>
        <w:t>por un p</w:t>
      </w:r>
      <w:r w:rsidR="001963A9" w:rsidRPr="005A17C2">
        <w:rPr>
          <w:rFonts w:ascii="Verdana" w:hAnsi="Verdana"/>
          <w:spacing w:val="-4"/>
          <w:sz w:val="20"/>
        </w:rPr>
        <w:t xml:space="preserve">eríodo adicional que vence el </w:t>
      </w:r>
      <w:r w:rsidR="0068376B" w:rsidRPr="00193626">
        <w:rPr>
          <w:rFonts w:ascii="Verdana" w:hAnsi="Verdana"/>
          <w:spacing w:val="-4"/>
          <w:sz w:val="20"/>
        </w:rPr>
        <w:t xml:space="preserve">30 </w:t>
      </w:r>
      <w:r w:rsidR="00C34DFC" w:rsidRPr="00193626">
        <w:rPr>
          <w:rFonts w:ascii="Verdana" w:hAnsi="Verdana"/>
          <w:spacing w:val="-4"/>
          <w:sz w:val="20"/>
        </w:rPr>
        <w:t>de septiembre de 2016</w:t>
      </w:r>
      <w:r w:rsidRPr="005A17C2">
        <w:rPr>
          <w:rFonts w:ascii="Verdana" w:hAnsi="Verdana"/>
          <w:spacing w:val="-4"/>
          <w:sz w:val="20"/>
        </w:rPr>
        <w:t>, por lo cual se requiere al Estado continuar adoptando las medidas que sean necesarias para proteger su vida e integridad personal, tomando en consideración la situación y las circunstancias particulares del caso.</w:t>
      </w:r>
      <w:r w:rsidRPr="005A17C2">
        <w:rPr>
          <w:rFonts w:ascii="Verdana" w:hAnsi="Verdana"/>
          <w:spacing w:val="-4"/>
          <w:sz w:val="20"/>
          <w:u w:val="single"/>
        </w:rPr>
        <w:t xml:space="preserve"> </w:t>
      </w:r>
    </w:p>
    <w:p w14:paraId="5D61C277" w14:textId="77777777" w:rsidR="00BF38C1" w:rsidRPr="005A17C2" w:rsidRDefault="00BF38C1" w:rsidP="00461C9F">
      <w:pPr>
        <w:spacing w:before="40" w:after="40"/>
        <w:ind w:right="-6"/>
        <w:jc w:val="both"/>
        <w:rPr>
          <w:rFonts w:ascii="Verdana" w:hAnsi="Verdana"/>
          <w:spacing w:val="-4"/>
          <w:sz w:val="20"/>
          <w:u w:val="single"/>
        </w:rPr>
      </w:pPr>
    </w:p>
    <w:p w14:paraId="0A6E35F6" w14:textId="599D37D7" w:rsidR="00BF38C1" w:rsidRPr="005A17C2" w:rsidRDefault="0080068B" w:rsidP="00461C9F">
      <w:pPr>
        <w:numPr>
          <w:ilvl w:val="0"/>
          <w:numId w:val="20"/>
        </w:numPr>
        <w:spacing w:before="40" w:after="40"/>
        <w:ind w:right="-6"/>
        <w:jc w:val="both"/>
        <w:rPr>
          <w:rFonts w:ascii="Verdana" w:hAnsi="Verdana"/>
          <w:spacing w:val="-4"/>
          <w:sz w:val="20"/>
        </w:rPr>
      </w:pPr>
      <w:r w:rsidRPr="005A17C2">
        <w:rPr>
          <w:rFonts w:ascii="Verdana" w:hAnsi="Verdana"/>
          <w:spacing w:val="-4"/>
          <w:sz w:val="20"/>
        </w:rPr>
        <w:t>Re</w:t>
      </w:r>
      <w:r w:rsidR="001D77CD" w:rsidRPr="005A17C2">
        <w:rPr>
          <w:rFonts w:ascii="Verdana" w:hAnsi="Verdana"/>
          <w:spacing w:val="-4"/>
          <w:sz w:val="20"/>
        </w:rPr>
        <w:t>querir</w:t>
      </w:r>
      <w:r w:rsidRPr="005A17C2">
        <w:rPr>
          <w:rFonts w:ascii="Verdana" w:hAnsi="Verdana"/>
          <w:spacing w:val="-4"/>
          <w:sz w:val="20"/>
        </w:rPr>
        <w:t xml:space="preserve"> al Estado que continúe adoptando las medidas que sean necesarias para proteger la vida e integridad personal de: </w:t>
      </w:r>
      <w:r w:rsidRPr="005A17C2">
        <w:rPr>
          <w:rFonts w:ascii="Verdana" w:hAnsi="Verdana"/>
          <w:spacing w:val="-4"/>
          <w:sz w:val="20"/>
          <w:szCs w:val="16"/>
        </w:rPr>
        <w:t xml:space="preserve">a) </w:t>
      </w:r>
      <w:proofErr w:type="spellStart"/>
      <w:r w:rsidRPr="005A17C2">
        <w:rPr>
          <w:rFonts w:ascii="Verdana" w:hAnsi="Verdana"/>
          <w:spacing w:val="-4"/>
          <w:sz w:val="20"/>
          <w:szCs w:val="16"/>
          <w:lang w:val="es-CL"/>
        </w:rPr>
        <w:t>Obtilia</w:t>
      </w:r>
      <w:proofErr w:type="spellEnd"/>
      <w:r w:rsidRPr="005A17C2">
        <w:rPr>
          <w:rFonts w:ascii="Verdana" w:hAnsi="Verdana"/>
          <w:spacing w:val="-4"/>
          <w:sz w:val="20"/>
          <w:szCs w:val="16"/>
          <w:lang w:val="es-CL"/>
        </w:rPr>
        <w:t xml:space="preserve"> Eugenio Manuel y determinados familiares; </w:t>
      </w:r>
      <w:r w:rsidRPr="005A17C2">
        <w:rPr>
          <w:rFonts w:ascii="Verdana" w:hAnsi="Verdana"/>
          <w:spacing w:val="-4"/>
          <w:sz w:val="20"/>
          <w:szCs w:val="16"/>
        </w:rPr>
        <w:t>b)</w:t>
      </w:r>
      <w:r w:rsidRPr="005A17C2">
        <w:rPr>
          <w:rFonts w:ascii="Verdana" w:hAnsi="Verdana"/>
          <w:spacing w:val="-4"/>
          <w:sz w:val="20"/>
          <w:szCs w:val="16"/>
          <w:lang w:val="es-CL"/>
        </w:rPr>
        <w:t xml:space="preserve"> 41 integrantes de la </w:t>
      </w:r>
      <w:r w:rsidRPr="005A17C2">
        <w:rPr>
          <w:rFonts w:ascii="Verdana" w:hAnsi="Verdana"/>
          <w:spacing w:val="-4"/>
          <w:sz w:val="20"/>
          <w:szCs w:val="16"/>
          <w:lang w:val="es-ES"/>
        </w:rPr>
        <w:t xml:space="preserve">Organización del Pueblo Indígena </w:t>
      </w:r>
      <w:proofErr w:type="spellStart"/>
      <w:r w:rsidRPr="005A17C2">
        <w:rPr>
          <w:rFonts w:ascii="Verdana" w:hAnsi="Verdana"/>
          <w:spacing w:val="-4"/>
          <w:sz w:val="20"/>
          <w:szCs w:val="16"/>
          <w:lang w:val="es-ES"/>
        </w:rPr>
        <w:t>Tlapaneco</w:t>
      </w:r>
      <w:proofErr w:type="spellEnd"/>
      <w:r w:rsidRPr="005A17C2">
        <w:rPr>
          <w:rFonts w:ascii="Verdana" w:hAnsi="Verdana"/>
          <w:spacing w:val="-4"/>
          <w:sz w:val="20"/>
          <w:szCs w:val="16"/>
          <w:lang w:val="es-ES"/>
        </w:rPr>
        <w:t xml:space="preserve"> A.C. </w:t>
      </w:r>
      <w:r w:rsidRPr="005A17C2">
        <w:rPr>
          <w:rFonts w:ascii="Verdana" w:hAnsi="Verdana"/>
          <w:spacing w:val="-4"/>
          <w:sz w:val="20"/>
        </w:rPr>
        <w:t xml:space="preserve">y c) </w:t>
      </w:r>
      <w:r w:rsidRPr="005A17C2">
        <w:rPr>
          <w:rFonts w:ascii="Verdana" w:hAnsi="Verdana"/>
          <w:spacing w:val="-4"/>
          <w:sz w:val="20"/>
          <w:szCs w:val="16"/>
          <w:lang w:val="es-CL"/>
        </w:rPr>
        <w:t>18 miembros de</w:t>
      </w:r>
      <w:r w:rsidRPr="005A17C2">
        <w:rPr>
          <w:rFonts w:ascii="Verdana" w:hAnsi="Verdana"/>
          <w:spacing w:val="-4"/>
          <w:sz w:val="20"/>
          <w:szCs w:val="16"/>
          <w:lang w:val="es-ES"/>
        </w:rPr>
        <w:t xml:space="preserve">l </w:t>
      </w:r>
      <w:r w:rsidRPr="005A17C2">
        <w:rPr>
          <w:rFonts w:ascii="Verdana" w:hAnsi="Verdana"/>
          <w:spacing w:val="-4"/>
          <w:sz w:val="20"/>
        </w:rPr>
        <w:t xml:space="preserve">Centro de Derechos Humanos de la Montaña </w:t>
      </w:r>
      <w:proofErr w:type="spellStart"/>
      <w:r w:rsidRPr="005A17C2">
        <w:rPr>
          <w:rFonts w:ascii="Verdana" w:hAnsi="Verdana"/>
          <w:spacing w:val="-4"/>
          <w:sz w:val="20"/>
        </w:rPr>
        <w:t>Tlachinollan</w:t>
      </w:r>
      <w:proofErr w:type="spellEnd"/>
      <w:r w:rsidRPr="005A17C2">
        <w:rPr>
          <w:rFonts w:ascii="Verdana" w:hAnsi="Verdana"/>
          <w:spacing w:val="-4"/>
          <w:sz w:val="20"/>
        </w:rPr>
        <w:t xml:space="preserve"> señalados en el Considerando 33 de la Resolución de la Corte de 20 de febrero de 2012, </w:t>
      </w:r>
      <w:r w:rsidR="00BF38C1" w:rsidRPr="005A17C2">
        <w:rPr>
          <w:rFonts w:ascii="Verdana" w:hAnsi="Verdana"/>
          <w:spacing w:val="-4"/>
          <w:sz w:val="20"/>
        </w:rPr>
        <w:t>tomando en consideración la situación y las circunstancias particulares del caso.</w:t>
      </w:r>
      <w:r w:rsidR="00BF38C1" w:rsidRPr="005A17C2">
        <w:rPr>
          <w:rFonts w:ascii="Verdana" w:hAnsi="Verdana"/>
          <w:spacing w:val="-4"/>
          <w:sz w:val="20"/>
          <w:u w:val="single"/>
        </w:rPr>
        <w:t xml:space="preserve"> </w:t>
      </w:r>
    </w:p>
    <w:p w14:paraId="4118D2F8" w14:textId="77777777" w:rsidR="00065105" w:rsidRPr="005A17C2" w:rsidRDefault="00065105" w:rsidP="00461C9F">
      <w:pPr>
        <w:spacing w:before="40" w:after="40"/>
        <w:ind w:right="-6"/>
        <w:jc w:val="both"/>
        <w:rPr>
          <w:rFonts w:ascii="Verdana" w:hAnsi="Verdana"/>
          <w:spacing w:val="-4"/>
          <w:sz w:val="20"/>
          <w:u w:val="single"/>
        </w:rPr>
      </w:pPr>
    </w:p>
    <w:p w14:paraId="70623B33" w14:textId="03C0DC7C" w:rsidR="00946143" w:rsidRPr="005A17C2" w:rsidRDefault="0084409A" w:rsidP="00461C9F">
      <w:pPr>
        <w:numPr>
          <w:ilvl w:val="0"/>
          <w:numId w:val="20"/>
        </w:numPr>
        <w:spacing w:before="40" w:after="40"/>
        <w:ind w:right="-6"/>
        <w:jc w:val="both"/>
        <w:rPr>
          <w:rFonts w:ascii="Verdana" w:hAnsi="Verdana"/>
          <w:spacing w:val="-4"/>
          <w:sz w:val="20"/>
          <w:u w:val="single"/>
        </w:rPr>
      </w:pPr>
      <w:r w:rsidRPr="005A17C2">
        <w:rPr>
          <w:rFonts w:ascii="Verdana" w:hAnsi="Verdana"/>
          <w:spacing w:val="-4"/>
          <w:sz w:val="20"/>
          <w:szCs w:val="20"/>
          <w:lang w:val="es-MX"/>
        </w:rPr>
        <w:t xml:space="preserve">Reiterar al Estado que realice todas las gestiones pertinentes para que las medidas ordenadas en </w:t>
      </w:r>
      <w:r w:rsidR="00027712" w:rsidRPr="005A17C2">
        <w:rPr>
          <w:rFonts w:ascii="Verdana" w:hAnsi="Verdana"/>
          <w:spacing w:val="-4"/>
          <w:sz w:val="20"/>
          <w:szCs w:val="20"/>
          <w:lang w:val="es-MX"/>
        </w:rPr>
        <w:t>esta</w:t>
      </w:r>
      <w:r w:rsidRPr="005A17C2">
        <w:rPr>
          <w:rFonts w:ascii="Verdana" w:hAnsi="Verdana"/>
          <w:spacing w:val="-4"/>
          <w:sz w:val="20"/>
          <w:szCs w:val="20"/>
          <w:lang w:val="es-MX"/>
        </w:rPr>
        <w:t xml:space="preserve"> Resolución se planifiquen e implementen con la participación de </w:t>
      </w:r>
      <w:r w:rsidR="007D08A5" w:rsidRPr="005A17C2">
        <w:rPr>
          <w:rFonts w:ascii="Verdana" w:hAnsi="Verdana"/>
          <w:spacing w:val="-4"/>
          <w:sz w:val="20"/>
          <w:szCs w:val="20"/>
          <w:lang w:val="es-MX"/>
        </w:rPr>
        <w:t>l</w:t>
      </w:r>
      <w:r w:rsidR="007D08A5">
        <w:rPr>
          <w:rFonts w:ascii="Verdana" w:hAnsi="Verdana"/>
          <w:spacing w:val="-4"/>
          <w:sz w:val="20"/>
          <w:szCs w:val="20"/>
          <w:lang w:val="es-MX"/>
        </w:rPr>
        <w:t>o</w:t>
      </w:r>
      <w:r w:rsidR="007D08A5" w:rsidRPr="005A17C2">
        <w:rPr>
          <w:rFonts w:ascii="Verdana" w:hAnsi="Verdana"/>
          <w:spacing w:val="-4"/>
          <w:sz w:val="20"/>
          <w:szCs w:val="20"/>
          <w:lang w:val="es-MX"/>
        </w:rPr>
        <w:t>s beneficiari</w:t>
      </w:r>
      <w:r w:rsidR="007D08A5">
        <w:rPr>
          <w:rFonts w:ascii="Verdana" w:hAnsi="Verdana"/>
          <w:spacing w:val="-4"/>
          <w:sz w:val="20"/>
          <w:szCs w:val="20"/>
          <w:lang w:val="es-MX"/>
        </w:rPr>
        <w:t>o</w:t>
      </w:r>
      <w:r w:rsidR="007D08A5" w:rsidRPr="005A17C2">
        <w:rPr>
          <w:rFonts w:ascii="Verdana" w:hAnsi="Verdana"/>
          <w:spacing w:val="-4"/>
          <w:sz w:val="20"/>
          <w:szCs w:val="20"/>
          <w:lang w:val="es-MX"/>
        </w:rPr>
        <w:t xml:space="preserve">s </w:t>
      </w:r>
      <w:r w:rsidRPr="005A17C2">
        <w:rPr>
          <w:rFonts w:ascii="Verdana" w:hAnsi="Verdana"/>
          <w:spacing w:val="-4"/>
          <w:sz w:val="20"/>
          <w:szCs w:val="20"/>
          <w:lang w:val="es-MX"/>
        </w:rPr>
        <w:t>o sus representantes y que, en general, les mantenga informados sobre el avance de su ejecución.</w:t>
      </w:r>
    </w:p>
    <w:p w14:paraId="0385FBD5" w14:textId="77777777" w:rsidR="00946143" w:rsidRPr="005A17C2" w:rsidRDefault="00946143" w:rsidP="00461C9F">
      <w:pPr>
        <w:spacing w:before="40" w:after="40"/>
        <w:ind w:right="-6"/>
        <w:jc w:val="both"/>
        <w:rPr>
          <w:rFonts w:ascii="Verdana" w:hAnsi="Verdana"/>
          <w:spacing w:val="-4"/>
          <w:sz w:val="20"/>
          <w:szCs w:val="20"/>
          <w:u w:val="single"/>
        </w:rPr>
      </w:pPr>
    </w:p>
    <w:p w14:paraId="4B972128" w14:textId="18D72C96" w:rsidR="00193626" w:rsidRPr="00193626" w:rsidRDefault="007D6754" w:rsidP="00461C9F">
      <w:pPr>
        <w:numPr>
          <w:ilvl w:val="0"/>
          <w:numId w:val="20"/>
        </w:numPr>
        <w:spacing w:before="40" w:after="40"/>
        <w:ind w:right="-6"/>
        <w:jc w:val="both"/>
        <w:rPr>
          <w:rFonts w:ascii="Verdana" w:hAnsi="Verdana"/>
          <w:spacing w:val="-4"/>
          <w:sz w:val="20"/>
          <w:szCs w:val="20"/>
          <w:u w:val="single"/>
        </w:rPr>
      </w:pPr>
      <w:r w:rsidRPr="005A17C2">
        <w:rPr>
          <w:rFonts w:ascii="Verdana" w:hAnsi="Verdana"/>
          <w:spacing w:val="-4"/>
          <w:sz w:val="20"/>
          <w:szCs w:val="20"/>
          <w:lang w:val="es-MX"/>
        </w:rPr>
        <w:t>Requerir al Estado que</w:t>
      </w:r>
      <w:r w:rsidR="00946143" w:rsidRPr="005A17C2">
        <w:rPr>
          <w:rFonts w:ascii="Verdana" w:hAnsi="Verdana"/>
          <w:spacing w:val="-4"/>
          <w:sz w:val="20"/>
          <w:szCs w:val="20"/>
          <w:lang w:val="es-MX"/>
        </w:rPr>
        <w:t xml:space="preserve">, a más tardar el </w:t>
      </w:r>
      <w:r w:rsidR="00193626">
        <w:rPr>
          <w:rFonts w:ascii="Verdana" w:hAnsi="Verdana"/>
          <w:spacing w:val="-4"/>
          <w:sz w:val="20"/>
          <w:szCs w:val="20"/>
          <w:lang w:val="es-MX"/>
        </w:rPr>
        <w:t>6</w:t>
      </w:r>
      <w:r w:rsidR="007E3B89" w:rsidRPr="005A17C2">
        <w:rPr>
          <w:rFonts w:ascii="Verdana" w:hAnsi="Verdana"/>
          <w:spacing w:val="-4"/>
          <w:sz w:val="20"/>
          <w:szCs w:val="20"/>
          <w:lang w:val="es-MX"/>
        </w:rPr>
        <w:t xml:space="preserve"> de </w:t>
      </w:r>
      <w:r w:rsidR="00193626" w:rsidRPr="00193626">
        <w:rPr>
          <w:rFonts w:ascii="Verdana" w:hAnsi="Verdana"/>
          <w:spacing w:val="-4"/>
          <w:sz w:val="20"/>
          <w:szCs w:val="20"/>
          <w:lang w:val="es-MX"/>
        </w:rPr>
        <w:t xml:space="preserve">junio </w:t>
      </w:r>
      <w:r w:rsidR="00946143" w:rsidRPr="00193626">
        <w:rPr>
          <w:rFonts w:ascii="Verdana" w:hAnsi="Verdana"/>
          <w:spacing w:val="-4"/>
          <w:sz w:val="20"/>
          <w:szCs w:val="20"/>
          <w:lang w:val="es-MX"/>
        </w:rPr>
        <w:t xml:space="preserve">de </w:t>
      </w:r>
      <w:r w:rsidR="0039138D" w:rsidRPr="00193626">
        <w:rPr>
          <w:rFonts w:ascii="Verdana" w:hAnsi="Verdana"/>
          <w:spacing w:val="-4"/>
          <w:sz w:val="20"/>
          <w:szCs w:val="20"/>
          <w:lang w:val="es-MX"/>
        </w:rPr>
        <w:t>2016</w:t>
      </w:r>
      <w:r w:rsidR="00946143" w:rsidRPr="005A17C2">
        <w:rPr>
          <w:rFonts w:ascii="Verdana" w:hAnsi="Verdana"/>
          <w:spacing w:val="-4"/>
          <w:sz w:val="20"/>
          <w:szCs w:val="20"/>
          <w:lang w:val="es-MX"/>
        </w:rPr>
        <w:t xml:space="preserve">, </w:t>
      </w:r>
      <w:r w:rsidR="00946143" w:rsidRPr="005A17C2">
        <w:rPr>
          <w:rFonts w:ascii="Verdana" w:hAnsi="Verdana"/>
          <w:spacing w:val="-4"/>
          <w:sz w:val="20"/>
          <w:szCs w:val="20"/>
          <w:lang w:val="es-CR"/>
        </w:rPr>
        <w:t>presente un informe detallado</w:t>
      </w:r>
      <w:r w:rsidR="00753EDE" w:rsidRPr="005A17C2">
        <w:rPr>
          <w:rFonts w:ascii="Verdana" w:hAnsi="Verdana"/>
          <w:spacing w:val="-4"/>
          <w:sz w:val="20"/>
          <w:szCs w:val="20"/>
          <w:lang w:val="es-CR"/>
        </w:rPr>
        <w:t xml:space="preserve"> sobre la situación actual de lo</w:t>
      </w:r>
      <w:r w:rsidR="00946143" w:rsidRPr="005A17C2">
        <w:rPr>
          <w:rFonts w:ascii="Verdana" w:hAnsi="Verdana"/>
          <w:spacing w:val="-4"/>
          <w:sz w:val="20"/>
          <w:szCs w:val="20"/>
          <w:lang w:val="es-CR"/>
        </w:rPr>
        <w:t>s beneficiari</w:t>
      </w:r>
      <w:r w:rsidR="00A872A6" w:rsidRPr="005A17C2">
        <w:rPr>
          <w:rFonts w:ascii="Verdana" w:hAnsi="Verdana"/>
          <w:spacing w:val="-4"/>
          <w:sz w:val="20"/>
          <w:szCs w:val="20"/>
          <w:lang w:val="es-CR"/>
        </w:rPr>
        <w:t>o</w:t>
      </w:r>
      <w:r w:rsidR="00946143" w:rsidRPr="005A17C2">
        <w:rPr>
          <w:rFonts w:ascii="Verdana" w:hAnsi="Verdana"/>
          <w:spacing w:val="-4"/>
          <w:sz w:val="20"/>
          <w:szCs w:val="20"/>
          <w:lang w:val="es-CR"/>
        </w:rPr>
        <w:t xml:space="preserve">s, en los términos del Considerando </w:t>
      </w:r>
      <w:r w:rsidR="00010070">
        <w:rPr>
          <w:rFonts w:ascii="Verdana" w:hAnsi="Verdana"/>
          <w:spacing w:val="-4"/>
          <w:sz w:val="20"/>
          <w:szCs w:val="20"/>
          <w:lang w:val="es-CR"/>
        </w:rPr>
        <w:fldChar w:fldCharType="begin"/>
      </w:r>
      <w:r w:rsidR="00010070">
        <w:rPr>
          <w:rFonts w:ascii="Verdana" w:hAnsi="Verdana"/>
          <w:spacing w:val="-4"/>
          <w:sz w:val="20"/>
          <w:szCs w:val="20"/>
          <w:lang w:val="es-CR"/>
        </w:rPr>
        <w:instrText xml:space="preserve"> REF _Ref308998975 \r \h </w:instrText>
      </w:r>
      <w:r w:rsidR="00010070">
        <w:rPr>
          <w:rFonts w:ascii="Verdana" w:hAnsi="Verdana"/>
          <w:spacing w:val="-4"/>
          <w:sz w:val="20"/>
          <w:szCs w:val="20"/>
          <w:lang w:val="es-CR"/>
        </w:rPr>
      </w:r>
      <w:r w:rsidR="00010070">
        <w:rPr>
          <w:rFonts w:ascii="Verdana" w:hAnsi="Verdana"/>
          <w:spacing w:val="-4"/>
          <w:sz w:val="20"/>
          <w:szCs w:val="20"/>
          <w:lang w:val="es-CR"/>
        </w:rPr>
        <w:fldChar w:fldCharType="separate"/>
      </w:r>
      <w:r w:rsidR="00820C73">
        <w:rPr>
          <w:rFonts w:ascii="Verdana" w:hAnsi="Verdana"/>
          <w:spacing w:val="-4"/>
          <w:sz w:val="20"/>
          <w:szCs w:val="20"/>
          <w:lang w:val="es-CR"/>
        </w:rPr>
        <w:t>36</w:t>
      </w:r>
      <w:r w:rsidR="00010070">
        <w:rPr>
          <w:rFonts w:ascii="Verdana" w:hAnsi="Verdana"/>
          <w:spacing w:val="-4"/>
          <w:sz w:val="20"/>
          <w:szCs w:val="20"/>
          <w:lang w:val="es-CR"/>
        </w:rPr>
        <w:fldChar w:fldCharType="end"/>
      </w:r>
      <w:r w:rsidR="00946143" w:rsidRPr="005A17C2">
        <w:rPr>
          <w:rFonts w:ascii="Verdana" w:hAnsi="Verdana"/>
          <w:spacing w:val="-4"/>
          <w:sz w:val="20"/>
          <w:szCs w:val="20"/>
          <w:lang w:val="es-CR"/>
        </w:rPr>
        <w:t xml:space="preserve"> de la presente Resolución. En dicha oportunidad, el Estado deberá presentar </w:t>
      </w:r>
      <w:r w:rsidR="00946143" w:rsidRPr="005A17C2">
        <w:rPr>
          <w:rFonts w:ascii="Verdana" w:hAnsi="Verdana"/>
          <w:spacing w:val="-4"/>
          <w:sz w:val="20"/>
          <w:szCs w:val="20"/>
          <w:lang w:val="es-MX"/>
        </w:rPr>
        <w:t>la información indicada en los Considerandos</w:t>
      </w:r>
      <w:r w:rsidR="0067374C" w:rsidRPr="005A17C2">
        <w:rPr>
          <w:rFonts w:ascii="Verdana" w:hAnsi="Verdana"/>
          <w:spacing w:val="-4"/>
          <w:sz w:val="20"/>
          <w:szCs w:val="20"/>
          <w:lang w:val="es-MX"/>
        </w:rPr>
        <w:t xml:space="preserve"> </w:t>
      </w:r>
      <w:r w:rsidR="0054311C" w:rsidRPr="005A17C2">
        <w:rPr>
          <w:rFonts w:ascii="Verdana" w:hAnsi="Verdana"/>
          <w:spacing w:val="-4"/>
          <w:sz w:val="20"/>
          <w:szCs w:val="20"/>
          <w:lang w:val="es-MX"/>
        </w:rPr>
        <w:fldChar w:fldCharType="begin"/>
      </w:r>
      <w:r w:rsidR="0054311C" w:rsidRPr="005A17C2">
        <w:rPr>
          <w:rFonts w:ascii="Verdana" w:hAnsi="Verdana"/>
          <w:spacing w:val="-4"/>
          <w:sz w:val="20"/>
          <w:szCs w:val="20"/>
          <w:lang w:val="es-MX"/>
        </w:rPr>
        <w:instrText xml:space="preserve"> REF _Ref308998841 \r \h </w:instrText>
      </w:r>
      <w:r w:rsidR="00290A76" w:rsidRPr="005A17C2">
        <w:rPr>
          <w:rFonts w:ascii="Verdana" w:hAnsi="Verdana"/>
          <w:spacing w:val="-4"/>
          <w:sz w:val="20"/>
          <w:szCs w:val="20"/>
          <w:lang w:val="es-MX"/>
        </w:rPr>
        <w:instrText xml:space="preserve"> \* MERGEFORMAT </w:instrText>
      </w:r>
      <w:r w:rsidR="0054311C" w:rsidRPr="005A17C2">
        <w:rPr>
          <w:rFonts w:ascii="Verdana" w:hAnsi="Verdana"/>
          <w:spacing w:val="-4"/>
          <w:sz w:val="20"/>
          <w:szCs w:val="20"/>
          <w:lang w:val="es-MX"/>
        </w:rPr>
      </w:r>
      <w:r w:rsidR="0054311C" w:rsidRPr="005A17C2">
        <w:rPr>
          <w:rFonts w:ascii="Verdana" w:hAnsi="Verdana"/>
          <w:spacing w:val="-4"/>
          <w:sz w:val="20"/>
          <w:szCs w:val="20"/>
          <w:lang w:val="es-MX"/>
        </w:rPr>
        <w:fldChar w:fldCharType="separate"/>
      </w:r>
      <w:r w:rsidR="00820C73">
        <w:rPr>
          <w:rFonts w:ascii="Verdana" w:hAnsi="Verdana"/>
          <w:spacing w:val="-4"/>
          <w:sz w:val="20"/>
          <w:szCs w:val="20"/>
          <w:lang w:val="es-MX"/>
        </w:rPr>
        <w:t>15</w:t>
      </w:r>
      <w:r w:rsidR="0054311C" w:rsidRPr="005A17C2">
        <w:rPr>
          <w:rFonts w:ascii="Verdana" w:hAnsi="Verdana"/>
          <w:spacing w:val="-4"/>
          <w:sz w:val="20"/>
          <w:szCs w:val="20"/>
          <w:lang w:val="es-MX"/>
        </w:rPr>
        <w:fldChar w:fldCharType="end"/>
      </w:r>
      <w:r w:rsidR="0054311C" w:rsidRPr="005A17C2">
        <w:rPr>
          <w:rFonts w:ascii="Verdana" w:hAnsi="Verdana"/>
          <w:spacing w:val="-4"/>
          <w:sz w:val="20"/>
          <w:szCs w:val="20"/>
          <w:lang w:val="es-MX"/>
        </w:rPr>
        <w:t xml:space="preserve">, </w:t>
      </w:r>
      <w:r w:rsidR="0054311C" w:rsidRPr="005A17C2">
        <w:rPr>
          <w:rFonts w:ascii="Verdana" w:hAnsi="Verdana"/>
          <w:spacing w:val="-4"/>
          <w:sz w:val="20"/>
          <w:szCs w:val="20"/>
          <w:lang w:val="es-MX"/>
        </w:rPr>
        <w:fldChar w:fldCharType="begin"/>
      </w:r>
      <w:r w:rsidR="0054311C" w:rsidRPr="005A17C2">
        <w:rPr>
          <w:rFonts w:ascii="Verdana" w:hAnsi="Verdana"/>
          <w:spacing w:val="-4"/>
          <w:sz w:val="20"/>
          <w:szCs w:val="20"/>
          <w:lang w:val="es-MX"/>
        </w:rPr>
        <w:instrText xml:space="preserve"> REF _Ref308998856 \r \h </w:instrText>
      </w:r>
      <w:r w:rsidR="00290A76" w:rsidRPr="005A17C2">
        <w:rPr>
          <w:rFonts w:ascii="Verdana" w:hAnsi="Verdana"/>
          <w:spacing w:val="-4"/>
          <w:sz w:val="20"/>
          <w:szCs w:val="20"/>
          <w:lang w:val="es-MX"/>
        </w:rPr>
        <w:instrText xml:space="preserve"> \* MERGEFORMAT </w:instrText>
      </w:r>
      <w:r w:rsidR="0054311C" w:rsidRPr="005A17C2">
        <w:rPr>
          <w:rFonts w:ascii="Verdana" w:hAnsi="Verdana"/>
          <w:spacing w:val="-4"/>
          <w:sz w:val="20"/>
          <w:szCs w:val="20"/>
          <w:lang w:val="es-MX"/>
        </w:rPr>
      </w:r>
      <w:r w:rsidR="0054311C" w:rsidRPr="005A17C2">
        <w:rPr>
          <w:rFonts w:ascii="Verdana" w:hAnsi="Verdana"/>
          <w:spacing w:val="-4"/>
          <w:sz w:val="20"/>
          <w:szCs w:val="20"/>
          <w:lang w:val="es-MX"/>
        </w:rPr>
        <w:fldChar w:fldCharType="separate"/>
      </w:r>
      <w:r w:rsidR="00820C73">
        <w:rPr>
          <w:rFonts w:ascii="Verdana" w:hAnsi="Verdana"/>
          <w:spacing w:val="-4"/>
          <w:sz w:val="20"/>
          <w:szCs w:val="20"/>
          <w:lang w:val="es-MX"/>
        </w:rPr>
        <w:t>16</w:t>
      </w:r>
      <w:r w:rsidR="0054311C" w:rsidRPr="005A17C2">
        <w:rPr>
          <w:rFonts w:ascii="Verdana" w:hAnsi="Verdana"/>
          <w:spacing w:val="-4"/>
          <w:sz w:val="20"/>
          <w:szCs w:val="20"/>
          <w:lang w:val="es-MX"/>
        </w:rPr>
        <w:fldChar w:fldCharType="end"/>
      </w:r>
      <w:r w:rsidR="0054311C" w:rsidRPr="005A17C2">
        <w:rPr>
          <w:rFonts w:ascii="Verdana" w:hAnsi="Verdana"/>
          <w:spacing w:val="-4"/>
          <w:sz w:val="20"/>
          <w:szCs w:val="20"/>
          <w:lang w:val="es-MX"/>
        </w:rPr>
        <w:t xml:space="preserve">, </w:t>
      </w:r>
      <w:r w:rsidR="0054311C" w:rsidRPr="005A17C2">
        <w:rPr>
          <w:rFonts w:ascii="Verdana" w:hAnsi="Verdana"/>
          <w:spacing w:val="-4"/>
          <w:sz w:val="20"/>
          <w:szCs w:val="20"/>
          <w:lang w:val="es-MX"/>
        </w:rPr>
        <w:fldChar w:fldCharType="begin"/>
      </w:r>
      <w:r w:rsidR="0054311C" w:rsidRPr="005A17C2">
        <w:rPr>
          <w:rFonts w:ascii="Verdana" w:hAnsi="Verdana"/>
          <w:spacing w:val="-4"/>
          <w:sz w:val="20"/>
          <w:szCs w:val="20"/>
          <w:lang w:val="es-MX"/>
        </w:rPr>
        <w:instrText xml:space="preserve"> REF _Ref308998876 \r \h </w:instrText>
      </w:r>
      <w:r w:rsidR="00290A76" w:rsidRPr="005A17C2">
        <w:rPr>
          <w:rFonts w:ascii="Verdana" w:hAnsi="Verdana"/>
          <w:spacing w:val="-4"/>
          <w:sz w:val="20"/>
          <w:szCs w:val="20"/>
          <w:lang w:val="es-MX"/>
        </w:rPr>
        <w:instrText xml:space="preserve"> \* MERGEFORMAT </w:instrText>
      </w:r>
      <w:r w:rsidR="0054311C" w:rsidRPr="005A17C2">
        <w:rPr>
          <w:rFonts w:ascii="Verdana" w:hAnsi="Verdana"/>
          <w:spacing w:val="-4"/>
          <w:sz w:val="20"/>
          <w:szCs w:val="20"/>
          <w:lang w:val="es-MX"/>
        </w:rPr>
      </w:r>
      <w:r w:rsidR="0054311C" w:rsidRPr="005A17C2">
        <w:rPr>
          <w:rFonts w:ascii="Verdana" w:hAnsi="Verdana"/>
          <w:spacing w:val="-4"/>
          <w:sz w:val="20"/>
          <w:szCs w:val="20"/>
          <w:lang w:val="es-MX"/>
        </w:rPr>
        <w:fldChar w:fldCharType="separate"/>
      </w:r>
      <w:r w:rsidR="00820C73">
        <w:rPr>
          <w:rFonts w:ascii="Verdana" w:hAnsi="Verdana"/>
          <w:spacing w:val="-4"/>
          <w:sz w:val="20"/>
          <w:szCs w:val="20"/>
          <w:lang w:val="es-MX"/>
        </w:rPr>
        <w:t>17</w:t>
      </w:r>
      <w:r w:rsidR="0054311C" w:rsidRPr="005A17C2">
        <w:rPr>
          <w:rFonts w:ascii="Verdana" w:hAnsi="Verdana"/>
          <w:spacing w:val="-4"/>
          <w:sz w:val="20"/>
          <w:szCs w:val="20"/>
          <w:lang w:val="es-MX"/>
        </w:rPr>
        <w:fldChar w:fldCharType="end"/>
      </w:r>
      <w:r w:rsidR="0054311C" w:rsidRPr="005A17C2">
        <w:rPr>
          <w:rFonts w:ascii="Verdana" w:hAnsi="Verdana"/>
          <w:spacing w:val="-4"/>
          <w:sz w:val="20"/>
          <w:szCs w:val="20"/>
          <w:lang w:val="es-MX"/>
        </w:rPr>
        <w:t xml:space="preserve">, </w:t>
      </w:r>
      <w:r w:rsidR="0054311C" w:rsidRPr="005A17C2">
        <w:rPr>
          <w:rFonts w:ascii="Verdana" w:hAnsi="Verdana"/>
          <w:spacing w:val="-4"/>
          <w:sz w:val="20"/>
          <w:szCs w:val="20"/>
          <w:lang w:val="es-MX"/>
        </w:rPr>
        <w:fldChar w:fldCharType="begin"/>
      </w:r>
      <w:r w:rsidR="0054311C" w:rsidRPr="005A17C2">
        <w:rPr>
          <w:rFonts w:ascii="Verdana" w:hAnsi="Verdana"/>
          <w:spacing w:val="-4"/>
          <w:sz w:val="20"/>
          <w:szCs w:val="20"/>
          <w:lang w:val="es-MX"/>
        </w:rPr>
        <w:instrText xml:space="preserve"> REF _Ref308998891 \r \h </w:instrText>
      </w:r>
      <w:r w:rsidR="00290A76" w:rsidRPr="005A17C2">
        <w:rPr>
          <w:rFonts w:ascii="Verdana" w:hAnsi="Verdana"/>
          <w:spacing w:val="-4"/>
          <w:sz w:val="20"/>
          <w:szCs w:val="20"/>
          <w:lang w:val="es-MX"/>
        </w:rPr>
        <w:instrText xml:space="preserve"> \* MERGEFORMAT </w:instrText>
      </w:r>
      <w:r w:rsidR="0054311C" w:rsidRPr="005A17C2">
        <w:rPr>
          <w:rFonts w:ascii="Verdana" w:hAnsi="Verdana"/>
          <w:spacing w:val="-4"/>
          <w:sz w:val="20"/>
          <w:szCs w:val="20"/>
          <w:lang w:val="es-MX"/>
        </w:rPr>
      </w:r>
      <w:r w:rsidR="0054311C" w:rsidRPr="005A17C2">
        <w:rPr>
          <w:rFonts w:ascii="Verdana" w:hAnsi="Verdana"/>
          <w:spacing w:val="-4"/>
          <w:sz w:val="20"/>
          <w:szCs w:val="20"/>
          <w:lang w:val="es-MX"/>
        </w:rPr>
        <w:fldChar w:fldCharType="separate"/>
      </w:r>
      <w:r w:rsidR="00820C73">
        <w:rPr>
          <w:rFonts w:ascii="Verdana" w:hAnsi="Verdana"/>
          <w:spacing w:val="-4"/>
          <w:sz w:val="20"/>
          <w:szCs w:val="20"/>
          <w:lang w:val="es-MX"/>
        </w:rPr>
        <w:t>18</w:t>
      </w:r>
      <w:r w:rsidR="0054311C" w:rsidRPr="005A17C2">
        <w:rPr>
          <w:rFonts w:ascii="Verdana" w:hAnsi="Verdana"/>
          <w:spacing w:val="-4"/>
          <w:sz w:val="20"/>
          <w:szCs w:val="20"/>
          <w:lang w:val="es-MX"/>
        </w:rPr>
        <w:fldChar w:fldCharType="end"/>
      </w:r>
      <w:r w:rsidR="0054311C" w:rsidRPr="005A17C2">
        <w:rPr>
          <w:rFonts w:ascii="Verdana" w:hAnsi="Verdana"/>
          <w:spacing w:val="-4"/>
          <w:sz w:val="20"/>
          <w:szCs w:val="20"/>
          <w:lang w:val="es-MX"/>
        </w:rPr>
        <w:t xml:space="preserve">, </w:t>
      </w:r>
      <w:r w:rsidR="0054311C" w:rsidRPr="005A17C2">
        <w:rPr>
          <w:rFonts w:ascii="Verdana" w:hAnsi="Verdana"/>
          <w:spacing w:val="-4"/>
          <w:sz w:val="20"/>
          <w:szCs w:val="20"/>
          <w:lang w:val="es-MX"/>
        </w:rPr>
        <w:fldChar w:fldCharType="begin"/>
      </w:r>
      <w:r w:rsidR="0054311C" w:rsidRPr="005A17C2">
        <w:rPr>
          <w:rFonts w:ascii="Verdana" w:hAnsi="Verdana"/>
          <w:spacing w:val="-4"/>
          <w:sz w:val="20"/>
          <w:szCs w:val="20"/>
          <w:lang w:val="es-MX"/>
        </w:rPr>
        <w:instrText xml:space="preserve"> REF _Ref308998909 \r \h </w:instrText>
      </w:r>
      <w:r w:rsidR="00290A76" w:rsidRPr="005A17C2">
        <w:rPr>
          <w:rFonts w:ascii="Verdana" w:hAnsi="Verdana"/>
          <w:spacing w:val="-4"/>
          <w:sz w:val="20"/>
          <w:szCs w:val="20"/>
          <w:lang w:val="es-MX"/>
        </w:rPr>
        <w:instrText xml:space="preserve"> \* MERGEFORMAT </w:instrText>
      </w:r>
      <w:r w:rsidR="0054311C" w:rsidRPr="005A17C2">
        <w:rPr>
          <w:rFonts w:ascii="Verdana" w:hAnsi="Verdana"/>
          <w:spacing w:val="-4"/>
          <w:sz w:val="20"/>
          <w:szCs w:val="20"/>
          <w:lang w:val="es-MX"/>
        </w:rPr>
      </w:r>
      <w:r w:rsidR="0054311C" w:rsidRPr="005A17C2">
        <w:rPr>
          <w:rFonts w:ascii="Verdana" w:hAnsi="Verdana"/>
          <w:spacing w:val="-4"/>
          <w:sz w:val="20"/>
          <w:szCs w:val="20"/>
          <w:lang w:val="es-MX"/>
        </w:rPr>
        <w:fldChar w:fldCharType="separate"/>
      </w:r>
      <w:r w:rsidR="00820C73">
        <w:rPr>
          <w:rFonts w:ascii="Verdana" w:hAnsi="Verdana"/>
          <w:spacing w:val="-4"/>
          <w:sz w:val="20"/>
          <w:szCs w:val="20"/>
          <w:lang w:val="es-MX"/>
        </w:rPr>
        <w:t>19</w:t>
      </w:r>
      <w:r w:rsidR="0054311C" w:rsidRPr="005A17C2">
        <w:rPr>
          <w:rFonts w:ascii="Verdana" w:hAnsi="Verdana"/>
          <w:spacing w:val="-4"/>
          <w:sz w:val="20"/>
          <w:szCs w:val="20"/>
          <w:lang w:val="es-MX"/>
        </w:rPr>
        <w:fldChar w:fldCharType="end"/>
      </w:r>
      <w:r w:rsidR="0054311C" w:rsidRPr="005A17C2">
        <w:rPr>
          <w:rFonts w:ascii="Verdana" w:hAnsi="Verdana"/>
          <w:spacing w:val="-4"/>
          <w:sz w:val="20"/>
          <w:szCs w:val="20"/>
          <w:lang w:val="es-MX"/>
        </w:rPr>
        <w:t xml:space="preserve">, </w:t>
      </w:r>
      <w:r w:rsidR="0054311C" w:rsidRPr="005A17C2">
        <w:rPr>
          <w:rFonts w:ascii="Verdana" w:hAnsi="Verdana"/>
          <w:spacing w:val="-4"/>
          <w:sz w:val="20"/>
          <w:szCs w:val="20"/>
          <w:lang w:val="es-MX"/>
        </w:rPr>
        <w:fldChar w:fldCharType="begin"/>
      </w:r>
      <w:r w:rsidR="0054311C" w:rsidRPr="005A17C2">
        <w:rPr>
          <w:rFonts w:ascii="Verdana" w:hAnsi="Verdana"/>
          <w:spacing w:val="-4"/>
          <w:sz w:val="20"/>
          <w:szCs w:val="20"/>
          <w:lang w:val="es-MX"/>
        </w:rPr>
        <w:instrText xml:space="preserve"> REF _Ref308998927 \r \h </w:instrText>
      </w:r>
      <w:r w:rsidR="00290A76" w:rsidRPr="005A17C2">
        <w:rPr>
          <w:rFonts w:ascii="Verdana" w:hAnsi="Verdana"/>
          <w:spacing w:val="-4"/>
          <w:sz w:val="20"/>
          <w:szCs w:val="20"/>
          <w:lang w:val="es-MX"/>
        </w:rPr>
        <w:instrText xml:space="preserve"> \* MERGEFORMAT </w:instrText>
      </w:r>
      <w:r w:rsidR="0054311C" w:rsidRPr="005A17C2">
        <w:rPr>
          <w:rFonts w:ascii="Verdana" w:hAnsi="Verdana"/>
          <w:spacing w:val="-4"/>
          <w:sz w:val="20"/>
          <w:szCs w:val="20"/>
          <w:lang w:val="es-MX"/>
        </w:rPr>
      </w:r>
      <w:r w:rsidR="0054311C" w:rsidRPr="005A17C2">
        <w:rPr>
          <w:rFonts w:ascii="Verdana" w:hAnsi="Verdana"/>
          <w:spacing w:val="-4"/>
          <w:sz w:val="20"/>
          <w:szCs w:val="20"/>
          <w:lang w:val="es-MX"/>
        </w:rPr>
        <w:fldChar w:fldCharType="separate"/>
      </w:r>
      <w:r w:rsidR="00820C73">
        <w:rPr>
          <w:rFonts w:ascii="Verdana" w:hAnsi="Verdana"/>
          <w:spacing w:val="-4"/>
          <w:sz w:val="20"/>
          <w:szCs w:val="20"/>
          <w:lang w:val="es-MX"/>
        </w:rPr>
        <w:t>20</w:t>
      </w:r>
      <w:r w:rsidR="0054311C" w:rsidRPr="005A17C2">
        <w:rPr>
          <w:rFonts w:ascii="Verdana" w:hAnsi="Verdana"/>
          <w:spacing w:val="-4"/>
          <w:sz w:val="20"/>
          <w:szCs w:val="20"/>
          <w:lang w:val="es-MX"/>
        </w:rPr>
        <w:fldChar w:fldCharType="end"/>
      </w:r>
      <w:r w:rsidR="0054311C" w:rsidRPr="005A17C2">
        <w:rPr>
          <w:rFonts w:ascii="Verdana" w:hAnsi="Verdana"/>
          <w:spacing w:val="-4"/>
          <w:sz w:val="20"/>
          <w:szCs w:val="20"/>
          <w:lang w:val="es-MX"/>
        </w:rPr>
        <w:t xml:space="preserve">, </w:t>
      </w:r>
      <w:r w:rsidR="0054311C" w:rsidRPr="005A17C2">
        <w:rPr>
          <w:rFonts w:ascii="Verdana" w:hAnsi="Verdana"/>
          <w:spacing w:val="-4"/>
          <w:sz w:val="20"/>
          <w:szCs w:val="20"/>
          <w:lang w:val="es-MX"/>
        </w:rPr>
        <w:fldChar w:fldCharType="begin"/>
      </w:r>
      <w:r w:rsidR="0054311C" w:rsidRPr="005A17C2">
        <w:rPr>
          <w:rFonts w:ascii="Verdana" w:hAnsi="Verdana"/>
          <w:spacing w:val="-4"/>
          <w:sz w:val="20"/>
          <w:szCs w:val="20"/>
          <w:lang w:val="es-MX"/>
        </w:rPr>
        <w:instrText xml:space="preserve"> REF _Ref308998955 \r \h </w:instrText>
      </w:r>
      <w:r w:rsidR="00290A76" w:rsidRPr="005A17C2">
        <w:rPr>
          <w:rFonts w:ascii="Verdana" w:hAnsi="Verdana"/>
          <w:spacing w:val="-4"/>
          <w:sz w:val="20"/>
          <w:szCs w:val="20"/>
          <w:lang w:val="es-MX"/>
        </w:rPr>
        <w:instrText xml:space="preserve"> \* MERGEFORMAT </w:instrText>
      </w:r>
      <w:r w:rsidR="0054311C" w:rsidRPr="005A17C2">
        <w:rPr>
          <w:rFonts w:ascii="Verdana" w:hAnsi="Verdana"/>
          <w:spacing w:val="-4"/>
          <w:sz w:val="20"/>
          <w:szCs w:val="20"/>
          <w:lang w:val="es-MX"/>
        </w:rPr>
      </w:r>
      <w:r w:rsidR="0054311C" w:rsidRPr="005A17C2">
        <w:rPr>
          <w:rFonts w:ascii="Verdana" w:hAnsi="Verdana"/>
          <w:spacing w:val="-4"/>
          <w:sz w:val="20"/>
          <w:szCs w:val="20"/>
          <w:lang w:val="es-MX"/>
        </w:rPr>
        <w:fldChar w:fldCharType="separate"/>
      </w:r>
      <w:r w:rsidR="00820C73">
        <w:rPr>
          <w:rFonts w:ascii="Verdana" w:hAnsi="Verdana"/>
          <w:spacing w:val="-4"/>
          <w:sz w:val="20"/>
          <w:szCs w:val="20"/>
          <w:lang w:val="es-MX"/>
        </w:rPr>
        <w:t>31</w:t>
      </w:r>
      <w:r w:rsidR="0054311C" w:rsidRPr="005A17C2">
        <w:rPr>
          <w:rFonts w:ascii="Verdana" w:hAnsi="Verdana"/>
          <w:spacing w:val="-4"/>
          <w:sz w:val="20"/>
          <w:szCs w:val="20"/>
          <w:lang w:val="es-MX"/>
        </w:rPr>
        <w:fldChar w:fldCharType="end"/>
      </w:r>
      <w:r w:rsidR="0054311C" w:rsidRPr="005A17C2">
        <w:rPr>
          <w:rFonts w:ascii="Verdana" w:hAnsi="Verdana"/>
          <w:spacing w:val="-4"/>
          <w:sz w:val="20"/>
          <w:szCs w:val="20"/>
          <w:lang w:val="es-MX"/>
        </w:rPr>
        <w:t xml:space="preserve"> y </w:t>
      </w:r>
      <w:r w:rsidR="0054311C" w:rsidRPr="005A17C2">
        <w:rPr>
          <w:rFonts w:ascii="Verdana" w:hAnsi="Verdana"/>
          <w:spacing w:val="-4"/>
          <w:sz w:val="20"/>
          <w:szCs w:val="20"/>
          <w:lang w:val="es-MX"/>
        </w:rPr>
        <w:fldChar w:fldCharType="begin"/>
      </w:r>
      <w:r w:rsidR="0054311C" w:rsidRPr="005A17C2">
        <w:rPr>
          <w:rFonts w:ascii="Verdana" w:hAnsi="Verdana"/>
          <w:spacing w:val="-4"/>
          <w:sz w:val="20"/>
          <w:szCs w:val="20"/>
          <w:lang w:val="es-MX"/>
        </w:rPr>
        <w:instrText xml:space="preserve"> REF _Ref308998975 \r \h </w:instrText>
      </w:r>
      <w:r w:rsidR="00290A76" w:rsidRPr="005A17C2">
        <w:rPr>
          <w:rFonts w:ascii="Verdana" w:hAnsi="Verdana"/>
          <w:spacing w:val="-4"/>
          <w:sz w:val="20"/>
          <w:szCs w:val="20"/>
          <w:lang w:val="es-MX"/>
        </w:rPr>
        <w:instrText xml:space="preserve"> \* MERGEFORMAT </w:instrText>
      </w:r>
      <w:r w:rsidR="0054311C" w:rsidRPr="005A17C2">
        <w:rPr>
          <w:rFonts w:ascii="Verdana" w:hAnsi="Verdana"/>
          <w:spacing w:val="-4"/>
          <w:sz w:val="20"/>
          <w:szCs w:val="20"/>
          <w:lang w:val="es-MX"/>
        </w:rPr>
      </w:r>
      <w:r w:rsidR="0054311C" w:rsidRPr="005A17C2">
        <w:rPr>
          <w:rFonts w:ascii="Verdana" w:hAnsi="Verdana"/>
          <w:spacing w:val="-4"/>
          <w:sz w:val="20"/>
          <w:szCs w:val="20"/>
          <w:lang w:val="es-MX"/>
        </w:rPr>
        <w:fldChar w:fldCharType="separate"/>
      </w:r>
      <w:r w:rsidR="00820C73">
        <w:rPr>
          <w:rFonts w:ascii="Verdana" w:hAnsi="Verdana"/>
          <w:spacing w:val="-4"/>
          <w:sz w:val="20"/>
          <w:szCs w:val="20"/>
          <w:lang w:val="es-MX"/>
        </w:rPr>
        <w:t>36</w:t>
      </w:r>
      <w:r w:rsidR="0054311C" w:rsidRPr="005A17C2">
        <w:rPr>
          <w:rFonts w:ascii="Verdana" w:hAnsi="Verdana"/>
          <w:spacing w:val="-4"/>
          <w:sz w:val="20"/>
          <w:szCs w:val="20"/>
          <w:lang w:val="es-MX"/>
        </w:rPr>
        <w:fldChar w:fldCharType="end"/>
      </w:r>
      <w:r w:rsidR="003F262D" w:rsidRPr="005A17C2">
        <w:rPr>
          <w:rFonts w:ascii="Verdana" w:hAnsi="Verdana"/>
          <w:spacing w:val="-4"/>
          <w:sz w:val="20"/>
          <w:szCs w:val="20"/>
          <w:lang w:val="es-MX"/>
        </w:rPr>
        <w:t xml:space="preserve"> </w:t>
      </w:r>
      <w:r w:rsidR="00946143" w:rsidRPr="005A17C2">
        <w:rPr>
          <w:rFonts w:ascii="Verdana" w:hAnsi="Verdana"/>
          <w:spacing w:val="-4"/>
          <w:sz w:val="20"/>
          <w:szCs w:val="20"/>
          <w:lang w:val="es-MX"/>
        </w:rPr>
        <w:t xml:space="preserve">de la presente Resolución. </w:t>
      </w:r>
      <w:r w:rsidR="00946143" w:rsidRPr="005A17C2">
        <w:rPr>
          <w:rFonts w:ascii="Verdana" w:hAnsi="Verdana"/>
          <w:spacing w:val="-4"/>
          <w:sz w:val="20"/>
          <w:szCs w:val="20"/>
          <w:lang w:val="es-CR"/>
        </w:rPr>
        <w:t xml:space="preserve">Con posterioridad a la presentación de dicho informe, el Estado deberá continuar informando, cada </w:t>
      </w:r>
      <w:r w:rsidR="00F6126B" w:rsidRPr="005A17C2">
        <w:rPr>
          <w:rFonts w:ascii="Verdana" w:hAnsi="Verdana"/>
          <w:spacing w:val="-4"/>
          <w:sz w:val="20"/>
          <w:szCs w:val="20"/>
          <w:lang w:val="es-CR"/>
        </w:rPr>
        <w:t>cuatro</w:t>
      </w:r>
      <w:r w:rsidR="00946143" w:rsidRPr="005A17C2">
        <w:rPr>
          <w:rFonts w:ascii="Verdana" w:hAnsi="Verdana"/>
          <w:spacing w:val="-4"/>
          <w:sz w:val="20"/>
          <w:szCs w:val="20"/>
          <w:lang w:val="es-CR"/>
        </w:rPr>
        <w:t xml:space="preserve"> meses, sobre las medidas provisionales adoptadas de conformidad con esta decisión.</w:t>
      </w:r>
    </w:p>
    <w:p w14:paraId="4A2BC21F" w14:textId="77777777" w:rsidR="00193626" w:rsidRDefault="00193626" w:rsidP="00461C9F">
      <w:pPr>
        <w:spacing w:before="40" w:after="40"/>
        <w:ind w:right="-6"/>
        <w:jc w:val="both"/>
        <w:rPr>
          <w:rFonts w:ascii="Verdana" w:hAnsi="Verdana"/>
          <w:spacing w:val="-4"/>
          <w:sz w:val="20"/>
          <w:szCs w:val="20"/>
          <w:u w:val="single"/>
        </w:rPr>
      </w:pPr>
    </w:p>
    <w:p w14:paraId="6BEC6FA4" w14:textId="60D829FC" w:rsidR="00193626" w:rsidRPr="00193626" w:rsidRDefault="00193626" w:rsidP="00461C9F">
      <w:pPr>
        <w:numPr>
          <w:ilvl w:val="0"/>
          <w:numId w:val="20"/>
        </w:numPr>
        <w:spacing w:before="40" w:after="40"/>
        <w:ind w:right="-6"/>
        <w:jc w:val="both"/>
        <w:rPr>
          <w:rFonts w:ascii="Verdana" w:hAnsi="Verdana"/>
          <w:spacing w:val="-4"/>
          <w:sz w:val="20"/>
          <w:szCs w:val="20"/>
          <w:u w:val="single"/>
        </w:rPr>
      </w:pPr>
      <w:r w:rsidRPr="00193626">
        <w:rPr>
          <w:rFonts w:ascii="Verdana" w:eastAsia="Batang" w:hAnsi="Verdana"/>
          <w:spacing w:val="-4"/>
          <w:sz w:val="20"/>
          <w:szCs w:val="20"/>
          <w:lang w:val="es-CR"/>
        </w:rPr>
        <w:t xml:space="preserve">Requerir a los representantes de </w:t>
      </w:r>
      <w:r w:rsidR="00010070" w:rsidRPr="00193626">
        <w:rPr>
          <w:rFonts w:ascii="Verdana" w:eastAsia="Batang" w:hAnsi="Verdana"/>
          <w:spacing w:val="-4"/>
          <w:sz w:val="20"/>
          <w:szCs w:val="20"/>
          <w:lang w:val="es-CR"/>
        </w:rPr>
        <w:t>l</w:t>
      </w:r>
      <w:r w:rsidR="00010070">
        <w:rPr>
          <w:rFonts w:ascii="Verdana" w:eastAsia="Batang" w:hAnsi="Verdana"/>
          <w:spacing w:val="-4"/>
          <w:sz w:val="20"/>
          <w:szCs w:val="20"/>
          <w:lang w:val="es-CR"/>
        </w:rPr>
        <w:t>o</w:t>
      </w:r>
      <w:r w:rsidR="00010070" w:rsidRPr="00193626">
        <w:rPr>
          <w:rFonts w:ascii="Verdana" w:eastAsia="Batang" w:hAnsi="Verdana"/>
          <w:spacing w:val="-4"/>
          <w:sz w:val="20"/>
          <w:szCs w:val="20"/>
          <w:lang w:val="es-CR"/>
        </w:rPr>
        <w:t>s beneficiari</w:t>
      </w:r>
      <w:r w:rsidR="00010070">
        <w:rPr>
          <w:rFonts w:ascii="Verdana" w:eastAsia="Batang" w:hAnsi="Verdana"/>
          <w:spacing w:val="-4"/>
          <w:sz w:val="20"/>
          <w:szCs w:val="20"/>
          <w:lang w:val="es-CR"/>
        </w:rPr>
        <w:t>o</w:t>
      </w:r>
      <w:r w:rsidR="00010070" w:rsidRPr="00193626">
        <w:rPr>
          <w:rFonts w:ascii="Verdana" w:eastAsia="Batang" w:hAnsi="Verdana"/>
          <w:spacing w:val="-4"/>
          <w:sz w:val="20"/>
          <w:szCs w:val="20"/>
          <w:lang w:val="es-CR"/>
        </w:rPr>
        <w:t xml:space="preserve">s </w:t>
      </w:r>
      <w:r w:rsidRPr="00193626">
        <w:rPr>
          <w:rFonts w:ascii="Verdana" w:eastAsia="Batang" w:hAnsi="Verdana"/>
          <w:spacing w:val="-4"/>
          <w:sz w:val="20"/>
          <w:szCs w:val="20"/>
          <w:lang w:val="es-CR"/>
        </w:rPr>
        <w:t xml:space="preserve">que, en un plazo de cuatro semanas, contado a partir de la recepción de los informes estatales, presenten sus observaciones a los mismos, así como remitan la información solicitada en los Considerandos </w:t>
      </w:r>
      <w:r w:rsidRPr="00193626">
        <w:rPr>
          <w:rFonts w:ascii="Verdana" w:eastAsia="Batang" w:hAnsi="Verdana"/>
          <w:spacing w:val="-4"/>
          <w:sz w:val="20"/>
          <w:szCs w:val="20"/>
          <w:lang w:val="es-MX"/>
        </w:rPr>
        <w:fldChar w:fldCharType="begin"/>
      </w:r>
      <w:r w:rsidRPr="00193626">
        <w:rPr>
          <w:rFonts w:ascii="Verdana" w:eastAsia="Batang" w:hAnsi="Verdana"/>
          <w:spacing w:val="-4"/>
          <w:sz w:val="20"/>
          <w:szCs w:val="20"/>
          <w:lang w:val="es-MX"/>
        </w:rPr>
        <w:instrText xml:space="preserve"> REF _Ref308998909 \r \h  \* MERGEFORMAT </w:instrText>
      </w:r>
      <w:r w:rsidRPr="00193626">
        <w:rPr>
          <w:rFonts w:ascii="Verdana" w:eastAsia="Batang" w:hAnsi="Verdana"/>
          <w:spacing w:val="-4"/>
          <w:sz w:val="20"/>
          <w:szCs w:val="20"/>
          <w:lang w:val="es-MX"/>
        </w:rPr>
      </w:r>
      <w:r w:rsidRPr="00193626">
        <w:rPr>
          <w:rFonts w:ascii="Verdana" w:eastAsia="Batang" w:hAnsi="Verdana"/>
          <w:spacing w:val="-4"/>
          <w:sz w:val="20"/>
          <w:szCs w:val="20"/>
          <w:lang w:val="es-MX"/>
        </w:rPr>
        <w:fldChar w:fldCharType="separate"/>
      </w:r>
      <w:r w:rsidR="00820C73">
        <w:rPr>
          <w:rFonts w:ascii="Verdana" w:eastAsia="Batang" w:hAnsi="Verdana"/>
          <w:spacing w:val="-4"/>
          <w:sz w:val="20"/>
          <w:szCs w:val="20"/>
          <w:lang w:val="es-MX"/>
        </w:rPr>
        <w:t>19</w:t>
      </w:r>
      <w:r w:rsidRPr="00193626">
        <w:rPr>
          <w:rFonts w:ascii="Verdana" w:eastAsia="Batang" w:hAnsi="Verdana"/>
          <w:spacing w:val="-4"/>
          <w:sz w:val="20"/>
          <w:szCs w:val="20"/>
          <w:lang w:val="es-CR"/>
        </w:rPr>
        <w:fldChar w:fldCharType="end"/>
      </w:r>
      <w:r w:rsidRPr="00193626">
        <w:rPr>
          <w:rFonts w:ascii="Verdana" w:eastAsia="Batang" w:hAnsi="Verdana"/>
          <w:spacing w:val="-4"/>
          <w:sz w:val="20"/>
          <w:szCs w:val="20"/>
          <w:lang w:val="es-MX"/>
        </w:rPr>
        <w:t>,</w:t>
      </w:r>
      <w:r w:rsidRPr="00193626">
        <w:rPr>
          <w:rFonts w:ascii="Verdana" w:eastAsia="Batang" w:hAnsi="Verdana"/>
          <w:spacing w:val="-4"/>
          <w:sz w:val="20"/>
          <w:szCs w:val="20"/>
          <w:lang w:val="es-CR"/>
        </w:rPr>
        <w:t xml:space="preserve"> </w:t>
      </w:r>
      <w:r w:rsidRPr="00193626">
        <w:rPr>
          <w:rFonts w:ascii="Verdana" w:eastAsia="Batang" w:hAnsi="Verdana"/>
          <w:spacing w:val="-4"/>
          <w:sz w:val="20"/>
          <w:szCs w:val="20"/>
          <w:lang w:val="es-MX"/>
        </w:rPr>
        <w:fldChar w:fldCharType="begin"/>
      </w:r>
      <w:r w:rsidRPr="00193626">
        <w:rPr>
          <w:rFonts w:ascii="Verdana" w:eastAsia="Batang" w:hAnsi="Verdana"/>
          <w:spacing w:val="-4"/>
          <w:sz w:val="20"/>
          <w:szCs w:val="20"/>
          <w:lang w:val="es-MX"/>
        </w:rPr>
        <w:instrText xml:space="preserve"> REF _Ref308998927 \r \h  \* MERGEFORMAT </w:instrText>
      </w:r>
      <w:r w:rsidRPr="00193626">
        <w:rPr>
          <w:rFonts w:ascii="Verdana" w:eastAsia="Batang" w:hAnsi="Verdana"/>
          <w:spacing w:val="-4"/>
          <w:sz w:val="20"/>
          <w:szCs w:val="20"/>
          <w:lang w:val="es-MX"/>
        </w:rPr>
      </w:r>
      <w:r w:rsidRPr="00193626">
        <w:rPr>
          <w:rFonts w:ascii="Verdana" w:eastAsia="Batang" w:hAnsi="Verdana"/>
          <w:spacing w:val="-4"/>
          <w:sz w:val="20"/>
          <w:szCs w:val="20"/>
          <w:lang w:val="es-MX"/>
        </w:rPr>
        <w:fldChar w:fldCharType="separate"/>
      </w:r>
      <w:r w:rsidR="00820C73">
        <w:rPr>
          <w:rFonts w:ascii="Verdana" w:eastAsia="Batang" w:hAnsi="Verdana"/>
          <w:spacing w:val="-4"/>
          <w:sz w:val="20"/>
          <w:szCs w:val="20"/>
          <w:lang w:val="es-MX"/>
        </w:rPr>
        <w:t>20</w:t>
      </w:r>
      <w:r w:rsidRPr="00193626">
        <w:rPr>
          <w:rFonts w:ascii="Verdana" w:eastAsia="Batang" w:hAnsi="Verdana"/>
          <w:spacing w:val="-4"/>
          <w:sz w:val="20"/>
          <w:szCs w:val="20"/>
          <w:lang w:val="es-CR"/>
        </w:rPr>
        <w:fldChar w:fldCharType="end"/>
      </w:r>
      <w:r w:rsidRPr="00193626">
        <w:rPr>
          <w:rFonts w:ascii="Verdana" w:eastAsia="Batang" w:hAnsi="Verdana"/>
          <w:spacing w:val="-4"/>
          <w:sz w:val="20"/>
          <w:szCs w:val="20"/>
          <w:lang w:val="es-MX"/>
        </w:rPr>
        <w:t>,</w:t>
      </w:r>
      <w:r w:rsidRPr="00193626">
        <w:rPr>
          <w:rFonts w:ascii="Verdana" w:eastAsia="Batang" w:hAnsi="Verdana"/>
          <w:spacing w:val="-4"/>
          <w:sz w:val="20"/>
          <w:szCs w:val="20"/>
          <w:lang w:val="es-CR"/>
        </w:rPr>
        <w:t xml:space="preserve"> </w:t>
      </w:r>
      <w:r w:rsidRPr="00193626">
        <w:rPr>
          <w:rFonts w:ascii="Verdana" w:eastAsia="Batang" w:hAnsi="Verdana"/>
          <w:spacing w:val="-4"/>
          <w:sz w:val="20"/>
          <w:szCs w:val="20"/>
          <w:lang w:val="es-CR"/>
        </w:rPr>
        <w:fldChar w:fldCharType="begin"/>
      </w:r>
      <w:r w:rsidRPr="00193626">
        <w:rPr>
          <w:rFonts w:ascii="Verdana" w:eastAsia="Batang" w:hAnsi="Verdana"/>
          <w:spacing w:val="-4"/>
          <w:sz w:val="20"/>
          <w:szCs w:val="20"/>
          <w:lang w:val="es-CR"/>
        </w:rPr>
        <w:instrText xml:space="preserve"> REF _Ref308998955 \r \h  \* MERGEFORMAT </w:instrText>
      </w:r>
      <w:r w:rsidRPr="00193626">
        <w:rPr>
          <w:rFonts w:ascii="Verdana" w:eastAsia="Batang" w:hAnsi="Verdana"/>
          <w:spacing w:val="-4"/>
          <w:sz w:val="20"/>
          <w:szCs w:val="20"/>
          <w:lang w:val="es-CR"/>
        </w:rPr>
      </w:r>
      <w:r w:rsidRPr="00193626">
        <w:rPr>
          <w:rFonts w:ascii="Verdana" w:eastAsia="Batang" w:hAnsi="Verdana"/>
          <w:spacing w:val="-4"/>
          <w:sz w:val="20"/>
          <w:szCs w:val="20"/>
          <w:lang w:val="es-CR"/>
        </w:rPr>
        <w:fldChar w:fldCharType="separate"/>
      </w:r>
      <w:r w:rsidR="00820C73">
        <w:rPr>
          <w:rFonts w:ascii="Verdana" w:eastAsia="Batang" w:hAnsi="Verdana"/>
          <w:spacing w:val="-4"/>
          <w:sz w:val="20"/>
          <w:szCs w:val="20"/>
          <w:lang w:val="es-CR"/>
        </w:rPr>
        <w:t>31</w:t>
      </w:r>
      <w:r w:rsidRPr="00193626">
        <w:rPr>
          <w:rFonts w:ascii="Verdana" w:eastAsia="Batang" w:hAnsi="Verdana"/>
          <w:spacing w:val="-4"/>
          <w:sz w:val="20"/>
          <w:szCs w:val="20"/>
          <w:lang w:val="es-CR"/>
        </w:rPr>
        <w:fldChar w:fldCharType="end"/>
      </w:r>
      <w:r w:rsidRPr="00193626">
        <w:rPr>
          <w:rFonts w:ascii="Verdana" w:eastAsia="Batang" w:hAnsi="Verdana"/>
          <w:spacing w:val="-4"/>
          <w:sz w:val="20"/>
          <w:szCs w:val="20"/>
          <w:lang w:val="es-CR"/>
        </w:rPr>
        <w:t xml:space="preserve"> y </w:t>
      </w:r>
      <w:r w:rsidRPr="00193626">
        <w:rPr>
          <w:rFonts w:ascii="Verdana" w:eastAsia="Batang" w:hAnsi="Verdana"/>
          <w:spacing w:val="-4"/>
          <w:sz w:val="20"/>
          <w:szCs w:val="20"/>
          <w:lang w:val="es-CR"/>
        </w:rPr>
        <w:fldChar w:fldCharType="begin"/>
      </w:r>
      <w:r w:rsidRPr="00193626">
        <w:rPr>
          <w:rFonts w:ascii="Verdana" w:eastAsia="Batang" w:hAnsi="Verdana"/>
          <w:spacing w:val="-4"/>
          <w:sz w:val="20"/>
          <w:szCs w:val="20"/>
          <w:lang w:val="es-CR"/>
        </w:rPr>
        <w:instrText xml:space="preserve"> REF _Ref308998975 \r \h  \* MERGEFORMAT </w:instrText>
      </w:r>
      <w:r w:rsidRPr="00193626">
        <w:rPr>
          <w:rFonts w:ascii="Verdana" w:eastAsia="Batang" w:hAnsi="Verdana"/>
          <w:spacing w:val="-4"/>
          <w:sz w:val="20"/>
          <w:szCs w:val="20"/>
          <w:lang w:val="es-CR"/>
        </w:rPr>
      </w:r>
      <w:r w:rsidRPr="00193626">
        <w:rPr>
          <w:rFonts w:ascii="Verdana" w:eastAsia="Batang" w:hAnsi="Verdana"/>
          <w:spacing w:val="-4"/>
          <w:sz w:val="20"/>
          <w:szCs w:val="20"/>
          <w:lang w:val="es-CR"/>
        </w:rPr>
        <w:fldChar w:fldCharType="separate"/>
      </w:r>
      <w:r w:rsidR="00820C73">
        <w:rPr>
          <w:rFonts w:ascii="Verdana" w:eastAsia="Batang" w:hAnsi="Verdana"/>
          <w:spacing w:val="-4"/>
          <w:sz w:val="20"/>
          <w:szCs w:val="20"/>
          <w:lang w:val="es-CR"/>
        </w:rPr>
        <w:t>36</w:t>
      </w:r>
      <w:r w:rsidRPr="00193626">
        <w:rPr>
          <w:rFonts w:ascii="Verdana" w:eastAsia="Batang" w:hAnsi="Verdana"/>
          <w:spacing w:val="-4"/>
          <w:sz w:val="20"/>
          <w:szCs w:val="20"/>
          <w:lang w:val="es-CR"/>
        </w:rPr>
        <w:fldChar w:fldCharType="end"/>
      </w:r>
      <w:r>
        <w:rPr>
          <w:rFonts w:ascii="Verdana" w:eastAsia="Batang" w:hAnsi="Verdana"/>
          <w:spacing w:val="-4"/>
          <w:sz w:val="20"/>
          <w:szCs w:val="20"/>
          <w:lang w:val="es-CR"/>
        </w:rPr>
        <w:t xml:space="preserve"> </w:t>
      </w:r>
      <w:r w:rsidRPr="00193626">
        <w:rPr>
          <w:rFonts w:ascii="Verdana" w:eastAsia="Batang" w:hAnsi="Verdana"/>
          <w:spacing w:val="-4"/>
          <w:sz w:val="20"/>
          <w:szCs w:val="20"/>
          <w:lang w:val="es-CR"/>
        </w:rPr>
        <w:t>de la presente Resolución.</w:t>
      </w:r>
    </w:p>
    <w:p w14:paraId="0D2E48A9" w14:textId="77777777" w:rsidR="00990439" w:rsidRPr="005A17C2" w:rsidRDefault="00990439" w:rsidP="00461C9F">
      <w:pPr>
        <w:pStyle w:val="ParaAttribute3"/>
        <w:spacing w:before="40" w:after="40"/>
        <w:rPr>
          <w:rFonts w:ascii="Verdana" w:hAnsi="Verdana" w:cs="Helvetica"/>
          <w:spacing w:val="-4"/>
          <w:lang w:val="es-CR" w:bidi="en-US"/>
        </w:rPr>
      </w:pPr>
    </w:p>
    <w:p w14:paraId="43A62DF9" w14:textId="31B017D2" w:rsidR="003B37C6" w:rsidRPr="005A17C2" w:rsidRDefault="00990439" w:rsidP="00461C9F">
      <w:pPr>
        <w:pStyle w:val="ColorfulList-Accent11"/>
        <w:numPr>
          <w:ilvl w:val="0"/>
          <w:numId w:val="20"/>
        </w:numPr>
        <w:spacing w:before="40" w:after="40"/>
        <w:contextualSpacing w:val="0"/>
        <w:jc w:val="both"/>
        <w:rPr>
          <w:rFonts w:ascii="Verdana" w:hAnsi="Verdana"/>
          <w:spacing w:val="-4"/>
          <w:sz w:val="20"/>
          <w:szCs w:val="20"/>
          <w:lang w:val="es-MX"/>
        </w:rPr>
      </w:pPr>
      <w:r w:rsidRPr="005A17C2">
        <w:rPr>
          <w:rFonts w:ascii="Verdana" w:hAnsi="Verdana"/>
          <w:spacing w:val="-4"/>
          <w:sz w:val="20"/>
          <w:szCs w:val="20"/>
        </w:rPr>
        <w:t xml:space="preserve">Requerir a la Comisión Interamericana de Derechos Humanos que presente las observaciones que estime pertinentes </w:t>
      </w:r>
      <w:r w:rsidR="00F6126B" w:rsidRPr="005A17C2">
        <w:rPr>
          <w:rFonts w:ascii="Verdana" w:hAnsi="Verdana"/>
          <w:spacing w:val="-4"/>
          <w:sz w:val="20"/>
          <w:szCs w:val="20"/>
        </w:rPr>
        <w:t xml:space="preserve">a los informes estatales </w:t>
      </w:r>
      <w:r w:rsidRPr="005A17C2">
        <w:rPr>
          <w:rFonts w:ascii="Verdana" w:hAnsi="Verdana"/>
          <w:spacing w:val="-4"/>
          <w:sz w:val="20"/>
          <w:szCs w:val="20"/>
        </w:rPr>
        <w:t>y a las correspondientes observaciones de los representantes de l</w:t>
      </w:r>
      <w:r w:rsidR="003F71ED">
        <w:rPr>
          <w:rFonts w:ascii="Verdana" w:hAnsi="Verdana"/>
          <w:spacing w:val="-4"/>
          <w:sz w:val="20"/>
          <w:szCs w:val="20"/>
        </w:rPr>
        <w:t>o</w:t>
      </w:r>
      <w:r w:rsidRPr="005A17C2">
        <w:rPr>
          <w:rFonts w:ascii="Verdana" w:hAnsi="Verdana"/>
          <w:spacing w:val="-4"/>
          <w:sz w:val="20"/>
          <w:szCs w:val="20"/>
        </w:rPr>
        <w:t>s beneficiari</w:t>
      </w:r>
      <w:r w:rsidR="003F71ED">
        <w:rPr>
          <w:rFonts w:ascii="Verdana" w:hAnsi="Verdana"/>
          <w:spacing w:val="-4"/>
          <w:sz w:val="20"/>
          <w:szCs w:val="20"/>
        </w:rPr>
        <w:t>o</w:t>
      </w:r>
      <w:r w:rsidRPr="005A17C2">
        <w:rPr>
          <w:rFonts w:ascii="Verdana" w:hAnsi="Verdana"/>
          <w:spacing w:val="-4"/>
          <w:sz w:val="20"/>
          <w:szCs w:val="20"/>
        </w:rPr>
        <w:t xml:space="preserve">s dentro de un plazo de dos semanas, contado a partir de la recepción de las referidas observaciones de los representantes. </w:t>
      </w:r>
    </w:p>
    <w:p w14:paraId="593E743C" w14:textId="77777777" w:rsidR="00990439" w:rsidRPr="005A17C2" w:rsidRDefault="00990439" w:rsidP="00461C9F">
      <w:pPr>
        <w:pStyle w:val="ColorfulList-Accent11"/>
        <w:spacing w:before="40" w:after="40"/>
        <w:ind w:left="0"/>
        <w:contextualSpacing w:val="0"/>
        <w:jc w:val="both"/>
        <w:rPr>
          <w:rFonts w:ascii="Verdana" w:hAnsi="Verdana"/>
          <w:spacing w:val="-4"/>
          <w:sz w:val="20"/>
          <w:szCs w:val="20"/>
          <w:lang w:val="es-MX"/>
        </w:rPr>
      </w:pPr>
    </w:p>
    <w:p w14:paraId="4BFE0646" w14:textId="2BCB5887" w:rsidR="00820C73" w:rsidRDefault="0084409A" w:rsidP="00461C9F">
      <w:pPr>
        <w:pStyle w:val="ColorfulList-Accent11"/>
        <w:numPr>
          <w:ilvl w:val="0"/>
          <w:numId w:val="20"/>
        </w:numPr>
        <w:spacing w:before="40" w:after="40"/>
        <w:contextualSpacing w:val="0"/>
        <w:jc w:val="both"/>
        <w:rPr>
          <w:rFonts w:ascii="Verdana" w:hAnsi="Verdana"/>
          <w:spacing w:val="-4"/>
          <w:sz w:val="20"/>
          <w:szCs w:val="20"/>
          <w:lang w:val="es-MX"/>
        </w:rPr>
      </w:pPr>
      <w:r w:rsidRPr="005A17C2">
        <w:rPr>
          <w:rFonts w:ascii="Verdana" w:hAnsi="Verdana"/>
          <w:spacing w:val="-4"/>
          <w:sz w:val="20"/>
          <w:szCs w:val="20"/>
          <w:lang w:val="es-MX"/>
        </w:rPr>
        <w:t>Disponer que la Secretaría notifique la presente Resolución al Estado</w:t>
      </w:r>
      <w:r w:rsidR="00E122F3" w:rsidRPr="005A17C2">
        <w:rPr>
          <w:rFonts w:ascii="Verdana" w:hAnsi="Verdana"/>
          <w:spacing w:val="-4"/>
          <w:sz w:val="20"/>
          <w:szCs w:val="20"/>
          <w:lang w:val="es-MX"/>
        </w:rPr>
        <w:t xml:space="preserve"> de México</w:t>
      </w:r>
      <w:r w:rsidRPr="005A17C2">
        <w:rPr>
          <w:rFonts w:ascii="Verdana" w:hAnsi="Verdana"/>
          <w:spacing w:val="-4"/>
          <w:sz w:val="20"/>
          <w:szCs w:val="20"/>
          <w:lang w:val="es-MX"/>
        </w:rPr>
        <w:t>,</w:t>
      </w:r>
      <w:r w:rsidR="00E122F3" w:rsidRPr="005A17C2">
        <w:rPr>
          <w:rFonts w:ascii="Verdana" w:hAnsi="Verdana"/>
          <w:spacing w:val="-4"/>
          <w:sz w:val="20"/>
          <w:szCs w:val="20"/>
          <w:lang w:val="es-MX"/>
        </w:rPr>
        <w:t xml:space="preserve"> a los representantes de l</w:t>
      </w:r>
      <w:r w:rsidR="003F71ED">
        <w:rPr>
          <w:rFonts w:ascii="Verdana" w:hAnsi="Verdana"/>
          <w:spacing w:val="-4"/>
          <w:sz w:val="20"/>
          <w:szCs w:val="20"/>
          <w:lang w:val="es-MX"/>
        </w:rPr>
        <w:t>o</w:t>
      </w:r>
      <w:r w:rsidR="00E122F3" w:rsidRPr="005A17C2">
        <w:rPr>
          <w:rFonts w:ascii="Verdana" w:hAnsi="Verdana"/>
          <w:spacing w:val="-4"/>
          <w:sz w:val="20"/>
          <w:szCs w:val="20"/>
          <w:lang w:val="es-MX"/>
        </w:rPr>
        <w:t>s beneficiari</w:t>
      </w:r>
      <w:r w:rsidR="003F71ED">
        <w:rPr>
          <w:rFonts w:ascii="Verdana" w:hAnsi="Verdana"/>
          <w:spacing w:val="-4"/>
          <w:sz w:val="20"/>
          <w:szCs w:val="20"/>
          <w:lang w:val="es-MX"/>
        </w:rPr>
        <w:t>o</w:t>
      </w:r>
      <w:r w:rsidR="00E122F3" w:rsidRPr="005A17C2">
        <w:rPr>
          <w:rFonts w:ascii="Verdana" w:hAnsi="Verdana"/>
          <w:spacing w:val="-4"/>
          <w:sz w:val="20"/>
          <w:szCs w:val="20"/>
          <w:lang w:val="es-MX"/>
        </w:rPr>
        <w:t>s y</w:t>
      </w:r>
      <w:r w:rsidRPr="005A17C2">
        <w:rPr>
          <w:rFonts w:ascii="Verdana" w:hAnsi="Verdana"/>
          <w:spacing w:val="-4"/>
          <w:sz w:val="20"/>
          <w:szCs w:val="20"/>
          <w:lang w:val="es-MX"/>
        </w:rPr>
        <w:t xml:space="preserve"> a la</w:t>
      </w:r>
      <w:r w:rsidR="003B37C6" w:rsidRPr="005A17C2">
        <w:rPr>
          <w:rFonts w:ascii="Verdana" w:hAnsi="Verdana"/>
          <w:spacing w:val="-4"/>
          <w:sz w:val="20"/>
          <w:szCs w:val="20"/>
          <w:lang w:val="es-MX"/>
        </w:rPr>
        <w:t xml:space="preserve"> </w:t>
      </w:r>
      <w:r w:rsidRPr="005A17C2">
        <w:rPr>
          <w:rFonts w:ascii="Verdana" w:hAnsi="Verdana"/>
          <w:spacing w:val="-4"/>
          <w:sz w:val="20"/>
          <w:szCs w:val="20"/>
          <w:lang w:val="es-MX"/>
        </w:rPr>
        <w:t xml:space="preserve">Comisión Interamericana </w:t>
      </w:r>
      <w:r w:rsidR="00E122F3" w:rsidRPr="005A17C2">
        <w:rPr>
          <w:rFonts w:ascii="Verdana" w:hAnsi="Verdana"/>
          <w:spacing w:val="-4"/>
          <w:sz w:val="20"/>
          <w:szCs w:val="20"/>
          <w:lang w:val="es-MX"/>
        </w:rPr>
        <w:t>de Derechos Humanos</w:t>
      </w:r>
      <w:r w:rsidRPr="005A17C2">
        <w:rPr>
          <w:rFonts w:ascii="Verdana" w:hAnsi="Verdana"/>
          <w:spacing w:val="-4"/>
          <w:sz w:val="20"/>
          <w:szCs w:val="20"/>
          <w:lang w:val="es-MX"/>
        </w:rPr>
        <w:t>.</w:t>
      </w:r>
    </w:p>
    <w:p w14:paraId="330FEFD0" w14:textId="6D714FF8" w:rsidR="00820C73" w:rsidRDefault="00820C73">
      <w:pPr>
        <w:rPr>
          <w:rFonts w:ascii="Verdana" w:hAnsi="Verdana"/>
          <w:spacing w:val="-4"/>
          <w:sz w:val="20"/>
          <w:szCs w:val="20"/>
          <w:lang w:val="es-MX"/>
        </w:rPr>
      </w:pPr>
    </w:p>
    <w:p w14:paraId="056FBDF5" w14:textId="77777777" w:rsidR="00820C73" w:rsidRPr="008C6E98" w:rsidRDefault="00820C73" w:rsidP="00820C73">
      <w:pPr>
        <w:keepNext/>
        <w:jc w:val="both"/>
        <w:outlineLvl w:val="0"/>
        <w:rPr>
          <w:rFonts w:ascii="Verdana" w:hAnsi="Verdana"/>
          <w:sz w:val="20"/>
          <w:lang w:val="es-CR"/>
        </w:rPr>
      </w:pPr>
      <w:r>
        <w:rPr>
          <w:rFonts w:ascii="Verdana" w:hAnsi="Verdana"/>
          <w:sz w:val="20"/>
          <w:lang w:val="es-ES"/>
        </w:rPr>
        <w:t>Resolución</w:t>
      </w:r>
      <w:r w:rsidRPr="008C6E98">
        <w:rPr>
          <w:rFonts w:ascii="Verdana" w:hAnsi="Verdana"/>
          <w:sz w:val="20"/>
          <w:lang w:val="es-ES"/>
        </w:rPr>
        <w:t xml:space="preserve"> de la Corte Interamericana de Derechos Humanos. </w:t>
      </w:r>
      <w:r>
        <w:rPr>
          <w:rFonts w:ascii="Verdana" w:hAnsi="Verdana"/>
          <w:sz w:val="20"/>
          <w:lang w:val="es-CR"/>
        </w:rPr>
        <w:t xml:space="preserve">Caso Fernández Ortega y otros. </w:t>
      </w:r>
      <w:r>
        <w:rPr>
          <w:rFonts w:ascii="Verdana" w:hAnsi="Verdana"/>
          <w:snapToGrid w:val="0"/>
          <w:sz w:val="20"/>
          <w:lang w:val="es-CR"/>
        </w:rPr>
        <w:t>Medidas Provisionales respecto de México.</w:t>
      </w:r>
    </w:p>
    <w:p w14:paraId="2AD706BE" w14:textId="77777777" w:rsidR="00820C73" w:rsidRDefault="00820C73" w:rsidP="00820C73">
      <w:pPr>
        <w:jc w:val="center"/>
        <w:rPr>
          <w:rFonts w:ascii="Verdana" w:hAnsi="Verdana"/>
          <w:sz w:val="20"/>
          <w:lang w:val="es-ES"/>
        </w:rPr>
      </w:pPr>
    </w:p>
    <w:p w14:paraId="162A7D58" w14:textId="77777777" w:rsidR="00820C73" w:rsidRDefault="00820C73" w:rsidP="00820C73">
      <w:pPr>
        <w:jc w:val="center"/>
        <w:rPr>
          <w:rFonts w:ascii="Verdana" w:hAnsi="Verdana"/>
          <w:sz w:val="20"/>
          <w:lang w:val="es-ES"/>
        </w:rPr>
      </w:pPr>
    </w:p>
    <w:p w14:paraId="77175608" w14:textId="77777777" w:rsidR="00820C73" w:rsidRDefault="00820C73" w:rsidP="00820C73">
      <w:pPr>
        <w:jc w:val="center"/>
        <w:rPr>
          <w:rFonts w:ascii="Verdana" w:hAnsi="Verdana"/>
          <w:sz w:val="20"/>
          <w:lang w:val="es-ES"/>
        </w:rPr>
      </w:pPr>
    </w:p>
    <w:p w14:paraId="554C7288" w14:textId="77777777" w:rsidR="00820C73" w:rsidRDefault="00820C73" w:rsidP="00820C73">
      <w:pPr>
        <w:jc w:val="center"/>
        <w:rPr>
          <w:rFonts w:ascii="Verdana" w:hAnsi="Verdana"/>
          <w:sz w:val="20"/>
          <w:lang w:val="es-ES"/>
        </w:rPr>
      </w:pPr>
    </w:p>
    <w:p w14:paraId="70D2AE62" w14:textId="77777777" w:rsidR="00820C73" w:rsidRDefault="00820C73" w:rsidP="00820C73">
      <w:pPr>
        <w:jc w:val="center"/>
        <w:rPr>
          <w:rFonts w:ascii="Verdana" w:hAnsi="Verdana"/>
          <w:sz w:val="20"/>
          <w:lang w:val="es-ES"/>
        </w:rPr>
      </w:pPr>
    </w:p>
    <w:p w14:paraId="5D78E3C8" w14:textId="77777777" w:rsidR="00820C73" w:rsidRPr="004B7A1D" w:rsidRDefault="00820C73" w:rsidP="00820C73">
      <w:pPr>
        <w:jc w:val="center"/>
        <w:rPr>
          <w:rFonts w:ascii="Verdana" w:hAnsi="Verdana"/>
          <w:sz w:val="20"/>
          <w:lang w:val="es-ES"/>
        </w:rPr>
      </w:pPr>
      <w:r>
        <w:rPr>
          <w:rFonts w:ascii="Verdana" w:hAnsi="Verdana"/>
          <w:sz w:val="20"/>
          <w:lang w:val="es-ES"/>
        </w:rPr>
        <w:t>Roberto F. Caldas</w:t>
      </w:r>
    </w:p>
    <w:p w14:paraId="01C74501" w14:textId="77777777" w:rsidR="00820C73" w:rsidRPr="004B7A1D" w:rsidRDefault="00820C73" w:rsidP="00820C73">
      <w:pPr>
        <w:jc w:val="center"/>
        <w:rPr>
          <w:rFonts w:ascii="Verdana" w:hAnsi="Verdana"/>
          <w:sz w:val="20"/>
          <w:lang w:val="es-ES"/>
        </w:rPr>
      </w:pPr>
      <w:r w:rsidRPr="004B7A1D">
        <w:rPr>
          <w:rFonts w:ascii="Verdana" w:hAnsi="Verdana"/>
          <w:sz w:val="20"/>
          <w:lang w:val="es-ES"/>
        </w:rPr>
        <w:t xml:space="preserve">Presidente </w:t>
      </w:r>
    </w:p>
    <w:p w14:paraId="54AEE691" w14:textId="77777777" w:rsidR="00820C73" w:rsidRPr="004B7A1D" w:rsidRDefault="00820C73" w:rsidP="00820C73">
      <w:pPr>
        <w:jc w:val="both"/>
        <w:rPr>
          <w:rFonts w:ascii="Verdana" w:hAnsi="Verdana"/>
          <w:sz w:val="20"/>
          <w:lang w:val="es-ES"/>
        </w:rPr>
      </w:pPr>
    </w:p>
    <w:p w14:paraId="54D03326" w14:textId="77777777" w:rsidR="00820C73" w:rsidRPr="004B7A1D" w:rsidRDefault="00820C73" w:rsidP="00820C73">
      <w:pPr>
        <w:jc w:val="both"/>
        <w:rPr>
          <w:rFonts w:ascii="Verdana" w:hAnsi="Verdana"/>
          <w:sz w:val="20"/>
          <w:lang w:val="es-ES"/>
        </w:rPr>
      </w:pPr>
    </w:p>
    <w:p w14:paraId="52472DEB" w14:textId="77777777" w:rsidR="00820C73" w:rsidRPr="004B7A1D" w:rsidRDefault="00820C73" w:rsidP="00820C73">
      <w:pPr>
        <w:jc w:val="both"/>
        <w:rPr>
          <w:rFonts w:ascii="Verdana" w:hAnsi="Verdana"/>
          <w:sz w:val="20"/>
          <w:lang w:val="es-ES"/>
        </w:rPr>
      </w:pPr>
    </w:p>
    <w:p w14:paraId="0FB9668B" w14:textId="77777777" w:rsidR="00820C73" w:rsidRPr="004B7A1D" w:rsidRDefault="00820C73" w:rsidP="00820C73">
      <w:pPr>
        <w:jc w:val="both"/>
        <w:rPr>
          <w:rFonts w:ascii="Verdana" w:hAnsi="Verdana"/>
          <w:sz w:val="20"/>
          <w:lang w:val="es-ES"/>
        </w:rPr>
      </w:pPr>
    </w:p>
    <w:p w14:paraId="569F91A0" w14:textId="77777777" w:rsidR="00820C73" w:rsidRPr="004B7A1D" w:rsidRDefault="00820C73" w:rsidP="00820C73">
      <w:pPr>
        <w:jc w:val="both"/>
        <w:rPr>
          <w:rFonts w:ascii="Verdana" w:hAnsi="Verdana"/>
          <w:sz w:val="20"/>
          <w:lang w:val="es-ES"/>
        </w:rPr>
      </w:pPr>
    </w:p>
    <w:p w14:paraId="42A28AA1" w14:textId="77777777" w:rsidR="00820C73" w:rsidRPr="004B7A1D" w:rsidRDefault="00820C73" w:rsidP="00820C73">
      <w:pPr>
        <w:jc w:val="both"/>
        <w:rPr>
          <w:rFonts w:ascii="Verdana" w:hAnsi="Verdana"/>
          <w:sz w:val="20"/>
          <w:lang w:val="es-ES"/>
        </w:rPr>
      </w:pPr>
      <w:r>
        <w:rPr>
          <w:rFonts w:ascii="Verdana" w:hAnsi="Verdana"/>
          <w:sz w:val="20"/>
          <w:lang w:val="es-ES"/>
        </w:rPr>
        <w:t>Eduardo Vio Grossi</w:t>
      </w:r>
      <w:r w:rsidRPr="004B7A1D">
        <w:rPr>
          <w:rFonts w:ascii="Verdana" w:hAnsi="Verdana"/>
          <w:sz w:val="20"/>
          <w:lang w:val="es-ES"/>
        </w:rPr>
        <w:tab/>
      </w:r>
      <w:r w:rsidRPr="004B7A1D">
        <w:rPr>
          <w:rFonts w:ascii="Verdana" w:hAnsi="Verdana"/>
          <w:sz w:val="20"/>
          <w:lang w:val="es-ES"/>
        </w:rPr>
        <w:tab/>
      </w:r>
      <w:r w:rsidRPr="004B7A1D">
        <w:rPr>
          <w:rFonts w:ascii="Verdana" w:hAnsi="Verdana"/>
          <w:sz w:val="20"/>
          <w:lang w:val="es-ES"/>
        </w:rPr>
        <w:tab/>
      </w:r>
      <w:r w:rsidRPr="004B7A1D">
        <w:rPr>
          <w:rFonts w:ascii="Verdana" w:hAnsi="Verdana"/>
          <w:sz w:val="20"/>
          <w:lang w:val="es-ES"/>
        </w:rPr>
        <w:tab/>
      </w:r>
      <w:r w:rsidRPr="004B7A1D">
        <w:rPr>
          <w:rFonts w:ascii="Verdana" w:hAnsi="Verdana"/>
          <w:sz w:val="20"/>
          <w:lang w:val="es-ES"/>
        </w:rPr>
        <w:tab/>
      </w:r>
      <w:r>
        <w:rPr>
          <w:rFonts w:ascii="Verdana" w:hAnsi="Verdana"/>
          <w:sz w:val="20"/>
          <w:lang w:val="es-ES"/>
        </w:rPr>
        <w:t xml:space="preserve">     Humberto Antonio Sierra Porto  </w:t>
      </w:r>
    </w:p>
    <w:p w14:paraId="70AD24B7" w14:textId="77777777" w:rsidR="00820C73" w:rsidRPr="004B7A1D" w:rsidRDefault="00820C73" w:rsidP="00820C73">
      <w:pPr>
        <w:jc w:val="both"/>
        <w:rPr>
          <w:rFonts w:ascii="Verdana" w:hAnsi="Verdana"/>
          <w:sz w:val="20"/>
          <w:lang w:val="es-ES"/>
        </w:rPr>
      </w:pPr>
    </w:p>
    <w:p w14:paraId="3D6685B4" w14:textId="77777777" w:rsidR="00820C73" w:rsidRPr="004B7A1D" w:rsidRDefault="00820C73" w:rsidP="00820C73">
      <w:pPr>
        <w:jc w:val="both"/>
        <w:rPr>
          <w:rFonts w:ascii="Verdana" w:hAnsi="Verdana"/>
          <w:sz w:val="20"/>
          <w:lang w:val="es-ES"/>
        </w:rPr>
      </w:pPr>
    </w:p>
    <w:p w14:paraId="21242295" w14:textId="77777777" w:rsidR="00820C73" w:rsidRPr="004B7A1D" w:rsidRDefault="00820C73" w:rsidP="00820C73">
      <w:pPr>
        <w:jc w:val="both"/>
        <w:rPr>
          <w:rFonts w:ascii="Verdana" w:hAnsi="Verdana"/>
          <w:sz w:val="20"/>
          <w:lang w:val="es-ES"/>
        </w:rPr>
      </w:pPr>
    </w:p>
    <w:p w14:paraId="024F7FF4" w14:textId="77777777" w:rsidR="00820C73" w:rsidRPr="004B7A1D" w:rsidRDefault="00820C73" w:rsidP="00820C73">
      <w:pPr>
        <w:jc w:val="both"/>
        <w:rPr>
          <w:rFonts w:ascii="Verdana" w:hAnsi="Verdana"/>
          <w:sz w:val="20"/>
          <w:lang w:val="es-ES"/>
        </w:rPr>
      </w:pPr>
    </w:p>
    <w:p w14:paraId="3EEC749B" w14:textId="77777777" w:rsidR="00820C73" w:rsidRPr="004B7A1D" w:rsidRDefault="00820C73" w:rsidP="00820C73">
      <w:pPr>
        <w:jc w:val="both"/>
        <w:rPr>
          <w:rFonts w:ascii="Verdana" w:hAnsi="Verdana"/>
          <w:sz w:val="20"/>
          <w:lang w:val="es-ES"/>
        </w:rPr>
      </w:pPr>
    </w:p>
    <w:p w14:paraId="1042244C" w14:textId="77777777" w:rsidR="00820C73" w:rsidRPr="004B7A1D" w:rsidRDefault="00820C73" w:rsidP="00820C73">
      <w:pPr>
        <w:jc w:val="both"/>
        <w:rPr>
          <w:rFonts w:ascii="Verdana" w:hAnsi="Verdana"/>
          <w:sz w:val="20"/>
          <w:lang w:val="es-ES"/>
        </w:rPr>
      </w:pPr>
      <w:r>
        <w:rPr>
          <w:rFonts w:ascii="Verdana" w:hAnsi="Verdana"/>
          <w:sz w:val="20"/>
          <w:lang w:val="es-ES"/>
        </w:rPr>
        <w:t>Elizabeth Odio Benito</w:t>
      </w:r>
      <w:r w:rsidRPr="004B7A1D">
        <w:rPr>
          <w:rFonts w:ascii="Verdana" w:hAnsi="Verdana"/>
          <w:sz w:val="20"/>
          <w:lang w:val="es-ES"/>
        </w:rPr>
        <w:t xml:space="preserve"> </w:t>
      </w:r>
      <w:r>
        <w:rPr>
          <w:rFonts w:ascii="Verdana" w:hAnsi="Verdana"/>
          <w:sz w:val="20"/>
          <w:lang w:val="es-ES"/>
        </w:rPr>
        <w:t xml:space="preserve">     </w:t>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t xml:space="preserve">  Eugenio Raúl </w:t>
      </w:r>
      <w:proofErr w:type="spellStart"/>
      <w:r>
        <w:rPr>
          <w:rFonts w:ascii="Verdana" w:hAnsi="Verdana"/>
          <w:sz w:val="20"/>
          <w:lang w:val="es-ES"/>
        </w:rPr>
        <w:t>Zaffaroni</w:t>
      </w:r>
      <w:proofErr w:type="spellEnd"/>
    </w:p>
    <w:p w14:paraId="547734C0" w14:textId="77777777" w:rsidR="00820C73" w:rsidRPr="004B7A1D" w:rsidRDefault="00820C73" w:rsidP="00820C73">
      <w:pPr>
        <w:jc w:val="both"/>
        <w:rPr>
          <w:rFonts w:ascii="Verdana" w:hAnsi="Verdana"/>
          <w:sz w:val="20"/>
          <w:lang w:val="es-ES"/>
        </w:rPr>
      </w:pPr>
    </w:p>
    <w:p w14:paraId="7C2F8BFA" w14:textId="77777777" w:rsidR="00820C73" w:rsidRPr="004B7A1D" w:rsidRDefault="00820C73" w:rsidP="00820C73">
      <w:pPr>
        <w:jc w:val="both"/>
        <w:rPr>
          <w:rFonts w:ascii="Verdana" w:hAnsi="Verdana"/>
          <w:sz w:val="20"/>
          <w:lang w:val="es-ES"/>
        </w:rPr>
      </w:pPr>
    </w:p>
    <w:p w14:paraId="4719FB0B" w14:textId="77777777" w:rsidR="00820C73" w:rsidRPr="004B7A1D" w:rsidRDefault="00820C73" w:rsidP="00820C73">
      <w:pPr>
        <w:jc w:val="both"/>
        <w:rPr>
          <w:rFonts w:ascii="Verdana" w:hAnsi="Verdana"/>
          <w:sz w:val="20"/>
          <w:lang w:val="es-ES"/>
        </w:rPr>
      </w:pPr>
    </w:p>
    <w:p w14:paraId="4AC0AD30" w14:textId="77777777" w:rsidR="00820C73" w:rsidRPr="004B7A1D" w:rsidRDefault="00820C73" w:rsidP="00820C73">
      <w:pPr>
        <w:jc w:val="both"/>
        <w:rPr>
          <w:rFonts w:ascii="Verdana" w:hAnsi="Verdana"/>
          <w:sz w:val="20"/>
          <w:lang w:val="es-ES"/>
        </w:rPr>
      </w:pPr>
    </w:p>
    <w:p w14:paraId="5CC0DC42" w14:textId="77777777" w:rsidR="00820C73" w:rsidRPr="004B7A1D" w:rsidRDefault="00820C73" w:rsidP="00820C73">
      <w:pPr>
        <w:jc w:val="both"/>
        <w:rPr>
          <w:rFonts w:ascii="Verdana" w:hAnsi="Verdana"/>
          <w:sz w:val="20"/>
          <w:lang w:val="es-ES"/>
        </w:rPr>
      </w:pPr>
    </w:p>
    <w:p w14:paraId="6DCEB74D" w14:textId="77777777" w:rsidR="00820C73" w:rsidRPr="004B7A1D" w:rsidRDefault="00820C73" w:rsidP="00820C73">
      <w:pPr>
        <w:jc w:val="center"/>
        <w:rPr>
          <w:rFonts w:ascii="Verdana" w:hAnsi="Verdana"/>
          <w:sz w:val="20"/>
          <w:lang w:val="es-ES"/>
        </w:rPr>
      </w:pPr>
      <w:r>
        <w:rPr>
          <w:rFonts w:ascii="Verdana" w:hAnsi="Verdana"/>
          <w:sz w:val="20"/>
          <w:lang w:val="es-ES"/>
        </w:rPr>
        <w:t>L. Patricio Pazmiño Freire</w:t>
      </w:r>
    </w:p>
    <w:p w14:paraId="2E5AF152" w14:textId="77777777" w:rsidR="00820C73" w:rsidRPr="004B7A1D" w:rsidRDefault="00820C73" w:rsidP="00820C73">
      <w:pPr>
        <w:jc w:val="both"/>
        <w:rPr>
          <w:rFonts w:ascii="Verdana" w:hAnsi="Verdana"/>
          <w:sz w:val="20"/>
          <w:lang w:val="es-ES"/>
        </w:rPr>
      </w:pPr>
    </w:p>
    <w:p w14:paraId="71E8A34A" w14:textId="77777777" w:rsidR="00820C73" w:rsidRPr="004B7A1D" w:rsidRDefault="00820C73" w:rsidP="00820C73">
      <w:pPr>
        <w:jc w:val="both"/>
        <w:rPr>
          <w:rFonts w:ascii="Verdana" w:hAnsi="Verdana"/>
          <w:sz w:val="20"/>
          <w:lang w:val="es-ES"/>
        </w:rPr>
      </w:pPr>
    </w:p>
    <w:p w14:paraId="04CD392F" w14:textId="77777777" w:rsidR="00820C73" w:rsidRPr="004B7A1D" w:rsidRDefault="00820C73" w:rsidP="00820C73">
      <w:pPr>
        <w:jc w:val="both"/>
        <w:rPr>
          <w:rFonts w:ascii="Verdana" w:hAnsi="Verdana"/>
          <w:sz w:val="20"/>
          <w:lang w:val="es-ES"/>
        </w:rPr>
      </w:pPr>
    </w:p>
    <w:p w14:paraId="501777BF" w14:textId="77777777" w:rsidR="00820C73" w:rsidRPr="004B7A1D" w:rsidRDefault="00820C73" w:rsidP="00820C73">
      <w:pPr>
        <w:jc w:val="both"/>
        <w:rPr>
          <w:rFonts w:ascii="Verdana" w:hAnsi="Verdana"/>
          <w:sz w:val="20"/>
          <w:lang w:val="es-CR"/>
        </w:rPr>
      </w:pPr>
    </w:p>
    <w:p w14:paraId="2F59B2A7" w14:textId="77777777" w:rsidR="00820C73" w:rsidRPr="004B7A1D" w:rsidRDefault="00820C73" w:rsidP="00820C73">
      <w:pPr>
        <w:jc w:val="both"/>
        <w:rPr>
          <w:rFonts w:ascii="Verdana" w:hAnsi="Verdana"/>
          <w:sz w:val="20"/>
          <w:lang w:val="es-ES"/>
        </w:rPr>
      </w:pPr>
    </w:p>
    <w:p w14:paraId="1F278976" w14:textId="77777777" w:rsidR="00820C73" w:rsidRPr="004B7A1D" w:rsidRDefault="00820C73" w:rsidP="00820C73">
      <w:pPr>
        <w:jc w:val="center"/>
        <w:rPr>
          <w:rFonts w:ascii="Verdana" w:hAnsi="Verdana"/>
          <w:sz w:val="20"/>
          <w:lang w:val="es-ES"/>
        </w:rPr>
      </w:pPr>
      <w:r w:rsidRPr="004B7A1D">
        <w:rPr>
          <w:rFonts w:ascii="Verdana" w:hAnsi="Verdana"/>
          <w:sz w:val="20"/>
          <w:lang w:val="es-ES"/>
        </w:rPr>
        <w:t>Pablo Saavedra Alessandri</w:t>
      </w:r>
    </w:p>
    <w:p w14:paraId="4AD130B5" w14:textId="77777777" w:rsidR="00820C73" w:rsidRPr="004B7A1D" w:rsidRDefault="00820C73" w:rsidP="00820C73">
      <w:pPr>
        <w:jc w:val="center"/>
        <w:rPr>
          <w:rFonts w:ascii="Verdana" w:hAnsi="Verdana"/>
          <w:sz w:val="20"/>
          <w:lang w:val="es-ES"/>
        </w:rPr>
      </w:pPr>
      <w:r w:rsidRPr="004B7A1D">
        <w:rPr>
          <w:rFonts w:ascii="Verdana" w:hAnsi="Verdana"/>
          <w:sz w:val="20"/>
          <w:lang w:val="es-ES"/>
        </w:rPr>
        <w:t>Secretario</w:t>
      </w:r>
    </w:p>
    <w:p w14:paraId="56467C79" w14:textId="77777777" w:rsidR="00820C73" w:rsidRPr="004B7A1D" w:rsidRDefault="00820C73" w:rsidP="00820C73">
      <w:pPr>
        <w:rPr>
          <w:rFonts w:ascii="Verdana" w:hAnsi="Verdana"/>
          <w:sz w:val="20"/>
          <w:lang w:val="es-ES"/>
        </w:rPr>
      </w:pPr>
    </w:p>
    <w:p w14:paraId="69221D4C" w14:textId="77777777" w:rsidR="00820C73" w:rsidRPr="004B7A1D" w:rsidRDefault="00820C73" w:rsidP="00820C73">
      <w:pPr>
        <w:pStyle w:val="FootnoteText"/>
        <w:rPr>
          <w:rFonts w:ascii="Verdana" w:hAnsi="Verdana"/>
          <w:lang w:val="es-ES"/>
        </w:rPr>
      </w:pPr>
    </w:p>
    <w:p w14:paraId="5CCAE9AA" w14:textId="77777777" w:rsidR="00820C73" w:rsidRPr="004B7A1D" w:rsidRDefault="00820C73" w:rsidP="00820C73">
      <w:pPr>
        <w:pStyle w:val="FootnoteText"/>
        <w:rPr>
          <w:rFonts w:ascii="Verdana" w:hAnsi="Verdana"/>
          <w:lang w:val="es-ES"/>
        </w:rPr>
      </w:pPr>
    </w:p>
    <w:p w14:paraId="6F72FEAA" w14:textId="77777777" w:rsidR="00820C73" w:rsidRPr="004B7A1D" w:rsidRDefault="00820C73" w:rsidP="00820C73">
      <w:pPr>
        <w:pStyle w:val="FootnoteText"/>
        <w:rPr>
          <w:rFonts w:ascii="Verdana" w:hAnsi="Verdana"/>
          <w:lang w:val="es-ES"/>
        </w:rPr>
      </w:pPr>
    </w:p>
    <w:p w14:paraId="29A0ACC8" w14:textId="77777777" w:rsidR="00820C73" w:rsidRPr="004B7A1D" w:rsidRDefault="00820C73" w:rsidP="00820C73">
      <w:pPr>
        <w:pStyle w:val="FootnoteText"/>
        <w:rPr>
          <w:rFonts w:ascii="Verdana" w:hAnsi="Verdana"/>
          <w:lang w:val="es-ES"/>
        </w:rPr>
      </w:pPr>
    </w:p>
    <w:p w14:paraId="14113339" w14:textId="77777777" w:rsidR="00820C73" w:rsidRPr="004B7A1D" w:rsidRDefault="00820C73" w:rsidP="00820C73">
      <w:pPr>
        <w:jc w:val="both"/>
        <w:rPr>
          <w:rFonts w:ascii="Verdana" w:hAnsi="Verdana"/>
          <w:sz w:val="20"/>
          <w:lang w:val="es-ES"/>
        </w:rPr>
      </w:pPr>
      <w:r w:rsidRPr="004B7A1D">
        <w:rPr>
          <w:rFonts w:ascii="Verdana" w:hAnsi="Verdana"/>
          <w:sz w:val="20"/>
          <w:lang w:val="es-ES"/>
        </w:rPr>
        <w:t>Comuníquese y ejecútese,</w:t>
      </w:r>
    </w:p>
    <w:p w14:paraId="72E6DEE1" w14:textId="77777777" w:rsidR="00820C73" w:rsidRPr="004B7A1D" w:rsidRDefault="00820C73" w:rsidP="00820C73">
      <w:pPr>
        <w:jc w:val="both"/>
        <w:rPr>
          <w:rFonts w:ascii="Verdana" w:hAnsi="Verdana"/>
          <w:sz w:val="20"/>
          <w:lang w:val="es-ES"/>
        </w:rPr>
      </w:pPr>
    </w:p>
    <w:p w14:paraId="1E016164" w14:textId="77777777" w:rsidR="00820C73" w:rsidRPr="004B7A1D" w:rsidRDefault="00820C73" w:rsidP="00820C73">
      <w:pPr>
        <w:jc w:val="both"/>
        <w:rPr>
          <w:rFonts w:ascii="Verdana" w:hAnsi="Verdana"/>
          <w:sz w:val="20"/>
          <w:lang w:val="es-ES"/>
        </w:rPr>
      </w:pPr>
    </w:p>
    <w:p w14:paraId="3601F259" w14:textId="77777777" w:rsidR="00820C73" w:rsidRPr="004B7A1D" w:rsidRDefault="00820C73" w:rsidP="00820C73">
      <w:pPr>
        <w:jc w:val="both"/>
        <w:rPr>
          <w:rFonts w:ascii="Verdana" w:hAnsi="Verdana"/>
          <w:sz w:val="20"/>
          <w:lang w:val="es-ES"/>
        </w:rPr>
      </w:pPr>
    </w:p>
    <w:p w14:paraId="3D382C87" w14:textId="77777777" w:rsidR="00820C73" w:rsidRPr="004B7A1D" w:rsidRDefault="00820C73" w:rsidP="00820C73">
      <w:pPr>
        <w:jc w:val="both"/>
        <w:rPr>
          <w:rFonts w:ascii="Verdana" w:hAnsi="Verdana"/>
          <w:sz w:val="20"/>
          <w:lang w:val="es-CR"/>
        </w:rPr>
      </w:pPr>
    </w:p>
    <w:p w14:paraId="2F10FAA1" w14:textId="77777777" w:rsidR="00820C73" w:rsidRPr="004B7A1D" w:rsidRDefault="00820C73" w:rsidP="00820C73">
      <w:pPr>
        <w:ind w:left="5664"/>
        <w:jc w:val="center"/>
        <w:rPr>
          <w:rFonts w:ascii="Verdana" w:hAnsi="Verdana"/>
          <w:sz w:val="20"/>
          <w:lang w:val="es-ES"/>
        </w:rPr>
      </w:pPr>
      <w:r>
        <w:rPr>
          <w:rFonts w:ascii="Verdana" w:hAnsi="Verdana"/>
          <w:sz w:val="20"/>
          <w:lang w:val="es-ES"/>
        </w:rPr>
        <w:t>Roberto F. Caldas</w:t>
      </w:r>
    </w:p>
    <w:p w14:paraId="396BC62F" w14:textId="77777777" w:rsidR="00820C73" w:rsidRPr="004B7A1D" w:rsidRDefault="00820C73" w:rsidP="00820C73">
      <w:pPr>
        <w:ind w:left="5664"/>
        <w:jc w:val="center"/>
        <w:rPr>
          <w:rFonts w:ascii="Verdana" w:hAnsi="Verdana"/>
          <w:sz w:val="20"/>
          <w:lang w:val="es-ES"/>
        </w:rPr>
      </w:pPr>
      <w:r w:rsidRPr="004B7A1D">
        <w:rPr>
          <w:rFonts w:ascii="Verdana" w:hAnsi="Verdana"/>
          <w:sz w:val="20"/>
          <w:lang w:val="es-ES"/>
        </w:rPr>
        <w:t>Presidente</w:t>
      </w:r>
    </w:p>
    <w:p w14:paraId="769ECECA" w14:textId="77777777" w:rsidR="00820C73" w:rsidRPr="004B7A1D" w:rsidRDefault="00820C73" w:rsidP="00820C73">
      <w:pPr>
        <w:jc w:val="both"/>
        <w:rPr>
          <w:rFonts w:ascii="Verdana" w:hAnsi="Verdana"/>
          <w:sz w:val="20"/>
          <w:lang w:val="es-ES"/>
        </w:rPr>
      </w:pPr>
    </w:p>
    <w:p w14:paraId="457013CB" w14:textId="77777777" w:rsidR="00820C73" w:rsidRPr="004B7A1D" w:rsidRDefault="00820C73" w:rsidP="00820C73">
      <w:pPr>
        <w:jc w:val="both"/>
        <w:rPr>
          <w:rFonts w:ascii="Verdana" w:hAnsi="Verdana"/>
          <w:sz w:val="20"/>
          <w:lang w:val="es-ES"/>
        </w:rPr>
      </w:pPr>
    </w:p>
    <w:p w14:paraId="77B428B0" w14:textId="77777777" w:rsidR="00820C73" w:rsidRPr="004B7A1D" w:rsidRDefault="00820C73" w:rsidP="00820C73">
      <w:pPr>
        <w:jc w:val="both"/>
        <w:rPr>
          <w:rFonts w:ascii="Verdana" w:hAnsi="Verdana"/>
          <w:sz w:val="20"/>
          <w:lang w:val="es-ES"/>
        </w:rPr>
      </w:pPr>
    </w:p>
    <w:p w14:paraId="5589CEE3" w14:textId="77777777" w:rsidR="00820C73" w:rsidRPr="004B7A1D" w:rsidRDefault="00820C73" w:rsidP="00820C73">
      <w:pPr>
        <w:jc w:val="both"/>
        <w:rPr>
          <w:rFonts w:ascii="Verdana" w:hAnsi="Verdana"/>
          <w:sz w:val="20"/>
          <w:lang w:val="es-ES"/>
        </w:rPr>
      </w:pPr>
    </w:p>
    <w:p w14:paraId="22D2CA56" w14:textId="77777777" w:rsidR="00820C73" w:rsidRPr="004B7A1D" w:rsidRDefault="00820C73" w:rsidP="00820C73">
      <w:pPr>
        <w:jc w:val="both"/>
        <w:rPr>
          <w:rFonts w:ascii="Verdana" w:hAnsi="Verdana"/>
          <w:sz w:val="20"/>
          <w:lang w:val="es-ES"/>
        </w:rPr>
      </w:pPr>
      <w:r w:rsidRPr="004B7A1D">
        <w:rPr>
          <w:rFonts w:ascii="Verdana" w:hAnsi="Verdana"/>
          <w:sz w:val="20"/>
          <w:lang w:val="es-ES"/>
        </w:rPr>
        <w:t>Pablo Saavedra Alessandri</w:t>
      </w:r>
    </w:p>
    <w:p w14:paraId="6C7DA90D" w14:textId="2F15CCBD" w:rsidR="00486362" w:rsidRPr="00820C73" w:rsidRDefault="00820C73" w:rsidP="00820C73">
      <w:pPr>
        <w:rPr>
          <w:rFonts w:ascii="Verdana" w:hAnsi="Verdana"/>
          <w:sz w:val="20"/>
          <w:lang w:val="es-CR"/>
        </w:rPr>
      </w:pPr>
      <w:r w:rsidRPr="004B7A1D">
        <w:rPr>
          <w:rFonts w:ascii="Verdana" w:hAnsi="Verdana"/>
          <w:sz w:val="20"/>
          <w:lang w:val="es-ES"/>
        </w:rPr>
        <w:tab/>
      </w:r>
      <w:r w:rsidRPr="004B7A1D">
        <w:rPr>
          <w:rFonts w:ascii="Verdana" w:hAnsi="Verdana"/>
          <w:sz w:val="20"/>
          <w:lang w:val="es-CR"/>
        </w:rPr>
        <w:t>Secretario</w:t>
      </w:r>
    </w:p>
    <w:sectPr w:rsidR="00486362" w:rsidRPr="00820C73" w:rsidSect="00FB6E9C">
      <w:headerReference w:type="default" r:id="rId9"/>
      <w:footnotePr>
        <w:numRestart w:val="eachSect"/>
      </w:footnotePr>
      <w:pgSz w:w="12240" w:h="15840" w:code="1"/>
      <w:pgMar w:top="1418" w:right="1191" w:bottom="1418" w:left="1247"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D77BB" w14:textId="77777777" w:rsidR="00B6444A" w:rsidRDefault="00B6444A" w:rsidP="00A204C1">
      <w:r>
        <w:separator/>
      </w:r>
    </w:p>
  </w:endnote>
  <w:endnote w:type="continuationSeparator" w:id="0">
    <w:p w14:paraId="642F0361" w14:textId="77777777" w:rsidR="00B6444A" w:rsidRDefault="00B6444A" w:rsidP="00A2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charset w:val="00"/>
    <w:family w:val="swiss"/>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5C9DF" w14:textId="77777777" w:rsidR="00B6444A" w:rsidRDefault="00B6444A" w:rsidP="00A204C1">
      <w:r>
        <w:separator/>
      </w:r>
    </w:p>
  </w:footnote>
  <w:footnote w:type="continuationSeparator" w:id="0">
    <w:p w14:paraId="07F9E2B8" w14:textId="77777777" w:rsidR="00B6444A" w:rsidRDefault="00B6444A" w:rsidP="00A204C1">
      <w:r>
        <w:continuationSeparator/>
      </w:r>
    </w:p>
  </w:footnote>
  <w:footnote w:id="1">
    <w:p w14:paraId="45BAC9A1" w14:textId="236DB916" w:rsidR="00156B6B" w:rsidRPr="005A17C2" w:rsidRDefault="00156B6B" w:rsidP="00EB2693">
      <w:pPr>
        <w:pStyle w:val="FootnoteText"/>
        <w:tabs>
          <w:tab w:val="left" w:pos="567"/>
        </w:tabs>
        <w:jc w:val="both"/>
        <w:rPr>
          <w:rFonts w:ascii="Verdana" w:hAnsi="Verdana"/>
          <w:spacing w:val="-6"/>
        </w:rPr>
      </w:pPr>
      <w:r w:rsidRPr="005A17C2">
        <w:rPr>
          <w:rStyle w:val="FootnoteReference"/>
          <w:spacing w:val="-6"/>
        </w:rPr>
        <w:sym w:font="Symbol" w:char="F02A"/>
      </w:r>
      <w:r w:rsidRPr="005A17C2">
        <w:rPr>
          <w:rFonts w:ascii="Verdana" w:hAnsi="Verdana"/>
          <w:spacing w:val="-6"/>
        </w:rPr>
        <w:t xml:space="preserve"> </w:t>
      </w:r>
      <w:r w:rsidRPr="005A17C2">
        <w:rPr>
          <w:rFonts w:ascii="Verdana" w:hAnsi="Verdana"/>
          <w:spacing w:val="-6"/>
        </w:rPr>
        <w:tab/>
      </w:r>
      <w:r w:rsidRPr="005A17C2">
        <w:rPr>
          <w:rFonts w:ascii="Verdana" w:hAnsi="Verdana"/>
          <w:spacing w:val="-6"/>
          <w:sz w:val="16"/>
          <w:szCs w:val="16"/>
        </w:rPr>
        <w:t>El Juez Eduardo Ferrer Mac-</w:t>
      </w:r>
      <w:proofErr w:type="spellStart"/>
      <w:r w:rsidRPr="005A17C2">
        <w:rPr>
          <w:rFonts w:ascii="Verdana" w:hAnsi="Verdana"/>
          <w:spacing w:val="-6"/>
          <w:sz w:val="16"/>
          <w:szCs w:val="16"/>
        </w:rPr>
        <w:t>Gregor</w:t>
      </w:r>
      <w:proofErr w:type="spellEnd"/>
      <w:r w:rsidRPr="005A17C2">
        <w:rPr>
          <w:rFonts w:ascii="Verdana" w:hAnsi="Verdana"/>
          <w:spacing w:val="-6"/>
          <w:sz w:val="16"/>
          <w:szCs w:val="16"/>
        </w:rPr>
        <w:t xml:space="preserve"> </w:t>
      </w:r>
      <w:proofErr w:type="spellStart"/>
      <w:r w:rsidRPr="005A17C2">
        <w:rPr>
          <w:rFonts w:ascii="Verdana" w:hAnsi="Verdana"/>
          <w:spacing w:val="-6"/>
          <w:sz w:val="16"/>
          <w:szCs w:val="16"/>
        </w:rPr>
        <w:t>Poisot</w:t>
      </w:r>
      <w:proofErr w:type="spellEnd"/>
      <w:r w:rsidRPr="005A17C2">
        <w:rPr>
          <w:rFonts w:ascii="Verdana" w:hAnsi="Verdana"/>
          <w:spacing w:val="-6"/>
          <w:sz w:val="16"/>
          <w:szCs w:val="16"/>
        </w:rPr>
        <w:t>, de nacionalidad mexicana, no participó en el conocimiento y deliberación de la presente resolución, de conformidad con lo dispuesto en el artículo 19.1 del Reglamento de la Corte.</w:t>
      </w:r>
    </w:p>
  </w:footnote>
  <w:footnote w:id="2">
    <w:p w14:paraId="0B80B217" w14:textId="606598A2" w:rsidR="00156B6B" w:rsidRPr="005A17C2" w:rsidRDefault="00156B6B" w:rsidP="00EB2693">
      <w:pPr>
        <w:pStyle w:val="FootnoteText"/>
        <w:tabs>
          <w:tab w:val="left" w:pos="360"/>
          <w:tab w:val="left" w:pos="567"/>
        </w:tabs>
        <w:spacing w:before="60" w:after="60"/>
        <w:jc w:val="both"/>
        <w:rPr>
          <w:rFonts w:ascii="Verdana" w:hAnsi="Verdana"/>
          <w:b/>
          <w:spacing w:val="-6"/>
          <w:sz w:val="16"/>
          <w:szCs w:val="16"/>
        </w:rPr>
      </w:pPr>
      <w:r w:rsidRPr="005A17C2">
        <w:rPr>
          <w:rStyle w:val="FootnoteReference"/>
          <w:spacing w:val="-6"/>
          <w:szCs w:val="16"/>
        </w:rPr>
        <w:footnoteRef/>
      </w:r>
      <w:r w:rsidRPr="005A17C2">
        <w:rPr>
          <w:rFonts w:ascii="Verdana" w:hAnsi="Verdana"/>
          <w:spacing w:val="-6"/>
          <w:sz w:val="16"/>
          <w:szCs w:val="16"/>
        </w:rPr>
        <w:t xml:space="preserve"> </w:t>
      </w:r>
      <w:r w:rsidRPr="005A17C2">
        <w:rPr>
          <w:rFonts w:ascii="Verdana" w:hAnsi="Verdana"/>
          <w:spacing w:val="-6"/>
          <w:sz w:val="16"/>
          <w:szCs w:val="16"/>
        </w:rPr>
        <w:tab/>
      </w:r>
      <w:r w:rsidR="00EB2693">
        <w:rPr>
          <w:rFonts w:ascii="Verdana" w:hAnsi="Verdana"/>
          <w:spacing w:val="-6"/>
          <w:sz w:val="16"/>
          <w:szCs w:val="16"/>
        </w:rPr>
        <w:tab/>
      </w:r>
      <w:r w:rsidRPr="005A17C2">
        <w:rPr>
          <w:rFonts w:ascii="Verdana" w:hAnsi="Verdana"/>
          <w:i/>
          <w:spacing w:val="-6"/>
          <w:sz w:val="16"/>
          <w:szCs w:val="16"/>
          <w:lang w:val="es-MX"/>
        </w:rPr>
        <w:t>Cfr</w:t>
      </w:r>
      <w:r w:rsidRPr="005A17C2">
        <w:rPr>
          <w:rFonts w:ascii="Verdana" w:hAnsi="Verdana"/>
          <w:spacing w:val="-6"/>
          <w:sz w:val="16"/>
          <w:szCs w:val="16"/>
          <w:lang w:val="es-MX"/>
        </w:rPr>
        <w:t xml:space="preserve">.  </w:t>
      </w:r>
      <w:r w:rsidRPr="005A17C2">
        <w:rPr>
          <w:rFonts w:ascii="Verdana" w:hAnsi="Verdana"/>
          <w:i/>
          <w:spacing w:val="-6"/>
          <w:sz w:val="16"/>
          <w:szCs w:val="16"/>
          <w:lang w:val="es-MX"/>
        </w:rPr>
        <w:t>Asunto James y otros. Medidas Provisionales respecto de Trinidad y Tobago</w:t>
      </w:r>
      <w:r w:rsidRPr="005A17C2">
        <w:rPr>
          <w:rFonts w:ascii="Verdana" w:hAnsi="Verdana"/>
          <w:spacing w:val="-6"/>
          <w:sz w:val="16"/>
          <w:szCs w:val="16"/>
          <w:lang w:val="es-MX"/>
        </w:rPr>
        <w:t xml:space="preserve">. Resolución de la Corte de 29 de agosto de 1998, Considerando 6, y </w:t>
      </w:r>
      <w:r w:rsidRPr="005A17C2">
        <w:rPr>
          <w:rStyle w:val="Strong"/>
          <w:rFonts w:ascii="Verdana" w:hAnsi="Verdana"/>
          <w:b w:val="0"/>
          <w:i/>
          <w:color w:val="000000"/>
          <w:spacing w:val="-6"/>
          <w:sz w:val="16"/>
          <w:szCs w:val="16"/>
          <w:shd w:val="clear" w:color="auto" w:fill="FFFFFF"/>
        </w:rPr>
        <w:t>Caso Rosendo Cantú y otra. Medidas Provisionales respecto de México</w:t>
      </w:r>
      <w:r w:rsidRPr="005A17C2">
        <w:rPr>
          <w:rStyle w:val="Strong"/>
          <w:rFonts w:ascii="Verdana" w:hAnsi="Verdana"/>
          <w:b w:val="0"/>
          <w:color w:val="000000"/>
          <w:spacing w:val="-6"/>
          <w:sz w:val="16"/>
          <w:szCs w:val="16"/>
          <w:shd w:val="clear" w:color="auto" w:fill="FFFFFF"/>
        </w:rPr>
        <w:t>. Resolución de la Corte del 23 de junio de 2015, Considerando 2.</w:t>
      </w:r>
    </w:p>
  </w:footnote>
  <w:footnote w:id="3">
    <w:p w14:paraId="633CE2F0" w14:textId="349D5B3D" w:rsidR="00156B6B" w:rsidRPr="005A17C2" w:rsidRDefault="00156B6B" w:rsidP="00EB2693">
      <w:pPr>
        <w:pStyle w:val="FootnoteText"/>
        <w:tabs>
          <w:tab w:val="left" w:pos="360"/>
          <w:tab w:val="left" w:pos="567"/>
        </w:tabs>
        <w:spacing w:before="60" w:after="60"/>
        <w:jc w:val="both"/>
        <w:rPr>
          <w:rFonts w:ascii="Verdana" w:hAnsi="Verdana"/>
          <w:b/>
          <w:spacing w:val="-6"/>
          <w:sz w:val="16"/>
          <w:szCs w:val="16"/>
        </w:rPr>
      </w:pPr>
      <w:r w:rsidRPr="005A17C2">
        <w:rPr>
          <w:rStyle w:val="FootnoteReference"/>
          <w:spacing w:val="-6"/>
          <w:szCs w:val="16"/>
        </w:rPr>
        <w:footnoteRef/>
      </w:r>
      <w:r w:rsidRPr="005A17C2">
        <w:rPr>
          <w:rFonts w:ascii="Verdana" w:hAnsi="Verdana"/>
          <w:spacing w:val="-6"/>
          <w:sz w:val="16"/>
          <w:szCs w:val="16"/>
        </w:rPr>
        <w:t xml:space="preserve"> </w:t>
      </w:r>
      <w:r w:rsidRPr="005A17C2">
        <w:rPr>
          <w:rFonts w:ascii="Verdana" w:hAnsi="Verdana"/>
          <w:spacing w:val="-6"/>
          <w:sz w:val="16"/>
          <w:szCs w:val="16"/>
        </w:rPr>
        <w:tab/>
      </w:r>
      <w:r w:rsidR="00EB2693">
        <w:rPr>
          <w:rFonts w:ascii="Verdana" w:hAnsi="Verdana"/>
          <w:spacing w:val="-6"/>
          <w:sz w:val="16"/>
          <w:szCs w:val="16"/>
        </w:rPr>
        <w:tab/>
      </w:r>
      <w:r w:rsidRPr="005A17C2">
        <w:rPr>
          <w:rFonts w:ascii="Verdana" w:hAnsi="Verdana"/>
          <w:i/>
          <w:spacing w:val="-6"/>
          <w:sz w:val="16"/>
          <w:szCs w:val="16"/>
          <w:lang w:val="es-MX"/>
        </w:rPr>
        <w:t>Cfr</w:t>
      </w:r>
      <w:r w:rsidRPr="005A17C2">
        <w:rPr>
          <w:rFonts w:ascii="Verdana" w:hAnsi="Verdana"/>
          <w:spacing w:val="-6"/>
          <w:sz w:val="16"/>
          <w:szCs w:val="16"/>
          <w:lang w:val="es-MX"/>
        </w:rPr>
        <w:t xml:space="preserve">.  </w:t>
      </w:r>
      <w:r w:rsidRPr="005A17C2">
        <w:rPr>
          <w:rFonts w:ascii="Verdana" w:hAnsi="Verdana"/>
          <w:i/>
          <w:spacing w:val="-6"/>
          <w:sz w:val="16"/>
          <w:szCs w:val="16"/>
          <w:lang w:val="es-MX"/>
        </w:rPr>
        <w:t>Asunto James y otros. Medidas Provisionales respecto de Trinidad y Tobago</w:t>
      </w:r>
      <w:r w:rsidRPr="005A17C2">
        <w:rPr>
          <w:rFonts w:ascii="Verdana" w:hAnsi="Verdana"/>
          <w:spacing w:val="-6"/>
          <w:sz w:val="16"/>
          <w:szCs w:val="16"/>
          <w:lang w:val="es-MX"/>
        </w:rPr>
        <w:t xml:space="preserve">. Resolución de la Corte de 29 de agosto de 1998, Considerando 6, y </w:t>
      </w:r>
      <w:r w:rsidRPr="005A17C2">
        <w:rPr>
          <w:rStyle w:val="Strong"/>
          <w:rFonts w:ascii="Verdana" w:hAnsi="Verdana"/>
          <w:b w:val="0"/>
          <w:i/>
          <w:color w:val="000000"/>
          <w:spacing w:val="-6"/>
          <w:sz w:val="16"/>
          <w:szCs w:val="16"/>
          <w:shd w:val="clear" w:color="auto" w:fill="FFFFFF"/>
        </w:rPr>
        <w:t>Caso Rosendo Cantú y otra. Medidas Provisionales respecto de México</w:t>
      </w:r>
      <w:r w:rsidRPr="005A17C2">
        <w:rPr>
          <w:rStyle w:val="Strong"/>
          <w:rFonts w:ascii="Verdana" w:hAnsi="Verdana"/>
          <w:b w:val="0"/>
          <w:color w:val="000000"/>
          <w:spacing w:val="-6"/>
          <w:sz w:val="16"/>
          <w:szCs w:val="16"/>
          <w:shd w:val="clear" w:color="auto" w:fill="FFFFFF"/>
        </w:rPr>
        <w:t>. Resolución de la Corte del 23 de junio de 2015, Considerando 2.</w:t>
      </w:r>
    </w:p>
  </w:footnote>
  <w:footnote w:id="4">
    <w:p w14:paraId="31DAEF13" w14:textId="1FF706C9" w:rsidR="00156B6B" w:rsidRPr="005A17C2" w:rsidRDefault="00156B6B" w:rsidP="00EB2693">
      <w:pPr>
        <w:pStyle w:val="FootnoteText"/>
        <w:tabs>
          <w:tab w:val="left" w:pos="360"/>
          <w:tab w:val="left" w:pos="567"/>
        </w:tabs>
        <w:spacing w:before="60" w:after="60"/>
        <w:jc w:val="both"/>
        <w:rPr>
          <w:rFonts w:ascii="Verdana" w:hAnsi="Verdana"/>
          <w:b/>
          <w:spacing w:val="-6"/>
          <w:sz w:val="16"/>
          <w:szCs w:val="16"/>
        </w:rPr>
      </w:pPr>
      <w:r w:rsidRPr="005A17C2">
        <w:rPr>
          <w:rStyle w:val="FootnoteReference"/>
          <w:spacing w:val="-6"/>
          <w:szCs w:val="16"/>
        </w:rPr>
        <w:footnoteRef/>
      </w:r>
      <w:r w:rsidRPr="005A17C2">
        <w:rPr>
          <w:rFonts w:ascii="Verdana" w:hAnsi="Verdana"/>
          <w:spacing w:val="-6"/>
          <w:sz w:val="16"/>
          <w:szCs w:val="16"/>
        </w:rPr>
        <w:t xml:space="preserve">     </w:t>
      </w:r>
      <w:r w:rsidR="00EB2693">
        <w:rPr>
          <w:rFonts w:ascii="Verdana" w:hAnsi="Verdana"/>
          <w:spacing w:val="-6"/>
          <w:sz w:val="16"/>
          <w:szCs w:val="16"/>
        </w:rPr>
        <w:tab/>
      </w:r>
      <w:r w:rsidR="00EB2693">
        <w:rPr>
          <w:rFonts w:ascii="Verdana" w:hAnsi="Verdana"/>
          <w:spacing w:val="-6"/>
          <w:sz w:val="16"/>
          <w:szCs w:val="16"/>
        </w:rPr>
        <w:tab/>
      </w:r>
      <w:r w:rsidRPr="005A17C2">
        <w:rPr>
          <w:rFonts w:ascii="Verdana" w:hAnsi="Verdana"/>
          <w:spacing w:val="-6"/>
          <w:sz w:val="16"/>
          <w:szCs w:val="16"/>
        </w:rPr>
        <w:t xml:space="preserve">Específicamente, se trata de (i) </w:t>
      </w:r>
      <w:proofErr w:type="spellStart"/>
      <w:r w:rsidRPr="005A17C2">
        <w:rPr>
          <w:rFonts w:ascii="Verdana" w:hAnsi="Verdana"/>
          <w:spacing w:val="-6"/>
          <w:sz w:val="16"/>
          <w:szCs w:val="16"/>
        </w:rPr>
        <w:t>Obtilia</w:t>
      </w:r>
      <w:proofErr w:type="spellEnd"/>
      <w:r w:rsidRPr="005A17C2">
        <w:rPr>
          <w:rFonts w:ascii="Verdana" w:hAnsi="Verdana"/>
          <w:spacing w:val="-6"/>
          <w:sz w:val="16"/>
          <w:szCs w:val="16"/>
        </w:rPr>
        <w:t xml:space="preserve"> Eugenio Manuel, su esposo Cuauhtémoc Ramírez Rodríguez, sus hijas </w:t>
      </w:r>
      <w:proofErr w:type="spellStart"/>
      <w:r w:rsidRPr="005A17C2">
        <w:rPr>
          <w:rFonts w:ascii="Verdana" w:hAnsi="Verdana"/>
          <w:spacing w:val="-6"/>
          <w:sz w:val="16"/>
          <w:szCs w:val="16"/>
        </w:rPr>
        <w:t>Kuaia</w:t>
      </w:r>
      <w:proofErr w:type="spellEnd"/>
      <w:r w:rsidRPr="005A17C2">
        <w:rPr>
          <w:rFonts w:ascii="Verdana" w:hAnsi="Verdana"/>
          <w:spacing w:val="-6"/>
          <w:sz w:val="16"/>
          <w:szCs w:val="16"/>
        </w:rPr>
        <w:t xml:space="preserve"> Emilia y </w:t>
      </w:r>
      <w:proofErr w:type="spellStart"/>
      <w:r w:rsidRPr="005A17C2">
        <w:rPr>
          <w:rFonts w:ascii="Verdana" w:hAnsi="Verdana"/>
          <w:spacing w:val="-6"/>
          <w:sz w:val="16"/>
          <w:szCs w:val="16"/>
        </w:rPr>
        <w:t>Sa’an</w:t>
      </w:r>
      <w:proofErr w:type="spellEnd"/>
      <w:r w:rsidRPr="005A17C2">
        <w:rPr>
          <w:rFonts w:ascii="Verdana" w:hAnsi="Verdana"/>
          <w:spacing w:val="-6"/>
          <w:sz w:val="16"/>
          <w:szCs w:val="16"/>
        </w:rPr>
        <w:t xml:space="preserve"> Isabel y su hijo Cuauhtémoc, todos de apellido Ramírez Manuel, y su hermana Andrea Eugenio Manuel; ii) Inés Fernández Ortega, su esposo Fortunato Prisciliano Sierra, así como sus hijas Noemí, Ana Luz y Nélida, y su hijo Colosio, todos de apellido Prisciliano Fernández; iii) integrantes de la OPIM: Victoriano Eugenio Manuel, Gabino Eugenio Manuel, Juan Remigio Guzmán, Raúl Hernández Abundio, Rafael Rodríguez </w:t>
      </w:r>
      <w:proofErr w:type="spellStart"/>
      <w:r w:rsidRPr="005A17C2">
        <w:rPr>
          <w:rFonts w:ascii="Verdana" w:hAnsi="Verdana"/>
          <w:spacing w:val="-6"/>
          <w:sz w:val="16"/>
          <w:szCs w:val="16"/>
        </w:rPr>
        <w:t>Dircio</w:t>
      </w:r>
      <w:proofErr w:type="spellEnd"/>
      <w:r w:rsidRPr="005A17C2">
        <w:rPr>
          <w:rFonts w:ascii="Verdana" w:hAnsi="Verdana"/>
          <w:spacing w:val="-6"/>
          <w:sz w:val="16"/>
          <w:szCs w:val="16"/>
        </w:rPr>
        <w:t xml:space="preserve">, Severo Eugenio Remigio, Manuel Cruz Victoriano, Orlando Manzanares Lorenzo, Natalio Ortega Cruz, Romualdo Santiago Enedina, Braulio Manzanares Lorenzo, José Eugenio Cruz, Félix Ortega Dolores, Merced Santiago Lorenzo, Arturo Cruz Ortega, Leopoldo Eugenio Manuel, Ubaldo Santiago Eugenio, Arnulfo Cruz Concepción, Silverio Remigio Guzmán, Crisóforo Manzanares Lorenzo, Taurino Fernández Santiago, Ocotlán Fernández Ortega, Mauricio Cruz Morales, Viviano García Santiago, Julio </w:t>
      </w:r>
      <w:proofErr w:type="spellStart"/>
      <w:r w:rsidRPr="005A17C2">
        <w:rPr>
          <w:rFonts w:ascii="Verdana" w:hAnsi="Verdana"/>
          <w:spacing w:val="-6"/>
          <w:sz w:val="16"/>
          <w:szCs w:val="16"/>
        </w:rPr>
        <w:t>Bolanos</w:t>
      </w:r>
      <w:proofErr w:type="spellEnd"/>
      <w:r w:rsidRPr="005A17C2">
        <w:rPr>
          <w:rFonts w:ascii="Verdana" w:hAnsi="Verdana"/>
          <w:spacing w:val="-6"/>
          <w:sz w:val="16"/>
          <w:szCs w:val="16"/>
        </w:rPr>
        <w:t xml:space="preserve"> Santiago, José Espinoza Eugenio, Ramón Ortega Cruz, Virgilio Cruz Ortega, Victoriano Ortega Cruz, Marcelino Santiago Flores, Justino García Santiago, Crispín Santiago González, Natalio Eugenio Catarino, Fausto Santiago González, Leopoldo Eugenio Rufina, Vicente Díaz Luciano, </w:t>
      </w:r>
      <w:proofErr w:type="spellStart"/>
      <w:r w:rsidRPr="005A17C2">
        <w:rPr>
          <w:rFonts w:ascii="Verdana" w:hAnsi="Verdana"/>
          <w:spacing w:val="-6"/>
          <w:sz w:val="16"/>
          <w:szCs w:val="16"/>
        </w:rPr>
        <w:t>Socimo</w:t>
      </w:r>
      <w:proofErr w:type="spellEnd"/>
      <w:r w:rsidRPr="005A17C2">
        <w:rPr>
          <w:rFonts w:ascii="Verdana" w:hAnsi="Verdana"/>
          <w:spacing w:val="-6"/>
          <w:sz w:val="16"/>
          <w:szCs w:val="16"/>
        </w:rPr>
        <w:t xml:space="preserve"> Manuel Sierra, Santiago Manuel Sierra, Ramiro Flor </w:t>
      </w:r>
      <w:proofErr w:type="spellStart"/>
      <w:r w:rsidRPr="005A17C2">
        <w:rPr>
          <w:rFonts w:ascii="Verdana" w:hAnsi="Verdana"/>
          <w:spacing w:val="-6"/>
          <w:sz w:val="16"/>
          <w:szCs w:val="16"/>
        </w:rPr>
        <w:t>Cresencio</w:t>
      </w:r>
      <w:proofErr w:type="spellEnd"/>
      <w:r w:rsidRPr="005A17C2">
        <w:rPr>
          <w:rFonts w:ascii="Verdana" w:hAnsi="Verdana"/>
          <w:spacing w:val="-6"/>
          <w:sz w:val="16"/>
          <w:szCs w:val="16"/>
        </w:rPr>
        <w:t xml:space="preserve">, Milenio Flores de Jesús y Romualdo Eugenio Estrada, y iv) integrantes de </w:t>
      </w:r>
      <w:proofErr w:type="spellStart"/>
      <w:r w:rsidRPr="005A17C2">
        <w:rPr>
          <w:rFonts w:ascii="Verdana" w:hAnsi="Verdana"/>
          <w:spacing w:val="-6"/>
          <w:sz w:val="16"/>
          <w:szCs w:val="16"/>
        </w:rPr>
        <w:t>Tlachinollan</w:t>
      </w:r>
      <w:proofErr w:type="spellEnd"/>
      <w:r w:rsidRPr="005A17C2">
        <w:rPr>
          <w:rFonts w:ascii="Verdana" w:hAnsi="Verdana"/>
          <w:spacing w:val="-6"/>
          <w:sz w:val="16"/>
          <w:szCs w:val="16"/>
        </w:rPr>
        <w:t xml:space="preserve">: Abel Barrera Hernández, Alejandro Ramos Gallegos, Armando Campos Ochoa, </w:t>
      </w:r>
      <w:proofErr w:type="spellStart"/>
      <w:r w:rsidRPr="005A17C2">
        <w:rPr>
          <w:rFonts w:ascii="Verdana" w:hAnsi="Verdana"/>
          <w:spacing w:val="-6"/>
          <w:sz w:val="16"/>
          <w:szCs w:val="16"/>
        </w:rPr>
        <w:t>Epifania</w:t>
      </w:r>
      <w:proofErr w:type="spellEnd"/>
      <w:r w:rsidRPr="005A17C2">
        <w:rPr>
          <w:rFonts w:ascii="Verdana" w:hAnsi="Verdana"/>
          <w:spacing w:val="-6"/>
          <w:sz w:val="16"/>
          <w:szCs w:val="16"/>
        </w:rPr>
        <w:t xml:space="preserve"> Ramírez Arias, </w:t>
      </w:r>
      <w:proofErr w:type="spellStart"/>
      <w:r w:rsidRPr="005A17C2">
        <w:rPr>
          <w:rFonts w:ascii="Verdana" w:hAnsi="Verdana"/>
          <w:spacing w:val="-6"/>
          <w:sz w:val="16"/>
          <w:szCs w:val="16"/>
        </w:rPr>
        <w:t>Eulogia</w:t>
      </w:r>
      <w:proofErr w:type="spellEnd"/>
      <w:r w:rsidRPr="005A17C2">
        <w:rPr>
          <w:rFonts w:ascii="Verdana" w:hAnsi="Verdana"/>
          <w:spacing w:val="-6"/>
          <w:sz w:val="16"/>
          <w:szCs w:val="16"/>
        </w:rPr>
        <w:t xml:space="preserve"> Flores Vázquez, Gabino Santiago Jiménez, Isidoro Vicario Aguilar, Margarita </w:t>
      </w:r>
      <w:proofErr w:type="spellStart"/>
      <w:r w:rsidRPr="005A17C2">
        <w:rPr>
          <w:rFonts w:ascii="Verdana" w:hAnsi="Verdana"/>
          <w:spacing w:val="-6"/>
          <w:sz w:val="16"/>
          <w:szCs w:val="16"/>
        </w:rPr>
        <w:t>Nemecio</w:t>
      </w:r>
      <w:proofErr w:type="spellEnd"/>
      <w:r w:rsidRPr="005A17C2">
        <w:rPr>
          <w:rFonts w:ascii="Verdana" w:hAnsi="Verdana"/>
          <w:spacing w:val="-6"/>
          <w:sz w:val="16"/>
          <w:szCs w:val="16"/>
        </w:rPr>
        <w:t xml:space="preserve"> Nemesio, Matilde Pérez Romero, Neil Arias </w:t>
      </w:r>
      <w:proofErr w:type="spellStart"/>
      <w:r w:rsidRPr="005A17C2">
        <w:rPr>
          <w:rFonts w:ascii="Verdana" w:hAnsi="Verdana"/>
          <w:spacing w:val="-6"/>
          <w:sz w:val="16"/>
          <w:szCs w:val="16"/>
        </w:rPr>
        <w:t>Vitinio</w:t>
      </w:r>
      <w:proofErr w:type="spellEnd"/>
      <w:r w:rsidRPr="005A17C2">
        <w:rPr>
          <w:rFonts w:ascii="Verdana" w:hAnsi="Verdana"/>
          <w:spacing w:val="-6"/>
          <w:sz w:val="16"/>
          <w:szCs w:val="16"/>
        </w:rPr>
        <w:t xml:space="preserve">, Odilia Alatorre Villavicencio, Olivia Arce Bautista, Paulino Rodríguez Reyes, Roberto Gamboa Vázquez, </w:t>
      </w:r>
      <w:proofErr w:type="spellStart"/>
      <w:r w:rsidRPr="005A17C2">
        <w:rPr>
          <w:rFonts w:ascii="Verdana" w:hAnsi="Verdana"/>
          <w:spacing w:val="-6"/>
          <w:sz w:val="16"/>
          <w:szCs w:val="16"/>
        </w:rPr>
        <w:t>Vidulfo</w:t>
      </w:r>
      <w:proofErr w:type="spellEnd"/>
      <w:r w:rsidRPr="005A17C2">
        <w:rPr>
          <w:rFonts w:ascii="Verdana" w:hAnsi="Verdana"/>
          <w:spacing w:val="-6"/>
          <w:sz w:val="16"/>
          <w:szCs w:val="16"/>
        </w:rPr>
        <w:t xml:space="preserve"> Rosales Sierra, Fidela Hernández Vargas, Juan Castro </w:t>
      </w:r>
      <w:proofErr w:type="spellStart"/>
      <w:r w:rsidRPr="005A17C2">
        <w:rPr>
          <w:rFonts w:ascii="Verdana" w:hAnsi="Verdana"/>
          <w:spacing w:val="-6"/>
          <w:sz w:val="16"/>
          <w:szCs w:val="16"/>
        </w:rPr>
        <w:t>Castro</w:t>
      </w:r>
      <w:proofErr w:type="spellEnd"/>
      <w:r w:rsidRPr="005A17C2">
        <w:rPr>
          <w:rFonts w:ascii="Verdana" w:hAnsi="Verdana"/>
          <w:spacing w:val="-6"/>
          <w:sz w:val="16"/>
          <w:szCs w:val="16"/>
        </w:rPr>
        <w:t xml:space="preserve"> y Rogelio </w:t>
      </w:r>
      <w:proofErr w:type="spellStart"/>
      <w:r w:rsidRPr="005A17C2">
        <w:rPr>
          <w:rFonts w:ascii="Verdana" w:hAnsi="Verdana"/>
          <w:spacing w:val="-6"/>
          <w:sz w:val="16"/>
          <w:szCs w:val="16"/>
        </w:rPr>
        <w:t>Téliz</w:t>
      </w:r>
      <w:proofErr w:type="spellEnd"/>
      <w:r w:rsidRPr="005A17C2">
        <w:rPr>
          <w:rFonts w:ascii="Verdana" w:hAnsi="Verdana"/>
          <w:spacing w:val="-6"/>
          <w:sz w:val="16"/>
          <w:szCs w:val="16"/>
        </w:rPr>
        <w:t xml:space="preserve"> García. </w:t>
      </w:r>
      <w:r w:rsidRPr="005A17C2">
        <w:rPr>
          <w:rFonts w:ascii="Verdana" w:hAnsi="Verdana"/>
          <w:i/>
          <w:spacing w:val="-6"/>
          <w:sz w:val="16"/>
          <w:szCs w:val="16"/>
        </w:rPr>
        <w:t>Cfr.</w:t>
      </w:r>
      <w:r w:rsidRPr="005A17C2">
        <w:rPr>
          <w:rFonts w:ascii="Verdana" w:hAnsi="Verdana"/>
          <w:b/>
          <w:i/>
          <w:spacing w:val="-6"/>
          <w:sz w:val="16"/>
          <w:szCs w:val="16"/>
        </w:rPr>
        <w:t xml:space="preserve"> </w:t>
      </w:r>
      <w:r w:rsidRPr="005A17C2">
        <w:rPr>
          <w:rStyle w:val="Strong"/>
          <w:rFonts w:ascii="Verdana" w:hAnsi="Verdana"/>
          <w:b w:val="0"/>
          <w:i/>
          <w:color w:val="000000"/>
          <w:spacing w:val="-6"/>
          <w:sz w:val="16"/>
          <w:szCs w:val="16"/>
          <w:shd w:val="clear" w:color="auto" w:fill="FFFFFF"/>
        </w:rPr>
        <w:t>Caso Fernández Ortega y otros respecto de México.</w:t>
      </w:r>
      <w:r w:rsidRPr="005A17C2">
        <w:rPr>
          <w:rStyle w:val="Strong"/>
          <w:rFonts w:ascii="Verdana" w:hAnsi="Verdana"/>
          <w:b w:val="0"/>
          <w:color w:val="000000"/>
          <w:spacing w:val="-6"/>
          <w:sz w:val="16"/>
          <w:szCs w:val="16"/>
          <w:shd w:val="clear" w:color="auto" w:fill="FFFFFF"/>
        </w:rPr>
        <w:t xml:space="preserve"> Resolución de la Corte </w:t>
      </w:r>
      <w:r w:rsidR="009E61D2">
        <w:rPr>
          <w:rStyle w:val="Strong"/>
          <w:rFonts w:ascii="Verdana" w:hAnsi="Verdana"/>
          <w:b w:val="0"/>
          <w:color w:val="000000"/>
          <w:spacing w:val="-6"/>
          <w:sz w:val="16"/>
          <w:szCs w:val="16"/>
          <w:shd w:val="clear" w:color="auto" w:fill="FFFFFF"/>
        </w:rPr>
        <w:t>de 20 de febrero de 2012, C</w:t>
      </w:r>
      <w:r w:rsidRPr="005A17C2">
        <w:rPr>
          <w:rStyle w:val="Strong"/>
          <w:rFonts w:ascii="Verdana" w:hAnsi="Verdana"/>
          <w:b w:val="0"/>
          <w:color w:val="000000"/>
          <w:spacing w:val="-6"/>
          <w:sz w:val="16"/>
          <w:szCs w:val="16"/>
          <w:shd w:val="clear" w:color="auto" w:fill="FFFFFF"/>
        </w:rPr>
        <w:t xml:space="preserve">onsiderando 33 y punto resolutivo 2. </w:t>
      </w:r>
    </w:p>
  </w:footnote>
  <w:footnote w:id="5">
    <w:p w14:paraId="3712763B" w14:textId="62CC0A62" w:rsidR="00156B6B" w:rsidRPr="00B9633B" w:rsidRDefault="00156B6B" w:rsidP="00EB2693">
      <w:pPr>
        <w:pStyle w:val="FootnoteText"/>
        <w:tabs>
          <w:tab w:val="left" w:pos="360"/>
          <w:tab w:val="left" w:pos="567"/>
        </w:tabs>
        <w:spacing w:before="60" w:after="60"/>
        <w:jc w:val="both"/>
        <w:rPr>
          <w:rFonts w:ascii="Verdana" w:hAnsi="Verdana"/>
          <w:spacing w:val="-6"/>
          <w:sz w:val="16"/>
          <w:szCs w:val="16"/>
        </w:rPr>
      </w:pPr>
      <w:r w:rsidRPr="005A17C2">
        <w:rPr>
          <w:rStyle w:val="FootnoteReference"/>
          <w:spacing w:val="-6"/>
          <w:szCs w:val="16"/>
        </w:rPr>
        <w:footnoteRef/>
      </w:r>
      <w:r w:rsidRPr="005A17C2">
        <w:rPr>
          <w:spacing w:val="-6"/>
          <w:sz w:val="16"/>
          <w:szCs w:val="16"/>
        </w:rPr>
        <w:t xml:space="preserve"> </w:t>
      </w:r>
      <w:r w:rsidRPr="005A17C2">
        <w:rPr>
          <w:spacing w:val="-6"/>
          <w:sz w:val="16"/>
          <w:szCs w:val="16"/>
        </w:rPr>
        <w:tab/>
      </w:r>
      <w:r w:rsidR="00EB2693">
        <w:rPr>
          <w:spacing w:val="-6"/>
          <w:sz w:val="16"/>
          <w:szCs w:val="16"/>
        </w:rPr>
        <w:tab/>
      </w:r>
      <w:r w:rsidRPr="005A17C2">
        <w:rPr>
          <w:rFonts w:ascii="Verdana" w:hAnsi="Verdana"/>
          <w:i/>
          <w:spacing w:val="-6"/>
          <w:sz w:val="16"/>
          <w:szCs w:val="16"/>
        </w:rPr>
        <w:t>Cfr.</w:t>
      </w:r>
      <w:r w:rsidRPr="005A17C2">
        <w:rPr>
          <w:rFonts w:ascii="Verdana" w:hAnsi="Verdana"/>
          <w:b/>
          <w:i/>
          <w:spacing w:val="-6"/>
          <w:sz w:val="16"/>
          <w:szCs w:val="16"/>
        </w:rPr>
        <w:t xml:space="preserve"> </w:t>
      </w:r>
      <w:r w:rsidRPr="00B9633B">
        <w:rPr>
          <w:rStyle w:val="Strong"/>
          <w:rFonts w:ascii="Verdana" w:hAnsi="Verdana"/>
          <w:b w:val="0"/>
          <w:i/>
          <w:color w:val="000000"/>
          <w:spacing w:val="-6"/>
          <w:sz w:val="16"/>
          <w:szCs w:val="16"/>
          <w:shd w:val="clear" w:color="auto" w:fill="FFFFFF"/>
        </w:rPr>
        <w:t>Caso Fernández Ortega y otros respecto de México.</w:t>
      </w:r>
      <w:r w:rsidRPr="00B9633B">
        <w:rPr>
          <w:rStyle w:val="Strong"/>
          <w:rFonts w:ascii="Verdana" w:hAnsi="Verdana"/>
          <w:b w:val="0"/>
          <w:color w:val="000000"/>
          <w:spacing w:val="-6"/>
          <w:sz w:val="16"/>
          <w:szCs w:val="16"/>
          <w:shd w:val="clear" w:color="auto" w:fill="FFFFFF"/>
        </w:rPr>
        <w:t xml:space="preserve"> Resolución de la Corte </w:t>
      </w:r>
      <w:r w:rsidR="00103B71">
        <w:rPr>
          <w:rStyle w:val="Strong"/>
          <w:rFonts w:ascii="Verdana" w:hAnsi="Verdana"/>
          <w:b w:val="0"/>
          <w:color w:val="000000"/>
          <w:spacing w:val="-6"/>
          <w:sz w:val="16"/>
          <w:szCs w:val="16"/>
          <w:shd w:val="clear" w:color="auto" w:fill="FFFFFF"/>
        </w:rPr>
        <w:t xml:space="preserve">de </w:t>
      </w:r>
      <w:r w:rsidRPr="00B9633B">
        <w:rPr>
          <w:rStyle w:val="Strong"/>
          <w:rFonts w:ascii="Verdana" w:hAnsi="Verdana"/>
          <w:b w:val="0"/>
          <w:color w:val="000000"/>
          <w:spacing w:val="-6"/>
          <w:sz w:val="16"/>
          <w:szCs w:val="16"/>
          <w:shd w:val="clear" w:color="auto" w:fill="FFFFFF"/>
        </w:rPr>
        <w:t xml:space="preserve">20 de febrero de 2012, </w:t>
      </w:r>
      <w:r w:rsidR="00103B71">
        <w:rPr>
          <w:rStyle w:val="Strong"/>
          <w:rFonts w:ascii="Verdana" w:hAnsi="Verdana"/>
          <w:b w:val="0"/>
          <w:color w:val="000000"/>
          <w:spacing w:val="-6"/>
          <w:sz w:val="16"/>
          <w:szCs w:val="16"/>
          <w:shd w:val="clear" w:color="auto" w:fill="FFFFFF"/>
        </w:rPr>
        <w:t>Considerandos 9 y 33</w:t>
      </w:r>
      <w:r w:rsidRPr="00B9633B">
        <w:rPr>
          <w:rStyle w:val="Strong"/>
          <w:rFonts w:ascii="Verdana" w:hAnsi="Verdana"/>
          <w:b w:val="0"/>
          <w:color w:val="000000"/>
          <w:spacing w:val="-6"/>
          <w:sz w:val="16"/>
          <w:szCs w:val="16"/>
          <w:shd w:val="clear" w:color="auto" w:fill="FFFFFF"/>
        </w:rPr>
        <w:t xml:space="preserve"> y punto resolutivo 2.</w:t>
      </w:r>
    </w:p>
  </w:footnote>
  <w:footnote w:id="6">
    <w:p w14:paraId="595DF503" w14:textId="3A6E4D28" w:rsidR="00156B6B" w:rsidRPr="00B9633B" w:rsidRDefault="00156B6B" w:rsidP="00EB2693">
      <w:pPr>
        <w:tabs>
          <w:tab w:val="left" w:pos="360"/>
          <w:tab w:val="left" w:pos="426"/>
          <w:tab w:val="left" w:pos="567"/>
        </w:tabs>
        <w:spacing w:before="60" w:after="60"/>
        <w:jc w:val="both"/>
        <w:rPr>
          <w:rFonts w:ascii="Verdana" w:eastAsia="Calibri" w:hAnsi="Verdana" w:cs="Arial"/>
          <w:b/>
          <w:spacing w:val="-6"/>
          <w:sz w:val="16"/>
          <w:szCs w:val="16"/>
          <w:lang w:val="es-CR" w:eastAsia="es-CR"/>
        </w:rPr>
      </w:pPr>
      <w:r w:rsidRPr="00B9633B">
        <w:rPr>
          <w:rStyle w:val="FootnoteReference"/>
          <w:spacing w:val="-6"/>
          <w:szCs w:val="16"/>
        </w:rPr>
        <w:footnoteRef/>
      </w:r>
      <w:r w:rsidRPr="00B9633B">
        <w:rPr>
          <w:rFonts w:ascii="Verdana" w:hAnsi="Verdana"/>
          <w:spacing w:val="-6"/>
          <w:sz w:val="16"/>
          <w:szCs w:val="16"/>
        </w:rPr>
        <w:t xml:space="preserve"> </w:t>
      </w:r>
      <w:r w:rsidRPr="00B9633B">
        <w:rPr>
          <w:rFonts w:ascii="Verdana" w:hAnsi="Verdana"/>
          <w:spacing w:val="-6"/>
          <w:sz w:val="16"/>
          <w:szCs w:val="16"/>
        </w:rPr>
        <w:tab/>
      </w:r>
      <w:r w:rsidR="00EB2693">
        <w:rPr>
          <w:rFonts w:ascii="Verdana" w:hAnsi="Verdana"/>
          <w:spacing w:val="-6"/>
          <w:sz w:val="16"/>
          <w:szCs w:val="16"/>
        </w:rPr>
        <w:tab/>
      </w:r>
      <w:r w:rsidR="00EB2693">
        <w:rPr>
          <w:rFonts w:ascii="Verdana" w:hAnsi="Verdana"/>
          <w:spacing w:val="-6"/>
          <w:sz w:val="16"/>
          <w:szCs w:val="16"/>
        </w:rPr>
        <w:tab/>
      </w:r>
      <w:r w:rsidRPr="00B9633B">
        <w:rPr>
          <w:rFonts w:ascii="Verdana" w:hAnsi="Verdana"/>
          <w:spacing w:val="-6"/>
          <w:sz w:val="16"/>
          <w:szCs w:val="16"/>
          <w:lang w:val="es-CR"/>
        </w:rPr>
        <w:t xml:space="preserve">Concretamente, en sus informes de octubre 2014, </w:t>
      </w:r>
      <w:r w:rsidR="00103B71">
        <w:rPr>
          <w:rFonts w:ascii="Verdana" w:hAnsi="Verdana"/>
          <w:spacing w:val="-6"/>
          <w:sz w:val="16"/>
          <w:szCs w:val="16"/>
          <w:lang w:val="es-CR"/>
        </w:rPr>
        <w:t xml:space="preserve">de </w:t>
      </w:r>
      <w:r w:rsidRPr="00B9633B">
        <w:rPr>
          <w:rFonts w:ascii="Verdana" w:hAnsi="Verdana"/>
          <w:spacing w:val="-6"/>
          <w:sz w:val="16"/>
          <w:szCs w:val="16"/>
          <w:lang w:val="es-CR"/>
        </w:rPr>
        <w:t xml:space="preserve">enero y agosto de 2015 y </w:t>
      </w:r>
      <w:r w:rsidR="00103B71">
        <w:rPr>
          <w:rFonts w:ascii="Verdana" w:hAnsi="Verdana"/>
          <w:spacing w:val="-6"/>
          <w:sz w:val="16"/>
          <w:szCs w:val="16"/>
          <w:lang w:val="es-CR"/>
        </w:rPr>
        <w:t xml:space="preserve">de </w:t>
      </w:r>
      <w:r w:rsidRPr="00B9633B">
        <w:rPr>
          <w:rFonts w:ascii="Verdana" w:hAnsi="Verdana"/>
          <w:spacing w:val="-6"/>
          <w:sz w:val="16"/>
          <w:szCs w:val="16"/>
          <w:lang w:val="es-CR"/>
        </w:rPr>
        <w:t xml:space="preserve">enero de 2016 el Estado precisó que: (i) </w:t>
      </w:r>
      <w:r>
        <w:rPr>
          <w:rFonts w:ascii="Verdana" w:hAnsi="Verdana"/>
          <w:spacing w:val="-6"/>
          <w:sz w:val="16"/>
          <w:szCs w:val="16"/>
          <w:lang w:val="es-CR"/>
        </w:rPr>
        <w:t>e</w:t>
      </w:r>
      <w:r w:rsidRPr="00B9633B">
        <w:rPr>
          <w:rFonts w:ascii="Verdana" w:hAnsi="Verdana"/>
          <w:spacing w:val="-6"/>
          <w:sz w:val="16"/>
          <w:szCs w:val="16"/>
          <w:lang w:val="es-CR"/>
        </w:rPr>
        <w:t>n las</w:t>
      </w:r>
      <w:r w:rsidRPr="00B9633B">
        <w:rPr>
          <w:rFonts w:ascii="Verdana" w:hAnsi="Verdana" w:cs="Arial"/>
          <w:spacing w:val="-6"/>
          <w:sz w:val="16"/>
          <w:szCs w:val="16"/>
          <w:lang w:val="es-CR" w:eastAsia="es-CR"/>
        </w:rPr>
        <w:t xml:space="preserve"> oficina</w:t>
      </w:r>
      <w:r w:rsidR="00103B71">
        <w:rPr>
          <w:rFonts w:ascii="Verdana" w:hAnsi="Verdana" w:cs="Arial"/>
          <w:spacing w:val="-6"/>
          <w:sz w:val="16"/>
          <w:szCs w:val="16"/>
          <w:lang w:val="es-CR" w:eastAsia="es-CR"/>
        </w:rPr>
        <w:t>s</w:t>
      </w:r>
      <w:r w:rsidRPr="00B9633B">
        <w:rPr>
          <w:rFonts w:ascii="Verdana" w:hAnsi="Verdana" w:cs="Arial"/>
          <w:spacing w:val="-6"/>
          <w:sz w:val="16"/>
          <w:szCs w:val="16"/>
          <w:lang w:val="es-CR" w:eastAsia="es-CR"/>
        </w:rPr>
        <w:t xml:space="preserve"> de </w:t>
      </w:r>
      <w:proofErr w:type="spellStart"/>
      <w:r w:rsidRPr="00B9633B">
        <w:rPr>
          <w:rFonts w:ascii="Verdana" w:hAnsi="Verdana" w:cs="Arial"/>
          <w:spacing w:val="-6"/>
          <w:sz w:val="16"/>
          <w:szCs w:val="16"/>
          <w:lang w:val="es-CR" w:eastAsia="es-CR"/>
        </w:rPr>
        <w:t>Tlachinollan</w:t>
      </w:r>
      <w:proofErr w:type="spellEnd"/>
      <w:r w:rsidRPr="00B9633B">
        <w:rPr>
          <w:rFonts w:ascii="Verdana" w:hAnsi="Verdana" w:cs="Arial"/>
          <w:spacing w:val="-6"/>
          <w:sz w:val="16"/>
          <w:szCs w:val="16"/>
          <w:lang w:val="es-CR" w:eastAsia="es-CR"/>
        </w:rPr>
        <w:t xml:space="preserve"> en Ayutla de los Libres y de Tlapa de Comonfort </w:t>
      </w:r>
      <w:r w:rsidR="00103B71">
        <w:rPr>
          <w:rFonts w:ascii="Verdana" w:hAnsi="Verdana" w:cs="Arial"/>
          <w:spacing w:val="-6"/>
          <w:sz w:val="16"/>
          <w:szCs w:val="16"/>
          <w:lang w:val="es-CR" w:eastAsia="es-CR"/>
        </w:rPr>
        <w:t xml:space="preserve">instaló </w:t>
      </w:r>
      <w:r w:rsidRPr="00B9633B">
        <w:rPr>
          <w:rFonts w:ascii="Verdana" w:hAnsi="Verdana" w:cs="Arial"/>
          <w:spacing w:val="-6"/>
          <w:sz w:val="16"/>
          <w:szCs w:val="16"/>
          <w:lang w:val="es-CR" w:eastAsia="es-CR"/>
        </w:rPr>
        <w:t xml:space="preserve">y </w:t>
      </w:r>
      <w:r w:rsidR="00103B71">
        <w:rPr>
          <w:rFonts w:ascii="Verdana" w:hAnsi="Verdana" w:cs="Arial"/>
          <w:spacing w:val="-6"/>
          <w:sz w:val="16"/>
          <w:szCs w:val="16"/>
          <w:lang w:val="es-CR" w:eastAsia="es-CR"/>
        </w:rPr>
        <w:t xml:space="preserve">puso </w:t>
      </w:r>
      <w:r w:rsidRPr="00B9633B">
        <w:rPr>
          <w:rFonts w:ascii="Verdana" w:hAnsi="Verdana" w:cs="Arial"/>
          <w:spacing w:val="-6"/>
          <w:sz w:val="16"/>
          <w:szCs w:val="16"/>
          <w:lang w:val="es-CR" w:eastAsia="es-CR"/>
        </w:rPr>
        <w:t xml:space="preserve">en operación </w:t>
      </w:r>
      <w:r w:rsidR="00103B71">
        <w:rPr>
          <w:rFonts w:ascii="Verdana" w:hAnsi="Verdana" w:cs="Arial"/>
          <w:spacing w:val="-6"/>
          <w:sz w:val="16"/>
          <w:szCs w:val="16"/>
          <w:lang w:val="es-CR" w:eastAsia="es-CR"/>
        </w:rPr>
        <w:t xml:space="preserve">un </w:t>
      </w:r>
      <w:r w:rsidRPr="00B9633B">
        <w:rPr>
          <w:rFonts w:ascii="Verdana" w:hAnsi="Verdana" w:cs="Arial"/>
          <w:spacing w:val="-6"/>
          <w:sz w:val="16"/>
          <w:szCs w:val="16"/>
          <w:lang w:val="es-CR" w:eastAsia="es-CR"/>
        </w:rPr>
        <w:t>Circuito Cerrado de T.V</w:t>
      </w:r>
      <w:r w:rsidR="00103B71">
        <w:rPr>
          <w:rFonts w:ascii="Verdana" w:hAnsi="Verdana" w:cs="Arial"/>
          <w:spacing w:val="-6"/>
          <w:sz w:val="16"/>
          <w:szCs w:val="16"/>
          <w:lang w:val="es-CR" w:eastAsia="es-CR"/>
        </w:rPr>
        <w:t>.</w:t>
      </w:r>
      <w:r w:rsidRPr="00B9633B">
        <w:rPr>
          <w:rFonts w:ascii="Verdana" w:hAnsi="Verdana" w:cs="Arial"/>
          <w:spacing w:val="-6"/>
          <w:sz w:val="16"/>
          <w:szCs w:val="16"/>
          <w:lang w:val="es-CR" w:eastAsia="es-CR"/>
        </w:rPr>
        <w:t xml:space="preserve"> Digital I.P</w:t>
      </w:r>
      <w:r w:rsidR="00103B71">
        <w:rPr>
          <w:rFonts w:ascii="Verdana" w:hAnsi="Verdana" w:cs="Arial"/>
          <w:spacing w:val="-6"/>
          <w:sz w:val="16"/>
          <w:szCs w:val="16"/>
          <w:lang w:val="es-CR" w:eastAsia="es-CR"/>
        </w:rPr>
        <w:t>.</w:t>
      </w:r>
      <w:r w:rsidRPr="00B9633B">
        <w:rPr>
          <w:rFonts w:ascii="Verdana" w:hAnsi="Verdana" w:cs="Arial"/>
          <w:spacing w:val="-6"/>
          <w:sz w:val="16"/>
          <w:szCs w:val="16"/>
          <w:lang w:val="es-CR" w:eastAsia="es-CR"/>
        </w:rPr>
        <w:t xml:space="preserve"> (CCTV), cuatro y seis cámaras</w:t>
      </w:r>
      <w:r w:rsidR="00277977" w:rsidRPr="00277977">
        <w:rPr>
          <w:rFonts w:ascii="Verdana" w:hAnsi="Verdana" w:cs="Arial"/>
          <w:spacing w:val="-6"/>
          <w:sz w:val="16"/>
          <w:szCs w:val="16"/>
          <w:lang w:val="es-CR" w:eastAsia="es-CR"/>
        </w:rPr>
        <w:t xml:space="preserve"> </w:t>
      </w:r>
      <w:r w:rsidR="00277977" w:rsidRPr="00B9633B">
        <w:rPr>
          <w:rFonts w:ascii="Verdana" w:hAnsi="Verdana" w:cs="Arial"/>
          <w:spacing w:val="-6"/>
          <w:sz w:val="16"/>
          <w:szCs w:val="16"/>
          <w:lang w:val="es-CR" w:eastAsia="es-CR"/>
        </w:rPr>
        <w:t>de vigilancia digital</w:t>
      </w:r>
      <w:r w:rsidR="00103B71">
        <w:rPr>
          <w:rFonts w:ascii="Verdana" w:hAnsi="Verdana" w:cs="Arial"/>
          <w:spacing w:val="-6"/>
          <w:sz w:val="16"/>
          <w:szCs w:val="16"/>
          <w:lang w:val="es-CR" w:eastAsia="es-CR"/>
        </w:rPr>
        <w:t>, respectivamente,</w:t>
      </w:r>
      <w:r w:rsidRPr="00B9633B">
        <w:rPr>
          <w:rFonts w:ascii="Verdana" w:hAnsi="Verdana" w:cs="Arial"/>
          <w:spacing w:val="-6"/>
          <w:sz w:val="16"/>
          <w:szCs w:val="16"/>
          <w:lang w:val="es-CR" w:eastAsia="es-CR"/>
        </w:rPr>
        <w:t xml:space="preserve"> para el </w:t>
      </w:r>
      <w:r w:rsidR="00277977">
        <w:rPr>
          <w:rFonts w:ascii="Verdana" w:hAnsi="Verdana" w:cs="Arial"/>
          <w:spacing w:val="-6"/>
          <w:sz w:val="16"/>
          <w:szCs w:val="16"/>
          <w:lang w:val="es-CR" w:eastAsia="es-CR"/>
        </w:rPr>
        <w:t>CCTV</w:t>
      </w:r>
      <w:r w:rsidRPr="00B9633B">
        <w:rPr>
          <w:rFonts w:ascii="Verdana" w:hAnsi="Verdana" w:cs="Arial"/>
          <w:spacing w:val="-6"/>
          <w:sz w:val="16"/>
          <w:szCs w:val="16"/>
          <w:lang w:val="es-CR" w:eastAsia="es-CR"/>
        </w:rPr>
        <w:t xml:space="preserve"> con canalización</w:t>
      </w:r>
      <w:r w:rsidR="00103B71">
        <w:rPr>
          <w:rFonts w:ascii="Verdana" w:hAnsi="Verdana" w:cs="Arial"/>
          <w:spacing w:val="-6"/>
          <w:sz w:val="16"/>
          <w:szCs w:val="16"/>
          <w:lang w:val="es-CR" w:eastAsia="es-CR"/>
        </w:rPr>
        <w:t xml:space="preserve">, </w:t>
      </w:r>
      <w:r w:rsidR="00277977">
        <w:rPr>
          <w:rFonts w:ascii="Verdana" w:hAnsi="Verdana" w:cs="Arial"/>
          <w:spacing w:val="-6"/>
          <w:sz w:val="16"/>
          <w:szCs w:val="16"/>
          <w:lang w:val="es-CR" w:eastAsia="es-CR"/>
        </w:rPr>
        <w:t xml:space="preserve">así como </w:t>
      </w:r>
      <w:r w:rsidRPr="00B9633B">
        <w:rPr>
          <w:rFonts w:ascii="Verdana" w:hAnsi="Verdana" w:cs="Arial"/>
          <w:spacing w:val="-6"/>
          <w:sz w:val="16"/>
          <w:szCs w:val="16"/>
          <w:lang w:val="es-CR" w:eastAsia="es-CR"/>
        </w:rPr>
        <w:t xml:space="preserve">suministró e instaló dos luminarias suburbanas para cada sede; (ii) </w:t>
      </w:r>
      <w:r>
        <w:rPr>
          <w:rFonts w:ascii="Verdana" w:hAnsi="Verdana" w:cs="Arial"/>
          <w:spacing w:val="-6"/>
          <w:sz w:val="16"/>
          <w:szCs w:val="16"/>
          <w:lang w:val="es-CR" w:eastAsia="es-CR"/>
        </w:rPr>
        <w:t>e</w:t>
      </w:r>
      <w:r w:rsidRPr="00B9633B">
        <w:rPr>
          <w:rFonts w:ascii="Verdana" w:hAnsi="Verdana" w:cs="Arial"/>
          <w:spacing w:val="-6"/>
          <w:sz w:val="16"/>
          <w:szCs w:val="16"/>
          <w:lang w:val="es-CR" w:eastAsia="es-CR"/>
        </w:rPr>
        <w:t>n las oficinas de OPIM en Ayutla de los Libres,</w:t>
      </w:r>
      <w:r w:rsidRPr="00B9633B">
        <w:rPr>
          <w:rFonts w:ascii="Verdana" w:hAnsi="Verdana"/>
        </w:rPr>
        <w:t xml:space="preserve"> </w:t>
      </w:r>
      <w:r w:rsidRPr="00B9633B">
        <w:rPr>
          <w:rFonts w:ascii="Verdana" w:hAnsi="Verdana" w:cs="Arial"/>
          <w:spacing w:val="-6"/>
          <w:sz w:val="16"/>
          <w:szCs w:val="16"/>
          <w:lang w:val="es-CR" w:eastAsia="es-CR"/>
        </w:rPr>
        <w:t>instaló y puso en operación un CCTV y cuatro cámaras de vigilancia digita</w:t>
      </w:r>
      <w:r w:rsidR="00277977">
        <w:rPr>
          <w:rFonts w:ascii="Verdana" w:hAnsi="Verdana" w:cs="Arial"/>
          <w:spacing w:val="-6"/>
          <w:sz w:val="16"/>
          <w:szCs w:val="16"/>
          <w:lang w:val="es-CR" w:eastAsia="es-CR"/>
        </w:rPr>
        <w:t>l para el CCTV con canalización</w:t>
      </w:r>
      <w:r w:rsidRPr="00B9633B">
        <w:rPr>
          <w:rFonts w:ascii="Verdana" w:hAnsi="Verdana" w:cs="Arial"/>
          <w:spacing w:val="-6"/>
          <w:sz w:val="16"/>
          <w:szCs w:val="16"/>
          <w:lang w:val="es-CR" w:eastAsia="es-CR"/>
        </w:rPr>
        <w:t xml:space="preserve">; (iii) </w:t>
      </w:r>
      <w:r>
        <w:rPr>
          <w:rFonts w:ascii="Verdana" w:hAnsi="Verdana" w:cs="Arial"/>
          <w:spacing w:val="-6"/>
          <w:sz w:val="16"/>
          <w:szCs w:val="16"/>
          <w:lang w:val="es-CR" w:eastAsia="es-CR"/>
        </w:rPr>
        <w:t>e</w:t>
      </w:r>
      <w:r w:rsidRPr="00B9633B">
        <w:rPr>
          <w:rFonts w:ascii="Verdana" w:hAnsi="Verdana" w:cs="Arial"/>
          <w:spacing w:val="-6"/>
          <w:sz w:val="16"/>
          <w:szCs w:val="16"/>
          <w:lang w:val="es-CR" w:eastAsia="es-CR"/>
        </w:rPr>
        <w:t>n el domicilio de Abel Barrera igualmente puso en operación un CCTV</w:t>
      </w:r>
      <w:r w:rsidR="00277977">
        <w:rPr>
          <w:rFonts w:ascii="Verdana" w:hAnsi="Verdana" w:cs="Arial"/>
          <w:spacing w:val="-6"/>
          <w:sz w:val="16"/>
          <w:szCs w:val="16"/>
          <w:lang w:val="es-CR" w:eastAsia="es-CR"/>
        </w:rPr>
        <w:t>,</w:t>
      </w:r>
      <w:r w:rsidRPr="00B9633B">
        <w:rPr>
          <w:rFonts w:ascii="Verdana" w:hAnsi="Verdana" w:cs="Arial"/>
          <w:spacing w:val="-6"/>
          <w:sz w:val="16"/>
          <w:szCs w:val="16"/>
          <w:lang w:val="es-CR" w:eastAsia="es-CR"/>
        </w:rPr>
        <w:t xml:space="preserve"> cuatro cámaras de vigilancia digital para el CCTV con canalización y cuatro luminarias suburbanas, y </w:t>
      </w:r>
      <w:r>
        <w:rPr>
          <w:rFonts w:ascii="Verdana" w:hAnsi="Verdana" w:cs="Arial"/>
          <w:spacing w:val="-6"/>
          <w:sz w:val="16"/>
          <w:szCs w:val="16"/>
          <w:lang w:val="es-CR" w:eastAsia="es-CR"/>
        </w:rPr>
        <w:t>f</w:t>
      </w:r>
      <w:r w:rsidRPr="00B9633B">
        <w:rPr>
          <w:rFonts w:ascii="Verdana" w:hAnsi="Verdana" w:cs="Arial"/>
          <w:spacing w:val="-6"/>
          <w:sz w:val="16"/>
          <w:szCs w:val="16"/>
          <w:lang w:val="es-CR" w:eastAsia="es-CR"/>
        </w:rPr>
        <w:t>inalmente (iv) en el domicilio de Inés Fernández,  instaló y puso en operación un sistema de CCTV</w:t>
      </w:r>
      <w:r w:rsidR="00277977">
        <w:rPr>
          <w:rFonts w:ascii="Verdana" w:hAnsi="Verdana" w:cs="Arial"/>
          <w:spacing w:val="-6"/>
          <w:sz w:val="16"/>
          <w:szCs w:val="16"/>
          <w:lang w:val="es-CR" w:eastAsia="es-CR"/>
        </w:rPr>
        <w:t>,</w:t>
      </w:r>
      <w:r w:rsidRPr="00B9633B">
        <w:rPr>
          <w:rFonts w:ascii="Verdana" w:hAnsi="Verdana" w:cs="Arial"/>
          <w:spacing w:val="-6"/>
          <w:sz w:val="16"/>
          <w:szCs w:val="16"/>
          <w:lang w:val="es-CR" w:eastAsia="es-CR"/>
        </w:rPr>
        <w:t xml:space="preserve"> cuatro cámaras de vigilancia digita</w:t>
      </w:r>
      <w:r w:rsidR="00277977">
        <w:rPr>
          <w:rFonts w:ascii="Verdana" w:hAnsi="Verdana" w:cs="Arial"/>
          <w:spacing w:val="-6"/>
          <w:sz w:val="16"/>
          <w:szCs w:val="16"/>
          <w:lang w:val="es-CR" w:eastAsia="es-CR"/>
        </w:rPr>
        <w:t>l para el CCTV con canalización</w:t>
      </w:r>
      <w:r w:rsidRPr="00B9633B">
        <w:rPr>
          <w:rFonts w:ascii="Verdana" w:hAnsi="Verdana" w:cs="Arial"/>
          <w:spacing w:val="-6"/>
          <w:sz w:val="16"/>
          <w:szCs w:val="16"/>
          <w:lang w:val="es-CR" w:eastAsia="es-CR"/>
        </w:rPr>
        <w:t xml:space="preserve"> y dos reflectores de iluminación. Adicionalmente, instaló una línea satelital de telefonía. Resaltó que los sistemas de seguridad con los que cuentan los beneficiarios permiten el monitoreo vía internet de cada cámara y cuentan con sistemas de iluminación nocturna y una instalación reforzada que protege los equipos contra ataques y robo, al igual que permite la posibilidad de grabar por varios días aun cuando éstos sean desconectados o alterados. </w:t>
      </w:r>
    </w:p>
  </w:footnote>
  <w:footnote w:id="7">
    <w:p w14:paraId="5E7A0752" w14:textId="3492D0D9" w:rsidR="00156B6B" w:rsidRPr="005A17C2" w:rsidRDefault="00156B6B" w:rsidP="00EB2693">
      <w:pPr>
        <w:pStyle w:val="FootnoteText"/>
        <w:tabs>
          <w:tab w:val="left" w:pos="360"/>
          <w:tab w:val="left" w:pos="567"/>
        </w:tabs>
        <w:spacing w:before="60" w:after="60"/>
        <w:jc w:val="both"/>
        <w:rPr>
          <w:rFonts w:ascii="Verdana" w:hAnsi="Verdana"/>
          <w:spacing w:val="-6"/>
          <w:sz w:val="16"/>
          <w:szCs w:val="16"/>
        </w:rPr>
      </w:pPr>
      <w:r w:rsidRPr="00B9633B">
        <w:rPr>
          <w:rStyle w:val="FootnoteReference"/>
          <w:spacing w:val="-6"/>
          <w:szCs w:val="16"/>
        </w:rPr>
        <w:footnoteRef/>
      </w:r>
      <w:r w:rsidRPr="00B9633B">
        <w:rPr>
          <w:rFonts w:ascii="Verdana" w:hAnsi="Verdana"/>
          <w:spacing w:val="-6"/>
          <w:sz w:val="16"/>
          <w:szCs w:val="16"/>
        </w:rPr>
        <w:t xml:space="preserve"> </w:t>
      </w:r>
      <w:r w:rsidRPr="00B9633B">
        <w:rPr>
          <w:rFonts w:ascii="Verdana" w:hAnsi="Verdana"/>
          <w:spacing w:val="-6"/>
          <w:sz w:val="16"/>
          <w:szCs w:val="16"/>
        </w:rPr>
        <w:tab/>
      </w:r>
      <w:r w:rsidR="00EB2693">
        <w:rPr>
          <w:rFonts w:ascii="Verdana" w:hAnsi="Verdana"/>
          <w:spacing w:val="-6"/>
          <w:sz w:val="16"/>
          <w:szCs w:val="16"/>
        </w:rPr>
        <w:tab/>
      </w:r>
      <w:r w:rsidRPr="00B9633B">
        <w:rPr>
          <w:rFonts w:ascii="Verdana" w:hAnsi="Verdana"/>
          <w:spacing w:val="-6"/>
          <w:sz w:val="16"/>
          <w:szCs w:val="16"/>
        </w:rPr>
        <w:t>Las partes se refieran a esta medida, indistintamente, como “reja perimetral”, “reja ciclónica”, “malla ciclónica” o “alambre perimetral”. La Corte entiende que se trata de una única medida solicitada desde 22 de marzo de 2011</w:t>
      </w:r>
      <w:r>
        <w:rPr>
          <w:rFonts w:ascii="Verdana" w:hAnsi="Verdana"/>
          <w:b/>
          <w:spacing w:val="-6"/>
          <w:sz w:val="16"/>
          <w:szCs w:val="16"/>
        </w:rPr>
        <w:t>.</w:t>
      </w:r>
    </w:p>
  </w:footnote>
  <w:footnote w:id="8">
    <w:p w14:paraId="6F634140" w14:textId="7F62DC16" w:rsidR="00156B6B" w:rsidRPr="00A96FFA" w:rsidRDefault="00156B6B" w:rsidP="00EB2693">
      <w:pPr>
        <w:pStyle w:val="FootnoteText"/>
        <w:tabs>
          <w:tab w:val="left" w:pos="360"/>
          <w:tab w:val="left" w:pos="567"/>
        </w:tabs>
        <w:spacing w:before="60" w:after="60"/>
        <w:jc w:val="both"/>
        <w:rPr>
          <w:rFonts w:ascii="Verdana" w:hAnsi="Verdana"/>
          <w:spacing w:val="-6"/>
          <w:sz w:val="16"/>
          <w:szCs w:val="16"/>
        </w:rPr>
      </w:pPr>
      <w:r w:rsidRPr="00A96FFA">
        <w:rPr>
          <w:rStyle w:val="FootnoteReference"/>
          <w:spacing w:val="-6"/>
          <w:szCs w:val="16"/>
        </w:rPr>
        <w:footnoteRef/>
      </w:r>
      <w:r w:rsidRPr="00A96FFA">
        <w:rPr>
          <w:rFonts w:ascii="Verdana" w:hAnsi="Verdana"/>
          <w:spacing w:val="-6"/>
          <w:sz w:val="16"/>
          <w:szCs w:val="16"/>
        </w:rPr>
        <w:t xml:space="preserve"> </w:t>
      </w:r>
      <w:r w:rsidRPr="00A96FFA">
        <w:rPr>
          <w:rFonts w:ascii="Verdana" w:hAnsi="Verdana"/>
          <w:spacing w:val="-6"/>
          <w:sz w:val="16"/>
          <w:szCs w:val="16"/>
        </w:rPr>
        <w:tab/>
      </w:r>
      <w:r w:rsidR="00EB2693">
        <w:rPr>
          <w:rFonts w:ascii="Verdana" w:hAnsi="Verdana"/>
          <w:spacing w:val="-6"/>
          <w:sz w:val="16"/>
          <w:szCs w:val="16"/>
        </w:rPr>
        <w:tab/>
      </w:r>
      <w:r w:rsidRPr="00A96FFA">
        <w:rPr>
          <w:rFonts w:ascii="Verdana" w:hAnsi="Verdana"/>
          <w:spacing w:val="-6"/>
          <w:sz w:val="16"/>
          <w:szCs w:val="16"/>
        </w:rPr>
        <w:t xml:space="preserve">En diciembre de 2014 manifestaron que sí habían pactado con el Estado la instalación de la reja perimetral y de un sistema de comunicación entre las oficinas de </w:t>
      </w:r>
      <w:proofErr w:type="spellStart"/>
      <w:r w:rsidRPr="00A96FFA">
        <w:rPr>
          <w:rFonts w:ascii="Verdana" w:hAnsi="Verdana"/>
          <w:spacing w:val="-6"/>
          <w:sz w:val="16"/>
          <w:szCs w:val="16"/>
        </w:rPr>
        <w:t>Tlachinollan</w:t>
      </w:r>
      <w:proofErr w:type="spellEnd"/>
      <w:r w:rsidRPr="00A96FFA">
        <w:rPr>
          <w:rFonts w:ascii="Verdana" w:hAnsi="Verdana"/>
          <w:spacing w:val="-6"/>
          <w:sz w:val="16"/>
          <w:szCs w:val="16"/>
        </w:rPr>
        <w:t xml:space="preserve"> </w:t>
      </w:r>
      <w:r w:rsidRPr="00A96FFA">
        <w:rPr>
          <w:rFonts w:ascii="Verdana" w:hAnsi="Verdana"/>
          <w:spacing w:val="-6"/>
          <w:sz w:val="16"/>
          <w:szCs w:val="16"/>
          <w:lang w:val="es-CR"/>
        </w:rPr>
        <w:t xml:space="preserve">en Tlapa de Comonfort y en Ayutla de los Libres. Indicaron que </w:t>
      </w:r>
      <w:r w:rsidRPr="00A96FFA">
        <w:rPr>
          <w:rFonts w:ascii="Verdana" w:hAnsi="Verdana"/>
          <w:spacing w:val="-6"/>
          <w:sz w:val="16"/>
          <w:szCs w:val="16"/>
        </w:rPr>
        <w:t xml:space="preserve">en la reunión de julio de 2014, se acordó la última de estas medidas y que “mediante oficio de 15 de mayo de 2013 firmado por el Coordinador General de Proyectos Estratégicos del Ejecutivo del Estado de Guerrero, se informó haber iniciado gestiones para la instalación de dicha malla perimetral en el domicilio del beneficiario”. Asimismo, indicaron que ambas solicitudes fueron </w:t>
      </w:r>
      <w:r w:rsidRPr="00A96FFA">
        <w:rPr>
          <w:rFonts w:ascii="Verdana" w:hAnsi="Verdana"/>
          <w:spacing w:val="-6"/>
          <w:sz w:val="16"/>
          <w:szCs w:val="16"/>
          <w:lang w:val="es-ES"/>
        </w:rPr>
        <w:t>reiteradas en marzo de 2014, tras los hechos ocurri</w:t>
      </w:r>
      <w:r w:rsidR="009269FE">
        <w:rPr>
          <w:rFonts w:ascii="Verdana" w:hAnsi="Verdana"/>
          <w:spacing w:val="-6"/>
          <w:sz w:val="16"/>
          <w:szCs w:val="16"/>
          <w:lang w:val="es-ES"/>
        </w:rPr>
        <w:t>dos en contra del Director y de</w:t>
      </w:r>
      <w:r w:rsidRPr="00A96FFA">
        <w:rPr>
          <w:rFonts w:ascii="Verdana" w:hAnsi="Verdana"/>
          <w:spacing w:val="-6"/>
          <w:sz w:val="16"/>
          <w:szCs w:val="16"/>
          <w:lang w:val="es-ES"/>
        </w:rPr>
        <w:t xml:space="preserve"> integrantes de </w:t>
      </w:r>
      <w:proofErr w:type="spellStart"/>
      <w:r w:rsidRPr="00A96FFA">
        <w:rPr>
          <w:rFonts w:ascii="Verdana" w:hAnsi="Verdana"/>
          <w:spacing w:val="-6"/>
          <w:sz w:val="16"/>
          <w:szCs w:val="16"/>
          <w:lang w:val="es-ES"/>
        </w:rPr>
        <w:t>Tlachinollan</w:t>
      </w:r>
      <w:proofErr w:type="spellEnd"/>
      <w:r w:rsidRPr="00A96FFA">
        <w:rPr>
          <w:rFonts w:ascii="Verdana" w:hAnsi="Verdana"/>
          <w:spacing w:val="-6"/>
          <w:sz w:val="16"/>
          <w:szCs w:val="16"/>
          <w:lang w:val="es-ES"/>
        </w:rPr>
        <w:t>.</w:t>
      </w:r>
    </w:p>
  </w:footnote>
  <w:footnote w:id="9">
    <w:p w14:paraId="00FC2B91" w14:textId="0EA22E3B" w:rsidR="00156B6B" w:rsidRPr="00B67B36" w:rsidRDefault="00156B6B" w:rsidP="00EB2693">
      <w:pPr>
        <w:pStyle w:val="FootnoteText"/>
        <w:tabs>
          <w:tab w:val="left" w:pos="360"/>
          <w:tab w:val="left" w:pos="567"/>
        </w:tabs>
        <w:spacing w:before="60" w:after="60"/>
        <w:jc w:val="both"/>
        <w:rPr>
          <w:rFonts w:ascii="Verdana" w:hAnsi="Verdana"/>
          <w:b/>
          <w:spacing w:val="-6"/>
          <w:sz w:val="16"/>
          <w:szCs w:val="16"/>
        </w:rPr>
      </w:pPr>
      <w:r w:rsidRPr="00B67B36">
        <w:rPr>
          <w:rStyle w:val="FootnoteReference"/>
          <w:spacing w:val="-6"/>
          <w:szCs w:val="16"/>
        </w:rPr>
        <w:footnoteRef/>
      </w:r>
      <w:r w:rsidRPr="00B67B36">
        <w:rPr>
          <w:rFonts w:ascii="Verdana" w:hAnsi="Verdana"/>
          <w:spacing w:val="-6"/>
          <w:sz w:val="16"/>
          <w:szCs w:val="16"/>
        </w:rPr>
        <w:t xml:space="preserve"> </w:t>
      </w:r>
      <w:r w:rsidRPr="00B67B36">
        <w:rPr>
          <w:rFonts w:ascii="Verdana" w:hAnsi="Verdana"/>
          <w:spacing w:val="-6"/>
          <w:sz w:val="16"/>
          <w:szCs w:val="16"/>
        </w:rPr>
        <w:tab/>
      </w:r>
      <w:r w:rsidR="00EB2693">
        <w:rPr>
          <w:rFonts w:ascii="Verdana" w:hAnsi="Verdana"/>
          <w:spacing w:val="-6"/>
          <w:sz w:val="16"/>
          <w:szCs w:val="16"/>
        </w:rPr>
        <w:tab/>
      </w:r>
      <w:r w:rsidRPr="00B67B36">
        <w:rPr>
          <w:rFonts w:ascii="Verdana" w:hAnsi="Verdana"/>
          <w:i/>
          <w:spacing w:val="-6"/>
          <w:sz w:val="16"/>
          <w:szCs w:val="16"/>
          <w:lang w:val="es-CR"/>
        </w:rPr>
        <w:t>Cfr. Asunto Juan Almonte Herrera y otros.</w:t>
      </w:r>
      <w:r w:rsidRPr="00B67B36">
        <w:rPr>
          <w:rFonts w:ascii="Verdana" w:hAnsi="Verdana"/>
          <w:spacing w:val="-6"/>
          <w:sz w:val="16"/>
          <w:szCs w:val="16"/>
          <w:lang w:val="es-CR"/>
        </w:rPr>
        <w:t xml:space="preserve"> </w:t>
      </w:r>
      <w:r w:rsidRPr="00EB2693">
        <w:rPr>
          <w:rFonts w:ascii="Verdana" w:hAnsi="Verdana"/>
          <w:i/>
          <w:spacing w:val="-6"/>
          <w:sz w:val="16"/>
          <w:szCs w:val="16"/>
          <w:lang w:val="es-CR"/>
        </w:rPr>
        <w:t>Medidas Provisionales respecto de República Dominicana</w:t>
      </w:r>
      <w:r w:rsidRPr="00B67B36">
        <w:rPr>
          <w:rFonts w:ascii="Verdana" w:hAnsi="Verdana"/>
          <w:spacing w:val="-6"/>
          <w:sz w:val="16"/>
          <w:szCs w:val="16"/>
          <w:lang w:val="es-CR"/>
        </w:rPr>
        <w:t xml:space="preserve">. Resolución del Presidente de la Corte de 24 de marzo de 2010, Considerando 16, y </w:t>
      </w:r>
      <w:r w:rsidRPr="00B67B36">
        <w:rPr>
          <w:rStyle w:val="Strong"/>
          <w:rFonts w:ascii="Verdana" w:hAnsi="Verdana"/>
          <w:b w:val="0"/>
          <w:i/>
          <w:color w:val="000000"/>
          <w:spacing w:val="-6"/>
          <w:sz w:val="16"/>
          <w:szCs w:val="16"/>
          <w:shd w:val="clear" w:color="auto" w:fill="FFFFFF"/>
        </w:rPr>
        <w:t>Caso Rosendo Cantú y otra. Medidas Provisionales respecto de México</w:t>
      </w:r>
      <w:r w:rsidRPr="00B67B36">
        <w:rPr>
          <w:rStyle w:val="Strong"/>
          <w:rFonts w:ascii="Verdana" w:hAnsi="Verdana"/>
          <w:b w:val="0"/>
          <w:color w:val="000000"/>
          <w:spacing w:val="-6"/>
          <w:sz w:val="16"/>
          <w:szCs w:val="16"/>
          <w:shd w:val="clear" w:color="auto" w:fill="FFFFFF"/>
        </w:rPr>
        <w:t>. Resolución de la Corte del 23 de junio de 2015, Considerando 23.</w:t>
      </w:r>
    </w:p>
  </w:footnote>
  <w:footnote w:id="10">
    <w:p w14:paraId="200AE873" w14:textId="7ED45908" w:rsidR="00156B6B" w:rsidRPr="005A17C2" w:rsidRDefault="00156B6B" w:rsidP="00EB2693">
      <w:pPr>
        <w:pStyle w:val="FootnoteText"/>
        <w:tabs>
          <w:tab w:val="left" w:pos="360"/>
          <w:tab w:val="left" w:pos="567"/>
        </w:tabs>
        <w:spacing w:before="60" w:after="60"/>
        <w:jc w:val="both"/>
        <w:rPr>
          <w:rFonts w:ascii="Verdana" w:hAnsi="Verdana"/>
          <w:spacing w:val="-6"/>
          <w:sz w:val="16"/>
          <w:szCs w:val="16"/>
        </w:rPr>
      </w:pPr>
      <w:r w:rsidRPr="00B67B36">
        <w:rPr>
          <w:rStyle w:val="FootnoteReference"/>
          <w:spacing w:val="-6"/>
          <w:szCs w:val="16"/>
        </w:rPr>
        <w:footnoteRef/>
      </w:r>
      <w:r w:rsidRPr="00B67B36">
        <w:rPr>
          <w:rFonts w:ascii="Verdana" w:hAnsi="Verdana"/>
          <w:spacing w:val="-6"/>
          <w:sz w:val="16"/>
          <w:szCs w:val="16"/>
        </w:rPr>
        <w:t xml:space="preserve"> </w:t>
      </w:r>
      <w:r w:rsidRPr="00B67B36">
        <w:rPr>
          <w:rFonts w:ascii="Verdana" w:hAnsi="Verdana"/>
          <w:spacing w:val="-6"/>
          <w:sz w:val="16"/>
          <w:szCs w:val="16"/>
        </w:rPr>
        <w:tab/>
      </w:r>
      <w:r w:rsidR="00EB2693">
        <w:rPr>
          <w:rFonts w:ascii="Verdana" w:hAnsi="Verdana"/>
          <w:spacing w:val="-6"/>
          <w:sz w:val="16"/>
          <w:szCs w:val="16"/>
        </w:rPr>
        <w:tab/>
      </w:r>
      <w:r w:rsidRPr="00292EBC">
        <w:rPr>
          <w:rFonts w:ascii="Verdana" w:hAnsi="Verdana"/>
          <w:spacing w:val="-6"/>
          <w:sz w:val="16"/>
          <w:szCs w:val="16"/>
          <w:lang w:val="es-MX"/>
        </w:rPr>
        <w:t xml:space="preserve">El referido escrito </w:t>
      </w:r>
      <w:r w:rsidRPr="00292EBC">
        <w:rPr>
          <w:rFonts w:ascii="Verdana" w:hAnsi="Verdana"/>
          <w:spacing w:val="-6"/>
          <w:sz w:val="16"/>
          <w:szCs w:val="16"/>
          <w:lang w:val="es-ES"/>
        </w:rPr>
        <w:t xml:space="preserve">anónimo mencionaría lo siguiente: “no sigas diciendo pendejadas o te vas a morir </w:t>
      </w:r>
      <w:r w:rsidRPr="00292EBC">
        <w:rPr>
          <w:rFonts w:ascii="Verdana" w:hAnsi="Verdana"/>
          <w:spacing w:val="-6"/>
          <w:sz w:val="16"/>
          <w:szCs w:val="16"/>
          <w:lang w:val="es-MX"/>
        </w:rPr>
        <w:t xml:space="preserve">[…] ya nos debes varias en todo te metes la </w:t>
      </w:r>
      <w:proofErr w:type="spellStart"/>
      <w:r w:rsidRPr="00292EBC">
        <w:rPr>
          <w:rFonts w:ascii="Verdana" w:hAnsi="Verdana"/>
          <w:spacing w:val="-6"/>
          <w:sz w:val="16"/>
          <w:szCs w:val="16"/>
          <w:lang w:val="es-MX"/>
        </w:rPr>
        <w:t>parota</w:t>
      </w:r>
      <w:proofErr w:type="spellEnd"/>
      <w:r w:rsidRPr="00292EBC">
        <w:rPr>
          <w:rFonts w:ascii="Verdana" w:hAnsi="Verdana"/>
          <w:spacing w:val="-6"/>
          <w:sz w:val="16"/>
          <w:szCs w:val="16"/>
          <w:lang w:val="es-MX"/>
        </w:rPr>
        <w:t xml:space="preserve">, las disque mujeres violadas y ahora con los vándalos </w:t>
      </w:r>
      <w:proofErr w:type="spellStart"/>
      <w:r w:rsidRPr="00292EBC">
        <w:rPr>
          <w:rFonts w:ascii="Verdana" w:hAnsi="Verdana"/>
          <w:spacing w:val="-6"/>
          <w:sz w:val="16"/>
          <w:szCs w:val="16"/>
          <w:lang w:val="es-MX"/>
        </w:rPr>
        <w:t>ayotzinapos</w:t>
      </w:r>
      <w:proofErr w:type="spellEnd"/>
      <w:r w:rsidRPr="00292EBC">
        <w:rPr>
          <w:rFonts w:ascii="Verdana" w:hAnsi="Verdana"/>
          <w:spacing w:val="-6"/>
          <w:sz w:val="16"/>
          <w:szCs w:val="16"/>
          <w:lang w:val="es-MX"/>
        </w:rPr>
        <w:t>”</w:t>
      </w:r>
      <w:r>
        <w:rPr>
          <w:rFonts w:ascii="Verdana" w:hAnsi="Verdana"/>
          <w:spacing w:val="-6"/>
          <w:sz w:val="16"/>
          <w:szCs w:val="16"/>
          <w:lang w:val="es-MX"/>
        </w:rPr>
        <w:t>.</w:t>
      </w:r>
      <w:r w:rsidRPr="00292EBC">
        <w:rPr>
          <w:rFonts w:ascii="Verdana" w:hAnsi="Verdana"/>
          <w:spacing w:val="-6"/>
          <w:sz w:val="16"/>
          <w:szCs w:val="16"/>
          <w:lang w:val="es-MX"/>
        </w:rPr>
        <w:t xml:space="preserve"> Derivado de dichas amenazas, las partes acordaron la implementación de diversas medidas para protección del beneficiario “relacionadas a medidas de comunicación, seguridad personal e </w:t>
      </w:r>
      <w:proofErr w:type="gramStart"/>
      <w:r w:rsidRPr="00292EBC">
        <w:rPr>
          <w:rFonts w:ascii="Verdana" w:hAnsi="Verdana"/>
          <w:spacing w:val="-6"/>
          <w:sz w:val="16"/>
          <w:szCs w:val="16"/>
          <w:lang w:val="es-MX"/>
        </w:rPr>
        <w:t>infraestructura</w:t>
      </w:r>
      <w:r>
        <w:rPr>
          <w:rFonts w:ascii="Verdana" w:hAnsi="Verdana"/>
          <w:spacing w:val="-6"/>
          <w:sz w:val="16"/>
          <w:szCs w:val="16"/>
          <w:lang w:val="es-MX"/>
        </w:rPr>
        <w:t>[</w:t>
      </w:r>
      <w:proofErr w:type="gramEnd"/>
      <w:r>
        <w:rPr>
          <w:rFonts w:ascii="Verdana" w:hAnsi="Verdana"/>
          <w:spacing w:val="-6"/>
          <w:sz w:val="16"/>
          <w:szCs w:val="16"/>
          <w:lang w:val="es-MX"/>
        </w:rPr>
        <w:t>,]</w:t>
      </w:r>
      <w:r w:rsidRPr="00292EBC">
        <w:rPr>
          <w:rFonts w:ascii="Verdana" w:hAnsi="Verdana"/>
          <w:spacing w:val="-6"/>
          <w:sz w:val="16"/>
          <w:szCs w:val="16"/>
          <w:lang w:val="es-MX"/>
        </w:rPr>
        <w:t xml:space="preserve"> así como la inmediata investigación de los hechos e</w:t>
      </w:r>
      <w:r>
        <w:rPr>
          <w:rFonts w:ascii="Verdana" w:hAnsi="Verdana"/>
          <w:spacing w:val="-6"/>
          <w:sz w:val="16"/>
          <w:szCs w:val="16"/>
          <w:lang w:val="es-MX"/>
        </w:rPr>
        <w:t>n relación al suceso de amenaza</w:t>
      </w:r>
      <w:r w:rsidRPr="00292EBC">
        <w:rPr>
          <w:rFonts w:ascii="Verdana" w:hAnsi="Verdana"/>
          <w:spacing w:val="-6"/>
          <w:sz w:val="16"/>
          <w:szCs w:val="16"/>
          <w:lang w:val="es-MX"/>
        </w:rPr>
        <w:t>”</w:t>
      </w:r>
      <w:r>
        <w:rPr>
          <w:rFonts w:ascii="Verdana" w:hAnsi="Verdana"/>
          <w:spacing w:val="-6"/>
          <w:sz w:val="16"/>
          <w:szCs w:val="16"/>
          <w:lang w:val="es-MX"/>
        </w:rPr>
        <w:t>.</w:t>
      </w:r>
      <w:r w:rsidRPr="00292EBC">
        <w:rPr>
          <w:rFonts w:ascii="Verdana" w:hAnsi="Verdana"/>
          <w:spacing w:val="-6"/>
          <w:sz w:val="16"/>
          <w:szCs w:val="16"/>
          <w:lang w:val="es-MX"/>
        </w:rPr>
        <w:t xml:space="preserve"> </w:t>
      </w:r>
      <w:r>
        <w:rPr>
          <w:rFonts w:ascii="Verdana" w:hAnsi="Verdana"/>
          <w:spacing w:val="-6"/>
          <w:sz w:val="16"/>
          <w:szCs w:val="16"/>
          <w:lang w:val="es-MX"/>
        </w:rPr>
        <w:t>E</w:t>
      </w:r>
      <w:r w:rsidRPr="00292EBC">
        <w:rPr>
          <w:rFonts w:ascii="Verdana" w:hAnsi="Verdana"/>
          <w:spacing w:val="-6"/>
          <w:sz w:val="16"/>
          <w:szCs w:val="16"/>
          <w:lang w:val="es-MX"/>
        </w:rPr>
        <w:t xml:space="preserve">n relación con dichas medidas, los representantes señalaron el 19 de septiembre de 2012 que “la instalación de las medidas de infraestructura, así como el otorgamiento de los sistemas de comunicación se llevaron con </w:t>
      </w:r>
      <w:r>
        <w:rPr>
          <w:rFonts w:ascii="Verdana" w:hAnsi="Verdana"/>
          <w:spacing w:val="-6"/>
          <w:sz w:val="16"/>
          <w:szCs w:val="16"/>
          <w:lang w:val="es-MX"/>
        </w:rPr>
        <w:t>apego a los acuerdos alcanzados</w:t>
      </w:r>
      <w:r w:rsidRPr="00292EBC">
        <w:rPr>
          <w:rFonts w:ascii="Verdana" w:hAnsi="Verdana"/>
          <w:spacing w:val="-6"/>
          <w:sz w:val="16"/>
          <w:szCs w:val="16"/>
          <w:lang w:val="es-MX"/>
        </w:rPr>
        <w:t>”</w:t>
      </w:r>
      <w:r>
        <w:rPr>
          <w:rFonts w:ascii="Verdana" w:hAnsi="Verdana"/>
          <w:spacing w:val="-6"/>
          <w:sz w:val="16"/>
          <w:szCs w:val="16"/>
          <w:lang w:val="es-MX"/>
        </w:rPr>
        <w:t>.</w:t>
      </w:r>
    </w:p>
  </w:footnote>
  <w:footnote w:id="11">
    <w:p w14:paraId="099EC830" w14:textId="336892AD" w:rsidR="00156B6B" w:rsidRPr="005A17C2" w:rsidRDefault="00156B6B" w:rsidP="00EB2693">
      <w:pPr>
        <w:pStyle w:val="FootnoteText"/>
        <w:tabs>
          <w:tab w:val="left" w:pos="360"/>
          <w:tab w:val="left" w:pos="567"/>
        </w:tabs>
        <w:spacing w:before="60" w:after="60"/>
        <w:jc w:val="both"/>
        <w:rPr>
          <w:rFonts w:ascii="Verdana" w:hAnsi="Verdana"/>
          <w:spacing w:val="-6"/>
          <w:sz w:val="16"/>
          <w:szCs w:val="16"/>
        </w:rPr>
      </w:pPr>
      <w:r w:rsidRPr="005A17C2">
        <w:rPr>
          <w:rStyle w:val="FootnoteReference"/>
          <w:spacing w:val="-6"/>
          <w:szCs w:val="16"/>
        </w:rPr>
        <w:footnoteRef/>
      </w:r>
      <w:r w:rsidRPr="005A17C2">
        <w:rPr>
          <w:rFonts w:ascii="Verdana" w:hAnsi="Verdana"/>
          <w:spacing w:val="-6"/>
          <w:sz w:val="16"/>
          <w:szCs w:val="16"/>
        </w:rPr>
        <w:t xml:space="preserve"> </w:t>
      </w:r>
      <w:r w:rsidRPr="005A17C2">
        <w:rPr>
          <w:rFonts w:ascii="Verdana" w:hAnsi="Verdana"/>
          <w:spacing w:val="-6"/>
          <w:sz w:val="16"/>
          <w:szCs w:val="16"/>
        </w:rPr>
        <w:tab/>
      </w:r>
      <w:r w:rsidR="00EB2693">
        <w:rPr>
          <w:rFonts w:ascii="Verdana" w:hAnsi="Verdana"/>
          <w:spacing w:val="-6"/>
          <w:sz w:val="16"/>
          <w:szCs w:val="16"/>
        </w:rPr>
        <w:tab/>
      </w:r>
      <w:r w:rsidRPr="005A17C2">
        <w:rPr>
          <w:rFonts w:ascii="Verdana" w:hAnsi="Verdana"/>
          <w:spacing w:val="-6"/>
          <w:sz w:val="16"/>
          <w:szCs w:val="16"/>
        </w:rPr>
        <w:t xml:space="preserve">El texto de la amenaza anónima </w:t>
      </w:r>
      <w:r w:rsidR="000B6E30">
        <w:rPr>
          <w:rFonts w:ascii="Verdana" w:hAnsi="Verdana"/>
          <w:spacing w:val="-6"/>
          <w:sz w:val="16"/>
          <w:szCs w:val="16"/>
        </w:rPr>
        <w:t>indicaría</w:t>
      </w:r>
      <w:r w:rsidRPr="005A17C2">
        <w:rPr>
          <w:rFonts w:ascii="Verdana" w:hAnsi="Verdana"/>
          <w:spacing w:val="-6"/>
          <w:sz w:val="16"/>
          <w:szCs w:val="16"/>
        </w:rPr>
        <w:t xml:space="preserve">: “ya sabemos </w:t>
      </w:r>
      <w:proofErr w:type="spellStart"/>
      <w:proofErr w:type="gramStart"/>
      <w:r w:rsidRPr="005A17C2">
        <w:rPr>
          <w:rFonts w:ascii="Verdana" w:hAnsi="Verdana"/>
          <w:spacing w:val="-6"/>
          <w:sz w:val="16"/>
          <w:szCs w:val="16"/>
        </w:rPr>
        <w:t>cu</w:t>
      </w:r>
      <w:proofErr w:type="spellEnd"/>
      <w:r>
        <w:rPr>
          <w:rFonts w:ascii="Verdana" w:hAnsi="Verdana"/>
          <w:spacing w:val="-6"/>
          <w:sz w:val="16"/>
          <w:szCs w:val="16"/>
        </w:rPr>
        <w:t>[</w:t>
      </w:r>
      <w:proofErr w:type="spellStart"/>
      <w:proofErr w:type="gramEnd"/>
      <w:r w:rsidRPr="005A17C2">
        <w:rPr>
          <w:rFonts w:ascii="Verdana" w:hAnsi="Verdana"/>
          <w:spacing w:val="-6"/>
          <w:sz w:val="16"/>
          <w:szCs w:val="16"/>
        </w:rPr>
        <w:t>ál</w:t>
      </w:r>
      <w:proofErr w:type="spellEnd"/>
      <w:r>
        <w:rPr>
          <w:rFonts w:ascii="Verdana" w:hAnsi="Verdana"/>
          <w:spacing w:val="-6"/>
          <w:sz w:val="16"/>
          <w:szCs w:val="16"/>
        </w:rPr>
        <w:t>]</w:t>
      </w:r>
      <w:r w:rsidRPr="005A17C2">
        <w:rPr>
          <w:rFonts w:ascii="Verdana" w:hAnsi="Verdana"/>
          <w:spacing w:val="-6"/>
          <w:sz w:val="16"/>
          <w:szCs w:val="16"/>
        </w:rPr>
        <w:t xml:space="preserve"> es tu ruta […] tu sabe </w:t>
      </w:r>
      <w:proofErr w:type="spellStart"/>
      <w:r w:rsidRPr="005A17C2">
        <w:rPr>
          <w:rFonts w:ascii="Verdana" w:hAnsi="Verdana"/>
          <w:spacing w:val="-6"/>
          <w:sz w:val="16"/>
          <w:szCs w:val="16"/>
        </w:rPr>
        <w:t>qui</w:t>
      </w:r>
      <w:proofErr w:type="spellEnd"/>
      <w:r>
        <w:rPr>
          <w:rFonts w:ascii="Verdana" w:hAnsi="Verdana"/>
          <w:spacing w:val="-6"/>
          <w:sz w:val="16"/>
          <w:szCs w:val="16"/>
        </w:rPr>
        <w:t>[</w:t>
      </w:r>
      <w:proofErr w:type="spellStart"/>
      <w:r w:rsidRPr="005A17C2">
        <w:rPr>
          <w:rFonts w:ascii="Verdana" w:hAnsi="Verdana"/>
          <w:spacing w:val="-6"/>
          <w:sz w:val="16"/>
          <w:szCs w:val="16"/>
        </w:rPr>
        <w:t>énes</w:t>
      </w:r>
      <w:proofErr w:type="spellEnd"/>
      <w:r>
        <w:rPr>
          <w:rFonts w:ascii="Verdana" w:hAnsi="Verdana"/>
          <w:spacing w:val="-6"/>
          <w:sz w:val="16"/>
          <w:szCs w:val="16"/>
        </w:rPr>
        <w:t>]</w:t>
      </w:r>
      <w:r w:rsidRPr="005A17C2">
        <w:rPr>
          <w:rFonts w:ascii="Verdana" w:hAnsi="Verdana"/>
          <w:spacing w:val="-6"/>
          <w:sz w:val="16"/>
          <w:szCs w:val="16"/>
        </w:rPr>
        <w:t xml:space="preserve"> somos</w:t>
      </w:r>
      <w:r>
        <w:rPr>
          <w:rFonts w:ascii="Verdana" w:hAnsi="Verdana"/>
          <w:spacing w:val="-6"/>
          <w:sz w:val="16"/>
          <w:szCs w:val="16"/>
        </w:rPr>
        <w:t xml:space="preserve">[. La]  </w:t>
      </w:r>
      <w:r w:rsidRPr="005A17C2">
        <w:rPr>
          <w:rFonts w:ascii="Verdana" w:hAnsi="Verdana"/>
          <w:spacing w:val="-6"/>
          <w:sz w:val="16"/>
          <w:szCs w:val="16"/>
        </w:rPr>
        <w:t>comisión interamericana [</w:t>
      </w:r>
      <w:r>
        <w:rPr>
          <w:rFonts w:ascii="Verdana" w:hAnsi="Verdana"/>
          <w:spacing w:val="-6"/>
          <w:sz w:val="16"/>
          <w:szCs w:val="16"/>
        </w:rPr>
        <w:t>de</w:t>
      </w:r>
      <w:r w:rsidRPr="005A17C2">
        <w:rPr>
          <w:rFonts w:ascii="Verdana" w:hAnsi="Verdana"/>
          <w:spacing w:val="-6"/>
          <w:sz w:val="16"/>
          <w:szCs w:val="16"/>
        </w:rPr>
        <w:t xml:space="preserve">] derecho  humanos  no lo </w:t>
      </w:r>
      <w:proofErr w:type="gramStart"/>
      <w:r w:rsidRPr="005A17C2">
        <w:rPr>
          <w:rFonts w:ascii="Verdana" w:hAnsi="Verdana"/>
          <w:spacing w:val="-6"/>
          <w:sz w:val="16"/>
          <w:szCs w:val="16"/>
        </w:rPr>
        <w:t>protegen</w:t>
      </w:r>
      <w:r>
        <w:rPr>
          <w:rFonts w:ascii="Verdana" w:hAnsi="Verdana"/>
          <w:spacing w:val="-6"/>
          <w:sz w:val="16"/>
          <w:szCs w:val="16"/>
        </w:rPr>
        <w:t>[.</w:t>
      </w:r>
      <w:proofErr w:type="gramEnd"/>
      <w:r>
        <w:rPr>
          <w:rFonts w:ascii="Verdana" w:hAnsi="Verdana"/>
          <w:spacing w:val="-6"/>
          <w:sz w:val="16"/>
          <w:szCs w:val="16"/>
        </w:rPr>
        <w:t xml:space="preserve"> </w:t>
      </w:r>
      <w:proofErr w:type="gramStart"/>
      <w:r>
        <w:rPr>
          <w:rFonts w:ascii="Verdana" w:hAnsi="Verdana"/>
          <w:spacing w:val="-6"/>
          <w:sz w:val="16"/>
          <w:szCs w:val="16"/>
        </w:rPr>
        <w:t>E]</w:t>
      </w:r>
      <w:proofErr w:type="spellStart"/>
      <w:r w:rsidRPr="005A17C2">
        <w:rPr>
          <w:rFonts w:ascii="Verdana" w:hAnsi="Verdana"/>
          <w:spacing w:val="-6"/>
          <w:sz w:val="16"/>
          <w:szCs w:val="16"/>
        </w:rPr>
        <w:t>stamo</w:t>
      </w:r>
      <w:r>
        <w:rPr>
          <w:rFonts w:ascii="Verdana" w:hAnsi="Verdana"/>
          <w:spacing w:val="-6"/>
          <w:sz w:val="16"/>
          <w:szCs w:val="16"/>
        </w:rPr>
        <w:t>s</w:t>
      </w:r>
      <w:proofErr w:type="spellEnd"/>
      <w:proofErr w:type="gramEnd"/>
      <w:r w:rsidRPr="005A17C2">
        <w:rPr>
          <w:rFonts w:ascii="Verdana" w:hAnsi="Verdana"/>
          <w:spacing w:val="-6"/>
          <w:sz w:val="16"/>
          <w:szCs w:val="16"/>
        </w:rPr>
        <w:t xml:space="preserve"> al tanto la familia</w:t>
      </w:r>
      <w:r>
        <w:rPr>
          <w:rFonts w:ascii="Verdana" w:hAnsi="Verdana"/>
          <w:spacing w:val="-6"/>
          <w:sz w:val="16"/>
          <w:szCs w:val="16"/>
        </w:rPr>
        <w:t xml:space="preserve">[. </w:t>
      </w:r>
      <w:proofErr w:type="gramStart"/>
      <w:r>
        <w:rPr>
          <w:rFonts w:ascii="Verdana" w:hAnsi="Verdana"/>
          <w:spacing w:val="-6"/>
          <w:sz w:val="16"/>
          <w:szCs w:val="16"/>
        </w:rPr>
        <w:t>B]asta</w:t>
      </w:r>
      <w:proofErr w:type="gramEnd"/>
      <w:r>
        <w:rPr>
          <w:rFonts w:ascii="Verdana" w:hAnsi="Verdana"/>
          <w:spacing w:val="-6"/>
          <w:sz w:val="16"/>
          <w:szCs w:val="16"/>
        </w:rPr>
        <w:t xml:space="preserve"> con tu mentira [OPIM]”.</w:t>
      </w:r>
    </w:p>
  </w:footnote>
  <w:footnote w:id="12">
    <w:p w14:paraId="2B729FDF" w14:textId="4DCFB99C" w:rsidR="00156B6B" w:rsidRPr="005A17C2" w:rsidRDefault="00156B6B" w:rsidP="00EB2693">
      <w:pPr>
        <w:pStyle w:val="FootnoteText"/>
        <w:tabs>
          <w:tab w:val="left" w:pos="360"/>
          <w:tab w:val="left" w:pos="567"/>
        </w:tabs>
        <w:spacing w:before="60" w:after="60"/>
        <w:jc w:val="both"/>
        <w:rPr>
          <w:rFonts w:ascii="Verdana" w:hAnsi="Verdana"/>
          <w:spacing w:val="-6"/>
          <w:sz w:val="16"/>
          <w:szCs w:val="16"/>
        </w:rPr>
      </w:pPr>
      <w:r w:rsidRPr="005A17C2">
        <w:rPr>
          <w:rStyle w:val="FootnoteReference"/>
          <w:spacing w:val="-6"/>
          <w:szCs w:val="16"/>
        </w:rPr>
        <w:footnoteRef/>
      </w:r>
      <w:r w:rsidRPr="005A17C2">
        <w:rPr>
          <w:rFonts w:ascii="Verdana" w:hAnsi="Verdana"/>
          <w:spacing w:val="-6"/>
          <w:sz w:val="16"/>
          <w:szCs w:val="16"/>
        </w:rPr>
        <w:t xml:space="preserve"> </w:t>
      </w:r>
      <w:r w:rsidRPr="005A17C2">
        <w:rPr>
          <w:rFonts w:ascii="Verdana" w:hAnsi="Verdana"/>
          <w:spacing w:val="-6"/>
          <w:sz w:val="16"/>
          <w:szCs w:val="16"/>
        </w:rPr>
        <w:tab/>
      </w:r>
      <w:r w:rsidR="00EB2693">
        <w:rPr>
          <w:rFonts w:ascii="Verdana" w:hAnsi="Verdana"/>
          <w:spacing w:val="-6"/>
          <w:sz w:val="16"/>
          <w:szCs w:val="16"/>
        </w:rPr>
        <w:tab/>
      </w:r>
      <w:r w:rsidRPr="005A17C2">
        <w:rPr>
          <w:rFonts w:ascii="Verdana" w:hAnsi="Verdana"/>
          <w:spacing w:val="-6"/>
          <w:sz w:val="16"/>
          <w:szCs w:val="16"/>
        </w:rPr>
        <w:t>El texto señala, entre otras cosas, lo siguiente: “</w:t>
      </w:r>
      <w:proofErr w:type="spellStart"/>
      <w:r w:rsidRPr="005A17C2">
        <w:rPr>
          <w:rFonts w:ascii="Verdana" w:hAnsi="Verdana"/>
          <w:spacing w:val="-6"/>
          <w:sz w:val="16"/>
          <w:szCs w:val="16"/>
        </w:rPr>
        <w:t>Obtilia</w:t>
      </w:r>
      <w:proofErr w:type="spellEnd"/>
      <w:r w:rsidRPr="005A17C2">
        <w:rPr>
          <w:rFonts w:ascii="Verdana" w:hAnsi="Verdana"/>
          <w:spacing w:val="-6"/>
          <w:sz w:val="16"/>
          <w:szCs w:val="16"/>
        </w:rPr>
        <w:t xml:space="preserve"> Eugenio Manuel Cuando dejar de estar chingando a los militares nunca </w:t>
      </w:r>
      <w:proofErr w:type="spellStart"/>
      <w:r w:rsidRPr="005A17C2">
        <w:rPr>
          <w:rFonts w:ascii="Verdana" w:hAnsi="Verdana"/>
          <w:spacing w:val="-6"/>
          <w:sz w:val="16"/>
          <w:szCs w:val="16"/>
        </w:rPr>
        <w:t>sucedi</w:t>
      </w:r>
      <w:proofErr w:type="spellEnd"/>
      <w:r>
        <w:rPr>
          <w:rFonts w:ascii="Verdana" w:hAnsi="Verdana"/>
          <w:spacing w:val="-6"/>
          <w:sz w:val="16"/>
          <w:szCs w:val="16"/>
        </w:rPr>
        <w:t>[</w:t>
      </w:r>
      <w:proofErr w:type="spellStart"/>
      <w:r>
        <w:rPr>
          <w:rFonts w:ascii="Verdana" w:hAnsi="Verdana"/>
          <w:spacing w:val="-6"/>
          <w:sz w:val="16"/>
          <w:szCs w:val="16"/>
        </w:rPr>
        <w:t>ó</w:t>
      </w:r>
      <w:proofErr w:type="spellEnd"/>
      <w:r>
        <w:rPr>
          <w:rFonts w:ascii="Verdana" w:hAnsi="Verdana"/>
          <w:spacing w:val="-6"/>
          <w:sz w:val="16"/>
          <w:szCs w:val="16"/>
        </w:rPr>
        <w:t>]</w:t>
      </w:r>
      <w:r w:rsidRPr="005A17C2">
        <w:rPr>
          <w:rFonts w:ascii="Verdana" w:hAnsi="Verdana"/>
          <w:spacing w:val="-6"/>
          <w:sz w:val="16"/>
          <w:szCs w:val="16"/>
        </w:rPr>
        <w:t xml:space="preserve"> la violación. Fue pura mentira de </w:t>
      </w:r>
      <w:proofErr w:type="spellStart"/>
      <w:proofErr w:type="gramStart"/>
      <w:r w:rsidRPr="005A17C2">
        <w:rPr>
          <w:rFonts w:ascii="Verdana" w:hAnsi="Verdana"/>
          <w:spacing w:val="-6"/>
          <w:sz w:val="16"/>
          <w:szCs w:val="16"/>
        </w:rPr>
        <w:t>Obtilia</w:t>
      </w:r>
      <w:proofErr w:type="spellEnd"/>
      <w:r>
        <w:rPr>
          <w:rFonts w:ascii="Verdana" w:hAnsi="Verdana"/>
          <w:spacing w:val="-6"/>
          <w:sz w:val="16"/>
          <w:szCs w:val="16"/>
        </w:rPr>
        <w:t>[.</w:t>
      </w:r>
      <w:proofErr w:type="gramEnd"/>
      <w:r>
        <w:rPr>
          <w:rFonts w:ascii="Verdana" w:hAnsi="Verdana"/>
          <w:spacing w:val="-6"/>
          <w:sz w:val="16"/>
          <w:szCs w:val="16"/>
        </w:rPr>
        <w:t xml:space="preserve"> </w:t>
      </w:r>
      <w:proofErr w:type="gramStart"/>
      <w:r>
        <w:rPr>
          <w:rFonts w:ascii="Verdana" w:hAnsi="Verdana"/>
          <w:spacing w:val="-6"/>
          <w:sz w:val="16"/>
          <w:szCs w:val="16"/>
        </w:rPr>
        <w:t>D]</w:t>
      </w:r>
      <w:proofErr w:type="spellStart"/>
      <w:r w:rsidRPr="005A17C2">
        <w:rPr>
          <w:rFonts w:ascii="Verdana" w:hAnsi="Verdana"/>
          <w:spacing w:val="-6"/>
          <w:sz w:val="16"/>
          <w:szCs w:val="16"/>
        </w:rPr>
        <w:t>eja</w:t>
      </w:r>
      <w:proofErr w:type="spellEnd"/>
      <w:proofErr w:type="gramEnd"/>
      <w:r w:rsidRPr="005A17C2">
        <w:rPr>
          <w:rFonts w:ascii="Verdana" w:hAnsi="Verdana"/>
          <w:spacing w:val="-6"/>
          <w:sz w:val="16"/>
          <w:szCs w:val="16"/>
        </w:rPr>
        <w:t xml:space="preserve"> de estar reclamando […] esta </w:t>
      </w:r>
      <w:proofErr w:type="spellStart"/>
      <w:r w:rsidRPr="005A17C2">
        <w:rPr>
          <w:rFonts w:ascii="Verdana" w:hAnsi="Verdana"/>
          <w:spacing w:val="-6"/>
          <w:sz w:val="16"/>
          <w:szCs w:val="16"/>
        </w:rPr>
        <w:t>go</w:t>
      </w:r>
      <w:proofErr w:type="spellEnd"/>
      <w:r>
        <w:rPr>
          <w:rFonts w:ascii="Verdana" w:hAnsi="Verdana"/>
          <w:spacing w:val="-6"/>
          <w:sz w:val="16"/>
          <w:szCs w:val="16"/>
        </w:rPr>
        <w:t>[z]</w:t>
      </w:r>
      <w:r w:rsidRPr="005A17C2">
        <w:rPr>
          <w:rFonts w:ascii="Verdana" w:hAnsi="Verdana"/>
          <w:spacing w:val="-6"/>
          <w:sz w:val="16"/>
          <w:szCs w:val="16"/>
        </w:rPr>
        <w:t xml:space="preserve">ando de tu medida cautelares como quiera te vamos a partir tu madre a ti </w:t>
      </w:r>
      <w:proofErr w:type="spellStart"/>
      <w:r w:rsidRPr="005A17C2">
        <w:rPr>
          <w:rFonts w:ascii="Verdana" w:hAnsi="Verdana"/>
          <w:spacing w:val="-6"/>
          <w:sz w:val="16"/>
          <w:szCs w:val="16"/>
        </w:rPr>
        <w:t>obtilia</w:t>
      </w:r>
      <w:proofErr w:type="spellEnd"/>
      <w:r>
        <w:rPr>
          <w:rFonts w:ascii="Verdana" w:hAnsi="Verdana"/>
          <w:spacing w:val="-6"/>
          <w:sz w:val="16"/>
          <w:szCs w:val="16"/>
        </w:rPr>
        <w:t>[,]</w:t>
      </w:r>
      <w:r w:rsidRPr="005A17C2">
        <w:rPr>
          <w:rFonts w:ascii="Verdana" w:hAnsi="Verdana"/>
          <w:spacing w:val="-6"/>
          <w:sz w:val="16"/>
          <w:szCs w:val="16"/>
        </w:rPr>
        <w:t xml:space="preserve"> </w:t>
      </w:r>
      <w:proofErr w:type="spellStart"/>
      <w:r w:rsidRPr="005A17C2">
        <w:rPr>
          <w:rFonts w:ascii="Verdana" w:hAnsi="Verdana"/>
          <w:spacing w:val="-6"/>
          <w:sz w:val="16"/>
          <w:szCs w:val="16"/>
        </w:rPr>
        <w:t>Cuauhtemoc</w:t>
      </w:r>
      <w:proofErr w:type="spellEnd"/>
      <w:r>
        <w:rPr>
          <w:rFonts w:ascii="Verdana" w:hAnsi="Verdana"/>
          <w:spacing w:val="-6"/>
          <w:sz w:val="16"/>
          <w:szCs w:val="16"/>
        </w:rPr>
        <w:t>[,]</w:t>
      </w:r>
      <w:r w:rsidRPr="005A17C2">
        <w:rPr>
          <w:rFonts w:ascii="Verdana" w:hAnsi="Verdana"/>
          <w:spacing w:val="-6"/>
          <w:sz w:val="16"/>
          <w:szCs w:val="16"/>
        </w:rPr>
        <w:t xml:space="preserve"> principales son ustedes dos los que </w:t>
      </w:r>
      <w:proofErr w:type="spellStart"/>
      <w:r w:rsidRPr="005A17C2">
        <w:rPr>
          <w:rFonts w:ascii="Verdana" w:hAnsi="Verdana"/>
          <w:spacing w:val="-6"/>
          <w:sz w:val="16"/>
          <w:szCs w:val="16"/>
        </w:rPr>
        <w:t>est</w:t>
      </w:r>
      <w:proofErr w:type="spellEnd"/>
      <w:r>
        <w:rPr>
          <w:rFonts w:ascii="Verdana" w:hAnsi="Verdana"/>
          <w:spacing w:val="-6"/>
          <w:sz w:val="16"/>
          <w:szCs w:val="16"/>
        </w:rPr>
        <w:t>[</w:t>
      </w:r>
      <w:proofErr w:type="spellStart"/>
      <w:r>
        <w:rPr>
          <w:rFonts w:ascii="Verdana" w:hAnsi="Verdana"/>
          <w:spacing w:val="-6"/>
          <w:sz w:val="16"/>
          <w:szCs w:val="16"/>
        </w:rPr>
        <w:t>án</w:t>
      </w:r>
      <w:proofErr w:type="spellEnd"/>
      <w:r>
        <w:rPr>
          <w:rFonts w:ascii="Verdana" w:hAnsi="Verdana"/>
          <w:spacing w:val="-6"/>
          <w:sz w:val="16"/>
          <w:szCs w:val="16"/>
        </w:rPr>
        <w:t>]</w:t>
      </w:r>
      <w:r w:rsidRPr="005A17C2">
        <w:rPr>
          <w:rFonts w:ascii="Verdana" w:hAnsi="Verdana"/>
          <w:spacing w:val="-6"/>
          <w:sz w:val="16"/>
          <w:szCs w:val="16"/>
        </w:rPr>
        <w:t xml:space="preserve"> chingando al Gobierno que pidiendo la Justicia de los militares más le vales</w:t>
      </w:r>
      <w:r>
        <w:rPr>
          <w:rFonts w:ascii="Verdana" w:hAnsi="Verdana"/>
          <w:spacing w:val="-6"/>
          <w:sz w:val="16"/>
          <w:szCs w:val="16"/>
        </w:rPr>
        <w:t xml:space="preserve"> </w:t>
      </w:r>
      <w:r w:rsidRPr="005A17C2">
        <w:rPr>
          <w:rFonts w:ascii="Verdana" w:hAnsi="Verdana"/>
          <w:spacing w:val="-6"/>
          <w:sz w:val="16"/>
          <w:szCs w:val="16"/>
        </w:rPr>
        <w:t xml:space="preserve">sigue pidiendo justicia por que no es </w:t>
      </w:r>
      <w:proofErr w:type="spellStart"/>
      <w:r w:rsidRPr="005A17C2">
        <w:rPr>
          <w:rFonts w:ascii="Verdana" w:hAnsi="Verdana"/>
          <w:spacing w:val="-6"/>
          <w:sz w:val="16"/>
          <w:szCs w:val="16"/>
        </w:rPr>
        <w:t>Ines</w:t>
      </w:r>
      <w:proofErr w:type="spellEnd"/>
      <w:r w:rsidRPr="005A17C2">
        <w:rPr>
          <w:rFonts w:ascii="Verdana" w:hAnsi="Verdana"/>
          <w:spacing w:val="-6"/>
          <w:sz w:val="16"/>
          <w:szCs w:val="16"/>
        </w:rPr>
        <w:t xml:space="preserve"> eres tu </w:t>
      </w:r>
      <w:proofErr w:type="spellStart"/>
      <w:r w:rsidRPr="005A17C2">
        <w:rPr>
          <w:rFonts w:ascii="Verdana" w:hAnsi="Verdana"/>
          <w:spacing w:val="-6"/>
          <w:sz w:val="16"/>
          <w:szCs w:val="16"/>
        </w:rPr>
        <w:t>obtilia</w:t>
      </w:r>
      <w:proofErr w:type="spellEnd"/>
      <w:r w:rsidRPr="005A17C2">
        <w:rPr>
          <w:rFonts w:ascii="Verdana" w:hAnsi="Verdana"/>
          <w:spacing w:val="-6"/>
          <w:sz w:val="16"/>
          <w:szCs w:val="16"/>
        </w:rPr>
        <w:t>, sigue con eso te va constar a la vida de m</w:t>
      </w:r>
      <w:r>
        <w:rPr>
          <w:rFonts w:ascii="Verdana" w:hAnsi="Verdana"/>
          <w:spacing w:val="-6"/>
          <w:sz w:val="16"/>
          <w:szCs w:val="16"/>
        </w:rPr>
        <w:t>[</w:t>
      </w:r>
      <w:r w:rsidRPr="005A17C2">
        <w:rPr>
          <w:rFonts w:ascii="Verdana" w:hAnsi="Verdana"/>
          <w:spacing w:val="-6"/>
          <w:sz w:val="16"/>
          <w:szCs w:val="16"/>
        </w:rPr>
        <w:t>á</w:t>
      </w:r>
      <w:r>
        <w:rPr>
          <w:rFonts w:ascii="Verdana" w:hAnsi="Verdana"/>
          <w:spacing w:val="-6"/>
          <w:sz w:val="16"/>
          <w:szCs w:val="16"/>
        </w:rPr>
        <w:t>]</w:t>
      </w:r>
      <w:r w:rsidRPr="005A17C2">
        <w:rPr>
          <w:rFonts w:ascii="Verdana" w:hAnsi="Verdana"/>
          <w:spacing w:val="-6"/>
          <w:sz w:val="16"/>
          <w:szCs w:val="16"/>
        </w:rPr>
        <w:t>s</w:t>
      </w:r>
      <w:r>
        <w:rPr>
          <w:rFonts w:ascii="Verdana" w:hAnsi="Verdana"/>
          <w:spacing w:val="-6"/>
          <w:sz w:val="16"/>
          <w:szCs w:val="16"/>
        </w:rPr>
        <w:t xml:space="preserve"> tu compañeros</w:t>
      </w:r>
      <w:r w:rsidRPr="005A17C2">
        <w:rPr>
          <w:rFonts w:ascii="Verdana" w:hAnsi="Verdana"/>
          <w:spacing w:val="-6"/>
          <w:sz w:val="16"/>
          <w:szCs w:val="16"/>
        </w:rPr>
        <w:t>”</w:t>
      </w:r>
      <w:r>
        <w:rPr>
          <w:rFonts w:ascii="Verdana" w:hAnsi="Verdana"/>
          <w:spacing w:val="-6"/>
          <w:sz w:val="16"/>
          <w:szCs w:val="16"/>
        </w:rPr>
        <w:t>.</w:t>
      </w:r>
      <w:r w:rsidRPr="005A17C2">
        <w:rPr>
          <w:rFonts w:ascii="Verdana" w:hAnsi="Verdana"/>
          <w:spacing w:val="-6"/>
          <w:sz w:val="16"/>
          <w:szCs w:val="16"/>
        </w:rPr>
        <w:t xml:space="preserve"> </w:t>
      </w:r>
    </w:p>
  </w:footnote>
  <w:footnote w:id="13">
    <w:p w14:paraId="0EF60DA1" w14:textId="35106971" w:rsidR="00156B6B" w:rsidRPr="00156B6B" w:rsidRDefault="00156B6B" w:rsidP="00EB2693">
      <w:pPr>
        <w:pStyle w:val="BodyText2"/>
        <w:tabs>
          <w:tab w:val="left" w:pos="360"/>
          <w:tab w:val="left" w:pos="567"/>
        </w:tabs>
        <w:spacing w:before="60" w:after="60" w:line="240" w:lineRule="auto"/>
        <w:jc w:val="both"/>
        <w:rPr>
          <w:rFonts w:ascii="Verdana" w:eastAsia="Calibri" w:hAnsi="Verdana" w:cs="Arial"/>
          <w:spacing w:val="-6"/>
          <w:sz w:val="16"/>
          <w:szCs w:val="16"/>
          <w:lang w:val="es-CR" w:eastAsia="es-CR"/>
        </w:rPr>
      </w:pPr>
      <w:r w:rsidRPr="005A17C2">
        <w:rPr>
          <w:rStyle w:val="FootnoteReference"/>
          <w:spacing w:val="-6"/>
          <w:szCs w:val="16"/>
        </w:rPr>
        <w:footnoteRef/>
      </w:r>
      <w:r w:rsidRPr="005A17C2">
        <w:rPr>
          <w:spacing w:val="-6"/>
          <w:sz w:val="16"/>
          <w:szCs w:val="16"/>
        </w:rPr>
        <w:t xml:space="preserve"> </w:t>
      </w:r>
      <w:r w:rsidRPr="005A17C2">
        <w:rPr>
          <w:spacing w:val="-6"/>
          <w:sz w:val="16"/>
          <w:szCs w:val="16"/>
        </w:rPr>
        <w:tab/>
      </w:r>
      <w:r w:rsidR="00EB2693">
        <w:rPr>
          <w:spacing w:val="-6"/>
          <w:sz w:val="16"/>
          <w:szCs w:val="16"/>
        </w:rPr>
        <w:tab/>
      </w:r>
      <w:r w:rsidRPr="005A17C2">
        <w:rPr>
          <w:rFonts w:ascii="Verdana" w:hAnsi="Verdana"/>
          <w:spacing w:val="-6"/>
          <w:sz w:val="16"/>
          <w:szCs w:val="16"/>
          <w:lang w:val="es-CR"/>
        </w:rPr>
        <w:t xml:space="preserve">De acuerdo a lo informado por los representantes, aproximadamente a las 20:50 horas, una camioneta de carga interceptó y cerró el paso al vehículo de </w:t>
      </w:r>
      <w:proofErr w:type="spellStart"/>
      <w:r w:rsidRPr="005A17C2">
        <w:rPr>
          <w:rFonts w:ascii="Verdana" w:hAnsi="Verdana"/>
          <w:spacing w:val="-6"/>
          <w:sz w:val="16"/>
          <w:szCs w:val="16"/>
          <w:lang w:val="es-CR"/>
        </w:rPr>
        <w:t>Tlachinollan</w:t>
      </w:r>
      <w:proofErr w:type="spellEnd"/>
      <w:r w:rsidRPr="005A17C2">
        <w:rPr>
          <w:rFonts w:ascii="Verdana" w:hAnsi="Verdana"/>
          <w:spacing w:val="-6"/>
          <w:sz w:val="16"/>
          <w:szCs w:val="16"/>
          <w:lang w:val="es-CR"/>
        </w:rPr>
        <w:t xml:space="preserve">. Inmediatamente, bajaron de ese auto tres sujetos, dos de ellos armados y embozados. Los atacantes obligaron a los integrantes de </w:t>
      </w:r>
      <w:proofErr w:type="spellStart"/>
      <w:r w:rsidRPr="005A17C2">
        <w:rPr>
          <w:rFonts w:ascii="Verdana" w:hAnsi="Verdana"/>
          <w:spacing w:val="-6"/>
          <w:sz w:val="16"/>
          <w:szCs w:val="16"/>
          <w:lang w:val="es-CR"/>
        </w:rPr>
        <w:t>Tlachinollan</w:t>
      </w:r>
      <w:proofErr w:type="spellEnd"/>
      <w:r w:rsidRPr="005A17C2">
        <w:rPr>
          <w:rFonts w:ascii="Verdana" w:hAnsi="Verdana"/>
          <w:spacing w:val="-6"/>
          <w:sz w:val="16"/>
          <w:szCs w:val="16"/>
          <w:lang w:val="es-CR"/>
        </w:rPr>
        <w:t xml:space="preserve"> a bajar de la camioneta y a acostarse en la carretera, mientras uno de los sujetos armados se subía al vehículo de </w:t>
      </w:r>
      <w:proofErr w:type="spellStart"/>
      <w:r w:rsidRPr="005A17C2">
        <w:rPr>
          <w:rFonts w:ascii="Verdana" w:hAnsi="Verdana"/>
          <w:spacing w:val="-6"/>
          <w:sz w:val="16"/>
          <w:szCs w:val="16"/>
          <w:lang w:val="es-CR"/>
        </w:rPr>
        <w:t>Tlachinollan</w:t>
      </w:r>
      <w:proofErr w:type="spellEnd"/>
      <w:r w:rsidRPr="005A17C2">
        <w:rPr>
          <w:rFonts w:ascii="Verdana" w:hAnsi="Verdana"/>
          <w:spacing w:val="-6"/>
          <w:sz w:val="16"/>
          <w:szCs w:val="16"/>
          <w:lang w:val="es-CR"/>
        </w:rPr>
        <w:t xml:space="preserve"> para llevárselo. Adentro del vehículo iban dos computadoras, </w:t>
      </w:r>
      <w:r w:rsidRPr="00156B6B">
        <w:rPr>
          <w:rFonts w:ascii="Verdana" w:hAnsi="Verdana"/>
          <w:spacing w:val="-6"/>
          <w:sz w:val="16"/>
          <w:szCs w:val="16"/>
          <w:lang w:val="es-CR"/>
        </w:rPr>
        <w:t xml:space="preserve">identificaciones de los integrantes de </w:t>
      </w:r>
      <w:proofErr w:type="spellStart"/>
      <w:r w:rsidRPr="00156B6B">
        <w:rPr>
          <w:rFonts w:ascii="Verdana" w:hAnsi="Verdana"/>
          <w:spacing w:val="-6"/>
          <w:sz w:val="16"/>
          <w:szCs w:val="16"/>
          <w:lang w:val="es-CR"/>
        </w:rPr>
        <w:t>Tlachinollan</w:t>
      </w:r>
      <w:proofErr w:type="spellEnd"/>
      <w:r w:rsidRPr="00156B6B">
        <w:rPr>
          <w:rFonts w:ascii="Verdana" w:hAnsi="Verdana"/>
          <w:spacing w:val="-6"/>
          <w:sz w:val="16"/>
          <w:szCs w:val="16"/>
          <w:lang w:val="es-CR"/>
        </w:rPr>
        <w:t xml:space="preserve">, así como documentos personales y de trabajo. Los otros dos sujetos retuvieron a los integrantes de </w:t>
      </w:r>
      <w:proofErr w:type="spellStart"/>
      <w:r w:rsidRPr="00156B6B">
        <w:rPr>
          <w:rFonts w:ascii="Verdana" w:hAnsi="Verdana"/>
          <w:spacing w:val="-6"/>
          <w:sz w:val="16"/>
          <w:szCs w:val="16"/>
          <w:lang w:val="es-CR"/>
        </w:rPr>
        <w:t>Tlachinollan</w:t>
      </w:r>
      <w:proofErr w:type="spellEnd"/>
      <w:r w:rsidRPr="00156B6B">
        <w:rPr>
          <w:rFonts w:ascii="Verdana" w:eastAsia="Calibri" w:hAnsi="Verdana" w:cs="Arial"/>
          <w:spacing w:val="-6"/>
          <w:sz w:val="16"/>
          <w:szCs w:val="16"/>
          <w:lang w:val="es-CR" w:eastAsia="es-CR"/>
        </w:rPr>
        <w:t xml:space="preserve"> por un tiempo, los amarraron, les ordenaron subir a la batea de la camioneta de los atacantes, para posteriormente dejarlos tirados en la tierra, amenazarlos de muerte y robarles las carteras. </w:t>
      </w:r>
    </w:p>
    <w:p w14:paraId="6D47DF70" w14:textId="25868F7A" w:rsidR="00156B6B" w:rsidRPr="00156B6B" w:rsidRDefault="00156B6B" w:rsidP="00EB2693">
      <w:pPr>
        <w:widowControl w:val="0"/>
        <w:tabs>
          <w:tab w:val="left" w:pos="360"/>
          <w:tab w:val="left" w:pos="567"/>
        </w:tabs>
        <w:autoSpaceDE w:val="0"/>
        <w:autoSpaceDN w:val="0"/>
        <w:adjustRightInd w:val="0"/>
        <w:spacing w:before="60" w:after="60"/>
        <w:jc w:val="both"/>
        <w:rPr>
          <w:rFonts w:ascii="Verdana" w:eastAsia="Calibri" w:hAnsi="Verdana" w:cs="Times"/>
          <w:spacing w:val="-6"/>
          <w:sz w:val="16"/>
          <w:szCs w:val="16"/>
          <w:lang w:val="es-CR" w:eastAsia="es-CR"/>
        </w:rPr>
      </w:pPr>
    </w:p>
  </w:footnote>
  <w:footnote w:id="14">
    <w:p w14:paraId="1F4F611C" w14:textId="04CCF96C" w:rsidR="00156B6B" w:rsidRPr="00156B6B" w:rsidRDefault="00156B6B" w:rsidP="00EB2693">
      <w:pPr>
        <w:pStyle w:val="FootnoteText"/>
        <w:tabs>
          <w:tab w:val="left" w:pos="360"/>
          <w:tab w:val="left" w:pos="567"/>
        </w:tabs>
        <w:spacing w:before="60" w:after="60"/>
        <w:jc w:val="both"/>
        <w:rPr>
          <w:rFonts w:ascii="Verdana" w:hAnsi="Verdana"/>
          <w:b/>
          <w:spacing w:val="-6"/>
          <w:sz w:val="16"/>
          <w:szCs w:val="16"/>
        </w:rPr>
      </w:pPr>
      <w:r w:rsidRPr="00156B6B">
        <w:rPr>
          <w:rStyle w:val="FootnoteReference"/>
          <w:spacing w:val="-6"/>
          <w:szCs w:val="16"/>
        </w:rPr>
        <w:footnoteRef/>
      </w:r>
      <w:r w:rsidRPr="00156B6B">
        <w:rPr>
          <w:rFonts w:ascii="Verdana" w:hAnsi="Verdana"/>
          <w:spacing w:val="-6"/>
          <w:sz w:val="16"/>
          <w:szCs w:val="16"/>
        </w:rPr>
        <w:t xml:space="preserve"> </w:t>
      </w:r>
      <w:r w:rsidRPr="00156B6B">
        <w:rPr>
          <w:rFonts w:ascii="Verdana" w:hAnsi="Verdana"/>
          <w:spacing w:val="-6"/>
          <w:sz w:val="16"/>
          <w:szCs w:val="16"/>
        </w:rPr>
        <w:tab/>
      </w:r>
      <w:r w:rsidR="00EB2693">
        <w:rPr>
          <w:rFonts w:ascii="Verdana" w:hAnsi="Verdana"/>
          <w:spacing w:val="-6"/>
          <w:sz w:val="16"/>
          <w:szCs w:val="16"/>
        </w:rPr>
        <w:tab/>
      </w:r>
      <w:r w:rsidRPr="00156B6B">
        <w:rPr>
          <w:rFonts w:ascii="Verdana" w:hAnsi="Verdana"/>
          <w:i/>
          <w:spacing w:val="-6"/>
          <w:sz w:val="16"/>
          <w:szCs w:val="16"/>
        </w:rPr>
        <w:t>Cfr. Asunto Adrián Meléndez Quijano y otros. Medidas Provisionales respecto de El Salvador.</w:t>
      </w:r>
      <w:r w:rsidRPr="00156B6B">
        <w:rPr>
          <w:rFonts w:ascii="Verdana" w:hAnsi="Verdana"/>
          <w:spacing w:val="-6"/>
          <w:sz w:val="16"/>
          <w:szCs w:val="16"/>
        </w:rPr>
        <w:t xml:space="preserve"> Resolución de la Corte de 21 de agosto de 2013, Considerando 22, y</w:t>
      </w:r>
      <w:r w:rsidR="00EB2693" w:rsidRPr="00EB2693">
        <w:rPr>
          <w:rStyle w:val="Strong"/>
          <w:rFonts w:ascii="Verdana" w:hAnsi="Verdana"/>
          <w:b w:val="0"/>
          <w:i/>
          <w:color w:val="000000"/>
          <w:spacing w:val="-6"/>
          <w:sz w:val="16"/>
          <w:szCs w:val="16"/>
          <w:shd w:val="clear" w:color="auto" w:fill="FFFFFF"/>
        </w:rPr>
        <w:t xml:space="preserve"> </w:t>
      </w:r>
      <w:r w:rsidR="00EB2693" w:rsidRPr="005A17C2">
        <w:rPr>
          <w:rStyle w:val="Strong"/>
          <w:rFonts w:ascii="Verdana" w:hAnsi="Verdana"/>
          <w:b w:val="0"/>
          <w:i/>
          <w:color w:val="000000"/>
          <w:spacing w:val="-6"/>
          <w:sz w:val="16"/>
          <w:szCs w:val="16"/>
          <w:shd w:val="clear" w:color="auto" w:fill="FFFFFF"/>
        </w:rPr>
        <w:t>Caso Rosendo Cantú y otra. Medidas Provisionales respecto de México</w:t>
      </w:r>
      <w:r w:rsidR="00EB2693" w:rsidRPr="005A17C2">
        <w:rPr>
          <w:rStyle w:val="Strong"/>
          <w:rFonts w:ascii="Verdana" w:hAnsi="Verdana"/>
          <w:b w:val="0"/>
          <w:color w:val="000000"/>
          <w:spacing w:val="-6"/>
          <w:sz w:val="16"/>
          <w:szCs w:val="16"/>
          <w:shd w:val="clear" w:color="auto" w:fill="FFFFFF"/>
        </w:rPr>
        <w:t>. Resolución de la Corte del 23 de junio de 2015</w:t>
      </w:r>
      <w:r w:rsidRPr="00156B6B">
        <w:rPr>
          <w:rStyle w:val="Strong"/>
          <w:rFonts w:ascii="Verdana" w:hAnsi="Verdana"/>
          <w:b w:val="0"/>
          <w:color w:val="000000"/>
          <w:spacing w:val="-6"/>
          <w:sz w:val="16"/>
          <w:szCs w:val="16"/>
          <w:shd w:val="clear" w:color="auto" w:fill="FFFFFF"/>
        </w:rPr>
        <w:t>, Considerando 30.</w:t>
      </w:r>
    </w:p>
  </w:footnote>
  <w:footnote w:id="15">
    <w:p w14:paraId="434D26B2" w14:textId="4E4E33E7" w:rsidR="00156B6B" w:rsidRPr="005A17C2" w:rsidRDefault="00156B6B" w:rsidP="002F7B57">
      <w:pPr>
        <w:pStyle w:val="FootnoteText"/>
        <w:tabs>
          <w:tab w:val="left" w:pos="360"/>
          <w:tab w:val="left" w:pos="567"/>
        </w:tabs>
        <w:spacing w:before="60" w:after="60"/>
        <w:jc w:val="both"/>
        <w:rPr>
          <w:rFonts w:ascii="Verdana" w:hAnsi="Verdana"/>
          <w:spacing w:val="-6"/>
          <w:sz w:val="16"/>
          <w:szCs w:val="16"/>
        </w:rPr>
      </w:pPr>
      <w:r w:rsidRPr="00156B6B">
        <w:rPr>
          <w:rStyle w:val="FootnoteReference"/>
          <w:spacing w:val="-6"/>
          <w:szCs w:val="16"/>
        </w:rPr>
        <w:footnoteRef/>
      </w:r>
      <w:r w:rsidR="002F7B57">
        <w:rPr>
          <w:rFonts w:ascii="Verdana" w:hAnsi="Verdana"/>
          <w:spacing w:val="-6"/>
          <w:sz w:val="16"/>
          <w:szCs w:val="16"/>
        </w:rPr>
        <w:t xml:space="preserve"> </w:t>
      </w:r>
      <w:r w:rsidR="002F7B57">
        <w:rPr>
          <w:rFonts w:ascii="Verdana" w:hAnsi="Verdana"/>
          <w:spacing w:val="-6"/>
          <w:sz w:val="16"/>
          <w:szCs w:val="16"/>
        </w:rPr>
        <w:tab/>
      </w:r>
      <w:r w:rsidR="002F7B57">
        <w:rPr>
          <w:rFonts w:ascii="Verdana" w:hAnsi="Verdana"/>
          <w:spacing w:val="-6"/>
          <w:sz w:val="16"/>
          <w:szCs w:val="16"/>
        </w:rPr>
        <w:tab/>
      </w:r>
      <w:r w:rsidRPr="00156B6B">
        <w:rPr>
          <w:rFonts w:ascii="Verdana" w:hAnsi="Verdana"/>
          <w:i/>
          <w:spacing w:val="-6"/>
          <w:sz w:val="16"/>
          <w:szCs w:val="16"/>
        </w:rPr>
        <w:t>Cfr</w:t>
      </w:r>
      <w:r w:rsidRPr="00156B6B">
        <w:rPr>
          <w:rFonts w:ascii="Verdana" w:hAnsi="Verdana"/>
          <w:spacing w:val="-6"/>
          <w:sz w:val="16"/>
          <w:szCs w:val="16"/>
        </w:rPr>
        <w:t xml:space="preserve">. </w:t>
      </w:r>
      <w:r w:rsidRPr="00156B6B">
        <w:rPr>
          <w:rFonts w:ascii="Verdana" w:hAnsi="Verdana"/>
          <w:i/>
          <w:spacing w:val="-6"/>
          <w:sz w:val="16"/>
          <w:szCs w:val="16"/>
        </w:rPr>
        <w:t>Asunto Fernández Ortega</w:t>
      </w:r>
      <w:r w:rsidRPr="005A17C2">
        <w:rPr>
          <w:rFonts w:ascii="Verdana" w:hAnsi="Verdana"/>
          <w:i/>
          <w:spacing w:val="-6"/>
          <w:sz w:val="16"/>
          <w:szCs w:val="16"/>
        </w:rPr>
        <w:t xml:space="preserve"> y otros. </w:t>
      </w:r>
      <w:r w:rsidRPr="005A17C2">
        <w:rPr>
          <w:rStyle w:val="Strong"/>
          <w:rFonts w:ascii="Verdana" w:hAnsi="Verdana"/>
          <w:b w:val="0"/>
          <w:i/>
          <w:color w:val="000000"/>
          <w:spacing w:val="-6"/>
          <w:sz w:val="16"/>
          <w:szCs w:val="16"/>
          <w:shd w:val="clear" w:color="auto" w:fill="FFFFFF"/>
        </w:rPr>
        <w:t>Medidas Provisionales respecto de México</w:t>
      </w:r>
      <w:r w:rsidRPr="005A17C2">
        <w:rPr>
          <w:rStyle w:val="Strong"/>
          <w:rFonts w:ascii="Verdana" w:hAnsi="Verdana"/>
          <w:b w:val="0"/>
          <w:color w:val="000000"/>
          <w:spacing w:val="-6"/>
          <w:sz w:val="16"/>
          <w:szCs w:val="16"/>
          <w:shd w:val="clear" w:color="auto" w:fill="FFFFFF"/>
        </w:rPr>
        <w:t xml:space="preserve">. </w:t>
      </w:r>
      <w:r w:rsidRPr="005A17C2">
        <w:rPr>
          <w:rFonts w:ascii="Verdana" w:hAnsi="Verdana"/>
          <w:spacing w:val="-6"/>
          <w:sz w:val="16"/>
          <w:szCs w:val="16"/>
        </w:rPr>
        <w:t xml:space="preserve">Resolución de la Corte de 30 de abril de 2009, Considerando 30, y </w:t>
      </w:r>
      <w:r w:rsidRPr="005A17C2">
        <w:rPr>
          <w:rStyle w:val="Strong"/>
          <w:rFonts w:ascii="Verdana" w:hAnsi="Verdana"/>
          <w:b w:val="0"/>
          <w:i/>
          <w:color w:val="000000"/>
          <w:spacing w:val="-6"/>
          <w:sz w:val="16"/>
          <w:szCs w:val="16"/>
          <w:shd w:val="clear" w:color="auto" w:fill="FFFFFF"/>
        </w:rPr>
        <w:t>Caso Fernández Ortega y otros. Medidas Provisionales respecto de los Estados Unidos Mexicanos.</w:t>
      </w:r>
      <w:r w:rsidRPr="005A17C2">
        <w:rPr>
          <w:rStyle w:val="Strong"/>
          <w:rFonts w:ascii="Verdana" w:hAnsi="Verdana"/>
          <w:b w:val="0"/>
          <w:color w:val="000000"/>
          <w:spacing w:val="-6"/>
          <w:sz w:val="16"/>
          <w:szCs w:val="16"/>
          <w:shd w:val="clear" w:color="auto" w:fill="FFFFFF"/>
        </w:rPr>
        <w:t xml:space="preserve"> Resolución de la Corte del 20 de febrero de 2012, considerando 22 y 23.</w:t>
      </w:r>
    </w:p>
  </w:footnote>
  <w:footnote w:id="16">
    <w:p w14:paraId="01D244FF" w14:textId="2929FF6F" w:rsidR="00156B6B" w:rsidRPr="005A17C2" w:rsidRDefault="00156B6B" w:rsidP="00EB2693">
      <w:pPr>
        <w:pStyle w:val="FootnoteText"/>
        <w:tabs>
          <w:tab w:val="left" w:pos="360"/>
          <w:tab w:val="left" w:pos="567"/>
        </w:tabs>
        <w:spacing w:before="60" w:after="60"/>
        <w:jc w:val="both"/>
        <w:rPr>
          <w:rFonts w:ascii="Verdana" w:hAnsi="Verdana"/>
          <w:b/>
          <w:spacing w:val="-6"/>
          <w:sz w:val="16"/>
          <w:szCs w:val="16"/>
        </w:rPr>
      </w:pPr>
      <w:r w:rsidRPr="005A17C2">
        <w:rPr>
          <w:rStyle w:val="FootnoteReference"/>
          <w:spacing w:val="-6"/>
          <w:szCs w:val="16"/>
        </w:rPr>
        <w:footnoteRef/>
      </w:r>
      <w:r w:rsidRPr="005A17C2">
        <w:rPr>
          <w:rFonts w:ascii="Verdana" w:hAnsi="Verdana"/>
          <w:spacing w:val="-6"/>
          <w:sz w:val="16"/>
          <w:szCs w:val="16"/>
        </w:rPr>
        <w:t xml:space="preserve"> </w:t>
      </w:r>
      <w:r w:rsidRPr="005A17C2">
        <w:rPr>
          <w:rFonts w:ascii="Verdana" w:hAnsi="Verdana"/>
          <w:spacing w:val="-6"/>
          <w:sz w:val="16"/>
          <w:szCs w:val="16"/>
        </w:rPr>
        <w:tab/>
      </w:r>
      <w:r w:rsidR="002F7B57">
        <w:rPr>
          <w:rFonts w:ascii="Verdana" w:hAnsi="Verdana"/>
          <w:spacing w:val="-6"/>
          <w:sz w:val="16"/>
          <w:szCs w:val="16"/>
        </w:rPr>
        <w:tab/>
      </w:r>
      <w:r w:rsidRPr="005A17C2">
        <w:rPr>
          <w:rFonts w:ascii="Verdana" w:hAnsi="Verdana"/>
          <w:i/>
          <w:spacing w:val="-6"/>
          <w:sz w:val="16"/>
          <w:szCs w:val="16"/>
        </w:rPr>
        <w:t>Cfr. Asunto James y otros. Medidas Provisionales respecto de Trinidad y Tobago.</w:t>
      </w:r>
      <w:r w:rsidRPr="005A17C2">
        <w:rPr>
          <w:rFonts w:ascii="Verdana" w:hAnsi="Verdana"/>
          <w:spacing w:val="-6"/>
          <w:sz w:val="16"/>
          <w:szCs w:val="16"/>
        </w:rPr>
        <w:t xml:space="preserve"> Resolución de la Corte de 29 de agosto de 1998, Considerando 6, y </w:t>
      </w:r>
      <w:r w:rsidRPr="005A17C2">
        <w:rPr>
          <w:rStyle w:val="Strong"/>
          <w:rFonts w:ascii="Verdana" w:hAnsi="Verdana"/>
          <w:b w:val="0"/>
          <w:i/>
          <w:color w:val="000000"/>
          <w:spacing w:val="-6"/>
          <w:sz w:val="16"/>
          <w:szCs w:val="16"/>
          <w:shd w:val="clear" w:color="auto" w:fill="FFFFFF"/>
        </w:rPr>
        <w:t>Caso Rosendo Cantú y otra. Medidas Provisionales respecto de México</w:t>
      </w:r>
      <w:r w:rsidRPr="005A17C2">
        <w:rPr>
          <w:rStyle w:val="Strong"/>
          <w:rFonts w:ascii="Verdana" w:hAnsi="Verdana"/>
          <w:b w:val="0"/>
          <w:color w:val="000000"/>
          <w:spacing w:val="-6"/>
          <w:sz w:val="16"/>
          <w:szCs w:val="16"/>
          <w:shd w:val="clear" w:color="auto" w:fill="FFFFFF"/>
        </w:rPr>
        <w:t>. Resolución de la Corte del 23 de junio de 2015, Considerando 31.</w:t>
      </w:r>
    </w:p>
  </w:footnote>
  <w:footnote w:id="17">
    <w:p w14:paraId="7AADA54D" w14:textId="4B3908FC" w:rsidR="00156B6B" w:rsidRPr="005A17C2" w:rsidRDefault="00156B6B" w:rsidP="00EB2693">
      <w:pPr>
        <w:pStyle w:val="FootnoteText"/>
        <w:tabs>
          <w:tab w:val="left" w:pos="360"/>
          <w:tab w:val="left" w:pos="567"/>
        </w:tabs>
        <w:spacing w:before="60" w:after="60"/>
        <w:jc w:val="both"/>
        <w:rPr>
          <w:rFonts w:ascii="Verdana" w:hAnsi="Verdana"/>
          <w:b/>
          <w:spacing w:val="-6"/>
          <w:sz w:val="16"/>
          <w:szCs w:val="16"/>
        </w:rPr>
      </w:pPr>
      <w:r w:rsidRPr="005A17C2">
        <w:rPr>
          <w:rStyle w:val="FootnoteReference"/>
          <w:spacing w:val="-6"/>
          <w:szCs w:val="16"/>
        </w:rPr>
        <w:footnoteRef/>
      </w:r>
      <w:r w:rsidRPr="005A17C2">
        <w:rPr>
          <w:rFonts w:ascii="Verdana" w:hAnsi="Verdana"/>
          <w:spacing w:val="-6"/>
          <w:sz w:val="16"/>
          <w:szCs w:val="16"/>
        </w:rPr>
        <w:t xml:space="preserve"> </w:t>
      </w:r>
      <w:r w:rsidRPr="005A17C2">
        <w:rPr>
          <w:rFonts w:ascii="Verdana" w:hAnsi="Verdana"/>
          <w:spacing w:val="-6"/>
          <w:sz w:val="16"/>
          <w:szCs w:val="16"/>
        </w:rPr>
        <w:tab/>
      </w:r>
      <w:r w:rsidR="002F7B57">
        <w:rPr>
          <w:rFonts w:ascii="Verdana" w:hAnsi="Verdana"/>
          <w:spacing w:val="-6"/>
          <w:sz w:val="16"/>
          <w:szCs w:val="16"/>
        </w:rPr>
        <w:tab/>
      </w:r>
      <w:r w:rsidRPr="005A17C2">
        <w:rPr>
          <w:rFonts w:ascii="Verdana" w:hAnsi="Verdana"/>
          <w:i/>
          <w:spacing w:val="-6"/>
          <w:sz w:val="16"/>
          <w:szCs w:val="16"/>
        </w:rPr>
        <w:t>Cfr</w:t>
      </w:r>
      <w:r w:rsidRPr="005A17C2">
        <w:rPr>
          <w:rFonts w:ascii="Verdana" w:hAnsi="Verdana"/>
          <w:spacing w:val="-6"/>
          <w:sz w:val="16"/>
          <w:szCs w:val="16"/>
        </w:rPr>
        <w:t xml:space="preserve">. </w:t>
      </w:r>
      <w:r w:rsidRPr="005A17C2">
        <w:rPr>
          <w:rFonts w:ascii="Verdana" w:hAnsi="Verdana"/>
          <w:i/>
          <w:spacing w:val="-6"/>
          <w:sz w:val="16"/>
          <w:szCs w:val="16"/>
        </w:rPr>
        <w:t xml:space="preserve">Caso </w:t>
      </w:r>
      <w:proofErr w:type="spellStart"/>
      <w:r w:rsidRPr="005A17C2">
        <w:rPr>
          <w:rFonts w:ascii="Verdana" w:hAnsi="Verdana"/>
          <w:i/>
          <w:spacing w:val="-6"/>
          <w:sz w:val="16"/>
          <w:szCs w:val="16"/>
        </w:rPr>
        <w:t>Raxcacó</w:t>
      </w:r>
      <w:proofErr w:type="spellEnd"/>
      <w:r w:rsidRPr="005A17C2">
        <w:rPr>
          <w:rFonts w:ascii="Verdana" w:hAnsi="Verdana"/>
          <w:i/>
          <w:spacing w:val="-6"/>
          <w:sz w:val="16"/>
          <w:szCs w:val="16"/>
        </w:rPr>
        <w:t xml:space="preserve"> Reyes y otros. Medidas Provisionales respecto de Guatemala.</w:t>
      </w:r>
      <w:r w:rsidRPr="005A17C2">
        <w:rPr>
          <w:rFonts w:ascii="Verdana" w:hAnsi="Verdana"/>
          <w:spacing w:val="-6"/>
          <w:sz w:val="16"/>
          <w:szCs w:val="16"/>
        </w:rPr>
        <w:t xml:space="preserve"> Resolución de la Corte de 30 de agosto de 2004, Considerando </w:t>
      </w:r>
      <w:r>
        <w:rPr>
          <w:rFonts w:ascii="Verdana" w:hAnsi="Verdana"/>
          <w:spacing w:val="-6"/>
          <w:sz w:val="16"/>
          <w:szCs w:val="16"/>
        </w:rPr>
        <w:t>10</w:t>
      </w:r>
      <w:r w:rsidRPr="005A17C2">
        <w:rPr>
          <w:rFonts w:ascii="Verdana" w:hAnsi="Verdana"/>
          <w:spacing w:val="-6"/>
          <w:sz w:val="16"/>
          <w:szCs w:val="16"/>
        </w:rPr>
        <w:t xml:space="preserve">, y </w:t>
      </w:r>
      <w:r w:rsidRPr="005A17C2">
        <w:rPr>
          <w:rStyle w:val="Strong"/>
          <w:rFonts w:ascii="Verdana" w:hAnsi="Verdana"/>
          <w:b w:val="0"/>
          <w:i/>
          <w:color w:val="000000"/>
          <w:spacing w:val="-6"/>
          <w:sz w:val="16"/>
          <w:szCs w:val="16"/>
          <w:shd w:val="clear" w:color="auto" w:fill="FFFFFF"/>
        </w:rPr>
        <w:t>Caso Rosendo Cantú y otra. Medidas Provisionales respecto de México</w:t>
      </w:r>
      <w:r w:rsidRPr="005A17C2">
        <w:rPr>
          <w:rStyle w:val="Strong"/>
          <w:rFonts w:ascii="Verdana" w:hAnsi="Verdana"/>
          <w:b w:val="0"/>
          <w:color w:val="000000"/>
          <w:spacing w:val="-6"/>
          <w:sz w:val="16"/>
          <w:szCs w:val="16"/>
          <w:shd w:val="clear" w:color="auto" w:fill="FFFFFF"/>
        </w:rPr>
        <w:t>. Resolución de la Corte del 23 de junio de 2015, Considerando 31.</w:t>
      </w:r>
    </w:p>
  </w:footnote>
  <w:footnote w:id="18">
    <w:p w14:paraId="72AB83CB" w14:textId="11EACFFD" w:rsidR="00156B6B" w:rsidRPr="005A17C2" w:rsidRDefault="00156B6B" w:rsidP="00EB2693">
      <w:pPr>
        <w:pStyle w:val="FootnoteText"/>
        <w:tabs>
          <w:tab w:val="left" w:pos="360"/>
          <w:tab w:val="left" w:pos="567"/>
        </w:tabs>
        <w:spacing w:before="60" w:after="60"/>
        <w:jc w:val="both"/>
        <w:rPr>
          <w:rFonts w:ascii="Verdana" w:hAnsi="Verdana"/>
          <w:b/>
          <w:spacing w:val="-6"/>
          <w:sz w:val="16"/>
          <w:szCs w:val="16"/>
        </w:rPr>
      </w:pPr>
      <w:r w:rsidRPr="005A17C2">
        <w:rPr>
          <w:rStyle w:val="FootnoteReference"/>
          <w:spacing w:val="-6"/>
          <w:szCs w:val="16"/>
        </w:rPr>
        <w:footnoteRef/>
      </w:r>
      <w:r w:rsidRPr="005A17C2">
        <w:rPr>
          <w:rFonts w:ascii="Verdana" w:hAnsi="Verdana"/>
          <w:spacing w:val="-6"/>
          <w:sz w:val="16"/>
          <w:szCs w:val="16"/>
        </w:rPr>
        <w:t xml:space="preserve"> </w:t>
      </w:r>
      <w:r w:rsidRPr="005A17C2">
        <w:rPr>
          <w:rFonts w:ascii="Verdana" w:hAnsi="Verdana"/>
          <w:spacing w:val="-6"/>
          <w:sz w:val="16"/>
          <w:szCs w:val="16"/>
        </w:rPr>
        <w:tab/>
      </w:r>
      <w:r w:rsidRPr="005A17C2">
        <w:rPr>
          <w:rFonts w:ascii="Verdana" w:hAnsi="Verdana"/>
          <w:spacing w:val="-6"/>
          <w:sz w:val="16"/>
          <w:szCs w:val="16"/>
        </w:rPr>
        <w:tab/>
      </w:r>
      <w:r w:rsidRPr="005A17C2">
        <w:rPr>
          <w:rFonts w:ascii="Verdana" w:hAnsi="Verdana"/>
          <w:i/>
          <w:spacing w:val="-6"/>
          <w:sz w:val="16"/>
          <w:szCs w:val="16"/>
        </w:rPr>
        <w:t>Cfr</w:t>
      </w:r>
      <w:r w:rsidRPr="005A17C2">
        <w:rPr>
          <w:rFonts w:ascii="Verdana" w:hAnsi="Verdana"/>
          <w:spacing w:val="-6"/>
          <w:sz w:val="16"/>
          <w:szCs w:val="16"/>
        </w:rPr>
        <w:t xml:space="preserve">. </w:t>
      </w:r>
      <w:r w:rsidRPr="005A17C2">
        <w:rPr>
          <w:rFonts w:ascii="Verdana" w:hAnsi="Verdana"/>
          <w:i/>
          <w:spacing w:val="-6"/>
          <w:sz w:val="16"/>
          <w:szCs w:val="16"/>
        </w:rPr>
        <w:t xml:space="preserve">Asunto del Pueblo Indígena </w:t>
      </w:r>
      <w:proofErr w:type="spellStart"/>
      <w:r w:rsidRPr="005A17C2">
        <w:rPr>
          <w:rFonts w:ascii="Verdana" w:hAnsi="Verdana"/>
          <w:i/>
          <w:spacing w:val="-6"/>
          <w:sz w:val="16"/>
          <w:szCs w:val="16"/>
        </w:rPr>
        <w:t>Kankuamo</w:t>
      </w:r>
      <w:proofErr w:type="spellEnd"/>
      <w:r w:rsidRPr="005A17C2">
        <w:rPr>
          <w:rFonts w:ascii="Verdana" w:hAnsi="Verdana"/>
          <w:i/>
          <w:spacing w:val="-6"/>
          <w:sz w:val="16"/>
          <w:szCs w:val="16"/>
        </w:rPr>
        <w:t>. Medidas Provisionales respecto de Colombia</w:t>
      </w:r>
      <w:r w:rsidRPr="005A17C2">
        <w:rPr>
          <w:rFonts w:ascii="Verdana" w:hAnsi="Verdana"/>
          <w:spacing w:val="-6"/>
          <w:sz w:val="16"/>
          <w:szCs w:val="16"/>
        </w:rPr>
        <w:t xml:space="preserve">. Resolución de la Corte de 3 de abril de 2009, Considerando </w:t>
      </w:r>
      <w:r>
        <w:rPr>
          <w:rFonts w:ascii="Verdana" w:hAnsi="Verdana"/>
          <w:spacing w:val="-6"/>
          <w:sz w:val="16"/>
          <w:szCs w:val="16"/>
        </w:rPr>
        <w:t>7</w:t>
      </w:r>
      <w:r w:rsidRPr="005A17C2">
        <w:rPr>
          <w:rFonts w:ascii="Verdana" w:hAnsi="Verdana"/>
          <w:spacing w:val="-6"/>
          <w:sz w:val="16"/>
          <w:szCs w:val="16"/>
        </w:rPr>
        <w:t xml:space="preserve">, y </w:t>
      </w:r>
      <w:r w:rsidRPr="005A17C2">
        <w:rPr>
          <w:rStyle w:val="Strong"/>
          <w:rFonts w:ascii="Verdana" w:hAnsi="Verdana"/>
          <w:b w:val="0"/>
          <w:i/>
          <w:color w:val="000000"/>
          <w:spacing w:val="-6"/>
          <w:sz w:val="16"/>
          <w:szCs w:val="16"/>
          <w:shd w:val="clear" w:color="auto" w:fill="FFFFFF"/>
        </w:rPr>
        <w:t>Caso Rosendo Cantú y otra. Medidas Provisionales respecto de México</w:t>
      </w:r>
      <w:r w:rsidRPr="005A17C2">
        <w:rPr>
          <w:rStyle w:val="Strong"/>
          <w:rFonts w:ascii="Verdana" w:hAnsi="Verdana"/>
          <w:b w:val="0"/>
          <w:color w:val="000000"/>
          <w:spacing w:val="-6"/>
          <w:sz w:val="16"/>
          <w:szCs w:val="16"/>
          <w:shd w:val="clear" w:color="auto" w:fill="FFFFFF"/>
        </w:rPr>
        <w:t>. Resolución de la Corte del 23 de junio de 2015, Considerando 31.</w:t>
      </w:r>
    </w:p>
  </w:footnote>
  <w:footnote w:id="19">
    <w:p w14:paraId="38EBE73A" w14:textId="4F98DEC5" w:rsidR="00156B6B" w:rsidRPr="005A17C2" w:rsidRDefault="00156B6B" w:rsidP="00EB2693">
      <w:pPr>
        <w:pStyle w:val="FootnoteText"/>
        <w:tabs>
          <w:tab w:val="left" w:pos="360"/>
          <w:tab w:val="left" w:pos="567"/>
        </w:tabs>
        <w:spacing w:before="60" w:after="60"/>
        <w:jc w:val="both"/>
        <w:rPr>
          <w:rFonts w:ascii="Verdana" w:hAnsi="Verdana"/>
          <w:b/>
          <w:spacing w:val="-6"/>
          <w:sz w:val="16"/>
          <w:szCs w:val="16"/>
        </w:rPr>
      </w:pPr>
      <w:r w:rsidRPr="005A17C2">
        <w:rPr>
          <w:rStyle w:val="FootnoteReference"/>
          <w:spacing w:val="-6"/>
          <w:szCs w:val="16"/>
        </w:rPr>
        <w:footnoteRef/>
      </w:r>
      <w:r w:rsidRPr="005A17C2">
        <w:rPr>
          <w:rFonts w:ascii="Verdana" w:hAnsi="Verdana"/>
          <w:spacing w:val="-6"/>
          <w:sz w:val="16"/>
          <w:szCs w:val="16"/>
        </w:rPr>
        <w:t xml:space="preserve"> </w:t>
      </w:r>
      <w:r w:rsidRPr="005A17C2">
        <w:rPr>
          <w:rFonts w:ascii="Verdana" w:hAnsi="Verdana"/>
          <w:spacing w:val="-6"/>
          <w:sz w:val="16"/>
          <w:szCs w:val="16"/>
        </w:rPr>
        <w:tab/>
      </w:r>
      <w:r w:rsidRPr="005A17C2">
        <w:rPr>
          <w:rFonts w:ascii="Verdana" w:hAnsi="Verdana"/>
          <w:spacing w:val="-6"/>
          <w:sz w:val="16"/>
          <w:szCs w:val="16"/>
        </w:rPr>
        <w:tab/>
      </w:r>
      <w:r w:rsidRPr="005A17C2">
        <w:rPr>
          <w:rFonts w:ascii="Verdana" w:hAnsi="Verdana"/>
          <w:i/>
          <w:spacing w:val="-6"/>
          <w:sz w:val="16"/>
          <w:szCs w:val="16"/>
        </w:rPr>
        <w:t>Cfr</w:t>
      </w:r>
      <w:r w:rsidRPr="005A17C2">
        <w:rPr>
          <w:rFonts w:ascii="Verdana" w:hAnsi="Verdana"/>
          <w:spacing w:val="-6"/>
          <w:sz w:val="16"/>
          <w:szCs w:val="16"/>
        </w:rPr>
        <w:t xml:space="preserve">. </w:t>
      </w:r>
      <w:r w:rsidRPr="005A17C2">
        <w:rPr>
          <w:rFonts w:ascii="Verdana" w:hAnsi="Verdana"/>
          <w:i/>
          <w:spacing w:val="-6"/>
          <w:sz w:val="16"/>
          <w:szCs w:val="16"/>
        </w:rPr>
        <w:t>Asunto Gallardo Rodríguez. Medidas Provisionales respecto de México.</w:t>
      </w:r>
      <w:r w:rsidRPr="005A17C2">
        <w:rPr>
          <w:rFonts w:ascii="Verdana" w:hAnsi="Verdana"/>
          <w:spacing w:val="-6"/>
          <w:sz w:val="16"/>
          <w:szCs w:val="16"/>
        </w:rPr>
        <w:t xml:space="preserve"> Resolución de la Corte de 11 de julio de 2007, Considerando 11, y </w:t>
      </w:r>
      <w:r w:rsidRPr="005A17C2">
        <w:rPr>
          <w:rStyle w:val="Strong"/>
          <w:rFonts w:ascii="Verdana" w:hAnsi="Verdana"/>
          <w:b w:val="0"/>
          <w:i/>
          <w:color w:val="000000"/>
          <w:spacing w:val="-6"/>
          <w:sz w:val="16"/>
          <w:szCs w:val="16"/>
          <w:shd w:val="clear" w:color="auto" w:fill="FFFFFF"/>
        </w:rPr>
        <w:t>Caso Rosendo Cantú y otra. Medidas Provisionales respecto de México</w:t>
      </w:r>
      <w:r w:rsidRPr="005A17C2">
        <w:rPr>
          <w:rStyle w:val="Strong"/>
          <w:rFonts w:ascii="Verdana" w:hAnsi="Verdana"/>
          <w:b w:val="0"/>
          <w:color w:val="000000"/>
          <w:spacing w:val="-6"/>
          <w:sz w:val="16"/>
          <w:szCs w:val="16"/>
          <w:shd w:val="clear" w:color="auto" w:fill="FFFFFF"/>
        </w:rPr>
        <w:t>. Resolución de la Corte del 23 de junio de 2015, Considerando 31.</w:t>
      </w:r>
    </w:p>
  </w:footnote>
  <w:footnote w:id="20">
    <w:p w14:paraId="4D1265E0" w14:textId="36A71059" w:rsidR="00156B6B" w:rsidRPr="005A17C2" w:rsidRDefault="00156B6B" w:rsidP="00EB2693">
      <w:pPr>
        <w:pStyle w:val="FootnoteText"/>
        <w:tabs>
          <w:tab w:val="left" w:pos="360"/>
          <w:tab w:val="left" w:pos="567"/>
        </w:tabs>
        <w:spacing w:before="60" w:after="60"/>
        <w:jc w:val="both"/>
        <w:rPr>
          <w:rFonts w:ascii="Verdana" w:hAnsi="Verdana"/>
          <w:b/>
          <w:spacing w:val="-6"/>
          <w:sz w:val="16"/>
          <w:szCs w:val="16"/>
        </w:rPr>
      </w:pPr>
      <w:r w:rsidRPr="005A17C2">
        <w:rPr>
          <w:rStyle w:val="FootnoteReference"/>
          <w:spacing w:val="-6"/>
          <w:szCs w:val="16"/>
        </w:rPr>
        <w:footnoteRef/>
      </w:r>
      <w:r w:rsidRPr="005A17C2">
        <w:rPr>
          <w:rFonts w:ascii="Verdana" w:hAnsi="Verdana"/>
          <w:spacing w:val="-6"/>
          <w:sz w:val="16"/>
          <w:szCs w:val="16"/>
        </w:rPr>
        <w:t xml:space="preserve"> </w:t>
      </w:r>
      <w:r w:rsidRPr="005A17C2">
        <w:rPr>
          <w:rFonts w:ascii="Verdana" w:hAnsi="Verdana"/>
          <w:spacing w:val="-6"/>
          <w:sz w:val="16"/>
          <w:szCs w:val="16"/>
        </w:rPr>
        <w:tab/>
      </w:r>
      <w:r w:rsidRPr="005A17C2">
        <w:rPr>
          <w:rFonts w:ascii="Verdana" w:hAnsi="Verdana"/>
          <w:spacing w:val="-6"/>
          <w:sz w:val="16"/>
          <w:szCs w:val="16"/>
        </w:rPr>
        <w:tab/>
      </w:r>
      <w:r w:rsidRPr="005A17C2">
        <w:rPr>
          <w:rFonts w:ascii="Verdana" w:hAnsi="Verdana"/>
          <w:i/>
          <w:spacing w:val="-6"/>
          <w:sz w:val="16"/>
          <w:szCs w:val="16"/>
        </w:rPr>
        <w:t>Cfr</w:t>
      </w:r>
      <w:r w:rsidRPr="005A17C2">
        <w:rPr>
          <w:rFonts w:ascii="Verdana" w:hAnsi="Verdana"/>
          <w:spacing w:val="-6"/>
          <w:sz w:val="16"/>
          <w:szCs w:val="16"/>
        </w:rPr>
        <w:t xml:space="preserve">. </w:t>
      </w:r>
      <w:r w:rsidRPr="005A17C2">
        <w:rPr>
          <w:rFonts w:ascii="Verdana" w:hAnsi="Verdana"/>
          <w:i/>
          <w:spacing w:val="-6"/>
          <w:sz w:val="16"/>
          <w:szCs w:val="16"/>
        </w:rPr>
        <w:t xml:space="preserve">Asunto Luis </w:t>
      </w:r>
      <w:proofErr w:type="spellStart"/>
      <w:r w:rsidRPr="005A17C2">
        <w:rPr>
          <w:rFonts w:ascii="Verdana" w:hAnsi="Verdana"/>
          <w:i/>
          <w:spacing w:val="-6"/>
          <w:sz w:val="16"/>
          <w:szCs w:val="16"/>
        </w:rPr>
        <w:t>Uzcátegui</w:t>
      </w:r>
      <w:proofErr w:type="spellEnd"/>
      <w:r w:rsidRPr="005A17C2">
        <w:rPr>
          <w:rFonts w:ascii="Verdana" w:hAnsi="Verdana"/>
          <w:i/>
          <w:spacing w:val="-6"/>
          <w:sz w:val="16"/>
          <w:szCs w:val="16"/>
        </w:rPr>
        <w:t>. Medidas Provisionales respecto de Venezuela.</w:t>
      </w:r>
      <w:r w:rsidRPr="005A17C2">
        <w:rPr>
          <w:rFonts w:ascii="Verdana" w:hAnsi="Verdana"/>
          <w:spacing w:val="-6"/>
          <w:sz w:val="16"/>
          <w:szCs w:val="16"/>
        </w:rPr>
        <w:t xml:space="preserve"> Resolución de la Corte de 20 de febrero de 2003, Considerando 13, y</w:t>
      </w:r>
      <w:r w:rsidRPr="005A17C2">
        <w:rPr>
          <w:rStyle w:val="Strong"/>
          <w:rFonts w:ascii="Verdana" w:hAnsi="Verdana"/>
          <w:b w:val="0"/>
          <w:i/>
          <w:color w:val="000000"/>
          <w:spacing w:val="-6"/>
          <w:sz w:val="16"/>
          <w:szCs w:val="16"/>
          <w:shd w:val="clear" w:color="auto" w:fill="FFFFFF"/>
        </w:rPr>
        <w:t xml:space="preserve"> Caso Rosendo Cantú y otra. Medidas Provisionales respecto de México</w:t>
      </w:r>
      <w:r w:rsidRPr="005A17C2">
        <w:rPr>
          <w:rStyle w:val="Strong"/>
          <w:rFonts w:ascii="Verdana" w:hAnsi="Verdana"/>
          <w:b w:val="0"/>
          <w:color w:val="000000"/>
          <w:spacing w:val="-6"/>
          <w:sz w:val="16"/>
          <w:szCs w:val="16"/>
          <w:shd w:val="clear" w:color="auto" w:fill="FFFFFF"/>
        </w:rPr>
        <w:t>. Resolución de la Corte del 23 de junio de 2015, Considerando 32.</w:t>
      </w:r>
    </w:p>
  </w:footnote>
  <w:footnote w:id="21">
    <w:p w14:paraId="55DB18FE" w14:textId="7B956DBD" w:rsidR="00156B6B" w:rsidRPr="005A17C2" w:rsidRDefault="00156B6B" w:rsidP="00EB2693">
      <w:pPr>
        <w:pStyle w:val="FootnoteText"/>
        <w:tabs>
          <w:tab w:val="left" w:pos="360"/>
          <w:tab w:val="left" w:pos="567"/>
        </w:tabs>
        <w:spacing w:before="60" w:after="60"/>
        <w:jc w:val="both"/>
        <w:rPr>
          <w:rFonts w:ascii="Verdana" w:hAnsi="Verdana"/>
          <w:spacing w:val="-6"/>
          <w:sz w:val="16"/>
          <w:szCs w:val="16"/>
        </w:rPr>
      </w:pPr>
      <w:r w:rsidRPr="005A17C2">
        <w:rPr>
          <w:rStyle w:val="FootnoteReference"/>
          <w:spacing w:val="-6"/>
          <w:szCs w:val="16"/>
        </w:rPr>
        <w:footnoteRef/>
      </w:r>
      <w:r w:rsidRPr="005A17C2">
        <w:rPr>
          <w:spacing w:val="-6"/>
          <w:sz w:val="16"/>
          <w:szCs w:val="16"/>
        </w:rPr>
        <w:t xml:space="preserve"> </w:t>
      </w:r>
      <w:r w:rsidRPr="005A17C2">
        <w:rPr>
          <w:spacing w:val="-6"/>
          <w:sz w:val="16"/>
          <w:szCs w:val="16"/>
        </w:rPr>
        <w:tab/>
        <w:t xml:space="preserve"> </w:t>
      </w:r>
      <w:r w:rsidRPr="005A17C2">
        <w:rPr>
          <w:spacing w:val="-6"/>
          <w:sz w:val="16"/>
          <w:szCs w:val="16"/>
        </w:rPr>
        <w:tab/>
      </w:r>
      <w:r w:rsidRPr="005A17C2">
        <w:rPr>
          <w:rFonts w:ascii="Verdana" w:hAnsi="Verdana"/>
          <w:i/>
          <w:spacing w:val="-6"/>
          <w:sz w:val="16"/>
          <w:szCs w:val="16"/>
        </w:rPr>
        <w:t xml:space="preserve">Cfr. </w:t>
      </w:r>
      <w:r w:rsidRPr="005A17C2">
        <w:rPr>
          <w:rStyle w:val="Strong"/>
          <w:rFonts w:ascii="Verdana" w:hAnsi="Verdana"/>
          <w:b w:val="0"/>
          <w:i/>
          <w:color w:val="000000"/>
          <w:spacing w:val="-6"/>
          <w:sz w:val="16"/>
          <w:szCs w:val="16"/>
          <w:shd w:val="clear" w:color="auto" w:fill="FFFFFF"/>
        </w:rPr>
        <w:t xml:space="preserve">Caso Fernández Ortega y otros. Medidas Provisionales respecto de </w:t>
      </w:r>
      <w:r>
        <w:rPr>
          <w:rStyle w:val="Strong"/>
          <w:rFonts w:ascii="Verdana" w:hAnsi="Verdana"/>
          <w:b w:val="0"/>
          <w:i/>
          <w:color w:val="000000"/>
          <w:spacing w:val="-6"/>
          <w:sz w:val="16"/>
          <w:szCs w:val="16"/>
          <w:shd w:val="clear" w:color="auto" w:fill="FFFFFF"/>
        </w:rPr>
        <w:t>México</w:t>
      </w:r>
      <w:r w:rsidRPr="005A17C2">
        <w:rPr>
          <w:rStyle w:val="Strong"/>
          <w:rFonts w:ascii="Verdana" w:hAnsi="Verdana"/>
          <w:b w:val="0"/>
          <w:i/>
          <w:color w:val="000000"/>
          <w:spacing w:val="-6"/>
          <w:sz w:val="16"/>
          <w:szCs w:val="16"/>
          <w:shd w:val="clear" w:color="auto" w:fill="FFFFFF"/>
        </w:rPr>
        <w:t>.</w:t>
      </w:r>
      <w:r w:rsidRPr="005A17C2">
        <w:rPr>
          <w:rStyle w:val="Strong"/>
          <w:rFonts w:ascii="Verdana" w:hAnsi="Verdana"/>
          <w:b w:val="0"/>
          <w:color w:val="000000"/>
          <w:spacing w:val="-6"/>
          <w:sz w:val="16"/>
          <w:szCs w:val="16"/>
          <w:shd w:val="clear" w:color="auto" w:fill="FFFFFF"/>
        </w:rPr>
        <w:t xml:space="preserve"> Resolución de la Corte del 20 de febrero de 2012, considerando 24.</w:t>
      </w:r>
    </w:p>
  </w:footnote>
  <w:footnote w:id="22">
    <w:p w14:paraId="62253FEC" w14:textId="7D527BD5" w:rsidR="00156B6B" w:rsidRPr="005A17C2" w:rsidRDefault="00156B6B" w:rsidP="002F7B57">
      <w:pPr>
        <w:pStyle w:val="FootnoteText"/>
        <w:tabs>
          <w:tab w:val="left" w:pos="360"/>
          <w:tab w:val="left" w:pos="567"/>
        </w:tabs>
        <w:spacing w:before="60" w:after="60"/>
        <w:jc w:val="both"/>
        <w:rPr>
          <w:rFonts w:ascii="Verdana" w:hAnsi="Verdana"/>
          <w:spacing w:val="-6"/>
          <w:sz w:val="16"/>
          <w:szCs w:val="16"/>
        </w:rPr>
      </w:pPr>
      <w:r w:rsidRPr="005A17C2">
        <w:rPr>
          <w:rStyle w:val="FootnoteReference"/>
          <w:spacing w:val="-6"/>
          <w:szCs w:val="16"/>
        </w:rPr>
        <w:footnoteRef/>
      </w:r>
      <w:r w:rsidRPr="005A17C2">
        <w:rPr>
          <w:rFonts w:ascii="Verdana" w:hAnsi="Verdana"/>
          <w:spacing w:val="-6"/>
          <w:sz w:val="16"/>
          <w:szCs w:val="16"/>
        </w:rPr>
        <w:t xml:space="preserve"> </w:t>
      </w:r>
      <w:r w:rsidRPr="005A17C2">
        <w:rPr>
          <w:rFonts w:ascii="Verdana" w:hAnsi="Verdana"/>
          <w:spacing w:val="-6"/>
          <w:sz w:val="16"/>
          <w:szCs w:val="16"/>
        </w:rPr>
        <w:tab/>
      </w:r>
      <w:r w:rsidR="00EB2693">
        <w:rPr>
          <w:rFonts w:ascii="Verdana" w:hAnsi="Verdana"/>
          <w:spacing w:val="-6"/>
          <w:sz w:val="16"/>
          <w:szCs w:val="16"/>
        </w:rPr>
        <w:tab/>
      </w:r>
      <w:r w:rsidRPr="005A17C2">
        <w:rPr>
          <w:rFonts w:ascii="Verdana" w:hAnsi="Verdana"/>
          <w:spacing w:val="-6"/>
          <w:sz w:val="16"/>
          <w:szCs w:val="16"/>
        </w:rPr>
        <w:t xml:space="preserve">En sentido similar, ver </w:t>
      </w:r>
      <w:r w:rsidRPr="005A17C2">
        <w:rPr>
          <w:rFonts w:ascii="Verdana" w:hAnsi="Verdana"/>
          <w:bCs/>
          <w:i/>
          <w:spacing w:val="-6"/>
          <w:sz w:val="16"/>
          <w:szCs w:val="16"/>
          <w:lang w:val="es-CR"/>
        </w:rPr>
        <w:t>Asunto Castro Rodríguez. Medidas provisionales respecto de México.</w:t>
      </w:r>
      <w:r w:rsidRPr="005A17C2">
        <w:rPr>
          <w:rFonts w:ascii="Verdana" w:hAnsi="Verdana"/>
          <w:bCs/>
          <w:spacing w:val="-6"/>
          <w:sz w:val="16"/>
          <w:szCs w:val="16"/>
          <w:lang w:val="es-CR"/>
        </w:rPr>
        <w:t xml:space="preserve"> Resolución de la Corte de 23 de junio de 2015, párr. 17. </w:t>
      </w:r>
    </w:p>
  </w:footnote>
  <w:footnote w:id="23">
    <w:p w14:paraId="1CE785C3" w14:textId="1E354987" w:rsidR="00156B6B" w:rsidRPr="005A17C2" w:rsidRDefault="00156B6B" w:rsidP="00EB2693">
      <w:pPr>
        <w:pStyle w:val="FootnoteText"/>
        <w:tabs>
          <w:tab w:val="left" w:pos="360"/>
          <w:tab w:val="left" w:pos="567"/>
        </w:tabs>
        <w:spacing w:before="60" w:after="60"/>
        <w:jc w:val="both"/>
        <w:rPr>
          <w:rFonts w:ascii="Verdana" w:hAnsi="Verdana"/>
          <w:b/>
          <w:spacing w:val="-6"/>
          <w:sz w:val="16"/>
          <w:szCs w:val="16"/>
        </w:rPr>
      </w:pPr>
      <w:r w:rsidRPr="005A17C2">
        <w:rPr>
          <w:rStyle w:val="FootnoteReference"/>
          <w:spacing w:val="-6"/>
          <w:szCs w:val="16"/>
        </w:rPr>
        <w:footnoteRef/>
      </w:r>
      <w:r w:rsidR="00EB2693">
        <w:rPr>
          <w:rFonts w:ascii="Verdana" w:hAnsi="Verdana"/>
          <w:spacing w:val="-6"/>
          <w:sz w:val="16"/>
          <w:szCs w:val="16"/>
        </w:rPr>
        <w:t xml:space="preserve"> </w:t>
      </w:r>
      <w:r w:rsidR="00EB2693">
        <w:rPr>
          <w:rFonts w:ascii="Verdana" w:hAnsi="Verdana"/>
          <w:spacing w:val="-6"/>
          <w:sz w:val="16"/>
          <w:szCs w:val="16"/>
        </w:rPr>
        <w:tab/>
      </w:r>
      <w:r w:rsidR="00EB2693">
        <w:rPr>
          <w:rFonts w:ascii="Verdana" w:hAnsi="Verdana"/>
          <w:spacing w:val="-6"/>
          <w:sz w:val="16"/>
          <w:szCs w:val="16"/>
        </w:rPr>
        <w:tab/>
      </w:r>
      <w:r w:rsidR="00DA3DB0" w:rsidRPr="005A17C2">
        <w:rPr>
          <w:rStyle w:val="Strong"/>
          <w:rFonts w:ascii="Verdana" w:hAnsi="Verdana"/>
          <w:b w:val="0"/>
          <w:i/>
          <w:color w:val="000000"/>
          <w:spacing w:val="-6"/>
          <w:sz w:val="16"/>
          <w:szCs w:val="16"/>
          <w:shd w:val="clear" w:color="auto" w:fill="FFFFFF"/>
        </w:rPr>
        <w:t xml:space="preserve">Caso Fernández Ortega y otros. Medidas Provisionales respecto de </w:t>
      </w:r>
      <w:r w:rsidR="00DA3DB0">
        <w:rPr>
          <w:rStyle w:val="Strong"/>
          <w:rFonts w:ascii="Verdana" w:hAnsi="Verdana"/>
          <w:b w:val="0"/>
          <w:i/>
          <w:color w:val="000000"/>
          <w:spacing w:val="-6"/>
          <w:sz w:val="16"/>
          <w:szCs w:val="16"/>
          <w:shd w:val="clear" w:color="auto" w:fill="FFFFFF"/>
        </w:rPr>
        <w:t>México</w:t>
      </w:r>
      <w:r w:rsidR="00DA3DB0" w:rsidRPr="005A17C2">
        <w:rPr>
          <w:rStyle w:val="Strong"/>
          <w:rFonts w:ascii="Verdana" w:hAnsi="Verdana"/>
          <w:b w:val="0"/>
          <w:i/>
          <w:color w:val="000000"/>
          <w:spacing w:val="-6"/>
          <w:sz w:val="16"/>
          <w:szCs w:val="16"/>
          <w:shd w:val="clear" w:color="auto" w:fill="FFFFFF"/>
        </w:rPr>
        <w:t>.</w:t>
      </w:r>
      <w:r w:rsidR="00DA3DB0" w:rsidRPr="005A17C2">
        <w:rPr>
          <w:rStyle w:val="Strong"/>
          <w:rFonts w:ascii="Verdana" w:hAnsi="Verdana"/>
          <w:b w:val="0"/>
          <w:color w:val="000000"/>
          <w:spacing w:val="-6"/>
          <w:sz w:val="16"/>
          <w:szCs w:val="16"/>
          <w:shd w:val="clear" w:color="auto" w:fill="FFFFFF"/>
        </w:rPr>
        <w:t xml:space="preserve"> Resolución de la Corte del 20 de febrero de 2012, considerando </w:t>
      </w:r>
      <w:r w:rsidR="00DA3DB0">
        <w:rPr>
          <w:rStyle w:val="Strong"/>
          <w:rFonts w:ascii="Verdana" w:hAnsi="Verdana"/>
          <w:b w:val="0"/>
          <w:color w:val="000000"/>
          <w:spacing w:val="-6"/>
          <w:sz w:val="16"/>
          <w:szCs w:val="16"/>
          <w:shd w:val="clear" w:color="auto" w:fill="FFFFFF"/>
        </w:rPr>
        <w:t>31</w:t>
      </w:r>
      <w:r w:rsidR="00DA3DB0" w:rsidRPr="005A17C2">
        <w:rPr>
          <w:rStyle w:val="Strong"/>
          <w:rFonts w:ascii="Verdana" w:hAnsi="Verdana"/>
          <w:b w:val="0"/>
          <w:color w:val="000000"/>
          <w:spacing w:val="-6"/>
          <w:sz w:val="16"/>
          <w:szCs w:val="16"/>
          <w:shd w:val="clear" w:color="auto" w:fill="FFFFFF"/>
        </w:rPr>
        <w:t>.</w:t>
      </w:r>
    </w:p>
  </w:footnote>
  <w:footnote w:id="24">
    <w:p w14:paraId="790347F4" w14:textId="0BF702DB" w:rsidR="00156B6B" w:rsidRPr="005A17C2" w:rsidRDefault="00156B6B" w:rsidP="00EB2693">
      <w:pPr>
        <w:pStyle w:val="FootnoteText"/>
        <w:tabs>
          <w:tab w:val="left" w:pos="360"/>
          <w:tab w:val="left" w:pos="567"/>
        </w:tabs>
        <w:spacing w:before="60" w:after="60"/>
        <w:jc w:val="both"/>
        <w:rPr>
          <w:rFonts w:ascii="Verdana" w:hAnsi="Verdana"/>
          <w:b/>
          <w:spacing w:val="-6"/>
          <w:sz w:val="16"/>
          <w:szCs w:val="16"/>
        </w:rPr>
      </w:pPr>
      <w:r w:rsidRPr="005A17C2">
        <w:rPr>
          <w:rStyle w:val="FootnoteReference"/>
          <w:spacing w:val="-6"/>
          <w:szCs w:val="16"/>
        </w:rPr>
        <w:footnoteRef/>
      </w:r>
      <w:r w:rsidRPr="005A17C2">
        <w:rPr>
          <w:rFonts w:ascii="Verdana" w:hAnsi="Verdana"/>
          <w:spacing w:val="-6"/>
          <w:sz w:val="16"/>
          <w:szCs w:val="16"/>
        </w:rPr>
        <w:t xml:space="preserve"> </w:t>
      </w:r>
      <w:r w:rsidRPr="005A17C2">
        <w:rPr>
          <w:rFonts w:ascii="Verdana" w:hAnsi="Verdana"/>
          <w:spacing w:val="-6"/>
          <w:sz w:val="16"/>
          <w:szCs w:val="16"/>
        </w:rPr>
        <w:tab/>
      </w:r>
      <w:r w:rsidR="00EB2693">
        <w:rPr>
          <w:rFonts w:ascii="Verdana" w:hAnsi="Verdana"/>
          <w:spacing w:val="-6"/>
          <w:sz w:val="16"/>
          <w:szCs w:val="16"/>
        </w:rPr>
        <w:tab/>
      </w:r>
      <w:r w:rsidRPr="005A17C2">
        <w:rPr>
          <w:rFonts w:ascii="Verdana" w:hAnsi="Verdana"/>
          <w:i/>
          <w:spacing w:val="-6"/>
          <w:sz w:val="16"/>
          <w:szCs w:val="16"/>
        </w:rPr>
        <w:t xml:space="preserve">Cfr. Asunto Pilar Noriega García y otros. </w:t>
      </w:r>
      <w:r w:rsidRPr="00DA3DB0">
        <w:rPr>
          <w:rFonts w:ascii="Verdana" w:hAnsi="Verdana"/>
          <w:i/>
          <w:spacing w:val="-6"/>
          <w:sz w:val="16"/>
          <w:szCs w:val="16"/>
        </w:rPr>
        <w:t>Medidas Provisionales respecto de México</w:t>
      </w:r>
      <w:r w:rsidRPr="005A17C2">
        <w:rPr>
          <w:rFonts w:ascii="Verdana" w:hAnsi="Verdana"/>
          <w:spacing w:val="-6"/>
          <w:sz w:val="16"/>
          <w:szCs w:val="16"/>
        </w:rPr>
        <w:t>. Resolución de la Corte de 6 de febrero de 2008, Considerando 14</w:t>
      </w:r>
      <w:r w:rsidR="00007706">
        <w:rPr>
          <w:rFonts w:ascii="Verdana" w:hAnsi="Verdana"/>
          <w:spacing w:val="-6"/>
          <w:sz w:val="16"/>
          <w:szCs w:val="16"/>
        </w:rPr>
        <w:t xml:space="preserve"> y</w:t>
      </w:r>
      <w:r w:rsidRPr="005A17C2">
        <w:rPr>
          <w:rFonts w:ascii="Verdana" w:hAnsi="Verdana"/>
          <w:spacing w:val="-6"/>
          <w:sz w:val="16"/>
          <w:szCs w:val="16"/>
          <w:lang w:val="es-ES"/>
        </w:rPr>
        <w:t xml:space="preserve"> </w:t>
      </w:r>
      <w:r w:rsidRPr="005A17C2">
        <w:rPr>
          <w:rStyle w:val="Strong"/>
          <w:rFonts w:ascii="Verdana" w:hAnsi="Verdana"/>
          <w:b w:val="0"/>
          <w:i/>
          <w:color w:val="000000"/>
          <w:spacing w:val="-6"/>
          <w:sz w:val="16"/>
          <w:szCs w:val="16"/>
          <w:shd w:val="clear" w:color="auto" w:fill="FFFFFF"/>
        </w:rPr>
        <w:t>Caso Rosendo Cantú y otra. Medidas Provisionales respecto de México</w:t>
      </w:r>
      <w:r w:rsidRPr="005A17C2">
        <w:rPr>
          <w:rStyle w:val="Strong"/>
          <w:rFonts w:ascii="Verdana" w:hAnsi="Verdana"/>
          <w:b w:val="0"/>
          <w:color w:val="000000"/>
          <w:spacing w:val="-6"/>
          <w:sz w:val="16"/>
          <w:szCs w:val="16"/>
          <w:shd w:val="clear" w:color="auto" w:fill="FFFFFF"/>
        </w:rPr>
        <w:t>. Resolución de la Corte del 23 de junio de 2015, Considerando 38.</w:t>
      </w:r>
      <w:r w:rsidRPr="005A17C2">
        <w:rPr>
          <w:rFonts w:ascii="Verdana" w:hAnsi="Verdana"/>
          <w:spacing w:val="-6"/>
          <w:sz w:val="16"/>
          <w:szCs w:val="16"/>
          <w:lang w:val="es-ES"/>
        </w:rPr>
        <w:t xml:space="preserve">                                                                              </w:t>
      </w:r>
    </w:p>
  </w:footnote>
  <w:footnote w:id="25">
    <w:p w14:paraId="0DEC4BBD" w14:textId="0E5B360F" w:rsidR="00156B6B" w:rsidRPr="005A17C2" w:rsidRDefault="00156B6B" w:rsidP="00EB2693">
      <w:pPr>
        <w:pStyle w:val="ParaAttribute3"/>
        <w:tabs>
          <w:tab w:val="left" w:pos="360"/>
          <w:tab w:val="left" w:pos="567"/>
        </w:tabs>
        <w:wordWrap/>
        <w:spacing w:before="60" w:after="60"/>
        <w:rPr>
          <w:rFonts w:ascii="Verdana" w:eastAsia="Verdana" w:hAnsi="Verdana"/>
          <w:spacing w:val="-6"/>
          <w:sz w:val="16"/>
          <w:szCs w:val="16"/>
          <w:lang w:val="es-ES"/>
        </w:rPr>
      </w:pPr>
      <w:r w:rsidRPr="005A17C2">
        <w:rPr>
          <w:rStyle w:val="CharAttribute33"/>
          <w:spacing w:val="-6"/>
          <w:szCs w:val="16"/>
        </w:rPr>
        <w:footnoteRef/>
      </w:r>
      <w:r w:rsidRPr="005A17C2">
        <w:rPr>
          <w:rStyle w:val="CharAttribute31"/>
          <w:rFonts w:eastAsia="Batang"/>
          <w:spacing w:val="-6"/>
          <w:szCs w:val="16"/>
          <w:lang w:val="es-CR"/>
        </w:rPr>
        <w:t xml:space="preserve"> </w:t>
      </w:r>
      <w:r w:rsidRPr="005A17C2">
        <w:rPr>
          <w:rStyle w:val="CharAttribute31"/>
          <w:rFonts w:eastAsia="Batang"/>
          <w:spacing w:val="-6"/>
          <w:szCs w:val="16"/>
          <w:lang w:val="es-CR"/>
        </w:rPr>
        <w:tab/>
      </w:r>
      <w:r w:rsidRPr="005A17C2">
        <w:rPr>
          <w:rStyle w:val="CharAttribute31"/>
          <w:rFonts w:eastAsia="Batang"/>
          <w:spacing w:val="-6"/>
          <w:szCs w:val="16"/>
          <w:lang w:val="es-CR"/>
        </w:rPr>
        <w:tab/>
      </w:r>
      <w:r w:rsidRPr="005A17C2">
        <w:rPr>
          <w:rStyle w:val="CharAttribute31"/>
          <w:rFonts w:eastAsia="Batang"/>
          <w:i/>
          <w:spacing w:val="-6"/>
          <w:szCs w:val="16"/>
          <w:lang w:val="es-CR"/>
        </w:rPr>
        <w:t>Cfr.</w:t>
      </w:r>
      <w:r w:rsidRPr="005A17C2">
        <w:rPr>
          <w:rStyle w:val="CharAttribute31"/>
          <w:rFonts w:eastAsia="Batang"/>
          <w:spacing w:val="-6"/>
          <w:szCs w:val="16"/>
          <w:lang w:val="es-CR"/>
        </w:rPr>
        <w:t xml:space="preserve"> </w:t>
      </w:r>
      <w:r w:rsidRPr="005A17C2">
        <w:rPr>
          <w:rStyle w:val="CharAttribute31"/>
          <w:rFonts w:eastAsia="Batang"/>
          <w:i/>
          <w:spacing w:val="-6"/>
          <w:szCs w:val="16"/>
          <w:lang w:val="es-CR"/>
        </w:rPr>
        <w:t>Asunto Álvarez y otros. Medidas provisionales respecto de Colombia.</w:t>
      </w:r>
      <w:r w:rsidRPr="005A17C2">
        <w:rPr>
          <w:rStyle w:val="CharAttribute31"/>
          <w:rFonts w:eastAsia="Batang"/>
          <w:spacing w:val="-6"/>
          <w:szCs w:val="16"/>
          <w:lang w:val="es-CR"/>
        </w:rPr>
        <w:t xml:space="preserve"> Resolución de la Corte de 22 de mayo de 2013, Considerando 103</w:t>
      </w:r>
      <w:r w:rsidR="00007706">
        <w:rPr>
          <w:rStyle w:val="CharAttribute31"/>
          <w:rFonts w:eastAsia="Batang"/>
          <w:spacing w:val="-6"/>
          <w:szCs w:val="16"/>
          <w:lang w:val="es-CR"/>
        </w:rPr>
        <w:t>, y</w:t>
      </w:r>
      <w:r w:rsidRPr="005A17C2">
        <w:rPr>
          <w:rStyle w:val="CharAttribute31"/>
          <w:rFonts w:eastAsia="Batang"/>
          <w:spacing w:val="-6"/>
          <w:szCs w:val="16"/>
          <w:lang w:val="es-CR"/>
        </w:rPr>
        <w:t xml:space="preserve"> </w:t>
      </w:r>
      <w:r w:rsidRPr="005A17C2">
        <w:rPr>
          <w:rStyle w:val="Strong"/>
          <w:rFonts w:ascii="Verdana" w:hAnsi="Verdana"/>
          <w:b w:val="0"/>
          <w:i/>
          <w:color w:val="000000"/>
          <w:spacing w:val="-6"/>
          <w:sz w:val="16"/>
          <w:szCs w:val="16"/>
          <w:shd w:val="clear" w:color="auto" w:fill="FFFFFF"/>
          <w:lang w:val="es-ES"/>
        </w:rPr>
        <w:t>Caso Rosendo Cantú y otra. Medidas Provisionales respecto de México</w:t>
      </w:r>
      <w:r w:rsidRPr="005A17C2">
        <w:rPr>
          <w:rStyle w:val="Strong"/>
          <w:rFonts w:ascii="Verdana" w:hAnsi="Verdana"/>
          <w:b w:val="0"/>
          <w:color w:val="000000"/>
          <w:spacing w:val="-6"/>
          <w:sz w:val="16"/>
          <w:szCs w:val="16"/>
          <w:shd w:val="clear" w:color="auto" w:fill="FFFFFF"/>
          <w:lang w:val="es-ES"/>
        </w:rPr>
        <w:t xml:space="preserve">. </w:t>
      </w:r>
      <w:r w:rsidRPr="005A17C2">
        <w:rPr>
          <w:rStyle w:val="Strong"/>
          <w:rFonts w:ascii="Verdana" w:hAnsi="Verdana"/>
          <w:b w:val="0"/>
          <w:color w:val="000000"/>
          <w:spacing w:val="-6"/>
          <w:sz w:val="16"/>
          <w:szCs w:val="16"/>
          <w:shd w:val="clear" w:color="auto" w:fill="FFFFFF"/>
          <w:lang w:val="es-CR"/>
        </w:rPr>
        <w:t>Resolución de la Corte del 23 de junio de 2015, Considerando 38.</w:t>
      </w:r>
    </w:p>
  </w:footnote>
  <w:footnote w:id="26">
    <w:p w14:paraId="0512F0AA" w14:textId="796336B8" w:rsidR="00465E57" w:rsidRPr="00465E57" w:rsidRDefault="00465E57" w:rsidP="00EB2693">
      <w:pPr>
        <w:pStyle w:val="FootnoteText"/>
        <w:tabs>
          <w:tab w:val="left" w:pos="567"/>
        </w:tabs>
        <w:jc w:val="both"/>
      </w:pPr>
      <w:r>
        <w:rPr>
          <w:rStyle w:val="FootnoteReference"/>
        </w:rPr>
        <w:footnoteRef/>
      </w:r>
      <w:r>
        <w:t xml:space="preserve"> </w:t>
      </w:r>
      <w:r>
        <w:tab/>
      </w:r>
      <w:r w:rsidRPr="00007706">
        <w:rPr>
          <w:rFonts w:ascii="Verdana" w:hAnsi="Verdana"/>
          <w:spacing w:val="-6"/>
          <w:sz w:val="16"/>
          <w:szCs w:val="16"/>
        </w:rPr>
        <w:t xml:space="preserve">El Juez Eduardo Vio Grossi ratificó su voto concurrente a la Resolución dictada el 20 de febrero de 2012 en el marco de las presentes medidas provisionales, cuyo contenido y consideraciones son aplicables a esta Resolución. Dichas consideraciones han sido expuestas </w:t>
      </w:r>
      <w:r w:rsidRPr="00007706">
        <w:rPr>
          <w:rFonts w:ascii="Verdana" w:hAnsi="Verdana"/>
          <w:spacing w:val="-6"/>
          <w:sz w:val="16"/>
          <w:szCs w:val="16"/>
          <w:lang w:val="es-ES"/>
        </w:rPr>
        <w:t xml:space="preserve">también, en otros votos emitidos por el juez Vio Grossi, en las siguientes medidas: </w:t>
      </w:r>
      <w:r w:rsidRPr="00007706">
        <w:rPr>
          <w:rFonts w:ascii="Verdana" w:hAnsi="Verdana"/>
          <w:i/>
          <w:iCs/>
          <w:spacing w:val="-6"/>
          <w:sz w:val="16"/>
          <w:szCs w:val="16"/>
        </w:rPr>
        <w:t xml:space="preserve">Caso Gutiérrez Soler. </w:t>
      </w:r>
      <w:r w:rsidRPr="00007706">
        <w:rPr>
          <w:rFonts w:ascii="Verdana" w:hAnsi="Verdana"/>
          <w:i/>
          <w:spacing w:val="-6"/>
          <w:sz w:val="16"/>
          <w:szCs w:val="16"/>
        </w:rPr>
        <w:t>Medidas Provisionales respecto de Colombia.</w:t>
      </w:r>
      <w:r w:rsidRPr="00007706">
        <w:rPr>
          <w:rFonts w:ascii="Verdana" w:hAnsi="Verdana"/>
          <w:spacing w:val="-6"/>
          <w:sz w:val="16"/>
          <w:szCs w:val="16"/>
        </w:rPr>
        <w:t xml:space="preserve"> Resolución de la Corte de 30 de junio de 2011; </w:t>
      </w:r>
      <w:r w:rsidRPr="00007706">
        <w:rPr>
          <w:rFonts w:ascii="Verdana" w:hAnsi="Verdana"/>
          <w:i/>
          <w:iCs/>
          <w:spacing w:val="-6"/>
          <w:sz w:val="16"/>
          <w:szCs w:val="16"/>
        </w:rPr>
        <w:t xml:space="preserve">Caso Rosendo Cantú y otra. </w:t>
      </w:r>
      <w:r w:rsidRPr="00007706">
        <w:rPr>
          <w:rFonts w:ascii="Verdana" w:hAnsi="Verdana"/>
          <w:i/>
          <w:spacing w:val="-6"/>
          <w:sz w:val="16"/>
          <w:szCs w:val="16"/>
        </w:rPr>
        <w:t xml:space="preserve">Medidas Provisionales respecto de México. </w:t>
      </w:r>
      <w:r w:rsidRPr="00007706">
        <w:rPr>
          <w:rFonts w:ascii="Verdana" w:hAnsi="Verdana"/>
          <w:spacing w:val="-6"/>
          <w:sz w:val="16"/>
          <w:szCs w:val="16"/>
        </w:rPr>
        <w:t xml:space="preserve">Resolución de la Corte de 1 de julio de 2011; </w:t>
      </w:r>
      <w:r w:rsidRPr="00007706">
        <w:rPr>
          <w:rFonts w:ascii="Verdana" w:hAnsi="Verdana"/>
          <w:i/>
          <w:iCs/>
          <w:spacing w:val="-6"/>
          <w:sz w:val="16"/>
          <w:szCs w:val="16"/>
        </w:rPr>
        <w:t xml:space="preserve">Caso </w:t>
      </w:r>
      <w:proofErr w:type="spellStart"/>
      <w:r w:rsidRPr="00007706">
        <w:rPr>
          <w:rFonts w:ascii="Verdana" w:hAnsi="Verdana"/>
          <w:i/>
          <w:iCs/>
          <w:spacing w:val="-6"/>
          <w:sz w:val="16"/>
          <w:szCs w:val="16"/>
        </w:rPr>
        <w:t>Kawas</w:t>
      </w:r>
      <w:proofErr w:type="spellEnd"/>
      <w:r w:rsidRPr="00007706">
        <w:rPr>
          <w:rFonts w:ascii="Verdana" w:hAnsi="Verdana"/>
          <w:i/>
          <w:iCs/>
          <w:spacing w:val="-6"/>
          <w:sz w:val="16"/>
          <w:szCs w:val="16"/>
        </w:rPr>
        <w:t xml:space="preserve"> Fernández. </w:t>
      </w:r>
      <w:r w:rsidRPr="00007706">
        <w:rPr>
          <w:rFonts w:ascii="Verdana" w:hAnsi="Verdana"/>
          <w:i/>
          <w:spacing w:val="-6"/>
          <w:sz w:val="16"/>
          <w:szCs w:val="16"/>
        </w:rPr>
        <w:t xml:space="preserve">Medidas Provisionales respecto de Honduras. </w:t>
      </w:r>
      <w:r w:rsidRPr="00007706">
        <w:rPr>
          <w:rFonts w:ascii="Verdana" w:hAnsi="Verdana"/>
          <w:spacing w:val="-6"/>
          <w:sz w:val="16"/>
          <w:szCs w:val="16"/>
        </w:rPr>
        <w:t>Resolución de la Corte de 5 de julio de 2011</w:t>
      </w:r>
      <w:r w:rsidRPr="00007706">
        <w:rPr>
          <w:rFonts w:ascii="Verdana" w:hAnsi="Verdana"/>
          <w:spacing w:val="-6"/>
          <w:sz w:val="16"/>
          <w:szCs w:val="16"/>
          <w:lang w:val="es-ES"/>
        </w:rPr>
        <w:t>;</w:t>
      </w:r>
      <w:r w:rsidRPr="00007706">
        <w:rPr>
          <w:rFonts w:ascii="Verdana" w:hAnsi="Verdana"/>
          <w:bCs/>
          <w:spacing w:val="-6"/>
          <w:sz w:val="16"/>
          <w:szCs w:val="16"/>
          <w:lang w:val="es-ES"/>
        </w:rPr>
        <w:t xml:space="preserve"> </w:t>
      </w:r>
      <w:r w:rsidRPr="00007706">
        <w:rPr>
          <w:rStyle w:val="Strong"/>
          <w:rFonts w:ascii="Verdana" w:eastAsia="Times" w:hAnsi="Verdana"/>
          <w:b w:val="0"/>
          <w:i/>
          <w:iCs/>
          <w:spacing w:val="-6"/>
          <w:sz w:val="16"/>
          <w:szCs w:val="16"/>
          <w:shd w:val="clear" w:color="auto" w:fill="FFFFFF"/>
        </w:rPr>
        <w:t>Caso Pacheco Teruel y otros.</w:t>
      </w:r>
      <w:r w:rsidRPr="00007706">
        <w:rPr>
          <w:rStyle w:val="Strong"/>
          <w:rFonts w:ascii="Verdana" w:eastAsia="Times" w:hAnsi="Verdana"/>
          <w:b w:val="0"/>
          <w:spacing w:val="-6"/>
          <w:sz w:val="16"/>
          <w:szCs w:val="16"/>
          <w:shd w:val="clear" w:color="auto" w:fill="FFFFFF"/>
        </w:rPr>
        <w:t xml:space="preserve"> </w:t>
      </w:r>
      <w:r w:rsidRPr="00007706">
        <w:rPr>
          <w:rStyle w:val="Strong"/>
          <w:rFonts w:ascii="Verdana" w:eastAsia="Times" w:hAnsi="Verdana"/>
          <w:b w:val="0"/>
          <w:i/>
          <w:spacing w:val="-6"/>
          <w:sz w:val="16"/>
          <w:szCs w:val="16"/>
          <w:shd w:val="clear" w:color="auto" w:fill="FFFFFF"/>
        </w:rPr>
        <w:t>Medidas Provisionales respecto de Honduras.</w:t>
      </w:r>
      <w:r w:rsidRPr="00007706">
        <w:rPr>
          <w:rStyle w:val="Strong"/>
          <w:rFonts w:ascii="Verdana" w:eastAsia="Times" w:hAnsi="Verdana"/>
          <w:b w:val="0"/>
          <w:spacing w:val="-6"/>
          <w:sz w:val="16"/>
          <w:szCs w:val="16"/>
          <w:shd w:val="clear" w:color="auto" w:fill="FFFFFF"/>
        </w:rPr>
        <w:t xml:space="preserve"> Resolución de la Corte de 13 de febrero de 2013; </w:t>
      </w:r>
      <w:r w:rsidRPr="00007706">
        <w:rPr>
          <w:rStyle w:val="Strong"/>
          <w:rFonts w:ascii="Verdana" w:eastAsia="Times" w:hAnsi="Verdana"/>
          <w:b w:val="0"/>
          <w:i/>
          <w:iCs/>
          <w:spacing w:val="-6"/>
          <w:sz w:val="16"/>
          <w:szCs w:val="16"/>
          <w:shd w:val="clear" w:color="auto" w:fill="FFFFFF"/>
        </w:rPr>
        <w:t xml:space="preserve">Caso Familia Barrios. </w:t>
      </w:r>
      <w:r w:rsidRPr="00007706">
        <w:rPr>
          <w:rStyle w:val="Strong"/>
          <w:rFonts w:ascii="Verdana" w:eastAsia="Times" w:hAnsi="Verdana"/>
          <w:b w:val="0"/>
          <w:i/>
          <w:spacing w:val="-6"/>
          <w:sz w:val="16"/>
          <w:szCs w:val="16"/>
          <w:shd w:val="clear" w:color="auto" w:fill="FFFFFF"/>
        </w:rPr>
        <w:t xml:space="preserve">Medidas Provisionales respecto de Venezuela. </w:t>
      </w:r>
      <w:r w:rsidRPr="00007706">
        <w:rPr>
          <w:rStyle w:val="Strong"/>
          <w:rFonts w:ascii="Verdana" w:eastAsia="Times" w:hAnsi="Verdana"/>
          <w:b w:val="0"/>
          <w:spacing w:val="-6"/>
          <w:sz w:val="16"/>
          <w:szCs w:val="16"/>
          <w:shd w:val="clear" w:color="auto" w:fill="FFFFFF"/>
        </w:rPr>
        <w:t xml:space="preserve">Resolución de la Corte de 13 de febrero de 2013; </w:t>
      </w:r>
      <w:r w:rsidRPr="00007706">
        <w:rPr>
          <w:rStyle w:val="Strong"/>
          <w:rFonts w:ascii="Verdana" w:eastAsia="Times" w:hAnsi="Verdana"/>
          <w:b w:val="0"/>
          <w:i/>
          <w:iCs/>
          <w:spacing w:val="-6"/>
          <w:sz w:val="16"/>
          <w:szCs w:val="16"/>
          <w:shd w:val="clear" w:color="auto" w:fill="FFFFFF"/>
        </w:rPr>
        <w:t>Asunto</w:t>
      </w:r>
      <w:r w:rsidRPr="00007706">
        <w:rPr>
          <w:rStyle w:val="Strong"/>
          <w:rFonts w:ascii="Verdana" w:eastAsia="Times" w:hAnsi="Verdana"/>
          <w:b w:val="0"/>
          <w:spacing w:val="-6"/>
          <w:sz w:val="16"/>
          <w:szCs w:val="16"/>
          <w:shd w:val="clear" w:color="auto" w:fill="FFFFFF"/>
        </w:rPr>
        <w:t xml:space="preserve"> </w:t>
      </w:r>
      <w:proofErr w:type="spellStart"/>
      <w:r w:rsidRPr="00007706">
        <w:rPr>
          <w:rStyle w:val="Strong"/>
          <w:rFonts w:ascii="Verdana" w:eastAsia="Times" w:hAnsi="Verdana"/>
          <w:b w:val="0"/>
          <w:i/>
          <w:iCs/>
          <w:spacing w:val="-6"/>
          <w:sz w:val="16"/>
          <w:szCs w:val="16"/>
          <w:shd w:val="clear" w:color="auto" w:fill="FFFFFF"/>
        </w:rPr>
        <w:t>Millacura</w:t>
      </w:r>
      <w:proofErr w:type="spellEnd"/>
      <w:r w:rsidRPr="00007706">
        <w:rPr>
          <w:rStyle w:val="Strong"/>
          <w:rFonts w:ascii="Verdana" w:eastAsia="Times" w:hAnsi="Verdana"/>
          <w:b w:val="0"/>
          <w:i/>
          <w:iCs/>
          <w:spacing w:val="-6"/>
          <w:sz w:val="16"/>
          <w:szCs w:val="16"/>
          <w:shd w:val="clear" w:color="auto" w:fill="FFFFFF"/>
        </w:rPr>
        <w:t xml:space="preserve"> </w:t>
      </w:r>
      <w:proofErr w:type="spellStart"/>
      <w:r w:rsidRPr="00007706">
        <w:rPr>
          <w:rStyle w:val="Strong"/>
          <w:rFonts w:ascii="Verdana" w:eastAsia="Times" w:hAnsi="Verdana"/>
          <w:b w:val="0"/>
          <w:i/>
          <w:iCs/>
          <w:spacing w:val="-6"/>
          <w:sz w:val="16"/>
          <w:szCs w:val="16"/>
          <w:shd w:val="clear" w:color="auto" w:fill="FFFFFF"/>
        </w:rPr>
        <w:t>Llaipén</w:t>
      </w:r>
      <w:proofErr w:type="spellEnd"/>
      <w:r w:rsidRPr="00007706">
        <w:rPr>
          <w:rStyle w:val="Strong"/>
          <w:rFonts w:ascii="Verdana" w:eastAsia="Times" w:hAnsi="Verdana"/>
          <w:b w:val="0"/>
          <w:i/>
          <w:iCs/>
          <w:spacing w:val="-6"/>
          <w:sz w:val="16"/>
          <w:szCs w:val="16"/>
          <w:shd w:val="clear" w:color="auto" w:fill="FFFFFF"/>
        </w:rPr>
        <w:t xml:space="preserve"> y otros. </w:t>
      </w:r>
      <w:r w:rsidRPr="00007706">
        <w:rPr>
          <w:rStyle w:val="Strong"/>
          <w:rFonts w:ascii="Verdana" w:eastAsia="Times" w:hAnsi="Verdana"/>
          <w:b w:val="0"/>
          <w:i/>
          <w:spacing w:val="-6"/>
          <w:sz w:val="16"/>
          <w:szCs w:val="16"/>
          <w:shd w:val="clear" w:color="auto" w:fill="FFFFFF"/>
        </w:rPr>
        <w:t xml:space="preserve">Medidas Provisionales respecto de Argentina. </w:t>
      </w:r>
      <w:r w:rsidRPr="00007706">
        <w:rPr>
          <w:rStyle w:val="Strong"/>
          <w:rFonts w:ascii="Verdana" w:eastAsia="Times" w:hAnsi="Verdana"/>
          <w:b w:val="0"/>
          <w:spacing w:val="-6"/>
          <w:sz w:val="16"/>
          <w:szCs w:val="16"/>
          <w:shd w:val="clear" w:color="auto" w:fill="FFFFFF"/>
        </w:rPr>
        <w:t xml:space="preserve">Resolución de la Corte de 13 de febrero de 2013; </w:t>
      </w:r>
      <w:r w:rsidRPr="00007706">
        <w:rPr>
          <w:rStyle w:val="Strong"/>
          <w:rFonts w:ascii="Verdana" w:eastAsia="Times" w:hAnsi="Verdana"/>
          <w:b w:val="0"/>
          <w:i/>
          <w:iCs/>
          <w:spacing w:val="-6"/>
          <w:sz w:val="16"/>
          <w:szCs w:val="16"/>
          <w:shd w:val="clear" w:color="auto" w:fill="FFFFFF"/>
        </w:rPr>
        <w:t>Caso Familia Barrios</w:t>
      </w:r>
      <w:r w:rsidRPr="00007706">
        <w:rPr>
          <w:rStyle w:val="Strong"/>
          <w:rFonts w:ascii="Verdana" w:eastAsia="Times" w:hAnsi="Verdana"/>
          <w:b w:val="0"/>
          <w:iCs/>
          <w:spacing w:val="-6"/>
          <w:sz w:val="16"/>
          <w:szCs w:val="16"/>
          <w:shd w:val="clear" w:color="auto" w:fill="FFFFFF"/>
        </w:rPr>
        <w:t xml:space="preserve">. </w:t>
      </w:r>
      <w:r w:rsidRPr="00007706">
        <w:rPr>
          <w:rStyle w:val="Strong"/>
          <w:rFonts w:ascii="Verdana" w:eastAsia="Times" w:hAnsi="Verdana"/>
          <w:b w:val="0"/>
          <w:spacing w:val="-6"/>
          <w:sz w:val="16"/>
          <w:szCs w:val="16"/>
          <w:shd w:val="clear" w:color="auto" w:fill="FFFFFF"/>
        </w:rPr>
        <w:t>Medidas Provisionales respecto de Venezuela. Resolución</w:t>
      </w:r>
      <w:r w:rsidRPr="00007706">
        <w:rPr>
          <w:rStyle w:val="Strong"/>
          <w:rFonts w:ascii="Verdana" w:eastAsia="Times" w:hAnsi="Verdana"/>
          <w:b w:val="0"/>
          <w:i/>
          <w:iCs/>
          <w:spacing w:val="-6"/>
          <w:sz w:val="16"/>
          <w:szCs w:val="16"/>
          <w:shd w:val="clear" w:color="auto" w:fill="FFFFFF"/>
        </w:rPr>
        <w:t xml:space="preserve"> </w:t>
      </w:r>
      <w:r w:rsidRPr="00007706">
        <w:rPr>
          <w:rStyle w:val="Strong"/>
          <w:rFonts w:ascii="Verdana" w:eastAsia="Times" w:hAnsi="Verdana"/>
          <w:b w:val="0"/>
          <w:spacing w:val="-6"/>
          <w:sz w:val="16"/>
          <w:szCs w:val="16"/>
          <w:shd w:val="clear" w:color="auto" w:fill="FFFFFF"/>
        </w:rPr>
        <w:t xml:space="preserve">de la Corte de 30 de mayo de 2013; </w:t>
      </w:r>
      <w:r w:rsidRPr="00007706">
        <w:rPr>
          <w:rStyle w:val="Strong"/>
          <w:rFonts w:ascii="Verdana" w:eastAsia="Times" w:hAnsi="Verdana"/>
          <w:b w:val="0"/>
          <w:i/>
          <w:iCs/>
          <w:spacing w:val="-6"/>
          <w:sz w:val="16"/>
          <w:szCs w:val="16"/>
          <w:shd w:val="clear" w:color="auto" w:fill="FFFFFF"/>
        </w:rPr>
        <w:t>Caso Artavia Murillo y otros (“Fecundación in vitro</w:t>
      </w:r>
      <w:r w:rsidRPr="00007706">
        <w:rPr>
          <w:rStyle w:val="Strong"/>
          <w:rFonts w:ascii="Verdana" w:eastAsia="Times" w:hAnsi="Verdana"/>
          <w:b w:val="0"/>
          <w:iCs/>
          <w:spacing w:val="-6"/>
          <w:sz w:val="16"/>
          <w:szCs w:val="16"/>
          <w:shd w:val="clear" w:color="auto" w:fill="FFFFFF"/>
        </w:rPr>
        <w:t xml:space="preserve">”). </w:t>
      </w:r>
      <w:r w:rsidRPr="00007706">
        <w:rPr>
          <w:rStyle w:val="Strong"/>
          <w:rFonts w:ascii="Verdana" w:eastAsia="Times" w:hAnsi="Verdana"/>
          <w:b w:val="0"/>
          <w:spacing w:val="-6"/>
          <w:sz w:val="16"/>
          <w:szCs w:val="16"/>
          <w:shd w:val="clear" w:color="auto" w:fill="FFFFFF"/>
        </w:rPr>
        <w:t>Solicitud de Medidas Provisionales respecto de Costa Rica. Resolución de la Corte de 31 de marzo de 2014;</w:t>
      </w:r>
      <w:r w:rsidRPr="00007706">
        <w:rPr>
          <w:rFonts w:ascii="Verdana" w:hAnsi="Verdana"/>
          <w:spacing w:val="-6"/>
          <w:sz w:val="16"/>
          <w:szCs w:val="16"/>
        </w:rPr>
        <w:t xml:space="preserve"> </w:t>
      </w:r>
      <w:r w:rsidRPr="00007706">
        <w:rPr>
          <w:rFonts w:ascii="Verdana" w:hAnsi="Verdana"/>
          <w:i/>
          <w:iCs/>
          <w:spacing w:val="-6"/>
          <w:sz w:val="16"/>
          <w:szCs w:val="16"/>
        </w:rPr>
        <w:t xml:space="preserve">Caso García Prieto y otros. </w:t>
      </w:r>
      <w:r w:rsidRPr="00007706">
        <w:rPr>
          <w:rFonts w:ascii="Verdana" w:hAnsi="Verdana"/>
          <w:i/>
          <w:spacing w:val="-6"/>
          <w:sz w:val="16"/>
          <w:szCs w:val="16"/>
        </w:rPr>
        <w:t xml:space="preserve">Medidas Provisionales respecto de El Salvador. </w:t>
      </w:r>
      <w:r w:rsidRPr="00007706">
        <w:rPr>
          <w:rFonts w:ascii="Verdana" w:hAnsi="Verdana"/>
          <w:spacing w:val="-6"/>
          <w:sz w:val="16"/>
          <w:szCs w:val="16"/>
        </w:rPr>
        <w:t xml:space="preserve">Resolución de la Corte de 26 enero de 2015; </w:t>
      </w:r>
      <w:r w:rsidRPr="00007706">
        <w:rPr>
          <w:rFonts w:ascii="Verdana" w:hAnsi="Verdana"/>
          <w:i/>
          <w:iCs/>
          <w:spacing w:val="-6"/>
          <w:sz w:val="16"/>
          <w:szCs w:val="16"/>
        </w:rPr>
        <w:t xml:space="preserve">Caso </w:t>
      </w:r>
      <w:proofErr w:type="spellStart"/>
      <w:r w:rsidRPr="00007706">
        <w:rPr>
          <w:rFonts w:ascii="Verdana" w:hAnsi="Verdana"/>
          <w:i/>
          <w:iCs/>
          <w:spacing w:val="-6"/>
          <w:sz w:val="16"/>
          <w:szCs w:val="16"/>
        </w:rPr>
        <w:t>Mack</w:t>
      </w:r>
      <w:proofErr w:type="spellEnd"/>
      <w:r w:rsidRPr="00007706">
        <w:rPr>
          <w:rFonts w:ascii="Verdana" w:hAnsi="Verdana"/>
          <w:i/>
          <w:iCs/>
          <w:spacing w:val="-6"/>
          <w:sz w:val="16"/>
          <w:szCs w:val="16"/>
        </w:rPr>
        <w:t xml:space="preserve"> Chang y otros. </w:t>
      </w:r>
      <w:r w:rsidRPr="00007706">
        <w:rPr>
          <w:rFonts w:ascii="Verdana" w:hAnsi="Verdana"/>
          <w:i/>
          <w:spacing w:val="-6"/>
          <w:sz w:val="16"/>
          <w:szCs w:val="16"/>
        </w:rPr>
        <w:t xml:space="preserve">Medidas Provisionales respecto de Guatemala. </w:t>
      </w:r>
      <w:r w:rsidRPr="00007706">
        <w:rPr>
          <w:rFonts w:ascii="Verdana" w:hAnsi="Verdana"/>
          <w:spacing w:val="-6"/>
          <w:sz w:val="16"/>
          <w:szCs w:val="16"/>
        </w:rPr>
        <w:t xml:space="preserve">Resolución de la Corte de 26 de enero de 2015, y </w:t>
      </w:r>
      <w:r w:rsidRPr="0015738E">
        <w:rPr>
          <w:rFonts w:ascii="Verdana" w:hAnsi="Verdana"/>
          <w:bCs/>
          <w:i/>
          <w:spacing w:val="-6"/>
          <w:sz w:val="16"/>
          <w:szCs w:val="16"/>
        </w:rPr>
        <w:t xml:space="preserve">Caso Rosendo Cantú y otra. </w:t>
      </w:r>
      <w:r w:rsidRPr="00007706">
        <w:rPr>
          <w:rFonts w:ascii="Verdana" w:hAnsi="Verdana"/>
          <w:bCs/>
          <w:i/>
          <w:spacing w:val="-6"/>
          <w:sz w:val="16"/>
          <w:szCs w:val="16"/>
        </w:rPr>
        <w:t xml:space="preserve">Medidas provisionales respecto de México. </w:t>
      </w:r>
      <w:r w:rsidRPr="00007706">
        <w:rPr>
          <w:rFonts w:ascii="Verdana" w:hAnsi="Verdana"/>
          <w:bCs/>
          <w:spacing w:val="-6"/>
          <w:sz w:val="16"/>
          <w:szCs w:val="16"/>
        </w:rPr>
        <w:t>Resolución de la Corte de 23 de junio de 2015</w:t>
      </w:r>
      <w:r w:rsidRPr="00007706">
        <w:rPr>
          <w:rFonts w:ascii="Verdana" w:hAnsi="Verdana"/>
          <w:spacing w:val="-6"/>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CABCA" w14:textId="77777777" w:rsidR="00156B6B" w:rsidRPr="00B4139F" w:rsidRDefault="00156B6B">
    <w:pPr>
      <w:pStyle w:val="Header"/>
      <w:jc w:val="center"/>
      <w:rPr>
        <w:rFonts w:ascii="Verdana" w:hAnsi="Verdana"/>
        <w:sz w:val="20"/>
        <w:szCs w:val="20"/>
      </w:rPr>
    </w:pPr>
    <w:r w:rsidRPr="00B4139F">
      <w:rPr>
        <w:rFonts w:ascii="Verdana" w:hAnsi="Verdana"/>
        <w:sz w:val="20"/>
        <w:szCs w:val="20"/>
      </w:rPr>
      <w:fldChar w:fldCharType="begin"/>
    </w:r>
    <w:r w:rsidRPr="00B4139F">
      <w:rPr>
        <w:rFonts w:ascii="Verdana" w:hAnsi="Verdana"/>
        <w:sz w:val="20"/>
        <w:szCs w:val="20"/>
      </w:rPr>
      <w:instrText xml:space="preserve"> PAGE   \* MERGEFORMAT </w:instrText>
    </w:r>
    <w:r w:rsidRPr="00B4139F">
      <w:rPr>
        <w:rFonts w:ascii="Verdana" w:hAnsi="Verdana"/>
        <w:sz w:val="20"/>
        <w:szCs w:val="20"/>
      </w:rPr>
      <w:fldChar w:fldCharType="separate"/>
    </w:r>
    <w:r w:rsidR="00E540ED">
      <w:rPr>
        <w:rFonts w:ascii="Verdana" w:hAnsi="Verdana"/>
        <w:noProof/>
        <w:sz w:val="20"/>
        <w:szCs w:val="20"/>
      </w:rPr>
      <w:t>14</w:t>
    </w:r>
    <w:r w:rsidRPr="00B4139F">
      <w:rPr>
        <w:rFonts w:ascii="Verdana" w:hAnsi="Verdana"/>
        <w:sz w:val="20"/>
        <w:szCs w:val="20"/>
      </w:rPr>
      <w:fldChar w:fldCharType="end"/>
    </w:r>
  </w:p>
  <w:p w14:paraId="0957511C" w14:textId="77777777" w:rsidR="00156B6B" w:rsidRDefault="00156B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E58B9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403532"/>
    <w:multiLevelType w:val="hybridMultilevel"/>
    <w:tmpl w:val="F7E6BBE4"/>
    <w:name w:val="WW8Num23"/>
    <w:lvl w:ilvl="0" w:tplc="965A7ADE">
      <w:start w:val="1"/>
      <w:numFmt w:val="decimal"/>
      <w:lvlText w:val="%1."/>
      <w:lvlJc w:val="left"/>
      <w:pPr>
        <w:tabs>
          <w:tab w:val="num" w:pos="567"/>
        </w:tabs>
        <w:ind w:left="0" w:firstLine="0"/>
      </w:pPr>
      <w:rPr>
        <w:rFonts w:ascii="Verdana" w:hAnsi="Verdana" w:hint="default"/>
        <w:b w:val="0"/>
        <w:i w:val="0"/>
        <w:strike w:val="0"/>
        <w:sz w:val="20"/>
        <w:szCs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084998"/>
    <w:multiLevelType w:val="hybridMultilevel"/>
    <w:tmpl w:val="543ACCBA"/>
    <w:lvl w:ilvl="0" w:tplc="5198A96E">
      <w:start w:val="1"/>
      <w:numFmt w:val="upperRoman"/>
      <w:lvlText w:val="%1."/>
      <w:lvlJc w:val="left"/>
      <w:pPr>
        <w:tabs>
          <w:tab w:val="num" w:pos="1140"/>
        </w:tabs>
        <w:ind w:left="1140" w:hanging="780"/>
      </w:pPr>
      <w:rPr>
        <w:rFonts w:cs="Verdana"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F8D44D6"/>
    <w:multiLevelType w:val="hybridMultilevel"/>
    <w:tmpl w:val="3654A3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4C5085F"/>
    <w:multiLevelType w:val="hybridMultilevel"/>
    <w:tmpl w:val="7CF8AE38"/>
    <w:lvl w:ilvl="0" w:tplc="2C5C181E">
      <w:start w:val="1"/>
      <w:numFmt w:val="bullet"/>
      <w:lvlText w:val="-"/>
      <w:lvlJc w:val="left"/>
      <w:pPr>
        <w:ind w:left="720" w:hanging="360"/>
      </w:pPr>
      <w:rPr>
        <w:rFonts w:ascii="Verdana" w:eastAsia="Time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62ADC"/>
    <w:multiLevelType w:val="hybridMultilevel"/>
    <w:tmpl w:val="0EF05D1C"/>
    <w:lvl w:ilvl="0" w:tplc="FFFFFFFF">
      <w:start w:val="1"/>
      <w:numFmt w:val="decimal"/>
      <w:lvlText w:val="%1."/>
      <w:lvlJc w:val="left"/>
      <w:pPr>
        <w:tabs>
          <w:tab w:val="num" w:pos="720"/>
        </w:tabs>
        <w:ind w:left="720" w:hanging="720"/>
      </w:pPr>
    </w:lvl>
    <w:lvl w:ilvl="1" w:tplc="D1388696">
      <w:start w:val="1"/>
      <w:numFmt w:val="lowerLetter"/>
      <w:lvlText w:val="%2)"/>
      <w:lvlJc w:val="left"/>
      <w:pPr>
        <w:tabs>
          <w:tab w:val="num" w:pos="1080"/>
        </w:tabs>
        <w:ind w:left="720" w:firstLine="0"/>
      </w:pPr>
      <w:rPr>
        <w:rFonts w:hint="default"/>
      </w:rPr>
    </w:lvl>
    <w:lvl w:ilvl="2" w:tplc="FFFFFFFF">
      <w:start w:val="1"/>
      <w:numFmt w:val="lowerRoman"/>
      <w:lvlText w:val="%3."/>
      <w:lvlJc w:val="right"/>
      <w:pPr>
        <w:tabs>
          <w:tab w:val="num" w:pos="1980"/>
        </w:tabs>
        <w:ind w:left="1980" w:hanging="360"/>
      </w:pPr>
    </w:lvl>
    <w:lvl w:ilvl="3" w:tplc="FFFFFFFF">
      <w:start w:val="1"/>
      <w:numFmt w:val="lowerLetter"/>
      <w:lvlText w:val="%4."/>
      <w:lvlJc w:val="left"/>
      <w:pPr>
        <w:tabs>
          <w:tab w:val="num" w:pos="360"/>
        </w:tabs>
        <w:ind w:left="360" w:hanging="360"/>
      </w:pPr>
      <w:rPr>
        <w:rFonts w:hint="default"/>
      </w:r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
    <w:nsid w:val="166B399F"/>
    <w:multiLevelType w:val="hybridMultilevel"/>
    <w:tmpl w:val="B7DA9640"/>
    <w:lvl w:ilvl="0" w:tplc="029449FC">
      <w:start w:val="3"/>
      <w:numFmt w:val="bullet"/>
      <w:lvlText w:val="-"/>
      <w:lvlJc w:val="left"/>
      <w:pPr>
        <w:ind w:left="720" w:hanging="360"/>
      </w:pPr>
      <w:rPr>
        <w:rFonts w:ascii="Verdana" w:eastAsia="Times" w:hAnsi="Verdan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18C14787"/>
    <w:multiLevelType w:val="hybridMultilevel"/>
    <w:tmpl w:val="758CF3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B583168"/>
    <w:multiLevelType w:val="hybridMultilevel"/>
    <w:tmpl w:val="58E261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E211189"/>
    <w:multiLevelType w:val="hybridMultilevel"/>
    <w:tmpl w:val="730ADFF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02324B9"/>
    <w:multiLevelType w:val="hybridMultilevel"/>
    <w:tmpl w:val="DAC2C9EC"/>
    <w:lvl w:ilvl="0" w:tplc="0C0A0017">
      <w:start w:val="9"/>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13B1CE5"/>
    <w:multiLevelType w:val="hybridMultilevel"/>
    <w:tmpl w:val="D36217F2"/>
    <w:lvl w:ilvl="0" w:tplc="FAF07FF8">
      <w:start w:val="2"/>
      <w:numFmt w:val="low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3D55BA8"/>
    <w:multiLevelType w:val="hybridMultilevel"/>
    <w:tmpl w:val="F6A00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62350AC"/>
    <w:multiLevelType w:val="hybridMultilevel"/>
    <w:tmpl w:val="44026B50"/>
    <w:lvl w:ilvl="0" w:tplc="FFFFFFFF">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6385BDA"/>
    <w:multiLevelType w:val="hybridMultilevel"/>
    <w:tmpl w:val="FC2CDF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91A0026"/>
    <w:multiLevelType w:val="hybridMultilevel"/>
    <w:tmpl w:val="FAC26712"/>
    <w:lvl w:ilvl="0" w:tplc="9D7C32A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8F67EC"/>
    <w:multiLevelType w:val="hybridMultilevel"/>
    <w:tmpl w:val="2CB230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EB0535F"/>
    <w:multiLevelType w:val="hybridMultilevel"/>
    <w:tmpl w:val="3AB48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3F62871"/>
    <w:multiLevelType w:val="hybridMultilevel"/>
    <w:tmpl w:val="741838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71D204E"/>
    <w:multiLevelType w:val="hybridMultilevel"/>
    <w:tmpl w:val="262A7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AE94C42"/>
    <w:multiLevelType w:val="hybridMultilevel"/>
    <w:tmpl w:val="AD24EC4E"/>
    <w:lvl w:ilvl="0" w:tplc="5FBC247A">
      <w:start w:val="1"/>
      <w:numFmt w:val="decimal"/>
      <w:lvlText w:val="%1."/>
      <w:lvlJc w:val="left"/>
      <w:pPr>
        <w:tabs>
          <w:tab w:val="num" w:pos="567"/>
        </w:tabs>
        <w:ind w:left="0" w:firstLine="0"/>
      </w:pPr>
      <w:rPr>
        <w:rFonts w:ascii="Verdana" w:hAnsi="Verdana" w:hint="default"/>
        <w:b w:val="0"/>
        <w:i w:val="0"/>
        <w:strike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E61695"/>
    <w:multiLevelType w:val="hybridMultilevel"/>
    <w:tmpl w:val="F5344E68"/>
    <w:lvl w:ilvl="0" w:tplc="5FBC247A">
      <w:start w:val="1"/>
      <w:numFmt w:val="decimal"/>
      <w:lvlText w:val="%1."/>
      <w:lvlJc w:val="left"/>
      <w:pPr>
        <w:tabs>
          <w:tab w:val="num" w:pos="567"/>
        </w:tabs>
        <w:ind w:left="0" w:firstLine="0"/>
      </w:pPr>
      <w:rPr>
        <w:rFonts w:ascii="Verdana" w:hAnsi="Verdana" w:hint="default"/>
        <w:b w:val="0"/>
        <w:i w:val="0"/>
        <w:strike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0D624E"/>
    <w:multiLevelType w:val="hybridMultilevel"/>
    <w:tmpl w:val="435A1F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F780E40"/>
    <w:multiLevelType w:val="hybridMultilevel"/>
    <w:tmpl w:val="1BD4F698"/>
    <w:lvl w:ilvl="0" w:tplc="5378AEEC">
      <w:start w:val="1"/>
      <w:numFmt w:val="decimal"/>
      <w:lvlText w:val="%1."/>
      <w:lvlJc w:val="left"/>
      <w:pPr>
        <w:ind w:left="720" w:hanging="360"/>
      </w:pPr>
      <w:rPr>
        <w:rFonts w:cs="Times New Roman"/>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43747762"/>
    <w:multiLevelType w:val="hybridMultilevel"/>
    <w:tmpl w:val="06DECBDE"/>
    <w:lvl w:ilvl="0" w:tplc="466299C8">
      <w:start w:val="1"/>
      <w:numFmt w:val="decimal"/>
      <w:lvlText w:val="%1."/>
      <w:lvlJc w:val="left"/>
      <w:pPr>
        <w:tabs>
          <w:tab w:val="num" w:pos="567"/>
        </w:tabs>
        <w:ind w:left="0" w:firstLine="0"/>
      </w:pPr>
      <w:rPr>
        <w:rFonts w:ascii="Verdana" w:hAnsi="Verdana" w:hint="default"/>
        <w:b w:val="0"/>
        <w:i w:val="0"/>
        <w:strike w:val="0"/>
        <w:color w:val="auto"/>
        <w:sz w:val="20"/>
        <w:szCs w:val="20"/>
        <w:lang w:val="es-ES"/>
      </w:rPr>
    </w:lvl>
    <w:lvl w:ilvl="1" w:tplc="9752BD62">
      <w:start w:val="1"/>
      <w:numFmt w:val="lowerRoman"/>
      <w:lvlText w:val="%2."/>
      <w:lvlJc w:val="right"/>
      <w:pPr>
        <w:ind w:left="1440" w:hanging="360"/>
      </w:pPr>
      <w:rPr>
        <w:rFonts w:hint="default"/>
        <w:b w:val="0"/>
      </w:rPr>
    </w:lvl>
    <w:lvl w:ilvl="2" w:tplc="0C0A000F">
      <w:start w:val="1"/>
      <w:numFmt w:val="decimal"/>
      <w:lvlText w:val="%3."/>
      <w:lvlJc w:val="left"/>
      <w:pPr>
        <w:tabs>
          <w:tab w:val="num" w:pos="2340"/>
        </w:tabs>
        <w:ind w:left="2340" w:hanging="360"/>
      </w:pPr>
      <w:rPr>
        <w:rFonts w:hint="default"/>
        <w:b w:val="0"/>
        <w:i w:val="0"/>
        <w:strike w:val="0"/>
        <w:sz w:val="20"/>
        <w:szCs w:val="2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3DA34C2"/>
    <w:multiLevelType w:val="hybridMultilevel"/>
    <w:tmpl w:val="DF1A91B4"/>
    <w:lvl w:ilvl="0" w:tplc="48160BA8">
      <w:start w:val="7"/>
      <w:numFmt w:val="decimal"/>
      <w:lvlText w:val="%1."/>
      <w:lvlJc w:val="left"/>
      <w:pPr>
        <w:ind w:left="1080" w:hanging="720"/>
      </w:pPr>
      <w:rPr>
        <w:rFonts w:cs="Times New Roman" w:hint="default"/>
        <w:b w:val="0"/>
        <w:i w:val="0"/>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D5674D"/>
    <w:multiLevelType w:val="hybridMultilevel"/>
    <w:tmpl w:val="1EFC3254"/>
    <w:lvl w:ilvl="0" w:tplc="2DEE5906">
      <w:start w:val="1"/>
      <w:numFmt w:val="lowerLetter"/>
      <w:lvlText w:val="%1."/>
      <w:lvlJc w:val="left"/>
      <w:pPr>
        <w:tabs>
          <w:tab w:val="num" w:pos="680"/>
        </w:tabs>
        <w:ind w:left="0" w:firstLine="0"/>
      </w:pPr>
      <w:rPr>
        <w:rFonts w:hint="default"/>
        <w:b w:val="0"/>
        <w:i w:val="0"/>
        <w:strike w:val="0"/>
        <w:sz w:val="16"/>
        <w:szCs w:val="1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4C8C4BC4"/>
    <w:multiLevelType w:val="hybridMultilevel"/>
    <w:tmpl w:val="CC1A8CA6"/>
    <w:lvl w:ilvl="0" w:tplc="E83A9E88">
      <w:start w:val="1"/>
      <w:numFmt w:val="decimal"/>
      <w:lvlText w:val="%1."/>
      <w:lvlJc w:val="left"/>
      <w:pPr>
        <w:tabs>
          <w:tab w:val="num" w:pos="680"/>
        </w:tabs>
        <w:ind w:left="0" w:firstLine="0"/>
      </w:pPr>
      <w:rPr>
        <w:rFonts w:hint="default"/>
        <w:b w:val="0"/>
        <w:i w:val="0"/>
        <w:strike w:val="0"/>
        <w:sz w:val="20"/>
        <w:szCs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4B733B7"/>
    <w:multiLevelType w:val="hybridMultilevel"/>
    <w:tmpl w:val="7FB4B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B936DAF"/>
    <w:multiLevelType w:val="hybridMultilevel"/>
    <w:tmpl w:val="FC3297E4"/>
    <w:lvl w:ilvl="0" w:tplc="9B1E4E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D6B107C"/>
    <w:multiLevelType w:val="hybridMultilevel"/>
    <w:tmpl w:val="4B94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DD1CC8"/>
    <w:multiLevelType w:val="hybridMultilevel"/>
    <w:tmpl w:val="DAC2C9EC"/>
    <w:lvl w:ilvl="0" w:tplc="0C0A0017">
      <w:start w:val="9"/>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10C6405"/>
    <w:multiLevelType w:val="hybridMultilevel"/>
    <w:tmpl w:val="C8261098"/>
    <w:lvl w:ilvl="0" w:tplc="08B08200">
      <w:start w:val="2"/>
      <w:numFmt w:val="upperRoman"/>
      <w:lvlText w:val="%1."/>
      <w:lvlJc w:val="left"/>
      <w:pPr>
        <w:tabs>
          <w:tab w:val="num" w:pos="1080"/>
        </w:tabs>
        <w:ind w:left="1080" w:hanging="720"/>
      </w:pPr>
      <w:rPr>
        <w:rFonts w:cs="Verdana"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1402C7C"/>
    <w:multiLevelType w:val="hybridMultilevel"/>
    <w:tmpl w:val="66042860"/>
    <w:name w:val="WW8Num2"/>
    <w:lvl w:ilvl="0" w:tplc="5FBC247A">
      <w:start w:val="1"/>
      <w:numFmt w:val="decimal"/>
      <w:lvlText w:val="%1."/>
      <w:lvlJc w:val="left"/>
      <w:pPr>
        <w:tabs>
          <w:tab w:val="num" w:pos="567"/>
        </w:tabs>
        <w:ind w:left="0" w:firstLine="0"/>
      </w:pPr>
      <w:rPr>
        <w:rFonts w:ascii="Verdana" w:hAnsi="Verdana" w:hint="default"/>
        <w:b w:val="0"/>
        <w:i w:val="0"/>
        <w:strike w:val="0"/>
        <w:sz w:val="20"/>
        <w:szCs w:val="20"/>
      </w:rPr>
    </w:lvl>
    <w:lvl w:ilvl="1" w:tplc="AB4AEBC6">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340"/>
        </w:tabs>
        <w:ind w:left="2340" w:hanging="360"/>
      </w:pPr>
      <w:rPr>
        <w:rFonts w:hint="default"/>
        <w:b w:val="0"/>
        <w:i w:val="0"/>
        <w:strike w:val="0"/>
        <w:sz w:val="20"/>
        <w:szCs w:val="2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21807AD"/>
    <w:multiLevelType w:val="hybridMultilevel"/>
    <w:tmpl w:val="5EBE2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BC7FB9"/>
    <w:multiLevelType w:val="hybridMultilevel"/>
    <w:tmpl w:val="71263E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6603CD0"/>
    <w:multiLevelType w:val="hybridMultilevel"/>
    <w:tmpl w:val="6A52677E"/>
    <w:lvl w:ilvl="0" w:tplc="E83A9E88">
      <w:start w:val="1"/>
      <w:numFmt w:val="decimal"/>
      <w:lvlText w:val="%1."/>
      <w:lvlJc w:val="left"/>
      <w:pPr>
        <w:tabs>
          <w:tab w:val="num" w:pos="680"/>
        </w:tabs>
        <w:ind w:left="0" w:firstLine="0"/>
      </w:pPr>
      <w:rPr>
        <w:rFonts w:hint="default"/>
        <w:b w:val="0"/>
        <w:i w:val="0"/>
        <w:strike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80D0138"/>
    <w:multiLevelType w:val="hybridMultilevel"/>
    <w:tmpl w:val="F0B6F60A"/>
    <w:lvl w:ilvl="0" w:tplc="838046A4">
      <w:start w:val="1"/>
      <w:numFmt w:val="decimal"/>
      <w:lvlText w:val="%1."/>
      <w:lvlJc w:val="left"/>
      <w:pPr>
        <w:tabs>
          <w:tab w:val="num" w:pos="644"/>
        </w:tabs>
        <w:ind w:left="644" w:hanging="360"/>
      </w:pPr>
      <w:rPr>
        <w:rFonts w:ascii="Verdana" w:hAnsi="Verdana" w:hint="default"/>
        <w:b w:val="0"/>
        <w:i w:val="0"/>
        <w:color w:val="auto"/>
        <w:sz w:val="20"/>
        <w:szCs w:val="20"/>
        <w:lang w:val="es-ES_tradn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nsid w:val="6BC77B3E"/>
    <w:multiLevelType w:val="hybridMultilevel"/>
    <w:tmpl w:val="6E6A3CF6"/>
    <w:lvl w:ilvl="0" w:tplc="71F01C14">
      <w:start w:val="1"/>
      <w:numFmt w:val="decimal"/>
      <w:lvlText w:val="%1."/>
      <w:lvlJc w:val="left"/>
      <w:pPr>
        <w:tabs>
          <w:tab w:val="num" w:pos="700"/>
        </w:tabs>
        <w:ind w:left="700" w:hanging="70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1">
    <w:nsid w:val="6D6225B2"/>
    <w:multiLevelType w:val="hybridMultilevel"/>
    <w:tmpl w:val="02445070"/>
    <w:lvl w:ilvl="0" w:tplc="46323CF6">
      <w:start w:val="1"/>
      <w:numFmt w:val="decimal"/>
      <w:lvlText w:val="%1."/>
      <w:lvlJc w:val="left"/>
      <w:pPr>
        <w:tabs>
          <w:tab w:val="num" w:pos="644"/>
        </w:tabs>
        <w:ind w:left="644" w:hanging="360"/>
      </w:pPr>
      <w:rPr>
        <w:rFonts w:ascii="Verdana" w:hAnsi="Verdana" w:hint="default"/>
        <w:b w:val="0"/>
        <w:i w:val="0"/>
        <w:color w:val="auto"/>
        <w:sz w:val="20"/>
        <w:szCs w:val="20"/>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nsid w:val="6E923175"/>
    <w:multiLevelType w:val="hybridMultilevel"/>
    <w:tmpl w:val="4AF05CDC"/>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3">
    <w:nsid w:val="72394CA0"/>
    <w:multiLevelType w:val="hybridMultilevel"/>
    <w:tmpl w:val="D2FCBF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62D5E25"/>
    <w:multiLevelType w:val="hybridMultilevel"/>
    <w:tmpl w:val="6C6AA10E"/>
    <w:lvl w:ilvl="0" w:tplc="FFFFFFFF">
      <w:start w:val="1"/>
      <w:numFmt w:val="lowerRoman"/>
      <w:lvlText w:val="%1."/>
      <w:lvlJc w:val="righ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45">
    <w:nsid w:val="788C6C49"/>
    <w:multiLevelType w:val="hybridMultilevel"/>
    <w:tmpl w:val="FC70DE22"/>
    <w:lvl w:ilvl="0" w:tplc="FFFFFFFF">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C7E4152"/>
    <w:multiLevelType w:val="hybridMultilevel"/>
    <w:tmpl w:val="9B98868C"/>
    <w:lvl w:ilvl="0" w:tplc="0C0A0017">
      <w:start w:val="9"/>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D045A82"/>
    <w:multiLevelType w:val="hybridMultilevel"/>
    <w:tmpl w:val="D8969400"/>
    <w:lvl w:ilvl="0" w:tplc="466299C8">
      <w:start w:val="1"/>
      <w:numFmt w:val="decimal"/>
      <w:lvlText w:val="%1."/>
      <w:lvlJc w:val="left"/>
      <w:pPr>
        <w:tabs>
          <w:tab w:val="num" w:pos="567"/>
        </w:tabs>
        <w:ind w:left="0" w:firstLine="0"/>
      </w:pPr>
      <w:rPr>
        <w:rFonts w:ascii="Verdana" w:hAnsi="Verdana" w:hint="default"/>
        <w:b w:val="0"/>
        <w:i w:val="0"/>
        <w:strike w:val="0"/>
        <w:color w:val="auto"/>
        <w:sz w:val="20"/>
        <w:szCs w:val="20"/>
        <w:lang w:val="es-ES"/>
      </w:rPr>
    </w:lvl>
    <w:lvl w:ilvl="1" w:tplc="AB4AEBC6">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340"/>
        </w:tabs>
        <w:ind w:left="2340" w:hanging="360"/>
      </w:pPr>
      <w:rPr>
        <w:rFonts w:hint="default"/>
        <w:b w:val="0"/>
        <w:i w:val="0"/>
        <w:strike w:val="0"/>
        <w:sz w:val="20"/>
        <w:szCs w:val="2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7D1314CA"/>
    <w:multiLevelType w:val="hybridMultilevel"/>
    <w:tmpl w:val="70387F12"/>
    <w:lvl w:ilvl="0" w:tplc="66146880">
      <w:start w:val="1"/>
      <w:numFmt w:val="decimal"/>
      <w:lvlText w:val="%1."/>
      <w:lvlJc w:val="left"/>
      <w:pPr>
        <w:ind w:left="1065" w:hanging="705"/>
      </w:pPr>
      <w:rPr>
        <w:rFonts w:cs="Verdana"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5"/>
  </w:num>
  <w:num w:numId="2">
    <w:abstractNumId w:val="21"/>
  </w:num>
  <w:num w:numId="3">
    <w:abstractNumId w:val="24"/>
  </w:num>
  <w:num w:numId="4">
    <w:abstractNumId w:val="11"/>
  </w:num>
  <w:num w:numId="5">
    <w:abstractNumId w:val="37"/>
  </w:num>
  <w:num w:numId="6">
    <w:abstractNumId w:val="10"/>
  </w:num>
  <w:num w:numId="7">
    <w:abstractNumId w:val="9"/>
  </w:num>
  <w:num w:numId="8">
    <w:abstractNumId w:val="20"/>
  </w:num>
  <w:num w:numId="9">
    <w:abstractNumId w:val="30"/>
  </w:num>
  <w:num w:numId="10">
    <w:abstractNumId w:val="16"/>
  </w:num>
  <w:num w:numId="11">
    <w:abstractNumId w:val="5"/>
  </w:num>
  <w:num w:numId="12">
    <w:abstractNumId w:val="18"/>
  </w:num>
  <w:num w:numId="13">
    <w:abstractNumId w:val="29"/>
  </w:num>
  <w:num w:numId="14">
    <w:abstractNumId w:val="3"/>
  </w:num>
  <w:num w:numId="15">
    <w:abstractNumId w:val="22"/>
  </w:num>
  <w:num w:numId="16">
    <w:abstractNumId w:val="23"/>
  </w:num>
  <w:num w:numId="17">
    <w:abstractNumId w:val="7"/>
  </w:num>
  <w:num w:numId="18">
    <w:abstractNumId w:val="40"/>
  </w:num>
  <w:num w:numId="19">
    <w:abstractNumId w:val="19"/>
  </w:num>
  <w:num w:numId="20">
    <w:abstractNumId w:val="38"/>
  </w:num>
  <w:num w:numId="21">
    <w:abstractNumId w:val="14"/>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4"/>
  </w:num>
  <w:num w:numId="27">
    <w:abstractNumId w:val="43"/>
  </w:num>
  <w:num w:numId="28">
    <w:abstractNumId w:val="42"/>
  </w:num>
  <w:num w:numId="29">
    <w:abstractNumId w:val="48"/>
  </w:num>
  <w:num w:numId="30">
    <w:abstractNumId w:val="8"/>
  </w:num>
  <w:num w:numId="31">
    <w:abstractNumId w:val="47"/>
  </w:num>
  <w:num w:numId="32">
    <w:abstractNumId w:val="27"/>
  </w:num>
  <w:num w:numId="33">
    <w:abstractNumId w:val="39"/>
  </w:num>
  <w:num w:numId="34">
    <w:abstractNumId w:val="41"/>
  </w:num>
  <w:num w:numId="35">
    <w:abstractNumId w:val="28"/>
  </w:num>
  <w:num w:numId="36">
    <w:abstractNumId w:val="17"/>
  </w:num>
  <w:num w:numId="37">
    <w:abstractNumId w:val="0"/>
  </w:num>
  <w:num w:numId="38">
    <w:abstractNumId w:val="32"/>
  </w:num>
  <w:num w:numId="39">
    <w:abstractNumId w:val="6"/>
  </w:num>
  <w:num w:numId="40">
    <w:abstractNumId w:val="44"/>
  </w:num>
  <w:num w:numId="41">
    <w:abstractNumId w:val="46"/>
  </w:num>
  <w:num w:numId="42">
    <w:abstractNumId w:val="13"/>
  </w:num>
  <w:num w:numId="43">
    <w:abstractNumId w:val="1"/>
  </w:num>
  <w:num w:numId="44">
    <w:abstractNumId w:val="36"/>
  </w:num>
  <w:num w:numId="45">
    <w:abstractNumId w:val="15"/>
  </w:num>
  <w:num w:numId="46">
    <w:abstractNumId w:val="45"/>
  </w:num>
  <w:num w:numId="47">
    <w:abstractNumId w:val="2"/>
  </w:num>
  <w:num w:numId="48">
    <w:abstractNumId w:val="12"/>
  </w:num>
  <w:num w:numId="49">
    <w:abstractNumId w:val="33"/>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F80"/>
    <w:rsid w:val="00000DEE"/>
    <w:rsid w:val="00002C6C"/>
    <w:rsid w:val="00002E68"/>
    <w:rsid w:val="00004165"/>
    <w:rsid w:val="00004427"/>
    <w:rsid w:val="00007706"/>
    <w:rsid w:val="00007D77"/>
    <w:rsid w:val="00010070"/>
    <w:rsid w:val="000107C2"/>
    <w:rsid w:val="00010950"/>
    <w:rsid w:val="00011A4F"/>
    <w:rsid w:val="00011B7D"/>
    <w:rsid w:val="00011FD2"/>
    <w:rsid w:val="00012BF6"/>
    <w:rsid w:val="00014D7F"/>
    <w:rsid w:val="00015ED7"/>
    <w:rsid w:val="0001621B"/>
    <w:rsid w:val="00017BDB"/>
    <w:rsid w:val="00017DA1"/>
    <w:rsid w:val="000207CD"/>
    <w:rsid w:val="00020CE0"/>
    <w:rsid w:val="00020D3B"/>
    <w:rsid w:val="00021520"/>
    <w:rsid w:val="0002168F"/>
    <w:rsid w:val="00021A45"/>
    <w:rsid w:val="00022B73"/>
    <w:rsid w:val="0002379B"/>
    <w:rsid w:val="000248E0"/>
    <w:rsid w:val="00024B8B"/>
    <w:rsid w:val="00025FE0"/>
    <w:rsid w:val="0002629D"/>
    <w:rsid w:val="000267ED"/>
    <w:rsid w:val="00026814"/>
    <w:rsid w:val="00027712"/>
    <w:rsid w:val="00027CD1"/>
    <w:rsid w:val="0003183D"/>
    <w:rsid w:val="000319B4"/>
    <w:rsid w:val="00032755"/>
    <w:rsid w:val="00033D1B"/>
    <w:rsid w:val="00034700"/>
    <w:rsid w:val="00034E0E"/>
    <w:rsid w:val="000373E1"/>
    <w:rsid w:val="00040054"/>
    <w:rsid w:val="00041259"/>
    <w:rsid w:val="00041F40"/>
    <w:rsid w:val="00043BBE"/>
    <w:rsid w:val="0004474B"/>
    <w:rsid w:val="0004542D"/>
    <w:rsid w:val="0004613C"/>
    <w:rsid w:val="00051652"/>
    <w:rsid w:val="00054ECF"/>
    <w:rsid w:val="0005547A"/>
    <w:rsid w:val="00060110"/>
    <w:rsid w:val="00061A99"/>
    <w:rsid w:val="0006241C"/>
    <w:rsid w:val="00063B80"/>
    <w:rsid w:val="00065105"/>
    <w:rsid w:val="0006624A"/>
    <w:rsid w:val="00066584"/>
    <w:rsid w:val="00067A05"/>
    <w:rsid w:val="000714AA"/>
    <w:rsid w:val="00071BF2"/>
    <w:rsid w:val="00071E47"/>
    <w:rsid w:val="0007228E"/>
    <w:rsid w:val="00072294"/>
    <w:rsid w:val="00074CA0"/>
    <w:rsid w:val="00076064"/>
    <w:rsid w:val="000760E9"/>
    <w:rsid w:val="0007659E"/>
    <w:rsid w:val="00076F13"/>
    <w:rsid w:val="000770E8"/>
    <w:rsid w:val="00081EBC"/>
    <w:rsid w:val="00082187"/>
    <w:rsid w:val="0008300C"/>
    <w:rsid w:val="0008364A"/>
    <w:rsid w:val="00085768"/>
    <w:rsid w:val="000858E1"/>
    <w:rsid w:val="000859E7"/>
    <w:rsid w:val="00092897"/>
    <w:rsid w:val="000949FE"/>
    <w:rsid w:val="000958A3"/>
    <w:rsid w:val="00096E3B"/>
    <w:rsid w:val="0009713A"/>
    <w:rsid w:val="00097AA8"/>
    <w:rsid w:val="00097C4E"/>
    <w:rsid w:val="00097D7C"/>
    <w:rsid w:val="000A1F1A"/>
    <w:rsid w:val="000A28AD"/>
    <w:rsid w:val="000A5A01"/>
    <w:rsid w:val="000A64C0"/>
    <w:rsid w:val="000A6AAC"/>
    <w:rsid w:val="000A7D8F"/>
    <w:rsid w:val="000B06F6"/>
    <w:rsid w:val="000B08EF"/>
    <w:rsid w:val="000B1F27"/>
    <w:rsid w:val="000B51F7"/>
    <w:rsid w:val="000B5C44"/>
    <w:rsid w:val="000B6E30"/>
    <w:rsid w:val="000C09DE"/>
    <w:rsid w:val="000C0E19"/>
    <w:rsid w:val="000C117C"/>
    <w:rsid w:val="000C13F0"/>
    <w:rsid w:val="000C1E8C"/>
    <w:rsid w:val="000C3D74"/>
    <w:rsid w:val="000C4086"/>
    <w:rsid w:val="000C69CE"/>
    <w:rsid w:val="000D2DE9"/>
    <w:rsid w:val="000D3F25"/>
    <w:rsid w:val="000D5336"/>
    <w:rsid w:val="000D72F5"/>
    <w:rsid w:val="000D7A7F"/>
    <w:rsid w:val="000E12F7"/>
    <w:rsid w:val="000E2A92"/>
    <w:rsid w:val="000E30D2"/>
    <w:rsid w:val="000E34E1"/>
    <w:rsid w:val="000E417D"/>
    <w:rsid w:val="000E514F"/>
    <w:rsid w:val="000E51EE"/>
    <w:rsid w:val="000E64DC"/>
    <w:rsid w:val="000E67AF"/>
    <w:rsid w:val="000F49A4"/>
    <w:rsid w:val="000F5A70"/>
    <w:rsid w:val="000F75A6"/>
    <w:rsid w:val="000F793A"/>
    <w:rsid w:val="00100B5E"/>
    <w:rsid w:val="00100E11"/>
    <w:rsid w:val="00102538"/>
    <w:rsid w:val="00103B71"/>
    <w:rsid w:val="00105FB4"/>
    <w:rsid w:val="00106E9B"/>
    <w:rsid w:val="00107D59"/>
    <w:rsid w:val="00110E25"/>
    <w:rsid w:val="001115B4"/>
    <w:rsid w:val="00111E9E"/>
    <w:rsid w:val="001120C7"/>
    <w:rsid w:val="001131AD"/>
    <w:rsid w:val="001133BC"/>
    <w:rsid w:val="00114903"/>
    <w:rsid w:val="00115B35"/>
    <w:rsid w:val="00116A8F"/>
    <w:rsid w:val="0011725A"/>
    <w:rsid w:val="0012153C"/>
    <w:rsid w:val="00123F4A"/>
    <w:rsid w:val="0012485E"/>
    <w:rsid w:val="001255CD"/>
    <w:rsid w:val="00125B13"/>
    <w:rsid w:val="001271F8"/>
    <w:rsid w:val="00127296"/>
    <w:rsid w:val="0013140D"/>
    <w:rsid w:val="0013162C"/>
    <w:rsid w:val="00134C04"/>
    <w:rsid w:val="00135675"/>
    <w:rsid w:val="00136346"/>
    <w:rsid w:val="00136390"/>
    <w:rsid w:val="00137478"/>
    <w:rsid w:val="00140F9D"/>
    <w:rsid w:val="001411EF"/>
    <w:rsid w:val="001430B0"/>
    <w:rsid w:val="001434E5"/>
    <w:rsid w:val="00143D7C"/>
    <w:rsid w:val="00145F4C"/>
    <w:rsid w:val="00146B5C"/>
    <w:rsid w:val="0015028D"/>
    <w:rsid w:val="0015132C"/>
    <w:rsid w:val="00152FB9"/>
    <w:rsid w:val="0015405C"/>
    <w:rsid w:val="00154A9B"/>
    <w:rsid w:val="0015565C"/>
    <w:rsid w:val="00156B6B"/>
    <w:rsid w:val="0015738E"/>
    <w:rsid w:val="00157570"/>
    <w:rsid w:val="00160B79"/>
    <w:rsid w:val="0016117F"/>
    <w:rsid w:val="0016160F"/>
    <w:rsid w:val="0016222B"/>
    <w:rsid w:val="001623F4"/>
    <w:rsid w:val="001630B7"/>
    <w:rsid w:val="001636A2"/>
    <w:rsid w:val="00165A5D"/>
    <w:rsid w:val="00166F32"/>
    <w:rsid w:val="00167B84"/>
    <w:rsid w:val="00167E5E"/>
    <w:rsid w:val="00171BB2"/>
    <w:rsid w:val="0017278E"/>
    <w:rsid w:val="00172817"/>
    <w:rsid w:val="001732BD"/>
    <w:rsid w:val="00176AA8"/>
    <w:rsid w:val="001778AE"/>
    <w:rsid w:val="00177B59"/>
    <w:rsid w:val="00180539"/>
    <w:rsid w:val="00181EE6"/>
    <w:rsid w:val="00182A16"/>
    <w:rsid w:val="00184D74"/>
    <w:rsid w:val="00192083"/>
    <w:rsid w:val="00193626"/>
    <w:rsid w:val="001963A9"/>
    <w:rsid w:val="001A0534"/>
    <w:rsid w:val="001A1910"/>
    <w:rsid w:val="001A1B5C"/>
    <w:rsid w:val="001A2768"/>
    <w:rsid w:val="001A28C9"/>
    <w:rsid w:val="001A399F"/>
    <w:rsid w:val="001A4071"/>
    <w:rsid w:val="001A4F4B"/>
    <w:rsid w:val="001A4F5D"/>
    <w:rsid w:val="001A576B"/>
    <w:rsid w:val="001A5B78"/>
    <w:rsid w:val="001A795C"/>
    <w:rsid w:val="001A7C4C"/>
    <w:rsid w:val="001A7F7B"/>
    <w:rsid w:val="001B109F"/>
    <w:rsid w:val="001B112C"/>
    <w:rsid w:val="001B1233"/>
    <w:rsid w:val="001B18E9"/>
    <w:rsid w:val="001B2DBD"/>
    <w:rsid w:val="001B3AC6"/>
    <w:rsid w:val="001B4CC9"/>
    <w:rsid w:val="001B4FFE"/>
    <w:rsid w:val="001B5E5E"/>
    <w:rsid w:val="001B6D08"/>
    <w:rsid w:val="001B712C"/>
    <w:rsid w:val="001B7403"/>
    <w:rsid w:val="001C0799"/>
    <w:rsid w:val="001C0866"/>
    <w:rsid w:val="001C0F4A"/>
    <w:rsid w:val="001C1727"/>
    <w:rsid w:val="001C17A4"/>
    <w:rsid w:val="001C1944"/>
    <w:rsid w:val="001C2262"/>
    <w:rsid w:val="001C2DC1"/>
    <w:rsid w:val="001C4AA1"/>
    <w:rsid w:val="001C585F"/>
    <w:rsid w:val="001C69AB"/>
    <w:rsid w:val="001D0C09"/>
    <w:rsid w:val="001D38DC"/>
    <w:rsid w:val="001D69EE"/>
    <w:rsid w:val="001D77CD"/>
    <w:rsid w:val="001D7D63"/>
    <w:rsid w:val="001D7ED5"/>
    <w:rsid w:val="001E01ED"/>
    <w:rsid w:val="001E102A"/>
    <w:rsid w:val="001E183F"/>
    <w:rsid w:val="001E1EFD"/>
    <w:rsid w:val="001E353F"/>
    <w:rsid w:val="001E4430"/>
    <w:rsid w:val="001E58D8"/>
    <w:rsid w:val="001F05F1"/>
    <w:rsid w:val="001F261C"/>
    <w:rsid w:val="001F4079"/>
    <w:rsid w:val="001F43F9"/>
    <w:rsid w:val="001F4728"/>
    <w:rsid w:val="001F4AA1"/>
    <w:rsid w:val="001F4BC8"/>
    <w:rsid w:val="001F537A"/>
    <w:rsid w:val="001F5B00"/>
    <w:rsid w:val="001F649E"/>
    <w:rsid w:val="001F64B4"/>
    <w:rsid w:val="001F6666"/>
    <w:rsid w:val="0020093C"/>
    <w:rsid w:val="00201362"/>
    <w:rsid w:val="0020265E"/>
    <w:rsid w:val="002026DB"/>
    <w:rsid w:val="00206732"/>
    <w:rsid w:val="00207323"/>
    <w:rsid w:val="0021164F"/>
    <w:rsid w:val="00211784"/>
    <w:rsid w:val="00211A51"/>
    <w:rsid w:val="00212572"/>
    <w:rsid w:val="00212D46"/>
    <w:rsid w:val="0021508B"/>
    <w:rsid w:val="002166C6"/>
    <w:rsid w:val="002201B3"/>
    <w:rsid w:val="002204C8"/>
    <w:rsid w:val="002205F0"/>
    <w:rsid w:val="00221902"/>
    <w:rsid w:val="00222807"/>
    <w:rsid w:val="00222C7C"/>
    <w:rsid w:val="00224014"/>
    <w:rsid w:val="00224428"/>
    <w:rsid w:val="0022578F"/>
    <w:rsid w:val="002268FA"/>
    <w:rsid w:val="00227C1D"/>
    <w:rsid w:val="00233C3E"/>
    <w:rsid w:val="002347F4"/>
    <w:rsid w:val="00234E22"/>
    <w:rsid w:val="00235B8C"/>
    <w:rsid w:val="00235C68"/>
    <w:rsid w:val="002362D8"/>
    <w:rsid w:val="0023630F"/>
    <w:rsid w:val="00236DCF"/>
    <w:rsid w:val="0024054E"/>
    <w:rsid w:val="00242807"/>
    <w:rsid w:val="002436F7"/>
    <w:rsid w:val="00244384"/>
    <w:rsid w:val="00245716"/>
    <w:rsid w:val="00246A0E"/>
    <w:rsid w:val="00246AA1"/>
    <w:rsid w:val="00247667"/>
    <w:rsid w:val="00247DBF"/>
    <w:rsid w:val="00250217"/>
    <w:rsid w:val="00251B37"/>
    <w:rsid w:val="00251C73"/>
    <w:rsid w:val="00253DEB"/>
    <w:rsid w:val="00254075"/>
    <w:rsid w:val="0025419D"/>
    <w:rsid w:val="0025542E"/>
    <w:rsid w:val="0025551A"/>
    <w:rsid w:val="00256093"/>
    <w:rsid w:val="00256C30"/>
    <w:rsid w:val="00257B34"/>
    <w:rsid w:val="00260534"/>
    <w:rsid w:val="00260F65"/>
    <w:rsid w:val="002616C4"/>
    <w:rsid w:val="00263314"/>
    <w:rsid w:val="002635E9"/>
    <w:rsid w:val="00263CA1"/>
    <w:rsid w:val="00264359"/>
    <w:rsid w:val="002647C9"/>
    <w:rsid w:val="00264AFC"/>
    <w:rsid w:val="0026512C"/>
    <w:rsid w:val="00265A8B"/>
    <w:rsid w:val="0026609E"/>
    <w:rsid w:val="00266124"/>
    <w:rsid w:val="0026702E"/>
    <w:rsid w:val="00270B65"/>
    <w:rsid w:val="0027189D"/>
    <w:rsid w:val="00271A66"/>
    <w:rsid w:val="002741E9"/>
    <w:rsid w:val="00274D73"/>
    <w:rsid w:val="00275977"/>
    <w:rsid w:val="00275B4D"/>
    <w:rsid w:val="00277977"/>
    <w:rsid w:val="00277F4D"/>
    <w:rsid w:val="00280886"/>
    <w:rsid w:val="002844CA"/>
    <w:rsid w:val="0028607D"/>
    <w:rsid w:val="00287405"/>
    <w:rsid w:val="0028765D"/>
    <w:rsid w:val="00287C1E"/>
    <w:rsid w:val="00290A76"/>
    <w:rsid w:val="00291C4B"/>
    <w:rsid w:val="0029225C"/>
    <w:rsid w:val="00292EBC"/>
    <w:rsid w:val="00293670"/>
    <w:rsid w:val="00293AD5"/>
    <w:rsid w:val="00294AC7"/>
    <w:rsid w:val="00295BD5"/>
    <w:rsid w:val="00295CFE"/>
    <w:rsid w:val="00295F62"/>
    <w:rsid w:val="002A046D"/>
    <w:rsid w:val="002A0F55"/>
    <w:rsid w:val="002A1020"/>
    <w:rsid w:val="002A2245"/>
    <w:rsid w:val="002A242D"/>
    <w:rsid w:val="002A26E2"/>
    <w:rsid w:val="002A28DD"/>
    <w:rsid w:val="002A42E9"/>
    <w:rsid w:val="002A704E"/>
    <w:rsid w:val="002A790F"/>
    <w:rsid w:val="002B12CE"/>
    <w:rsid w:val="002B17DD"/>
    <w:rsid w:val="002B1FE3"/>
    <w:rsid w:val="002B20AB"/>
    <w:rsid w:val="002B3EF2"/>
    <w:rsid w:val="002B491F"/>
    <w:rsid w:val="002B49CC"/>
    <w:rsid w:val="002B6518"/>
    <w:rsid w:val="002B692B"/>
    <w:rsid w:val="002B7EA7"/>
    <w:rsid w:val="002C00BC"/>
    <w:rsid w:val="002C1096"/>
    <w:rsid w:val="002C11CA"/>
    <w:rsid w:val="002C1590"/>
    <w:rsid w:val="002C2081"/>
    <w:rsid w:val="002C21E5"/>
    <w:rsid w:val="002C404F"/>
    <w:rsid w:val="002C4493"/>
    <w:rsid w:val="002C4E4A"/>
    <w:rsid w:val="002C5A59"/>
    <w:rsid w:val="002C5E65"/>
    <w:rsid w:val="002C6BED"/>
    <w:rsid w:val="002D0DA2"/>
    <w:rsid w:val="002D13EF"/>
    <w:rsid w:val="002D16D3"/>
    <w:rsid w:val="002D1767"/>
    <w:rsid w:val="002D26E5"/>
    <w:rsid w:val="002D3579"/>
    <w:rsid w:val="002D45E3"/>
    <w:rsid w:val="002D498B"/>
    <w:rsid w:val="002D5032"/>
    <w:rsid w:val="002D56D9"/>
    <w:rsid w:val="002E0BF6"/>
    <w:rsid w:val="002E0C77"/>
    <w:rsid w:val="002E39FC"/>
    <w:rsid w:val="002E3D85"/>
    <w:rsid w:val="002E4501"/>
    <w:rsid w:val="002E4572"/>
    <w:rsid w:val="002E7119"/>
    <w:rsid w:val="002E7463"/>
    <w:rsid w:val="002E7884"/>
    <w:rsid w:val="002F0D12"/>
    <w:rsid w:val="002F0D9C"/>
    <w:rsid w:val="002F1DC0"/>
    <w:rsid w:val="002F2C60"/>
    <w:rsid w:val="002F49BE"/>
    <w:rsid w:val="002F4A75"/>
    <w:rsid w:val="002F4AC6"/>
    <w:rsid w:val="002F4D59"/>
    <w:rsid w:val="002F7B57"/>
    <w:rsid w:val="00303305"/>
    <w:rsid w:val="00304B41"/>
    <w:rsid w:val="00307D5E"/>
    <w:rsid w:val="00311982"/>
    <w:rsid w:val="00311DD6"/>
    <w:rsid w:val="00312D91"/>
    <w:rsid w:val="003138B9"/>
    <w:rsid w:val="00314520"/>
    <w:rsid w:val="00314569"/>
    <w:rsid w:val="00315ABC"/>
    <w:rsid w:val="00315FE2"/>
    <w:rsid w:val="003161D5"/>
    <w:rsid w:val="00317DEF"/>
    <w:rsid w:val="00317EDD"/>
    <w:rsid w:val="00322341"/>
    <w:rsid w:val="0032330C"/>
    <w:rsid w:val="00323425"/>
    <w:rsid w:val="00330545"/>
    <w:rsid w:val="00331ECE"/>
    <w:rsid w:val="00331F08"/>
    <w:rsid w:val="003321CA"/>
    <w:rsid w:val="00333C49"/>
    <w:rsid w:val="00337FD3"/>
    <w:rsid w:val="00340E3A"/>
    <w:rsid w:val="0034248F"/>
    <w:rsid w:val="00343A38"/>
    <w:rsid w:val="00343AEA"/>
    <w:rsid w:val="0034410E"/>
    <w:rsid w:val="00345141"/>
    <w:rsid w:val="00350391"/>
    <w:rsid w:val="003532FC"/>
    <w:rsid w:val="00355214"/>
    <w:rsid w:val="00357D39"/>
    <w:rsid w:val="00357FDF"/>
    <w:rsid w:val="00364319"/>
    <w:rsid w:val="00365238"/>
    <w:rsid w:val="00365C11"/>
    <w:rsid w:val="0036671C"/>
    <w:rsid w:val="00367481"/>
    <w:rsid w:val="00367921"/>
    <w:rsid w:val="0037302C"/>
    <w:rsid w:val="003737E3"/>
    <w:rsid w:val="00373C53"/>
    <w:rsid w:val="00373C7C"/>
    <w:rsid w:val="00383E5D"/>
    <w:rsid w:val="003864B4"/>
    <w:rsid w:val="003867C9"/>
    <w:rsid w:val="0039138D"/>
    <w:rsid w:val="00392D3A"/>
    <w:rsid w:val="0039622E"/>
    <w:rsid w:val="003963A4"/>
    <w:rsid w:val="0039724D"/>
    <w:rsid w:val="003A1D41"/>
    <w:rsid w:val="003A2206"/>
    <w:rsid w:val="003A2679"/>
    <w:rsid w:val="003A31B7"/>
    <w:rsid w:val="003A3F57"/>
    <w:rsid w:val="003A41B7"/>
    <w:rsid w:val="003A5B28"/>
    <w:rsid w:val="003A6C43"/>
    <w:rsid w:val="003A706F"/>
    <w:rsid w:val="003A780A"/>
    <w:rsid w:val="003B0C26"/>
    <w:rsid w:val="003B116B"/>
    <w:rsid w:val="003B1247"/>
    <w:rsid w:val="003B12E0"/>
    <w:rsid w:val="003B2018"/>
    <w:rsid w:val="003B330B"/>
    <w:rsid w:val="003B37C6"/>
    <w:rsid w:val="003B3AD2"/>
    <w:rsid w:val="003B4046"/>
    <w:rsid w:val="003B5DE4"/>
    <w:rsid w:val="003C013D"/>
    <w:rsid w:val="003C08A4"/>
    <w:rsid w:val="003C0A2F"/>
    <w:rsid w:val="003C1564"/>
    <w:rsid w:val="003C19DD"/>
    <w:rsid w:val="003C759C"/>
    <w:rsid w:val="003C7A6F"/>
    <w:rsid w:val="003D09F5"/>
    <w:rsid w:val="003D0B7D"/>
    <w:rsid w:val="003D0E63"/>
    <w:rsid w:val="003D28A7"/>
    <w:rsid w:val="003D29C0"/>
    <w:rsid w:val="003D2DB6"/>
    <w:rsid w:val="003D3EF6"/>
    <w:rsid w:val="003D4FEB"/>
    <w:rsid w:val="003D508A"/>
    <w:rsid w:val="003D5C81"/>
    <w:rsid w:val="003E34D4"/>
    <w:rsid w:val="003E3C95"/>
    <w:rsid w:val="003E4EEF"/>
    <w:rsid w:val="003E52F2"/>
    <w:rsid w:val="003E59E9"/>
    <w:rsid w:val="003F0975"/>
    <w:rsid w:val="003F2070"/>
    <w:rsid w:val="003F223B"/>
    <w:rsid w:val="003F262D"/>
    <w:rsid w:val="003F3D06"/>
    <w:rsid w:val="003F41EA"/>
    <w:rsid w:val="003F54C2"/>
    <w:rsid w:val="003F62F6"/>
    <w:rsid w:val="003F63F8"/>
    <w:rsid w:val="003F6671"/>
    <w:rsid w:val="003F71ED"/>
    <w:rsid w:val="003F7B22"/>
    <w:rsid w:val="004000CB"/>
    <w:rsid w:val="00401262"/>
    <w:rsid w:val="00401E5F"/>
    <w:rsid w:val="00402E7A"/>
    <w:rsid w:val="00402ED7"/>
    <w:rsid w:val="00403DC5"/>
    <w:rsid w:val="0040534C"/>
    <w:rsid w:val="004054BA"/>
    <w:rsid w:val="00405D49"/>
    <w:rsid w:val="0040698B"/>
    <w:rsid w:val="004113E3"/>
    <w:rsid w:val="00411ADE"/>
    <w:rsid w:val="00412C6F"/>
    <w:rsid w:val="004131E6"/>
    <w:rsid w:val="00422BDB"/>
    <w:rsid w:val="00423D78"/>
    <w:rsid w:val="00424C68"/>
    <w:rsid w:val="00424FB9"/>
    <w:rsid w:val="00425628"/>
    <w:rsid w:val="00425746"/>
    <w:rsid w:val="00426B97"/>
    <w:rsid w:val="0042701B"/>
    <w:rsid w:val="0043071A"/>
    <w:rsid w:val="0043103A"/>
    <w:rsid w:val="0043143D"/>
    <w:rsid w:val="00433BA8"/>
    <w:rsid w:val="0043493E"/>
    <w:rsid w:val="00437115"/>
    <w:rsid w:val="004374C2"/>
    <w:rsid w:val="004379E1"/>
    <w:rsid w:val="0044241A"/>
    <w:rsid w:val="00442CDF"/>
    <w:rsid w:val="00443886"/>
    <w:rsid w:val="00444091"/>
    <w:rsid w:val="00444F1E"/>
    <w:rsid w:val="0044680A"/>
    <w:rsid w:val="00446892"/>
    <w:rsid w:val="0045131D"/>
    <w:rsid w:val="004516C8"/>
    <w:rsid w:val="00451FF5"/>
    <w:rsid w:val="00452294"/>
    <w:rsid w:val="00452B37"/>
    <w:rsid w:val="004531DD"/>
    <w:rsid w:val="00454D89"/>
    <w:rsid w:val="00454F0A"/>
    <w:rsid w:val="0045647A"/>
    <w:rsid w:val="00461C9F"/>
    <w:rsid w:val="00462C96"/>
    <w:rsid w:val="00462E04"/>
    <w:rsid w:val="004638D8"/>
    <w:rsid w:val="00465E57"/>
    <w:rsid w:val="004724A7"/>
    <w:rsid w:val="00473F9A"/>
    <w:rsid w:val="00474DB7"/>
    <w:rsid w:val="0047662E"/>
    <w:rsid w:val="0047687D"/>
    <w:rsid w:val="00476DFE"/>
    <w:rsid w:val="0048050E"/>
    <w:rsid w:val="004809A2"/>
    <w:rsid w:val="004811BC"/>
    <w:rsid w:val="004815ED"/>
    <w:rsid w:val="004819F8"/>
    <w:rsid w:val="004825E0"/>
    <w:rsid w:val="004850BE"/>
    <w:rsid w:val="00485673"/>
    <w:rsid w:val="00485A61"/>
    <w:rsid w:val="00486362"/>
    <w:rsid w:val="00493E46"/>
    <w:rsid w:val="0049516D"/>
    <w:rsid w:val="0049535D"/>
    <w:rsid w:val="00496CF2"/>
    <w:rsid w:val="00496DA7"/>
    <w:rsid w:val="004A1843"/>
    <w:rsid w:val="004A2D59"/>
    <w:rsid w:val="004A3538"/>
    <w:rsid w:val="004A4B3C"/>
    <w:rsid w:val="004A6A75"/>
    <w:rsid w:val="004A738A"/>
    <w:rsid w:val="004A754F"/>
    <w:rsid w:val="004B05E1"/>
    <w:rsid w:val="004B0780"/>
    <w:rsid w:val="004B1256"/>
    <w:rsid w:val="004B23FF"/>
    <w:rsid w:val="004B2F85"/>
    <w:rsid w:val="004B6416"/>
    <w:rsid w:val="004B6E79"/>
    <w:rsid w:val="004B7DDE"/>
    <w:rsid w:val="004C01AC"/>
    <w:rsid w:val="004C0446"/>
    <w:rsid w:val="004C198A"/>
    <w:rsid w:val="004C1F3E"/>
    <w:rsid w:val="004C3202"/>
    <w:rsid w:val="004C3F67"/>
    <w:rsid w:val="004C555A"/>
    <w:rsid w:val="004C5D42"/>
    <w:rsid w:val="004C64B4"/>
    <w:rsid w:val="004C7B1C"/>
    <w:rsid w:val="004D036F"/>
    <w:rsid w:val="004D1600"/>
    <w:rsid w:val="004D21D0"/>
    <w:rsid w:val="004D297E"/>
    <w:rsid w:val="004D38FD"/>
    <w:rsid w:val="004D42AD"/>
    <w:rsid w:val="004D440F"/>
    <w:rsid w:val="004D64B9"/>
    <w:rsid w:val="004D6B51"/>
    <w:rsid w:val="004E0F57"/>
    <w:rsid w:val="004E1014"/>
    <w:rsid w:val="004E2041"/>
    <w:rsid w:val="004E466E"/>
    <w:rsid w:val="004E4E33"/>
    <w:rsid w:val="004E6F62"/>
    <w:rsid w:val="004E709F"/>
    <w:rsid w:val="004E7614"/>
    <w:rsid w:val="004F229E"/>
    <w:rsid w:val="004F25E2"/>
    <w:rsid w:val="004F58BC"/>
    <w:rsid w:val="004F71FD"/>
    <w:rsid w:val="004F7621"/>
    <w:rsid w:val="005030DE"/>
    <w:rsid w:val="005043ED"/>
    <w:rsid w:val="0050454F"/>
    <w:rsid w:val="0050500A"/>
    <w:rsid w:val="005051C7"/>
    <w:rsid w:val="00506D13"/>
    <w:rsid w:val="00506F39"/>
    <w:rsid w:val="00513D22"/>
    <w:rsid w:val="005157C5"/>
    <w:rsid w:val="00516A2E"/>
    <w:rsid w:val="00517726"/>
    <w:rsid w:val="005217A0"/>
    <w:rsid w:val="0052196D"/>
    <w:rsid w:val="005255D3"/>
    <w:rsid w:val="00526880"/>
    <w:rsid w:val="00531455"/>
    <w:rsid w:val="00531606"/>
    <w:rsid w:val="0053223C"/>
    <w:rsid w:val="00532265"/>
    <w:rsid w:val="00533476"/>
    <w:rsid w:val="00534995"/>
    <w:rsid w:val="00534D95"/>
    <w:rsid w:val="0053539C"/>
    <w:rsid w:val="0053682A"/>
    <w:rsid w:val="00537B08"/>
    <w:rsid w:val="00537DC3"/>
    <w:rsid w:val="00541D4A"/>
    <w:rsid w:val="0054311C"/>
    <w:rsid w:val="00544373"/>
    <w:rsid w:val="00545853"/>
    <w:rsid w:val="00546CC0"/>
    <w:rsid w:val="005502E4"/>
    <w:rsid w:val="00550AAD"/>
    <w:rsid w:val="00552A3B"/>
    <w:rsid w:val="00555711"/>
    <w:rsid w:val="0055640E"/>
    <w:rsid w:val="005564E6"/>
    <w:rsid w:val="00556728"/>
    <w:rsid w:val="00560CE6"/>
    <w:rsid w:val="00561876"/>
    <w:rsid w:val="00561B8D"/>
    <w:rsid w:val="00563640"/>
    <w:rsid w:val="00570F84"/>
    <w:rsid w:val="005713C8"/>
    <w:rsid w:val="00574F48"/>
    <w:rsid w:val="00576C38"/>
    <w:rsid w:val="005778C5"/>
    <w:rsid w:val="00577FFB"/>
    <w:rsid w:val="005800ED"/>
    <w:rsid w:val="0058060C"/>
    <w:rsid w:val="00582BA4"/>
    <w:rsid w:val="005833B3"/>
    <w:rsid w:val="0058374F"/>
    <w:rsid w:val="0058525D"/>
    <w:rsid w:val="005868FF"/>
    <w:rsid w:val="00590FB2"/>
    <w:rsid w:val="005913F9"/>
    <w:rsid w:val="0059233A"/>
    <w:rsid w:val="0059260C"/>
    <w:rsid w:val="0059299A"/>
    <w:rsid w:val="005932AF"/>
    <w:rsid w:val="0059397A"/>
    <w:rsid w:val="005951C3"/>
    <w:rsid w:val="005A17C2"/>
    <w:rsid w:val="005A2EA9"/>
    <w:rsid w:val="005A4C2B"/>
    <w:rsid w:val="005A50BC"/>
    <w:rsid w:val="005A65EF"/>
    <w:rsid w:val="005B0ED5"/>
    <w:rsid w:val="005B1CF9"/>
    <w:rsid w:val="005B200A"/>
    <w:rsid w:val="005B399A"/>
    <w:rsid w:val="005B5439"/>
    <w:rsid w:val="005B64F0"/>
    <w:rsid w:val="005B76D8"/>
    <w:rsid w:val="005B7832"/>
    <w:rsid w:val="005C0574"/>
    <w:rsid w:val="005C0FD5"/>
    <w:rsid w:val="005C52CE"/>
    <w:rsid w:val="005C5D27"/>
    <w:rsid w:val="005C7809"/>
    <w:rsid w:val="005D061F"/>
    <w:rsid w:val="005D0A01"/>
    <w:rsid w:val="005D134C"/>
    <w:rsid w:val="005D2373"/>
    <w:rsid w:val="005D23F2"/>
    <w:rsid w:val="005D332A"/>
    <w:rsid w:val="005D3364"/>
    <w:rsid w:val="005D3D4B"/>
    <w:rsid w:val="005D3EBD"/>
    <w:rsid w:val="005D4F97"/>
    <w:rsid w:val="005D73B7"/>
    <w:rsid w:val="005D7623"/>
    <w:rsid w:val="005E2D31"/>
    <w:rsid w:val="005E3DC5"/>
    <w:rsid w:val="005E40D4"/>
    <w:rsid w:val="005E51AB"/>
    <w:rsid w:val="005E5E09"/>
    <w:rsid w:val="005E775E"/>
    <w:rsid w:val="005F07EE"/>
    <w:rsid w:val="005F08EE"/>
    <w:rsid w:val="005F0CD6"/>
    <w:rsid w:val="005F18C2"/>
    <w:rsid w:val="005F400E"/>
    <w:rsid w:val="005F4530"/>
    <w:rsid w:val="005F4D60"/>
    <w:rsid w:val="005F5333"/>
    <w:rsid w:val="005F6EB5"/>
    <w:rsid w:val="00600BFC"/>
    <w:rsid w:val="00600CCC"/>
    <w:rsid w:val="00601E4F"/>
    <w:rsid w:val="00603630"/>
    <w:rsid w:val="00603B60"/>
    <w:rsid w:val="006051E9"/>
    <w:rsid w:val="00606C3C"/>
    <w:rsid w:val="00606D48"/>
    <w:rsid w:val="00607ABC"/>
    <w:rsid w:val="006109A2"/>
    <w:rsid w:val="00610A53"/>
    <w:rsid w:val="00611E2F"/>
    <w:rsid w:val="006130C8"/>
    <w:rsid w:val="00613192"/>
    <w:rsid w:val="00613C68"/>
    <w:rsid w:val="006151D0"/>
    <w:rsid w:val="006204B8"/>
    <w:rsid w:val="00624DFC"/>
    <w:rsid w:val="00624E96"/>
    <w:rsid w:val="00625307"/>
    <w:rsid w:val="00626F85"/>
    <w:rsid w:val="006303FA"/>
    <w:rsid w:val="00630461"/>
    <w:rsid w:val="00630681"/>
    <w:rsid w:val="00630A43"/>
    <w:rsid w:val="00632039"/>
    <w:rsid w:val="006346DC"/>
    <w:rsid w:val="00635BA9"/>
    <w:rsid w:val="006361EF"/>
    <w:rsid w:val="006376B8"/>
    <w:rsid w:val="00640F78"/>
    <w:rsid w:val="0064225E"/>
    <w:rsid w:val="0064247F"/>
    <w:rsid w:val="0064541C"/>
    <w:rsid w:val="00645911"/>
    <w:rsid w:val="0065005B"/>
    <w:rsid w:val="006515CE"/>
    <w:rsid w:val="00653CCC"/>
    <w:rsid w:val="00655D85"/>
    <w:rsid w:val="00656214"/>
    <w:rsid w:val="00656F44"/>
    <w:rsid w:val="00660D15"/>
    <w:rsid w:val="00660E94"/>
    <w:rsid w:val="006612CF"/>
    <w:rsid w:val="00661682"/>
    <w:rsid w:val="00663366"/>
    <w:rsid w:val="00663D6F"/>
    <w:rsid w:val="00664C33"/>
    <w:rsid w:val="00664F1F"/>
    <w:rsid w:val="00666AF9"/>
    <w:rsid w:val="00666C04"/>
    <w:rsid w:val="006679E3"/>
    <w:rsid w:val="00670ACE"/>
    <w:rsid w:val="00671AFC"/>
    <w:rsid w:val="006720A3"/>
    <w:rsid w:val="0067290B"/>
    <w:rsid w:val="00672A25"/>
    <w:rsid w:val="00672E08"/>
    <w:rsid w:val="0067374C"/>
    <w:rsid w:val="00674783"/>
    <w:rsid w:val="00676305"/>
    <w:rsid w:val="00676751"/>
    <w:rsid w:val="0067685B"/>
    <w:rsid w:val="00676C73"/>
    <w:rsid w:val="0068314F"/>
    <w:rsid w:val="0068376B"/>
    <w:rsid w:val="0068421C"/>
    <w:rsid w:val="00685F12"/>
    <w:rsid w:val="006864DE"/>
    <w:rsid w:val="00686910"/>
    <w:rsid w:val="006944BF"/>
    <w:rsid w:val="00695057"/>
    <w:rsid w:val="00696A26"/>
    <w:rsid w:val="00697D1A"/>
    <w:rsid w:val="006A0728"/>
    <w:rsid w:val="006A2821"/>
    <w:rsid w:val="006A38B2"/>
    <w:rsid w:val="006A466D"/>
    <w:rsid w:val="006A57D5"/>
    <w:rsid w:val="006A5D77"/>
    <w:rsid w:val="006A673A"/>
    <w:rsid w:val="006B0DD1"/>
    <w:rsid w:val="006B1438"/>
    <w:rsid w:val="006B2053"/>
    <w:rsid w:val="006B278E"/>
    <w:rsid w:val="006B27AB"/>
    <w:rsid w:val="006B339B"/>
    <w:rsid w:val="006B43CC"/>
    <w:rsid w:val="006B4E55"/>
    <w:rsid w:val="006B5906"/>
    <w:rsid w:val="006B63A6"/>
    <w:rsid w:val="006C0B97"/>
    <w:rsid w:val="006C3115"/>
    <w:rsid w:val="006C723B"/>
    <w:rsid w:val="006C786B"/>
    <w:rsid w:val="006D0735"/>
    <w:rsid w:val="006D135C"/>
    <w:rsid w:val="006D3DC7"/>
    <w:rsid w:val="006D52EA"/>
    <w:rsid w:val="006D5A6F"/>
    <w:rsid w:val="006D7D80"/>
    <w:rsid w:val="006E013E"/>
    <w:rsid w:val="006E1EF5"/>
    <w:rsid w:val="006E53EF"/>
    <w:rsid w:val="006E615A"/>
    <w:rsid w:val="006E70CB"/>
    <w:rsid w:val="006E737A"/>
    <w:rsid w:val="006E7D60"/>
    <w:rsid w:val="006F0CB4"/>
    <w:rsid w:val="006F1418"/>
    <w:rsid w:val="006F306E"/>
    <w:rsid w:val="006F455D"/>
    <w:rsid w:val="006F5F06"/>
    <w:rsid w:val="006F62FF"/>
    <w:rsid w:val="00701E61"/>
    <w:rsid w:val="00706FCC"/>
    <w:rsid w:val="007129A1"/>
    <w:rsid w:val="00714254"/>
    <w:rsid w:val="00714B2D"/>
    <w:rsid w:val="0071511C"/>
    <w:rsid w:val="00715B7D"/>
    <w:rsid w:val="0072003A"/>
    <w:rsid w:val="007207F9"/>
    <w:rsid w:val="007218C1"/>
    <w:rsid w:val="00722CB2"/>
    <w:rsid w:val="0072417D"/>
    <w:rsid w:val="00724E57"/>
    <w:rsid w:val="0072517B"/>
    <w:rsid w:val="00725752"/>
    <w:rsid w:val="0072713C"/>
    <w:rsid w:val="007303AF"/>
    <w:rsid w:val="007304E6"/>
    <w:rsid w:val="00733FD1"/>
    <w:rsid w:val="00734A5A"/>
    <w:rsid w:val="00734F71"/>
    <w:rsid w:val="007364C0"/>
    <w:rsid w:val="007364E2"/>
    <w:rsid w:val="00736F80"/>
    <w:rsid w:val="007370B2"/>
    <w:rsid w:val="007463AE"/>
    <w:rsid w:val="007466D1"/>
    <w:rsid w:val="007471C1"/>
    <w:rsid w:val="007528D8"/>
    <w:rsid w:val="00752C68"/>
    <w:rsid w:val="00753058"/>
    <w:rsid w:val="00753EDE"/>
    <w:rsid w:val="007540E1"/>
    <w:rsid w:val="007542A3"/>
    <w:rsid w:val="00756DD6"/>
    <w:rsid w:val="00757708"/>
    <w:rsid w:val="00757829"/>
    <w:rsid w:val="00762648"/>
    <w:rsid w:val="00764689"/>
    <w:rsid w:val="007660AC"/>
    <w:rsid w:val="00766161"/>
    <w:rsid w:val="0077002A"/>
    <w:rsid w:val="00770A1C"/>
    <w:rsid w:val="00770B3C"/>
    <w:rsid w:val="007710CE"/>
    <w:rsid w:val="00771320"/>
    <w:rsid w:val="00772690"/>
    <w:rsid w:val="00772A9A"/>
    <w:rsid w:val="00773CE9"/>
    <w:rsid w:val="007749EC"/>
    <w:rsid w:val="00780976"/>
    <w:rsid w:val="00780A9B"/>
    <w:rsid w:val="00780C73"/>
    <w:rsid w:val="0078524A"/>
    <w:rsid w:val="00787859"/>
    <w:rsid w:val="00787EF3"/>
    <w:rsid w:val="007902A4"/>
    <w:rsid w:val="007904EF"/>
    <w:rsid w:val="00791205"/>
    <w:rsid w:val="00794F2D"/>
    <w:rsid w:val="00797CD8"/>
    <w:rsid w:val="007A079C"/>
    <w:rsid w:val="007A0EFB"/>
    <w:rsid w:val="007A53D4"/>
    <w:rsid w:val="007A6E3B"/>
    <w:rsid w:val="007A77D3"/>
    <w:rsid w:val="007B1E99"/>
    <w:rsid w:val="007B20CC"/>
    <w:rsid w:val="007B26D4"/>
    <w:rsid w:val="007B2D47"/>
    <w:rsid w:val="007B433E"/>
    <w:rsid w:val="007B46AD"/>
    <w:rsid w:val="007B50C0"/>
    <w:rsid w:val="007B6366"/>
    <w:rsid w:val="007B6E0E"/>
    <w:rsid w:val="007B72E0"/>
    <w:rsid w:val="007C0925"/>
    <w:rsid w:val="007C1D2F"/>
    <w:rsid w:val="007C1D31"/>
    <w:rsid w:val="007C296B"/>
    <w:rsid w:val="007C32AF"/>
    <w:rsid w:val="007C36E0"/>
    <w:rsid w:val="007C39F2"/>
    <w:rsid w:val="007C771C"/>
    <w:rsid w:val="007C7A97"/>
    <w:rsid w:val="007D08A5"/>
    <w:rsid w:val="007D1217"/>
    <w:rsid w:val="007D1323"/>
    <w:rsid w:val="007D14EA"/>
    <w:rsid w:val="007D1B2A"/>
    <w:rsid w:val="007D1FA2"/>
    <w:rsid w:val="007D33E8"/>
    <w:rsid w:val="007D478D"/>
    <w:rsid w:val="007D6346"/>
    <w:rsid w:val="007D6754"/>
    <w:rsid w:val="007D75D1"/>
    <w:rsid w:val="007D7F9E"/>
    <w:rsid w:val="007E0924"/>
    <w:rsid w:val="007E17ED"/>
    <w:rsid w:val="007E1A30"/>
    <w:rsid w:val="007E2D01"/>
    <w:rsid w:val="007E3B89"/>
    <w:rsid w:val="007E4206"/>
    <w:rsid w:val="007E5A3D"/>
    <w:rsid w:val="007E6488"/>
    <w:rsid w:val="007E67FC"/>
    <w:rsid w:val="007E693F"/>
    <w:rsid w:val="007F06DA"/>
    <w:rsid w:val="007F1F84"/>
    <w:rsid w:val="007F1F87"/>
    <w:rsid w:val="007F20AF"/>
    <w:rsid w:val="007F267E"/>
    <w:rsid w:val="007F2825"/>
    <w:rsid w:val="007F2844"/>
    <w:rsid w:val="007F2F01"/>
    <w:rsid w:val="007F3DA1"/>
    <w:rsid w:val="007F4F52"/>
    <w:rsid w:val="007F562A"/>
    <w:rsid w:val="007F7ED7"/>
    <w:rsid w:val="0080068B"/>
    <w:rsid w:val="008012A9"/>
    <w:rsid w:val="00801484"/>
    <w:rsid w:val="00802730"/>
    <w:rsid w:val="008034F3"/>
    <w:rsid w:val="00803B91"/>
    <w:rsid w:val="00804A3B"/>
    <w:rsid w:val="00804EC1"/>
    <w:rsid w:val="00805AC1"/>
    <w:rsid w:val="00806A6A"/>
    <w:rsid w:val="00807B1D"/>
    <w:rsid w:val="008117FC"/>
    <w:rsid w:val="00812B00"/>
    <w:rsid w:val="00814290"/>
    <w:rsid w:val="00814550"/>
    <w:rsid w:val="00815213"/>
    <w:rsid w:val="00820314"/>
    <w:rsid w:val="00820C73"/>
    <w:rsid w:val="00821792"/>
    <w:rsid w:val="008225FB"/>
    <w:rsid w:val="00823B00"/>
    <w:rsid w:val="008246CD"/>
    <w:rsid w:val="00825123"/>
    <w:rsid w:val="00825D85"/>
    <w:rsid w:val="00826E9B"/>
    <w:rsid w:val="00831B66"/>
    <w:rsid w:val="00832313"/>
    <w:rsid w:val="00832714"/>
    <w:rsid w:val="00832715"/>
    <w:rsid w:val="00832A5D"/>
    <w:rsid w:val="00832DBF"/>
    <w:rsid w:val="008353A7"/>
    <w:rsid w:val="008358C2"/>
    <w:rsid w:val="00835E5B"/>
    <w:rsid w:val="0084014D"/>
    <w:rsid w:val="00841868"/>
    <w:rsid w:val="008421C4"/>
    <w:rsid w:val="008421FA"/>
    <w:rsid w:val="0084409A"/>
    <w:rsid w:val="0084630C"/>
    <w:rsid w:val="008464D2"/>
    <w:rsid w:val="0085323C"/>
    <w:rsid w:val="008561BF"/>
    <w:rsid w:val="00856912"/>
    <w:rsid w:val="00857CD8"/>
    <w:rsid w:val="00860F4A"/>
    <w:rsid w:val="008628D3"/>
    <w:rsid w:val="00863233"/>
    <w:rsid w:val="008635D5"/>
    <w:rsid w:val="00863BBA"/>
    <w:rsid w:val="00864D6D"/>
    <w:rsid w:val="008651FE"/>
    <w:rsid w:val="00870E30"/>
    <w:rsid w:val="00871306"/>
    <w:rsid w:val="008718F8"/>
    <w:rsid w:val="00871A1F"/>
    <w:rsid w:val="0087450D"/>
    <w:rsid w:val="00875952"/>
    <w:rsid w:val="00876485"/>
    <w:rsid w:val="00876DD1"/>
    <w:rsid w:val="008773C7"/>
    <w:rsid w:val="00877559"/>
    <w:rsid w:val="00877B3B"/>
    <w:rsid w:val="008800EF"/>
    <w:rsid w:val="00882D4E"/>
    <w:rsid w:val="00883301"/>
    <w:rsid w:val="00883ADA"/>
    <w:rsid w:val="00885B76"/>
    <w:rsid w:val="00885C26"/>
    <w:rsid w:val="00885F5B"/>
    <w:rsid w:val="0088642D"/>
    <w:rsid w:val="008910DB"/>
    <w:rsid w:val="00897CBC"/>
    <w:rsid w:val="008A1377"/>
    <w:rsid w:val="008A163A"/>
    <w:rsid w:val="008A22A6"/>
    <w:rsid w:val="008A6608"/>
    <w:rsid w:val="008B1EBC"/>
    <w:rsid w:val="008B1F11"/>
    <w:rsid w:val="008B3E32"/>
    <w:rsid w:val="008B433E"/>
    <w:rsid w:val="008B45E0"/>
    <w:rsid w:val="008B5028"/>
    <w:rsid w:val="008B5716"/>
    <w:rsid w:val="008B6F46"/>
    <w:rsid w:val="008C001C"/>
    <w:rsid w:val="008C10E5"/>
    <w:rsid w:val="008C5839"/>
    <w:rsid w:val="008C6D58"/>
    <w:rsid w:val="008C6D87"/>
    <w:rsid w:val="008C7A1C"/>
    <w:rsid w:val="008C7F75"/>
    <w:rsid w:val="008D0BDD"/>
    <w:rsid w:val="008D1080"/>
    <w:rsid w:val="008D29DD"/>
    <w:rsid w:val="008D2F02"/>
    <w:rsid w:val="008D3022"/>
    <w:rsid w:val="008D36E8"/>
    <w:rsid w:val="008D3B17"/>
    <w:rsid w:val="008D4670"/>
    <w:rsid w:val="008D5112"/>
    <w:rsid w:val="008D5765"/>
    <w:rsid w:val="008D6B59"/>
    <w:rsid w:val="008D7A14"/>
    <w:rsid w:val="008E21F8"/>
    <w:rsid w:val="008E2E4F"/>
    <w:rsid w:val="008E3C09"/>
    <w:rsid w:val="008E4D38"/>
    <w:rsid w:val="008E511E"/>
    <w:rsid w:val="008F0889"/>
    <w:rsid w:val="008F0BBC"/>
    <w:rsid w:val="008F2595"/>
    <w:rsid w:val="008F4B0C"/>
    <w:rsid w:val="008F6C24"/>
    <w:rsid w:val="00900EDD"/>
    <w:rsid w:val="00901741"/>
    <w:rsid w:val="0090242B"/>
    <w:rsid w:val="00903600"/>
    <w:rsid w:val="009036C4"/>
    <w:rsid w:val="00904159"/>
    <w:rsid w:val="00904FCC"/>
    <w:rsid w:val="00906596"/>
    <w:rsid w:val="009071FB"/>
    <w:rsid w:val="009079D1"/>
    <w:rsid w:val="00907DEF"/>
    <w:rsid w:val="00912431"/>
    <w:rsid w:val="00913DF7"/>
    <w:rsid w:val="009160D4"/>
    <w:rsid w:val="009206B3"/>
    <w:rsid w:val="0092087C"/>
    <w:rsid w:val="0092114D"/>
    <w:rsid w:val="00921D6E"/>
    <w:rsid w:val="0092438F"/>
    <w:rsid w:val="009249CB"/>
    <w:rsid w:val="00924FE5"/>
    <w:rsid w:val="009258CE"/>
    <w:rsid w:val="00925DD5"/>
    <w:rsid w:val="00926489"/>
    <w:rsid w:val="009269FE"/>
    <w:rsid w:val="00927BD4"/>
    <w:rsid w:val="009302D1"/>
    <w:rsid w:val="009321CF"/>
    <w:rsid w:val="00932F19"/>
    <w:rsid w:val="00934128"/>
    <w:rsid w:val="00934B8F"/>
    <w:rsid w:val="00934E6B"/>
    <w:rsid w:val="00935BEB"/>
    <w:rsid w:val="0093606F"/>
    <w:rsid w:val="00936A4F"/>
    <w:rsid w:val="0094167C"/>
    <w:rsid w:val="0094262B"/>
    <w:rsid w:val="0094277B"/>
    <w:rsid w:val="00944CFD"/>
    <w:rsid w:val="00946143"/>
    <w:rsid w:val="0094696F"/>
    <w:rsid w:val="009518DD"/>
    <w:rsid w:val="009519C4"/>
    <w:rsid w:val="00951E15"/>
    <w:rsid w:val="00952DAF"/>
    <w:rsid w:val="0095330C"/>
    <w:rsid w:val="009542CD"/>
    <w:rsid w:val="00954B5F"/>
    <w:rsid w:val="00954C85"/>
    <w:rsid w:val="00955D4D"/>
    <w:rsid w:val="0096071E"/>
    <w:rsid w:val="009622D3"/>
    <w:rsid w:val="009625B2"/>
    <w:rsid w:val="00962DBC"/>
    <w:rsid w:val="009635DE"/>
    <w:rsid w:val="00963E2E"/>
    <w:rsid w:val="00965BBD"/>
    <w:rsid w:val="009660E0"/>
    <w:rsid w:val="00967CF5"/>
    <w:rsid w:val="00970B8B"/>
    <w:rsid w:val="0097201D"/>
    <w:rsid w:val="009746BD"/>
    <w:rsid w:val="009747B6"/>
    <w:rsid w:val="009749AB"/>
    <w:rsid w:val="00975A97"/>
    <w:rsid w:val="00976E12"/>
    <w:rsid w:val="009776EC"/>
    <w:rsid w:val="0097797A"/>
    <w:rsid w:val="00977E5D"/>
    <w:rsid w:val="00981B66"/>
    <w:rsid w:val="00983E66"/>
    <w:rsid w:val="00984D5A"/>
    <w:rsid w:val="009879B2"/>
    <w:rsid w:val="009901E7"/>
    <w:rsid w:val="00990439"/>
    <w:rsid w:val="009904F1"/>
    <w:rsid w:val="00993D32"/>
    <w:rsid w:val="0099435C"/>
    <w:rsid w:val="00994876"/>
    <w:rsid w:val="00995064"/>
    <w:rsid w:val="009964CD"/>
    <w:rsid w:val="00997227"/>
    <w:rsid w:val="00997608"/>
    <w:rsid w:val="009A0CEF"/>
    <w:rsid w:val="009A0E43"/>
    <w:rsid w:val="009A127F"/>
    <w:rsid w:val="009A2549"/>
    <w:rsid w:val="009A2E4B"/>
    <w:rsid w:val="009A6037"/>
    <w:rsid w:val="009A66D6"/>
    <w:rsid w:val="009A68F8"/>
    <w:rsid w:val="009B1570"/>
    <w:rsid w:val="009B15F3"/>
    <w:rsid w:val="009B1A11"/>
    <w:rsid w:val="009B5D6A"/>
    <w:rsid w:val="009B60A2"/>
    <w:rsid w:val="009B63E2"/>
    <w:rsid w:val="009B6F32"/>
    <w:rsid w:val="009B765E"/>
    <w:rsid w:val="009C08B3"/>
    <w:rsid w:val="009C2160"/>
    <w:rsid w:val="009C2339"/>
    <w:rsid w:val="009C34C0"/>
    <w:rsid w:val="009C3B72"/>
    <w:rsid w:val="009C5C38"/>
    <w:rsid w:val="009D0C48"/>
    <w:rsid w:val="009D13B2"/>
    <w:rsid w:val="009D4757"/>
    <w:rsid w:val="009D4FB7"/>
    <w:rsid w:val="009D60B9"/>
    <w:rsid w:val="009D6604"/>
    <w:rsid w:val="009D6E9B"/>
    <w:rsid w:val="009E0592"/>
    <w:rsid w:val="009E06C5"/>
    <w:rsid w:val="009E11F8"/>
    <w:rsid w:val="009E1C37"/>
    <w:rsid w:val="009E23DE"/>
    <w:rsid w:val="009E28F1"/>
    <w:rsid w:val="009E339E"/>
    <w:rsid w:val="009E4E08"/>
    <w:rsid w:val="009E5419"/>
    <w:rsid w:val="009E56AF"/>
    <w:rsid w:val="009E56DC"/>
    <w:rsid w:val="009E59E1"/>
    <w:rsid w:val="009E61D2"/>
    <w:rsid w:val="009E63EB"/>
    <w:rsid w:val="009F19E2"/>
    <w:rsid w:val="009F1EC2"/>
    <w:rsid w:val="009F288B"/>
    <w:rsid w:val="009F2A13"/>
    <w:rsid w:val="009F315A"/>
    <w:rsid w:val="009F3314"/>
    <w:rsid w:val="009F469B"/>
    <w:rsid w:val="009F58D7"/>
    <w:rsid w:val="009F5C6F"/>
    <w:rsid w:val="009F6D32"/>
    <w:rsid w:val="009F7A76"/>
    <w:rsid w:val="00A017ED"/>
    <w:rsid w:val="00A02056"/>
    <w:rsid w:val="00A03DCA"/>
    <w:rsid w:val="00A04428"/>
    <w:rsid w:val="00A051EB"/>
    <w:rsid w:val="00A0525A"/>
    <w:rsid w:val="00A05D3C"/>
    <w:rsid w:val="00A07292"/>
    <w:rsid w:val="00A1053A"/>
    <w:rsid w:val="00A10F03"/>
    <w:rsid w:val="00A1167F"/>
    <w:rsid w:val="00A1188C"/>
    <w:rsid w:val="00A11BDB"/>
    <w:rsid w:val="00A11BEE"/>
    <w:rsid w:val="00A13F80"/>
    <w:rsid w:val="00A14802"/>
    <w:rsid w:val="00A1523E"/>
    <w:rsid w:val="00A15D03"/>
    <w:rsid w:val="00A161FB"/>
    <w:rsid w:val="00A1678D"/>
    <w:rsid w:val="00A204C1"/>
    <w:rsid w:val="00A21CBF"/>
    <w:rsid w:val="00A23926"/>
    <w:rsid w:val="00A24196"/>
    <w:rsid w:val="00A245E9"/>
    <w:rsid w:val="00A252F8"/>
    <w:rsid w:val="00A25874"/>
    <w:rsid w:val="00A26104"/>
    <w:rsid w:val="00A27535"/>
    <w:rsid w:val="00A339CF"/>
    <w:rsid w:val="00A35389"/>
    <w:rsid w:val="00A35711"/>
    <w:rsid w:val="00A36640"/>
    <w:rsid w:val="00A36B87"/>
    <w:rsid w:val="00A36F4A"/>
    <w:rsid w:val="00A36FAA"/>
    <w:rsid w:val="00A3782E"/>
    <w:rsid w:val="00A41100"/>
    <w:rsid w:val="00A4134D"/>
    <w:rsid w:val="00A43A11"/>
    <w:rsid w:val="00A44F21"/>
    <w:rsid w:val="00A44FB1"/>
    <w:rsid w:val="00A47A7D"/>
    <w:rsid w:val="00A5097A"/>
    <w:rsid w:val="00A51761"/>
    <w:rsid w:val="00A53472"/>
    <w:rsid w:val="00A543BE"/>
    <w:rsid w:val="00A54566"/>
    <w:rsid w:val="00A57043"/>
    <w:rsid w:val="00A576E0"/>
    <w:rsid w:val="00A57881"/>
    <w:rsid w:val="00A57B39"/>
    <w:rsid w:val="00A6349B"/>
    <w:rsid w:val="00A639C6"/>
    <w:rsid w:val="00A67187"/>
    <w:rsid w:val="00A759CE"/>
    <w:rsid w:val="00A769FD"/>
    <w:rsid w:val="00A80750"/>
    <w:rsid w:val="00A8218B"/>
    <w:rsid w:val="00A82560"/>
    <w:rsid w:val="00A8290B"/>
    <w:rsid w:val="00A859D7"/>
    <w:rsid w:val="00A868D9"/>
    <w:rsid w:val="00A872A6"/>
    <w:rsid w:val="00A91428"/>
    <w:rsid w:val="00A91C24"/>
    <w:rsid w:val="00A93F38"/>
    <w:rsid w:val="00A94D9F"/>
    <w:rsid w:val="00A9654F"/>
    <w:rsid w:val="00A96FFA"/>
    <w:rsid w:val="00A97000"/>
    <w:rsid w:val="00A977A9"/>
    <w:rsid w:val="00AA1658"/>
    <w:rsid w:val="00AA235C"/>
    <w:rsid w:val="00AA265C"/>
    <w:rsid w:val="00AA2A10"/>
    <w:rsid w:val="00AA3132"/>
    <w:rsid w:val="00AA361F"/>
    <w:rsid w:val="00AA43AC"/>
    <w:rsid w:val="00AA5D27"/>
    <w:rsid w:val="00AA5D66"/>
    <w:rsid w:val="00AA6425"/>
    <w:rsid w:val="00AB029E"/>
    <w:rsid w:val="00AB0992"/>
    <w:rsid w:val="00AB0B7E"/>
    <w:rsid w:val="00AB0E5A"/>
    <w:rsid w:val="00AB10DD"/>
    <w:rsid w:val="00AB1DC8"/>
    <w:rsid w:val="00AB521E"/>
    <w:rsid w:val="00AC13E9"/>
    <w:rsid w:val="00AC140E"/>
    <w:rsid w:val="00AC29EF"/>
    <w:rsid w:val="00AC4965"/>
    <w:rsid w:val="00AC650F"/>
    <w:rsid w:val="00AC6A0B"/>
    <w:rsid w:val="00AD0726"/>
    <w:rsid w:val="00AD0C2A"/>
    <w:rsid w:val="00AD1D08"/>
    <w:rsid w:val="00AD2066"/>
    <w:rsid w:val="00AD2697"/>
    <w:rsid w:val="00AD4069"/>
    <w:rsid w:val="00AD440B"/>
    <w:rsid w:val="00AD54E1"/>
    <w:rsid w:val="00AD631F"/>
    <w:rsid w:val="00AD65A5"/>
    <w:rsid w:val="00AE03CB"/>
    <w:rsid w:val="00AE1346"/>
    <w:rsid w:val="00AE18B6"/>
    <w:rsid w:val="00AE56AC"/>
    <w:rsid w:val="00AE74B5"/>
    <w:rsid w:val="00AF02F2"/>
    <w:rsid w:val="00AF0647"/>
    <w:rsid w:val="00AF16D3"/>
    <w:rsid w:val="00AF3718"/>
    <w:rsid w:val="00AF3835"/>
    <w:rsid w:val="00AF38B5"/>
    <w:rsid w:val="00AF3C00"/>
    <w:rsid w:val="00AF3F7B"/>
    <w:rsid w:val="00AF4345"/>
    <w:rsid w:val="00AF4F3D"/>
    <w:rsid w:val="00AF63C9"/>
    <w:rsid w:val="00AF6461"/>
    <w:rsid w:val="00AF792D"/>
    <w:rsid w:val="00AF7CD0"/>
    <w:rsid w:val="00AF7DBF"/>
    <w:rsid w:val="00B01663"/>
    <w:rsid w:val="00B018DA"/>
    <w:rsid w:val="00B022C1"/>
    <w:rsid w:val="00B05989"/>
    <w:rsid w:val="00B060EA"/>
    <w:rsid w:val="00B10D2A"/>
    <w:rsid w:val="00B11861"/>
    <w:rsid w:val="00B1191E"/>
    <w:rsid w:val="00B12B4D"/>
    <w:rsid w:val="00B1538C"/>
    <w:rsid w:val="00B161AF"/>
    <w:rsid w:val="00B22B2B"/>
    <w:rsid w:val="00B24065"/>
    <w:rsid w:val="00B258C0"/>
    <w:rsid w:val="00B25DA2"/>
    <w:rsid w:val="00B26023"/>
    <w:rsid w:val="00B27BC9"/>
    <w:rsid w:val="00B30EC2"/>
    <w:rsid w:val="00B35436"/>
    <w:rsid w:val="00B36855"/>
    <w:rsid w:val="00B406FC"/>
    <w:rsid w:val="00B4139F"/>
    <w:rsid w:val="00B41C80"/>
    <w:rsid w:val="00B42775"/>
    <w:rsid w:val="00B430BC"/>
    <w:rsid w:val="00B4340A"/>
    <w:rsid w:val="00B45BA9"/>
    <w:rsid w:val="00B46187"/>
    <w:rsid w:val="00B46410"/>
    <w:rsid w:val="00B4695C"/>
    <w:rsid w:val="00B53837"/>
    <w:rsid w:val="00B54137"/>
    <w:rsid w:val="00B5473F"/>
    <w:rsid w:val="00B56828"/>
    <w:rsid w:val="00B60C6B"/>
    <w:rsid w:val="00B62174"/>
    <w:rsid w:val="00B639DF"/>
    <w:rsid w:val="00B63EE3"/>
    <w:rsid w:val="00B643A7"/>
    <w:rsid w:val="00B6444A"/>
    <w:rsid w:val="00B64CA0"/>
    <w:rsid w:val="00B65466"/>
    <w:rsid w:val="00B66F8F"/>
    <w:rsid w:val="00B67B36"/>
    <w:rsid w:val="00B67EA7"/>
    <w:rsid w:val="00B701BC"/>
    <w:rsid w:val="00B7348E"/>
    <w:rsid w:val="00B7553B"/>
    <w:rsid w:val="00B774A9"/>
    <w:rsid w:val="00B80492"/>
    <w:rsid w:val="00B822DB"/>
    <w:rsid w:val="00B85D02"/>
    <w:rsid w:val="00B90BF0"/>
    <w:rsid w:val="00B93712"/>
    <w:rsid w:val="00B94803"/>
    <w:rsid w:val="00B954E0"/>
    <w:rsid w:val="00B9633B"/>
    <w:rsid w:val="00B966A3"/>
    <w:rsid w:val="00B96817"/>
    <w:rsid w:val="00BA05DC"/>
    <w:rsid w:val="00BA2379"/>
    <w:rsid w:val="00BA2760"/>
    <w:rsid w:val="00BA3393"/>
    <w:rsid w:val="00BA68E1"/>
    <w:rsid w:val="00BA6DEA"/>
    <w:rsid w:val="00BA729C"/>
    <w:rsid w:val="00BB0355"/>
    <w:rsid w:val="00BB0C21"/>
    <w:rsid w:val="00BB1080"/>
    <w:rsid w:val="00BB10F4"/>
    <w:rsid w:val="00BB145E"/>
    <w:rsid w:val="00BB1CA4"/>
    <w:rsid w:val="00BB33B3"/>
    <w:rsid w:val="00BB415D"/>
    <w:rsid w:val="00BB605A"/>
    <w:rsid w:val="00BB656C"/>
    <w:rsid w:val="00BB715F"/>
    <w:rsid w:val="00BB7F7C"/>
    <w:rsid w:val="00BC098E"/>
    <w:rsid w:val="00BC2214"/>
    <w:rsid w:val="00BC241E"/>
    <w:rsid w:val="00BC5A3D"/>
    <w:rsid w:val="00BD0251"/>
    <w:rsid w:val="00BD1FBB"/>
    <w:rsid w:val="00BD21A6"/>
    <w:rsid w:val="00BD2F33"/>
    <w:rsid w:val="00BD5A8C"/>
    <w:rsid w:val="00BD68D3"/>
    <w:rsid w:val="00BD6B51"/>
    <w:rsid w:val="00BD7AD8"/>
    <w:rsid w:val="00BE040A"/>
    <w:rsid w:val="00BE112B"/>
    <w:rsid w:val="00BE282E"/>
    <w:rsid w:val="00BE2D4B"/>
    <w:rsid w:val="00BE590D"/>
    <w:rsid w:val="00BE5E30"/>
    <w:rsid w:val="00BF04EF"/>
    <w:rsid w:val="00BF1059"/>
    <w:rsid w:val="00BF1EEC"/>
    <w:rsid w:val="00BF38C1"/>
    <w:rsid w:val="00BF66D9"/>
    <w:rsid w:val="00BF69AF"/>
    <w:rsid w:val="00BF7DE2"/>
    <w:rsid w:val="00C003A0"/>
    <w:rsid w:val="00C00F79"/>
    <w:rsid w:val="00C010EB"/>
    <w:rsid w:val="00C0392D"/>
    <w:rsid w:val="00C0671A"/>
    <w:rsid w:val="00C07D9A"/>
    <w:rsid w:val="00C1129C"/>
    <w:rsid w:val="00C1269A"/>
    <w:rsid w:val="00C16C35"/>
    <w:rsid w:val="00C202A2"/>
    <w:rsid w:val="00C21310"/>
    <w:rsid w:val="00C219AA"/>
    <w:rsid w:val="00C23CA8"/>
    <w:rsid w:val="00C2633B"/>
    <w:rsid w:val="00C26EDD"/>
    <w:rsid w:val="00C32926"/>
    <w:rsid w:val="00C34DFC"/>
    <w:rsid w:val="00C36F64"/>
    <w:rsid w:val="00C379D7"/>
    <w:rsid w:val="00C41126"/>
    <w:rsid w:val="00C42D9C"/>
    <w:rsid w:val="00C478A1"/>
    <w:rsid w:val="00C50475"/>
    <w:rsid w:val="00C5309A"/>
    <w:rsid w:val="00C546E8"/>
    <w:rsid w:val="00C557FC"/>
    <w:rsid w:val="00C56017"/>
    <w:rsid w:val="00C56821"/>
    <w:rsid w:val="00C56AB4"/>
    <w:rsid w:val="00C56B09"/>
    <w:rsid w:val="00C570F1"/>
    <w:rsid w:val="00C571C9"/>
    <w:rsid w:val="00C579EF"/>
    <w:rsid w:val="00C60A05"/>
    <w:rsid w:val="00C60D3E"/>
    <w:rsid w:val="00C62E52"/>
    <w:rsid w:val="00C649C1"/>
    <w:rsid w:val="00C6605C"/>
    <w:rsid w:val="00C66A73"/>
    <w:rsid w:val="00C6782C"/>
    <w:rsid w:val="00C67BF0"/>
    <w:rsid w:val="00C709A3"/>
    <w:rsid w:val="00C71009"/>
    <w:rsid w:val="00C71708"/>
    <w:rsid w:val="00C72EA4"/>
    <w:rsid w:val="00C73FAC"/>
    <w:rsid w:val="00C74756"/>
    <w:rsid w:val="00C75B2D"/>
    <w:rsid w:val="00C75DCC"/>
    <w:rsid w:val="00C764F0"/>
    <w:rsid w:val="00C7656D"/>
    <w:rsid w:val="00C76A0E"/>
    <w:rsid w:val="00C76E33"/>
    <w:rsid w:val="00C76EF2"/>
    <w:rsid w:val="00C7762E"/>
    <w:rsid w:val="00C77D95"/>
    <w:rsid w:val="00C77F17"/>
    <w:rsid w:val="00C81505"/>
    <w:rsid w:val="00C84C4F"/>
    <w:rsid w:val="00C85573"/>
    <w:rsid w:val="00C87579"/>
    <w:rsid w:val="00C9450A"/>
    <w:rsid w:val="00C94A19"/>
    <w:rsid w:val="00C9513C"/>
    <w:rsid w:val="00C96F08"/>
    <w:rsid w:val="00C97385"/>
    <w:rsid w:val="00CA087D"/>
    <w:rsid w:val="00CA20F7"/>
    <w:rsid w:val="00CA3602"/>
    <w:rsid w:val="00CA47E4"/>
    <w:rsid w:val="00CA48E2"/>
    <w:rsid w:val="00CA72B4"/>
    <w:rsid w:val="00CB205A"/>
    <w:rsid w:val="00CB3892"/>
    <w:rsid w:val="00CB49BA"/>
    <w:rsid w:val="00CB56A6"/>
    <w:rsid w:val="00CB6325"/>
    <w:rsid w:val="00CC02E6"/>
    <w:rsid w:val="00CC24A6"/>
    <w:rsid w:val="00CC2D9E"/>
    <w:rsid w:val="00CD00EA"/>
    <w:rsid w:val="00CD014E"/>
    <w:rsid w:val="00CD260C"/>
    <w:rsid w:val="00CD3FF1"/>
    <w:rsid w:val="00CD5F69"/>
    <w:rsid w:val="00CD6BC6"/>
    <w:rsid w:val="00CE1CA4"/>
    <w:rsid w:val="00CE20FE"/>
    <w:rsid w:val="00CE2F49"/>
    <w:rsid w:val="00CE306E"/>
    <w:rsid w:val="00CE672D"/>
    <w:rsid w:val="00CE6E74"/>
    <w:rsid w:val="00CE7651"/>
    <w:rsid w:val="00CE7850"/>
    <w:rsid w:val="00CE7B76"/>
    <w:rsid w:val="00CE7F8C"/>
    <w:rsid w:val="00CF3A3C"/>
    <w:rsid w:val="00CF3DF4"/>
    <w:rsid w:val="00CF4353"/>
    <w:rsid w:val="00CF462C"/>
    <w:rsid w:val="00CF4766"/>
    <w:rsid w:val="00CF4D55"/>
    <w:rsid w:val="00CF5448"/>
    <w:rsid w:val="00CF5541"/>
    <w:rsid w:val="00CF5592"/>
    <w:rsid w:val="00CF657E"/>
    <w:rsid w:val="00CF68C4"/>
    <w:rsid w:val="00CF7EF9"/>
    <w:rsid w:val="00D0179E"/>
    <w:rsid w:val="00D01A4B"/>
    <w:rsid w:val="00D03D96"/>
    <w:rsid w:val="00D04E2D"/>
    <w:rsid w:val="00D06702"/>
    <w:rsid w:val="00D06F34"/>
    <w:rsid w:val="00D13060"/>
    <w:rsid w:val="00D14684"/>
    <w:rsid w:val="00D14AF5"/>
    <w:rsid w:val="00D14D93"/>
    <w:rsid w:val="00D15772"/>
    <w:rsid w:val="00D1732C"/>
    <w:rsid w:val="00D208A3"/>
    <w:rsid w:val="00D239E8"/>
    <w:rsid w:val="00D23B1B"/>
    <w:rsid w:val="00D23CBC"/>
    <w:rsid w:val="00D2488C"/>
    <w:rsid w:val="00D2596A"/>
    <w:rsid w:val="00D26A01"/>
    <w:rsid w:val="00D26C80"/>
    <w:rsid w:val="00D31205"/>
    <w:rsid w:val="00D31D8D"/>
    <w:rsid w:val="00D4267F"/>
    <w:rsid w:val="00D4364D"/>
    <w:rsid w:val="00D44015"/>
    <w:rsid w:val="00D4510D"/>
    <w:rsid w:val="00D45F58"/>
    <w:rsid w:val="00D4621D"/>
    <w:rsid w:val="00D47369"/>
    <w:rsid w:val="00D47888"/>
    <w:rsid w:val="00D50E13"/>
    <w:rsid w:val="00D517F5"/>
    <w:rsid w:val="00D52721"/>
    <w:rsid w:val="00D531AF"/>
    <w:rsid w:val="00D54535"/>
    <w:rsid w:val="00D54B6C"/>
    <w:rsid w:val="00D57061"/>
    <w:rsid w:val="00D631D6"/>
    <w:rsid w:val="00D65B42"/>
    <w:rsid w:val="00D66476"/>
    <w:rsid w:val="00D66C58"/>
    <w:rsid w:val="00D703C7"/>
    <w:rsid w:val="00D70616"/>
    <w:rsid w:val="00D71171"/>
    <w:rsid w:val="00D71A71"/>
    <w:rsid w:val="00D7276D"/>
    <w:rsid w:val="00D75FA0"/>
    <w:rsid w:val="00D81E20"/>
    <w:rsid w:val="00D823E5"/>
    <w:rsid w:val="00D83CF4"/>
    <w:rsid w:val="00D8446D"/>
    <w:rsid w:val="00D849F4"/>
    <w:rsid w:val="00D84A26"/>
    <w:rsid w:val="00D85A76"/>
    <w:rsid w:val="00D8642E"/>
    <w:rsid w:val="00D90457"/>
    <w:rsid w:val="00D905E4"/>
    <w:rsid w:val="00D90794"/>
    <w:rsid w:val="00D926DF"/>
    <w:rsid w:val="00D937B0"/>
    <w:rsid w:val="00D94CB3"/>
    <w:rsid w:val="00D9685B"/>
    <w:rsid w:val="00DA05BA"/>
    <w:rsid w:val="00DA16A0"/>
    <w:rsid w:val="00DA233F"/>
    <w:rsid w:val="00DA314D"/>
    <w:rsid w:val="00DA3DB0"/>
    <w:rsid w:val="00DA63BA"/>
    <w:rsid w:val="00DA6CF9"/>
    <w:rsid w:val="00DA75CC"/>
    <w:rsid w:val="00DB07C8"/>
    <w:rsid w:val="00DB5736"/>
    <w:rsid w:val="00DB64B6"/>
    <w:rsid w:val="00DB6E52"/>
    <w:rsid w:val="00DB6F1A"/>
    <w:rsid w:val="00DB7141"/>
    <w:rsid w:val="00DC07A9"/>
    <w:rsid w:val="00DC2290"/>
    <w:rsid w:val="00DC3CC6"/>
    <w:rsid w:val="00DC4C46"/>
    <w:rsid w:val="00DC663A"/>
    <w:rsid w:val="00DC76B3"/>
    <w:rsid w:val="00DC7A7D"/>
    <w:rsid w:val="00DD034B"/>
    <w:rsid w:val="00DD163B"/>
    <w:rsid w:val="00DD2325"/>
    <w:rsid w:val="00DD37E9"/>
    <w:rsid w:val="00DD43BD"/>
    <w:rsid w:val="00DD5D84"/>
    <w:rsid w:val="00DD6991"/>
    <w:rsid w:val="00DD74A2"/>
    <w:rsid w:val="00DE0947"/>
    <w:rsid w:val="00DE4C22"/>
    <w:rsid w:val="00DF1091"/>
    <w:rsid w:val="00DF154A"/>
    <w:rsid w:val="00DF309B"/>
    <w:rsid w:val="00DF3A94"/>
    <w:rsid w:val="00DF41E5"/>
    <w:rsid w:val="00DF6C2B"/>
    <w:rsid w:val="00DF7016"/>
    <w:rsid w:val="00E00256"/>
    <w:rsid w:val="00E00CB0"/>
    <w:rsid w:val="00E02E43"/>
    <w:rsid w:val="00E03A63"/>
    <w:rsid w:val="00E03DB0"/>
    <w:rsid w:val="00E05128"/>
    <w:rsid w:val="00E06C50"/>
    <w:rsid w:val="00E10772"/>
    <w:rsid w:val="00E107D7"/>
    <w:rsid w:val="00E11F6C"/>
    <w:rsid w:val="00E122F3"/>
    <w:rsid w:val="00E12C6F"/>
    <w:rsid w:val="00E13230"/>
    <w:rsid w:val="00E14446"/>
    <w:rsid w:val="00E150C5"/>
    <w:rsid w:val="00E213AD"/>
    <w:rsid w:val="00E21A00"/>
    <w:rsid w:val="00E22182"/>
    <w:rsid w:val="00E2237A"/>
    <w:rsid w:val="00E22567"/>
    <w:rsid w:val="00E2297E"/>
    <w:rsid w:val="00E24DB9"/>
    <w:rsid w:val="00E25DCE"/>
    <w:rsid w:val="00E26AC8"/>
    <w:rsid w:val="00E30351"/>
    <w:rsid w:val="00E30AF1"/>
    <w:rsid w:val="00E3168D"/>
    <w:rsid w:val="00E338D1"/>
    <w:rsid w:val="00E341FB"/>
    <w:rsid w:val="00E34B69"/>
    <w:rsid w:val="00E34F82"/>
    <w:rsid w:val="00E35E12"/>
    <w:rsid w:val="00E3643E"/>
    <w:rsid w:val="00E36847"/>
    <w:rsid w:val="00E36987"/>
    <w:rsid w:val="00E42444"/>
    <w:rsid w:val="00E4339D"/>
    <w:rsid w:val="00E43661"/>
    <w:rsid w:val="00E43F5C"/>
    <w:rsid w:val="00E44DFF"/>
    <w:rsid w:val="00E4680F"/>
    <w:rsid w:val="00E511F5"/>
    <w:rsid w:val="00E53350"/>
    <w:rsid w:val="00E540ED"/>
    <w:rsid w:val="00E54F6B"/>
    <w:rsid w:val="00E55A5B"/>
    <w:rsid w:val="00E56B65"/>
    <w:rsid w:val="00E579F9"/>
    <w:rsid w:val="00E57F03"/>
    <w:rsid w:val="00E60D2A"/>
    <w:rsid w:val="00E6175A"/>
    <w:rsid w:val="00E63533"/>
    <w:rsid w:val="00E65244"/>
    <w:rsid w:val="00E65409"/>
    <w:rsid w:val="00E706A2"/>
    <w:rsid w:val="00E70C6D"/>
    <w:rsid w:val="00E75141"/>
    <w:rsid w:val="00E76DA9"/>
    <w:rsid w:val="00E823EE"/>
    <w:rsid w:val="00E83D05"/>
    <w:rsid w:val="00E83E7C"/>
    <w:rsid w:val="00E85133"/>
    <w:rsid w:val="00E85564"/>
    <w:rsid w:val="00E86EC5"/>
    <w:rsid w:val="00E901EE"/>
    <w:rsid w:val="00E90504"/>
    <w:rsid w:val="00E907B1"/>
    <w:rsid w:val="00E90CD4"/>
    <w:rsid w:val="00E93119"/>
    <w:rsid w:val="00E96119"/>
    <w:rsid w:val="00EA01CF"/>
    <w:rsid w:val="00EA241B"/>
    <w:rsid w:val="00EA2B2E"/>
    <w:rsid w:val="00EA42E4"/>
    <w:rsid w:val="00EA64F5"/>
    <w:rsid w:val="00EA697F"/>
    <w:rsid w:val="00EA75D3"/>
    <w:rsid w:val="00EB1076"/>
    <w:rsid w:val="00EB1A17"/>
    <w:rsid w:val="00EB1A88"/>
    <w:rsid w:val="00EB2693"/>
    <w:rsid w:val="00EB3076"/>
    <w:rsid w:val="00EB4325"/>
    <w:rsid w:val="00EB453F"/>
    <w:rsid w:val="00EC02E4"/>
    <w:rsid w:val="00EC07A8"/>
    <w:rsid w:val="00EC0DC0"/>
    <w:rsid w:val="00EC2FC7"/>
    <w:rsid w:val="00EC30CC"/>
    <w:rsid w:val="00EC5919"/>
    <w:rsid w:val="00ED05DC"/>
    <w:rsid w:val="00ED19A2"/>
    <w:rsid w:val="00ED1F41"/>
    <w:rsid w:val="00ED2FA6"/>
    <w:rsid w:val="00ED30F5"/>
    <w:rsid w:val="00ED37CC"/>
    <w:rsid w:val="00ED4753"/>
    <w:rsid w:val="00ED5890"/>
    <w:rsid w:val="00ED5DD8"/>
    <w:rsid w:val="00ED61A2"/>
    <w:rsid w:val="00ED78FD"/>
    <w:rsid w:val="00ED79E6"/>
    <w:rsid w:val="00EE1608"/>
    <w:rsid w:val="00EE16EE"/>
    <w:rsid w:val="00EE2C01"/>
    <w:rsid w:val="00EE2D5B"/>
    <w:rsid w:val="00EE375C"/>
    <w:rsid w:val="00EE38CF"/>
    <w:rsid w:val="00EE3C01"/>
    <w:rsid w:val="00EE3CA6"/>
    <w:rsid w:val="00EE42C1"/>
    <w:rsid w:val="00EE61EF"/>
    <w:rsid w:val="00EE6727"/>
    <w:rsid w:val="00EE73B6"/>
    <w:rsid w:val="00EF0FDD"/>
    <w:rsid w:val="00EF3CE5"/>
    <w:rsid w:val="00EF4E3A"/>
    <w:rsid w:val="00EF573D"/>
    <w:rsid w:val="00EF5DDB"/>
    <w:rsid w:val="00EF62C2"/>
    <w:rsid w:val="00F0250B"/>
    <w:rsid w:val="00F0285C"/>
    <w:rsid w:val="00F04175"/>
    <w:rsid w:val="00F10CCF"/>
    <w:rsid w:val="00F148C3"/>
    <w:rsid w:val="00F16445"/>
    <w:rsid w:val="00F16D97"/>
    <w:rsid w:val="00F16FB5"/>
    <w:rsid w:val="00F20EC3"/>
    <w:rsid w:val="00F219F5"/>
    <w:rsid w:val="00F22ADD"/>
    <w:rsid w:val="00F2317A"/>
    <w:rsid w:val="00F246CE"/>
    <w:rsid w:val="00F24A72"/>
    <w:rsid w:val="00F2530C"/>
    <w:rsid w:val="00F255C3"/>
    <w:rsid w:val="00F3026D"/>
    <w:rsid w:val="00F30661"/>
    <w:rsid w:val="00F30ACF"/>
    <w:rsid w:val="00F33C90"/>
    <w:rsid w:val="00F347F8"/>
    <w:rsid w:val="00F34A2C"/>
    <w:rsid w:val="00F35316"/>
    <w:rsid w:val="00F35553"/>
    <w:rsid w:val="00F35A0E"/>
    <w:rsid w:val="00F35BA7"/>
    <w:rsid w:val="00F36B3B"/>
    <w:rsid w:val="00F374A2"/>
    <w:rsid w:val="00F37C06"/>
    <w:rsid w:val="00F37F6B"/>
    <w:rsid w:val="00F44F0D"/>
    <w:rsid w:val="00F468F9"/>
    <w:rsid w:val="00F507A7"/>
    <w:rsid w:val="00F513A8"/>
    <w:rsid w:val="00F5334C"/>
    <w:rsid w:val="00F548A0"/>
    <w:rsid w:val="00F57250"/>
    <w:rsid w:val="00F57CCB"/>
    <w:rsid w:val="00F6041C"/>
    <w:rsid w:val="00F6126B"/>
    <w:rsid w:val="00F618DA"/>
    <w:rsid w:val="00F61982"/>
    <w:rsid w:val="00F61A1B"/>
    <w:rsid w:val="00F633B8"/>
    <w:rsid w:val="00F646DA"/>
    <w:rsid w:val="00F64C08"/>
    <w:rsid w:val="00F64E54"/>
    <w:rsid w:val="00F65B04"/>
    <w:rsid w:val="00F65BE1"/>
    <w:rsid w:val="00F66B27"/>
    <w:rsid w:val="00F66F74"/>
    <w:rsid w:val="00F701B5"/>
    <w:rsid w:val="00F71C42"/>
    <w:rsid w:val="00F73AFB"/>
    <w:rsid w:val="00F75790"/>
    <w:rsid w:val="00F75A63"/>
    <w:rsid w:val="00F770F6"/>
    <w:rsid w:val="00F771EE"/>
    <w:rsid w:val="00F77582"/>
    <w:rsid w:val="00F77CA7"/>
    <w:rsid w:val="00F804D5"/>
    <w:rsid w:val="00F81512"/>
    <w:rsid w:val="00F821B3"/>
    <w:rsid w:val="00F823B6"/>
    <w:rsid w:val="00F8244B"/>
    <w:rsid w:val="00F8314E"/>
    <w:rsid w:val="00F83694"/>
    <w:rsid w:val="00F869C2"/>
    <w:rsid w:val="00F9071B"/>
    <w:rsid w:val="00F920E9"/>
    <w:rsid w:val="00F9247E"/>
    <w:rsid w:val="00F92EB0"/>
    <w:rsid w:val="00F93D58"/>
    <w:rsid w:val="00F9723B"/>
    <w:rsid w:val="00FA0561"/>
    <w:rsid w:val="00FA18C4"/>
    <w:rsid w:val="00FA3758"/>
    <w:rsid w:val="00FA488F"/>
    <w:rsid w:val="00FA4A2F"/>
    <w:rsid w:val="00FA61AE"/>
    <w:rsid w:val="00FA79C5"/>
    <w:rsid w:val="00FB0201"/>
    <w:rsid w:val="00FB1F0F"/>
    <w:rsid w:val="00FB2248"/>
    <w:rsid w:val="00FB3806"/>
    <w:rsid w:val="00FB6AEC"/>
    <w:rsid w:val="00FB6E9C"/>
    <w:rsid w:val="00FB6EBF"/>
    <w:rsid w:val="00FB7055"/>
    <w:rsid w:val="00FB7B0B"/>
    <w:rsid w:val="00FC02C8"/>
    <w:rsid w:val="00FC11B2"/>
    <w:rsid w:val="00FC128B"/>
    <w:rsid w:val="00FC1951"/>
    <w:rsid w:val="00FC26BD"/>
    <w:rsid w:val="00FC275A"/>
    <w:rsid w:val="00FC41FF"/>
    <w:rsid w:val="00FC4289"/>
    <w:rsid w:val="00FC4668"/>
    <w:rsid w:val="00FD1BC2"/>
    <w:rsid w:val="00FD3F4D"/>
    <w:rsid w:val="00FD555A"/>
    <w:rsid w:val="00FD6814"/>
    <w:rsid w:val="00FD77EA"/>
    <w:rsid w:val="00FE0BD6"/>
    <w:rsid w:val="00FE1B51"/>
    <w:rsid w:val="00FE1B6C"/>
    <w:rsid w:val="00FE1F11"/>
    <w:rsid w:val="00FE41F4"/>
    <w:rsid w:val="00FE6688"/>
    <w:rsid w:val="00FF0205"/>
    <w:rsid w:val="00FF1815"/>
    <w:rsid w:val="00FF2632"/>
    <w:rsid w:val="00FF2C6B"/>
    <w:rsid w:val="00FF3A4D"/>
    <w:rsid w:val="00FF3E80"/>
    <w:rsid w:val="00FF41C8"/>
    <w:rsid w:val="00FF42E9"/>
    <w:rsid w:val="00FF56D6"/>
    <w:rsid w:val="00FF66D9"/>
    <w:rsid w:val="00FF702F"/>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7C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C1"/>
    <w:rPr>
      <w:rFonts w:ascii="Times New Roman" w:eastAsia="Times New Roman" w:hAnsi="Times New Roman"/>
      <w:sz w:val="24"/>
      <w:szCs w:val="24"/>
      <w:lang w:val="es-ES_tradnl" w:eastAsia="en-US"/>
    </w:rPr>
  </w:style>
  <w:style w:type="paragraph" w:styleId="Heading1">
    <w:name w:val="heading 1"/>
    <w:basedOn w:val="Normal"/>
    <w:next w:val="Normal"/>
    <w:link w:val="Heading1Char"/>
    <w:qFormat/>
    <w:rsid w:val="008C001C"/>
    <w:pPr>
      <w:keepNext/>
      <w:jc w:val="center"/>
      <w:outlineLvl w:val="0"/>
    </w:pPr>
    <w:rPr>
      <w:rFonts w:ascii="Verdana" w:eastAsia="Times" w:hAnsi="Verdana"/>
      <w:b/>
      <w:caps/>
      <w:sz w:val="28"/>
      <w:szCs w:val="20"/>
      <w:lang w:eastAsia="es-ES"/>
    </w:rPr>
  </w:style>
  <w:style w:type="paragraph" w:styleId="Heading4">
    <w:name w:val="heading 4"/>
    <w:basedOn w:val="Normal"/>
    <w:next w:val="Normal"/>
    <w:link w:val="Heading4Char"/>
    <w:uiPriority w:val="9"/>
    <w:qFormat/>
    <w:rsid w:val="00DF154A"/>
    <w:pPr>
      <w:keepNext/>
      <w:keepLines/>
      <w:spacing w:before="200"/>
      <w:outlineLvl w:val="3"/>
    </w:pPr>
    <w:rPr>
      <w:rFonts w:ascii="Cambria" w:hAnsi="Cambria"/>
      <w:b/>
      <w:bCs/>
      <w:i/>
      <w:iCs/>
      <w:color w:val="4F81BD"/>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qFormat/>
    <w:rsid w:val="00A204C1"/>
    <w:rPr>
      <w:rFonts w:ascii="Verdana" w:hAnsi="Verdana"/>
      <w:sz w:val="16"/>
      <w:vertAlign w:val="superscript"/>
    </w:rPr>
  </w:style>
  <w:style w:type="paragraph" w:styleId="FootnoteText">
    <w:name w:val="footnote text"/>
    <w:aliases w:val="Footnote Text Char Char Char Char Char,Footnote Text Char Char Char Char,Footnote reference,FA Fu,Footnote Text Char Char Char,Texto nota pie Car,FA Fu Car,FA Fu Car Car,Footnote Text Cha,FA Fußnotentext,FA Fuﬂnotentext,FA Fu?notentext,Ca"/>
    <w:basedOn w:val="Normal"/>
    <w:link w:val="FootnoteTextChar"/>
    <w:qFormat/>
    <w:rsid w:val="00A204C1"/>
    <w:pPr>
      <w:widowControl w:val="0"/>
    </w:pPr>
    <w:rPr>
      <w:sz w:val="20"/>
      <w:szCs w:val="20"/>
      <w:lang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Texto nota pie Car Char,FA Fu Car Char,FA Fu Car Car Char,Footnote Text Cha Char"/>
    <w:link w:val="FootnoteText"/>
    <w:rsid w:val="00A204C1"/>
    <w:rPr>
      <w:rFonts w:ascii="Times New Roman" w:eastAsia="Times New Roman" w:hAnsi="Times New Roman" w:cs="Times New Roman"/>
      <w:sz w:val="20"/>
      <w:szCs w:val="20"/>
      <w:lang w:val="es-ES_tradnl"/>
    </w:rPr>
  </w:style>
  <w:style w:type="paragraph" w:customStyle="1" w:styleId="ColorfulList-Accent11">
    <w:name w:val="Colorful List - Accent 11"/>
    <w:aliases w:val="Footnote"/>
    <w:basedOn w:val="Normal"/>
    <w:uiPriority w:val="34"/>
    <w:qFormat/>
    <w:rsid w:val="00A204C1"/>
    <w:pPr>
      <w:ind w:left="720"/>
      <w:contextualSpacing/>
    </w:pPr>
  </w:style>
  <w:style w:type="character" w:customStyle="1" w:styleId="Heading1Char">
    <w:name w:val="Heading 1 Char"/>
    <w:link w:val="Heading1"/>
    <w:rsid w:val="008C001C"/>
    <w:rPr>
      <w:rFonts w:ascii="Verdana" w:eastAsia="Times" w:hAnsi="Verdana" w:cs="Times New Roman"/>
      <w:b/>
      <w:caps/>
      <w:sz w:val="28"/>
      <w:szCs w:val="20"/>
      <w:lang w:val="es-ES_tradnl" w:eastAsia="es-ES"/>
    </w:rPr>
  </w:style>
  <w:style w:type="character" w:customStyle="1" w:styleId="Heading4Char">
    <w:name w:val="Heading 4 Char"/>
    <w:link w:val="Heading4"/>
    <w:uiPriority w:val="9"/>
    <w:rsid w:val="00DF154A"/>
    <w:rPr>
      <w:rFonts w:ascii="Cambria" w:eastAsia="Times New Roman" w:hAnsi="Cambria" w:cs="Times New Roman"/>
      <w:b/>
      <w:bCs/>
      <w:i/>
      <w:iCs/>
      <w:color w:val="4F81BD"/>
      <w:sz w:val="24"/>
      <w:szCs w:val="24"/>
      <w:lang w:val="es-ES_tradnl"/>
    </w:rPr>
  </w:style>
  <w:style w:type="paragraph" w:styleId="BodyText2">
    <w:name w:val="Body Text 2"/>
    <w:basedOn w:val="Normal"/>
    <w:link w:val="BodyText2Char"/>
    <w:rsid w:val="00DF154A"/>
    <w:pPr>
      <w:spacing w:after="120" w:line="480" w:lineRule="auto"/>
    </w:pPr>
    <w:rPr>
      <w:rFonts w:ascii="Times" w:eastAsia="Times" w:hAnsi="Times"/>
      <w:szCs w:val="20"/>
      <w:lang w:eastAsia="es-ES"/>
    </w:rPr>
  </w:style>
  <w:style w:type="character" w:customStyle="1" w:styleId="BodyText2Char">
    <w:name w:val="Body Text 2 Char"/>
    <w:link w:val="BodyText2"/>
    <w:rsid w:val="00DF154A"/>
    <w:rPr>
      <w:rFonts w:ascii="Times" w:eastAsia="Times" w:hAnsi="Times" w:cs="Times New Roman"/>
      <w:sz w:val="24"/>
      <w:szCs w:val="20"/>
      <w:lang w:val="es-ES_tradnl" w:eastAsia="es-ES"/>
    </w:rPr>
  </w:style>
  <w:style w:type="paragraph" w:styleId="BlockText">
    <w:name w:val="Block Text"/>
    <w:basedOn w:val="Normal"/>
    <w:rsid w:val="00DF154A"/>
    <w:pPr>
      <w:ind w:left="720" w:right="720"/>
      <w:jc w:val="both"/>
    </w:pPr>
    <w:rPr>
      <w:rFonts w:ascii="Univers" w:hAnsi="Univers"/>
      <w:spacing w:val="-2"/>
      <w:sz w:val="18"/>
      <w:szCs w:val="20"/>
      <w:lang w:val="es-PY"/>
    </w:rPr>
  </w:style>
  <w:style w:type="paragraph" w:styleId="BodyText3">
    <w:name w:val="Body Text 3"/>
    <w:basedOn w:val="Normal"/>
    <w:link w:val="BodyText3Char"/>
    <w:rsid w:val="00DF154A"/>
    <w:pPr>
      <w:spacing w:after="120"/>
    </w:pPr>
    <w:rPr>
      <w:rFonts w:ascii="Times" w:eastAsia="Times" w:hAnsi="Times"/>
      <w:sz w:val="16"/>
      <w:szCs w:val="16"/>
      <w:lang w:eastAsia="es-ES"/>
    </w:rPr>
  </w:style>
  <w:style w:type="character" w:customStyle="1" w:styleId="BodyText3Char">
    <w:name w:val="Body Text 3 Char"/>
    <w:link w:val="BodyText3"/>
    <w:rsid w:val="00DF154A"/>
    <w:rPr>
      <w:rFonts w:ascii="Times" w:eastAsia="Times" w:hAnsi="Times" w:cs="Times New Roman"/>
      <w:sz w:val="16"/>
      <w:szCs w:val="16"/>
      <w:lang w:val="es-ES_tradnl" w:eastAsia="es-ES"/>
    </w:rPr>
  </w:style>
  <w:style w:type="paragraph" w:styleId="BodyText">
    <w:name w:val="Body Text"/>
    <w:basedOn w:val="Normal"/>
    <w:link w:val="BodyTextChar"/>
    <w:rsid w:val="00A04428"/>
    <w:pPr>
      <w:spacing w:after="120"/>
    </w:pPr>
    <w:rPr>
      <w:rFonts w:ascii="Times" w:eastAsia="Times" w:hAnsi="Times"/>
      <w:szCs w:val="20"/>
      <w:lang w:eastAsia="x-none"/>
    </w:rPr>
  </w:style>
  <w:style w:type="character" w:customStyle="1" w:styleId="BodyTextChar">
    <w:name w:val="Body Text Char"/>
    <w:link w:val="BodyText"/>
    <w:rsid w:val="00A04428"/>
    <w:rPr>
      <w:rFonts w:ascii="Times" w:eastAsia="Times" w:hAnsi="Times" w:cs="Times New Roman"/>
      <w:sz w:val="24"/>
      <w:szCs w:val="20"/>
      <w:lang w:val="es-ES_tradnl"/>
    </w:rPr>
  </w:style>
  <w:style w:type="paragraph" w:styleId="Footer">
    <w:name w:val="footer"/>
    <w:basedOn w:val="Normal"/>
    <w:link w:val="FooterChar"/>
    <w:semiHidden/>
    <w:rsid w:val="00975A97"/>
    <w:pPr>
      <w:tabs>
        <w:tab w:val="center" w:pos="4320"/>
        <w:tab w:val="right" w:pos="8640"/>
      </w:tabs>
    </w:pPr>
    <w:rPr>
      <w:rFonts w:ascii="Times" w:eastAsia="Times" w:hAnsi="Times"/>
      <w:szCs w:val="20"/>
      <w:lang w:eastAsia="x-none"/>
    </w:rPr>
  </w:style>
  <w:style w:type="character" w:customStyle="1" w:styleId="FooterChar">
    <w:name w:val="Footer Char"/>
    <w:link w:val="Footer"/>
    <w:semiHidden/>
    <w:rsid w:val="00975A97"/>
    <w:rPr>
      <w:rFonts w:ascii="Times" w:eastAsia="Times" w:hAnsi="Times" w:cs="Times New Roman"/>
      <w:sz w:val="24"/>
      <w:szCs w:val="20"/>
      <w:lang w:val="es-ES_tradnl"/>
    </w:rPr>
  </w:style>
  <w:style w:type="paragraph" w:styleId="BalloonText">
    <w:name w:val="Balloon Text"/>
    <w:basedOn w:val="Normal"/>
    <w:link w:val="BalloonTextChar"/>
    <w:uiPriority w:val="99"/>
    <w:semiHidden/>
    <w:unhideWhenUsed/>
    <w:rsid w:val="00C6782C"/>
    <w:rPr>
      <w:rFonts w:ascii="Lucida Grande" w:hAnsi="Lucida Grande"/>
      <w:sz w:val="18"/>
      <w:szCs w:val="18"/>
      <w:lang w:eastAsia="x-none"/>
    </w:rPr>
  </w:style>
  <w:style w:type="character" w:customStyle="1" w:styleId="BalloonTextChar">
    <w:name w:val="Balloon Text Char"/>
    <w:link w:val="BalloonText"/>
    <w:uiPriority w:val="99"/>
    <w:semiHidden/>
    <w:rsid w:val="00C6782C"/>
    <w:rPr>
      <w:rFonts w:ascii="Lucida Grande" w:eastAsia="Times New Roman" w:hAnsi="Lucida Grande" w:cs="Lucida Grande"/>
      <w:sz w:val="18"/>
      <w:szCs w:val="18"/>
      <w:lang w:val="es-ES_tradnl"/>
    </w:rPr>
  </w:style>
  <w:style w:type="paragraph" w:styleId="Header">
    <w:name w:val="header"/>
    <w:basedOn w:val="Normal"/>
    <w:link w:val="HeaderChar"/>
    <w:uiPriority w:val="99"/>
    <w:unhideWhenUsed/>
    <w:rsid w:val="009F19E2"/>
    <w:pPr>
      <w:tabs>
        <w:tab w:val="center" w:pos="4680"/>
        <w:tab w:val="right" w:pos="9360"/>
      </w:tabs>
    </w:pPr>
    <w:rPr>
      <w:lang w:eastAsia="x-none"/>
    </w:rPr>
  </w:style>
  <w:style w:type="character" w:customStyle="1" w:styleId="HeaderChar">
    <w:name w:val="Header Char"/>
    <w:link w:val="Header"/>
    <w:uiPriority w:val="99"/>
    <w:rsid w:val="009F19E2"/>
    <w:rPr>
      <w:rFonts w:ascii="Times New Roman" w:eastAsia="Times New Roman" w:hAnsi="Times New Roman" w:cs="Times New Roman"/>
      <w:sz w:val="24"/>
      <w:szCs w:val="24"/>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Texto nota pie Car Char1,FA Fu Car Char1,FA Fu Car Car Char1,Ca Char"/>
    <w:uiPriority w:val="99"/>
    <w:locked/>
    <w:rsid w:val="001B7403"/>
    <w:rPr>
      <w:rFonts w:ascii="Times New Roman" w:eastAsia="Times New Roman" w:hAnsi="Times New Roman" w:cs="Times New Roman"/>
      <w:sz w:val="20"/>
      <w:szCs w:val="20"/>
      <w:lang w:val="es-ES_tradnl"/>
    </w:rPr>
  </w:style>
  <w:style w:type="paragraph" w:customStyle="1" w:styleId="ColorfulShading-Accent11">
    <w:name w:val="Colorful Shading - Accent 11"/>
    <w:hidden/>
    <w:uiPriority w:val="99"/>
    <w:semiHidden/>
    <w:rsid w:val="002E7884"/>
    <w:rPr>
      <w:rFonts w:ascii="Times New Roman" w:eastAsia="Times New Roman" w:hAnsi="Times New Roman"/>
      <w:sz w:val="24"/>
      <w:szCs w:val="24"/>
      <w:lang w:val="es-ES_tradnl" w:eastAsia="en-US"/>
    </w:rPr>
  </w:style>
  <w:style w:type="paragraph" w:styleId="NormalWeb">
    <w:name w:val="Normal (Web)"/>
    <w:basedOn w:val="Normal"/>
    <w:uiPriority w:val="99"/>
    <w:rsid w:val="00111E9E"/>
    <w:pPr>
      <w:spacing w:before="100" w:beforeAutospacing="1" w:after="100" w:afterAutospacing="1"/>
    </w:pPr>
    <w:rPr>
      <w:lang w:val="es-CL" w:eastAsia="es-CL"/>
    </w:rPr>
  </w:style>
  <w:style w:type="character" w:customStyle="1" w:styleId="eacep1">
    <w:name w:val="eacep1"/>
    <w:rsid w:val="00111E9E"/>
    <w:rPr>
      <w:color w:val="000000"/>
    </w:rPr>
  </w:style>
  <w:style w:type="paragraph" w:customStyle="1" w:styleId="style2">
    <w:name w:val="style2"/>
    <w:basedOn w:val="Normal"/>
    <w:rsid w:val="00111E9E"/>
    <w:pPr>
      <w:spacing w:before="100" w:beforeAutospacing="1" w:after="100" w:afterAutospacing="1" w:line="204" w:lineRule="atLeast"/>
      <w:jc w:val="both"/>
    </w:pPr>
    <w:rPr>
      <w:rFonts w:ascii="Verdana" w:hAnsi="Verdana"/>
      <w:color w:val="000000"/>
      <w:sz w:val="15"/>
      <w:szCs w:val="15"/>
      <w:lang w:val="es-CL" w:eastAsia="es-CL"/>
    </w:rPr>
  </w:style>
  <w:style w:type="character" w:customStyle="1" w:styleId="eejemplo1">
    <w:name w:val="eejemplo1"/>
    <w:rsid w:val="00111E9E"/>
    <w:rPr>
      <w:color w:val="800080"/>
    </w:rPr>
  </w:style>
  <w:style w:type="character" w:styleId="CommentReference">
    <w:name w:val="annotation reference"/>
    <w:uiPriority w:val="99"/>
    <w:semiHidden/>
    <w:unhideWhenUsed/>
    <w:rsid w:val="00111E9E"/>
    <w:rPr>
      <w:sz w:val="16"/>
      <w:szCs w:val="16"/>
    </w:rPr>
  </w:style>
  <w:style w:type="paragraph" w:styleId="CommentText">
    <w:name w:val="annotation text"/>
    <w:basedOn w:val="Normal"/>
    <w:link w:val="CommentTextChar"/>
    <w:uiPriority w:val="99"/>
    <w:unhideWhenUsed/>
    <w:rsid w:val="00066584"/>
    <w:rPr>
      <w:sz w:val="20"/>
      <w:szCs w:val="20"/>
      <w:lang w:eastAsia="x-none"/>
    </w:rPr>
  </w:style>
  <w:style w:type="character" w:customStyle="1" w:styleId="CommentTextChar">
    <w:name w:val="Comment Text Char"/>
    <w:link w:val="CommentText"/>
    <w:uiPriority w:val="99"/>
    <w:rsid w:val="00066584"/>
    <w:rPr>
      <w:rFonts w:ascii="Times New Roman" w:eastAsia="Times New Roman" w:hAnsi="Times New Roman"/>
      <w:lang w:val="es-ES_tradnl"/>
    </w:rPr>
  </w:style>
  <w:style w:type="paragraph" w:styleId="CommentSubject">
    <w:name w:val="annotation subject"/>
    <w:basedOn w:val="CommentText"/>
    <w:next w:val="CommentText"/>
    <w:link w:val="CommentSubjectChar"/>
    <w:uiPriority w:val="99"/>
    <w:semiHidden/>
    <w:unhideWhenUsed/>
    <w:rsid w:val="00066584"/>
    <w:rPr>
      <w:b/>
      <w:bCs/>
    </w:rPr>
  </w:style>
  <w:style w:type="character" w:customStyle="1" w:styleId="CommentSubjectChar">
    <w:name w:val="Comment Subject Char"/>
    <w:link w:val="CommentSubject"/>
    <w:uiPriority w:val="99"/>
    <w:semiHidden/>
    <w:rsid w:val="00066584"/>
    <w:rPr>
      <w:rFonts w:ascii="Times New Roman" w:eastAsia="Times New Roman" w:hAnsi="Times New Roman"/>
      <w:b/>
      <w:bCs/>
      <w:lang w:val="es-ES_tradnl"/>
    </w:rPr>
  </w:style>
  <w:style w:type="character" w:styleId="Strong">
    <w:name w:val="Strong"/>
    <w:uiPriority w:val="22"/>
    <w:qFormat/>
    <w:rsid w:val="001115B4"/>
    <w:rPr>
      <w:b/>
      <w:bCs/>
    </w:rPr>
  </w:style>
  <w:style w:type="paragraph" w:customStyle="1" w:styleId="ParaAttribute3">
    <w:name w:val="ParaAttribute3"/>
    <w:rsid w:val="003A3F57"/>
    <w:pPr>
      <w:widowControl w:val="0"/>
      <w:wordWrap w:val="0"/>
      <w:jc w:val="both"/>
    </w:pPr>
    <w:rPr>
      <w:rFonts w:ascii="Times New Roman" w:eastAsia="Batang" w:hAnsi="Times New Roman"/>
      <w:lang w:val="en-US" w:eastAsia="en-US"/>
    </w:rPr>
  </w:style>
  <w:style w:type="character" w:customStyle="1" w:styleId="CharAttribute31">
    <w:name w:val="CharAttribute31"/>
    <w:rsid w:val="003A3F57"/>
    <w:rPr>
      <w:rFonts w:ascii="Verdana" w:eastAsia="Verdana" w:hAnsi="Verdana"/>
      <w:sz w:val="16"/>
    </w:rPr>
  </w:style>
  <w:style w:type="character" w:customStyle="1" w:styleId="CharAttribute33">
    <w:name w:val="CharAttribute33"/>
    <w:rsid w:val="003A3F57"/>
    <w:rPr>
      <w:rFonts w:ascii="Verdana" w:eastAsia="Verdana" w:hAnsi="Verdana"/>
      <w:sz w:val="16"/>
      <w:vertAlign w:val="superscript"/>
    </w:rPr>
  </w:style>
  <w:style w:type="paragraph" w:styleId="ListParagraph">
    <w:name w:val="List Paragraph"/>
    <w:basedOn w:val="Normal"/>
    <w:uiPriority w:val="34"/>
    <w:qFormat/>
    <w:rsid w:val="00EA2B2E"/>
    <w:pPr>
      <w:ind w:left="720"/>
    </w:pPr>
  </w:style>
  <w:style w:type="paragraph" w:customStyle="1" w:styleId="Default">
    <w:name w:val="Default"/>
    <w:rsid w:val="006346DC"/>
    <w:pPr>
      <w:autoSpaceDE w:val="0"/>
      <w:autoSpaceDN w:val="0"/>
      <w:adjustRightInd w:val="0"/>
    </w:pPr>
    <w:rPr>
      <w:rFonts w:ascii="Verdana" w:hAnsi="Verdana" w:cs="Verdana"/>
      <w:color w:val="000000"/>
      <w:sz w:val="24"/>
      <w:szCs w:val="24"/>
      <w:lang w:val="en-US" w:eastAsia="en-US"/>
    </w:rPr>
  </w:style>
  <w:style w:type="character" w:customStyle="1" w:styleId="apple-converted-space">
    <w:name w:val="apple-converted-space"/>
    <w:rsid w:val="000B06F6"/>
  </w:style>
  <w:style w:type="character" w:customStyle="1" w:styleId="sb8d990e2">
    <w:name w:val="sb8d990e2"/>
    <w:rsid w:val="00EC2FC7"/>
  </w:style>
  <w:style w:type="character" w:styleId="LineNumber">
    <w:name w:val="line number"/>
    <w:basedOn w:val="DefaultParagraphFont"/>
    <w:uiPriority w:val="99"/>
    <w:semiHidden/>
    <w:unhideWhenUsed/>
    <w:rsid w:val="00791205"/>
  </w:style>
  <w:style w:type="paragraph" w:styleId="EndnoteText">
    <w:name w:val="endnote text"/>
    <w:basedOn w:val="Normal"/>
    <w:link w:val="EndnoteTextChar"/>
    <w:uiPriority w:val="99"/>
    <w:semiHidden/>
    <w:unhideWhenUsed/>
    <w:rsid w:val="004A754F"/>
    <w:rPr>
      <w:sz w:val="20"/>
      <w:szCs w:val="20"/>
    </w:rPr>
  </w:style>
  <w:style w:type="character" w:customStyle="1" w:styleId="EndnoteTextChar">
    <w:name w:val="Endnote Text Char"/>
    <w:basedOn w:val="DefaultParagraphFont"/>
    <w:link w:val="EndnoteText"/>
    <w:uiPriority w:val="99"/>
    <w:semiHidden/>
    <w:rsid w:val="004A754F"/>
    <w:rPr>
      <w:rFonts w:ascii="Times New Roman" w:eastAsia="Times New Roman" w:hAnsi="Times New Roman"/>
      <w:lang w:val="es-ES_tradnl" w:eastAsia="en-US"/>
    </w:rPr>
  </w:style>
  <w:style w:type="character" w:styleId="EndnoteReference">
    <w:name w:val="endnote reference"/>
    <w:basedOn w:val="DefaultParagraphFont"/>
    <w:uiPriority w:val="99"/>
    <w:semiHidden/>
    <w:unhideWhenUsed/>
    <w:rsid w:val="004A75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C1"/>
    <w:rPr>
      <w:rFonts w:ascii="Times New Roman" w:eastAsia="Times New Roman" w:hAnsi="Times New Roman"/>
      <w:sz w:val="24"/>
      <w:szCs w:val="24"/>
      <w:lang w:val="es-ES_tradnl" w:eastAsia="en-US"/>
    </w:rPr>
  </w:style>
  <w:style w:type="paragraph" w:styleId="Heading1">
    <w:name w:val="heading 1"/>
    <w:basedOn w:val="Normal"/>
    <w:next w:val="Normal"/>
    <w:link w:val="Heading1Char"/>
    <w:qFormat/>
    <w:rsid w:val="008C001C"/>
    <w:pPr>
      <w:keepNext/>
      <w:jc w:val="center"/>
      <w:outlineLvl w:val="0"/>
    </w:pPr>
    <w:rPr>
      <w:rFonts w:ascii="Verdana" w:eastAsia="Times" w:hAnsi="Verdana"/>
      <w:b/>
      <w:caps/>
      <w:sz w:val="28"/>
      <w:szCs w:val="20"/>
      <w:lang w:eastAsia="es-ES"/>
    </w:rPr>
  </w:style>
  <w:style w:type="paragraph" w:styleId="Heading4">
    <w:name w:val="heading 4"/>
    <w:basedOn w:val="Normal"/>
    <w:next w:val="Normal"/>
    <w:link w:val="Heading4Char"/>
    <w:uiPriority w:val="9"/>
    <w:qFormat/>
    <w:rsid w:val="00DF154A"/>
    <w:pPr>
      <w:keepNext/>
      <w:keepLines/>
      <w:spacing w:before="200"/>
      <w:outlineLvl w:val="3"/>
    </w:pPr>
    <w:rPr>
      <w:rFonts w:ascii="Cambria" w:hAnsi="Cambria"/>
      <w:b/>
      <w:bCs/>
      <w:i/>
      <w:iCs/>
      <w:color w:val="4F81BD"/>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qFormat/>
    <w:rsid w:val="00A204C1"/>
    <w:rPr>
      <w:rFonts w:ascii="Verdana" w:hAnsi="Verdana"/>
      <w:sz w:val="16"/>
      <w:vertAlign w:val="superscript"/>
    </w:rPr>
  </w:style>
  <w:style w:type="paragraph" w:styleId="FootnoteText">
    <w:name w:val="footnote text"/>
    <w:aliases w:val="Footnote Text Char Char Char Char Char,Footnote Text Char Char Char Char,Footnote reference,FA Fu,Footnote Text Char Char Char,Texto nota pie Car,FA Fu Car,FA Fu Car Car,Footnote Text Cha,FA Fußnotentext,FA Fuﬂnotentext,FA Fu?notentext,Ca"/>
    <w:basedOn w:val="Normal"/>
    <w:link w:val="FootnoteTextChar"/>
    <w:qFormat/>
    <w:rsid w:val="00A204C1"/>
    <w:pPr>
      <w:widowControl w:val="0"/>
    </w:pPr>
    <w:rPr>
      <w:sz w:val="20"/>
      <w:szCs w:val="20"/>
      <w:lang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Texto nota pie Car Char,FA Fu Car Char,FA Fu Car Car Char,Footnote Text Cha Char"/>
    <w:link w:val="FootnoteText"/>
    <w:rsid w:val="00A204C1"/>
    <w:rPr>
      <w:rFonts w:ascii="Times New Roman" w:eastAsia="Times New Roman" w:hAnsi="Times New Roman" w:cs="Times New Roman"/>
      <w:sz w:val="20"/>
      <w:szCs w:val="20"/>
      <w:lang w:val="es-ES_tradnl"/>
    </w:rPr>
  </w:style>
  <w:style w:type="paragraph" w:customStyle="1" w:styleId="ColorfulList-Accent11">
    <w:name w:val="Colorful List - Accent 11"/>
    <w:aliases w:val="Footnote"/>
    <w:basedOn w:val="Normal"/>
    <w:uiPriority w:val="34"/>
    <w:qFormat/>
    <w:rsid w:val="00A204C1"/>
    <w:pPr>
      <w:ind w:left="720"/>
      <w:contextualSpacing/>
    </w:pPr>
  </w:style>
  <w:style w:type="character" w:customStyle="1" w:styleId="Heading1Char">
    <w:name w:val="Heading 1 Char"/>
    <w:link w:val="Heading1"/>
    <w:rsid w:val="008C001C"/>
    <w:rPr>
      <w:rFonts w:ascii="Verdana" w:eastAsia="Times" w:hAnsi="Verdana" w:cs="Times New Roman"/>
      <w:b/>
      <w:caps/>
      <w:sz w:val="28"/>
      <w:szCs w:val="20"/>
      <w:lang w:val="es-ES_tradnl" w:eastAsia="es-ES"/>
    </w:rPr>
  </w:style>
  <w:style w:type="character" w:customStyle="1" w:styleId="Heading4Char">
    <w:name w:val="Heading 4 Char"/>
    <w:link w:val="Heading4"/>
    <w:uiPriority w:val="9"/>
    <w:rsid w:val="00DF154A"/>
    <w:rPr>
      <w:rFonts w:ascii="Cambria" w:eastAsia="Times New Roman" w:hAnsi="Cambria" w:cs="Times New Roman"/>
      <w:b/>
      <w:bCs/>
      <w:i/>
      <w:iCs/>
      <w:color w:val="4F81BD"/>
      <w:sz w:val="24"/>
      <w:szCs w:val="24"/>
      <w:lang w:val="es-ES_tradnl"/>
    </w:rPr>
  </w:style>
  <w:style w:type="paragraph" w:styleId="BodyText2">
    <w:name w:val="Body Text 2"/>
    <w:basedOn w:val="Normal"/>
    <w:link w:val="BodyText2Char"/>
    <w:rsid w:val="00DF154A"/>
    <w:pPr>
      <w:spacing w:after="120" w:line="480" w:lineRule="auto"/>
    </w:pPr>
    <w:rPr>
      <w:rFonts w:ascii="Times" w:eastAsia="Times" w:hAnsi="Times"/>
      <w:szCs w:val="20"/>
      <w:lang w:eastAsia="es-ES"/>
    </w:rPr>
  </w:style>
  <w:style w:type="character" w:customStyle="1" w:styleId="BodyText2Char">
    <w:name w:val="Body Text 2 Char"/>
    <w:link w:val="BodyText2"/>
    <w:rsid w:val="00DF154A"/>
    <w:rPr>
      <w:rFonts w:ascii="Times" w:eastAsia="Times" w:hAnsi="Times" w:cs="Times New Roman"/>
      <w:sz w:val="24"/>
      <w:szCs w:val="20"/>
      <w:lang w:val="es-ES_tradnl" w:eastAsia="es-ES"/>
    </w:rPr>
  </w:style>
  <w:style w:type="paragraph" w:styleId="BlockText">
    <w:name w:val="Block Text"/>
    <w:basedOn w:val="Normal"/>
    <w:rsid w:val="00DF154A"/>
    <w:pPr>
      <w:ind w:left="720" w:right="720"/>
      <w:jc w:val="both"/>
    </w:pPr>
    <w:rPr>
      <w:rFonts w:ascii="Univers" w:hAnsi="Univers"/>
      <w:spacing w:val="-2"/>
      <w:sz w:val="18"/>
      <w:szCs w:val="20"/>
      <w:lang w:val="es-PY"/>
    </w:rPr>
  </w:style>
  <w:style w:type="paragraph" w:styleId="BodyText3">
    <w:name w:val="Body Text 3"/>
    <w:basedOn w:val="Normal"/>
    <w:link w:val="BodyText3Char"/>
    <w:rsid w:val="00DF154A"/>
    <w:pPr>
      <w:spacing w:after="120"/>
    </w:pPr>
    <w:rPr>
      <w:rFonts w:ascii="Times" w:eastAsia="Times" w:hAnsi="Times"/>
      <w:sz w:val="16"/>
      <w:szCs w:val="16"/>
      <w:lang w:eastAsia="es-ES"/>
    </w:rPr>
  </w:style>
  <w:style w:type="character" w:customStyle="1" w:styleId="BodyText3Char">
    <w:name w:val="Body Text 3 Char"/>
    <w:link w:val="BodyText3"/>
    <w:rsid w:val="00DF154A"/>
    <w:rPr>
      <w:rFonts w:ascii="Times" w:eastAsia="Times" w:hAnsi="Times" w:cs="Times New Roman"/>
      <w:sz w:val="16"/>
      <w:szCs w:val="16"/>
      <w:lang w:val="es-ES_tradnl" w:eastAsia="es-ES"/>
    </w:rPr>
  </w:style>
  <w:style w:type="paragraph" w:styleId="BodyText">
    <w:name w:val="Body Text"/>
    <w:basedOn w:val="Normal"/>
    <w:link w:val="BodyTextChar"/>
    <w:rsid w:val="00A04428"/>
    <w:pPr>
      <w:spacing w:after="120"/>
    </w:pPr>
    <w:rPr>
      <w:rFonts w:ascii="Times" w:eastAsia="Times" w:hAnsi="Times"/>
      <w:szCs w:val="20"/>
      <w:lang w:eastAsia="x-none"/>
    </w:rPr>
  </w:style>
  <w:style w:type="character" w:customStyle="1" w:styleId="BodyTextChar">
    <w:name w:val="Body Text Char"/>
    <w:link w:val="BodyText"/>
    <w:rsid w:val="00A04428"/>
    <w:rPr>
      <w:rFonts w:ascii="Times" w:eastAsia="Times" w:hAnsi="Times" w:cs="Times New Roman"/>
      <w:sz w:val="24"/>
      <w:szCs w:val="20"/>
      <w:lang w:val="es-ES_tradnl"/>
    </w:rPr>
  </w:style>
  <w:style w:type="paragraph" w:styleId="Footer">
    <w:name w:val="footer"/>
    <w:basedOn w:val="Normal"/>
    <w:link w:val="FooterChar"/>
    <w:semiHidden/>
    <w:rsid w:val="00975A97"/>
    <w:pPr>
      <w:tabs>
        <w:tab w:val="center" w:pos="4320"/>
        <w:tab w:val="right" w:pos="8640"/>
      </w:tabs>
    </w:pPr>
    <w:rPr>
      <w:rFonts w:ascii="Times" w:eastAsia="Times" w:hAnsi="Times"/>
      <w:szCs w:val="20"/>
      <w:lang w:eastAsia="x-none"/>
    </w:rPr>
  </w:style>
  <w:style w:type="character" w:customStyle="1" w:styleId="FooterChar">
    <w:name w:val="Footer Char"/>
    <w:link w:val="Footer"/>
    <w:semiHidden/>
    <w:rsid w:val="00975A97"/>
    <w:rPr>
      <w:rFonts w:ascii="Times" w:eastAsia="Times" w:hAnsi="Times" w:cs="Times New Roman"/>
      <w:sz w:val="24"/>
      <w:szCs w:val="20"/>
      <w:lang w:val="es-ES_tradnl"/>
    </w:rPr>
  </w:style>
  <w:style w:type="paragraph" w:styleId="BalloonText">
    <w:name w:val="Balloon Text"/>
    <w:basedOn w:val="Normal"/>
    <w:link w:val="BalloonTextChar"/>
    <w:uiPriority w:val="99"/>
    <w:semiHidden/>
    <w:unhideWhenUsed/>
    <w:rsid w:val="00C6782C"/>
    <w:rPr>
      <w:rFonts w:ascii="Lucida Grande" w:hAnsi="Lucida Grande"/>
      <w:sz w:val="18"/>
      <w:szCs w:val="18"/>
      <w:lang w:eastAsia="x-none"/>
    </w:rPr>
  </w:style>
  <w:style w:type="character" w:customStyle="1" w:styleId="BalloonTextChar">
    <w:name w:val="Balloon Text Char"/>
    <w:link w:val="BalloonText"/>
    <w:uiPriority w:val="99"/>
    <w:semiHidden/>
    <w:rsid w:val="00C6782C"/>
    <w:rPr>
      <w:rFonts w:ascii="Lucida Grande" w:eastAsia="Times New Roman" w:hAnsi="Lucida Grande" w:cs="Lucida Grande"/>
      <w:sz w:val="18"/>
      <w:szCs w:val="18"/>
      <w:lang w:val="es-ES_tradnl"/>
    </w:rPr>
  </w:style>
  <w:style w:type="paragraph" w:styleId="Header">
    <w:name w:val="header"/>
    <w:basedOn w:val="Normal"/>
    <w:link w:val="HeaderChar"/>
    <w:uiPriority w:val="99"/>
    <w:unhideWhenUsed/>
    <w:rsid w:val="009F19E2"/>
    <w:pPr>
      <w:tabs>
        <w:tab w:val="center" w:pos="4680"/>
        <w:tab w:val="right" w:pos="9360"/>
      </w:tabs>
    </w:pPr>
    <w:rPr>
      <w:lang w:eastAsia="x-none"/>
    </w:rPr>
  </w:style>
  <w:style w:type="character" w:customStyle="1" w:styleId="HeaderChar">
    <w:name w:val="Header Char"/>
    <w:link w:val="Header"/>
    <w:uiPriority w:val="99"/>
    <w:rsid w:val="009F19E2"/>
    <w:rPr>
      <w:rFonts w:ascii="Times New Roman" w:eastAsia="Times New Roman" w:hAnsi="Times New Roman" w:cs="Times New Roman"/>
      <w:sz w:val="24"/>
      <w:szCs w:val="24"/>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Texto nota pie Car Char1,FA Fu Car Char1,FA Fu Car Car Char1,Ca Char"/>
    <w:uiPriority w:val="99"/>
    <w:locked/>
    <w:rsid w:val="001B7403"/>
    <w:rPr>
      <w:rFonts w:ascii="Times New Roman" w:eastAsia="Times New Roman" w:hAnsi="Times New Roman" w:cs="Times New Roman"/>
      <w:sz w:val="20"/>
      <w:szCs w:val="20"/>
      <w:lang w:val="es-ES_tradnl"/>
    </w:rPr>
  </w:style>
  <w:style w:type="paragraph" w:customStyle="1" w:styleId="ColorfulShading-Accent11">
    <w:name w:val="Colorful Shading - Accent 11"/>
    <w:hidden/>
    <w:uiPriority w:val="99"/>
    <w:semiHidden/>
    <w:rsid w:val="002E7884"/>
    <w:rPr>
      <w:rFonts w:ascii="Times New Roman" w:eastAsia="Times New Roman" w:hAnsi="Times New Roman"/>
      <w:sz w:val="24"/>
      <w:szCs w:val="24"/>
      <w:lang w:val="es-ES_tradnl" w:eastAsia="en-US"/>
    </w:rPr>
  </w:style>
  <w:style w:type="paragraph" w:styleId="NormalWeb">
    <w:name w:val="Normal (Web)"/>
    <w:basedOn w:val="Normal"/>
    <w:uiPriority w:val="99"/>
    <w:rsid w:val="00111E9E"/>
    <w:pPr>
      <w:spacing w:before="100" w:beforeAutospacing="1" w:after="100" w:afterAutospacing="1"/>
    </w:pPr>
    <w:rPr>
      <w:lang w:val="es-CL" w:eastAsia="es-CL"/>
    </w:rPr>
  </w:style>
  <w:style w:type="character" w:customStyle="1" w:styleId="eacep1">
    <w:name w:val="eacep1"/>
    <w:rsid w:val="00111E9E"/>
    <w:rPr>
      <w:color w:val="000000"/>
    </w:rPr>
  </w:style>
  <w:style w:type="paragraph" w:customStyle="1" w:styleId="style2">
    <w:name w:val="style2"/>
    <w:basedOn w:val="Normal"/>
    <w:rsid w:val="00111E9E"/>
    <w:pPr>
      <w:spacing w:before="100" w:beforeAutospacing="1" w:after="100" w:afterAutospacing="1" w:line="204" w:lineRule="atLeast"/>
      <w:jc w:val="both"/>
    </w:pPr>
    <w:rPr>
      <w:rFonts w:ascii="Verdana" w:hAnsi="Verdana"/>
      <w:color w:val="000000"/>
      <w:sz w:val="15"/>
      <w:szCs w:val="15"/>
      <w:lang w:val="es-CL" w:eastAsia="es-CL"/>
    </w:rPr>
  </w:style>
  <w:style w:type="character" w:customStyle="1" w:styleId="eejemplo1">
    <w:name w:val="eejemplo1"/>
    <w:rsid w:val="00111E9E"/>
    <w:rPr>
      <w:color w:val="800080"/>
    </w:rPr>
  </w:style>
  <w:style w:type="character" w:styleId="CommentReference">
    <w:name w:val="annotation reference"/>
    <w:uiPriority w:val="99"/>
    <w:semiHidden/>
    <w:unhideWhenUsed/>
    <w:rsid w:val="00111E9E"/>
    <w:rPr>
      <w:sz w:val="16"/>
      <w:szCs w:val="16"/>
    </w:rPr>
  </w:style>
  <w:style w:type="paragraph" w:styleId="CommentText">
    <w:name w:val="annotation text"/>
    <w:basedOn w:val="Normal"/>
    <w:link w:val="CommentTextChar"/>
    <w:uiPriority w:val="99"/>
    <w:unhideWhenUsed/>
    <w:rsid w:val="00066584"/>
    <w:rPr>
      <w:sz w:val="20"/>
      <w:szCs w:val="20"/>
      <w:lang w:eastAsia="x-none"/>
    </w:rPr>
  </w:style>
  <w:style w:type="character" w:customStyle="1" w:styleId="CommentTextChar">
    <w:name w:val="Comment Text Char"/>
    <w:link w:val="CommentText"/>
    <w:uiPriority w:val="99"/>
    <w:rsid w:val="00066584"/>
    <w:rPr>
      <w:rFonts w:ascii="Times New Roman" w:eastAsia="Times New Roman" w:hAnsi="Times New Roman"/>
      <w:lang w:val="es-ES_tradnl"/>
    </w:rPr>
  </w:style>
  <w:style w:type="paragraph" w:styleId="CommentSubject">
    <w:name w:val="annotation subject"/>
    <w:basedOn w:val="CommentText"/>
    <w:next w:val="CommentText"/>
    <w:link w:val="CommentSubjectChar"/>
    <w:uiPriority w:val="99"/>
    <w:semiHidden/>
    <w:unhideWhenUsed/>
    <w:rsid w:val="00066584"/>
    <w:rPr>
      <w:b/>
      <w:bCs/>
    </w:rPr>
  </w:style>
  <w:style w:type="character" w:customStyle="1" w:styleId="CommentSubjectChar">
    <w:name w:val="Comment Subject Char"/>
    <w:link w:val="CommentSubject"/>
    <w:uiPriority w:val="99"/>
    <w:semiHidden/>
    <w:rsid w:val="00066584"/>
    <w:rPr>
      <w:rFonts w:ascii="Times New Roman" w:eastAsia="Times New Roman" w:hAnsi="Times New Roman"/>
      <w:b/>
      <w:bCs/>
      <w:lang w:val="es-ES_tradnl"/>
    </w:rPr>
  </w:style>
  <w:style w:type="character" w:styleId="Strong">
    <w:name w:val="Strong"/>
    <w:uiPriority w:val="22"/>
    <w:qFormat/>
    <w:rsid w:val="001115B4"/>
    <w:rPr>
      <w:b/>
      <w:bCs/>
    </w:rPr>
  </w:style>
  <w:style w:type="paragraph" w:customStyle="1" w:styleId="ParaAttribute3">
    <w:name w:val="ParaAttribute3"/>
    <w:rsid w:val="003A3F57"/>
    <w:pPr>
      <w:widowControl w:val="0"/>
      <w:wordWrap w:val="0"/>
      <w:jc w:val="both"/>
    </w:pPr>
    <w:rPr>
      <w:rFonts w:ascii="Times New Roman" w:eastAsia="Batang" w:hAnsi="Times New Roman"/>
      <w:lang w:val="en-US" w:eastAsia="en-US"/>
    </w:rPr>
  </w:style>
  <w:style w:type="character" w:customStyle="1" w:styleId="CharAttribute31">
    <w:name w:val="CharAttribute31"/>
    <w:rsid w:val="003A3F57"/>
    <w:rPr>
      <w:rFonts w:ascii="Verdana" w:eastAsia="Verdana" w:hAnsi="Verdana"/>
      <w:sz w:val="16"/>
    </w:rPr>
  </w:style>
  <w:style w:type="character" w:customStyle="1" w:styleId="CharAttribute33">
    <w:name w:val="CharAttribute33"/>
    <w:rsid w:val="003A3F57"/>
    <w:rPr>
      <w:rFonts w:ascii="Verdana" w:eastAsia="Verdana" w:hAnsi="Verdana"/>
      <w:sz w:val="16"/>
      <w:vertAlign w:val="superscript"/>
    </w:rPr>
  </w:style>
  <w:style w:type="paragraph" w:styleId="ListParagraph">
    <w:name w:val="List Paragraph"/>
    <w:basedOn w:val="Normal"/>
    <w:uiPriority w:val="34"/>
    <w:qFormat/>
    <w:rsid w:val="00EA2B2E"/>
    <w:pPr>
      <w:ind w:left="720"/>
    </w:pPr>
  </w:style>
  <w:style w:type="paragraph" w:customStyle="1" w:styleId="Default">
    <w:name w:val="Default"/>
    <w:rsid w:val="006346DC"/>
    <w:pPr>
      <w:autoSpaceDE w:val="0"/>
      <w:autoSpaceDN w:val="0"/>
      <w:adjustRightInd w:val="0"/>
    </w:pPr>
    <w:rPr>
      <w:rFonts w:ascii="Verdana" w:hAnsi="Verdana" w:cs="Verdana"/>
      <w:color w:val="000000"/>
      <w:sz w:val="24"/>
      <w:szCs w:val="24"/>
      <w:lang w:val="en-US" w:eastAsia="en-US"/>
    </w:rPr>
  </w:style>
  <w:style w:type="character" w:customStyle="1" w:styleId="apple-converted-space">
    <w:name w:val="apple-converted-space"/>
    <w:rsid w:val="000B06F6"/>
  </w:style>
  <w:style w:type="character" w:customStyle="1" w:styleId="sb8d990e2">
    <w:name w:val="sb8d990e2"/>
    <w:rsid w:val="00EC2FC7"/>
  </w:style>
  <w:style w:type="character" w:styleId="LineNumber">
    <w:name w:val="line number"/>
    <w:basedOn w:val="DefaultParagraphFont"/>
    <w:uiPriority w:val="99"/>
    <w:semiHidden/>
    <w:unhideWhenUsed/>
    <w:rsid w:val="00791205"/>
  </w:style>
  <w:style w:type="paragraph" w:styleId="EndnoteText">
    <w:name w:val="endnote text"/>
    <w:basedOn w:val="Normal"/>
    <w:link w:val="EndnoteTextChar"/>
    <w:uiPriority w:val="99"/>
    <w:semiHidden/>
    <w:unhideWhenUsed/>
    <w:rsid w:val="004A754F"/>
    <w:rPr>
      <w:sz w:val="20"/>
      <w:szCs w:val="20"/>
    </w:rPr>
  </w:style>
  <w:style w:type="character" w:customStyle="1" w:styleId="EndnoteTextChar">
    <w:name w:val="Endnote Text Char"/>
    <w:basedOn w:val="DefaultParagraphFont"/>
    <w:link w:val="EndnoteText"/>
    <w:uiPriority w:val="99"/>
    <w:semiHidden/>
    <w:rsid w:val="004A754F"/>
    <w:rPr>
      <w:rFonts w:ascii="Times New Roman" w:eastAsia="Times New Roman" w:hAnsi="Times New Roman"/>
      <w:lang w:val="es-ES_tradnl" w:eastAsia="en-US"/>
    </w:rPr>
  </w:style>
  <w:style w:type="character" w:styleId="EndnoteReference">
    <w:name w:val="endnote reference"/>
    <w:basedOn w:val="DefaultParagraphFont"/>
    <w:uiPriority w:val="99"/>
    <w:semiHidden/>
    <w:unhideWhenUsed/>
    <w:rsid w:val="004A75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758877">
      <w:bodyDiv w:val="1"/>
      <w:marLeft w:val="0"/>
      <w:marRight w:val="0"/>
      <w:marTop w:val="0"/>
      <w:marBottom w:val="0"/>
      <w:divBdr>
        <w:top w:val="none" w:sz="0" w:space="0" w:color="auto"/>
        <w:left w:val="none" w:sz="0" w:space="0" w:color="auto"/>
        <w:bottom w:val="none" w:sz="0" w:space="0" w:color="auto"/>
        <w:right w:val="none" w:sz="0" w:space="0" w:color="auto"/>
      </w:divBdr>
    </w:div>
    <w:div w:id="1081023396">
      <w:bodyDiv w:val="1"/>
      <w:marLeft w:val="0"/>
      <w:marRight w:val="0"/>
      <w:marTop w:val="0"/>
      <w:marBottom w:val="0"/>
      <w:divBdr>
        <w:top w:val="none" w:sz="0" w:space="0" w:color="auto"/>
        <w:left w:val="none" w:sz="0" w:space="0" w:color="auto"/>
        <w:bottom w:val="none" w:sz="0" w:space="0" w:color="auto"/>
        <w:right w:val="none" w:sz="0" w:space="0" w:color="auto"/>
      </w:divBdr>
      <w:divsChild>
        <w:div w:id="999043818">
          <w:marLeft w:val="0"/>
          <w:marRight w:val="0"/>
          <w:marTop w:val="0"/>
          <w:marBottom w:val="0"/>
          <w:divBdr>
            <w:top w:val="none" w:sz="0" w:space="0" w:color="auto"/>
            <w:left w:val="none" w:sz="0" w:space="0" w:color="auto"/>
            <w:bottom w:val="none" w:sz="0" w:space="0" w:color="auto"/>
            <w:right w:val="none" w:sz="0" w:space="0" w:color="auto"/>
          </w:divBdr>
          <w:divsChild>
            <w:div w:id="1032389500">
              <w:marLeft w:val="0"/>
              <w:marRight w:val="0"/>
              <w:marTop w:val="0"/>
              <w:marBottom w:val="0"/>
              <w:divBdr>
                <w:top w:val="none" w:sz="0" w:space="0" w:color="auto"/>
                <w:left w:val="none" w:sz="0" w:space="0" w:color="auto"/>
                <w:bottom w:val="none" w:sz="0" w:space="0" w:color="auto"/>
                <w:right w:val="none" w:sz="0" w:space="0" w:color="auto"/>
              </w:divBdr>
              <w:divsChild>
                <w:div w:id="8308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5246">
      <w:bodyDiv w:val="1"/>
      <w:marLeft w:val="0"/>
      <w:marRight w:val="0"/>
      <w:marTop w:val="0"/>
      <w:marBottom w:val="0"/>
      <w:divBdr>
        <w:top w:val="none" w:sz="0" w:space="0" w:color="auto"/>
        <w:left w:val="none" w:sz="0" w:space="0" w:color="auto"/>
        <w:bottom w:val="none" w:sz="0" w:space="0" w:color="auto"/>
        <w:right w:val="none" w:sz="0" w:space="0" w:color="auto"/>
      </w:divBdr>
    </w:div>
    <w:div w:id="1611887091">
      <w:bodyDiv w:val="1"/>
      <w:marLeft w:val="0"/>
      <w:marRight w:val="0"/>
      <w:marTop w:val="0"/>
      <w:marBottom w:val="0"/>
      <w:divBdr>
        <w:top w:val="none" w:sz="0" w:space="0" w:color="auto"/>
        <w:left w:val="none" w:sz="0" w:space="0" w:color="auto"/>
        <w:bottom w:val="none" w:sz="0" w:space="0" w:color="auto"/>
        <w:right w:val="none" w:sz="0" w:space="0" w:color="auto"/>
      </w:divBdr>
      <w:divsChild>
        <w:div w:id="621037809">
          <w:marLeft w:val="0"/>
          <w:marRight w:val="0"/>
          <w:marTop w:val="0"/>
          <w:marBottom w:val="0"/>
          <w:divBdr>
            <w:top w:val="none" w:sz="0" w:space="0" w:color="auto"/>
            <w:left w:val="none" w:sz="0" w:space="0" w:color="auto"/>
            <w:bottom w:val="none" w:sz="0" w:space="0" w:color="auto"/>
            <w:right w:val="none" w:sz="0" w:space="0" w:color="auto"/>
          </w:divBdr>
          <w:divsChild>
            <w:div w:id="1265108730">
              <w:marLeft w:val="0"/>
              <w:marRight w:val="0"/>
              <w:marTop w:val="0"/>
              <w:marBottom w:val="0"/>
              <w:divBdr>
                <w:top w:val="none" w:sz="0" w:space="0" w:color="auto"/>
                <w:left w:val="none" w:sz="0" w:space="0" w:color="auto"/>
                <w:bottom w:val="none" w:sz="0" w:space="0" w:color="auto"/>
                <w:right w:val="none" w:sz="0" w:space="0" w:color="auto"/>
              </w:divBdr>
              <w:divsChild>
                <w:div w:id="20170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A2798-B9CE-4033-A46B-F0D119CA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6875</Words>
  <Characters>37814</Characters>
  <Application>Microsoft Office Word</Application>
  <DocSecurity>0</DocSecurity>
  <Lines>315</Lines>
  <Paragraphs>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Corte IDH</Company>
  <LinksUpToDate>false</LinksUpToDate>
  <CharactersWithSpaces>44600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Julliana Saborio</cp:lastModifiedBy>
  <cp:revision>3</cp:revision>
  <cp:lastPrinted>2016-03-18T22:49:00Z</cp:lastPrinted>
  <dcterms:created xsi:type="dcterms:W3CDTF">2016-03-18T22:54:00Z</dcterms:created>
  <dcterms:modified xsi:type="dcterms:W3CDTF">2016-03-18T22:59:00Z</dcterms:modified>
</cp:coreProperties>
</file>