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D0506" w14:textId="77777777" w:rsidR="00A02056" w:rsidRPr="002E142C" w:rsidRDefault="009747B6" w:rsidP="002B25B6">
      <w:pPr>
        <w:pStyle w:val="Heading1"/>
        <w:tabs>
          <w:tab w:val="left" w:pos="567"/>
        </w:tabs>
        <w:spacing w:line="220" w:lineRule="atLeast"/>
        <w:jc w:val="both"/>
        <w:rPr>
          <w:sz w:val="20"/>
        </w:rPr>
      </w:pPr>
      <w:r w:rsidRPr="002E142C">
        <w:rPr>
          <w:sz w:val="20"/>
        </w:rPr>
        <w:t xml:space="preserve">  </w:t>
      </w:r>
    </w:p>
    <w:p w14:paraId="6DF0001C" w14:textId="77777777" w:rsidR="0072590C" w:rsidRPr="002E142C" w:rsidRDefault="0072590C" w:rsidP="0072590C">
      <w:pPr>
        <w:rPr>
          <w:lang w:eastAsia="es-ES"/>
        </w:rPr>
      </w:pPr>
    </w:p>
    <w:p w14:paraId="2B412497" w14:textId="77777777" w:rsidR="0072590C" w:rsidRPr="002E142C" w:rsidRDefault="0072590C" w:rsidP="0072590C">
      <w:pPr>
        <w:rPr>
          <w:lang w:eastAsia="es-ES"/>
        </w:rPr>
      </w:pPr>
    </w:p>
    <w:p w14:paraId="7D25766A" w14:textId="77777777" w:rsidR="0072590C" w:rsidRPr="002E142C" w:rsidRDefault="0072590C" w:rsidP="0072590C">
      <w:pPr>
        <w:rPr>
          <w:lang w:eastAsia="es-ES"/>
        </w:rPr>
      </w:pPr>
    </w:p>
    <w:p w14:paraId="325AFC0F" w14:textId="77777777" w:rsidR="0072590C" w:rsidRPr="002E142C" w:rsidRDefault="0072590C" w:rsidP="0072590C">
      <w:pPr>
        <w:rPr>
          <w:lang w:eastAsia="es-ES"/>
        </w:rPr>
      </w:pPr>
    </w:p>
    <w:p w14:paraId="67849361" w14:textId="77777777" w:rsidR="0072590C" w:rsidRPr="002E142C" w:rsidRDefault="0072590C" w:rsidP="0072590C">
      <w:pPr>
        <w:rPr>
          <w:lang w:eastAsia="es-ES"/>
        </w:rPr>
      </w:pPr>
    </w:p>
    <w:p w14:paraId="6416D876" w14:textId="77777777" w:rsidR="0072590C" w:rsidRPr="002E142C" w:rsidRDefault="0072590C" w:rsidP="0072590C">
      <w:pPr>
        <w:rPr>
          <w:lang w:eastAsia="es-ES"/>
        </w:rPr>
      </w:pPr>
    </w:p>
    <w:p w14:paraId="213CBE3D" w14:textId="77777777" w:rsidR="0072590C" w:rsidRPr="002E142C" w:rsidRDefault="0072590C" w:rsidP="0072590C">
      <w:pPr>
        <w:rPr>
          <w:lang w:eastAsia="es-ES"/>
        </w:rPr>
      </w:pPr>
    </w:p>
    <w:p w14:paraId="0FD6A182" w14:textId="77777777" w:rsidR="00DF154A" w:rsidRPr="002E142C" w:rsidRDefault="00A02056" w:rsidP="002B25B6">
      <w:pPr>
        <w:pStyle w:val="Heading1"/>
        <w:tabs>
          <w:tab w:val="left" w:pos="567"/>
        </w:tabs>
        <w:spacing w:line="220" w:lineRule="atLeast"/>
        <w:jc w:val="both"/>
        <w:rPr>
          <w:sz w:val="20"/>
        </w:rPr>
      </w:pPr>
      <w:r w:rsidRPr="002E142C">
        <w:rPr>
          <w:sz w:val="20"/>
        </w:rPr>
        <w:t xml:space="preserve"> </w:t>
      </w:r>
      <w:r w:rsidRPr="002E142C">
        <w:rPr>
          <w:sz w:val="20"/>
        </w:rPr>
        <w:tab/>
      </w:r>
      <w:r w:rsidR="00FB3806" w:rsidRPr="002E142C">
        <w:rPr>
          <w:sz w:val="20"/>
        </w:rPr>
        <w:t xml:space="preserve"> </w:t>
      </w:r>
      <w:r w:rsidR="00832DBF" w:rsidRPr="002E142C">
        <w:rPr>
          <w:sz w:val="20"/>
        </w:rPr>
        <w:t xml:space="preserve">                    </w:t>
      </w:r>
    </w:p>
    <w:p w14:paraId="345291CF" w14:textId="77777777" w:rsidR="002C4675" w:rsidRPr="002E142C" w:rsidRDefault="002C4675" w:rsidP="002B25B6">
      <w:pPr>
        <w:tabs>
          <w:tab w:val="left" w:pos="567"/>
        </w:tabs>
        <w:rPr>
          <w:lang w:eastAsia="es-ES"/>
        </w:rPr>
      </w:pPr>
    </w:p>
    <w:p w14:paraId="27C7620D" w14:textId="77777777" w:rsidR="00DF154A" w:rsidRPr="002E142C" w:rsidRDefault="00DF154A" w:rsidP="002B25B6">
      <w:pPr>
        <w:tabs>
          <w:tab w:val="left" w:pos="567"/>
        </w:tabs>
        <w:jc w:val="both"/>
        <w:rPr>
          <w:lang w:eastAsia="es-ES"/>
        </w:rPr>
      </w:pPr>
    </w:p>
    <w:p w14:paraId="270963B7" w14:textId="77777777" w:rsidR="00DF154A" w:rsidRPr="002E142C" w:rsidRDefault="00DF154A" w:rsidP="002B25B6">
      <w:pPr>
        <w:tabs>
          <w:tab w:val="left" w:pos="567"/>
        </w:tabs>
        <w:jc w:val="both"/>
        <w:rPr>
          <w:lang w:eastAsia="es-ES"/>
        </w:rPr>
      </w:pPr>
    </w:p>
    <w:p w14:paraId="2E4338E6" w14:textId="77777777" w:rsidR="008C001C" w:rsidRPr="002E142C" w:rsidRDefault="008C001C" w:rsidP="002B25B6">
      <w:pPr>
        <w:pStyle w:val="Heading1"/>
        <w:tabs>
          <w:tab w:val="left" w:pos="567"/>
        </w:tabs>
        <w:rPr>
          <w:sz w:val="20"/>
        </w:rPr>
      </w:pPr>
      <w:r w:rsidRPr="002E142C">
        <w:rPr>
          <w:sz w:val="20"/>
        </w:rPr>
        <w:t>Resolución de lA</w:t>
      </w:r>
    </w:p>
    <w:p w14:paraId="63EAAC17" w14:textId="2EF50FA9" w:rsidR="008C001C" w:rsidRPr="002E142C" w:rsidRDefault="008C001C" w:rsidP="002B25B6">
      <w:pPr>
        <w:tabs>
          <w:tab w:val="left" w:pos="567"/>
        </w:tabs>
        <w:jc w:val="center"/>
        <w:rPr>
          <w:b/>
          <w:caps/>
        </w:rPr>
      </w:pPr>
      <w:r w:rsidRPr="002E142C">
        <w:rPr>
          <w:b/>
          <w:caps/>
        </w:rPr>
        <w:t>Corte Interamericana de Derechos Humanos</w:t>
      </w:r>
      <w:r w:rsidR="0072590C" w:rsidRPr="002E142C">
        <w:rPr>
          <w:rStyle w:val="FootnoteReference"/>
          <w:b/>
          <w:caps/>
        </w:rPr>
        <w:footnoteReference w:customMarkFollows="1" w:id="1"/>
        <w:t>*</w:t>
      </w:r>
    </w:p>
    <w:p w14:paraId="3CD8D4B5" w14:textId="5EA2E54A" w:rsidR="008C001C" w:rsidRPr="002E142C" w:rsidRDefault="008C001C" w:rsidP="002B25B6">
      <w:pPr>
        <w:tabs>
          <w:tab w:val="left" w:pos="567"/>
        </w:tabs>
        <w:jc w:val="center"/>
        <w:rPr>
          <w:b/>
          <w:caps/>
        </w:rPr>
      </w:pPr>
      <w:r w:rsidRPr="002E142C">
        <w:rPr>
          <w:b/>
          <w:caps/>
        </w:rPr>
        <w:t xml:space="preserve">de </w:t>
      </w:r>
      <w:r w:rsidR="00F84341" w:rsidRPr="002E142C">
        <w:rPr>
          <w:b/>
          <w:caps/>
        </w:rPr>
        <w:t>7</w:t>
      </w:r>
      <w:r w:rsidR="00493E46" w:rsidRPr="002E142C">
        <w:rPr>
          <w:b/>
          <w:caps/>
        </w:rPr>
        <w:t xml:space="preserve"> de </w:t>
      </w:r>
      <w:r w:rsidR="00940E5D" w:rsidRPr="002E142C">
        <w:rPr>
          <w:b/>
          <w:caps/>
        </w:rPr>
        <w:t>FEBRERO</w:t>
      </w:r>
      <w:r w:rsidR="00066584" w:rsidRPr="002E142C">
        <w:rPr>
          <w:b/>
          <w:caps/>
        </w:rPr>
        <w:t xml:space="preserve"> </w:t>
      </w:r>
      <w:r w:rsidRPr="002E142C">
        <w:rPr>
          <w:b/>
          <w:caps/>
        </w:rPr>
        <w:t xml:space="preserve">de </w:t>
      </w:r>
      <w:r w:rsidR="00493E46" w:rsidRPr="002E142C">
        <w:rPr>
          <w:b/>
          <w:caps/>
        </w:rPr>
        <w:t>201</w:t>
      </w:r>
      <w:r w:rsidR="00E91D5D" w:rsidRPr="002E142C">
        <w:rPr>
          <w:b/>
          <w:caps/>
        </w:rPr>
        <w:t>7</w:t>
      </w:r>
    </w:p>
    <w:p w14:paraId="6565023D" w14:textId="77777777" w:rsidR="008C001C" w:rsidRPr="002E142C" w:rsidRDefault="008C001C" w:rsidP="002B25B6">
      <w:pPr>
        <w:tabs>
          <w:tab w:val="left" w:pos="567"/>
        </w:tabs>
        <w:jc w:val="center"/>
        <w:rPr>
          <w:b/>
          <w:caps/>
        </w:rPr>
      </w:pPr>
    </w:p>
    <w:p w14:paraId="6F13B9DF" w14:textId="77777777" w:rsidR="008C001C" w:rsidRPr="002E142C" w:rsidRDefault="008C001C" w:rsidP="002B25B6">
      <w:pPr>
        <w:tabs>
          <w:tab w:val="left" w:pos="567"/>
        </w:tabs>
        <w:jc w:val="center"/>
        <w:rPr>
          <w:b/>
          <w:caps/>
        </w:rPr>
      </w:pPr>
      <w:r w:rsidRPr="002E142C">
        <w:rPr>
          <w:b/>
          <w:caps/>
        </w:rPr>
        <w:t>Medidas Provisionales</w:t>
      </w:r>
    </w:p>
    <w:p w14:paraId="62CE8670" w14:textId="77777777" w:rsidR="008C001C" w:rsidRPr="002E142C" w:rsidRDefault="008C001C" w:rsidP="002B25B6">
      <w:pPr>
        <w:tabs>
          <w:tab w:val="left" w:pos="567"/>
        </w:tabs>
        <w:jc w:val="center"/>
        <w:rPr>
          <w:b/>
          <w:caps/>
        </w:rPr>
      </w:pPr>
      <w:r w:rsidRPr="002E142C">
        <w:rPr>
          <w:b/>
          <w:caps/>
        </w:rPr>
        <w:t xml:space="preserve">Respecto de </w:t>
      </w:r>
      <w:r w:rsidR="00531606" w:rsidRPr="002E142C">
        <w:rPr>
          <w:b/>
          <w:caps/>
        </w:rPr>
        <w:t>MÉXICO</w:t>
      </w:r>
    </w:p>
    <w:p w14:paraId="28085C38" w14:textId="77777777" w:rsidR="008C001C" w:rsidRPr="002E142C" w:rsidRDefault="008C001C" w:rsidP="002B25B6">
      <w:pPr>
        <w:tabs>
          <w:tab w:val="left" w:pos="567"/>
        </w:tabs>
        <w:jc w:val="center"/>
        <w:rPr>
          <w:b/>
          <w:caps/>
        </w:rPr>
      </w:pPr>
    </w:p>
    <w:p w14:paraId="63C6888A" w14:textId="77777777" w:rsidR="008C001C" w:rsidRPr="002E142C" w:rsidRDefault="008C001C" w:rsidP="002B25B6">
      <w:pPr>
        <w:tabs>
          <w:tab w:val="left" w:pos="567"/>
        </w:tabs>
        <w:jc w:val="center"/>
        <w:rPr>
          <w:b/>
          <w:caps/>
        </w:rPr>
      </w:pPr>
      <w:r w:rsidRPr="002E142C">
        <w:rPr>
          <w:b/>
          <w:caps/>
        </w:rPr>
        <w:t xml:space="preserve">cASO </w:t>
      </w:r>
      <w:r w:rsidR="00A44F21" w:rsidRPr="002E142C">
        <w:rPr>
          <w:b/>
          <w:caps/>
        </w:rPr>
        <w:t>Fernández Ortega y otros</w:t>
      </w:r>
    </w:p>
    <w:p w14:paraId="5270F8D0" w14:textId="77777777" w:rsidR="008C001C" w:rsidRPr="002E142C" w:rsidRDefault="008C001C" w:rsidP="002B25B6">
      <w:pPr>
        <w:tabs>
          <w:tab w:val="left" w:pos="567"/>
        </w:tabs>
        <w:spacing w:line="220" w:lineRule="atLeast"/>
        <w:jc w:val="center"/>
        <w:rPr>
          <w:b/>
          <w:caps/>
        </w:rPr>
      </w:pPr>
    </w:p>
    <w:p w14:paraId="530625DE" w14:textId="77777777" w:rsidR="006E70CB" w:rsidRPr="002E142C" w:rsidRDefault="008C001C" w:rsidP="002B25B6">
      <w:pPr>
        <w:tabs>
          <w:tab w:val="left" w:pos="567"/>
        </w:tabs>
        <w:spacing w:line="220" w:lineRule="atLeast"/>
        <w:rPr>
          <w:b/>
          <w:caps/>
        </w:rPr>
      </w:pPr>
      <w:r w:rsidRPr="002E142C">
        <w:rPr>
          <w:b/>
          <w:caps/>
        </w:rPr>
        <w:t>VISTO:</w:t>
      </w:r>
    </w:p>
    <w:p w14:paraId="2DE79B7A" w14:textId="77777777" w:rsidR="008C001C" w:rsidRPr="002E142C" w:rsidRDefault="008C001C" w:rsidP="002B25B6">
      <w:pPr>
        <w:tabs>
          <w:tab w:val="left" w:pos="567"/>
        </w:tabs>
        <w:spacing w:line="220" w:lineRule="atLeast"/>
        <w:jc w:val="both"/>
      </w:pPr>
    </w:p>
    <w:p w14:paraId="29446B64" w14:textId="3638540F" w:rsidR="003F0975" w:rsidRPr="002E142C" w:rsidRDefault="003F0975" w:rsidP="002B25B6">
      <w:pPr>
        <w:pStyle w:val="ColorfulList-Accent11"/>
        <w:numPr>
          <w:ilvl w:val="0"/>
          <w:numId w:val="1"/>
        </w:numPr>
        <w:tabs>
          <w:tab w:val="left" w:pos="567"/>
        </w:tabs>
        <w:contextualSpacing w:val="0"/>
        <w:jc w:val="both"/>
      </w:pPr>
      <w:r w:rsidRPr="002E142C">
        <w:t>La</w:t>
      </w:r>
      <w:r w:rsidR="00066584" w:rsidRPr="002E142C">
        <w:t>s Resoluciones</w:t>
      </w:r>
      <w:r w:rsidRPr="002E142C">
        <w:t xml:space="preserve"> de la Corte</w:t>
      </w:r>
      <w:r w:rsidR="00B24065" w:rsidRPr="002E142C">
        <w:t xml:space="preserve"> Interamericana de Derechos Humanos (en adelante “la Corte Interamericana”, “la Corte” o “el Tribunal”)</w:t>
      </w:r>
      <w:r w:rsidRPr="002E142C">
        <w:t xml:space="preserve"> </w:t>
      </w:r>
      <w:r w:rsidR="00493E46" w:rsidRPr="002E142C">
        <w:t>y su Presidencia de 9 y</w:t>
      </w:r>
      <w:r w:rsidRPr="002E142C">
        <w:t xml:space="preserve"> </w:t>
      </w:r>
      <w:r w:rsidR="006346DC" w:rsidRPr="002E142C">
        <w:t>30</w:t>
      </w:r>
      <w:r w:rsidR="00FF1815" w:rsidRPr="002E142C">
        <w:t xml:space="preserve"> de abril y 23 de diciembre de 2009</w:t>
      </w:r>
      <w:r w:rsidR="00C379D7" w:rsidRPr="002E142C">
        <w:t>,</w:t>
      </w:r>
      <w:r w:rsidR="00AF63C9" w:rsidRPr="002E142C">
        <w:t xml:space="preserve"> </w:t>
      </w:r>
      <w:r w:rsidR="0084630C" w:rsidRPr="002E142C">
        <w:t xml:space="preserve">de </w:t>
      </w:r>
      <w:r w:rsidR="008D062C" w:rsidRPr="002E142C">
        <w:t>23 de noviembre de 2010,</w:t>
      </w:r>
      <w:r w:rsidR="006346DC" w:rsidRPr="002E142C">
        <w:t xml:space="preserve"> </w:t>
      </w:r>
      <w:r w:rsidR="0084630C" w:rsidRPr="002E142C">
        <w:t xml:space="preserve">de </w:t>
      </w:r>
      <w:r w:rsidR="00493E46" w:rsidRPr="002E142C">
        <w:t>20 de febrero de 2012</w:t>
      </w:r>
      <w:r w:rsidR="008D062C" w:rsidRPr="002E142C">
        <w:t xml:space="preserve"> y de 23 de febrero de 2016</w:t>
      </w:r>
      <w:r w:rsidR="00493E46" w:rsidRPr="002E142C">
        <w:t>.</w:t>
      </w:r>
      <w:r w:rsidR="00AF4F3D" w:rsidRPr="002E142C">
        <w:t xml:space="preserve"> </w:t>
      </w:r>
      <w:r w:rsidR="00533476" w:rsidRPr="002E142C">
        <w:t xml:space="preserve">En </w:t>
      </w:r>
      <w:r w:rsidR="002E0C77" w:rsidRPr="002E142C">
        <w:t xml:space="preserve">esta </w:t>
      </w:r>
      <w:r w:rsidR="00533476" w:rsidRPr="002E142C">
        <w:t>última</w:t>
      </w:r>
      <w:r w:rsidR="00493E46" w:rsidRPr="002E142C">
        <w:t>,</w:t>
      </w:r>
      <w:r w:rsidR="00533476" w:rsidRPr="002E142C">
        <w:t xml:space="preserve"> </w:t>
      </w:r>
      <w:r w:rsidR="002E0C77" w:rsidRPr="002E142C">
        <w:t>la Corte</w:t>
      </w:r>
      <w:r w:rsidR="00533476" w:rsidRPr="002E142C">
        <w:t xml:space="preserve"> resolvió, </w:t>
      </w:r>
      <w:r w:rsidR="00533476" w:rsidRPr="002E142C">
        <w:rPr>
          <w:i/>
        </w:rPr>
        <w:t xml:space="preserve">inter </w:t>
      </w:r>
      <w:proofErr w:type="spellStart"/>
      <w:r w:rsidR="00533476" w:rsidRPr="002E142C">
        <w:rPr>
          <w:i/>
        </w:rPr>
        <w:t>alia</w:t>
      </w:r>
      <w:proofErr w:type="spellEnd"/>
      <w:r w:rsidR="00533476" w:rsidRPr="002E142C">
        <w:t>:</w:t>
      </w:r>
    </w:p>
    <w:p w14:paraId="4FC259CA" w14:textId="77777777" w:rsidR="006346DC" w:rsidRPr="002E142C" w:rsidRDefault="006346DC" w:rsidP="002B25B6">
      <w:pPr>
        <w:pStyle w:val="Default"/>
        <w:tabs>
          <w:tab w:val="left" w:pos="567"/>
        </w:tabs>
        <w:ind w:right="428"/>
        <w:jc w:val="both"/>
        <w:rPr>
          <w:sz w:val="16"/>
          <w:szCs w:val="16"/>
          <w:lang w:val="es-ES"/>
        </w:rPr>
      </w:pPr>
    </w:p>
    <w:p w14:paraId="6DFB68C1" w14:textId="0A0D92CE" w:rsidR="006346DC" w:rsidRPr="002E142C" w:rsidRDefault="00E5094E" w:rsidP="002B25B6">
      <w:pPr>
        <w:pStyle w:val="Default"/>
        <w:tabs>
          <w:tab w:val="left" w:pos="567"/>
        </w:tabs>
        <w:ind w:left="540" w:right="428"/>
        <w:jc w:val="both"/>
        <w:rPr>
          <w:sz w:val="16"/>
          <w:szCs w:val="16"/>
          <w:lang w:val="es-ES"/>
        </w:rPr>
      </w:pPr>
      <w:r w:rsidRPr="002E142C">
        <w:rPr>
          <w:sz w:val="16"/>
          <w:szCs w:val="16"/>
          <w:lang w:val="es-ES"/>
        </w:rPr>
        <w:t>1</w:t>
      </w:r>
      <w:r w:rsidR="006346DC" w:rsidRPr="002E142C">
        <w:rPr>
          <w:sz w:val="16"/>
          <w:szCs w:val="16"/>
          <w:lang w:val="es-ES"/>
        </w:rPr>
        <w:t xml:space="preserve">. </w:t>
      </w:r>
      <w:r w:rsidRPr="002E142C">
        <w:rPr>
          <w:sz w:val="16"/>
          <w:szCs w:val="16"/>
          <w:lang w:val="es-ES"/>
        </w:rPr>
        <w:t xml:space="preserve">Mantener las medidas provisionales ordenadas a favor de Inés Fernández Ortega y sus familiares por un período adicional que </w:t>
      </w:r>
      <w:proofErr w:type="gramStart"/>
      <w:r w:rsidRPr="002E142C">
        <w:rPr>
          <w:sz w:val="16"/>
          <w:szCs w:val="16"/>
          <w:lang w:val="es-ES"/>
        </w:rPr>
        <w:t>vence</w:t>
      </w:r>
      <w:r w:rsidR="00FC687A">
        <w:rPr>
          <w:sz w:val="16"/>
          <w:szCs w:val="16"/>
          <w:lang w:val="es-ES"/>
        </w:rPr>
        <w:t>[</w:t>
      </w:r>
      <w:proofErr w:type="gramEnd"/>
      <w:r w:rsidR="00FC687A">
        <w:rPr>
          <w:sz w:val="16"/>
          <w:szCs w:val="16"/>
          <w:lang w:val="es-ES"/>
        </w:rPr>
        <w:t>ría]</w:t>
      </w:r>
      <w:r w:rsidRPr="002E142C">
        <w:rPr>
          <w:sz w:val="16"/>
          <w:szCs w:val="16"/>
          <w:lang w:val="es-ES"/>
        </w:rPr>
        <w:t xml:space="preserve"> el 30 de septiembre de 2016, por lo cual se </w:t>
      </w:r>
      <w:proofErr w:type="spellStart"/>
      <w:r w:rsidRPr="002E142C">
        <w:rPr>
          <w:sz w:val="16"/>
          <w:szCs w:val="16"/>
          <w:lang w:val="es-ES"/>
        </w:rPr>
        <w:t>requi</w:t>
      </w:r>
      <w:proofErr w:type="spellEnd"/>
      <w:r w:rsidR="00FC687A">
        <w:rPr>
          <w:sz w:val="16"/>
          <w:szCs w:val="16"/>
          <w:lang w:val="es-ES"/>
        </w:rPr>
        <w:t>[</w:t>
      </w:r>
      <w:proofErr w:type="spellStart"/>
      <w:r w:rsidR="00FC687A">
        <w:rPr>
          <w:sz w:val="16"/>
          <w:szCs w:val="16"/>
          <w:lang w:val="es-ES"/>
        </w:rPr>
        <w:t>rió</w:t>
      </w:r>
      <w:proofErr w:type="spellEnd"/>
      <w:r w:rsidR="00FC687A">
        <w:rPr>
          <w:sz w:val="16"/>
          <w:szCs w:val="16"/>
          <w:lang w:val="es-ES"/>
        </w:rPr>
        <w:t>]</w:t>
      </w:r>
      <w:r w:rsidRPr="002E142C">
        <w:rPr>
          <w:sz w:val="16"/>
          <w:szCs w:val="16"/>
          <w:lang w:val="es-ES"/>
        </w:rPr>
        <w:t xml:space="preserve"> al Estado continuar adoptando las medidas que </w:t>
      </w:r>
      <w:r w:rsidR="00FC687A">
        <w:rPr>
          <w:sz w:val="16"/>
          <w:szCs w:val="16"/>
          <w:lang w:val="es-ES"/>
        </w:rPr>
        <w:t xml:space="preserve">[fueran] </w:t>
      </w:r>
      <w:r w:rsidRPr="002E142C">
        <w:rPr>
          <w:sz w:val="16"/>
          <w:szCs w:val="16"/>
          <w:lang w:val="es-ES"/>
        </w:rPr>
        <w:t>necesarias para proteger su vida e integridad personal, tomando en consideración la situación y las circunstancias particulares del caso.</w:t>
      </w:r>
    </w:p>
    <w:p w14:paraId="60EEB42A" w14:textId="77777777" w:rsidR="006346DC" w:rsidRPr="002E142C" w:rsidRDefault="006346DC" w:rsidP="002B25B6">
      <w:pPr>
        <w:pStyle w:val="Default"/>
        <w:tabs>
          <w:tab w:val="left" w:pos="567"/>
        </w:tabs>
        <w:ind w:left="540" w:right="428"/>
        <w:jc w:val="both"/>
        <w:rPr>
          <w:sz w:val="16"/>
          <w:szCs w:val="16"/>
          <w:lang w:val="es-ES"/>
        </w:rPr>
      </w:pPr>
    </w:p>
    <w:p w14:paraId="4082996E" w14:textId="7325E6D3" w:rsidR="006346DC" w:rsidRPr="002E142C" w:rsidRDefault="00E5094E" w:rsidP="002B25B6">
      <w:pPr>
        <w:pStyle w:val="Default"/>
        <w:tabs>
          <w:tab w:val="left" w:pos="567"/>
        </w:tabs>
        <w:ind w:left="540" w:right="428"/>
        <w:jc w:val="both"/>
        <w:rPr>
          <w:sz w:val="16"/>
          <w:szCs w:val="16"/>
          <w:lang w:val="es-ES"/>
        </w:rPr>
      </w:pPr>
      <w:r w:rsidRPr="002E142C">
        <w:rPr>
          <w:sz w:val="16"/>
          <w:szCs w:val="16"/>
          <w:lang w:val="es-ES"/>
        </w:rPr>
        <w:t>2</w:t>
      </w:r>
      <w:r w:rsidR="006346DC" w:rsidRPr="002E142C">
        <w:rPr>
          <w:sz w:val="16"/>
          <w:szCs w:val="16"/>
          <w:lang w:val="es-ES"/>
        </w:rPr>
        <w:t xml:space="preserve">. </w:t>
      </w:r>
      <w:r w:rsidRPr="002E142C">
        <w:rPr>
          <w:sz w:val="16"/>
          <w:szCs w:val="16"/>
          <w:lang w:val="es-ES"/>
        </w:rPr>
        <w:t xml:space="preserve">Requerir al Estado que </w:t>
      </w:r>
      <w:proofErr w:type="spellStart"/>
      <w:proofErr w:type="gramStart"/>
      <w:r w:rsidRPr="002E142C">
        <w:rPr>
          <w:sz w:val="16"/>
          <w:szCs w:val="16"/>
          <w:lang w:val="es-ES"/>
        </w:rPr>
        <w:t>contin</w:t>
      </w:r>
      <w:proofErr w:type="spellEnd"/>
      <w:r w:rsidR="00FC687A">
        <w:rPr>
          <w:sz w:val="16"/>
          <w:szCs w:val="16"/>
          <w:lang w:val="es-ES"/>
        </w:rPr>
        <w:t>[</w:t>
      </w:r>
      <w:proofErr w:type="spellStart"/>
      <w:proofErr w:type="gramEnd"/>
      <w:r w:rsidR="00FC687A">
        <w:rPr>
          <w:sz w:val="16"/>
          <w:szCs w:val="16"/>
          <w:lang w:val="es-ES"/>
        </w:rPr>
        <w:t>uara</w:t>
      </w:r>
      <w:proofErr w:type="spellEnd"/>
      <w:r w:rsidR="00FC687A">
        <w:rPr>
          <w:sz w:val="16"/>
          <w:szCs w:val="16"/>
          <w:lang w:val="es-ES"/>
        </w:rPr>
        <w:t>]</w:t>
      </w:r>
      <w:r w:rsidRPr="002E142C">
        <w:rPr>
          <w:sz w:val="16"/>
          <w:szCs w:val="16"/>
          <w:lang w:val="es-ES"/>
        </w:rPr>
        <w:t xml:space="preserve"> adoptando las medidas que sean necesarias para proteger la vida e integridad personal de: a) </w:t>
      </w:r>
      <w:proofErr w:type="spellStart"/>
      <w:r w:rsidRPr="002E142C">
        <w:rPr>
          <w:sz w:val="16"/>
          <w:szCs w:val="16"/>
          <w:lang w:val="es-ES"/>
        </w:rPr>
        <w:t>Obtilia</w:t>
      </w:r>
      <w:proofErr w:type="spellEnd"/>
      <w:r w:rsidRPr="002E142C">
        <w:rPr>
          <w:sz w:val="16"/>
          <w:szCs w:val="16"/>
          <w:lang w:val="es-ES"/>
        </w:rPr>
        <w:t xml:space="preserve"> Eugenio Manuel y determinados familiares; b) 41 integrantes de la Organización del Pueblo Indígena </w:t>
      </w:r>
      <w:proofErr w:type="spellStart"/>
      <w:r w:rsidRPr="002E142C">
        <w:rPr>
          <w:sz w:val="16"/>
          <w:szCs w:val="16"/>
          <w:lang w:val="es-ES"/>
        </w:rPr>
        <w:t>Tlapaneco</w:t>
      </w:r>
      <w:proofErr w:type="spellEnd"/>
      <w:r w:rsidRPr="002E142C">
        <w:rPr>
          <w:sz w:val="16"/>
          <w:szCs w:val="16"/>
          <w:lang w:val="es-ES"/>
        </w:rPr>
        <w:t xml:space="preserve"> A.C. y c) 18 miembros del Centro de Derechos Humanos de la Montaña </w:t>
      </w:r>
      <w:proofErr w:type="spellStart"/>
      <w:r w:rsidRPr="002E142C">
        <w:rPr>
          <w:sz w:val="16"/>
          <w:szCs w:val="16"/>
          <w:lang w:val="es-ES"/>
        </w:rPr>
        <w:t>Tlachinollan</w:t>
      </w:r>
      <w:proofErr w:type="spellEnd"/>
      <w:r w:rsidRPr="002E142C">
        <w:rPr>
          <w:sz w:val="16"/>
          <w:szCs w:val="16"/>
          <w:lang w:val="es-ES"/>
        </w:rPr>
        <w:t xml:space="preserve"> señalados en el Considerando 33 de la Resolución de la Corte de 20 de febrero de 2012, tomando en consideración la situación y las circunstancias particulares del caso.</w:t>
      </w:r>
    </w:p>
    <w:p w14:paraId="2AF8A7C2" w14:textId="77777777" w:rsidR="00E5094E" w:rsidRPr="002E142C" w:rsidRDefault="00E5094E" w:rsidP="002B25B6">
      <w:pPr>
        <w:pStyle w:val="Default"/>
        <w:tabs>
          <w:tab w:val="left" w:pos="567"/>
        </w:tabs>
        <w:ind w:left="540" w:right="428"/>
        <w:jc w:val="both"/>
        <w:rPr>
          <w:sz w:val="16"/>
          <w:szCs w:val="16"/>
          <w:lang w:val="es-ES"/>
        </w:rPr>
      </w:pPr>
    </w:p>
    <w:p w14:paraId="65890967" w14:textId="733EB4D9" w:rsidR="00B26D54" w:rsidRPr="002E142C" w:rsidRDefault="00E5094E" w:rsidP="002B25B6">
      <w:pPr>
        <w:pStyle w:val="Default"/>
        <w:tabs>
          <w:tab w:val="left" w:pos="567"/>
        </w:tabs>
        <w:ind w:left="540" w:right="428"/>
        <w:jc w:val="both"/>
        <w:rPr>
          <w:sz w:val="16"/>
          <w:szCs w:val="16"/>
          <w:lang w:val="es-ES"/>
        </w:rPr>
      </w:pPr>
      <w:r w:rsidRPr="002E142C">
        <w:rPr>
          <w:sz w:val="16"/>
          <w:szCs w:val="16"/>
          <w:lang w:val="es-ES"/>
        </w:rPr>
        <w:t xml:space="preserve">3. Reiterar al Estado que </w:t>
      </w:r>
      <w:proofErr w:type="spellStart"/>
      <w:proofErr w:type="gramStart"/>
      <w:r w:rsidRPr="002E142C">
        <w:rPr>
          <w:sz w:val="16"/>
          <w:szCs w:val="16"/>
          <w:lang w:val="es-ES"/>
        </w:rPr>
        <w:t>reali</w:t>
      </w:r>
      <w:proofErr w:type="spellEnd"/>
      <w:r w:rsidR="00FC687A">
        <w:rPr>
          <w:sz w:val="16"/>
          <w:szCs w:val="16"/>
          <w:lang w:val="es-ES"/>
        </w:rPr>
        <w:t>[</w:t>
      </w:r>
      <w:proofErr w:type="gramEnd"/>
      <w:r w:rsidR="00FC687A">
        <w:rPr>
          <w:sz w:val="16"/>
          <w:szCs w:val="16"/>
          <w:lang w:val="es-ES"/>
        </w:rPr>
        <w:t>zara]</w:t>
      </w:r>
      <w:r w:rsidRPr="002E142C">
        <w:rPr>
          <w:sz w:val="16"/>
          <w:szCs w:val="16"/>
          <w:lang w:val="es-ES"/>
        </w:rPr>
        <w:t xml:space="preserve"> todas las gestiones pertinentes para que las medidas ordenadas en </w:t>
      </w:r>
      <w:r w:rsidR="00FC687A">
        <w:rPr>
          <w:sz w:val="16"/>
          <w:szCs w:val="16"/>
          <w:lang w:val="es-ES"/>
        </w:rPr>
        <w:t xml:space="preserve">[dicha] </w:t>
      </w:r>
      <w:r w:rsidRPr="002E142C">
        <w:rPr>
          <w:sz w:val="16"/>
          <w:szCs w:val="16"/>
          <w:lang w:val="es-ES"/>
        </w:rPr>
        <w:t xml:space="preserve">Resolución se </w:t>
      </w:r>
      <w:proofErr w:type="spellStart"/>
      <w:r w:rsidRPr="002E142C">
        <w:rPr>
          <w:sz w:val="16"/>
          <w:szCs w:val="16"/>
          <w:lang w:val="es-ES"/>
        </w:rPr>
        <w:t>planifi</w:t>
      </w:r>
      <w:proofErr w:type="spellEnd"/>
      <w:r w:rsidR="00FC687A">
        <w:rPr>
          <w:sz w:val="16"/>
          <w:szCs w:val="16"/>
          <w:lang w:val="es-ES"/>
        </w:rPr>
        <w:t>[</w:t>
      </w:r>
      <w:proofErr w:type="spellStart"/>
      <w:r w:rsidR="00FC687A">
        <w:rPr>
          <w:sz w:val="16"/>
          <w:szCs w:val="16"/>
          <w:lang w:val="es-ES"/>
        </w:rPr>
        <w:t>caran</w:t>
      </w:r>
      <w:proofErr w:type="spellEnd"/>
      <w:r w:rsidR="00FC687A">
        <w:rPr>
          <w:sz w:val="16"/>
          <w:szCs w:val="16"/>
          <w:lang w:val="es-ES"/>
        </w:rPr>
        <w:t>]</w:t>
      </w:r>
      <w:r w:rsidRPr="002E142C">
        <w:rPr>
          <w:sz w:val="16"/>
          <w:szCs w:val="16"/>
          <w:lang w:val="es-ES"/>
        </w:rPr>
        <w:t xml:space="preserve"> e </w:t>
      </w:r>
      <w:proofErr w:type="spellStart"/>
      <w:r w:rsidRPr="002E142C">
        <w:rPr>
          <w:sz w:val="16"/>
          <w:szCs w:val="16"/>
          <w:lang w:val="es-ES"/>
        </w:rPr>
        <w:t>implement</w:t>
      </w:r>
      <w:proofErr w:type="spellEnd"/>
      <w:r w:rsidR="00FC687A">
        <w:rPr>
          <w:sz w:val="16"/>
          <w:szCs w:val="16"/>
          <w:lang w:val="es-ES"/>
        </w:rPr>
        <w:t>[aran]</w:t>
      </w:r>
      <w:r w:rsidRPr="002E142C">
        <w:rPr>
          <w:sz w:val="16"/>
          <w:szCs w:val="16"/>
          <w:lang w:val="es-ES"/>
        </w:rPr>
        <w:t xml:space="preserve"> con la participación de los beneficiarios o sus representantes y que, en general, les </w:t>
      </w:r>
      <w:proofErr w:type="spellStart"/>
      <w:r w:rsidRPr="002E142C">
        <w:rPr>
          <w:sz w:val="16"/>
          <w:szCs w:val="16"/>
          <w:lang w:val="es-ES"/>
        </w:rPr>
        <w:t>mant</w:t>
      </w:r>
      <w:proofErr w:type="spellEnd"/>
      <w:r w:rsidR="00FC687A">
        <w:rPr>
          <w:sz w:val="16"/>
          <w:szCs w:val="16"/>
          <w:lang w:val="es-ES"/>
        </w:rPr>
        <w:t>[</w:t>
      </w:r>
      <w:proofErr w:type="spellStart"/>
      <w:r w:rsidR="00FC687A">
        <w:rPr>
          <w:sz w:val="16"/>
          <w:szCs w:val="16"/>
          <w:lang w:val="es-ES"/>
        </w:rPr>
        <w:t>uviera</w:t>
      </w:r>
      <w:proofErr w:type="spellEnd"/>
      <w:r w:rsidR="00FC687A">
        <w:rPr>
          <w:sz w:val="16"/>
          <w:szCs w:val="16"/>
          <w:lang w:val="es-ES"/>
        </w:rPr>
        <w:t>]</w:t>
      </w:r>
      <w:r w:rsidRPr="002E142C">
        <w:rPr>
          <w:sz w:val="16"/>
          <w:szCs w:val="16"/>
          <w:lang w:val="es-ES"/>
        </w:rPr>
        <w:t xml:space="preserve"> informados sobre el avance de su ejecución.</w:t>
      </w:r>
    </w:p>
    <w:p w14:paraId="6C711BEE" w14:textId="77777777" w:rsidR="006346DC" w:rsidRPr="002E142C" w:rsidRDefault="006346DC" w:rsidP="002B25B6">
      <w:pPr>
        <w:pStyle w:val="ColorfulList-Accent11"/>
        <w:tabs>
          <w:tab w:val="left" w:pos="567"/>
        </w:tabs>
        <w:ind w:left="0"/>
        <w:contextualSpacing w:val="0"/>
        <w:jc w:val="both"/>
        <w:rPr>
          <w:lang w:val="es-ES"/>
        </w:rPr>
      </w:pPr>
    </w:p>
    <w:p w14:paraId="457B489A" w14:textId="7854D947" w:rsidR="00B26D54" w:rsidRPr="002E142C" w:rsidRDefault="00D807B7" w:rsidP="002B25B6">
      <w:pPr>
        <w:numPr>
          <w:ilvl w:val="0"/>
          <w:numId w:val="1"/>
        </w:numPr>
        <w:tabs>
          <w:tab w:val="left" w:pos="567"/>
        </w:tabs>
        <w:jc w:val="both"/>
        <w:rPr>
          <w:lang w:val="es-ES"/>
        </w:rPr>
      </w:pPr>
      <w:bookmarkStart w:id="0" w:name="_Ref472523124"/>
      <w:r w:rsidRPr="002E142C">
        <w:rPr>
          <w:lang w:val="es-ES"/>
        </w:rPr>
        <w:t>La comunicación de la S</w:t>
      </w:r>
      <w:r w:rsidR="00B26D54" w:rsidRPr="002E142C">
        <w:rPr>
          <w:lang w:val="es-ES"/>
        </w:rPr>
        <w:t>ecre</w:t>
      </w:r>
      <w:r w:rsidR="0035700E" w:rsidRPr="002E142C">
        <w:rPr>
          <w:lang w:val="es-ES"/>
        </w:rPr>
        <w:t>taría de la Corte de 12 de septiembre de 2016 en la cual se informó a las partes que</w:t>
      </w:r>
      <w:bookmarkEnd w:id="0"/>
      <w:r w:rsidR="004D5910" w:rsidRPr="002E142C">
        <w:rPr>
          <w:lang w:val="es-ES"/>
        </w:rPr>
        <w:t>:</w:t>
      </w:r>
    </w:p>
    <w:p w14:paraId="696FC2A6" w14:textId="77777777" w:rsidR="0035700E" w:rsidRPr="002E142C" w:rsidRDefault="0035700E" w:rsidP="002B25B6">
      <w:pPr>
        <w:tabs>
          <w:tab w:val="left" w:pos="567"/>
        </w:tabs>
        <w:jc w:val="both"/>
        <w:rPr>
          <w:lang w:val="es-ES"/>
        </w:rPr>
      </w:pPr>
    </w:p>
    <w:p w14:paraId="66C91D49" w14:textId="039A104D" w:rsidR="0035700E" w:rsidRPr="002E142C" w:rsidRDefault="004D5910" w:rsidP="002B25B6">
      <w:pPr>
        <w:pStyle w:val="Default"/>
        <w:tabs>
          <w:tab w:val="left" w:pos="567"/>
        </w:tabs>
        <w:ind w:left="540" w:right="428"/>
        <w:jc w:val="both"/>
        <w:rPr>
          <w:b/>
          <w:sz w:val="16"/>
          <w:szCs w:val="16"/>
          <w:lang w:val="es-ES"/>
        </w:rPr>
      </w:pPr>
      <w:r w:rsidRPr="002E142C">
        <w:rPr>
          <w:sz w:val="16"/>
          <w:szCs w:val="16"/>
          <w:lang w:val="es-ES"/>
        </w:rPr>
        <w:t>[E]</w:t>
      </w:r>
      <w:r w:rsidR="0035700E" w:rsidRPr="002E142C">
        <w:rPr>
          <w:sz w:val="16"/>
          <w:szCs w:val="16"/>
          <w:lang w:val="es-ES"/>
        </w:rPr>
        <w:t>l pleno de la Corte, en su 55 Per</w:t>
      </w:r>
      <w:r w:rsidR="00827D79" w:rsidRPr="002E142C">
        <w:rPr>
          <w:sz w:val="16"/>
          <w:szCs w:val="16"/>
          <w:lang w:val="es-ES"/>
        </w:rPr>
        <w:t>í</w:t>
      </w:r>
      <w:r w:rsidR="0035700E" w:rsidRPr="002E142C">
        <w:rPr>
          <w:sz w:val="16"/>
          <w:szCs w:val="16"/>
          <w:lang w:val="es-ES"/>
        </w:rPr>
        <w:t xml:space="preserve">odo Extraordinario de Sesiones en la Ciudad de México, México, resolvió mantener las medidas provisionales ordenadas a favor de Inés </w:t>
      </w:r>
      <w:proofErr w:type="spellStart"/>
      <w:r w:rsidR="0035700E" w:rsidRPr="002E142C">
        <w:rPr>
          <w:sz w:val="16"/>
          <w:szCs w:val="16"/>
          <w:lang w:val="es-ES"/>
        </w:rPr>
        <w:t>Fernandez</w:t>
      </w:r>
      <w:proofErr w:type="spellEnd"/>
      <w:r w:rsidR="0035700E" w:rsidRPr="002E142C">
        <w:rPr>
          <w:sz w:val="16"/>
          <w:szCs w:val="16"/>
          <w:lang w:val="es-ES"/>
        </w:rPr>
        <w:t xml:space="preserve"> Ortega y sus familiares por un período adicional que vence el 30 de marzo de 2017, con el objeto de recibir el informe estatal solicitado en el punt</w:t>
      </w:r>
      <w:r w:rsidR="00827D79" w:rsidRPr="002E142C">
        <w:rPr>
          <w:sz w:val="16"/>
          <w:szCs w:val="16"/>
          <w:lang w:val="es-ES"/>
        </w:rPr>
        <w:t>o</w:t>
      </w:r>
      <w:r w:rsidR="0035700E" w:rsidRPr="002E142C">
        <w:rPr>
          <w:sz w:val="16"/>
          <w:szCs w:val="16"/>
          <w:lang w:val="es-ES"/>
        </w:rPr>
        <w:t xml:space="preserve"> resolutivo cuarto de la Resolución de la Corte de 23 de febrero de 2016, así como las observaciones a dicho informe.</w:t>
      </w:r>
      <w:r w:rsidR="00BD29E8" w:rsidRPr="002E142C">
        <w:rPr>
          <w:sz w:val="16"/>
          <w:szCs w:val="16"/>
          <w:lang w:val="es-ES"/>
        </w:rPr>
        <w:t xml:space="preserve"> </w:t>
      </w:r>
    </w:p>
    <w:p w14:paraId="5C26F3C0" w14:textId="77777777" w:rsidR="00B26D54" w:rsidRPr="002E142C" w:rsidRDefault="00B26D54" w:rsidP="002B25B6">
      <w:pPr>
        <w:tabs>
          <w:tab w:val="left" w:pos="567"/>
        </w:tabs>
        <w:jc w:val="both"/>
        <w:rPr>
          <w:lang w:val="es-ES"/>
        </w:rPr>
      </w:pPr>
    </w:p>
    <w:p w14:paraId="4A4971DF" w14:textId="487017B7" w:rsidR="00DF154A" w:rsidRPr="002E142C" w:rsidRDefault="007A0B6E" w:rsidP="002B25B6">
      <w:pPr>
        <w:numPr>
          <w:ilvl w:val="0"/>
          <w:numId w:val="1"/>
        </w:numPr>
        <w:tabs>
          <w:tab w:val="left" w:pos="567"/>
        </w:tabs>
        <w:jc w:val="both"/>
        <w:rPr>
          <w:lang w:val="es-ES"/>
        </w:rPr>
      </w:pPr>
      <w:r w:rsidRPr="002E142C">
        <w:rPr>
          <w:lang w:val="es-ES"/>
        </w:rPr>
        <w:lastRenderedPageBreak/>
        <w:t>Los</w:t>
      </w:r>
      <w:r w:rsidR="00ED6B3A" w:rsidRPr="002E142C">
        <w:rPr>
          <w:lang w:val="es-ES"/>
        </w:rPr>
        <w:t xml:space="preserve"> escrito</w:t>
      </w:r>
      <w:r w:rsidRPr="002E142C">
        <w:rPr>
          <w:lang w:val="es-ES"/>
        </w:rPr>
        <w:t>s</w:t>
      </w:r>
      <w:r w:rsidR="00BD2F33" w:rsidRPr="002E142C">
        <w:rPr>
          <w:lang w:val="es-ES"/>
        </w:rPr>
        <w:t xml:space="preserve"> de </w:t>
      </w:r>
      <w:r w:rsidR="00ED6B3A" w:rsidRPr="002E142C">
        <w:rPr>
          <w:lang w:val="es-ES"/>
        </w:rPr>
        <w:t xml:space="preserve">21 de octubre de 2016 </w:t>
      </w:r>
      <w:r w:rsidRPr="002E142C">
        <w:rPr>
          <w:lang w:val="es-ES"/>
        </w:rPr>
        <w:t xml:space="preserve">y </w:t>
      </w:r>
      <w:r w:rsidR="00A13F70" w:rsidRPr="002E142C">
        <w:rPr>
          <w:lang w:val="es-ES"/>
        </w:rPr>
        <w:t xml:space="preserve">2 </w:t>
      </w:r>
      <w:r w:rsidRPr="002E142C">
        <w:rPr>
          <w:lang w:val="es-ES"/>
        </w:rPr>
        <w:t xml:space="preserve">de </w:t>
      </w:r>
      <w:r w:rsidR="00A13F70" w:rsidRPr="002E142C">
        <w:rPr>
          <w:lang w:val="es-ES"/>
        </w:rPr>
        <w:t xml:space="preserve">febrero </w:t>
      </w:r>
      <w:r w:rsidRPr="002E142C">
        <w:rPr>
          <w:lang w:val="es-ES"/>
        </w:rPr>
        <w:t>de 2017</w:t>
      </w:r>
      <w:r w:rsidRPr="002E142C">
        <w:rPr>
          <w:b/>
          <w:lang w:val="es-ES"/>
        </w:rPr>
        <w:t xml:space="preserve"> </w:t>
      </w:r>
      <w:r w:rsidR="00BD2F33" w:rsidRPr="002E142C">
        <w:rPr>
          <w:lang w:val="es-ES"/>
        </w:rPr>
        <w:t>y sus respectivos anexos</w:t>
      </w:r>
      <w:r w:rsidR="00493E46" w:rsidRPr="002E142C">
        <w:rPr>
          <w:lang w:val="es-ES"/>
        </w:rPr>
        <w:t>,</w:t>
      </w:r>
      <w:r w:rsidR="00BD2F33" w:rsidRPr="002E142C">
        <w:rPr>
          <w:lang w:val="es-ES"/>
        </w:rPr>
        <w:t xml:space="preserve"> </w:t>
      </w:r>
      <w:r w:rsidR="00ED6B3A" w:rsidRPr="002E142C">
        <w:rPr>
          <w:lang w:val="es-ES"/>
        </w:rPr>
        <w:t xml:space="preserve">mediante </w:t>
      </w:r>
      <w:r w:rsidR="004D5910" w:rsidRPr="002E142C">
        <w:rPr>
          <w:lang w:val="es-ES"/>
        </w:rPr>
        <w:t xml:space="preserve">los </w:t>
      </w:r>
      <w:r w:rsidR="00ED6B3A" w:rsidRPr="002E142C">
        <w:rPr>
          <w:lang w:val="es-ES"/>
        </w:rPr>
        <w:t>cual</w:t>
      </w:r>
      <w:r w:rsidR="004D5910" w:rsidRPr="002E142C">
        <w:rPr>
          <w:lang w:val="es-ES"/>
        </w:rPr>
        <w:t>es</w:t>
      </w:r>
      <w:r w:rsidR="00DF154A" w:rsidRPr="002E142C">
        <w:rPr>
          <w:lang w:val="es-ES"/>
        </w:rPr>
        <w:t xml:space="preserve"> </w:t>
      </w:r>
      <w:r w:rsidR="00DF154A" w:rsidRPr="002E142C">
        <w:t xml:space="preserve">el Estado </w:t>
      </w:r>
      <w:r w:rsidR="00FA3758" w:rsidRPr="002E142C">
        <w:t xml:space="preserve">de México (en adelante “Estado” o “México”) </w:t>
      </w:r>
      <w:r w:rsidR="00DF154A" w:rsidRPr="002E142C">
        <w:t xml:space="preserve">remitió </w:t>
      </w:r>
      <w:r w:rsidR="004323EF" w:rsidRPr="002E142C">
        <w:t xml:space="preserve">el </w:t>
      </w:r>
      <w:r w:rsidR="00ED6B3A" w:rsidRPr="002E142C">
        <w:t>informe</w:t>
      </w:r>
      <w:r w:rsidR="004323EF" w:rsidRPr="002E142C">
        <w:t xml:space="preserve"> requerido en la Resolución de 23 de febrero de 2016 sobre</w:t>
      </w:r>
      <w:r w:rsidR="00DF154A" w:rsidRPr="002E142C">
        <w:t xml:space="preserve"> </w:t>
      </w:r>
      <w:r w:rsidR="00C6782C" w:rsidRPr="002E142C">
        <w:t xml:space="preserve">la implementación de </w:t>
      </w:r>
      <w:r w:rsidR="00DF154A" w:rsidRPr="002E142C">
        <w:t>las medidas provisionales ordenadas p</w:t>
      </w:r>
      <w:r w:rsidR="00711E03" w:rsidRPr="002E142C">
        <w:t>or la Corte en el presente caso y solicitó el levantamiento de estas medidas.</w:t>
      </w:r>
    </w:p>
    <w:p w14:paraId="7EA2597D" w14:textId="77777777" w:rsidR="00F16FB5" w:rsidRPr="002E142C" w:rsidRDefault="00F16FB5" w:rsidP="002B25B6">
      <w:pPr>
        <w:tabs>
          <w:tab w:val="left" w:pos="567"/>
        </w:tabs>
        <w:jc w:val="both"/>
        <w:rPr>
          <w:lang w:val="es-ES"/>
        </w:rPr>
      </w:pPr>
    </w:p>
    <w:p w14:paraId="35501CAD" w14:textId="3D377611" w:rsidR="001C2262" w:rsidRPr="000F1BA6" w:rsidRDefault="00BD2F33" w:rsidP="000F1BA6">
      <w:pPr>
        <w:numPr>
          <w:ilvl w:val="0"/>
          <w:numId w:val="1"/>
        </w:numPr>
        <w:tabs>
          <w:tab w:val="left" w:pos="567"/>
        </w:tabs>
        <w:jc w:val="both"/>
        <w:rPr>
          <w:lang w:val="es-ES"/>
        </w:rPr>
      </w:pPr>
      <w:r w:rsidRPr="002E142C">
        <w:rPr>
          <w:lang w:val="es-ES"/>
        </w:rPr>
        <w:t xml:space="preserve">Los escritos de </w:t>
      </w:r>
      <w:r w:rsidR="00E91D5D" w:rsidRPr="002E142C">
        <w:rPr>
          <w:lang w:val="es-ES"/>
        </w:rPr>
        <w:t>1 de marzo</w:t>
      </w:r>
      <w:r w:rsidR="00E2237A" w:rsidRPr="002E142C">
        <w:rPr>
          <w:lang w:val="es-ES"/>
        </w:rPr>
        <w:t xml:space="preserve">, </w:t>
      </w:r>
      <w:r w:rsidR="00E91D5D" w:rsidRPr="002E142C">
        <w:rPr>
          <w:lang w:val="es-ES"/>
        </w:rPr>
        <w:t>12 de abril</w:t>
      </w:r>
      <w:r w:rsidRPr="002E142C">
        <w:rPr>
          <w:lang w:val="es-ES"/>
        </w:rPr>
        <w:t xml:space="preserve">, </w:t>
      </w:r>
      <w:r w:rsidR="004D037A" w:rsidRPr="002E142C">
        <w:rPr>
          <w:lang w:val="es-ES"/>
        </w:rPr>
        <w:t xml:space="preserve">21 de noviembre </w:t>
      </w:r>
      <w:r w:rsidR="00D807B7" w:rsidRPr="002E142C">
        <w:rPr>
          <w:lang w:val="es-ES"/>
        </w:rPr>
        <w:t xml:space="preserve">y </w:t>
      </w:r>
      <w:r w:rsidR="004D037A" w:rsidRPr="002E142C">
        <w:rPr>
          <w:lang w:val="es-ES"/>
        </w:rPr>
        <w:t>24 de noviembre de 2016</w:t>
      </w:r>
      <w:r w:rsidR="007A0B6E" w:rsidRPr="002E142C">
        <w:rPr>
          <w:lang w:val="es-ES"/>
        </w:rPr>
        <w:t>,</w:t>
      </w:r>
      <w:r w:rsidR="004D037A" w:rsidRPr="002E142C">
        <w:rPr>
          <w:lang w:val="es-ES"/>
        </w:rPr>
        <w:t xml:space="preserve"> </w:t>
      </w:r>
      <w:r w:rsidR="0068346B" w:rsidRPr="002E142C">
        <w:rPr>
          <w:lang w:val="es-ES"/>
        </w:rPr>
        <w:t>así como</w:t>
      </w:r>
      <w:r w:rsidRPr="002E142C">
        <w:rPr>
          <w:lang w:val="es-ES"/>
        </w:rPr>
        <w:t xml:space="preserve"> </w:t>
      </w:r>
      <w:r w:rsidR="0068346B" w:rsidRPr="002E142C">
        <w:rPr>
          <w:lang w:val="es-ES"/>
        </w:rPr>
        <w:t xml:space="preserve">de 9 </w:t>
      </w:r>
      <w:r w:rsidR="007A0B6E" w:rsidRPr="002E142C">
        <w:rPr>
          <w:lang w:val="es-ES"/>
        </w:rPr>
        <w:t xml:space="preserve">y 27 </w:t>
      </w:r>
      <w:r w:rsidR="0068346B" w:rsidRPr="002E142C">
        <w:rPr>
          <w:lang w:val="es-ES"/>
        </w:rPr>
        <w:t xml:space="preserve">de enero de 2017 </w:t>
      </w:r>
      <w:r w:rsidRPr="002E142C">
        <w:rPr>
          <w:lang w:val="es-ES"/>
        </w:rPr>
        <w:t>y sus respectivos anexos</w:t>
      </w:r>
      <w:r w:rsidR="001E58D8" w:rsidRPr="002E142C">
        <w:rPr>
          <w:lang w:val="es-ES"/>
        </w:rPr>
        <w:t>, mediante los cuales los representantes</w:t>
      </w:r>
      <w:r w:rsidRPr="002E142C">
        <w:rPr>
          <w:lang w:val="es-ES"/>
        </w:rPr>
        <w:t xml:space="preserve"> de los beneficiario</w:t>
      </w:r>
      <w:r w:rsidR="00452294" w:rsidRPr="002E142C">
        <w:rPr>
          <w:lang w:val="es-ES"/>
        </w:rPr>
        <w:t>s</w:t>
      </w:r>
      <w:r w:rsidR="000F1BA6">
        <w:rPr>
          <w:lang w:val="es-ES"/>
        </w:rPr>
        <w:t xml:space="preserve"> </w:t>
      </w:r>
      <w:r w:rsidR="00452294" w:rsidRPr="002E142C">
        <w:rPr>
          <w:lang w:val="es-ES"/>
        </w:rPr>
        <w:t>(en adelante “los representantes”)</w:t>
      </w:r>
      <w:r w:rsidR="000F1BA6">
        <w:rPr>
          <w:lang w:val="es-ES"/>
        </w:rPr>
        <w:t xml:space="preserve"> </w:t>
      </w:r>
      <w:r w:rsidR="001E58D8" w:rsidRPr="000F1BA6">
        <w:rPr>
          <w:lang w:val="es-ES"/>
        </w:rPr>
        <w:t>remitieron observaciones a</w:t>
      </w:r>
      <w:r w:rsidR="005B6C60" w:rsidRPr="000F1BA6">
        <w:rPr>
          <w:lang w:val="es-ES"/>
        </w:rPr>
        <w:t xml:space="preserve"> la información remitida por el</w:t>
      </w:r>
      <w:r w:rsidR="001E58D8" w:rsidRPr="000F1BA6">
        <w:rPr>
          <w:lang w:val="es-ES"/>
        </w:rPr>
        <w:t xml:space="preserve"> Estado</w:t>
      </w:r>
      <w:r w:rsidR="00FA3758" w:rsidRPr="000F1BA6">
        <w:rPr>
          <w:lang w:val="es-ES"/>
        </w:rPr>
        <w:t>,</w:t>
      </w:r>
      <w:r w:rsidR="00697D1A" w:rsidRPr="000F1BA6">
        <w:rPr>
          <w:lang w:val="es-ES"/>
        </w:rPr>
        <w:t xml:space="preserve"> así como </w:t>
      </w:r>
      <w:r w:rsidR="00CC5ABD" w:rsidRPr="000F1BA6">
        <w:rPr>
          <w:lang w:val="es-ES"/>
        </w:rPr>
        <w:t xml:space="preserve">la </w:t>
      </w:r>
      <w:r w:rsidR="00697D1A" w:rsidRPr="000F1BA6">
        <w:rPr>
          <w:lang w:val="es-ES"/>
        </w:rPr>
        <w:t xml:space="preserve">información </w:t>
      </w:r>
      <w:r w:rsidR="00CC5ABD" w:rsidRPr="000F1BA6">
        <w:rPr>
          <w:lang w:val="es-ES"/>
        </w:rPr>
        <w:t xml:space="preserve">solicitada en la Resolución de 23 de febrero de 2016 </w:t>
      </w:r>
      <w:r w:rsidR="000F1BA6">
        <w:rPr>
          <w:lang w:val="es-ES"/>
        </w:rPr>
        <w:t xml:space="preserve">e información adicional </w:t>
      </w:r>
      <w:r w:rsidR="00697D1A" w:rsidRPr="000F1BA6">
        <w:rPr>
          <w:lang w:val="es-ES"/>
        </w:rPr>
        <w:t xml:space="preserve">sobre </w:t>
      </w:r>
      <w:r w:rsidR="00F671F8" w:rsidRPr="000F1BA6">
        <w:rPr>
          <w:lang w:val="es-ES"/>
        </w:rPr>
        <w:t>presuntos</w:t>
      </w:r>
      <w:r w:rsidR="00697D1A" w:rsidRPr="000F1BA6">
        <w:rPr>
          <w:lang w:val="es-ES"/>
        </w:rPr>
        <w:t xml:space="preserve"> nuevos hechos</w:t>
      </w:r>
      <w:r w:rsidR="00FA3758" w:rsidRPr="000F1BA6">
        <w:rPr>
          <w:lang w:val="es-ES"/>
        </w:rPr>
        <w:t xml:space="preserve"> de riesgo en perjuicio de los beneficiarios.</w:t>
      </w:r>
    </w:p>
    <w:p w14:paraId="5D68F3E2" w14:textId="77777777" w:rsidR="001E58D8" w:rsidRPr="002E142C" w:rsidRDefault="001E58D8" w:rsidP="002B25B6">
      <w:pPr>
        <w:pStyle w:val="ColorfulList-Accent11"/>
        <w:tabs>
          <w:tab w:val="left" w:pos="567"/>
        </w:tabs>
        <w:contextualSpacing w:val="0"/>
        <w:jc w:val="both"/>
        <w:rPr>
          <w:lang w:val="es-ES"/>
        </w:rPr>
      </w:pPr>
    </w:p>
    <w:p w14:paraId="1E61198B" w14:textId="13B94F8F" w:rsidR="001E1EFD" w:rsidRPr="002E142C" w:rsidRDefault="00CB1EDA" w:rsidP="002B25B6">
      <w:pPr>
        <w:pStyle w:val="ColorfulList-Accent11"/>
        <w:numPr>
          <w:ilvl w:val="0"/>
          <w:numId w:val="1"/>
        </w:numPr>
        <w:tabs>
          <w:tab w:val="left" w:pos="567"/>
        </w:tabs>
        <w:contextualSpacing w:val="0"/>
        <w:jc w:val="both"/>
        <w:rPr>
          <w:lang w:val="es-ES"/>
        </w:rPr>
      </w:pPr>
      <w:r w:rsidRPr="002E142C">
        <w:rPr>
          <w:lang w:val="es-ES"/>
        </w:rPr>
        <w:t>L</w:t>
      </w:r>
      <w:r w:rsidR="005B6C60" w:rsidRPr="002E142C">
        <w:rPr>
          <w:lang w:val="es-ES"/>
        </w:rPr>
        <w:t>os escritos de</w:t>
      </w:r>
      <w:r w:rsidRPr="002E142C">
        <w:rPr>
          <w:lang w:val="es-ES"/>
        </w:rPr>
        <w:t xml:space="preserve"> </w:t>
      </w:r>
      <w:r w:rsidR="00E91D5D" w:rsidRPr="002E142C">
        <w:rPr>
          <w:lang w:val="es-ES"/>
        </w:rPr>
        <w:t>22 de abril</w:t>
      </w:r>
      <w:r w:rsidRPr="002E142C">
        <w:rPr>
          <w:lang w:val="es-ES"/>
        </w:rPr>
        <w:t xml:space="preserve"> de 2016</w:t>
      </w:r>
      <w:r w:rsidR="005B6C60" w:rsidRPr="002E142C">
        <w:rPr>
          <w:lang w:val="es-ES"/>
        </w:rPr>
        <w:t xml:space="preserve"> y </w:t>
      </w:r>
      <w:r w:rsidR="000F1BA6">
        <w:rPr>
          <w:lang w:val="es-ES"/>
        </w:rPr>
        <w:t xml:space="preserve">de </w:t>
      </w:r>
      <w:r w:rsidR="00F84341" w:rsidRPr="002E142C">
        <w:rPr>
          <w:lang w:val="es-ES"/>
        </w:rPr>
        <w:t xml:space="preserve">7 </w:t>
      </w:r>
      <w:r w:rsidR="00F671F8" w:rsidRPr="002E142C">
        <w:rPr>
          <w:lang w:val="es-ES"/>
        </w:rPr>
        <w:t>de enero</w:t>
      </w:r>
      <w:r w:rsidR="00D165F3" w:rsidRPr="002E142C">
        <w:rPr>
          <w:lang w:val="es-ES"/>
        </w:rPr>
        <w:t xml:space="preserve"> de</w:t>
      </w:r>
      <w:r w:rsidR="00F671F8" w:rsidRPr="002E142C">
        <w:rPr>
          <w:lang w:val="es-ES"/>
        </w:rPr>
        <w:t xml:space="preserve"> 2017</w:t>
      </w:r>
      <w:r w:rsidR="0084630C" w:rsidRPr="002E142C">
        <w:rPr>
          <w:lang w:val="es-ES"/>
        </w:rPr>
        <w:t>,</w:t>
      </w:r>
      <w:r w:rsidR="00E901EE" w:rsidRPr="002E142C">
        <w:rPr>
          <w:color w:val="FF0000"/>
          <w:lang w:val="es-ES"/>
        </w:rPr>
        <w:t xml:space="preserve"> </w:t>
      </w:r>
      <w:r w:rsidR="005B6C60" w:rsidRPr="002E142C">
        <w:rPr>
          <w:lang w:val="es-ES"/>
        </w:rPr>
        <w:t>mediante los</w:t>
      </w:r>
      <w:r w:rsidRPr="002E142C">
        <w:rPr>
          <w:lang w:val="es-ES"/>
        </w:rPr>
        <w:t xml:space="preserve"> cual</w:t>
      </w:r>
      <w:r w:rsidR="005B6C60" w:rsidRPr="002E142C">
        <w:rPr>
          <w:lang w:val="es-ES"/>
        </w:rPr>
        <w:t>es</w:t>
      </w:r>
      <w:r w:rsidR="001E58D8" w:rsidRPr="002E142C">
        <w:rPr>
          <w:lang w:val="es-ES"/>
        </w:rPr>
        <w:t xml:space="preserve"> la Comisión Interamericana de Derechos Humanos (en adelante también “la Comisión Interamericana” </w:t>
      </w:r>
      <w:r w:rsidR="007D1323" w:rsidRPr="002E142C">
        <w:rPr>
          <w:lang w:val="es-ES"/>
        </w:rPr>
        <w:t>o</w:t>
      </w:r>
      <w:r w:rsidR="001E58D8" w:rsidRPr="002E142C">
        <w:rPr>
          <w:lang w:val="es-ES"/>
        </w:rPr>
        <w:t xml:space="preserve"> “la Comisión”) remitió sus observaciones a los informes del Estado y </w:t>
      </w:r>
      <w:r w:rsidR="00CD00EA" w:rsidRPr="002E142C">
        <w:rPr>
          <w:lang w:val="es-ES"/>
        </w:rPr>
        <w:t xml:space="preserve">a </w:t>
      </w:r>
      <w:r w:rsidR="001E58D8" w:rsidRPr="002E142C">
        <w:rPr>
          <w:lang w:val="es-ES"/>
        </w:rPr>
        <w:t>lo</w:t>
      </w:r>
      <w:r w:rsidR="00C6782C" w:rsidRPr="002E142C">
        <w:rPr>
          <w:lang w:val="es-ES"/>
        </w:rPr>
        <w:t>s escritos de los</w:t>
      </w:r>
      <w:r w:rsidR="001E58D8" w:rsidRPr="002E142C">
        <w:rPr>
          <w:lang w:val="es-ES"/>
        </w:rPr>
        <w:t xml:space="preserve"> representantes</w:t>
      </w:r>
      <w:r w:rsidR="00AD2066" w:rsidRPr="002E142C">
        <w:rPr>
          <w:lang w:val="es-ES"/>
        </w:rPr>
        <w:t>.</w:t>
      </w:r>
      <w:r w:rsidR="00ED1C38" w:rsidRPr="002E142C">
        <w:rPr>
          <w:lang w:val="es-ES"/>
        </w:rPr>
        <w:t xml:space="preserve"> </w:t>
      </w:r>
    </w:p>
    <w:p w14:paraId="1D2FD1DA" w14:textId="5A37A016" w:rsidR="00681B70" w:rsidRPr="002E142C" w:rsidRDefault="00681B70" w:rsidP="002B25B6">
      <w:pPr>
        <w:tabs>
          <w:tab w:val="left" w:pos="567"/>
        </w:tabs>
        <w:jc w:val="both"/>
        <w:rPr>
          <w:color w:val="00B050"/>
          <w:lang w:val="es-ES"/>
        </w:rPr>
      </w:pPr>
    </w:p>
    <w:p w14:paraId="22A87C49" w14:textId="77777777" w:rsidR="001E58D8" w:rsidRPr="002E142C" w:rsidRDefault="001E58D8" w:rsidP="002B25B6">
      <w:pPr>
        <w:pStyle w:val="Heading4"/>
        <w:tabs>
          <w:tab w:val="left" w:pos="567"/>
        </w:tabs>
        <w:spacing w:before="0"/>
        <w:jc w:val="both"/>
        <w:rPr>
          <w:rFonts w:ascii="Verdana" w:hAnsi="Verdana"/>
          <w:i w:val="0"/>
          <w:color w:val="auto"/>
        </w:rPr>
      </w:pPr>
      <w:r w:rsidRPr="002E142C">
        <w:rPr>
          <w:rFonts w:ascii="Verdana" w:hAnsi="Verdana"/>
          <w:i w:val="0"/>
          <w:color w:val="auto"/>
        </w:rPr>
        <w:t>C</w:t>
      </w:r>
      <w:r w:rsidRPr="002E142C">
        <w:rPr>
          <w:rFonts w:ascii="Verdana" w:hAnsi="Verdana"/>
          <w:i w:val="0"/>
          <w:caps/>
          <w:smallCaps/>
          <w:color w:val="auto"/>
        </w:rPr>
        <w:t>onsiderando que:</w:t>
      </w:r>
    </w:p>
    <w:p w14:paraId="34B4B64A" w14:textId="77777777" w:rsidR="001E58D8" w:rsidRPr="002E142C" w:rsidRDefault="001E58D8" w:rsidP="002B25B6">
      <w:pPr>
        <w:tabs>
          <w:tab w:val="left" w:pos="567"/>
        </w:tabs>
        <w:jc w:val="both"/>
        <w:rPr>
          <w:smallCaps/>
        </w:rPr>
      </w:pPr>
    </w:p>
    <w:p w14:paraId="654281B7" w14:textId="77777777" w:rsidR="00680F98" w:rsidRPr="002E142C" w:rsidRDefault="001E58D8" w:rsidP="002B25B6">
      <w:pPr>
        <w:numPr>
          <w:ilvl w:val="0"/>
          <w:numId w:val="3"/>
        </w:numPr>
        <w:tabs>
          <w:tab w:val="left" w:pos="567"/>
          <w:tab w:val="left" w:pos="709"/>
        </w:tabs>
        <w:jc w:val="both"/>
      </w:pPr>
      <w:r w:rsidRPr="002E142C">
        <w:t xml:space="preserve">México es Estado Parte en la Convención Americana </w:t>
      </w:r>
      <w:r w:rsidR="00D4621D" w:rsidRPr="002E142C">
        <w:t xml:space="preserve">sobre Derechos Humanos (en adelante “la Convención Americana” o “la Convención”) </w:t>
      </w:r>
      <w:r w:rsidRPr="002E142C">
        <w:t xml:space="preserve">desde el 24 de marzo de 1981 y, de acuerdo con el artículo 62 de la </w:t>
      </w:r>
      <w:r w:rsidR="00D4621D" w:rsidRPr="002E142C">
        <w:t>misma</w:t>
      </w:r>
      <w:r w:rsidRPr="002E142C">
        <w:t>, reconoció la competencia contenciosa de la Corte el 16 de diciembre de 1998.</w:t>
      </w:r>
    </w:p>
    <w:p w14:paraId="1E09A788" w14:textId="77777777" w:rsidR="00680F98" w:rsidRPr="002E142C" w:rsidRDefault="00680F98" w:rsidP="002B25B6">
      <w:pPr>
        <w:tabs>
          <w:tab w:val="left" w:pos="567"/>
          <w:tab w:val="left" w:pos="709"/>
        </w:tabs>
        <w:jc w:val="both"/>
      </w:pPr>
    </w:p>
    <w:p w14:paraId="017D35A1" w14:textId="4377469C" w:rsidR="008150C6" w:rsidRPr="002E142C" w:rsidRDefault="00181879" w:rsidP="002B25B6">
      <w:pPr>
        <w:numPr>
          <w:ilvl w:val="0"/>
          <w:numId w:val="3"/>
        </w:numPr>
        <w:tabs>
          <w:tab w:val="left" w:pos="567"/>
          <w:tab w:val="left" w:pos="709"/>
        </w:tabs>
        <w:jc w:val="both"/>
      </w:pPr>
      <w:r w:rsidRPr="002E142C">
        <w:t>El artículo 63.2 de la Convención exige que para que la Corte pueda disponer de medidas provisionales deben concurrir tres condiciones: a) “extrema gravedad”; b) “urgencia”, y c) que se trate de “evitar daños irreparables a las personas”. Así, las medidas provisionales se transforman en una verdadera garantía jurisdiccional de carácter preventivo</w:t>
      </w:r>
      <w:r w:rsidRPr="002E142C">
        <w:rPr>
          <w:rStyle w:val="FootnoteReference"/>
          <w:sz w:val="20"/>
        </w:rPr>
        <w:footnoteReference w:id="2"/>
      </w:r>
      <w:r w:rsidRPr="002E142C">
        <w:t>. Estas tres condiciones son coexistentes y deben estar presentes en toda situación en la que se solicite la intervención del Tribunal. Del mismo modo, las tres condiciones descritas deben persistir para que la Corte mantenga la protección ordenada</w:t>
      </w:r>
      <w:r w:rsidRPr="002E142C">
        <w:rPr>
          <w:rStyle w:val="FootnoteReference"/>
          <w:sz w:val="20"/>
        </w:rPr>
        <w:footnoteReference w:id="3"/>
      </w:r>
      <w:r w:rsidRPr="002E142C">
        <w:t>. Si una de ellas ha dejado de tener vigencia, corresponderá al Tribunal valorar la pertinencia de continuar con la protección ordenada</w:t>
      </w:r>
      <w:r w:rsidRPr="002E142C">
        <w:rPr>
          <w:rStyle w:val="FootnoteReference"/>
          <w:sz w:val="20"/>
        </w:rPr>
        <w:footnoteReference w:id="4"/>
      </w:r>
      <w:r w:rsidRPr="002E142C">
        <w:t xml:space="preserve">. </w:t>
      </w:r>
    </w:p>
    <w:p w14:paraId="40F13177" w14:textId="77777777" w:rsidR="00680F98" w:rsidRPr="002E142C" w:rsidRDefault="00680F98" w:rsidP="002B25B6">
      <w:pPr>
        <w:tabs>
          <w:tab w:val="left" w:pos="567"/>
        </w:tabs>
        <w:ind w:right="22"/>
        <w:jc w:val="both"/>
      </w:pPr>
    </w:p>
    <w:p w14:paraId="3B7F059B" w14:textId="602D4AFF" w:rsidR="008150C6" w:rsidRPr="002E142C" w:rsidRDefault="00997262" w:rsidP="002B25B6">
      <w:pPr>
        <w:numPr>
          <w:ilvl w:val="0"/>
          <w:numId w:val="3"/>
        </w:numPr>
        <w:tabs>
          <w:tab w:val="left" w:pos="567"/>
        </w:tabs>
        <w:ind w:right="22"/>
        <w:jc w:val="both"/>
      </w:pPr>
      <w:bookmarkStart w:id="1" w:name="_Ref472694190"/>
      <w:r w:rsidRPr="002E142C">
        <w:t>De</w:t>
      </w:r>
      <w:r w:rsidR="008150C6" w:rsidRPr="002E142C">
        <w:t xml:space="preserve"> conformidad con lo expuesto en la Resolución de 23 de febrero de 2016, </w:t>
      </w:r>
      <w:r w:rsidRPr="002E142C">
        <w:t>las presentes medidas se mantendrían por un período adicional</w:t>
      </w:r>
      <w:r w:rsidR="00603DD2" w:rsidRPr="002E142C">
        <w:t xml:space="preserve"> a favor de Inés Fernández Ortega y sus familiares</w:t>
      </w:r>
      <w:r w:rsidRPr="002E142C">
        <w:t xml:space="preserve">, a efectos de que la Corte pudiera evaluar su pertinencia, luego de recibir información específica solicitada al Estado y a los representantes sobre </w:t>
      </w:r>
      <w:r w:rsidR="00FE7661" w:rsidRPr="002E142C">
        <w:t>su</w:t>
      </w:r>
      <w:r w:rsidRPr="002E142C">
        <w:t xml:space="preserve"> situación de riesgo </w:t>
      </w:r>
      <w:r w:rsidR="00603DD2" w:rsidRPr="002E142C">
        <w:t>actual</w:t>
      </w:r>
      <w:r w:rsidRPr="002E142C">
        <w:t>. Asimismo, la Corte solicitó a las partes y a la Comisión la remisión de cierta información relativa a la implementación de las medidas de protección.</w:t>
      </w:r>
      <w:r w:rsidR="0090001F" w:rsidRPr="002E142C">
        <w:t xml:space="preserve"> </w:t>
      </w:r>
      <w:r w:rsidR="00925239" w:rsidRPr="002E142C">
        <w:t xml:space="preserve">Luego de </w:t>
      </w:r>
      <w:r w:rsidR="00925239" w:rsidRPr="002E142C">
        <w:lastRenderedPageBreak/>
        <w:t xml:space="preserve">dicha resolución, el Estado solicitó el levantamiento de las </w:t>
      </w:r>
      <w:r w:rsidR="00603DD2" w:rsidRPr="002E142C">
        <w:t xml:space="preserve">presentes </w:t>
      </w:r>
      <w:r w:rsidR="00925239" w:rsidRPr="002E142C">
        <w:t>medidas</w:t>
      </w:r>
      <w:r w:rsidR="00603DD2" w:rsidRPr="002E142C">
        <w:t xml:space="preserve"> en relación con todos los beneficiarios</w:t>
      </w:r>
      <w:r w:rsidR="00925239" w:rsidRPr="002E142C">
        <w:t xml:space="preserve">. </w:t>
      </w:r>
      <w:r w:rsidR="00711E03" w:rsidRPr="002E142C">
        <w:t>Por tanto, e</w:t>
      </w:r>
      <w:r w:rsidR="0090001F" w:rsidRPr="002E142C">
        <w:t xml:space="preserve">n la presente Resolución, </w:t>
      </w:r>
      <w:r w:rsidRPr="002E142C">
        <w:t xml:space="preserve">este Tribunal examinará la información remitida por las partes y la Comisión sobre: (A) la </w:t>
      </w:r>
      <w:r w:rsidRPr="002E142C">
        <w:rPr>
          <w:lang w:val="es-ES"/>
        </w:rPr>
        <w:t>situación actual de riesgo de los beneficiarios</w:t>
      </w:r>
      <w:r w:rsidR="00F671F8" w:rsidRPr="002E142C">
        <w:rPr>
          <w:lang w:val="es-ES"/>
        </w:rPr>
        <w:t>, y</w:t>
      </w:r>
      <w:r w:rsidRPr="002E142C">
        <w:t xml:space="preserve"> (B) la implementación de las medidas provisionales</w:t>
      </w:r>
      <w:bookmarkEnd w:id="1"/>
      <w:r w:rsidR="00F671F8" w:rsidRPr="002E142C">
        <w:t>.</w:t>
      </w:r>
    </w:p>
    <w:p w14:paraId="4A25611E" w14:textId="77777777" w:rsidR="001F6B2A" w:rsidRPr="002E142C" w:rsidRDefault="001F6B2A" w:rsidP="002B25B6">
      <w:pPr>
        <w:tabs>
          <w:tab w:val="left" w:pos="567"/>
        </w:tabs>
        <w:ind w:right="22"/>
        <w:jc w:val="both"/>
        <w:rPr>
          <w:b/>
        </w:rPr>
      </w:pPr>
    </w:p>
    <w:p w14:paraId="43E14C91" w14:textId="77777777" w:rsidR="00C4448F" w:rsidRPr="002E142C" w:rsidRDefault="001F6B2A" w:rsidP="00FA2E1E">
      <w:pPr>
        <w:pStyle w:val="ListParagraph"/>
        <w:numPr>
          <w:ilvl w:val="0"/>
          <w:numId w:val="11"/>
        </w:numPr>
        <w:tabs>
          <w:tab w:val="left" w:pos="567"/>
        </w:tabs>
        <w:ind w:left="851" w:firstLine="0"/>
        <w:jc w:val="both"/>
        <w:rPr>
          <w:b/>
          <w:i/>
        </w:rPr>
      </w:pPr>
      <w:r w:rsidRPr="002E142C">
        <w:rPr>
          <w:b/>
          <w:i/>
        </w:rPr>
        <w:t xml:space="preserve">Información </w:t>
      </w:r>
      <w:r w:rsidR="00C4448F" w:rsidRPr="002E142C">
        <w:rPr>
          <w:b/>
          <w:i/>
        </w:rPr>
        <w:t>sobre la situación actual de riesgo</w:t>
      </w:r>
    </w:p>
    <w:p w14:paraId="667AF6E1" w14:textId="77777777" w:rsidR="00925239" w:rsidRPr="002E142C" w:rsidRDefault="00925239" w:rsidP="002B25B6">
      <w:pPr>
        <w:pStyle w:val="ListParagraph"/>
        <w:tabs>
          <w:tab w:val="left" w:pos="567"/>
        </w:tabs>
        <w:ind w:left="284"/>
        <w:jc w:val="both"/>
        <w:rPr>
          <w:b/>
          <w:i/>
        </w:rPr>
      </w:pPr>
    </w:p>
    <w:p w14:paraId="46EA6538" w14:textId="472DCB35" w:rsidR="00925239" w:rsidRPr="002E142C" w:rsidRDefault="00925239" w:rsidP="002B25B6">
      <w:pPr>
        <w:pStyle w:val="BodyText2"/>
        <w:numPr>
          <w:ilvl w:val="0"/>
          <w:numId w:val="3"/>
        </w:numPr>
        <w:tabs>
          <w:tab w:val="left" w:pos="567"/>
        </w:tabs>
        <w:spacing w:after="0" w:line="240" w:lineRule="auto"/>
        <w:jc w:val="both"/>
        <w:rPr>
          <w:rFonts w:ascii="Verdana" w:hAnsi="Verdana"/>
        </w:rPr>
      </w:pPr>
      <w:bookmarkStart w:id="2" w:name="_Ref473289739"/>
      <w:bookmarkStart w:id="3" w:name="_Ref308998242"/>
      <w:r w:rsidRPr="002E142C">
        <w:rPr>
          <w:rFonts w:ascii="Verdana" w:hAnsi="Verdana"/>
        </w:rPr>
        <w:t>Las presentes medidas provisionales se adoptaron en abril de 2009 para proteger</w:t>
      </w:r>
      <w:r w:rsidR="000F1BA6">
        <w:rPr>
          <w:rFonts w:ascii="Verdana" w:hAnsi="Verdana"/>
        </w:rPr>
        <w:t xml:space="preserve"> a</w:t>
      </w:r>
      <w:r w:rsidRPr="002E142C">
        <w:rPr>
          <w:rFonts w:ascii="Verdana" w:hAnsi="Verdana"/>
        </w:rPr>
        <w:t xml:space="preserve"> </w:t>
      </w:r>
      <w:r w:rsidRPr="002E142C">
        <w:rPr>
          <w:rFonts w:ascii="Verdana" w:hAnsi="Verdana"/>
          <w:lang w:val="es-ES"/>
        </w:rPr>
        <w:t>las siguientes personas:</w:t>
      </w:r>
      <w:r w:rsidRPr="002E142C">
        <w:rPr>
          <w:rStyle w:val="Strong"/>
          <w:rFonts w:ascii="Verdana" w:hAnsi="Verdana"/>
          <w:b w:val="0"/>
          <w:shd w:val="clear" w:color="auto" w:fill="FFFFFF"/>
          <w:lang w:val="es-ES"/>
        </w:rPr>
        <w:t xml:space="preserve"> </w:t>
      </w:r>
      <w:r w:rsidRPr="002E142C">
        <w:rPr>
          <w:rFonts w:ascii="Verdana" w:hAnsi="Verdana"/>
          <w:lang w:val="es-ES"/>
        </w:rPr>
        <w:t xml:space="preserve">i) Inés Fernández Ortega y determinados familiares; ii) </w:t>
      </w:r>
      <w:proofErr w:type="spellStart"/>
      <w:r w:rsidRPr="002E142C">
        <w:rPr>
          <w:rFonts w:ascii="Verdana" w:hAnsi="Verdana"/>
          <w:lang w:val="es-ES"/>
        </w:rPr>
        <w:t>Obtilia</w:t>
      </w:r>
      <w:proofErr w:type="spellEnd"/>
      <w:r w:rsidRPr="002E142C">
        <w:rPr>
          <w:rFonts w:ascii="Verdana" w:hAnsi="Verdana"/>
          <w:lang w:val="es-ES"/>
        </w:rPr>
        <w:t xml:space="preserve"> Eugenio Manuel y determinados familiares; iii) 41 integrantes de la Organización del Pueblo Indígena </w:t>
      </w:r>
      <w:proofErr w:type="spellStart"/>
      <w:r w:rsidRPr="002E142C">
        <w:rPr>
          <w:rFonts w:ascii="Verdana" w:hAnsi="Verdana"/>
          <w:lang w:val="es-ES"/>
        </w:rPr>
        <w:t>Tlapaneco</w:t>
      </w:r>
      <w:proofErr w:type="spellEnd"/>
      <w:r w:rsidRPr="002E142C">
        <w:rPr>
          <w:rFonts w:ascii="Verdana" w:hAnsi="Verdana"/>
          <w:lang w:val="es-ES"/>
        </w:rPr>
        <w:t>/</w:t>
      </w:r>
      <w:proofErr w:type="spellStart"/>
      <w:r w:rsidRPr="002E142C">
        <w:rPr>
          <w:rFonts w:ascii="Verdana" w:hAnsi="Verdana"/>
          <w:lang w:val="es-ES"/>
        </w:rPr>
        <w:t>Me’phaa</w:t>
      </w:r>
      <w:proofErr w:type="spellEnd"/>
      <w:r w:rsidRPr="002E142C">
        <w:rPr>
          <w:rFonts w:ascii="Verdana" w:hAnsi="Verdana"/>
          <w:lang w:val="es-ES"/>
        </w:rPr>
        <w:t xml:space="preserve"> A.C. (en adelante “OPIM”), y iv) 18 miembros del Centro de Derechos Humanos de la Montaña </w:t>
      </w:r>
      <w:proofErr w:type="spellStart"/>
      <w:r w:rsidRPr="002E142C">
        <w:rPr>
          <w:rFonts w:ascii="Verdana" w:hAnsi="Verdana"/>
          <w:lang w:val="es-ES"/>
        </w:rPr>
        <w:t>Tlachinollan</w:t>
      </w:r>
      <w:proofErr w:type="spellEnd"/>
      <w:r w:rsidRPr="002E142C">
        <w:rPr>
          <w:rFonts w:ascii="Verdana" w:hAnsi="Verdana"/>
          <w:lang w:val="es-ES"/>
        </w:rPr>
        <w:t>, A.C. (en adelante “</w:t>
      </w:r>
      <w:proofErr w:type="spellStart"/>
      <w:r w:rsidRPr="002E142C">
        <w:rPr>
          <w:rFonts w:ascii="Verdana" w:hAnsi="Verdana"/>
          <w:lang w:val="es-ES"/>
        </w:rPr>
        <w:t>Tlachinollan</w:t>
      </w:r>
      <w:proofErr w:type="spellEnd"/>
      <w:r w:rsidRPr="002E142C">
        <w:rPr>
          <w:rFonts w:ascii="Verdana" w:hAnsi="Verdana"/>
          <w:lang w:val="es-ES"/>
        </w:rPr>
        <w:t>”)</w:t>
      </w:r>
      <w:r w:rsidRPr="002E142C">
        <w:rPr>
          <w:rStyle w:val="FootnoteReference"/>
          <w:sz w:val="20"/>
        </w:rPr>
        <w:footnoteReference w:id="5"/>
      </w:r>
      <w:r w:rsidRPr="002E142C">
        <w:rPr>
          <w:rFonts w:ascii="Verdana" w:hAnsi="Verdana"/>
          <w:lang w:val="es-ES"/>
        </w:rPr>
        <w:t xml:space="preserve">, </w:t>
      </w:r>
      <w:r w:rsidRPr="002E142C">
        <w:rPr>
          <w:rFonts w:ascii="Verdana" w:hAnsi="Verdana"/>
        </w:rPr>
        <w:t xml:space="preserve">frente al riesgo generado </w:t>
      </w:r>
      <w:r w:rsidRPr="002E142C">
        <w:rPr>
          <w:rFonts w:ascii="Verdana" w:hAnsi="Verdana" w:cs="Verdana"/>
        </w:rPr>
        <w:t>como consecuencia de presuntos hechos de amenazas, seguimientos, interceptaciones telefónicas, entre otras acciones, respecto de los beneficiarios de las medidas, así como de otras personas vinculadas a aquellos, hechos que al parecer estarían motivados por su trabajo en relación con los derechos indígenas y por denuncias de violaciones de derechos humanos que dichas personas habrían realizado</w:t>
      </w:r>
      <w:r w:rsidRPr="002E142C">
        <w:rPr>
          <w:rStyle w:val="FootnoteReference"/>
          <w:sz w:val="20"/>
        </w:rPr>
        <w:footnoteReference w:id="6"/>
      </w:r>
      <w:r w:rsidRPr="002E142C">
        <w:rPr>
          <w:rFonts w:ascii="Verdana" w:hAnsi="Verdana" w:cs="Verdana"/>
        </w:rPr>
        <w:t>.</w:t>
      </w:r>
      <w:bookmarkEnd w:id="2"/>
    </w:p>
    <w:p w14:paraId="2939F64D" w14:textId="77777777" w:rsidR="00925239" w:rsidRPr="002E142C" w:rsidRDefault="00925239" w:rsidP="002B25B6">
      <w:pPr>
        <w:pStyle w:val="BodyText2"/>
        <w:tabs>
          <w:tab w:val="left" w:pos="567"/>
        </w:tabs>
        <w:spacing w:after="0" w:line="240" w:lineRule="auto"/>
        <w:jc w:val="both"/>
        <w:rPr>
          <w:rFonts w:ascii="Verdana" w:hAnsi="Verdana"/>
        </w:rPr>
      </w:pPr>
    </w:p>
    <w:p w14:paraId="2FAAC376" w14:textId="29FD9679" w:rsidR="00925239" w:rsidRPr="002E142C" w:rsidRDefault="00925239" w:rsidP="002B25B6">
      <w:pPr>
        <w:numPr>
          <w:ilvl w:val="0"/>
          <w:numId w:val="3"/>
        </w:numPr>
        <w:tabs>
          <w:tab w:val="left" w:pos="567"/>
        </w:tabs>
        <w:ind w:right="22"/>
        <w:jc w:val="both"/>
      </w:pPr>
      <w:bookmarkStart w:id="4" w:name="_Ref473284943"/>
      <w:bookmarkStart w:id="5" w:name="_Ref472948591"/>
      <w:r w:rsidRPr="002E142C">
        <w:t>En su Resolución de febrero de 2016, la Corte constató que: a) no había sido informada de posibles hechos de riesgo en contra de la señora Fernández Ortega o de su familia desde el año 2010</w:t>
      </w:r>
      <w:r w:rsidRPr="002E142C">
        <w:rPr>
          <w:rStyle w:val="FootnoteReference"/>
          <w:sz w:val="20"/>
        </w:rPr>
        <w:footnoteReference w:id="7"/>
      </w:r>
      <w:r w:rsidRPr="002E142C">
        <w:t xml:space="preserve">, y b) los hechos de riesgo informados respecto de los representantes no evidenciaban una conexión con el caso </w:t>
      </w:r>
      <w:r w:rsidRPr="002E142C">
        <w:rPr>
          <w:i/>
        </w:rPr>
        <w:t>Fernández Ortega y otros</w:t>
      </w:r>
      <w:r w:rsidRPr="002E142C">
        <w:t xml:space="preserve">, ni con los eventos que justificaron, oportunamente, la adopción de estas medidas, pero sí revelaban un factor adicional de </w:t>
      </w:r>
      <w:r w:rsidR="005A5B1A" w:rsidRPr="002E142C">
        <w:t xml:space="preserve">riesgo </w:t>
      </w:r>
      <w:r w:rsidRPr="002E142C">
        <w:t>de dichos beneficiarios, así como la ausencia de implementación efectiva de las medidas de protección</w:t>
      </w:r>
      <w:r w:rsidRPr="002E142C">
        <w:rPr>
          <w:rStyle w:val="FootnoteReference"/>
          <w:sz w:val="20"/>
        </w:rPr>
        <w:footnoteReference w:id="8"/>
      </w:r>
      <w:r w:rsidRPr="002E142C">
        <w:t xml:space="preserve">. En virtud de lo anterior, la Corte solicitó al Estado: a) remitir un informe detallado sobre la situación actual de riesgo de la señora Fernández Ortega y su familia, donde expusiera argumentos y elementos de prueba sobre la necesidad o no de mantener las medidas; b) realizar un diagnóstico de riesgo </w:t>
      </w:r>
      <w:r w:rsidRPr="002E142C">
        <w:lastRenderedPageBreak/>
        <w:t>actualizado sobre la situación de cada uno de los demás beneficiarios, en el cual expusiera los argumentos y elementos de prueba sobre la necesidad o no de mantener las medidas; así como requirió a los representantes</w:t>
      </w:r>
      <w:r w:rsidR="00FE7661" w:rsidRPr="002E142C">
        <w:t>,</w:t>
      </w:r>
      <w:r w:rsidRPr="002E142C">
        <w:t xml:space="preserve"> </w:t>
      </w:r>
      <w:r w:rsidR="00711549">
        <w:t xml:space="preserve">y </w:t>
      </w:r>
      <w:r w:rsidRPr="002E142C">
        <w:t xml:space="preserve">c) remitir información específica y con elementos de respaldo sobre la persistencia de la situación de extrema gravedad y urgencia y de necesidad de evitar daños irreparables, relacionada con el caso </w:t>
      </w:r>
      <w:r w:rsidRPr="002E142C">
        <w:rPr>
          <w:i/>
        </w:rPr>
        <w:t>Fernández Ortega y otros vs. México</w:t>
      </w:r>
      <w:r w:rsidRPr="002E142C">
        <w:t>, respecto de cada uno de los beneficiarios de las medidas</w:t>
      </w:r>
      <w:r w:rsidRPr="002E142C">
        <w:rPr>
          <w:rStyle w:val="FootnoteReference"/>
          <w:sz w:val="20"/>
        </w:rPr>
        <w:footnoteReference w:id="9"/>
      </w:r>
      <w:r w:rsidRPr="002E142C">
        <w:t xml:space="preserve">. </w:t>
      </w:r>
      <w:bookmarkEnd w:id="4"/>
      <w:r w:rsidRPr="002E142C">
        <w:t xml:space="preserve">A continuación la Corte expondrá la información remitida por las partes al respecto. </w:t>
      </w:r>
    </w:p>
    <w:bookmarkEnd w:id="3"/>
    <w:bookmarkEnd w:id="5"/>
    <w:p w14:paraId="1D13D9A2" w14:textId="77777777" w:rsidR="00C4448F" w:rsidRPr="002E142C" w:rsidRDefault="00C4448F" w:rsidP="002B25B6">
      <w:pPr>
        <w:pStyle w:val="ListParagraph"/>
        <w:tabs>
          <w:tab w:val="left" w:pos="567"/>
        </w:tabs>
        <w:ind w:left="284"/>
        <w:jc w:val="both"/>
        <w:rPr>
          <w:b/>
          <w:i/>
        </w:rPr>
      </w:pPr>
    </w:p>
    <w:p w14:paraId="63BA9682" w14:textId="40FF5F82" w:rsidR="001F6B2A" w:rsidRPr="002E142C" w:rsidRDefault="00C4448F" w:rsidP="002B25B6">
      <w:pPr>
        <w:pStyle w:val="ListParagraph"/>
        <w:tabs>
          <w:tab w:val="left" w:pos="567"/>
        </w:tabs>
        <w:ind w:left="1364"/>
        <w:jc w:val="both"/>
        <w:rPr>
          <w:b/>
        </w:rPr>
      </w:pPr>
      <w:r w:rsidRPr="002E142C">
        <w:rPr>
          <w:b/>
        </w:rPr>
        <w:t xml:space="preserve">A.1 Alegatos de las partes y de la </w:t>
      </w:r>
      <w:r w:rsidR="001F6B2A" w:rsidRPr="002E142C">
        <w:rPr>
          <w:b/>
        </w:rPr>
        <w:t>Comisión</w:t>
      </w:r>
      <w:r w:rsidRPr="002E142C">
        <w:rPr>
          <w:b/>
        </w:rPr>
        <w:t xml:space="preserve"> </w:t>
      </w:r>
    </w:p>
    <w:p w14:paraId="038215A2" w14:textId="3905C451" w:rsidR="001F6B2A" w:rsidRPr="002E142C" w:rsidRDefault="001F6B2A" w:rsidP="002B25B6">
      <w:pPr>
        <w:tabs>
          <w:tab w:val="left" w:pos="567"/>
        </w:tabs>
        <w:ind w:right="22"/>
        <w:jc w:val="both"/>
        <w:rPr>
          <w:b/>
        </w:rPr>
      </w:pPr>
    </w:p>
    <w:p w14:paraId="4C892C75" w14:textId="00825D54" w:rsidR="0090001F" w:rsidRPr="002E142C" w:rsidRDefault="0090001F" w:rsidP="002B25B6">
      <w:pPr>
        <w:pStyle w:val="BodyText2"/>
        <w:numPr>
          <w:ilvl w:val="0"/>
          <w:numId w:val="3"/>
        </w:numPr>
        <w:tabs>
          <w:tab w:val="left" w:pos="567"/>
        </w:tabs>
        <w:spacing w:after="0" w:line="240" w:lineRule="auto"/>
        <w:jc w:val="both"/>
        <w:rPr>
          <w:rFonts w:ascii="Verdana" w:hAnsi="Verdana"/>
        </w:rPr>
      </w:pPr>
      <w:bookmarkStart w:id="6" w:name="_Ref308996973"/>
      <w:r w:rsidRPr="002E142C">
        <w:rPr>
          <w:rFonts w:ascii="Verdana" w:hAnsi="Verdana"/>
        </w:rPr>
        <w:t xml:space="preserve">Los </w:t>
      </w:r>
      <w:r w:rsidRPr="002E142C">
        <w:rPr>
          <w:rFonts w:ascii="Verdana" w:hAnsi="Verdana"/>
          <w:b/>
          <w:i/>
        </w:rPr>
        <w:t>representantes</w:t>
      </w:r>
      <w:r w:rsidRPr="002E142C">
        <w:rPr>
          <w:rFonts w:ascii="Verdana" w:hAnsi="Verdana"/>
        </w:rPr>
        <w:t xml:space="preserve"> </w:t>
      </w:r>
      <w:bookmarkEnd w:id="6"/>
      <w:r w:rsidRPr="002E142C">
        <w:rPr>
          <w:rFonts w:ascii="Verdana" w:hAnsi="Verdana"/>
        </w:rPr>
        <w:t>señalaron que el 20 de abril de 2016</w:t>
      </w:r>
      <w:r w:rsidR="00FE7661" w:rsidRPr="002E142C">
        <w:rPr>
          <w:rFonts w:ascii="Verdana" w:hAnsi="Verdana"/>
        </w:rPr>
        <w:t>,</w:t>
      </w:r>
      <w:r w:rsidRPr="002E142C">
        <w:rPr>
          <w:rFonts w:ascii="Verdana" w:hAnsi="Verdana"/>
        </w:rPr>
        <w:t xml:space="preserve"> </w:t>
      </w:r>
      <w:r w:rsidR="005528FB" w:rsidRPr="002E142C">
        <w:rPr>
          <w:rFonts w:ascii="Verdana" w:hAnsi="Verdana"/>
        </w:rPr>
        <w:t>al regresar</w:t>
      </w:r>
      <w:r w:rsidRPr="002E142C">
        <w:rPr>
          <w:rFonts w:ascii="Verdana" w:hAnsi="Verdana"/>
        </w:rPr>
        <w:t xml:space="preserve"> a su casa de una reunión en la oficina de </w:t>
      </w:r>
      <w:proofErr w:type="spellStart"/>
      <w:r w:rsidRPr="002E142C">
        <w:rPr>
          <w:rFonts w:ascii="Verdana" w:hAnsi="Verdana"/>
        </w:rPr>
        <w:t>Tlachinollan</w:t>
      </w:r>
      <w:proofErr w:type="spellEnd"/>
      <w:r w:rsidRPr="002E142C">
        <w:rPr>
          <w:rFonts w:ascii="Verdana" w:hAnsi="Verdana"/>
        </w:rPr>
        <w:t xml:space="preserve"> en Ayutla, </w:t>
      </w:r>
      <w:r w:rsidR="00FE7661" w:rsidRPr="002E142C">
        <w:rPr>
          <w:rFonts w:ascii="Verdana" w:hAnsi="Verdana"/>
        </w:rPr>
        <w:t xml:space="preserve">Inés Fernández y su esposo </w:t>
      </w:r>
      <w:r w:rsidR="005528FB" w:rsidRPr="002E142C">
        <w:rPr>
          <w:rFonts w:ascii="Verdana" w:hAnsi="Verdana"/>
        </w:rPr>
        <w:t xml:space="preserve">habrían </w:t>
      </w:r>
      <w:r w:rsidRPr="002E142C">
        <w:rPr>
          <w:rFonts w:ascii="Verdana" w:hAnsi="Verdana"/>
        </w:rPr>
        <w:t xml:space="preserve">encontrado su perro muerto con varios impactos de bala. </w:t>
      </w:r>
      <w:r w:rsidR="005528FB" w:rsidRPr="002E142C">
        <w:rPr>
          <w:rFonts w:ascii="Verdana" w:hAnsi="Verdana"/>
        </w:rPr>
        <w:t>Asimismo, e</w:t>
      </w:r>
      <w:r w:rsidRPr="002E142C">
        <w:rPr>
          <w:rFonts w:ascii="Verdana" w:hAnsi="Verdana"/>
        </w:rPr>
        <w:t>l 30 de abril de 2016</w:t>
      </w:r>
      <w:r w:rsidR="00711549">
        <w:rPr>
          <w:rFonts w:ascii="Verdana" w:hAnsi="Verdana"/>
        </w:rPr>
        <w:t>,</w:t>
      </w:r>
      <w:r w:rsidRPr="002E142C">
        <w:rPr>
          <w:rFonts w:ascii="Verdana" w:hAnsi="Verdana"/>
        </w:rPr>
        <w:t xml:space="preserve"> “tras su regreso de una reunión con representantes del gobierno guerrerense en torno al cumplimiento de la sentencia en el Caso Fernández Ortega, […] [la beneficiaria] se dio cuenta […] que los peces – aproximadamente 400 – estaban muertos aparentemente por envenenamiento”. Los representantes </w:t>
      </w:r>
      <w:r w:rsidR="005528FB" w:rsidRPr="002E142C">
        <w:rPr>
          <w:rFonts w:ascii="Verdana" w:hAnsi="Verdana"/>
        </w:rPr>
        <w:t xml:space="preserve">alegaron </w:t>
      </w:r>
      <w:r w:rsidRPr="002E142C">
        <w:rPr>
          <w:rFonts w:ascii="Verdana" w:hAnsi="Verdana"/>
        </w:rPr>
        <w:t xml:space="preserve">que “si bien [estos] hechos […] no fueron ataques específicamente en contra de ellos, sí representan actos de amedrentamiento en su contra”. </w:t>
      </w:r>
      <w:r w:rsidR="005528FB" w:rsidRPr="002E142C">
        <w:rPr>
          <w:rFonts w:ascii="Verdana" w:hAnsi="Verdana"/>
        </w:rPr>
        <w:t xml:space="preserve">Añadieron </w:t>
      </w:r>
      <w:r w:rsidRPr="002E142C">
        <w:rPr>
          <w:rFonts w:ascii="Verdana" w:hAnsi="Verdana"/>
        </w:rPr>
        <w:t>que “el riesgo en que se encuentran Inés Fernández y su familia continúa siendo actual y latente” y que “el factor esencial para medir dicho riesgo [es] la falta de real avance del Estado en la implementación adecuada de la totalidad de las medidas de protección”. Por lo tanto,</w:t>
      </w:r>
      <w:r w:rsidRPr="002E142C">
        <w:rPr>
          <w:rFonts w:ascii="Verdana" w:hAnsi="Verdana"/>
          <w:b/>
        </w:rPr>
        <w:t xml:space="preserve"> </w:t>
      </w:r>
      <w:r w:rsidRPr="002E142C">
        <w:rPr>
          <w:rFonts w:ascii="Verdana" w:hAnsi="Verdana"/>
        </w:rPr>
        <w:t>consideraron necesario que “se realice un análisis del riesgo de l</w:t>
      </w:r>
      <w:r w:rsidR="000F1BA6">
        <w:rPr>
          <w:rFonts w:ascii="Verdana" w:hAnsi="Verdana"/>
        </w:rPr>
        <w:t>o</w:t>
      </w:r>
      <w:r w:rsidRPr="002E142C">
        <w:rPr>
          <w:rFonts w:ascii="Verdana" w:hAnsi="Verdana"/>
        </w:rPr>
        <w:t>s beneficiari</w:t>
      </w:r>
      <w:r w:rsidR="000F1BA6">
        <w:rPr>
          <w:rFonts w:ascii="Verdana" w:hAnsi="Verdana"/>
        </w:rPr>
        <w:t>o</w:t>
      </w:r>
      <w:r w:rsidRPr="002E142C">
        <w:rPr>
          <w:rFonts w:ascii="Verdana" w:hAnsi="Verdana"/>
        </w:rPr>
        <w:t xml:space="preserve">s a efectos de determinar objetiva e imparcialmente si la situación persiste o no”. </w:t>
      </w:r>
    </w:p>
    <w:p w14:paraId="457B544D" w14:textId="77777777" w:rsidR="0090001F" w:rsidRPr="002E142C" w:rsidRDefault="0090001F" w:rsidP="002B25B6">
      <w:pPr>
        <w:pStyle w:val="BodyText2"/>
        <w:tabs>
          <w:tab w:val="left" w:pos="567"/>
        </w:tabs>
        <w:spacing w:after="0" w:line="240" w:lineRule="auto"/>
        <w:jc w:val="both"/>
        <w:rPr>
          <w:rFonts w:ascii="Verdana" w:hAnsi="Verdana"/>
          <w:b/>
        </w:rPr>
      </w:pPr>
    </w:p>
    <w:p w14:paraId="64902208" w14:textId="665E5EA6" w:rsidR="001F6B2A" w:rsidRPr="002E142C" w:rsidRDefault="00711E03" w:rsidP="002B25B6">
      <w:pPr>
        <w:pStyle w:val="BodyText2"/>
        <w:numPr>
          <w:ilvl w:val="0"/>
          <w:numId w:val="3"/>
        </w:numPr>
        <w:tabs>
          <w:tab w:val="left" w:pos="567"/>
        </w:tabs>
        <w:spacing w:after="0" w:line="240" w:lineRule="auto"/>
        <w:jc w:val="both"/>
        <w:rPr>
          <w:rFonts w:ascii="Verdana" w:hAnsi="Verdana"/>
          <w:b/>
        </w:rPr>
      </w:pPr>
      <w:bookmarkStart w:id="7" w:name="_Ref473643228"/>
      <w:r w:rsidRPr="002E142C">
        <w:rPr>
          <w:rFonts w:ascii="Verdana" w:hAnsi="Verdana"/>
        </w:rPr>
        <w:t xml:space="preserve">Por otra parte, </w:t>
      </w:r>
      <w:r w:rsidR="00680F98" w:rsidRPr="002E142C">
        <w:rPr>
          <w:rFonts w:ascii="Verdana" w:hAnsi="Verdana"/>
        </w:rPr>
        <w:t>d</w:t>
      </w:r>
      <w:r w:rsidRPr="002E142C">
        <w:rPr>
          <w:rFonts w:ascii="Verdana" w:hAnsi="Verdana"/>
        </w:rPr>
        <w:t xml:space="preserve">esde la última Resolución los representantes han </w:t>
      </w:r>
      <w:r w:rsidR="001F6B2A" w:rsidRPr="002E142C">
        <w:rPr>
          <w:rFonts w:ascii="Verdana" w:hAnsi="Verdana"/>
        </w:rPr>
        <w:t xml:space="preserve">puesto en conocimiento de este Tribunal los siguientes presuntos nuevos hechos de amenaza y riesgo con respecto a los integrantes de la OPIM y </w:t>
      </w:r>
      <w:proofErr w:type="spellStart"/>
      <w:r w:rsidR="001F6B2A" w:rsidRPr="002E142C">
        <w:rPr>
          <w:rFonts w:ascii="Verdana" w:hAnsi="Verdana"/>
        </w:rPr>
        <w:t>Tlachinollan</w:t>
      </w:r>
      <w:proofErr w:type="spellEnd"/>
      <w:r w:rsidR="001F6B2A" w:rsidRPr="002E142C">
        <w:rPr>
          <w:rFonts w:ascii="Verdana" w:hAnsi="Verdana"/>
        </w:rPr>
        <w:t>:</w:t>
      </w:r>
      <w:bookmarkEnd w:id="7"/>
    </w:p>
    <w:p w14:paraId="08768AA4" w14:textId="77777777" w:rsidR="001F6B2A" w:rsidRPr="002E142C" w:rsidRDefault="001F6B2A" w:rsidP="002B25B6">
      <w:pPr>
        <w:pStyle w:val="BodyText2"/>
        <w:tabs>
          <w:tab w:val="left" w:pos="567"/>
        </w:tabs>
        <w:spacing w:after="0" w:line="240" w:lineRule="auto"/>
        <w:jc w:val="both"/>
        <w:rPr>
          <w:rFonts w:ascii="Verdana" w:hAnsi="Verdana"/>
          <w:b/>
        </w:rPr>
      </w:pPr>
    </w:p>
    <w:p w14:paraId="46B1611D" w14:textId="6116B8DD" w:rsidR="001F6B2A" w:rsidRPr="002E142C" w:rsidRDefault="001F6B2A" w:rsidP="005528FB">
      <w:pPr>
        <w:pStyle w:val="BodyText2"/>
        <w:numPr>
          <w:ilvl w:val="0"/>
          <w:numId w:val="5"/>
        </w:numPr>
        <w:tabs>
          <w:tab w:val="left" w:pos="709"/>
        </w:tabs>
        <w:spacing w:after="0" w:line="240" w:lineRule="auto"/>
        <w:jc w:val="both"/>
        <w:rPr>
          <w:rFonts w:ascii="Verdana" w:hAnsi="Verdana"/>
          <w:b/>
        </w:rPr>
      </w:pPr>
      <w:r w:rsidRPr="002E142C">
        <w:rPr>
          <w:rFonts w:ascii="Verdana" w:hAnsi="Verdana"/>
        </w:rPr>
        <w:t xml:space="preserve">El 3 de marzo de 2016 “integrantes del equipo de </w:t>
      </w:r>
      <w:proofErr w:type="spellStart"/>
      <w:r w:rsidRPr="002E142C">
        <w:rPr>
          <w:rFonts w:ascii="Verdana" w:hAnsi="Verdana"/>
        </w:rPr>
        <w:t>Tlachinollan</w:t>
      </w:r>
      <w:proofErr w:type="spellEnd"/>
      <w:r w:rsidRPr="002E142C">
        <w:rPr>
          <w:rFonts w:ascii="Verdana" w:hAnsi="Verdana"/>
        </w:rPr>
        <w:t xml:space="preserve">, entre ellos Abel Barrera Hernández, Isidoro Vicario Aguilar y </w:t>
      </w:r>
      <w:proofErr w:type="spellStart"/>
      <w:r w:rsidRPr="002E142C">
        <w:rPr>
          <w:rFonts w:ascii="Verdana" w:hAnsi="Verdana"/>
        </w:rPr>
        <w:t>Vidulfo</w:t>
      </w:r>
      <w:proofErr w:type="spellEnd"/>
      <w:r w:rsidRPr="002E142C">
        <w:rPr>
          <w:rFonts w:ascii="Verdana" w:hAnsi="Verdana"/>
        </w:rPr>
        <w:t xml:space="preserve"> Rosales Sierra, […] [habrían sido] detenidos por una patrulla de la Policía Federal”. En el marco de esta detención, se habría realizado una serie de cuestionamientos, en parte de manera violenta. Además, “los elementos de la Policía Federal […] se [habrían] </w:t>
      </w:r>
      <w:proofErr w:type="gramStart"/>
      <w:r w:rsidRPr="002E142C">
        <w:rPr>
          <w:rFonts w:ascii="Verdana" w:hAnsi="Verdana"/>
        </w:rPr>
        <w:t>queda[</w:t>
      </w:r>
      <w:proofErr w:type="gramEnd"/>
      <w:r w:rsidRPr="002E142C">
        <w:rPr>
          <w:rFonts w:ascii="Verdana" w:hAnsi="Verdana"/>
        </w:rPr>
        <w:t xml:space="preserve">do] con la tarjeta de circulación de la camioneta”. </w:t>
      </w:r>
    </w:p>
    <w:p w14:paraId="1DE75D78" w14:textId="77777777" w:rsidR="001F6B2A" w:rsidRPr="002E142C" w:rsidRDefault="001F6B2A" w:rsidP="005528FB">
      <w:pPr>
        <w:pStyle w:val="BodyText2"/>
        <w:tabs>
          <w:tab w:val="left" w:pos="709"/>
        </w:tabs>
        <w:spacing w:after="0" w:line="240" w:lineRule="auto"/>
        <w:ind w:left="720" w:hanging="360"/>
        <w:jc w:val="both"/>
        <w:rPr>
          <w:rFonts w:ascii="Verdana" w:hAnsi="Verdana"/>
          <w:b/>
        </w:rPr>
      </w:pPr>
    </w:p>
    <w:p w14:paraId="4FF98674" w14:textId="17DEF2E1" w:rsidR="001F6B2A" w:rsidRPr="002E142C" w:rsidRDefault="001F6B2A" w:rsidP="005528FB">
      <w:pPr>
        <w:pStyle w:val="BodyText2"/>
        <w:numPr>
          <w:ilvl w:val="0"/>
          <w:numId w:val="4"/>
        </w:numPr>
        <w:tabs>
          <w:tab w:val="left" w:pos="709"/>
        </w:tabs>
        <w:spacing w:after="0" w:line="240" w:lineRule="auto"/>
        <w:ind w:hanging="360"/>
        <w:jc w:val="both"/>
        <w:rPr>
          <w:rFonts w:ascii="Verdana" w:hAnsi="Verdana"/>
          <w:b/>
        </w:rPr>
      </w:pPr>
      <w:r w:rsidRPr="002E142C">
        <w:rPr>
          <w:rFonts w:ascii="Verdana" w:hAnsi="Verdana"/>
        </w:rPr>
        <w:t xml:space="preserve">El 6 de marzo del mismo año, “cuando el equipo </w:t>
      </w:r>
      <w:r w:rsidR="006E320E" w:rsidRPr="002E142C">
        <w:rPr>
          <w:rFonts w:ascii="Verdana" w:hAnsi="Verdana"/>
        </w:rPr>
        <w:t>se disponía a</w:t>
      </w:r>
      <w:r w:rsidRPr="002E142C">
        <w:rPr>
          <w:rFonts w:ascii="Verdana" w:hAnsi="Verdana"/>
        </w:rPr>
        <w:t xml:space="preserve"> salir de la ciudad de Chilpancingo”, notaron que la camioneta habría sido robada, lo que se comunicó al Sistema de emergencias. Un día después, </w:t>
      </w:r>
      <w:r w:rsidR="00CA1892" w:rsidRPr="002E142C">
        <w:rPr>
          <w:rFonts w:ascii="Verdana" w:hAnsi="Verdana"/>
        </w:rPr>
        <w:t>interpusieron</w:t>
      </w:r>
      <w:r w:rsidRPr="002E142C">
        <w:rPr>
          <w:rFonts w:ascii="Verdana" w:hAnsi="Verdana"/>
        </w:rPr>
        <w:t xml:space="preserve"> “la respectiva denuncia ante la Fiscalía”</w:t>
      </w:r>
      <w:r w:rsidRPr="002E142C">
        <w:rPr>
          <w:rStyle w:val="FootnoteReference"/>
          <w:sz w:val="20"/>
          <w:lang w:val="es-ES"/>
        </w:rPr>
        <w:footnoteReference w:id="10"/>
      </w:r>
      <w:r w:rsidRPr="002E142C">
        <w:rPr>
          <w:rFonts w:ascii="Verdana" w:hAnsi="Verdana"/>
        </w:rPr>
        <w:t xml:space="preserve">. </w:t>
      </w:r>
    </w:p>
    <w:p w14:paraId="32A80362" w14:textId="77777777" w:rsidR="001F6B2A" w:rsidRPr="002E142C" w:rsidRDefault="001F6B2A" w:rsidP="005528FB">
      <w:pPr>
        <w:pStyle w:val="BodyText2"/>
        <w:tabs>
          <w:tab w:val="left" w:pos="709"/>
        </w:tabs>
        <w:spacing w:after="0" w:line="240" w:lineRule="auto"/>
        <w:ind w:left="720" w:hanging="360"/>
        <w:jc w:val="both"/>
        <w:rPr>
          <w:rFonts w:ascii="Verdana" w:hAnsi="Verdana"/>
          <w:b/>
        </w:rPr>
      </w:pPr>
    </w:p>
    <w:p w14:paraId="72968803" w14:textId="5989894D" w:rsidR="001F6B2A" w:rsidRPr="002E142C" w:rsidRDefault="001F6B2A" w:rsidP="005528FB">
      <w:pPr>
        <w:pStyle w:val="BodyText2"/>
        <w:numPr>
          <w:ilvl w:val="0"/>
          <w:numId w:val="4"/>
        </w:numPr>
        <w:tabs>
          <w:tab w:val="left" w:pos="709"/>
        </w:tabs>
        <w:spacing w:after="0" w:line="240" w:lineRule="auto"/>
        <w:ind w:hanging="360"/>
        <w:jc w:val="both"/>
        <w:rPr>
          <w:rFonts w:ascii="Verdana" w:hAnsi="Verdana"/>
          <w:b/>
        </w:rPr>
      </w:pPr>
      <w:r w:rsidRPr="002E142C">
        <w:rPr>
          <w:rFonts w:ascii="Verdana" w:hAnsi="Verdana"/>
        </w:rPr>
        <w:t>El 4 de marzo de 2016 habría sido detenido el señor Severo Eugenio Remigio “acusado del delito de homicidio calificado en perjuicio de Alejandro Feliciano García, en el marco del expediente penal 48/2008-II”</w:t>
      </w:r>
      <w:r w:rsidRPr="002E142C">
        <w:rPr>
          <w:rStyle w:val="FootnoteReference"/>
          <w:sz w:val="20"/>
          <w:lang w:val="es-ES"/>
        </w:rPr>
        <w:footnoteReference w:id="11"/>
      </w:r>
      <w:r w:rsidRPr="002E142C">
        <w:rPr>
          <w:rFonts w:ascii="Verdana" w:hAnsi="Verdana"/>
        </w:rPr>
        <w:t xml:space="preserve">. El 10 de marzo de 2016 el señor </w:t>
      </w:r>
      <w:r w:rsidRPr="002E142C">
        <w:rPr>
          <w:rFonts w:ascii="Verdana" w:hAnsi="Verdana"/>
        </w:rPr>
        <w:lastRenderedPageBreak/>
        <w:t>Remigio “habría sido puesto en libertad […] ‘por falta de elementos´ y ‘por no acreditarse su responsabilidad en la comisión del delito’”</w:t>
      </w:r>
      <w:r w:rsidRPr="002E142C">
        <w:rPr>
          <w:rStyle w:val="FootnoteReference"/>
          <w:sz w:val="20"/>
          <w:lang w:val="es-ES"/>
        </w:rPr>
        <w:footnoteReference w:id="12"/>
      </w:r>
      <w:r w:rsidRPr="002E142C">
        <w:rPr>
          <w:rFonts w:ascii="Verdana" w:hAnsi="Verdana"/>
        </w:rPr>
        <w:t xml:space="preserve">. </w:t>
      </w:r>
    </w:p>
    <w:p w14:paraId="13ECCAE3" w14:textId="77777777" w:rsidR="001F6B2A" w:rsidRPr="002E142C" w:rsidRDefault="001F6B2A" w:rsidP="005528FB">
      <w:pPr>
        <w:pStyle w:val="BodyText2"/>
        <w:tabs>
          <w:tab w:val="left" w:pos="709"/>
        </w:tabs>
        <w:spacing w:after="0" w:line="240" w:lineRule="auto"/>
        <w:ind w:left="720" w:hanging="360"/>
        <w:jc w:val="both"/>
        <w:rPr>
          <w:rFonts w:ascii="Verdana" w:hAnsi="Verdana"/>
          <w:b/>
        </w:rPr>
      </w:pPr>
    </w:p>
    <w:p w14:paraId="7E301A3D" w14:textId="388C1C21" w:rsidR="001F6B2A" w:rsidRPr="002E142C" w:rsidRDefault="001F6B2A" w:rsidP="005528FB">
      <w:pPr>
        <w:pStyle w:val="BodyText2"/>
        <w:numPr>
          <w:ilvl w:val="0"/>
          <w:numId w:val="4"/>
        </w:numPr>
        <w:tabs>
          <w:tab w:val="left" w:pos="709"/>
        </w:tabs>
        <w:spacing w:after="0" w:line="240" w:lineRule="auto"/>
        <w:ind w:hanging="360"/>
        <w:jc w:val="both"/>
        <w:rPr>
          <w:rFonts w:ascii="Verdana" w:hAnsi="Verdana"/>
          <w:b/>
        </w:rPr>
      </w:pPr>
      <w:r w:rsidRPr="002E142C">
        <w:rPr>
          <w:rFonts w:ascii="Verdana" w:hAnsi="Verdana"/>
        </w:rPr>
        <w:t xml:space="preserve">El señor </w:t>
      </w:r>
      <w:proofErr w:type="spellStart"/>
      <w:r w:rsidRPr="002E142C">
        <w:rPr>
          <w:rFonts w:ascii="Verdana" w:hAnsi="Verdana"/>
        </w:rPr>
        <w:t>Vidulfo</w:t>
      </w:r>
      <w:proofErr w:type="spellEnd"/>
      <w:r w:rsidRPr="002E142C">
        <w:rPr>
          <w:rFonts w:ascii="Verdana" w:hAnsi="Verdana"/>
        </w:rPr>
        <w:t xml:space="preserve"> Rosales habría sido objeto, conjuntamente con un padre de los 43 estudiantes desaparecidos de la Normal Rural “Raúl Isidro Burgos” de </w:t>
      </w:r>
      <w:proofErr w:type="spellStart"/>
      <w:r w:rsidRPr="002E142C">
        <w:rPr>
          <w:rFonts w:ascii="Verdana" w:hAnsi="Verdana"/>
        </w:rPr>
        <w:t>Ayotzinapa</w:t>
      </w:r>
      <w:proofErr w:type="spellEnd"/>
      <w:r w:rsidRPr="002E142C">
        <w:rPr>
          <w:rFonts w:ascii="Verdana" w:hAnsi="Verdana"/>
        </w:rPr>
        <w:t xml:space="preserve">, de “recientes escuchas telefónicas ilegales […] </w:t>
      </w:r>
      <w:proofErr w:type="gramStart"/>
      <w:r w:rsidRPr="002E142C">
        <w:rPr>
          <w:rFonts w:ascii="Verdana" w:hAnsi="Verdana"/>
        </w:rPr>
        <w:t>descontextualiza[</w:t>
      </w:r>
      <w:proofErr w:type="spellStart"/>
      <w:proofErr w:type="gramEnd"/>
      <w:r w:rsidRPr="002E142C">
        <w:rPr>
          <w:rFonts w:ascii="Verdana" w:hAnsi="Verdana"/>
        </w:rPr>
        <w:t>ndo</w:t>
      </w:r>
      <w:proofErr w:type="spellEnd"/>
      <w:r w:rsidRPr="002E142C">
        <w:rPr>
          <w:rFonts w:ascii="Verdana" w:hAnsi="Verdana"/>
        </w:rPr>
        <w:t>] llamadas de los antes mencionados [y] vincula[</w:t>
      </w:r>
      <w:proofErr w:type="spellStart"/>
      <w:r w:rsidRPr="002E142C">
        <w:rPr>
          <w:rFonts w:ascii="Verdana" w:hAnsi="Verdana"/>
        </w:rPr>
        <w:t>ndo</w:t>
      </w:r>
      <w:proofErr w:type="spellEnd"/>
      <w:r w:rsidRPr="002E142C">
        <w:rPr>
          <w:rFonts w:ascii="Verdana" w:hAnsi="Verdana"/>
        </w:rPr>
        <w:t>] al abogado de derechos humanos con la organización criminal ‘Guerrero[s] Unidos’”</w:t>
      </w:r>
      <w:r w:rsidRPr="002E142C">
        <w:rPr>
          <w:rStyle w:val="FootnoteReference"/>
          <w:sz w:val="20"/>
          <w:lang w:val="es-ES"/>
        </w:rPr>
        <w:footnoteReference w:id="13"/>
      </w:r>
      <w:r w:rsidRPr="002E142C">
        <w:rPr>
          <w:rFonts w:ascii="Verdana" w:hAnsi="Verdana"/>
        </w:rPr>
        <w:t>. Los representantes alegaron que el Estado “no se ha pronunciado sobre la ilegalidad de [estas] escuchas […], ni ha explicado si se abrirá una investigación”. Añadieron que no se realizaron denuncias “en virtud de la fundada desconfianza en las autoridades en el estado de Guerrero”</w:t>
      </w:r>
      <w:r w:rsidRPr="002E142C">
        <w:rPr>
          <w:rStyle w:val="FootnoteReference"/>
          <w:sz w:val="20"/>
          <w:lang w:val="es-ES"/>
        </w:rPr>
        <w:footnoteReference w:id="14"/>
      </w:r>
      <w:r w:rsidRPr="002E142C">
        <w:rPr>
          <w:rFonts w:ascii="Verdana" w:hAnsi="Verdana"/>
        </w:rPr>
        <w:t xml:space="preserve">. </w:t>
      </w:r>
    </w:p>
    <w:p w14:paraId="166B83B5" w14:textId="77777777" w:rsidR="001F6B2A" w:rsidRPr="002E142C" w:rsidRDefault="001F6B2A" w:rsidP="005528FB">
      <w:pPr>
        <w:pStyle w:val="BodyText2"/>
        <w:tabs>
          <w:tab w:val="left" w:pos="709"/>
        </w:tabs>
        <w:spacing w:after="0" w:line="240" w:lineRule="auto"/>
        <w:ind w:left="720" w:hanging="360"/>
        <w:jc w:val="both"/>
        <w:rPr>
          <w:rFonts w:ascii="Verdana" w:hAnsi="Verdana"/>
          <w:b/>
        </w:rPr>
      </w:pPr>
    </w:p>
    <w:p w14:paraId="35A87FA9" w14:textId="5F2B3402" w:rsidR="001F6B2A" w:rsidRPr="002E142C" w:rsidRDefault="001F6B2A" w:rsidP="005528FB">
      <w:pPr>
        <w:pStyle w:val="BodyText2"/>
        <w:numPr>
          <w:ilvl w:val="0"/>
          <w:numId w:val="4"/>
        </w:numPr>
        <w:tabs>
          <w:tab w:val="left" w:pos="709"/>
        </w:tabs>
        <w:spacing w:after="0" w:line="240" w:lineRule="auto"/>
        <w:ind w:hanging="360"/>
        <w:jc w:val="both"/>
        <w:rPr>
          <w:rFonts w:ascii="Verdana" w:hAnsi="Verdana"/>
        </w:rPr>
      </w:pPr>
      <w:r w:rsidRPr="002E142C">
        <w:rPr>
          <w:rFonts w:ascii="Verdana" w:hAnsi="Verdana"/>
        </w:rPr>
        <w:t xml:space="preserve">Aproximadamente el 30 de agosto de 2016 </w:t>
      </w:r>
      <w:r w:rsidR="00111F6D" w:rsidRPr="002E142C">
        <w:rPr>
          <w:rFonts w:ascii="Verdana" w:hAnsi="Verdana"/>
        </w:rPr>
        <w:t xml:space="preserve">personal </w:t>
      </w:r>
      <w:r w:rsidRPr="002E142C">
        <w:rPr>
          <w:rFonts w:ascii="Verdana" w:hAnsi="Verdana"/>
        </w:rPr>
        <w:t xml:space="preserve">de </w:t>
      </w:r>
      <w:proofErr w:type="spellStart"/>
      <w:r w:rsidRPr="002E142C">
        <w:rPr>
          <w:rFonts w:ascii="Verdana" w:hAnsi="Verdana"/>
        </w:rPr>
        <w:t>Tlachinollan</w:t>
      </w:r>
      <w:proofErr w:type="spellEnd"/>
      <w:r w:rsidRPr="002E142C">
        <w:rPr>
          <w:rFonts w:ascii="Verdana" w:hAnsi="Verdana"/>
        </w:rPr>
        <w:t xml:space="preserve"> </w:t>
      </w:r>
      <w:r w:rsidR="00111F6D" w:rsidRPr="002E142C">
        <w:rPr>
          <w:rFonts w:ascii="Verdana" w:hAnsi="Verdana"/>
        </w:rPr>
        <w:t>habría sido amedrentado por dos personas armadas</w:t>
      </w:r>
      <w:r w:rsidR="000F1BA6">
        <w:rPr>
          <w:rFonts w:ascii="Verdana" w:hAnsi="Verdana"/>
        </w:rPr>
        <w:t>,</w:t>
      </w:r>
      <w:r w:rsidR="00111F6D" w:rsidRPr="002E142C">
        <w:rPr>
          <w:rFonts w:ascii="Verdana" w:hAnsi="Verdana"/>
        </w:rPr>
        <w:t xml:space="preserve"> al solicitar información sobre</w:t>
      </w:r>
      <w:r w:rsidRPr="002E142C">
        <w:rPr>
          <w:rFonts w:ascii="Verdana" w:hAnsi="Verdana"/>
        </w:rPr>
        <w:t xml:space="preserve"> las salidas de los autobuses a Sinaloa</w:t>
      </w:r>
      <w:r w:rsidR="001B4338" w:rsidRPr="002E142C">
        <w:rPr>
          <w:rFonts w:ascii="Verdana" w:hAnsi="Verdana"/>
        </w:rPr>
        <w:t>, debido a</w:t>
      </w:r>
      <w:r w:rsidRPr="002E142C">
        <w:rPr>
          <w:rFonts w:ascii="Verdana" w:hAnsi="Verdana"/>
        </w:rPr>
        <w:t xml:space="preserve"> un jornaler</w:t>
      </w:r>
      <w:r w:rsidR="00111F6D" w:rsidRPr="002E142C">
        <w:rPr>
          <w:rFonts w:ascii="Verdana" w:hAnsi="Verdana"/>
        </w:rPr>
        <w:t>o</w:t>
      </w:r>
      <w:r w:rsidRPr="002E142C">
        <w:rPr>
          <w:rFonts w:ascii="Verdana" w:hAnsi="Verdana"/>
        </w:rPr>
        <w:t xml:space="preserve"> que no había llegado</w:t>
      </w:r>
      <w:r w:rsidR="00111F6D" w:rsidRPr="002E142C">
        <w:rPr>
          <w:rFonts w:ascii="Verdana" w:hAnsi="Verdana"/>
        </w:rPr>
        <w:t xml:space="preserve"> a su destino</w:t>
      </w:r>
      <w:r w:rsidRPr="002E142C">
        <w:rPr>
          <w:rStyle w:val="FootnoteReference"/>
          <w:sz w:val="20"/>
          <w:lang w:val="es-ES"/>
        </w:rPr>
        <w:footnoteReference w:id="15"/>
      </w:r>
      <w:r w:rsidRPr="002E142C">
        <w:rPr>
          <w:rFonts w:ascii="Verdana" w:hAnsi="Verdana"/>
        </w:rPr>
        <w:t xml:space="preserve">. </w:t>
      </w:r>
    </w:p>
    <w:p w14:paraId="1C36461F" w14:textId="77777777" w:rsidR="001F6B2A" w:rsidRPr="002E142C" w:rsidRDefault="001F6B2A" w:rsidP="005528FB">
      <w:pPr>
        <w:pStyle w:val="BodyText2"/>
        <w:tabs>
          <w:tab w:val="left" w:pos="709"/>
        </w:tabs>
        <w:spacing w:after="0" w:line="240" w:lineRule="auto"/>
        <w:ind w:left="720" w:hanging="360"/>
        <w:jc w:val="both"/>
        <w:rPr>
          <w:rFonts w:ascii="Verdana" w:hAnsi="Verdana"/>
        </w:rPr>
      </w:pPr>
    </w:p>
    <w:p w14:paraId="692CD0ED" w14:textId="7F9BF4D4" w:rsidR="001F6B2A" w:rsidRPr="002E142C" w:rsidRDefault="001F6B2A" w:rsidP="005528FB">
      <w:pPr>
        <w:pStyle w:val="BodyText2"/>
        <w:numPr>
          <w:ilvl w:val="0"/>
          <w:numId w:val="4"/>
        </w:numPr>
        <w:tabs>
          <w:tab w:val="left" w:pos="709"/>
        </w:tabs>
        <w:spacing w:after="0" w:line="240" w:lineRule="auto"/>
        <w:ind w:hanging="360"/>
        <w:jc w:val="both"/>
        <w:rPr>
          <w:rFonts w:ascii="Verdana" w:hAnsi="Verdana"/>
        </w:rPr>
      </w:pPr>
      <w:r w:rsidRPr="002E142C">
        <w:rPr>
          <w:rFonts w:ascii="Verdana" w:hAnsi="Verdana"/>
        </w:rPr>
        <w:t>En septiembre de 2016</w:t>
      </w:r>
      <w:r w:rsidR="000F1BA6">
        <w:rPr>
          <w:rFonts w:ascii="Verdana" w:hAnsi="Verdana"/>
        </w:rPr>
        <w:t>,</w:t>
      </w:r>
      <w:r w:rsidRPr="002E142C">
        <w:rPr>
          <w:rFonts w:ascii="Verdana" w:hAnsi="Verdana"/>
        </w:rPr>
        <w:t xml:space="preserve"> “los defensores de </w:t>
      </w:r>
      <w:proofErr w:type="spellStart"/>
      <w:r w:rsidRPr="002E142C">
        <w:rPr>
          <w:rFonts w:ascii="Verdana" w:hAnsi="Verdana"/>
        </w:rPr>
        <w:t>Tlachinollan</w:t>
      </w:r>
      <w:proofErr w:type="spellEnd"/>
      <w:r w:rsidRPr="002E142C">
        <w:rPr>
          <w:rFonts w:ascii="Verdana" w:hAnsi="Verdana"/>
        </w:rPr>
        <w:t xml:space="preserve"> o</w:t>
      </w:r>
      <w:r w:rsidR="000F1BA6">
        <w:rPr>
          <w:rFonts w:ascii="Verdana" w:hAnsi="Verdana"/>
        </w:rPr>
        <w:t>btuvieron información confiable</w:t>
      </w:r>
      <w:r w:rsidRPr="002E142C">
        <w:rPr>
          <w:rFonts w:ascii="Verdana" w:hAnsi="Verdana"/>
        </w:rPr>
        <w:t xml:space="preserve"> de que varios elementos de la policía ministerial habían solicitado el apoyo de un grupo de la delincuencia organizada […] para que se encargaran de darles ‘su merecido’”</w:t>
      </w:r>
      <w:r w:rsidRPr="002E142C">
        <w:rPr>
          <w:rStyle w:val="FootnoteReference"/>
          <w:sz w:val="20"/>
          <w:lang w:val="es-ES"/>
        </w:rPr>
        <w:footnoteReference w:id="16"/>
      </w:r>
      <w:r w:rsidRPr="002E142C">
        <w:rPr>
          <w:rFonts w:ascii="Verdana" w:hAnsi="Verdana"/>
        </w:rPr>
        <w:t xml:space="preserve">. </w:t>
      </w:r>
      <w:r w:rsidR="00632750" w:rsidRPr="002E142C">
        <w:rPr>
          <w:rFonts w:ascii="Verdana" w:hAnsi="Verdana"/>
        </w:rPr>
        <w:t>“</w:t>
      </w:r>
      <w:r w:rsidRPr="002E142C">
        <w:rPr>
          <w:rFonts w:ascii="Verdana" w:hAnsi="Verdana"/>
        </w:rPr>
        <w:t xml:space="preserve">Ante este riesgo inminente uno de los abogados salió temporalmente de la ciudad […] [y] todos los miembros del equipo […] se han visto obligados de restringir sus actividades y a tomar medidas preventivas”. Los representantes alegaron que por esta situación “se vio la necesidad de compartir la información </w:t>
      </w:r>
      <w:r w:rsidR="00632750" w:rsidRPr="002E142C">
        <w:rPr>
          <w:rFonts w:ascii="Verdana" w:hAnsi="Verdana"/>
        </w:rPr>
        <w:t xml:space="preserve">s[o]lo </w:t>
      </w:r>
      <w:r w:rsidRPr="002E142C">
        <w:rPr>
          <w:rFonts w:ascii="Verdana" w:hAnsi="Verdana"/>
        </w:rPr>
        <w:t xml:space="preserve">[…] a nivel federal”, por lo que “se solicitó una reunión con el Secretario de Gobernación, misma que hasta [tal] momento no se </w:t>
      </w:r>
      <w:proofErr w:type="gramStart"/>
      <w:r w:rsidRPr="002E142C">
        <w:rPr>
          <w:rFonts w:ascii="Verdana" w:hAnsi="Verdana"/>
        </w:rPr>
        <w:t>ha</w:t>
      </w:r>
      <w:r w:rsidR="001B4338" w:rsidRPr="002E142C">
        <w:rPr>
          <w:rFonts w:ascii="Verdana" w:hAnsi="Verdana"/>
        </w:rPr>
        <w:t>[</w:t>
      </w:r>
      <w:proofErr w:type="spellStart"/>
      <w:proofErr w:type="gramEnd"/>
      <w:r w:rsidR="001B4338" w:rsidRPr="002E142C">
        <w:rPr>
          <w:rFonts w:ascii="Verdana" w:hAnsi="Verdana"/>
        </w:rPr>
        <w:t>bía</w:t>
      </w:r>
      <w:proofErr w:type="spellEnd"/>
      <w:r w:rsidR="001B4338" w:rsidRPr="002E142C">
        <w:rPr>
          <w:rFonts w:ascii="Verdana" w:hAnsi="Verdana"/>
        </w:rPr>
        <w:t>]</w:t>
      </w:r>
      <w:r w:rsidRPr="002E142C">
        <w:rPr>
          <w:rFonts w:ascii="Verdana" w:hAnsi="Verdana"/>
        </w:rPr>
        <w:t xml:space="preserve"> realizado”. </w:t>
      </w:r>
    </w:p>
    <w:p w14:paraId="775800BE" w14:textId="77777777" w:rsidR="001F6B2A" w:rsidRPr="002E142C" w:rsidRDefault="001F6B2A" w:rsidP="005528FB">
      <w:pPr>
        <w:pStyle w:val="ListParagraph"/>
        <w:tabs>
          <w:tab w:val="left" w:pos="709"/>
        </w:tabs>
        <w:ind w:hanging="360"/>
        <w:rPr>
          <w:b/>
        </w:rPr>
      </w:pPr>
    </w:p>
    <w:p w14:paraId="06216167" w14:textId="70BF9407" w:rsidR="001F6B2A" w:rsidRPr="002E142C" w:rsidRDefault="001F6B2A" w:rsidP="005528FB">
      <w:pPr>
        <w:pStyle w:val="BodyText2"/>
        <w:numPr>
          <w:ilvl w:val="0"/>
          <w:numId w:val="4"/>
        </w:numPr>
        <w:tabs>
          <w:tab w:val="left" w:pos="709"/>
        </w:tabs>
        <w:spacing w:after="0" w:line="240" w:lineRule="auto"/>
        <w:ind w:hanging="360"/>
        <w:jc w:val="both"/>
        <w:rPr>
          <w:rFonts w:ascii="Verdana" w:hAnsi="Verdana"/>
          <w:b/>
        </w:rPr>
      </w:pPr>
      <w:r w:rsidRPr="002E142C">
        <w:rPr>
          <w:rFonts w:ascii="Verdana" w:hAnsi="Verdana"/>
        </w:rPr>
        <w:t xml:space="preserve"> El 22 de octubre un </w:t>
      </w:r>
      <w:r w:rsidR="001B4338" w:rsidRPr="002E142C">
        <w:rPr>
          <w:rFonts w:ascii="Verdana" w:hAnsi="Verdana"/>
        </w:rPr>
        <w:t>“</w:t>
      </w:r>
      <w:r w:rsidRPr="002E142C">
        <w:rPr>
          <w:rFonts w:ascii="Verdana" w:hAnsi="Verdana"/>
        </w:rPr>
        <w:t>contratista [en la Casa del Jornalero] fue amenazad</w:t>
      </w:r>
      <w:r w:rsidR="001B4338" w:rsidRPr="002E142C">
        <w:rPr>
          <w:rFonts w:ascii="Verdana" w:hAnsi="Verdana"/>
        </w:rPr>
        <w:t>[o]</w:t>
      </w:r>
      <w:r w:rsidRPr="002E142C">
        <w:rPr>
          <w:rFonts w:ascii="Verdana" w:hAnsi="Verdana"/>
        </w:rPr>
        <w:t xml:space="preserve"> por elementos armados [</w:t>
      </w:r>
      <w:r w:rsidR="001B4338" w:rsidRPr="002E142C">
        <w:rPr>
          <w:rFonts w:ascii="Verdana" w:hAnsi="Verdana"/>
        </w:rPr>
        <w:t>presuntamente</w:t>
      </w:r>
      <w:r w:rsidRPr="002E142C">
        <w:rPr>
          <w:rFonts w:ascii="Verdana" w:hAnsi="Verdana"/>
        </w:rPr>
        <w:t>] de la delincuencia organizada</w:t>
      </w:r>
      <w:r w:rsidR="00542538" w:rsidRPr="002E142C">
        <w:rPr>
          <w:rFonts w:ascii="Verdana" w:hAnsi="Verdana"/>
        </w:rPr>
        <w:t>”</w:t>
      </w:r>
      <w:r w:rsidR="000F1BA6">
        <w:rPr>
          <w:rFonts w:ascii="Verdana" w:hAnsi="Verdana"/>
        </w:rPr>
        <w:t xml:space="preserve">, </w:t>
      </w:r>
      <w:r w:rsidR="001B4338" w:rsidRPr="002E142C">
        <w:rPr>
          <w:rFonts w:ascii="Verdana" w:hAnsi="Verdana"/>
        </w:rPr>
        <w:t xml:space="preserve">quienes le exigieron </w:t>
      </w:r>
      <w:r w:rsidR="00542538" w:rsidRPr="002E142C">
        <w:rPr>
          <w:rFonts w:ascii="Verdana" w:hAnsi="Verdana"/>
        </w:rPr>
        <w:t>“</w:t>
      </w:r>
      <w:r w:rsidRPr="002E142C">
        <w:rPr>
          <w:rFonts w:ascii="Verdana" w:hAnsi="Verdana"/>
        </w:rPr>
        <w:t>10 mil pesos</w:t>
      </w:r>
      <w:r w:rsidR="00542538" w:rsidRPr="002E142C">
        <w:rPr>
          <w:rFonts w:ascii="Verdana" w:hAnsi="Verdana"/>
        </w:rPr>
        <w:t xml:space="preserve"> de la ‘plaza’ para que pudiera trabajar o de lo contrario sufriría las consecuencias</w:t>
      </w:r>
      <w:r w:rsidRPr="002E142C">
        <w:rPr>
          <w:rFonts w:ascii="Verdana" w:hAnsi="Verdana"/>
        </w:rPr>
        <w:t>”</w:t>
      </w:r>
      <w:r w:rsidRPr="002E142C">
        <w:rPr>
          <w:rStyle w:val="FootnoteReference"/>
          <w:sz w:val="20"/>
          <w:lang w:val="es-ES"/>
        </w:rPr>
        <w:footnoteReference w:id="17"/>
      </w:r>
      <w:r w:rsidRPr="002E142C">
        <w:rPr>
          <w:rFonts w:ascii="Verdana" w:hAnsi="Verdana"/>
        </w:rPr>
        <w:t>. Vinculado a este hecho,</w:t>
      </w:r>
      <w:r w:rsidRPr="002E142C">
        <w:rPr>
          <w:rFonts w:ascii="Verdana" w:hAnsi="Verdana"/>
          <w:b/>
        </w:rPr>
        <w:t xml:space="preserve"> </w:t>
      </w:r>
      <w:r w:rsidRPr="002E142C">
        <w:rPr>
          <w:rFonts w:ascii="Verdana" w:hAnsi="Verdana"/>
        </w:rPr>
        <w:t xml:space="preserve">en noviembre de 2016 habrían </w:t>
      </w:r>
      <w:r w:rsidRPr="002E142C">
        <w:rPr>
          <w:rFonts w:ascii="Verdana" w:hAnsi="Verdana"/>
        </w:rPr>
        <w:lastRenderedPageBreak/>
        <w:t xml:space="preserve">ingresado dos personas a la Casa del Jornalero preguntando por el contratista porque “tenía que entregar los 10 mil pesos”. En la misma noche estas mismas personas habrían subido al contratista y su sobrino “a un vehículo y les quitaron la cantidad de 14 mil pesos que era la que usarían para ver lo de los autobuses. Posteriormente los bajaron sin decirles nada más, pero en el jaloneo los golpearon”. </w:t>
      </w:r>
    </w:p>
    <w:p w14:paraId="49A260F1" w14:textId="77777777" w:rsidR="001F6B2A" w:rsidRPr="002E142C" w:rsidRDefault="001F6B2A" w:rsidP="002B25B6">
      <w:pPr>
        <w:pStyle w:val="BodyText2"/>
        <w:tabs>
          <w:tab w:val="left" w:pos="567"/>
        </w:tabs>
        <w:spacing w:after="0" w:line="240" w:lineRule="auto"/>
        <w:ind w:left="720"/>
        <w:jc w:val="both"/>
        <w:rPr>
          <w:rFonts w:ascii="Verdana" w:hAnsi="Verdana"/>
          <w:b/>
        </w:rPr>
      </w:pPr>
      <w:r w:rsidRPr="002E142C">
        <w:rPr>
          <w:rFonts w:ascii="Verdana" w:hAnsi="Verdana"/>
        </w:rPr>
        <w:t xml:space="preserve"> </w:t>
      </w:r>
      <w:r w:rsidRPr="002E142C">
        <w:rPr>
          <w:rFonts w:ascii="Verdana" w:hAnsi="Verdana"/>
          <w:b/>
        </w:rPr>
        <w:t xml:space="preserve"> </w:t>
      </w:r>
    </w:p>
    <w:p w14:paraId="756DE40D" w14:textId="0BF9F635" w:rsidR="001F6B2A" w:rsidRPr="002E142C" w:rsidRDefault="001F6B2A" w:rsidP="002B25B6">
      <w:pPr>
        <w:pStyle w:val="BodyText2"/>
        <w:numPr>
          <w:ilvl w:val="0"/>
          <w:numId w:val="3"/>
        </w:numPr>
        <w:tabs>
          <w:tab w:val="left" w:pos="567"/>
        </w:tabs>
        <w:spacing w:after="0" w:line="240" w:lineRule="auto"/>
        <w:jc w:val="both"/>
        <w:rPr>
          <w:rFonts w:ascii="Verdana" w:hAnsi="Verdana"/>
        </w:rPr>
      </w:pPr>
      <w:bookmarkStart w:id="8" w:name="_Ref473643211"/>
      <w:r w:rsidRPr="002E142C">
        <w:rPr>
          <w:rFonts w:ascii="Verdana" w:hAnsi="Verdana"/>
        </w:rPr>
        <w:t xml:space="preserve">Los representantes informaron que no ha sido posible contactar a la señora </w:t>
      </w:r>
      <w:proofErr w:type="spellStart"/>
      <w:r w:rsidR="00F24EBC" w:rsidRPr="002E142C">
        <w:rPr>
          <w:rFonts w:ascii="Verdana" w:hAnsi="Verdana"/>
        </w:rPr>
        <w:t>Obtilia</w:t>
      </w:r>
      <w:proofErr w:type="spellEnd"/>
      <w:r w:rsidR="00F24EBC" w:rsidRPr="002E142C">
        <w:rPr>
          <w:rFonts w:ascii="Verdana" w:hAnsi="Verdana"/>
        </w:rPr>
        <w:t xml:space="preserve"> </w:t>
      </w:r>
      <w:r w:rsidRPr="002E142C">
        <w:rPr>
          <w:rFonts w:ascii="Verdana" w:hAnsi="Verdana"/>
        </w:rPr>
        <w:t>Eugenio Manuel y sus familiares, así como con los miembros de la OPIM</w:t>
      </w:r>
      <w:r w:rsidR="00F24EBC" w:rsidRPr="002E142C">
        <w:rPr>
          <w:rFonts w:ascii="Verdana" w:hAnsi="Verdana"/>
        </w:rPr>
        <w:t xml:space="preserve">. </w:t>
      </w:r>
      <w:r w:rsidRPr="002E142C">
        <w:rPr>
          <w:rFonts w:ascii="Verdana" w:hAnsi="Verdana"/>
        </w:rPr>
        <w:t>No obstante, indicaron que la organización OPIM “ha sido objeto de múltiples persecuciones por su acompañamiento en el caso de la señora</w:t>
      </w:r>
      <w:r w:rsidR="00F24EBC" w:rsidRPr="002E142C">
        <w:rPr>
          <w:rFonts w:ascii="Verdana" w:hAnsi="Verdana"/>
        </w:rPr>
        <w:t xml:space="preserve"> Inés</w:t>
      </w:r>
      <w:r w:rsidRPr="002E142C">
        <w:rPr>
          <w:rFonts w:ascii="Verdana" w:hAnsi="Verdana"/>
        </w:rPr>
        <w:t xml:space="preserve"> Fernández Ortega”. Asimismo, resaltaron el caso del beneficiario Raúl Hernández Abundio (quien habría sido “arrestado injustamente y acusado de </w:t>
      </w:r>
      <w:r w:rsidR="001B4338" w:rsidRPr="002E142C">
        <w:rPr>
          <w:rFonts w:ascii="Verdana" w:hAnsi="Verdana"/>
        </w:rPr>
        <w:t>[un]</w:t>
      </w:r>
      <w:r w:rsidRPr="002E142C">
        <w:rPr>
          <w:rFonts w:ascii="Verdana" w:hAnsi="Verdana"/>
        </w:rPr>
        <w:t xml:space="preserve"> asesinato [… ocurrido en enero de 2008], a pesar de declaraciones de testigos oculares que establecían que […] no se encontraba presente cuando ocurrió el asesinato”), como “muestra de una práctica estatal de criminalización en contra de los integrantes de la OPIM”. Al respecto, informaron que al menos catorce integrantes de la organización hab</w:t>
      </w:r>
      <w:r w:rsidR="00D165F3" w:rsidRPr="002E142C">
        <w:rPr>
          <w:rFonts w:ascii="Verdana" w:hAnsi="Verdana"/>
        </w:rPr>
        <w:t xml:space="preserve">rían sido detenidos o acusados </w:t>
      </w:r>
      <w:r w:rsidRPr="002E142C">
        <w:rPr>
          <w:rFonts w:ascii="Verdana" w:hAnsi="Verdana"/>
        </w:rPr>
        <w:t xml:space="preserve">o tendrían órdenes de aprehensión en su contra, y que en varios de dichos casos se había dictado sentencias absolutorias o les habrían dictado órdenes de libertad por ausencia de elementos para procesarlos. </w:t>
      </w:r>
      <w:bookmarkEnd w:id="8"/>
      <w:r w:rsidR="00F24EBC" w:rsidRPr="002E142C">
        <w:rPr>
          <w:rFonts w:ascii="Verdana" w:hAnsi="Verdana"/>
        </w:rPr>
        <w:t>Por otro lado, informaron que el beneficiario Natalio Ortega Cruz falleció.</w:t>
      </w:r>
    </w:p>
    <w:p w14:paraId="13D2B326" w14:textId="77777777" w:rsidR="001F6B2A" w:rsidRPr="002E142C" w:rsidRDefault="001F6B2A" w:rsidP="002B25B6">
      <w:pPr>
        <w:pStyle w:val="BodyText2"/>
        <w:tabs>
          <w:tab w:val="left" w:pos="567"/>
        </w:tabs>
        <w:spacing w:after="0" w:line="240" w:lineRule="auto"/>
        <w:jc w:val="both"/>
        <w:rPr>
          <w:rFonts w:ascii="Verdana" w:hAnsi="Verdana"/>
        </w:rPr>
      </w:pPr>
    </w:p>
    <w:p w14:paraId="152F65FD" w14:textId="16E09D2B" w:rsidR="001F6B2A" w:rsidRPr="002E142C" w:rsidRDefault="001F6B2A" w:rsidP="002B25B6">
      <w:pPr>
        <w:pStyle w:val="BodyText2"/>
        <w:numPr>
          <w:ilvl w:val="0"/>
          <w:numId w:val="3"/>
        </w:numPr>
        <w:tabs>
          <w:tab w:val="left" w:pos="567"/>
        </w:tabs>
        <w:spacing w:after="0" w:line="240" w:lineRule="auto"/>
        <w:jc w:val="both"/>
        <w:rPr>
          <w:rFonts w:ascii="Verdana" w:hAnsi="Verdana"/>
        </w:rPr>
      </w:pPr>
      <w:r w:rsidRPr="002E142C">
        <w:rPr>
          <w:rFonts w:ascii="Verdana" w:hAnsi="Verdana"/>
        </w:rPr>
        <w:t xml:space="preserve">Los representantes expresaron “su preocupación por las líneas de investigación establecidas por el Estado en perjuicio de </w:t>
      </w:r>
      <w:proofErr w:type="spellStart"/>
      <w:proofErr w:type="gramStart"/>
      <w:r w:rsidRPr="002E142C">
        <w:rPr>
          <w:rFonts w:ascii="Verdana" w:hAnsi="Verdana"/>
        </w:rPr>
        <w:t>algun</w:t>
      </w:r>
      <w:proofErr w:type="spellEnd"/>
      <w:r w:rsidRPr="002E142C">
        <w:rPr>
          <w:rFonts w:ascii="Verdana" w:hAnsi="Verdana"/>
        </w:rPr>
        <w:t>[</w:t>
      </w:r>
      <w:proofErr w:type="gramEnd"/>
      <w:r w:rsidRPr="002E142C">
        <w:rPr>
          <w:rFonts w:ascii="Verdana" w:hAnsi="Verdana"/>
        </w:rPr>
        <w:t xml:space="preserve">os] </w:t>
      </w:r>
      <w:proofErr w:type="spellStart"/>
      <w:r w:rsidRPr="002E142C">
        <w:rPr>
          <w:rFonts w:ascii="Verdana" w:hAnsi="Verdana"/>
        </w:rPr>
        <w:t>beneficiari</w:t>
      </w:r>
      <w:proofErr w:type="spellEnd"/>
      <w:r w:rsidRPr="002E142C">
        <w:rPr>
          <w:rFonts w:ascii="Verdana" w:hAnsi="Verdana"/>
        </w:rPr>
        <w:t>[o]s”. Cita</w:t>
      </w:r>
      <w:r w:rsidR="004315DD" w:rsidRPr="002E142C">
        <w:rPr>
          <w:rFonts w:ascii="Verdana" w:hAnsi="Verdana"/>
        </w:rPr>
        <w:t>ron</w:t>
      </w:r>
      <w:r w:rsidRPr="002E142C">
        <w:rPr>
          <w:rFonts w:ascii="Verdana" w:hAnsi="Verdana"/>
        </w:rPr>
        <w:t xml:space="preserve"> </w:t>
      </w:r>
      <w:r w:rsidR="00C06D1D" w:rsidRPr="002E142C">
        <w:rPr>
          <w:rFonts w:ascii="Verdana" w:hAnsi="Verdana"/>
        </w:rPr>
        <w:t xml:space="preserve">un </w:t>
      </w:r>
      <w:r w:rsidRPr="002E142C">
        <w:rPr>
          <w:rFonts w:ascii="Verdana" w:hAnsi="Verdana"/>
        </w:rPr>
        <w:t xml:space="preserve">informe </w:t>
      </w:r>
      <w:r w:rsidR="00835815" w:rsidRPr="002E142C">
        <w:rPr>
          <w:rFonts w:ascii="Verdana" w:hAnsi="Verdana"/>
        </w:rPr>
        <w:t xml:space="preserve">de la Comisión Interamericana </w:t>
      </w:r>
      <w:r w:rsidRPr="002E142C">
        <w:rPr>
          <w:rFonts w:ascii="Verdana" w:hAnsi="Verdana"/>
        </w:rPr>
        <w:t xml:space="preserve">sobre la situación de derechos humanos en México, </w:t>
      </w:r>
      <w:r w:rsidR="004315DD" w:rsidRPr="002E142C">
        <w:rPr>
          <w:rFonts w:ascii="Verdana" w:hAnsi="Verdana"/>
        </w:rPr>
        <w:t xml:space="preserve">como fundamento de su afirmación que, </w:t>
      </w:r>
      <w:r w:rsidRPr="002E142C">
        <w:rPr>
          <w:rFonts w:ascii="Verdana" w:hAnsi="Verdana"/>
        </w:rPr>
        <w:t>en ocasiones</w:t>
      </w:r>
      <w:r w:rsidR="004315DD" w:rsidRPr="002E142C">
        <w:rPr>
          <w:rFonts w:ascii="Verdana" w:hAnsi="Verdana"/>
        </w:rPr>
        <w:t>,</w:t>
      </w:r>
      <w:r w:rsidRPr="002E142C">
        <w:rPr>
          <w:rFonts w:ascii="Verdana" w:hAnsi="Verdana"/>
        </w:rPr>
        <w:t xml:space="preserve"> el Estado utiliza “querellas judiciales o el inicio de investigaciones sin fundamento contra defensores de derechos humanos, en retaliación al ejercicio de sus labores”</w:t>
      </w:r>
      <w:r w:rsidRPr="002E142C">
        <w:rPr>
          <w:rStyle w:val="FootnoteReference"/>
          <w:sz w:val="20"/>
        </w:rPr>
        <w:footnoteReference w:id="18"/>
      </w:r>
      <w:r w:rsidRPr="002E142C">
        <w:rPr>
          <w:rFonts w:ascii="Verdana" w:hAnsi="Verdana"/>
        </w:rPr>
        <w:t>. Afirmaron que las detenciones y acusaciones anteriormente referidas evidencian “un patrón de acciones dirigidas a criminalizar a las personas beneficiarias de las presentes medidas, pese a no existir elementos probatorios suficientes”. Asimismo, refiriéndose a los incidentes en la Casa del Jornalero, alegaron que “</w:t>
      </w:r>
      <w:proofErr w:type="gramStart"/>
      <w:r w:rsidRPr="002E142C">
        <w:rPr>
          <w:rFonts w:ascii="Verdana" w:hAnsi="Verdana"/>
        </w:rPr>
        <w:t>representa[</w:t>
      </w:r>
      <w:proofErr w:type="spellStart"/>
      <w:proofErr w:type="gramEnd"/>
      <w:r w:rsidRPr="002E142C">
        <w:rPr>
          <w:rFonts w:ascii="Verdana" w:hAnsi="Verdana"/>
        </w:rPr>
        <w:t>ba</w:t>
      </w:r>
      <w:proofErr w:type="spellEnd"/>
      <w:r w:rsidRPr="002E142C">
        <w:rPr>
          <w:rFonts w:ascii="Verdana" w:hAnsi="Verdana"/>
        </w:rPr>
        <w:t>] un riesgo para [su] labor […] debido a [sus] reuniones constantes en el mismo y al acompañamiento directo que t[</w:t>
      </w:r>
      <w:proofErr w:type="spellStart"/>
      <w:r w:rsidRPr="002E142C">
        <w:rPr>
          <w:rFonts w:ascii="Verdana" w:hAnsi="Verdana"/>
        </w:rPr>
        <w:t>ienen</w:t>
      </w:r>
      <w:proofErr w:type="spellEnd"/>
      <w:r w:rsidRPr="002E142C">
        <w:rPr>
          <w:rFonts w:ascii="Verdana" w:hAnsi="Verdana"/>
        </w:rPr>
        <w:t xml:space="preserve">] con las jornaleras y los jornaleros agrícolas, por lo que esa situación podría propiciar que el siguiente ataque pueda ser dirigido a cualquiera de las y los colaboradores”. </w:t>
      </w:r>
    </w:p>
    <w:p w14:paraId="566862B1" w14:textId="77777777" w:rsidR="001F6B2A" w:rsidRPr="002E142C" w:rsidRDefault="001F6B2A" w:rsidP="002B25B6">
      <w:pPr>
        <w:pStyle w:val="BodyText2"/>
        <w:tabs>
          <w:tab w:val="left" w:pos="567"/>
        </w:tabs>
        <w:spacing w:after="0" w:line="240" w:lineRule="auto"/>
        <w:jc w:val="both"/>
        <w:rPr>
          <w:rFonts w:ascii="Verdana" w:hAnsi="Verdana"/>
        </w:rPr>
      </w:pPr>
    </w:p>
    <w:p w14:paraId="35AAD523" w14:textId="3917409A" w:rsidR="00C4448F" w:rsidRPr="002E142C" w:rsidRDefault="001F6B2A" w:rsidP="002B25B6">
      <w:pPr>
        <w:pStyle w:val="BodyText2"/>
        <w:numPr>
          <w:ilvl w:val="0"/>
          <w:numId w:val="3"/>
        </w:numPr>
        <w:tabs>
          <w:tab w:val="left" w:pos="567"/>
        </w:tabs>
        <w:spacing w:after="0" w:line="240" w:lineRule="auto"/>
        <w:jc w:val="both"/>
        <w:rPr>
          <w:rFonts w:ascii="Verdana" w:hAnsi="Verdana"/>
        </w:rPr>
      </w:pPr>
      <w:bookmarkStart w:id="9" w:name="_Ref473643248"/>
      <w:r w:rsidRPr="002E142C">
        <w:rPr>
          <w:rFonts w:ascii="Verdana" w:hAnsi="Verdana"/>
        </w:rPr>
        <w:t xml:space="preserve">Los representantes alegaron que la solicitud de levantamiento </w:t>
      </w:r>
      <w:r w:rsidR="00925239" w:rsidRPr="002E142C">
        <w:rPr>
          <w:rFonts w:ascii="Verdana" w:hAnsi="Verdana"/>
        </w:rPr>
        <w:t>del Estado resulta improcedente</w:t>
      </w:r>
      <w:r w:rsidRPr="002E142C">
        <w:rPr>
          <w:rFonts w:ascii="Verdana" w:hAnsi="Verdana"/>
        </w:rPr>
        <w:t xml:space="preserve"> porque la implementación de las mismas ha sido insuficiente y han continuado las amenazas y hostigamiento en contra de los beneficiarios, “lo que ha derivado incluso en la salida del país de </w:t>
      </w:r>
      <w:proofErr w:type="spellStart"/>
      <w:r w:rsidRPr="002E142C">
        <w:rPr>
          <w:rFonts w:ascii="Verdana" w:hAnsi="Verdana"/>
        </w:rPr>
        <w:t>Vindulfo</w:t>
      </w:r>
      <w:proofErr w:type="spellEnd"/>
      <w:r w:rsidRPr="002E142C">
        <w:rPr>
          <w:rFonts w:ascii="Verdana" w:hAnsi="Verdana"/>
        </w:rPr>
        <w:t xml:space="preserve"> Rosales Sierra”. Adicionalmente, señalaron que aunque las medidas fueron otorgadas en el marco del caso </w:t>
      </w:r>
      <w:r w:rsidRPr="002E142C">
        <w:rPr>
          <w:rFonts w:ascii="Verdana" w:hAnsi="Verdana"/>
          <w:i/>
        </w:rPr>
        <w:t>Fernández Ortega</w:t>
      </w:r>
      <w:r w:rsidRPr="002E142C">
        <w:rPr>
          <w:rFonts w:ascii="Verdana" w:hAnsi="Verdana"/>
        </w:rPr>
        <w:t xml:space="preserve">, “su objeto no fue exclusivamente el acompañamiento del mismo, sino además </w:t>
      </w:r>
      <w:proofErr w:type="spellStart"/>
      <w:r w:rsidRPr="002E142C">
        <w:rPr>
          <w:rFonts w:ascii="Verdana" w:hAnsi="Verdana"/>
        </w:rPr>
        <w:t>incluy</w:t>
      </w:r>
      <w:proofErr w:type="spellEnd"/>
      <w:r w:rsidRPr="002E142C">
        <w:rPr>
          <w:rFonts w:ascii="Verdana" w:hAnsi="Verdana"/>
        </w:rPr>
        <w:t>[</w:t>
      </w:r>
      <w:proofErr w:type="spellStart"/>
      <w:r w:rsidRPr="002E142C">
        <w:rPr>
          <w:rFonts w:ascii="Verdana" w:hAnsi="Verdana"/>
        </w:rPr>
        <w:t>ó</w:t>
      </w:r>
      <w:proofErr w:type="spellEnd"/>
      <w:r w:rsidRPr="002E142C">
        <w:rPr>
          <w:rFonts w:ascii="Verdana" w:hAnsi="Verdana"/>
        </w:rPr>
        <w:t>] la labor de</w:t>
      </w:r>
      <w:r w:rsidR="00BA442E" w:rsidRPr="002E142C">
        <w:rPr>
          <w:rFonts w:ascii="Verdana" w:hAnsi="Verdana"/>
        </w:rPr>
        <w:t xml:space="preserve"> defensa</w:t>
      </w:r>
      <w:r w:rsidRPr="002E142C">
        <w:rPr>
          <w:rFonts w:ascii="Verdana" w:hAnsi="Verdana"/>
        </w:rPr>
        <w:t xml:space="preserve"> </w:t>
      </w:r>
      <w:r w:rsidR="00276714" w:rsidRPr="002E142C">
        <w:rPr>
          <w:rFonts w:ascii="Verdana" w:hAnsi="Verdana"/>
        </w:rPr>
        <w:t xml:space="preserve">de </w:t>
      </w:r>
      <w:r w:rsidRPr="002E142C">
        <w:rPr>
          <w:rFonts w:ascii="Verdana" w:hAnsi="Verdana"/>
        </w:rPr>
        <w:t xml:space="preserve">los derechos humanos de algunos beneficiarios”. En particular, señalaron que “la situación que ameritó el otorgamiento de las presentes medidas estaba motivada ‘por el trabajo en relación con los derechos indígenas y por denuncias de violaciones de derechos humanos’, situación que […] ha persistido e incluso se han suscitado nuevos hechos de riesgo”. Manifestaron que “en México existe un contexto de graves ataques en contra de quienes </w:t>
      </w:r>
      <w:r w:rsidRPr="002E142C">
        <w:rPr>
          <w:rFonts w:ascii="Verdana" w:hAnsi="Verdana"/>
        </w:rPr>
        <w:lastRenderedPageBreak/>
        <w:t>defienden derechos humanos […] particularmente en Guerrero”</w:t>
      </w:r>
      <w:r w:rsidRPr="002E142C">
        <w:rPr>
          <w:rStyle w:val="FootnoteReference"/>
          <w:sz w:val="20"/>
        </w:rPr>
        <w:footnoteReference w:id="19"/>
      </w:r>
      <w:r w:rsidRPr="002E142C">
        <w:rPr>
          <w:rFonts w:ascii="Verdana" w:hAnsi="Verdana"/>
        </w:rPr>
        <w:t xml:space="preserve">, por lo que “si bien los incidentes y hechos de riesgo […] no constituirían amenazas directas a las personas beneficiarias, [sin embargo] por sus actividades en defensa de los derechos humanos y pueblos indígenas en Guerrero […] se encuentran en una situación extrema y urgente, por lo que el levantamiento de las presentes medidas no es procedente”. </w:t>
      </w:r>
      <w:bookmarkEnd w:id="9"/>
    </w:p>
    <w:p w14:paraId="55799630" w14:textId="77777777" w:rsidR="00C4448F" w:rsidRPr="002E142C" w:rsidRDefault="00C4448F" w:rsidP="002B25B6">
      <w:pPr>
        <w:pStyle w:val="BodyText2"/>
        <w:tabs>
          <w:tab w:val="left" w:pos="567"/>
        </w:tabs>
        <w:spacing w:after="0" w:line="240" w:lineRule="auto"/>
        <w:jc w:val="both"/>
        <w:rPr>
          <w:rFonts w:ascii="Verdana" w:hAnsi="Verdana"/>
        </w:rPr>
      </w:pPr>
    </w:p>
    <w:p w14:paraId="17FA83FF" w14:textId="4C16393F" w:rsidR="00925239" w:rsidRPr="002E142C" w:rsidRDefault="001F6B2A" w:rsidP="002B25B6">
      <w:pPr>
        <w:pStyle w:val="BodyText2"/>
        <w:numPr>
          <w:ilvl w:val="0"/>
          <w:numId w:val="3"/>
        </w:numPr>
        <w:tabs>
          <w:tab w:val="left" w:pos="567"/>
        </w:tabs>
        <w:autoSpaceDE w:val="0"/>
        <w:autoSpaceDN w:val="0"/>
        <w:adjustRightInd w:val="0"/>
        <w:spacing w:after="0" w:line="240" w:lineRule="auto"/>
        <w:jc w:val="both"/>
        <w:rPr>
          <w:rFonts w:ascii="Verdana" w:hAnsi="Verdana" w:cs="Arial"/>
        </w:rPr>
      </w:pPr>
      <w:bookmarkStart w:id="10" w:name="_Ref473898833"/>
      <w:r w:rsidRPr="002E142C">
        <w:rPr>
          <w:rFonts w:ascii="Verdana" w:hAnsi="Verdana"/>
        </w:rPr>
        <w:t xml:space="preserve">Por último, propusieron que “se realice un análisis de riesgo a [todos] los </w:t>
      </w:r>
      <w:proofErr w:type="gramStart"/>
      <w:r w:rsidRPr="002E142C">
        <w:rPr>
          <w:rFonts w:ascii="Verdana" w:hAnsi="Verdana"/>
        </w:rPr>
        <w:t>beneficiarios[</w:t>
      </w:r>
      <w:proofErr w:type="gramEnd"/>
      <w:r w:rsidRPr="002E142C">
        <w:rPr>
          <w:rFonts w:ascii="Verdana" w:hAnsi="Verdana"/>
        </w:rPr>
        <w:t>,] [e]l cual deberá ser realizado conforme a los estándares internacionales de la materia, así como con el acompañamiento de la Oficina para el Alto Comisionado de Naciones Unidas en México”</w:t>
      </w:r>
      <w:r w:rsidRPr="002E142C">
        <w:rPr>
          <w:rStyle w:val="FootnoteReference"/>
          <w:sz w:val="20"/>
        </w:rPr>
        <w:footnoteReference w:id="20"/>
      </w:r>
      <w:r w:rsidRPr="002E142C">
        <w:rPr>
          <w:rFonts w:ascii="Verdana" w:hAnsi="Verdana"/>
        </w:rPr>
        <w:t xml:space="preserve">. Al respecto, informaron que el 5 de enero de 2017, en reunión con el Subsecretario de Derechos Humanos y con la titular de la Unidad para la Defensa de Derechos Humanos, ambos adscritos a la Secretaría de Gobernación, “se suscribió un documento en el que los representantes del Centro </w:t>
      </w:r>
      <w:proofErr w:type="spellStart"/>
      <w:r w:rsidRPr="002E142C">
        <w:rPr>
          <w:rFonts w:ascii="Verdana" w:hAnsi="Verdana"/>
        </w:rPr>
        <w:t>Tlachinollan</w:t>
      </w:r>
      <w:proofErr w:type="spellEnd"/>
      <w:r w:rsidRPr="002E142C">
        <w:rPr>
          <w:rFonts w:ascii="Verdana" w:hAnsi="Verdana"/>
        </w:rPr>
        <w:t xml:space="preserve"> solicitaban realizar un análisis de riesgo entre el Mecanismo de Protección de Personas Defensoras y Periodistas perteneciente a dicha Secretaría con la observación de la Oficina del Alto Comisionado de Naciones Unidas en México”.</w:t>
      </w:r>
      <w:r w:rsidRPr="002E142C">
        <w:rPr>
          <w:rFonts w:ascii="Verdana" w:hAnsi="Verdana"/>
          <w:b/>
        </w:rPr>
        <w:t xml:space="preserve"> </w:t>
      </w:r>
      <w:r w:rsidR="00711E03" w:rsidRPr="002E142C">
        <w:rPr>
          <w:rFonts w:ascii="Verdana" w:hAnsi="Verdana"/>
        </w:rPr>
        <w:t xml:space="preserve">De acuerdo a los representantes, en dicha reunión </w:t>
      </w:r>
      <w:r w:rsidR="001C6C26" w:rsidRPr="002E142C">
        <w:rPr>
          <w:rFonts w:ascii="Verdana" w:hAnsi="Verdana" w:cs="Arial"/>
        </w:rPr>
        <w:t xml:space="preserve">“el Subsecretario de Derechos Humanos y la Titular de la Unidad para la Defensa de los Derechos Humanos, expresaron su absoluta conformidad ante la referida propuesta de trabajar conjuntamente para la elaboración de un análisis de riesgo, con la presencia de la OACNUDH”, para lo cual se acordó realizar una próxima reunión que fue convocada para febrero de 2017. </w:t>
      </w:r>
      <w:r w:rsidR="00925239" w:rsidRPr="002E142C">
        <w:rPr>
          <w:rFonts w:ascii="Verdana" w:hAnsi="Verdana"/>
        </w:rPr>
        <w:t xml:space="preserve">Asimismo, el 27 de enero de 2017 informaron, “para los efectos que [la Corte] considere conducentes”, que Alejandro Ramos Gallegos, </w:t>
      </w:r>
      <w:proofErr w:type="spellStart"/>
      <w:r w:rsidR="00925239" w:rsidRPr="002E142C">
        <w:rPr>
          <w:rFonts w:ascii="Verdana" w:hAnsi="Verdana"/>
        </w:rPr>
        <w:t>Eulogia</w:t>
      </w:r>
      <w:proofErr w:type="spellEnd"/>
      <w:r w:rsidR="00925239" w:rsidRPr="002E142C">
        <w:rPr>
          <w:rFonts w:ascii="Verdana" w:hAnsi="Verdana"/>
        </w:rPr>
        <w:t xml:space="preserve"> Flores Vázquez, Gabino Santiago Jiménez, Juan Castro </w:t>
      </w:r>
      <w:proofErr w:type="spellStart"/>
      <w:r w:rsidR="00925239" w:rsidRPr="002E142C">
        <w:rPr>
          <w:rFonts w:ascii="Verdana" w:hAnsi="Verdana"/>
        </w:rPr>
        <w:t>Castro</w:t>
      </w:r>
      <w:proofErr w:type="spellEnd"/>
      <w:r w:rsidR="00925239" w:rsidRPr="002E142C">
        <w:rPr>
          <w:rFonts w:ascii="Verdana" w:hAnsi="Verdana"/>
        </w:rPr>
        <w:t xml:space="preserve">, Margarita </w:t>
      </w:r>
      <w:proofErr w:type="spellStart"/>
      <w:r w:rsidR="00925239" w:rsidRPr="002E142C">
        <w:rPr>
          <w:rFonts w:ascii="Verdana" w:hAnsi="Verdana"/>
        </w:rPr>
        <w:t>Nemecio</w:t>
      </w:r>
      <w:proofErr w:type="spellEnd"/>
      <w:r w:rsidR="00925239" w:rsidRPr="002E142C">
        <w:rPr>
          <w:rFonts w:ascii="Verdana" w:hAnsi="Verdana"/>
        </w:rPr>
        <w:t xml:space="preserve"> Nemesio, Matilde Pérez Romero, Odilia Alatorre Villavicencio</w:t>
      </w:r>
      <w:r w:rsidR="00D32F4F" w:rsidRPr="002E142C">
        <w:rPr>
          <w:rFonts w:ascii="Verdana" w:hAnsi="Verdana"/>
        </w:rPr>
        <w:t xml:space="preserve"> y</w:t>
      </w:r>
      <w:r w:rsidR="00925239" w:rsidRPr="002E142C">
        <w:rPr>
          <w:rFonts w:ascii="Verdana" w:hAnsi="Verdana"/>
        </w:rPr>
        <w:t xml:space="preserve"> Roberto Gamboa Vázquez, “ya no colaboran con el Centro de Derechos Humanos de la Montaña </w:t>
      </w:r>
      <w:proofErr w:type="spellStart"/>
      <w:r w:rsidR="00925239" w:rsidRPr="002E142C">
        <w:rPr>
          <w:rFonts w:ascii="Verdana" w:hAnsi="Verdana"/>
        </w:rPr>
        <w:t>Tlachinollan</w:t>
      </w:r>
      <w:proofErr w:type="spellEnd"/>
      <w:r w:rsidR="00925239" w:rsidRPr="002E142C">
        <w:rPr>
          <w:rFonts w:ascii="Verdana" w:hAnsi="Verdana"/>
        </w:rPr>
        <w:t>”.</w:t>
      </w:r>
      <w:r w:rsidR="00711E03" w:rsidRPr="002E142C">
        <w:rPr>
          <w:rFonts w:ascii="Verdana" w:hAnsi="Verdana"/>
        </w:rPr>
        <w:t xml:space="preserve"> </w:t>
      </w:r>
      <w:bookmarkEnd w:id="10"/>
    </w:p>
    <w:p w14:paraId="27F45B26" w14:textId="77777777" w:rsidR="00925239" w:rsidRPr="002E142C" w:rsidRDefault="00925239" w:rsidP="00517D37">
      <w:pPr>
        <w:pStyle w:val="BodyText2"/>
        <w:tabs>
          <w:tab w:val="left" w:pos="567"/>
        </w:tabs>
        <w:spacing w:after="0" w:line="240" w:lineRule="auto"/>
        <w:jc w:val="both"/>
        <w:rPr>
          <w:rFonts w:ascii="Verdana" w:hAnsi="Verdana"/>
        </w:rPr>
      </w:pPr>
    </w:p>
    <w:p w14:paraId="3AA3C875" w14:textId="47A8178D" w:rsidR="00517D37" w:rsidRPr="002E142C" w:rsidRDefault="001D62E8" w:rsidP="00C06D1D">
      <w:pPr>
        <w:pStyle w:val="BodyText2"/>
        <w:numPr>
          <w:ilvl w:val="0"/>
          <w:numId w:val="3"/>
        </w:numPr>
        <w:tabs>
          <w:tab w:val="left" w:pos="567"/>
        </w:tabs>
        <w:spacing w:after="0" w:line="240" w:lineRule="auto"/>
        <w:jc w:val="both"/>
        <w:rPr>
          <w:rFonts w:ascii="Verdana" w:hAnsi="Verdana"/>
        </w:rPr>
      </w:pPr>
      <w:r w:rsidRPr="002E142C">
        <w:rPr>
          <w:rFonts w:ascii="Verdana" w:hAnsi="Verdana"/>
        </w:rPr>
        <w:t xml:space="preserve">El </w:t>
      </w:r>
      <w:r w:rsidRPr="002E142C">
        <w:rPr>
          <w:rFonts w:ascii="Verdana" w:hAnsi="Verdana"/>
          <w:b/>
          <w:i/>
        </w:rPr>
        <w:t>Estado</w:t>
      </w:r>
      <w:r w:rsidRPr="002E142C">
        <w:rPr>
          <w:rFonts w:ascii="Verdana" w:hAnsi="Verdana"/>
        </w:rPr>
        <w:t xml:space="preserve"> señaló</w:t>
      </w:r>
      <w:r w:rsidR="00C4448F" w:rsidRPr="002E142C">
        <w:rPr>
          <w:rFonts w:ascii="Verdana" w:hAnsi="Verdana"/>
        </w:rPr>
        <w:t>, respecto de Inés Fernández Ortega y su familia,</w:t>
      </w:r>
      <w:r w:rsidRPr="002E142C">
        <w:rPr>
          <w:rFonts w:ascii="Verdana" w:hAnsi="Verdana"/>
        </w:rPr>
        <w:t xml:space="preserve"> que “desde la adopción de las medidas provisionales a la fecha, no […] se ha reportado la existencia de situación alguna que ponga en peligro la vida e integridad de alguno de los 6 beneficiarios […], lo cual refleja el funcionamiento adecuado de las mismas”. Además, afirmó que por el transcurso del tiempo desde los últimos eventos de riesgo “</w:t>
      </w:r>
      <w:r w:rsidR="00276714" w:rsidRPr="002E142C">
        <w:rPr>
          <w:rFonts w:ascii="Verdana" w:hAnsi="Verdana"/>
        </w:rPr>
        <w:t>es posible</w:t>
      </w:r>
      <w:r w:rsidRPr="002E142C">
        <w:rPr>
          <w:rFonts w:ascii="Verdana" w:hAnsi="Verdana"/>
        </w:rPr>
        <w:t xml:space="preserve"> concluir que en la actualidad el riesgo ha disminuido de manera </w:t>
      </w:r>
      <w:r w:rsidR="00276714" w:rsidRPr="002E142C">
        <w:rPr>
          <w:rFonts w:ascii="Verdana" w:hAnsi="Verdana"/>
        </w:rPr>
        <w:t xml:space="preserve">tal </w:t>
      </w:r>
      <w:r w:rsidRPr="002E142C">
        <w:rPr>
          <w:rFonts w:ascii="Verdana" w:hAnsi="Verdana"/>
        </w:rPr>
        <w:t>[…] que [los beneficiarios] tienen el mismo nivel de riesgo que cualquier otro ciudadano”. En virtud de lo anterior, el Estado solicitó el levantamiento de las medidas provisionales otorgadas a favor de la señora Inés Fernández Ortega y sus familiares.</w:t>
      </w:r>
      <w:r w:rsidRPr="002E142C">
        <w:rPr>
          <w:rFonts w:ascii="Verdana" w:hAnsi="Verdana"/>
          <w:b/>
        </w:rPr>
        <w:t xml:space="preserve"> </w:t>
      </w:r>
      <w:r w:rsidR="00C06D1D" w:rsidRPr="002E142C">
        <w:rPr>
          <w:rFonts w:ascii="Verdana" w:hAnsi="Verdana"/>
          <w:b/>
        </w:rPr>
        <w:t xml:space="preserve"> </w:t>
      </w:r>
      <w:r w:rsidR="00C4448F" w:rsidRPr="002E142C">
        <w:rPr>
          <w:rFonts w:ascii="Verdana" w:hAnsi="Verdana"/>
        </w:rPr>
        <w:t xml:space="preserve">Asimismo, </w:t>
      </w:r>
      <w:r w:rsidR="009E2191" w:rsidRPr="002E142C">
        <w:rPr>
          <w:rFonts w:ascii="Verdana" w:hAnsi="Verdana"/>
        </w:rPr>
        <w:t xml:space="preserve">respecto a la </w:t>
      </w:r>
      <w:r w:rsidR="000055A5" w:rsidRPr="002E142C">
        <w:rPr>
          <w:rFonts w:ascii="Verdana" w:hAnsi="Verdana"/>
        </w:rPr>
        <w:t xml:space="preserve">señora </w:t>
      </w:r>
      <w:proofErr w:type="spellStart"/>
      <w:r w:rsidR="00EF4A19" w:rsidRPr="002E142C">
        <w:rPr>
          <w:rFonts w:ascii="Verdana" w:hAnsi="Verdana"/>
        </w:rPr>
        <w:t>Obtilia</w:t>
      </w:r>
      <w:proofErr w:type="spellEnd"/>
      <w:r w:rsidR="00EF4A19" w:rsidRPr="002E142C">
        <w:rPr>
          <w:rFonts w:ascii="Verdana" w:hAnsi="Verdana"/>
        </w:rPr>
        <w:t xml:space="preserve"> Eugenio </w:t>
      </w:r>
      <w:r w:rsidR="000055A5" w:rsidRPr="002E142C">
        <w:rPr>
          <w:rFonts w:ascii="Verdana" w:hAnsi="Verdana"/>
        </w:rPr>
        <w:t>Manuel y su núcleo familia</w:t>
      </w:r>
      <w:r w:rsidR="000B36D0" w:rsidRPr="002E142C">
        <w:rPr>
          <w:rFonts w:ascii="Verdana" w:hAnsi="Verdana"/>
        </w:rPr>
        <w:t>r</w:t>
      </w:r>
      <w:r w:rsidR="004315DD" w:rsidRPr="002E142C">
        <w:rPr>
          <w:rFonts w:ascii="Verdana" w:hAnsi="Verdana"/>
        </w:rPr>
        <w:t>,</w:t>
      </w:r>
      <w:r w:rsidR="00AD23F6" w:rsidRPr="002E142C">
        <w:rPr>
          <w:rFonts w:ascii="Verdana" w:hAnsi="Verdana"/>
        </w:rPr>
        <w:t xml:space="preserve"> </w:t>
      </w:r>
      <w:r w:rsidR="00E059AB" w:rsidRPr="002E142C">
        <w:rPr>
          <w:rFonts w:ascii="Verdana" w:hAnsi="Verdana"/>
        </w:rPr>
        <w:t xml:space="preserve">alegó </w:t>
      </w:r>
      <w:r w:rsidR="00AD23F6" w:rsidRPr="002E142C">
        <w:rPr>
          <w:rFonts w:ascii="Verdana" w:hAnsi="Verdana"/>
        </w:rPr>
        <w:t>que su</w:t>
      </w:r>
      <w:r w:rsidR="000055A5" w:rsidRPr="002E142C">
        <w:rPr>
          <w:rFonts w:ascii="Verdana" w:hAnsi="Verdana"/>
        </w:rPr>
        <w:t xml:space="preserve"> </w:t>
      </w:r>
      <w:r w:rsidR="00AD23F6" w:rsidRPr="002E142C">
        <w:rPr>
          <w:rFonts w:ascii="Verdana" w:hAnsi="Verdana"/>
        </w:rPr>
        <w:t>“</w:t>
      </w:r>
      <w:r w:rsidR="000055A5" w:rsidRPr="002E142C">
        <w:rPr>
          <w:rFonts w:ascii="Verdana" w:hAnsi="Verdana"/>
        </w:rPr>
        <w:t xml:space="preserve">situación de riesgo […] ha disminuido de manera considerable y que actualmente no existen factores de riesgo relacionados con las causas que dieron origen a la adopción de la medida”. </w:t>
      </w:r>
      <w:r w:rsidR="000B36D0" w:rsidRPr="002E142C">
        <w:rPr>
          <w:rFonts w:ascii="Verdana" w:hAnsi="Verdana"/>
        </w:rPr>
        <w:t xml:space="preserve">En cuanto al robo de la camioneta y la detención de algunos beneficiarios por la policía federal, manifestó que ello “sale del contexto y alcance de las </w:t>
      </w:r>
      <w:r w:rsidR="000B36D0" w:rsidRPr="002E142C">
        <w:rPr>
          <w:rFonts w:ascii="Verdana" w:hAnsi="Verdana"/>
        </w:rPr>
        <w:lastRenderedPageBreak/>
        <w:t>presentes medidas”</w:t>
      </w:r>
      <w:r w:rsidR="00E7507C" w:rsidRPr="002E142C">
        <w:rPr>
          <w:rFonts w:ascii="Verdana" w:hAnsi="Verdana"/>
        </w:rPr>
        <w:t xml:space="preserve">, en tanto la Policía Federal realiza “acciones de verificación y revisión aleatoria en todos los caminos del territorio nacional con la finalidad de preservar la seguridad pública”. De acuerdo al Estado, </w:t>
      </w:r>
      <w:r w:rsidR="00EA0953" w:rsidRPr="002E142C">
        <w:rPr>
          <w:rFonts w:ascii="Verdana" w:hAnsi="Verdana"/>
        </w:rPr>
        <w:t>“</w:t>
      </w:r>
      <w:r w:rsidR="000B36D0" w:rsidRPr="002E142C">
        <w:rPr>
          <w:rFonts w:ascii="Verdana" w:hAnsi="Verdana"/>
        </w:rPr>
        <w:t xml:space="preserve">no existe </w:t>
      </w:r>
      <w:r w:rsidR="00C06D1D" w:rsidRPr="002E142C">
        <w:rPr>
          <w:rFonts w:ascii="Verdana" w:hAnsi="Verdana"/>
        </w:rPr>
        <w:t>elemento alguno que vincule</w:t>
      </w:r>
      <w:r w:rsidR="000B36D0" w:rsidRPr="002E142C">
        <w:rPr>
          <w:rFonts w:ascii="Verdana" w:hAnsi="Verdana"/>
        </w:rPr>
        <w:t xml:space="preserve"> estos hechos </w:t>
      </w:r>
      <w:r w:rsidR="00C06D1D" w:rsidRPr="002E142C">
        <w:rPr>
          <w:rFonts w:ascii="Verdana" w:hAnsi="Verdana"/>
        </w:rPr>
        <w:t>[</w:t>
      </w:r>
      <w:r w:rsidR="000B36D0" w:rsidRPr="002E142C">
        <w:rPr>
          <w:rFonts w:ascii="Verdana" w:hAnsi="Verdana"/>
        </w:rPr>
        <w:t>y la</w:t>
      </w:r>
      <w:r w:rsidR="00C06D1D" w:rsidRPr="002E142C">
        <w:rPr>
          <w:rFonts w:ascii="Verdana" w:hAnsi="Verdana"/>
        </w:rPr>
        <w:t>]</w:t>
      </w:r>
      <w:r w:rsidR="000B36D0" w:rsidRPr="002E142C">
        <w:rPr>
          <w:rFonts w:ascii="Verdana" w:hAnsi="Verdana"/>
        </w:rPr>
        <w:t xml:space="preserve"> actividad de defensa de derechos humanos ni con el caso </w:t>
      </w:r>
      <w:r w:rsidR="000B36D0" w:rsidRPr="002E142C">
        <w:rPr>
          <w:rFonts w:ascii="Verdana" w:hAnsi="Verdana"/>
          <w:i/>
        </w:rPr>
        <w:t>Fernández Ortega</w:t>
      </w:r>
      <w:r w:rsidR="00A15422" w:rsidRPr="002E142C">
        <w:rPr>
          <w:rFonts w:ascii="Verdana" w:hAnsi="Verdana"/>
        </w:rPr>
        <w:t>”</w:t>
      </w:r>
      <w:r w:rsidR="00AD23F6" w:rsidRPr="002E142C">
        <w:rPr>
          <w:rFonts w:ascii="Verdana" w:hAnsi="Verdana"/>
        </w:rPr>
        <w:t>.</w:t>
      </w:r>
      <w:r w:rsidR="00A15422" w:rsidRPr="002E142C">
        <w:rPr>
          <w:rFonts w:ascii="Verdana" w:hAnsi="Verdana"/>
          <w:b/>
        </w:rPr>
        <w:t xml:space="preserve"> </w:t>
      </w:r>
      <w:r w:rsidR="00AD23F6" w:rsidRPr="002E142C">
        <w:rPr>
          <w:rFonts w:ascii="Verdana" w:hAnsi="Verdana"/>
        </w:rPr>
        <w:t>Además, señaló que de los hechos denunciados por Abel Hernández “no es posible derivar un riesgo directo para su persona ni sus actividades”.</w:t>
      </w:r>
      <w:r w:rsidR="00AD23F6" w:rsidRPr="002E142C">
        <w:rPr>
          <w:rFonts w:ascii="Verdana" w:hAnsi="Verdana"/>
          <w:b/>
        </w:rPr>
        <w:t xml:space="preserve"> </w:t>
      </w:r>
      <w:r w:rsidR="00517D37" w:rsidRPr="002E142C">
        <w:rPr>
          <w:rFonts w:ascii="Verdana" w:hAnsi="Verdana"/>
        </w:rPr>
        <w:t xml:space="preserve">Asimismo, señaló que ninguno de los hechos informados por los representantes como nuevos y suscitados entre agosto y noviembre de 2016 (entre ellos los acontecimientos relacionados con el trabajo que realiza el personal de la Casa del Jornalero), guardan relación con los hechos que motivaron las presentes medidas provisionales. Resaltó que </w:t>
      </w:r>
      <w:r w:rsidR="00C06D1D" w:rsidRPr="002E142C">
        <w:rPr>
          <w:rFonts w:ascii="Verdana" w:hAnsi="Verdana"/>
        </w:rPr>
        <w:t>“</w:t>
      </w:r>
      <w:r w:rsidR="00517D37" w:rsidRPr="002E142C">
        <w:rPr>
          <w:rFonts w:ascii="Verdana" w:hAnsi="Verdana"/>
        </w:rPr>
        <w:t>no se han presentado situaciones de riesgo recientes en contra de cualquiera de las personas beneficiarias, que pudieran justificar la vigencia de las presentes medidas provisionales</w:t>
      </w:r>
      <w:r w:rsidR="00C06D1D" w:rsidRPr="002E142C">
        <w:rPr>
          <w:rFonts w:ascii="Verdana" w:hAnsi="Verdana"/>
        </w:rPr>
        <w:t>”</w:t>
      </w:r>
      <w:r w:rsidR="00517D37" w:rsidRPr="002E142C">
        <w:rPr>
          <w:rFonts w:ascii="Verdana" w:hAnsi="Verdana"/>
        </w:rPr>
        <w:t>.</w:t>
      </w:r>
      <w:r w:rsidR="00517D37" w:rsidRPr="002E142C">
        <w:rPr>
          <w:rFonts w:ascii="Verdana" w:hAnsi="Verdana"/>
          <w:b/>
        </w:rPr>
        <w:t xml:space="preserve"> </w:t>
      </w:r>
    </w:p>
    <w:p w14:paraId="0BA24DEE" w14:textId="77777777" w:rsidR="00E97D85" w:rsidRPr="002E142C" w:rsidRDefault="00E97D85" w:rsidP="00E97D85">
      <w:pPr>
        <w:pStyle w:val="BodyText2"/>
        <w:spacing w:after="0" w:line="240" w:lineRule="auto"/>
        <w:jc w:val="both"/>
        <w:rPr>
          <w:rFonts w:ascii="Verdana" w:hAnsi="Verdana"/>
        </w:rPr>
      </w:pPr>
    </w:p>
    <w:p w14:paraId="14B32258" w14:textId="77777777" w:rsidR="000F1BA6" w:rsidRDefault="00E010C8" w:rsidP="00E97D85">
      <w:pPr>
        <w:pStyle w:val="BodyText2"/>
        <w:numPr>
          <w:ilvl w:val="0"/>
          <w:numId w:val="3"/>
        </w:numPr>
        <w:tabs>
          <w:tab w:val="left" w:pos="567"/>
        </w:tabs>
        <w:spacing w:after="0" w:line="240" w:lineRule="auto"/>
        <w:jc w:val="both"/>
        <w:rPr>
          <w:rFonts w:ascii="Verdana" w:hAnsi="Verdana"/>
        </w:rPr>
      </w:pPr>
      <w:bookmarkStart w:id="11" w:name="_Ref473898816"/>
      <w:r w:rsidRPr="002E142C">
        <w:rPr>
          <w:rFonts w:ascii="Verdana" w:hAnsi="Verdana"/>
        </w:rPr>
        <w:t xml:space="preserve">Además, </w:t>
      </w:r>
      <w:r w:rsidR="009C6D4A" w:rsidRPr="002E142C">
        <w:rPr>
          <w:rFonts w:ascii="Verdana" w:hAnsi="Verdana"/>
        </w:rPr>
        <w:t xml:space="preserve">México </w:t>
      </w:r>
      <w:r w:rsidR="00517D37" w:rsidRPr="002E142C">
        <w:rPr>
          <w:rFonts w:ascii="Verdana" w:hAnsi="Verdana"/>
        </w:rPr>
        <w:t>alegó que la detención de Severo Eugenio Remigio</w:t>
      </w:r>
      <w:r w:rsidR="00CA2F88" w:rsidRPr="002E142C">
        <w:rPr>
          <w:rFonts w:ascii="Verdana" w:hAnsi="Verdana"/>
        </w:rPr>
        <w:t xml:space="preserve"> no </w:t>
      </w:r>
      <w:r w:rsidR="00517D37" w:rsidRPr="002E142C">
        <w:rPr>
          <w:rFonts w:ascii="Verdana" w:hAnsi="Verdana"/>
        </w:rPr>
        <w:t xml:space="preserve">está relacionada con las medidas, </w:t>
      </w:r>
      <w:r w:rsidR="00CF5E5C" w:rsidRPr="002E142C">
        <w:rPr>
          <w:rFonts w:ascii="Verdana" w:hAnsi="Verdana"/>
        </w:rPr>
        <w:t xml:space="preserve">el que sea beneficiario de estas medidas “no impide al Estado, […] ejercer las atribuciones de persecución y sanción de los delitos” y la detención del beneficiario “no constituye patrón alguno para criminalizar la defensa de los derechos humanos”. </w:t>
      </w:r>
      <w:r w:rsidR="003112D5" w:rsidRPr="002E142C">
        <w:rPr>
          <w:rFonts w:ascii="Verdana" w:hAnsi="Verdana"/>
        </w:rPr>
        <w:t xml:space="preserve">Asimismo, señaló que los hechos </w:t>
      </w:r>
      <w:r w:rsidR="002E67DD" w:rsidRPr="002E142C">
        <w:rPr>
          <w:rFonts w:ascii="Verdana" w:hAnsi="Verdana"/>
        </w:rPr>
        <w:t>relacionados con la</w:t>
      </w:r>
      <w:r w:rsidR="003112D5" w:rsidRPr="002E142C">
        <w:rPr>
          <w:rFonts w:ascii="Verdana" w:hAnsi="Verdana"/>
        </w:rPr>
        <w:t xml:space="preserve"> representación de los familiares de los 43 estudiantes </w:t>
      </w:r>
      <w:r w:rsidR="00CF5E5C" w:rsidRPr="002E142C">
        <w:rPr>
          <w:rFonts w:ascii="Verdana" w:hAnsi="Verdana"/>
        </w:rPr>
        <w:t xml:space="preserve">de </w:t>
      </w:r>
      <w:proofErr w:type="spellStart"/>
      <w:r w:rsidR="00CF5E5C" w:rsidRPr="002E142C">
        <w:rPr>
          <w:rFonts w:ascii="Verdana" w:hAnsi="Verdana"/>
        </w:rPr>
        <w:t>Ayotzinapa</w:t>
      </w:r>
      <w:proofErr w:type="spellEnd"/>
      <w:r w:rsidR="00CF5E5C" w:rsidRPr="002E142C">
        <w:rPr>
          <w:rFonts w:ascii="Verdana" w:hAnsi="Verdana"/>
        </w:rPr>
        <w:t xml:space="preserve"> </w:t>
      </w:r>
      <w:r w:rsidR="003112D5" w:rsidRPr="002E142C">
        <w:rPr>
          <w:rFonts w:ascii="Verdana" w:hAnsi="Verdana"/>
        </w:rPr>
        <w:t xml:space="preserve">“resulta[n] totalmente </w:t>
      </w:r>
      <w:proofErr w:type="gramStart"/>
      <w:r w:rsidR="003112D5" w:rsidRPr="002E142C">
        <w:rPr>
          <w:rFonts w:ascii="Verdana" w:hAnsi="Verdana"/>
        </w:rPr>
        <w:t>ajen[</w:t>
      </w:r>
      <w:proofErr w:type="gramEnd"/>
      <w:r w:rsidR="003112D5" w:rsidRPr="002E142C">
        <w:rPr>
          <w:rFonts w:ascii="Verdana" w:hAnsi="Verdana"/>
        </w:rPr>
        <w:t>os] a las causas y motivo de las presentes medidas provisionales”, por lo que los representantes “pretenden desvirtuar el alcance de las presentes medidas provisionales con la fi</w:t>
      </w:r>
      <w:r w:rsidR="002E67DD" w:rsidRPr="002E142C">
        <w:rPr>
          <w:rFonts w:ascii="Verdana" w:hAnsi="Verdana"/>
        </w:rPr>
        <w:t>nalidad de mantener su vigencia</w:t>
      </w:r>
      <w:r w:rsidR="00A26496" w:rsidRPr="002E142C">
        <w:rPr>
          <w:rFonts w:ascii="Verdana" w:hAnsi="Verdana"/>
        </w:rPr>
        <w:t xml:space="preserve">”. </w:t>
      </w:r>
      <w:r w:rsidR="00CF5E5C" w:rsidRPr="002E142C">
        <w:rPr>
          <w:rFonts w:ascii="Verdana" w:hAnsi="Verdana"/>
        </w:rPr>
        <w:t xml:space="preserve">Asimismo, resaltó que, independientemente de que no guarden relación con las presentes medidas, las personas beneficiarias no han presentado denuncias sobre estos hechos, lo que “refleja la inexistencia del riesgo”. </w:t>
      </w:r>
      <w:r w:rsidR="00A26496" w:rsidRPr="002E142C">
        <w:rPr>
          <w:rFonts w:ascii="Verdana" w:hAnsi="Verdana"/>
        </w:rPr>
        <w:t>Concluyó que “a la luz del tiempo transcurrido</w:t>
      </w:r>
      <w:r w:rsidR="002E67DD" w:rsidRPr="002E142C">
        <w:rPr>
          <w:rStyle w:val="FootnoteReference"/>
          <w:sz w:val="20"/>
        </w:rPr>
        <w:footnoteReference w:id="21"/>
      </w:r>
      <w:r w:rsidR="00A26496" w:rsidRPr="002E142C">
        <w:rPr>
          <w:rFonts w:ascii="Verdana" w:hAnsi="Verdana"/>
        </w:rPr>
        <w:t xml:space="preserve"> sin la existencia de un nuevo factor de riesgo, […] no persiste una situación de extrema gravedad y urgencia que justifique el mantenimiento de las presentes medidas provisionales”, por lo que solicitó “a [la] Corte […] que decida el levantamiento de las medidas provisionales dictadas”. </w:t>
      </w:r>
    </w:p>
    <w:p w14:paraId="2E273FD9" w14:textId="77777777" w:rsidR="000F1BA6" w:rsidRDefault="000F1BA6" w:rsidP="000F1BA6">
      <w:pPr>
        <w:pStyle w:val="BodyText2"/>
        <w:spacing w:after="0" w:line="240" w:lineRule="auto"/>
        <w:jc w:val="both"/>
        <w:rPr>
          <w:rFonts w:ascii="Verdana" w:hAnsi="Verdana"/>
        </w:rPr>
      </w:pPr>
    </w:p>
    <w:p w14:paraId="7A63F786" w14:textId="32C93E9A" w:rsidR="00E97D85" w:rsidRPr="002E142C" w:rsidRDefault="00E97D85" w:rsidP="00E97D85">
      <w:pPr>
        <w:pStyle w:val="BodyText2"/>
        <w:numPr>
          <w:ilvl w:val="0"/>
          <w:numId w:val="3"/>
        </w:numPr>
        <w:tabs>
          <w:tab w:val="left" w:pos="567"/>
        </w:tabs>
        <w:spacing w:after="0" w:line="240" w:lineRule="auto"/>
        <w:jc w:val="both"/>
        <w:rPr>
          <w:rFonts w:ascii="Verdana" w:hAnsi="Verdana"/>
        </w:rPr>
      </w:pPr>
      <w:bookmarkStart w:id="12" w:name="_Ref475729258"/>
      <w:r w:rsidRPr="002E142C">
        <w:rPr>
          <w:rFonts w:ascii="Verdana" w:hAnsi="Verdana"/>
        </w:rPr>
        <w:t xml:space="preserve">Por último, </w:t>
      </w:r>
      <w:r w:rsidR="000F1BA6">
        <w:rPr>
          <w:rFonts w:ascii="Verdana" w:hAnsi="Verdana"/>
        </w:rPr>
        <w:t xml:space="preserve">el Estado </w:t>
      </w:r>
      <w:r w:rsidRPr="002E142C">
        <w:rPr>
          <w:rFonts w:ascii="Verdana" w:hAnsi="Verdana"/>
        </w:rPr>
        <w:t>aclar</w:t>
      </w:r>
      <w:r w:rsidR="00BA442E" w:rsidRPr="002E142C">
        <w:rPr>
          <w:rFonts w:ascii="Verdana" w:hAnsi="Verdana"/>
        </w:rPr>
        <w:t xml:space="preserve">ó </w:t>
      </w:r>
      <w:r w:rsidRPr="002E142C">
        <w:rPr>
          <w:rFonts w:ascii="Verdana" w:hAnsi="Verdana"/>
        </w:rPr>
        <w:t>que como producto de las reuniones llevadas a cabo el 22 de diciembre de 2016 y el 5 de enero de 2017, “se acordó realizar un análisis de riesgo a la señora Inés Fernández Ortega y al señor Abel Jesús Barrera Hernández, por parte del Mecanismo para la Protección de Personas Defensoras de Derechos Humanos y Periodistas […], contando con la presencia de la Oficina del Alto Comisionado de las Naciones Unidas como observadores”. De acuerdo al Estado, “lo anterior tiene congruencia con […] su solicitud de levantamiento de las medidas provisionales, en tanto, por un lado, los hechos que han mencionado los beneficiarios no guardan relación con las presentes medidas y el Estado ha implementado las medidas adecuadas, pero por otro lado ello no elimina la obligación de prevención a cargo del Estado mexicano”</w:t>
      </w:r>
      <w:r w:rsidR="00BA442E" w:rsidRPr="002E142C">
        <w:rPr>
          <w:rFonts w:ascii="Verdana" w:hAnsi="Verdana"/>
        </w:rPr>
        <w:t>.</w:t>
      </w:r>
      <w:r w:rsidRPr="002E142C">
        <w:rPr>
          <w:rFonts w:ascii="Verdana" w:hAnsi="Verdana"/>
        </w:rPr>
        <w:t xml:space="preserve"> </w:t>
      </w:r>
      <w:r w:rsidR="00BA442E" w:rsidRPr="002E142C">
        <w:rPr>
          <w:rFonts w:ascii="Verdana" w:hAnsi="Verdana"/>
        </w:rPr>
        <w:t xml:space="preserve">Esta obligación de prevención </w:t>
      </w:r>
      <w:r w:rsidRPr="002E142C">
        <w:rPr>
          <w:rFonts w:ascii="Verdana" w:hAnsi="Verdana"/>
        </w:rPr>
        <w:t>se puede llevar a cabo a través del referido Mecanismo de Pr</w:t>
      </w:r>
      <w:r w:rsidR="00BA442E" w:rsidRPr="002E142C">
        <w:rPr>
          <w:rFonts w:ascii="Verdana" w:hAnsi="Verdana"/>
        </w:rPr>
        <w:t xml:space="preserve">otección </w:t>
      </w:r>
      <w:r w:rsidRPr="002E142C">
        <w:rPr>
          <w:rFonts w:ascii="Verdana" w:hAnsi="Verdana"/>
        </w:rPr>
        <w:t xml:space="preserve">que </w:t>
      </w:r>
      <w:r w:rsidR="00CA5591" w:rsidRPr="002E142C">
        <w:rPr>
          <w:rFonts w:ascii="Verdana" w:hAnsi="Verdana"/>
        </w:rPr>
        <w:t>“</w:t>
      </w:r>
      <w:r w:rsidRPr="002E142C">
        <w:rPr>
          <w:rFonts w:ascii="Verdana" w:hAnsi="Verdana"/>
        </w:rPr>
        <w:t>cuenta con los protocolos adecuados y necesarios para brindar la protección acorde a la situación de los defensores de derechos humanos”.</w:t>
      </w:r>
      <w:bookmarkEnd w:id="12"/>
      <w:r w:rsidR="00517D37" w:rsidRPr="002E142C">
        <w:rPr>
          <w:rFonts w:ascii="Verdana" w:hAnsi="Verdana"/>
          <w:b/>
        </w:rPr>
        <w:t xml:space="preserve"> </w:t>
      </w:r>
      <w:bookmarkEnd w:id="11"/>
    </w:p>
    <w:p w14:paraId="0DB8246D" w14:textId="77777777" w:rsidR="00B54A8B" w:rsidRPr="002E142C" w:rsidRDefault="00B54A8B" w:rsidP="002B25B6">
      <w:pPr>
        <w:pStyle w:val="BodyText2"/>
        <w:tabs>
          <w:tab w:val="left" w:pos="567"/>
        </w:tabs>
        <w:spacing w:after="0" w:line="240" w:lineRule="auto"/>
        <w:jc w:val="both"/>
        <w:rPr>
          <w:rFonts w:ascii="Verdana" w:hAnsi="Verdana"/>
        </w:rPr>
      </w:pPr>
    </w:p>
    <w:p w14:paraId="426D221B" w14:textId="3DCB05E3" w:rsidR="00DD5D84" w:rsidRPr="002E142C" w:rsidRDefault="00B54A8B" w:rsidP="002B25B6">
      <w:pPr>
        <w:pStyle w:val="BodyText2"/>
        <w:numPr>
          <w:ilvl w:val="0"/>
          <w:numId w:val="3"/>
        </w:numPr>
        <w:tabs>
          <w:tab w:val="left" w:pos="567"/>
        </w:tabs>
        <w:spacing w:after="0" w:line="240" w:lineRule="auto"/>
        <w:jc w:val="both"/>
        <w:rPr>
          <w:rFonts w:ascii="Verdana" w:hAnsi="Verdana"/>
        </w:rPr>
      </w:pPr>
      <w:r w:rsidRPr="002E142C">
        <w:rPr>
          <w:rFonts w:ascii="Verdana" w:hAnsi="Verdana"/>
        </w:rPr>
        <w:t xml:space="preserve">La </w:t>
      </w:r>
      <w:r w:rsidRPr="002E142C">
        <w:rPr>
          <w:rFonts w:ascii="Verdana" w:hAnsi="Verdana"/>
          <w:b/>
          <w:i/>
        </w:rPr>
        <w:t>Comisión</w:t>
      </w:r>
      <w:r w:rsidR="00F84341" w:rsidRPr="002E142C">
        <w:rPr>
          <w:rFonts w:ascii="Verdana" w:hAnsi="Verdana"/>
          <w:b/>
          <w:i/>
        </w:rPr>
        <w:t xml:space="preserve"> </w:t>
      </w:r>
      <w:r w:rsidR="00F84341" w:rsidRPr="002E142C">
        <w:rPr>
          <w:rFonts w:ascii="Verdana" w:hAnsi="Verdana"/>
        </w:rPr>
        <w:t>observó que existe discrepancia entre las partes en cuanto a la situación actual de rie</w:t>
      </w:r>
      <w:r w:rsidR="00DA315E" w:rsidRPr="002E142C">
        <w:rPr>
          <w:rFonts w:ascii="Verdana" w:hAnsi="Verdana"/>
        </w:rPr>
        <w:t>s</w:t>
      </w:r>
      <w:r w:rsidR="00F84341" w:rsidRPr="002E142C">
        <w:rPr>
          <w:rFonts w:ascii="Verdana" w:hAnsi="Verdana"/>
        </w:rPr>
        <w:t xml:space="preserve">go de los beneficiarios. Resaltó la preocupación manifestada por los representantes en cuanto al avance del proceso penal por las agresiones sufridas por la señora Fernández Ortega, así como “la situación de violencia que afecta a los defensores y </w:t>
      </w:r>
      <w:r w:rsidR="00F84341" w:rsidRPr="002E142C">
        <w:rPr>
          <w:rFonts w:ascii="Verdana" w:hAnsi="Verdana"/>
        </w:rPr>
        <w:lastRenderedPageBreak/>
        <w:t xml:space="preserve">defensoras de derechos humanos en México”. Al respecto, señaló que </w:t>
      </w:r>
      <w:r w:rsidR="00DA315E" w:rsidRPr="002E142C">
        <w:rPr>
          <w:rFonts w:ascii="Verdana" w:hAnsi="Verdana"/>
        </w:rPr>
        <w:t>“</w:t>
      </w:r>
      <w:r w:rsidR="00F84341" w:rsidRPr="002E142C">
        <w:rPr>
          <w:rFonts w:ascii="Verdana" w:hAnsi="Verdana"/>
        </w:rPr>
        <w:t>si bien se trata de elementos de contexto</w:t>
      </w:r>
      <w:r w:rsidR="00DA315E" w:rsidRPr="002E142C">
        <w:rPr>
          <w:rFonts w:ascii="Verdana" w:hAnsi="Verdana"/>
        </w:rPr>
        <w:t>”</w:t>
      </w:r>
      <w:r w:rsidR="00F84341" w:rsidRPr="002E142C">
        <w:rPr>
          <w:rFonts w:ascii="Verdana" w:hAnsi="Verdana"/>
        </w:rPr>
        <w:t xml:space="preserve">, ello “también da cuenta de una situación específica que [podría afectar] de manera desproporcionada al grupo al cual pertenecen los y las beneficiarias de las presentes medidas”. Alegó que es </w:t>
      </w:r>
      <w:r w:rsidR="0048091D" w:rsidRPr="002E142C">
        <w:rPr>
          <w:rFonts w:ascii="Verdana" w:hAnsi="Verdana"/>
        </w:rPr>
        <w:t>importante que la Corte “valore</w:t>
      </w:r>
      <w:r w:rsidR="00F84341" w:rsidRPr="002E142C">
        <w:rPr>
          <w:rFonts w:ascii="Verdana" w:hAnsi="Verdana"/>
        </w:rPr>
        <w:t xml:space="preserve"> las distintas informaciones presentadas por las partes”. Asimismo, consideró que </w:t>
      </w:r>
      <w:r w:rsidR="00DA315E" w:rsidRPr="002E142C">
        <w:rPr>
          <w:rFonts w:ascii="Verdana" w:hAnsi="Verdana"/>
        </w:rPr>
        <w:t xml:space="preserve">podría ser </w:t>
      </w:r>
      <w:r w:rsidR="00F84341" w:rsidRPr="002E142C">
        <w:rPr>
          <w:rFonts w:ascii="Verdana" w:hAnsi="Verdana"/>
        </w:rPr>
        <w:t xml:space="preserve">útil que se cuente con el resultado del análisis de riesgo propuesto por los representantes. Destacó el acercamiento entre las partes al respecto y estimó </w:t>
      </w:r>
      <w:r w:rsidR="0048091D" w:rsidRPr="002E142C">
        <w:rPr>
          <w:rFonts w:ascii="Verdana" w:hAnsi="Verdana"/>
        </w:rPr>
        <w:t xml:space="preserve">que </w:t>
      </w:r>
      <w:r w:rsidR="00F84341" w:rsidRPr="002E142C">
        <w:rPr>
          <w:rFonts w:ascii="Verdana" w:hAnsi="Verdana"/>
        </w:rPr>
        <w:t xml:space="preserve">su resultado podría </w:t>
      </w:r>
      <w:r w:rsidR="000F1BA6">
        <w:rPr>
          <w:rFonts w:ascii="Verdana" w:hAnsi="Verdana"/>
        </w:rPr>
        <w:t xml:space="preserve">ayudar </w:t>
      </w:r>
      <w:r w:rsidR="00F84341" w:rsidRPr="002E142C">
        <w:rPr>
          <w:rFonts w:ascii="Verdana" w:hAnsi="Verdana"/>
        </w:rPr>
        <w:t xml:space="preserve">para que la Corte realice un análisis integral sobre la pertinencia de mantener vigentes las presentes medidas. </w:t>
      </w:r>
    </w:p>
    <w:p w14:paraId="1B174513" w14:textId="3BC7458C" w:rsidR="00C51C5F" w:rsidRPr="002E142C" w:rsidRDefault="00C51C5F" w:rsidP="002B25B6">
      <w:pPr>
        <w:pStyle w:val="BodyText2"/>
        <w:tabs>
          <w:tab w:val="left" w:pos="567"/>
        </w:tabs>
        <w:spacing w:after="0" w:line="240" w:lineRule="auto"/>
        <w:jc w:val="both"/>
        <w:rPr>
          <w:rFonts w:ascii="Verdana" w:hAnsi="Verdana"/>
        </w:rPr>
      </w:pPr>
    </w:p>
    <w:p w14:paraId="79B2B8E0" w14:textId="119DC2F0" w:rsidR="00C4448F" w:rsidRPr="002E142C" w:rsidRDefault="00C4448F" w:rsidP="002B25B6">
      <w:pPr>
        <w:tabs>
          <w:tab w:val="left" w:pos="567"/>
        </w:tabs>
        <w:ind w:left="1004"/>
        <w:jc w:val="both"/>
        <w:rPr>
          <w:b/>
        </w:rPr>
      </w:pPr>
      <w:bookmarkStart w:id="13" w:name="_Ref472956005"/>
      <w:r w:rsidRPr="002E142C">
        <w:rPr>
          <w:b/>
        </w:rPr>
        <w:t>A.2 Consideraciones de la Corte</w:t>
      </w:r>
    </w:p>
    <w:p w14:paraId="4D2D0DBA" w14:textId="77777777" w:rsidR="001D62E8" w:rsidRPr="002E142C" w:rsidRDefault="001D62E8" w:rsidP="002B25B6">
      <w:pPr>
        <w:tabs>
          <w:tab w:val="left" w:pos="567"/>
        </w:tabs>
        <w:ind w:left="720" w:right="22" w:firstLine="720"/>
        <w:jc w:val="both"/>
      </w:pPr>
      <w:r w:rsidRPr="002E142C">
        <w:t xml:space="preserve"> </w:t>
      </w:r>
    </w:p>
    <w:p w14:paraId="33355C5B" w14:textId="41A37377" w:rsidR="00080C36" w:rsidRPr="002E142C" w:rsidRDefault="00080C36" w:rsidP="002B25B6">
      <w:pPr>
        <w:numPr>
          <w:ilvl w:val="0"/>
          <w:numId w:val="3"/>
        </w:numPr>
        <w:tabs>
          <w:tab w:val="left" w:pos="567"/>
          <w:tab w:val="left" w:pos="709"/>
        </w:tabs>
        <w:jc w:val="both"/>
        <w:rPr>
          <w:b/>
        </w:rPr>
      </w:pPr>
      <w:r w:rsidRPr="002E142C">
        <w:t>Si un Estado solicita el levantamiento o la modificación de las medidas provisionales ordenadas, deberá presentar la suficiente prueba y argumentación que permita al Tribunal apreciar que el riesgo o la amenaza ya no reúne los requisitos de extrema gravedad y urgencia de evitar daños irreparables. A su vez los representantes de los beneficiarios que deseen que las medidas continúen, deberán presentar prueba de las razones para ello</w:t>
      </w:r>
      <w:r w:rsidRPr="002E142C">
        <w:rPr>
          <w:rStyle w:val="FootnoteReference"/>
          <w:sz w:val="20"/>
        </w:rPr>
        <w:footnoteReference w:id="22"/>
      </w:r>
      <w:r w:rsidRPr="002E142C">
        <w:t xml:space="preserve">. </w:t>
      </w:r>
    </w:p>
    <w:p w14:paraId="2124CB27" w14:textId="77777777" w:rsidR="00080C36" w:rsidRPr="002E142C" w:rsidRDefault="00080C36" w:rsidP="002B25B6">
      <w:pPr>
        <w:tabs>
          <w:tab w:val="left" w:pos="567"/>
          <w:tab w:val="left" w:pos="709"/>
        </w:tabs>
        <w:jc w:val="both"/>
      </w:pPr>
    </w:p>
    <w:p w14:paraId="1B926492" w14:textId="77777777" w:rsidR="00080C36" w:rsidRPr="002E142C" w:rsidRDefault="00080C36" w:rsidP="002B25B6">
      <w:pPr>
        <w:pStyle w:val="BodyText2"/>
        <w:numPr>
          <w:ilvl w:val="0"/>
          <w:numId w:val="3"/>
        </w:numPr>
        <w:tabs>
          <w:tab w:val="left" w:pos="567"/>
        </w:tabs>
        <w:spacing w:after="0" w:line="240" w:lineRule="auto"/>
        <w:jc w:val="both"/>
        <w:rPr>
          <w:rFonts w:ascii="Verdana" w:hAnsi="Verdana"/>
        </w:rPr>
      </w:pPr>
      <w:r w:rsidRPr="002E142C">
        <w:rPr>
          <w:rFonts w:ascii="Verdana" w:hAnsi="Verdana"/>
        </w:rPr>
        <w:t>La Corte recuerda que la excepcionalidad y temporalidad es propia de las medidas provisionales dispuestas</w:t>
      </w:r>
      <w:r w:rsidRPr="002E142C">
        <w:rPr>
          <w:rStyle w:val="FootnoteReference"/>
          <w:sz w:val="20"/>
        </w:rPr>
        <w:footnoteReference w:id="23"/>
      </w:r>
      <w:r w:rsidRPr="002E142C">
        <w:rPr>
          <w:rFonts w:ascii="Verdana" w:hAnsi="Verdana"/>
        </w:rPr>
        <w:t>. A efectos de decidir si se mantiene la vigencia de las medidas provisionales, el Tribunal debe analizar si persiste la situación de extrema gravedad y urgencia relativa a posibles daños irreparables a las personas beneficiarias. Si bien la apreciación de tales requisitos al dictar la adopción de las medidas provisionales se hace “</w:t>
      </w:r>
      <w:r w:rsidRPr="002E142C">
        <w:rPr>
          <w:rFonts w:ascii="Verdana" w:hAnsi="Verdana"/>
          <w:i/>
        </w:rPr>
        <w:t>prima facie</w:t>
      </w:r>
      <w:r w:rsidRPr="002E142C">
        <w:rPr>
          <w:rFonts w:ascii="Verdana" w:hAnsi="Verdana"/>
        </w:rPr>
        <w:t>, siendo en ocasiones necesaria la aplicación de presunciones ante las necesidades de protección”</w:t>
      </w:r>
      <w:r w:rsidRPr="002E142C">
        <w:rPr>
          <w:rStyle w:val="FootnoteReference"/>
          <w:sz w:val="20"/>
        </w:rPr>
        <w:footnoteReference w:id="24"/>
      </w:r>
      <w:r w:rsidRPr="002E142C">
        <w:rPr>
          <w:rFonts w:ascii="Verdana" w:hAnsi="Verdana"/>
        </w:rPr>
        <w:t>, este Tribunal ha advertido que “el mantenimiento de las medidas de protección exige una evaluación más rigurosa de la Corte en cuanto a la persistencia de la situación que dio origen a las mismas”</w:t>
      </w:r>
      <w:r w:rsidRPr="002E142C">
        <w:rPr>
          <w:rStyle w:val="FootnoteReference"/>
          <w:sz w:val="20"/>
        </w:rPr>
        <w:footnoteReference w:id="25"/>
      </w:r>
      <w:r w:rsidRPr="002E142C">
        <w:rPr>
          <w:rFonts w:ascii="Verdana" w:hAnsi="Verdana"/>
        </w:rPr>
        <w:t>. A la vez, la carga probatoria y argumentativa de los representantes y de la Comisión aumentará conforme transcurre el tiempo y no se presentan nuevas amenazas. Ciertamente, el hecho de que no se presenten nuevas amenazas puede deberse precisamente a la efectividad de la protección brindada o a la disuasión ocasionada con la orden de la Corte. No obstante, el Tribunal ha considerado que el transcurso de un razonable período de tiempo sin amenazas o intimidaciones, sumado a la falta de un riesgo inminente, puede conllevar el levantamiento de las medidas provisionales</w:t>
      </w:r>
      <w:r w:rsidRPr="002E142C">
        <w:rPr>
          <w:rStyle w:val="FootnoteReference"/>
          <w:sz w:val="20"/>
        </w:rPr>
        <w:footnoteReference w:id="26"/>
      </w:r>
      <w:r w:rsidRPr="002E142C">
        <w:rPr>
          <w:rFonts w:ascii="Verdana" w:hAnsi="Verdana"/>
        </w:rPr>
        <w:t>.</w:t>
      </w:r>
    </w:p>
    <w:p w14:paraId="5A2900DD" w14:textId="77777777" w:rsidR="00080C36" w:rsidRPr="002E142C" w:rsidRDefault="00080C36" w:rsidP="002B25B6">
      <w:pPr>
        <w:pStyle w:val="BodyText2"/>
        <w:tabs>
          <w:tab w:val="left" w:pos="567"/>
        </w:tabs>
        <w:spacing w:after="0" w:line="240" w:lineRule="auto"/>
        <w:jc w:val="both"/>
        <w:rPr>
          <w:rFonts w:ascii="Verdana" w:hAnsi="Verdana"/>
        </w:rPr>
      </w:pPr>
    </w:p>
    <w:p w14:paraId="72131797" w14:textId="5140369D" w:rsidR="00080C36" w:rsidRPr="002E142C" w:rsidRDefault="00080C36" w:rsidP="002B25B6">
      <w:pPr>
        <w:pStyle w:val="BodyText2"/>
        <w:numPr>
          <w:ilvl w:val="0"/>
          <w:numId w:val="3"/>
        </w:numPr>
        <w:tabs>
          <w:tab w:val="left" w:pos="567"/>
        </w:tabs>
        <w:spacing w:after="0" w:line="240" w:lineRule="auto"/>
        <w:jc w:val="both"/>
        <w:rPr>
          <w:rFonts w:ascii="Verdana" w:hAnsi="Verdana"/>
        </w:rPr>
      </w:pPr>
      <w:r w:rsidRPr="002E142C">
        <w:rPr>
          <w:rFonts w:ascii="Verdana" w:hAnsi="Verdana"/>
        </w:rPr>
        <w:t>Adicionalmente, la Corte debe tomar en cuenta que, conforme al Preámbulo de la Convención Americana, la protección internacional de naturaleza convencional es “coadyuvante o complementaria de la que ofrece el derecho interno de los Estados americanos”</w:t>
      </w:r>
      <w:r w:rsidR="00ED4EBD" w:rsidRPr="002E142C">
        <w:rPr>
          <w:rStyle w:val="FootnoteReference"/>
          <w:sz w:val="20"/>
        </w:rPr>
        <w:footnoteReference w:id="27"/>
      </w:r>
      <w:r w:rsidRPr="002E142C">
        <w:rPr>
          <w:rFonts w:ascii="Verdana" w:hAnsi="Verdana"/>
        </w:rPr>
        <w:t>. Por ello, de comprobarse que el Estado en cuestión ha desarrollado mecanismos o acciones de protección eficaces para los beneficiarios de las medidas provisionales, el Tribunal podría decidir levantar o reducir el número de beneficiarios de las medidas provisionales descargando la obligación de protección en su responsable primario, esto es, el Estado</w:t>
      </w:r>
      <w:r w:rsidRPr="002E142C">
        <w:rPr>
          <w:rStyle w:val="FootnoteReference"/>
          <w:sz w:val="20"/>
        </w:rPr>
        <w:footnoteReference w:id="28"/>
      </w:r>
      <w:r w:rsidRPr="002E142C">
        <w:rPr>
          <w:rFonts w:ascii="Verdana" w:hAnsi="Verdana"/>
        </w:rPr>
        <w:t xml:space="preserve">. </w:t>
      </w:r>
    </w:p>
    <w:p w14:paraId="617CFEFA" w14:textId="77777777" w:rsidR="00080C36" w:rsidRPr="002E142C" w:rsidRDefault="00080C36" w:rsidP="002B25B6">
      <w:pPr>
        <w:tabs>
          <w:tab w:val="left" w:pos="567"/>
        </w:tabs>
        <w:ind w:right="22"/>
        <w:jc w:val="both"/>
      </w:pPr>
    </w:p>
    <w:p w14:paraId="134EB815" w14:textId="6E4D16DA" w:rsidR="00080C36" w:rsidRPr="002E142C" w:rsidRDefault="00080C36" w:rsidP="002B25B6">
      <w:pPr>
        <w:numPr>
          <w:ilvl w:val="0"/>
          <w:numId w:val="3"/>
        </w:numPr>
        <w:tabs>
          <w:tab w:val="left" w:pos="567"/>
        </w:tabs>
        <w:ind w:right="22"/>
        <w:jc w:val="both"/>
      </w:pPr>
      <w:r w:rsidRPr="002E142C">
        <w:t>Asimismo, este Tribunal recuerda que</w:t>
      </w:r>
      <w:r w:rsidR="004315DD" w:rsidRPr="002E142C">
        <w:t>,</w:t>
      </w:r>
      <w:r w:rsidRPr="002E142C">
        <w:t xml:space="preserve"> en razón de su competencia, en el marco de medidas provisionales la Corte debe considerar únicamente aquellos argumentos que se relacionen estricta y directamente con la extrema gravedad, urgencia y necesidad de evitar daños irreparables a las personas</w:t>
      </w:r>
      <w:r w:rsidR="00ED4EBD" w:rsidRPr="002E142C">
        <w:rPr>
          <w:rStyle w:val="FootnoteReference"/>
          <w:sz w:val="20"/>
        </w:rPr>
        <w:footnoteReference w:id="29"/>
      </w:r>
      <w:r w:rsidRPr="002E142C">
        <w:t>. Es así que, a efectos de decidir si se mantiene la vigencia de las medidas provisionales, el Tribunal debe analizar si persiste la situación que determinó su adopción, o bien si nuevas circunstancias igualmente graves y urgentes ameritan su mantenimiento</w:t>
      </w:r>
      <w:r w:rsidRPr="002E142C">
        <w:rPr>
          <w:rStyle w:val="FootnoteReference"/>
          <w:sz w:val="20"/>
        </w:rPr>
        <w:footnoteReference w:id="30"/>
      </w:r>
      <w:r w:rsidRPr="002E142C">
        <w:t>. Cualquier otro hecho o argumento solo puede ser analizado y resuelto por la Corte mediante la consideración del fondo de un caso contencioso o dentro del proceso de supervisión de cumplimiento de la sentencia respectiva</w:t>
      </w:r>
      <w:r w:rsidRPr="002E142C">
        <w:rPr>
          <w:rStyle w:val="FootnoteReference"/>
          <w:sz w:val="20"/>
        </w:rPr>
        <w:footnoteReference w:id="31"/>
      </w:r>
      <w:r w:rsidRPr="002E142C">
        <w:t>.</w:t>
      </w:r>
    </w:p>
    <w:p w14:paraId="73179A5F" w14:textId="77777777" w:rsidR="00080C36" w:rsidRPr="002E142C" w:rsidRDefault="00080C36" w:rsidP="002B25B6">
      <w:pPr>
        <w:tabs>
          <w:tab w:val="left" w:pos="567"/>
        </w:tabs>
        <w:ind w:right="22"/>
        <w:jc w:val="both"/>
      </w:pPr>
    </w:p>
    <w:p w14:paraId="54747F4C" w14:textId="7CA899F8" w:rsidR="001D62E8" w:rsidRPr="002E142C" w:rsidRDefault="00925239" w:rsidP="002B25B6">
      <w:pPr>
        <w:pStyle w:val="BodyText2"/>
        <w:numPr>
          <w:ilvl w:val="0"/>
          <w:numId w:val="3"/>
        </w:numPr>
        <w:tabs>
          <w:tab w:val="left" w:pos="567"/>
        </w:tabs>
        <w:spacing w:after="0" w:line="240" w:lineRule="auto"/>
        <w:jc w:val="both"/>
        <w:rPr>
          <w:rFonts w:ascii="Verdana" w:hAnsi="Verdana"/>
          <w:b/>
        </w:rPr>
      </w:pPr>
      <w:r w:rsidRPr="002E142C">
        <w:rPr>
          <w:rFonts w:ascii="Verdana" w:hAnsi="Verdana"/>
        </w:rPr>
        <w:t>Respecto de la señora Fernández Ortega y su familia, l</w:t>
      </w:r>
      <w:r w:rsidR="001D62E8" w:rsidRPr="002E142C">
        <w:rPr>
          <w:rFonts w:ascii="Verdana" w:hAnsi="Verdana"/>
        </w:rPr>
        <w:t>a Corte toma nota de la solicitud de levantamiento del Estado, así como de los nuevos hechos alegados por los representantes desde la última resolución. Al respecto, estima que el asesinato de los animales de la señora Fernández Orteg</w:t>
      </w:r>
      <w:r w:rsidR="000F1BA6">
        <w:rPr>
          <w:rFonts w:ascii="Verdana" w:hAnsi="Verdana"/>
        </w:rPr>
        <w:t>a y su familia</w:t>
      </w:r>
      <w:r w:rsidR="001D62E8" w:rsidRPr="002E142C">
        <w:rPr>
          <w:rFonts w:ascii="Verdana" w:hAnsi="Verdana"/>
        </w:rPr>
        <w:t xml:space="preserve"> por medios violentos (impactos de bala y envenenamiento), mientras se encontraban en reuniones relacionadas con el cumplimiento del caso </w:t>
      </w:r>
      <w:r w:rsidR="001D62E8" w:rsidRPr="002E142C">
        <w:rPr>
          <w:rFonts w:ascii="Verdana" w:hAnsi="Verdana"/>
          <w:i/>
        </w:rPr>
        <w:t>Fernández Ortega</w:t>
      </w:r>
      <w:r w:rsidR="001D62E8" w:rsidRPr="002E142C">
        <w:rPr>
          <w:rFonts w:ascii="Verdana" w:hAnsi="Verdana"/>
        </w:rPr>
        <w:t xml:space="preserve">, podrían considerarse formas graves de amedrentamiento contra los beneficiarios. Este Tribunal destaca que tales hechos habrían ocurrido a pesar de las medidas de protección implementadas por el Estado, sin que México haya ofrecido una explicación al respecto. No obstante, la Corte también resalta que tales hechos fueron informados por los representantes nueve meses después de ocurridos. Sin embargo, teniendo en cuenta el contexto en la zona, así como las dificultades de comunicación que han sido reportadas por los representantes, estima necesario obtener más información técnica sobre la situación de riesgo de los beneficiarios antes de pronunciarse sobre la solicitud de levantamiento. </w:t>
      </w:r>
      <w:r w:rsidR="00334641" w:rsidRPr="002E142C">
        <w:rPr>
          <w:rFonts w:ascii="Verdana" w:hAnsi="Verdana"/>
        </w:rPr>
        <w:t xml:space="preserve">Al respecto, el Tribunal toma nota que el Estado acordó realizar un estudio de la situación de riesgo de la señora Fernández Ortega a través del Mecanismo </w:t>
      </w:r>
      <w:r w:rsidR="00334641" w:rsidRPr="002E142C">
        <w:rPr>
          <w:rFonts w:ascii="Verdana" w:hAnsi="Verdana"/>
        </w:rPr>
        <w:lastRenderedPageBreak/>
        <w:t>para la Protección de Personas Defensoras de Derechos Humanos y Periodistas (</w:t>
      </w:r>
      <w:r w:rsidR="00334641" w:rsidRPr="002E142C">
        <w:rPr>
          <w:rFonts w:ascii="Verdana" w:hAnsi="Verdana"/>
          <w:i/>
        </w:rPr>
        <w:t>supra</w:t>
      </w:r>
      <w:r w:rsidR="00334641" w:rsidRPr="002E142C">
        <w:rPr>
          <w:rFonts w:ascii="Verdana" w:hAnsi="Verdana"/>
        </w:rPr>
        <w:t xml:space="preserve"> </w:t>
      </w:r>
      <w:r w:rsidR="00AA54E9" w:rsidRPr="002E142C">
        <w:rPr>
          <w:rFonts w:ascii="Verdana" w:hAnsi="Verdana"/>
        </w:rPr>
        <w:t>considerandos</w:t>
      </w:r>
      <w:r w:rsidR="00334641" w:rsidRPr="002E142C">
        <w:rPr>
          <w:rFonts w:ascii="Verdana" w:hAnsi="Verdana"/>
        </w:rPr>
        <w:t xml:space="preserve"> </w:t>
      </w:r>
      <w:r w:rsidR="00334641" w:rsidRPr="002E142C">
        <w:rPr>
          <w:rFonts w:ascii="Verdana" w:hAnsi="Verdana"/>
        </w:rPr>
        <w:fldChar w:fldCharType="begin"/>
      </w:r>
      <w:r w:rsidR="00334641" w:rsidRPr="002E142C">
        <w:rPr>
          <w:rFonts w:ascii="Verdana" w:hAnsi="Verdana"/>
        </w:rPr>
        <w:instrText xml:space="preserve"> REF _Ref473898833 \r \h </w:instrText>
      </w:r>
      <w:r w:rsidR="00E72728" w:rsidRPr="002E142C">
        <w:rPr>
          <w:rFonts w:ascii="Verdana" w:hAnsi="Verdana"/>
        </w:rPr>
        <w:instrText xml:space="preserve"> \* MERGEFORMAT </w:instrText>
      </w:r>
      <w:r w:rsidR="00334641" w:rsidRPr="002E142C">
        <w:rPr>
          <w:rFonts w:ascii="Verdana" w:hAnsi="Verdana"/>
        </w:rPr>
      </w:r>
      <w:r w:rsidR="00334641" w:rsidRPr="002E142C">
        <w:rPr>
          <w:rFonts w:ascii="Verdana" w:hAnsi="Verdana"/>
        </w:rPr>
        <w:fldChar w:fldCharType="separate"/>
      </w:r>
      <w:r w:rsidR="00961213">
        <w:rPr>
          <w:rFonts w:ascii="Verdana" w:hAnsi="Verdana"/>
        </w:rPr>
        <w:t>11</w:t>
      </w:r>
      <w:r w:rsidR="00334641" w:rsidRPr="002E142C">
        <w:rPr>
          <w:rFonts w:ascii="Verdana" w:hAnsi="Verdana"/>
        </w:rPr>
        <w:fldChar w:fldCharType="end"/>
      </w:r>
      <w:r w:rsidR="00334641" w:rsidRPr="002E142C">
        <w:rPr>
          <w:rFonts w:ascii="Verdana" w:hAnsi="Verdana"/>
        </w:rPr>
        <w:t xml:space="preserve"> y</w:t>
      </w:r>
      <w:r w:rsidR="000F1BA6">
        <w:rPr>
          <w:rFonts w:ascii="Verdana" w:hAnsi="Verdana"/>
        </w:rPr>
        <w:t xml:space="preserve"> </w:t>
      </w:r>
      <w:r w:rsidR="000F1BA6">
        <w:rPr>
          <w:rFonts w:ascii="Verdana" w:hAnsi="Verdana"/>
        </w:rPr>
        <w:fldChar w:fldCharType="begin"/>
      </w:r>
      <w:r w:rsidR="000F1BA6">
        <w:rPr>
          <w:rFonts w:ascii="Verdana" w:hAnsi="Verdana"/>
        </w:rPr>
        <w:instrText xml:space="preserve"> REF _Ref475729258 \r \h </w:instrText>
      </w:r>
      <w:r w:rsidR="000F1BA6">
        <w:rPr>
          <w:rFonts w:ascii="Verdana" w:hAnsi="Verdana"/>
        </w:rPr>
      </w:r>
      <w:r w:rsidR="000F1BA6">
        <w:rPr>
          <w:rFonts w:ascii="Verdana" w:hAnsi="Verdana"/>
        </w:rPr>
        <w:fldChar w:fldCharType="separate"/>
      </w:r>
      <w:r w:rsidR="00961213">
        <w:rPr>
          <w:rFonts w:ascii="Verdana" w:hAnsi="Verdana"/>
        </w:rPr>
        <w:t>14</w:t>
      </w:r>
      <w:r w:rsidR="000F1BA6">
        <w:rPr>
          <w:rFonts w:ascii="Verdana" w:hAnsi="Verdana"/>
        </w:rPr>
        <w:fldChar w:fldCharType="end"/>
      </w:r>
      <w:r w:rsidR="00334641" w:rsidRPr="002E142C">
        <w:rPr>
          <w:rFonts w:ascii="Verdana" w:hAnsi="Verdana"/>
        </w:rPr>
        <w:t>).</w:t>
      </w:r>
    </w:p>
    <w:p w14:paraId="14446193" w14:textId="77777777" w:rsidR="001D62E8" w:rsidRPr="002E142C" w:rsidRDefault="001D62E8" w:rsidP="002B25B6">
      <w:pPr>
        <w:pStyle w:val="BodyText2"/>
        <w:tabs>
          <w:tab w:val="left" w:pos="567"/>
        </w:tabs>
        <w:spacing w:after="0" w:line="240" w:lineRule="auto"/>
        <w:jc w:val="both"/>
        <w:rPr>
          <w:rFonts w:ascii="Verdana" w:hAnsi="Verdana"/>
          <w:b/>
        </w:rPr>
      </w:pPr>
    </w:p>
    <w:p w14:paraId="1E600B83" w14:textId="67EFF941" w:rsidR="001D62E8" w:rsidRPr="002E142C" w:rsidRDefault="001D62E8" w:rsidP="002B25B6">
      <w:pPr>
        <w:pStyle w:val="BodyText2"/>
        <w:numPr>
          <w:ilvl w:val="0"/>
          <w:numId w:val="3"/>
        </w:numPr>
        <w:tabs>
          <w:tab w:val="left" w:pos="567"/>
        </w:tabs>
        <w:spacing w:after="0" w:line="240" w:lineRule="auto"/>
        <w:jc w:val="both"/>
        <w:rPr>
          <w:rFonts w:ascii="Verdana" w:hAnsi="Verdana"/>
          <w:b/>
        </w:rPr>
      </w:pPr>
      <w:bookmarkStart w:id="14" w:name="_Ref473644771"/>
      <w:r w:rsidRPr="002E142C">
        <w:rPr>
          <w:rFonts w:ascii="Verdana" w:hAnsi="Verdana"/>
        </w:rPr>
        <w:t>Por tanto, si bien la Corte valora el informe presentado por el Estado, considera necesario que en virtud de los nuevos y recientes hechos informados por los representantes, el Estado realice un estudio o análisis comprensivo y técnico de la situación de riesgo d</w:t>
      </w:r>
      <w:r w:rsidR="001C6C26" w:rsidRPr="002E142C">
        <w:rPr>
          <w:rFonts w:ascii="Verdana" w:hAnsi="Verdana"/>
        </w:rPr>
        <w:t>e cada uno de los beneficiarios que forman parte del grupo familiar de la señora Fernández Ortega</w:t>
      </w:r>
      <w:r w:rsidR="00FE0A18" w:rsidRPr="002E142C">
        <w:rPr>
          <w:rStyle w:val="FootnoteReference"/>
          <w:sz w:val="20"/>
        </w:rPr>
        <w:footnoteReference w:id="32"/>
      </w:r>
      <w:r w:rsidR="001C6C26" w:rsidRPr="002E142C">
        <w:rPr>
          <w:rFonts w:ascii="Verdana" w:hAnsi="Verdana"/>
        </w:rPr>
        <w:t xml:space="preserve"> </w:t>
      </w:r>
      <w:r w:rsidRPr="002E142C">
        <w:rPr>
          <w:rFonts w:ascii="Verdana" w:hAnsi="Verdana"/>
        </w:rPr>
        <w:t>e informe al Tribunal de forma detallada y completa de sus resultados, con la documentación que los sustente, así como de las medidas y medios de protección específicos, adecuados y suficientes que sean implementados como consecuencia de dichas evaluaciones. Una vez que sean presentados los estudios respectivos, la Corte se pronunciará sobre la solicitud de levantamiento del Estado.</w:t>
      </w:r>
      <w:bookmarkEnd w:id="14"/>
      <w:r w:rsidRPr="002E142C">
        <w:rPr>
          <w:rFonts w:ascii="Verdana" w:hAnsi="Verdana"/>
        </w:rPr>
        <w:t xml:space="preserve"> </w:t>
      </w:r>
    </w:p>
    <w:p w14:paraId="1C28F8B7" w14:textId="77777777" w:rsidR="001D62E8" w:rsidRPr="002E142C" w:rsidRDefault="001D62E8" w:rsidP="002B25B6">
      <w:pPr>
        <w:pStyle w:val="BodyText2"/>
        <w:tabs>
          <w:tab w:val="left" w:pos="567"/>
        </w:tabs>
        <w:spacing w:after="0" w:line="240" w:lineRule="auto"/>
        <w:jc w:val="both"/>
        <w:rPr>
          <w:rFonts w:ascii="Verdana" w:hAnsi="Verdana"/>
          <w:b/>
        </w:rPr>
      </w:pPr>
    </w:p>
    <w:p w14:paraId="77C5762A" w14:textId="7D4B710B" w:rsidR="00FE0A18" w:rsidRPr="002E142C" w:rsidRDefault="00A85BBC" w:rsidP="002B25B6">
      <w:pPr>
        <w:pStyle w:val="BodyText2"/>
        <w:numPr>
          <w:ilvl w:val="0"/>
          <w:numId w:val="3"/>
        </w:numPr>
        <w:tabs>
          <w:tab w:val="left" w:pos="567"/>
        </w:tabs>
        <w:spacing w:after="0" w:line="240" w:lineRule="auto"/>
        <w:jc w:val="both"/>
        <w:rPr>
          <w:rFonts w:ascii="Verdana" w:hAnsi="Verdana"/>
        </w:rPr>
      </w:pPr>
      <w:bookmarkStart w:id="15" w:name="_Ref473561252"/>
      <w:r w:rsidRPr="002E142C">
        <w:rPr>
          <w:rFonts w:ascii="Verdana" w:hAnsi="Verdana"/>
        </w:rPr>
        <w:t xml:space="preserve">Con relación </w:t>
      </w:r>
      <w:r w:rsidR="00C51C5F" w:rsidRPr="002E142C">
        <w:rPr>
          <w:rFonts w:ascii="Verdana" w:hAnsi="Verdana"/>
        </w:rPr>
        <w:t xml:space="preserve">a la situación de riesgo de </w:t>
      </w:r>
      <w:proofErr w:type="spellStart"/>
      <w:r w:rsidR="00C51C5F" w:rsidRPr="002E142C">
        <w:rPr>
          <w:rFonts w:ascii="Verdana" w:hAnsi="Verdana"/>
        </w:rPr>
        <w:t>Obtilia</w:t>
      </w:r>
      <w:proofErr w:type="spellEnd"/>
      <w:r w:rsidR="00C51C5F" w:rsidRPr="002E142C">
        <w:rPr>
          <w:rFonts w:ascii="Verdana" w:hAnsi="Verdana"/>
        </w:rPr>
        <w:t xml:space="preserve"> Eugenio Manuel y sus familiares, la Corte observa que no cuenta con información detallada y actualizada, dado que los representantes informaron que no había sido posible contactarlos</w:t>
      </w:r>
      <w:r w:rsidR="008C3118" w:rsidRPr="002E142C">
        <w:rPr>
          <w:rFonts w:ascii="Verdana" w:hAnsi="Verdana"/>
        </w:rPr>
        <w:t>.</w:t>
      </w:r>
      <w:r w:rsidR="00803B91" w:rsidRPr="002E142C">
        <w:rPr>
          <w:rFonts w:ascii="Verdana" w:hAnsi="Verdana"/>
        </w:rPr>
        <w:t xml:space="preserve"> </w:t>
      </w:r>
      <w:bookmarkEnd w:id="13"/>
      <w:r w:rsidR="009B6346" w:rsidRPr="002E142C">
        <w:rPr>
          <w:rFonts w:ascii="Verdana" w:hAnsi="Verdana"/>
        </w:rPr>
        <w:t xml:space="preserve">Asimismo, </w:t>
      </w:r>
      <w:r w:rsidR="009C6D4A" w:rsidRPr="002E142C">
        <w:rPr>
          <w:rFonts w:ascii="Verdana" w:hAnsi="Verdana"/>
        </w:rPr>
        <w:t>este Tribunal toma nota d</w:t>
      </w:r>
      <w:r w:rsidR="009B6346" w:rsidRPr="002E142C">
        <w:rPr>
          <w:rFonts w:ascii="Verdana" w:hAnsi="Verdana"/>
        </w:rPr>
        <w:t>el fallecimiento de Natalio Ortega Cruz, por lo que estima pertinente levantar las medidas provisionales</w:t>
      </w:r>
      <w:r w:rsidR="00453DA8" w:rsidRPr="002E142C">
        <w:rPr>
          <w:rFonts w:ascii="Verdana" w:hAnsi="Verdana"/>
        </w:rPr>
        <w:t xml:space="preserve"> ordenadas a </w:t>
      </w:r>
      <w:r w:rsidR="009C6D4A" w:rsidRPr="002E142C">
        <w:rPr>
          <w:rFonts w:ascii="Verdana" w:hAnsi="Verdana"/>
        </w:rPr>
        <w:t xml:space="preserve">su </w:t>
      </w:r>
      <w:r w:rsidR="00453DA8" w:rsidRPr="002E142C">
        <w:rPr>
          <w:rFonts w:ascii="Verdana" w:hAnsi="Verdana"/>
        </w:rPr>
        <w:t>favor</w:t>
      </w:r>
      <w:r w:rsidR="009B6346" w:rsidRPr="002E142C">
        <w:rPr>
          <w:rFonts w:ascii="Verdana" w:hAnsi="Verdana"/>
        </w:rPr>
        <w:t>.</w:t>
      </w:r>
      <w:r w:rsidR="001C6C26" w:rsidRPr="002E142C">
        <w:rPr>
          <w:rFonts w:ascii="Verdana" w:hAnsi="Verdana"/>
        </w:rPr>
        <w:t xml:space="preserve"> </w:t>
      </w:r>
    </w:p>
    <w:p w14:paraId="7156D2A6" w14:textId="77777777" w:rsidR="00FE0A18" w:rsidRPr="002E142C" w:rsidRDefault="00FE0A18" w:rsidP="002B25B6">
      <w:pPr>
        <w:pStyle w:val="BodyText2"/>
        <w:tabs>
          <w:tab w:val="left" w:pos="567"/>
        </w:tabs>
        <w:spacing w:after="0" w:line="240" w:lineRule="auto"/>
        <w:jc w:val="both"/>
        <w:rPr>
          <w:rFonts w:ascii="Verdana" w:hAnsi="Verdana"/>
        </w:rPr>
      </w:pPr>
    </w:p>
    <w:p w14:paraId="344ABCA3" w14:textId="41938ACE" w:rsidR="00494C6B" w:rsidRPr="002E142C" w:rsidRDefault="001C6C26" w:rsidP="0048091D">
      <w:pPr>
        <w:pStyle w:val="BodyText2"/>
        <w:numPr>
          <w:ilvl w:val="0"/>
          <w:numId w:val="3"/>
        </w:numPr>
        <w:spacing w:after="0" w:line="240" w:lineRule="auto"/>
        <w:jc w:val="both"/>
        <w:rPr>
          <w:rFonts w:ascii="Verdana" w:hAnsi="Verdana"/>
        </w:rPr>
      </w:pPr>
      <w:bookmarkStart w:id="16" w:name="_Ref473561287"/>
      <w:r w:rsidRPr="002E142C">
        <w:rPr>
          <w:rFonts w:ascii="Verdana" w:hAnsi="Verdana"/>
        </w:rPr>
        <w:t xml:space="preserve">Por otra parte, </w:t>
      </w:r>
      <w:r w:rsidR="00FE0A18" w:rsidRPr="002E142C">
        <w:rPr>
          <w:rFonts w:ascii="Verdana" w:hAnsi="Verdana"/>
        </w:rPr>
        <w:t xml:space="preserve">se advierte </w:t>
      </w:r>
      <w:r w:rsidRPr="002E142C">
        <w:rPr>
          <w:rFonts w:ascii="Verdana" w:hAnsi="Verdana"/>
        </w:rPr>
        <w:t xml:space="preserve">que ocho beneficiarios, a quienes habrían sido otorgadas medidas provisionales por ser integrantes del Centro de Derechos Humanos de la Montaña </w:t>
      </w:r>
      <w:proofErr w:type="spellStart"/>
      <w:r w:rsidRPr="002E142C">
        <w:rPr>
          <w:rFonts w:ascii="Verdana" w:hAnsi="Verdana"/>
        </w:rPr>
        <w:t>Tlachinollan</w:t>
      </w:r>
      <w:proofErr w:type="spellEnd"/>
      <w:r w:rsidRPr="002E142C">
        <w:rPr>
          <w:rFonts w:ascii="Verdana" w:hAnsi="Verdana"/>
        </w:rPr>
        <w:t xml:space="preserve">, ya no trabajan para dicha organización. Por consiguiente y en virtud de que no ha sido </w:t>
      </w:r>
      <w:r w:rsidR="00FE0A18" w:rsidRPr="002E142C">
        <w:rPr>
          <w:rFonts w:ascii="Verdana" w:hAnsi="Verdana"/>
        </w:rPr>
        <w:t xml:space="preserve">aportada </w:t>
      </w:r>
      <w:r w:rsidRPr="002E142C">
        <w:rPr>
          <w:rFonts w:ascii="Verdana" w:hAnsi="Verdana"/>
        </w:rPr>
        <w:t xml:space="preserve">información adicional que </w:t>
      </w:r>
      <w:r w:rsidR="00FE0A18" w:rsidRPr="002E142C">
        <w:rPr>
          <w:rFonts w:ascii="Verdana" w:hAnsi="Verdana"/>
        </w:rPr>
        <w:t xml:space="preserve">justifique </w:t>
      </w:r>
      <w:r w:rsidRPr="002E142C">
        <w:rPr>
          <w:rFonts w:ascii="Verdana" w:hAnsi="Verdana"/>
        </w:rPr>
        <w:t xml:space="preserve">una situación de riesgo en su perjuicio, esta Corte estima pertinente </w:t>
      </w:r>
      <w:r w:rsidR="00FE0A18" w:rsidRPr="002E142C">
        <w:rPr>
          <w:rFonts w:ascii="Verdana" w:hAnsi="Verdana"/>
        </w:rPr>
        <w:t>levantar</w:t>
      </w:r>
      <w:r w:rsidRPr="002E142C">
        <w:rPr>
          <w:rFonts w:ascii="Verdana" w:hAnsi="Verdana"/>
        </w:rPr>
        <w:t xml:space="preserve"> las medidas otorgadas a </w:t>
      </w:r>
      <w:r w:rsidR="00FE0A18" w:rsidRPr="002E142C">
        <w:rPr>
          <w:rFonts w:ascii="Verdana" w:hAnsi="Verdana"/>
        </w:rPr>
        <w:t xml:space="preserve">favor de </w:t>
      </w:r>
      <w:r w:rsidRPr="002E142C">
        <w:rPr>
          <w:rFonts w:ascii="Verdana" w:hAnsi="Verdana"/>
        </w:rPr>
        <w:t xml:space="preserve">Alejandro Ramos Gallegos, </w:t>
      </w:r>
      <w:proofErr w:type="spellStart"/>
      <w:r w:rsidRPr="002E142C">
        <w:rPr>
          <w:rFonts w:ascii="Verdana" w:hAnsi="Verdana"/>
        </w:rPr>
        <w:t>Eulogia</w:t>
      </w:r>
      <w:proofErr w:type="spellEnd"/>
      <w:r w:rsidRPr="002E142C">
        <w:rPr>
          <w:rFonts w:ascii="Verdana" w:hAnsi="Verdana"/>
        </w:rPr>
        <w:t xml:space="preserve"> Flores Vázquez, Gabino Santiago Jiménez, Juan Castro </w:t>
      </w:r>
      <w:proofErr w:type="spellStart"/>
      <w:r w:rsidRPr="002E142C">
        <w:rPr>
          <w:rFonts w:ascii="Verdana" w:hAnsi="Verdana"/>
        </w:rPr>
        <w:t>Castro</w:t>
      </w:r>
      <w:proofErr w:type="spellEnd"/>
      <w:r w:rsidRPr="002E142C">
        <w:rPr>
          <w:rFonts w:ascii="Verdana" w:hAnsi="Verdana"/>
        </w:rPr>
        <w:t xml:space="preserve">, Margarita </w:t>
      </w:r>
      <w:proofErr w:type="spellStart"/>
      <w:r w:rsidRPr="002E142C">
        <w:rPr>
          <w:rFonts w:ascii="Verdana" w:hAnsi="Verdana"/>
        </w:rPr>
        <w:t>Nemecio</w:t>
      </w:r>
      <w:proofErr w:type="spellEnd"/>
      <w:r w:rsidRPr="002E142C">
        <w:rPr>
          <w:rFonts w:ascii="Verdana" w:hAnsi="Verdana"/>
        </w:rPr>
        <w:t xml:space="preserve"> Nemesio, Matilde Pérez Romero, Odilia Alatorre Villavicencio</w:t>
      </w:r>
      <w:r w:rsidR="00FE0A18" w:rsidRPr="002E142C">
        <w:rPr>
          <w:rFonts w:ascii="Verdana" w:hAnsi="Verdana"/>
        </w:rPr>
        <w:t xml:space="preserve"> y</w:t>
      </w:r>
      <w:r w:rsidRPr="002E142C">
        <w:rPr>
          <w:rFonts w:ascii="Verdana" w:hAnsi="Verdana"/>
        </w:rPr>
        <w:t xml:space="preserve"> Roberto Gamboa Vázquez.</w:t>
      </w:r>
      <w:bookmarkEnd w:id="15"/>
      <w:bookmarkEnd w:id="16"/>
      <w:r w:rsidRPr="002E142C">
        <w:rPr>
          <w:rFonts w:ascii="Verdana" w:hAnsi="Verdana"/>
        </w:rPr>
        <w:t xml:space="preserve"> </w:t>
      </w:r>
    </w:p>
    <w:p w14:paraId="3FA50897" w14:textId="77777777" w:rsidR="001C6C26" w:rsidRPr="002E142C" w:rsidRDefault="001C6C26" w:rsidP="002B25B6">
      <w:pPr>
        <w:pStyle w:val="BodyText2"/>
        <w:tabs>
          <w:tab w:val="left" w:pos="567"/>
        </w:tabs>
        <w:spacing w:after="0" w:line="240" w:lineRule="auto"/>
        <w:jc w:val="both"/>
        <w:rPr>
          <w:rFonts w:ascii="Verdana" w:hAnsi="Verdana"/>
        </w:rPr>
      </w:pPr>
    </w:p>
    <w:p w14:paraId="28368898" w14:textId="0EA09C60" w:rsidR="003A2462" w:rsidRPr="002E142C" w:rsidRDefault="009C6D4A" w:rsidP="002B25B6">
      <w:pPr>
        <w:pStyle w:val="BodyText2"/>
        <w:numPr>
          <w:ilvl w:val="0"/>
          <w:numId w:val="3"/>
        </w:numPr>
        <w:tabs>
          <w:tab w:val="left" w:pos="567"/>
        </w:tabs>
        <w:spacing w:after="0" w:line="240" w:lineRule="auto"/>
        <w:jc w:val="both"/>
        <w:rPr>
          <w:rFonts w:ascii="Verdana" w:hAnsi="Verdana"/>
        </w:rPr>
      </w:pPr>
      <w:bookmarkStart w:id="17" w:name="_Ref473560527"/>
      <w:r w:rsidRPr="002E142C">
        <w:rPr>
          <w:rFonts w:ascii="Verdana" w:hAnsi="Verdana"/>
        </w:rPr>
        <w:t xml:space="preserve">Respecto de los demás beneficiarios, esta Corte </w:t>
      </w:r>
      <w:r w:rsidR="002C3D7A" w:rsidRPr="002E142C">
        <w:rPr>
          <w:rFonts w:ascii="Verdana" w:hAnsi="Verdana"/>
        </w:rPr>
        <w:t xml:space="preserve">toma nota de la solicitud de levantamiento del Estado, pero a la vez </w:t>
      </w:r>
      <w:r w:rsidRPr="002E142C">
        <w:rPr>
          <w:rFonts w:ascii="Verdana" w:hAnsi="Verdana"/>
        </w:rPr>
        <w:t>constata que l</w:t>
      </w:r>
      <w:r w:rsidR="00494C6B" w:rsidRPr="002E142C">
        <w:rPr>
          <w:rFonts w:ascii="Verdana" w:hAnsi="Verdana"/>
        </w:rPr>
        <w:t xml:space="preserve">os representantes </w:t>
      </w:r>
      <w:r w:rsidR="00E87B92" w:rsidRPr="002E142C">
        <w:rPr>
          <w:rFonts w:ascii="Verdana" w:hAnsi="Verdana"/>
        </w:rPr>
        <w:t>presentaron información sobre</w:t>
      </w:r>
      <w:r w:rsidR="00494C6B" w:rsidRPr="002E142C">
        <w:rPr>
          <w:rFonts w:ascii="Verdana" w:hAnsi="Verdana"/>
        </w:rPr>
        <w:t xml:space="preserve"> presuntos hechos de riesgo asociados a la detención y cuestionamiento </w:t>
      </w:r>
      <w:r w:rsidR="001326BF">
        <w:rPr>
          <w:rFonts w:ascii="Verdana" w:hAnsi="Verdana"/>
        </w:rPr>
        <w:t>de</w:t>
      </w:r>
      <w:r w:rsidR="00494C6B" w:rsidRPr="002E142C">
        <w:rPr>
          <w:rFonts w:ascii="Verdana" w:hAnsi="Verdana"/>
        </w:rPr>
        <w:t xml:space="preserve"> integrantes del equipo de </w:t>
      </w:r>
      <w:proofErr w:type="spellStart"/>
      <w:r w:rsidR="00494C6B" w:rsidRPr="002E142C">
        <w:rPr>
          <w:rFonts w:ascii="Verdana" w:hAnsi="Verdana"/>
        </w:rPr>
        <w:t>Tlachinollan</w:t>
      </w:r>
      <w:proofErr w:type="spellEnd"/>
      <w:r w:rsidR="0021236C" w:rsidRPr="002E142C">
        <w:rPr>
          <w:rFonts w:ascii="Verdana" w:hAnsi="Verdana"/>
        </w:rPr>
        <w:t xml:space="preserve">, el robo de un vehículo de la organización, presuntas situaciones de intimidación y hostigamiento de los miembros de la organización en el marco de su labor, </w:t>
      </w:r>
      <w:r w:rsidR="001A4A5E" w:rsidRPr="002E142C">
        <w:rPr>
          <w:rFonts w:ascii="Verdana" w:hAnsi="Verdana"/>
        </w:rPr>
        <w:t xml:space="preserve">escuchas telefónicas ilegales a miembros de la organización y </w:t>
      </w:r>
      <w:r w:rsidR="008A25AE" w:rsidRPr="002E142C">
        <w:rPr>
          <w:rFonts w:ascii="Verdana" w:hAnsi="Verdana"/>
        </w:rPr>
        <w:t>una</w:t>
      </w:r>
      <w:r w:rsidR="001A4A5E" w:rsidRPr="002E142C">
        <w:rPr>
          <w:rFonts w:ascii="Verdana" w:hAnsi="Verdana"/>
        </w:rPr>
        <w:t xml:space="preserve"> de las víctimas que representan, </w:t>
      </w:r>
      <w:r w:rsidR="0021236C" w:rsidRPr="002E142C">
        <w:rPr>
          <w:rFonts w:ascii="Verdana" w:hAnsi="Verdana"/>
        </w:rPr>
        <w:t>así como un presunto contexto de criminalización de la labor de los defensores de derechos humanos y concretamente una alegada “campaña de criminalización” en contra de algunos miembros de OPIM</w:t>
      </w:r>
      <w:r w:rsidR="004A039C" w:rsidRPr="002E142C">
        <w:rPr>
          <w:rStyle w:val="FootnoteReference"/>
          <w:sz w:val="20"/>
        </w:rPr>
        <w:footnoteReference w:id="33"/>
      </w:r>
      <w:r w:rsidR="0021236C" w:rsidRPr="002E142C">
        <w:rPr>
          <w:rFonts w:ascii="Verdana" w:hAnsi="Verdana"/>
        </w:rPr>
        <w:t xml:space="preserve"> (</w:t>
      </w:r>
      <w:r w:rsidR="0021236C" w:rsidRPr="002E142C">
        <w:rPr>
          <w:rFonts w:ascii="Verdana" w:hAnsi="Verdana"/>
          <w:i/>
        </w:rPr>
        <w:t>supra</w:t>
      </w:r>
      <w:r w:rsidR="0021236C" w:rsidRPr="002E142C">
        <w:rPr>
          <w:rFonts w:ascii="Verdana" w:hAnsi="Verdana"/>
        </w:rPr>
        <w:t xml:space="preserve"> </w:t>
      </w:r>
      <w:r w:rsidR="00AA54E9" w:rsidRPr="002E142C">
        <w:rPr>
          <w:rFonts w:ascii="Verdana" w:hAnsi="Verdana"/>
        </w:rPr>
        <w:t>considerandos</w:t>
      </w:r>
      <w:r w:rsidR="0021236C" w:rsidRPr="002E142C">
        <w:rPr>
          <w:rFonts w:ascii="Verdana" w:hAnsi="Verdana"/>
        </w:rPr>
        <w:t xml:space="preserve"> </w:t>
      </w:r>
      <w:r w:rsidR="004315DD" w:rsidRPr="002E142C">
        <w:rPr>
          <w:rFonts w:ascii="Verdana" w:hAnsi="Verdana"/>
        </w:rPr>
        <w:fldChar w:fldCharType="begin"/>
      </w:r>
      <w:r w:rsidR="004315DD" w:rsidRPr="002E142C">
        <w:rPr>
          <w:rFonts w:ascii="Verdana" w:hAnsi="Verdana"/>
        </w:rPr>
        <w:instrText xml:space="preserve"> REF _Ref473643228 \r \h </w:instrText>
      </w:r>
      <w:r w:rsidR="00260C4F" w:rsidRPr="002E142C">
        <w:rPr>
          <w:rFonts w:ascii="Verdana" w:hAnsi="Verdana"/>
        </w:rPr>
        <w:instrText xml:space="preserve"> \* MERGEFORMAT </w:instrText>
      </w:r>
      <w:r w:rsidR="004315DD" w:rsidRPr="002E142C">
        <w:rPr>
          <w:rFonts w:ascii="Verdana" w:hAnsi="Verdana"/>
        </w:rPr>
      </w:r>
      <w:r w:rsidR="004315DD" w:rsidRPr="002E142C">
        <w:rPr>
          <w:rFonts w:ascii="Verdana" w:hAnsi="Verdana"/>
        </w:rPr>
        <w:fldChar w:fldCharType="separate"/>
      </w:r>
      <w:r w:rsidR="00961213">
        <w:rPr>
          <w:rFonts w:ascii="Verdana" w:hAnsi="Verdana"/>
        </w:rPr>
        <w:t>7</w:t>
      </w:r>
      <w:r w:rsidR="004315DD" w:rsidRPr="002E142C">
        <w:rPr>
          <w:rFonts w:ascii="Verdana" w:hAnsi="Verdana"/>
        </w:rPr>
        <w:fldChar w:fldCharType="end"/>
      </w:r>
      <w:r w:rsidR="004315DD" w:rsidRPr="002E142C">
        <w:rPr>
          <w:rFonts w:ascii="Verdana" w:hAnsi="Verdana"/>
        </w:rPr>
        <w:t xml:space="preserve"> </w:t>
      </w:r>
      <w:r w:rsidR="0021236C" w:rsidRPr="002E142C">
        <w:rPr>
          <w:rFonts w:ascii="Verdana" w:hAnsi="Verdana"/>
        </w:rPr>
        <w:t>a</w:t>
      </w:r>
      <w:r w:rsidR="004315DD" w:rsidRPr="002E142C">
        <w:rPr>
          <w:rFonts w:ascii="Verdana" w:hAnsi="Verdana"/>
        </w:rPr>
        <w:t xml:space="preserve"> </w:t>
      </w:r>
      <w:r w:rsidR="004315DD" w:rsidRPr="002E142C">
        <w:rPr>
          <w:rFonts w:ascii="Verdana" w:hAnsi="Verdana"/>
        </w:rPr>
        <w:fldChar w:fldCharType="begin"/>
      </w:r>
      <w:r w:rsidR="004315DD" w:rsidRPr="002E142C">
        <w:rPr>
          <w:rFonts w:ascii="Verdana" w:hAnsi="Verdana"/>
        </w:rPr>
        <w:instrText xml:space="preserve"> REF _Ref473643248 \r \h </w:instrText>
      </w:r>
      <w:r w:rsidR="00260C4F" w:rsidRPr="002E142C">
        <w:rPr>
          <w:rFonts w:ascii="Verdana" w:hAnsi="Verdana"/>
        </w:rPr>
        <w:instrText xml:space="preserve"> \* MERGEFORMAT </w:instrText>
      </w:r>
      <w:r w:rsidR="004315DD" w:rsidRPr="002E142C">
        <w:rPr>
          <w:rFonts w:ascii="Verdana" w:hAnsi="Verdana"/>
        </w:rPr>
      </w:r>
      <w:r w:rsidR="004315DD" w:rsidRPr="002E142C">
        <w:rPr>
          <w:rFonts w:ascii="Verdana" w:hAnsi="Verdana"/>
        </w:rPr>
        <w:fldChar w:fldCharType="separate"/>
      </w:r>
      <w:r w:rsidR="00961213">
        <w:rPr>
          <w:rFonts w:ascii="Verdana" w:hAnsi="Verdana"/>
        </w:rPr>
        <w:t>10</w:t>
      </w:r>
      <w:r w:rsidR="004315DD" w:rsidRPr="002E142C">
        <w:rPr>
          <w:rFonts w:ascii="Verdana" w:hAnsi="Verdana"/>
        </w:rPr>
        <w:fldChar w:fldCharType="end"/>
      </w:r>
      <w:r w:rsidR="0021236C" w:rsidRPr="002E142C">
        <w:rPr>
          <w:rFonts w:ascii="Verdana" w:hAnsi="Verdana"/>
        </w:rPr>
        <w:t>)</w:t>
      </w:r>
      <w:r w:rsidR="001A4A5E" w:rsidRPr="002E142C">
        <w:rPr>
          <w:rFonts w:ascii="Verdana" w:hAnsi="Verdana"/>
        </w:rPr>
        <w:t>.</w:t>
      </w:r>
      <w:bookmarkEnd w:id="17"/>
    </w:p>
    <w:p w14:paraId="0C78C923" w14:textId="77777777" w:rsidR="003A2462" w:rsidRPr="002E142C" w:rsidRDefault="003A2462" w:rsidP="002B25B6">
      <w:pPr>
        <w:pStyle w:val="BodyText2"/>
        <w:tabs>
          <w:tab w:val="left" w:pos="567"/>
        </w:tabs>
        <w:spacing w:after="0" w:line="240" w:lineRule="auto"/>
        <w:jc w:val="both"/>
        <w:rPr>
          <w:rFonts w:ascii="Verdana" w:hAnsi="Verdana"/>
        </w:rPr>
      </w:pPr>
    </w:p>
    <w:p w14:paraId="1DACD9E8" w14:textId="244309ED" w:rsidR="003A2462" w:rsidRPr="002E142C" w:rsidRDefault="001C7ADE" w:rsidP="002B25B6">
      <w:pPr>
        <w:pStyle w:val="BodyText2"/>
        <w:numPr>
          <w:ilvl w:val="0"/>
          <w:numId w:val="3"/>
        </w:numPr>
        <w:tabs>
          <w:tab w:val="left" w:pos="567"/>
        </w:tabs>
        <w:spacing w:after="0" w:line="240" w:lineRule="auto"/>
        <w:jc w:val="both"/>
        <w:rPr>
          <w:rFonts w:ascii="Verdana" w:hAnsi="Verdana"/>
        </w:rPr>
      </w:pPr>
      <w:r w:rsidRPr="002E142C">
        <w:rPr>
          <w:rFonts w:ascii="Verdana" w:hAnsi="Verdana"/>
        </w:rPr>
        <w:t xml:space="preserve">Este Tribunal </w:t>
      </w:r>
      <w:r w:rsidR="00476EA2" w:rsidRPr="002E142C">
        <w:rPr>
          <w:rFonts w:ascii="Verdana" w:hAnsi="Verdana"/>
        </w:rPr>
        <w:t>toma nota de tales presuntos hechos</w:t>
      </w:r>
      <w:r w:rsidR="005833B7" w:rsidRPr="002E142C">
        <w:rPr>
          <w:rFonts w:ascii="Verdana" w:hAnsi="Verdana"/>
        </w:rPr>
        <w:t xml:space="preserve"> y observa la persistencia de una situación de vulnerabilidad respecto de los beneficiarios, a pesar de la vigencia de las presentes medidas. Algunas de las situaciones in</w:t>
      </w:r>
      <w:r w:rsidR="004315DD" w:rsidRPr="002E142C">
        <w:rPr>
          <w:rFonts w:ascii="Verdana" w:hAnsi="Verdana"/>
        </w:rPr>
        <w:t>formadas por los representantes</w:t>
      </w:r>
      <w:r w:rsidR="005833B7" w:rsidRPr="002E142C">
        <w:rPr>
          <w:rFonts w:ascii="Verdana" w:hAnsi="Verdana"/>
        </w:rPr>
        <w:t xml:space="preserve"> podrían</w:t>
      </w:r>
      <w:r w:rsidR="007911EA" w:rsidRPr="002E142C">
        <w:rPr>
          <w:rFonts w:ascii="Verdana" w:hAnsi="Verdana"/>
        </w:rPr>
        <w:t xml:space="preserve"> constituir formas de intimidación y amedrentamiento en el ejercicio de su labor de defensa de los derechos humanos</w:t>
      </w:r>
      <w:r w:rsidR="005833B7" w:rsidRPr="002E142C">
        <w:rPr>
          <w:rFonts w:ascii="Verdana" w:hAnsi="Verdana"/>
        </w:rPr>
        <w:t>,</w:t>
      </w:r>
      <w:r w:rsidR="007911EA" w:rsidRPr="002E142C">
        <w:rPr>
          <w:rFonts w:ascii="Verdana" w:hAnsi="Verdana"/>
        </w:rPr>
        <w:t xml:space="preserve"> as</w:t>
      </w:r>
      <w:r w:rsidR="003A2462" w:rsidRPr="002E142C">
        <w:rPr>
          <w:rFonts w:ascii="Verdana" w:hAnsi="Verdana"/>
        </w:rPr>
        <w:t xml:space="preserve">í como </w:t>
      </w:r>
      <w:r w:rsidR="007911EA" w:rsidRPr="002E142C">
        <w:rPr>
          <w:rFonts w:ascii="Verdana" w:hAnsi="Verdana"/>
        </w:rPr>
        <w:t>podrían</w:t>
      </w:r>
      <w:r w:rsidR="005833B7" w:rsidRPr="002E142C">
        <w:rPr>
          <w:rFonts w:ascii="Verdana" w:hAnsi="Verdana"/>
        </w:rPr>
        <w:t xml:space="preserve"> </w:t>
      </w:r>
      <w:proofErr w:type="spellStart"/>
      <w:r w:rsidR="005833B7" w:rsidRPr="002E142C">
        <w:rPr>
          <w:rFonts w:ascii="Verdana" w:hAnsi="Verdana"/>
        </w:rPr>
        <w:t>autolimitar</w:t>
      </w:r>
      <w:proofErr w:type="spellEnd"/>
      <w:r w:rsidR="005833B7" w:rsidRPr="002E142C">
        <w:rPr>
          <w:rFonts w:ascii="Verdana" w:hAnsi="Verdana"/>
        </w:rPr>
        <w:t xml:space="preserve"> el ejercicio de</w:t>
      </w:r>
      <w:r w:rsidR="007911EA" w:rsidRPr="002E142C">
        <w:rPr>
          <w:rFonts w:ascii="Verdana" w:hAnsi="Verdana"/>
        </w:rPr>
        <w:t xml:space="preserve"> dicha labor. Esta Corte ha </w:t>
      </w:r>
      <w:r w:rsidR="00E70BBC" w:rsidRPr="002E142C">
        <w:rPr>
          <w:rFonts w:ascii="Verdana" w:hAnsi="Verdana"/>
        </w:rPr>
        <w:t xml:space="preserve">señalado </w:t>
      </w:r>
      <w:r w:rsidR="007911EA" w:rsidRPr="002E142C">
        <w:rPr>
          <w:rFonts w:ascii="Verdana" w:hAnsi="Verdana"/>
        </w:rPr>
        <w:t xml:space="preserve">que determinadas condiciones de facto, tales como procesos judiciales penales en contextos de amenazas y hostigamiento a la labor de los defensores de derechos humanos, pueden colocarlos, directa o indirectamente, en una situación de riesgo o mayor </w:t>
      </w:r>
      <w:r w:rsidR="007911EA" w:rsidRPr="002E142C">
        <w:rPr>
          <w:rFonts w:ascii="Verdana" w:hAnsi="Verdana"/>
        </w:rPr>
        <w:lastRenderedPageBreak/>
        <w:t>vulnerabilidad</w:t>
      </w:r>
      <w:r w:rsidR="007911EA" w:rsidRPr="002E142C">
        <w:rPr>
          <w:rStyle w:val="FootnoteReference"/>
          <w:sz w:val="20"/>
        </w:rPr>
        <w:footnoteReference w:id="34"/>
      </w:r>
      <w:r w:rsidR="007911EA" w:rsidRPr="002E142C">
        <w:rPr>
          <w:rFonts w:ascii="Verdana" w:hAnsi="Verdana"/>
        </w:rPr>
        <w:t xml:space="preserve">. </w:t>
      </w:r>
      <w:r w:rsidR="003A2462" w:rsidRPr="002E142C">
        <w:rPr>
          <w:rFonts w:ascii="Verdana" w:hAnsi="Verdana"/>
          <w:lang w:val="es-MX" w:eastAsia="en-US"/>
        </w:rPr>
        <w:t xml:space="preserve">La </w:t>
      </w:r>
      <w:r w:rsidR="003A2462" w:rsidRPr="002E142C">
        <w:rPr>
          <w:rFonts w:ascii="Verdana" w:hAnsi="Verdana"/>
          <w:lang w:val="es-CL"/>
        </w:rPr>
        <w:t>Corte</w:t>
      </w:r>
      <w:r w:rsidR="003A2462" w:rsidRPr="002E142C">
        <w:rPr>
          <w:rFonts w:ascii="Verdana" w:hAnsi="Verdana"/>
          <w:lang w:val="es-MX" w:eastAsia="en-US"/>
        </w:rPr>
        <w:t xml:space="preserve"> recuerda que la defensa de los derechos humanos </w:t>
      </w:r>
      <w:r w:rsidR="00E70BBC" w:rsidRPr="002E142C">
        <w:rPr>
          <w:rFonts w:ascii="Verdana" w:hAnsi="Verdana"/>
          <w:lang w:val="es-MX" w:eastAsia="en-US"/>
        </w:rPr>
        <w:t xml:space="preserve">solo </w:t>
      </w:r>
      <w:r w:rsidR="003A2462" w:rsidRPr="002E142C">
        <w:rPr>
          <w:rFonts w:ascii="Verdana" w:hAnsi="Verdana"/>
          <w:lang w:val="es-MX" w:eastAsia="en-US"/>
        </w:rPr>
        <w:t>puede ejercerse libremente cuando las personas que la realizan no son víctimas de amenazas ni de cualquier tipo de agresiones físicas, psíquicas o morales u otros actos de hostigamiento</w:t>
      </w:r>
      <w:r w:rsidR="003A2462" w:rsidRPr="002E142C">
        <w:rPr>
          <w:rFonts w:ascii="Verdana" w:hAnsi="Verdana"/>
          <w:vertAlign w:val="superscript"/>
          <w:lang w:val="es-MX" w:eastAsia="en-US"/>
        </w:rPr>
        <w:footnoteReference w:id="35"/>
      </w:r>
      <w:r w:rsidR="003A2462" w:rsidRPr="002E142C">
        <w:rPr>
          <w:rFonts w:ascii="Verdana" w:hAnsi="Verdana"/>
          <w:lang w:val="es-MX" w:eastAsia="en-US"/>
        </w:rPr>
        <w:t xml:space="preserve">. Para tales efectos, es deber del Estado no </w:t>
      </w:r>
      <w:r w:rsidR="00E70BBC" w:rsidRPr="002E142C">
        <w:rPr>
          <w:rFonts w:ascii="Verdana" w:hAnsi="Verdana"/>
          <w:lang w:val="es-MX" w:eastAsia="en-US"/>
        </w:rPr>
        <w:t xml:space="preserve">solo </w:t>
      </w:r>
      <w:r w:rsidR="003A2462" w:rsidRPr="002E142C">
        <w:rPr>
          <w:rFonts w:ascii="Verdana" w:hAnsi="Verdana"/>
          <w:lang w:val="es-MX" w:eastAsia="en-US"/>
        </w:rPr>
        <w:t>crear las condiciones legales y formales, sino también garantizar las condiciones fácticas en las cuales los defensores de derechos humanos puedan desarrollar libremente su función</w:t>
      </w:r>
      <w:r w:rsidR="003A2462" w:rsidRPr="002E142C">
        <w:rPr>
          <w:rFonts w:ascii="Verdana" w:hAnsi="Verdana"/>
          <w:vertAlign w:val="superscript"/>
          <w:lang w:val="es-MX" w:eastAsia="en-US"/>
        </w:rPr>
        <w:footnoteReference w:id="36"/>
      </w:r>
      <w:r w:rsidR="003A2462" w:rsidRPr="002E142C">
        <w:rPr>
          <w:rFonts w:ascii="Verdana" w:hAnsi="Verdana"/>
          <w:lang w:val="es-MX" w:eastAsia="en-US"/>
        </w:rPr>
        <w:t>.</w:t>
      </w:r>
      <w:r w:rsidR="00E7507C" w:rsidRPr="002E142C">
        <w:rPr>
          <w:rFonts w:ascii="Verdana" w:hAnsi="Verdana"/>
          <w:lang w:val="es-MX" w:eastAsia="en-US"/>
        </w:rPr>
        <w:t xml:space="preserve"> En definitiva, la obligación del Estado de garantizar los derechos a la vida e integridad personal de las personas se ve reforzada cuando se trata de un defensor o defensora de derechos humanos</w:t>
      </w:r>
      <w:r w:rsidR="00E7507C" w:rsidRPr="002E142C">
        <w:rPr>
          <w:rStyle w:val="FootnoteReference"/>
          <w:sz w:val="20"/>
          <w:lang w:val="es-MX" w:eastAsia="en-US"/>
        </w:rPr>
        <w:footnoteReference w:id="37"/>
      </w:r>
      <w:r w:rsidR="00E7507C" w:rsidRPr="002E142C">
        <w:rPr>
          <w:rFonts w:ascii="Verdana" w:hAnsi="Verdana"/>
          <w:lang w:val="es-MX" w:eastAsia="en-US"/>
        </w:rPr>
        <w:t>.</w:t>
      </w:r>
    </w:p>
    <w:p w14:paraId="5D1870F9" w14:textId="4888EC9C" w:rsidR="007911EA" w:rsidRPr="002E142C" w:rsidRDefault="007911EA" w:rsidP="002B25B6">
      <w:pPr>
        <w:pStyle w:val="BodyText2"/>
        <w:tabs>
          <w:tab w:val="left" w:pos="567"/>
        </w:tabs>
        <w:spacing w:after="0" w:line="240" w:lineRule="auto"/>
        <w:jc w:val="both"/>
        <w:rPr>
          <w:rFonts w:ascii="Verdana" w:hAnsi="Verdana"/>
        </w:rPr>
      </w:pPr>
    </w:p>
    <w:p w14:paraId="279FE0A5" w14:textId="38083C1A" w:rsidR="001A4A5E" w:rsidRPr="002E142C" w:rsidRDefault="00494C6B" w:rsidP="002B25B6">
      <w:pPr>
        <w:pStyle w:val="BodyText2"/>
        <w:numPr>
          <w:ilvl w:val="0"/>
          <w:numId w:val="3"/>
        </w:numPr>
        <w:tabs>
          <w:tab w:val="left" w:pos="567"/>
        </w:tabs>
        <w:spacing w:after="0" w:line="240" w:lineRule="auto"/>
        <w:jc w:val="both"/>
        <w:rPr>
          <w:rFonts w:ascii="Verdana" w:hAnsi="Verdana"/>
        </w:rPr>
      </w:pPr>
      <w:r w:rsidRPr="002E142C">
        <w:rPr>
          <w:rFonts w:ascii="Verdana" w:hAnsi="Verdana"/>
        </w:rPr>
        <w:t>No obstante, la Corte advierte que</w:t>
      </w:r>
      <w:r w:rsidR="001A4A5E" w:rsidRPr="002E142C">
        <w:rPr>
          <w:rFonts w:ascii="Verdana" w:hAnsi="Verdana"/>
        </w:rPr>
        <w:t xml:space="preserve"> no se desprende de los hechos descritos una clara conexidad con los hechos del </w:t>
      </w:r>
      <w:r w:rsidR="008A25AE" w:rsidRPr="002E142C">
        <w:rPr>
          <w:rFonts w:ascii="Verdana" w:hAnsi="Verdana"/>
          <w:lang w:val="es-ES"/>
        </w:rPr>
        <w:t xml:space="preserve">caso </w:t>
      </w:r>
      <w:r w:rsidR="008A25AE" w:rsidRPr="002E142C">
        <w:rPr>
          <w:rFonts w:ascii="Verdana" w:hAnsi="Verdana"/>
          <w:i/>
          <w:lang w:val="es-ES"/>
        </w:rPr>
        <w:t>Fernández Ortega y otros</w:t>
      </w:r>
      <w:r w:rsidR="008A25AE" w:rsidRPr="002E142C">
        <w:rPr>
          <w:rFonts w:ascii="Verdana" w:hAnsi="Verdana"/>
          <w:lang w:val="es-ES"/>
        </w:rPr>
        <w:t xml:space="preserve">, ni con los eventos que justificaron, oportunamente, la adopción de estas medidas. </w:t>
      </w:r>
      <w:r w:rsidR="001A4A5E" w:rsidRPr="002E142C">
        <w:rPr>
          <w:rFonts w:ascii="Verdana" w:hAnsi="Verdana"/>
        </w:rPr>
        <w:t>Si bien al otorgarse las presentes medidas tanto la Presidencia como la Corte tuvieron en cuenta “el trabajo en relación con los derechos indígenas y por denuncias de violaciones de derechos humanos que [los representantes] habrían realizado”</w:t>
      </w:r>
      <w:r w:rsidR="001A4A5E" w:rsidRPr="002E142C">
        <w:rPr>
          <w:rStyle w:val="FootnoteReference"/>
          <w:sz w:val="20"/>
        </w:rPr>
        <w:footnoteReference w:id="38"/>
      </w:r>
      <w:r w:rsidR="008A25AE" w:rsidRPr="002E142C">
        <w:rPr>
          <w:rFonts w:ascii="Verdana" w:hAnsi="Verdana"/>
        </w:rPr>
        <w:t>, en esa misma oportunidad</w:t>
      </w:r>
      <w:r w:rsidR="0045282D" w:rsidRPr="002E142C">
        <w:rPr>
          <w:rFonts w:ascii="Verdana" w:hAnsi="Verdana"/>
        </w:rPr>
        <w:t xml:space="preserve"> </w:t>
      </w:r>
      <w:r w:rsidR="003D69A3" w:rsidRPr="002E142C">
        <w:rPr>
          <w:rFonts w:ascii="Verdana" w:hAnsi="Verdana"/>
        </w:rPr>
        <w:t>indicaron que las medidas habían sido solicitadas, y consecuentemente otorgadas, “en el contexto de una petición en trámite ante la Comisión Interamericana, [y particularmente que] los beneficiarios de las medidas […] se ‘encuentran relacionados directa o indirectamente con el caso de Inés Fernández Ortega”</w:t>
      </w:r>
      <w:r w:rsidR="00CE798A" w:rsidRPr="002E142C">
        <w:rPr>
          <w:rStyle w:val="FootnoteReference"/>
          <w:sz w:val="20"/>
        </w:rPr>
        <w:footnoteReference w:id="39"/>
      </w:r>
      <w:r w:rsidR="003D69A3" w:rsidRPr="002E142C">
        <w:rPr>
          <w:rFonts w:ascii="Verdana" w:hAnsi="Verdana"/>
        </w:rPr>
        <w:t xml:space="preserve">. Asimismo, </w:t>
      </w:r>
      <w:r w:rsidR="008A25AE" w:rsidRPr="002E142C">
        <w:rPr>
          <w:rFonts w:ascii="Verdana" w:hAnsi="Verdana"/>
        </w:rPr>
        <w:t>constituye jurisprudencia</w:t>
      </w:r>
      <w:r w:rsidR="00A85BBC" w:rsidRPr="002E142C">
        <w:rPr>
          <w:rFonts w:ascii="Verdana" w:hAnsi="Verdana"/>
        </w:rPr>
        <w:t xml:space="preserve"> reiterada de este Tribunal que</w:t>
      </w:r>
      <w:r w:rsidR="001A4A5E" w:rsidRPr="002E142C">
        <w:rPr>
          <w:rFonts w:ascii="Verdana" w:hAnsi="Verdana"/>
        </w:rPr>
        <w:t xml:space="preserve"> </w:t>
      </w:r>
      <w:r w:rsidR="003D69A3" w:rsidRPr="002E142C">
        <w:rPr>
          <w:rFonts w:ascii="Verdana" w:hAnsi="Verdana"/>
        </w:rPr>
        <w:t>el riesgo a los beneficiarios</w:t>
      </w:r>
      <w:r w:rsidR="00A85BBC" w:rsidRPr="002E142C">
        <w:rPr>
          <w:rFonts w:ascii="Verdana" w:hAnsi="Verdana"/>
        </w:rPr>
        <w:t>,</w:t>
      </w:r>
      <w:r w:rsidR="003D69A3" w:rsidRPr="002E142C">
        <w:rPr>
          <w:rFonts w:ascii="Verdana" w:hAnsi="Verdana"/>
        </w:rPr>
        <w:t xml:space="preserve"> en el marco de medidas provisionales otorgadas en un caso</w:t>
      </w:r>
      <w:r w:rsidR="0045282D" w:rsidRPr="002E142C">
        <w:rPr>
          <w:rFonts w:ascii="Verdana" w:hAnsi="Verdana"/>
        </w:rPr>
        <w:t xml:space="preserve"> contencioso en conocimiento del Tribunal, debe guardar relación con los hechos del caso ante la Corte</w:t>
      </w:r>
      <w:r w:rsidR="0045282D" w:rsidRPr="002E142C">
        <w:rPr>
          <w:rStyle w:val="FootnoteReference"/>
          <w:sz w:val="20"/>
        </w:rPr>
        <w:footnoteReference w:id="40"/>
      </w:r>
      <w:r w:rsidR="003D69A3" w:rsidRPr="002E142C">
        <w:rPr>
          <w:rFonts w:ascii="Verdana" w:hAnsi="Verdana"/>
        </w:rPr>
        <w:t>.</w:t>
      </w:r>
      <w:r w:rsidR="0045282D" w:rsidRPr="002E142C">
        <w:rPr>
          <w:rFonts w:ascii="Verdana" w:hAnsi="Verdana"/>
        </w:rPr>
        <w:t xml:space="preserve"> </w:t>
      </w:r>
      <w:r w:rsidR="001A4A5E" w:rsidRPr="002E142C">
        <w:rPr>
          <w:rFonts w:ascii="Verdana" w:hAnsi="Verdana"/>
        </w:rPr>
        <w:t xml:space="preserve">Esto no significa que no </w:t>
      </w:r>
      <w:r w:rsidR="008A25AE" w:rsidRPr="002E142C">
        <w:rPr>
          <w:rFonts w:ascii="Verdana" w:hAnsi="Verdana"/>
        </w:rPr>
        <w:t xml:space="preserve">exista una situación de </w:t>
      </w:r>
      <w:r w:rsidR="001A4A5E" w:rsidRPr="002E142C">
        <w:rPr>
          <w:rFonts w:ascii="Verdana" w:hAnsi="Verdana"/>
        </w:rPr>
        <w:t>riesgo</w:t>
      </w:r>
      <w:r w:rsidR="008A25AE" w:rsidRPr="002E142C">
        <w:rPr>
          <w:rFonts w:ascii="Verdana" w:hAnsi="Verdana"/>
        </w:rPr>
        <w:t xml:space="preserve"> </w:t>
      </w:r>
      <w:r w:rsidR="00C55120" w:rsidRPr="002E142C">
        <w:rPr>
          <w:rFonts w:ascii="Verdana" w:hAnsi="Verdana"/>
        </w:rPr>
        <w:t xml:space="preserve">que </w:t>
      </w:r>
      <w:r w:rsidR="00FE0A18" w:rsidRPr="002E142C">
        <w:rPr>
          <w:rFonts w:ascii="Verdana" w:hAnsi="Verdana"/>
        </w:rPr>
        <w:t xml:space="preserve">pudiera </w:t>
      </w:r>
      <w:r w:rsidR="00C55120" w:rsidRPr="002E142C">
        <w:rPr>
          <w:rFonts w:ascii="Verdana" w:hAnsi="Verdana"/>
        </w:rPr>
        <w:t>afect</w:t>
      </w:r>
      <w:r w:rsidR="00FE0A18" w:rsidRPr="002E142C">
        <w:rPr>
          <w:rFonts w:ascii="Verdana" w:hAnsi="Verdana"/>
        </w:rPr>
        <w:t>ar</w:t>
      </w:r>
      <w:r w:rsidR="00C55120" w:rsidRPr="002E142C">
        <w:rPr>
          <w:rFonts w:ascii="Verdana" w:hAnsi="Verdana"/>
        </w:rPr>
        <w:t xml:space="preserve"> a los </w:t>
      </w:r>
      <w:r w:rsidR="008A25AE" w:rsidRPr="002E142C">
        <w:rPr>
          <w:rFonts w:ascii="Verdana" w:hAnsi="Verdana"/>
        </w:rPr>
        <w:t>beneficiarios</w:t>
      </w:r>
      <w:r w:rsidR="001A4A5E" w:rsidRPr="002E142C">
        <w:rPr>
          <w:rFonts w:ascii="Verdana" w:hAnsi="Verdana"/>
        </w:rPr>
        <w:t xml:space="preserve">, </w:t>
      </w:r>
      <w:r w:rsidR="004A039C" w:rsidRPr="002E142C">
        <w:rPr>
          <w:rFonts w:ascii="Verdana" w:hAnsi="Verdana"/>
        </w:rPr>
        <w:t>sino que la Corte observa que estos hechos no</w:t>
      </w:r>
      <w:r w:rsidR="008A25AE" w:rsidRPr="002E142C">
        <w:rPr>
          <w:rFonts w:ascii="Verdana" w:hAnsi="Verdana"/>
        </w:rPr>
        <w:t xml:space="preserve"> </w:t>
      </w:r>
      <w:r w:rsidR="004A039C" w:rsidRPr="002E142C">
        <w:rPr>
          <w:rFonts w:ascii="Verdana" w:hAnsi="Verdana"/>
        </w:rPr>
        <w:t xml:space="preserve">parecieran </w:t>
      </w:r>
      <w:r w:rsidR="008A25AE" w:rsidRPr="002E142C">
        <w:rPr>
          <w:rFonts w:ascii="Verdana" w:hAnsi="Verdana"/>
        </w:rPr>
        <w:t xml:space="preserve">estar </w:t>
      </w:r>
      <w:r w:rsidR="001A4A5E" w:rsidRPr="002E142C">
        <w:rPr>
          <w:rFonts w:ascii="Verdana" w:hAnsi="Verdana"/>
        </w:rPr>
        <w:t>relacionado</w:t>
      </w:r>
      <w:r w:rsidR="004A039C" w:rsidRPr="002E142C">
        <w:rPr>
          <w:rFonts w:ascii="Verdana" w:hAnsi="Verdana"/>
        </w:rPr>
        <w:t>s</w:t>
      </w:r>
      <w:r w:rsidR="001A4A5E" w:rsidRPr="002E142C">
        <w:rPr>
          <w:rFonts w:ascii="Verdana" w:hAnsi="Verdana"/>
        </w:rPr>
        <w:t xml:space="preserve"> con el presente caso, sino con </w:t>
      </w:r>
      <w:r w:rsidR="00C55120" w:rsidRPr="002E142C">
        <w:rPr>
          <w:rFonts w:ascii="Verdana" w:hAnsi="Verdana"/>
        </w:rPr>
        <w:t xml:space="preserve">su </w:t>
      </w:r>
      <w:r w:rsidR="001A4A5E" w:rsidRPr="002E142C">
        <w:rPr>
          <w:rFonts w:ascii="Verdana" w:hAnsi="Verdana"/>
        </w:rPr>
        <w:t xml:space="preserve">labor general de defensa de los derechos </w:t>
      </w:r>
      <w:r w:rsidR="001A4A5E" w:rsidRPr="002E142C">
        <w:rPr>
          <w:rFonts w:ascii="Verdana" w:hAnsi="Verdana"/>
        </w:rPr>
        <w:lastRenderedPageBreak/>
        <w:t>humanos</w:t>
      </w:r>
      <w:r w:rsidR="00560AB6" w:rsidRPr="002E142C">
        <w:rPr>
          <w:rStyle w:val="FootnoteReference"/>
          <w:sz w:val="20"/>
        </w:rPr>
        <w:footnoteReference w:id="41"/>
      </w:r>
      <w:r w:rsidR="004A039C" w:rsidRPr="002E142C">
        <w:rPr>
          <w:rFonts w:ascii="Verdana" w:hAnsi="Verdana"/>
        </w:rPr>
        <w:t>. De verificarse lo anterior, no correspondería</w:t>
      </w:r>
      <w:r w:rsidR="001A4A5E" w:rsidRPr="002E142C">
        <w:rPr>
          <w:rFonts w:ascii="Verdana" w:hAnsi="Verdana"/>
        </w:rPr>
        <w:t xml:space="preserve"> el mantenimiento de las medidas en el marco </w:t>
      </w:r>
      <w:r w:rsidR="004A039C" w:rsidRPr="002E142C">
        <w:rPr>
          <w:rFonts w:ascii="Verdana" w:hAnsi="Verdana"/>
        </w:rPr>
        <w:t xml:space="preserve">del presente caso, sino </w:t>
      </w:r>
      <w:r w:rsidR="00C55120" w:rsidRPr="002E142C">
        <w:rPr>
          <w:rFonts w:ascii="Verdana" w:hAnsi="Verdana"/>
        </w:rPr>
        <w:t>que</w:t>
      </w:r>
      <w:r w:rsidR="00926161" w:rsidRPr="002E142C">
        <w:rPr>
          <w:rFonts w:ascii="Verdana" w:hAnsi="Verdana"/>
        </w:rPr>
        <w:t xml:space="preserve"> sería pertinente que, de considerarlo apropiado,</w:t>
      </w:r>
      <w:r w:rsidR="00C55120" w:rsidRPr="002E142C">
        <w:rPr>
          <w:rFonts w:ascii="Verdana" w:hAnsi="Verdana"/>
        </w:rPr>
        <w:t xml:space="preserve"> la Comisión Interamericana, en el ejercicio de la facultad otorgada por el artículo 63.2 de la Convención</w:t>
      </w:r>
      <w:r w:rsidR="00CE798A" w:rsidRPr="002E142C">
        <w:rPr>
          <w:rFonts w:ascii="Verdana" w:hAnsi="Verdana"/>
        </w:rPr>
        <w:t xml:space="preserve"> y 27.2 del Reglamento de la Corte</w:t>
      </w:r>
      <w:r w:rsidR="00C55120" w:rsidRPr="002E142C">
        <w:rPr>
          <w:rFonts w:ascii="Verdana" w:hAnsi="Verdana"/>
        </w:rPr>
        <w:t>, solicitar</w:t>
      </w:r>
      <w:r w:rsidR="00926161" w:rsidRPr="002E142C">
        <w:rPr>
          <w:rFonts w:ascii="Verdana" w:hAnsi="Verdana"/>
        </w:rPr>
        <w:t>a</w:t>
      </w:r>
      <w:r w:rsidR="00C55120" w:rsidRPr="002E142C">
        <w:rPr>
          <w:rFonts w:ascii="Verdana" w:hAnsi="Verdana"/>
        </w:rPr>
        <w:t xml:space="preserve"> </w:t>
      </w:r>
      <w:r w:rsidR="004A039C" w:rsidRPr="002E142C">
        <w:rPr>
          <w:rFonts w:ascii="Verdana" w:hAnsi="Verdana"/>
        </w:rPr>
        <w:t xml:space="preserve">el análisis de </w:t>
      </w:r>
      <w:r w:rsidR="00CE798A" w:rsidRPr="002E142C">
        <w:rPr>
          <w:rFonts w:ascii="Verdana" w:hAnsi="Verdana"/>
        </w:rPr>
        <w:t xml:space="preserve">la </w:t>
      </w:r>
      <w:r w:rsidR="004A039C" w:rsidRPr="002E142C">
        <w:rPr>
          <w:rFonts w:ascii="Verdana" w:hAnsi="Verdana"/>
        </w:rPr>
        <w:t>situación de los beneficiarios bajo una nueva solicitud de medidas provisionales</w:t>
      </w:r>
      <w:r w:rsidR="00CE798A" w:rsidRPr="002E142C">
        <w:rPr>
          <w:rFonts w:ascii="Verdana" w:hAnsi="Verdana"/>
        </w:rPr>
        <w:t>,</w:t>
      </w:r>
      <w:r w:rsidR="00C55120" w:rsidRPr="002E142C">
        <w:rPr>
          <w:rFonts w:ascii="Verdana" w:hAnsi="Verdana"/>
        </w:rPr>
        <w:t xml:space="preserve"> autónoma del caso </w:t>
      </w:r>
      <w:r w:rsidR="00C55120" w:rsidRPr="002E142C">
        <w:rPr>
          <w:rFonts w:ascii="Verdana" w:hAnsi="Verdana"/>
          <w:i/>
        </w:rPr>
        <w:t>Fernández Ortega vs. México</w:t>
      </w:r>
      <w:r w:rsidR="00C55120" w:rsidRPr="002E142C">
        <w:rPr>
          <w:rFonts w:ascii="Verdana" w:hAnsi="Verdana"/>
        </w:rPr>
        <w:t>.</w:t>
      </w:r>
      <w:r w:rsidR="004A039C" w:rsidRPr="002E142C">
        <w:rPr>
          <w:rFonts w:ascii="Verdana" w:hAnsi="Verdana"/>
        </w:rPr>
        <w:t xml:space="preserve"> </w:t>
      </w:r>
      <w:r w:rsidR="001A4A5E" w:rsidRPr="002E142C">
        <w:rPr>
          <w:rFonts w:ascii="Verdana" w:hAnsi="Verdana"/>
        </w:rPr>
        <w:t xml:space="preserve"> </w:t>
      </w:r>
    </w:p>
    <w:p w14:paraId="2F04BF00" w14:textId="48A32326" w:rsidR="000909F1" w:rsidRPr="002E142C" w:rsidRDefault="000909F1" w:rsidP="002B25B6">
      <w:pPr>
        <w:pStyle w:val="BodyText2"/>
        <w:tabs>
          <w:tab w:val="left" w:pos="567"/>
        </w:tabs>
        <w:spacing w:after="0" w:line="240" w:lineRule="auto"/>
        <w:jc w:val="both"/>
        <w:rPr>
          <w:rFonts w:ascii="Verdana" w:hAnsi="Verdana"/>
          <w:b/>
        </w:rPr>
      </w:pPr>
    </w:p>
    <w:p w14:paraId="3CCD6CFF" w14:textId="61CEB7DB" w:rsidR="00CE798A" w:rsidRPr="002E142C" w:rsidRDefault="00CE798A" w:rsidP="002B25B6">
      <w:pPr>
        <w:pStyle w:val="BodyText2"/>
        <w:numPr>
          <w:ilvl w:val="0"/>
          <w:numId w:val="3"/>
        </w:numPr>
        <w:tabs>
          <w:tab w:val="left" w:pos="567"/>
        </w:tabs>
        <w:spacing w:after="0" w:line="240" w:lineRule="auto"/>
        <w:jc w:val="both"/>
        <w:rPr>
          <w:rFonts w:ascii="Verdana" w:hAnsi="Verdana"/>
        </w:rPr>
      </w:pPr>
      <w:bookmarkStart w:id="18" w:name="_Ref472956011"/>
      <w:r w:rsidRPr="002E142C">
        <w:rPr>
          <w:rFonts w:ascii="Verdana" w:hAnsi="Verdana"/>
        </w:rPr>
        <w:t>Ahora bien, a efectos de verificar dichas circunstancias, esta Corte recuerda que en su última resolución solicitó al Estado realizar un diagnóstico de la situación de riesgo de los beneficiarios</w:t>
      </w:r>
      <w:r w:rsidRPr="002E142C">
        <w:rPr>
          <w:rStyle w:val="FootnoteReference"/>
          <w:sz w:val="20"/>
        </w:rPr>
        <w:footnoteReference w:id="42"/>
      </w:r>
      <w:r w:rsidRPr="002E142C">
        <w:rPr>
          <w:rFonts w:ascii="Verdana" w:hAnsi="Verdana"/>
        </w:rPr>
        <w:t xml:space="preserve"> (</w:t>
      </w:r>
      <w:r w:rsidRPr="002E142C">
        <w:rPr>
          <w:rFonts w:ascii="Verdana" w:hAnsi="Verdana"/>
          <w:i/>
        </w:rPr>
        <w:t xml:space="preserve">supra </w:t>
      </w:r>
      <w:r w:rsidR="00AA54E9" w:rsidRPr="002E142C">
        <w:rPr>
          <w:rFonts w:ascii="Verdana" w:hAnsi="Verdana"/>
        </w:rPr>
        <w:t xml:space="preserve">considerando </w:t>
      </w:r>
      <w:r w:rsidR="002C3D7A" w:rsidRPr="002E142C">
        <w:rPr>
          <w:rFonts w:ascii="Verdana" w:hAnsi="Verdana"/>
        </w:rPr>
        <w:fldChar w:fldCharType="begin"/>
      </w:r>
      <w:r w:rsidR="002C3D7A" w:rsidRPr="002E142C">
        <w:rPr>
          <w:rFonts w:ascii="Verdana" w:hAnsi="Verdana"/>
        </w:rPr>
        <w:instrText xml:space="preserve"> REF _Ref473284943 \r \h </w:instrText>
      </w:r>
      <w:r w:rsidR="00711E03" w:rsidRPr="002E142C">
        <w:rPr>
          <w:rFonts w:ascii="Verdana" w:hAnsi="Verdana"/>
        </w:rPr>
        <w:instrText xml:space="preserve"> \* MERGEFORMAT </w:instrText>
      </w:r>
      <w:r w:rsidR="002C3D7A" w:rsidRPr="002E142C">
        <w:rPr>
          <w:rFonts w:ascii="Verdana" w:hAnsi="Verdana"/>
        </w:rPr>
      </w:r>
      <w:r w:rsidR="002C3D7A" w:rsidRPr="002E142C">
        <w:rPr>
          <w:rFonts w:ascii="Verdana" w:hAnsi="Verdana"/>
        </w:rPr>
        <w:fldChar w:fldCharType="separate"/>
      </w:r>
      <w:r w:rsidR="00961213">
        <w:rPr>
          <w:rFonts w:ascii="Verdana" w:hAnsi="Verdana"/>
        </w:rPr>
        <w:t>5</w:t>
      </w:r>
      <w:r w:rsidR="002C3D7A" w:rsidRPr="002E142C">
        <w:rPr>
          <w:rFonts w:ascii="Verdana" w:hAnsi="Verdana"/>
        </w:rPr>
        <w:fldChar w:fldCharType="end"/>
      </w:r>
      <w:r w:rsidRPr="002E142C">
        <w:rPr>
          <w:rFonts w:ascii="Verdana" w:hAnsi="Verdana"/>
        </w:rPr>
        <w:t xml:space="preserve">). Si bien el Estado se refirió a la situación de los beneficiarios en su </w:t>
      </w:r>
      <w:r w:rsidR="00FE0A18" w:rsidRPr="002E142C">
        <w:rPr>
          <w:rFonts w:ascii="Verdana" w:hAnsi="Verdana"/>
        </w:rPr>
        <w:t xml:space="preserve">último </w:t>
      </w:r>
      <w:r w:rsidRPr="002E142C">
        <w:rPr>
          <w:rFonts w:ascii="Verdana" w:hAnsi="Verdana"/>
        </w:rPr>
        <w:t>informe</w:t>
      </w:r>
      <w:r w:rsidR="00957B1D">
        <w:rPr>
          <w:rFonts w:ascii="Verdana" w:hAnsi="Verdana"/>
        </w:rPr>
        <w:t>,</w:t>
      </w:r>
      <w:r w:rsidRPr="002E142C">
        <w:rPr>
          <w:rFonts w:ascii="Verdana" w:hAnsi="Verdana"/>
        </w:rPr>
        <w:t xml:space="preserve"> no remitió el diagnóstico solicitado por este Tribunal. </w:t>
      </w:r>
      <w:r w:rsidR="00C26ACB" w:rsidRPr="002E142C">
        <w:rPr>
          <w:rFonts w:ascii="Verdana" w:hAnsi="Verdana"/>
        </w:rPr>
        <w:t>El Tribunal nota que el Estado acordó realizar un estudio de la situación de riesgo del beneficiario Abel Barrera Hernández</w:t>
      </w:r>
      <w:r w:rsidR="00957B1D">
        <w:rPr>
          <w:rFonts w:ascii="Verdana" w:hAnsi="Verdana"/>
        </w:rPr>
        <w:t>,</w:t>
      </w:r>
      <w:r w:rsidR="00C26ACB" w:rsidRPr="002E142C">
        <w:rPr>
          <w:rFonts w:ascii="Verdana" w:hAnsi="Verdana"/>
        </w:rPr>
        <w:t xml:space="preserve"> a través del Mecanismo para la Protección de Personas Defensoras de Derechos Humanos y Periodistas, pero no ha remitido sus resultados a este Tribunal (</w:t>
      </w:r>
      <w:r w:rsidR="00C26ACB" w:rsidRPr="002E142C">
        <w:rPr>
          <w:rFonts w:ascii="Verdana" w:hAnsi="Verdana"/>
          <w:i/>
        </w:rPr>
        <w:t>supra</w:t>
      </w:r>
      <w:r w:rsidR="00C26ACB" w:rsidRPr="002E142C">
        <w:rPr>
          <w:rFonts w:ascii="Verdana" w:hAnsi="Verdana"/>
        </w:rPr>
        <w:t xml:space="preserve"> </w:t>
      </w:r>
      <w:r w:rsidR="00AA54E9" w:rsidRPr="002E142C">
        <w:rPr>
          <w:rFonts w:ascii="Verdana" w:hAnsi="Verdana"/>
        </w:rPr>
        <w:t>considerandos</w:t>
      </w:r>
      <w:r w:rsidR="00C26ACB" w:rsidRPr="002E142C">
        <w:rPr>
          <w:rFonts w:ascii="Verdana" w:hAnsi="Verdana"/>
        </w:rPr>
        <w:t xml:space="preserve"> </w:t>
      </w:r>
      <w:r w:rsidR="00C26ACB" w:rsidRPr="002E142C">
        <w:rPr>
          <w:rFonts w:ascii="Verdana" w:hAnsi="Verdana"/>
        </w:rPr>
        <w:fldChar w:fldCharType="begin"/>
      </w:r>
      <w:r w:rsidR="00C26ACB" w:rsidRPr="002E142C">
        <w:rPr>
          <w:rFonts w:ascii="Verdana" w:hAnsi="Verdana"/>
        </w:rPr>
        <w:instrText xml:space="preserve"> REF _Ref473898833 \r \h </w:instrText>
      </w:r>
      <w:r w:rsidR="00E72728" w:rsidRPr="002E142C">
        <w:rPr>
          <w:rFonts w:ascii="Verdana" w:hAnsi="Verdana"/>
        </w:rPr>
        <w:instrText xml:space="preserve"> \* MERGEFORMAT </w:instrText>
      </w:r>
      <w:r w:rsidR="00C26ACB" w:rsidRPr="002E142C">
        <w:rPr>
          <w:rFonts w:ascii="Verdana" w:hAnsi="Verdana"/>
        </w:rPr>
      </w:r>
      <w:r w:rsidR="00C26ACB" w:rsidRPr="002E142C">
        <w:rPr>
          <w:rFonts w:ascii="Verdana" w:hAnsi="Verdana"/>
        </w:rPr>
        <w:fldChar w:fldCharType="separate"/>
      </w:r>
      <w:r w:rsidR="00961213">
        <w:rPr>
          <w:rFonts w:ascii="Verdana" w:hAnsi="Verdana"/>
        </w:rPr>
        <w:t>11</w:t>
      </w:r>
      <w:r w:rsidR="00C26ACB" w:rsidRPr="002E142C">
        <w:rPr>
          <w:rFonts w:ascii="Verdana" w:hAnsi="Verdana"/>
        </w:rPr>
        <w:fldChar w:fldCharType="end"/>
      </w:r>
      <w:r w:rsidR="00C26ACB" w:rsidRPr="002E142C">
        <w:rPr>
          <w:rFonts w:ascii="Verdana" w:hAnsi="Verdana"/>
        </w:rPr>
        <w:t xml:space="preserve"> y</w:t>
      </w:r>
      <w:r w:rsidR="001326BF">
        <w:rPr>
          <w:rFonts w:ascii="Verdana" w:hAnsi="Verdana"/>
        </w:rPr>
        <w:t xml:space="preserve"> </w:t>
      </w:r>
      <w:r w:rsidR="001326BF">
        <w:rPr>
          <w:rFonts w:ascii="Verdana" w:hAnsi="Verdana"/>
        </w:rPr>
        <w:fldChar w:fldCharType="begin"/>
      </w:r>
      <w:r w:rsidR="001326BF">
        <w:rPr>
          <w:rFonts w:ascii="Verdana" w:hAnsi="Verdana"/>
        </w:rPr>
        <w:instrText xml:space="preserve"> REF _Ref475729258 \r \h </w:instrText>
      </w:r>
      <w:r w:rsidR="001326BF">
        <w:rPr>
          <w:rFonts w:ascii="Verdana" w:hAnsi="Verdana"/>
        </w:rPr>
      </w:r>
      <w:r w:rsidR="001326BF">
        <w:rPr>
          <w:rFonts w:ascii="Verdana" w:hAnsi="Verdana"/>
        </w:rPr>
        <w:fldChar w:fldCharType="separate"/>
      </w:r>
      <w:r w:rsidR="00961213">
        <w:rPr>
          <w:rFonts w:ascii="Verdana" w:hAnsi="Verdana"/>
        </w:rPr>
        <w:t>14</w:t>
      </w:r>
      <w:r w:rsidR="001326BF">
        <w:rPr>
          <w:rFonts w:ascii="Verdana" w:hAnsi="Verdana"/>
        </w:rPr>
        <w:fldChar w:fldCharType="end"/>
      </w:r>
      <w:r w:rsidR="00C26ACB" w:rsidRPr="002E142C">
        <w:rPr>
          <w:rFonts w:ascii="Verdana" w:hAnsi="Verdana"/>
        </w:rPr>
        <w:t>). En consecuencia, l</w:t>
      </w:r>
      <w:r w:rsidRPr="002E142C">
        <w:rPr>
          <w:rFonts w:ascii="Verdana" w:hAnsi="Verdana"/>
        </w:rPr>
        <w:t xml:space="preserve">a Corte </w:t>
      </w:r>
      <w:r w:rsidR="002C3D7A" w:rsidRPr="002E142C">
        <w:rPr>
          <w:rFonts w:ascii="Verdana" w:hAnsi="Verdana"/>
        </w:rPr>
        <w:t xml:space="preserve">estima que en virtud del contexto y las situaciones informadas por los representantes, tanto en relación con la señora Fernández Ortega como sus representantes, actualmente </w:t>
      </w:r>
      <w:r w:rsidRPr="002E142C">
        <w:rPr>
          <w:rFonts w:ascii="Verdana" w:hAnsi="Verdana"/>
        </w:rPr>
        <w:t xml:space="preserve">no cuenta con elementos suficientes para evaluar si existe un riesgo inminente y latente para </w:t>
      </w:r>
      <w:r w:rsidR="00957B1D">
        <w:rPr>
          <w:rFonts w:ascii="Verdana" w:hAnsi="Verdana"/>
        </w:rPr>
        <w:t>su</w:t>
      </w:r>
      <w:r w:rsidRPr="002E142C">
        <w:rPr>
          <w:rFonts w:ascii="Verdana" w:hAnsi="Verdana"/>
        </w:rPr>
        <w:t xml:space="preserve"> integridad personal y vida </w:t>
      </w:r>
      <w:r w:rsidR="002C3D7A" w:rsidRPr="002E142C">
        <w:rPr>
          <w:rFonts w:ascii="Verdana" w:hAnsi="Verdana"/>
        </w:rPr>
        <w:t>relacionad</w:t>
      </w:r>
      <w:r w:rsidR="00957B1D">
        <w:rPr>
          <w:rFonts w:ascii="Verdana" w:hAnsi="Verdana"/>
        </w:rPr>
        <w:t>o</w:t>
      </w:r>
      <w:r w:rsidR="002C3D7A" w:rsidRPr="002E142C">
        <w:rPr>
          <w:rFonts w:ascii="Verdana" w:hAnsi="Verdana"/>
        </w:rPr>
        <w:t xml:space="preserve"> con este caso o </w:t>
      </w:r>
      <w:r w:rsidR="00957B1D">
        <w:rPr>
          <w:rFonts w:ascii="Verdana" w:hAnsi="Verdana"/>
        </w:rPr>
        <w:t xml:space="preserve">para </w:t>
      </w:r>
      <w:r w:rsidR="002C3D7A" w:rsidRPr="002E142C">
        <w:rPr>
          <w:rFonts w:ascii="Verdana" w:hAnsi="Verdana"/>
        </w:rPr>
        <w:t>pronunciarse sobre la solicitud de levantamiento del Estado.</w:t>
      </w:r>
    </w:p>
    <w:bookmarkEnd w:id="18"/>
    <w:p w14:paraId="0C9CC961" w14:textId="6F269AFA" w:rsidR="00832313" w:rsidRPr="002E142C" w:rsidRDefault="004654D9" w:rsidP="002B25B6">
      <w:pPr>
        <w:pStyle w:val="BodyText2"/>
        <w:tabs>
          <w:tab w:val="left" w:pos="567"/>
          <w:tab w:val="left" w:pos="8760"/>
        </w:tabs>
        <w:spacing w:after="0" w:line="240" w:lineRule="auto"/>
        <w:jc w:val="both"/>
        <w:rPr>
          <w:rFonts w:ascii="Verdana" w:hAnsi="Verdana"/>
        </w:rPr>
      </w:pPr>
      <w:r w:rsidRPr="002E142C">
        <w:rPr>
          <w:rFonts w:ascii="Verdana" w:hAnsi="Verdana"/>
        </w:rPr>
        <w:tab/>
      </w:r>
    </w:p>
    <w:p w14:paraId="512FC6C4" w14:textId="52702BA4" w:rsidR="00E165F5" w:rsidRPr="002E142C" w:rsidRDefault="00F75A63" w:rsidP="002B25B6">
      <w:pPr>
        <w:pStyle w:val="BodyText2"/>
        <w:numPr>
          <w:ilvl w:val="0"/>
          <w:numId w:val="3"/>
        </w:numPr>
        <w:tabs>
          <w:tab w:val="left" w:pos="567"/>
        </w:tabs>
        <w:spacing w:after="0" w:line="240" w:lineRule="auto"/>
        <w:jc w:val="both"/>
        <w:rPr>
          <w:rFonts w:ascii="Verdana" w:hAnsi="Verdana"/>
        </w:rPr>
      </w:pPr>
      <w:bookmarkStart w:id="19" w:name="_Ref308998975"/>
      <w:r w:rsidRPr="002E142C">
        <w:rPr>
          <w:rFonts w:ascii="Verdana" w:eastAsia="Calibri" w:hAnsi="Verdana"/>
        </w:rPr>
        <w:t>Por tanto, a efecto de evaluar adecuadamente la necesidad de mantenimiento de las medidas a todos los beneficiarios</w:t>
      </w:r>
      <w:r w:rsidR="002C3D7A" w:rsidRPr="002E142C">
        <w:rPr>
          <w:rFonts w:ascii="Verdana" w:eastAsia="Calibri" w:hAnsi="Verdana"/>
        </w:rPr>
        <w:t xml:space="preserve">, resulta indispensable que </w:t>
      </w:r>
      <w:r w:rsidRPr="002E142C">
        <w:rPr>
          <w:rFonts w:ascii="Verdana" w:eastAsia="Calibri" w:hAnsi="Verdana"/>
        </w:rPr>
        <w:t xml:space="preserve">el Estado realice </w:t>
      </w:r>
      <w:r w:rsidR="00144F93" w:rsidRPr="002E142C">
        <w:rPr>
          <w:rFonts w:ascii="Verdana" w:hAnsi="Verdana"/>
        </w:rPr>
        <w:t xml:space="preserve">un estudio o análisis comprensivo </w:t>
      </w:r>
      <w:r w:rsidR="002C3D7A" w:rsidRPr="002E142C">
        <w:rPr>
          <w:rFonts w:ascii="Verdana" w:hAnsi="Verdana"/>
        </w:rPr>
        <w:t xml:space="preserve">y técnico </w:t>
      </w:r>
      <w:r w:rsidR="00144F93" w:rsidRPr="002E142C">
        <w:rPr>
          <w:rFonts w:ascii="Verdana" w:hAnsi="Verdana"/>
        </w:rPr>
        <w:t>de la situación de riesgo de cada uno de los beneficiarios, e inform</w:t>
      </w:r>
      <w:r w:rsidR="002C3D7A" w:rsidRPr="002E142C">
        <w:rPr>
          <w:rFonts w:ascii="Verdana" w:hAnsi="Verdana"/>
        </w:rPr>
        <w:t>e</w:t>
      </w:r>
      <w:r w:rsidR="00144F93" w:rsidRPr="002E142C">
        <w:rPr>
          <w:rFonts w:ascii="Verdana" w:hAnsi="Verdana"/>
        </w:rPr>
        <w:t xml:space="preserve"> al Tribunal de forma detallada y completa de sus resultados, con la documentación que los sustente, así como de las medidas y medios de protección específicos, adecuados y suficientes que sean implementados como consecuencia de dichas evaluaciones.</w:t>
      </w:r>
      <w:r w:rsidR="003B1247" w:rsidRPr="002E142C">
        <w:rPr>
          <w:rFonts w:ascii="Verdana" w:hAnsi="Verdana"/>
        </w:rPr>
        <w:t xml:space="preserve"> Para ello, los representantes y, de ser el caso l</w:t>
      </w:r>
      <w:r w:rsidR="00143D7C" w:rsidRPr="002E142C">
        <w:rPr>
          <w:rFonts w:ascii="Verdana" w:hAnsi="Verdana"/>
        </w:rPr>
        <w:t>o</w:t>
      </w:r>
      <w:r w:rsidR="003B1247" w:rsidRPr="002E142C">
        <w:rPr>
          <w:rFonts w:ascii="Verdana" w:hAnsi="Verdana"/>
        </w:rPr>
        <w:t>s beneficiari</w:t>
      </w:r>
      <w:r w:rsidR="00143D7C" w:rsidRPr="002E142C">
        <w:rPr>
          <w:rFonts w:ascii="Verdana" w:hAnsi="Verdana"/>
        </w:rPr>
        <w:t>o</w:t>
      </w:r>
      <w:r w:rsidR="003B1247" w:rsidRPr="002E142C">
        <w:rPr>
          <w:rFonts w:ascii="Verdana" w:hAnsi="Verdana"/>
        </w:rPr>
        <w:t>s, deberán prestar la debida colaboración al Estado.</w:t>
      </w:r>
      <w:bookmarkEnd w:id="19"/>
      <w:r w:rsidR="002C3D7A" w:rsidRPr="002E142C">
        <w:rPr>
          <w:rFonts w:ascii="Verdana" w:hAnsi="Verdana"/>
          <w:color w:val="FF0000"/>
        </w:rPr>
        <w:t xml:space="preserve"> </w:t>
      </w:r>
    </w:p>
    <w:p w14:paraId="7B01A8DF" w14:textId="77777777" w:rsidR="00E165F5" w:rsidRPr="002E142C" w:rsidRDefault="00E165F5" w:rsidP="002B25B6">
      <w:pPr>
        <w:pStyle w:val="BodyText2"/>
        <w:tabs>
          <w:tab w:val="left" w:pos="567"/>
        </w:tabs>
        <w:spacing w:after="0" w:line="240" w:lineRule="auto"/>
        <w:jc w:val="both"/>
        <w:rPr>
          <w:rFonts w:ascii="Verdana" w:hAnsi="Verdana"/>
        </w:rPr>
      </w:pPr>
    </w:p>
    <w:p w14:paraId="17949DE9" w14:textId="5E776C9D" w:rsidR="005E7D53" w:rsidRPr="002E142C" w:rsidRDefault="00405E64" w:rsidP="002B25B6">
      <w:pPr>
        <w:pStyle w:val="BodyText2"/>
        <w:numPr>
          <w:ilvl w:val="0"/>
          <w:numId w:val="3"/>
        </w:numPr>
        <w:tabs>
          <w:tab w:val="left" w:pos="567"/>
        </w:tabs>
        <w:spacing w:after="0" w:line="240" w:lineRule="auto"/>
        <w:jc w:val="both"/>
        <w:rPr>
          <w:rFonts w:ascii="Verdana" w:hAnsi="Verdana"/>
        </w:rPr>
      </w:pPr>
      <w:bookmarkStart w:id="20" w:name="_Ref475710554"/>
      <w:r w:rsidRPr="002E142C">
        <w:rPr>
          <w:rFonts w:ascii="Verdana" w:eastAsia="Calibri" w:hAnsi="Verdana"/>
        </w:rPr>
        <w:t xml:space="preserve">A efectos de recibir dicha información, la Corte estima procedente mantener la vigencia de las presentes medidas provisionales por un período adicional </w:t>
      </w:r>
      <w:r w:rsidR="009C6D4A" w:rsidRPr="002E142C">
        <w:rPr>
          <w:rFonts w:ascii="Verdana" w:eastAsia="Calibri" w:hAnsi="Verdana"/>
        </w:rPr>
        <w:t>que</w:t>
      </w:r>
      <w:r w:rsidRPr="002E142C">
        <w:rPr>
          <w:rFonts w:ascii="Verdana" w:eastAsia="Calibri" w:hAnsi="Verdana"/>
        </w:rPr>
        <w:t xml:space="preserve"> vencerá el </w:t>
      </w:r>
      <w:r w:rsidR="002C3D7A" w:rsidRPr="002E142C">
        <w:rPr>
          <w:rFonts w:ascii="Verdana" w:eastAsia="Calibri" w:hAnsi="Verdana"/>
        </w:rPr>
        <w:t>29</w:t>
      </w:r>
      <w:r w:rsidRPr="002E142C">
        <w:rPr>
          <w:rFonts w:ascii="Verdana" w:eastAsia="Calibri" w:hAnsi="Verdana"/>
        </w:rPr>
        <w:t xml:space="preserve"> de </w:t>
      </w:r>
      <w:r w:rsidR="002C3D7A" w:rsidRPr="002E142C">
        <w:rPr>
          <w:rFonts w:ascii="Verdana" w:eastAsia="Calibri" w:hAnsi="Verdana"/>
        </w:rPr>
        <w:t xml:space="preserve">septiembre </w:t>
      </w:r>
      <w:r w:rsidRPr="002E142C">
        <w:rPr>
          <w:rFonts w:ascii="Verdana" w:eastAsia="Calibri" w:hAnsi="Verdana"/>
        </w:rPr>
        <w:t xml:space="preserve">de 2017. </w:t>
      </w:r>
      <w:r w:rsidR="002C3D7A" w:rsidRPr="002E142C">
        <w:rPr>
          <w:rFonts w:ascii="Verdana" w:hAnsi="Verdana"/>
        </w:rPr>
        <w:t xml:space="preserve">Una vez presentados los estudios respectivos, la Corte se pronunciará sobre la solicitud de levantamiento del Estado respecto </w:t>
      </w:r>
      <w:r w:rsidRPr="002E142C">
        <w:rPr>
          <w:rFonts w:ascii="Verdana" w:eastAsia="Calibri" w:hAnsi="Verdana"/>
        </w:rPr>
        <w:t xml:space="preserve">de la señora </w:t>
      </w:r>
      <w:r w:rsidR="00481B9C" w:rsidRPr="002E142C">
        <w:rPr>
          <w:rFonts w:ascii="Verdana" w:eastAsia="Calibri" w:hAnsi="Verdana"/>
        </w:rPr>
        <w:t xml:space="preserve">Inés Fernández Ortega y sus familiares, </w:t>
      </w:r>
      <w:proofErr w:type="spellStart"/>
      <w:r w:rsidR="008075C6" w:rsidRPr="002E142C">
        <w:rPr>
          <w:rFonts w:ascii="Verdana" w:eastAsia="Calibri" w:hAnsi="Verdana"/>
        </w:rPr>
        <w:t>Obtilia</w:t>
      </w:r>
      <w:proofErr w:type="spellEnd"/>
      <w:r w:rsidR="008075C6" w:rsidRPr="002E142C">
        <w:rPr>
          <w:rFonts w:ascii="Verdana" w:eastAsia="Calibri" w:hAnsi="Verdana"/>
        </w:rPr>
        <w:t xml:space="preserve"> </w:t>
      </w:r>
      <w:r w:rsidRPr="002E142C">
        <w:rPr>
          <w:rFonts w:ascii="Verdana" w:eastAsia="Calibri" w:hAnsi="Verdana"/>
        </w:rPr>
        <w:t>Eugenio Manuel</w:t>
      </w:r>
      <w:r w:rsidR="00E165F5" w:rsidRPr="002E142C">
        <w:rPr>
          <w:rFonts w:ascii="Verdana" w:eastAsia="Calibri" w:hAnsi="Verdana"/>
        </w:rPr>
        <w:t xml:space="preserve"> y sus familiares, los </w:t>
      </w:r>
      <w:r w:rsidR="00E165F5" w:rsidRPr="002E142C">
        <w:rPr>
          <w:rFonts w:ascii="Verdana" w:eastAsia="Calibri" w:hAnsi="Verdana"/>
          <w:lang w:val="es-CL"/>
        </w:rPr>
        <w:t>4</w:t>
      </w:r>
      <w:r w:rsidR="00541458" w:rsidRPr="002E142C">
        <w:rPr>
          <w:rFonts w:ascii="Verdana" w:eastAsia="Calibri" w:hAnsi="Verdana"/>
          <w:lang w:val="es-CL"/>
        </w:rPr>
        <w:t>0</w:t>
      </w:r>
      <w:r w:rsidR="00E165F5" w:rsidRPr="002E142C">
        <w:rPr>
          <w:rFonts w:ascii="Verdana" w:eastAsia="Calibri" w:hAnsi="Verdana"/>
          <w:lang w:val="es-CL"/>
        </w:rPr>
        <w:t xml:space="preserve"> integrantes de la </w:t>
      </w:r>
      <w:r w:rsidR="00E165F5" w:rsidRPr="002E142C">
        <w:rPr>
          <w:rFonts w:ascii="Verdana" w:eastAsia="Calibri" w:hAnsi="Verdana"/>
          <w:lang w:val="es-ES"/>
        </w:rPr>
        <w:t>Organización del</w:t>
      </w:r>
      <w:r w:rsidR="008075C6" w:rsidRPr="002E142C">
        <w:rPr>
          <w:rFonts w:ascii="Verdana" w:eastAsia="Calibri" w:hAnsi="Verdana"/>
          <w:lang w:val="es-ES"/>
        </w:rPr>
        <w:t xml:space="preserve"> Pueblo Indígena </w:t>
      </w:r>
      <w:proofErr w:type="spellStart"/>
      <w:r w:rsidR="008075C6" w:rsidRPr="002E142C">
        <w:rPr>
          <w:rFonts w:ascii="Verdana" w:eastAsia="Calibri" w:hAnsi="Verdana"/>
          <w:lang w:val="es-ES"/>
        </w:rPr>
        <w:t>Tlapaneco</w:t>
      </w:r>
      <w:proofErr w:type="spellEnd"/>
      <w:r w:rsidR="008075C6" w:rsidRPr="002E142C">
        <w:rPr>
          <w:rFonts w:ascii="Verdana" w:eastAsia="Calibri" w:hAnsi="Verdana"/>
          <w:lang w:val="es-ES"/>
        </w:rPr>
        <w:t xml:space="preserve"> A.C.</w:t>
      </w:r>
      <w:r w:rsidR="00E165F5" w:rsidRPr="002E142C">
        <w:rPr>
          <w:rFonts w:ascii="Verdana" w:eastAsia="Calibri" w:hAnsi="Verdana"/>
          <w:lang w:val="es-ES"/>
        </w:rPr>
        <w:t xml:space="preserve"> </w:t>
      </w:r>
      <w:r w:rsidR="00E165F5" w:rsidRPr="002E142C">
        <w:rPr>
          <w:rFonts w:ascii="Verdana" w:eastAsia="Calibri" w:hAnsi="Verdana"/>
        </w:rPr>
        <w:t xml:space="preserve">y los </w:t>
      </w:r>
      <w:r w:rsidR="00541458" w:rsidRPr="002E142C">
        <w:rPr>
          <w:rFonts w:ascii="Verdana" w:eastAsia="Calibri" w:hAnsi="Verdana"/>
          <w:lang w:val="es-CL"/>
        </w:rPr>
        <w:t>10</w:t>
      </w:r>
      <w:r w:rsidR="00E165F5" w:rsidRPr="002E142C">
        <w:rPr>
          <w:rFonts w:ascii="Verdana" w:eastAsia="Calibri" w:hAnsi="Verdana"/>
          <w:lang w:val="es-CL"/>
        </w:rPr>
        <w:t xml:space="preserve"> miembros de</w:t>
      </w:r>
      <w:r w:rsidR="00E165F5" w:rsidRPr="002E142C">
        <w:rPr>
          <w:rFonts w:ascii="Verdana" w:eastAsia="Calibri" w:hAnsi="Verdana"/>
          <w:lang w:val="es-ES"/>
        </w:rPr>
        <w:t xml:space="preserve">l </w:t>
      </w:r>
      <w:r w:rsidR="00E165F5" w:rsidRPr="002E142C">
        <w:rPr>
          <w:rFonts w:ascii="Verdana" w:eastAsia="Calibri" w:hAnsi="Verdana"/>
        </w:rPr>
        <w:t xml:space="preserve">Centro de Derechos Humanos de la Montaña </w:t>
      </w:r>
      <w:proofErr w:type="spellStart"/>
      <w:r w:rsidR="00E165F5" w:rsidRPr="002E142C">
        <w:rPr>
          <w:rFonts w:ascii="Verdana" w:eastAsia="Calibri" w:hAnsi="Verdana"/>
        </w:rPr>
        <w:t>Tlachinollan</w:t>
      </w:r>
      <w:proofErr w:type="spellEnd"/>
      <w:r w:rsidR="00541458" w:rsidRPr="002E142C">
        <w:rPr>
          <w:rFonts w:ascii="Verdana" w:eastAsia="Calibri" w:hAnsi="Verdana"/>
        </w:rPr>
        <w:t>, a cuyo favor permanecer</w:t>
      </w:r>
      <w:r w:rsidR="00957B1D">
        <w:rPr>
          <w:rFonts w:ascii="Verdana" w:eastAsia="Calibri" w:hAnsi="Verdana"/>
        </w:rPr>
        <w:t>á</w:t>
      </w:r>
      <w:r w:rsidR="00541458" w:rsidRPr="002E142C">
        <w:rPr>
          <w:rFonts w:ascii="Verdana" w:eastAsia="Calibri" w:hAnsi="Verdana"/>
        </w:rPr>
        <w:t>n vigentes las medidas</w:t>
      </w:r>
      <w:r w:rsidR="00957B1D" w:rsidRPr="002E142C">
        <w:rPr>
          <w:rStyle w:val="FootnoteReference"/>
          <w:rFonts w:eastAsia="Calibri"/>
          <w:sz w:val="20"/>
        </w:rPr>
        <w:footnoteReference w:id="43"/>
      </w:r>
      <w:r w:rsidR="00541458" w:rsidRPr="002E142C">
        <w:rPr>
          <w:rFonts w:ascii="Verdana" w:eastAsia="Calibri" w:hAnsi="Verdana"/>
        </w:rPr>
        <w:t>.</w:t>
      </w:r>
      <w:bookmarkEnd w:id="20"/>
    </w:p>
    <w:p w14:paraId="4588555A" w14:textId="77777777" w:rsidR="009C6D4A" w:rsidRPr="002E142C" w:rsidRDefault="009C6D4A" w:rsidP="002B25B6">
      <w:pPr>
        <w:tabs>
          <w:tab w:val="left" w:pos="567"/>
        </w:tabs>
        <w:ind w:right="22"/>
        <w:jc w:val="both"/>
      </w:pPr>
    </w:p>
    <w:p w14:paraId="2F2566E6" w14:textId="27A1B50F" w:rsidR="00246677" w:rsidRPr="002E142C" w:rsidRDefault="00246677" w:rsidP="002B25B6">
      <w:pPr>
        <w:tabs>
          <w:tab w:val="left" w:pos="567"/>
        </w:tabs>
        <w:ind w:left="720" w:right="22"/>
        <w:jc w:val="both"/>
        <w:rPr>
          <w:b/>
          <w:color w:val="00B050"/>
          <w:sz w:val="18"/>
          <w:szCs w:val="18"/>
        </w:rPr>
      </w:pPr>
      <w:r w:rsidRPr="002E142C">
        <w:rPr>
          <w:b/>
          <w:i/>
        </w:rPr>
        <w:t>B. Implementación de las presentes medidas provisionales</w:t>
      </w:r>
    </w:p>
    <w:p w14:paraId="48E95654" w14:textId="77777777" w:rsidR="00246677" w:rsidRPr="002E142C" w:rsidRDefault="00246677" w:rsidP="002B25B6">
      <w:pPr>
        <w:tabs>
          <w:tab w:val="left" w:pos="567"/>
        </w:tabs>
        <w:ind w:right="22"/>
        <w:jc w:val="both"/>
        <w:rPr>
          <w:i/>
        </w:rPr>
      </w:pPr>
    </w:p>
    <w:p w14:paraId="6013361D" w14:textId="77777777" w:rsidR="004155BD" w:rsidRPr="002E142C" w:rsidRDefault="00246677" w:rsidP="002B25B6">
      <w:pPr>
        <w:pStyle w:val="BodyText2"/>
        <w:numPr>
          <w:ilvl w:val="0"/>
          <w:numId w:val="3"/>
        </w:numPr>
        <w:tabs>
          <w:tab w:val="left" w:pos="567"/>
        </w:tabs>
        <w:spacing w:after="0" w:line="240" w:lineRule="auto"/>
        <w:ind w:right="22"/>
        <w:jc w:val="both"/>
        <w:rPr>
          <w:rFonts w:ascii="Verdana" w:hAnsi="Verdana"/>
          <w:i/>
        </w:rPr>
      </w:pPr>
      <w:bookmarkStart w:id="21" w:name="_Ref416263072"/>
      <w:bookmarkStart w:id="22" w:name="_Ref473285611"/>
      <w:bookmarkStart w:id="23" w:name="_Ref472003707"/>
      <w:r w:rsidRPr="002E142C">
        <w:rPr>
          <w:rFonts w:ascii="Verdana" w:hAnsi="Verdana"/>
        </w:rPr>
        <w:t>En el marco de las presentes medidas, la Corte ha ordenado al Estado mantener las medidas de protección que estuviere implementando y adoptar las medidas complementarias que fueran necesarias para proteger la vida e integridad de ciertas personas</w:t>
      </w:r>
      <w:r w:rsidRPr="002E142C">
        <w:rPr>
          <w:rStyle w:val="FootnoteReference"/>
          <w:sz w:val="20"/>
        </w:rPr>
        <w:footnoteReference w:id="44"/>
      </w:r>
      <w:r w:rsidRPr="002E142C">
        <w:rPr>
          <w:rFonts w:ascii="Verdana" w:hAnsi="Verdana"/>
        </w:rPr>
        <w:t xml:space="preserve">. De acuerdo a la información suministrada por las partes, las medidas de protección implementadas en el presente caso consisten en: 1) infraestructura de seguridad y sistemas de comunicación, así como 2) rondines y medidas de acompañamiento. </w:t>
      </w:r>
      <w:bookmarkEnd w:id="21"/>
    </w:p>
    <w:p w14:paraId="519E3CE1" w14:textId="77777777" w:rsidR="004155BD" w:rsidRPr="002E142C" w:rsidRDefault="004155BD" w:rsidP="002B25B6">
      <w:pPr>
        <w:pStyle w:val="BodyText2"/>
        <w:tabs>
          <w:tab w:val="left" w:pos="567"/>
        </w:tabs>
        <w:spacing w:after="0" w:line="240" w:lineRule="auto"/>
        <w:ind w:right="22"/>
        <w:jc w:val="both"/>
        <w:rPr>
          <w:rFonts w:ascii="Verdana" w:hAnsi="Verdana"/>
          <w:i/>
        </w:rPr>
      </w:pPr>
    </w:p>
    <w:p w14:paraId="6690F767" w14:textId="0442ADA4" w:rsidR="00246677" w:rsidRPr="002E142C" w:rsidRDefault="0058582D" w:rsidP="002B25B6">
      <w:pPr>
        <w:pStyle w:val="BodyText2"/>
        <w:numPr>
          <w:ilvl w:val="0"/>
          <w:numId w:val="3"/>
        </w:numPr>
        <w:tabs>
          <w:tab w:val="left" w:pos="567"/>
        </w:tabs>
        <w:spacing w:after="0" w:line="240" w:lineRule="auto"/>
        <w:ind w:right="22"/>
        <w:jc w:val="both"/>
        <w:rPr>
          <w:rFonts w:ascii="Verdana" w:hAnsi="Verdana"/>
          <w:i/>
        </w:rPr>
      </w:pPr>
      <w:r w:rsidRPr="002E142C">
        <w:rPr>
          <w:rFonts w:ascii="Verdana" w:hAnsi="Verdana"/>
        </w:rPr>
        <w:t xml:space="preserve">En su última resolución, la Corte solicitó al Estado </w:t>
      </w:r>
      <w:r w:rsidR="004155BD" w:rsidRPr="002E142C">
        <w:rPr>
          <w:rFonts w:ascii="Verdana" w:hAnsi="Verdana"/>
        </w:rPr>
        <w:t>referirse de manera específica a: a) las solicitudes de los representantes para que se implementaran tres medidas complementarias de infraestructura</w:t>
      </w:r>
      <w:r w:rsidR="002F4957" w:rsidRPr="002E142C">
        <w:rPr>
          <w:rStyle w:val="FootnoteReference"/>
          <w:sz w:val="20"/>
        </w:rPr>
        <w:footnoteReference w:id="45"/>
      </w:r>
      <w:r w:rsidR="004155BD" w:rsidRPr="002E142C">
        <w:rPr>
          <w:rFonts w:ascii="Verdana" w:hAnsi="Verdana"/>
        </w:rPr>
        <w:t xml:space="preserve">; b) el estado de funcionamiento de las medidas de infraestructura instaladas en el domicilio de Inés Fernández; c) los equipos de comunicación otorgados a los beneficiarios, su estado de funcionamiento y las propuestas que hubiera hecho para sustituir el equipo de telefonía satelital móvil; d) los rondines y acompañamientos que realice a los beneficiarios, su periodicidad, horas y formas de implementación; e) la solicitud de los representantes para conocer la identidad de los agentes que realizarían </w:t>
      </w:r>
      <w:r w:rsidR="00957B1D">
        <w:rPr>
          <w:rFonts w:ascii="Verdana" w:hAnsi="Verdana"/>
        </w:rPr>
        <w:t xml:space="preserve">los </w:t>
      </w:r>
      <w:r w:rsidR="004155BD" w:rsidRPr="002E142C">
        <w:rPr>
          <w:rFonts w:ascii="Verdana" w:hAnsi="Verdana"/>
        </w:rPr>
        <w:t>acompañamientos durante los traslados de Tlapa a Chilpanci</w:t>
      </w:r>
      <w:r w:rsidR="006E0494" w:rsidRPr="002E142C">
        <w:rPr>
          <w:rFonts w:ascii="Verdana" w:hAnsi="Verdana"/>
        </w:rPr>
        <w:t>n</w:t>
      </w:r>
      <w:r w:rsidR="004155BD" w:rsidRPr="002E142C">
        <w:rPr>
          <w:rFonts w:ascii="Verdana" w:hAnsi="Verdana"/>
        </w:rPr>
        <w:t xml:space="preserve">go, y que f) propusiera una estrategia para el mantenimiento, revisión, reparación o reposición de los equipos provistos, incluyendo mejorar la coordinación con los proveedores de servicios, a efectos de asegurar que las medidas de protección se implementen ininterrumpidamente, debido a diversos problemas </w:t>
      </w:r>
      <w:r w:rsidR="00926161" w:rsidRPr="002E142C">
        <w:rPr>
          <w:rFonts w:ascii="Verdana" w:hAnsi="Verdana"/>
        </w:rPr>
        <w:t>que se habrían presentado</w:t>
      </w:r>
      <w:r w:rsidR="004155BD" w:rsidRPr="002E142C">
        <w:rPr>
          <w:rFonts w:ascii="Verdana" w:hAnsi="Verdana"/>
        </w:rPr>
        <w:t>, por fallas de los equipos de seguridad, de los sistemas de comunicación o por la dificultad de acceso al domicilio de Inés Fernández para realizar los rondines de seguridad.</w:t>
      </w:r>
      <w:r w:rsidRPr="002E142C">
        <w:rPr>
          <w:rFonts w:ascii="Verdana" w:hAnsi="Verdana"/>
        </w:rPr>
        <w:t xml:space="preserve"> </w:t>
      </w:r>
      <w:r w:rsidR="00246677" w:rsidRPr="002E142C">
        <w:rPr>
          <w:rFonts w:ascii="Verdana" w:hAnsi="Verdana"/>
        </w:rPr>
        <w:t xml:space="preserve">A continuación este Tribunal se referirá a la información remitida </w:t>
      </w:r>
      <w:r w:rsidR="00D72D13" w:rsidRPr="002E142C">
        <w:rPr>
          <w:rFonts w:ascii="Verdana" w:hAnsi="Verdana"/>
        </w:rPr>
        <w:t>por las partes y la Comisión al respecto.</w:t>
      </w:r>
      <w:bookmarkEnd w:id="22"/>
      <w:r w:rsidR="00D72D13" w:rsidRPr="002E142C">
        <w:rPr>
          <w:rFonts w:ascii="Verdana" w:hAnsi="Verdana"/>
        </w:rPr>
        <w:t xml:space="preserve"> </w:t>
      </w:r>
      <w:bookmarkEnd w:id="23"/>
    </w:p>
    <w:p w14:paraId="0AE755B3" w14:textId="77777777" w:rsidR="00D72D13" w:rsidRPr="002E142C" w:rsidRDefault="00D72D13" w:rsidP="002B25B6">
      <w:pPr>
        <w:pStyle w:val="BodyText2"/>
        <w:tabs>
          <w:tab w:val="left" w:pos="567"/>
        </w:tabs>
        <w:spacing w:after="0" w:line="240" w:lineRule="auto"/>
        <w:ind w:right="22"/>
        <w:jc w:val="both"/>
        <w:rPr>
          <w:rFonts w:ascii="Verdana" w:hAnsi="Verdana"/>
          <w:i/>
        </w:rPr>
      </w:pPr>
    </w:p>
    <w:p w14:paraId="62701809" w14:textId="1F000BAA" w:rsidR="00246677" w:rsidRPr="002E142C" w:rsidRDefault="00246677" w:rsidP="002B25B6">
      <w:pPr>
        <w:tabs>
          <w:tab w:val="left" w:pos="567"/>
        </w:tabs>
        <w:ind w:left="1440" w:right="22"/>
        <w:jc w:val="both"/>
        <w:rPr>
          <w:b/>
        </w:rPr>
      </w:pPr>
      <w:r w:rsidRPr="002E142C">
        <w:rPr>
          <w:b/>
        </w:rPr>
        <w:t>B</w:t>
      </w:r>
      <w:r w:rsidR="00D72D13" w:rsidRPr="002E142C">
        <w:rPr>
          <w:b/>
        </w:rPr>
        <w:t>.1</w:t>
      </w:r>
      <w:r w:rsidRPr="002E142C">
        <w:rPr>
          <w:b/>
        </w:rPr>
        <w:t xml:space="preserve"> </w:t>
      </w:r>
      <w:r w:rsidR="00D72D13" w:rsidRPr="002E142C">
        <w:rPr>
          <w:b/>
        </w:rPr>
        <w:t xml:space="preserve">Alegatos </w:t>
      </w:r>
      <w:r w:rsidR="00C4448F" w:rsidRPr="002E142C">
        <w:rPr>
          <w:b/>
        </w:rPr>
        <w:t xml:space="preserve">de las partes y de la Comisión </w:t>
      </w:r>
    </w:p>
    <w:p w14:paraId="01570783" w14:textId="77777777" w:rsidR="00246677" w:rsidRPr="002E142C" w:rsidRDefault="00246677" w:rsidP="002B25B6">
      <w:pPr>
        <w:pStyle w:val="BodyText2"/>
        <w:tabs>
          <w:tab w:val="left" w:pos="567"/>
        </w:tabs>
        <w:spacing w:after="0" w:line="240" w:lineRule="auto"/>
        <w:jc w:val="both"/>
        <w:rPr>
          <w:rFonts w:ascii="Verdana" w:hAnsi="Verdana"/>
          <w:b/>
          <w:lang w:val="es-ES"/>
        </w:rPr>
      </w:pPr>
      <w:bookmarkStart w:id="24" w:name="_Ref416258928"/>
    </w:p>
    <w:p w14:paraId="00482796" w14:textId="291DA502" w:rsidR="00D72D13" w:rsidRPr="002E142C" w:rsidRDefault="00246677" w:rsidP="002B25B6">
      <w:pPr>
        <w:pStyle w:val="BodyText2"/>
        <w:numPr>
          <w:ilvl w:val="0"/>
          <w:numId w:val="3"/>
        </w:numPr>
        <w:tabs>
          <w:tab w:val="left" w:pos="567"/>
        </w:tabs>
        <w:spacing w:after="0" w:line="220" w:lineRule="atLeast"/>
        <w:jc w:val="both"/>
        <w:rPr>
          <w:rFonts w:ascii="Verdana" w:hAnsi="Verdana"/>
        </w:rPr>
      </w:pPr>
      <w:bookmarkStart w:id="25" w:name="_Ref472413742"/>
      <w:bookmarkStart w:id="26" w:name="_Ref472954867"/>
      <w:bookmarkStart w:id="27" w:name="_Ref444073525"/>
      <w:r w:rsidRPr="002E142C">
        <w:rPr>
          <w:rFonts w:ascii="Verdana" w:hAnsi="Verdana"/>
          <w:color w:val="000000"/>
          <w:shd w:val="clear" w:color="auto" w:fill="FFFFFF"/>
        </w:rPr>
        <w:t xml:space="preserve">El </w:t>
      </w:r>
      <w:r w:rsidRPr="002E142C">
        <w:rPr>
          <w:rFonts w:ascii="Verdana" w:hAnsi="Verdana"/>
          <w:b/>
          <w:i/>
          <w:color w:val="000000"/>
          <w:shd w:val="clear" w:color="auto" w:fill="FFFFFF"/>
        </w:rPr>
        <w:t>Estado</w:t>
      </w:r>
      <w:r w:rsidRPr="002E142C">
        <w:rPr>
          <w:rFonts w:ascii="Verdana" w:hAnsi="Verdana"/>
          <w:color w:val="000000"/>
          <w:shd w:val="clear" w:color="auto" w:fill="FFFFFF"/>
        </w:rPr>
        <w:t xml:space="preserve"> informó que el 29 de abril 2016 se celebró una reunión de seguimiento a la implementación de medidas provisionales</w:t>
      </w:r>
      <w:r w:rsidRPr="002E142C">
        <w:rPr>
          <w:rFonts w:ascii="Verdana" w:eastAsia="Times New Roman" w:hAnsi="Verdana"/>
          <w:szCs w:val="24"/>
          <w:lang w:val="es-ES" w:eastAsia="en-US"/>
        </w:rPr>
        <w:t xml:space="preserve"> que condujeron a la realización de </w:t>
      </w:r>
      <w:r w:rsidRPr="002E142C">
        <w:rPr>
          <w:rFonts w:ascii="Verdana" w:hAnsi="Verdana"/>
          <w:color w:val="000000"/>
          <w:shd w:val="clear" w:color="auto" w:fill="FFFFFF"/>
          <w:lang w:val="es-ES"/>
        </w:rPr>
        <w:t>varias gestiones por parte de la Secretaría de Gobernación</w:t>
      </w:r>
      <w:r w:rsidRPr="002E142C">
        <w:rPr>
          <w:rFonts w:ascii="Verdana" w:hAnsi="Verdana"/>
          <w:color w:val="000000"/>
          <w:shd w:val="clear" w:color="auto" w:fill="FFFFFF"/>
        </w:rPr>
        <w:t xml:space="preserve">. Con respecto </w:t>
      </w:r>
      <w:r w:rsidR="00D72D13" w:rsidRPr="002E142C">
        <w:rPr>
          <w:rFonts w:ascii="Verdana" w:hAnsi="Verdana"/>
        </w:rPr>
        <w:t xml:space="preserve">a la provisión de infraestructura de seguridad y sistemas de comunicación, señaló que </w:t>
      </w:r>
      <w:r w:rsidR="00172745" w:rsidRPr="002E142C">
        <w:rPr>
          <w:rFonts w:ascii="Verdana" w:hAnsi="Verdana"/>
        </w:rPr>
        <w:t>“</w:t>
      </w:r>
      <w:r w:rsidR="00D72D13" w:rsidRPr="002E142C">
        <w:rPr>
          <w:rFonts w:ascii="Verdana" w:hAnsi="Verdana"/>
          <w:color w:val="000000"/>
          <w:shd w:val="clear" w:color="auto" w:fill="FFFFFF"/>
        </w:rPr>
        <w:t>por su naturaleza</w:t>
      </w:r>
      <w:r w:rsidR="00172745" w:rsidRPr="002E142C">
        <w:rPr>
          <w:rFonts w:ascii="Verdana" w:hAnsi="Verdana"/>
          <w:color w:val="000000"/>
          <w:shd w:val="clear" w:color="auto" w:fill="FFFFFF"/>
        </w:rPr>
        <w:t>,</w:t>
      </w:r>
      <w:r w:rsidRPr="002E142C">
        <w:rPr>
          <w:rFonts w:ascii="Verdana" w:hAnsi="Verdana"/>
          <w:color w:val="000000"/>
          <w:shd w:val="clear" w:color="auto" w:fill="FFFFFF"/>
        </w:rPr>
        <w:t xml:space="preserve"> los </w:t>
      </w:r>
      <w:r w:rsidR="00D72D13" w:rsidRPr="002E142C">
        <w:rPr>
          <w:rFonts w:ascii="Verdana" w:hAnsi="Verdana"/>
          <w:color w:val="000000"/>
          <w:shd w:val="clear" w:color="auto" w:fill="FFFFFF"/>
        </w:rPr>
        <w:t>teléfonos satelital</w:t>
      </w:r>
      <w:r w:rsidR="00DA6FFE" w:rsidRPr="002E142C">
        <w:rPr>
          <w:rFonts w:ascii="Verdana" w:hAnsi="Verdana"/>
          <w:color w:val="000000"/>
          <w:shd w:val="clear" w:color="auto" w:fill="FFFFFF"/>
        </w:rPr>
        <w:t>es</w:t>
      </w:r>
      <w:r w:rsidR="00D72D13" w:rsidRPr="002E142C">
        <w:rPr>
          <w:rFonts w:ascii="Verdana" w:hAnsi="Verdana"/>
          <w:color w:val="000000"/>
          <w:shd w:val="clear" w:color="auto" w:fill="FFFFFF"/>
        </w:rPr>
        <w:t xml:space="preserve"> </w:t>
      </w:r>
      <w:r w:rsidRPr="002E142C">
        <w:rPr>
          <w:rFonts w:ascii="Verdana" w:hAnsi="Verdana"/>
          <w:color w:val="000000"/>
          <w:shd w:val="clear" w:color="auto" w:fill="FFFFFF"/>
        </w:rPr>
        <w:t xml:space="preserve">cuentan con limitaciones propias del avance tecnológico, existiendo lugares y condiciones meteorológicas que limitan su correcto funcionamiento, </w:t>
      </w:r>
      <w:r w:rsidR="00D72D13" w:rsidRPr="002E142C">
        <w:rPr>
          <w:rFonts w:ascii="Verdana" w:hAnsi="Verdana"/>
          <w:color w:val="000000"/>
          <w:shd w:val="clear" w:color="auto" w:fill="FFFFFF"/>
        </w:rPr>
        <w:t xml:space="preserve">lo cual </w:t>
      </w:r>
      <w:r w:rsidRPr="002E142C">
        <w:rPr>
          <w:rFonts w:ascii="Verdana" w:hAnsi="Verdana"/>
          <w:color w:val="000000"/>
          <w:shd w:val="clear" w:color="auto" w:fill="FFFFFF"/>
        </w:rPr>
        <w:t xml:space="preserve">no </w:t>
      </w:r>
      <w:r w:rsidR="00D72D13" w:rsidRPr="002E142C">
        <w:rPr>
          <w:rFonts w:ascii="Verdana" w:hAnsi="Verdana"/>
          <w:color w:val="000000"/>
          <w:shd w:val="clear" w:color="auto" w:fill="FFFFFF"/>
        </w:rPr>
        <w:t xml:space="preserve">era </w:t>
      </w:r>
      <w:r w:rsidRPr="002E142C">
        <w:rPr>
          <w:rFonts w:ascii="Verdana" w:hAnsi="Verdana"/>
          <w:color w:val="000000"/>
          <w:shd w:val="clear" w:color="auto" w:fill="FFFFFF"/>
        </w:rPr>
        <w:t>imputable al Estado</w:t>
      </w:r>
      <w:r w:rsidR="00172745" w:rsidRPr="002E142C">
        <w:rPr>
          <w:rFonts w:ascii="Verdana" w:hAnsi="Verdana"/>
          <w:color w:val="000000"/>
          <w:shd w:val="clear" w:color="auto" w:fill="FFFFFF"/>
        </w:rPr>
        <w:t>”</w:t>
      </w:r>
      <w:r w:rsidRPr="002E142C">
        <w:rPr>
          <w:rStyle w:val="FootnoteReference"/>
          <w:sz w:val="20"/>
        </w:rPr>
        <w:footnoteReference w:id="46"/>
      </w:r>
      <w:r w:rsidRPr="002E142C">
        <w:rPr>
          <w:rFonts w:ascii="Verdana" w:hAnsi="Verdana"/>
        </w:rPr>
        <w:t xml:space="preserve">. </w:t>
      </w:r>
      <w:bookmarkStart w:id="28" w:name="_Ref472333609"/>
      <w:bookmarkEnd w:id="25"/>
      <w:r w:rsidR="00D72D13" w:rsidRPr="002E142C">
        <w:rPr>
          <w:rFonts w:ascii="Verdana" w:hAnsi="Verdana"/>
        </w:rPr>
        <w:t>Respecto</w:t>
      </w:r>
      <w:r w:rsidR="00D72D13" w:rsidRPr="002E142C">
        <w:rPr>
          <w:rFonts w:ascii="Verdana" w:hAnsi="Verdana"/>
          <w:b/>
        </w:rPr>
        <w:t xml:space="preserve"> </w:t>
      </w:r>
      <w:r w:rsidR="00D72D13" w:rsidRPr="002E142C">
        <w:rPr>
          <w:rFonts w:ascii="Verdana" w:hAnsi="Verdana"/>
          <w:color w:val="000000"/>
          <w:shd w:val="clear" w:color="auto" w:fill="FFFFFF"/>
        </w:rPr>
        <w:t>al teléfono</w:t>
      </w:r>
      <w:r w:rsidRPr="002E142C">
        <w:rPr>
          <w:rFonts w:ascii="Verdana" w:hAnsi="Verdana"/>
          <w:color w:val="000000"/>
          <w:shd w:val="clear" w:color="auto" w:fill="FFFFFF"/>
        </w:rPr>
        <w:t xml:space="preserve"> satelital de la señora Inés Fernández, </w:t>
      </w:r>
      <w:r w:rsidR="00D72D13" w:rsidRPr="002E142C">
        <w:rPr>
          <w:rFonts w:ascii="Verdana" w:hAnsi="Verdana"/>
          <w:color w:val="000000"/>
          <w:shd w:val="clear" w:color="auto" w:fill="FFFFFF"/>
        </w:rPr>
        <w:t xml:space="preserve">que se encontraba en reparación, </w:t>
      </w:r>
      <w:r w:rsidRPr="002E142C">
        <w:rPr>
          <w:rFonts w:ascii="Verdana" w:hAnsi="Verdana"/>
          <w:color w:val="000000"/>
          <w:shd w:val="clear" w:color="auto" w:fill="FFFFFF"/>
        </w:rPr>
        <w:t xml:space="preserve">informó que “el mismo fue remitido el […] 1 de junio de [2016]”. Además, con respecto al sistema de seguridad en el domicilio de la señora </w:t>
      </w:r>
      <w:proofErr w:type="spellStart"/>
      <w:r w:rsidRPr="002E142C">
        <w:rPr>
          <w:rFonts w:ascii="Verdana" w:hAnsi="Verdana"/>
          <w:color w:val="000000"/>
          <w:shd w:val="clear" w:color="auto" w:fill="FFFFFF"/>
        </w:rPr>
        <w:t>Obtilia</w:t>
      </w:r>
      <w:proofErr w:type="spellEnd"/>
      <w:r w:rsidRPr="002E142C">
        <w:rPr>
          <w:rFonts w:ascii="Verdana" w:hAnsi="Verdana"/>
          <w:color w:val="000000"/>
          <w:shd w:val="clear" w:color="auto" w:fill="FFFFFF"/>
        </w:rPr>
        <w:t xml:space="preserve"> Eugenio </w:t>
      </w:r>
      <w:r w:rsidRPr="002E142C">
        <w:rPr>
          <w:rFonts w:ascii="Verdana" w:hAnsi="Verdana"/>
          <w:color w:val="000000"/>
          <w:shd w:val="clear" w:color="auto" w:fill="FFFFFF"/>
        </w:rPr>
        <w:lastRenderedPageBreak/>
        <w:t>Manuel y en las oficinas de la OPIM afirmó que “todos [estos] sistemas […] se encuentran fu</w:t>
      </w:r>
      <w:r w:rsidR="00D72D13" w:rsidRPr="002E142C">
        <w:rPr>
          <w:rFonts w:ascii="Verdana" w:hAnsi="Verdana"/>
          <w:color w:val="000000"/>
          <w:shd w:val="clear" w:color="auto" w:fill="FFFFFF"/>
        </w:rPr>
        <w:t xml:space="preserve">ncionando adecuadamente” y que </w:t>
      </w:r>
      <w:r w:rsidRPr="002E142C">
        <w:rPr>
          <w:rFonts w:ascii="Verdana" w:hAnsi="Verdana"/>
          <w:color w:val="000000"/>
          <w:shd w:val="clear" w:color="auto" w:fill="FFFFFF"/>
        </w:rPr>
        <w:t>no se ha</w:t>
      </w:r>
      <w:r w:rsidR="00D72D13" w:rsidRPr="002E142C">
        <w:rPr>
          <w:rFonts w:ascii="Verdana" w:hAnsi="Verdana"/>
          <w:color w:val="000000"/>
          <w:shd w:val="clear" w:color="auto" w:fill="FFFFFF"/>
        </w:rPr>
        <w:t>bía</w:t>
      </w:r>
      <w:r w:rsidRPr="002E142C">
        <w:rPr>
          <w:rFonts w:ascii="Verdana" w:hAnsi="Verdana"/>
          <w:color w:val="000000"/>
          <w:shd w:val="clear" w:color="auto" w:fill="FFFFFF"/>
        </w:rPr>
        <w:t xml:space="preserve"> recibido información adicional</w:t>
      </w:r>
      <w:r w:rsidR="00D72D13" w:rsidRPr="002E142C">
        <w:rPr>
          <w:rFonts w:ascii="Verdana" w:hAnsi="Verdana"/>
          <w:color w:val="000000"/>
          <w:shd w:val="clear" w:color="auto" w:fill="FFFFFF"/>
        </w:rPr>
        <w:t xml:space="preserve"> de los beneficiarios</w:t>
      </w:r>
      <w:r w:rsidRPr="002E142C">
        <w:rPr>
          <w:rFonts w:ascii="Verdana" w:hAnsi="Verdana"/>
          <w:color w:val="000000"/>
          <w:shd w:val="clear" w:color="auto" w:fill="FFFFFF"/>
        </w:rPr>
        <w:t xml:space="preserve">. Adicionalmente, señaló que el 3 de junio de 2016 se instaló una malla ciclónica con 30 metros de lineales y 30 metros de concertina en el domicilio del señor Barrera Hernández. </w:t>
      </w:r>
      <w:bookmarkStart w:id="29" w:name="_Ref472413761"/>
      <w:bookmarkStart w:id="30" w:name="_Ref414009747"/>
      <w:bookmarkEnd w:id="26"/>
      <w:bookmarkEnd w:id="28"/>
      <w:r w:rsidR="0058582D" w:rsidRPr="002E142C">
        <w:rPr>
          <w:rFonts w:ascii="Verdana" w:hAnsi="Verdana"/>
          <w:color w:val="000000"/>
          <w:shd w:val="clear" w:color="auto" w:fill="FFFFFF"/>
        </w:rPr>
        <w:t xml:space="preserve">Respecto a los rondines y </w:t>
      </w:r>
      <w:r w:rsidR="0058582D" w:rsidRPr="002E142C">
        <w:rPr>
          <w:rFonts w:ascii="Verdana" w:hAnsi="Verdana"/>
        </w:rPr>
        <w:t>otras medidas de acompañamiento,</w:t>
      </w:r>
      <w:r w:rsidR="0058582D" w:rsidRPr="002E142C">
        <w:rPr>
          <w:rFonts w:ascii="Verdana" w:hAnsi="Verdana"/>
          <w:b/>
        </w:rPr>
        <w:t xml:space="preserve"> </w:t>
      </w:r>
      <w:r w:rsidR="0058582D" w:rsidRPr="002E142C">
        <w:rPr>
          <w:rFonts w:ascii="Verdana" w:hAnsi="Verdana"/>
          <w:lang w:val="es-ES"/>
        </w:rPr>
        <w:t xml:space="preserve">indicó </w:t>
      </w:r>
      <w:r w:rsidR="00D72D13" w:rsidRPr="002E142C">
        <w:rPr>
          <w:rFonts w:ascii="Verdana" w:hAnsi="Verdana"/>
          <w:lang w:val="es-ES"/>
        </w:rPr>
        <w:t>se siguen implement</w:t>
      </w:r>
      <w:r w:rsidR="00A009D4" w:rsidRPr="002E142C">
        <w:rPr>
          <w:rFonts w:ascii="Verdana" w:hAnsi="Verdana"/>
          <w:lang w:val="es-ES"/>
        </w:rPr>
        <w:t>a</w:t>
      </w:r>
      <w:r w:rsidR="00D72D13" w:rsidRPr="002E142C">
        <w:rPr>
          <w:rFonts w:ascii="Verdana" w:hAnsi="Verdana"/>
          <w:lang w:val="es-ES"/>
        </w:rPr>
        <w:t xml:space="preserve">ndo rondines </w:t>
      </w:r>
      <w:proofErr w:type="spellStart"/>
      <w:r w:rsidR="00D72D13" w:rsidRPr="002E142C">
        <w:rPr>
          <w:rFonts w:ascii="Verdana" w:hAnsi="Verdana"/>
          <w:lang w:val="es-ES"/>
        </w:rPr>
        <w:t>bit</w:t>
      </w:r>
      <w:r w:rsidR="0058582D" w:rsidRPr="002E142C">
        <w:rPr>
          <w:rFonts w:ascii="Verdana" w:hAnsi="Verdana"/>
          <w:lang w:val="es-ES"/>
        </w:rPr>
        <w:t>a</w:t>
      </w:r>
      <w:r w:rsidR="00D72D13" w:rsidRPr="002E142C">
        <w:rPr>
          <w:rFonts w:ascii="Verdana" w:hAnsi="Verdana"/>
          <w:lang w:val="es-ES"/>
        </w:rPr>
        <w:t>cora</w:t>
      </w:r>
      <w:r w:rsidR="0058582D" w:rsidRPr="002E142C">
        <w:rPr>
          <w:rFonts w:ascii="Verdana" w:hAnsi="Verdana"/>
          <w:lang w:val="es-ES"/>
        </w:rPr>
        <w:t>dos</w:t>
      </w:r>
      <w:proofErr w:type="spellEnd"/>
      <w:r w:rsidR="00D72D13" w:rsidRPr="002E142C">
        <w:rPr>
          <w:rFonts w:ascii="Verdana" w:hAnsi="Verdana"/>
          <w:lang w:val="es-ES"/>
        </w:rPr>
        <w:t xml:space="preserve"> de manera esporádica en el domicilio de </w:t>
      </w:r>
      <w:r w:rsidR="0058582D" w:rsidRPr="002E142C">
        <w:rPr>
          <w:rFonts w:ascii="Verdana" w:hAnsi="Verdana"/>
          <w:lang w:val="es-ES"/>
        </w:rPr>
        <w:t>la señora Inés Fernández</w:t>
      </w:r>
      <w:r w:rsidR="00D72D13" w:rsidRPr="002E142C">
        <w:rPr>
          <w:rFonts w:ascii="Verdana" w:hAnsi="Verdana"/>
          <w:lang w:val="es-ES"/>
        </w:rPr>
        <w:t>, así como acompañamientos por elementos de la Policía Estatal en casos de traslados, “siempre y cuando se dé aviso oportuno para la implementación de la logística correspondiente”</w:t>
      </w:r>
      <w:r w:rsidR="00D72D13" w:rsidRPr="002E142C">
        <w:rPr>
          <w:rStyle w:val="FootnoteReference"/>
          <w:sz w:val="20"/>
        </w:rPr>
        <w:footnoteReference w:id="47"/>
      </w:r>
      <w:r w:rsidR="00957B1D">
        <w:rPr>
          <w:rFonts w:ascii="Verdana" w:hAnsi="Verdana"/>
          <w:lang w:val="es-ES"/>
        </w:rPr>
        <w:t xml:space="preserve">. </w:t>
      </w:r>
      <w:r w:rsidR="00D72D13" w:rsidRPr="002E142C">
        <w:rPr>
          <w:rFonts w:ascii="Verdana" w:hAnsi="Verdana"/>
          <w:lang w:val="es-ES"/>
        </w:rPr>
        <w:t xml:space="preserve">Asimismo, informó que en respuesta a las inconsistencias en la regularidad de los rondines mencionados por la beneficiaria, “la Secretaría de Seguridad Pública del estado se ha comprometido a tomar las acciones necesarias para regularizar el servicio dentro de las posibilidades del estado de fuerza y las condiciones geográficas de la zona”. </w:t>
      </w:r>
      <w:bookmarkEnd w:id="29"/>
      <w:r w:rsidR="00D72D13" w:rsidRPr="002E142C">
        <w:rPr>
          <w:rFonts w:ascii="Verdana" w:hAnsi="Verdana"/>
          <w:lang w:val="es-ES"/>
        </w:rPr>
        <w:t>Respecto a los rondines en las oficinas de Tlapa de Comonfort y la presencia permanente de elementos policíacos en la oficina de Ayutla de los Libres, informó que “</w:t>
      </w:r>
      <w:r w:rsidR="00D72D13" w:rsidRPr="002E142C">
        <w:rPr>
          <w:rFonts w:ascii="Verdana" w:hAnsi="Verdana"/>
        </w:rPr>
        <w:t xml:space="preserve">ante la solicitud de los beneficiarios de volver a implementar dicha medida en la reunión de abril del 2016, la Secretaría de Seguridad Pública del estado </w:t>
      </w:r>
      <w:proofErr w:type="gramStart"/>
      <w:r w:rsidR="00D72D13" w:rsidRPr="002E142C">
        <w:rPr>
          <w:rFonts w:ascii="Verdana" w:hAnsi="Verdana"/>
        </w:rPr>
        <w:t>realizar</w:t>
      </w:r>
      <w:r w:rsidR="00957B1D">
        <w:rPr>
          <w:rFonts w:ascii="Verdana" w:hAnsi="Verdana"/>
        </w:rPr>
        <w:t>[</w:t>
      </w:r>
      <w:proofErr w:type="spellStart"/>
      <w:proofErr w:type="gramEnd"/>
      <w:r w:rsidR="00957B1D">
        <w:rPr>
          <w:rFonts w:ascii="Verdana" w:hAnsi="Verdana"/>
        </w:rPr>
        <w:t>ía</w:t>
      </w:r>
      <w:proofErr w:type="spellEnd"/>
      <w:r w:rsidR="00957B1D">
        <w:rPr>
          <w:rFonts w:ascii="Verdana" w:hAnsi="Verdana"/>
        </w:rPr>
        <w:t>]</w:t>
      </w:r>
      <w:r w:rsidR="00D72D13" w:rsidRPr="002E142C">
        <w:rPr>
          <w:rFonts w:ascii="Verdana" w:hAnsi="Verdana"/>
        </w:rPr>
        <w:t xml:space="preserve"> las acciones correspondientes para su implementación”.</w:t>
      </w:r>
      <w:r w:rsidR="00D72D13" w:rsidRPr="002E142C">
        <w:rPr>
          <w:rFonts w:ascii="Verdana" w:hAnsi="Verdana"/>
          <w:lang w:val="es-ES"/>
        </w:rPr>
        <w:t xml:space="preserve"> </w:t>
      </w:r>
      <w:bookmarkStart w:id="31" w:name="_Ref472413749"/>
      <w:bookmarkStart w:id="32" w:name="_Ref416258939"/>
      <w:bookmarkStart w:id="33" w:name="_Ref416263588"/>
      <w:bookmarkStart w:id="34" w:name="_Ref445973853"/>
      <w:bookmarkStart w:id="35" w:name="_Ref472954871"/>
      <w:bookmarkEnd w:id="24"/>
      <w:bookmarkEnd w:id="27"/>
      <w:bookmarkEnd w:id="30"/>
    </w:p>
    <w:p w14:paraId="4635B279" w14:textId="77777777" w:rsidR="00D72D13" w:rsidRPr="002E142C" w:rsidRDefault="00D72D13" w:rsidP="002B25B6">
      <w:pPr>
        <w:pStyle w:val="BodyText2"/>
        <w:tabs>
          <w:tab w:val="left" w:pos="567"/>
        </w:tabs>
        <w:spacing w:after="0" w:line="220" w:lineRule="atLeast"/>
        <w:jc w:val="both"/>
        <w:rPr>
          <w:rFonts w:ascii="Verdana" w:hAnsi="Verdana"/>
        </w:rPr>
      </w:pPr>
    </w:p>
    <w:p w14:paraId="1ECFA938" w14:textId="715009C7" w:rsidR="00D72D13" w:rsidRPr="002E142C" w:rsidRDefault="00246677" w:rsidP="002B25B6">
      <w:pPr>
        <w:pStyle w:val="BodyText2"/>
        <w:numPr>
          <w:ilvl w:val="0"/>
          <w:numId w:val="3"/>
        </w:numPr>
        <w:tabs>
          <w:tab w:val="left" w:pos="567"/>
        </w:tabs>
        <w:spacing w:after="0" w:line="220" w:lineRule="atLeast"/>
        <w:jc w:val="both"/>
        <w:rPr>
          <w:rFonts w:ascii="Verdana" w:hAnsi="Verdana"/>
        </w:rPr>
      </w:pPr>
      <w:bookmarkStart w:id="36" w:name="_Ref473287632"/>
      <w:r w:rsidRPr="002E142C">
        <w:rPr>
          <w:rFonts w:ascii="Verdana" w:hAnsi="Verdana"/>
          <w:lang w:val="es-ES"/>
        </w:rPr>
        <w:t>Los</w:t>
      </w:r>
      <w:r w:rsidRPr="002E142C">
        <w:rPr>
          <w:rFonts w:ascii="Verdana" w:hAnsi="Verdana"/>
          <w:b/>
          <w:i/>
          <w:lang w:val="es-ES"/>
        </w:rPr>
        <w:t xml:space="preserve"> representantes</w:t>
      </w:r>
      <w:r w:rsidRPr="002E142C">
        <w:rPr>
          <w:rFonts w:ascii="Verdana" w:hAnsi="Verdana"/>
          <w:lang w:val="es-ES"/>
        </w:rPr>
        <w:t xml:space="preserve"> indicaron que “la implementación continúa siendo insuficiente dado que se siguen presentando omisiones, obstaculizaciones, demoras injustificadas e irregularidades en el tratamiento de las medidas</w:t>
      </w:r>
      <w:r w:rsidR="00E04736" w:rsidRPr="002E142C">
        <w:rPr>
          <w:rFonts w:ascii="Verdana" w:hAnsi="Verdana"/>
          <w:lang w:val="es-ES"/>
        </w:rPr>
        <w:t xml:space="preserve"> por diversas autoridades encargadas</w:t>
      </w:r>
      <w:r w:rsidR="00CC5516" w:rsidRPr="002E142C">
        <w:rPr>
          <w:rFonts w:ascii="Verdana" w:hAnsi="Verdana"/>
          <w:lang w:val="es-ES"/>
        </w:rPr>
        <w:t xml:space="preserve">”. </w:t>
      </w:r>
      <w:r w:rsidRPr="002E142C">
        <w:rPr>
          <w:rFonts w:ascii="Verdana" w:hAnsi="Verdana"/>
          <w:lang w:val="es-ES"/>
        </w:rPr>
        <w:t xml:space="preserve">En particular, </w:t>
      </w:r>
      <w:r w:rsidR="00E04736" w:rsidRPr="002E142C">
        <w:rPr>
          <w:rFonts w:ascii="Verdana" w:hAnsi="Verdana"/>
          <w:lang w:val="es-ES"/>
        </w:rPr>
        <w:t xml:space="preserve">informaron que, contrario a lo alegado por el Estado, </w:t>
      </w:r>
      <w:r w:rsidRPr="002E142C">
        <w:rPr>
          <w:rFonts w:ascii="Verdana" w:hAnsi="Verdana"/>
          <w:lang w:val="es-ES"/>
        </w:rPr>
        <w:t xml:space="preserve">en el domicilio de la señora Fernández Ortega </w:t>
      </w:r>
      <w:r w:rsidR="00E04736" w:rsidRPr="002E142C">
        <w:rPr>
          <w:rFonts w:ascii="Verdana" w:hAnsi="Verdana"/>
          <w:lang w:val="es-ES"/>
        </w:rPr>
        <w:t xml:space="preserve">no se ha instalado una </w:t>
      </w:r>
      <w:r w:rsidRPr="002E142C">
        <w:rPr>
          <w:rFonts w:ascii="Verdana" w:hAnsi="Verdana"/>
          <w:lang w:val="es-ES"/>
        </w:rPr>
        <w:t xml:space="preserve">malla ciclónica </w:t>
      </w:r>
      <w:r w:rsidR="00E04736" w:rsidRPr="002E142C">
        <w:rPr>
          <w:rFonts w:ascii="Verdana" w:hAnsi="Verdana"/>
          <w:lang w:val="es-ES"/>
        </w:rPr>
        <w:t xml:space="preserve">o </w:t>
      </w:r>
      <w:r w:rsidRPr="002E142C">
        <w:rPr>
          <w:rFonts w:ascii="Verdana" w:hAnsi="Verdana"/>
          <w:lang w:val="es-ES"/>
        </w:rPr>
        <w:t xml:space="preserve">alambre de navajas. Además, señalaron que el Estado “no </w:t>
      </w:r>
      <w:r w:rsidR="00E5286B" w:rsidRPr="002E142C">
        <w:rPr>
          <w:rFonts w:ascii="Verdana" w:hAnsi="Verdana"/>
          <w:lang w:val="es-ES"/>
        </w:rPr>
        <w:t>[</w:t>
      </w:r>
      <w:r w:rsidRPr="002E142C">
        <w:rPr>
          <w:rFonts w:ascii="Verdana" w:hAnsi="Verdana"/>
          <w:lang w:val="es-ES"/>
        </w:rPr>
        <w:t>había</w:t>
      </w:r>
      <w:r w:rsidR="00E5286B" w:rsidRPr="002E142C">
        <w:rPr>
          <w:rFonts w:ascii="Verdana" w:hAnsi="Verdana"/>
          <w:lang w:val="es-ES"/>
        </w:rPr>
        <w:t>]</w:t>
      </w:r>
      <w:r w:rsidRPr="002E142C">
        <w:rPr>
          <w:rFonts w:ascii="Verdana" w:hAnsi="Verdana"/>
          <w:lang w:val="es-ES"/>
        </w:rPr>
        <w:t xml:space="preserve"> dado respuesta a los reportes de averías y mal funcionamiento de las cámaras de circuito</w:t>
      </w:r>
      <w:r w:rsidR="00E5286B" w:rsidRPr="002E142C">
        <w:rPr>
          <w:rFonts w:ascii="Verdana" w:hAnsi="Verdana"/>
          <w:lang w:val="es-ES"/>
        </w:rPr>
        <w:t xml:space="preserve"> cerrado</w:t>
      </w:r>
      <w:r w:rsidRPr="002E142C">
        <w:rPr>
          <w:rFonts w:ascii="Verdana" w:hAnsi="Verdana"/>
          <w:lang w:val="es-ES"/>
        </w:rPr>
        <w:t>, la radio instalada […]</w:t>
      </w:r>
      <w:r w:rsidR="00957B1D">
        <w:rPr>
          <w:rFonts w:ascii="Verdana" w:hAnsi="Verdana"/>
          <w:lang w:val="es-ES"/>
        </w:rPr>
        <w:t xml:space="preserve"> </w:t>
      </w:r>
      <w:r w:rsidRPr="002E142C">
        <w:rPr>
          <w:rFonts w:ascii="Verdana" w:hAnsi="Verdana"/>
          <w:lang w:val="es-ES"/>
        </w:rPr>
        <w:t xml:space="preserve">y de las lámparas de iluminación”. </w:t>
      </w:r>
      <w:bookmarkEnd w:id="31"/>
      <w:bookmarkEnd w:id="32"/>
      <w:bookmarkEnd w:id="33"/>
      <w:bookmarkEnd w:id="34"/>
      <w:r w:rsidR="00CC5516" w:rsidRPr="002E142C">
        <w:rPr>
          <w:rFonts w:ascii="Verdana" w:hAnsi="Verdana"/>
          <w:lang w:val="es-ES"/>
        </w:rPr>
        <w:t xml:space="preserve">Además, indicaron </w:t>
      </w:r>
      <w:r w:rsidRPr="002E142C">
        <w:rPr>
          <w:rFonts w:ascii="Verdana" w:hAnsi="Verdana"/>
          <w:lang w:val="es-ES"/>
        </w:rPr>
        <w:t xml:space="preserve">que las “cámaras [de la Oficina de la Red </w:t>
      </w:r>
      <w:proofErr w:type="spellStart"/>
      <w:r w:rsidRPr="002E142C">
        <w:rPr>
          <w:rFonts w:ascii="Verdana" w:hAnsi="Verdana"/>
          <w:lang w:val="es-ES"/>
        </w:rPr>
        <w:t>Groac</w:t>
      </w:r>
      <w:proofErr w:type="spellEnd"/>
      <w:r w:rsidRPr="002E142C">
        <w:rPr>
          <w:rFonts w:ascii="Verdana" w:hAnsi="Verdana"/>
          <w:lang w:val="es-ES"/>
        </w:rPr>
        <w:t>] aún no han sido inspeccionadas</w:t>
      </w:r>
      <w:r w:rsidR="00CC5516" w:rsidRPr="002E142C">
        <w:rPr>
          <w:rFonts w:ascii="Verdana" w:hAnsi="Verdana"/>
          <w:lang w:val="es-ES"/>
        </w:rPr>
        <w:t>”</w:t>
      </w:r>
      <w:r w:rsidRPr="002E142C">
        <w:rPr>
          <w:rFonts w:ascii="Verdana" w:hAnsi="Verdana"/>
          <w:lang w:val="es-ES"/>
        </w:rPr>
        <w:t>, por lo que</w:t>
      </w:r>
      <w:r w:rsidR="00CC5516" w:rsidRPr="002E142C">
        <w:rPr>
          <w:rFonts w:ascii="Verdana" w:hAnsi="Verdana"/>
          <w:lang w:val="es-ES"/>
        </w:rPr>
        <w:t>,</w:t>
      </w:r>
      <w:r w:rsidRPr="002E142C">
        <w:rPr>
          <w:rFonts w:ascii="Verdana" w:hAnsi="Verdana"/>
          <w:lang w:val="es-ES"/>
        </w:rPr>
        <w:t xml:space="preserve"> “mediante nota de 14 de marzo de 2016, </w:t>
      </w:r>
      <w:proofErr w:type="spellStart"/>
      <w:r w:rsidRPr="002E142C">
        <w:rPr>
          <w:rFonts w:ascii="Verdana" w:hAnsi="Verdana"/>
          <w:lang w:val="es-ES"/>
        </w:rPr>
        <w:t>Tlachinollan</w:t>
      </w:r>
      <w:proofErr w:type="spellEnd"/>
      <w:r w:rsidRPr="002E142C">
        <w:rPr>
          <w:rFonts w:ascii="Verdana" w:hAnsi="Verdana"/>
          <w:lang w:val="es-ES"/>
        </w:rPr>
        <w:t xml:space="preserve"> informó a la Secretaría de Gobernación de los hechos y solicitó que se implementaran de forma inmediata las medidas de protección que se encontraban pendientes de hacer efectivas”. </w:t>
      </w:r>
      <w:bookmarkStart w:id="37" w:name="_Ref472413769"/>
      <w:bookmarkEnd w:id="35"/>
      <w:r w:rsidR="00D72D13" w:rsidRPr="002E142C">
        <w:rPr>
          <w:rFonts w:ascii="Verdana" w:hAnsi="Verdana"/>
          <w:lang w:val="es-ES"/>
        </w:rPr>
        <w:t>Con respecto a los rondines, los representantes señalaron que en la reunión de abril de 2016</w:t>
      </w:r>
      <w:r w:rsidR="00CC5516" w:rsidRPr="002E142C">
        <w:rPr>
          <w:rFonts w:ascii="Verdana" w:hAnsi="Verdana"/>
          <w:lang w:val="es-ES"/>
        </w:rPr>
        <w:t>,</w:t>
      </w:r>
      <w:r w:rsidR="00D72D13" w:rsidRPr="002E142C">
        <w:rPr>
          <w:rFonts w:ascii="Verdana" w:hAnsi="Verdana"/>
          <w:lang w:val="es-ES"/>
        </w:rPr>
        <w:t xml:space="preserve"> la señora Inés Fernández </w:t>
      </w:r>
      <w:r w:rsidR="00CC5516" w:rsidRPr="002E142C">
        <w:rPr>
          <w:rFonts w:ascii="Verdana" w:hAnsi="Verdana"/>
          <w:lang w:val="es-ES"/>
        </w:rPr>
        <w:t xml:space="preserve">informó a las autoridades del Estado </w:t>
      </w:r>
      <w:r w:rsidR="00D72D13" w:rsidRPr="002E142C">
        <w:rPr>
          <w:rFonts w:ascii="Verdana" w:hAnsi="Verdana"/>
          <w:lang w:val="es-ES"/>
        </w:rPr>
        <w:t xml:space="preserve">las inconsistencias en la regularidad de los rondines y destacó que “elementos de la policía estatal habrían falsificado </w:t>
      </w:r>
      <w:r w:rsidR="00CC5516" w:rsidRPr="002E142C">
        <w:rPr>
          <w:rFonts w:ascii="Verdana" w:hAnsi="Verdana"/>
          <w:lang w:val="es-ES"/>
        </w:rPr>
        <w:t xml:space="preserve">[su] </w:t>
      </w:r>
      <w:r w:rsidR="00D72D13" w:rsidRPr="002E142C">
        <w:rPr>
          <w:rFonts w:ascii="Verdana" w:hAnsi="Verdana"/>
          <w:lang w:val="es-ES"/>
        </w:rPr>
        <w:t>firma [</w:t>
      </w:r>
      <w:r w:rsidR="00CC5516" w:rsidRPr="002E142C">
        <w:rPr>
          <w:rFonts w:ascii="Verdana" w:hAnsi="Verdana"/>
          <w:lang w:val="es-ES"/>
        </w:rPr>
        <w:t>…</w:t>
      </w:r>
      <w:r w:rsidR="00D72D13" w:rsidRPr="002E142C">
        <w:rPr>
          <w:rFonts w:ascii="Verdana" w:hAnsi="Verdana"/>
          <w:lang w:val="es-ES"/>
        </w:rPr>
        <w:t xml:space="preserve">] para simular su cumplimiento”. Añadieron que </w:t>
      </w:r>
      <w:r w:rsidR="002E5BCC" w:rsidRPr="002E142C">
        <w:rPr>
          <w:rFonts w:ascii="Verdana" w:hAnsi="Verdana"/>
          <w:lang w:val="es-ES"/>
        </w:rPr>
        <w:t>habría sido iniciada una investigación</w:t>
      </w:r>
      <w:r w:rsidR="00D72D13" w:rsidRPr="002E142C">
        <w:rPr>
          <w:rFonts w:ascii="Verdana" w:hAnsi="Verdana"/>
          <w:lang w:val="es-ES"/>
        </w:rPr>
        <w:t xml:space="preserve"> de tales hechos, “sin que le hayan sido reportados los avances a la [beneficiaria], y sin que derivaran en la efectiva regularidad de los rondines […] [que] continuaron sin realizarse”. Además, manifestaron que policías </w:t>
      </w:r>
      <w:r w:rsidR="00E5286B" w:rsidRPr="002E142C">
        <w:rPr>
          <w:rFonts w:ascii="Verdana" w:hAnsi="Verdana"/>
          <w:lang w:val="es-ES"/>
        </w:rPr>
        <w:t xml:space="preserve">habrían solicitado </w:t>
      </w:r>
      <w:r w:rsidR="00D72D13" w:rsidRPr="002E142C">
        <w:rPr>
          <w:rFonts w:ascii="Verdana" w:hAnsi="Verdana"/>
          <w:lang w:val="es-ES"/>
        </w:rPr>
        <w:t>a la beneficiaria “</w:t>
      </w:r>
      <w:r w:rsidR="00E5286B" w:rsidRPr="002E142C">
        <w:rPr>
          <w:rFonts w:ascii="Verdana" w:hAnsi="Verdana"/>
          <w:lang w:val="es-ES"/>
        </w:rPr>
        <w:t xml:space="preserve">firma[r] </w:t>
      </w:r>
      <w:r w:rsidR="00D72D13" w:rsidRPr="002E142C">
        <w:rPr>
          <w:rFonts w:ascii="Verdana" w:hAnsi="Verdana"/>
          <w:lang w:val="es-ES"/>
        </w:rPr>
        <w:t xml:space="preserve">bitácoras con fechas futuras”. </w:t>
      </w:r>
      <w:r w:rsidR="002E5BCC" w:rsidRPr="002E142C">
        <w:rPr>
          <w:rFonts w:ascii="Verdana" w:hAnsi="Verdana"/>
          <w:lang w:val="es-ES"/>
        </w:rPr>
        <w:t>Con respecto a lo</w:t>
      </w:r>
      <w:r w:rsidR="00D72D13" w:rsidRPr="002E142C">
        <w:rPr>
          <w:rFonts w:ascii="Verdana" w:hAnsi="Verdana"/>
          <w:lang w:val="es-ES"/>
        </w:rPr>
        <w:t xml:space="preserve">s rondines en las oficinas </w:t>
      </w:r>
      <w:r w:rsidR="002E5BCC" w:rsidRPr="002E142C">
        <w:rPr>
          <w:rFonts w:ascii="Verdana" w:hAnsi="Verdana"/>
          <w:lang w:val="es-ES"/>
        </w:rPr>
        <w:t>de</w:t>
      </w:r>
      <w:r w:rsidR="00D72D13" w:rsidRPr="002E142C">
        <w:rPr>
          <w:rFonts w:ascii="Verdana" w:hAnsi="Verdana"/>
          <w:lang w:val="es-ES"/>
        </w:rPr>
        <w:t xml:space="preserve"> </w:t>
      </w:r>
      <w:proofErr w:type="spellStart"/>
      <w:r w:rsidR="00D72D13" w:rsidRPr="002E142C">
        <w:rPr>
          <w:rFonts w:ascii="Verdana" w:hAnsi="Verdana"/>
          <w:lang w:val="es-ES"/>
        </w:rPr>
        <w:t>Tlachinollan</w:t>
      </w:r>
      <w:proofErr w:type="spellEnd"/>
      <w:r w:rsidR="00D72D13" w:rsidRPr="002E142C">
        <w:rPr>
          <w:rFonts w:ascii="Verdana" w:hAnsi="Verdana"/>
          <w:lang w:val="es-ES"/>
        </w:rPr>
        <w:t xml:space="preserve"> en Tlapa de Comonfort afirmaron que “no se realizan ni se han realizado con anterioridad, sin que se haya referido el motivo”. </w:t>
      </w:r>
      <w:r w:rsidR="002E5BCC" w:rsidRPr="002E142C">
        <w:rPr>
          <w:rFonts w:ascii="Verdana" w:hAnsi="Verdana"/>
          <w:lang w:val="es-ES"/>
        </w:rPr>
        <w:t xml:space="preserve">Asimismo, </w:t>
      </w:r>
      <w:r w:rsidR="00D72D13" w:rsidRPr="002E142C">
        <w:rPr>
          <w:rFonts w:ascii="Verdana" w:hAnsi="Verdana"/>
          <w:lang w:val="es-ES"/>
        </w:rPr>
        <w:t>señalaron que “en las oficinas de Ayutla […] la permanencia de los elementos policiales es al azar”.</w:t>
      </w:r>
      <w:bookmarkEnd w:id="36"/>
      <w:bookmarkEnd w:id="37"/>
    </w:p>
    <w:p w14:paraId="143A8298" w14:textId="77777777" w:rsidR="00246677" w:rsidRPr="002E142C" w:rsidRDefault="00246677" w:rsidP="002B25B6">
      <w:pPr>
        <w:pStyle w:val="BodyText2"/>
        <w:tabs>
          <w:tab w:val="left" w:pos="567"/>
        </w:tabs>
        <w:spacing w:after="0" w:line="220" w:lineRule="atLeast"/>
        <w:jc w:val="both"/>
        <w:rPr>
          <w:rFonts w:ascii="Verdana" w:hAnsi="Verdana"/>
          <w:b/>
          <w:color w:val="FF0000"/>
        </w:rPr>
      </w:pPr>
    </w:p>
    <w:p w14:paraId="24FFCB83" w14:textId="16AFFED8" w:rsidR="00E72728" w:rsidRPr="002E142C" w:rsidRDefault="00246677" w:rsidP="00E72728">
      <w:pPr>
        <w:pStyle w:val="BodyText2"/>
        <w:numPr>
          <w:ilvl w:val="0"/>
          <w:numId w:val="3"/>
        </w:numPr>
        <w:tabs>
          <w:tab w:val="left" w:pos="567"/>
        </w:tabs>
        <w:spacing w:after="0" w:line="240" w:lineRule="auto"/>
        <w:jc w:val="both"/>
        <w:rPr>
          <w:rFonts w:ascii="Verdana" w:hAnsi="Verdana"/>
          <w:lang w:val="es-ES"/>
        </w:rPr>
      </w:pPr>
      <w:r w:rsidRPr="002E142C">
        <w:rPr>
          <w:rFonts w:ascii="Verdana" w:hAnsi="Verdana"/>
          <w:lang w:val="es-ES"/>
        </w:rPr>
        <w:t>La</w:t>
      </w:r>
      <w:r w:rsidRPr="002E142C">
        <w:rPr>
          <w:rFonts w:ascii="Verdana" w:hAnsi="Verdana"/>
          <w:b/>
          <w:i/>
          <w:lang w:val="es-ES"/>
        </w:rPr>
        <w:t xml:space="preserve"> Comisión</w:t>
      </w:r>
      <w:r w:rsidRPr="002E142C">
        <w:rPr>
          <w:rFonts w:ascii="Verdana" w:hAnsi="Verdana"/>
          <w:lang w:val="es-ES"/>
        </w:rPr>
        <w:t xml:space="preserve"> valoró la instalación de diversos equipos en las oficinas de la organización de </w:t>
      </w:r>
      <w:proofErr w:type="spellStart"/>
      <w:r w:rsidRPr="002E142C">
        <w:rPr>
          <w:rFonts w:ascii="Verdana" w:hAnsi="Verdana"/>
          <w:lang w:val="es-ES"/>
        </w:rPr>
        <w:t>Tlachinollan</w:t>
      </w:r>
      <w:proofErr w:type="spellEnd"/>
      <w:r w:rsidR="00CC5516" w:rsidRPr="002E142C">
        <w:rPr>
          <w:rFonts w:ascii="Verdana" w:hAnsi="Verdana"/>
          <w:lang w:val="es-ES"/>
        </w:rPr>
        <w:t>.</w:t>
      </w:r>
      <w:r w:rsidRPr="002E142C">
        <w:rPr>
          <w:rFonts w:ascii="Verdana" w:hAnsi="Verdana"/>
          <w:lang w:val="es-ES"/>
        </w:rPr>
        <w:t xml:space="preserve"> </w:t>
      </w:r>
      <w:r w:rsidR="00E72728" w:rsidRPr="002E142C">
        <w:rPr>
          <w:rFonts w:ascii="Verdana" w:hAnsi="Verdana"/>
          <w:lang w:val="es-ES"/>
        </w:rPr>
        <w:t>Tomó nota de la información aportada por el Estado, así como de las objeciones de los representantes respecto a la implementación de las medidas de seguridad. Al respecto, resaltó que de acuerdo a los representantes, algunas de las medidas señaladas por el Estado, en realidad no estarían disponibles o presentarían irregularidades. Por ello, consideró importante que la Corte “valore lo afirmado por los representantes y solicite al Estado pronunciarse sobre estos aspectos relati</w:t>
      </w:r>
      <w:r w:rsidR="00957B1D">
        <w:rPr>
          <w:rFonts w:ascii="Verdana" w:hAnsi="Verdana"/>
          <w:lang w:val="es-ES"/>
        </w:rPr>
        <w:t>v</w:t>
      </w:r>
      <w:r w:rsidR="00E72728" w:rsidRPr="002E142C">
        <w:rPr>
          <w:rFonts w:ascii="Verdana" w:hAnsi="Verdana"/>
          <w:lang w:val="es-ES"/>
        </w:rPr>
        <w:t xml:space="preserve">os a la implementación”. </w:t>
      </w:r>
    </w:p>
    <w:p w14:paraId="24334E33" w14:textId="042F2C59" w:rsidR="00246677" w:rsidRPr="002E142C" w:rsidRDefault="00E72728" w:rsidP="00E72728">
      <w:pPr>
        <w:pStyle w:val="BodyText2"/>
        <w:tabs>
          <w:tab w:val="left" w:pos="567"/>
        </w:tabs>
        <w:spacing w:after="0" w:line="240" w:lineRule="auto"/>
        <w:jc w:val="both"/>
        <w:rPr>
          <w:rFonts w:ascii="Verdana" w:hAnsi="Verdana"/>
          <w:lang w:val="es-ES"/>
        </w:rPr>
      </w:pPr>
      <w:r w:rsidRPr="002E142C">
        <w:rPr>
          <w:rFonts w:ascii="Verdana" w:hAnsi="Verdana"/>
          <w:lang w:val="es-ES"/>
        </w:rPr>
        <w:lastRenderedPageBreak/>
        <w:t xml:space="preserve"> </w:t>
      </w:r>
    </w:p>
    <w:p w14:paraId="5F4BB891" w14:textId="727D880D" w:rsidR="00246677" w:rsidRPr="002E142C" w:rsidRDefault="00246677" w:rsidP="002B25B6">
      <w:pPr>
        <w:tabs>
          <w:tab w:val="left" w:pos="567"/>
        </w:tabs>
        <w:ind w:left="720" w:right="22" w:firstLine="720"/>
        <w:jc w:val="both"/>
        <w:rPr>
          <w:b/>
        </w:rPr>
      </w:pPr>
      <w:r w:rsidRPr="002E142C">
        <w:rPr>
          <w:b/>
        </w:rPr>
        <w:t>B.</w:t>
      </w:r>
      <w:r w:rsidR="00C4448F" w:rsidRPr="002E142C">
        <w:rPr>
          <w:b/>
        </w:rPr>
        <w:t>2</w:t>
      </w:r>
      <w:r w:rsidRPr="002E142C">
        <w:rPr>
          <w:b/>
        </w:rPr>
        <w:t xml:space="preserve"> Consideraciones de la Corte</w:t>
      </w:r>
    </w:p>
    <w:p w14:paraId="76F47BCC" w14:textId="77777777" w:rsidR="00246677" w:rsidRPr="002E142C" w:rsidRDefault="00246677" w:rsidP="002B25B6">
      <w:pPr>
        <w:pStyle w:val="BodyText2"/>
        <w:tabs>
          <w:tab w:val="left" w:pos="567"/>
        </w:tabs>
        <w:spacing w:after="0" w:line="240" w:lineRule="auto"/>
        <w:jc w:val="both"/>
        <w:rPr>
          <w:rFonts w:ascii="Verdana" w:hAnsi="Verdana"/>
          <w:lang w:val="es-ES"/>
        </w:rPr>
      </w:pPr>
      <w:bookmarkStart w:id="38" w:name="_Ref414013017"/>
    </w:p>
    <w:p w14:paraId="1C3E3B3F" w14:textId="4EDDFD9D" w:rsidR="00246677" w:rsidRPr="002E142C" w:rsidRDefault="00246677" w:rsidP="002B25B6">
      <w:pPr>
        <w:pStyle w:val="BodyText2"/>
        <w:numPr>
          <w:ilvl w:val="0"/>
          <w:numId w:val="3"/>
        </w:numPr>
        <w:tabs>
          <w:tab w:val="left" w:pos="567"/>
        </w:tabs>
        <w:spacing w:after="0" w:line="240" w:lineRule="auto"/>
        <w:jc w:val="both"/>
        <w:rPr>
          <w:rFonts w:ascii="Verdana" w:hAnsi="Verdana"/>
          <w:lang w:val="es-ES"/>
        </w:rPr>
      </w:pPr>
      <w:r w:rsidRPr="002E142C">
        <w:rPr>
          <w:rFonts w:ascii="Verdana" w:hAnsi="Verdana"/>
        </w:rPr>
        <w:t>Como se mencionó</w:t>
      </w:r>
      <w:r w:rsidRPr="002E142C">
        <w:rPr>
          <w:rFonts w:ascii="Verdana" w:hAnsi="Verdana"/>
          <w:i/>
        </w:rPr>
        <w:t xml:space="preserve"> </w:t>
      </w:r>
      <w:r w:rsidR="00CF2ACC" w:rsidRPr="002E142C">
        <w:rPr>
          <w:rFonts w:ascii="Verdana" w:hAnsi="Verdana"/>
        </w:rPr>
        <w:t>anteriormente</w:t>
      </w:r>
      <w:r w:rsidRPr="002E142C">
        <w:rPr>
          <w:rFonts w:ascii="Verdana" w:hAnsi="Verdana"/>
        </w:rPr>
        <w:t>, en el marco de las presentes medidas provisionales, las partes acordaron la implementación de una serie de mecanismos de protección (</w:t>
      </w:r>
      <w:r w:rsidRPr="002E142C">
        <w:rPr>
          <w:rFonts w:ascii="Verdana" w:hAnsi="Verdana"/>
          <w:i/>
        </w:rPr>
        <w:t>supra</w:t>
      </w:r>
      <w:r w:rsidRPr="002E142C">
        <w:rPr>
          <w:rFonts w:ascii="Verdana" w:hAnsi="Verdana"/>
        </w:rPr>
        <w:t xml:space="preserve"> </w:t>
      </w:r>
      <w:r w:rsidR="00AA54E9" w:rsidRPr="002E142C">
        <w:rPr>
          <w:rFonts w:ascii="Verdana" w:hAnsi="Verdana"/>
        </w:rPr>
        <w:t xml:space="preserve">considerando </w:t>
      </w:r>
      <w:r w:rsidR="00DA6FFE" w:rsidRPr="002E142C">
        <w:rPr>
          <w:rFonts w:ascii="Verdana" w:hAnsi="Verdana"/>
        </w:rPr>
        <w:fldChar w:fldCharType="begin"/>
      </w:r>
      <w:r w:rsidR="00DA6FFE" w:rsidRPr="002E142C">
        <w:rPr>
          <w:rFonts w:ascii="Verdana" w:hAnsi="Verdana"/>
        </w:rPr>
        <w:instrText xml:space="preserve"> REF _Ref473285611 \r \h </w:instrText>
      </w:r>
      <w:r w:rsidR="00711E03" w:rsidRPr="002E142C">
        <w:rPr>
          <w:rFonts w:ascii="Verdana" w:hAnsi="Verdana"/>
        </w:rPr>
        <w:instrText xml:space="preserve"> \* MERGEFORMAT </w:instrText>
      </w:r>
      <w:r w:rsidR="00DA6FFE" w:rsidRPr="002E142C">
        <w:rPr>
          <w:rFonts w:ascii="Verdana" w:hAnsi="Verdana"/>
        </w:rPr>
      </w:r>
      <w:r w:rsidR="00DA6FFE" w:rsidRPr="002E142C">
        <w:rPr>
          <w:rFonts w:ascii="Verdana" w:hAnsi="Verdana"/>
        </w:rPr>
        <w:fldChar w:fldCharType="separate"/>
      </w:r>
      <w:r w:rsidR="00961213">
        <w:rPr>
          <w:rFonts w:ascii="Verdana" w:hAnsi="Verdana"/>
        </w:rPr>
        <w:t>30</w:t>
      </w:r>
      <w:r w:rsidR="00DA6FFE" w:rsidRPr="002E142C">
        <w:rPr>
          <w:rFonts w:ascii="Verdana" w:hAnsi="Verdana"/>
        </w:rPr>
        <w:fldChar w:fldCharType="end"/>
      </w:r>
      <w:r w:rsidRPr="002E142C">
        <w:rPr>
          <w:rFonts w:ascii="Verdana" w:hAnsi="Verdana"/>
        </w:rPr>
        <w:t xml:space="preserve">). La Corte valora las medidas hasta ahora adoptadas para garantizar la vida y la integridad de los beneficiarios, así como toma nota de los esfuerzos realizados para lograr </w:t>
      </w:r>
      <w:r w:rsidR="00DA6FFE" w:rsidRPr="002E142C">
        <w:rPr>
          <w:rFonts w:ascii="Verdana" w:hAnsi="Verdana"/>
        </w:rPr>
        <w:t xml:space="preserve">la </w:t>
      </w:r>
      <w:r w:rsidRPr="002E142C">
        <w:rPr>
          <w:rFonts w:ascii="Verdana" w:hAnsi="Verdana"/>
        </w:rPr>
        <w:t xml:space="preserve">implementación </w:t>
      </w:r>
      <w:r w:rsidR="002F4957" w:rsidRPr="002E142C">
        <w:rPr>
          <w:rFonts w:ascii="Verdana" w:hAnsi="Verdana"/>
        </w:rPr>
        <w:t>efectiva de las mismas</w:t>
      </w:r>
      <w:r w:rsidRPr="002E142C">
        <w:rPr>
          <w:rFonts w:ascii="Verdana" w:hAnsi="Verdana"/>
        </w:rPr>
        <w:t xml:space="preserve">. </w:t>
      </w:r>
    </w:p>
    <w:p w14:paraId="1A739636" w14:textId="77777777" w:rsidR="00246677" w:rsidRPr="002E142C" w:rsidRDefault="00246677" w:rsidP="002B25B6">
      <w:pPr>
        <w:pStyle w:val="BodyText2"/>
        <w:tabs>
          <w:tab w:val="left" w:pos="567"/>
        </w:tabs>
        <w:spacing w:after="0" w:line="240" w:lineRule="auto"/>
        <w:jc w:val="both"/>
        <w:rPr>
          <w:rFonts w:ascii="Verdana" w:hAnsi="Verdana"/>
          <w:lang w:val="es-ES"/>
        </w:rPr>
      </w:pPr>
    </w:p>
    <w:p w14:paraId="59374E9F" w14:textId="3E37F5D6" w:rsidR="00C26A6E" w:rsidRPr="002E142C" w:rsidRDefault="00246677" w:rsidP="002B25B6">
      <w:pPr>
        <w:pStyle w:val="BodyText2"/>
        <w:numPr>
          <w:ilvl w:val="0"/>
          <w:numId w:val="3"/>
        </w:numPr>
        <w:tabs>
          <w:tab w:val="left" w:pos="567"/>
        </w:tabs>
        <w:spacing w:after="0" w:line="240" w:lineRule="auto"/>
        <w:jc w:val="both"/>
        <w:rPr>
          <w:rFonts w:ascii="Verdana" w:hAnsi="Verdana"/>
          <w:lang w:val="es-ES"/>
        </w:rPr>
      </w:pPr>
      <w:bookmarkStart w:id="39" w:name="_Ref472955926"/>
      <w:bookmarkStart w:id="40" w:name="_Ref308998841"/>
      <w:r w:rsidRPr="002E142C">
        <w:rPr>
          <w:rFonts w:ascii="Verdana" w:hAnsi="Verdana"/>
          <w:lang w:val="es-ES"/>
        </w:rPr>
        <w:t>Respecto de las medidas de infraestructura de seguridad, este Tribunal</w:t>
      </w:r>
      <w:r w:rsidRPr="002E142C">
        <w:rPr>
          <w:rFonts w:ascii="Verdana" w:hAnsi="Verdana"/>
        </w:rPr>
        <w:t xml:space="preserve"> </w:t>
      </w:r>
      <w:r w:rsidR="00CD5599" w:rsidRPr="002E142C">
        <w:rPr>
          <w:rFonts w:ascii="Verdana" w:hAnsi="Verdana"/>
        </w:rPr>
        <w:t>ha recibido información coincidente de las partes en cuanto a</w:t>
      </w:r>
      <w:r w:rsidRPr="002E142C">
        <w:rPr>
          <w:rFonts w:ascii="Verdana" w:hAnsi="Verdana"/>
        </w:rPr>
        <w:t xml:space="preserve"> que el Estado instaló</w:t>
      </w:r>
      <w:r w:rsidRPr="002E142C">
        <w:rPr>
          <w:rFonts w:ascii="Verdana" w:hAnsi="Verdana"/>
          <w:lang w:val="es-ES"/>
        </w:rPr>
        <w:t xml:space="preserve"> </w:t>
      </w:r>
      <w:r w:rsidR="0058582D" w:rsidRPr="002E142C">
        <w:rPr>
          <w:rFonts w:ascii="Verdana" w:hAnsi="Verdana"/>
          <w:lang w:val="es-ES"/>
        </w:rPr>
        <w:t xml:space="preserve">una </w:t>
      </w:r>
      <w:r w:rsidRPr="002E142C">
        <w:rPr>
          <w:rFonts w:ascii="Verdana" w:hAnsi="Verdana"/>
          <w:lang w:val="es-ES"/>
        </w:rPr>
        <w:t xml:space="preserve">malla ciclónica y alambre de navajas en el domicilio de Abel Barrera. </w:t>
      </w:r>
      <w:bookmarkStart w:id="41" w:name="_Ref472588891"/>
      <w:r w:rsidRPr="002E142C">
        <w:rPr>
          <w:rFonts w:ascii="Verdana" w:hAnsi="Verdana"/>
          <w:lang w:val="es-ES"/>
        </w:rPr>
        <w:t xml:space="preserve">No obstante, el Tribunal </w:t>
      </w:r>
      <w:r w:rsidR="00DA6FFE" w:rsidRPr="002E142C">
        <w:rPr>
          <w:rFonts w:ascii="Verdana" w:hAnsi="Verdana"/>
          <w:lang w:val="es-ES"/>
        </w:rPr>
        <w:t xml:space="preserve">ha recibido </w:t>
      </w:r>
      <w:r w:rsidR="0058582D" w:rsidRPr="002E142C">
        <w:rPr>
          <w:rFonts w:ascii="Verdana" w:hAnsi="Verdana"/>
          <w:lang w:val="es-ES"/>
        </w:rPr>
        <w:t xml:space="preserve">información contradictoria en cuanto a la instalación de estas medidas de protección </w:t>
      </w:r>
      <w:r w:rsidRPr="002E142C">
        <w:rPr>
          <w:rFonts w:ascii="Verdana" w:hAnsi="Verdana"/>
          <w:lang w:val="es-ES"/>
        </w:rPr>
        <w:t>en el domicilio de Inés Fernández</w:t>
      </w:r>
      <w:r w:rsidR="00DA6FFE" w:rsidRPr="002E142C">
        <w:rPr>
          <w:rFonts w:ascii="Verdana" w:hAnsi="Verdana"/>
          <w:lang w:val="es-ES"/>
        </w:rPr>
        <w:t xml:space="preserve"> Ortega</w:t>
      </w:r>
      <w:r w:rsidR="0058582D" w:rsidRPr="002E142C">
        <w:rPr>
          <w:rFonts w:ascii="Verdana" w:hAnsi="Verdana"/>
          <w:lang w:val="es-ES"/>
        </w:rPr>
        <w:t xml:space="preserve">, así como </w:t>
      </w:r>
      <w:r w:rsidR="00DA6FFE" w:rsidRPr="002E142C">
        <w:rPr>
          <w:rFonts w:ascii="Verdana" w:hAnsi="Verdana"/>
          <w:lang w:val="es-ES"/>
        </w:rPr>
        <w:t xml:space="preserve">respecto al adecuado funcionamiento de </w:t>
      </w:r>
      <w:r w:rsidRPr="002E142C">
        <w:rPr>
          <w:rFonts w:ascii="Verdana" w:hAnsi="Verdana"/>
          <w:lang w:val="es-ES"/>
        </w:rPr>
        <w:t>los sistemas de seguridad</w:t>
      </w:r>
      <w:r w:rsidR="00C26A6E" w:rsidRPr="002E142C">
        <w:rPr>
          <w:rFonts w:ascii="Verdana" w:hAnsi="Verdana"/>
          <w:lang w:val="es-ES"/>
        </w:rPr>
        <w:t xml:space="preserve"> (</w:t>
      </w:r>
      <w:r w:rsidR="00C26A6E" w:rsidRPr="002E142C">
        <w:rPr>
          <w:rFonts w:ascii="Verdana" w:hAnsi="Verdana"/>
          <w:i/>
          <w:lang w:val="es-ES"/>
        </w:rPr>
        <w:t>supra</w:t>
      </w:r>
      <w:r w:rsidR="00C26A6E" w:rsidRPr="002E142C">
        <w:rPr>
          <w:rFonts w:ascii="Verdana" w:hAnsi="Verdana"/>
          <w:lang w:val="es-ES"/>
        </w:rPr>
        <w:t xml:space="preserve"> </w:t>
      </w:r>
      <w:r w:rsidR="00AA54E9" w:rsidRPr="002E142C">
        <w:rPr>
          <w:rFonts w:ascii="Verdana" w:hAnsi="Verdana"/>
          <w:lang w:val="es-ES"/>
        </w:rPr>
        <w:t xml:space="preserve">considerandos </w:t>
      </w:r>
      <w:r w:rsidR="00C26A6E" w:rsidRPr="002E142C">
        <w:rPr>
          <w:rFonts w:ascii="Verdana" w:hAnsi="Verdana"/>
          <w:lang w:val="es-ES"/>
        </w:rPr>
        <w:fldChar w:fldCharType="begin"/>
      </w:r>
      <w:r w:rsidR="00C26A6E" w:rsidRPr="002E142C">
        <w:rPr>
          <w:rFonts w:ascii="Verdana" w:hAnsi="Verdana"/>
          <w:lang w:val="es-ES"/>
        </w:rPr>
        <w:instrText xml:space="preserve"> REF _Ref444073525 \r \h </w:instrText>
      </w:r>
      <w:r w:rsidR="00711E03" w:rsidRPr="002E142C">
        <w:rPr>
          <w:rFonts w:ascii="Verdana" w:hAnsi="Verdana"/>
          <w:lang w:val="es-ES"/>
        </w:rPr>
        <w:instrText xml:space="preserve"> \* MERGEFORMAT </w:instrText>
      </w:r>
      <w:r w:rsidR="00C26A6E" w:rsidRPr="002E142C">
        <w:rPr>
          <w:rFonts w:ascii="Verdana" w:hAnsi="Verdana"/>
          <w:lang w:val="es-ES"/>
        </w:rPr>
      </w:r>
      <w:r w:rsidR="00C26A6E" w:rsidRPr="002E142C">
        <w:rPr>
          <w:rFonts w:ascii="Verdana" w:hAnsi="Verdana"/>
          <w:lang w:val="es-ES"/>
        </w:rPr>
        <w:fldChar w:fldCharType="separate"/>
      </w:r>
      <w:r w:rsidR="00961213">
        <w:rPr>
          <w:rFonts w:ascii="Verdana" w:hAnsi="Verdana"/>
          <w:lang w:val="es-ES"/>
        </w:rPr>
        <w:t>32</w:t>
      </w:r>
      <w:r w:rsidR="00C26A6E" w:rsidRPr="002E142C">
        <w:rPr>
          <w:rFonts w:ascii="Verdana" w:hAnsi="Verdana"/>
          <w:lang w:val="es-ES"/>
        </w:rPr>
        <w:fldChar w:fldCharType="end"/>
      </w:r>
      <w:r w:rsidR="00C26A6E" w:rsidRPr="002E142C">
        <w:rPr>
          <w:rFonts w:ascii="Verdana" w:hAnsi="Verdana"/>
          <w:lang w:val="es-ES"/>
        </w:rPr>
        <w:t xml:space="preserve"> y </w:t>
      </w:r>
      <w:r w:rsidR="00C26A6E" w:rsidRPr="002E142C">
        <w:rPr>
          <w:rFonts w:ascii="Verdana" w:hAnsi="Verdana"/>
          <w:lang w:val="es-ES"/>
        </w:rPr>
        <w:fldChar w:fldCharType="begin"/>
      </w:r>
      <w:r w:rsidR="00C26A6E" w:rsidRPr="002E142C">
        <w:rPr>
          <w:rFonts w:ascii="Verdana" w:hAnsi="Verdana"/>
          <w:lang w:val="es-ES"/>
        </w:rPr>
        <w:instrText xml:space="preserve"> REF _Ref473287632 \r \h </w:instrText>
      </w:r>
      <w:r w:rsidR="00711E03" w:rsidRPr="002E142C">
        <w:rPr>
          <w:rFonts w:ascii="Verdana" w:hAnsi="Verdana"/>
          <w:lang w:val="es-ES"/>
        </w:rPr>
        <w:instrText xml:space="preserve"> \* MERGEFORMAT </w:instrText>
      </w:r>
      <w:r w:rsidR="00C26A6E" w:rsidRPr="002E142C">
        <w:rPr>
          <w:rFonts w:ascii="Verdana" w:hAnsi="Verdana"/>
          <w:lang w:val="es-ES"/>
        </w:rPr>
      </w:r>
      <w:r w:rsidR="00C26A6E" w:rsidRPr="002E142C">
        <w:rPr>
          <w:rFonts w:ascii="Verdana" w:hAnsi="Verdana"/>
          <w:lang w:val="es-ES"/>
        </w:rPr>
        <w:fldChar w:fldCharType="separate"/>
      </w:r>
      <w:r w:rsidR="00961213">
        <w:rPr>
          <w:rFonts w:ascii="Verdana" w:hAnsi="Verdana"/>
          <w:lang w:val="es-ES"/>
        </w:rPr>
        <w:t>33</w:t>
      </w:r>
      <w:r w:rsidR="00C26A6E" w:rsidRPr="002E142C">
        <w:rPr>
          <w:rFonts w:ascii="Verdana" w:hAnsi="Verdana"/>
          <w:lang w:val="es-ES"/>
        </w:rPr>
        <w:fldChar w:fldCharType="end"/>
      </w:r>
      <w:r w:rsidR="00C26A6E" w:rsidRPr="002E142C">
        <w:rPr>
          <w:rFonts w:ascii="Verdana" w:hAnsi="Verdana"/>
          <w:lang w:val="es-ES"/>
        </w:rPr>
        <w:t>)</w:t>
      </w:r>
      <w:r w:rsidRPr="002E142C">
        <w:rPr>
          <w:rFonts w:ascii="Verdana" w:hAnsi="Verdana"/>
          <w:lang w:val="es-ES"/>
        </w:rPr>
        <w:t xml:space="preserve">. </w:t>
      </w:r>
      <w:bookmarkStart w:id="42" w:name="_Ref472588895"/>
      <w:r w:rsidR="004155BD" w:rsidRPr="002E142C">
        <w:rPr>
          <w:rFonts w:ascii="Verdana" w:hAnsi="Verdana"/>
          <w:lang w:val="es-ES"/>
        </w:rPr>
        <w:t>Referente a los sistemas de comunicación, la Corte constata</w:t>
      </w:r>
      <w:r w:rsidR="00CD5599" w:rsidRPr="002E142C">
        <w:rPr>
          <w:rFonts w:ascii="Verdana" w:hAnsi="Verdana"/>
          <w:lang w:val="es-ES"/>
        </w:rPr>
        <w:t>, con base en la información remitida por las partes,</w:t>
      </w:r>
      <w:r w:rsidR="004155BD" w:rsidRPr="002E142C">
        <w:rPr>
          <w:rFonts w:ascii="Verdana" w:hAnsi="Verdana"/>
          <w:lang w:val="es-ES"/>
        </w:rPr>
        <w:t xml:space="preserve"> que el teléfono satelital de la señora Fernández fue reparado y remitido a la beneficiaria en junio 2016. Asimismo, el Tribunal toma nota de las limitaciones referidas por el Estado respecto de los teléfonos satelitales, pero recuerda que, ante a las necesidades reportadas por los representantes en casos de emergencias, el Estado se comprometió a presentar alternativas al teléfono satelital móvil</w:t>
      </w:r>
      <w:r w:rsidR="004155BD" w:rsidRPr="002E142C">
        <w:rPr>
          <w:rStyle w:val="FootnoteReference"/>
          <w:sz w:val="20"/>
        </w:rPr>
        <w:footnoteReference w:id="48"/>
      </w:r>
      <w:r w:rsidR="004155BD" w:rsidRPr="002E142C">
        <w:rPr>
          <w:rFonts w:ascii="Verdana" w:hAnsi="Verdana"/>
          <w:lang w:val="es-ES"/>
        </w:rPr>
        <w:t xml:space="preserve">. </w:t>
      </w:r>
      <w:bookmarkStart w:id="43" w:name="_Ref472588896"/>
      <w:r w:rsidR="004155BD" w:rsidRPr="002E142C">
        <w:rPr>
          <w:rFonts w:ascii="Verdana" w:hAnsi="Verdana"/>
          <w:lang w:val="es-ES"/>
        </w:rPr>
        <w:t xml:space="preserve">Respecto de los rondines y acompañamiento policíacos, la Corte </w:t>
      </w:r>
      <w:r w:rsidR="00C26A6E" w:rsidRPr="002E142C">
        <w:rPr>
          <w:rFonts w:ascii="Verdana" w:hAnsi="Verdana"/>
          <w:lang w:val="es-ES"/>
        </w:rPr>
        <w:t xml:space="preserve">valora que </w:t>
      </w:r>
      <w:r w:rsidR="004155BD" w:rsidRPr="002E142C">
        <w:rPr>
          <w:rFonts w:ascii="Verdana" w:hAnsi="Verdana"/>
          <w:lang w:val="es-ES"/>
        </w:rPr>
        <w:t xml:space="preserve">el Estado se </w:t>
      </w:r>
      <w:r w:rsidR="00C26A6E" w:rsidRPr="002E142C">
        <w:rPr>
          <w:rFonts w:ascii="Verdana" w:hAnsi="Verdana"/>
          <w:lang w:val="es-ES"/>
        </w:rPr>
        <w:t xml:space="preserve">haya </w:t>
      </w:r>
      <w:r w:rsidR="004155BD" w:rsidRPr="002E142C">
        <w:rPr>
          <w:rFonts w:ascii="Verdana" w:hAnsi="Verdana"/>
          <w:lang w:val="es-ES"/>
        </w:rPr>
        <w:t>comprometi</w:t>
      </w:r>
      <w:r w:rsidR="00C26A6E" w:rsidRPr="002E142C">
        <w:rPr>
          <w:rFonts w:ascii="Verdana" w:hAnsi="Verdana"/>
          <w:lang w:val="es-ES"/>
        </w:rPr>
        <w:t>do</w:t>
      </w:r>
      <w:r w:rsidR="004155BD" w:rsidRPr="002E142C">
        <w:rPr>
          <w:rFonts w:ascii="Verdana" w:hAnsi="Verdana"/>
          <w:lang w:val="es-ES"/>
        </w:rPr>
        <w:t xml:space="preserve"> a </w:t>
      </w:r>
      <w:r w:rsidR="00C26A6E" w:rsidRPr="002E142C">
        <w:rPr>
          <w:rFonts w:ascii="Verdana" w:hAnsi="Verdana"/>
          <w:lang w:val="es-ES"/>
        </w:rPr>
        <w:t xml:space="preserve">adoptar </w:t>
      </w:r>
      <w:r w:rsidR="004155BD" w:rsidRPr="002E142C">
        <w:rPr>
          <w:rFonts w:ascii="Verdana" w:hAnsi="Verdana"/>
          <w:lang w:val="es-ES"/>
        </w:rPr>
        <w:t xml:space="preserve">las acciones necesarias </w:t>
      </w:r>
      <w:r w:rsidR="00C26A6E" w:rsidRPr="002E142C">
        <w:rPr>
          <w:rFonts w:ascii="Verdana" w:hAnsi="Verdana"/>
          <w:lang w:val="es-ES"/>
        </w:rPr>
        <w:t>para mejorar la regularidad del servicio, pero resalta que ha recibido información contradictoria en cuanto a su periodicidad e implementación efectiva (</w:t>
      </w:r>
      <w:r w:rsidR="00C26A6E" w:rsidRPr="002E142C">
        <w:rPr>
          <w:rFonts w:ascii="Verdana" w:hAnsi="Verdana"/>
          <w:i/>
          <w:lang w:val="es-ES"/>
        </w:rPr>
        <w:t>supra</w:t>
      </w:r>
      <w:r w:rsidR="00C26A6E" w:rsidRPr="002E142C">
        <w:rPr>
          <w:rFonts w:ascii="Verdana" w:hAnsi="Verdana"/>
          <w:lang w:val="es-ES"/>
        </w:rPr>
        <w:t xml:space="preserve"> </w:t>
      </w:r>
      <w:r w:rsidR="00AA54E9" w:rsidRPr="002E142C">
        <w:rPr>
          <w:rFonts w:ascii="Verdana" w:hAnsi="Verdana"/>
          <w:lang w:val="es-ES"/>
        </w:rPr>
        <w:t xml:space="preserve">considerandos </w:t>
      </w:r>
      <w:r w:rsidR="00C26A6E" w:rsidRPr="002E142C">
        <w:rPr>
          <w:rFonts w:ascii="Verdana" w:hAnsi="Verdana"/>
          <w:lang w:val="es-ES"/>
        </w:rPr>
        <w:fldChar w:fldCharType="begin"/>
      </w:r>
      <w:r w:rsidR="00C26A6E" w:rsidRPr="002E142C">
        <w:rPr>
          <w:rFonts w:ascii="Verdana" w:hAnsi="Verdana"/>
          <w:lang w:val="es-ES"/>
        </w:rPr>
        <w:instrText xml:space="preserve"> REF _Ref444073525 \r \h </w:instrText>
      </w:r>
      <w:r w:rsidR="00711E03" w:rsidRPr="002E142C">
        <w:rPr>
          <w:rFonts w:ascii="Verdana" w:hAnsi="Verdana"/>
          <w:lang w:val="es-ES"/>
        </w:rPr>
        <w:instrText xml:space="preserve"> \* MERGEFORMAT </w:instrText>
      </w:r>
      <w:r w:rsidR="00C26A6E" w:rsidRPr="002E142C">
        <w:rPr>
          <w:rFonts w:ascii="Verdana" w:hAnsi="Verdana"/>
          <w:lang w:val="es-ES"/>
        </w:rPr>
      </w:r>
      <w:r w:rsidR="00C26A6E" w:rsidRPr="002E142C">
        <w:rPr>
          <w:rFonts w:ascii="Verdana" w:hAnsi="Verdana"/>
          <w:lang w:val="es-ES"/>
        </w:rPr>
        <w:fldChar w:fldCharType="separate"/>
      </w:r>
      <w:r w:rsidR="00961213">
        <w:rPr>
          <w:rFonts w:ascii="Verdana" w:hAnsi="Verdana"/>
          <w:lang w:val="es-ES"/>
        </w:rPr>
        <w:t>32</w:t>
      </w:r>
      <w:r w:rsidR="00C26A6E" w:rsidRPr="002E142C">
        <w:rPr>
          <w:rFonts w:ascii="Verdana" w:hAnsi="Verdana"/>
          <w:lang w:val="es-ES"/>
        </w:rPr>
        <w:fldChar w:fldCharType="end"/>
      </w:r>
      <w:r w:rsidR="00C26A6E" w:rsidRPr="002E142C">
        <w:rPr>
          <w:rFonts w:ascii="Verdana" w:hAnsi="Verdana"/>
          <w:lang w:val="es-ES"/>
        </w:rPr>
        <w:t xml:space="preserve"> y </w:t>
      </w:r>
      <w:r w:rsidR="00C26A6E" w:rsidRPr="002E142C">
        <w:rPr>
          <w:rFonts w:ascii="Verdana" w:hAnsi="Verdana"/>
          <w:lang w:val="es-ES"/>
        </w:rPr>
        <w:fldChar w:fldCharType="begin"/>
      </w:r>
      <w:r w:rsidR="00C26A6E" w:rsidRPr="002E142C">
        <w:rPr>
          <w:rFonts w:ascii="Verdana" w:hAnsi="Verdana"/>
          <w:lang w:val="es-ES"/>
        </w:rPr>
        <w:instrText xml:space="preserve"> REF _Ref473287632 \r \h </w:instrText>
      </w:r>
      <w:r w:rsidR="00711E03" w:rsidRPr="002E142C">
        <w:rPr>
          <w:rFonts w:ascii="Verdana" w:hAnsi="Verdana"/>
          <w:lang w:val="es-ES"/>
        </w:rPr>
        <w:instrText xml:space="preserve"> \* MERGEFORMAT </w:instrText>
      </w:r>
      <w:r w:rsidR="00C26A6E" w:rsidRPr="002E142C">
        <w:rPr>
          <w:rFonts w:ascii="Verdana" w:hAnsi="Verdana"/>
          <w:lang w:val="es-ES"/>
        </w:rPr>
      </w:r>
      <w:r w:rsidR="00C26A6E" w:rsidRPr="002E142C">
        <w:rPr>
          <w:rFonts w:ascii="Verdana" w:hAnsi="Verdana"/>
          <w:lang w:val="es-ES"/>
        </w:rPr>
        <w:fldChar w:fldCharType="separate"/>
      </w:r>
      <w:r w:rsidR="00961213">
        <w:rPr>
          <w:rFonts w:ascii="Verdana" w:hAnsi="Verdana"/>
          <w:lang w:val="es-ES"/>
        </w:rPr>
        <w:t>33</w:t>
      </w:r>
      <w:r w:rsidR="00C26A6E" w:rsidRPr="002E142C">
        <w:rPr>
          <w:rFonts w:ascii="Verdana" w:hAnsi="Verdana"/>
          <w:lang w:val="es-ES"/>
        </w:rPr>
        <w:fldChar w:fldCharType="end"/>
      </w:r>
      <w:r w:rsidR="00C26A6E" w:rsidRPr="002E142C">
        <w:rPr>
          <w:rFonts w:ascii="Verdana" w:hAnsi="Verdana"/>
          <w:lang w:val="es-ES"/>
        </w:rPr>
        <w:t xml:space="preserve">). </w:t>
      </w:r>
    </w:p>
    <w:p w14:paraId="799FA6E8" w14:textId="77777777" w:rsidR="00C26A6E" w:rsidRPr="002E142C" w:rsidRDefault="00C26A6E" w:rsidP="002B25B6">
      <w:pPr>
        <w:pStyle w:val="BodyText2"/>
        <w:tabs>
          <w:tab w:val="left" w:pos="567"/>
        </w:tabs>
        <w:spacing w:after="0" w:line="240" w:lineRule="auto"/>
        <w:jc w:val="both"/>
        <w:rPr>
          <w:rFonts w:ascii="Verdana" w:hAnsi="Verdana"/>
          <w:lang w:val="es-ES"/>
        </w:rPr>
      </w:pPr>
    </w:p>
    <w:p w14:paraId="7C28A3E3" w14:textId="4D201743" w:rsidR="004155BD" w:rsidRPr="002E142C" w:rsidRDefault="00C26A6E" w:rsidP="002B25B6">
      <w:pPr>
        <w:pStyle w:val="BodyText2"/>
        <w:numPr>
          <w:ilvl w:val="0"/>
          <w:numId w:val="3"/>
        </w:numPr>
        <w:tabs>
          <w:tab w:val="left" w:pos="567"/>
        </w:tabs>
        <w:spacing w:after="0" w:line="240" w:lineRule="auto"/>
        <w:jc w:val="both"/>
        <w:rPr>
          <w:rFonts w:ascii="Verdana" w:hAnsi="Verdana"/>
          <w:lang w:val="es-ES"/>
        </w:rPr>
      </w:pPr>
      <w:bookmarkStart w:id="44" w:name="_Ref473289836"/>
      <w:r w:rsidRPr="002E142C">
        <w:rPr>
          <w:rFonts w:ascii="Verdana" w:hAnsi="Verdana"/>
          <w:lang w:val="es-ES"/>
        </w:rPr>
        <w:t xml:space="preserve">En virtud de las consideraciones anteriores, este Tribunal estima pertinente que, </w:t>
      </w:r>
      <w:r w:rsidR="004155BD" w:rsidRPr="002E142C">
        <w:rPr>
          <w:rFonts w:ascii="Verdana" w:hAnsi="Verdana"/>
          <w:lang w:val="es-ES"/>
        </w:rPr>
        <w:t>en su próximo informe</w:t>
      </w:r>
      <w:r w:rsidRPr="002E142C">
        <w:rPr>
          <w:rFonts w:ascii="Verdana" w:hAnsi="Verdana"/>
          <w:lang w:val="es-ES"/>
        </w:rPr>
        <w:t>, el Estado</w:t>
      </w:r>
      <w:r w:rsidR="00957B1D">
        <w:rPr>
          <w:rFonts w:ascii="Verdana" w:hAnsi="Verdana"/>
          <w:lang w:val="es-ES"/>
        </w:rPr>
        <w:t>:</w:t>
      </w:r>
      <w:r w:rsidR="004155BD" w:rsidRPr="002E142C">
        <w:rPr>
          <w:rFonts w:ascii="Verdana" w:hAnsi="Verdana"/>
          <w:lang w:val="es-ES"/>
        </w:rPr>
        <w:t xml:space="preserve"> </w:t>
      </w:r>
      <w:r w:rsidR="00B70F69" w:rsidRPr="002E142C">
        <w:rPr>
          <w:rFonts w:ascii="Verdana" w:hAnsi="Verdana"/>
          <w:lang w:val="es-ES"/>
        </w:rPr>
        <w:t xml:space="preserve">a) </w:t>
      </w:r>
      <w:r w:rsidR="004155BD" w:rsidRPr="002E142C">
        <w:rPr>
          <w:rFonts w:ascii="Verdana" w:hAnsi="Verdana"/>
        </w:rPr>
        <w:t xml:space="preserve">remita información detallada, actualizada y completa sobre </w:t>
      </w:r>
      <w:r w:rsidRPr="002E142C">
        <w:rPr>
          <w:rFonts w:ascii="Verdana" w:hAnsi="Verdana"/>
        </w:rPr>
        <w:t xml:space="preserve">el estado de funcionamiento de las medidas de infraestructura instaladas, tanto en el domicilio de Abel Barrera como de Inés Fernández Ortega, </w:t>
      </w:r>
      <w:r w:rsidR="002F4957" w:rsidRPr="002E142C">
        <w:rPr>
          <w:rFonts w:ascii="Verdana" w:hAnsi="Verdana"/>
        </w:rPr>
        <w:t>de los equipos de comunicación otorgados a los beneficiarios</w:t>
      </w:r>
      <w:r w:rsidR="00B70F69" w:rsidRPr="002E142C">
        <w:rPr>
          <w:rFonts w:ascii="Verdana" w:hAnsi="Verdana"/>
        </w:rPr>
        <w:t xml:space="preserve"> y de los rondines y acompañamientos a los beneficiarios (incluyendo su periodicidad, horas y formas de implementación), así como que b) </w:t>
      </w:r>
      <w:r w:rsidRPr="002E142C">
        <w:rPr>
          <w:rFonts w:ascii="Verdana" w:hAnsi="Verdana"/>
        </w:rPr>
        <w:t xml:space="preserve">responda a los </w:t>
      </w:r>
      <w:r w:rsidR="002F4957" w:rsidRPr="002E142C">
        <w:rPr>
          <w:rFonts w:ascii="Verdana" w:hAnsi="Verdana"/>
        </w:rPr>
        <w:t xml:space="preserve">solicitudes de los representantes para la implementación de </w:t>
      </w:r>
      <w:r w:rsidR="00B70F69" w:rsidRPr="002E142C">
        <w:rPr>
          <w:rFonts w:ascii="Verdana" w:hAnsi="Verdana"/>
        </w:rPr>
        <w:t>otras medidas</w:t>
      </w:r>
      <w:r w:rsidR="002F4957" w:rsidRPr="002E142C">
        <w:rPr>
          <w:rFonts w:ascii="Verdana" w:hAnsi="Verdana"/>
        </w:rPr>
        <w:t xml:space="preserve"> </w:t>
      </w:r>
      <w:r w:rsidR="00957B1D">
        <w:rPr>
          <w:rFonts w:ascii="Verdana" w:hAnsi="Verdana"/>
        </w:rPr>
        <w:t>y dé</w:t>
      </w:r>
      <w:r w:rsidR="00B70F69" w:rsidRPr="002E142C">
        <w:rPr>
          <w:rFonts w:ascii="Verdana" w:hAnsi="Verdana"/>
        </w:rPr>
        <w:t xml:space="preserve"> </w:t>
      </w:r>
      <w:r w:rsidR="002F4957" w:rsidRPr="002E142C">
        <w:rPr>
          <w:rFonts w:ascii="Verdana" w:hAnsi="Verdana"/>
        </w:rPr>
        <w:t>una alternativa a los teléfonos satelitales</w:t>
      </w:r>
      <w:r w:rsidR="00B70F69" w:rsidRPr="002E142C">
        <w:rPr>
          <w:rFonts w:ascii="Verdana" w:hAnsi="Verdana"/>
        </w:rPr>
        <w:t>, para las instancias en que, por limitaciones tecnológicas, estos no cubran las necesidades de los beneficiarios.</w:t>
      </w:r>
      <w:bookmarkEnd w:id="44"/>
      <w:r w:rsidR="00B70F69" w:rsidRPr="002E142C">
        <w:rPr>
          <w:rFonts w:ascii="Verdana" w:hAnsi="Verdana"/>
        </w:rPr>
        <w:t xml:space="preserve"> </w:t>
      </w:r>
      <w:bookmarkEnd w:id="43"/>
    </w:p>
    <w:bookmarkEnd w:id="39"/>
    <w:bookmarkEnd w:id="40"/>
    <w:bookmarkEnd w:id="41"/>
    <w:bookmarkEnd w:id="42"/>
    <w:p w14:paraId="347C566F" w14:textId="77777777" w:rsidR="00246677" w:rsidRPr="002E142C" w:rsidRDefault="00246677" w:rsidP="002B25B6">
      <w:pPr>
        <w:pStyle w:val="BodyText2"/>
        <w:tabs>
          <w:tab w:val="left" w:pos="567"/>
        </w:tabs>
        <w:spacing w:after="0" w:line="240" w:lineRule="auto"/>
        <w:jc w:val="both"/>
        <w:rPr>
          <w:rFonts w:ascii="Verdana" w:hAnsi="Verdana"/>
          <w:b/>
        </w:rPr>
      </w:pPr>
    </w:p>
    <w:p w14:paraId="210CB286" w14:textId="4CB7D29E" w:rsidR="00246677" w:rsidRPr="002E142C" w:rsidRDefault="00246677" w:rsidP="002B25B6">
      <w:pPr>
        <w:pStyle w:val="BodyText2"/>
        <w:numPr>
          <w:ilvl w:val="0"/>
          <w:numId w:val="3"/>
        </w:numPr>
        <w:tabs>
          <w:tab w:val="left" w:pos="567"/>
        </w:tabs>
        <w:spacing w:after="0" w:line="240" w:lineRule="auto"/>
        <w:jc w:val="both"/>
        <w:rPr>
          <w:rFonts w:ascii="Verdana" w:hAnsi="Verdana"/>
        </w:rPr>
      </w:pPr>
      <w:bookmarkStart w:id="45" w:name="_Ref308998927"/>
      <w:r w:rsidRPr="002E142C">
        <w:rPr>
          <w:rFonts w:ascii="Verdana" w:hAnsi="Verdana"/>
        </w:rPr>
        <w:t>Por último, este Tribunal valora la celebración de reuniones entre el Estado y los beneficiarios, a efectos de lograr acuerdos para la implementación de las medidas.</w:t>
      </w:r>
      <w:bookmarkStart w:id="46" w:name="_Ref416266678"/>
      <w:r w:rsidRPr="002E142C">
        <w:rPr>
          <w:rFonts w:ascii="Verdana" w:hAnsi="Verdana"/>
        </w:rPr>
        <w:t xml:space="preserve"> Por tanto, la Corte solicita a los representantes y al Estado que le mantengan informada de cualquier reunión que celebren, así como que remitan información actualizada sobre los avances que de ellas se deriven.</w:t>
      </w:r>
      <w:bookmarkEnd w:id="45"/>
      <w:bookmarkEnd w:id="46"/>
    </w:p>
    <w:bookmarkEnd w:id="38"/>
    <w:p w14:paraId="45E7270E" w14:textId="77777777" w:rsidR="00F671F8" w:rsidRPr="002E142C" w:rsidRDefault="00F671F8" w:rsidP="002E142C">
      <w:pPr>
        <w:tabs>
          <w:tab w:val="left" w:pos="567"/>
        </w:tabs>
        <w:spacing w:before="60" w:line="220" w:lineRule="atLeast"/>
        <w:ind w:right="22"/>
        <w:jc w:val="both"/>
        <w:rPr>
          <w:color w:val="00B050"/>
          <w:lang w:val="es-ES"/>
        </w:rPr>
      </w:pPr>
    </w:p>
    <w:p w14:paraId="15F8B5A7" w14:textId="77777777" w:rsidR="0084409A" w:rsidRPr="002E142C" w:rsidRDefault="0084409A" w:rsidP="002E142C">
      <w:pPr>
        <w:widowControl w:val="0"/>
        <w:tabs>
          <w:tab w:val="left" w:pos="567"/>
        </w:tabs>
        <w:autoSpaceDE w:val="0"/>
        <w:autoSpaceDN w:val="0"/>
        <w:adjustRightInd w:val="0"/>
        <w:spacing w:before="60"/>
        <w:jc w:val="both"/>
        <w:rPr>
          <w:rFonts w:cs="Verdana"/>
          <w:b/>
          <w:lang w:val="es-ES"/>
        </w:rPr>
      </w:pPr>
      <w:r w:rsidRPr="002E142C">
        <w:rPr>
          <w:rFonts w:cs="Verdana"/>
          <w:b/>
          <w:lang w:val="es-ES"/>
        </w:rPr>
        <w:t>POR TANTO:</w:t>
      </w:r>
    </w:p>
    <w:p w14:paraId="41C1E29F" w14:textId="77777777" w:rsidR="0015738E" w:rsidRPr="002E142C" w:rsidRDefault="0015738E" w:rsidP="002E142C">
      <w:pPr>
        <w:widowControl w:val="0"/>
        <w:tabs>
          <w:tab w:val="left" w:pos="567"/>
        </w:tabs>
        <w:autoSpaceDE w:val="0"/>
        <w:autoSpaceDN w:val="0"/>
        <w:adjustRightInd w:val="0"/>
        <w:spacing w:before="60"/>
        <w:jc w:val="both"/>
        <w:rPr>
          <w:rFonts w:cs="Verdana"/>
          <w:b/>
          <w:lang w:val="es-ES"/>
        </w:rPr>
      </w:pPr>
    </w:p>
    <w:p w14:paraId="51BE56E6" w14:textId="263FA489" w:rsidR="00D72D13" w:rsidRPr="002E142C" w:rsidRDefault="0084409A" w:rsidP="002E142C">
      <w:pPr>
        <w:widowControl w:val="0"/>
        <w:tabs>
          <w:tab w:val="left" w:pos="567"/>
        </w:tabs>
        <w:autoSpaceDE w:val="0"/>
        <w:autoSpaceDN w:val="0"/>
        <w:adjustRightInd w:val="0"/>
        <w:spacing w:before="60"/>
        <w:jc w:val="both"/>
        <w:rPr>
          <w:rFonts w:cs="Verdana"/>
          <w:b/>
          <w:lang w:val="es-ES"/>
        </w:rPr>
      </w:pPr>
      <w:r w:rsidRPr="002E142C">
        <w:rPr>
          <w:rFonts w:cs="Verdana"/>
          <w:b/>
          <w:lang w:val="es-ES"/>
        </w:rPr>
        <w:t>LA CORTE INTERAMERIC</w:t>
      </w:r>
      <w:r w:rsidR="00EA577B" w:rsidRPr="002E142C">
        <w:rPr>
          <w:rFonts w:cs="Verdana"/>
          <w:b/>
          <w:lang w:val="es-ES"/>
        </w:rPr>
        <w:t xml:space="preserve">ANA DE DERECHOS HUMANOS, </w:t>
      </w:r>
    </w:p>
    <w:p w14:paraId="76720728" w14:textId="0E188701" w:rsidR="00D72D13" w:rsidRPr="002E142C" w:rsidRDefault="00D72D13" w:rsidP="002E142C">
      <w:pPr>
        <w:widowControl w:val="0"/>
        <w:tabs>
          <w:tab w:val="left" w:pos="567"/>
        </w:tabs>
        <w:autoSpaceDE w:val="0"/>
        <w:autoSpaceDN w:val="0"/>
        <w:adjustRightInd w:val="0"/>
        <w:spacing w:before="60"/>
        <w:jc w:val="both"/>
        <w:rPr>
          <w:rFonts w:cs="Verdana"/>
          <w:b/>
          <w:lang w:val="es-ES"/>
        </w:rPr>
      </w:pPr>
      <w:r w:rsidRPr="002E142C">
        <w:rPr>
          <w:rFonts w:cs="Verdana"/>
          <w:b/>
          <w:lang w:val="es-ES"/>
        </w:rPr>
        <w:t xml:space="preserve"> </w:t>
      </w:r>
    </w:p>
    <w:p w14:paraId="3E6368B0" w14:textId="77777777" w:rsidR="0084409A" w:rsidRPr="002E142C" w:rsidRDefault="0084409A" w:rsidP="002B25B6">
      <w:pPr>
        <w:widowControl w:val="0"/>
        <w:tabs>
          <w:tab w:val="left" w:pos="567"/>
        </w:tabs>
        <w:autoSpaceDE w:val="0"/>
        <w:autoSpaceDN w:val="0"/>
        <w:adjustRightInd w:val="0"/>
        <w:jc w:val="both"/>
        <w:rPr>
          <w:rFonts w:cs="Times"/>
          <w:lang w:val="es-ES"/>
        </w:rPr>
      </w:pPr>
      <w:r w:rsidRPr="002E142C">
        <w:rPr>
          <w:rFonts w:cs="Verdana"/>
          <w:lang w:val="es-ES"/>
        </w:rPr>
        <w:t>en uso de sus atribuciones conferidas por el artículo 63.2 de la Convención Americana sobre Derechos Humanos y los artículos 27 y 31 del Reglamento de la Corte,</w:t>
      </w:r>
    </w:p>
    <w:p w14:paraId="06B3F950" w14:textId="77777777" w:rsidR="0084409A" w:rsidRPr="002E142C" w:rsidRDefault="0084409A" w:rsidP="00957B1D">
      <w:pPr>
        <w:tabs>
          <w:tab w:val="left" w:pos="567"/>
        </w:tabs>
        <w:spacing w:before="120" w:after="120"/>
        <w:ind w:right="386"/>
        <w:jc w:val="both"/>
        <w:rPr>
          <w:b/>
          <w:lang w:val="es-ES"/>
        </w:rPr>
      </w:pPr>
    </w:p>
    <w:p w14:paraId="41702F94" w14:textId="77777777" w:rsidR="0084409A" w:rsidRPr="002E142C" w:rsidRDefault="0084409A" w:rsidP="002B25B6">
      <w:pPr>
        <w:tabs>
          <w:tab w:val="left" w:pos="567"/>
        </w:tabs>
        <w:ind w:right="386"/>
        <w:jc w:val="both"/>
        <w:rPr>
          <w:b/>
        </w:rPr>
      </w:pPr>
      <w:r w:rsidRPr="002E142C">
        <w:rPr>
          <w:b/>
        </w:rPr>
        <w:lastRenderedPageBreak/>
        <w:t xml:space="preserve">RESUELVE: </w:t>
      </w:r>
    </w:p>
    <w:p w14:paraId="07DE1F7B" w14:textId="77777777" w:rsidR="0084409A" w:rsidRPr="002E142C" w:rsidRDefault="0084409A" w:rsidP="002E142C">
      <w:pPr>
        <w:widowControl w:val="0"/>
        <w:tabs>
          <w:tab w:val="left" w:pos="567"/>
        </w:tabs>
        <w:autoSpaceDE w:val="0"/>
        <w:autoSpaceDN w:val="0"/>
        <w:adjustRightInd w:val="0"/>
        <w:spacing w:before="20" w:after="20"/>
        <w:jc w:val="both"/>
        <w:rPr>
          <w:rFonts w:cs="Verdana"/>
          <w:lang w:val="es-ES"/>
        </w:rPr>
      </w:pPr>
    </w:p>
    <w:p w14:paraId="3D449E41" w14:textId="4CBECD7C" w:rsidR="009B6346" w:rsidRPr="002E142C" w:rsidRDefault="009B6346" w:rsidP="002E142C">
      <w:pPr>
        <w:numPr>
          <w:ilvl w:val="0"/>
          <w:numId w:val="2"/>
        </w:numPr>
        <w:tabs>
          <w:tab w:val="left" w:pos="567"/>
        </w:tabs>
        <w:spacing w:before="20" w:after="20"/>
        <w:ind w:right="-6"/>
        <w:jc w:val="both"/>
      </w:pPr>
      <w:r w:rsidRPr="002E142C">
        <w:t xml:space="preserve">Levantar las medidas provisionales ordenadas a favor </w:t>
      </w:r>
      <w:r w:rsidR="00975253" w:rsidRPr="002E142C">
        <w:rPr>
          <w:rFonts w:eastAsia="Times"/>
          <w:lang w:eastAsia="es-ES"/>
        </w:rPr>
        <w:t>Natalio Ortega Cru</w:t>
      </w:r>
      <w:r w:rsidR="00925239" w:rsidRPr="002E142C">
        <w:rPr>
          <w:rFonts w:eastAsia="Times"/>
          <w:lang w:eastAsia="es-ES"/>
        </w:rPr>
        <w:t xml:space="preserve">z, en razón de su fallecimiento, </w:t>
      </w:r>
      <w:r w:rsidR="00925239" w:rsidRPr="002E142C">
        <w:t xml:space="preserve">de conformidad con lo establecido en el Considerando </w:t>
      </w:r>
      <w:r w:rsidR="00FE0A18" w:rsidRPr="002E142C">
        <w:fldChar w:fldCharType="begin"/>
      </w:r>
      <w:r w:rsidR="00FE0A18" w:rsidRPr="002E142C">
        <w:instrText xml:space="preserve"> REF _Ref473561252 \r \h </w:instrText>
      </w:r>
      <w:r w:rsidR="00260C4F" w:rsidRPr="002E142C">
        <w:instrText xml:space="preserve"> \* MERGEFORMAT </w:instrText>
      </w:r>
      <w:r w:rsidR="00FE0A18" w:rsidRPr="002E142C">
        <w:fldChar w:fldCharType="separate"/>
      </w:r>
      <w:r w:rsidR="00961213">
        <w:t>22</w:t>
      </w:r>
      <w:r w:rsidR="00FE0A18" w:rsidRPr="002E142C">
        <w:fldChar w:fldCharType="end"/>
      </w:r>
      <w:r w:rsidR="00925239" w:rsidRPr="002E142C">
        <w:t xml:space="preserve"> de esta Resolución.</w:t>
      </w:r>
    </w:p>
    <w:p w14:paraId="155E360D" w14:textId="77777777" w:rsidR="00C4448F" w:rsidRPr="002E142C" w:rsidRDefault="00C4448F" w:rsidP="002E142C">
      <w:pPr>
        <w:tabs>
          <w:tab w:val="left" w:pos="567"/>
        </w:tabs>
        <w:spacing w:before="20" w:after="20"/>
        <w:ind w:right="-6"/>
        <w:jc w:val="both"/>
      </w:pPr>
    </w:p>
    <w:p w14:paraId="7F9B3C6E" w14:textId="6A0B305E" w:rsidR="00C4448F" w:rsidRPr="002E142C" w:rsidRDefault="00C4448F" w:rsidP="002E142C">
      <w:pPr>
        <w:numPr>
          <w:ilvl w:val="0"/>
          <w:numId w:val="2"/>
        </w:numPr>
        <w:tabs>
          <w:tab w:val="left" w:pos="567"/>
        </w:tabs>
        <w:spacing w:before="20" w:after="20"/>
        <w:ind w:right="-6"/>
        <w:jc w:val="both"/>
      </w:pPr>
      <w:r w:rsidRPr="002E142C">
        <w:t xml:space="preserve">Levantar las </w:t>
      </w:r>
      <w:r w:rsidR="00925239" w:rsidRPr="002E142C">
        <w:t xml:space="preserve">medidas provisionales ordenadas a favor de </w:t>
      </w:r>
      <w:r w:rsidRPr="002E142C">
        <w:t xml:space="preserve">Alejandro Ramos Gallegos, </w:t>
      </w:r>
      <w:proofErr w:type="spellStart"/>
      <w:r w:rsidRPr="002E142C">
        <w:t>Eulogia</w:t>
      </w:r>
      <w:proofErr w:type="spellEnd"/>
      <w:r w:rsidRPr="002E142C">
        <w:t xml:space="preserve"> Flores Vázquez, Gabino Santiago Jiménez, Juan</w:t>
      </w:r>
      <w:r w:rsidR="00925239" w:rsidRPr="002E142C">
        <w:t xml:space="preserve"> </w:t>
      </w:r>
      <w:r w:rsidRPr="002E142C">
        <w:t xml:space="preserve">Castro </w:t>
      </w:r>
      <w:proofErr w:type="spellStart"/>
      <w:r w:rsidRPr="002E142C">
        <w:t>Castro</w:t>
      </w:r>
      <w:proofErr w:type="spellEnd"/>
      <w:r w:rsidRPr="002E142C">
        <w:t xml:space="preserve">, Margarita </w:t>
      </w:r>
      <w:proofErr w:type="spellStart"/>
      <w:r w:rsidRPr="002E142C">
        <w:t>Nemecio</w:t>
      </w:r>
      <w:proofErr w:type="spellEnd"/>
      <w:r w:rsidRPr="002E142C">
        <w:t xml:space="preserve"> Nemesio, Matilde Pérez Romero, Odilia Alatorre</w:t>
      </w:r>
      <w:r w:rsidR="00925239" w:rsidRPr="002E142C">
        <w:t xml:space="preserve"> </w:t>
      </w:r>
      <w:r w:rsidRPr="002E142C">
        <w:t>Villav</w:t>
      </w:r>
      <w:r w:rsidR="00925239" w:rsidRPr="002E142C">
        <w:t>icencio</w:t>
      </w:r>
      <w:r w:rsidR="00AA54E9" w:rsidRPr="002E142C">
        <w:t xml:space="preserve"> y</w:t>
      </w:r>
      <w:r w:rsidR="00925239" w:rsidRPr="002E142C">
        <w:t xml:space="preserve"> Roberto Gamboa Vázquez, de conformidad con lo establecido en el Considerando </w:t>
      </w:r>
      <w:r w:rsidR="00FE0A18" w:rsidRPr="002E142C">
        <w:fldChar w:fldCharType="begin"/>
      </w:r>
      <w:r w:rsidR="00FE0A18" w:rsidRPr="002E142C">
        <w:instrText xml:space="preserve"> REF _Ref473561287 \r \h </w:instrText>
      </w:r>
      <w:r w:rsidR="00260C4F" w:rsidRPr="002E142C">
        <w:instrText xml:space="preserve"> \* MERGEFORMAT </w:instrText>
      </w:r>
      <w:r w:rsidR="00FE0A18" w:rsidRPr="002E142C">
        <w:fldChar w:fldCharType="separate"/>
      </w:r>
      <w:r w:rsidR="00961213">
        <w:t>23</w:t>
      </w:r>
      <w:r w:rsidR="00FE0A18" w:rsidRPr="002E142C">
        <w:fldChar w:fldCharType="end"/>
      </w:r>
      <w:r w:rsidR="00925239" w:rsidRPr="002E142C">
        <w:t xml:space="preserve"> de esta Resolución.</w:t>
      </w:r>
    </w:p>
    <w:p w14:paraId="28424B5C" w14:textId="77777777" w:rsidR="001B0BC7" w:rsidRPr="002E142C" w:rsidRDefault="001B0BC7" w:rsidP="002E142C">
      <w:pPr>
        <w:tabs>
          <w:tab w:val="left" w:pos="567"/>
        </w:tabs>
        <w:spacing w:before="20" w:after="20"/>
        <w:ind w:right="-6"/>
        <w:jc w:val="both"/>
        <w:rPr>
          <w:u w:val="single"/>
        </w:rPr>
      </w:pPr>
    </w:p>
    <w:p w14:paraId="6F6A5592" w14:textId="40A8D68A" w:rsidR="00FA18C4" w:rsidRPr="002E142C" w:rsidRDefault="00FA18C4" w:rsidP="002E142C">
      <w:pPr>
        <w:numPr>
          <w:ilvl w:val="0"/>
          <w:numId w:val="2"/>
        </w:numPr>
        <w:tabs>
          <w:tab w:val="left" w:pos="567"/>
        </w:tabs>
        <w:spacing w:before="20" w:after="20"/>
        <w:ind w:right="-6"/>
        <w:jc w:val="both"/>
        <w:rPr>
          <w:u w:val="single"/>
        </w:rPr>
      </w:pPr>
      <w:r w:rsidRPr="002E142C">
        <w:t>Mantener las medidas provisionales ordenadas a favor de</w:t>
      </w:r>
      <w:r w:rsidR="00F722AD" w:rsidRPr="002E142C">
        <w:t xml:space="preserve">: </w:t>
      </w:r>
      <w:r w:rsidR="001B0BC7" w:rsidRPr="002E142C">
        <w:rPr>
          <w:szCs w:val="16"/>
        </w:rPr>
        <w:t xml:space="preserve">a) </w:t>
      </w:r>
      <w:r w:rsidR="00D72D13" w:rsidRPr="002E142C">
        <w:t>Inés Fernández Ortega y sus familiares;</w:t>
      </w:r>
      <w:r w:rsidR="00D72D13" w:rsidRPr="002E142C">
        <w:rPr>
          <w:szCs w:val="16"/>
        </w:rPr>
        <w:t xml:space="preserve"> b) </w:t>
      </w:r>
      <w:proofErr w:type="spellStart"/>
      <w:r w:rsidR="001B0BC7" w:rsidRPr="002E142C">
        <w:rPr>
          <w:szCs w:val="16"/>
        </w:rPr>
        <w:t>Obtilia</w:t>
      </w:r>
      <w:proofErr w:type="spellEnd"/>
      <w:r w:rsidR="001B0BC7" w:rsidRPr="002E142C">
        <w:rPr>
          <w:szCs w:val="16"/>
        </w:rPr>
        <w:t xml:space="preserve"> Eugenio Manuel y sus familiares; </w:t>
      </w:r>
      <w:r w:rsidR="00D72D13" w:rsidRPr="002E142C">
        <w:rPr>
          <w:szCs w:val="16"/>
        </w:rPr>
        <w:t>c</w:t>
      </w:r>
      <w:r w:rsidR="001B0BC7" w:rsidRPr="002E142C">
        <w:rPr>
          <w:szCs w:val="16"/>
        </w:rPr>
        <w:t xml:space="preserve">) </w:t>
      </w:r>
      <w:r w:rsidR="00925239" w:rsidRPr="002E142C">
        <w:rPr>
          <w:szCs w:val="16"/>
          <w:lang w:val="es-CL"/>
        </w:rPr>
        <w:t>40</w:t>
      </w:r>
      <w:r w:rsidR="001B0BC7" w:rsidRPr="002E142C">
        <w:rPr>
          <w:szCs w:val="16"/>
          <w:lang w:val="es-CL"/>
        </w:rPr>
        <w:t xml:space="preserve"> integrantes de la </w:t>
      </w:r>
      <w:r w:rsidR="001B0BC7" w:rsidRPr="002E142C">
        <w:rPr>
          <w:szCs w:val="16"/>
          <w:lang w:val="es-ES"/>
        </w:rPr>
        <w:t xml:space="preserve">Organización del Pueblo Indígena </w:t>
      </w:r>
      <w:proofErr w:type="spellStart"/>
      <w:r w:rsidR="001B0BC7" w:rsidRPr="002E142C">
        <w:rPr>
          <w:szCs w:val="16"/>
          <w:lang w:val="es-ES"/>
        </w:rPr>
        <w:t>Tlapaneco</w:t>
      </w:r>
      <w:proofErr w:type="spellEnd"/>
      <w:r w:rsidR="001B0BC7" w:rsidRPr="002E142C">
        <w:rPr>
          <w:szCs w:val="16"/>
          <w:lang w:val="es-ES"/>
        </w:rPr>
        <w:t xml:space="preserve"> A.C., </w:t>
      </w:r>
      <w:r w:rsidR="001B0BC7" w:rsidRPr="002E142C">
        <w:t xml:space="preserve">y </w:t>
      </w:r>
      <w:r w:rsidR="00D72D13" w:rsidRPr="002E142C">
        <w:t>d</w:t>
      </w:r>
      <w:r w:rsidR="001B0BC7" w:rsidRPr="002E142C">
        <w:t xml:space="preserve">) </w:t>
      </w:r>
      <w:r w:rsidR="001B0BC7" w:rsidRPr="002E142C">
        <w:rPr>
          <w:szCs w:val="16"/>
          <w:lang w:val="es-CL"/>
        </w:rPr>
        <w:t>1</w:t>
      </w:r>
      <w:r w:rsidR="00541458" w:rsidRPr="002E142C">
        <w:rPr>
          <w:szCs w:val="16"/>
          <w:lang w:val="es-CL"/>
        </w:rPr>
        <w:t>0</w:t>
      </w:r>
      <w:r w:rsidR="001B0BC7" w:rsidRPr="002E142C">
        <w:rPr>
          <w:szCs w:val="16"/>
          <w:lang w:val="es-CL"/>
        </w:rPr>
        <w:t xml:space="preserve"> miembros de</w:t>
      </w:r>
      <w:r w:rsidR="001B0BC7" w:rsidRPr="002E142C">
        <w:rPr>
          <w:szCs w:val="16"/>
          <w:lang w:val="es-ES"/>
        </w:rPr>
        <w:t xml:space="preserve">l </w:t>
      </w:r>
      <w:r w:rsidR="001B0BC7" w:rsidRPr="002E142C">
        <w:t xml:space="preserve">Centro de Derechos Humanos de la Montaña </w:t>
      </w:r>
      <w:proofErr w:type="spellStart"/>
      <w:r w:rsidR="001B0BC7" w:rsidRPr="002E142C">
        <w:t>Tlachinollan</w:t>
      </w:r>
      <w:proofErr w:type="spellEnd"/>
      <w:r w:rsidR="00957B1D">
        <w:t>,</w:t>
      </w:r>
      <w:r w:rsidR="001B0BC7" w:rsidRPr="002E142C">
        <w:t xml:space="preserve"> señalados en el Considerando </w:t>
      </w:r>
      <w:r w:rsidR="00AA54E9" w:rsidRPr="002E142C">
        <w:fldChar w:fldCharType="begin"/>
      </w:r>
      <w:r w:rsidR="00AA54E9" w:rsidRPr="002E142C">
        <w:instrText xml:space="preserve"> REF _Ref475710554 \r \h </w:instrText>
      </w:r>
      <w:r w:rsidR="002E142C">
        <w:instrText xml:space="preserve"> \* MERGEFORMAT </w:instrText>
      </w:r>
      <w:r w:rsidR="00AA54E9" w:rsidRPr="002E142C">
        <w:fldChar w:fldCharType="separate"/>
      </w:r>
      <w:r w:rsidR="00961213">
        <w:t>29</w:t>
      </w:r>
      <w:r w:rsidR="00AA54E9" w:rsidRPr="002E142C">
        <w:fldChar w:fldCharType="end"/>
      </w:r>
      <w:r w:rsidR="001B0BC7" w:rsidRPr="002E142C">
        <w:t xml:space="preserve"> de </w:t>
      </w:r>
      <w:r w:rsidR="001165DE" w:rsidRPr="002E142C">
        <w:t xml:space="preserve">esta </w:t>
      </w:r>
      <w:r w:rsidR="001B0BC7" w:rsidRPr="002E142C">
        <w:t>Resolución</w:t>
      </w:r>
      <w:r w:rsidR="00957B1D">
        <w:t>,</w:t>
      </w:r>
      <w:r w:rsidR="001B0BC7" w:rsidRPr="002E142C">
        <w:t xml:space="preserve"> </w:t>
      </w:r>
      <w:r w:rsidRPr="002E142C">
        <w:t>por un p</w:t>
      </w:r>
      <w:r w:rsidR="001963A9" w:rsidRPr="002E142C">
        <w:t>eríodo adicional que vence el</w:t>
      </w:r>
      <w:r w:rsidR="001B0BC7" w:rsidRPr="002E142C">
        <w:t xml:space="preserve"> </w:t>
      </w:r>
      <w:r w:rsidR="00B70F69" w:rsidRPr="002E142C">
        <w:t>29</w:t>
      </w:r>
      <w:r w:rsidR="001B0BC7" w:rsidRPr="002E142C">
        <w:t xml:space="preserve"> de </w:t>
      </w:r>
      <w:r w:rsidR="00B70F69" w:rsidRPr="002E142C">
        <w:t xml:space="preserve">septiembre </w:t>
      </w:r>
      <w:r w:rsidR="001B0BC7" w:rsidRPr="002E142C">
        <w:t>de 2017</w:t>
      </w:r>
      <w:r w:rsidRPr="002E142C">
        <w:t>, por lo cual se requiere al Estado continuar adoptando las medidas que sean necesarias para proteger su vida e integridad personal, tomando en consideración la situación y las circunstancias particulares del caso.</w:t>
      </w:r>
      <w:r w:rsidRPr="002E142C">
        <w:rPr>
          <w:u w:val="single"/>
        </w:rPr>
        <w:t xml:space="preserve"> </w:t>
      </w:r>
    </w:p>
    <w:p w14:paraId="4118D2F8" w14:textId="77777777" w:rsidR="00065105" w:rsidRPr="002E142C" w:rsidRDefault="00065105" w:rsidP="002E142C">
      <w:pPr>
        <w:tabs>
          <w:tab w:val="left" w:pos="567"/>
        </w:tabs>
        <w:spacing w:before="20" w:after="20"/>
        <w:ind w:right="-6"/>
        <w:jc w:val="both"/>
        <w:rPr>
          <w:u w:val="single"/>
        </w:rPr>
      </w:pPr>
    </w:p>
    <w:p w14:paraId="70623B33" w14:textId="03C0DC7C" w:rsidR="00946143" w:rsidRPr="002E142C" w:rsidRDefault="0084409A" w:rsidP="002E142C">
      <w:pPr>
        <w:numPr>
          <w:ilvl w:val="0"/>
          <w:numId w:val="2"/>
        </w:numPr>
        <w:tabs>
          <w:tab w:val="left" w:pos="567"/>
        </w:tabs>
        <w:spacing w:before="20" w:after="20"/>
        <w:ind w:right="-6"/>
        <w:jc w:val="both"/>
        <w:rPr>
          <w:color w:val="FF0000"/>
          <w:u w:val="single"/>
        </w:rPr>
      </w:pPr>
      <w:r w:rsidRPr="002E142C">
        <w:rPr>
          <w:lang w:val="es-MX"/>
        </w:rPr>
        <w:t xml:space="preserve">Reiterar al Estado que realice todas las gestiones pertinentes para que las medidas ordenadas en </w:t>
      </w:r>
      <w:r w:rsidR="00027712" w:rsidRPr="002E142C">
        <w:rPr>
          <w:lang w:val="es-MX"/>
        </w:rPr>
        <w:t>esta</w:t>
      </w:r>
      <w:r w:rsidRPr="002E142C">
        <w:rPr>
          <w:lang w:val="es-MX"/>
        </w:rPr>
        <w:t xml:space="preserve"> Resolución se planifiquen e implementen con la participación de </w:t>
      </w:r>
      <w:r w:rsidR="007D08A5" w:rsidRPr="002E142C">
        <w:rPr>
          <w:lang w:val="es-MX"/>
        </w:rPr>
        <w:t xml:space="preserve">los beneficiarios </w:t>
      </w:r>
      <w:r w:rsidRPr="002E142C">
        <w:rPr>
          <w:lang w:val="es-MX"/>
        </w:rPr>
        <w:t>o sus representantes y que, en general, les mantenga informados sobre el avance de su ejecución</w:t>
      </w:r>
      <w:r w:rsidRPr="002E142C">
        <w:rPr>
          <w:color w:val="FF0000"/>
          <w:lang w:val="es-MX"/>
        </w:rPr>
        <w:t>.</w:t>
      </w:r>
    </w:p>
    <w:p w14:paraId="0385FBD5" w14:textId="77777777" w:rsidR="00946143" w:rsidRPr="002E142C" w:rsidRDefault="00946143" w:rsidP="002E142C">
      <w:pPr>
        <w:tabs>
          <w:tab w:val="left" w:pos="567"/>
        </w:tabs>
        <w:spacing w:before="20" w:after="20"/>
        <w:ind w:right="-6"/>
        <w:jc w:val="both"/>
        <w:rPr>
          <w:color w:val="FF0000"/>
          <w:u w:val="single"/>
        </w:rPr>
      </w:pPr>
    </w:p>
    <w:p w14:paraId="4B972128" w14:textId="0CB9E58A" w:rsidR="00193626" w:rsidRPr="002E142C" w:rsidRDefault="007D6754" w:rsidP="002E142C">
      <w:pPr>
        <w:numPr>
          <w:ilvl w:val="0"/>
          <w:numId w:val="2"/>
        </w:numPr>
        <w:tabs>
          <w:tab w:val="left" w:pos="567"/>
        </w:tabs>
        <w:spacing w:before="20" w:after="20"/>
        <w:ind w:right="-6"/>
        <w:jc w:val="both"/>
        <w:rPr>
          <w:u w:val="single"/>
        </w:rPr>
      </w:pPr>
      <w:r w:rsidRPr="002E142C">
        <w:rPr>
          <w:lang w:val="es-MX"/>
        </w:rPr>
        <w:t>Requerir al Estado que</w:t>
      </w:r>
      <w:r w:rsidR="00E75467" w:rsidRPr="002E142C">
        <w:rPr>
          <w:lang w:val="es-MX"/>
        </w:rPr>
        <w:t xml:space="preserve">, a más tardar el </w:t>
      </w:r>
      <w:r w:rsidR="00F66129">
        <w:rPr>
          <w:lang w:val="es-MX"/>
        </w:rPr>
        <w:t>7</w:t>
      </w:r>
      <w:r w:rsidR="007E3B89" w:rsidRPr="002E142C">
        <w:rPr>
          <w:lang w:val="es-MX"/>
        </w:rPr>
        <w:t xml:space="preserve"> de </w:t>
      </w:r>
      <w:r w:rsidR="00F66129">
        <w:rPr>
          <w:lang w:val="es-MX"/>
        </w:rPr>
        <w:t xml:space="preserve">junio </w:t>
      </w:r>
      <w:r w:rsidR="00946143" w:rsidRPr="002E142C">
        <w:rPr>
          <w:lang w:val="es-MX"/>
        </w:rPr>
        <w:t xml:space="preserve">de </w:t>
      </w:r>
      <w:r w:rsidR="00E75467" w:rsidRPr="002E142C">
        <w:rPr>
          <w:lang w:val="es-MX"/>
        </w:rPr>
        <w:t>2017</w:t>
      </w:r>
      <w:r w:rsidR="00946143" w:rsidRPr="002E142C">
        <w:rPr>
          <w:lang w:val="es-MX"/>
        </w:rPr>
        <w:t xml:space="preserve">, </w:t>
      </w:r>
      <w:r w:rsidR="00946143" w:rsidRPr="002E142C">
        <w:t>presente un informe detallado</w:t>
      </w:r>
      <w:r w:rsidR="00753EDE" w:rsidRPr="002E142C">
        <w:t xml:space="preserve"> </w:t>
      </w:r>
      <w:r w:rsidR="00B712B7" w:rsidRPr="002E142C">
        <w:t xml:space="preserve">al que acompañe un análisis comprensivo y técnico </w:t>
      </w:r>
      <w:r w:rsidR="00753EDE" w:rsidRPr="002E142C">
        <w:t xml:space="preserve">sobre la situación </w:t>
      </w:r>
      <w:r w:rsidR="00B712B7" w:rsidRPr="002E142C">
        <w:t xml:space="preserve">de riesgo </w:t>
      </w:r>
      <w:r w:rsidR="00753EDE" w:rsidRPr="002E142C">
        <w:t xml:space="preserve">actual de </w:t>
      </w:r>
      <w:r w:rsidR="00B712B7" w:rsidRPr="002E142C">
        <w:t xml:space="preserve">cada uno de </w:t>
      </w:r>
      <w:r w:rsidR="00753EDE" w:rsidRPr="002E142C">
        <w:t>lo</w:t>
      </w:r>
      <w:r w:rsidR="00946143" w:rsidRPr="002E142C">
        <w:t>s beneficiari</w:t>
      </w:r>
      <w:r w:rsidR="00A872A6" w:rsidRPr="002E142C">
        <w:t>o</w:t>
      </w:r>
      <w:r w:rsidR="00946143" w:rsidRPr="002E142C">
        <w:t>s, en los términos de</w:t>
      </w:r>
      <w:r w:rsidR="001B0BC7" w:rsidRPr="002E142C">
        <w:t xml:space="preserve"> </w:t>
      </w:r>
      <w:r w:rsidR="00946143" w:rsidRPr="002E142C">
        <w:t>l</w:t>
      </w:r>
      <w:r w:rsidR="001B0BC7" w:rsidRPr="002E142C">
        <w:t>os</w:t>
      </w:r>
      <w:r w:rsidR="00946143" w:rsidRPr="002E142C">
        <w:t xml:space="preserve"> Considerando</w:t>
      </w:r>
      <w:r w:rsidR="001B0BC7" w:rsidRPr="002E142C">
        <w:t>s</w:t>
      </w:r>
      <w:r w:rsidR="00B712B7" w:rsidRPr="002E142C">
        <w:t xml:space="preserve"> </w:t>
      </w:r>
      <w:r w:rsidR="00B712B7" w:rsidRPr="002E142C">
        <w:fldChar w:fldCharType="begin"/>
      </w:r>
      <w:r w:rsidR="00B712B7" w:rsidRPr="002E142C">
        <w:instrText xml:space="preserve"> REF _Ref473644771 \r \h </w:instrText>
      </w:r>
      <w:r w:rsidR="002E142C">
        <w:instrText xml:space="preserve"> \* MERGEFORMAT </w:instrText>
      </w:r>
      <w:r w:rsidR="00B712B7" w:rsidRPr="002E142C">
        <w:fldChar w:fldCharType="separate"/>
      </w:r>
      <w:r w:rsidR="00961213">
        <w:t>21</w:t>
      </w:r>
      <w:r w:rsidR="00B712B7" w:rsidRPr="002E142C">
        <w:fldChar w:fldCharType="end"/>
      </w:r>
      <w:r w:rsidR="00B712B7" w:rsidRPr="002E142C">
        <w:t xml:space="preserve"> y</w:t>
      </w:r>
      <w:r w:rsidR="001B0BC7" w:rsidRPr="002E142C">
        <w:t xml:space="preserve"> </w:t>
      </w:r>
      <w:r w:rsidR="001B0BC7" w:rsidRPr="002E142C">
        <w:fldChar w:fldCharType="begin"/>
      </w:r>
      <w:r w:rsidR="001B0BC7" w:rsidRPr="002E142C">
        <w:instrText xml:space="preserve"> REF _Ref308998975 \r \h </w:instrText>
      </w:r>
      <w:r w:rsidR="00711E03" w:rsidRPr="002E142C">
        <w:instrText xml:space="preserve"> \* MERGEFORMAT </w:instrText>
      </w:r>
      <w:r w:rsidR="001B0BC7" w:rsidRPr="002E142C">
        <w:fldChar w:fldCharType="separate"/>
      </w:r>
      <w:r w:rsidR="00961213">
        <w:t>28</w:t>
      </w:r>
      <w:r w:rsidR="001B0BC7" w:rsidRPr="002E142C">
        <w:fldChar w:fldCharType="end"/>
      </w:r>
      <w:r w:rsidR="001165DE" w:rsidRPr="002E142C">
        <w:t xml:space="preserve"> </w:t>
      </w:r>
      <w:r w:rsidR="00B712B7" w:rsidRPr="002E142C">
        <w:t>de esta Resolución</w:t>
      </w:r>
      <w:r w:rsidR="00957B1D">
        <w:t>,</w:t>
      </w:r>
      <w:r w:rsidR="00B712B7" w:rsidRPr="002E142C">
        <w:t xml:space="preserve"> </w:t>
      </w:r>
      <w:r w:rsidR="001165DE" w:rsidRPr="002E142C">
        <w:t>y</w:t>
      </w:r>
      <w:r w:rsidR="00B712B7" w:rsidRPr="002E142C">
        <w:t xml:space="preserve"> la información solicitada en el Considerando</w:t>
      </w:r>
      <w:r w:rsidR="001165DE" w:rsidRPr="002E142C">
        <w:t xml:space="preserve"> </w:t>
      </w:r>
      <w:r w:rsidR="001165DE" w:rsidRPr="002E142C">
        <w:fldChar w:fldCharType="begin"/>
      </w:r>
      <w:r w:rsidR="001165DE" w:rsidRPr="002E142C">
        <w:instrText xml:space="preserve"> REF _Ref473289836 \r \h </w:instrText>
      </w:r>
      <w:r w:rsidR="00711E03" w:rsidRPr="002E142C">
        <w:instrText xml:space="preserve"> \* MERGEFORMAT </w:instrText>
      </w:r>
      <w:r w:rsidR="001165DE" w:rsidRPr="002E142C">
        <w:fldChar w:fldCharType="separate"/>
      </w:r>
      <w:r w:rsidR="00961213">
        <w:t>37</w:t>
      </w:r>
      <w:r w:rsidR="001165DE" w:rsidRPr="002E142C">
        <w:fldChar w:fldCharType="end"/>
      </w:r>
      <w:r w:rsidR="00946143" w:rsidRPr="002E142C">
        <w:t xml:space="preserve"> de la </w:t>
      </w:r>
      <w:r w:rsidR="00B712B7" w:rsidRPr="002E142C">
        <w:t>misma</w:t>
      </w:r>
      <w:r w:rsidR="00946143" w:rsidRPr="002E142C">
        <w:t xml:space="preserve">. </w:t>
      </w:r>
      <w:r w:rsidR="0049690C" w:rsidRPr="002E142C">
        <w:t xml:space="preserve">Con posterioridad a la presentación de dicho informe, el Estado deberá continuar informando, cada cuatro meses, sobre las medidas provisionales adoptadas de conformidad con esta </w:t>
      </w:r>
      <w:r w:rsidR="00957B1D">
        <w:t>Resolución</w:t>
      </w:r>
      <w:r w:rsidR="0049690C" w:rsidRPr="002E142C">
        <w:t>.</w:t>
      </w:r>
    </w:p>
    <w:p w14:paraId="4A2BC21F" w14:textId="77777777" w:rsidR="00193626" w:rsidRPr="002E142C" w:rsidRDefault="00193626" w:rsidP="002E142C">
      <w:pPr>
        <w:tabs>
          <w:tab w:val="left" w:pos="567"/>
        </w:tabs>
        <w:spacing w:before="20" w:after="20"/>
        <w:ind w:right="-6"/>
        <w:jc w:val="both"/>
        <w:rPr>
          <w:color w:val="FF0000"/>
          <w:u w:val="single"/>
        </w:rPr>
      </w:pPr>
    </w:p>
    <w:p w14:paraId="6BEC6FA4" w14:textId="7877A251" w:rsidR="00193626" w:rsidRPr="002E142C" w:rsidRDefault="00193626" w:rsidP="002E142C">
      <w:pPr>
        <w:numPr>
          <w:ilvl w:val="0"/>
          <w:numId w:val="2"/>
        </w:numPr>
        <w:tabs>
          <w:tab w:val="left" w:pos="567"/>
        </w:tabs>
        <w:spacing w:before="20" w:after="20"/>
        <w:ind w:right="-6"/>
        <w:jc w:val="both"/>
        <w:rPr>
          <w:u w:val="single"/>
        </w:rPr>
      </w:pPr>
      <w:r w:rsidRPr="002E142C">
        <w:rPr>
          <w:rFonts w:eastAsia="Batang"/>
        </w:rPr>
        <w:t xml:space="preserve">Requerir a los representantes de </w:t>
      </w:r>
      <w:r w:rsidR="00010070" w:rsidRPr="002E142C">
        <w:rPr>
          <w:rFonts w:eastAsia="Batang"/>
        </w:rPr>
        <w:t xml:space="preserve">los beneficiarios </w:t>
      </w:r>
      <w:r w:rsidRPr="002E142C">
        <w:rPr>
          <w:rFonts w:eastAsia="Batang"/>
        </w:rPr>
        <w:t>que, en un plazo de cuatro semanas, contado a partir de la recepción de los informes estatales, presenten</w:t>
      </w:r>
      <w:r w:rsidR="001165DE" w:rsidRPr="002E142C">
        <w:rPr>
          <w:rFonts w:eastAsia="Batang"/>
        </w:rPr>
        <w:t xml:space="preserve"> sus observaciones a los mismos</w:t>
      </w:r>
      <w:r w:rsidRPr="002E142C">
        <w:rPr>
          <w:rFonts w:eastAsia="Batang"/>
        </w:rPr>
        <w:t>.</w:t>
      </w:r>
    </w:p>
    <w:p w14:paraId="0D2E48A9" w14:textId="77777777" w:rsidR="00990439" w:rsidRPr="002E142C" w:rsidRDefault="00990439" w:rsidP="002E142C">
      <w:pPr>
        <w:pStyle w:val="ParaAttribute3"/>
        <w:tabs>
          <w:tab w:val="left" w:pos="567"/>
        </w:tabs>
        <w:spacing w:before="20" w:after="20"/>
        <w:rPr>
          <w:rFonts w:ascii="Verdana" w:hAnsi="Verdana" w:cs="Helvetica"/>
          <w:color w:val="FF0000"/>
          <w:lang w:val="es-CR" w:bidi="en-US"/>
        </w:rPr>
      </w:pPr>
    </w:p>
    <w:p w14:paraId="43A62DF9" w14:textId="31B017D2" w:rsidR="003B37C6" w:rsidRPr="002E142C" w:rsidRDefault="00990439" w:rsidP="002E142C">
      <w:pPr>
        <w:pStyle w:val="ColorfulList-Accent11"/>
        <w:numPr>
          <w:ilvl w:val="0"/>
          <w:numId w:val="2"/>
        </w:numPr>
        <w:tabs>
          <w:tab w:val="left" w:pos="567"/>
        </w:tabs>
        <w:spacing w:before="20" w:after="20"/>
        <w:contextualSpacing w:val="0"/>
        <w:jc w:val="both"/>
        <w:rPr>
          <w:lang w:val="es-MX"/>
        </w:rPr>
      </w:pPr>
      <w:r w:rsidRPr="002E142C">
        <w:t xml:space="preserve">Requerir a la Comisión Interamericana de Derechos Humanos que presente las observaciones que estime pertinentes </w:t>
      </w:r>
      <w:r w:rsidR="00F6126B" w:rsidRPr="002E142C">
        <w:t xml:space="preserve">a los informes estatales </w:t>
      </w:r>
      <w:r w:rsidRPr="002E142C">
        <w:t>y a las correspondientes observaciones de los representantes de l</w:t>
      </w:r>
      <w:r w:rsidR="003F71ED" w:rsidRPr="002E142C">
        <w:t>o</w:t>
      </w:r>
      <w:r w:rsidRPr="002E142C">
        <w:t>s beneficiari</w:t>
      </w:r>
      <w:r w:rsidR="003F71ED" w:rsidRPr="002E142C">
        <w:t>o</w:t>
      </w:r>
      <w:r w:rsidRPr="002E142C">
        <w:t xml:space="preserve">s dentro de un plazo de dos semanas, contado a partir de la recepción de las referidas observaciones de los representantes. </w:t>
      </w:r>
    </w:p>
    <w:p w14:paraId="593E743C" w14:textId="77777777" w:rsidR="00990439" w:rsidRPr="002E142C" w:rsidRDefault="00990439" w:rsidP="002E142C">
      <w:pPr>
        <w:pStyle w:val="ColorfulList-Accent11"/>
        <w:tabs>
          <w:tab w:val="left" w:pos="567"/>
        </w:tabs>
        <w:spacing w:before="20" w:after="20"/>
        <w:ind w:left="0"/>
        <w:contextualSpacing w:val="0"/>
        <w:jc w:val="both"/>
        <w:rPr>
          <w:lang w:val="es-MX"/>
        </w:rPr>
      </w:pPr>
    </w:p>
    <w:p w14:paraId="330FEFD0" w14:textId="1F7F5E78" w:rsidR="00820C73" w:rsidRPr="002E142C" w:rsidRDefault="0084409A" w:rsidP="002E142C">
      <w:pPr>
        <w:pStyle w:val="ColorfulList-Accent11"/>
        <w:numPr>
          <w:ilvl w:val="0"/>
          <w:numId w:val="2"/>
        </w:numPr>
        <w:tabs>
          <w:tab w:val="left" w:pos="567"/>
        </w:tabs>
        <w:spacing w:before="20" w:after="20"/>
        <w:contextualSpacing w:val="0"/>
        <w:jc w:val="both"/>
        <w:rPr>
          <w:lang w:val="es-MX"/>
        </w:rPr>
      </w:pPr>
      <w:r w:rsidRPr="002E142C">
        <w:rPr>
          <w:lang w:val="es-MX"/>
        </w:rPr>
        <w:t>Disponer que la Secretaría notifique la presente Resolución al Estado</w:t>
      </w:r>
      <w:r w:rsidR="00E122F3" w:rsidRPr="002E142C">
        <w:rPr>
          <w:lang w:val="es-MX"/>
        </w:rPr>
        <w:t xml:space="preserve"> de México</w:t>
      </w:r>
      <w:r w:rsidRPr="002E142C">
        <w:rPr>
          <w:lang w:val="es-MX"/>
        </w:rPr>
        <w:t>,</w:t>
      </w:r>
      <w:r w:rsidR="00E122F3" w:rsidRPr="002E142C">
        <w:rPr>
          <w:lang w:val="es-MX"/>
        </w:rPr>
        <w:t xml:space="preserve"> a los representantes de l</w:t>
      </w:r>
      <w:r w:rsidR="003F71ED" w:rsidRPr="002E142C">
        <w:rPr>
          <w:lang w:val="es-MX"/>
        </w:rPr>
        <w:t>o</w:t>
      </w:r>
      <w:r w:rsidR="00E122F3" w:rsidRPr="002E142C">
        <w:rPr>
          <w:lang w:val="es-MX"/>
        </w:rPr>
        <w:t>s beneficiari</w:t>
      </w:r>
      <w:r w:rsidR="003F71ED" w:rsidRPr="002E142C">
        <w:rPr>
          <w:lang w:val="es-MX"/>
        </w:rPr>
        <w:t>o</w:t>
      </w:r>
      <w:r w:rsidR="00E122F3" w:rsidRPr="002E142C">
        <w:rPr>
          <w:lang w:val="es-MX"/>
        </w:rPr>
        <w:t>s y</w:t>
      </w:r>
      <w:r w:rsidRPr="002E142C">
        <w:rPr>
          <w:lang w:val="es-MX"/>
        </w:rPr>
        <w:t xml:space="preserve"> a la</w:t>
      </w:r>
      <w:r w:rsidR="003B37C6" w:rsidRPr="002E142C">
        <w:rPr>
          <w:lang w:val="es-MX"/>
        </w:rPr>
        <w:t xml:space="preserve"> </w:t>
      </w:r>
      <w:r w:rsidRPr="002E142C">
        <w:rPr>
          <w:lang w:val="es-MX"/>
        </w:rPr>
        <w:t xml:space="preserve">Comisión Interamericana </w:t>
      </w:r>
      <w:r w:rsidR="00E122F3" w:rsidRPr="002E142C">
        <w:rPr>
          <w:lang w:val="es-MX"/>
        </w:rPr>
        <w:t>de Derechos Humanos</w:t>
      </w:r>
      <w:r w:rsidRPr="002E142C">
        <w:rPr>
          <w:lang w:val="es-MX"/>
        </w:rPr>
        <w:t>.</w:t>
      </w:r>
    </w:p>
    <w:p w14:paraId="5B1B5E96" w14:textId="77777777" w:rsidR="00D165F3" w:rsidRPr="002E142C" w:rsidRDefault="00D165F3" w:rsidP="002E142C">
      <w:pPr>
        <w:pStyle w:val="ColorfulList-Accent11"/>
        <w:tabs>
          <w:tab w:val="left" w:pos="567"/>
        </w:tabs>
        <w:spacing w:before="20" w:after="20"/>
        <w:ind w:left="0"/>
        <w:contextualSpacing w:val="0"/>
        <w:jc w:val="both"/>
        <w:rPr>
          <w:lang w:val="es-MX"/>
        </w:rPr>
      </w:pPr>
    </w:p>
    <w:p w14:paraId="458F1B82" w14:textId="77777777" w:rsidR="00D165F3" w:rsidRPr="002E142C" w:rsidRDefault="00D165F3" w:rsidP="00D165F3">
      <w:pPr>
        <w:pStyle w:val="ColorfulList-Accent11"/>
        <w:tabs>
          <w:tab w:val="left" w:pos="567"/>
        </w:tabs>
        <w:ind w:left="0"/>
        <w:contextualSpacing w:val="0"/>
        <w:jc w:val="both"/>
        <w:rPr>
          <w:lang w:val="es-MX"/>
        </w:rPr>
      </w:pPr>
    </w:p>
    <w:p w14:paraId="4408783C" w14:textId="721D28AF" w:rsidR="00961213" w:rsidRDefault="00D165F3" w:rsidP="00D165F3">
      <w:pPr>
        <w:pStyle w:val="ColorfulList-Accent11"/>
        <w:tabs>
          <w:tab w:val="left" w:pos="567"/>
        </w:tabs>
        <w:ind w:left="0"/>
        <w:contextualSpacing w:val="0"/>
        <w:jc w:val="both"/>
      </w:pPr>
      <w:r w:rsidRPr="002E142C">
        <w:t xml:space="preserve">El Juez Vio Grossi hizo conocer a la Corte su Voto Concurrente, el cual acompaña la presente Resolución. </w:t>
      </w:r>
    </w:p>
    <w:p w14:paraId="113789D9" w14:textId="77777777" w:rsidR="00961213" w:rsidRPr="008C6E98" w:rsidRDefault="00961213" w:rsidP="00961213">
      <w:pPr>
        <w:keepNext/>
        <w:jc w:val="both"/>
        <w:outlineLvl w:val="0"/>
      </w:pPr>
      <w:r>
        <w:br w:type="page"/>
      </w:r>
      <w:r>
        <w:rPr>
          <w:lang w:val="es-ES"/>
        </w:rPr>
        <w:lastRenderedPageBreak/>
        <w:t xml:space="preserve">Corte IDH. </w:t>
      </w:r>
      <w:r w:rsidRPr="0014111E">
        <w:rPr>
          <w:i/>
          <w:lang w:val="es-ES"/>
        </w:rPr>
        <w:t>Caso Fernández Ortega y otro</w:t>
      </w:r>
      <w:r>
        <w:rPr>
          <w:i/>
          <w:lang w:val="es-ES"/>
        </w:rPr>
        <w:t>s</w:t>
      </w:r>
      <w:r w:rsidRPr="0014111E">
        <w:rPr>
          <w:i/>
          <w:lang w:val="es-ES"/>
        </w:rPr>
        <w:t>. Medidas Provisionales respecto de México.</w:t>
      </w:r>
      <w:r>
        <w:rPr>
          <w:lang w:val="es-ES"/>
        </w:rPr>
        <w:t xml:space="preserve"> Resolución de 7 de febrero de 2017.</w:t>
      </w:r>
    </w:p>
    <w:p w14:paraId="1AAFFD03" w14:textId="77777777" w:rsidR="00961213" w:rsidRDefault="00961213" w:rsidP="00961213">
      <w:pPr>
        <w:jc w:val="center"/>
        <w:rPr>
          <w:lang w:val="es-ES"/>
        </w:rPr>
      </w:pPr>
    </w:p>
    <w:p w14:paraId="6C8A11E3" w14:textId="77777777" w:rsidR="00961213" w:rsidRDefault="00961213" w:rsidP="00961213">
      <w:pPr>
        <w:jc w:val="center"/>
        <w:rPr>
          <w:lang w:val="es-ES"/>
        </w:rPr>
      </w:pPr>
    </w:p>
    <w:p w14:paraId="07DD1B58" w14:textId="77777777" w:rsidR="00961213" w:rsidRDefault="00961213" w:rsidP="00961213">
      <w:pPr>
        <w:jc w:val="center"/>
        <w:rPr>
          <w:lang w:val="es-ES"/>
        </w:rPr>
      </w:pPr>
    </w:p>
    <w:p w14:paraId="486EA568" w14:textId="77777777" w:rsidR="00961213" w:rsidRDefault="00961213" w:rsidP="00961213">
      <w:pPr>
        <w:jc w:val="center"/>
        <w:rPr>
          <w:lang w:val="es-ES"/>
        </w:rPr>
      </w:pPr>
    </w:p>
    <w:p w14:paraId="57CC6796" w14:textId="77777777" w:rsidR="00961213" w:rsidRDefault="00961213" w:rsidP="00961213">
      <w:pPr>
        <w:jc w:val="center"/>
        <w:rPr>
          <w:lang w:val="es-ES"/>
        </w:rPr>
      </w:pPr>
    </w:p>
    <w:p w14:paraId="57AED968" w14:textId="77777777" w:rsidR="00961213" w:rsidRPr="004B7A1D" w:rsidRDefault="00961213" w:rsidP="00961213">
      <w:pPr>
        <w:jc w:val="center"/>
        <w:rPr>
          <w:lang w:val="es-ES"/>
        </w:rPr>
      </w:pPr>
      <w:r>
        <w:rPr>
          <w:lang w:val="es-ES"/>
        </w:rPr>
        <w:t>Roberto F. Caldas</w:t>
      </w:r>
    </w:p>
    <w:p w14:paraId="69D7448B" w14:textId="77777777" w:rsidR="00961213" w:rsidRPr="004B7A1D" w:rsidRDefault="00961213" w:rsidP="00961213">
      <w:pPr>
        <w:jc w:val="center"/>
        <w:rPr>
          <w:lang w:val="es-ES"/>
        </w:rPr>
      </w:pPr>
      <w:r w:rsidRPr="004B7A1D">
        <w:rPr>
          <w:lang w:val="es-ES"/>
        </w:rPr>
        <w:t xml:space="preserve">Presidente </w:t>
      </w:r>
    </w:p>
    <w:p w14:paraId="026D7991" w14:textId="77777777" w:rsidR="00961213" w:rsidRPr="004B7A1D" w:rsidRDefault="00961213" w:rsidP="00961213">
      <w:pPr>
        <w:jc w:val="both"/>
        <w:rPr>
          <w:lang w:val="es-ES"/>
        </w:rPr>
      </w:pPr>
    </w:p>
    <w:p w14:paraId="3CDD66D3" w14:textId="77777777" w:rsidR="00961213" w:rsidRPr="004B7A1D" w:rsidRDefault="00961213" w:rsidP="00961213">
      <w:pPr>
        <w:jc w:val="both"/>
        <w:rPr>
          <w:lang w:val="es-ES"/>
        </w:rPr>
      </w:pPr>
    </w:p>
    <w:p w14:paraId="14BE7A82" w14:textId="77777777" w:rsidR="00961213" w:rsidRPr="004B7A1D" w:rsidRDefault="00961213" w:rsidP="00961213">
      <w:pPr>
        <w:jc w:val="both"/>
        <w:rPr>
          <w:lang w:val="es-ES"/>
        </w:rPr>
      </w:pPr>
    </w:p>
    <w:p w14:paraId="6A6E8D23" w14:textId="77777777" w:rsidR="00961213" w:rsidRPr="004B7A1D" w:rsidRDefault="00961213" w:rsidP="00961213">
      <w:pPr>
        <w:jc w:val="both"/>
        <w:rPr>
          <w:lang w:val="es-ES"/>
        </w:rPr>
      </w:pPr>
    </w:p>
    <w:p w14:paraId="2E297599" w14:textId="77777777" w:rsidR="00961213" w:rsidRPr="004B7A1D" w:rsidRDefault="00961213" w:rsidP="00961213">
      <w:pPr>
        <w:jc w:val="both"/>
        <w:rPr>
          <w:lang w:val="es-ES"/>
        </w:rPr>
      </w:pPr>
    </w:p>
    <w:p w14:paraId="0791280E" w14:textId="77777777" w:rsidR="00961213" w:rsidRPr="004B7A1D" w:rsidRDefault="00961213" w:rsidP="00961213">
      <w:pPr>
        <w:jc w:val="both"/>
        <w:rPr>
          <w:lang w:val="es-ES"/>
        </w:rPr>
      </w:pPr>
      <w:r>
        <w:rPr>
          <w:lang w:val="es-ES"/>
        </w:rPr>
        <w:t xml:space="preserve">Eduardo Vio Grossi </w:t>
      </w:r>
      <w:r>
        <w:rPr>
          <w:lang w:val="es-ES"/>
        </w:rPr>
        <w:tab/>
      </w:r>
      <w:r>
        <w:rPr>
          <w:lang w:val="es-ES"/>
        </w:rPr>
        <w:tab/>
      </w:r>
      <w:r>
        <w:rPr>
          <w:lang w:val="es-ES"/>
        </w:rPr>
        <w:tab/>
      </w:r>
      <w:r>
        <w:rPr>
          <w:lang w:val="es-ES"/>
        </w:rPr>
        <w:tab/>
      </w:r>
      <w:r>
        <w:rPr>
          <w:lang w:val="es-ES"/>
        </w:rPr>
        <w:tab/>
      </w:r>
      <w:r>
        <w:rPr>
          <w:lang w:val="es-ES"/>
        </w:rPr>
        <w:tab/>
        <w:t>Humberto Antonio Sierra Porto</w:t>
      </w:r>
    </w:p>
    <w:p w14:paraId="66BA60C6" w14:textId="77777777" w:rsidR="00961213" w:rsidRPr="004B7A1D" w:rsidRDefault="00961213" w:rsidP="00961213">
      <w:pPr>
        <w:jc w:val="both"/>
        <w:rPr>
          <w:lang w:val="es-ES"/>
        </w:rPr>
      </w:pPr>
    </w:p>
    <w:p w14:paraId="171F74E8" w14:textId="77777777" w:rsidR="00961213" w:rsidRPr="004B7A1D" w:rsidRDefault="00961213" w:rsidP="00961213">
      <w:pPr>
        <w:jc w:val="both"/>
        <w:rPr>
          <w:lang w:val="es-ES"/>
        </w:rPr>
      </w:pPr>
    </w:p>
    <w:p w14:paraId="2CD4AE1E" w14:textId="77777777" w:rsidR="00961213" w:rsidRPr="004B7A1D" w:rsidRDefault="00961213" w:rsidP="00961213">
      <w:pPr>
        <w:jc w:val="both"/>
        <w:rPr>
          <w:lang w:val="es-ES"/>
        </w:rPr>
      </w:pPr>
    </w:p>
    <w:p w14:paraId="76287376" w14:textId="77777777" w:rsidR="00961213" w:rsidRPr="004B7A1D" w:rsidRDefault="00961213" w:rsidP="00961213">
      <w:pPr>
        <w:jc w:val="both"/>
        <w:rPr>
          <w:lang w:val="es-ES"/>
        </w:rPr>
      </w:pPr>
    </w:p>
    <w:p w14:paraId="08E26969" w14:textId="77777777" w:rsidR="00961213" w:rsidRPr="004B7A1D" w:rsidRDefault="00961213" w:rsidP="00961213">
      <w:pPr>
        <w:jc w:val="both"/>
        <w:rPr>
          <w:lang w:val="es-ES"/>
        </w:rPr>
      </w:pPr>
    </w:p>
    <w:p w14:paraId="70F29810" w14:textId="77777777" w:rsidR="00961213" w:rsidRPr="004B7A1D" w:rsidRDefault="00961213" w:rsidP="00961213">
      <w:pPr>
        <w:jc w:val="both"/>
        <w:rPr>
          <w:lang w:val="es-ES"/>
        </w:rPr>
      </w:pPr>
      <w:r>
        <w:rPr>
          <w:lang w:val="es-ES"/>
        </w:rPr>
        <w:t>Elizabeth Odio Benito</w:t>
      </w:r>
      <w:r w:rsidRPr="004B7A1D">
        <w:rPr>
          <w:lang w:val="es-ES"/>
        </w:rPr>
        <w:t xml:space="preserve"> </w:t>
      </w:r>
      <w:r>
        <w:rPr>
          <w:lang w:val="es-ES"/>
        </w:rPr>
        <w:tab/>
      </w:r>
      <w:r>
        <w:rPr>
          <w:lang w:val="es-ES"/>
        </w:rPr>
        <w:tab/>
      </w:r>
      <w:r>
        <w:rPr>
          <w:lang w:val="es-ES"/>
        </w:rPr>
        <w:tab/>
      </w:r>
      <w:r>
        <w:rPr>
          <w:lang w:val="es-ES"/>
        </w:rPr>
        <w:tab/>
      </w:r>
      <w:r>
        <w:rPr>
          <w:lang w:val="es-ES"/>
        </w:rPr>
        <w:tab/>
      </w:r>
      <w:r>
        <w:rPr>
          <w:lang w:val="es-ES"/>
        </w:rPr>
        <w:tab/>
        <w:t xml:space="preserve">  Eugenio Raúl </w:t>
      </w:r>
      <w:proofErr w:type="spellStart"/>
      <w:r>
        <w:rPr>
          <w:lang w:val="es-ES"/>
        </w:rPr>
        <w:t>Zaffaroni</w:t>
      </w:r>
      <w:proofErr w:type="spellEnd"/>
    </w:p>
    <w:p w14:paraId="25C0A37D" w14:textId="77777777" w:rsidR="00961213" w:rsidRPr="004B7A1D" w:rsidRDefault="00961213" w:rsidP="00961213">
      <w:pPr>
        <w:jc w:val="both"/>
        <w:rPr>
          <w:lang w:val="es-ES"/>
        </w:rPr>
      </w:pPr>
    </w:p>
    <w:p w14:paraId="6A4CA7AF" w14:textId="77777777" w:rsidR="00961213" w:rsidRPr="004B7A1D" w:rsidRDefault="00961213" w:rsidP="00961213">
      <w:pPr>
        <w:jc w:val="both"/>
        <w:rPr>
          <w:lang w:val="es-ES"/>
        </w:rPr>
      </w:pPr>
    </w:p>
    <w:p w14:paraId="19C9C409" w14:textId="77777777" w:rsidR="00961213" w:rsidRPr="004B7A1D" w:rsidRDefault="00961213" w:rsidP="00961213">
      <w:pPr>
        <w:jc w:val="both"/>
        <w:rPr>
          <w:lang w:val="es-ES"/>
        </w:rPr>
      </w:pPr>
    </w:p>
    <w:p w14:paraId="6C72507A" w14:textId="77777777" w:rsidR="00961213" w:rsidRPr="004B7A1D" w:rsidRDefault="00961213" w:rsidP="00961213">
      <w:pPr>
        <w:jc w:val="both"/>
        <w:rPr>
          <w:lang w:val="es-ES"/>
        </w:rPr>
      </w:pPr>
    </w:p>
    <w:p w14:paraId="788655E6" w14:textId="77777777" w:rsidR="00961213" w:rsidRPr="004B7A1D" w:rsidRDefault="00961213" w:rsidP="00961213">
      <w:pPr>
        <w:jc w:val="both"/>
        <w:rPr>
          <w:lang w:val="es-ES"/>
        </w:rPr>
      </w:pPr>
    </w:p>
    <w:p w14:paraId="549A42E1" w14:textId="77777777" w:rsidR="00961213" w:rsidRPr="004B7A1D" w:rsidRDefault="00961213" w:rsidP="00961213">
      <w:pPr>
        <w:rPr>
          <w:lang w:val="es-ES"/>
        </w:rPr>
      </w:pPr>
      <w:r>
        <w:rPr>
          <w:lang w:val="es-ES"/>
        </w:rPr>
        <w:tab/>
      </w:r>
      <w:r>
        <w:rPr>
          <w:lang w:val="es-ES"/>
        </w:rPr>
        <w:tab/>
      </w:r>
      <w:r>
        <w:rPr>
          <w:lang w:val="es-ES"/>
        </w:rPr>
        <w:tab/>
      </w:r>
      <w:r>
        <w:rPr>
          <w:lang w:val="es-ES"/>
        </w:rPr>
        <w:tab/>
        <w:t>L. Patricio Pazmiño Freire</w:t>
      </w:r>
    </w:p>
    <w:p w14:paraId="3D0481FD" w14:textId="77777777" w:rsidR="00961213" w:rsidRPr="004B7A1D" w:rsidRDefault="00961213" w:rsidP="00961213">
      <w:pPr>
        <w:jc w:val="both"/>
        <w:rPr>
          <w:lang w:val="es-ES"/>
        </w:rPr>
      </w:pPr>
    </w:p>
    <w:p w14:paraId="70FB8EFD" w14:textId="77777777" w:rsidR="00961213" w:rsidRPr="004B7A1D" w:rsidRDefault="00961213" w:rsidP="00961213">
      <w:pPr>
        <w:jc w:val="both"/>
        <w:rPr>
          <w:lang w:val="es-ES"/>
        </w:rPr>
      </w:pPr>
    </w:p>
    <w:p w14:paraId="7DA97612" w14:textId="77777777" w:rsidR="00961213" w:rsidRPr="004B7A1D" w:rsidRDefault="00961213" w:rsidP="00961213">
      <w:pPr>
        <w:jc w:val="both"/>
        <w:rPr>
          <w:lang w:val="es-ES"/>
        </w:rPr>
      </w:pPr>
    </w:p>
    <w:p w14:paraId="69237B9C" w14:textId="77777777" w:rsidR="00961213" w:rsidRPr="004B7A1D" w:rsidRDefault="00961213" w:rsidP="00961213">
      <w:pPr>
        <w:jc w:val="both"/>
      </w:pPr>
    </w:p>
    <w:p w14:paraId="1149FF3E" w14:textId="77777777" w:rsidR="00961213" w:rsidRPr="004B7A1D" w:rsidRDefault="00961213" w:rsidP="00961213">
      <w:pPr>
        <w:jc w:val="both"/>
        <w:rPr>
          <w:lang w:val="es-ES"/>
        </w:rPr>
      </w:pPr>
    </w:p>
    <w:p w14:paraId="5ED1B2C1" w14:textId="77777777" w:rsidR="00961213" w:rsidRPr="004B7A1D" w:rsidRDefault="00961213" w:rsidP="00961213">
      <w:pPr>
        <w:jc w:val="center"/>
        <w:rPr>
          <w:lang w:val="es-ES"/>
        </w:rPr>
      </w:pPr>
      <w:r w:rsidRPr="004B7A1D">
        <w:rPr>
          <w:lang w:val="es-ES"/>
        </w:rPr>
        <w:t>Pablo Saavedra Alessandri</w:t>
      </w:r>
    </w:p>
    <w:p w14:paraId="2DC39006" w14:textId="77777777" w:rsidR="00961213" w:rsidRPr="004B7A1D" w:rsidRDefault="00961213" w:rsidP="00961213">
      <w:pPr>
        <w:jc w:val="center"/>
        <w:rPr>
          <w:lang w:val="es-ES"/>
        </w:rPr>
      </w:pPr>
      <w:r w:rsidRPr="004B7A1D">
        <w:rPr>
          <w:lang w:val="es-ES"/>
        </w:rPr>
        <w:t>Secretario</w:t>
      </w:r>
    </w:p>
    <w:p w14:paraId="4278FDF6" w14:textId="77777777" w:rsidR="00961213" w:rsidRPr="004B7A1D" w:rsidRDefault="00961213" w:rsidP="00961213">
      <w:pPr>
        <w:rPr>
          <w:lang w:val="es-ES"/>
        </w:rPr>
      </w:pPr>
    </w:p>
    <w:p w14:paraId="36B3A0A8" w14:textId="77777777" w:rsidR="00961213" w:rsidRPr="004B7A1D" w:rsidRDefault="00961213" w:rsidP="00961213">
      <w:pPr>
        <w:pStyle w:val="FootnoteText"/>
        <w:rPr>
          <w:lang w:val="es-ES"/>
        </w:rPr>
      </w:pPr>
    </w:p>
    <w:p w14:paraId="24272227" w14:textId="77777777" w:rsidR="00961213" w:rsidRPr="004B7A1D" w:rsidRDefault="00961213" w:rsidP="00961213">
      <w:pPr>
        <w:pStyle w:val="FootnoteText"/>
        <w:rPr>
          <w:lang w:val="es-ES"/>
        </w:rPr>
      </w:pPr>
    </w:p>
    <w:p w14:paraId="0C55F2D6" w14:textId="77777777" w:rsidR="00961213" w:rsidRPr="004B7A1D" w:rsidRDefault="00961213" w:rsidP="00961213">
      <w:pPr>
        <w:pStyle w:val="FootnoteText"/>
        <w:rPr>
          <w:lang w:val="es-ES"/>
        </w:rPr>
      </w:pPr>
    </w:p>
    <w:p w14:paraId="5851A5DA" w14:textId="77777777" w:rsidR="00961213" w:rsidRPr="004B7A1D" w:rsidRDefault="00961213" w:rsidP="00961213">
      <w:pPr>
        <w:pStyle w:val="FootnoteText"/>
        <w:rPr>
          <w:lang w:val="es-ES"/>
        </w:rPr>
      </w:pPr>
    </w:p>
    <w:p w14:paraId="4F54792E" w14:textId="77777777" w:rsidR="00961213" w:rsidRPr="004B7A1D" w:rsidRDefault="00961213" w:rsidP="00961213">
      <w:pPr>
        <w:jc w:val="both"/>
        <w:rPr>
          <w:lang w:val="es-ES"/>
        </w:rPr>
      </w:pPr>
      <w:r w:rsidRPr="004B7A1D">
        <w:rPr>
          <w:lang w:val="es-ES"/>
        </w:rPr>
        <w:t>Comuníquese y ejecútese,</w:t>
      </w:r>
    </w:p>
    <w:p w14:paraId="76B9C382" w14:textId="77777777" w:rsidR="00961213" w:rsidRPr="004B7A1D" w:rsidRDefault="00961213" w:rsidP="00961213">
      <w:pPr>
        <w:jc w:val="both"/>
        <w:rPr>
          <w:lang w:val="es-ES"/>
        </w:rPr>
      </w:pPr>
    </w:p>
    <w:p w14:paraId="4F8E3E59" w14:textId="77777777" w:rsidR="00961213" w:rsidRPr="004B7A1D" w:rsidRDefault="00961213" w:rsidP="00961213">
      <w:pPr>
        <w:jc w:val="both"/>
        <w:rPr>
          <w:lang w:val="es-ES"/>
        </w:rPr>
      </w:pPr>
    </w:p>
    <w:p w14:paraId="1EFABA5F" w14:textId="77777777" w:rsidR="00961213" w:rsidRPr="004B7A1D" w:rsidRDefault="00961213" w:rsidP="00961213">
      <w:pPr>
        <w:jc w:val="both"/>
        <w:rPr>
          <w:lang w:val="es-ES"/>
        </w:rPr>
      </w:pPr>
    </w:p>
    <w:p w14:paraId="13CC806B" w14:textId="77777777" w:rsidR="00961213" w:rsidRPr="004B7A1D" w:rsidRDefault="00961213" w:rsidP="00961213">
      <w:pPr>
        <w:jc w:val="both"/>
        <w:rPr>
          <w:lang w:val="es-ES"/>
        </w:rPr>
      </w:pPr>
    </w:p>
    <w:p w14:paraId="27673B4D" w14:textId="77777777" w:rsidR="00961213" w:rsidRPr="004B7A1D" w:rsidRDefault="00961213" w:rsidP="00961213">
      <w:pPr>
        <w:jc w:val="both"/>
      </w:pPr>
    </w:p>
    <w:p w14:paraId="3E5AB5D1" w14:textId="77777777" w:rsidR="00961213" w:rsidRPr="004B7A1D" w:rsidRDefault="00961213" w:rsidP="00961213">
      <w:pPr>
        <w:ind w:left="5664"/>
        <w:jc w:val="center"/>
        <w:rPr>
          <w:lang w:val="es-ES"/>
        </w:rPr>
      </w:pPr>
      <w:r>
        <w:rPr>
          <w:lang w:val="es-ES"/>
        </w:rPr>
        <w:t>Roberto F. Caldas</w:t>
      </w:r>
    </w:p>
    <w:p w14:paraId="38FDD949" w14:textId="77777777" w:rsidR="00961213" w:rsidRPr="004B7A1D" w:rsidRDefault="00961213" w:rsidP="00961213">
      <w:pPr>
        <w:ind w:left="5664"/>
        <w:jc w:val="center"/>
        <w:rPr>
          <w:lang w:val="es-ES"/>
        </w:rPr>
      </w:pPr>
      <w:r w:rsidRPr="004B7A1D">
        <w:rPr>
          <w:lang w:val="es-ES"/>
        </w:rPr>
        <w:t>Presidente</w:t>
      </w:r>
    </w:p>
    <w:p w14:paraId="7D858E7F" w14:textId="77777777" w:rsidR="00961213" w:rsidRPr="004B7A1D" w:rsidRDefault="00961213" w:rsidP="00961213">
      <w:pPr>
        <w:jc w:val="both"/>
        <w:rPr>
          <w:lang w:val="es-ES"/>
        </w:rPr>
      </w:pPr>
    </w:p>
    <w:p w14:paraId="07B89B32" w14:textId="77777777" w:rsidR="00961213" w:rsidRPr="004B7A1D" w:rsidRDefault="00961213" w:rsidP="00961213">
      <w:pPr>
        <w:jc w:val="both"/>
        <w:rPr>
          <w:lang w:val="es-ES"/>
        </w:rPr>
      </w:pPr>
    </w:p>
    <w:p w14:paraId="502686C9" w14:textId="77777777" w:rsidR="00961213" w:rsidRPr="004B7A1D" w:rsidRDefault="00961213" w:rsidP="00961213">
      <w:pPr>
        <w:jc w:val="both"/>
        <w:rPr>
          <w:lang w:val="es-ES"/>
        </w:rPr>
      </w:pPr>
    </w:p>
    <w:p w14:paraId="710D9AA4" w14:textId="77777777" w:rsidR="00961213" w:rsidRPr="004B7A1D" w:rsidRDefault="00961213" w:rsidP="00961213">
      <w:pPr>
        <w:jc w:val="both"/>
        <w:rPr>
          <w:lang w:val="es-ES"/>
        </w:rPr>
      </w:pPr>
    </w:p>
    <w:p w14:paraId="31F28CAD" w14:textId="77777777" w:rsidR="00961213" w:rsidRPr="004B7A1D" w:rsidRDefault="00961213" w:rsidP="00961213">
      <w:pPr>
        <w:jc w:val="both"/>
        <w:rPr>
          <w:lang w:val="es-ES"/>
        </w:rPr>
      </w:pPr>
      <w:r w:rsidRPr="004B7A1D">
        <w:rPr>
          <w:lang w:val="es-ES"/>
        </w:rPr>
        <w:t>Pablo Saavedra Alessandri</w:t>
      </w:r>
    </w:p>
    <w:p w14:paraId="74DFB2E2" w14:textId="738D2CB7" w:rsidR="00961213" w:rsidRDefault="00961213" w:rsidP="00961213">
      <w:r w:rsidRPr="004B7A1D">
        <w:rPr>
          <w:lang w:val="es-ES"/>
        </w:rPr>
        <w:tab/>
      </w:r>
      <w:r w:rsidRPr="004B7A1D">
        <w:t>Secretario</w:t>
      </w:r>
    </w:p>
    <w:p w14:paraId="4A5AD94D" w14:textId="77777777" w:rsidR="00961213" w:rsidRDefault="00961213" w:rsidP="00D165F3">
      <w:pPr>
        <w:pStyle w:val="ColorfulList-Accent11"/>
        <w:tabs>
          <w:tab w:val="left" w:pos="567"/>
        </w:tabs>
        <w:ind w:left="0"/>
        <w:contextualSpacing w:val="0"/>
        <w:jc w:val="both"/>
        <w:sectPr w:rsidR="00961213" w:rsidSect="00961213">
          <w:headerReference w:type="default" r:id="rId9"/>
          <w:footnotePr>
            <w:numRestart w:val="eachSect"/>
          </w:footnotePr>
          <w:pgSz w:w="12240" w:h="15840" w:code="1"/>
          <w:pgMar w:top="1418" w:right="1418" w:bottom="1418" w:left="1418" w:header="720" w:footer="720" w:gutter="0"/>
          <w:pgNumType w:start="1"/>
          <w:cols w:space="720"/>
          <w:titlePg/>
          <w:docGrid w:linePitch="326"/>
        </w:sectPr>
      </w:pPr>
    </w:p>
    <w:p w14:paraId="657C5B14" w14:textId="77777777" w:rsidR="00961213" w:rsidRPr="00AB167B" w:rsidRDefault="00961213" w:rsidP="00961213">
      <w:pPr>
        <w:jc w:val="center"/>
        <w:rPr>
          <w:b/>
          <w:lang w:val="es-ES"/>
        </w:rPr>
      </w:pPr>
      <w:r w:rsidRPr="00AB167B">
        <w:rPr>
          <w:b/>
          <w:lang w:val="es-ES"/>
        </w:rPr>
        <w:lastRenderedPageBreak/>
        <w:t>VOTO CONCURR</w:t>
      </w:r>
      <w:r>
        <w:rPr>
          <w:b/>
          <w:lang w:val="es-ES"/>
        </w:rPr>
        <w:t>E</w:t>
      </w:r>
      <w:r w:rsidRPr="00AB167B">
        <w:rPr>
          <w:b/>
          <w:lang w:val="es-ES"/>
        </w:rPr>
        <w:t>NTE DEL JUEZ EDUARDO VIO GROSSI,</w:t>
      </w:r>
    </w:p>
    <w:p w14:paraId="6EBEE8C7" w14:textId="77777777" w:rsidR="00961213" w:rsidRPr="00AB167B" w:rsidRDefault="00961213" w:rsidP="00961213">
      <w:pPr>
        <w:jc w:val="center"/>
        <w:rPr>
          <w:b/>
          <w:lang w:val="es-ES"/>
        </w:rPr>
      </w:pPr>
      <w:r w:rsidRPr="00AB167B">
        <w:rPr>
          <w:b/>
          <w:lang w:val="es-ES"/>
        </w:rPr>
        <w:t>RESOLUCIÓN DE LA</w:t>
      </w:r>
    </w:p>
    <w:p w14:paraId="2CF50451" w14:textId="77777777" w:rsidR="00961213" w:rsidRPr="00AB167B" w:rsidRDefault="00961213" w:rsidP="00961213">
      <w:pPr>
        <w:jc w:val="center"/>
        <w:rPr>
          <w:b/>
          <w:lang w:val="es-ES"/>
        </w:rPr>
      </w:pPr>
      <w:r w:rsidRPr="00AB167B">
        <w:rPr>
          <w:b/>
          <w:lang w:val="es-ES"/>
        </w:rPr>
        <w:t>CORTE INTERAMERICANA DE DERECHOS HUMANOS,</w:t>
      </w:r>
    </w:p>
    <w:p w14:paraId="4EB3722A" w14:textId="77777777" w:rsidR="00961213" w:rsidRPr="00AB167B" w:rsidRDefault="00961213" w:rsidP="00961213">
      <w:pPr>
        <w:jc w:val="center"/>
        <w:rPr>
          <w:b/>
          <w:lang w:val="es-ES"/>
        </w:rPr>
      </w:pPr>
      <w:r w:rsidRPr="00AB167B">
        <w:rPr>
          <w:b/>
          <w:lang w:val="es-ES"/>
        </w:rPr>
        <w:t>DE 7 DE FEBRERO DE 2017,</w:t>
      </w:r>
    </w:p>
    <w:p w14:paraId="552F8DD2" w14:textId="77777777" w:rsidR="00961213" w:rsidRPr="00AB167B" w:rsidRDefault="00961213" w:rsidP="00961213">
      <w:pPr>
        <w:jc w:val="center"/>
        <w:rPr>
          <w:b/>
          <w:lang w:val="es-ES"/>
        </w:rPr>
      </w:pPr>
      <w:r w:rsidRPr="00AB167B">
        <w:rPr>
          <w:b/>
          <w:lang w:val="es-ES"/>
        </w:rPr>
        <w:t>MEDIDAS PROVISIONALES RESPECTO DE MÉXICO,</w:t>
      </w:r>
    </w:p>
    <w:p w14:paraId="1C60A5F4" w14:textId="77777777" w:rsidR="00961213" w:rsidRPr="00AB167B" w:rsidRDefault="00961213" w:rsidP="00961213">
      <w:pPr>
        <w:jc w:val="center"/>
        <w:rPr>
          <w:b/>
          <w:lang w:val="es-ES"/>
        </w:rPr>
      </w:pPr>
      <w:r w:rsidRPr="00AB167B">
        <w:rPr>
          <w:b/>
          <w:lang w:val="es-ES"/>
        </w:rPr>
        <w:t>CASO FERNÁNDEZ ORTEGA Y OTROS</w:t>
      </w:r>
    </w:p>
    <w:p w14:paraId="42CB545D" w14:textId="77777777" w:rsidR="00961213" w:rsidRPr="00AB167B" w:rsidRDefault="00961213" w:rsidP="00961213">
      <w:pPr>
        <w:jc w:val="both"/>
        <w:rPr>
          <w:lang w:val="es-ES"/>
        </w:rPr>
      </w:pPr>
    </w:p>
    <w:p w14:paraId="0D703BA5" w14:textId="77777777" w:rsidR="00961213" w:rsidRPr="00AB167B" w:rsidRDefault="00961213" w:rsidP="00961213">
      <w:pPr>
        <w:jc w:val="both"/>
        <w:rPr>
          <w:lang w:val="es-ES"/>
        </w:rPr>
      </w:pPr>
      <w:r w:rsidRPr="00AB167B">
        <w:rPr>
          <w:lang w:val="es-ES"/>
        </w:rPr>
        <w:t>Concurro con mi voto a la Resolución del epígrafe, reiterando así lo expuesto en otro emitido</w:t>
      </w:r>
      <w:r>
        <w:rPr>
          <w:lang w:val="es-ES"/>
        </w:rPr>
        <w:t xml:space="preserve"> el</w:t>
      </w:r>
      <w:r w:rsidRPr="00AB167B">
        <w:rPr>
          <w:lang w:val="es-ES"/>
        </w:rPr>
        <w:t xml:space="preserve"> 20 de febrero de 2012 relativo al mismo caso</w:t>
      </w:r>
      <w:r w:rsidRPr="00AB167B">
        <w:rPr>
          <w:rStyle w:val="FootnoteReference"/>
          <w:lang w:val="es-ES"/>
        </w:rPr>
        <w:footnoteReference w:id="49"/>
      </w:r>
      <w:r w:rsidRPr="00AB167B">
        <w:rPr>
          <w:lang w:val="es-ES"/>
        </w:rPr>
        <w:t xml:space="preserve"> así como en los demás votos concurrentes</w:t>
      </w:r>
      <w:r w:rsidRPr="00AB167B">
        <w:rPr>
          <w:rStyle w:val="FootnoteReference"/>
          <w:lang w:val="es-ES"/>
        </w:rPr>
        <w:footnoteReference w:id="50"/>
      </w:r>
      <w:r w:rsidRPr="00AB167B">
        <w:rPr>
          <w:lang w:val="es-ES"/>
        </w:rPr>
        <w:t xml:space="preserve"> y disidentes</w:t>
      </w:r>
      <w:r w:rsidRPr="00AB167B">
        <w:rPr>
          <w:rStyle w:val="FootnoteReference"/>
          <w:lang w:val="es-ES"/>
        </w:rPr>
        <w:footnoteReference w:id="51"/>
      </w:r>
      <w:r w:rsidRPr="00AB167B">
        <w:rPr>
          <w:lang w:val="es-ES"/>
        </w:rPr>
        <w:t xml:space="preserve"> concernientes a la posición del suscrito consistente en que las medidas provisionales solo proceden, respecto de casos sometidos a conocimiento de la Corte, mientras no haya dictado sentencia en los mismos, </w:t>
      </w:r>
      <w:proofErr w:type="spellStart"/>
      <w:r w:rsidRPr="00AB167B">
        <w:rPr>
          <w:lang w:val="es-ES"/>
        </w:rPr>
        <w:t>precluyendo</w:t>
      </w:r>
      <w:proofErr w:type="spellEnd"/>
      <w:r w:rsidRPr="00AB167B">
        <w:rPr>
          <w:lang w:val="es-ES"/>
        </w:rPr>
        <w:t xml:space="preserve">, pues, su facultad al efecto luego de ello. </w:t>
      </w:r>
    </w:p>
    <w:p w14:paraId="25ACE3D6" w14:textId="77777777" w:rsidR="00961213" w:rsidRDefault="00961213" w:rsidP="00961213">
      <w:pPr>
        <w:jc w:val="both"/>
        <w:rPr>
          <w:lang w:val="es-ES"/>
        </w:rPr>
      </w:pPr>
    </w:p>
    <w:p w14:paraId="74AD59BD" w14:textId="77777777" w:rsidR="00961213" w:rsidRPr="00AB167B" w:rsidRDefault="00961213" w:rsidP="00961213">
      <w:pPr>
        <w:jc w:val="both"/>
        <w:rPr>
          <w:lang w:val="es-ES"/>
        </w:rPr>
      </w:pPr>
    </w:p>
    <w:p w14:paraId="39588F10" w14:textId="77777777" w:rsidR="00961213" w:rsidRPr="002457AA" w:rsidRDefault="00961213" w:rsidP="00961213">
      <w:pPr>
        <w:autoSpaceDE w:val="0"/>
        <w:autoSpaceDN w:val="0"/>
        <w:adjustRightInd w:val="0"/>
        <w:jc w:val="both"/>
        <w:rPr>
          <w:rFonts w:cs="Arial"/>
        </w:rPr>
      </w:pPr>
    </w:p>
    <w:p w14:paraId="157525C4" w14:textId="77777777" w:rsidR="00961213" w:rsidRPr="00C94FFB" w:rsidRDefault="00961213" w:rsidP="00961213">
      <w:pPr>
        <w:autoSpaceDE w:val="0"/>
        <w:autoSpaceDN w:val="0"/>
        <w:adjustRightInd w:val="0"/>
        <w:ind w:left="5040"/>
        <w:jc w:val="center"/>
        <w:rPr>
          <w:rFonts w:cs="Arial"/>
        </w:rPr>
      </w:pPr>
      <w:r w:rsidRPr="00C94FFB">
        <w:rPr>
          <w:rFonts w:cs="Arial"/>
        </w:rPr>
        <w:t>Eduardo Vio Grossi</w:t>
      </w:r>
    </w:p>
    <w:p w14:paraId="4A369895" w14:textId="77777777" w:rsidR="00961213" w:rsidRPr="00886BEB" w:rsidRDefault="00961213" w:rsidP="00961213">
      <w:pPr>
        <w:autoSpaceDE w:val="0"/>
        <w:autoSpaceDN w:val="0"/>
        <w:adjustRightInd w:val="0"/>
        <w:ind w:left="5040"/>
        <w:jc w:val="center"/>
        <w:rPr>
          <w:lang w:val="es-ES"/>
        </w:rPr>
      </w:pPr>
      <w:r w:rsidRPr="00C94FFB">
        <w:rPr>
          <w:rFonts w:cs="Arial"/>
        </w:rPr>
        <w:t>Juez</w:t>
      </w:r>
    </w:p>
    <w:p w14:paraId="2B8877CD" w14:textId="77777777" w:rsidR="00961213" w:rsidRPr="00C94FFB" w:rsidRDefault="00961213" w:rsidP="00961213">
      <w:pPr>
        <w:autoSpaceDE w:val="0"/>
        <w:autoSpaceDN w:val="0"/>
        <w:adjustRightInd w:val="0"/>
        <w:rPr>
          <w:rFonts w:cs="Arial"/>
          <w:szCs w:val="24"/>
        </w:rPr>
      </w:pPr>
    </w:p>
    <w:p w14:paraId="2D68CDFD" w14:textId="77777777" w:rsidR="00961213" w:rsidRPr="00C94FFB" w:rsidRDefault="00961213" w:rsidP="00961213">
      <w:pPr>
        <w:autoSpaceDE w:val="0"/>
        <w:autoSpaceDN w:val="0"/>
        <w:adjustRightInd w:val="0"/>
        <w:rPr>
          <w:rFonts w:cs="Arial"/>
          <w:szCs w:val="24"/>
        </w:rPr>
      </w:pPr>
    </w:p>
    <w:p w14:paraId="28B32692" w14:textId="77777777" w:rsidR="00961213" w:rsidRPr="00C94FFB" w:rsidRDefault="00961213" w:rsidP="00961213">
      <w:pPr>
        <w:autoSpaceDE w:val="0"/>
        <w:autoSpaceDN w:val="0"/>
        <w:adjustRightInd w:val="0"/>
        <w:rPr>
          <w:rFonts w:cs="Arial"/>
          <w:szCs w:val="24"/>
        </w:rPr>
      </w:pPr>
    </w:p>
    <w:p w14:paraId="7BDB89B3" w14:textId="77777777" w:rsidR="00961213" w:rsidRPr="00C94FFB" w:rsidRDefault="00961213" w:rsidP="00961213">
      <w:pPr>
        <w:autoSpaceDE w:val="0"/>
        <w:autoSpaceDN w:val="0"/>
        <w:adjustRightInd w:val="0"/>
        <w:rPr>
          <w:rFonts w:cs="Arial"/>
          <w:szCs w:val="24"/>
        </w:rPr>
      </w:pPr>
      <w:r w:rsidRPr="00C94FFB">
        <w:rPr>
          <w:rFonts w:cs="Arial"/>
          <w:szCs w:val="24"/>
        </w:rPr>
        <w:t>Pablo Saavedra Alessandri</w:t>
      </w:r>
    </w:p>
    <w:p w14:paraId="303E8FFD" w14:textId="77777777" w:rsidR="00961213" w:rsidRPr="005A20A2" w:rsidRDefault="00961213" w:rsidP="00961213">
      <w:pPr>
        <w:autoSpaceDE w:val="0"/>
        <w:autoSpaceDN w:val="0"/>
        <w:adjustRightInd w:val="0"/>
        <w:ind w:firstLine="720"/>
        <w:rPr>
          <w:rFonts w:cs="Arial"/>
          <w:szCs w:val="24"/>
        </w:rPr>
      </w:pPr>
      <w:r w:rsidRPr="00A3191D">
        <w:rPr>
          <w:rFonts w:cs="Arial"/>
          <w:szCs w:val="24"/>
        </w:rPr>
        <w:t>Secretario</w:t>
      </w:r>
    </w:p>
    <w:p w14:paraId="632A16CD" w14:textId="60B99375" w:rsidR="00961213" w:rsidRPr="00961213" w:rsidRDefault="00961213" w:rsidP="00D165F3">
      <w:pPr>
        <w:pStyle w:val="ColorfulList-Accent11"/>
        <w:tabs>
          <w:tab w:val="left" w:pos="567"/>
        </w:tabs>
        <w:ind w:left="0"/>
        <w:contextualSpacing w:val="0"/>
        <w:jc w:val="both"/>
      </w:pPr>
      <w:bookmarkStart w:id="47" w:name="_GoBack"/>
      <w:bookmarkEnd w:id="47"/>
    </w:p>
    <w:sectPr w:rsidR="00961213" w:rsidRPr="00961213" w:rsidSect="00961213">
      <w:footnotePr>
        <w:numRestart w:val="eachSect"/>
      </w:footnotePr>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C473C" w14:textId="77777777" w:rsidR="00926161" w:rsidRDefault="00926161" w:rsidP="00A204C1">
      <w:r>
        <w:separator/>
      </w:r>
    </w:p>
  </w:endnote>
  <w:endnote w:type="continuationSeparator" w:id="0">
    <w:p w14:paraId="43FB31C6" w14:textId="77777777" w:rsidR="00926161" w:rsidRDefault="00926161" w:rsidP="00A2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E7947" w14:textId="77777777" w:rsidR="00926161" w:rsidRDefault="00926161" w:rsidP="00A204C1">
      <w:r>
        <w:separator/>
      </w:r>
    </w:p>
  </w:footnote>
  <w:footnote w:type="continuationSeparator" w:id="0">
    <w:p w14:paraId="2675F07A" w14:textId="77777777" w:rsidR="00926161" w:rsidRDefault="00926161" w:rsidP="00A204C1">
      <w:r>
        <w:continuationSeparator/>
      </w:r>
    </w:p>
  </w:footnote>
  <w:footnote w:id="1">
    <w:p w14:paraId="0A6688A2" w14:textId="767561C4" w:rsidR="00926161" w:rsidRPr="002E142C" w:rsidRDefault="00926161" w:rsidP="00FC687A">
      <w:pPr>
        <w:pStyle w:val="FootnoteText"/>
        <w:tabs>
          <w:tab w:val="left" w:pos="567"/>
        </w:tabs>
        <w:spacing w:after="120"/>
        <w:jc w:val="both"/>
        <w:rPr>
          <w:sz w:val="16"/>
          <w:szCs w:val="16"/>
        </w:rPr>
      </w:pPr>
      <w:r w:rsidRPr="002E142C">
        <w:rPr>
          <w:rStyle w:val="FootnoteReference"/>
          <w:szCs w:val="16"/>
        </w:rPr>
        <w:t>*</w:t>
      </w:r>
      <w:r w:rsidRPr="002E142C">
        <w:rPr>
          <w:sz w:val="16"/>
          <w:szCs w:val="16"/>
        </w:rPr>
        <w:t xml:space="preserve"> </w:t>
      </w:r>
      <w:r w:rsidRPr="002E142C">
        <w:rPr>
          <w:sz w:val="16"/>
          <w:szCs w:val="16"/>
        </w:rPr>
        <w:tab/>
        <w:t>El Juez Eduardo Ferrer Mac-</w:t>
      </w:r>
      <w:proofErr w:type="spellStart"/>
      <w:r w:rsidRPr="002E142C">
        <w:rPr>
          <w:sz w:val="16"/>
          <w:szCs w:val="16"/>
        </w:rPr>
        <w:t>Gregor</w:t>
      </w:r>
      <w:proofErr w:type="spellEnd"/>
      <w:r w:rsidRPr="002E142C">
        <w:rPr>
          <w:sz w:val="16"/>
          <w:szCs w:val="16"/>
        </w:rPr>
        <w:t xml:space="preserve"> </w:t>
      </w:r>
      <w:proofErr w:type="spellStart"/>
      <w:r w:rsidRPr="002E142C">
        <w:rPr>
          <w:sz w:val="16"/>
          <w:szCs w:val="16"/>
        </w:rPr>
        <w:t>Poisot</w:t>
      </w:r>
      <w:proofErr w:type="spellEnd"/>
      <w:r w:rsidRPr="002E142C">
        <w:rPr>
          <w:sz w:val="16"/>
          <w:szCs w:val="16"/>
        </w:rPr>
        <w:t>, de nacionalidad mexicana, no participó en el conocimiento y deliberación de la presente resolución, de conformidad con lo dispuesto en el artículo 19.1 del Reglamento de la Corte.</w:t>
      </w:r>
    </w:p>
  </w:footnote>
  <w:footnote w:id="2">
    <w:p w14:paraId="6D60F7D8" w14:textId="75B4535E"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r>
      <w:r w:rsidRPr="002E142C">
        <w:rPr>
          <w:i/>
          <w:sz w:val="16"/>
          <w:szCs w:val="16"/>
          <w:lang w:val="es-MX"/>
        </w:rPr>
        <w:t>Cfr. Caso del Periódico “La Nación”. Medidas Provisionales respecto de Costa Rica</w:t>
      </w:r>
      <w:r w:rsidRPr="002E142C">
        <w:rPr>
          <w:sz w:val="16"/>
          <w:szCs w:val="16"/>
          <w:lang w:val="es-MX"/>
        </w:rPr>
        <w:t xml:space="preserve">. Resolución de la Corte de 7 de septiembre de 2001, Considerando 4, y </w:t>
      </w:r>
      <w:r w:rsidRPr="002E142C">
        <w:rPr>
          <w:rStyle w:val="Strong"/>
          <w:b w:val="0"/>
          <w:i/>
          <w:color w:val="000000"/>
          <w:sz w:val="16"/>
          <w:szCs w:val="16"/>
          <w:shd w:val="clear" w:color="auto" w:fill="FFFFFF"/>
        </w:rPr>
        <w:t>Asunto Galdámez Álvarez y otros. Medidas Provisionales respecto de Honduras</w:t>
      </w:r>
      <w:r w:rsidRPr="002E142C">
        <w:rPr>
          <w:rStyle w:val="Strong"/>
          <w:b w:val="0"/>
          <w:color w:val="000000"/>
          <w:sz w:val="16"/>
          <w:szCs w:val="16"/>
          <w:shd w:val="clear" w:color="auto" w:fill="FFFFFF"/>
        </w:rPr>
        <w:t>. Resolución de la Corte Interamericana de Derechos Humanos de 23 de noviembre de 2016, Considerando 2.</w:t>
      </w:r>
    </w:p>
  </w:footnote>
  <w:footnote w:id="3">
    <w:p w14:paraId="59AFDA18" w14:textId="0BDD0C9A"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lang w:val="es-MX"/>
        </w:rPr>
        <w:t xml:space="preserve">Cfr. Caso Carpio </w:t>
      </w:r>
      <w:proofErr w:type="spellStart"/>
      <w:r w:rsidRPr="002E142C">
        <w:rPr>
          <w:i/>
          <w:sz w:val="16"/>
          <w:szCs w:val="16"/>
          <w:lang w:val="es-MX"/>
        </w:rPr>
        <w:t>Nicolle</w:t>
      </w:r>
      <w:proofErr w:type="spellEnd"/>
      <w:r w:rsidRPr="002E142C">
        <w:rPr>
          <w:i/>
          <w:sz w:val="16"/>
          <w:szCs w:val="16"/>
          <w:lang w:val="es-MX"/>
        </w:rPr>
        <w:t>. Medidas Provisionales respecto de Guatemala</w:t>
      </w:r>
      <w:r w:rsidRPr="002E142C">
        <w:rPr>
          <w:sz w:val="16"/>
          <w:szCs w:val="16"/>
          <w:lang w:val="es-MX"/>
        </w:rPr>
        <w:t xml:space="preserve">. Resolución de la Corte Interamericana de Derechos Humanos de 6 de julio de 2009, Considerando 14, y </w:t>
      </w:r>
      <w:r w:rsidRPr="002E142C">
        <w:rPr>
          <w:rStyle w:val="Strong"/>
          <w:b w:val="0"/>
          <w:i/>
          <w:color w:val="000000"/>
          <w:sz w:val="16"/>
          <w:szCs w:val="16"/>
          <w:shd w:val="clear" w:color="auto" w:fill="FFFFFF"/>
        </w:rPr>
        <w:t>Asunto Galdámez Álvarez y otros. Medidas Provisionales</w:t>
      </w:r>
      <w:r w:rsidRPr="002E142C">
        <w:rPr>
          <w:bCs/>
          <w:i/>
          <w:color w:val="000000"/>
          <w:sz w:val="16"/>
          <w:szCs w:val="16"/>
          <w:shd w:val="clear" w:color="auto" w:fill="FFFFFF"/>
          <w:lang w:eastAsia="es-CR"/>
        </w:rPr>
        <w:t xml:space="preserve"> </w:t>
      </w:r>
      <w:r w:rsidRPr="002E142C">
        <w:rPr>
          <w:bCs/>
          <w:i/>
          <w:color w:val="000000"/>
          <w:sz w:val="16"/>
          <w:szCs w:val="16"/>
          <w:shd w:val="clear" w:color="auto" w:fill="FFFFFF"/>
        </w:rPr>
        <w:t>respecto de Honduras</w:t>
      </w:r>
      <w:r w:rsidRPr="002E142C">
        <w:rPr>
          <w:rStyle w:val="Strong"/>
          <w:b w:val="0"/>
          <w:color w:val="000000"/>
          <w:sz w:val="16"/>
          <w:szCs w:val="16"/>
          <w:shd w:val="clear" w:color="auto" w:fill="FFFFFF"/>
        </w:rPr>
        <w:t>. Resolución de la Corte Interamericana de Derechos Humanos de 23 de noviembre de 2016, Considerando 2.</w:t>
      </w:r>
    </w:p>
  </w:footnote>
  <w:footnote w:id="4">
    <w:p w14:paraId="54871C86" w14:textId="21F695C9"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lang w:val="es-MX"/>
        </w:rPr>
        <w:t xml:space="preserve">Cfr. Caso Carpio </w:t>
      </w:r>
      <w:proofErr w:type="spellStart"/>
      <w:r w:rsidRPr="002E142C">
        <w:rPr>
          <w:i/>
          <w:sz w:val="16"/>
          <w:szCs w:val="16"/>
          <w:lang w:val="es-MX"/>
        </w:rPr>
        <w:t>Nicolle</w:t>
      </w:r>
      <w:proofErr w:type="spellEnd"/>
      <w:r w:rsidRPr="002E142C">
        <w:rPr>
          <w:i/>
          <w:sz w:val="16"/>
          <w:szCs w:val="16"/>
          <w:lang w:val="es-MX"/>
        </w:rPr>
        <w:t>. Medidas Provisionales respecto de Guatemala</w:t>
      </w:r>
      <w:r w:rsidRPr="002E142C">
        <w:rPr>
          <w:sz w:val="16"/>
          <w:szCs w:val="16"/>
          <w:lang w:val="es-MX"/>
        </w:rPr>
        <w:t xml:space="preserve">. Resolución de la Corte Interamericana de Derechos Humanos de 6 de julio de 2009, Considerando 14, y </w:t>
      </w:r>
      <w:r w:rsidRPr="002E142C">
        <w:rPr>
          <w:rStyle w:val="Strong"/>
          <w:b w:val="0"/>
          <w:i/>
          <w:color w:val="000000"/>
          <w:sz w:val="16"/>
          <w:szCs w:val="16"/>
          <w:shd w:val="clear" w:color="auto" w:fill="FFFFFF"/>
        </w:rPr>
        <w:t>Asunto Galdámez Álvarez y otros. Medidas Provisionales</w:t>
      </w:r>
      <w:r w:rsidRPr="002E142C">
        <w:rPr>
          <w:bCs/>
          <w:i/>
          <w:color w:val="000000"/>
          <w:sz w:val="16"/>
          <w:szCs w:val="16"/>
          <w:shd w:val="clear" w:color="auto" w:fill="FFFFFF"/>
          <w:lang w:eastAsia="es-CR"/>
        </w:rPr>
        <w:t xml:space="preserve"> </w:t>
      </w:r>
      <w:r w:rsidRPr="002E142C">
        <w:rPr>
          <w:bCs/>
          <w:i/>
          <w:color w:val="000000"/>
          <w:sz w:val="16"/>
          <w:szCs w:val="16"/>
          <w:shd w:val="clear" w:color="auto" w:fill="FFFFFF"/>
        </w:rPr>
        <w:t>respecto de Honduras</w:t>
      </w:r>
      <w:r w:rsidRPr="002E142C">
        <w:rPr>
          <w:rStyle w:val="Strong"/>
          <w:b w:val="0"/>
          <w:color w:val="000000"/>
          <w:sz w:val="16"/>
          <w:szCs w:val="16"/>
          <w:shd w:val="clear" w:color="auto" w:fill="FFFFFF"/>
        </w:rPr>
        <w:t>. Resolución de la Corte Interamericana de Derechos Humanos de 23 de noviembre de 2016, Considerando 2.</w:t>
      </w:r>
    </w:p>
  </w:footnote>
  <w:footnote w:id="5">
    <w:p w14:paraId="45195764" w14:textId="16E7C744"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t xml:space="preserve">Actualmente las medidas protegen a: (i) </w:t>
      </w:r>
      <w:proofErr w:type="spellStart"/>
      <w:r w:rsidRPr="002E142C">
        <w:rPr>
          <w:sz w:val="16"/>
          <w:szCs w:val="16"/>
        </w:rPr>
        <w:t>Obtilia</w:t>
      </w:r>
      <w:proofErr w:type="spellEnd"/>
      <w:r w:rsidRPr="002E142C">
        <w:rPr>
          <w:sz w:val="16"/>
          <w:szCs w:val="16"/>
        </w:rPr>
        <w:t xml:space="preserve"> Eugenio Manuel, su esposo Cuauhtémoc Ramírez Rodríguez, sus hijas </w:t>
      </w:r>
      <w:proofErr w:type="spellStart"/>
      <w:r w:rsidRPr="002E142C">
        <w:rPr>
          <w:sz w:val="16"/>
          <w:szCs w:val="16"/>
        </w:rPr>
        <w:t>Kuaia</w:t>
      </w:r>
      <w:proofErr w:type="spellEnd"/>
      <w:r w:rsidRPr="002E142C">
        <w:rPr>
          <w:sz w:val="16"/>
          <w:szCs w:val="16"/>
        </w:rPr>
        <w:t xml:space="preserve"> Emilia y </w:t>
      </w:r>
      <w:proofErr w:type="spellStart"/>
      <w:r w:rsidRPr="002E142C">
        <w:rPr>
          <w:sz w:val="16"/>
          <w:szCs w:val="16"/>
        </w:rPr>
        <w:t>Sa’an</w:t>
      </w:r>
      <w:proofErr w:type="spellEnd"/>
      <w:r w:rsidRPr="002E142C">
        <w:rPr>
          <w:sz w:val="16"/>
          <w:szCs w:val="16"/>
        </w:rPr>
        <w:t xml:space="preserve"> Isabel y su hijo Cuauhtémoc, todos de apellido Ramírez Manuel, y su hermana Andrea Eugenio Manuel; ii) Inés Fernández Ortega, su esposo Fortunato Prisciliano Sierra, así como sus hijas Noemí, Ana Luz y Nélida, y su hijo Colosio, todos de apellido Prisciliano Fernández; iii) integrantes de la OPIM: Victoriano Eugenio Manuel, Gabino Eugenio Manuel, Juan Remigio Guzmán, Raúl Hernández Abundio, Rafael Rodríguez </w:t>
      </w:r>
      <w:proofErr w:type="spellStart"/>
      <w:r w:rsidRPr="002E142C">
        <w:rPr>
          <w:sz w:val="16"/>
          <w:szCs w:val="16"/>
        </w:rPr>
        <w:t>Dircio</w:t>
      </w:r>
      <w:proofErr w:type="spellEnd"/>
      <w:r w:rsidRPr="002E142C">
        <w:rPr>
          <w:sz w:val="16"/>
          <w:szCs w:val="16"/>
        </w:rPr>
        <w:t xml:space="preserve">, Severo Eugenio Remigio, Manuel Cruz Victoriano, Orlando Manzanares Lorenzo, Natalio Ortega Cruz, Romualdo Santiago Enedina, Braulio Manzanares Lorenzo, José Eugenio Cruz, Félix Ortega Dolores, Merced Santiago Lorenzo, Arturo Cruz Ortega, Leopoldo Eugenio Manuel, Ubaldo Santiago Eugenio, Arnulfo Cruz Concepción, Silverio Remigio Guzmán, Crisóforo Manzanares Lorenzo, Taurino Fernández Santiago, Ocotlán Fernández Ortega, Mauricio Cruz Morales, Viviano García Santiago, Julio </w:t>
      </w:r>
      <w:proofErr w:type="spellStart"/>
      <w:r w:rsidRPr="002E142C">
        <w:rPr>
          <w:sz w:val="16"/>
          <w:szCs w:val="16"/>
        </w:rPr>
        <w:t>Bolanos</w:t>
      </w:r>
      <w:proofErr w:type="spellEnd"/>
      <w:r w:rsidRPr="002E142C">
        <w:rPr>
          <w:sz w:val="16"/>
          <w:szCs w:val="16"/>
        </w:rPr>
        <w:t xml:space="preserve"> Santiago, José Espinoza Eugenio, Ramón Ortega Cruz, Virgilio Cruz Ortega, Victoriano Ortega Cruz, Marcelino Santiago Flores, Justino García Santiago, Crispín Santiago González, Natalio Eugenio Catarino, Fausto Santiago González, Leopoldo Eugenio Rufina, Vicente Díaz Luciano, </w:t>
      </w:r>
      <w:proofErr w:type="spellStart"/>
      <w:r w:rsidRPr="002E142C">
        <w:rPr>
          <w:sz w:val="16"/>
          <w:szCs w:val="16"/>
        </w:rPr>
        <w:t>Socimo</w:t>
      </w:r>
      <w:proofErr w:type="spellEnd"/>
      <w:r w:rsidRPr="002E142C">
        <w:rPr>
          <w:sz w:val="16"/>
          <w:szCs w:val="16"/>
        </w:rPr>
        <w:t xml:space="preserve"> Manuel Sierra, Santiago Manuel Sierra, Ramiro Flor </w:t>
      </w:r>
      <w:proofErr w:type="spellStart"/>
      <w:r w:rsidRPr="002E142C">
        <w:rPr>
          <w:sz w:val="16"/>
          <w:szCs w:val="16"/>
        </w:rPr>
        <w:t>Cresencio</w:t>
      </w:r>
      <w:proofErr w:type="spellEnd"/>
      <w:r w:rsidRPr="002E142C">
        <w:rPr>
          <w:sz w:val="16"/>
          <w:szCs w:val="16"/>
        </w:rPr>
        <w:t xml:space="preserve">, Milenio Flores de Jesús y Romualdo Eugenio Estrada, y iv) integrantes de </w:t>
      </w:r>
      <w:proofErr w:type="spellStart"/>
      <w:r w:rsidRPr="002E142C">
        <w:rPr>
          <w:sz w:val="16"/>
          <w:szCs w:val="16"/>
        </w:rPr>
        <w:t>Tlachinollan</w:t>
      </w:r>
      <w:proofErr w:type="spellEnd"/>
      <w:r w:rsidRPr="002E142C">
        <w:rPr>
          <w:sz w:val="16"/>
          <w:szCs w:val="16"/>
        </w:rPr>
        <w:t xml:space="preserve">: Abel Barrera Hernández, Alejandro Ramos Gallegos, Armando Campos Ochoa, </w:t>
      </w:r>
      <w:proofErr w:type="spellStart"/>
      <w:r w:rsidRPr="002E142C">
        <w:rPr>
          <w:sz w:val="16"/>
          <w:szCs w:val="16"/>
        </w:rPr>
        <w:t>Epifania</w:t>
      </w:r>
      <w:proofErr w:type="spellEnd"/>
      <w:r w:rsidRPr="002E142C">
        <w:rPr>
          <w:sz w:val="16"/>
          <w:szCs w:val="16"/>
        </w:rPr>
        <w:t xml:space="preserve"> Ramírez Arias, </w:t>
      </w:r>
      <w:proofErr w:type="spellStart"/>
      <w:r w:rsidRPr="002E142C">
        <w:rPr>
          <w:sz w:val="16"/>
          <w:szCs w:val="16"/>
        </w:rPr>
        <w:t>Eulogia</w:t>
      </w:r>
      <w:proofErr w:type="spellEnd"/>
      <w:r w:rsidRPr="002E142C">
        <w:rPr>
          <w:sz w:val="16"/>
          <w:szCs w:val="16"/>
        </w:rPr>
        <w:t xml:space="preserve"> Flores Vázquez, Gabino Santiago Jiménez, Isidoro Vicario Aguilar, Margarita </w:t>
      </w:r>
      <w:proofErr w:type="spellStart"/>
      <w:r w:rsidRPr="002E142C">
        <w:rPr>
          <w:sz w:val="16"/>
          <w:szCs w:val="16"/>
        </w:rPr>
        <w:t>Nemecio</w:t>
      </w:r>
      <w:proofErr w:type="spellEnd"/>
      <w:r w:rsidRPr="002E142C">
        <w:rPr>
          <w:sz w:val="16"/>
          <w:szCs w:val="16"/>
        </w:rPr>
        <w:t xml:space="preserve"> Nemesio, Matilde Pérez Romero, Neil Arias </w:t>
      </w:r>
      <w:proofErr w:type="spellStart"/>
      <w:r w:rsidRPr="002E142C">
        <w:rPr>
          <w:sz w:val="16"/>
          <w:szCs w:val="16"/>
        </w:rPr>
        <w:t>Vitinio</w:t>
      </w:r>
      <w:proofErr w:type="spellEnd"/>
      <w:r w:rsidRPr="002E142C">
        <w:rPr>
          <w:sz w:val="16"/>
          <w:szCs w:val="16"/>
        </w:rPr>
        <w:t xml:space="preserve">, Odilia Alatorre Villavicencio, Olivia Arce Bautista, Paulino Rodríguez Reyes, Roberto Gamboa Vázquez, </w:t>
      </w:r>
      <w:proofErr w:type="spellStart"/>
      <w:r w:rsidRPr="002E142C">
        <w:rPr>
          <w:sz w:val="16"/>
          <w:szCs w:val="16"/>
        </w:rPr>
        <w:t>Vidulfo</w:t>
      </w:r>
      <w:proofErr w:type="spellEnd"/>
      <w:r w:rsidRPr="002E142C">
        <w:rPr>
          <w:sz w:val="16"/>
          <w:szCs w:val="16"/>
        </w:rPr>
        <w:t xml:space="preserve"> Rosales Sierra, Fidela Hernández Vargas, Juan Castro </w:t>
      </w:r>
      <w:proofErr w:type="spellStart"/>
      <w:r w:rsidRPr="002E142C">
        <w:rPr>
          <w:sz w:val="16"/>
          <w:szCs w:val="16"/>
        </w:rPr>
        <w:t>Castro</w:t>
      </w:r>
      <w:proofErr w:type="spellEnd"/>
      <w:r w:rsidRPr="002E142C">
        <w:rPr>
          <w:sz w:val="16"/>
          <w:szCs w:val="16"/>
        </w:rPr>
        <w:t xml:space="preserve"> y Rogelio </w:t>
      </w:r>
      <w:proofErr w:type="spellStart"/>
      <w:r w:rsidRPr="002E142C">
        <w:rPr>
          <w:sz w:val="16"/>
          <w:szCs w:val="16"/>
        </w:rPr>
        <w:t>Téliz</w:t>
      </w:r>
      <w:proofErr w:type="spellEnd"/>
      <w:r w:rsidRPr="002E142C">
        <w:rPr>
          <w:sz w:val="16"/>
          <w:szCs w:val="16"/>
        </w:rPr>
        <w:t xml:space="preserve"> García. </w:t>
      </w:r>
      <w:r w:rsidRPr="002E142C">
        <w:rPr>
          <w:i/>
          <w:sz w:val="16"/>
          <w:szCs w:val="16"/>
        </w:rPr>
        <w:t>Cfr.</w:t>
      </w:r>
      <w:r w:rsidRPr="002E142C">
        <w:rPr>
          <w:b/>
          <w:i/>
          <w:sz w:val="16"/>
          <w:szCs w:val="16"/>
        </w:rPr>
        <w:t xml:space="preserve"> </w:t>
      </w:r>
      <w:r w:rsidRPr="002E142C">
        <w:rPr>
          <w:rStyle w:val="Strong"/>
          <w:b w:val="0"/>
          <w:i/>
          <w:color w:val="000000"/>
          <w:sz w:val="16"/>
          <w:szCs w:val="16"/>
          <w:shd w:val="clear" w:color="auto" w:fill="FFFFFF"/>
        </w:rPr>
        <w:t>Caso Fernández Ortega y otros respecto de México.</w:t>
      </w:r>
      <w:r w:rsidRPr="002E142C">
        <w:rPr>
          <w:rStyle w:val="Strong"/>
          <w:b w:val="0"/>
          <w:color w:val="000000"/>
          <w:sz w:val="16"/>
          <w:szCs w:val="16"/>
          <w:shd w:val="clear" w:color="auto" w:fill="FFFFFF"/>
        </w:rPr>
        <w:t xml:space="preserve"> Resolución de la Corte de 23 de febrero de 2016, Considerandos 3, 32 y 36 y puntos resolutivos 1 y 2. </w:t>
      </w:r>
    </w:p>
  </w:footnote>
  <w:footnote w:id="6">
    <w:p w14:paraId="783A62C7" w14:textId="146E9109"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Cfr</w:t>
      </w:r>
      <w:r w:rsidRPr="002E142C">
        <w:rPr>
          <w:sz w:val="16"/>
          <w:szCs w:val="16"/>
        </w:rPr>
        <w:t xml:space="preserve">. </w:t>
      </w:r>
      <w:r w:rsidRPr="002E142C">
        <w:rPr>
          <w:i/>
          <w:sz w:val="16"/>
          <w:szCs w:val="16"/>
        </w:rPr>
        <w:t xml:space="preserve">Asunto Fernández Ortega y otros. </w:t>
      </w:r>
      <w:r w:rsidRPr="002E142C">
        <w:rPr>
          <w:rStyle w:val="Strong"/>
          <w:b w:val="0"/>
          <w:i/>
          <w:color w:val="000000"/>
          <w:sz w:val="16"/>
          <w:szCs w:val="16"/>
          <w:shd w:val="clear" w:color="auto" w:fill="FFFFFF"/>
        </w:rPr>
        <w:t>Medidas Provisionales respecto de México</w:t>
      </w:r>
      <w:r w:rsidRPr="002E142C">
        <w:rPr>
          <w:rStyle w:val="Strong"/>
          <w:b w:val="0"/>
          <w:color w:val="000000"/>
          <w:sz w:val="16"/>
          <w:szCs w:val="16"/>
          <w:shd w:val="clear" w:color="auto" w:fill="FFFFFF"/>
        </w:rPr>
        <w:t xml:space="preserve">. </w:t>
      </w:r>
      <w:r w:rsidRPr="002E142C">
        <w:rPr>
          <w:sz w:val="16"/>
          <w:szCs w:val="16"/>
        </w:rPr>
        <w:t xml:space="preserve">Resolución de la Corte de 30 de abril de 2009, Considerando 8, </w:t>
      </w:r>
      <w:r w:rsidRPr="002E142C">
        <w:rPr>
          <w:rStyle w:val="Strong"/>
          <w:b w:val="0"/>
          <w:i/>
          <w:color w:val="000000"/>
          <w:sz w:val="16"/>
          <w:szCs w:val="16"/>
          <w:shd w:val="clear" w:color="auto" w:fill="FFFFFF"/>
        </w:rPr>
        <w:t>Caso Fernández Ortega y otros. Medidas Provisionales respecto de México.</w:t>
      </w:r>
      <w:r w:rsidRPr="002E142C">
        <w:rPr>
          <w:rStyle w:val="Strong"/>
          <w:b w:val="0"/>
          <w:color w:val="000000"/>
          <w:sz w:val="16"/>
          <w:szCs w:val="16"/>
          <w:shd w:val="clear" w:color="auto" w:fill="FFFFFF"/>
        </w:rPr>
        <w:t xml:space="preserve"> Resolución de la Corte del 20 de febrero de 2012, Considerandos 22 y 23, y </w:t>
      </w:r>
      <w:r w:rsidRPr="002E142C">
        <w:rPr>
          <w:rStyle w:val="Strong"/>
          <w:b w:val="0"/>
          <w:i/>
          <w:color w:val="000000"/>
          <w:sz w:val="16"/>
          <w:szCs w:val="16"/>
          <w:shd w:val="clear" w:color="auto" w:fill="FFFFFF"/>
        </w:rPr>
        <w:t>Caso Fernández Ortega y otros.</w:t>
      </w:r>
      <w:r w:rsidRPr="002E142C">
        <w:rPr>
          <w:rStyle w:val="Strong"/>
          <w:b w:val="0"/>
          <w:color w:val="000000"/>
          <w:sz w:val="16"/>
          <w:szCs w:val="16"/>
          <w:shd w:val="clear" w:color="auto" w:fill="FFFFFF"/>
        </w:rPr>
        <w:t xml:space="preserve"> </w:t>
      </w:r>
      <w:r w:rsidRPr="002E142C">
        <w:rPr>
          <w:bCs/>
          <w:i/>
          <w:color w:val="000000"/>
          <w:sz w:val="16"/>
          <w:szCs w:val="16"/>
          <w:shd w:val="clear" w:color="auto" w:fill="FFFFFF"/>
        </w:rPr>
        <w:t>Medidas Provisionales respecto de México.</w:t>
      </w:r>
      <w:r w:rsidRPr="002E142C">
        <w:rPr>
          <w:bCs/>
          <w:color w:val="000000"/>
          <w:sz w:val="16"/>
          <w:szCs w:val="16"/>
          <w:shd w:val="clear" w:color="auto" w:fill="FFFFFF"/>
        </w:rPr>
        <w:t xml:space="preserve"> </w:t>
      </w:r>
      <w:r w:rsidRPr="002E142C">
        <w:rPr>
          <w:rStyle w:val="Strong"/>
          <w:b w:val="0"/>
          <w:color w:val="000000"/>
          <w:sz w:val="16"/>
          <w:szCs w:val="16"/>
          <w:shd w:val="clear" w:color="auto" w:fill="FFFFFF"/>
        </w:rPr>
        <w:t>Resolución de la Corte de 23 de febrero de 2016, Considerando 27.</w:t>
      </w:r>
    </w:p>
  </w:footnote>
  <w:footnote w:id="7">
    <w:p w14:paraId="72EC691F" w14:textId="069547B7"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Cfr</w:t>
      </w:r>
      <w:r w:rsidRPr="002E142C">
        <w:rPr>
          <w:sz w:val="16"/>
          <w:szCs w:val="16"/>
        </w:rPr>
        <w:t xml:space="preserve">. </w:t>
      </w:r>
      <w:r w:rsidRPr="002E142C">
        <w:rPr>
          <w:rStyle w:val="Strong"/>
          <w:b w:val="0"/>
          <w:i/>
          <w:color w:val="000000"/>
          <w:sz w:val="16"/>
          <w:szCs w:val="16"/>
          <w:shd w:val="clear" w:color="auto" w:fill="FFFFFF"/>
        </w:rPr>
        <w:t>Caso Fernández Ortega y otros.</w:t>
      </w:r>
      <w:r w:rsidRPr="002E142C">
        <w:rPr>
          <w:rStyle w:val="Strong"/>
          <w:b w:val="0"/>
          <w:color w:val="000000"/>
          <w:sz w:val="16"/>
          <w:szCs w:val="16"/>
          <w:shd w:val="clear" w:color="auto" w:fill="FFFFFF"/>
        </w:rPr>
        <w:t xml:space="preserve"> </w:t>
      </w:r>
      <w:r w:rsidRPr="002E142C">
        <w:rPr>
          <w:bCs/>
          <w:i/>
          <w:color w:val="000000"/>
          <w:sz w:val="16"/>
          <w:szCs w:val="16"/>
          <w:shd w:val="clear" w:color="auto" w:fill="FFFFFF"/>
        </w:rPr>
        <w:t>Medidas Provisionales</w:t>
      </w:r>
      <w:r w:rsidRPr="002E142C">
        <w:rPr>
          <w:bCs/>
          <w:i/>
          <w:color w:val="000000"/>
          <w:sz w:val="16"/>
          <w:szCs w:val="16"/>
          <w:shd w:val="clear" w:color="auto" w:fill="FFFFFF"/>
          <w:lang w:eastAsia="es-CR"/>
        </w:rPr>
        <w:t xml:space="preserve"> </w:t>
      </w:r>
      <w:r w:rsidRPr="002E142C">
        <w:rPr>
          <w:bCs/>
          <w:i/>
          <w:color w:val="000000"/>
          <w:sz w:val="16"/>
          <w:szCs w:val="16"/>
          <w:shd w:val="clear" w:color="auto" w:fill="FFFFFF"/>
        </w:rPr>
        <w:t>respecto de México</w:t>
      </w:r>
      <w:r w:rsidRPr="002E142C">
        <w:rPr>
          <w:bCs/>
          <w:color w:val="000000"/>
          <w:sz w:val="16"/>
          <w:szCs w:val="16"/>
          <w:shd w:val="clear" w:color="auto" w:fill="FFFFFF"/>
        </w:rPr>
        <w:t xml:space="preserve">. </w:t>
      </w:r>
      <w:r w:rsidRPr="002E142C">
        <w:rPr>
          <w:rStyle w:val="Strong"/>
          <w:b w:val="0"/>
          <w:color w:val="000000"/>
          <w:sz w:val="16"/>
          <w:szCs w:val="16"/>
          <w:shd w:val="clear" w:color="auto" w:fill="FFFFFF"/>
        </w:rPr>
        <w:t>Resolución de la Corte de 23 de febrero de 2016, Considerando 30.</w:t>
      </w:r>
    </w:p>
  </w:footnote>
  <w:footnote w:id="8">
    <w:p w14:paraId="7289BBA0" w14:textId="30ED0762"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Cfr</w:t>
      </w:r>
      <w:r w:rsidRPr="002E142C">
        <w:rPr>
          <w:sz w:val="16"/>
          <w:szCs w:val="16"/>
        </w:rPr>
        <w:t xml:space="preserve">. </w:t>
      </w:r>
      <w:r w:rsidRPr="002E142C">
        <w:rPr>
          <w:rStyle w:val="Strong"/>
          <w:b w:val="0"/>
          <w:i/>
          <w:color w:val="000000"/>
          <w:sz w:val="16"/>
          <w:szCs w:val="16"/>
          <w:shd w:val="clear" w:color="auto" w:fill="FFFFFF"/>
        </w:rPr>
        <w:t>Caso Fernández Ortega y otros. Medidas</w:t>
      </w:r>
      <w:r w:rsidRPr="002E142C">
        <w:rPr>
          <w:bCs/>
          <w:i/>
          <w:color w:val="000000"/>
          <w:sz w:val="16"/>
          <w:szCs w:val="16"/>
          <w:shd w:val="clear" w:color="auto" w:fill="FFFFFF"/>
        </w:rPr>
        <w:t xml:space="preserve"> Provisionales respecto de México</w:t>
      </w:r>
      <w:r w:rsidRPr="002E142C">
        <w:rPr>
          <w:bCs/>
          <w:color w:val="000000"/>
          <w:sz w:val="16"/>
          <w:szCs w:val="16"/>
          <w:shd w:val="clear" w:color="auto" w:fill="FFFFFF"/>
        </w:rPr>
        <w:t xml:space="preserve">. </w:t>
      </w:r>
      <w:r w:rsidRPr="002E142C">
        <w:rPr>
          <w:rStyle w:val="Strong"/>
          <w:b w:val="0"/>
          <w:color w:val="000000"/>
          <w:sz w:val="16"/>
          <w:szCs w:val="16"/>
          <w:shd w:val="clear" w:color="auto" w:fill="FFFFFF"/>
        </w:rPr>
        <w:t>Resolución de la Corte de 23 de febrero de 2016, Considerandos 34 y 35.</w:t>
      </w:r>
    </w:p>
  </w:footnote>
  <w:footnote w:id="9">
    <w:p w14:paraId="28EFE296" w14:textId="1229F8C4"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Cfr</w:t>
      </w:r>
      <w:r w:rsidRPr="002E142C">
        <w:rPr>
          <w:sz w:val="16"/>
          <w:szCs w:val="16"/>
        </w:rPr>
        <w:t xml:space="preserve">. </w:t>
      </w:r>
      <w:r w:rsidRPr="002E142C">
        <w:rPr>
          <w:rStyle w:val="Strong"/>
          <w:b w:val="0"/>
          <w:i/>
          <w:color w:val="000000"/>
          <w:sz w:val="16"/>
          <w:szCs w:val="16"/>
          <w:shd w:val="clear" w:color="auto" w:fill="FFFFFF"/>
        </w:rPr>
        <w:t>Caso Fernández Ortega y otros. Medidas</w:t>
      </w:r>
      <w:r w:rsidRPr="002E142C">
        <w:rPr>
          <w:bCs/>
          <w:i/>
          <w:color w:val="000000"/>
          <w:sz w:val="16"/>
          <w:szCs w:val="16"/>
          <w:shd w:val="clear" w:color="auto" w:fill="FFFFFF"/>
        </w:rPr>
        <w:t xml:space="preserve"> Provisionales respecto de México</w:t>
      </w:r>
      <w:r w:rsidRPr="002E142C">
        <w:rPr>
          <w:bCs/>
          <w:color w:val="000000"/>
          <w:sz w:val="16"/>
          <w:szCs w:val="16"/>
          <w:shd w:val="clear" w:color="auto" w:fill="FFFFFF"/>
        </w:rPr>
        <w:t xml:space="preserve">. </w:t>
      </w:r>
      <w:r w:rsidRPr="002E142C">
        <w:rPr>
          <w:rStyle w:val="Strong"/>
          <w:b w:val="0"/>
          <w:color w:val="000000"/>
          <w:sz w:val="16"/>
          <w:szCs w:val="16"/>
          <w:shd w:val="clear" w:color="auto" w:fill="FFFFFF"/>
        </w:rPr>
        <w:t>Resolución de la Corte de 23 de febrero de 2016, Considerandos 31 y 36.</w:t>
      </w:r>
    </w:p>
  </w:footnote>
  <w:footnote w:id="10">
    <w:p w14:paraId="6D2A1F84" w14:textId="7DF08D83"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t>Fiscalía General del Estado de Guerrero, Denuncia interpuesta FGE/FERV/031/2016 de 7 de marzo de 2016.</w:t>
      </w:r>
    </w:p>
  </w:footnote>
  <w:footnote w:id="11">
    <w:p w14:paraId="04080E4E" w14:textId="35DC4AB8"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t xml:space="preserve">Al respecto, los representantes añadieron que varios beneficiarios fueron detenidos por los mismos hechos y remitieron una lista de la cual se deduce lo siguiente: i) con respecto a los beneficiarios Juan Remigio Guzmán, Raúl Hernández Abundio, Manuel Cruz Victoriano, Orlando Manzanares Lorenzo y Romualdo Santiago Enedina se dictaron sentencias absolutorias en el proceso penal 48/2008-II; ii) con respecto a los beneficiarios Rafael Rodríguez </w:t>
      </w:r>
      <w:proofErr w:type="spellStart"/>
      <w:r w:rsidRPr="002E142C">
        <w:rPr>
          <w:sz w:val="16"/>
          <w:szCs w:val="16"/>
        </w:rPr>
        <w:t>Dircio</w:t>
      </w:r>
      <w:proofErr w:type="spellEnd"/>
      <w:r w:rsidRPr="002E142C">
        <w:rPr>
          <w:sz w:val="16"/>
          <w:szCs w:val="16"/>
        </w:rPr>
        <w:t xml:space="preserve"> y Severo Eugenio Remigio se dictaron autos de libertad por falta de elementos para procesar </w:t>
      </w:r>
      <w:r w:rsidR="000F1BA6">
        <w:rPr>
          <w:sz w:val="16"/>
          <w:szCs w:val="16"/>
        </w:rPr>
        <w:t xml:space="preserve">en </w:t>
      </w:r>
      <w:r w:rsidRPr="002E142C">
        <w:rPr>
          <w:sz w:val="16"/>
          <w:szCs w:val="16"/>
        </w:rPr>
        <w:t>el expediente penal 48/2008-II, y iii) los beneficiarios Victoriano Eugenio Manuel, Gabino Eugenio Manuel, Braulio Manzanares Lorenzo y Félix Ortega Dolores tienen orden de aprehensión en el proceso penal 48/2008-II.</w:t>
      </w:r>
    </w:p>
  </w:footnote>
  <w:footnote w:id="12">
    <w:p w14:paraId="441989D9" w14:textId="009EBFAA"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t>Juzgado Mixto de Primer Instancia del Distrito Judicial de Allende. Auto constitucional de libertad de 10 de marzo de 2016, expediente penal 48/2008-II.</w:t>
      </w:r>
    </w:p>
  </w:footnote>
  <w:footnote w:id="13">
    <w:p w14:paraId="22CA1690" w14:textId="652B9E9E"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t xml:space="preserve">Nota de prensa de El Universal, titulada “Video exhibe presunto nexo de Padres de 43 con el narco”, 5 de abril de 2016, disponible en: </w:t>
      </w:r>
      <w:hyperlink r:id="rId1" w:history="1">
        <w:r w:rsidRPr="002E142C">
          <w:rPr>
            <w:rStyle w:val="Hyperlink"/>
            <w:sz w:val="16"/>
            <w:szCs w:val="16"/>
          </w:rPr>
          <w:t>http://www.eluniversal.com.mx/articulo/nacion/seguridad/2016/04/5/video-busca-ligar-padres-de-los-43-con-el-narcotrafico</w:t>
        </w:r>
      </w:hyperlink>
      <w:r w:rsidRPr="002E142C">
        <w:rPr>
          <w:sz w:val="16"/>
          <w:szCs w:val="16"/>
        </w:rPr>
        <w:t>.</w:t>
      </w:r>
    </w:p>
  </w:footnote>
  <w:footnote w:id="14">
    <w:p w14:paraId="3DD045CA" w14:textId="6C188E74"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t xml:space="preserve">Como fundamento de esta desconfianza, los representantes citaron un informe sobre el sistema de justicia en Guerrero alegando que “la misma policía investigadora del delito, [está] profundamente implicada en la perpetración de atrocidades, [y a la vez] es la encargada de investigarlas. Hasta hace poco, la [Fiscalía General del Estado de Guerrero] era un mero apéndice del poder ejecutivo, y parecía más interesada en ignorar las denuncias de atrocidades que en investigarlas”. Open </w:t>
      </w:r>
      <w:proofErr w:type="spellStart"/>
      <w:r w:rsidRPr="002E142C">
        <w:rPr>
          <w:sz w:val="16"/>
          <w:szCs w:val="16"/>
        </w:rPr>
        <w:t>Society</w:t>
      </w:r>
      <w:proofErr w:type="spellEnd"/>
      <w:r w:rsidRPr="002E142C">
        <w:rPr>
          <w:sz w:val="16"/>
          <w:szCs w:val="16"/>
        </w:rPr>
        <w:t xml:space="preserve"> </w:t>
      </w:r>
      <w:proofErr w:type="spellStart"/>
      <w:r w:rsidRPr="002E142C">
        <w:rPr>
          <w:sz w:val="16"/>
          <w:szCs w:val="16"/>
        </w:rPr>
        <w:t>Foundations</w:t>
      </w:r>
      <w:proofErr w:type="spellEnd"/>
      <w:r w:rsidRPr="002E142C">
        <w:rPr>
          <w:sz w:val="16"/>
          <w:szCs w:val="16"/>
        </w:rPr>
        <w:t>. Justicia Fallida en el Estado de Guerrer</w:t>
      </w:r>
      <w:r w:rsidR="000F1BA6">
        <w:rPr>
          <w:sz w:val="16"/>
          <w:szCs w:val="16"/>
        </w:rPr>
        <w:t>o. 2015, pág. 8. Disponible en:</w:t>
      </w:r>
      <w:r w:rsidRPr="002E142C">
        <w:rPr>
          <w:sz w:val="16"/>
          <w:szCs w:val="16"/>
        </w:rPr>
        <w:t xml:space="preserve"> </w:t>
      </w:r>
      <w:hyperlink r:id="rId2" w:history="1">
        <w:r w:rsidRPr="002E142C">
          <w:rPr>
            <w:rStyle w:val="Hyperlink"/>
            <w:sz w:val="16"/>
            <w:szCs w:val="16"/>
          </w:rPr>
          <w:t>https://www.opensocietyfoundations.org/sites/default/files/justicia-fallida-estado-guerrero-esp-20150826.pdf</w:t>
        </w:r>
      </w:hyperlink>
      <w:r w:rsidRPr="002E142C">
        <w:rPr>
          <w:sz w:val="16"/>
          <w:szCs w:val="16"/>
        </w:rPr>
        <w:t>.</w:t>
      </w:r>
    </w:p>
  </w:footnote>
  <w:footnote w:id="15">
    <w:p w14:paraId="7A12280D" w14:textId="3B39045E" w:rsidR="00926161" w:rsidRPr="002E142C" w:rsidRDefault="00926161" w:rsidP="0072590C">
      <w:pPr>
        <w:pStyle w:val="FootnoteText"/>
        <w:tabs>
          <w:tab w:val="left" w:pos="360"/>
          <w:tab w:val="left" w:pos="426"/>
        </w:tabs>
        <w:spacing w:before="120" w:after="120"/>
        <w:jc w:val="both"/>
        <w:rPr>
          <w:i/>
          <w:iCs/>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t xml:space="preserve">De acuerdo a lo informado por los representantes, “se […] acercó un hombre –al que pudo notar que estaba armado- que de forma agresiva comenzó a encararlo ‘por qué preguntas tantas cosas’ ‘tú no tienes que decir nada’. Ante este acto de amedrentamiento, el defensor de </w:t>
      </w:r>
      <w:proofErr w:type="spellStart"/>
      <w:r w:rsidRPr="002E142C">
        <w:rPr>
          <w:sz w:val="16"/>
          <w:szCs w:val="16"/>
        </w:rPr>
        <w:t>Tlachinollan</w:t>
      </w:r>
      <w:proofErr w:type="spellEnd"/>
      <w:r w:rsidRPr="002E142C">
        <w:rPr>
          <w:sz w:val="16"/>
          <w:szCs w:val="16"/>
        </w:rPr>
        <w:t xml:space="preserve">, optó por alejarse de la persona. Sin embargo, en ese momento llegó otra persona que también portaba arma y los dos lo rodearon y comentaron entre sí </w:t>
      </w:r>
      <w:r w:rsidRPr="002E142C">
        <w:rPr>
          <w:iCs/>
          <w:sz w:val="16"/>
          <w:szCs w:val="16"/>
        </w:rPr>
        <w:t>‘¿Cómo ves? ¿No los echamos?’”</w:t>
      </w:r>
      <w:r w:rsidRPr="002E142C">
        <w:rPr>
          <w:sz w:val="16"/>
          <w:szCs w:val="16"/>
        </w:rPr>
        <w:t xml:space="preserve">. </w:t>
      </w:r>
    </w:p>
  </w:footnote>
  <w:footnote w:id="16">
    <w:p w14:paraId="25977A7A" w14:textId="66735878"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t>En más detalle, los representantes señalaron que “los policías ministeriales manifestaron que ‘los de derechos humanos los habían denunciado’ y que por eso necesitaban que ‘se encargaran de ellos’. La respuesta de los miembros de la delincuencia habría sido positiva y ellos se encargarían de ‘quebrarlos’ por andarse metiendo con sus amigos”.</w:t>
      </w:r>
    </w:p>
  </w:footnote>
  <w:footnote w:id="17">
    <w:p w14:paraId="3F42689F" w14:textId="5089E93C"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t>De acuerdo a lo informado por los representantes, “</w:t>
      </w:r>
      <w:proofErr w:type="gramStart"/>
      <w:r w:rsidRPr="002E142C">
        <w:rPr>
          <w:sz w:val="16"/>
          <w:szCs w:val="16"/>
        </w:rPr>
        <w:t>ingresa[</w:t>
      </w:r>
      <w:proofErr w:type="gramEnd"/>
      <w:r w:rsidRPr="002E142C">
        <w:rPr>
          <w:sz w:val="16"/>
          <w:szCs w:val="16"/>
        </w:rPr>
        <w:t xml:space="preserve">ron] dos hombres, quienes esperaron a que se fueran las personas que atendía el contratista para hablar con él [preguntándole </w:t>
      </w:r>
      <w:r w:rsidRPr="002E142C">
        <w:rPr>
          <w:iCs/>
          <w:sz w:val="16"/>
          <w:szCs w:val="16"/>
        </w:rPr>
        <w:t xml:space="preserve">si sabe que tiene que pagar la plaza]. </w:t>
      </w:r>
      <w:r w:rsidRPr="002E142C">
        <w:rPr>
          <w:sz w:val="16"/>
          <w:szCs w:val="16"/>
        </w:rPr>
        <w:t>Extrañado el contratista les indicó que no sabía de qué hablaban, por lo que los hombres se mostraron</w:t>
      </w:r>
      <w:r w:rsidRPr="002E142C">
        <w:rPr>
          <w:iCs/>
          <w:sz w:val="16"/>
          <w:szCs w:val="16"/>
        </w:rPr>
        <w:t xml:space="preserve"> </w:t>
      </w:r>
      <w:r w:rsidRPr="002E142C">
        <w:rPr>
          <w:sz w:val="16"/>
          <w:szCs w:val="16"/>
        </w:rPr>
        <w:t xml:space="preserve">más agresivos, [diciéndole que] </w:t>
      </w:r>
      <w:r w:rsidRPr="002E142C">
        <w:rPr>
          <w:iCs/>
          <w:sz w:val="16"/>
          <w:szCs w:val="16"/>
        </w:rPr>
        <w:t>‘no te hagas pendejo sabes que tienes que pagar 10 mil pesos, ya te habían dicho’ [y]</w:t>
      </w:r>
      <w:r w:rsidRPr="002E142C">
        <w:rPr>
          <w:sz w:val="16"/>
          <w:szCs w:val="16"/>
        </w:rPr>
        <w:t xml:space="preserve"> </w:t>
      </w:r>
      <w:r w:rsidRPr="002E142C">
        <w:rPr>
          <w:iCs/>
          <w:sz w:val="16"/>
          <w:szCs w:val="16"/>
        </w:rPr>
        <w:t>‘[n]</w:t>
      </w:r>
      <w:proofErr w:type="spellStart"/>
      <w:r w:rsidRPr="002E142C">
        <w:rPr>
          <w:iCs/>
          <w:sz w:val="16"/>
          <w:szCs w:val="16"/>
        </w:rPr>
        <w:t>osotros</w:t>
      </w:r>
      <w:proofErr w:type="spellEnd"/>
      <w:r w:rsidRPr="002E142C">
        <w:rPr>
          <w:iCs/>
          <w:sz w:val="16"/>
          <w:szCs w:val="16"/>
        </w:rPr>
        <w:t xml:space="preserve"> no andamos con chingaderas, más vale que lo juntes’ </w:t>
      </w:r>
      <w:r w:rsidRPr="002E142C">
        <w:rPr>
          <w:sz w:val="16"/>
          <w:szCs w:val="16"/>
        </w:rPr>
        <w:t>y le hacía preguntas sobre quién tenía dinero [mientras] otro, se tomaba de la cintura y</w:t>
      </w:r>
      <w:r w:rsidRPr="002E142C">
        <w:rPr>
          <w:iCs/>
          <w:sz w:val="16"/>
          <w:szCs w:val="16"/>
        </w:rPr>
        <w:t xml:space="preserve"> </w:t>
      </w:r>
      <w:r w:rsidRPr="002E142C">
        <w:rPr>
          <w:sz w:val="16"/>
          <w:szCs w:val="16"/>
        </w:rPr>
        <w:t>mostraba un arma. Asimismo, el contratista comentó que una de las personas le tomó una fotografía y</w:t>
      </w:r>
      <w:r w:rsidRPr="002E142C">
        <w:rPr>
          <w:iCs/>
          <w:sz w:val="16"/>
          <w:szCs w:val="16"/>
        </w:rPr>
        <w:t xml:space="preserve"> </w:t>
      </w:r>
      <w:r w:rsidRPr="002E142C">
        <w:rPr>
          <w:sz w:val="16"/>
          <w:szCs w:val="16"/>
        </w:rPr>
        <w:t xml:space="preserve">le indicó </w:t>
      </w:r>
      <w:r w:rsidRPr="002E142C">
        <w:rPr>
          <w:iCs/>
          <w:sz w:val="16"/>
          <w:szCs w:val="16"/>
        </w:rPr>
        <w:t xml:space="preserve">‘ya no te me vas a olvidar’. [Al final], </w:t>
      </w:r>
      <w:r w:rsidRPr="002E142C">
        <w:rPr>
          <w:sz w:val="16"/>
          <w:szCs w:val="16"/>
        </w:rPr>
        <w:t>decidieron irse, no sin antes amenazarlo con que volverían por su dinero y</w:t>
      </w:r>
      <w:r w:rsidRPr="002E142C">
        <w:rPr>
          <w:i/>
          <w:iCs/>
          <w:sz w:val="16"/>
          <w:szCs w:val="16"/>
        </w:rPr>
        <w:t xml:space="preserve"> </w:t>
      </w:r>
      <w:r w:rsidRPr="002E142C">
        <w:rPr>
          <w:sz w:val="16"/>
          <w:szCs w:val="16"/>
        </w:rPr>
        <w:t>que esperaban encontrarlo, según lo señalado pasarían por la tarde de ese mismo día”. Además, los representantes señalaron que “[e]</w:t>
      </w:r>
      <w:proofErr w:type="spellStart"/>
      <w:r w:rsidRPr="002E142C">
        <w:rPr>
          <w:sz w:val="16"/>
          <w:szCs w:val="16"/>
        </w:rPr>
        <w:t>sos</w:t>
      </w:r>
      <w:proofErr w:type="spellEnd"/>
      <w:r w:rsidRPr="002E142C">
        <w:rPr>
          <w:sz w:val="16"/>
          <w:szCs w:val="16"/>
        </w:rPr>
        <w:t xml:space="preserve"> hechos y amenazas estuvieron seguidas de un mensaje a su teléfono móvil que decía </w:t>
      </w:r>
      <w:r w:rsidRPr="002E142C">
        <w:rPr>
          <w:iCs/>
          <w:sz w:val="16"/>
          <w:szCs w:val="16"/>
        </w:rPr>
        <w:t>‘pendejo</w:t>
      </w:r>
      <w:r w:rsidRPr="002E142C">
        <w:rPr>
          <w:sz w:val="16"/>
          <w:szCs w:val="16"/>
        </w:rPr>
        <w:t xml:space="preserve"> </w:t>
      </w:r>
      <w:r w:rsidRPr="002E142C">
        <w:rPr>
          <w:iCs/>
          <w:sz w:val="16"/>
          <w:szCs w:val="16"/>
        </w:rPr>
        <w:t>hijo de tu puta madre’”</w:t>
      </w:r>
      <w:r w:rsidRPr="002E142C">
        <w:rPr>
          <w:i/>
          <w:iCs/>
          <w:sz w:val="16"/>
          <w:szCs w:val="16"/>
        </w:rPr>
        <w:t>.</w:t>
      </w:r>
      <w:r w:rsidRPr="002E142C">
        <w:rPr>
          <w:iCs/>
          <w:sz w:val="16"/>
          <w:szCs w:val="16"/>
        </w:rPr>
        <w:t xml:space="preserve"> </w:t>
      </w:r>
    </w:p>
  </w:footnote>
  <w:footnote w:id="18">
    <w:p w14:paraId="71B46E7B" w14:textId="051DDFEC" w:rsidR="00926161" w:rsidRPr="002E142C" w:rsidRDefault="00926161" w:rsidP="006E3A2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t>Comisión Interamericana de Derechos Humanos, “Situación de Derechos Humanos en México”, OEA/</w:t>
      </w:r>
      <w:proofErr w:type="spellStart"/>
      <w:r w:rsidRPr="002E142C">
        <w:rPr>
          <w:sz w:val="16"/>
          <w:szCs w:val="16"/>
        </w:rPr>
        <w:t>Ser.L</w:t>
      </w:r>
      <w:proofErr w:type="spellEnd"/>
      <w:r w:rsidRPr="002E142C">
        <w:rPr>
          <w:sz w:val="16"/>
          <w:szCs w:val="16"/>
        </w:rPr>
        <w:t>/V/II.,  Doc. 44/15, 31 de diciembre de 2015</w:t>
      </w:r>
      <w:r w:rsidRPr="002E142C">
        <w:rPr>
          <w:i/>
          <w:sz w:val="16"/>
          <w:szCs w:val="16"/>
        </w:rPr>
        <w:t xml:space="preserve">, </w:t>
      </w:r>
      <w:r w:rsidRPr="002E142C">
        <w:rPr>
          <w:sz w:val="16"/>
          <w:szCs w:val="16"/>
        </w:rPr>
        <w:t xml:space="preserve">párr. 361. </w:t>
      </w:r>
    </w:p>
  </w:footnote>
  <w:footnote w:id="19">
    <w:p w14:paraId="31FF52E8" w14:textId="26AF5661"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t>Como fundamento de este alegato los representantes citaron los siguientes documentos: i) Comisión Interamericana de Derechos Humanos, “Situación de Derechos Humanos en México”, OEA/</w:t>
      </w:r>
      <w:proofErr w:type="spellStart"/>
      <w:r w:rsidRPr="002E142C">
        <w:rPr>
          <w:sz w:val="16"/>
          <w:szCs w:val="16"/>
        </w:rPr>
        <w:t>Ser.L</w:t>
      </w:r>
      <w:proofErr w:type="spellEnd"/>
      <w:r w:rsidRPr="002E142C">
        <w:rPr>
          <w:sz w:val="16"/>
          <w:szCs w:val="16"/>
        </w:rPr>
        <w:t>/V/II.,  Doc. 44/15, 31 de diciembre de 2015</w:t>
      </w:r>
      <w:r w:rsidRPr="002E142C">
        <w:rPr>
          <w:i/>
          <w:sz w:val="16"/>
          <w:szCs w:val="16"/>
        </w:rPr>
        <w:t xml:space="preserve">, </w:t>
      </w:r>
      <w:proofErr w:type="spellStart"/>
      <w:r w:rsidRPr="002E142C">
        <w:rPr>
          <w:sz w:val="16"/>
          <w:szCs w:val="16"/>
        </w:rPr>
        <w:t>párrs</w:t>
      </w:r>
      <w:proofErr w:type="spellEnd"/>
      <w:r w:rsidRPr="002E142C">
        <w:rPr>
          <w:sz w:val="16"/>
          <w:szCs w:val="16"/>
        </w:rPr>
        <w:t xml:space="preserve">. 353 y 354; ii) OACNUDH, Informe sobre la situación de las y los defensores de derechos humanos en México: Actualización 2012 y balance 2013, junio de 2013, pág. 10, disponible en: </w:t>
      </w:r>
      <w:hyperlink r:id="rId3" w:history="1">
        <w:r w:rsidRPr="002E142C">
          <w:rPr>
            <w:rStyle w:val="Hyperlink"/>
            <w:sz w:val="16"/>
            <w:szCs w:val="16"/>
          </w:rPr>
          <w:t>http://www.hchr.org.mx/images/doc_pub/Informe_defensoresDH_2013_web.pdf</w:t>
        </w:r>
      </w:hyperlink>
      <w:r w:rsidRPr="002E142C">
        <w:rPr>
          <w:sz w:val="16"/>
          <w:szCs w:val="16"/>
        </w:rPr>
        <w:t xml:space="preserve">, y iii) ACUDDEH, Campaña Nacional Contra la Desaparición Forzada y Comité Cerezo México, Cuarto Informe de violaciones de derechos humanos contra personas defensoras de los derechos humanos. Defender los derechos humanos en México: la represión política, un práctica generalizada, 27 de agosto de 2015, pág. 128, disponible en: </w:t>
      </w:r>
      <w:hyperlink r:id="rId4" w:history="1">
        <w:r w:rsidRPr="002E142C">
          <w:rPr>
            <w:rStyle w:val="Hyperlink"/>
            <w:sz w:val="16"/>
            <w:szCs w:val="16"/>
          </w:rPr>
          <w:t>https://www.comitecerezo.org/IMG/pdf/vdh_4.pdf</w:t>
        </w:r>
      </w:hyperlink>
      <w:r w:rsidRPr="002E142C">
        <w:rPr>
          <w:sz w:val="16"/>
          <w:szCs w:val="16"/>
        </w:rPr>
        <w:t>.</w:t>
      </w:r>
    </w:p>
  </w:footnote>
  <w:footnote w:id="20">
    <w:p w14:paraId="7732F436" w14:textId="66318473"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t>En particular, manifestaron que este análisis debe cumplir, como mínimo, con los siguientes requisitos: i) apego y</w:t>
      </w:r>
      <w:r w:rsidR="000F1BA6">
        <w:rPr>
          <w:sz w:val="16"/>
          <w:szCs w:val="16"/>
        </w:rPr>
        <w:t xml:space="preserve"> respeto a los derechos humanos</w:t>
      </w:r>
      <w:r w:rsidRPr="002E142C">
        <w:rPr>
          <w:sz w:val="16"/>
          <w:szCs w:val="16"/>
        </w:rPr>
        <w:t xml:space="preserve"> de los beneficiarios, tomando en cuenta el contexto de inseguridad y violencia en sus regiones, ii) la participación objetiva de la institución encargada y la garantía de que “el proceso […] sea avalado por los beneficiarios”; iii) la participación de la Oficina del Alto Comisionado de Naciones Unidas; iv) el diseño</w:t>
      </w:r>
      <w:r w:rsidR="000F1BA6">
        <w:rPr>
          <w:sz w:val="16"/>
          <w:szCs w:val="16"/>
        </w:rPr>
        <w:t xml:space="preserve"> de</w:t>
      </w:r>
      <w:r w:rsidRPr="002E142C">
        <w:rPr>
          <w:sz w:val="16"/>
          <w:szCs w:val="16"/>
        </w:rPr>
        <w:t xml:space="preserve"> la metodología de implementación del análisis de riesgo en consulta con los beneficiarios, y </w:t>
      </w:r>
      <w:r w:rsidR="000F1BA6">
        <w:rPr>
          <w:sz w:val="16"/>
          <w:szCs w:val="16"/>
        </w:rPr>
        <w:t xml:space="preserve">que </w:t>
      </w:r>
      <w:r w:rsidRPr="002E142C">
        <w:rPr>
          <w:sz w:val="16"/>
          <w:szCs w:val="16"/>
        </w:rPr>
        <w:t>v) el gobierno mexicano debe cubrir los gastos vinculados con los estudios y sus implicaciones.</w:t>
      </w:r>
    </w:p>
  </w:footnote>
  <w:footnote w:id="21">
    <w:p w14:paraId="6B14317D" w14:textId="7F8042DE"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t>Al respecto, el Estado especificó que: i) en el caso de la señora Fernández Ortega y sus familiares “han pasado más de 6 años sin que se presente situación alguna de riesgo”; ii) referente a la señora E</w:t>
      </w:r>
      <w:r w:rsidR="000F1BA6">
        <w:rPr>
          <w:sz w:val="16"/>
          <w:szCs w:val="16"/>
        </w:rPr>
        <w:t>ugenio Manuel y sus familiares “</w:t>
      </w:r>
      <w:r w:rsidRPr="002E142C">
        <w:rPr>
          <w:sz w:val="16"/>
          <w:szCs w:val="16"/>
        </w:rPr>
        <w:t>las últimas denuncias presentadas […] tienen una antigüedad de más de tres años”; iii) con respecto a Andrea Eugenio Manuel ha pasado “un per</w:t>
      </w:r>
      <w:r w:rsidR="000F1BA6">
        <w:rPr>
          <w:sz w:val="16"/>
          <w:szCs w:val="16"/>
        </w:rPr>
        <w:t>í</w:t>
      </w:r>
      <w:r w:rsidRPr="002E142C">
        <w:rPr>
          <w:sz w:val="16"/>
          <w:szCs w:val="16"/>
        </w:rPr>
        <w:t xml:space="preserve">odo de más de seis años sin ninguna situación de riesgo”, y iv) en cuanto a los 18 beneficiarios del Centro de Derechos Humanos de la Montaña </w:t>
      </w:r>
      <w:proofErr w:type="spellStart"/>
      <w:r w:rsidRPr="002E142C">
        <w:rPr>
          <w:sz w:val="16"/>
          <w:szCs w:val="16"/>
        </w:rPr>
        <w:t>Tlachinollan</w:t>
      </w:r>
      <w:proofErr w:type="spellEnd"/>
      <w:r w:rsidRPr="002E142C">
        <w:rPr>
          <w:sz w:val="16"/>
          <w:szCs w:val="16"/>
        </w:rPr>
        <w:t xml:space="preserve"> “desde el año 2012 no se han presentado situaciones de riesgo que justifiquen la permanencia de las presentes medidas provisionales”. </w:t>
      </w:r>
      <w:r w:rsidRPr="002E142C">
        <w:rPr>
          <w:b/>
          <w:sz w:val="16"/>
          <w:szCs w:val="16"/>
        </w:rPr>
        <w:t xml:space="preserve"> </w:t>
      </w:r>
    </w:p>
  </w:footnote>
  <w:footnote w:id="22">
    <w:p w14:paraId="4DF8A963" w14:textId="179DAC91"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r>
      <w:r w:rsidRPr="002E142C">
        <w:rPr>
          <w:i/>
          <w:sz w:val="16"/>
          <w:szCs w:val="16"/>
          <w:lang w:val="es-MX"/>
        </w:rPr>
        <w:t>Cfr.</w:t>
      </w:r>
      <w:r w:rsidRPr="002E142C">
        <w:rPr>
          <w:i/>
          <w:sz w:val="16"/>
          <w:szCs w:val="16"/>
          <w:lang w:val="es-MX" w:eastAsia="es-CR"/>
        </w:rPr>
        <w:t xml:space="preserve"> </w:t>
      </w:r>
      <w:r w:rsidRPr="002E142C">
        <w:rPr>
          <w:i/>
          <w:sz w:val="16"/>
          <w:szCs w:val="16"/>
          <w:lang w:val="es-MX"/>
        </w:rPr>
        <w:t xml:space="preserve">Caso Carpio </w:t>
      </w:r>
      <w:proofErr w:type="spellStart"/>
      <w:r w:rsidRPr="002E142C">
        <w:rPr>
          <w:i/>
          <w:sz w:val="16"/>
          <w:szCs w:val="16"/>
          <w:lang w:val="es-MX"/>
        </w:rPr>
        <w:t>Nicolle</w:t>
      </w:r>
      <w:proofErr w:type="spellEnd"/>
      <w:r w:rsidRPr="002E142C">
        <w:rPr>
          <w:i/>
          <w:sz w:val="16"/>
          <w:szCs w:val="16"/>
          <w:lang w:val="es-MX"/>
        </w:rPr>
        <w:t>. Medidas Provisionales respecto de Guatemala</w:t>
      </w:r>
      <w:r w:rsidRPr="002E142C">
        <w:rPr>
          <w:sz w:val="16"/>
          <w:szCs w:val="16"/>
          <w:lang w:val="es-MX"/>
        </w:rPr>
        <w:t xml:space="preserve">. Resolución de la Corte Interamericana de Derechos Humanos de 6 de julio de 2009, Considerando 18, y </w:t>
      </w:r>
      <w:r w:rsidRPr="002E142C">
        <w:rPr>
          <w:rStyle w:val="Strong"/>
          <w:b w:val="0"/>
          <w:i/>
          <w:color w:val="000000"/>
          <w:sz w:val="16"/>
          <w:szCs w:val="16"/>
          <w:shd w:val="clear" w:color="auto" w:fill="FFFFFF"/>
        </w:rPr>
        <w:t xml:space="preserve">Caso Rosendo Cantú y otra. </w:t>
      </w:r>
      <w:r w:rsidRPr="002E142C">
        <w:rPr>
          <w:bCs/>
          <w:i/>
          <w:color w:val="000000"/>
          <w:sz w:val="16"/>
          <w:szCs w:val="16"/>
          <w:shd w:val="clear" w:color="auto" w:fill="FFFFFF"/>
        </w:rPr>
        <w:t>Medidas Provisionales respecto de México .</w:t>
      </w:r>
      <w:r w:rsidRPr="002E142C">
        <w:rPr>
          <w:rStyle w:val="Strong"/>
          <w:b w:val="0"/>
          <w:color w:val="000000"/>
          <w:sz w:val="16"/>
          <w:szCs w:val="16"/>
          <w:shd w:val="clear" w:color="auto" w:fill="FFFFFF"/>
        </w:rPr>
        <w:t>Resolución de la Corte Interamericana de Derechos Humanos de 23 de febrero de 2016, Considerando 4.</w:t>
      </w:r>
    </w:p>
  </w:footnote>
  <w:footnote w:id="23">
    <w:p w14:paraId="578717CD" w14:textId="3C3F72D0"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r>
      <w:r w:rsidRPr="002E142C">
        <w:rPr>
          <w:i/>
          <w:sz w:val="16"/>
          <w:szCs w:val="16"/>
        </w:rPr>
        <w:t>Cfr. Asunto Adrián Meléndez Quijano y otros. Medidas Provisionales respecto de El Salvador.</w:t>
      </w:r>
      <w:r w:rsidRPr="002E142C">
        <w:rPr>
          <w:sz w:val="16"/>
          <w:szCs w:val="16"/>
        </w:rPr>
        <w:t xml:space="preserve"> Resolución de la Corte de 21 de agosto de 2013, Considerando 22, y </w:t>
      </w:r>
      <w:r w:rsidRPr="002E142C">
        <w:rPr>
          <w:i/>
          <w:sz w:val="16"/>
          <w:szCs w:val="16"/>
        </w:rPr>
        <w:t>Asunto Galdámez Álvarez y otros. Medidas Provisionales</w:t>
      </w:r>
      <w:r w:rsidRPr="002E142C">
        <w:rPr>
          <w:i/>
          <w:sz w:val="16"/>
          <w:szCs w:val="16"/>
          <w:lang w:eastAsia="es-CR"/>
        </w:rPr>
        <w:t xml:space="preserve"> </w:t>
      </w:r>
      <w:r w:rsidRPr="002E142C">
        <w:rPr>
          <w:i/>
          <w:sz w:val="16"/>
          <w:szCs w:val="16"/>
        </w:rPr>
        <w:t>respecto de Honduras</w:t>
      </w:r>
      <w:r w:rsidRPr="002E142C">
        <w:rPr>
          <w:sz w:val="16"/>
          <w:szCs w:val="16"/>
        </w:rPr>
        <w:t>. Resolución de la Corte Interamericana de Derechos Humanos de 23 de noviembre de 2016, Considerando 24.</w:t>
      </w:r>
    </w:p>
  </w:footnote>
  <w:footnote w:id="24">
    <w:p w14:paraId="74A8EF55" w14:textId="41FBB419"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r>
      <w:r w:rsidRPr="002E142C">
        <w:rPr>
          <w:i/>
          <w:sz w:val="16"/>
          <w:szCs w:val="16"/>
        </w:rPr>
        <w:t>Cfr</w:t>
      </w:r>
      <w:r w:rsidRPr="002E142C">
        <w:rPr>
          <w:sz w:val="16"/>
          <w:szCs w:val="16"/>
        </w:rPr>
        <w:t xml:space="preserve">. </w:t>
      </w:r>
      <w:r w:rsidRPr="002E142C">
        <w:rPr>
          <w:i/>
          <w:sz w:val="16"/>
          <w:szCs w:val="16"/>
        </w:rPr>
        <w:t xml:space="preserve">Caso </w:t>
      </w:r>
      <w:proofErr w:type="spellStart"/>
      <w:r w:rsidRPr="002E142C">
        <w:rPr>
          <w:i/>
          <w:sz w:val="16"/>
          <w:szCs w:val="16"/>
        </w:rPr>
        <w:t>Raxcacó</w:t>
      </w:r>
      <w:proofErr w:type="spellEnd"/>
      <w:r w:rsidRPr="002E142C">
        <w:rPr>
          <w:i/>
          <w:sz w:val="16"/>
          <w:szCs w:val="16"/>
        </w:rPr>
        <w:t xml:space="preserve"> Reyes y otros. Medidas Provisionales respecto de Guatemala.</w:t>
      </w:r>
      <w:r w:rsidRPr="002E142C">
        <w:rPr>
          <w:sz w:val="16"/>
          <w:szCs w:val="16"/>
        </w:rPr>
        <w:t xml:space="preserve"> Resolución de la Corte de 30 de agosto de 2004, Considerando 10, y</w:t>
      </w:r>
      <w:r w:rsidRPr="002E142C">
        <w:rPr>
          <w:i/>
          <w:sz w:val="16"/>
          <w:szCs w:val="16"/>
          <w:lang w:eastAsia="es-CR"/>
        </w:rPr>
        <w:t xml:space="preserve"> </w:t>
      </w:r>
      <w:r w:rsidRPr="002E142C">
        <w:rPr>
          <w:i/>
          <w:sz w:val="16"/>
          <w:szCs w:val="16"/>
        </w:rPr>
        <w:t xml:space="preserve">Asunto Del Instituto Penal Plácido de </w:t>
      </w:r>
      <w:proofErr w:type="spellStart"/>
      <w:r w:rsidRPr="002E142C">
        <w:rPr>
          <w:i/>
          <w:sz w:val="16"/>
          <w:szCs w:val="16"/>
        </w:rPr>
        <w:t>Sá</w:t>
      </w:r>
      <w:proofErr w:type="spellEnd"/>
      <w:r w:rsidRPr="002E142C">
        <w:rPr>
          <w:i/>
          <w:sz w:val="16"/>
          <w:szCs w:val="16"/>
        </w:rPr>
        <w:t xml:space="preserve"> Carvalho. Medidas Provisionales respecto de Brasil</w:t>
      </w:r>
      <w:r w:rsidRPr="002E142C">
        <w:rPr>
          <w:sz w:val="16"/>
          <w:szCs w:val="16"/>
        </w:rPr>
        <w:t>. Resolución de la Corte Interamericana de Derechos Humanos de 13 de febrero de 2017, Considerando 5.</w:t>
      </w:r>
    </w:p>
  </w:footnote>
  <w:footnote w:id="25">
    <w:p w14:paraId="0FF2843F" w14:textId="4689D06F"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Cfr</w:t>
      </w:r>
      <w:r w:rsidRPr="002E142C">
        <w:rPr>
          <w:sz w:val="16"/>
          <w:szCs w:val="16"/>
        </w:rPr>
        <w:t xml:space="preserve">. </w:t>
      </w:r>
      <w:r w:rsidRPr="002E142C">
        <w:rPr>
          <w:i/>
          <w:sz w:val="16"/>
          <w:szCs w:val="16"/>
        </w:rPr>
        <w:t xml:space="preserve">Asunto del Pueblo Indígena </w:t>
      </w:r>
      <w:proofErr w:type="spellStart"/>
      <w:r w:rsidRPr="002E142C">
        <w:rPr>
          <w:i/>
          <w:sz w:val="16"/>
          <w:szCs w:val="16"/>
        </w:rPr>
        <w:t>Kankuamo</w:t>
      </w:r>
      <w:proofErr w:type="spellEnd"/>
      <w:r w:rsidRPr="002E142C">
        <w:rPr>
          <w:i/>
          <w:sz w:val="16"/>
          <w:szCs w:val="16"/>
        </w:rPr>
        <w:t>. Medidas Provisionales respecto de Colombia</w:t>
      </w:r>
      <w:r w:rsidRPr="002E142C">
        <w:rPr>
          <w:sz w:val="16"/>
          <w:szCs w:val="16"/>
        </w:rPr>
        <w:t xml:space="preserve">. Resolución de la Corte de 3 de abril de 2009, Considerando 7, y </w:t>
      </w:r>
      <w:r w:rsidRPr="002E142C">
        <w:rPr>
          <w:i/>
          <w:sz w:val="16"/>
          <w:szCs w:val="16"/>
        </w:rPr>
        <w:t>Asunto Galdámez Álvarez y otros. Medidas Provisionales</w:t>
      </w:r>
      <w:r w:rsidRPr="002E142C">
        <w:rPr>
          <w:i/>
          <w:sz w:val="16"/>
          <w:szCs w:val="16"/>
          <w:lang w:eastAsia="es-CR"/>
        </w:rPr>
        <w:t xml:space="preserve"> </w:t>
      </w:r>
      <w:r w:rsidRPr="002E142C">
        <w:rPr>
          <w:i/>
          <w:sz w:val="16"/>
          <w:szCs w:val="16"/>
        </w:rPr>
        <w:t>respecto de Honduras</w:t>
      </w:r>
      <w:r w:rsidRPr="002E142C">
        <w:rPr>
          <w:sz w:val="16"/>
          <w:szCs w:val="16"/>
        </w:rPr>
        <w:t>. Resolución de la Corte Interamericana de Derechos Humanos de 23 de noviembre de 2016, Considerando 23.</w:t>
      </w:r>
    </w:p>
  </w:footnote>
  <w:footnote w:id="26">
    <w:p w14:paraId="65C81BCF" w14:textId="156ABDF5"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r>
      <w:r w:rsidRPr="002E142C">
        <w:rPr>
          <w:i/>
          <w:sz w:val="16"/>
          <w:szCs w:val="16"/>
        </w:rPr>
        <w:t>Cfr</w:t>
      </w:r>
      <w:r w:rsidRPr="002E142C">
        <w:rPr>
          <w:sz w:val="16"/>
          <w:szCs w:val="16"/>
        </w:rPr>
        <w:t xml:space="preserve">. </w:t>
      </w:r>
      <w:r w:rsidRPr="002E142C">
        <w:rPr>
          <w:i/>
          <w:sz w:val="16"/>
          <w:szCs w:val="16"/>
        </w:rPr>
        <w:t>Asunto Gallardo Rodríguez. Medidas Provisionales respecto de México.</w:t>
      </w:r>
      <w:r w:rsidRPr="002E142C">
        <w:rPr>
          <w:sz w:val="16"/>
          <w:szCs w:val="16"/>
        </w:rPr>
        <w:t xml:space="preserve"> Resolución de la Corte de 11 de</w:t>
      </w:r>
      <w:r w:rsidR="00B24698" w:rsidRPr="002E142C">
        <w:rPr>
          <w:sz w:val="16"/>
          <w:szCs w:val="16"/>
        </w:rPr>
        <w:t xml:space="preserve"> julio de 2007, Considerando 11</w:t>
      </w:r>
      <w:r w:rsidRPr="002E142C">
        <w:rPr>
          <w:rStyle w:val="Strong"/>
          <w:b w:val="0"/>
          <w:color w:val="000000"/>
          <w:sz w:val="16"/>
          <w:szCs w:val="16"/>
          <w:shd w:val="clear" w:color="auto" w:fill="FFFFFF"/>
        </w:rPr>
        <w:t xml:space="preserve">, y </w:t>
      </w:r>
      <w:r w:rsidRPr="002E142C">
        <w:rPr>
          <w:bCs/>
          <w:i/>
          <w:color w:val="000000"/>
          <w:sz w:val="16"/>
          <w:szCs w:val="16"/>
          <w:shd w:val="clear" w:color="auto" w:fill="FFFFFF"/>
        </w:rPr>
        <w:t>Asunto Galdámez Álvarez y otros respecto de Honduras. Medidas Provisionales</w:t>
      </w:r>
      <w:r w:rsidRPr="002E142C">
        <w:rPr>
          <w:bCs/>
          <w:color w:val="000000"/>
          <w:sz w:val="16"/>
          <w:szCs w:val="16"/>
          <w:shd w:val="clear" w:color="auto" w:fill="FFFFFF"/>
        </w:rPr>
        <w:t>. Resolución de la Corte Interamericana de Derechos Humanos de 23 de noviembre de 2016, Considerando 30.</w:t>
      </w:r>
    </w:p>
  </w:footnote>
  <w:footnote w:id="27">
    <w:p w14:paraId="277C1701" w14:textId="42CC1A34" w:rsidR="00926161" w:rsidRPr="002E142C" w:rsidRDefault="00926161" w:rsidP="00ED4EBD">
      <w:pPr>
        <w:pStyle w:val="FootnoteText"/>
        <w:tabs>
          <w:tab w:val="left" w:pos="426"/>
        </w:tabs>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rFonts w:cs="Arial"/>
          <w:i/>
          <w:sz w:val="16"/>
          <w:szCs w:val="16"/>
        </w:rPr>
        <w:t>Cfr.</w:t>
      </w:r>
      <w:r w:rsidRPr="002E142C">
        <w:rPr>
          <w:rFonts w:cs="Arial"/>
          <w:sz w:val="16"/>
          <w:szCs w:val="16"/>
        </w:rPr>
        <w:t xml:space="preserve"> </w:t>
      </w:r>
      <w:r w:rsidRPr="002E142C">
        <w:rPr>
          <w:i/>
          <w:sz w:val="16"/>
          <w:szCs w:val="16"/>
        </w:rPr>
        <w:t xml:space="preserve">Caso Velásquez Rodríguez Vs. Honduras. </w:t>
      </w:r>
      <w:r w:rsidRPr="002E142C">
        <w:rPr>
          <w:i/>
          <w:sz w:val="16"/>
          <w:szCs w:val="16"/>
          <w:lang w:val="es-ES"/>
        </w:rPr>
        <w:t>Fondo.</w:t>
      </w:r>
      <w:r w:rsidRPr="002E142C">
        <w:rPr>
          <w:sz w:val="16"/>
          <w:szCs w:val="16"/>
          <w:lang w:val="es-ES"/>
        </w:rPr>
        <w:t xml:space="preserve"> Sentencia de 29 de julio de 1988. Serie C No. 4, </w:t>
      </w:r>
      <w:r w:rsidRPr="002E142C">
        <w:rPr>
          <w:noProof/>
          <w:sz w:val="16"/>
          <w:szCs w:val="16"/>
        </w:rPr>
        <w:t>párr. 61, y</w:t>
      </w:r>
      <w:r w:rsidRPr="002E142C">
        <w:rPr>
          <w:sz w:val="16"/>
          <w:szCs w:val="16"/>
        </w:rPr>
        <w:t xml:space="preserve"> </w:t>
      </w:r>
      <w:r w:rsidRPr="002E142C">
        <w:rPr>
          <w:bCs/>
          <w:i/>
          <w:sz w:val="16"/>
          <w:szCs w:val="16"/>
        </w:rPr>
        <w:t xml:space="preserve">Caso Andrade Salmon Vs. Bolivia.  Fondo, Reparaciones y Costas. </w:t>
      </w:r>
      <w:r w:rsidRPr="002E142C">
        <w:rPr>
          <w:bCs/>
          <w:sz w:val="16"/>
          <w:szCs w:val="16"/>
        </w:rPr>
        <w:t>Sentencia de 1 de diciembre de 2016. Serie C No. 330, párr. 92.</w:t>
      </w:r>
    </w:p>
  </w:footnote>
  <w:footnote w:id="28">
    <w:p w14:paraId="48DFB382" w14:textId="4A24513B"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r>
      <w:r w:rsidRPr="002E142C">
        <w:rPr>
          <w:i/>
          <w:sz w:val="16"/>
          <w:szCs w:val="16"/>
        </w:rPr>
        <w:t>Cfr</w:t>
      </w:r>
      <w:r w:rsidRPr="002E142C">
        <w:rPr>
          <w:sz w:val="16"/>
          <w:szCs w:val="16"/>
        </w:rPr>
        <w:t>.</w:t>
      </w:r>
      <w:r w:rsidRPr="002E142C">
        <w:rPr>
          <w:rFonts w:eastAsia="Times New Roman"/>
          <w:bCs/>
          <w:i/>
          <w:color w:val="000000"/>
          <w:sz w:val="16"/>
          <w:szCs w:val="16"/>
          <w:lang w:val="es-ES_tradnl" w:eastAsia="en-US"/>
        </w:rPr>
        <w:t xml:space="preserve"> Caso Carpio </w:t>
      </w:r>
      <w:proofErr w:type="spellStart"/>
      <w:r w:rsidRPr="002E142C">
        <w:rPr>
          <w:rFonts w:eastAsia="Times New Roman"/>
          <w:bCs/>
          <w:i/>
          <w:color w:val="000000"/>
          <w:sz w:val="16"/>
          <w:szCs w:val="16"/>
          <w:lang w:val="es-ES_tradnl" w:eastAsia="en-US"/>
        </w:rPr>
        <w:t>Nicolle</w:t>
      </w:r>
      <w:proofErr w:type="spellEnd"/>
      <w:r w:rsidRPr="002E142C">
        <w:rPr>
          <w:rFonts w:eastAsia="Times New Roman"/>
          <w:bCs/>
          <w:i/>
          <w:color w:val="000000"/>
          <w:sz w:val="16"/>
          <w:szCs w:val="16"/>
          <w:lang w:val="es-ES_tradnl" w:eastAsia="en-US"/>
        </w:rPr>
        <w:t xml:space="preserve"> y otros. Medidas Provisionales respecto de Guatemala</w:t>
      </w:r>
      <w:r w:rsidRPr="002E142C">
        <w:rPr>
          <w:rFonts w:eastAsia="Times New Roman"/>
          <w:bCs/>
          <w:color w:val="000000"/>
          <w:sz w:val="16"/>
          <w:szCs w:val="16"/>
          <w:lang w:val="es-ES_tradnl" w:eastAsia="en-US"/>
        </w:rPr>
        <w:t>. Resolución de la Corte de 6 de julio de 2009, Considerando vigésimo primero.</w:t>
      </w:r>
      <w:r w:rsidRPr="002E142C">
        <w:rPr>
          <w:sz w:val="16"/>
          <w:szCs w:val="16"/>
        </w:rPr>
        <w:t xml:space="preserve"> y</w:t>
      </w:r>
      <w:r w:rsidRPr="002E142C">
        <w:rPr>
          <w:rStyle w:val="Strong"/>
          <w:b w:val="0"/>
          <w:i/>
          <w:color w:val="000000"/>
          <w:sz w:val="16"/>
          <w:szCs w:val="16"/>
          <w:shd w:val="clear" w:color="auto" w:fill="FFFFFF"/>
        </w:rPr>
        <w:t xml:space="preserve"> Caso Fernández Ortega y otros.</w:t>
      </w:r>
      <w:r w:rsidRPr="002E142C">
        <w:rPr>
          <w:rStyle w:val="Strong"/>
          <w:b w:val="0"/>
          <w:color w:val="000000"/>
          <w:sz w:val="16"/>
          <w:szCs w:val="16"/>
          <w:shd w:val="clear" w:color="auto" w:fill="FFFFFF"/>
        </w:rPr>
        <w:t xml:space="preserve"> </w:t>
      </w:r>
      <w:r w:rsidRPr="002E142C">
        <w:rPr>
          <w:bCs/>
          <w:i/>
          <w:color w:val="000000"/>
          <w:sz w:val="16"/>
          <w:szCs w:val="16"/>
          <w:shd w:val="clear" w:color="auto" w:fill="FFFFFF"/>
        </w:rPr>
        <w:t>Medidas Provisionales respecto de México.</w:t>
      </w:r>
      <w:r w:rsidRPr="002E142C">
        <w:rPr>
          <w:bCs/>
          <w:color w:val="000000"/>
          <w:sz w:val="16"/>
          <w:szCs w:val="16"/>
          <w:shd w:val="clear" w:color="auto" w:fill="FFFFFF"/>
        </w:rPr>
        <w:t xml:space="preserve"> </w:t>
      </w:r>
      <w:r w:rsidRPr="002E142C">
        <w:rPr>
          <w:rStyle w:val="Strong"/>
          <w:b w:val="0"/>
          <w:color w:val="000000"/>
          <w:sz w:val="16"/>
          <w:szCs w:val="16"/>
          <w:shd w:val="clear" w:color="auto" w:fill="FFFFFF"/>
        </w:rPr>
        <w:t>Resolución de la Corte de 23 de febrero de 2016, Considerando 29.</w:t>
      </w:r>
    </w:p>
  </w:footnote>
  <w:footnote w:id="29">
    <w:p w14:paraId="1E72A1E8" w14:textId="4697B09B" w:rsidR="00926161" w:rsidRPr="002E142C" w:rsidRDefault="00926161" w:rsidP="00ED4EBD">
      <w:pPr>
        <w:pStyle w:val="FootnoteText"/>
        <w:tabs>
          <w:tab w:val="left" w:pos="426"/>
        </w:tabs>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lang w:val="es-MX"/>
        </w:rPr>
        <w:t>Cfr</w:t>
      </w:r>
      <w:r w:rsidRPr="002E142C">
        <w:rPr>
          <w:sz w:val="16"/>
          <w:szCs w:val="16"/>
          <w:lang w:val="es-MX"/>
        </w:rPr>
        <w:t xml:space="preserve">. </w:t>
      </w:r>
      <w:r w:rsidRPr="002E142C">
        <w:rPr>
          <w:i/>
          <w:sz w:val="16"/>
          <w:szCs w:val="16"/>
          <w:lang w:val="es-MX"/>
        </w:rPr>
        <w:t>Asunto James y otros. Medidas Provisionales respecto de Trinidad y Tobago</w:t>
      </w:r>
      <w:r w:rsidRPr="002E142C">
        <w:rPr>
          <w:sz w:val="16"/>
          <w:szCs w:val="16"/>
          <w:lang w:val="es-MX"/>
        </w:rPr>
        <w:t>. Resolución de la Corte de 29 de agosto de 1998, Considerando 6, y</w:t>
      </w:r>
      <w:r w:rsidRPr="002E142C">
        <w:rPr>
          <w:i/>
          <w:sz w:val="16"/>
          <w:szCs w:val="16"/>
        </w:rPr>
        <w:t xml:space="preserve"> Asunto Del Instituto Penal Plácido de </w:t>
      </w:r>
      <w:proofErr w:type="spellStart"/>
      <w:r w:rsidRPr="002E142C">
        <w:rPr>
          <w:i/>
          <w:sz w:val="16"/>
          <w:szCs w:val="16"/>
        </w:rPr>
        <w:t>Sá</w:t>
      </w:r>
      <w:proofErr w:type="spellEnd"/>
      <w:r w:rsidRPr="002E142C">
        <w:rPr>
          <w:i/>
          <w:sz w:val="16"/>
          <w:szCs w:val="16"/>
        </w:rPr>
        <w:t xml:space="preserve"> Carvalho. Medidas Provisionales</w:t>
      </w:r>
      <w:r w:rsidRPr="002E142C">
        <w:rPr>
          <w:i/>
          <w:sz w:val="16"/>
          <w:szCs w:val="16"/>
          <w:lang w:eastAsia="es-CR"/>
        </w:rPr>
        <w:t xml:space="preserve"> </w:t>
      </w:r>
      <w:r w:rsidRPr="002E142C">
        <w:rPr>
          <w:i/>
          <w:sz w:val="16"/>
          <w:szCs w:val="16"/>
        </w:rPr>
        <w:t>respecto de Brasil</w:t>
      </w:r>
      <w:r w:rsidRPr="002E142C">
        <w:rPr>
          <w:sz w:val="16"/>
          <w:szCs w:val="16"/>
        </w:rPr>
        <w:t>. Resolución de la Corte Interamericana de Derechos Humanos de 13 de febrero de 2017, Considerando 9.</w:t>
      </w:r>
    </w:p>
  </w:footnote>
  <w:footnote w:id="30">
    <w:p w14:paraId="48F65DDD" w14:textId="5BF5778C"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r>
      <w:r w:rsidRPr="002E142C">
        <w:rPr>
          <w:i/>
          <w:sz w:val="16"/>
          <w:szCs w:val="16"/>
          <w:lang w:val="es-MX"/>
        </w:rPr>
        <w:t>Cfr</w:t>
      </w:r>
      <w:r w:rsidRPr="002E142C">
        <w:rPr>
          <w:sz w:val="16"/>
          <w:szCs w:val="16"/>
          <w:lang w:val="es-MX"/>
        </w:rPr>
        <w:t xml:space="preserve">.  </w:t>
      </w:r>
      <w:r w:rsidRPr="002E142C">
        <w:rPr>
          <w:i/>
          <w:sz w:val="16"/>
          <w:szCs w:val="16"/>
          <w:lang w:val="es-MX"/>
        </w:rPr>
        <w:t>Asunto James y otros. Medidas Provisionales respecto de Trinidad y Tobago</w:t>
      </w:r>
      <w:r w:rsidRPr="002E142C">
        <w:rPr>
          <w:sz w:val="16"/>
          <w:szCs w:val="16"/>
          <w:lang w:val="es-MX"/>
        </w:rPr>
        <w:t xml:space="preserve">. Resolución de la Corte de 29 de agosto de 1998, Considerando 6, y </w:t>
      </w:r>
      <w:r w:rsidRPr="002E142C">
        <w:rPr>
          <w:rStyle w:val="Strong"/>
          <w:b w:val="0"/>
          <w:i/>
          <w:color w:val="000000"/>
          <w:sz w:val="16"/>
          <w:szCs w:val="16"/>
          <w:shd w:val="clear" w:color="auto" w:fill="FFFFFF"/>
        </w:rPr>
        <w:t>Asunto Gladys Lanza Ochoa. Medidas Provisionales</w:t>
      </w:r>
      <w:r w:rsidRPr="002E142C">
        <w:rPr>
          <w:bCs/>
          <w:i/>
          <w:color w:val="000000"/>
          <w:sz w:val="16"/>
          <w:szCs w:val="16"/>
          <w:shd w:val="clear" w:color="auto" w:fill="FFFFFF"/>
          <w:lang w:eastAsia="es-CR"/>
        </w:rPr>
        <w:t xml:space="preserve"> </w:t>
      </w:r>
      <w:r w:rsidRPr="002E142C">
        <w:rPr>
          <w:bCs/>
          <w:i/>
          <w:color w:val="000000"/>
          <w:sz w:val="16"/>
          <w:szCs w:val="16"/>
          <w:shd w:val="clear" w:color="auto" w:fill="FFFFFF"/>
        </w:rPr>
        <w:t>respecto de Honduras</w:t>
      </w:r>
      <w:r w:rsidRPr="002E142C">
        <w:rPr>
          <w:rStyle w:val="Strong"/>
          <w:b w:val="0"/>
          <w:color w:val="000000"/>
          <w:sz w:val="16"/>
          <w:szCs w:val="16"/>
          <w:shd w:val="clear" w:color="auto" w:fill="FFFFFF"/>
        </w:rPr>
        <w:t>. Resolución de la Corte Interamericana de Derechos Humanos de 23 de noviembre de 2016, Considerando 3.</w:t>
      </w:r>
    </w:p>
  </w:footnote>
  <w:footnote w:id="31">
    <w:p w14:paraId="2E7BC6BF" w14:textId="6CD97806"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r>
      <w:r w:rsidRPr="002E142C">
        <w:rPr>
          <w:i/>
          <w:sz w:val="16"/>
          <w:szCs w:val="16"/>
          <w:lang w:val="es-MX"/>
        </w:rPr>
        <w:t>Cfr</w:t>
      </w:r>
      <w:r w:rsidRPr="002E142C">
        <w:rPr>
          <w:sz w:val="16"/>
          <w:szCs w:val="16"/>
          <w:lang w:val="es-MX"/>
        </w:rPr>
        <w:t xml:space="preserve">.  </w:t>
      </w:r>
      <w:r w:rsidRPr="002E142C">
        <w:rPr>
          <w:i/>
          <w:sz w:val="16"/>
          <w:szCs w:val="16"/>
          <w:lang w:val="es-MX"/>
        </w:rPr>
        <w:t>Asunto James y otros. Medidas Provisionales respecto de Trinidad y Tobago</w:t>
      </w:r>
      <w:r w:rsidRPr="002E142C">
        <w:rPr>
          <w:sz w:val="16"/>
          <w:szCs w:val="16"/>
          <w:lang w:val="es-MX"/>
        </w:rPr>
        <w:t xml:space="preserve">. Resolución de la Corte de 29 de agosto de 1998, Considerando 6, y </w:t>
      </w:r>
      <w:r w:rsidRPr="002E142C">
        <w:rPr>
          <w:rStyle w:val="Strong"/>
          <w:b w:val="0"/>
          <w:i/>
          <w:color w:val="000000"/>
          <w:sz w:val="16"/>
          <w:szCs w:val="16"/>
          <w:shd w:val="clear" w:color="auto" w:fill="FFFFFF"/>
        </w:rPr>
        <w:t>Asunto Galdámez Álvarez y otros. Medidas Provisionales</w:t>
      </w:r>
      <w:r w:rsidRPr="002E142C">
        <w:rPr>
          <w:bCs/>
          <w:i/>
          <w:color w:val="000000"/>
          <w:sz w:val="16"/>
          <w:szCs w:val="16"/>
          <w:shd w:val="clear" w:color="auto" w:fill="FFFFFF"/>
          <w:lang w:eastAsia="es-CR"/>
        </w:rPr>
        <w:t xml:space="preserve"> </w:t>
      </w:r>
      <w:r w:rsidRPr="002E142C">
        <w:rPr>
          <w:bCs/>
          <w:i/>
          <w:color w:val="000000"/>
          <w:sz w:val="16"/>
          <w:szCs w:val="16"/>
          <w:shd w:val="clear" w:color="auto" w:fill="FFFFFF"/>
        </w:rPr>
        <w:t>respecto de Honduras</w:t>
      </w:r>
      <w:r w:rsidRPr="002E142C">
        <w:rPr>
          <w:rStyle w:val="Strong"/>
          <w:b w:val="0"/>
          <w:color w:val="000000"/>
          <w:sz w:val="16"/>
          <w:szCs w:val="16"/>
          <w:shd w:val="clear" w:color="auto" w:fill="FFFFFF"/>
        </w:rPr>
        <w:t>. Resolución de la Corte Interamericana de Derechos Humanos de 23 de noviembre de 2016, Considerando 17.</w:t>
      </w:r>
    </w:p>
  </w:footnote>
  <w:footnote w:id="32">
    <w:p w14:paraId="7C3A26AD" w14:textId="7A4B634A"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t>Específicamente, se trata de Inés Fernández Ortega, su esposo Fortunato Prisciliano Sierra, así como sus hijas Noemí, Ana Luz y Nélida, y su hijo Colosio, todos de apellido Prisciliano Fernández.</w:t>
      </w:r>
    </w:p>
  </w:footnote>
  <w:footnote w:id="33">
    <w:p w14:paraId="121EE638" w14:textId="25E3FB5D" w:rsidR="00926161" w:rsidRPr="002E142C" w:rsidRDefault="00926161" w:rsidP="0072590C">
      <w:pPr>
        <w:pStyle w:val="FootnoteText"/>
        <w:tabs>
          <w:tab w:val="left" w:pos="360"/>
          <w:tab w:val="left" w:pos="426"/>
        </w:tabs>
        <w:spacing w:before="120" w:after="120"/>
        <w:jc w:val="both"/>
        <w:rPr>
          <w:sz w:val="16"/>
          <w:szCs w:val="16"/>
          <w:lang w:val="es-ES_tradnl"/>
        </w:rPr>
      </w:pPr>
      <w:r w:rsidRPr="002E142C">
        <w:rPr>
          <w:rStyle w:val="FootnoteReference"/>
          <w:szCs w:val="16"/>
        </w:rPr>
        <w:footnoteRef/>
      </w:r>
      <w:r w:rsidRPr="002E142C">
        <w:rPr>
          <w:sz w:val="16"/>
          <w:szCs w:val="16"/>
        </w:rPr>
        <w:t xml:space="preserve"> </w:t>
      </w:r>
      <w:r w:rsidRPr="002E142C">
        <w:rPr>
          <w:sz w:val="16"/>
          <w:szCs w:val="16"/>
        </w:rPr>
        <w:tab/>
        <w:t>De acuerdo a la información aportada por los representantes, entre los años 2008 y 2016 catorce de los beneficiarios fueron sujeto de medidas penales, tales como detenciones, órdenes de aprehensión y procesos penales de los cuales seis beneficia</w:t>
      </w:r>
      <w:r w:rsidR="001326BF">
        <w:rPr>
          <w:sz w:val="16"/>
          <w:szCs w:val="16"/>
        </w:rPr>
        <w:t>rios tienen órdenes pendientes,</w:t>
      </w:r>
      <w:r w:rsidRPr="002E142C">
        <w:rPr>
          <w:sz w:val="16"/>
          <w:szCs w:val="16"/>
        </w:rPr>
        <w:t xml:space="preserve"> seis recibieron sentencias absolutorias y dos recibieron autos de libertad por falta de elementos para procesar. </w:t>
      </w:r>
    </w:p>
  </w:footnote>
  <w:footnote w:id="34">
    <w:p w14:paraId="02B91C34" w14:textId="5749D5E6"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Cfr.</w:t>
      </w:r>
      <w:r w:rsidRPr="002E142C">
        <w:rPr>
          <w:sz w:val="16"/>
          <w:szCs w:val="16"/>
        </w:rPr>
        <w:t xml:space="preserve"> </w:t>
      </w:r>
      <w:r w:rsidRPr="002E142C">
        <w:rPr>
          <w:i/>
          <w:sz w:val="16"/>
          <w:szCs w:val="16"/>
        </w:rPr>
        <w:t xml:space="preserve">Caso Perozo y otros Vs. Venezuela. Excepciones Preliminares, </w:t>
      </w:r>
      <w:r w:rsidRPr="002E142C">
        <w:rPr>
          <w:bCs/>
          <w:i/>
          <w:sz w:val="16"/>
          <w:szCs w:val="16"/>
        </w:rPr>
        <w:t xml:space="preserve">Fondo, Reparaciones y Costas. </w:t>
      </w:r>
      <w:r w:rsidRPr="002E142C">
        <w:rPr>
          <w:rStyle w:val="Strong"/>
          <w:b w:val="0"/>
          <w:color w:val="000000"/>
          <w:sz w:val="16"/>
          <w:szCs w:val="16"/>
          <w:shd w:val="clear" w:color="auto" w:fill="FFFFFF"/>
        </w:rPr>
        <w:t xml:space="preserve">Sentencia de 28 de enero de 2012. </w:t>
      </w:r>
      <w:r w:rsidR="001326BF">
        <w:rPr>
          <w:bCs/>
          <w:color w:val="000000"/>
          <w:sz w:val="16"/>
          <w:szCs w:val="16"/>
          <w:shd w:val="clear" w:color="auto" w:fill="FFFFFF"/>
        </w:rPr>
        <w:t xml:space="preserve">Serie C No. 195, párr. 118; </w:t>
      </w:r>
      <w:r w:rsidR="001326BF" w:rsidRPr="00720268">
        <w:rPr>
          <w:bCs/>
          <w:i/>
          <w:color w:val="000000"/>
          <w:sz w:val="16"/>
          <w:szCs w:val="16"/>
          <w:shd w:val="clear" w:color="auto" w:fill="FFFFFF"/>
        </w:rPr>
        <w:t xml:space="preserve">Caso </w:t>
      </w:r>
      <w:proofErr w:type="spellStart"/>
      <w:r w:rsidR="001326BF" w:rsidRPr="00720268">
        <w:rPr>
          <w:bCs/>
          <w:i/>
          <w:color w:val="000000"/>
          <w:sz w:val="16"/>
          <w:szCs w:val="16"/>
          <w:shd w:val="clear" w:color="auto" w:fill="FFFFFF"/>
        </w:rPr>
        <w:t>Uzcátegui</w:t>
      </w:r>
      <w:proofErr w:type="spellEnd"/>
      <w:r w:rsidR="001326BF" w:rsidRPr="00720268">
        <w:rPr>
          <w:bCs/>
          <w:i/>
          <w:color w:val="000000"/>
          <w:sz w:val="16"/>
          <w:szCs w:val="16"/>
          <w:shd w:val="clear" w:color="auto" w:fill="FFFFFF"/>
        </w:rPr>
        <w:t xml:space="preserve"> y otros Vs. Venezuela. Fondo y Reparaciones. </w:t>
      </w:r>
      <w:r w:rsidR="001326BF" w:rsidRPr="001326BF">
        <w:rPr>
          <w:bCs/>
          <w:color w:val="000000"/>
          <w:sz w:val="16"/>
          <w:szCs w:val="16"/>
          <w:shd w:val="clear" w:color="auto" w:fill="FFFFFF"/>
        </w:rPr>
        <w:t xml:space="preserve">Sentencia de 3 de septiembre de 2012. Serie C No. 249, </w:t>
      </w:r>
      <w:proofErr w:type="spellStart"/>
      <w:r w:rsidR="001326BF" w:rsidRPr="001326BF">
        <w:rPr>
          <w:bCs/>
          <w:color w:val="000000"/>
          <w:sz w:val="16"/>
          <w:szCs w:val="16"/>
          <w:shd w:val="clear" w:color="auto" w:fill="FFFFFF"/>
        </w:rPr>
        <w:t>párrs</w:t>
      </w:r>
      <w:proofErr w:type="spellEnd"/>
      <w:r w:rsidR="001326BF" w:rsidRPr="001326BF">
        <w:rPr>
          <w:bCs/>
          <w:color w:val="000000"/>
          <w:sz w:val="16"/>
          <w:szCs w:val="16"/>
          <w:shd w:val="clear" w:color="auto" w:fill="FFFFFF"/>
        </w:rPr>
        <w:t xml:space="preserve">. 189 y 190, </w:t>
      </w:r>
      <w:r w:rsidRPr="001326BF">
        <w:rPr>
          <w:bCs/>
          <w:sz w:val="16"/>
          <w:szCs w:val="16"/>
        </w:rPr>
        <w:t>y</w:t>
      </w:r>
      <w:r w:rsidRPr="002E142C">
        <w:rPr>
          <w:bCs/>
          <w:i/>
          <w:sz w:val="16"/>
          <w:szCs w:val="16"/>
        </w:rPr>
        <w:t xml:space="preserve"> Caso Defensor de Derechos Humanos y otros Vs. Guatemala. Excepciones Preliminares, Fondo, Reparaciones y Costas. </w:t>
      </w:r>
      <w:r w:rsidRPr="002E142C">
        <w:rPr>
          <w:rStyle w:val="Strong"/>
          <w:b w:val="0"/>
          <w:color w:val="000000"/>
          <w:sz w:val="16"/>
          <w:szCs w:val="16"/>
          <w:shd w:val="clear" w:color="auto" w:fill="FFFFFF"/>
        </w:rPr>
        <w:t>Sentencia de 28 de agosto de 2014. S</w:t>
      </w:r>
      <w:r w:rsidR="001326BF">
        <w:rPr>
          <w:rStyle w:val="Strong"/>
          <w:b w:val="0"/>
          <w:color w:val="000000"/>
          <w:sz w:val="16"/>
          <w:szCs w:val="16"/>
          <w:shd w:val="clear" w:color="auto" w:fill="FFFFFF"/>
        </w:rPr>
        <w:t>erie C No. 283, párr. 142</w:t>
      </w:r>
      <w:r w:rsidRPr="002E142C">
        <w:rPr>
          <w:rStyle w:val="Strong"/>
          <w:b w:val="0"/>
          <w:color w:val="000000"/>
          <w:sz w:val="16"/>
          <w:szCs w:val="16"/>
          <w:shd w:val="clear" w:color="auto" w:fill="FFFFFF"/>
        </w:rPr>
        <w:t>.</w:t>
      </w:r>
    </w:p>
  </w:footnote>
  <w:footnote w:id="35">
    <w:p w14:paraId="10DD6096" w14:textId="2DCBD996"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Cfr.</w:t>
      </w:r>
      <w:r w:rsidRPr="002E142C">
        <w:rPr>
          <w:sz w:val="16"/>
          <w:szCs w:val="16"/>
        </w:rPr>
        <w:t xml:space="preserve"> </w:t>
      </w:r>
      <w:r w:rsidRPr="002E142C">
        <w:rPr>
          <w:sz w:val="16"/>
          <w:szCs w:val="16"/>
        </w:rPr>
        <w:tab/>
      </w:r>
      <w:r w:rsidRPr="002E142C">
        <w:rPr>
          <w:rFonts w:eastAsia="Batang"/>
          <w:bCs/>
          <w:i/>
          <w:iCs/>
          <w:sz w:val="16"/>
          <w:szCs w:val="16"/>
        </w:rPr>
        <w:t xml:space="preserve">Caso </w:t>
      </w:r>
      <w:proofErr w:type="spellStart"/>
      <w:r w:rsidRPr="002E142C">
        <w:rPr>
          <w:rFonts w:eastAsia="Batang"/>
          <w:bCs/>
          <w:i/>
          <w:iCs/>
          <w:sz w:val="16"/>
          <w:szCs w:val="16"/>
        </w:rPr>
        <w:t>Fleury</w:t>
      </w:r>
      <w:proofErr w:type="spellEnd"/>
      <w:r w:rsidRPr="002E142C">
        <w:rPr>
          <w:rFonts w:eastAsia="Batang"/>
          <w:bCs/>
          <w:i/>
          <w:iCs/>
          <w:sz w:val="16"/>
          <w:szCs w:val="16"/>
        </w:rPr>
        <w:t xml:space="preserve"> y otros Vs. Haití.</w:t>
      </w:r>
      <w:r w:rsidRPr="002E142C">
        <w:rPr>
          <w:rFonts w:eastAsia="Batang"/>
          <w:bCs/>
          <w:iCs/>
          <w:sz w:val="16"/>
          <w:szCs w:val="16"/>
        </w:rPr>
        <w:t xml:space="preserve"> </w:t>
      </w:r>
      <w:r w:rsidRPr="002E142C">
        <w:rPr>
          <w:rFonts w:eastAsia="Batang"/>
          <w:i/>
          <w:iCs/>
          <w:sz w:val="16"/>
          <w:szCs w:val="16"/>
        </w:rPr>
        <w:t xml:space="preserve">Fondo y Reparaciones. </w:t>
      </w:r>
      <w:r w:rsidRPr="002E142C">
        <w:rPr>
          <w:rFonts w:eastAsia="Batang"/>
          <w:iCs/>
          <w:sz w:val="16"/>
          <w:szCs w:val="16"/>
        </w:rPr>
        <w:t xml:space="preserve">Sentencia de 23 de noviembre de 2011. Serie C No. 236, párr. 81, y </w:t>
      </w:r>
      <w:r w:rsidRPr="002E142C">
        <w:rPr>
          <w:bCs/>
          <w:i/>
          <w:sz w:val="16"/>
          <w:szCs w:val="16"/>
        </w:rPr>
        <w:t>Asuntos de determinados Centros Penitenciarios de Venezuela. Humberto Prado. Marianela Sánchez Ortiz y familia.</w:t>
      </w:r>
      <w:r w:rsidRPr="002E142C">
        <w:rPr>
          <w:bCs/>
          <w:sz w:val="16"/>
          <w:szCs w:val="16"/>
        </w:rPr>
        <w:t xml:space="preserve"> </w:t>
      </w:r>
      <w:r w:rsidRPr="002E142C">
        <w:rPr>
          <w:bCs/>
          <w:i/>
          <w:sz w:val="16"/>
          <w:szCs w:val="16"/>
        </w:rPr>
        <w:t>Medidas Provisionales</w:t>
      </w:r>
      <w:r w:rsidRPr="002E142C">
        <w:rPr>
          <w:bCs/>
          <w:i/>
          <w:sz w:val="16"/>
          <w:szCs w:val="16"/>
          <w:lang w:eastAsia="es-CR"/>
        </w:rPr>
        <w:t xml:space="preserve"> </w:t>
      </w:r>
      <w:r w:rsidRPr="002E142C">
        <w:rPr>
          <w:bCs/>
          <w:i/>
          <w:sz w:val="16"/>
          <w:szCs w:val="16"/>
        </w:rPr>
        <w:t>respecto de Venezuela</w:t>
      </w:r>
      <w:r w:rsidRPr="002E142C">
        <w:rPr>
          <w:bCs/>
          <w:sz w:val="16"/>
          <w:szCs w:val="16"/>
        </w:rPr>
        <w:t>. Resolución de la Corte Interamericana de Derechos Humanos de 13 de noviembre de 2015, Considerando 49.</w:t>
      </w:r>
    </w:p>
  </w:footnote>
  <w:footnote w:id="36">
    <w:p w14:paraId="17CF0308" w14:textId="016A81FB"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Cfr.</w:t>
      </w:r>
      <w:r w:rsidRPr="002E142C">
        <w:rPr>
          <w:sz w:val="16"/>
          <w:szCs w:val="16"/>
        </w:rPr>
        <w:t xml:space="preserve"> </w:t>
      </w:r>
      <w:r w:rsidRPr="002E142C">
        <w:rPr>
          <w:bCs/>
          <w:i/>
          <w:color w:val="000000"/>
          <w:sz w:val="16"/>
          <w:szCs w:val="16"/>
        </w:rPr>
        <w:t xml:space="preserve">Caso García y Familiares Vs. Guatemala. </w:t>
      </w:r>
      <w:r w:rsidRPr="002E142C">
        <w:rPr>
          <w:i/>
          <w:color w:val="000000"/>
          <w:sz w:val="16"/>
          <w:szCs w:val="16"/>
        </w:rPr>
        <w:t>Fondo, Reparaciones y Costas</w:t>
      </w:r>
      <w:r w:rsidRPr="002E142C">
        <w:rPr>
          <w:color w:val="000000"/>
          <w:sz w:val="16"/>
          <w:szCs w:val="16"/>
        </w:rPr>
        <w:t>. Sentencia de 29 noviembre de 2012. Serie C No. 258</w:t>
      </w:r>
      <w:r w:rsidRPr="002E142C">
        <w:rPr>
          <w:sz w:val="16"/>
          <w:szCs w:val="16"/>
        </w:rPr>
        <w:t xml:space="preserve">, párr. 182, y </w:t>
      </w:r>
      <w:r w:rsidRPr="002E142C">
        <w:rPr>
          <w:bCs/>
          <w:i/>
          <w:sz w:val="16"/>
          <w:szCs w:val="16"/>
        </w:rPr>
        <w:t>Asuntos de determinados Centros Penitenciarios de Venezuela. Humberto Prado, Marianela Sánchez Ortiz y familia.</w:t>
      </w:r>
      <w:r w:rsidRPr="002E142C">
        <w:rPr>
          <w:bCs/>
          <w:sz w:val="16"/>
          <w:szCs w:val="16"/>
        </w:rPr>
        <w:t xml:space="preserve"> Medidas Provisionales</w:t>
      </w:r>
      <w:r w:rsidRPr="002E142C">
        <w:rPr>
          <w:bCs/>
          <w:i/>
          <w:sz w:val="16"/>
          <w:szCs w:val="16"/>
          <w:lang w:eastAsia="es-CR"/>
        </w:rPr>
        <w:t xml:space="preserve"> </w:t>
      </w:r>
      <w:r w:rsidRPr="002E142C">
        <w:rPr>
          <w:bCs/>
          <w:i/>
          <w:sz w:val="16"/>
          <w:szCs w:val="16"/>
        </w:rPr>
        <w:t>respecto de Venezuela</w:t>
      </w:r>
      <w:r w:rsidRPr="002E142C">
        <w:rPr>
          <w:bCs/>
          <w:sz w:val="16"/>
          <w:szCs w:val="16"/>
        </w:rPr>
        <w:t>. Resolución de la Corte Interamericana de Derechos Humanos de 13 de noviembre de 2015, Considerando 49.</w:t>
      </w:r>
    </w:p>
  </w:footnote>
  <w:footnote w:id="37">
    <w:p w14:paraId="7CBD4C2F" w14:textId="33CCE6B4"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 xml:space="preserve">Cfr. </w:t>
      </w:r>
      <w:r w:rsidRPr="002E142C">
        <w:rPr>
          <w:rStyle w:val="Strong"/>
          <w:b w:val="0"/>
          <w:i/>
          <w:sz w:val="16"/>
          <w:szCs w:val="16"/>
        </w:rPr>
        <w:t>Caso Defensor de Derechos Humanos y otros Vs. Guatemala. Excepciones Preliminares, Fondo, Reparaciones y Costas</w:t>
      </w:r>
      <w:r w:rsidRPr="002E142C">
        <w:rPr>
          <w:rStyle w:val="Strong"/>
          <w:b w:val="0"/>
          <w:sz w:val="16"/>
          <w:szCs w:val="16"/>
        </w:rPr>
        <w:t>. Sentencia de 28 de agosto de 2014. Serie C No. 283, párr. 142,</w:t>
      </w:r>
      <w:r w:rsidRPr="002E142C">
        <w:rPr>
          <w:sz w:val="16"/>
          <w:szCs w:val="16"/>
        </w:rPr>
        <w:t xml:space="preserve"> y </w:t>
      </w:r>
      <w:r w:rsidRPr="002E142C">
        <w:rPr>
          <w:bCs/>
          <w:i/>
          <w:sz w:val="16"/>
          <w:szCs w:val="16"/>
        </w:rPr>
        <w:t>Asuntos de determinados Centros Penitenciarios de Venezuela. Humberto Prado, Marianela Sánchez Ortiz y familia.</w:t>
      </w:r>
      <w:r w:rsidRPr="002E142C">
        <w:rPr>
          <w:bCs/>
          <w:sz w:val="16"/>
          <w:szCs w:val="16"/>
        </w:rPr>
        <w:t xml:space="preserve"> </w:t>
      </w:r>
      <w:r w:rsidRPr="002E142C">
        <w:rPr>
          <w:bCs/>
          <w:i/>
          <w:sz w:val="16"/>
          <w:szCs w:val="16"/>
        </w:rPr>
        <w:t>Medidas Provisionales</w:t>
      </w:r>
      <w:r w:rsidRPr="002E142C">
        <w:rPr>
          <w:bCs/>
          <w:i/>
          <w:sz w:val="16"/>
          <w:szCs w:val="16"/>
          <w:lang w:eastAsia="es-CR"/>
        </w:rPr>
        <w:t xml:space="preserve"> </w:t>
      </w:r>
      <w:r w:rsidRPr="002E142C">
        <w:rPr>
          <w:bCs/>
          <w:i/>
          <w:sz w:val="16"/>
          <w:szCs w:val="16"/>
        </w:rPr>
        <w:t>respecto de Venezuela</w:t>
      </w:r>
      <w:r w:rsidRPr="002E142C">
        <w:rPr>
          <w:bCs/>
          <w:sz w:val="16"/>
          <w:szCs w:val="16"/>
        </w:rPr>
        <w:t>. Resolución de la Corte Interamericana de Derechos Humanos de 13 de noviembre de 2015, Considerando 49.</w:t>
      </w:r>
    </w:p>
  </w:footnote>
  <w:footnote w:id="38">
    <w:p w14:paraId="45D6EB0C" w14:textId="420D478E" w:rsidR="00926161" w:rsidRPr="002E142C" w:rsidRDefault="00926161" w:rsidP="0072590C">
      <w:pPr>
        <w:pStyle w:val="FootnoteText"/>
        <w:tabs>
          <w:tab w:val="left" w:pos="360"/>
          <w:tab w:val="left" w:pos="426"/>
          <w:tab w:val="left" w:pos="709"/>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bCs/>
          <w:i/>
          <w:sz w:val="16"/>
          <w:szCs w:val="16"/>
        </w:rPr>
        <w:t>Asunto Fernández Ortega y otros.</w:t>
      </w:r>
      <w:r w:rsidRPr="002E142C">
        <w:rPr>
          <w:bCs/>
          <w:sz w:val="16"/>
          <w:szCs w:val="16"/>
        </w:rPr>
        <w:t xml:space="preserve"> Medidas Provisionales</w:t>
      </w:r>
      <w:r w:rsidRPr="002E142C">
        <w:rPr>
          <w:bCs/>
          <w:i/>
          <w:sz w:val="16"/>
          <w:szCs w:val="16"/>
          <w:lang w:eastAsia="es-CR"/>
        </w:rPr>
        <w:t xml:space="preserve"> </w:t>
      </w:r>
      <w:r w:rsidRPr="002E142C">
        <w:rPr>
          <w:bCs/>
          <w:i/>
          <w:sz w:val="16"/>
          <w:szCs w:val="16"/>
        </w:rPr>
        <w:t>respecto México</w:t>
      </w:r>
      <w:r w:rsidRPr="002E142C">
        <w:rPr>
          <w:bCs/>
          <w:sz w:val="16"/>
          <w:szCs w:val="16"/>
        </w:rPr>
        <w:t xml:space="preserve">. Resolución de la Presidenta de la Corte Interamericana de Derechos Humanos de 9 de abril de 2009, Considerando 8, y </w:t>
      </w:r>
      <w:r w:rsidRPr="002E142C">
        <w:rPr>
          <w:rStyle w:val="Strong"/>
          <w:b w:val="0"/>
          <w:i/>
          <w:color w:val="000000"/>
          <w:sz w:val="16"/>
          <w:szCs w:val="16"/>
          <w:shd w:val="clear" w:color="auto" w:fill="FFFFFF"/>
        </w:rPr>
        <w:t>Asunto Fernández Ortega y otros. Medidas Provisionales</w:t>
      </w:r>
      <w:r w:rsidRPr="002E142C">
        <w:rPr>
          <w:bCs/>
          <w:i/>
          <w:color w:val="000000"/>
          <w:sz w:val="16"/>
          <w:szCs w:val="16"/>
          <w:shd w:val="clear" w:color="auto" w:fill="FFFFFF"/>
          <w:lang w:eastAsia="es-CR"/>
        </w:rPr>
        <w:t xml:space="preserve"> </w:t>
      </w:r>
      <w:r w:rsidRPr="002E142C">
        <w:rPr>
          <w:bCs/>
          <w:i/>
          <w:color w:val="000000"/>
          <w:sz w:val="16"/>
          <w:szCs w:val="16"/>
          <w:shd w:val="clear" w:color="auto" w:fill="FFFFFF"/>
        </w:rPr>
        <w:t>respecto México</w:t>
      </w:r>
      <w:r w:rsidRPr="002E142C">
        <w:rPr>
          <w:rStyle w:val="Strong"/>
          <w:b w:val="0"/>
          <w:color w:val="000000"/>
          <w:sz w:val="16"/>
          <w:szCs w:val="16"/>
          <w:shd w:val="clear" w:color="auto" w:fill="FFFFFF"/>
        </w:rPr>
        <w:t>. Resolución de la Corte Interamericana de Derechos Humanos de 30 de abril de 2009, Considerando 8.</w:t>
      </w:r>
    </w:p>
  </w:footnote>
  <w:footnote w:id="39">
    <w:p w14:paraId="25DCD39E" w14:textId="0E4A9BB2" w:rsidR="00926161" w:rsidRPr="002E142C" w:rsidRDefault="00926161" w:rsidP="0072590C">
      <w:pPr>
        <w:pStyle w:val="FootnoteText"/>
        <w:tabs>
          <w:tab w:val="left" w:pos="360"/>
          <w:tab w:val="left" w:pos="426"/>
        </w:tabs>
        <w:spacing w:before="120" w:after="120"/>
        <w:jc w:val="both"/>
        <w:rPr>
          <w:sz w:val="16"/>
          <w:szCs w:val="16"/>
          <w:lang w:val="es-ES_tradnl"/>
        </w:rPr>
      </w:pPr>
      <w:r w:rsidRPr="002E142C">
        <w:rPr>
          <w:rStyle w:val="FootnoteReference"/>
          <w:szCs w:val="16"/>
        </w:rPr>
        <w:footnoteRef/>
      </w:r>
      <w:r w:rsidRPr="002E142C">
        <w:rPr>
          <w:sz w:val="16"/>
          <w:szCs w:val="16"/>
        </w:rPr>
        <w:t xml:space="preserve"> </w:t>
      </w:r>
      <w:r w:rsidRPr="002E142C">
        <w:rPr>
          <w:sz w:val="16"/>
          <w:szCs w:val="16"/>
        </w:rPr>
        <w:tab/>
      </w:r>
      <w:r w:rsidRPr="002E142C">
        <w:rPr>
          <w:bCs/>
          <w:i/>
          <w:sz w:val="16"/>
          <w:szCs w:val="16"/>
        </w:rPr>
        <w:t>Asunto Fernández Ortega y otros respecto México.</w:t>
      </w:r>
      <w:r w:rsidRPr="002E142C">
        <w:rPr>
          <w:bCs/>
          <w:sz w:val="16"/>
          <w:szCs w:val="16"/>
        </w:rPr>
        <w:t xml:space="preserve"> </w:t>
      </w:r>
      <w:r w:rsidRPr="002E142C">
        <w:rPr>
          <w:bCs/>
          <w:i/>
          <w:sz w:val="16"/>
          <w:szCs w:val="16"/>
        </w:rPr>
        <w:t>Medidas Provisionales</w:t>
      </w:r>
      <w:r w:rsidRPr="002E142C">
        <w:rPr>
          <w:bCs/>
          <w:i/>
          <w:color w:val="000000"/>
          <w:sz w:val="16"/>
          <w:szCs w:val="16"/>
          <w:shd w:val="clear" w:color="auto" w:fill="FFFFFF"/>
          <w:lang w:eastAsia="es-CR"/>
        </w:rPr>
        <w:t xml:space="preserve"> </w:t>
      </w:r>
      <w:r w:rsidRPr="002E142C">
        <w:rPr>
          <w:bCs/>
          <w:i/>
          <w:sz w:val="16"/>
          <w:szCs w:val="16"/>
        </w:rPr>
        <w:t>respecto México</w:t>
      </w:r>
      <w:r w:rsidRPr="002E142C">
        <w:rPr>
          <w:bCs/>
          <w:sz w:val="16"/>
          <w:szCs w:val="16"/>
        </w:rPr>
        <w:t xml:space="preserve">. Resolución de la Presidenta de la Corte Interamericana de Derechos Humanos de 9 de abril de 2009, Considerando 6, y </w:t>
      </w:r>
      <w:r w:rsidRPr="002E142C">
        <w:rPr>
          <w:rStyle w:val="Strong"/>
          <w:b w:val="0"/>
          <w:i/>
          <w:color w:val="000000"/>
          <w:sz w:val="16"/>
          <w:szCs w:val="16"/>
          <w:shd w:val="clear" w:color="auto" w:fill="FFFFFF"/>
        </w:rPr>
        <w:t xml:space="preserve">Asunto Fernández Ortega y otros respecto México. </w:t>
      </w:r>
      <w:r w:rsidRPr="002E142C">
        <w:rPr>
          <w:rStyle w:val="Strong"/>
          <w:b w:val="0"/>
          <w:color w:val="000000"/>
          <w:sz w:val="16"/>
          <w:szCs w:val="16"/>
          <w:shd w:val="clear" w:color="auto" w:fill="FFFFFF"/>
        </w:rPr>
        <w:t>Medidas Provisionales. Resolución de la Corte Interamericana de Derechos Humanos de 30 de abril de 2009, Considerando 7.</w:t>
      </w:r>
    </w:p>
  </w:footnote>
  <w:footnote w:id="40">
    <w:p w14:paraId="17851379" w14:textId="5101516D" w:rsidR="00926161" w:rsidRPr="002E142C" w:rsidRDefault="00926161" w:rsidP="0072590C">
      <w:pPr>
        <w:pStyle w:val="FootnoteText"/>
        <w:tabs>
          <w:tab w:val="left" w:pos="360"/>
          <w:tab w:val="left" w:pos="426"/>
        </w:tabs>
        <w:spacing w:before="120" w:after="120"/>
        <w:jc w:val="both"/>
        <w:rPr>
          <w:b/>
          <w:sz w:val="16"/>
          <w:szCs w:val="16"/>
          <w:lang w:val="es-ES_tradnl"/>
        </w:rPr>
      </w:pPr>
      <w:r w:rsidRPr="007A189D">
        <w:rPr>
          <w:rStyle w:val="FootnoteReference"/>
          <w:szCs w:val="16"/>
        </w:rPr>
        <w:footnoteRef/>
      </w:r>
      <w:r w:rsidRPr="007A189D">
        <w:rPr>
          <w:sz w:val="16"/>
          <w:szCs w:val="16"/>
        </w:rPr>
        <w:t xml:space="preserve"> </w:t>
      </w:r>
      <w:r w:rsidRPr="007A189D">
        <w:rPr>
          <w:sz w:val="16"/>
          <w:szCs w:val="16"/>
        </w:rPr>
        <w:tab/>
      </w:r>
      <w:r w:rsidRPr="007A189D">
        <w:rPr>
          <w:i/>
          <w:sz w:val="16"/>
          <w:szCs w:val="16"/>
        </w:rPr>
        <w:t>Cfr</w:t>
      </w:r>
      <w:r w:rsidRPr="002E142C">
        <w:rPr>
          <w:i/>
          <w:sz w:val="16"/>
          <w:szCs w:val="16"/>
        </w:rPr>
        <w:t>. Caso del Tribunal Constitucional.</w:t>
      </w:r>
      <w:r w:rsidRPr="002E142C">
        <w:rPr>
          <w:sz w:val="16"/>
          <w:szCs w:val="16"/>
        </w:rPr>
        <w:t xml:space="preserve"> </w:t>
      </w:r>
      <w:r w:rsidRPr="002E142C">
        <w:rPr>
          <w:i/>
          <w:sz w:val="16"/>
          <w:szCs w:val="16"/>
        </w:rPr>
        <w:t>Medidas Provisionales respecto del Perú</w:t>
      </w:r>
      <w:r w:rsidRPr="002E142C">
        <w:rPr>
          <w:sz w:val="16"/>
          <w:szCs w:val="16"/>
        </w:rPr>
        <w:t>. Resolución de la Corte Interamericana de Derechos Humanos de 14 de marzo de 2001, Considerando 4, y</w:t>
      </w:r>
      <w:r w:rsidRPr="002E142C">
        <w:rPr>
          <w:b/>
          <w:bCs/>
          <w:i/>
          <w:sz w:val="16"/>
          <w:szCs w:val="16"/>
        </w:rPr>
        <w:t xml:space="preserve"> </w:t>
      </w:r>
      <w:r w:rsidRPr="002E142C">
        <w:rPr>
          <w:rStyle w:val="Strong"/>
          <w:b w:val="0"/>
          <w:i/>
          <w:color w:val="000000"/>
          <w:sz w:val="16"/>
          <w:szCs w:val="16"/>
          <w:shd w:val="clear" w:color="auto" w:fill="FFFFFF"/>
        </w:rPr>
        <w:t xml:space="preserve">Caso </w:t>
      </w:r>
      <w:proofErr w:type="spellStart"/>
      <w:r w:rsidRPr="002E142C">
        <w:rPr>
          <w:rStyle w:val="Strong"/>
          <w:b w:val="0"/>
          <w:i/>
          <w:color w:val="000000"/>
          <w:sz w:val="16"/>
          <w:szCs w:val="16"/>
          <w:shd w:val="clear" w:color="auto" w:fill="FFFFFF"/>
        </w:rPr>
        <w:t>Nadege</w:t>
      </w:r>
      <w:proofErr w:type="spellEnd"/>
      <w:r w:rsidRPr="002E142C">
        <w:rPr>
          <w:rStyle w:val="Strong"/>
          <w:b w:val="0"/>
          <w:i/>
          <w:color w:val="000000"/>
          <w:sz w:val="16"/>
          <w:szCs w:val="16"/>
          <w:shd w:val="clear" w:color="auto" w:fill="FFFFFF"/>
        </w:rPr>
        <w:t xml:space="preserve"> </w:t>
      </w:r>
      <w:proofErr w:type="spellStart"/>
      <w:r w:rsidRPr="002E142C">
        <w:rPr>
          <w:rStyle w:val="Strong"/>
          <w:b w:val="0"/>
          <w:i/>
          <w:color w:val="000000"/>
          <w:sz w:val="16"/>
          <w:szCs w:val="16"/>
          <w:shd w:val="clear" w:color="auto" w:fill="FFFFFF"/>
        </w:rPr>
        <w:t>Dorzema</w:t>
      </w:r>
      <w:proofErr w:type="spellEnd"/>
      <w:r w:rsidRPr="002E142C">
        <w:rPr>
          <w:rStyle w:val="Strong"/>
          <w:b w:val="0"/>
          <w:i/>
          <w:color w:val="000000"/>
          <w:sz w:val="16"/>
          <w:szCs w:val="16"/>
          <w:shd w:val="clear" w:color="auto" w:fill="FFFFFF"/>
        </w:rPr>
        <w:t xml:space="preserve"> y otros.</w:t>
      </w:r>
      <w:r w:rsidRPr="002E142C">
        <w:rPr>
          <w:rStyle w:val="Strong"/>
          <w:b w:val="0"/>
          <w:color w:val="000000"/>
          <w:sz w:val="16"/>
          <w:szCs w:val="16"/>
          <w:shd w:val="clear" w:color="auto" w:fill="FFFFFF"/>
        </w:rPr>
        <w:t xml:space="preserve"> </w:t>
      </w:r>
      <w:r w:rsidRPr="002E142C">
        <w:rPr>
          <w:rStyle w:val="Strong"/>
          <w:b w:val="0"/>
          <w:i/>
          <w:color w:val="000000"/>
          <w:sz w:val="16"/>
          <w:szCs w:val="16"/>
          <w:shd w:val="clear" w:color="auto" w:fill="FFFFFF"/>
        </w:rPr>
        <w:t>Solicitud de Medidas Provisionales respecto República Dominicana</w:t>
      </w:r>
      <w:r w:rsidRPr="002E142C">
        <w:rPr>
          <w:rStyle w:val="Strong"/>
          <w:b w:val="0"/>
          <w:color w:val="000000"/>
          <w:sz w:val="16"/>
          <w:szCs w:val="16"/>
          <w:shd w:val="clear" w:color="auto" w:fill="FFFFFF"/>
        </w:rPr>
        <w:t xml:space="preserve">. Resolución de la Corte Interamericana de Derechos Humanos de </w:t>
      </w:r>
      <w:r w:rsidRPr="002E142C">
        <w:rPr>
          <w:rStyle w:val="Strong"/>
          <w:b w:val="0"/>
          <w:sz w:val="16"/>
          <w:szCs w:val="16"/>
          <w:shd w:val="clear" w:color="auto" w:fill="FFFFFF"/>
        </w:rPr>
        <w:t>23 de febrero de 2016, Considerando 9.</w:t>
      </w:r>
    </w:p>
  </w:footnote>
  <w:footnote w:id="41">
    <w:p w14:paraId="553D226B" w14:textId="3A782471"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t>Por tanto no resultaría aplicable el supuesto establecido en el numeral 13 del artículo 25 del Reglamento de la Comisión Interamericana, el cual establece que “[a</w:t>
      </w:r>
      <w:r w:rsidRPr="002E142C">
        <w:rPr>
          <w:rFonts w:cs="Tahoma"/>
          <w:sz w:val="16"/>
          <w:szCs w:val="16"/>
          <w:shd w:val="clear" w:color="auto" w:fill="FFFFFF"/>
        </w:rPr>
        <w:t>]</w:t>
      </w:r>
      <w:proofErr w:type="spellStart"/>
      <w:r w:rsidRPr="002E142C">
        <w:rPr>
          <w:rFonts w:cs="Tahoma"/>
          <w:sz w:val="16"/>
          <w:szCs w:val="16"/>
          <w:shd w:val="clear" w:color="auto" w:fill="FFFFFF"/>
        </w:rPr>
        <w:t>nte</w:t>
      </w:r>
      <w:proofErr w:type="spellEnd"/>
      <w:r w:rsidRPr="002E142C">
        <w:rPr>
          <w:rFonts w:cs="Tahoma"/>
          <w:sz w:val="16"/>
          <w:szCs w:val="16"/>
          <w:shd w:val="clear" w:color="auto" w:fill="FFFFFF"/>
        </w:rPr>
        <w:t xml:space="preserve"> una decisión de desestimación de una solicitud de medidas provisionales por parte de la Corte Interamericana, la Comisión no considerará una nueva solicitud de medidas cautelares, salvo que existan nuevos hechos que así lo justifiquen. En todo caso, la Comisión podrá ponderar el uso de otros mecanismos de monitoreo de la situación”.</w:t>
      </w:r>
    </w:p>
  </w:footnote>
  <w:footnote w:id="42">
    <w:p w14:paraId="0CF4885A" w14:textId="012BD650" w:rsidR="00926161" w:rsidRPr="002E142C" w:rsidRDefault="00926161" w:rsidP="0072590C">
      <w:pPr>
        <w:pStyle w:val="FootnoteText"/>
        <w:tabs>
          <w:tab w:val="left" w:pos="360"/>
          <w:tab w:val="left" w:pos="426"/>
        </w:tabs>
        <w:spacing w:before="120" w:after="120"/>
        <w:jc w:val="both"/>
        <w:rPr>
          <w:sz w:val="16"/>
          <w:szCs w:val="16"/>
          <w:lang w:val="es-ES_tradnl"/>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Cfr.</w:t>
      </w:r>
      <w:r w:rsidRPr="002E142C">
        <w:rPr>
          <w:sz w:val="16"/>
          <w:szCs w:val="16"/>
        </w:rPr>
        <w:t xml:space="preserve"> </w:t>
      </w:r>
      <w:r w:rsidRPr="002E142C">
        <w:rPr>
          <w:bCs/>
          <w:i/>
          <w:sz w:val="16"/>
          <w:szCs w:val="16"/>
        </w:rPr>
        <w:t>Caso Fernández Ortega y otros.</w:t>
      </w:r>
      <w:r w:rsidRPr="002E142C">
        <w:rPr>
          <w:b/>
          <w:bCs/>
          <w:sz w:val="16"/>
          <w:szCs w:val="16"/>
        </w:rPr>
        <w:t xml:space="preserve"> </w:t>
      </w:r>
      <w:r w:rsidRPr="002E142C">
        <w:rPr>
          <w:bCs/>
          <w:i/>
          <w:sz w:val="16"/>
          <w:szCs w:val="16"/>
        </w:rPr>
        <w:t>Medidas Provisionales</w:t>
      </w:r>
      <w:r w:rsidRPr="002E142C">
        <w:rPr>
          <w:bCs/>
          <w:i/>
          <w:color w:val="000000"/>
          <w:sz w:val="16"/>
          <w:szCs w:val="16"/>
          <w:shd w:val="clear" w:color="auto" w:fill="FFFFFF"/>
          <w:lang w:eastAsia="es-CR"/>
        </w:rPr>
        <w:t xml:space="preserve"> </w:t>
      </w:r>
      <w:r w:rsidRPr="002E142C">
        <w:rPr>
          <w:bCs/>
          <w:i/>
          <w:sz w:val="16"/>
          <w:szCs w:val="16"/>
        </w:rPr>
        <w:t>respecto México</w:t>
      </w:r>
      <w:r w:rsidRPr="002E142C">
        <w:rPr>
          <w:bCs/>
          <w:sz w:val="16"/>
          <w:szCs w:val="16"/>
        </w:rPr>
        <w:t>. Resolución de la Corte Interamericana de Derechos Humanos de 23 de febrero de 2016, Considerando 36.</w:t>
      </w:r>
    </w:p>
  </w:footnote>
  <w:footnote w:id="43">
    <w:p w14:paraId="2BEEBAB3" w14:textId="77777777" w:rsidR="00957B1D" w:rsidRPr="002E142C" w:rsidRDefault="00957B1D" w:rsidP="00957B1D">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t>Específicamente, se trata de:</w:t>
      </w:r>
      <w:r w:rsidRPr="002E142C">
        <w:rPr>
          <w:sz w:val="16"/>
          <w:szCs w:val="16"/>
          <w:lang w:eastAsia="es-CR"/>
        </w:rPr>
        <w:t xml:space="preserve"> </w:t>
      </w:r>
      <w:r w:rsidRPr="002E142C">
        <w:rPr>
          <w:sz w:val="16"/>
          <w:szCs w:val="16"/>
        </w:rPr>
        <w:t xml:space="preserve">i) Inés Fernández Ortega, su esposo Fortunato Prisciliano Sierra, así como sus hijas Noemí, Ana Luz y Nélida, y su hijo Colosio, todos de apellido Prisciliano Fernández; ii) </w:t>
      </w:r>
      <w:proofErr w:type="spellStart"/>
      <w:r w:rsidRPr="002E142C">
        <w:rPr>
          <w:sz w:val="16"/>
          <w:szCs w:val="16"/>
        </w:rPr>
        <w:t>Obtilia</w:t>
      </w:r>
      <w:proofErr w:type="spellEnd"/>
      <w:r w:rsidRPr="002E142C">
        <w:rPr>
          <w:sz w:val="16"/>
          <w:szCs w:val="16"/>
        </w:rPr>
        <w:t xml:space="preserve"> Eugenio Manuel, su esposo Cuauhtémoc Ramírez Rodríguez, sus hijas </w:t>
      </w:r>
      <w:proofErr w:type="spellStart"/>
      <w:r w:rsidRPr="002E142C">
        <w:rPr>
          <w:sz w:val="16"/>
          <w:szCs w:val="16"/>
        </w:rPr>
        <w:t>Kuaia</w:t>
      </w:r>
      <w:proofErr w:type="spellEnd"/>
      <w:r w:rsidRPr="002E142C">
        <w:rPr>
          <w:sz w:val="16"/>
          <w:szCs w:val="16"/>
        </w:rPr>
        <w:t xml:space="preserve"> Emilia y </w:t>
      </w:r>
      <w:proofErr w:type="spellStart"/>
      <w:r w:rsidRPr="002E142C">
        <w:rPr>
          <w:sz w:val="16"/>
          <w:szCs w:val="16"/>
        </w:rPr>
        <w:t>Sa’an</w:t>
      </w:r>
      <w:proofErr w:type="spellEnd"/>
      <w:r w:rsidRPr="002E142C">
        <w:rPr>
          <w:sz w:val="16"/>
          <w:szCs w:val="16"/>
        </w:rPr>
        <w:t xml:space="preserve"> Isabel y su hijo Cuauhtémoc, todos de apellido Ramírez Manuel, y su hermana Andrea Eugenio Manuel; iii) integrantes de la OPIM: Victoriano Eugenio Manuel, Gabino Eugenio Manuel, Juan Remigio Guzmán, Raúl Hernández Abundio, Rafael Rodríguez </w:t>
      </w:r>
      <w:proofErr w:type="spellStart"/>
      <w:r w:rsidRPr="002E142C">
        <w:rPr>
          <w:sz w:val="16"/>
          <w:szCs w:val="16"/>
        </w:rPr>
        <w:t>Dircio</w:t>
      </w:r>
      <w:proofErr w:type="spellEnd"/>
      <w:r w:rsidRPr="002E142C">
        <w:rPr>
          <w:sz w:val="16"/>
          <w:szCs w:val="16"/>
        </w:rPr>
        <w:t xml:space="preserve">, Severo Eugenio Remigio, Manuel Cruz Victoriano, Orlando Manzanares Lorenzo, Romualdo Santiago Enedina, Braulio Manzanares Lorenzo, José Eugenio Cruz, Félix Ortega Dolores, Merced Santiago Lorenzo, Arturo Cruz Ortega, Leopoldo Eugenio Manuel, Ubaldo Santiago Eugenio, Arnulfo Cruz Concepción, Silverio Remigio Guzmán, Crisóforo Manzanares Lorenzo, Taurino Fernández Santiago, Ocotlán Fernández Ortega, Mauricio Cruz Morales, Viviano García Santiago, Julio </w:t>
      </w:r>
      <w:proofErr w:type="spellStart"/>
      <w:r w:rsidRPr="002E142C">
        <w:rPr>
          <w:sz w:val="16"/>
          <w:szCs w:val="16"/>
        </w:rPr>
        <w:t>Bolanos</w:t>
      </w:r>
      <w:proofErr w:type="spellEnd"/>
      <w:r w:rsidRPr="002E142C">
        <w:rPr>
          <w:sz w:val="16"/>
          <w:szCs w:val="16"/>
        </w:rPr>
        <w:t xml:space="preserve"> Santiago, José Espinoza Eugenio, Ramón Ortega Cruz, Virgilio Cruz Ortega, Victoriano Ortega Cruz, Marcelino Santiago Flores, Justino García Santiago, Crispín Santiago González, Natalio Eugenio Catarino, Fausto Santiago González, Leopoldo Eugenio Rufina, Vicente Díaz Luciano, </w:t>
      </w:r>
      <w:proofErr w:type="spellStart"/>
      <w:r w:rsidRPr="002E142C">
        <w:rPr>
          <w:sz w:val="16"/>
          <w:szCs w:val="16"/>
        </w:rPr>
        <w:t>Socimo</w:t>
      </w:r>
      <w:proofErr w:type="spellEnd"/>
      <w:r w:rsidRPr="002E142C">
        <w:rPr>
          <w:sz w:val="16"/>
          <w:szCs w:val="16"/>
        </w:rPr>
        <w:t xml:space="preserve"> Manuel Sierra, Santiago Manuel Sierra, Ramiro Flor </w:t>
      </w:r>
      <w:proofErr w:type="spellStart"/>
      <w:r w:rsidRPr="002E142C">
        <w:rPr>
          <w:sz w:val="16"/>
          <w:szCs w:val="16"/>
        </w:rPr>
        <w:t>Cresencio</w:t>
      </w:r>
      <w:proofErr w:type="spellEnd"/>
      <w:r w:rsidRPr="002E142C">
        <w:rPr>
          <w:sz w:val="16"/>
          <w:szCs w:val="16"/>
        </w:rPr>
        <w:t xml:space="preserve">, Milenio Flores de Jesús y Romualdo Eugenio Estrada, y iv) integrantes de </w:t>
      </w:r>
      <w:proofErr w:type="spellStart"/>
      <w:r w:rsidRPr="002E142C">
        <w:rPr>
          <w:sz w:val="16"/>
          <w:szCs w:val="16"/>
        </w:rPr>
        <w:t>Tlachinollan</w:t>
      </w:r>
      <w:proofErr w:type="spellEnd"/>
      <w:r w:rsidRPr="002E142C">
        <w:rPr>
          <w:sz w:val="16"/>
          <w:szCs w:val="16"/>
        </w:rPr>
        <w:t xml:space="preserve">: Abel Barrera Hernández, Armando Campos Ochoa, </w:t>
      </w:r>
      <w:proofErr w:type="spellStart"/>
      <w:r w:rsidRPr="002E142C">
        <w:rPr>
          <w:sz w:val="16"/>
          <w:szCs w:val="16"/>
        </w:rPr>
        <w:t>Epifania</w:t>
      </w:r>
      <w:proofErr w:type="spellEnd"/>
      <w:r w:rsidRPr="002E142C">
        <w:rPr>
          <w:sz w:val="16"/>
          <w:szCs w:val="16"/>
        </w:rPr>
        <w:t xml:space="preserve"> Ramírez Arias, Isidoro Vicario Aguilar, Neil Arias </w:t>
      </w:r>
      <w:proofErr w:type="spellStart"/>
      <w:r w:rsidRPr="002E142C">
        <w:rPr>
          <w:sz w:val="16"/>
          <w:szCs w:val="16"/>
        </w:rPr>
        <w:t>Vitinio</w:t>
      </w:r>
      <w:proofErr w:type="spellEnd"/>
      <w:r w:rsidRPr="002E142C">
        <w:rPr>
          <w:sz w:val="16"/>
          <w:szCs w:val="16"/>
        </w:rPr>
        <w:t xml:space="preserve">, Olivia Arce Bautista, Paulino Rodríguez Reyes, </w:t>
      </w:r>
      <w:proofErr w:type="spellStart"/>
      <w:r w:rsidRPr="002E142C">
        <w:rPr>
          <w:sz w:val="16"/>
          <w:szCs w:val="16"/>
        </w:rPr>
        <w:t>Vidulfo</w:t>
      </w:r>
      <w:proofErr w:type="spellEnd"/>
      <w:r w:rsidRPr="002E142C">
        <w:rPr>
          <w:sz w:val="16"/>
          <w:szCs w:val="16"/>
        </w:rPr>
        <w:t xml:space="preserve"> Rosales Sierra, Fidela Hernández Vargas y Rogelio </w:t>
      </w:r>
      <w:proofErr w:type="spellStart"/>
      <w:r w:rsidRPr="002E142C">
        <w:rPr>
          <w:sz w:val="16"/>
          <w:szCs w:val="16"/>
        </w:rPr>
        <w:t>Téliz</w:t>
      </w:r>
      <w:proofErr w:type="spellEnd"/>
      <w:r w:rsidRPr="002E142C">
        <w:rPr>
          <w:sz w:val="16"/>
          <w:szCs w:val="16"/>
        </w:rPr>
        <w:t xml:space="preserve"> García. </w:t>
      </w:r>
    </w:p>
  </w:footnote>
  <w:footnote w:id="44">
    <w:p w14:paraId="08178CB7" w14:textId="322A3DA4" w:rsidR="00926161" w:rsidRPr="002E142C" w:rsidRDefault="00926161" w:rsidP="0072590C">
      <w:pPr>
        <w:pStyle w:val="FootnoteText"/>
        <w:tabs>
          <w:tab w:val="left" w:pos="360"/>
          <w:tab w:val="left" w:pos="426"/>
        </w:tabs>
        <w:spacing w:before="120" w:after="120"/>
        <w:jc w:val="both"/>
        <w:rPr>
          <w:b/>
          <w:color w:val="FF0000"/>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i/>
          <w:sz w:val="16"/>
          <w:szCs w:val="16"/>
        </w:rPr>
        <w:t>Cfr.</w:t>
      </w:r>
      <w:r w:rsidRPr="002E142C">
        <w:rPr>
          <w:b/>
          <w:i/>
          <w:sz w:val="16"/>
          <w:szCs w:val="16"/>
        </w:rPr>
        <w:t xml:space="preserve"> </w:t>
      </w:r>
      <w:r w:rsidRPr="002E142C">
        <w:rPr>
          <w:rStyle w:val="Strong"/>
          <w:b w:val="0"/>
          <w:i/>
          <w:color w:val="000000"/>
          <w:sz w:val="16"/>
          <w:szCs w:val="16"/>
          <w:shd w:val="clear" w:color="auto" w:fill="FFFFFF"/>
        </w:rPr>
        <w:t xml:space="preserve">Caso Fernández Ortega </w:t>
      </w:r>
      <w:r w:rsidRPr="002E142C">
        <w:rPr>
          <w:rStyle w:val="Strong"/>
          <w:b w:val="0"/>
          <w:i/>
          <w:sz w:val="16"/>
          <w:szCs w:val="16"/>
          <w:shd w:val="clear" w:color="auto" w:fill="FFFFFF"/>
        </w:rPr>
        <w:t>y otros. Medidas provisionales respecto de México.</w:t>
      </w:r>
      <w:r w:rsidRPr="002E142C">
        <w:rPr>
          <w:rStyle w:val="Strong"/>
          <w:b w:val="0"/>
          <w:sz w:val="16"/>
          <w:szCs w:val="16"/>
          <w:shd w:val="clear" w:color="auto" w:fill="FFFFFF"/>
        </w:rPr>
        <w:t xml:space="preserve"> Resolución de la Corte de 23 de febrero de 2016, Considerandos 32, 33 y 36 y puntos resolutivos 1 y 2.</w:t>
      </w:r>
    </w:p>
  </w:footnote>
  <w:footnote w:id="45">
    <w:p w14:paraId="0F61AA14" w14:textId="0D0C0E4D"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t xml:space="preserve">Los representantes alegaron que “se encontrarían pendientes de implementar las siguientes medidas de infraestructura y sistemas de comunicación: (i) instalación de malla ciclónica en el domicilio de Abel Barrera; (ii) instalación del sistema de comunicación telefónica de enlace satelital entre las oficinas de </w:t>
      </w:r>
      <w:proofErr w:type="spellStart"/>
      <w:r w:rsidRPr="002E142C">
        <w:rPr>
          <w:sz w:val="16"/>
          <w:szCs w:val="16"/>
        </w:rPr>
        <w:t>Tlachinollan</w:t>
      </w:r>
      <w:proofErr w:type="spellEnd"/>
      <w:r w:rsidRPr="002E142C">
        <w:rPr>
          <w:sz w:val="16"/>
          <w:szCs w:val="16"/>
        </w:rPr>
        <w:t xml:space="preserve"> en Tlapa de Comonfort y en Ayutla de los Libres, y (iii) entrega de sistemas de seguridad con equipo de localización satelital para las unidades vehiculares de </w:t>
      </w:r>
      <w:proofErr w:type="spellStart"/>
      <w:r w:rsidRPr="002E142C">
        <w:rPr>
          <w:sz w:val="16"/>
          <w:szCs w:val="16"/>
        </w:rPr>
        <w:t>Tlachinollan</w:t>
      </w:r>
      <w:proofErr w:type="spellEnd"/>
      <w:r w:rsidRPr="002E142C">
        <w:rPr>
          <w:sz w:val="16"/>
          <w:szCs w:val="16"/>
        </w:rPr>
        <w:t xml:space="preserve">, así como para el vehículo personal de Abel Barrera”. </w:t>
      </w:r>
      <w:r w:rsidRPr="002E142C">
        <w:rPr>
          <w:rStyle w:val="Strong"/>
          <w:b w:val="0"/>
          <w:i/>
          <w:color w:val="000000"/>
          <w:sz w:val="16"/>
          <w:szCs w:val="16"/>
          <w:shd w:val="clear" w:color="auto" w:fill="FFFFFF"/>
        </w:rPr>
        <w:t>Caso Fernández Ortega y otros respecto de México.</w:t>
      </w:r>
      <w:r w:rsidRPr="002E142C">
        <w:rPr>
          <w:rStyle w:val="Strong"/>
          <w:b w:val="0"/>
          <w:color w:val="000000"/>
          <w:sz w:val="16"/>
          <w:szCs w:val="16"/>
          <w:shd w:val="clear" w:color="auto" w:fill="FFFFFF"/>
        </w:rPr>
        <w:t xml:space="preserve"> Resolución de la Corte de 23 de febrero de 2016, Considerando 9.</w:t>
      </w:r>
    </w:p>
  </w:footnote>
  <w:footnote w:id="46">
    <w:p w14:paraId="0A7DEB1A" w14:textId="6BA61849" w:rsidR="00926161" w:rsidRPr="002E142C" w:rsidRDefault="00926161" w:rsidP="0072590C">
      <w:pPr>
        <w:pStyle w:val="FootnoteText"/>
        <w:tabs>
          <w:tab w:val="left" w:pos="360"/>
          <w:tab w:val="left" w:pos="426"/>
        </w:tabs>
        <w:spacing w:before="120" w:after="120"/>
        <w:jc w:val="both"/>
        <w:rPr>
          <w:b/>
          <w:sz w:val="16"/>
          <w:szCs w:val="16"/>
        </w:rPr>
      </w:pPr>
      <w:r w:rsidRPr="002E142C">
        <w:rPr>
          <w:rStyle w:val="FootnoteReference"/>
          <w:szCs w:val="16"/>
        </w:rPr>
        <w:footnoteRef/>
      </w:r>
      <w:r w:rsidRPr="002E142C">
        <w:rPr>
          <w:sz w:val="16"/>
          <w:szCs w:val="16"/>
        </w:rPr>
        <w:t xml:space="preserve"> </w:t>
      </w:r>
      <w:r w:rsidRPr="002E142C">
        <w:rPr>
          <w:sz w:val="16"/>
          <w:szCs w:val="16"/>
        </w:rPr>
        <w:tab/>
      </w:r>
      <w:r w:rsidRPr="002E142C">
        <w:rPr>
          <w:sz w:val="16"/>
          <w:szCs w:val="16"/>
        </w:rPr>
        <w:tab/>
      </w:r>
      <w:r w:rsidR="00172745" w:rsidRPr="002E142C">
        <w:rPr>
          <w:sz w:val="16"/>
          <w:szCs w:val="16"/>
        </w:rPr>
        <w:t xml:space="preserve">El Estado </w:t>
      </w:r>
      <w:r w:rsidRPr="002E142C">
        <w:rPr>
          <w:sz w:val="16"/>
          <w:szCs w:val="16"/>
        </w:rPr>
        <w:t xml:space="preserve">remitió </w:t>
      </w:r>
      <w:r w:rsidR="00172745" w:rsidRPr="002E142C">
        <w:rPr>
          <w:sz w:val="16"/>
          <w:szCs w:val="16"/>
        </w:rPr>
        <w:t xml:space="preserve">anexo a su informe </w:t>
      </w:r>
      <w:r w:rsidRPr="002E142C">
        <w:rPr>
          <w:sz w:val="16"/>
          <w:szCs w:val="16"/>
        </w:rPr>
        <w:t xml:space="preserve">una descripción técnica de los teléfonos satelitales para atender a lo </w:t>
      </w:r>
      <w:r w:rsidR="00172745" w:rsidRPr="002E142C">
        <w:rPr>
          <w:sz w:val="16"/>
          <w:szCs w:val="16"/>
        </w:rPr>
        <w:t xml:space="preserve">solicitado </w:t>
      </w:r>
      <w:r w:rsidRPr="002E142C">
        <w:rPr>
          <w:sz w:val="16"/>
          <w:szCs w:val="16"/>
        </w:rPr>
        <w:t xml:space="preserve">en Considerando 16 de la Resolución de la Corte </w:t>
      </w:r>
      <w:r w:rsidRPr="002E142C">
        <w:rPr>
          <w:rStyle w:val="Strong"/>
          <w:b w:val="0"/>
          <w:sz w:val="16"/>
          <w:szCs w:val="16"/>
          <w:shd w:val="clear" w:color="auto" w:fill="FFFFFF"/>
        </w:rPr>
        <w:t>de 23 de febrero de 2016.</w:t>
      </w:r>
      <w:r w:rsidRPr="002E142C">
        <w:rPr>
          <w:sz w:val="16"/>
          <w:szCs w:val="16"/>
        </w:rPr>
        <w:t xml:space="preserve"> </w:t>
      </w:r>
    </w:p>
  </w:footnote>
  <w:footnote w:id="47">
    <w:p w14:paraId="1E779191" w14:textId="54282253"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00E5286B" w:rsidRPr="002E142C">
        <w:rPr>
          <w:sz w:val="16"/>
          <w:szCs w:val="16"/>
        </w:rPr>
        <w:t>En su informe el Estado hizo notar que “la implementación de esta medida implica destinar elementos de seguridad que cuentan con responsabilidades de seguridad pública asignadas y por lo tanto, la prestación de la misma implica dejar de prestar otros servicios a la ciudadanía, por lo que de no contar con un aviso oportuno para la realización del traslado es imposible atender las peticiones de los beneficiarios”.</w:t>
      </w:r>
    </w:p>
  </w:footnote>
  <w:footnote w:id="48">
    <w:p w14:paraId="4560C6CB" w14:textId="1520465B" w:rsidR="00926161" w:rsidRPr="002E142C" w:rsidRDefault="00926161" w:rsidP="0072590C">
      <w:pPr>
        <w:pStyle w:val="FootnoteText"/>
        <w:tabs>
          <w:tab w:val="left" w:pos="360"/>
          <w:tab w:val="left" w:pos="426"/>
        </w:tabs>
        <w:spacing w:before="120" w:after="120"/>
        <w:jc w:val="both"/>
        <w:rPr>
          <w:sz w:val="16"/>
          <w:szCs w:val="16"/>
        </w:rPr>
      </w:pPr>
      <w:r w:rsidRPr="002E142C">
        <w:rPr>
          <w:rStyle w:val="FootnoteReference"/>
          <w:szCs w:val="16"/>
        </w:rPr>
        <w:footnoteRef/>
      </w:r>
      <w:r w:rsidRPr="002E142C">
        <w:rPr>
          <w:sz w:val="16"/>
          <w:szCs w:val="16"/>
        </w:rPr>
        <w:t xml:space="preserve"> </w:t>
      </w:r>
      <w:r w:rsidRPr="002E142C">
        <w:rPr>
          <w:sz w:val="16"/>
          <w:szCs w:val="16"/>
        </w:rPr>
        <w:tab/>
      </w:r>
      <w:r w:rsidR="003060B0" w:rsidRPr="002E142C">
        <w:rPr>
          <w:i/>
          <w:sz w:val="16"/>
          <w:szCs w:val="16"/>
        </w:rPr>
        <w:t>Cfr.</w:t>
      </w:r>
      <w:r w:rsidR="003060B0" w:rsidRPr="002E142C">
        <w:rPr>
          <w:b/>
          <w:i/>
          <w:sz w:val="16"/>
          <w:szCs w:val="16"/>
        </w:rPr>
        <w:t xml:space="preserve"> </w:t>
      </w:r>
      <w:r w:rsidR="003060B0" w:rsidRPr="002E142C">
        <w:rPr>
          <w:rStyle w:val="Strong"/>
          <w:b w:val="0"/>
          <w:i/>
          <w:color w:val="000000"/>
          <w:sz w:val="16"/>
          <w:szCs w:val="16"/>
          <w:shd w:val="clear" w:color="auto" w:fill="FFFFFF"/>
        </w:rPr>
        <w:t>Caso Fernández Ortega y otros. Medidas provisionales respecto de México.</w:t>
      </w:r>
      <w:r w:rsidR="003060B0" w:rsidRPr="002E142C">
        <w:rPr>
          <w:rStyle w:val="Strong"/>
          <w:b w:val="0"/>
          <w:color w:val="000000"/>
          <w:sz w:val="16"/>
          <w:szCs w:val="16"/>
          <w:shd w:val="clear" w:color="auto" w:fill="FFFFFF"/>
        </w:rPr>
        <w:t xml:space="preserve"> Resolución de la Corte de 23 de febrero de 2016, Considerando 7.</w:t>
      </w:r>
    </w:p>
  </w:footnote>
  <w:footnote w:id="49">
    <w:p w14:paraId="6B26AF67" w14:textId="0B53743B" w:rsidR="00961213" w:rsidRPr="00AB167B" w:rsidRDefault="005C5C01" w:rsidP="00961213">
      <w:pPr>
        <w:pStyle w:val="FootnoteText"/>
        <w:tabs>
          <w:tab w:val="left" w:pos="567"/>
        </w:tabs>
        <w:spacing w:before="120" w:after="120"/>
        <w:jc w:val="both"/>
        <w:rPr>
          <w:sz w:val="16"/>
          <w:szCs w:val="16"/>
          <w:lang w:val="es-ES"/>
        </w:rPr>
      </w:pPr>
      <w:r>
        <w:rPr>
          <w:rStyle w:val="FootnoteReference"/>
        </w:rPr>
        <w:footnoteRef/>
      </w:r>
      <w:r w:rsidR="00961213" w:rsidRPr="00AB167B">
        <w:rPr>
          <w:sz w:val="16"/>
          <w:szCs w:val="16"/>
          <w:lang w:val="es-ES"/>
        </w:rPr>
        <w:t xml:space="preserve"> </w:t>
      </w:r>
      <w:r w:rsidR="00961213">
        <w:rPr>
          <w:sz w:val="16"/>
          <w:szCs w:val="16"/>
          <w:lang w:val="es-ES"/>
        </w:rPr>
        <w:tab/>
      </w:r>
      <w:r w:rsidR="00961213" w:rsidRPr="00AB167B">
        <w:rPr>
          <w:sz w:val="16"/>
          <w:szCs w:val="16"/>
          <w:lang w:val="es-ES"/>
        </w:rPr>
        <w:t xml:space="preserve">Voto Concurrente del Juez Eduardo Vio Grossi, </w:t>
      </w:r>
      <w:r w:rsidR="00961213" w:rsidRPr="00AB167B">
        <w:rPr>
          <w:bCs/>
          <w:i/>
          <w:sz w:val="16"/>
          <w:szCs w:val="16"/>
        </w:rPr>
        <w:t>Caso Fernández Ortega y otros Vs. de México. Medidas Provisionales.</w:t>
      </w:r>
      <w:r w:rsidR="00961213" w:rsidRPr="00AB167B">
        <w:rPr>
          <w:bCs/>
          <w:sz w:val="16"/>
          <w:szCs w:val="16"/>
        </w:rPr>
        <w:t xml:space="preserve"> Resolución de la Corte Interamericana de Derechos Humanos de 20 de febrero de 2012.</w:t>
      </w:r>
    </w:p>
  </w:footnote>
  <w:footnote w:id="50">
    <w:p w14:paraId="46240219" w14:textId="77777777" w:rsidR="00961213" w:rsidRPr="00AB167B" w:rsidRDefault="00961213" w:rsidP="00961213">
      <w:pPr>
        <w:pStyle w:val="FootnoteText"/>
        <w:tabs>
          <w:tab w:val="left" w:pos="567"/>
        </w:tabs>
        <w:spacing w:before="120" w:after="120"/>
        <w:jc w:val="both"/>
        <w:rPr>
          <w:sz w:val="16"/>
          <w:szCs w:val="16"/>
          <w:lang w:val="es-ES"/>
        </w:rPr>
      </w:pPr>
      <w:r w:rsidRPr="00AB167B">
        <w:rPr>
          <w:rStyle w:val="FootnoteReference"/>
          <w:szCs w:val="16"/>
        </w:rPr>
        <w:footnoteRef/>
      </w:r>
      <w:r w:rsidRPr="00AB167B">
        <w:rPr>
          <w:sz w:val="16"/>
          <w:szCs w:val="16"/>
          <w:lang w:val="es-ES"/>
        </w:rPr>
        <w:t xml:space="preserve"> </w:t>
      </w:r>
      <w:r>
        <w:rPr>
          <w:sz w:val="16"/>
          <w:szCs w:val="16"/>
          <w:lang w:val="es-ES"/>
        </w:rPr>
        <w:tab/>
        <w:t xml:space="preserve">Ver votos concurrentes a las siguientes resoluciones: </w:t>
      </w:r>
      <w:r w:rsidRPr="00AB167B">
        <w:rPr>
          <w:bCs/>
          <w:i/>
          <w:sz w:val="16"/>
          <w:szCs w:val="16"/>
        </w:rPr>
        <w:t>Caso Familia Barrios Vs. Venezuela. Medidas Provisionales.</w:t>
      </w:r>
      <w:r w:rsidRPr="00AB167B">
        <w:rPr>
          <w:bCs/>
          <w:sz w:val="16"/>
          <w:szCs w:val="16"/>
        </w:rPr>
        <w:t xml:space="preserve"> Resolución de la Corte Interamericana de Derechos Humanos de 30 de mayo de 2013; </w:t>
      </w:r>
      <w:r w:rsidRPr="00AB167B">
        <w:rPr>
          <w:bCs/>
          <w:i/>
          <w:sz w:val="16"/>
          <w:szCs w:val="16"/>
        </w:rPr>
        <w:t>Caso Familia Barrios Vs. Venezuela. Medidas Provisionales.</w:t>
      </w:r>
      <w:r w:rsidRPr="00AB167B">
        <w:rPr>
          <w:bCs/>
          <w:sz w:val="16"/>
          <w:szCs w:val="16"/>
        </w:rPr>
        <w:t xml:space="preserve"> Resolución de la Corte Interamericana de Derechos Humanos de 13 de febrero de 2013;</w:t>
      </w:r>
      <w:r>
        <w:rPr>
          <w:b/>
          <w:bCs/>
          <w:sz w:val="16"/>
          <w:szCs w:val="16"/>
        </w:rPr>
        <w:t xml:space="preserve"> </w:t>
      </w:r>
      <w:r w:rsidRPr="00AB167B">
        <w:rPr>
          <w:bCs/>
          <w:i/>
          <w:sz w:val="16"/>
          <w:szCs w:val="16"/>
        </w:rPr>
        <w:t>Caso Artavia Murillo y otros ("Fecundación in vitro") Vs. Costa Rica. Solicitud de medidas provisionales.</w:t>
      </w:r>
      <w:r w:rsidRPr="00AB167B">
        <w:rPr>
          <w:bCs/>
          <w:sz w:val="16"/>
          <w:szCs w:val="16"/>
        </w:rPr>
        <w:t xml:space="preserve"> Resolución de la Corte Interamericana de Derechos Humanos de 31 de marzo de 2014</w:t>
      </w:r>
      <w:r w:rsidRPr="00AB167B">
        <w:rPr>
          <w:sz w:val="16"/>
          <w:szCs w:val="16"/>
          <w:lang w:val="es-ES"/>
        </w:rPr>
        <w:t xml:space="preserve">; </w:t>
      </w:r>
      <w:r w:rsidRPr="00AB167B">
        <w:rPr>
          <w:bCs/>
          <w:i/>
          <w:sz w:val="16"/>
          <w:szCs w:val="16"/>
        </w:rPr>
        <w:t>Caso García Prieto y otros Vs. El Salvador. Medidas Provisionales.</w:t>
      </w:r>
      <w:r w:rsidRPr="00AB167B">
        <w:rPr>
          <w:bCs/>
          <w:sz w:val="16"/>
          <w:szCs w:val="16"/>
        </w:rPr>
        <w:t xml:space="preserve"> Resolución de la Corte Interamericana de Derechos Humanos de 20 de noviembre de 2015</w:t>
      </w:r>
      <w:r w:rsidRPr="00AB167B">
        <w:rPr>
          <w:sz w:val="16"/>
          <w:szCs w:val="16"/>
          <w:lang w:val="es-ES"/>
        </w:rPr>
        <w:t>,</w:t>
      </w:r>
      <w:r>
        <w:rPr>
          <w:sz w:val="16"/>
          <w:szCs w:val="16"/>
          <w:lang w:val="es-ES"/>
        </w:rPr>
        <w:t xml:space="preserve"> y </w:t>
      </w:r>
      <w:r w:rsidRPr="00AB167B">
        <w:rPr>
          <w:bCs/>
          <w:i/>
          <w:sz w:val="16"/>
          <w:szCs w:val="16"/>
        </w:rPr>
        <w:t xml:space="preserve">Caso </w:t>
      </w:r>
      <w:proofErr w:type="spellStart"/>
      <w:r w:rsidRPr="00AB167B">
        <w:rPr>
          <w:bCs/>
          <w:i/>
          <w:sz w:val="16"/>
          <w:szCs w:val="16"/>
        </w:rPr>
        <w:t>Bámaca</w:t>
      </w:r>
      <w:proofErr w:type="spellEnd"/>
      <w:r w:rsidRPr="00AB167B">
        <w:rPr>
          <w:bCs/>
          <w:i/>
          <w:sz w:val="16"/>
          <w:szCs w:val="16"/>
        </w:rPr>
        <w:t xml:space="preserve"> Velásquez Vs. Guatemala. Medidas Provisionales.</w:t>
      </w:r>
      <w:r w:rsidRPr="00AB167B">
        <w:rPr>
          <w:bCs/>
          <w:sz w:val="16"/>
          <w:szCs w:val="16"/>
        </w:rPr>
        <w:t xml:space="preserve"> Resolución de la Corte Interamericana de Derechos Humanos de 31 de agosto de 2016.</w:t>
      </w:r>
    </w:p>
  </w:footnote>
  <w:footnote w:id="51">
    <w:p w14:paraId="6E714056" w14:textId="77777777" w:rsidR="00961213" w:rsidRPr="00AB167B" w:rsidRDefault="00961213" w:rsidP="00961213">
      <w:pPr>
        <w:pStyle w:val="FootnoteText"/>
        <w:tabs>
          <w:tab w:val="left" w:pos="567"/>
        </w:tabs>
        <w:spacing w:before="120" w:after="120"/>
        <w:jc w:val="both"/>
        <w:rPr>
          <w:sz w:val="16"/>
          <w:szCs w:val="16"/>
          <w:lang w:val="es-ES"/>
        </w:rPr>
      </w:pPr>
      <w:r w:rsidRPr="00CF3019">
        <w:rPr>
          <w:rStyle w:val="FootnoteReference"/>
          <w:szCs w:val="16"/>
        </w:rPr>
        <w:footnoteRef/>
      </w:r>
      <w:r w:rsidRPr="00CF3019">
        <w:rPr>
          <w:sz w:val="16"/>
          <w:szCs w:val="16"/>
          <w:lang w:val="es-ES"/>
        </w:rPr>
        <w:t xml:space="preserve">  </w:t>
      </w:r>
      <w:r w:rsidRPr="00CF3019">
        <w:rPr>
          <w:sz w:val="16"/>
          <w:szCs w:val="16"/>
          <w:lang w:val="es-ES"/>
        </w:rPr>
        <w:tab/>
        <w:t xml:space="preserve">Ver votos disidentes e individuales a las siguientes resoluciones: </w:t>
      </w:r>
      <w:r w:rsidRPr="00CF3019">
        <w:rPr>
          <w:i/>
          <w:iCs/>
          <w:sz w:val="16"/>
          <w:szCs w:val="16"/>
          <w:lang w:val="es-MX"/>
        </w:rPr>
        <w:t xml:space="preserve">Caso Gutiérrez Soler Vs. Colombia. </w:t>
      </w:r>
      <w:r w:rsidRPr="00CF3019">
        <w:rPr>
          <w:i/>
          <w:sz w:val="16"/>
          <w:szCs w:val="16"/>
          <w:lang w:val="es-MX"/>
        </w:rPr>
        <w:t>Medidas Provisionales.</w:t>
      </w:r>
      <w:r w:rsidRPr="00CF3019">
        <w:rPr>
          <w:sz w:val="16"/>
          <w:szCs w:val="16"/>
          <w:lang w:val="es-MX"/>
        </w:rPr>
        <w:t xml:space="preserve"> </w:t>
      </w:r>
      <w:r w:rsidRPr="00CF3019">
        <w:rPr>
          <w:bCs/>
          <w:sz w:val="16"/>
          <w:szCs w:val="16"/>
        </w:rPr>
        <w:t>Resolución de la Corte Interamericana de Derechos Humanos de 30 de junio de 2011</w:t>
      </w:r>
      <w:r w:rsidRPr="00CF3019">
        <w:rPr>
          <w:sz w:val="16"/>
          <w:szCs w:val="16"/>
          <w:lang w:val="es-MX"/>
        </w:rPr>
        <w:t xml:space="preserve">; </w:t>
      </w:r>
      <w:r w:rsidRPr="00CF3019">
        <w:rPr>
          <w:i/>
          <w:iCs/>
          <w:sz w:val="16"/>
          <w:szCs w:val="16"/>
          <w:lang w:val="es-MX"/>
        </w:rPr>
        <w:t xml:space="preserve">Caso Rosendo Cantú y otra Vs. México. </w:t>
      </w:r>
      <w:r w:rsidRPr="00CF3019">
        <w:rPr>
          <w:i/>
          <w:sz w:val="16"/>
          <w:szCs w:val="16"/>
          <w:lang w:val="es-MX"/>
        </w:rPr>
        <w:t>Medidas Provisionales</w:t>
      </w:r>
      <w:r w:rsidRPr="00CF3019">
        <w:rPr>
          <w:sz w:val="16"/>
          <w:szCs w:val="16"/>
          <w:lang w:val="es-MX"/>
        </w:rPr>
        <w:t xml:space="preserve">. </w:t>
      </w:r>
      <w:r w:rsidRPr="00CF3019">
        <w:rPr>
          <w:bCs/>
          <w:sz w:val="16"/>
          <w:szCs w:val="16"/>
          <w:lang w:val="es-MX"/>
        </w:rPr>
        <w:t>Resolución de Corte Interamericana de Derechos Humanos de 1 de julio de 2011</w:t>
      </w:r>
      <w:r w:rsidRPr="00CF3019">
        <w:rPr>
          <w:sz w:val="16"/>
          <w:szCs w:val="16"/>
          <w:lang w:val="es-MX"/>
        </w:rPr>
        <w:t xml:space="preserve">; </w:t>
      </w:r>
      <w:r w:rsidRPr="00CF3019">
        <w:rPr>
          <w:bCs/>
          <w:i/>
          <w:iCs/>
          <w:sz w:val="16"/>
          <w:szCs w:val="16"/>
        </w:rPr>
        <w:t xml:space="preserve">Caso </w:t>
      </w:r>
      <w:proofErr w:type="spellStart"/>
      <w:r w:rsidRPr="00CF3019">
        <w:rPr>
          <w:bCs/>
          <w:i/>
          <w:iCs/>
          <w:sz w:val="16"/>
          <w:szCs w:val="16"/>
        </w:rPr>
        <w:t>Kawas</w:t>
      </w:r>
      <w:proofErr w:type="spellEnd"/>
      <w:r w:rsidRPr="00CF3019">
        <w:rPr>
          <w:bCs/>
          <w:i/>
          <w:iCs/>
          <w:sz w:val="16"/>
          <w:szCs w:val="16"/>
        </w:rPr>
        <w:t xml:space="preserve"> Fernández Vs. Honduras. Medidas Provisionales</w:t>
      </w:r>
      <w:r w:rsidRPr="00CF3019">
        <w:rPr>
          <w:bCs/>
          <w:iCs/>
          <w:sz w:val="16"/>
          <w:szCs w:val="16"/>
        </w:rPr>
        <w:t>. Resolución de la Corte Interamericana de Derechos Humanos de 5 de julio de 2011</w:t>
      </w:r>
      <w:r w:rsidRPr="00CF3019">
        <w:rPr>
          <w:sz w:val="16"/>
          <w:szCs w:val="16"/>
          <w:lang w:val="es-ES"/>
        </w:rPr>
        <w:t>;</w:t>
      </w:r>
      <w:r w:rsidRPr="00CF3019">
        <w:rPr>
          <w:b/>
          <w:bCs/>
          <w:sz w:val="16"/>
          <w:szCs w:val="16"/>
          <w:lang w:val="es-ES"/>
        </w:rPr>
        <w:t xml:space="preserve"> </w:t>
      </w:r>
      <w:r w:rsidRPr="00CF3019">
        <w:rPr>
          <w:i/>
          <w:sz w:val="16"/>
          <w:szCs w:val="16"/>
          <w:lang w:val="es-ES"/>
        </w:rPr>
        <w:t xml:space="preserve">Asunto </w:t>
      </w:r>
      <w:proofErr w:type="spellStart"/>
      <w:r w:rsidRPr="00CF3019">
        <w:rPr>
          <w:i/>
          <w:sz w:val="16"/>
          <w:szCs w:val="16"/>
          <w:lang w:val="es-ES"/>
        </w:rPr>
        <w:t>Millacura</w:t>
      </w:r>
      <w:proofErr w:type="spellEnd"/>
      <w:r w:rsidRPr="00CF3019">
        <w:rPr>
          <w:i/>
          <w:sz w:val="16"/>
          <w:szCs w:val="16"/>
          <w:lang w:val="es-ES"/>
        </w:rPr>
        <w:t xml:space="preserve"> </w:t>
      </w:r>
      <w:proofErr w:type="spellStart"/>
      <w:r w:rsidRPr="00CF3019">
        <w:rPr>
          <w:i/>
          <w:sz w:val="16"/>
          <w:szCs w:val="16"/>
          <w:lang w:val="es-ES"/>
        </w:rPr>
        <w:t>Llaipén</w:t>
      </w:r>
      <w:proofErr w:type="spellEnd"/>
      <w:r w:rsidRPr="00CF3019">
        <w:rPr>
          <w:i/>
          <w:sz w:val="16"/>
          <w:szCs w:val="16"/>
          <w:lang w:val="es-ES"/>
        </w:rPr>
        <w:t xml:space="preserve"> respecto de Argentina. </w:t>
      </w:r>
      <w:r w:rsidRPr="00CF3019">
        <w:rPr>
          <w:bCs/>
          <w:i/>
          <w:sz w:val="16"/>
          <w:szCs w:val="16"/>
        </w:rPr>
        <w:t>Medidas Provisionales.</w:t>
      </w:r>
      <w:r w:rsidRPr="00CF3019">
        <w:rPr>
          <w:bCs/>
          <w:sz w:val="16"/>
          <w:szCs w:val="16"/>
        </w:rPr>
        <w:t xml:space="preserve"> Resolución de la Corte Interamericana de Derechos Humanos de 25 de noviembre de 2011</w:t>
      </w:r>
      <w:r w:rsidRPr="00CF3019">
        <w:rPr>
          <w:sz w:val="16"/>
          <w:szCs w:val="16"/>
          <w:lang w:val="es-ES"/>
        </w:rPr>
        <w:t xml:space="preserve">; </w:t>
      </w:r>
      <w:r w:rsidRPr="00CF3019">
        <w:rPr>
          <w:bCs/>
          <w:i/>
          <w:iCs/>
          <w:sz w:val="16"/>
          <w:szCs w:val="16"/>
        </w:rPr>
        <w:t>Caso Pacheco Teruel y otros Vs. Honduras. Solicitud de Medidas Provisionales</w:t>
      </w:r>
      <w:r w:rsidRPr="00CF3019">
        <w:rPr>
          <w:bCs/>
          <w:iCs/>
          <w:sz w:val="16"/>
          <w:szCs w:val="16"/>
        </w:rPr>
        <w:t>. Resolución de la Corte Interamericana de Derechos Humanos de 13 de febrero de 2013</w:t>
      </w:r>
      <w:r w:rsidRPr="00CF3019">
        <w:rPr>
          <w:bCs/>
          <w:sz w:val="16"/>
          <w:szCs w:val="16"/>
          <w:lang w:val="es-CL"/>
        </w:rPr>
        <w:t>;</w:t>
      </w:r>
      <w:r w:rsidRPr="00CF3019">
        <w:rPr>
          <w:sz w:val="16"/>
          <w:szCs w:val="16"/>
          <w:lang w:val="es-ES"/>
        </w:rPr>
        <w:t xml:space="preserve"> </w:t>
      </w:r>
      <w:r w:rsidRPr="00CF3019">
        <w:rPr>
          <w:bCs/>
          <w:i/>
          <w:iCs/>
          <w:sz w:val="16"/>
          <w:szCs w:val="16"/>
        </w:rPr>
        <w:t xml:space="preserve">Asunto </w:t>
      </w:r>
      <w:proofErr w:type="spellStart"/>
      <w:r w:rsidRPr="00CF3019">
        <w:rPr>
          <w:bCs/>
          <w:i/>
          <w:iCs/>
          <w:sz w:val="16"/>
          <w:szCs w:val="16"/>
        </w:rPr>
        <w:t>Millacura</w:t>
      </w:r>
      <w:proofErr w:type="spellEnd"/>
      <w:r w:rsidRPr="00CF3019">
        <w:rPr>
          <w:bCs/>
          <w:i/>
          <w:iCs/>
          <w:sz w:val="16"/>
          <w:szCs w:val="16"/>
        </w:rPr>
        <w:t xml:space="preserve"> </w:t>
      </w:r>
      <w:proofErr w:type="spellStart"/>
      <w:r w:rsidRPr="00CF3019">
        <w:rPr>
          <w:bCs/>
          <w:i/>
          <w:iCs/>
          <w:sz w:val="16"/>
          <w:szCs w:val="16"/>
        </w:rPr>
        <w:t>Llaipén</w:t>
      </w:r>
      <w:proofErr w:type="spellEnd"/>
      <w:r w:rsidRPr="00CF3019">
        <w:rPr>
          <w:bCs/>
          <w:i/>
          <w:iCs/>
          <w:sz w:val="16"/>
          <w:szCs w:val="16"/>
        </w:rPr>
        <w:t xml:space="preserve"> y otros respecto de Argentina. Medidas Provisionales. </w:t>
      </w:r>
      <w:r w:rsidRPr="00CF3019">
        <w:rPr>
          <w:bCs/>
          <w:iCs/>
          <w:sz w:val="16"/>
          <w:szCs w:val="16"/>
        </w:rPr>
        <w:t>Resolución de la Corte Interamericana de Derechos Humanos de 13 de febrero de 2013</w:t>
      </w:r>
      <w:r w:rsidRPr="00CF3019">
        <w:rPr>
          <w:sz w:val="16"/>
          <w:szCs w:val="16"/>
          <w:lang w:val="es-ES"/>
        </w:rPr>
        <w:t xml:space="preserve">; </w:t>
      </w:r>
      <w:r w:rsidRPr="00CF3019">
        <w:rPr>
          <w:bCs/>
          <w:i/>
          <w:iCs/>
          <w:sz w:val="16"/>
          <w:szCs w:val="16"/>
        </w:rPr>
        <w:t xml:space="preserve">Caso García Prieto y otros Vs. El Salvador. Medidas Provisionales. </w:t>
      </w:r>
      <w:r w:rsidRPr="00CF3019">
        <w:rPr>
          <w:bCs/>
          <w:iCs/>
          <w:sz w:val="16"/>
          <w:szCs w:val="16"/>
        </w:rPr>
        <w:t>Resolución de la Corte Interamericana de Derechos Humanos de 26 de enero de 2015</w:t>
      </w:r>
      <w:r w:rsidRPr="00CF3019">
        <w:rPr>
          <w:sz w:val="16"/>
          <w:szCs w:val="16"/>
          <w:lang w:val="es-MX"/>
        </w:rPr>
        <w:t xml:space="preserve">; </w:t>
      </w:r>
      <w:r w:rsidRPr="00CF3019">
        <w:rPr>
          <w:bCs/>
          <w:i/>
          <w:iCs/>
          <w:sz w:val="16"/>
          <w:szCs w:val="16"/>
        </w:rPr>
        <w:t xml:space="preserve">Caso </w:t>
      </w:r>
      <w:proofErr w:type="spellStart"/>
      <w:r w:rsidRPr="00CF3019">
        <w:rPr>
          <w:bCs/>
          <w:i/>
          <w:iCs/>
          <w:sz w:val="16"/>
          <w:szCs w:val="16"/>
        </w:rPr>
        <w:t>Mack</w:t>
      </w:r>
      <w:proofErr w:type="spellEnd"/>
      <w:r w:rsidRPr="00CF3019">
        <w:rPr>
          <w:bCs/>
          <w:i/>
          <w:iCs/>
          <w:sz w:val="16"/>
          <w:szCs w:val="16"/>
        </w:rPr>
        <w:t xml:space="preserve"> Chang y otros Vs. Guatemala. Medidas Provisionales. </w:t>
      </w:r>
      <w:r w:rsidRPr="00CF3019">
        <w:rPr>
          <w:bCs/>
          <w:iCs/>
          <w:sz w:val="16"/>
          <w:szCs w:val="16"/>
        </w:rPr>
        <w:t>Resolución de la Corte Interamericana de Derechos Humanos de 26 de enero de 2015</w:t>
      </w:r>
      <w:r w:rsidRPr="00CF3019">
        <w:rPr>
          <w:sz w:val="16"/>
          <w:szCs w:val="16"/>
          <w:lang w:val="es-MX"/>
        </w:rPr>
        <w:t>;</w:t>
      </w:r>
      <w:r w:rsidRPr="00CF3019">
        <w:rPr>
          <w:sz w:val="16"/>
          <w:szCs w:val="16"/>
          <w:lang w:val="es-ES"/>
        </w:rPr>
        <w:t xml:space="preserve"> </w:t>
      </w:r>
      <w:r w:rsidRPr="00CF3019">
        <w:rPr>
          <w:bCs/>
          <w:i/>
          <w:sz w:val="16"/>
          <w:szCs w:val="16"/>
        </w:rPr>
        <w:t xml:space="preserve">Caso Torres </w:t>
      </w:r>
      <w:proofErr w:type="spellStart"/>
      <w:r w:rsidRPr="00CF3019">
        <w:rPr>
          <w:bCs/>
          <w:i/>
          <w:sz w:val="16"/>
          <w:szCs w:val="16"/>
        </w:rPr>
        <w:t>Millacura</w:t>
      </w:r>
      <w:proofErr w:type="spellEnd"/>
      <w:r w:rsidRPr="00CF3019">
        <w:rPr>
          <w:bCs/>
          <w:i/>
          <w:sz w:val="16"/>
          <w:szCs w:val="16"/>
        </w:rPr>
        <w:t xml:space="preserve"> y otros Vs. Argentina. Solicitud de medidas provisionales.</w:t>
      </w:r>
      <w:r w:rsidRPr="00CF3019">
        <w:rPr>
          <w:bCs/>
          <w:sz w:val="16"/>
          <w:szCs w:val="16"/>
        </w:rPr>
        <w:t xml:space="preserve"> Resolución de la Corte Interamericana de Derechos Humanos de 23 de junio de 2015</w:t>
      </w:r>
      <w:r w:rsidRPr="00CF3019">
        <w:rPr>
          <w:sz w:val="16"/>
          <w:szCs w:val="16"/>
          <w:lang w:val="es-ES"/>
        </w:rPr>
        <w:t xml:space="preserve">; </w:t>
      </w:r>
      <w:r w:rsidRPr="00CF3019">
        <w:rPr>
          <w:bCs/>
          <w:i/>
          <w:sz w:val="16"/>
          <w:szCs w:val="16"/>
        </w:rPr>
        <w:t>Caso Rosendo Cantú y otra Vs. México. Medidas Provisionales.</w:t>
      </w:r>
      <w:r w:rsidRPr="00CF3019">
        <w:rPr>
          <w:bCs/>
          <w:sz w:val="16"/>
          <w:szCs w:val="16"/>
        </w:rPr>
        <w:t xml:space="preserve"> Resolución de la Corte Interamericana de Derechos Humanos de 23 de junio de 2015</w:t>
      </w:r>
      <w:r w:rsidRPr="00CF3019">
        <w:rPr>
          <w:sz w:val="16"/>
          <w:szCs w:val="16"/>
          <w:lang w:val="es-ES"/>
        </w:rPr>
        <w:t xml:space="preserve">; </w:t>
      </w:r>
      <w:r w:rsidRPr="00CF3019">
        <w:rPr>
          <w:bCs/>
          <w:i/>
          <w:sz w:val="16"/>
          <w:szCs w:val="16"/>
        </w:rPr>
        <w:t xml:space="preserve">Caso </w:t>
      </w:r>
      <w:proofErr w:type="spellStart"/>
      <w:r w:rsidRPr="00CF3019">
        <w:rPr>
          <w:bCs/>
          <w:i/>
          <w:sz w:val="16"/>
          <w:szCs w:val="16"/>
        </w:rPr>
        <w:t>Kawas</w:t>
      </w:r>
      <w:proofErr w:type="spellEnd"/>
      <w:r w:rsidRPr="00CF3019">
        <w:rPr>
          <w:bCs/>
          <w:i/>
          <w:sz w:val="16"/>
          <w:szCs w:val="16"/>
        </w:rPr>
        <w:t xml:space="preserve"> Fernández Vs. Honduras. Medidas Provisionales</w:t>
      </w:r>
      <w:r w:rsidRPr="00CF3019">
        <w:rPr>
          <w:bCs/>
          <w:sz w:val="16"/>
          <w:szCs w:val="16"/>
        </w:rPr>
        <w:t>. Resolución de la Corte Interamericana de Derechos Humanos de 23 de junio de 2015</w:t>
      </w:r>
      <w:r w:rsidRPr="00CF3019">
        <w:rPr>
          <w:sz w:val="16"/>
          <w:szCs w:val="16"/>
          <w:lang w:val="es-ES"/>
        </w:rPr>
        <w:t xml:space="preserve"> y del mismo tenor de los señalados escritos, </w:t>
      </w:r>
      <w:r w:rsidRPr="00CF3019">
        <w:rPr>
          <w:i/>
          <w:sz w:val="16"/>
          <w:szCs w:val="16"/>
          <w:lang w:val="es-ES"/>
        </w:rPr>
        <w:t>Constancia de Queja</w:t>
      </w:r>
      <w:r w:rsidRPr="00CF3019">
        <w:rPr>
          <w:sz w:val="16"/>
          <w:szCs w:val="16"/>
          <w:lang w:val="es-ES"/>
        </w:rPr>
        <w:t xml:space="preserve"> que, relacionado con las primeras Resoluciones mencionadas, presentó ante la Corte el 17 de agosto de 2011.</w:t>
      </w:r>
      <w:r w:rsidRPr="00AB167B">
        <w:rPr>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CABCA" w14:textId="7EC6284B" w:rsidR="00926161" w:rsidRPr="00B4139F" w:rsidRDefault="00926161">
    <w:pPr>
      <w:pStyle w:val="Header"/>
      <w:jc w:val="center"/>
    </w:pPr>
    <w:r>
      <w:t xml:space="preserve">- </w:t>
    </w:r>
    <w:r w:rsidRPr="00B4139F">
      <w:fldChar w:fldCharType="begin"/>
    </w:r>
    <w:r w:rsidRPr="00B4139F">
      <w:instrText xml:space="preserve"> PAGE   \* MERGEFORMAT </w:instrText>
    </w:r>
    <w:r w:rsidRPr="00B4139F">
      <w:fldChar w:fldCharType="separate"/>
    </w:r>
    <w:r w:rsidR="005C5C01">
      <w:rPr>
        <w:noProof/>
      </w:rPr>
      <w:t>18</w:t>
    </w:r>
    <w:r w:rsidRPr="00B4139F">
      <w:fldChar w:fldCharType="end"/>
    </w:r>
    <w:r>
      <w:t xml:space="preserve"> -</w:t>
    </w:r>
  </w:p>
  <w:p w14:paraId="0957511C" w14:textId="77777777" w:rsidR="00926161" w:rsidRDefault="00926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532"/>
    <w:multiLevelType w:val="hybridMultilevel"/>
    <w:tmpl w:val="F7E6BBE4"/>
    <w:name w:val="WW8Num23"/>
    <w:lvl w:ilvl="0" w:tplc="965A7ADE">
      <w:start w:val="1"/>
      <w:numFmt w:val="decimal"/>
      <w:lvlText w:val="%1."/>
      <w:lvlJc w:val="left"/>
      <w:pPr>
        <w:tabs>
          <w:tab w:val="num" w:pos="567"/>
        </w:tabs>
        <w:ind w:left="0" w:firstLine="0"/>
      </w:pPr>
      <w:rPr>
        <w:rFonts w:ascii="Verdana" w:hAnsi="Verdana" w:hint="default"/>
        <w:b w:val="0"/>
        <w:i w:val="0"/>
        <w:strike w:val="0"/>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E7E318D"/>
    <w:multiLevelType w:val="hybridMultilevel"/>
    <w:tmpl w:val="6AA0E818"/>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
    <w:nsid w:val="13526C8F"/>
    <w:multiLevelType w:val="hybridMultilevel"/>
    <w:tmpl w:val="D7067FA6"/>
    <w:lvl w:ilvl="0" w:tplc="140A000F">
      <w:start w:val="1"/>
      <w:numFmt w:val="decimal"/>
      <w:lvlText w:val="%1."/>
      <w:lvlJc w:val="left"/>
      <w:pPr>
        <w:ind w:left="2880" w:hanging="360"/>
      </w:p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3">
    <w:nsid w:val="13A85A7C"/>
    <w:multiLevelType w:val="hybridMultilevel"/>
    <w:tmpl w:val="2072388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EEB5DBC"/>
    <w:multiLevelType w:val="hybridMultilevel"/>
    <w:tmpl w:val="2C32C3BA"/>
    <w:lvl w:ilvl="0" w:tplc="5A328860">
      <w:start w:val="1"/>
      <w:numFmt w:val="lowerLetter"/>
      <w:lvlText w:val="%1."/>
      <w:lvlJc w:val="left"/>
      <w:pPr>
        <w:tabs>
          <w:tab w:val="num" w:pos="2727"/>
        </w:tabs>
        <w:ind w:left="2160" w:firstLine="0"/>
      </w:pPr>
      <w:rPr>
        <w:rFonts w:hint="default"/>
        <w:b w:val="0"/>
        <w:i/>
        <w:strike w:val="0"/>
        <w:color w:val="auto"/>
        <w:sz w:val="20"/>
        <w:szCs w:val="20"/>
        <w:lang w:val="es-ES_tradnl"/>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5">
    <w:nsid w:val="213B1CE5"/>
    <w:multiLevelType w:val="hybridMultilevel"/>
    <w:tmpl w:val="D36217F2"/>
    <w:lvl w:ilvl="0" w:tplc="FAF07FF8">
      <w:start w:val="2"/>
      <w:numFmt w:val="lowerRoman"/>
      <w:lvlText w:val="%1)"/>
      <w:lvlJc w:val="left"/>
      <w:pPr>
        <w:ind w:left="72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D2F2D4B"/>
    <w:multiLevelType w:val="hybridMultilevel"/>
    <w:tmpl w:val="C6C07130"/>
    <w:lvl w:ilvl="0" w:tplc="DCFA1CFE">
      <w:start w:val="1"/>
      <w:numFmt w:val="bullet"/>
      <w:lvlText w:val="-"/>
      <w:lvlJc w:val="left"/>
      <w:pPr>
        <w:ind w:left="720" w:hanging="360"/>
      </w:pPr>
      <w:rPr>
        <w:rFonts w:ascii="Verdana" w:eastAsia="Times"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43747762"/>
    <w:multiLevelType w:val="hybridMultilevel"/>
    <w:tmpl w:val="D6AABEE8"/>
    <w:lvl w:ilvl="0" w:tplc="56AC7006">
      <w:start w:val="1"/>
      <w:numFmt w:val="decimal"/>
      <w:lvlText w:val="%1."/>
      <w:lvlJc w:val="left"/>
      <w:pPr>
        <w:tabs>
          <w:tab w:val="num" w:pos="567"/>
        </w:tabs>
        <w:ind w:left="0" w:firstLine="0"/>
      </w:pPr>
      <w:rPr>
        <w:rFonts w:ascii="Verdana" w:hAnsi="Verdana" w:hint="default"/>
        <w:b w:val="0"/>
        <w:i w:val="0"/>
        <w:strike w:val="0"/>
        <w:color w:val="auto"/>
        <w:sz w:val="20"/>
        <w:szCs w:val="20"/>
        <w:lang w:val="es-CR"/>
      </w:rPr>
    </w:lvl>
    <w:lvl w:ilvl="1" w:tplc="9752BD62">
      <w:start w:val="1"/>
      <w:numFmt w:val="lowerRoman"/>
      <w:lvlText w:val="%2."/>
      <w:lvlJc w:val="right"/>
      <w:pPr>
        <w:ind w:left="1440" w:hanging="360"/>
      </w:pPr>
      <w:rPr>
        <w:rFonts w:hint="default"/>
        <w:b w:val="0"/>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140A0019">
      <w:start w:val="1"/>
      <w:numFmt w:val="lowerLetter"/>
      <w:lvlText w:val="%4."/>
      <w:lvlJc w:val="left"/>
      <w:pPr>
        <w:ind w:left="846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F03689F"/>
    <w:multiLevelType w:val="hybridMultilevel"/>
    <w:tmpl w:val="906AC0D2"/>
    <w:lvl w:ilvl="0" w:tplc="CD220BFE">
      <w:start w:val="1"/>
      <w:numFmt w:val="decimal"/>
      <w:lvlText w:val="%1."/>
      <w:lvlJc w:val="left"/>
      <w:pPr>
        <w:tabs>
          <w:tab w:val="num" w:pos="851"/>
        </w:tabs>
        <w:ind w:left="0" w:firstLine="0"/>
      </w:pPr>
      <w:rPr>
        <w:rFonts w:ascii="Verdana" w:hAnsi="Verdana" w:hint="default"/>
        <w:b w:val="0"/>
        <w:color w:val="auto"/>
        <w:sz w:val="20"/>
        <w:szCs w:val="20"/>
        <w:lang w:val="es-ES_tradnl"/>
      </w:rPr>
    </w:lvl>
    <w:lvl w:ilvl="1" w:tplc="75B8E952">
      <w:start w:val="1"/>
      <w:numFmt w:val="decimal"/>
      <w:lvlText w:val="%2."/>
      <w:lvlJc w:val="left"/>
      <w:pPr>
        <w:tabs>
          <w:tab w:val="num" w:pos="1418"/>
        </w:tabs>
        <w:ind w:left="0" w:firstLine="1080"/>
      </w:pPr>
      <w:rPr>
        <w:rFonts w:hint="default"/>
      </w:rPr>
    </w:lvl>
    <w:lvl w:ilvl="2" w:tplc="BF5A881A">
      <w:start w:val="1"/>
      <w:numFmt w:val="lowerLetter"/>
      <w:lvlText w:val="%3)"/>
      <w:lvlJc w:val="left"/>
      <w:pPr>
        <w:tabs>
          <w:tab w:val="num" w:pos="2340"/>
        </w:tabs>
        <w:ind w:left="2340" w:hanging="360"/>
      </w:pPr>
      <w:rPr>
        <w:rFonts w:hint="default"/>
      </w:r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nsid w:val="586A2CC9"/>
    <w:multiLevelType w:val="hybridMultilevel"/>
    <w:tmpl w:val="AA4A74F6"/>
    <w:lvl w:ilvl="0" w:tplc="EF32D242">
      <w:start w:val="1"/>
      <w:numFmt w:val="upperLetter"/>
      <w:lvlText w:val="%1."/>
      <w:lvlJc w:val="left"/>
      <w:pPr>
        <w:ind w:left="659" w:hanging="375"/>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0">
    <w:nsid w:val="5EDD1CC8"/>
    <w:multiLevelType w:val="hybridMultilevel"/>
    <w:tmpl w:val="DAC2C9EC"/>
    <w:lvl w:ilvl="0" w:tplc="0C0A0017">
      <w:start w:val="9"/>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1402C7C"/>
    <w:multiLevelType w:val="hybridMultilevel"/>
    <w:tmpl w:val="66042860"/>
    <w:name w:val="WW8Num2"/>
    <w:lvl w:ilvl="0" w:tplc="5FBC247A">
      <w:start w:val="1"/>
      <w:numFmt w:val="decimal"/>
      <w:lvlText w:val="%1."/>
      <w:lvlJc w:val="left"/>
      <w:pPr>
        <w:tabs>
          <w:tab w:val="num" w:pos="567"/>
        </w:tabs>
        <w:ind w:left="0" w:firstLine="0"/>
      </w:pPr>
      <w:rPr>
        <w:rFonts w:ascii="Verdana" w:hAnsi="Verdana" w:hint="default"/>
        <w:b w:val="0"/>
        <w:i w:val="0"/>
        <w:strike w:val="0"/>
        <w:sz w:val="20"/>
        <w:szCs w:val="20"/>
      </w:rPr>
    </w:lvl>
    <w:lvl w:ilvl="1" w:tplc="AB4AEBC6">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6603CD0"/>
    <w:multiLevelType w:val="hybridMultilevel"/>
    <w:tmpl w:val="CDE677A0"/>
    <w:lvl w:ilvl="0" w:tplc="ACA019A2">
      <w:start w:val="1"/>
      <w:numFmt w:val="decimal"/>
      <w:lvlText w:val="%1."/>
      <w:lvlJc w:val="left"/>
      <w:pPr>
        <w:tabs>
          <w:tab w:val="num" w:pos="680"/>
        </w:tabs>
        <w:ind w:left="0" w:firstLine="0"/>
      </w:pPr>
      <w:rPr>
        <w:rFonts w:hint="default"/>
        <w:b w:val="0"/>
        <w:i w:val="0"/>
        <w:strike w:val="0"/>
        <w:color w:val="auto"/>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94925CB"/>
    <w:multiLevelType w:val="hybridMultilevel"/>
    <w:tmpl w:val="903844EC"/>
    <w:lvl w:ilvl="0" w:tplc="EF32D242">
      <w:start w:val="1"/>
      <w:numFmt w:val="upperLetter"/>
      <w:lvlText w:val="%1."/>
      <w:lvlJc w:val="left"/>
      <w:pPr>
        <w:ind w:left="659" w:hanging="375"/>
      </w:pPr>
      <w:rPr>
        <w:rFonts w:hint="default"/>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abstractNumId w:val="11"/>
  </w:num>
  <w:num w:numId="2">
    <w:abstractNumId w:val="12"/>
  </w:num>
  <w:num w:numId="3">
    <w:abstractNumId w:val="7"/>
  </w:num>
  <w:num w:numId="4">
    <w:abstractNumId w:val="5"/>
  </w:num>
  <w:num w:numId="5">
    <w:abstractNumId w:val="10"/>
  </w:num>
  <w:num w:numId="6">
    <w:abstractNumId w:val="6"/>
  </w:num>
  <w:num w:numId="7">
    <w:abstractNumId w:val="2"/>
  </w:num>
  <w:num w:numId="8">
    <w:abstractNumId w:val="4"/>
  </w:num>
  <w:num w:numId="9">
    <w:abstractNumId w:val="3"/>
  </w:num>
  <w:num w:numId="10">
    <w:abstractNumId w:val="8"/>
  </w:num>
  <w:num w:numId="11">
    <w:abstractNumId w:val="13"/>
  </w:num>
  <w:num w:numId="12">
    <w:abstractNumId w:val="9"/>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80"/>
    <w:rsid w:val="00000DEE"/>
    <w:rsid w:val="00002C6C"/>
    <w:rsid w:val="00002E68"/>
    <w:rsid w:val="00004165"/>
    <w:rsid w:val="00004427"/>
    <w:rsid w:val="000055A5"/>
    <w:rsid w:val="00007706"/>
    <w:rsid w:val="00007D77"/>
    <w:rsid w:val="00010070"/>
    <w:rsid w:val="000107C2"/>
    <w:rsid w:val="00010950"/>
    <w:rsid w:val="00011A4F"/>
    <w:rsid w:val="00011B7D"/>
    <w:rsid w:val="00011FD2"/>
    <w:rsid w:val="00012BF6"/>
    <w:rsid w:val="00014D7F"/>
    <w:rsid w:val="00015ED7"/>
    <w:rsid w:val="0001621B"/>
    <w:rsid w:val="0001712C"/>
    <w:rsid w:val="00017BDB"/>
    <w:rsid w:val="00017DA1"/>
    <w:rsid w:val="000207CD"/>
    <w:rsid w:val="00020CE0"/>
    <w:rsid w:val="00020D3B"/>
    <w:rsid w:val="00021520"/>
    <w:rsid w:val="0002168F"/>
    <w:rsid w:val="00021A45"/>
    <w:rsid w:val="00022B73"/>
    <w:rsid w:val="0002379B"/>
    <w:rsid w:val="000248E0"/>
    <w:rsid w:val="00024B8B"/>
    <w:rsid w:val="00025FE0"/>
    <w:rsid w:val="0002629D"/>
    <w:rsid w:val="000267ED"/>
    <w:rsid w:val="00026814"/>
    <w:rsid w:val="00027712"/>
    <w:rsid w:val="00027CD1"/>
    <w:rsid w:val="0003183D"/>
    <w:rsid w:val="000319B4"/>
    <w:rsid w:val="00032755"/>
    <w:rsid w:val="00033ACD"/>
    <w:rsid w:val="00033D1B"/>
    <w:rsid w:val="00034700"/>
    <w:rsid w:val="00034E0E"/>
    <w:rsid w:val="00034E2B"/>
    <w:rsid w:val="00035BA4"/>
    <w:rsid w:val="000373E1"/>
    <w:rsid w:val="00040054"/>
    <w:rsid w:val="00041259"/>
    <w:rsid w:val="00041F40"/>
    <w:rsid w:val="00043BBE"/>
    <w:rsid w:val="0004474B"/>
    <w:rsid w:val="00044917"/>
    <w:rsid w:val="0004542D"/>
    <w:rsid w:val="0004613C"/>
    <w:rsid w:val="00046D6E"/>
    <w:rsid w:val="000479D7"/>
    <w:rsid w:val="00050ABC"/>
    <w:rsid w:val="00051652"/>
    <w:rsid w:val="00054ECF"/>
    <w:rsid w:val="0005547A"/>
    <w:rsid w:val="00060110"/>
    <w:rsid w:val="00061A99"/>
    <w:rsid w:val="00062409"/>
    <w:rsid w:val="0006241C"/>
    <w:rsid w:val="00063617"/>
    <w:rsid w:val="00063B80"/>
    <w:rsid w:val="00063BBB"/>
    <w:rsid w:val="00065105"/>
    <w:rsid w:val="0006624A"/>
    <w:rsid w:val="00066584"/>
    <w:rsid w:val="00067A05"/>
    <w:rsid w:val="00070D4A"/>
    <w:rsid w:val="000714AA"/>
    <w:rsid w:val="00071BF2"/>
    <w:rsid w:val="00071E47"/>
    <w:rsid w:val="0007228E"/>
    <w:rsid w:val="00072294"/>
    <w:rsid w:val="00072461"/>
    <w:rsid w:val="00073ED9"/>
    <w:rsid w:val="0007450B"/>
    <w:rsid w:val="00074CA0"/>
    <w:rsid w:val="00076064"/>
    <w:rsid w:val="000760E9"/>
    <w:rsid w:val="0007659E"/>
    <w:rsid w:val="00076E7B"/>
    <w:rsid w:val="00076F13"/>
    <w:rsid w:val="000770E8"/>
    <w:rsid w:val="00080C36"/>
    <w:rsid w:val="00081EBC"/>
    <w:rsid w:val="00082187"/>
    <w:rsid w:val="0008300C"/>
    <w:rsid w:val="0008364A"/>
    <w:rsid w:val="00085768"/>
    <w:rsid w:val="000858E1"/>
    <w:rsid w:val="000859E7"/>
    <w:rsid w:val="000909F1"/>
    <w:rsid w:val="00092897"/>
    <w:rsid w:val="000949FE"/>
    <w:rsid w:val="000958A3"/>
    <w:rsid w:val="00096E3B"/>
    <w:rsid w:val="0009713A"/>
    <w:rsid w:val="00097AA8"/>
    <w:rsid w:val="00097C4E"/>
    <w:rsid w:val="00097D7C"/>
    <w:rsid w:val="000A1F1A"/>
    <w:rsid w:val="000A28AD"/>
    <w:rsid w:val="000A4DE5"/>
    <w:rsid w:val="000A54CC"/>
    <w:rsid w:val="000A5A01"/>
    <w:rsid w:val="000A6316"/>
    <w:rsid w:val="000A64C0"/>
    <w:rsid w:val="000A6AAC"/>
    <w:rsid w:val="000A7D8F"/>
    <w:rsid w:val="000B06F6"/>
    <w:rsid w:val="000B08EF"/>
    <w:rsid w:val="000B1F27"/>
    <w:rsid w:val="000B36D0"/>
    <w:rsid w:val="000B51F7"/>
    <w:rsid w:val="000B5C44"/>
    <w:rsid w:val="000B6E30"/>
    <w:rsid w:val="000C09DE"/>
    <w:rsid w:val="000C0E19"/>
    <w:rsid w:val="000C117C"/>
    <w:rsid w:val="000C13F0"/>
    <w:rsid w:val="000C1E8C"/>
    <w:rsid w:val="000C3D74"/>
    <w:rsid w:val="000C4086"/>
    <w:rsid w:val="000C69CE"/>
    <w:rsid w:val="000D2DE9"/>
    <w:rsid w:val="000D3F25"/>
    <w:rsid w:val="000D5336"/>
    <w:rsid w:val="000D61B5"/>
    <w:rsid w:val="000D72F5"/>
    <w:rsid w:val="000D7A7F"/>
    <w:rsid w:val="000E12F7"/>
    <w:rsid w:val="000E2A92"/>
    <w:rsid w:val="000E30D2"/>
    <w:rsid w:val="000E34E1"/>
    <w:rsid w:val="000E3B24"/>
    <w:rsid w:val="000E417D"/>
    <w:rsid w:val="000E514F"/>
    <w:rsid w:val="000E51EE"/>
    <w:rsid w:val="000E64DC"/>
    <w:rsid w:val="000E67AF"/>
    <w:rsid w:val="000F0B8A"/>
    <w:rsid w:val="000F1BA6"/>
    <w:rsid w:val="000F37BA"/>
    <w:rsid w:val="000F49A4"/>
    <w:rsid w:val="000F5A70"/>
    <w:rsid w:val="000F75A6"/>
    <w:rsid w:val="000F793A"/>
    <w:rsid w:val="00100B5E"/>
    <w:rsid w:val="00100E11"/>
    <w:rsid w:val="00102538"/>
    <w:rsid w:val="00102AE1"/>
    <w:rsid w:val="00103B71"/>
    <w:rsid w:val="00105FB4"/>
    <w:rsid w:val="00106E9B"/>
    <w:rsid w:val="00107D59"/>
    <w:rsid w:val="00110404"/>
    <w:rsid w:val="00110E25"/>
    <w:rsid w:val="001115B4"/>
    <w:rsid w:val="00111E9E"/>
    <w:rsid w:val="00111F6D"/>
    <w:rsid w:val="001120C7"/>
    <w:rsid w:val="001131AD"/>
    <w:rsid w:val="001133BC"/>
    <w:rsid w:val="00114903"/>
    <w:rsid w:val="00115B35"/>
    <w:rsid w:val="001165DE"/>
    <w:rsid w:val="00116A8F"/>
    <w:rsid w:val="0011725A"/>
    <w:rsid w:val="0012153C"/>
    <w:rsid w:val="00123F4A"/>
    <w:rsid w:val="0012485E"/>
    <w:rsid w:val="001255CD"/>
    <w:rsid w:val="00125B13"/>
    <w:rsid w:val="0012613F"/>
    <w:rsid w:val="001271F8"/>
    <w:rsid w:val="00127296"/>
    <w:rsid w:val="00130C22"/>
    <w:rsid w:val="0013140D"/>
    <w:rsid w:val="0013162C"/>
    <w:rsid w:val="0013216A"/>
    <w:rsid w:val="001326BF"/>
    <w:rsid w:val="00134C04"/>
    <w:rsid w:val="00135675"/>
    <w:rsid w:val="00136346"/>
    <w:rsid w:val="00136390"/>
    <w:rsid w:val="00137478"/>
    <w:rsid w:val="00140F9D"/>
    <w:rsid w:val="001411EF"/>
    <w:rsid w:val="001430B0"/>
    <w:rsid w:val="001434E5"/>
    <w:rsid w:val="00143D7C"/>
    <w:rsid w:val="00144F93"/>
    <w:rsid w:val="00145F4C"/>
    <w:rsid w:val="0014648C"/>
    <w:rsid w:val="00146B5C"/>
    <w:rsid w:val="0015028D"/>
    <w:rsid w:val="001505B3"/>
    <w:rsid w:val="0015132C"/>
    <w:rsid w:val="00152FB9"/>
    <w:rsid w:val="0015405C"/>
    <w:rsid w:val="00154825"/>
    <w:rsid w:val="00154A9B"/>
    <w:rsid w:val="0015565C"/>
    <w:rsid w:val="00156B6B"/>
    <w:rsid w:val="0015738E"/>
    <w:rsid w:val="00157570"/>
    <w:rsid w:val="00160B79"/>
    <w:rsid w:val="0016117F"/>
    <w:rsid w:val="0016160F"/>
    <w:rsid w:val="0016222B"/>
    <w:rsid w:val="001623F4"/>
    <w:rsid w:val="001630B7"/>
    <w:rsid w:val="001636A2"/>
    <w:rsid w:val="0016512D"/>
    <w:rsid w:val="00165A5D"/>
    <w:rsid w:val="00166F32"/>
    <w:rsid w:val="00167B84"/>
    <w:rsid w:val="00167E5E"/>
    <w:rsid w:val="00170D16"/>
    <w:rsid w:val="00171BB2"/>
    <w:rsid w:val="00172361"/>
    <w:rsid w:val="00172745"/>
    <w:rsid w:val="0017278E"/>
    <w:rsid w:val="00172817"/>
    <w:rsid w:val="001732BD"/>
    <w:rsid w:val="00173B4D"/>
    <w:rsid w:val="00175047"/>
    <w:rsid w:val="00175BF7"/>
    <w:rsid w:val="00176AA8"/>
    <w:rsid w:val="001778AE"/>
    <w:rsid w:val="00177B35"/>
    <w:rsid w:val="00177B59"/>
    <w:rsid w:val="00180539"/>
    <w:rsid w:val="00181879"/>
    <w:rsid w:val="00181EE6"/>
    <w:rsid w:val="00182A16"/>
    <w:rsid w:val="00184D74"/>
    <w:rsid w:val="00185E1F"/>
    <w:rsid w:val="001872DB"/>
    <w:rsid w:val="00192083"/>
    <w:rsid w:val="00193626"/>
    <w:rsid w:val="00194AA8"/>
    <w:rsid w:val="00195F87"/>
    <w:rsid w:val="001963A9"/>
    <w:rsid w:val="001A0534"/>
    <w:rsid w:val="001A1910"/>
    <w:rsid w:val="001A1B5C"/>
    <w:rsid w:val="001A2768"/>
    <w:rsid w:val="001A28C9"/>
    <w:rsid w:val="001A399F"/>
    <w:rsid w:val="001A4071"/>
    <w:rsid w:val="001A4A5E"/>
    <w:rsid w:val="001A4F4B"/>
    <w:rsid w:val="001A4F5D"/>
    <w:rsid w:val="001A576B"/>
    <w:rsid w:val="001A5B78"/>
    <w:rsid w:val="001A5C97"/>
    <w:rsid w:val="001A6A7E"/>
    <w:rsid w:val="001A795C"/>
    <w:rsid w:val="001A7C4C"/>
    <w:rsid w:val="001A7F7B"/>
    <w:rsid w:val="001B0BC7"/>
    <w:rsid w:val="001B109F"/>
    <w:rsid w:val="001B112C"/>
    <w:rsid w:val="001B1233"/>
    <w:rsid w:val="001B18E9"/>
    <w:rsid w:val="001B2DBD"/>
    <w:rsid w:val="001B3AC6"/>
    <w:rsid w:val="001B4338"/>
    <w:rsid w:val="001B4C9C"/>
    <w:rsid w:val="001B4CC9"/>
    <w:rsid w:val="001B4FFE"/>
    <w:rsid w:val="001B5E5E"/>
    <w:rsid w:val="001B6D08"/>
    <w:rsid w:val="001B712C"/>
    <w:rsid w:val="001B7403"/>
    <w:rsid w:val="001C0799"/>
    <w:rsid w:val="001C0866"/>
    <w:rsid w:val="001C0F4A"/>
    <w:rsid w:val="001C1727"/>
    <w:rsid w:val="001C17A4"/>
    <w:rsid w:val="001C1944"/>
    <w:rsid w:val="001C2262"/>
    <w:rsid w:val="001C2DC1"/>
    <w:rsid w:val="001C4AA1"/>
    <w:rsid w:val="001C585F"/>
    <w:rsid w:val="001C69AB"/>
    <w:rsid w:val="001C6C26"/>
    <w:rsid w:val="001C7ADE"/>
    <w:rsid w:val="001D0C09"/>
    <w:rsid w:val="001D1FB2"/>
    <w:rsid w:val="001D38DC"/>
    <w:rsid w:val="001D5171"/>
    <w:rsid w:val="001D62E8"/>
    <w:rsid w:val="001D69EE"/>
    <w:rsid w:val="001D77CD"/>
    <w:rsid w:val="001D7D63"/>
    <w:rsid w:val="001D7ED5"/>
    <w:rsid w:val="001E01ED"/>
    <w:rsid w:val="001E07C5"/>
    <w:rsid w:val="001E102A"/>
    <w:rsid w:val="001E1784"/>
    <w:rsid w:val="001E183F"/>
    <w:rsid w:val="001E1EFD"/>
    <w:rsid w:val="001E3444"/>
    <w:rsid w:val="001E353F"/>
    <w:rsid w:val="001E4430"/>
    <w:rsid w:val="001E58D8"/>
    <w:rsid w:val="001E67C8"/>
    <w:rsid w:val="001F05F1"/>
    <w:rsid w:val="001F261C"/>
    <w:rsid w:val="001F4079"/>
    <w:rsid w:val="001F43F9"/>
    <w:rsid w:val="001F4728"/>
    <w:rsid w:val="001F4AA1"/>
    <w:rsid w:val="001F4BC8"/>
    <w:rsid w:val="001F537A"/>
    <w:rsid w:val="001F5B00"/>
    <w:rsid w:val="001F649E"/>
    <w:rsid w:val="001F64B4"/>
    <w:rsid w:val="001F6666"/>
    <w:rsid w:val="001F6B2A"/>
    <w:rsid w:val="001F6E62"/>
    <w:rsid w:val="0020093C"/>
    <w:rsid w:val="00201362"/>
    <w:rsid w:val="0020265E"/>
    <w:rsid w:val="002026DB"/>
    <w:rsid w:val="00202F49"/>
    <w:rsid w:val="00204585"/>
    <w:rsid w:val="00206732"/>
    <w:rsid w:val="00206D0E"/>
    <w:rsid w:val="00207323"/>
    <w:rsid w:val="002109B1"/>
    <w:rsid w:val="0021164F"/>
    <w:rsid w:val="00211784"/>
    <w:rsid w:val="00211A51"/>
    <w:rsid w:val="0021236C"/>
    <w:rsid w:val="00212572"/>
    <w:rsid w:val="00212D46"/>
    <w:rsid w:val="0021508B"/>
    <w:rsid w:val="002166C6"/>
    <w:rsid w:val="002201B3"/>
    <w:rsid w:val="002204C8"/>
    <w:rsid w:val="002205F0"/>
    <w:rsid w:val="00221902"/>
    <w:rsid w:val="00222807"/>
    <w:rsid w:val="00222C7C"/>
    <w:rsid w:val="00224014"/>
    <w:rsid w:val="00224428"/>
    <w:rsid w:val="0022578F"/>
    <w:rsid w:val="002268FA"/>
    <w:rsid w:val="00227C1D"/>
    <w:rsid w:val="00233C3E"/>
    <w:rsid w:val="002347F4"/>
    <w:rsid w:val="00234E22"/>
    <w:rsid w:val="0023551F"/>
    <w:rsid w:val="00235B8C"/>
    <w:rsid w:val="00235C68"/>
    <w:rsid w:val="002362D8"/>
    <w:rsid w:val="0023630F"/>
    <w:rsid w:val="00236DCF"/>
    <w:rsid w:val="0024054E"/>
    <w:rsid w:val="00242807"/>
    <w:rsid w:val="002431ED"/>
    <w:rsid w:val="002436F7"/>
    <w:rsid w:val="00244384"/>
    <w:rsid w:val="00245716"/>
    <w:rsid w:val="00246677"/>
    <w:rsid w:val="002466EB"/>
    <w:rsid w:val="00246A0E"/>
    <w:rsid w:val="00246AA1"/>
    <w:rsid w:val="00247667"/>
    <w:rsid w:val="00247DBF"/>
    <w:rsid w:val="00250217"/>
    <w:rsid w:val="002516A8"/>
    <w:rsid w:val="00251B37"/>
    <w:rsid w:val="00251C73"/>
    <w:rsid w:val="00253DEB"/>
    <w:rsid w:val="00254075"/>
    <w:rsid w:val="0025419D"/>
    <w:rsid w:val="0025542E"/>
    <w:rsid w:val="0025551A"/>
    <w:rsid w:val="00256093"/>
    <w:rsid w:val="00256C30"/>
    <w:rsid w:val="00257B34"/>
    <w:rsid w:val="00260534"/>
    <w:rsid w:val="00260C4F"/>
    <w:rsid w:val="00260F65"/>
    <w:rsid w:val="00260FCA"/>
    <w:rsid w:val="002616C4"/>
    <w:rsid w:val="00261BA0"/>
    <w:rsid w:val="00263314"/>
    <w:rsid w:val="002635E9"/>
    <w:rsid w:val="00263CA1"/>
    <w:rsid w:val="00264359"/>
    <w:rsid w:val="002647C9"/>
    <w:rsid w:val="00264AFC"/>
    <w:rsid w:val="0026512C"/>
    <w:rsid w:val="00265A8B"/>
    <w:rsid w:val="0026609E"/>
    <w:rsid w:val="00266124"/>
    <w:rsid w:val="0026702E"/>
    <w:rsid w:val="00270B65"/>
    <w:rsid w:val="0027189D"/>
    <w:rsid w:val="00271A66"/>
    <w:rsid w:val="002741E9"/>
    <w:rsid w:val="002749F7"/>
    <w:rsid w:val="00274C71"/>
    <w:rsid w:val="00274D73"/>
    <w:rsid w:val="00275870"/>
    <w:rsid w:val="00275977"/>
    <w:rsid w:val="00275B4D"/>
    <w:rsid w:val="00276714"/>
    <w:rsid w:val="00277977"/>
    <w:rsid w:val="00277F4D"/>
    <w:rsid w:val="00280886"/>
    <w:rsid w:val="002827D8"/>
    <w:rsid w:val="00283AF3"/>
    <w:rsid w:val="002844CA"/>
    <w:rsid w:val="0028607D"/>
    <w:rsid w:val="00287405"/>
    <w:rsid w:val="0028765D"/>
    <w:rsid w:val="00287C1E"/>
    <w:rsid w:val="00290A76"/>
    <w:rsid w:val="00291C4B"/>
    <w:rsid w:val="0029225C"/>
    <w:rsid w:val="00292EBC"/>
    <w:rsid w:val="00293670"/>
    <w:rsid w:val="00293AD5"/>
    <w:rsid w:val="00294AC7"/>
    <w:rsid w:val="00295BD5"/>
    <w:rsid w:val="00295CFE"/>
    <w:rsid w:val="00295F62"/>
    <w:rsid w:val="002A046D"/>
    <w:rsid w:val="002A0F55"/>
    <w:rsid w:val="002A1020"/>
    <w:rsid w:val="002A2245"/>
    <w:rsid w:val="002A242D"/>
    <w:rsid w:val="002A26E2"/>
    <w:rsid w:val="002A28DD"/>
    <w:rsid w:val="002A42E9"/>
    <w:rsid w:val="002A57AC"/>
    <w:rsid w:val="002A704E"/>
    <w:rsid w:val="002A790F"/>
    <w:rsid w:val="002B12CE"/>
    <w:rsid w:val="002B17DD"/>
    <w:rsid w:val="002B1FE3"/>
    <w:rsid w:val="002B20AB"/>
    <w:rsid w:val="002B25B6"/>
    <w:rsid w:val="002B309E"/>
    <w:rsid w:val="002B3EF2"/>
    <w:rsid w:val="002B46A9"/>
    <w:rsid w:val="002B491F"/>
    <w:rsid w:val="002B49CC"/>
    <w:rsid w:val="002B6518"/>
    <w:rsid w:val="002B692B"/>
    <w:rsid w:val="002B7EA7"/>
    <w:rsid w:val="002C00BC"/>
    <w:rsid w:val="002C1096"/>
    <w:rsid w:val="002C11CA"/>
    <w:rsid w:val="002C1590"/>
    <w:rsid w:val="002C2081"/>
    <w:rsid w:val="002C21E5"/>
    <w:rsid w:val="002C352A"/>
    <w:rsid w:val="002C3D7A"/>
    <w:rsid w:val="002C404F"/>
    <w:rsid w:val="002C4493"/>
    <w:rsid w:val="002C4675"/>
    <w:rsid w:val="002C4E4A"/>
    <w:rsid w:val="002C5A59"/>
    <w:rsid w:val="002C5E65"/>
    <w:rsid w:val="002C6BED"/>
    <w:rsid w:val="002D017F"/>
    <w:rsid w:val="002D0DA2"/>
    <w:rsid w:val="002D13EF"/>
    <w:rsid w:val="002D16D3"/>
    <w:rsid w:val="002D1767"/>
    <w:rsid w:val="002D21A4"/>
    <w:rsid w:val="002D26E5"/>
    <w:rsid w:val="002D3579"/>
    <w:rsid w:val="002D45E3"/>
    <w:rsid w:val="002D498B"/>
    <w:rsid w:val="002D5032"/>
    <w:rsid w:val="002D56D9"/>
    <w:rsid w:val="002D7ECD"/>
    <w:rsid w:val="002E0BF6"/>
    <w:rsid w:val="002E0C77"/>
    <w:rsid w:val="002E1142"/>
    <w:rsid w:val="002E142C"/>
    <w:rsid w:val="002E25D0"/>
    <w:rsid w:val="002E39FC"/>
    <w:rsid w:val="002E3D85"/>
    <w:rsid w:val="002E4501"/>
    <w:rsid w:val="002E4572"/>
    <w:rsid w:val="002E5BCC"/>
    <w:rsid w:val="002E67DD"/>
    <w:rsid w:val="002E7119"/>
    <w:rsid w:val="002E7463"/>
    <w:rsid w:val="002E7884"/>
    <w:rsid w:val="002F0D12"/>
    <w:rsid w:val="002F0D9C"/>
    <w:rsid w:val="002F1DC0"/>
    <w:rsid w:val="002F2C60"/>
    <w:rsid w:val="002F4957"/>
    <w:rsid w:val="002F49BE"/>
    <w:rsid w:val="002F4A75"/>
    <w:rsid w:val="002F4AC6"/>
    <w:rsid w:val="002F4D59"/>
    <w:rsid w:val="002F776A"/>
    <w:rsid w:val="002F7B57"/>
    <w:rsid w:val="00303305"/>
    <w:rsid w:val="00304B41"/>
    <w:rsid w:val="003060B0"/>
    <w:rsid w:val="00306D2A"/>
    <w:rsid w:val="00307A81"/>
    <w:rsid w:val="00307D5E"/>
    <w:rsid w:val="0031050D"/>
    <w:rsid w:val="00310C92"/>
    <w:rsid w:val="003112D5"/>
    <w:rsid w:val="00311982"/>
    <w:rsid w:val="00311DD6"/>
    <w:rsid w:val="00312D91"/>
    <w:rsid w:val="003138B9"/>
    <w:rsid w:val="00314520"/>
    <w:rsid w:val="00314569"/>
    <w:rsid w:val="0031566B"/>
    <w:rsid w:val="00315ABC"/>
    <w:rsid w:val="00315FE2"/>
    <w:rsid w:val="003161D5"/>
    <w:rsid w:val="00317DEF"/>
    <w:rsid w:val="00317EDD"/>
    <w:rsid w:val="00322341"/>
    <w:rsid w:val="0032330C"/>
    <w:rsid w:val="00323425"/>
    <w:rsid w:val="00324FD7"/>
    <w:rsid w:val="00330545"/>
    <w:rsid w:val="00331ECE"/>
    <w:rsid w:val="00331F08"/>
    <w:rsid w:val="003321CA"/>
    <w:rsid w:val="00333C49"/>
    <w:rsid w:val="00334641"/>
    <w:rsid w:val="00335B1D"/>
    <w:rsid w:val="00337FD3"/>
    <w:rsid w:val="00340E3A"/>
    <w:rsid w:val="0034248F"/>
    <w:rsid w:val="00343A38"/>
    <w:rsid w:val="00343AEA"/>
    <w:rsid w:val="0034410E"/>
    <w:rsid w:val="00345141"/>
    <w:rsid w:val="00350391"/>
    <w:rsid w:val="003532FC"/>
    <w:rsid w:val="0035375B"/>
    <w:rsid w:val="00355214"/>
    <w:rsid w:val="0035700E"/>
    <w:rsid w:val="00357472"/>
    <w:rsid w:val="00357D39"/>
    <w:rsid w:val="00357FDF"/>
    <w:rsid w:val="0036040B"/>
    <w:rsid w:val="00364319"/>
    <w:rsid w:val="00365238"/>
    <w:rsid w:val="00365C11"/>
    <w:rsid w:val="0036671C"/>
    <w:rsid w:val="00366D0B"/>
    <w:rsid w:val="00367481"/>
    <w:rsid w:val="00367921"/>
    <w:rsid w:val="0037302C"/>
    <w:rsid w:val="003737E3"/>
    <w:rsid w:val="00373C53"/>
    <w:rsid w:val="00373C7C"/>
    <w:rsid w:val="0038145B"/>
    <w:rsid w:val="003828C3"/>
    <w:rsid w:val="00383E5D"/>
    <w:rsid w:val="003864B4"/>
    <w:rsid w:val="003867C9"/>
    <w:rsid w:val="0039138D"/>
    <w:rsid w:val="00391F2E"/>
    <w:rsid w:val="00392D3A"/>
    <w:rsid w:val="0039622E"/>
    <w:rsid w:val="003963A4"/>
    <w:rsid w:val="0039724D"/>
    <w:rsid w:val="003A07D0"/>
    <w:rsid w:val="003A1D41"/>
    <w:rsid w:val="003A2206"/>
    <w:rsid w:val="003A2462"/>
    <w:rsid w:val="003A2679"/>
    <w:rsid w:val="003A31B7"/>
    <w:rsid w:val="003A3825"/>
    <w:rsid w:val="003A3F57"/>
    <w:rsid w:val="003A41B7"/>
    <w:rsid w:val="003A4EF1"/>
    <w:rsid w:val="003A5B28"/>
    <w:rsid w:val="003A6C43"/>
    <w:rsid w:val="003A706F"/>
    <w:rsid w:val="003A780A"/>
    <w:rsid w:val="003B0C26"/>
    <w:rsid w:val="003B0FDB"/>
    <w:rsid w:val="003B116B"/>
    <w:rsid w:val="003B1247"/>
    <w:rsid w:val="003B12E0"/>
    <w:rsid w:val="003B2018"/>
    <w:rsid w:val="003B330B"/>
    <w:rsid w:val="003B37C6"/>
    <w:rsid w:val="003B3AD2"/>
    <w:rsid w:val="003B4046"/>
    <w:rsid w:val="003B5DE4"/>
    <w:rsid w:val="003C013D"/>
    <w:rsid w:val="003C08A4"/>
    <w:rsid w:val="003C0A2F"/>
    <w:rsid w:val="003C1564"/>
    <w:rsid w:val="003C19DD"/>
    <w:rsid w:val="003C2391"/>
    <w:rsid w:val="003C759C"/>
    <w:rsid w:val="003C7A6F"/>
    <w:rsid w:val="003D09F5"/>
    <w:rsid w:val="003D0B7D"/>
    <w:rsid w:val="003D0E63"/>
    <w:rsid w:val="003D1A5B"/>
    <w:rsid w:val="003D28A7"/>
    <w:rsid w:val="003D29C0"/>
    <w:rsid w:val="003D2DB6"/>
    <w:rsid w:val="003D3EF6"/>
    <w:rsid w:val="003D420D"/>
    <w:rsid w:val="003D4FEB"/>
    <w:rsid w:val="003D508A"/>
    <w:rsid w:val="003D5C81"/>
    <w:rsid w:val="003D6933"/>
    <w:rsid w:val="003D69A3"/>
    <w:rsid w:val="003E2E63"/>
    <w:rsid w:val="003E34D4"/>
    <w:rsid w:val="003E3C95"/>
    <w:rsid w:val="003E4EEF"/>
    <w:rsid w:val="003E52F2"/>
    <w:rsid w:val="003E56BE"/>
    <w:rsid w:val="003E59E9"/>
    <w:rsid w:val="003E6768"/>
    <w:rsid w:val="003F0975"/>
    <w:rsid w:val="003F1BD0"/>
    <w:rsid w:val="003F2070"/>
    <w:rsid w:val="003F223B"/>
    <w:rsid w:val="003F262D"/>
    <w:rsid w:val="003F3D06"/>
    <w:rsid w:val="003F41EA"/>
    <w:rsid w:val="003F54C2"/>
    <w:rsid w:val="003F62F6"/>
    <w:rsid w:val="003F63F8"/>
    <w:rsid w:val="003F6671"/>
    <w:rsid w:val="003F71ED"/>
    <w:rsid w:val="003F7B22"/>
    <w:rsid w:val="004000CB"/>
    <w:rsid w:val="00401262"/>
    <w:rsid w:val="00401E5F"/>
    <w:rsid w:val="00402E7A"/>
    <w:rsid w:val="00402ED7"/>
    <w:rsid w:val="00403DC5"/>
    <w:rsid w:val="0040534C"/>
    <w:rsid w:val="004054BA"/>
    <w:rsid w:val="00405D49"/>
    <w:rsid w:val="00405E64"/>
    <w:rsid w:val="0040698B"/>
    <w:rsid w:val="004113E3"/>
    <w:rsid w:val="004119F8"/>
    <w:rsid w:val="00411ADE"/>
    <w:rsid w:val="00412C6F"/>
    <w:rsid w:val="004131E6"/>
    <w:rsid w:val="004155BD"/>
    <w:rsid w:val="00422BDB"/>
    <w:rsid w:val="00423D78"/>
    <w:rsid w:val="00424C68"/>
    <w:rsid w:val="00424FB9"/>
    <w:rsid w:val="00425628"/>
    <w:rsid w:val="00425746"/>
    <w:rsid w:val="00426B97"/>
    <w:rsid w:val="0042701B"/>
    <w:rsid w:val="0043071A"/>
    <w:rsid w:val="0043103A"/>
    <w:rsid w:val="0043143D"/>
    <w:rsid w:val="004315DD"/>
    <w:rsid w:val="004323EF"/>
    <w:rsid w:val="00433BA8"/>
    <w:rsid w:val="0043493E"/>
    <w:rsid w:val="00437115"/>
    <w:rsid w:val="004374C2"/>
    <w:rsid w:val="004379E1"/>
    <w:rsid w:val="004400E0"/>
    <w:rsid w:val="0044241A"/>
    <w:rsid w:val="00442CDF"/>
    <w:rsid w:val="00443886"/>
    <w:rsid w:val="00444091"/>
    <w:rsid w:val="00444F1E"/>
    <w:rsid w:val="0044680A"/>
    <w:rsid w:val="00446892"/>
    <w:rsid w:val="0045131D"/>
    <w:rsid w:val="004516C8"/>
    <w:rsid w:val="00451865"/>
    <w:rsid w:val="00451FF5"/>
    <w:rsid w:val="00452294"/>
    <w:rsid w:val="0045282D"/>
    <w:rsid w:val="00452B37"/>
    <w:rsid w:val="004531DD"/>
    <w:rsid w:val="00453DA8"/>
    <w:rsid w:val="00454D89"/>
    <w:rsid w:val="00454F0A"/>
    <w:rsid w:val="0045647A"/>
    <w:rsid w:val="00460E1A"/>
    <w:rsid w:val="00461893"/>
    <w:rsid w:val="00461C9F"/>
    <w:rsid w:val="00462C96"/>
    <w:rsid w:val="00462E04"/>
    <w:rsid w:val="004638D8"/>
    <w:rsid w:val="0046500D"/>
    <w:rsid w:val="004654D9"/>
    <w:rsid w:val="00465E57"/>
    <w:rsid w:val="004724A7"/>
    <w:rsid w:val="00473F9A"/>
    <w:rsid w:val="00474DB7"/>
    <w:rsid w:val="0047662E"/>
    <w:rsid w:val="0047687D"/>
    <w:rsid w:val="00476DFE"/>
    <w:rsid w:val="00476EA2"/>
    <w:rsid w:val="0048050E"/>
    <w:rsid w:val="0048091D"/>
    <w:rsid w:val="004809A2"/>
    <w:rsid w:val="004811BC"/>
    <w:rsid w:val="004815ED"/>
    <w:rsid w:val="004819F8"/>
    <w:rsid w:val="00481B9C"/>
    <w:rsid w:val="004825E0"/>
    <w:rsid w:val="004850BE"/>
    <w:rsid w:val="00485673"/>
    <w:rsid w:val="004859B0"/>
    <w:rsid w:val="00485A61"/>
    <w:rsid w:val="00486362"/>
    <w:rsid w:val="00486EF5"/>
    <w:rsid w:val="00493223"/>
    <w:rsid w:val="00493E46"/>
    <w:rsid w:val="00494C6B"/>
    <w:rsid w:val="0049516D"/>
    <w:rsid w:val="0049535D"/>
    <w:rsid w:val="0049690C"/>
    <w:rsid w:val="00496CF2"/>
    <w:rsid w:val="00496DA7"/>
    <w:rsid w:val="004A039C"/>
    <w:rsid w:val="004A1843"/>
    <w:rsid w:val="004A26FE"/>
    <w:rsid w:val="004A2D59"/>
    <w:rsid w:val="004A3538"/>
    <w:rsid w:val="004A4B3C"/>
    <w:rsid w:val="004A6A75"/>
    <w:rsid w:val="004A738A"/>
    <w:rsid w:val="004A754F"/>
    <w:rsid w:val="004B05E1"/>
    <w:rsid w:val="004B0780"/>
    <w:rsid w:val="004B1256"/>
    <w:rsid w:val="004B23FF"/>
    <w:rsid w:val="004B2F85"/>
    <w:rsid w:val="004B399E"/>
    <w:rsid w:val="004B58AF"/>
    <w:rsid w:val="004B6416"/>
    <w:rsid w:val="004B6E79"/>
    <w:rsid w:val="004B7DDE"/>
    <w:rsid w:val="004C01AC"/>
    <w:rsid w:val="004C0446"/>
    <w:rsid w:val="004C198A"/>
    <w:rsid w:val="004C1F3E"/>
    <w:rsid w:val="004C3202"/>
    <w:rsid w:val="004C3F67"/>
    <w:rsid w:val="004C555A"/>
    <w:rsid w:val="004C5D42"/>
    <w:rsid w:val="004C64B4"/>
    <w:rsid w:val="004C7B1C"/>
    <w:rsid w:val="004D036F"/>
    <w:rsid w:val="004D037A"/>
    <w:rsid w:val="004D1600"/>
    <w:rsid w:val="004D21D0"/>
    <w:rsid w:val="004D297E"/>
    <w:rsid w:val="004D38FD"/>
    <w:rsid w:val="004D3AE2"/>
    <w:rsid w:val="004D42AD"/>
    <w:rsid w:val="004D440F"/>
    <w:rsid w:val="004D5910"/>
    <w:rsid w:val="004D64B9"/>
    <w:rsid w:val="004D6B51"/>
    <w:rsid w:val="004E0F57"/>
    <w:rsid w:val="004E1014"/>
    <w:rsid w:val="004E2041"/>
    <w:rsid w:val="004E466E"/>
    <w:rsid w:val="004E4E33"/>
    <w:rsid w:val="004E578E"/>
    <w:rsid w:val="004E6F62"/>
    <w:rsid w:val="004E709F"/>
    <w:rsid w:val="004E7614"/>
    <w:rsid w:val="004F229E"/>
    <w:rsid w:val="004F25E2"/>
    <w:rsid w:val="004F58BC"/>
    <w:rsid w:val="004F71FD"/>
    <w:rsid w:val="004F7621"/>
    <w:rsid w:val="0050290C"/>
    <w:rsid w:val="00502959"/>
    <w:rsid w:val="005030DE"/>
    <w:rsid w:val="00503A03"/>
    <w:rsid w:val="005043ED"/>
    <w:rsid w:val="0050454F"/>
    <w:rsid w:val="0050500A"/>
    <w:rsid w:val="005051C7"/>
    <w:rsid w:val="00506D13"/>
    <w:rsid w:val="00506F39"/>
    <w:rsid w:val="00511ED0"/>
    <w:rsid w:val="00513C67"/>
    <w:rsid w:val="00513D22"/>
    <w:rsid w:val="005157C5"/>
    <w:rsid w:val="00516A2E"/>
    <w:rsid w:val="00517726"/>
    <w:rsid w:val="00517D37"/>
    <w:rsid w:val="005217A0"/>
    <w:rsid w:val="0052196D"/>
    <w:rsid w:val="005255D3"/>
    <w:rsid w:val="00526880"/>
    <w:rsid w:val="00531455"/>
    <w:rsid w:val="00531606"/>
    <w:rsid w:val="0053223C"/>
    <w:rsid w:val="00532265"/>
    <w:rsid w:val="00533476"/>
    <w:rsid w:val="00534995"/>
    <w:rsid w:val="00534D95"/>
    <w:rsid w:val="0053539C"/>
    <w:rsid w:val="0053682A"/>
    <w:rsid w:val="00537B08"/>
    <w:rsid w:val="00537DC3"/>
    <w:rsid w:val="00541151"/>
    <w:rsid w:val="00541458"/>
    <w:rsid w:val="00541D4A"/>
    <w:rsid w:val="00542538"/>
    <w:rsid w:val="0054311C"/>
    <w:rsid w:val="00544373"/>
    <w:rsid w:val="00545853"/>
    <w:rsid w:val="00546CC0"/>
    <w:rsid w:val="005502E4"/>
    <w:rsid w:val="0055062E"/>
    <w:rsid w:val="00550AAD"/>
    <w:rsid w:val="005528FB"/>
    <w:rsid w:val="00552A3B"/>
    <w:rsid w:val="00553CAA"/>
    <w:rsid w:val="00555711"/>
    <w:rsid w:val="0055640E"/>
    <w:rsid w:val="005564E6"/>
    <w:rsid w:val="00556728"/>
    <w:rsid w:val="0056016A"/>
    <w:rsid w:val="00560AB6"/>
    <w:rsid w:val="00560CE6"/>
    <w:rsid w:val="00561876"/>
    <w:rsid w:val="00561B8D"/>
    <w:rsid w:val="00563417"/>
    <w:rsid w:val="00563640"/>
    <w:rsid w:val="00567512"/>
    <w:rsid w:val="00570446"/>
    <w:rsid w:val="00570F84"/>
    <w:rsid w:val="005713C8"/>
    <w:rsid w:val="00574F48"/>
    <w:rsid w:val="005753D5"/>
    <w:rsid w:val="00576C38"/>
    <w:rsid w:val="005774D5"/>
    <w:rsid w:val="005778C5"/>
    <w:rsid w:val="00577FFB"/>
    <w:rsid w:val="005800ED"/>
    <w:rsid w:val="0058060C"/>
    <w:rsid w:val="00582BA4"/>
    <w:rsid w:val="005833B3"/>
    <w:rsid w:val="005833B7"/>
    <w:rsid w:val="0058374F"/>
    <w:rsid w:val="0058525D"/>
    <w:rsid w:val="0058582D"/>
    <w:rsid w:val="00585946"/>
    <w:rsid w:val="00585DC5"/>
    <w:rsid w:val="005868FF"/>
    <w:rsid w:val="00590FB2"/>
    <w:rsid w:val="005913F9"/>
    <w:rsid w:val="0059233A"/>
    <w:rsid w:val="0059260C"/>
    <w:rsid w:val="0059299A"/>
    <w:rsid w:val="005932AF"/>
    <w:rsid w:val="0059397A"/>
    <w:rsid w:val="005951C3"/>
    <w:rsid w:val="00595330"/>
    <w:rsid w:val="005A17C2"/>
    <w:rsid w:val="005A2EA9"/>
    <w:rsid w:val="005A4C2B"/>
    <w:rsid w:val="005A50BC"/>
    <w:rsid w:val="005A5B1A"/>
    <w:rsid w:val="005A65EF"/>
    <w:rsid w:val="005B0ED5"/>
    <w:rsid w:val="005B160B"/>
    <w:rsid w:val="005B1683"/>
    <w:rsid w:val="005B1CF9"/>
    <w:rsid w:val="005B200A"/>
    <w:rsid w:val="005B399A"/>
    <w:rsid w:val="005B45C5"/>
    <w:rsid w:val="005B5439"/>
    <w:rsid w:val="005B64F0"/>
    <w:rsid w:val="005B6C60"/>
    <w:rsid w:val="005B76D8"/>
    <w:rsid w:val="005B7832"/>
    <w:rsid w:val="005C0574"/>
    <w:rsid w:val="005C0FD5"/>
    <w:rsid w:val="005C52CE"/>
    <w:rsid w:val="005C5C01"/>
    <w:rsid w:val="005C5D27"/>
    <w:rsid w:val="005C611E"/>
    <w:rsid w:val="005C7809"/>
    <w:rsid w:val="005D061F"/>
    <w:rsid w:val="005D0A01"/>
    <w:rsid w:val="005D134C"/>
    <w:rsid w:val="005D2373"/>
    <w:rsid w:val="005D23F2"/>
    <w:rsid w:val="005D2C70"/>
    <w:rsid w:val="005D332A"/>
    <w:rsid w:val="005D3364"/>
    <w:rsid w:val="005D3D4B"/>
    <w:rsid w:val="005D3EBD"/>
    <w:rsid w:val="005D4F97"/>
    <w:rsid w:val="005D64C7"/>
    <w:rsid w:val="005D71AA"/>
    <w:rsid w:val="005D73B7"/>
    <w:rsid w:val="005D7623"/>
    <w:rsid w:val="005E2D31"/>
    <w:rsid w:val="005E3DC5"/>
    <w:rsid w:val="005E40D4"/>
    <w:rsid w:val="005E51AB"/>
    <w:rsid w:val="005E5E09"/>
    <w:rsid w:val="005E775E"/>
    <w:rsid w:val="005E7D53"/>
    <w:rsid w:val="005F057C"/>
    <w:rsid w:val="005F07EE"/>
    <w:rsid w:val="005F08EE"/>
    <w:rsid w:val="005F0CD6"/>
    <w:rsid w:val="005F18C2"/>
    <w:rsid w:val="005F400E"/>
    <w:rsid w:val="005F4530"/>
    <w:rsid w:val="005F4BCA"/>
    <w:rsid w:val="005F4D60"/>
    <w:rsid w:val="005F5333"/>
    <w:rsid w:val="005F6EB5"/>
    <w:rsid w:val="00600BFC"/>
    <w:rsid w:val="00600CCC"/>
    <w:rsid w:val="00601E4F"/>
    <w:rsid w:val="00603630"/>
    <w:rsid w:val="00603B60"/>
    <w:rsid w:val="00603DD2"/>
    <w:rsid w:val="006051E9"/>
    <w:rsid w:val="00605C56"/>
    <w:rsid w:val="006065F0"/>
    <w:rsid w:val="00606C3C"/>
    <w:rsid w:val="00606D48"/>
    <w:rsid w:val="00607ABC"/>
    <w:rsid w:val="006109A2"/>
    <w:rsid w:val="00610A53"/>
    <w:rsid w:val="00610E70"/>
    <w:rsid w:val="00611E2F"/>
    <w:rsid w:val="006130C8"/>
    <w:rsid w:val="00613192"/>
    <w:rsid w:val="006133FF"/>
    <w:rsid w:val="00613C68"/>
    <w:rsid w:val="006151D0"/>
    <w:rsid w:val="006204B8"/>
    <w:rsid w:val="006242C8"/>
    <w:rsid w:val="00624DFC"/>
    <w:rsid w:val="00624E96"/>
    <w:rsid w:val="00625307"/>
    <w:rsid w:val="00626F85"/>
    <w:rsid w:val="006303FA"/>
    <w:rsid w:val="00630461"/>
    <w:rsid w:val="00630681"/>
    <w:rsid w:val="00630A43"/>
    <w:rsid w:val="00632039"/>
    <w:rsid w:val="00632750"/>
    <w:rsid w:val="006346DC"/>
    <w:rsid w:val="00635BA9"/>
    <w:rsid w:val="006361EF"/>
    <w:rsid w:val="006376B8"/>
    <w:rsid w:val="00640F78"/>
    <w:rsid w:val="0064225E"/>
    <w:rsid w:val="0064247F"/>
    <w:rsid w:val="0064541C"/>
    <w:rsid w:val="00645911"/>
    <w:rsid w:val="0065005B"/>
    <w:rsid w:val="006515CE"/>
    <w:rsid w:val="00653CCC"/>
    <w:rsid w:val="00655D85"/>
    <w:rsid w:val="00656214"/>
    <w:rsid w:val="00656F44"/>
    <w:rsid w:val="00660D15"/>
    <w:rsid w:val="00660E94"/>
    <w:rsid w:val="006612CF"/>
    <w:rsid w:val="00661682"/>
    <w:rsid w:val="00663366"/>
    <w:rsid w:val="00663D6F"/>
    <w:rsid w:val="00664C33"/>
    <w:rsid w:val="00664F1F"/>
    <w:rsid w:val="00666AF9"/>
    <w:rsid w:val="00666C04"/>
    <w:rsid w:val="006679E3"/>
    <w:rsid w:val="006707E1"/>
    <w:rsid w:val="006708B4"/>
    <w:rsid w:val="00670ACE"/>
    <w:rsid w:val="00671AFC"/>
    <w:rsid w:val="006720A3"/>
    <w:rsid w:val="0067290B"/>
    <w:rsid w:val="00672A25"/>
    <w:rsid w:val="00672E08"/>
    <w:rsid w:val="0067374C"/>
    <w:rsid w:val="00674783"/>
    <w:rsid w:val="00676305"/>
    <w:rsid w:val="00676751"/>
    <w:rsid w:val="0067685B"/>
    <w:rsid w:val="00676C73"/>
    <w:rsid w:val="00680F98"/>
    <w:rsid w:val="00681A9E"/>
    <w:rsid w:val="00681B70"/>
    <w:rsid w:val="0068314F"/>
    <w:rsid w:val="0068346B"/>
    <w:rsid w:val="0068376B"/>
    <w:rsid w:val="0068421C"/>
    <w:rsid w:val="00685F12"/>
    <w:rsid w:val="006864DE"/>
    <w:rsid w:val="00686910"/>
    <w:rsid w:val="00687DB7"/>
    <w:rsid w:val="006944BF"/>
    <w:rsid w:val="00695057"/>
    <w:rsid w:val="00696A26"/>
    <w:rsid w:val="00697D1A"/>
    <w:rsid w:val="006A0728"/>
    <w:rsid w:val="006A157E"/>
    <w:rsid w:val="006A2821"/>
    <w:rsid w:val="006A38B2"/>
    <w:rsid w:val="006A466D"/>
    <w:rsid w:val="006A57D5"/>
    <w:rsid w:val="006A5D77"/>
    <w:rsid w:val="006A60ED"/>
    <w:rsid w:val="006A673A"/>
    <w:rsid w:val="006B0DD1"/>
    <w:rsid w:val="006B1438"/>
    <w:rsid w:val="006B1A8E"/>
    <w:rsid w:val="006B2053"/>
    <w:rsid w:val="006B278E"/>
    <w:rsid w:val="006B27AB"/>
    <w:rsid w:val="006B339B"/>
    <w:rsid w:val="006B43CC"/>
    <w:rsid w:val="006B4E43"/>
    <w:rsid w:val="006B4E55"/>
    <w:rsid w:val="006B5906"/>
    <w:rsid w:val="006B63A6"/>
    <w:rsid w:val="006C0B97"/>
    <w:rsid w:val="006C3115"/>
    <w:rsid w:val="006C6F76"/>
    <w:rsid w:val="006C723B"/>
    <w:rsid w:val="006C7737"/>
    <w:rsid w:val="006C786B"/>
    <w:rsid w:val="006D0735"/>
    <w:rsid w:val="006D135C"/>
    <w:rsid w:val="006D3DC7"/>
    <w:rsid w:val="006D52EA"/>
    <w:rsid w:val="006D5A6F"/>
    <w:rsid w:val="006D7D80"/>
    <w:rsid w:val="006E013E"/>
    <w:rsid w:val="006E0494"/>
    <w:rsid w:val="006E059E"/>
    <w:rsid w:val="006E168A"/>
    <w:rsid w:val="006E1EF5"/>
    <w:rsid w:val="006E320E"/>
    <w:rsid w:val="006E3A2C"/>
    <w:rsid w:val="006E4327"/>
    <w:rsid w:val="006E53EF"/>
    <w:rsid w:val="006E615A"/>
    <w:rsid w:val="006E70CB"/>
    <w:rsid w:val="006E737A"/>
    <w:rsid w:val="006E7D60"/>
    <w:rsid w:val="006F0CB4"/>
    <w:rsid w:val="006F1418"/>
    <w:rsid w:val="006F2AC3"/>
    <w:rsid w:val="006F306E"/>
    <w:rsid w:val="006F3C3C"/>
    <w:rsid w:val="006F455D"/>
    <w:rsid w:val="006F5F06"/>
    <w:rsid w:val="006F62FF"/>
    <w:rsid w:val="006F63EE"/>
    <w:rsid w:val="00700FDC"/>
    <w:rsid w:val="00701E61"/>
    <w:rsid w:val="00706FCC"/>
    <w:rsid w:val="00711549"/>
    <w:rsid w:val="00711E03"/>
    <w:rsid w:val="007129A1"/>
    <w:rsid w:val="00714254"/>
    <w:rsid w:val="00714B2D"/>
    <w:rsid w:val="0071511C"/>
    <w:rsid w:val="00715195"/>
    <w:rsid w:val="00715B7D"/>
    <w:rsid w:val="0072003A"/>
    <w:rsid w:val="00720268"/>
    <w:rsid w:val="007207F9"/>
    <w:rsid w:val="007218C1"/>
    <w:rsid w:val="00722CB2"/>
    <w:rsid w:val="0072417D"/>
    <w:rsid w:val="007242FE"/>
    <w:rsid w:val="00724E57"/>
    <w:rsid w:val="0072517B"/>
    <w:rsid w:val="00725752"/>
    <w:rsid w:val="0072590C"/>
    <w:rsid w:val="007261D7"/>
    <w:rsid w:val="0072713C"/>
    <w:rsid w:val="007303AF"/>
    <w:rsid w:val="007304E6"/>
    <w:rsid w:val="00731D20"/>
    <w:rsid w:val="00733FD1"/>
    <w:rsid w:val="00734A5A"/>
    <w:rsid w:val="00734F71"/>
    <w:rsid w:val="007364C0"/>
    <w:rsid w:val="007364E2"/>
    <w:rsid w:val="00736F80"/>
    <w:rsid w:val="00737065"/>
    <w:rsid w:val="007370B2"/>
    <w:rsid w:val="00740CF6"/>
    <w:rsid w:val="00741DF5"/>
    <w:rsid w:val="00744E39"/>
    <w:rsid w:val="007463AE"/>
    <w:rsid w:val="007466D1"/>
    <w:rsid w:val="007471C1"/>
    <w:rsid w:val="007528D8"/>
    <w:rsid w:val="00752C68"/>
    <w:rsid w:val="00753058"/>
    <w:rsid w:val="00753EDE"/>
    <w:rsid w:val="007540E1"/>
    <w:rsid w:val="007542A3"/>
    <w:rsid w:val="00756DD6"/>
    <w:rsid w:val="00757708"/>
    <w:rsid w:val="00757829"/>
    <w:rsid w:val="007604A5"/>
    <w:rsid w:val="00762648"/>
    <w:rsid w:val="00762BBC"/>
    <w:rsid w:val="00764689"/>
    <w:rsid w:val="007660AC"/>
    <w:rsid w:val="00766161"/>
    <w:rsid w:val="0077002A"/>
    <w:rsid w:val="00770A1C"/>
    <w:rsid w:val="00770B3C"/>
    <w:rsid w:val="007710CE"/>
    <w:rsid w:val="00771320"/>
    <w:rsid w:val="00772690"/>
    <w:rsid w:val="00772A9A"/>
    <w:rsid w:val="00773CE9"/>
    <w:rsid w:val="007749EC"/>
    <w:rsid w:val="00780976"/>
    <w:rsid w:val="00780A9B"/>
    <w:rsid w:val="00780C73"/>
    <w:rsid w:val="007815EE"/>
    <w:rsid w:val="00783188"/>
    <w:rsid w:val="0078524A"/>
    <w:rsid w:val="0078627F"/>
    <w:rsid w:val="00787859"/>
    <w:rsid w:val="00787A94"/>
    <w:rsid w:val="00787EF3"/>
    <w:rsid w:val="007902A4"/>
    <w:rsid w:val="007904EF"/>
    <w:rsid w:val="007911EA"/>
    <w:rsid w:val="00791205"/>
    <w:rsid w:val="00794F2D"/>
    <w:rsid w:val="0079760D"/>
    <w:rsid w:val="00797CD8"/>
    <w:rsid w:val="007A079C"/>
    <w:rsid w:val="007A0B6E"/>
    <w:rsid w:val="007A0EFB"/>
    <w:rsid w:val="007A0FE6"/>
    <w:rsid w:val="007A189D"/>
    <w:rsid w:val="007A53D4"/>
    <w:rsid w:val="007A6E3B"/>
    <w:rsid w:val="007A77D3"/>
    <w:rsid w:val="007B1E99"/>
    <w:rsid w:val="007B20CC"/>
    <w:rsid w:val="007B26D4"/>
    <w:rsid w:val="007B2D47"/>
    <w:rsid w:val="007B3897"/>
    <w:rsid w:val="007B433E"/>
    <w:rsid w:val="007B46AD"/>
    <w:rsid w:val="007B50C0"/>
    <w:rsid w:val="007B6366"/>
    <w:rsid w:val="007B6E0E"/>
    <w:rsid w:val="007B72E0"/>
    <w:rsid w:val="007B7A8A"/>
    <w:rsid w:val="007C0925"/>
    <w:rsid w:val="007C1D2F"/>
    <w:rsid w:val="007C1D31"/>
    <w:rsid w:val="007C296B"/>
    <w:rsid w:val="007C32AF"/>
    <w:rsid w:val="007C36E0"/>
    <w:rsid w:val="007C39F2"/>
    <w:rsid w:val="007C771C"/>
    <w:rsid w:val="007C7A97"/>
    <w:rsid w:val="007D08A5"/>
    <w:rsid w:val="007D1217"/>
    <w:rsid w:val="007D1323"/>
    <w:rsid w:val="007D14EA"/>
    <w:rsid w:val="007D1B2A"/>
    <w:rsid w:val="007D1FA2"/>
    <w:rsid w:val="007D33E8"/>
    <w:rsid w:val="007D478D"/>
    <w:rsid w:val="007D6346"/>
    <w:rsid w:val="007D6754"/>
    <w:rsid w:val="007D75D1"/>
    <w:rsid w:val="007D7F9E"/>
    <w:rsid w:val="007E0924"/>
    <w:rsid w:val="007E0FC5"/>
    <w:rsid w:val="007E17ED"/>
    <w:rsid w:val="007E1A30"/>
    <w:rsid w:val="007E1DD1"/>
    <w:rsid w:val="007E2D01"/>
    <w:rsid w:val="007E3B89"/>
    <w:rsid w:val="007E4206"/>
    <w:rsid w:val="007E5A3D"/>
    <w:rsid w:val="007E6488"/>
    <w:rsid w:val="007E67FC"/>
    <w:rsid w:val="007E693F"/>
    <w:rsid w:val="007F06DA"/>
    <w:rsid w:val="007F1F84"/>
    <w:rsid w:val="007F1F87"/>
    <w:rsid w:val="007F20AF"/>
    <w:rsid w:val="007F267E"/>
    <w:rsid w:val="007F2825"/>
    <w:rsid w:val="007F2844"/>
    <w:rsid w:val="007F2F01"/>
    <w:rsid w:val="007F3DA1"/>
    <w:rsid w:val="007F4F52"/>
    <w:rsid w:val="007F562A"/>
    <w:rsid w:val="007F7ED7"/>
    <w:rsid w:val="0080068B"/>
    <w:rsid w:val="008012A9"/>
    <w:rsid w:val="00801484"/>
    <w:rsid w:val="00802730"/>
    <w:rsid w:val="008034F3"/>
    <w:rsid w:val="00803B91"/>
    <w:rsid w:val="00804A3B"/>
    <w:rsid w:val="00804EC1"/>
    <w:rsid w:val="00805AC1"/>
    <w:rsid w:val="00806A6A"/>
    <w:rsid w:val="008075C6"/>
    <w:rsid w:val="00807B1D"/>
    <w:rsid w:val="008117FC"/>
    <w:rsid w:val="00812B00"/>
    <w:rsid w:val="00814290"/>
    <w:rsid w:val="00814550"/>
    <w:rsid w:val="008150C6"/>
    <w:rsid w:val="00815213"/>
    <w:rsid w:val="00820314"/>
    <w:rsid w:val="00820C73"/>
    <w:rsid w:val="00821792"/>
    <w:rsid w:val="008225FB"/>
    <w:rsid w:val="00823B00"/>
    <w:rsid w:val="008246CD"/>
    <w:rsid w:val="00825123"/>
    <w:rsid w:val="00825D85"/>
    <w:rsid w:val="00826E9B"/>
    <w:rsid w:val="00827D79"/>
    <w:rsid w:val="00830B39"/>
    <w:rsid w:val="00831B66"/>
    <w:rsid w:val="00832313"/>
    <w:rsid w:val="00832714"/>
    <w:rsid w:val="00832715"/>
    <w:rsid w:val="00832A5D"/>
    <w:rsid w:val="00832DBF"/>
    <w:rsid w:val="008353A7"/>
    <w:rsid w:val="00835815"/>
    <w:rsid w:val="008358C2"/>
    <w:rsid w:val="00835D7D"/>
    <w:rsid w:val="00835E5B"/>
    <w:rsid w:val="00837D37"/>
    <w:rsid w:val="0084014D"/>
    <w:rsid w:val="00841868"/>
    <w:rsid w:val="008421C4"/>
    <w:rsid w:val="008421FA"/>
    <w:rsid w:val="0084409A"/>
    <w:rsid w:val="0084630C"/>
    <w:rsid w:val="008463B5"/>
    <w:rsid w:val="008464D2"/>
    <w:rsid w:val="008501C3"/>
    <w:rsid w:val="00851483"/>
    <w:rsid w:val="0085323C"/>
    <w:rsid w:val="008544F2"/>
    <w:rsid w:val="00854ED2"/>
    <w:rsid w:val="00855EC4"/>
    <w:rsid w:val="008561BF"/>
    <w:rsid w:val="00856912"/>
    <w:rsid w:val="0085740C"/>
    <w:rsid w:val="00857CD8"/>
    <w:rsid w:val="00860F4A"/>
    <w:rsid w:val="008628D3"/>
    <w:rsid w:val="008629DD"/>
    <w:rsid w:val="00863233"/>
    <w:rsid w:val="008635D5"/>
    <w:rsid w:val="00863BBA"/>
    <w:rsid w:val="00864D6D"/>
    <w:rsid w:val="008651FE"/>
    <w:rsid w:val="00870555"/>
    <w:rsid w:val="00870E30"/>
    <w:rsid w:val="00871306"/>
    <w:rsid w:val="008718F8"/>
    <w:rsid w:val="00871A1F"/>
    <w:rsid w:val="0087450D"/>
    <w:rsid w:val="00875952"/>
    <w:rsid w:val="00876485"/>
    <w:rsid w:val="00876DD1"/>
    <w:rsid w:val="008773C7"/>
    <w:rsid w:val="00877559"/>
    <w:rsid w:val="00877B3B"/>
    <w:rsid w:val="008800EF"/>
    <w:rsid w:val="00882D4E"/>
    <w:rsid w:val="00883301"/>
    <w:rsid w:val="00883ADA"/>
    <w:rsid w:val="00885B76"/>
    <w:rsid w:val="00885C26"/>
    <w:rsid w:val="00885F5B"/>
    <w:rsid w:val="0088642D"/>
    <w:rsid w:val="008910DB"/>
    <w:rsid w:val="00897CBC"/>
    <w:rsid w:val="008A1377"/>
    <w:rsid w:val="008A163A"/>
    <w:rsid w:val="008A22A6"/>
    <w:rsid w:val="008A25AE"/>
    <w:rsid w:val="008A6608"/>
    <w:rsid w:val="008B06D5"/>
    <w:rsid w:val="008B1EBC"/>
    <w:rsid w:val="008B1F11"/>
    <w:rsid w:val="008B243F"/>
    <w:rsid w:val="008B3E32"/>
    <w:rsid w:val="008B433E"/>
    <w:rsid w:val="008B45E0"/>
    <w:rsid w:val="008B5028"/>
    <w:rsid w:val="008B5716"/>
    <w:rsid w:val="008B5E19"/>
    <w:rsid w:val="008B6F46"/>
    <w:rsid w:val="008C001C"/>
    <w:rsid w:val="008C10E5"/>
    <w:rsid w:val="008C3118"/>
    <w:rsid w:val="008C36C3"/>
    <w:rsid w:val="008C3CFB"/>
    <w:rsid w:val="008C53DA"/>
    <w:rsid w:val="008C5839"/>
    <w:rsid w:val="008C6D58"/>
    <w:rsid w:val="008C6D87"/>
    <w:rsid w:val="008C7A1C"/>
    <w:rsid w:val="008C7F75"/>
    <w:rsid w:val="008D062C"/>
    <w:rsid w:val="008D0B52"/>
    <w:rsid w:val="008D0BDD"/>
    <w:rsid w:val="008D1080"/>
    <w:rsid w:val="008D29DD"/>
    <w:rsid w:val="008D2F02"/>
    <w:rsid w:val="008D3022"/>
    <w:rsid w:val="008D36E8"/>
    <w:rsid w:val="008D3B17"/>
    <w:rsid w:val="008D4670"/>
    <w:rsid w:val="008D5112"/>
    <w:rsid w:val="008D5765"/>
    <w:rsid w:val="008D6B59"/>
    <w:rsid w:val="008D7A14"/>
    <w:rsid w:val="008E21F8"/>
    <w:rsid w:val="008E2E4F"/>
    <w:rsid w:val="008E3C09"/>
    <w:rsid w:val="008E4D38"/>
    <w:rsid w:val="008E4FB7"/>
    <w:rsid w:val="008E511E"/>
    <w:rsid w:val="008F0889"/>
    <w:rsid w:val="008F0BBC"/>
    <w:rsid w:val="008F2595"/>
    <w:rsid w:val="008F4B0C"/>
    <w:rsid w:val="008F6C24"/>
    <w:rsid w:val="0090001F"/>
    <w:rsid w:val="00900EDD"/>
    <w:rsid w:val="00901741"/>
    <w:rsid w:val="0090242B"/>
    <w:rsid w:val="00903089"/>
    <w:rsid w:val="00903600"/>
    <w:rsid w:val="009036C4"/>
    <w:rsid w:val="00904159"/>
    <w:rsid w:val="00904FCC"/>
    <w:rsid w:val="00906596"/>
    <w:rsid w:val="009071FB"/>
    <w:rsid w:val="009079D1"/>
    <w:rsid w:val="00907DEF"/>
    <w:rsid w:val="00912431"/>
    <w:rsid w:val="00913DF7"/>
    <w:rsid w:val="009160D4"/>
    <w:rsid w:val="009206B3"/>
    <w:rsid w:val="0092087C"/>
    <w:rsid w:val="0092114D"/>
    <w:rsid w:val="00921A19"/>
    <w:rsid w:val="00921D6E"/>
    <w:rsid w:val="00922CE6"/>
    <w:rsid w:val="0092438F"/>
    <w:rsid w:val="00924859"/>
    <w:rsid w:val="009249CB"/>
    <w:rsid w:val="00924FE5"/>
    <w:rsid w:val="00925239"/>
    <w:rsid w:val="009258CE"/>
    <w:rsid w:val="00925DD5"/>
    <w:rsid w:val="00926161"/>
    <w:rsid w:val="00926489"/>
    <w:rsid w:val="009269FE"/>
    <w:rsid w:val="00927BD4"/>
    <w:rsid w:val="009302D1"/>
    <w:rsid w:val="009321CF"/>
    <w:rsid w:val="00932F19"/>
    <w:rsid w:val="00934128"/>
    <w:rsid w:val="00934B8F"/>
    <w:rsid w:val="00934E6B"/>
    <w:rsid w:val="00935BEB"/>
    <w:rsid w:val="0093606F"/>
    <w:rsid w:val="00936A4F"/>
    <w:rsid w:val="00940E5D"/>
    <w:rsid w:val="0094167C"/>
    <w:rsid w:val="0094262B"/>
    <w:rsid w:val="0094277B"/>
    <w:rsid w:val="00944CFD"/>
    <w:rsid w:val="00946143"/>
    <w:rsid w:val="0094696F"/>
    <w:rsid w:val="009518DD"/>
    <w:rsid w:val="009519C4"/>
    <w:rsid w:val="00951E15"/>
    <w:rsid w:val="00951E19"/>
    <w:rsid w:val="00952DAF"/>
    <w:rsid w:val="0095330C"/>
    <w:rsid w:val="009542CD"/>
    <w:rsid w:val="00954B5F"/>
    <w:rsid w:val="00954C85"/>
    <w:rsid w:val="00955D4D"/>
    <w:rsid w:val="00957B1D"/>
    <w:rsid w:val="0096071E"/>
    <w:rsid w:val="00961213"/>
    <w:rsid w:val="009622D3"/>
    <w:rsid w:val="009625B2"/>
    <w:rsid w:val="00962DBC"/>
    <w:rsid w:val="009635DE"/>
    <w:rsid w:val="00963E2E"/>
    <w:rsid w:val="00965BBD"/>
    <w:rsid w:val="009660E0"/>
    <w:rsid w:val="00967CF5"/>
    <w:rsid w:val="00970B8B"/>
    <w:rsid w:val="00970EE8"/>
    <w:rsid w:val="0097201D"/>
    <w:rsid w:val="009746BD"/>
    <w:rsid w:val="009747B6"/>
    <w:rsid w:val="009749AB"/>
    <w:rsid w:val="00975253"/>
    <w:rsid w:val="00975A97"/>
    <w:rsid w:val="00976E12"/>
    <w:rsid w:val="009776EC"/>
    <w:rsid w:val="0097797A"/>
    <w:rsid w:val="00977E5D"/>
    <w:rsid w:val="00981B66"/>
    <w:rsid w:val="00983E66"/>
    <w:rsid w:val="00984D5A"/>
    <w:rsid w:val="009879B2"/>
    <w:rsid w:val="009901E7"/>
    <w:rsid w:val="00990439"/>
    <w:rsid w:val="009904F1"/>
    <w:rsid w:val="009915F0"/>
    <w:rsid w:val="009932AF"/>
    <w:rsid w:val="00993D32"/>
    <w:rsid w:val="0099435C"/>
    <w:rsid w:val="00994876"/>
    <w:rsid w:val="00995064"/>
    <w:rsid w:val="009964CD"/>
    <w:rsid w:val="00996732"/>
    <w:rsid w:val="00997227"/>
    <w:rsid w:val="00997262"/>
    <w:rsid w:val="00997608"/>
    <w:rsid w:val="009A0CEF"/>
    <w:rsid w:val="009A0E43"/>
    <w:rsid w:val="009A127F"/>
    <w:rsid w:val="009A2549"/>
    <w:rsid w:val="009A2E4B"/>
    <w:rsid w:val="009A6037"/>
    <w:rsid w:val="009A66D6"/>
    <w:rsid w:val="009A68F8"/>
    <w:rsid w:val="009B0071"/>
    <w:rsid w:val="009B1570"/>
    <w:rsid w:val="009B15F3"/>
    <w:rsid w:val="009B1A11"/>
    <w:rsid w:val="009B4D66"/>
    <w:rsid w:val="009B4F8D"/>
    <w:rsid w:val="009B5D6A"/>
    <w:rsid w:val="009B60A2"/>
    <w:rsid w:val="009B6346"/>
    <w:rsid w:val="009B63E2"/>
    <w:rsid w:val="009B6F32"/>
    <w:rsid w:val="009B765E"/>
    <w:rsid w:val="009C08B3"/>
    <w:rsid w:val="009C2160"/>
    <w:rsid w:val="009C2339"/>
    <w:rsid w:val="009C34C0"/>
    <w:rsid w:val="009C3A51"/>
    <w:rsid w:val="009C3B72"/>
    <w:rsid w:val="009C5C38"/>
    <w:rsid w:val="009C675B"/>
    <w:rsid w:val="009C6D4A"/>
    <w:rsid w:val="009D0C48"/>
    <w:rsid w:val="009D0F75"/>
    <w:rsid w:val="009D13B2"/>
    <w:rsid w:val="009D3DFA"/>
    <w:rsid w:val="009D4757"/>
    <w:rsid w:val="009D4FB7"/>
    <w:rsid w:val="009D60B9"/>
    <w:rsid w:val="009D6604"/>
    <w:rsid w:val="009D6E9B"/>
    <w:rsid w:val="009E0592"/>
    <w:rsid w:val="009E06C5"/>
    <w:rsid w:val="009E0A45"/>
    <w:rsid w:val="009E11F8"/>
    <w:rsid w:val="009E1C37"/>
    <w:rsid w:val="009E2191"/>
    <w:rsid w:val="009E23DE"/>
    <w:rsid w:val="009E2849"/>
    <w:rsid w:val="009E28F1"/>
    <w:rsid w:val="009E339E"/>
    <w:rsid w:val="009E4E08"/>
    <w:rsid w:val="009E5419"/>
    <w:rsid w:val="009E56AF"/>
    <w:rsid w:val="009E56DC"/>
    <w:rsid w:val="009E59E1"/>
    <w:rsid w:val="009E61D2"/>
    <w:rsid w:val="009E63EB"/>
    <w:rsid w:val="009F19E2"/>
    <w:rsid w:val="009F1EC2"/>
    <w:rsid w:val="009F288B"/>
    <w:rsid w:val="009F2A13"/>
    <w:rsid w:val="009F315A"/>
    <w:rsid w:val="009F3314"/>
    <w:rsid w:val="009F469B"/>
    <w:rsid w:val="009F58D7"/>
    <w:rsid w:val="009F5C6F"/>
    <w:rsid w:val="009F6D32"/>
    <w:rsid w:val="009F706F"/>
    <w:rsid w:val="009F73DB"/>
    <w:rsid w:val="009F7A76"/>
    <w:rsid w:val="00A009D4"/>
    <w:rsid w:val="00A00E45"/>
    <w:rsid w:val="00A012CF"/>
    <w:rsid w:val="00A017ED"/>
    <w:rsid w:val="00A02056"/>
    <w:rsid w:val="00A03DCA"/>
    <w:rsid w:val="00A04428"/>
    <w:rsid w:val="00A051EB"/>
    <w:rsid w:val="00A0525A"/>
    <w:rsid w:val="00A05D3C"/>
    <w:rsid w:val="00A07292"/>
    <w:rsid w:val="00A1053A"/>
    <w:rsid w:val="00A10F03"/>
    <w:rsid w:val="00A1167F"/>
    <w:rsid w:val="00A1188C"/>
    <w:rsid w:val="00A11BDB"/>
    <w:rsid w:val="00A11BEE"/>
    <w:rsid w:val="00A124B8"/>
    <w:rsid w:val="00A13F70"/>
    <w:rsid w:val="00A13F80"/>
    <w:rsid w:val="00A14802"/>
    <w:rsid w:val="00A1523E"/>
    <w:rsid w:val="00A15422"/>
    <w:rsid w:val="00A15D03"/>
    <w:rsid w:val="00A161FB"/>
    <w:rsid w:val="00A1678D"/>
    <w:rsid w:val="00A204C1"/>
    <w:rsid w:val="00A20FD4"/>
    <w:rsid w:val="00A21CBF"/>
    <w:rsid w:val="00A23926"/>
    <w:rsid w:val="00A24196"/>
    <w:rsid w:val="00A245E9"/>
    <w:rsid w:val="00A252F8"/>
    <w:rsid w:val="00A25874"/>
    <w:rsid w:val="00A25BF1"/>
    <w:rsid w:val="00A26104"/>
    <w:rsid w:val="00A26496"/>
    <w:rsid w:val="00A27535"/>
    <w:rsid w:val="00A3327E"/>
    <w:rsid w:val="00A339CF"/>
    <w:rsid w:val="00A35389"/>
    <w:rsid w:val="00A35711"/>
    <w:rsid w:val="00A36640"/>
    <w:rsid w:val="00A36B87"/>
    <w:rsid w:val="00A36F4A"/>
    <w:rsid w:val="00A36FAA"/>
    <w:rsid w:val="00A3782E"/>
    <w:rsid w:val="00A41100"/>
    <w:rsid w:val="00A4134D"/>
    <w:rsid w:val="00A43240"/>
    <w:rsid w:val="00A433CD"/>
    <w:rsid w:val="00A43A11"/>
    <w:rsid w:val="00A43E45"/>
    <w:rsid w:val="00A44F21"/>
    <w:rsid w:val="00A44FB1"/>
    <w:rsid w:val="00A47A7D"/>
    <w:rsid w:val="00A5097A"/>
    <w:rsid w:val="00A51761"/>
    <w:rsid w:val="00A53472"/>
    <w:rsid w:val="00A543BE"/>
    <w:rsid w:val="00A54566"/>
    <w:rsid w:val="00A57043"/>
    <w:rsid w:val="00A576E0"/>
    <w:rsid w:val="00A57881"/>
    <w:rsid w:val="00A57B39"/>
    <w:rsid w:val="00A57D61"/>
    <w:rsid w:val="00A6349B"/>
    <w:rsid w:val="00A639C6"/>
    <w:rsid w:val="00A67187"/>
    <w:rsid w:val="00A73613"/>
    <w:rsid w:val="00A759CE"/>
    <w:rsid w:val="00A769FD"/>
    <w:rsid w:val="00A80750"/>
    <w:rsid w:val="00A80D21"/>
    <w:rsid w:val="00A8218B"/>
    <w:rsid w:val="00A82560"/>
    <w:rsid w:val="00A8290B"/>
    <w:rsid w:val="00A859D7"/>
    <w:rsid w:val="00A85BBC"/>
    <w:rsid w:val="00A868D9"/>
    <w:rsid w:val="00A872A6"/>
    <w:rsid w:val="00A903C0"/>
    <w:rsid w:val="00A91428"/>
    <w:rsid w:val="00A91C24"/>
    <w:rsid w:val="00A9372C"/>
    <w:rsid w:val="00A93F38"/>
    <w:rsid w:val="00A94D9F"/>
    <w:rsid w:val="00A9504F"/>
    <w:rsid w:val="00A9654F"/>
    <w:rsid w:val="00A96FFA"/>
    <w:rsid w:val="00A97000"/>
    <w:rsid w:val="00A977A9"/>
    <w:rsid w:val="00AA1658"/>
    <w:rsid w:val="00AA235C"/>
    <w:rsid w:val="00AA265C"/>
    <w:rsid w:val="00AA2A10"/>
    <w:rsid w:val="00AA3132"/>
    <w:rsid w:val="00AA361F"/>
    <w:rsid w:val="00AA43AC"/>
    <w:rsid w:val="00AA54E9"/>
    <w:rsid w:val="00AA586A"/>
    <w:rsid w:val="00AA5D27"/>
    <w:rsid w:val="00AA5D66"/>
    <w:rsid w:val="00AA6425"/>
    <w:rsid w:val="00AB029E"/>
    <w:rsid w:val="00AB0992"/>
    <w:rsid w:val="00AB0B7E"/>
    <w:rsid w:val="00AB0E5A"/>
    <w:rsid w:val="00AB10DD"/>
    <w:rsid w:val="00AB1DC8"/>
    <w:rsid w:val="00AB35B5"/>
    <w:rsid w:val="00AB3B95"/>
    <w:rsid w:val="00AB521E"/>
    <w:rsid w:val="00AC13E9"/>
    <w:rsid w:val="00AC140E"/>
    <w:rsid w:val="00AC29EF"/>
    <w:rsid w:val="00AC4965"/>
    <w:rsid w:val="00AC52D0"/>
    <w:rsid w:val="00AC57C3"/>
    <w:rsid w:val="00AC650F"/>
    <w:rsid w:val="00AC6A0B"/>
    <w:rsid w:val="00AD0208"/>
    <w:rsid w:val="00AD0726"/>
    <w:rsid w:val="00AD0C2A"/>
    <w:rsid w:val="00AD1D08"/>
    <w:rsid w:val="00AD1EF7"/>
    <w:rsid w:val="00AD1F31"/>
    <w:rsid w:val="00AD2066"/>
    <w:rsid w:val="00AD23F6"/>
    <w:rsid w:val="00AD2697"/>
    <w:rsid w:val="00AD4069"/>
    <w:rsid w:val="00AD440B"/>
    <w:rsid w:val="00AD54E1"/>
    <w:rsid w:val="00AD631F"/>
    <w:rsid w:val="00AD65A5"/>
    <w:rsid w:val="00AD65FA"/>
    <w:rsid w:val="00AE03CB"/>
    <w:rsid w:val="00AE1346"/>
    <w:rsid w:val="00AE18B6"/>
    <w:rsid w:val="00AE56AC"/>
    <w:rsid w:val="00AE74B5"/>
    <w:rsid w:val="00AF02F2"/>
    <w:rsid w:val="00AF0647"/>
    <w:rsid w:val="00AF16D3"/>
    <w:rsid w:val="00AF3718"/>
    <w:rsid w:val="00AF3835"/>
    <w:rsid w:val="00AF38B5"/>
    <w:rsid w:val="00AF3C00"/>
    <w:rsid w:val="00AF3F7B"/>
    <w:rsid w:val="00AF4345"/>
    <w:rsid w:val="00AF4F3D"/>
    <w:rsid w:val="00AF63C9"/>
    <w:rsid w:val="00AF6461"/>
    <w:rsid w:val="00AF792D"/>
    <w:rsid w:val="00AF7CD0"/>
    <w:rsid w:val="00AF7DBF"/>
    <w:rsid w:val="00B01663"/>
    <w:rsid w:val="00B018DA"/>
    <w:rsid w:val="00B01A0D"/>
    <w:rsid w:val="00B022C1"/>
    <w:rsid w:val="00B05989"/>
    <w:rsid w:val="00B05C38"/>
    <w:rsid w:val="00B060EA"/>
    <w:rsid w:val="00B10D2A"/>
    <w:rsid w:val="00B11861"/>
    <w:rsid w:val="00B1191E"/>
    <w:rsid w:val="00B12B4D"/>
    <w:rsid w:val="00B139EE"/>
    <w:rsid w:val="00B1538C"/>
    <w:rsid w:val="00B15626"/>
    <w:rsid w:val="00B161AF"/>
    <w:rsid w:val="00B1670E"/>
    <w:rsid w:val="00B2075E"/>
    <w:rsid w:val="00B2188C"/>
    <w:rsid w:val="00B2224F"/>
    <w:rsid w:val="00B22B09"/>
    <w:rsid w:val="00B22B2B"/>
    <w:rsid w:val="00B24065"/>
    <w:rsid w:val="00B24698"/>
    <w:rsid w:val="00B258C0"/>
    <w:rsid w:val="00B25DA2"/>
    <w:rsid w:val="00B26023"/>
    <w:rsid w:val="00B26D54"/>
    <w:rsid w:val="00B27BC9"/>
    <w:rsid w:val="00B30EC2"/>
    <w:rsid w:val="00B35436"/>
    <w:rsid w:val="00B36855"/>
    <w:rsid w:val="00B37D2F"/>
    <w:rsid w:val="00B406FC"/>
    <w:rsid w:val="00B4139F"/>
    <w:rsid w:val="00B41C03"/>
    <w:rsid w:val="00B41C80"/>
    <w:rsid w:val="00B42548"/>
    <w:rsid w:val="00B42775"/>
    <w:rsid w:val="00B430BC"/>
    <w:rsid w:val="00B4340A"/>
    <w:rsid w:val="00B43EBA"/>
    <w:rsid w:val="00B458EE"/>
    <w:rsid w:val="00B45BA9"/>
    <w:rsid w:val="00B46187"/>
    <w:rsid w:val="00B46410"/>
    <w:rsid w:val="00B4695C"/>
    <w:rsid w:val="00B53837"/>
    <w:rsid w:val="00B54137"/>
    <w:rsid w:val="00B5473F"/>
    <w:rsid w:val="00B54A8B"/>
    <w:rsid w:val="00B56828"/>
    <w:rsid w:val="00B60C6B"/>
    <w:rsid w:val="00B62174"/>
    <w:rsid w:val="00B639DF"/>
    <w:rsid w:val="00B63EE3"/>
    <w:rsid w:val="00B643A7"/>
    <w:rsid w:val="00B6444A"/>
    <w:rsid w:val="00B64CA0"/>
    <w:rsid w:val="00B65466"/>
    <w:rsid w:val="00B66F8F"/>
    <w:rsid w:val="00B671C5"/>
    <w:rsid w:val="00B67B36"/>
    <w:rsid w:val="00B67EA7"/>
    <w:rsid w:val="00B701BC"/>
    <w:rsid w:val="00B704E4"/>
    <w:rsid w:val="00B70F69"/>
    <w:rsid w:val="00B712B7"/>
    <w:rsid w:val="00B716F7"/>
    <w:rsid w:val="00B7348E"/>
    <w:rsid w:val="00B7553B"/>
    <w:rsid w:val="00B76C4C"/>
    <w:rsid w:val="00B774A9"/>
    <w:rsid w:val="00B80492"/>
    <w:rsid w:val="00B82253"/>
    <w:rsid w:val="00B822DB"/>
    <w:rsid w:val="00B845F4"/>
    <w:rsid w:val="00B85D02"/>
    <w:rsid w:val="00B863F5"/>
    <w:rsid w:val="00B86AFE"/>
    <w:rsid w:val="00B90BF0"/>
    <w:rsid w:val="00B91DB5"/>
    <w:rsid w:val="00B9336D"/>
    <w:rsid w:val="00B93712"/>
    <w:rsid w:val="00B94803"/>
    <w:rsid w:val="00B954E0"/>
    <w:rsid w:val="00B9633B"/>
    <w:rsid w:val="00B966A3"/>
    <w:rsid w:val="00B96817"/>
    <w:rsid w:val="00B977A6"/>
    <w:rsid w:val="00BA05DC"/>
    <w:rsid w:val="00BA2117"/>
    <w:rsid w:val="00BA2379"/>
    <w:rsid w:val="00BA2760"/>
    <w:rsid w:val="00BA3393"/>
    <w:rsid w:val="00BA442E"/>
    <w:rsid w:val="00BA4753"/>
    <w:rsid w:val="00BA68E1"/>
    <w:rsid w:val="00BA6DEA"/>
    <w:rsid w:val="00BA729C"/>
    <w:rsid w:val="00BB0355"/>
    <w:rsid w:val="00BB0C21"/>
    <w:rsid w:val="00BB1080"/>
    <w:rsid w:val="00BB10F4"/>
    <w:rsid w:val="00BB145E"/>
    <w:rsid w:val="00BB1CA4"/>
    <w:rsid w:val="00BB33B3"/>
    <w:rsid w:val="00BB415D"/>
    <w:rsid w:val="00BB605A"/>
    <w:rsid w:val="00BB656C"/>
    <w:rsid w:val="00BB715F"/>
    <w:rsid w:val="00BB7F7C"/>
    <w:rsid w:val="00BC098E"/>
    <w:rsid w:val="00BC2214"/>
    <w:rsid w:val="00BC241E"/>
    <w:rsid w:val="00BC5A3D"/>
    <w:rsid w:val="00BD0251"/>
    <w:rsid w:val="00BD1FBB"/>
    <w:rsid w:val="00BD21A6"/>
    <w:rsid w:val="00BD29E8"/>
    <w:rsid w:val="00BD2F33"/>
    <w:rsid w:val="00BD5A8C"/>
    <w:rsid w:val="00BD68D3"/>
    <w:rsid w:val="00BD6B51"/>
    <w:rsid w:val="00BD7AD8"/>
    <w:rsid w:val="00BD7F6C"/>
    <w:rsid w:val="00BE040A"/>
    <w:rsid w:val="00BE112B"/>
    <w:rsid w:val="00BE282E"/>
    <w:rsid w:val="00BE2D4B"/>
    <w:rsid w:val="00BE590D"/>
    <w:rsid w:val="00BE5E30"/>
    <w:rsid w:val="00BF04EF"/>
    <w:rsid w:val="00BF1059"/>
    <w:rsid w:val="00BF1EEC"/>
    <w:rsid w:val="00BF25B2"/>
    <w:rsid w:val="00BF38C1"/>
    <w:rsid w:val="00BF66D9"/>
    <w:rsid w:val="00BF69AF"/>
    <w:rsid w:val="00BF7DE2"/>
    <w:rsid w:val="00C003A0"/>
    <w:rsid w:val="00C00F79"/>
    <w:rsid w:val="00C010EB"/>
    <w:rsid w:val="00C02158"/>
    <w:rsid w:val="00C0392D"/>
    <w:rsid w:val="00C04D5C"/>
    <w:rsid w:val="00C0671A"/>
    <w:rsid w:val="00C06D1D"/>
    <w:rsid w:val="00C07D9A"/>
    <w:rsid w:val="00C1129C"/>
    <w:rsid w:val="00C1269A"/>
    <w:rsid w:val="00C13FC1"/>
    <w:rsid w:val="00C16C35"/>
    <w:rsid w:val="00C202A2"/>
    <w:rsid w:val="00C21310"/>
    <w:rsid w:val="00C219AA"/>
    <w:rsid w:val="00C23CA8"/>
    <w:rsid w:val="00C2633B"/>
    <w:rsid w:val="00C26A6E"/>
    <w:rsid w:val="00C26ACB"/>
    <w:rsid w:val="00C26EDD"/>
    <w:rsid w:val="00C32926"/>
    <w:rsid w:val="00C33953"/>
    <w:rsid w:val="00C34971"/>
    <w:rsid w:val="00C34D10"/>
    <w:rsid w:val="00C34DFC"/>
    <w:rsid w:val="00C36F64"/>
    <w:rsid w:val="00C379D7"/>
    <w:rsid w:val="00C37B8A"/>
    <w:rsid w:val="00C41126"/>
    <w:rsid w:val="00C42D9C"/>
    <w:rsid w:val="00C4448F"/>
    <w:rsid w:val="00C478A1"/>
    <w:rsid w:val="00C50475"/>
    <w:rsid w:val="00C51C5F"/>
    <w:rsid w:val="00C5309A"/>
    <w:rsid w:val="00C546DD"/>
    <w:rsid w:val="00C546E8"/>
    <w:rsid w:val="00C55120"/>
    <w:rsid w:val="00C557FC"/>
    <w:rsid w:val="00C56017"/>
    <w:rsid w:val="00C56821"/>
    <w:rsid w:val="00C56AB4"/>
    <w:rsid w:val="00C56B09"/>
    <w:rsid w:val="00C570F1"/>
    <w:rsid w:val="00C571C9"/>
    <w:rsid w:val="00C579EF"/>
    <w:rsid w:val="00C60A05"/>
    <w:rsid w:val="00C60D3E"/>
    <w:rsid w:val="00C61945"/>
    <w:rsid w:val="00C62E52"/>
    <w:rsid w:val="00C649C1"/>
    <w:rsid w:val="00C6605C"/>
    <w:rsid w:val="00C66A73"/>
    <w:rsid w:val="00C6782C"/>
    <w:rsid w:val="00C67BF0"/>
    <w:rsid w:val="00C709A3"/>
    <w:rsid w:val="00C71009"/>
    <w:rsid w:val="00C71708"/>
    <w:rsid w:val="00C71ABB"/>
    <w:rsid w:val="00C72EA4"/>
    <w:rsid w:val="00C73FAC"/>
    <w:rsid w:val="00C74756"/>
    <w:rsid w:val="00C75B2D"/>
    <w:rsid w:val="00C75DCC"/>
    <w:rsid w:val="00C764F0"/>
    <w:rsid w:val="00C7656D"/>
    <w:rsid w:val="00C76A0E"/>
    <w:rsid w:val="00C76E33"/>
    <w:rsid w:val="00C76EF2"/>
    <w:rsid w:val="00C7762E"/>
    <w:rsid w:val="00C77D95"/>
    <w:rsid w:val="00C77F17"/>
    <w:rsid w:val="00C81505"/>
    <w:rsid w:val="00C8327B"/>
    <w:rsid w:val="00C84C4F"/>
    <w:rsid w:val="00C85573"/>
    <w:rsid w:val="00C85B15"/>
    <w:rsid w:val="00C87579"/>
    <w:rsid w:val="00C93846"/>
    <w:rsid w:val="00C9450A"/>
    <w:rsid w:val="00C94A19"/>
    <w:rsid w:val="00C9513C"/>
    <w:rsid w:val="00C96123"/>
    <w:rsid w:val="00C96F08"/>
    <w:rsid w:val="00C97385"/>
    <w:rsid w:val="00C97F3D"/>
    <w:rsid w:val="00CA087D"/>
    <w:rsid w:val="00CA1892"/>
    <w:rsid w:val="00CA1F4B"/>
    <w:rsid w:val="00CA20F7"/>
    <w:rsid w:val="00CA2F88"/>
    <w:rsid w:val="00CA3602"/>
    <w:rsid w:val="00CA47E4"/>
    <w:rsid w:val="00CA48E2"/>
    <w:rsid w:val="00CA5591"/>
    <w:rsid w:val="00CA6D97"/>
    <w:rsid w:val="00CA72B4"/>
    <w:rsid w:val="00CB1EDA"/>
    <w:rsid w:val="00CB205A"/>
    <w:rsid w:val="00CB3892"/>
    <w:rsid w:val="00CB49BA"/>
    <w:rsid w:val="00CB51F8"/>
    <w:rsid w:val="00CB56A6"/>
    <w:rsid w:val="00CB6325"/>
    <w:rsid w:val="00CC0218"/>
    <w:rsid w:val="00CC02E6"/>
    <w:rsid w:val="00CC1CC3"/>
    <w:rsid w:val="00CC24A6"/>
    <w:rsid w:val="00CC2AA7"/>
    <w:rsid w:val="00CC2D9E"/>
    <w:rsid w:val="00CC5516"/>
    <w:rsid w:val="00CC5ABD"/>
    <w:rsid w:val="00CC61CA"/>
    <w:rsid w:val="00CC6610"/>
    <w:rsid w:val="00CC73A2"/>
    <w:rsid w:val="00CD00EA"/>
    <w:rsid w:val="00CD014E"/>
    <w:rsid w:val="00CD260C"/>
    <w:rsid w:val="00CD3FF1"/>
    <w:rsid w:val="00CD5599"/>
    <w:rsid w:val="00CD5F69"/>
    <w:rsid w:val="00CD6BC6"/>
    <w:rsid w:val="00CE146B"/>
    <w:rsid w:val="00CE1CA4"/>
    <w:rsid w:val="00CE20FE"/>
    <w:rsid w:val="00CE2F49"/>
    <w:rsid w:val="00CE306E"/>
    <w:rsid w:val="00CE672D"/>
    <w:rsid w:val="00CE6E74"/>
    <w:rsid w:val="00CE7651"/>
    <w:rsid w:val="00CE7850"/>
    <w:rsid w:val="00CE798A"/>
    <w:rsid w:val="00CE7A6F"/>
    <w:rsid w:val="00CE7B76"/>
    <w:rsid w:val="00CE7F8C"/>
    <w:rsid w:val="00CF2ACC"/>
    <w:rsid w:val="00CF3A3C"/>
    <w:rsid w:val="00CF3DF4"/>
    <w:rsid w:val="00CF4353"/>
    <w:rsid w:val="00CF462C"/>
    <w:rsid w:val="00CF4766"/>
    <w:rsid w:val="00CF4D55"/>
    <w:rsid w:val="00CF5448"/>
    <w:rsid w:val="00CF5541"/>
    <w:rsid w:val="00CF5592"/>
    <w:rsid w:val="00CF5E5C"/>
    <w:rsid w:val="00CF657E"/>
    <w:rsid w:val="00CF68C4"/>
    <w:rsid w:val="00CF761D"/>
    <w:rsid w:val="00CF7EF9"/>
    <w:rsid w:val="00D0179E"/>
    <w:rsid w:val="00D01A4B"/>
    <w:rsid w:val="00D03D96"/>
    <w:rsid w:val="00D04E2D"/>
    <w:rsid w:val="00D06702"/>
    <w:rsid w:val="00D06F34"/>
    <w:rsid w:val="00D13060"/>
    <w:rsid w:val="00D14684"/>
    <w:rsid w:val="00D14AF5"/>
    <w:rsid w:val="00D14D93"/>
    <w:rsid w:val="00D15772"/>
    <w:rsid w:val="00D165F3"/>
    <w:rsid w:val="00D1732C"/>
    <w:rsid w:val="00D208A3"/>
    <w:rsid w:val="00D239E8"/>
    <w:rsid w:val="00D23B1B"/>
    <w:rsid w:val="00D23CBC"/>
    <w:rsid w:val="00D2488C"/>
    <w:rsid w:val="00D2596A"/>
    <w:rsid w:val="00D26A01"/>
    <w:rsid w:val="00D26C80"/>
    <w:rsid w:val="00D30E0C"/>
    <w:rsid w:val="00D31205"/>
    <w:rsid w:val="00D31D8D"/>
    <w:rsid w:val="00D32F4F"/>
    <w:rsid w:val="00D37C86"/>
    <w:rsid w:val="00D4267F"/>
    <w:rsid w:val="00D4364D"/>
    <w:rsid w:val="00D44015"/>
    <w:rsid w:val="00D4510D"/>
    <w:rsid w:val="00D45F58"/>
    <w:rsid w:val="00D4621D"/>
    <w:rsid w:val="00D47080"/>
    <w:rsid w:val="00D47369"/>
    <w:rsid w:val="00D47888"/>
    <w:rsid w:val="00D50394"/>
    <w:rsid w:val="00D50E13"/>
    <w:rsid w:val="00D517F5"/>
    <w:rsid w:val="00D52721"/>
    <w:rsid w:val="00D531AF"/>
    <w:rsid w:val="00D54535"/>
    <w:rsid w:val="00D54907"/>
    <w:rsid w:val="00D54B6C"/>
    <w:rsid w:val="00D57061"/>
    <w:rsid w:val="00D57274"/>
    <w:rsid w:val="00D60543"/>
    <w:rsid w:val="00D631D6"/>
    <w:rsid w:val="00D65B42"/>
    <w:rsid w:val="00D66476"/>
    <w:rsid w:val="00D66C58"/>
    <w:rsid w:val="00D703C7"/>
    <w:rsid w:val="00D70616"/>
    <w:rsid w:val="00D71171"/>
    <w:rsid w:val="00D71A71"/>
    <w:rsid w:val="00D7276D"/>
    <w:rsid w:val="00D72D13"/>
    <w:rsid w:val="00D75FA0"/>
    <w:rsid w:val="00D807B7"/>
    <w:rsid w:val="00D80CC2"/>
    <w:rsid w:val="00D81E20"/>
    <w:rsid w:val="00D823E5"/>
    <w:rsid w:val="00D83CF4"/>
    <w:rsid w:val="00D8446D"/>
    <w:rsid w:val="00D844B6"/>
    <w:rsid w:val="00D849F4"/>
    <w:rsid w:val="00D84A26"/>
    <w:rsid w:val="00D85A76"/>
    <w:rsid w:val="00D8642E"/>
    <w:rsid w:val="00D90457"/>
    <w:rsid w:val="00D905E4"/>
    <w:rsid w:val="00D90794"/>
    <w:rsid w:val="00D926DF"/>
    <w:rsid w:val="00D937B0"/>
    <w:rsid w:val="00D94CB3"/>
    <w:rsid w:val="00D9685B"/>
    <w:rsid w:val="00D96C94"/>
    <w:rsid w:val="00DA05BA"/>
    <w:rsid w:val="00DA16A0"/>
    <w:rsid w:val="00DA233F"/>
    <w:rsid w:val="00DA314C"/>
    <w:rsid w:val="00DA314D"/>
    <w:rsid w:val="00DA315E"/>
    <w:rsid w:val="00DA3DB0"/>
    <w:rsid w:val="00DA5CD7"/>
    <w:rsid w:val="00DA63BA"/>
    <w:rsid w:val="00DA6CF9"/>
    <w:rsid w:val="00DA6FFE"/>
    <w:rsid w:val="00DA75CC"/>
    <w:rsid w:val="00DB07C8"/>
    <w:rsid w:val="00DB31E0"/>
    <w:rsid w:val="00DB56C4"/>
    <w:rsid w:val="00DB5736"/>
    <w:rsid w:val="00DB58DF"/>
    <w:rsid w:val="00DB64B6"/>
    <w:rsid w:val="00DB6E52"/>
    <w:rsid w:val="00DB6F1A"/>
    <w:rsid w:val="00DB7141"/>
    <w:rsid w:val="00DC07A9"/>
    <w:rsid w:val="00DC1BE1"/>
    <w:rsid w:val="00DC2290"/>
    <w:rsid w:val="00DC3CC6"/>
    <w:rsid w:val="00DC4C46"/>
    <w:rsid w:val="00DC663A"/>
    <w:rsid w:val="00DC76B3"/>
    <w:rsid w:val="00DC7A7D"/>
    <w:rsid w:val="00DD034B"/>
    <w:rsid w:val="00DD163B"/>
    <w:rsid w:val="00DD2325"/>
    <w:rsid w:val="00DD37E9"/>
    <w:rsid w:val="00DD3A15"/>
    <w:rsid w:val="00DD43BD"/>
    <w:rsid w:val="00DD5D84"/>
    <w:rsid w:val="00DD6991"/>
    <w:rsid w:val="00DD74A2"/>
    <w:rsid w:val="00DE0947"/>
    <w:rsid w:val="00DE47F7"/>
    <w:rsid w:val="00DE4C22"/>
    <w:rsid w:val="00DF1091"/>
    <w:rsid w:val="00DF154A"/>
    <w:rsid w:val="00DF309B"/>
    <w:rsid w:val="00DF3A94"/>
    <w:rsid w:val="00DF41E5"/>
    <w:rsid w:val="00DF6C2B"/>
    <w:rsid w:val="00DF7016"/>
    <w:rsid w:val="00E00256"/>
    <w:rsid w:val="00E00CB0"/>
    <w:rsid w:val="00E010C8"/>
    <w:rsid w:val="00E02E43"/>
    <w:rsid w:val="00E03A63"/>
    <w:rsid w:val="00E03DB0"/>
    <w:rsid w:val="00E04736"/>
    <w:rsid w:val="00E05128"/>
    <w:rsid w:val="00E059AB"/>
    <w:rsid w:val="00E06C50"/>
    <w:rsid w:val="00E076C1"/>
    <w:rsid w:val="00E10772"/>
    <w:rsid w:val="00E107D7"/>
    <w:rsid w:val="00E11F6C"/>
    <w:rsid w:val="00E122F3"/>
    <w:rsid w:val="00E12C6F"/>
    <w:rsid w:val="00E13230"/>
    <w:rsid w:val="00E14446"/>
    <w:rsid w:val="00E150C5"/>
    <w:rsid w:val="00E165F5"/>
    <w:rsid w:val="00E213AD"/>
    <w:rsid w:val="00E21A00"/>
    <w:rsid w:val="00E22182"/>
    <w:rsid w:val="00E2237A"/>
    <w:rsid w:val="00E22567"/>
    <w:rsid w:val="00E2297E"/>
    <w:rsid w:val="00E24DB9"/>
    <w:rsid w:val="00E2503F"/>
    <w:rsid w:val="00E25DCE"/>
    <w:rsid w:val="00E26AC8"/>
    <w:rsid w:val="00E30351"/>
    <w:rsid w:val="00E30AF1"/>
    <w:rsid w:val="00E3168D"/>
    <w:rsid w:val="00E338D1"/>
    <w:rsid w:val="00E341FB"/>
    <w:rsid w:val="00E34B69"/>
    <w:rsid w:val="00E34F82"/>
    <w:rsid w:val="00E35E12"/>
    <w:rsid w:val="00E3643E"/>
    <w:rsid w:val="00E36847"/>
    <w:rsid w:val="00E36987"/>
    <w:rsid w:val="00E413AA"/>
    <w:rsid w:val="00E42444"/>
    <w:rsid w:val="00E431B7"/>
    <w:rsid w:val="00E4339D"/>
    <w:rsid w:val="00E43661"/>
    <w:rsid w:val="00E43F5C"/>
    <w:rsid w:val="00E44DFF"/>
    <w:rsid w:val="00E4680F"/>
    <w:rsid w:val="00E5094E"/>
    <w:rsid w:val="00E511F5"/>
    <w:rsid w:val="00E5286B"/>
    <w:rsid w:val="00E52E25"/>
    <w:rsid w:val="00E53350"/>
    <w:rsid w:val="00E53EEF"/>
    <w:rsid w:val="00E540ED"/>
    <w:rsid w:val="00E54F6B"/>
    <w:rsid w:val="00E55A5B"/>
    <w:rsid w:val="00E56B65"/>
    <w:rsid w:val="00E579F9"/>
    <w:rsid w:val="00E57F03"/>
    <w:rsid w:val="00E60D2A"/>
    <w:rsid w:val="00E6175A"/>
    <w:rsid w:val="00E63533"/>
    <w:rsid w:val="00E65244"/>
    <w:rsid w:val="00E65409"/>
    <w:rsid w:val="00E706A2"/>
    <w:rsid w:val="00E70BBC"/>
    <w:rsid w:val="00E70C6D"/>
    <w:rsid w:val="00E72728"/>
    <w:rsid w:val="00E7507C"/>
    <w:rsid w:val="00E75141"/>
    <w:rsid w:val="00E75467"/>
    <w:rsid w:val="00E76DA9"/>
    <w:rsid w:val="00E823EE"/>
    <w:rsid w:val="00E83D05"/>
    <w:rsid w:val="00E83E7C"/>
    <w:rsid w:val="00E84E70"/>
    <w:rsid w:val="00E85133"/>
    <w:rsid w:val="00E851B0"/>
    <w:rsid w:val="00E85564"/>
    <w:rsid w:val="00E86EC5"/>
    <w:rsid w:val="00E87B92"/>
    <w:rsid w:val="00E901EE"/>
    <w:rsid w:val="00E90504"/>
    <w:rsid w:val="00E9078C"/>
    <w:rsid w:val="00E907B1"/>
    <w:rsid w:val="00E90CD4"/>
    <w:rsid w:val="00E90CE1"/>
    <w:rsid w:val="00E91D5D"/>
    <w:rsid w:val="00E92847"/>
    <w:rsid w:val="00E93119"/>
    <w:rsid w:val="00E9473C"/>
    <w:rsid w:val="00E94C88"/>
    <w:rsid w:val="00E96119"/>
    <w:rsid w:val="00E97D85"/>
    <w:rsid w:val="00EA01CF"/>
    <w:rsid w:val="00EA0953"/>
    <w:rsid w:val="00EA241B"/>
    <w:rsid w:val="00EA2B2E"/>
    <w:rsid w:val="00EA42E4"/>
    <w:rsid w:val="00EA577B"/>
    <w:rsid w:val="00EA64F5"/>
    <w:rsid w:val="00EA697F"/>
    <w:rsid w:val="00EA6CC9"/>
    <w:rsid w:val="00EA75D3"/>
    <w:rsid w:val="00EB1076"/>
    <w:rsid w:val="00EB1A17"/>
    <w:rsid w:val="00EB1A88"/>
    <w:rsid w:val="00EB2693"/>
    <w:rsid w:val="00EB271C"/>
    <w:rsid w:val="00EB3076"/>
    <w:rsid w:val="00EB4325"/>
    <w:rsid w:val="00EB453F"/>
    <w:rsid w:val="00EC02E4"/>
    <w:rsid w:val="00EC07A8"/>
    <w:rsid w:val="00EC0DC0"/>
    <w:rsid w:val="00EC2FC7"/>
    <w:rsid w:val="00EC30CC"/>
    <w:rsid w:val="00EC4564"/>
    <w:rsid w:val="00EC5919"/>
    <w:rsid w:val="00ED05DC"/>
    <w:rsid w:val="00ED19A2"/>
    <w:rsid w:val="00ED1C38"/>
    <w:rsid w:val="00ED1F41"/>
    <w:rsid w:val="00ED2FA6"/>
    <w:rsid w:val="00ED30F5"/>
    <w:rsid w:val="00ED37CC"/>
    <w:rsid w:val="00ED4753"/>
    <w:rsid w:val="00ED4EBD"/>
    <w:rsid w:val="00ED5890"/>
    <w:rsid w:val="00ED5DD8"/>
    <w:rsid w:val="00ED61A2"/>
    <w:rsid w:val="00ED6B3A"/>
    <w:rsid w:val="00ED78FD"/>
    <w:rsid w:val="00ED79E6"/>
    <w:rsid w:val="00ED7C0D"/>
    <w:rsid w:val="00EE1608"/>
    <w:rsid w:val="00EE16EE"/>
    <w:rsid w:val="00EE2C01"/>
    <w:rsid w:val="00EE2D5B"/>
    <w:rsid w:val="00EE375C"/>
    <w:rsid w:val="00EE3820"/>
    <w:rsid w:val="00EE38CF"/>
    <w:rsid w:val="00EE3C01"/>
    <w:rsid w:val="00EE3CA6"/>
    <w:rsid w:val="00EE42C1"/>
    <w:rsid w:val="00EE61EF"/>
    <w:rsid w:val="00EE6727"/>
    <w:rsid w:val="00EE73B6"/>
    <w:rsid w:val="00EF0FDD"/>
    <w:rsid w:val="00EF3CE5"/>
    <w:rsid w:val="00EF42C8"/>
    <w:rsid w:val="00EF4A19"/>
    <w:rsid w:val="00EF4E3A"/>
    <w:rsid w:val="00EF573D"/>
    <w:rsid w:val="00EF5DDB"/>
    <w:rsid w:val="00EF62C2"/>
    <w:rsid w:val="00F0250B"/>
    <w:rsid w:val="00F02567"/>
    <w:rsid w:val="00F0285C"/>
    <w:rsid w:val="00F04175"/>
    <w:rsid w:val="00F071FF"/>
    <w:rsid w:val="00F10CCF"/>
    <w:rsid w:val="00F148C3"/>
    <w:rsid w:val="00F16445"/>
    <w:rsid w:val="00F16D97"/>
    <w:rsid w:val="00F16F4E"/>
    <w:rsid w:val="00F16FB5"/>
    <w:rsid w:val="00F201CF"/>
    <w:rsid w:val="00F20EC3"/>
    <w:rsid w:val="00F211FB"/>
    <w:rsid w:val="00F219F5"/>
    <w:rsid w:val="00F22962"/>
    <w:rsid w:val="00F22ADD"/>
    <w:rsid w:val="00F22FF3"/>
    <w:rsid w:val="00F2317A"/>
    <w:rsid w:val="00F244AF"/>
    <w:rsid w:val="00F246CE"/>
    <w:rsid w:val="00F24A72"/>
    <w:rsid w:val="00F24EBC"/>
    <w:rsid w:val="00F2530C"/>
    <w:rsid w:val="00F255C3"/>
    <w:rsid w:val="00F27E8A"/>
    <w:rsid w:val="00F3026D"/>
    <w:rsid w:val="00F305D6"/>
    <w:rsid w:val="00F30661"/>
    <w:rsid w:val="00F30ACF"/>
    <w:rsid w:val="00F33C90"/>
    <w:rsid w:val="00F347F8"/>
    <w:rsid w:val="00F34A2C"/>
    <w:rsid w:val="00F35316"/>
    <w:rsid w:val="00F35553"/>
    <w:rsid w:val="00F35A0E"/>
    <w:rsid w:val="00F35BA7"/>
    <w:rsid w:val="00F36B3B"/>
    <w:rsid w:val="00F374A2"/>
    <w:rsid w:val="00F37C06"/>
    <w:rsid w:val="00F37F6B"/>
    <w:rsid w:val="00F41546"/>
    <w:rsid w:val="00F41B8D"/>
    <w:rsid w:val="00F44F0D"/>
    <w:rsid w:val="00F451BA"/>
    <w:rsid w:val="00F458B1"/>
    <w:rsid w:val="00F468F9"/>
    <w:rsid w:val="00F469B3"/>
    <w:rsid w:val="00F5007A"/>
    <w:rsid w:val="00F507A7"/>
    <w:rsid w:val="00F513A8"/>
    <w:rsid w:val="00F5334C"/>
    <w:rsid w:val="00F548A0"/>
    <w:rsid w:val="00F57250"/>
    <w:rsid w:val="00F5759B"/>
    <w:rsid w:val="00F57859"/>
    <w:rsid w:val="00F57CCB"/>
    <w:rsid w:val="00F6041C"/>
    <w:rsid w:val="00F6126B"/>
    <w:rsid w:val="00F618DA"/>
    <w:rsid w:val="00F61982"/>
    <w:rsid w:val="00F61A1B"/>
    <w:rsid w:val="00F62753"/>
    <w:rsid w:val="00F633B8"/>
    <w:rsid w:val="00F636AB"/>
    <w:rsid w:val="00F646DA"/>
    <w:rsid w:val="00F64C08"/>
    <w:rsid w:val="00F64D0F"/>
    <w:rsid w:val="00F64E54"/>
    <w:rsid w:val="00F65B04"/>
    <w:rsid w:val="00F65BE1"/>
    <w:rsid w:val="00F66129"/>
    <w:rsid w:val="00F66B27"/>
    <w:rsid w:val="00F66F74"/>
    <w:rsid w:val="00F671F8"/>
    <w:rsid w:val="00F701B5"/>
    <w:rsid w:val="00F71C42"/>
    <w:rsid w:val="00F722AD"/>
    <w:rsid w:val="00F73AFB"/>
    <w:rsid w:val="00F74C4D"/>
    <w:rsid w:val="00F75790"/>
    <w:rsid w:val="00F75A63"/>
    <w:rsid w:val="00F770F6"/>
    <w:rsid w:val="00F771EE"/>
    <w:rsid w:val="00F77582"/>
    <w:rsid w:val="00F77CA7"/>
    <w:rsid w:val="00F804D5"/>
    <w:rsid w:val="00F81512"/>
    <w:rsid w:val="00F821B3"/>
    <w:rsid w:val="00F823B6"/>
    <w:rsid w:val="00F8244B"/>
    <w:rsid w:val="00F82AA3"/>
    <w:rsid w:val="00F8314E"/>
    <w:rsid w:val="00F83694"/>
    <w:rsid w:val="00F84341"/>
    <w:rsid w:val="00F869C2"/>
    <w:rsid w:val="00F9071B"/>
    <w:rsid w:val="00F920E9"/>
    <w:rsid w:val="00F9247E"/>
    <w:rsid w:val="00F92943"/>
    <w:rsid w:val="00F92EB0"/>
    <w:rsid w:val="00F936E7"/>
    <w:rsid w:val="00F93D58"/>
    <w:rsid w:val="00F96B28"/>
    <w:rsid w:val="00F9723B"/>
    <w:rsid w:val="00FA0561"/>
    <w:rsid w:val="00FA18C4"/>
    <w:rsid w:val="00FA2E1E"/>
    <w:rsid w:val="00FA3758"/>
    <w:rsid w:val="00FA3FD5"/>
    <w:rsid w:val="00FA488F"/>
    <w:rsid w:val="00FA4A2F"/>
    <w:rsid w:val="00FA61AE"/>
    <w:rsid w:val="00FA79C5"/>
    <w:rsid w:val="00FB0201"/>
    <w:rsid w:val="00FB1F0F"/>
    <w:rsid w:val="00FB2248"/>
    <w:rsid w:val="00FB3806"/>
    <w:rsid w:val="00FB4EFD"/>
    <w:rsid w:val="00FB6AEC"/>
    <w:rsid w:val="00FB6E9C"/>
    <w:rsid w:val="00FB6EBF"/>
    <w:rsid w:val="00FB7055"/>
    <w:rsid w:val="00FB7B0B"/>
    <w:rsid w:val="00FC02C8"/>
    <w:rsid w:val="00FC11B2"/>
    <w:rsid w:val="00FC128B"/>
    <w:rsid w:val="00FC1951"/>
    <w:rsid w:val="00FC26BD"/>
    <w:rsid w:val="00FC275A"/>
    <w:rsid w:val="00FC41FF"/>
    <w:rsid w:val="00FC4289"/>
    <w:rsid w:val="00FC4668"/>
    <w:rsid w:val="00FC687A"/>
    <w:rsid w:val="00FD1BC2"/>
    <w:rsid w:val="00FD3F4D"/>
    <w:rsid w:val="00FD555A"/>
    <w:rsid w:val="00FD6814"/>
    <w:rsid w:val="00FD71C6"/>
    <w:rsid w:val="00FD77EA"/>
    <w:rsid w:val="00FE0A18"/>
    <w:rsid w:val="00FE0BD6"/>
    <w:rsid w:val="00FE1B51"/>
    <w:rsid w:val="00FE1B6C"/>
    <w:rsid w:val="00FE1F11"/>
    <w:rsid w:val="00FE41F4"/>
    <w:rsid w:val="00FE6688"/>
    <w:rsid w:val="00FE7661"/>
    <w:rsid w:val="00FF0205"/>
    <w:rsid w:val="00FF1815"/>
    <w:rsid w:val="00FF212D"/>
    <w:rsid w:val="00FF2632"/>
    <w:rsid w:val="00FF2C6B"/>
    <w:rsid w:val="00FF3A4D"/>
    <w:rsid w:val="00FF3E80"/>
    <w:rsid w:val="00FF4101"/>
    <w:rsid w:val="00FF41C8"/>
    <w:rsid w:val="00FF42E9"/>
    <w:rsid w:val="00FF56D6"/>
    <w:rsid w:val="00FF66D9"/>
    <w:rsid w:val="00FF702F"/>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C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74"/>
  </w:style>
  <w:style w:type="paragraph" w:styleId="Heading1">
    <w:name w:val="heading 1"/>
    <w:basedOn w:val="Normal"/>
    <w:next w:val="Normal"/>
    <w:link w:val="Heading1Char"/>
    <w:qFormat/>
    <w:rsid w:val="008C001C"/>
    <w:pPr>
      <w:keepNext/>
      <w:jc w:val="center"/>
      <w:outlineLvl w:val="0"/>
    </w:pPr>
    <w:rPr>
      <w:rFonts w:eastAsia="Times"/>
      <w:b/>
      <w:caps/>
      <w:sz w:val="28"/>
      <w:lang w:eastAsia="es-ES"/>
    </w:rPr>
  </w:style>
  <w:style w:type="paragraph" w:styleId="Heading4">
    <w:name w:val="heading 4"/>
    <w:basedOn w:val="Normal"/>
    <w:next w:val="Normal"/>
    <w:link w:val="Heading4Char"/>
    <w:uiPriority w:val="9"/>
    <w:qFormat/>
    <w:rsid w:val="00DF154A"/>
    <w:pPr>
      <w:keepNext/>
      <w:keepLines/>
      <w:spacing w:before="200"/>
      <w:outlineLvl w:val="3"/>
    </w:pPr>
    <w:rPr>
      <w:rFonts w:ascii="Cambria" w:hAnsi="Cambria"/>
      <w:b/>
      <w:bCs/>
      <w:i/>
      <w:i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A204C1"/>
    <w:rPr>
      <w:rFonts w:ascii="Verdana" w:hAnsi="Verdana"/>
      <w:sz w:val="16"/>
      <w:vertAlign w:val="superscript"/>
    </w:rPr>
  </w:style>
  <w:style w:type="paragraph" w:styleId="FootnoteText">
    <w:name w:val="footnote text"/>
    <w:aliases w:val="Footnote Text Char Char Char Char Char,Footnote Text Char Char Char Char,Footnote reference,FA Fu,Footnote Text Char Char Char,Texto nota pie Car,FA Fu Car,FA Fu Car Car,Footnote Text Cha,FA Fußnotentext,FA Fuﬂnotentext,FA Fu?notentext,Ca"/>
    <w:basedOn w:val="Normal"/>
    <w:link w:val="FootnoteTextChar"/>
    <w:qFormat/>
    <w:rsid w:val="00A204C1"/>
    <w:pPr>
      <w:widowControl w:val="0"/>
    </w:pPr>
    <w:rPr>
      <w:lang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Texto nota pie Car Char,FA Fu Car Char,FA Fu Car Car Char,Footnote Text Cha Char"/>
    <w:link w:val="FootnoteText"/>
    <w:rsid w:val="00A204C1"/>
    <w:rPr>
      <w:rFonts w:ascii="Times New Roman" w:eastAsia="Times New Roman" w:hAnsi="Times New Roman" w:cs="Times New Roman"/>
      <w:sz w:val="20"/>
      <w:szCs w:val="20"/>
      <w:lang w:val="es-ES_tradnl"/>
    </w:rPr>
  </w:style>
  <w:style w:type="paragraph" w:customStyle="1" w:styleId="ColorfulList-Accent11">
    <w:name w:val="Colorful List - Accent 11"/>
    <w:aliases w:val="Footnote"/>
    <w:basedOn w:val="Normal"/>
    <w:uiPriority w:val="34"/>
    <w:qFormat/>
    <w:rsid w:val="00A204C1"/>
    <w:pPr>
      <w:ind w:left="720"/>
      <w:contextualSpacing/>
    </w:pPr>
  </w:style>
  <w:style w:type="character" w:customStyle="1" w:styleId="Heading1Char">
    <w:name w:val="Heading 1 Char"/>
    <w:link w:val="Heading1"/>
    <w:rsid w:val="008C001C"/>
    <w:rPr>
      <w:rFonts w:ascii="Verdana" w:eastAsia="Times" w:hAnsi="Verdana" w:cs="Times New Roman"/>
      <w:b/>
      <w:caps/>
      <w:sz w:val="28"/>
      <w:szCs w:val="20"/>
      <w:lang w:val="es-ES_tradnl" w:eastAsia="es-ES"/>
    </w:rPr>
  </w:style>
  <w:style w:type="character" w:customStyle="1" w:styleId="Heading4Char">
    <w:name w:val="Heading 4 Char"/>
    <w:link w:val="Heading4"/>
    <w:uiPriority w:val="9"/>
    <w:rsid w:val="00DF154A"/>
    <w:rPr>
      <w:rFonts w:ascii="Cambria" w:eastAsia="Times New Roman" w:hAnsi="Cambria" w:cs="Times New Roman"/>
      <w:b/>
      <w:bCs/>
      <w:i/>
      <w:iCs/>
      <w:color w:val="4F81BD"/>
      <w:sz w:val="24"/>
      <w:szCs w:val="24"/>
      <w:lang w:val="es-ES_tradnl"/>
    </w:rPr>
  </w:style>
  <w:style w:type="paragraph" w:styleId="BodyText2">
    <w:name w:val="Body Text 2"/>
    <w:basedOn w:val="Normal"/>
    <w:link w:val="BodyText2Char"/>
    <w:rsid w:val="00DF154A"/>
    <w:pPr>
      <w:spacing w:after="120" w:line="480" w:lineRule="auto"/>
    </w:pPr>
    <w:rPr>
      <w:rFonts w:ascii="Times" w:eastAsia="Times" w:hAnsi="Times"/>
      <w:lang w:eastAsia="es-ES"/>
    </w:rPr>
  </w:style>
  <w:style w:type="character" w:customStyle="1" w:styleId="BodyText2Char">
    <w:name w:val="Body Text 2 Char"/>
    <w:link w:val="BodyText2"/>
    <w:rsid w:val="00DF154A"/>
    <w:rPr>
      <w:rFonts w:ascii="Times" w:eastAsia="Times" w:hAnsi="Times" w:cs="Times New Roman"/>
      <w:sz w:val="24"/>
      <w:szCs w:val="20"/>
      <w:lang w:val="es-ES_tradnl" w:eastAsia="es-ES"/>
    </w:rPr>
  </w:style>
  <w:style w:type="paragraph" w:styleId="BlockText">
    <w:name w:val="Block Text"/>
    <w:basedOn w:val="Normal"/>
    <w:rsid w:val="00DF154A"/>
    <w:pPr>
      <w:ind w:left="720" w:right="720"/>
      <w:jc w:val="both"/>
    </w:pPr>
    <w:rPr>
      <w:rFonts w:ascii="Univers" w:hAnsi="Univers"/>
      <w:spacing w:val="-2"/>
      <w:sz w:val="18"/>
      <w:lang w:val="es-PY"/>
    </w:rPr>
  </w:style>
  <w:style w:type="paragraph" w:styleId="BodyText3">
    <w:name w:val="Body Text 3"/>
    <w:basedOn w:val="Normal"/>
    <w:link w:val="BodyText3Char"/>
    <w:rsid w:val="00DF154A"/>
    <w:pPr>
      <w:spacing w:after="120"/>
    </w:pPr>
    <w:rPr>
      <w:rFonts w:ascii="Times" w:eastAsia="Times" w:hAnsi="Times"/>
      <w:sz w:val="16"/>
      <w:szCs w:val="16"/>
      <w:lang w:eastAsia="es-ES"/>
    </w:rPr>
  </w:style>
  <w:style w:type="character" w:customStyle="1" w:styleId="BodyText3Char">
    <w:name w:val="Body Text 3 Char"/>
    <w:link w:val="BodyText3"/>
    <w:rsid w:val="00DF154A"/>
    <w:rPr>
      <w:rFonts w:ascii="Times" w:eastAsia="Times" w:hAnsi="Times" w:cs="Times New Roman"/>
      <w:sz w:val="16"/>
      <w:szCs w:val="16"/>
      <w:lang w:val="es-ES_tradnl" w:eastAsia="es-ES"/>
    </w:rPr>
  </w:style>
  <w:style w:type="paragraph" w:styleId="BodyText">
    <w:name w:val="Body Text"/>
    <w:basedOn w:val="Normal"/>
    <w:link w:val="BodyTextChar"/>
    <w:rsid w:val="00A04428"/>
    <w:pPr>
      <w:spacing w:after="120"/>
    </w:pPr>
    <w:rPr>
      <w:rFonts w:ascii="Times" w:eastAsia="Times" w:hAnsi="Times"/>
      <w:lang w:eastAsia="x-none"/>
    </w:rPr>
  </w:style>
  <w:style w:type="character" w:customStyle="1" w:styleId="BodyTextChar">
    <w:name w:val="Body Text Char"/>
    <w:link w:val="BodyText"/>
    <w:rsid w:val="00A04428"/>
    <w:rPr>
      <w:rFonts w:ascii="Times" w:eastAsia="Times" w:hAnsi="Times" w:cs="Times New Roman"/>
      <w:sz w:val="24"/>
      <w:szCs w:val="20"/>
      <w:lang w:val="es-ES_tradnl"/>
    </w:rPr>
  </w:style>
  <w:style w:type="paragraph" w:styleId="Footer">
    <w:name w:val="footer"/>
    <w:basedOn w:val="Normal"/>
    <w:link w:val="FooterChar"/>
    <w:semiHidden/>
    <w:rsid w:val="00975A97"/>
    <w:pPr>
      <w:tabs>
        <w:tab w:val="center" w:pos="4320"/>
        <w:tab w:val="right" w:pos="8640"/>
      </w:tabs>
    </w:pPr>
    <w:rPr>
      <w:rFonts w:ascii="Times" w:eastAsia="Times" w:hAnsi="Times"/>
      <w:lang w:eastAsia="x-none"/>
    </w:rPr>
  </w:style>
  <w:style w:type="character" w:customStyle="1" w:styleId="FooterChar">
    <w:name w:val="Footer Char"/>
    <w:link w:val="Footer"/>
    <w:semiHidden/>
    <w:rsid w:val="00975A97"/>
    <w:rPr>
      <w:rFonts w:ascii="Times" w:eastAsia="Times" w:hAnsi="Times" w:cs="Times New Roman"/>
      <w:sz w:val="24"/>
      <w:szCs w:val="20"/>
      <w:lang w:val="es-ES_tradnl"/>
    </w:rPr>
  </w:style>
  <w:style w:type="paragraph" w:styleId="BalloonText">
    <w:name w:val="Balloon Text"/>
    <w:basedOn w:val="Normal"/>
    <w:link w:val="BalloonTextChar"/>
    <w:uiPriority w:val="99"/>
    <w:semiHidden/>
    <w:unhideWhenUsed/>
    <w:rsid w:val="00C6782C"/>
    <w:rPr>
      <w:rFonts w:ascii="Lucida Grande" w:hAnsi="Lucida Grande"/>
      <w:sz w:val="18"/>
      <w:szCs w:val="18"/>
      <w:lang w:eastAsia="x-none"/>
    </w:rPr>
  </w:style>
  <w:style w:type="character" w:customStyle="1" w:styleId="BalloonTextChar">
    <w:name w:val="Balloon Text Char"/>
    <w:link w:val="BalloonText"/>
    <w:uiPriority w:val="99"/>
    <w:semiHidden/>
    <w:rsid w:val="00C6782C"/>
    <w:rPr>
      <w:rFonts w:ascii="Lucida Grande" w:eastAsia="Times New Roman" w:hAnsi="Lucida Grande" w:cs="Lucida Grande"/>
      <w:sz w:val="18"/>
      <w:szCs w:val="18"/>
      <w:lang w:val="es-ES_tradnl"/>
    </w:rPr>
  </w:style>
  <w:style w:type="paragraph" w:styleId="Header">
    <w:name w:val="header"/>
    <w:basedOn w:val="Normal"/>
    <w:link w:val="HeaderChar"/>
    <w:uiPriority w:val="99"/>
    <w:unhideWhenUsed/>
    <w:rsid w:val="009F19E2"/>
    <w:pPr>
      <w:tabs>
        <w:tab w:val="center" w:pos="4680"/>
        <w:tab w:val="right" w:pos="9360"/>
      </w:tabs>
    </w:pPr>
    <w:rPr>
      <w:lang w:eastAsia="x-none"/>
    </w:rPr>
  </w:style>
  <w:style w:type="character" w:customStyle="1" w:styleId="HeaderChar">
    <w:name w:val="Header Char"/>
    <w:link w:val="Header"/>
    <w:uiPriority w:val="99"/>
    <w:rsid w:val="009F19E2"/>
    <w:rPr>
      <w:rFonts w:ascii="Times New Roman" w:eastAsia="Times New Roman" w:hAnsi="Times New Roman" w:cs="Times New Roman"/>
      <w:sz w:val="24"/>
      <w:szCs w:val="24"/>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Texto nota pie Car Char1,FA Fu Car Char1,FA Fu Car Car Char1,Ca Char"/>
    <w:uiPriority w:val="99"/>
    <w:locked/>
    <w:rsid w:val="001B7403"/>
    <w:rPr>
      <w:rFonts w:ascii="Times New Roman" w:eastAsia="Times New Roman" w:hAnsi="Times New Roman" w:cs="Times New Roman"/>
      <w:sz w:val="20"/>
      <w:szCs w:val="20"/>
      <w:lang w:val="es-ES_tradnl"/>
    </w:rPr>
  </w:style>
  <w:style w:type="paragraph" w:customStyle="1" w:styleId="ColorfulShading-Accent11">
    <w:name w:val="Colorful Shading - Accent 11"/>
    <w:hidden/>
    <w:uiPriority w:val="99"/>
    <w:semiHidden/>
    <w:rsid w:val="002E7884"/>
    <w:rPr>
      <w:rFonts w:ascii="Times New Roman" w:eastAsia="Times New Roman" w:hAnsi="Times New Roman"/>
      <w:sz w:val="24"/>
      <w:szCs w:val="24"/>
      <w:lang w:val="es-ES_tradnl" w:eastAsia="en-US"/>
    </w:rPr>
  </w:style>
  <w:style w:type="paragraph" w:styleId="NormalWeb">
    <w:name w:val="Normal (Web)"/>
    <w:basedOn w:val="Normal"/>
    <w:uiPriority w:val="99"/>
    <w:rsid w:val="00111E9E"/>
    <w:pPr>
      <w:spacing w:before="100" w:beforeAutospacing="1" w:after="100" w:afterAutospacing="1"/>
    </w:pPr>
    <w:rPr>
      <w:lang w:val="es-CL" w:eastAsia="es-CL"/>
    </w:rPr>
  </w:style>
  <w:style w:type="character" w:customStyle="1" w:styleId="eacep1">
    <w:name w:val="eacep1"/>
    <w:rsid w:val="00111E9E"/>
    <w:rPr>
      <w:color w:val="000000"/>
    </w:rPr>
  </w:style>
  <w:style w:type="paragraph" w:customStyle="1" w:styleId="style2">
    <w:name w:val="style2"/>
    <w:basedOn w:val="Normal"/>
    <w:rsid w:val="00111E9E"/>
    <w:pPr>
      <w:spacing w:before="100" w:beforeAutospacing="1" w:after="100" w:afterAutospacing="1" w:line="204" w:lineRule="atLeast"/>
      <w:jc w:val="both"/>
    </w:pPr>
    <w:rPr>
      <w:color w:val="000000"/>
      <w:sz w:val="15"/>
      <w:szCs w:val="15"/>
      <w:lang w:val="es-CL" w:eastAsia="es-CL"/>
    </w:rPr>
  </w:style>
  <w:style w:type="character" w:customStyle="1" w:styleId="eejemplo1">
    <w:name w:val="eejemplo1"/>
    <w:rsid w:val="00111E9E"/>
    <w:rPr>
      <w:color w:val="800080"/>
    </w:rPr>
  </w:style>
  <w:style w:type="character" w:styleId="CommentReference">
    <w:name w:val="annotation reference"/>
    <w:uiPriority w:val="99"/>
    <w:semiHidden/>
    <w:unhideWhenUsed/>
    <w:rsid w:val="00111E9E"/>
    <w:rPr>
      <w:sz w:val="16"/>
      <w:szCs w:val="16"/>
    </w:rPr>
  </w:style>
  <w:style w:type="paragraph" w:styleId="CommentText">
    <w:name w:val="annotation text"/>
    <w:basedOn w:val="Normal"/>
    <w:link w:val="CommentTextChar"/>
    <w:uiPriority w:val="99"/>
    <w:unhideWhenUsed/>
    <w:rsid w:val="00066584"/>
    <w:rPr>
      <w:lang w:eastAsia="x-none"/>
    </w:rPr>
  </w:style>
  <w:style w:type="character" w:customStyle="1" w:styleId="CommentTextChar">
    <w:name w:val="Comment Text Char"/>
    <w:link w:val="CommentText"/>
    <w:uiPriority w:val="99"/>
    <w:rsid w:val="00066584"/>
    <w:rPr>
      <w:rFonts w:ascii="Times New Roman" w:eastAsia="Times New Roman" w:hAnsi="Times New Roman"/>
      <w:lang w:val="es-ES_tradnl"/>
    </w:rPr>
  </w:style>
  <w:style w:type="paragraph" w:styleId="CommentSubject">
    <w:name w:val="annotation subject"/>
    <w:basedOn w:val="CommentText"/>
    <w:next w:val="CommentText"/>
    <w:link w:val="CommentSubjectChar"/>
    <w:uiPriority w:val="99"/>
    <w:semiHidden/>
    <w:unhideWhenUsed/>
    <w:rsid w:val="00066584"/>
    <w:rPr>
      <w:b/>
      <w:bCs/>
    </w:rPr>
  </w:style>
  <w:style w:type="character" w:customStyle="1" w:styleId="CommentSubjectChar">
    <w:name w:val="Comment Subject Char"/>
    <w:link w:val="CommentSubject"/>
    <w:uiPriority w:val="99"/>
    <w:semiHidden/>
    <w:rsid w:val="00066584"/>
    <w:rPr>
      <w:rFonts w:ascii="Times New Roman" w:eastAsia="Times New Roman" w:hAnsi="Times New Roman"/>
      <w:b/>
      <w:bCs/>
      <w:lang w:val="es-ES_tradnl"/>
    </w:rPr>
  </w:style>
  <w:style w:type="character" w:styleId="Strong">
    <w:name w:val="Strong"/>
    <w:uiPriority w:val="22"/>
    <w:qFormat/>
    <w:rsid w:val="001115B4"/>
    <w:rPr>
      <w:b/>
      <w:bCs/>
    </w:rPr>
  </w:style>
  <w:style w:type="paragraph" w:customStyle="1" w:styleId="ParaAttribute3">
    <w:name w:val="ParaAttribute3"/>
    <w:rsid w:val="003A3F57"/>
    <w:pPr>
      <w:widowControl w:val="0"/>
      <w:wordWrap w:val="0"/>
      <w:jc w:val="both"/>
    </w:pPr>
    <w:rPr>
      <w:rFonts w:ascii="Times New Roman" w:eastAsia="Batang" w:hAnsi="Times New Roman"/>
      <w:lang w:val="en-US" w:eastAsia="en-US"/>
    </w:rPr>
  </w:style>
  <w:style w:type="character" w:customStyle="1" w:styleId="CharAttribute31">
    <w:name w:val="CharAttribute31"/>
    <w:rsid w:val="003A3F57"/>
    <w:rPr>
      <w:rFonts w:ascii="Verdana" w:eastAsia="Verdana" w:hAnsi="Verdana"/>
      <w:sz w:val="16"/>
    </w:rPr>
  </w:style>
  <w:style w:type="character" w:customStyle="1" w:styleId="CharAttribute33">
    <w:name w:val="CharAttribute33"/>
    <w:rsid w:val="003A3F57"/>
    <w:rPr>
      <w:rFonts w:ascii="Verdana" w:eastAsia="Verdana" w:hAnsi="Verdana"/>
      <w:sz w:val="16"/>
      <w:vertAlign w:val="superscript"/>
    </w:rPr>
  </w:style>
  <w:style w:type="paragraph" w:styleId="ListParagraph">
    <w:name w:val="List Paragraph"/>
    <w:basedOn w:val="Normal"/>
    <w:link w:val="ListParagraphChar"/>
    <w:uiPriority w:val="34"/>
    <w:qFormat/>
    <w:rsid w:val="00EA2B2E"/>
    <w:pPr>
      <w:ind w:left="720"/>
    </w:pPr>
  </w:style>
  <w:style w:type="paragraph" w:customStyle="1" w:styleId="Default">
    <w:name w:val="Default"/>
    <w:rsid w:val="006346DC"/>
    <w:pPr>
      <w:autoSpaceDE w:val="0"/>
      <w:autoSpaceDN w:val="0"/>
      <w:adjustRightInd w:val="0"/>
    </w:pPr>
    <w:rPr>
      <w:rFonts w:cs="Verdana"/>
      <w:color w:val="000000"/>
      <w:sz w:val="24"/>
      <w:szCs w:val="24"/>
      <w:lang w:val="en-US" w:eastAsia="en-US"/>
    </w:rPr>
  </w:style>
  <w:style w:type="character" w:customStyle="1" w:styleId="apple-converted-space">
    <w:name w:val="apple-converted-space"/>
    <w:rsid w:val="000B06F6"/>
  </w:style>
  <w:style w:type="character" w:customStyle="1" w:styleId="sb8d990e2">
    <w:name w:val="sb8d990e2"/>
    <w:rsid w:val="00EC2FC7"/>
  </w:style>
  <w:style w:type="character" w:styleId="LineNumber">
    <w:name w:val="line number"/>
    <w:basedOn w:val="DefaultParagraphFont"/>
    <w:uiPriority w:val="99"/>
    <w:semiHidden/>
    <w:unhideWhenUsed/>
    <w:rsid w:val="00791205"/>
  </w:style>
  <w:style w:type="paragraph" w:styleId="EndnoteText">
    <w:name w:val="endnote text"/>
    <w:basedOn w:val="Normal"/>
    <w:link w:val="EndnoteTextChar"/>
    <w:uiPriority w:val="99"/>
    <w:semiHidden/>
    <w:unhideWhenUsed/>
    <w:rsid w:val="004A754F"/>
  </w:style>
  <w:style w:type="character" w:customStyle="1" w:styleId="EndnoteTextChar">
    <w:name w:val="Endnote Text Char"/>
    <w:basedOn w:val="DefaultParagraphFont"/>
    <w:link w:val="EndnoteText"/>
    <w:uiPriority w:val="99"/>
    <w:semiHidden/>
    <w:rsid w:val="004A754F"/>
    <w:rPr>
      <w:rFonts w:ascii="Times New Roman" w:eastAsia="Times New Roman" w:hAnsi="Times New Roman"/>
      <w:lang w:val="es-ES_tradnl" w:eastAsia="en-US"/>
    </w:rPr>
  </w:style>
  <w:style w:type="character" w:styleId="EndnoteReference">
    <w:name w:val="endnote reference"/>
    <w:basedOn w:val="DefaultParagraphFont"/>
    <w:uiPriority w:val="99"/>
    <w:semiHidden/>
    <w:unhideWhenUsed/>
    <w:rsid w:val="004A754F"/>
    <w:rPr>
      <w:vertAlign w:val="superscript"/>
    </w:rPr>
  </w:style>
  <w:style w:type="paragraph" w:styleId="Revision">
    <w:name w:val="Revision"/>
    <w:hidden/>
    <w:uiPriority w:val="99"/>
    <w:semiHidden/>
    <w:rsid w:val="00B37D2F"/>
    <w:rPr>
      <w:rFonts w:ascii="Times New Roman" w:eastAsia="Times New Roman" w:hAnsi="Times New Roman"/>
      <w:sz w:val="24"/>
      <w:szCs w:val="24"/>
      <w:lang w:val="es-ES_tradnl" w:eastAsia="en-US"/>
    </w:rPr>
  </w:style>
  <w:style w:type="character" w:styleId="Hyperlink">
    <w:name w:val="Hyperlink"/>
    <w:basedOn w:val="DefaultParagraphFont"/>
    <w:uiPriority w:val="99"/>
    <w:unhideWhenUsed/>
    <w:rsid w:val="004B58AF"/>
    <w:rPr>
      <w:color w:val="0000FF" w:themeColor="hyperlink"/>
      <w:u w:val="single"/>
    </w:rPr>
  </w:style>
  <w:style w:type="character" w:customStyle="1" w:styleId="eacep">
    <w:name w:val="eacep"/>
    <w:basedOn w:val="DefaultParagraphFont"/>
    <w:rsid w:val="003A2462"/>
  </w:style>
  <w:style w:type="character" w:customStyle="1" w:styleId="ListParagraphChar">
    <w:name w:val="List Paragraph Char"/>
    <w:link w:val="ListParagraph"/>
    <w:uiPriority w:val="34"/>
    <w:locked/>
    <w:rsid w:val="001F6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74"/>
  </w:style>
  <w:style w:type="paragraph" w:styleId="Heading1">
    <w:name w:val="heading 1"/>
    <w:basedOn w:val="Normal"/>
    <w:next w:val="Normal"/>
    <w:link w:val="Heading1Char"/>
    <w:qFormat/>
    <w:rsid w:val="008C001C"/>
    <w:pPr>
      <w:keepNext/>
      <w:jc w:val="center"/>
      <w:outlineLvl w:val="0"/>
    </w:pPr>
    <w:rPr>
      <w:rFonts w:eastAsia="Times"/>
      <w:b/>
      <w:caps/>
      <w:sz w:val="28"/>
      <w:lang w:eastAsia="es-ES"/>
    </w:rPr>
  </w:style>
  <w:style w:type="paragraph" w:styleId="Heading4">
    <w:name w:val="heading 4"/>
    <w:basedOn w:val="Normal"/>
    <w:next w:val="Normal"/>
    <w:link w:val="Heading4Char"/>
    <w:uiPriority w:val="9"/>
    <w:qFormat/>
    <w:rsid w:val="00DF154A"/>
    <w:pPr>
      <w:keepNext/>
      <w:keepLines/>
      <w:spacing w:before="200"/>
      <w:outlineLvl w:val="3"/>
    </w:pPr>
    <w:rPr>
      <w:rFonts w:ascii="Cambria" w:hAnsi="Cambria"/>
      <w:b/>
      <w:bCs/>
      <w:i/>
      <w:i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A204C1"/>
    <w:rPr>
      <w:rFonts w:ascii="Verdana" w:hAnsi="Verdana"/>
      <w:sz w:val="16"/>
      <w:vertAlign w:val="superscript"/>
    </w:rPr>
  </w:style>
  <w:style w:type="paragraph" w:styleId="FootnoteText">
    <w:name w:val="footnote text"/>
    <w:aliases w:val="Footnote Text Char Char Char Char Char,Footnote Text Char Char Char Char,Footnote reference,FA Fu,Footnote Text Char Char Char,Texto nota pie Car,FA Fu Car,FA Fu Car Car,Footnote Text Cha,FA Fußnotentext,FA Fuﬂnotentext,FA Fu?notentext,Ca"/>
    <w:basedOn w:val="Normal"/>
    <w:link w:val="FootnoteTextChar"/>
    <w:qFormat/>
    <w:rsid w:val="00A204C1"/>
    <w:pPr>
      <w:widowControl w:val="0"/>
    </w:pPr>
    <w:rPr>
      <w:lang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Texto nota pie Car Char,FA Fu Car Char,FA Fu Car Car Char,Footnote Text Cha Char"/>
    <w:link w:val="FootnoteText"/>
    <w:rsid w:val="00A204C1"/>
    <w:rPr>
      <w:rFonts w:ascii="Times New Roman" w:eastAsia="Times New Roman" w:hAnsi="Times New Roman" w:cs="Times New Roman"/>
      <w:sz w:val="20"/>
      <w:szCs w:val="20"/>
      <w:lang w:val="es-ES_tradnl"/>
    </w:rPr>
  </w:style>
  <w:style w:type="paragraph" w:customStyle="1" w:styleId="ColorfulList-Accent11">
    <w:name w:val="Colorful List - Accent 11"/>
    <w:aliases w:val="Footnote"/>
    <w:basedOn w:val="Normal"/>
    <w:uiPriority w:val="34"/>
    <w:qFormat/>
    <w:rsid w:val="00A204C1"/>
    <w:pPr>
      <w:ind w:left="720"/>
      <w:contextualSpacing/>
    </w:pPr>
  </w:style>
  <w:style w:type="character" w:customStyle="1" w:styleId="Heading1Char">
    <w:name w:val="Heading 1 Char"/>
    <w:link w:val="Heading1"/>
    <w:rsid w:val="008C001C"/>
    <w:rPr>
      <w:rFonts w:ascii="Verdana" w:eastAsia="Times" w:hAnsi="Verdana" w:cs="Times New Roman"/>
      <w:b/>
      <w:caps/>
      <w:sz w:val="28"/>
      <w:szCs w:val="20"/>
      <w:lang w:val="es-ES_tradnl" w:eastAsia="es-ES"/>
    </w:rPr>
  </w:style>
  <w:style w:type="character" w:customStyle="1" w:styleId="Heading4Char">
    <w:name w:val="Heading 4 Char"/>
    <w:link w:val="Heading4"/>
    <w:uiPriority w:val="9"/>
    <w:rsid w:val="00DF154A"/>
    <w:rPr>
      <w:rFonts w:ascii="Cambria" w:eastAsia="Times New Roman" w:hAnsi="Cambria" w:cs="Times New Roman"/>
      <w:b/>
      <w:bCs/>
      <w:i/>
      <w:iCs/>
      <w:color w:val="4F81BD"/>
      <w:sz w:val="24"/>
      <w:szCs w:val="24"/>
      <w:lang w:val="es-ES_tradnl"/>
    </w:rPr>
  </w:style>
  <w:style w:type="paragraph" w:styleId="BodyText2">
    <w:name w:val="Body Text 2"/>
    <w:basedOn w:val="Normal"/>
    <w:link w:val="BodyText2Char"/>
    <w:rsid w:val="00DF154A"/>
    <w:pPr>
      <w:spacing w:after="120" w:line="480" w:lineRule="auto"/>
    </w:pPr>
    <w:rPr>
      <w:rFonts w:ascii="Times" w:eastAsia="Times" w:hAnsi="Times"/>
      <w:lang w:eastAsia="es-ES"/>
    </w:rPr>
  </w:style>
  <w:style w:type="character" w:customStyle="1" w:styleId="BodyText2Char">
    <w:name w:val="Body Text 2 Char"/>
    <w:link w:val="BodyText2"/>
    <w:rsid w:val="00DF154A"/>
    <w:rPr>
      <w:rFonts w:ascii="Times" w:eastAsia="Times" w:hAnsi="Times" w:cs="Times New Roman"/>
      <w:sz w:val="24"/>
      <w:szCs w:val="20"/>
      <w:lang w:val="es-ES_tradnl" w:eastAsia="es-ES"/>
    </w:rPr>
  </w:style>
  <w:style w:type="paragraph" w:styleId="BlockText">
    <w:name w:val="Block Text"/>
    <w:basedOn w:val="Normal"/>
    <w:rsid w:val="00DF154A"/>
    <w:pPr>
      <w:ind w:left="720" w:right="720"/>
      <w:jc w:val="both"/>
    </w:pPr>
    <w:rPr>
      <w:rFonts w:ascii="Univers" w:hAnsi="Univers"/>
      <w:spacing w:val="-2"/>
      <w:sz w:val="18"/>
      <w:lang w:val="es-PY"/>
    </w:rPr>
  </w:style>
  <w:style w:type="paragraph" w:styleId="BodyText3">
    <w:name w:val="Body Text 3"/>
    <w:basedOn w:val="Normal"/>
    <w:link w:val="BodyText3Char"/>
    <w:rsid w:val="00DF154A"/>
    <w:pPr>
      <w:spacing w:after="120"/>
    </w:pPr>
    <w:rPr>
      <w:rFonts w:ascii="Times" w:eastAsia="Times" w:hAnsi="Times"/>
      <w:sz w:val="16"/>
      <w:szCs w:val="16"/>
      <w:lang w:eastAsia="es-ES"/>
    </w:rPr>
  </w:style>
  <w:style w:type="character" w:customStyle="1" w:styleId="BodyText3Char">
    <w:name w:val="Body Text 3 Char"/>
    <w:link w:val="BodyText3"/>
    <w:rsid w:val="00DF154A"/>
    <w:rPr>
      <w:rFonts w:ascii="Times" w:eastAsia="Times" w:hAnsi="Times" w:cs="Times New Roman"/>
      <w:sz w:val="16"/>
      <w:szCs w:val="16"/>
      <w:lang w:val="es-ES_tradnl" w:eastAsia="es-ES"/>
    </w:rPr>
  </w:style>
  <w:style w:type="paragraph" w:styleId="BodyText">
    <w:name w:val="Body Text"/>
    <w:basedOn w:val="Normal"/>
    <w:link w:val="BodyTextChar"/>
    <w:rsid w:val="00A04428"/>
    <w:pPr>
      <w:spacing w:after="120"/>
    </w:pPr>
    <w:rPr>
      <w:rFonts w:ascii="Times" w:eastAsia="Times" w:hAnsi="Times"/>
      <w:lang w:eastAsia="x-none"/>
    </w:rPr>
  </w:style>
  <w:style w:type="character" w:customStyle="1" w:styleId="BodyTextChar">
    <w:name w:val="Body Text Char"/>
    <w:link w:val="BodyText"/>
    <w:rsid w:val="00A04428"/>
    <w:rPr>
      <w:rFonts w:ascii="Times" w:eastAsia="Times" w:hAnsi="Times" w:cs="Times New Roman"/>
      <w:sz w:val="24"/>
      <w:szCs w:val="20"/>
      <w:lang w:val="es-ES_tradnl"/>
    </w:rPr>
  </w:style>
  <w:style w:type="paragraph" w:styleId="Footer">
    <w:name w:val="footer"/>
    <w:basedOn w:val="Normal"/>
    <w:link w:val="FooterChar"/>
    <w:semiHidden/>
    <w:rsid w:val="00975A97"/>
    <w:pPr>
      <w:tabs>
        <w:tab w:val="center" w:pos="4320"/>
        <w:tab w:val="right" w:pos="8640"/>
      </w:tabs>
    </w:pPr>
    <w:rPr>
      <w:rFonts w:ascii="Times" w:eastAsia="Times" w:hAnsi="Times"/>
      <w:lang w:eastAsia="x-none"/>
    </w:rPr>
  </w:style>
  <w:style w:type="character" w:customStyle="1" w:styleId="FooterChar">
    <w:name w:val="Footer Char"/>
    <w:link w:val="Footer"/>
    <w:semiHidden/>
    <w:rsid w:val="00975A97"/>
    <w:rPr>
      <w:rFonts w:ascii="Times" w:eastAsia="Times" w:hAnsi="Times" w:cs="Times New Roman"/>
      <w:sz w:val="24"/>
      <w:szCs w:val="20"/>
      <w:lang w:val="es-ES_tradnl"/>
    </w:rPr>
  </w:style>
  <w:style w:type="paragraph" w:styleId="BalloonText">
    <w:name w:val="Balloon Text"/>
    <w:basedOn w:val="Normal"/>
    <w:link w:val="BalloonTextChar"/>
    <w:uiPriority w:val="99"/>
    <w:semiHidden/>
    <w:unhideWhenUsed/>
    <w:rsid w:val="00C6782C"/>
    <w:rPr>
      <w:rFonts w:ascii="Lucida Grande" w:hAnsi="Lucida Grande"/>
      <w:sz w:val="18"/>
      <w:szCs w:val="18"/>
      <w:lang w:eastAsia="x-none"/>
    </w:rPr>
  </w:style>
  <w:style w:type="character" w:customStyle="1" w:styleId="BalloonTextChar">
    <w:name w:val="Balloon Text Char"/>
    <w:link w:val="BalloonText"/>
    <w:uiPriority w:val="99"/>
    <w:semiHidden/>
    <w:rsid w:val="00C6782C"/>
    <w:rPr>
      <w:rFonts w:ascii="Lucida Grande" w:eastAsia="Times New Roman" w:hAnsi="Lucida Grande" w:cs="Lucida Grande"/>
      <w:sz w:val="18"/>
      <w:szCs w:val="18"/>
      <w:lang w:val="es-ES_tradnl"/>
    </w:rPr>
  </w:style>
  <w:style w:type="paragraph" w:styleId="Header">
    <w:name w:val="header"/>
    <w:basedOn w:val="Normal"/>
    <w:link w:val="HeaderChar"/>
    <w:uiPriority w:val="99"/>
    <w:unhideWhenUsed/>
    <w:rsid w:val="009F19E2"/>
    <w:pPr>
      <w:tabs>
        <w:tab w:val="center" w:pos="4680"/>
        <w:tab w:val="right" w:pos="9360"/>
      </w:tabs>
    </w:pPr>
    <w:rPr>
      <w:lang w:eastAsia="x-none"/>
    </w:rPr>
  </w:style>
  <w:style w:type="character" w:customStyle="1" w:styleId="HeaderChar">
    <w:name w:val="Header Char"/>
    <w:link w:val="Header"/>
    <w:uiPriority w:val="99"/>
    <w:rsid w:val="009F19E2"/>
    <w:rPr>
      <w:rFonts w:ascii="Times New Roman" w:eastAsia="Times New Roman" w:hAnsi="Times New Roman" w:cs="Times New Roman"/>
      <w:sz w:val="24"/>
      <w:szCs w:val="24"/>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Texto nota pie Car Char1,FA Fu Car Char1,FA Fu Car Car Char1,Ca Char"/>
    <w:uiPriority w:val="99"/>
    <w:locked/>
    <w:rsid w:val="001B7403"/>
    <w:rPr>
      <w:rFonts w:ascii="Times New Roman" w:eastAsia="Times New Roman" w:hAnsi="Times New Roman" w:cs="Times New Roman"/>
      <w:sz w:val="20"/>
      <w:szCs w:val="20"/>
      <w:lang w:val="es-ES_tradnl"/>
    </w:rPr>
  </w:style>
  <w:style w:type="paragraph" w:customStyle="1" w:styleId="ColorfulShading-Accent11">
    <w:name w:val="Colorful Shading - Accent 11"/>
    <w:hidden/>
    <w:uiPriority w:val="99"/>
    <w:semiHidden/>
    <w:rsid w:val="002E7884"/>
    <w:rPr>
      <w:rFonts w:ascii="Times New Roman" w:eastAsia="Times New Roman" w:hAnsi="Times New Roman"/>
      <w:sz w:val="24"/>
      <w:szCs w:val="24"/>
      <w:lang w:val="es-ES_tradnl" w:eastAsia="en-US"/>
    </w:rPr>
  </w:style>
  <w:style w:type="paragraph" w:styleId="NormalWeb">
    <w:name w:val="Normal (Web)"/>
    <w:basedOn w:val="Normal"/>
    <w:uiPriority w:val="99"/>
    <w:rsid w:val="00111E9E"/>
    <w:pPr>
      <w:spacing w:before="100" w:beforeAutospacing="1" w:after="100" w:afterAutospacing="1"/>
    </w:pPr>
    <w:rPr>
      <w:lang w:val="es-CL" w:eastAsia="es-CL"/>
    </w:rPr>
  </w:style>
  <w:style w:type="character" w:customStyle="1" w:styleId="eacep1">
    <w:name w:val="eacep1"/>
    <w:rsid w:val="00111E9E"/>
    <w:rPr>
      <w:color w:val="000000"/>
    </w:rPr>
  </w:style>
  <w:style w:type="paragraph" w:customStyle="1" w:styleId="style2">
    <w:name w:val="style2"/>
    <w:basedOn w:val="Normal"/>
    <w:rsid w:val="00111E9E"/>
    <w:pPr>
      <w:spacing w:before="100" w:beforeAutospacing="1" w:after="100" w:afterAutospacing="1" w:line="204" w:lineRule="atLeast"/>
      <w:jc w:val="both"/>
    </w:pPr>
    <w:rPr>
      <w:color w:val="000000"/>
      <w:sz w:val="15"/>
      <w:szCs w:val="15"/>
      <w:lang w:val="es-CL" w:eastAsia="es-CL"/>
    </w:rPr>
  </w:style>
  <w:style w:type="character" w:customStyle="1" w:styleId="eejemplo1">
    <w:name w:val="eejemplo1"/>
    <w:rsid w:val="00111E9E"/>
    <w:rPr>
      <w:color w:val="800080"/>
    </w:rPr>
  </w:style>
  <w:style w:type="character" w:styleId="CommentReference">
    <w:name w:val="annotation reference"/>
    <w:uiPriority w:val="99"/>
    <w:semiHidden/>
    <w:unhideWhenUsed/>
    <w:rsid w:val="00111E9E"/>
    <w:rPr>
      <w:sz w:val="16"/>
      <w:szCs w:val="16"/>
    </w:rPr>
  </w:style>
  <w:style w:type="paragraph" w:styleId="CommentText">
    <w:name w:val="annotation text"/>
    <w:basedOn w:val="Normal"/>
    <w:link w:val="CommentTextChar"/>
    <w:uiPriority w:val="99"/>
    <w:unhideWhenUsed/>
    <w:rsid w:val="00066584"/>
    <w:rPr>
      <w:lang w:eastAsia="x-none"/>
    </w:rPr>
  </w:style>
  <w:style w:type="character" w:customStyle="1" w:styleId="CommentTextChar">
    <w:name w:val="Comment Text Char"/>
    <w:link w:val="CommentText"/>
    <w:uiPriority w:val="99"/>
    <w:rsid w:val="00066584"/>
    <w:rPr>
      <w:rFonts w:ascii="Times New Roman" w:eastAsia="Times New Roman" w:hAnsi="Times New Roman"/>
      <w:lang w:val="es-ES_tradnl"/>
    </w:rPr>
  </w:style>
  <w:style w:type="paragraph" w:styleId="CommentSubject">
    <w:name w:val="annotation subject"/>
    <w:basedOn w:val="CommentText"/>
    <w:next w:val="CommentText"/>
    <w:link w:val="CommentSubjectChar"/>
    <w:uiPriority w:val="99"/>
    <w:semiHidden/>
    <w:unhideWhenUsed/>
    <w:rsid w:val="00066584"/>
    <w:rPr>
      <w:b/>
      <w:bCs/>
    </w:rPr>
  </w:style>
  <w:style w:type="character" w:customStyle="1" w:styleId="CommentSubjectChar">
    <w:name w:val="Comment Subject Char"/>
    <w:link w:val="CommentSubject"/>
    <w:uiPriority w:val="99"/>
    <w:semiHidden/>
    <w:rsid w:val="00066584"/>
    <w:rPr>
      <w:rFonts w:ascii="Times New Roman" w:eastAsia="Times New Roman" w:hAnsi="Times New Roman"/>
      <w:b/>
      <w:bCs/>
      <w:lang w:val="es-ES_tradnl"/>
    </w:rPr>
  </w:style>
  <w:style w:type="character" w:styleId="Strong">
    <w:name w:val="Strong"/>
    <w:uiPriority w:val="22"/>
    <w:qFormat/>
    <w:rsid w:val="001115B4"/>
    <w:rPr>
      <w:b/>
      <w:bCs/>
    </w:rPr>
  </w:style>
  <w:style w:type="paragraph" w:customStyle="1" w:styleId="ParaAttribute3">
    <w:name w:val="ParaAttribute3"/>
    <w:rsid w:val="003A3F57"/>
    <w:pPr>
      <w:widowControl w:val="0"/>
      <w:wordWrap w:val="0"/>
      <w:jc w:val="both"/>
    </w:pPr>
    <w:rPr>
      <w:rFonts w:ascii="Times New Roman" w:eastAsia="Batang" w:hAnsi="Times New Roman"/>
      <w:lang w:val="en-US" w:eastAsia="en-US"/>
    </w:rPr>
  </w:style>
  <w:style w:type="character" w:customStyle="1" w:styleId="CharAttribute31">
    <w:name w:val="CharAttribute31"/>
    <w:rsid w:val="003A3F57"/>
    <w:rPr>
      <w:rFonts w:ascii="Verdana" w:eastAsia="Verdana" w:hAnsi="Verdana"/>
      <w:sz w:val="16"/>
    </w:rPr>
  </w:style>
  <w:style w:type="character" w:customStyle="1" w:styleId="CharAttribute33">
    <w:name w:val="CharAttribute33"/>
    <w:rsid w:val="003A3F57"/>
    <w:rPr>
      <w:rFonts w:ascii="Verdana" w:eastAsia="Verdana" w:hAnsi="Verdana"/>
      <w:sz w:val="16"/>
      <w:vertAlign w:val="superscript"/>
    </w:rPr>
  </w:style>
  <w:style w:type="paragraph" w:styleId="ListParagraph">
    <w:name w:val="List Paragraph"/>
    <w:basedOn w:val="Normal"/>
    <w:link w:val="ListParagraphChar"/>
    <w:uiPriority w:val="34"/>
    <w:qFormat/>
    <w:rsid w:val="00EA2B2E"/>
    <w:pPr>
      <w:ind w:left="720"/>
    </w:pPr>
  </w:style>
  <w:style w:type="paragraph" w:customStyle="1" w:styleId="Default">
    <w:name w:val="Default"/>
    <w:rsid w:val="006346DC"/>
    <w:pPr>
      <w:autoSpaceDE w:val="0"/>
      <w:autoSpaceDN w:val="0"/>
      <w:adjustRightInd w:val="0"/>
    </w:pPr>
    <w:rPr>
      <w:rFonts w:cs="Verdana"/>
      <w:color w:val="000000"/>
      <w:sz w:val="24"/>
      <w:szCs w:val="24"/>
      <w:lang w:val="en-US" w:eastAsia="en-US"/>
    </w:rPr>
  </w:style>
  <w:style w:type="character" w:customStyle="1" w:styleId="apple-converted-space">
    <w:name w:val="apple-converted-space"/>
    <w:rsid w:val="000B06F6"/>
  </w:style>
  <w:style w:type="character" w:customStyle="1" w:styleId="sb8d990e2">
    <w:name w:val="sb8d990e2"/>
    <w:rsid w:val="00EC2FC7"/>
  </w:style>
  <w:style w:type="character" w:styleId="LineNumber">
    <w:name w:val="line number"/>
    <w:basedOn w:val="DefaultParagraphFont"/>
    <w:uiPriority w:val="99"/>
    <w:semiHidden/>
    <w:unhideWhenUsed/>
    <w:rsid w:val="00791205"/>
  </w:style>
  <w:style w:type="paragraph" w:styleId="EndnoteText">
    <w:name w:val="endnote text"/>
    <w:basedOn w:val="Normal"/>
    <w:link w:val="EndnoteTextChar"/>
    <w:uiPriority w:val="99"/>
    <w:semiHidden/>
    <w:unhideWhenUsed/>
    <w:rsid w:val="004A754F"/>
  </w:style>
  <w:style w:type="character" w:customStyle="1" w:styleId="EndnoteTextChar">
    <w:name w:val="Endnote Text Char"/>
    <w:basedOn w:val="DefaultParagraphFont"/>
    <w:link w:val="EndnoteText"/>
    <w:uiPriority w:val="99"/>
    <w:semiHidden/>
    <w:rsid w:val="004A754F"/>
    <w:rPr>
      <w:rFonts w:ascii="Times New Roman" w:eastAsia="Times New Roman" w:hAnsi="Times New Roman"/>
      <w:lang w:val="es-ES_tradnl" w:eastAsia="en-US"/>
    </w:rPr>
  </w:style>
  <w:style w:type="character" w:styleId="EndnoteReference">
    <w:name w:val="endnote reference"/>
    <w:basedOn w:val="DefaultParagraphFont"/>
    <w:uiPriority w:val="99"/>
    <w:semiHidden/>
    <w:unhideWhenUsed/>
    <w:rsid w:val="004A754F"/>
    <w:rPr>
      <w:vertAlign w:val="superscript"/>
    </w:rPr>
  </w:style>
  <w:style w:type="paragraph" w:styleId="Revision">
    <w:name w:val="Revision"/>
    <w:hidden/>
    <w:uiPriority w:val="99"/>
    <w:semiHidden/>
    <w:rsid w:val="00B37D2F"/>
    <w:rPr>
      <w:rFonts w:ascii="Times New Roman" w:eastAsia="Times New Roman" w:hAnsi="Times New Roman"/>
      <w:sz w:val="24"/>
      <w:szCs w:val="24"/>
      <w:lang w:val="es-ES_tradnl" w:eastAsia="en-US"/>
    </w:rPr>
  </w:style>
  <w:style w:type="character" w:styleId="Hyperlink">
    <w:name w:val="Hyperlink"/>
    <w:basedOn w:val="DefaultParagraphFont"/>
    <w:uiPriority w:val="99"/>
    <w:unhideWhenUsed/>
    <w:rsid w:val="004B58AF"/>
    <w:rPr>
      <w:color w:val="0000FF" w:themeColor="hyperlink"/>
      <w:u w:val="single"/>
    </w:rPr>
  </w:style>
  <w:style w:type="character" w:customStyle="1" w:styleId="eacep">
    <w:name w:val="eacep"/>
    <w:basedOn w:val="DefaultParagraphFont"/>
    <w:rsid w:val="003A2462"/>
  </w:style>
  <w:style w:type="character" w:customStyle="1" w:styleId="ListParagraphChar">
    <w:name w:val="List Paragraph Char"/>
    <w:link w:val="ListParagraph"/>
    <w:uiPriority w:val="34"/>
    <w:locked/>
    <w:rsid w:val="001F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2827">
      <w:bodyDiv w:val="1"/>
      <w:marLeft w:val="0"/>
      <w:marRight w:val="0"/>
      <w:marTop w:val="0"/>
      <w:marBottom w:val="0"/>
      <w:divBdr>
        <w:top w:val="none" w:sz="0" w:space="0" w:color="auto"/>
        <w:left w:val="none" w:sz="0" w:space="0" w:color="auto"/>
        <w:bottom w:val="none" w:sz="0" w:space="0" w:color="auto"/>
        <w:right w:val="none" w:sz="0" w:space="0" w:color="auto"/>
      </w:divBdr>
    </w:div>
    <w:div w:id="113597201">
      <w:bodyDiv w:val="1"/>
      <w:marLeft w:val="0"/>
      <w:marRight w:val="0"/>
      <w:marTop w:val="0"/>
      <w:marBottom w:val="0"/>
      <w:divBdr>
        <w:top w:val="none" w:sz="0" w:space="0" w:color="auto"/>
        <w:left w:val="none" w:sz="0" w:space="0" w:color="auto"/>
        <w:bottom w:val="none" w:sz="0" w:space="0" w:color="auto"/>
        <w:right w:val="none" w:sz="0" w:space="0" w:color="auto"/>
      </w:divBdr>
    </w:div>
    <w:div w:id="332758877">
      <w:bodyDiv w:val="1"/>
      <w:marLeft w:val="0"/>
      <w:marRight w:val="0"/>
      <w:marTop w:val="0"/>
      <w:marBottom w:val="0"/>
      <w:divBdr>
        <w:top w:val="none" w:sz="0" w:space="0" w:color="auto"/>
        <w:left w:val="none" w:sz="0" w:space="0" w:color="auto"/>
        <w:bottom w:val="none" w:sz="0" w:space="0" w:color="auto"/>
        <w:right w:val="none" w:sz="0" w:space="0" w:color="auto"/>
      </w:divBdr>
    </w:div>
    <w:div w:id="1081023396">
      <w:bodyDiv w:val="1"/>
      <w:marLeft w:val="0"/>
      <w:marRight w:val="0"/>
      <w:marTop w:val="0"/>
      <w:marBottom w:val="0"/>
      <w:divBdr>
        <w:top w:val="none" w:sz="0" w:space="0" w:color="auto"/>
        <w:left w:val="none" w:sz="0" w:space="0" w:color="auto"/>
        <w:bottom w:val="none" w:sz="0" w:space="0" w:color="auto"/>
        <w:right w:val="none" w:sz="0" w:space="0" w:color="auto"/>
      </w:divBdr>
      <w:divsChild>
        <w:div w:id="999043818">
          <w:marLeft w:val="0"/>
          <w:marRight w:val="0"/>
          <w:marTop w:val="0"/>
          <w:marBottom w:val="0"/>
          <w:divBdr>
            <w:top w:val="none" w:sz="0" w:space="0" w:color="auto"/>
            <w:left w:val="none" w:sz="0" w:space="0" w:color="auto"/>
            <w:bottom w:val="none" w:sz="0" w:space="0" w:color="auto"/>
            <w:right w:val="none" w:sz="0" w:space="0" w:color="auto"/>
          </w:divBdr>
          <w:divsChild>
            <w:div w:id="1032389500">
              <w:marLeft w:val="0"/>
              <w:marRight w:val="0"/>
              <w:marTop w:val="0"/>
              <w:marBottom w:val="0"/>
              <w:divBdr>
                <w:top w:val="none" w:sz="0" w:space="0" w:color="auto"/>
                <w:left w:val="none" w:sz="0" w:space="0" w:color="auto"/>
                <w:bottom w:val="none" w:sz="0" w:space="0" w:color="auto"/>
                <w:right w:val="none" w:sz="0" w:space="0" w:color="auto"/>
              </w:divBdr>
              <w:divsChild>
                <w:div w:id="8308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5246">
      <w:bodyDiv w:val="1"/>
      <w:marLeft w:val="0"/>
      <w:marRight w:val="0"/>
      <w:marTop w:val="0"/>
      <w:marBottom w:val="0"/>
      <w:divBdr>
        <w:top w:val="none" w:sz="0" w:space="0" w:color="auto"/>
        <w:left w:val="none" w:sz="0" w:space="0" w:color="auto"/>
        <w:bottom w:val="none" w:sz="0" w:space="0" w:color="auto"/>
        <w:right w:val="none" w:sz="0" w:space="0" w:color="auto"/>
      </w:divBdr>
    </w:div>
    <w:div w:id="1412968139">
      <w:bodyDiv w:val="1"/>
      <w:marLeft w:val="0"/>
      <w:marRight w:val="0"/>
      <w:marTop w:val="0"/>
      <w:marBottom w:val="0"/>
      <w:divBdr>
        <w:top w:val="none" w:sz="0" w:space="0" w:color="auto"/>
        <w:left w:val="none" w:sz="0" w:space="0" w:color="auto"/>
        <w:bottom w:val="none" w:sz="0" w:space="0" w:color="auto"/>
        <w:right w:val="none" w:sz="0" w:space="0" w:color="auto"/>
      </w:divBdr>
    </w:div>
    <w:div w:id="1611887091">
      <w:bodyDiv w:val="1"/>
      <w:marLeft w:val="0"/>
      <w:marRight w:val="0"/>
      <w:marTop w:val="0"/>
      <w:marBottom w:val="0"/>
      <w:divBdr>
        <w:top w:val="none" w:sz="0" w:space="0" w:color="auto"/>
        <w:left w:val="none" w:sz="0" w:space="0" w:color="auto"/>
        <w:bottom w:val="none" w:sz="0" w:space="0" w:color="auto"/>
        <w:right w:val="none" w:sz="0" w:space="0" w:color="auto"/>
      </w:divBdr>
      <w:divsChild>
        <w:div w:id="621037809">
          <w:marLeft w:val="0"/>
          <w:marRight w:val="0"/>
          <w:marTop w:val="0"/>
          <w:marBottom w:val="0"/>
          <w:divBdr>
            <w:top w:val="none" w:sz="0" w:space="0" w:color="auto"/>
            <w:left w:val="none" w:sz="0" w:space="0" w:color="auto"/>
            <w:bottom w:val="none" w:sz="0" w:space="0" w:color="auto"/>
            <w:right w:val="none" w:sz="0" w:space="0" w:color="auto"/>
          </w:divBdr>
          <w:divsChild>
            <w:div w:id="1265108730">
              <w:marLeft w:val="0"/>
              <w:marRight w:val="0"/>
              <w:marTop w:val="0"/>
              <w:marBottom w:val="0"/>
              <w:divBdr>
                <w:top w:val="none" w:sz="0" w:space="0" w:color="auto"/>
                <w:left w:val="none" w:sz="0" w:space="0" w:color="auto"/>
                <w:bottom w:val="none" w:sz="0" w:space="0" w:color="auto"/>
                <w:right w:val="none" w:sz="0" w:space="0" w:color="auto"/>
              </w:divBdr>
              <w:divsChild>
                <w:div w:id="2017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hchr.org.mx/images/doc_pub/Informe_defensoresDH_2013_web.pdf" TargetMode="External"/><Relationship Id="rId2" Type="http://schemas.openxmlformats.org/officeDocument/2006/relationships/hyperlink" Target="https://www.opensocietyfoundations.org/sites/default/files/justicia-fallida-estado-guerrero-esp-20150826.pdf" TargetMode="External"/><Relationship Id="rId1" Type="http://schemas.openxmlformats.org/officeDocument/2006/relationships/hyperlink" Target="http://www.eluniversal.com.mx/articulo/nacion/seguridad/2016/04/5/video-busca-ligar-padres-de-los-43-con-el-narcotrafico" TargetMode="External"/><Relationship Id="rId4" Type="http://schemas.openxmlformats.org/officeDocument/2006/relationships/hyperlink" Target="https://www.comitecerezo.org/IMG/pdf/vdh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3A0A0-B016-430F-9B6A-E6D2493A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7817</Words>
  <Characters>42995</Characters>
  <Application>Microsoft Office Word</Application>
  <DocSecurity>0</DocSecurity>
  <Lines>358</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Corte IDH</Company>
  <LinksUpToDate>false</LinksUpToDate>
  <CharactersWithSpaces>50711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Julliana Saborio</cp:lastModifiedBy>
  <cp:revision>3</cp:revision>
  <cp:lastPrinted>2017-03-08T22:34:00Z</cp:lastPrinted>
  <dcterms:created xsi:type="dcterms:W3CDTF">2017-03-08T22:36:00Z</dcterms:created>
  <dcterms:modified xsi:type="dcterms:W3CDTF">2017-03-08T22:53:00Z</dcterms:modified>
</cp:coreProperties>
</file>