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81" w:rsidRDefault="00DF2481" w:rsidP="00DF2481">
      <w:pPr>
        <w:pStyle w:val="NoSpacing"/>
        <w:jc w:val="center"/>
        <w:rPr>
          <w:rFonts w:ascii="Verdana" w:hAnsi="Verdana"/>
          <w:b/>
          <w:sz w:val="20"/>
          <w:szCs w:val="20"/>
          <w:lang w:val="es-ES_tradnl"/>
        </w:rPr>
      </w:pPr>
    </w:p>
    <w:p w:rsidR="00C93956" w:rsidRDefault="00C93956" w:rsidP="00DF2481">
      <w:pPr>
        <w:pStyle w:val="NoSpacing"/>
        <w:jc w:val="center"/>
        <w:rPr>
          <w:rFonts w:ascii="Verdana" w:hAnsi="Verdana"/>
          <w:b/>
          <w:sz w:val="20"/>
          <w:szCs w:val="20"/>
          <w:lang w:val="es-ES_tradnl"/>
        </w:rPr>
      </w:pPr>
    </w:p>
    <w:p w:rsidR="00C93956" w:rsidRDefault="00C93956" w:rsidP="00DF2481">
      <w:pPr>
        <w:pStyle w:val="NoSpacing"/>
        <w:jc w:val="center"/>
        <w:rPr>
          <w:rFonts w:ascii="Verdana" w:hAnsi="Verdana"/>
          <w:b/>
          <w:sz w:val="20"/>
          <w:szCs w:val="20"/>
          <w:lang w:val="es-ES_tradnl"/>
        </w:rPr>
      </w:pPr>
    </w:p>
    <w:p w:rsidR="00C93956" w:rsidRDefault="00C93956" w:rsidP="00DF2481">
      <w:pPr>
        <w:pStyle w:val="NoSpacing"/>
        <w:jc w:val="center"/>
        <w:rPr>
          <w:rFonts w:ascii="Verdana" w:hAnsi="Verdana"/>
          <w:b/>
          <w:sz w:val="20"/>
          <w:szCs w:val="20"/>
          <w:lang w:val="es-ES_tradnl"/>
        </w:rPr>
      </w:pPr>
    </w:p>
    <w:p w:rsidR="003876F6" w:rsidRPr="004C09CF" w:rsidRDefault="003876F6" w:rsidP="00DF2481">
      <w:pPr>
        <w:pStyle w:val="NoSpacing"/>
        <w:jc w:val="center"/>
        <w:rPr>
          <w:rFonts w:ascii="Verdana" w:hAnsi="Verdana"/>
          <w:b/>
          <w:sz w:val="20"/>
          <w:szCs w:val="20"/>
          <w:lang w:val="es-ES_tradnl"/>
        </w:rPr>
      </w:pPr>
    </w:p>
    <w:p w:rsidR="00DF2481" w:rsidRPr="004C09CF" w:rsidRDefault="00DF2481" w:rsidP="00DF2481">
      <w:pPr>
        <w:pStyle w:val="NoSpacing"/>
        <w:jc w:val="center"/>
        <w:rPr>
          <w:rFonts w:ascii="Verdana" w:hAnsi="Verdana"/>
          <w:b/>
          <w:sz w:val="20"/>
          <w:szCs w:val="20"/>
          <w:lang w:val="es-ES_tradnl"/>
        </w:rPr>
      </w:pPr>
      <w:r w:rsidRPr="004C09CF">
        <w:rPr>
          <w:rFonts w:ascii="Verdana" w:hAnsi="Verdana"/>
          <w:b/>
          <w:sz w:val="20"/>
          <w:szCs w:val="20"/>
          <w:lang w:val="es-ES_tradnl"/>
        </w:rPr>
        <w:t>RESOLUCI</w:t>
      </w:r>
      <w:r w:rsidRPr="00BF67C1">
        <w:rPr>
          <w:rFonts w:ascii="Verdana" w:hAnsi="Verdana"/>
          <w:b/>
          <w:sz w:val="20"/>
          <w:szCs w:val="20"/>
          <w:lang w:val="es-ES_tradnl"/>
        </w:rPr>
        <w:t>ÓN</w:t>
      </w:r>
      <w:r w:rsidRPr="004C09CF">
        <w:rPr>
          <w:rFonts w:ascii="Verdana" w:hAnsi="Verdana"/>
          <w:b/>
          <w:sz w:val="20"/>
          <w:szCs w:val="20"/>
          <w:lang w:val="es-ES_tradnl"/>
        </w:rPr>
        <w:t xml:space="preserve"> DE LA</w:t>
      </w:r>
    </w:p>
    <w:p w:rsidR="00DF2481" w:rsidRPr="004C09CF" w:rsidRDefault="00DF2481" w:rsidP="00DF2481">
      <w:pPr>
        <w:pStyle w:val="NoSpacing"/>
        <w:jc w:val="center"/>
        <w:rPr>
          <w:rFonts w:ascii="Verdana" w:hAnsi="Verdana"/>
          <w:b/>
          <w:sz w:val="20"/>
          <w:szCs w:val="20"/>
          <w:lang w:val="es-ES_tradnl"/>
        </w:rPr>
      </w:pPr>
      <w:r w:rsidRPr="004C09CF">
        <w:rPr>
          <w:rFonts w:ascii="Verdana" w:hAnsi="Verdana"/>
          <w:b/>
          <w:sz w:val="20"/>
          <w:szCs w:val="20"/>
          <w:lang w:val="es-ES_tradnl"/>
        </w:rPr>
        <w:t>CORTE INTERAMERICANA DE DERECHOS HUMANOS</w:t>
      </w:r>
    </w:p>
    <w:p w:rsidR="00DF2481" w:rsidRPr="004C09CF" w:rsidRDefault="00C27632" w:rsidP="00DF2481">
      <w:pPr>
        <w:pStyle w:val="NoSpacing"/>
        <w:jc w:val="center"/>
        <w:rPr>
          <w:rFonts w:ascii="Verdana" w:hAnsi="Verdana"/>
          <w:b/>
          <w:sz w:val="20"/>
          <w:szCs w:val="20"/>
          <w:lang w:val="es-ES_tradnl"/>
        </w:rPr>
      </w:pPr>
      <w:r>
        <w:rPr>
          <w:rFonts w:ascii="Verdana" w:hAnsi="Verdana"/>
          <w:b/>
          <w:sz w:val="20"/>
          <w:szCs w:val="20"/>
          <w:lang w:val="es-ES_tradnl"/>
        </w:rPr>
        <w:t>DE 23</w:t>
      </w:r>
      <w:r w:rsidR="00DF2481" w:rsidRPr="004C09CF">
        <w:rPr>
          <w:rFonts w:ascii="Verdana" w:hAnsi="Verdana"/>
          <w:b/>
          <w:sz w:val="20"/>
          <w:szCs w:val="20"/>
          <w:lang w:val="es-ES_tradnl"/>
        </w:rPr>
        <w:t xml:space="preserve"> DE NOVIEMBRE DE 2016</w:t>
      </w:r>
    </w:p>
    <w:p w:rsidR="00DF2481" w:rsidRPr="004C09CF" w:rsidRDefault="00DF2481" w:rsidP="00DF2481">
      <w:pPr>
        <w:pStyle w:val="NoSpacing"/>
        <w:jc w:val="center"/>
        <w:rPr>
          <w:rFonts w:ascii="Verdana" w:hAnsi="Verdana"/>
          <w:b/>
          <w:sz w:val="20"/>
          <w:szCs w:val="20"/>
          <w:lang w:val="es-ES_tradnl"/>
        </w:rPr>
      </w:pPr>
    </w:p>
    <w:p w:rsidR="00DF2481" w:rsidRPr="004C09CF" w:rsidRDefault="00DF2481" w:rsidP="00DF2481">
      <w:pPr>
        <w:pStyle w:val="NoSpacing"/>
        <w:jc w:val="center"/>
        <w:rPr>
          <w:rFonts w:ascii="Verdana" w:hAnsi="Verdana"/>
          <w:b/>
          <w:sz w:val="20"/>
          <w:szCs w:val="20"/>
          <w:lang w:val="es-ES_tradnl"/>
        </w:rPr>
      </w:pPr>
      <w:r w:rsidRPr="004C09CF">
        <w:rPr>
          <w:rFonts w:ascii="Verdana" w:hAnsi="Verdana"/>
          <w:b/>
          <w:sz w:val="20"/>
          <w:szCs w:val="20"/>
          <w:lang w:val="es-ES_tradnl"/>
        </w:rPr>
        <w:t>MEDIDAS PROVISIONALES</w:t>
      </w:r>
    </w:p>
    <w:p w:rsidR="00DF2481" w:rsidRDefault="00DF2481" w:rsidP="00DF2481">
      <w:pPr>
        <w:pStyle w:val="NoSpacing"/>
        <w:jc w:val="center"/>
        <w:rPr>
          <w:rFonts w:ascii="Verdana" w:hAnsi="Verdana"/>
          <w:b/>
          <w:sz w:val="20"/>
          <w:szCs w:val="20"/>
          <w:lang w:val="es-ES_tradnl"/>
        </w:rPr>
      </w:pPr>
      <w:r w:rsidRPr="00272BC5">
        <w:rPr>
          <w:rFonts w:ascii="Verdana" w:hAnsi="Verdana"/>
          <w:b/>
          <w:sz w:val="20"/>
          <w:szCs w:val="20"/>
          <w:lang w:val="es-ES_tradnl"/>
        </w:rPr>
        <w:t xml:space="preserve">RESPECTO </w:t>
      </w:r>
      <w:r w:rsidRPr="008B6CF0">
        <w:rPr>
          <w:rFonts w:ascii="Verdana" w:hAnsi="Verdana"/>
          <w:b/>
          <w:sz w:val="20"/>
          <w:szCs w:val="20"/>
          <w:lang w:val="es-ES_tradnl"/>
        </w:rPr>
        <w:t>HONDURAS</w:t>
      </w:r>
    </w:p>
    <w:p w:rsidR="002F2978" w:rsidRPr="004C09CF" w:rsidRDefault="002F2978" w:rsidP="00DF2481">
      <w:pPr>
        <w:pStyle w:val="NoSpacing"/>
        <w:jc w:val="center"/>
        <w:rPr>
          <w:rFonts w:ascii="Verdana" w:hAnsi="Verdana"/>
          <w:b/>
          <w:sz w:val="20"/>
          <w:szCs w:val="20"/>
          <w:lang w:val="es-ES_tradnl"/>
        </w:rPr>
      </w:pPr>
    </w:p>
    <w:p w:rsidR="00DF2481" w:rsidRPr="004C09CF" w:rsidRDefault="00DF2481" w:rsidP="00DF2481">
      <w:pPr>
        <w:pStyle w:val="NoSpacing"/>
        <w:jc w:val="center"/>
        <w:rPr>
          <w:rFonts w:ascii="Verdana" w:hAnsi="Verdana"/>
          <w:b/>
          <w:sz w:val="20"/>
          <w:szCs w:val="20"/>
          <w:lang w:val="es-ES_tradnl"/>
        </w:rPr>
      </w:pPr>
      <w:r w:rsidRPr="004C09CF">
        <w:rPr>
          <w:rFonts w:ascii="Verdana" w:hAnsi="Verdana"/>
          <w:b/>
          <w:sz w:val="20"/>
          <w:szCs w:val="20"/>
          <w:lang w:val="es-ES_tradnl"/>
        </w:rPr>
        <w:t>ASUNTO JOSÉ LUIS GALDÁMEZ ÁLVAREZ Y OTROS</w:t>
      </w:r>
    </w:p>
    <w:p w:rsidR="00DF2481" w:rsidRPr="004C09CF" w:rsidRDefault="00DF2481" w:rsidP="009F2874">
      <w:pPr>
        <w:tabs>
          <w:tab w:val="left" w:pos="975"/>
        </w:tabs>
        <w:rPr>
          <w:rFonts w:ascii="Verdana" w:hAnsi="Verdana"/>
          <w:sz w:val="20"/>
          <w:szCs w:val="20"/>
          <w:lang w:val="es-ES_tradnl"/>
        </w:rPr>
      </w:pPr>
    </w:p>
    <w:p w:rsidR="009F2874" w:rsidRPr="004C09CF" w:rsidRDefault="009F2874" w:rsidP="009F2874">
      <w:pPr>
        <w:tabs>
          <w:tab w:val="left" w:pos="975"/>
        </w:tabs>
        <w:rPr>
          <w:rFonts w:ascii="Verdana" w:hAnsi="Verdana"/>
          <w:b/>
          <w:sz w:val="20"/>
          <w:szCs w:val="20"/>
        </w:rPr>
      </w:pPr>
      <w:r w:rsidRPr="004C09CF">
        <w:rPr>
          <w:rFonts w:ascii="Verdana" w:hAnsi="Verdana"/>
          <w:b/>
          <w:sz w:val="20"/>
          <w:szCs w:val="20"/>
        </w:rPr>
        <w:t>VISTO</w:t>
      </w:r>
      <w:r w:rsidRPr="004C09CF">
        <w:rPr>
          <w:rFonts w:ascii="Verdana" w:hAnsi="Verdana"/>
          <w:b/>
          <w:sz w:val="20"/>
          <w:szCs w:val="20"/>
        </w:rPr>
        <w:tab/>
      </w:r>
    </w:p>
    <w:p w:rsidR="009F2874" w:rsidRPr="004C09CF" w:rsidRDefault="002905E2" w:rsidP="009F2874">
      <w:pPr>
        <w:pStyle w:val="NoSpacing"/>
        <w:numPr>
          <w:ilvl w:val="0"/>
          <w:numId w:val="3"/>
        </w:numPr>
        <w:ind w:left="0" w:firstLine="0"/>
        <w:jc w:val="both"/>
        <w:rPr>
          <w:rFonts w:ascii="Verdana" w:hAnsi="Verdana"/>
          <w:sz w:val="20"/>
          <w:szCs w:val="20"/>
          <w:lang w:val="es-ES_tradnl"/>
        </w:rPr>
      </w:pPr>
      <w:r>
        <w:rPr>
          <w:rFonts w:ascii="Verdana" w:hAnsi="Verdana"/>
          <w:sz w:val="20"/>
          <w:szCs w:val="20"/>
          <w:lang w:val="es-ES_tradnl"/>
        </w:rPr>
        <w:t>La Resolución del Presidente de</w:t>
      </w:r>
      <w:bookmarkStart w:id="0" w:name="_GoBack"/>
      <w:bookmarkEnd w:id="0"/>
      <w:r w:rsidR="009F2874" w:rsidRPr="004C09CF">
        <w:rPr>
          <w:rFonts w:ascii="Verdana" w:hAnsi="Verdana"/>
          <w:sz w:val="20"/>
          <w:szCs w:val="20"/>
          <w:lang w:val="es-ES_tradnl"/>
        </w:rPr>
        <w:t xml:space="preserve"> la Corte Interamericana de Derechos Humanos</w:t>
      </w:r>
      <w:r w:rsidR="006B1906">
        <w:rPr>
          <w:rFonts w:ascii="Verdana" w:hAnsi="Verdana"/>
          <w:sz w:val="20"/>
          <w:szCs w:val="20"/>
          <w:lang w:val="es-ES_tradnl"/>
        </w:rPr>
        <w:t xml:space="preserve"> </w:t>
      </w:r>
      <w:r w:rsidR="006B1906" w:rsidRPr="004C09CF">
        <w:rPr>
          <w:rFonts w:ascii="Verdana" w:hAnsi="Verdana"/>
          <w:sz w:val="20"/>
          <w:szCs w:val="20"/>
          <w:lang w:val="es-ES_tradnl"/>
        </w:rPr>
        <w:t xml:space="preserve">(en adelante “la Corte Interamericana”, “la Corte” o “el Tribunal”) </w:t>
      </w:r>
      <w:r w:rsidR="009F2874" w:rsidRPr="004C09CF">
        <w:rPr>
          <w:rFonts w:ascii="Verdana" w:hAnsi="Verdana"/>
          <w:sz w:val="20"/>
          <w:szCs w:val="20"/>
          <w:lang w:val="es-ES_tradnl"/>
        </w:rPr>
        <w:t xml:space="preserve">de 22 de diciembre de 2010, así como las Resoluciones de la Corte de 22 de febrero de 2011 y 24 de octubre de 2012, mediante las cuales se ordenó la adopción de medidas provisionales en el presente asunto y se supervisó su implementación. En </w:t>
      </w:r>
      <w:r w:rsidR="00FE76D0" w:rsidRPr="004C09CF">
        <w:rPr>
          <w:rFonts w:ascii="Verdana" w:hAnsi="Verdana"/>
          <w:sz w:val="20"/>
          <w:szCs w:val="20"/>
          <w:lang w:val="es-ES_tradnl"/>
        </w:rPr>
        <w:t>la</w:t>
      </w:r>
      <w:r w:rsidR="009F2874" w:rsidRPr="004C09CF">
        <w:rPr>
          <w:rFonts w:ascii="Verdana" w:hAnsi="Verdana"/>
          <w:sz w:val="20"/>
          <w:szCs w:val="20"/>
          <w:lang w:val="es-ES_tradnl"/>
        </w:rPr>
        <w:t xml:space="preserve"> última Resolución este Tribunal resolvió que el Estado, </w:t>
      </w:r>
      <w:r w:rsidR="009F2874" w:rsidRPr="004C09CF">
        <w:rPr>
          <w:rFonts w:ascii="Verdana" w:hAnsi="Verdana"/>
          <w:i/>
          <w:sz w:val="20"/>
          <w:szCs w:val="20"/>
          <w:lang w:val="es-ES_tradnl"/>
        </w:rPr>
        <w:t xml:space="preserve">inter </w:t>
      </w:r>
      <w:proofErr w:type="spellStart"/>
      <w:r w:rsidR="009F2874" w:rsidRPr="004C09CF">
        <w:rPr>
          <w:rFonts w:ascii="Verdana" w:hAnsi="Verdana"/>
          <w:i/>
          <w:sz w:val="20"/>
          <w:szCs w:val="20"/>
          <w:lang w:val="es-ES_tradnl"/>
        </w:rPr>
        <w:t>alia</w:t>
      </w:r>
      <w:proofErr w:type="spellEnd"/>
      <w:r w:rsidR="009F2874" w:rsidRPr="004C09CF">
        <w:rPr>
          <w:rFonts w:ascii="Verdana" w:hAnsi="Verdana"/>
          <w:sz w:val="20"/>
          <w:szCs w:val="20"/>
          <w:lang w:val="es-ES_tradnl"/>
        </w:rPr>
        <w:t>:</w:t>
      </w:r>
    </w:p>
    <w:p w:rsidR="009F2874" w:rsidRPr="004C09CF" w:rsidRDefault="009F2874" w:rsidP="009F2874">
      <w:pPr>
        <w:pStyle w:val="NoSpacing"/>
        <w:jc w:val="both"/>
        <w:rPr>
          <w:rFonts w:ascii="Verdana" w:hAnsi="Verdana"/>
          <w:sz w:val="20"/>
          <w:szCs w:val="20"/>
          <w:lang w:val="es-ES_tradnl"/>
        </w:rPr>
      </w:pPr>
    </w:p>
    <w:p w:rsidR="009F2874" w:rsidRPr="009555F0" w:rsidRDefault="009F2874" w:rsidP="009555F0">
      <w:pPr>
        <w:pStyle w:val="NoSpacing"/>
        <w:ind w:left="709"/>
        <w:jc w:val="both"/>
        <w:rPr>
          <w:rFonts w:ascii="Verdana" w:hAnsi="Verdana"/>
          <w:sz w:val="18"/>
          <w:szCs w:val="20"/>
          <w:lang w:val="es-ES"/>
        </w:rPr>
      </w:pPr>
      <w:r w:rsidRPr="009555F0">
        <w:rPr>
          <w:rFonts w:ascii="Verdana" w:hAnsi="Verdana" w:cs="Arial"/>
          <w:sz w:val="18"/>
          <w:szCs w:val="20"/>
          <w:lang w:val="es-ES_tradnl"/>
        </w:rPr>
        <w:t>1. […]</w:t>
      </w:r>
      <w:r w:rsidRPr="009555F0">
        <w:rPr>
          <w:rFonts w:ascii="Verdana" w:hAnsi="Verdana"/>
          <w:sz w:val="18"/>
          <w:szCs w:val="20"/>
          <w:lang w:val="es-ES"/>
        </w:rPr>
        <w:t xml:space="preserve"> continúe adoptando de forma inmediata las medidas que sean necesarias para proteger la vida e integridad personal del señor José Luis Galdámez Álvarez, así como de su compañera Wendy Orellana Molina y de sus hijos Pedro Luis, José Luis, Marlon Josué, Ramón Israel y sus dos hijos menores de edad, todos ellos de apellido Galdámez, tomando en consideración las circunstancias particulares de riesgo en que se encuentran, de conformidad con lo establecido en los Considerandos 13</w:t>
      </w:r>
      <w:r w:rsidR="007E2B2E">
        <w:rPr>
          <w:rFonts w:ascii="Verdana" w:hAnsi="Verdana"/>
          <w:sz w:val="18"/>
          <w:szCs w:val="20"/>
          <w:lang w:val="es-ES"/>
        </w:rPr>
        <w:t xml:space="preserve"> a 18 de la presente Resolución.</w:t>
      </w:r>
    </w:p>
    <w:p w:rsidR="009F2874" w:rsidRPr="009555F0" w:rsidRDefault="009F2874" w:rsidP="009555F0">
      <w:pPr>
        <w:pStyle w:val="NoSpacing"/>
        <w:ind w:left="709"/>
        <w:jc w:val="both"/>
        <w:rPr>
          <w:rFonts w:ascii="Verdana" w:hAnsi="Verdana"/>
          <w:sz w:val="18"/>
          <w:szCs w:val="20"/>
          <w:lang w:val="es-ES"/>
        </w:rPr>
      </w:pPr>
    </w:p>
    <w:p w:rsidR="009F2874" w:rsidRPr="009555F0" w:rsidRDefault="009F2874" w:rsidP="007E2B2E">
      <w:pPr>
        <w:pStyle w:val="NoSpacing"/>
        <w:ind w:left="709"/>
        <w:jc w:val="both"/>
        <w:rPr>
          <w:rFonts w:ascii="Verdana" w:hAnsi="Verdana"/>
          <w:sz w:val="18"/>
          <w:szCs w:val="20"/>
          <w:lang w:val="es-ES"/>
        </w:rPr>
      </w:pPr>
      <w:r w:rsidRPr="009555F0">
        <w:rPr>
          <w:rFonts w:ascii="Verdana" w:hAnsi="Verdana"/>
          <w:sz w:val="18"/>
          <w:szCs w:val="20"/>
          <w:lang w:val="es-ES"/>
        </w:rPr>
        <w:t>2. […] realice todas las gestiones pertinentes para que las medidas de protección ordenadas en la presente Resolución se planifiquen e implementen con la participación de los beneficiarios de las mismas</w:t>
      </w:r>
      <w:r w:rsidRPr="009555F0">
        <w:rPr>
          <w:rFonts w:ascii="Verdana" w:hAnsi="Verdana"/>
          <w:b/>
          <w:sz w:val="18"/>
          <w:szCs w:val="20"/>
          <w:lang w:val="es-ES"/>
        </w:rPr>
        <w:t xml:space="preserve"> </w:t>
      </w:r>
      <w:r w:rsidRPr="009555F0">
        <w:rPr>
          <w:rFonts w:ascii="Verdana" w:hAnsi="Verdana"/>
          <w:sz w:val="18"/>
          <w:szCs w:val="20"/>
          <w:lang w:val="es-ES"/>
        </w:rPr>
        <w:t>o sus representantes, de manera tal que las referidas medidas se brinden de forma diligente y efectiva</w:t>
      </w:r>
      <w:r w:rsidRPr="009555F0">
        <w:rPr>
          <w:rFonts w:ascii="Verdana" w:hAnsi="Verdana"/>
          <w:b/>
          <w:sz w:val="18"/>
          <w:szCs w:val="20"/>
          <w:lang w:val="es-ES"/>
        </w:rPr>
        <w:t xml:space="preserve"> </w:t>
      </w:r>
      <w:r w:rsidRPr="009555F0">
        <w:rPr>
          <w:rFonts w:ascii="Verdana" w:hAnsi="Verdana"/>
          <w:sz w:val="18"/>
          <w:szCs w:val="20"/>
          <w:lang w:val="es-ES"/>
        </w:rPr>
        <w:t>y que, en general, les mantenga informados sobre el avance de su ejecución, de conformidad con lo establecido en los Considerandos 8 y 15 de la presente Resolución</w:t>
      </w:r>
      <w:r w:rsidR="007E2B2E">
        <w:rPr>
          <w:rFonts w:ascii="Verdana" w:hAnsi="Verdana"/>
          <w:sz w:val="18"/>
          <w:szCs w:val="20"/>
          <w:lang w:val="es-ES"/>
        </w:rPr>
        <w:t>.</w:t>
      </w:r>
    </w:p>
    <w:p w:rsidR="00125431" w:rsidRPr="009555F0" w:rsidRDefault="00125431" w:rsidP="00125431">
      <w:pPr>
        <w:pStyle w:val="NoSpacing"/>
        <w:jc w:val="both"/>
        <w:rPr>
          <w:rFonts w:ascii="Verdana" w:hAnsi="Verdana"/>
          <w:sz w:val="18"/>
          <w:szCs w:val="20"/>
          <w:lang w:val="es-ES"/>
        </w:rPr>
      </w:pPr>
    </w:p>
    <w:p w:rsidR="009555F0" w:rsidRPr="009555F0" w:rsidRDefault="009555F0" w:rsidP="009555F0">
      <w:pPr>
        <w:pStyle w:val="NoSpacing"/>
        <w:ind w:left="709"/>
        <w:jc w:val="both"/>
        <w:rPr>
          <w:rFonts w:ascii="Verdana" w:hAnsi="Verdana"/>
          <w:sz w:val="18"/>
          <w:szCs w:val="20"/>
          <w:lang w:val="es-ES"/>
        </w:rPr>
      </w:pPr>
      <w:r w:rsidRPr="009555F0">
        <w:rPr>
          <w:rFonts w:ascii="Verdana" w:hAnsi="Verdana"/>
          <w:sz w:val="18"/>
          <w:szCs w:val="20"/>
          <w:lang w:val="es-ES"/>
        </w:rPr>
        <w:t>[…]</w:t>
      </w:r>
    </w:p>
    <w:p w:rsidR="009555F0" w:rsidRPr="004C09CF" w:rsidRDefault="009555F0" w:rsidP="009555F0">
      <w:pPr>
        <w:pStyle w:val="NoSpacing"/>
        <w:ind w:left="709"/>
        <w:jc w:val="both"/>
        <w:rPr>
          <w:rFonts w:ascii="Verdana" w:hAnsi="Verdana"/>
          <w:sz w:val="20"/>
          <w:szCs w:val="20"/>
          <w:lang w:val="es-ES"/>
        </w:rPr>
      </w:pPr>
    </w:p>
    <w:p w:rsidR="00125431" w:rsidRPr="004C09CF" w:rsidRDefault="00125431" w:rsidP="005A632D">
      <w:pPr>
        <w:pStyle w:val="NoSpacing"/>
        <w:numPr>
          <w:ilvl w:val="0"/>
          <w:numId w:val="3"/>
        </w:numPr>
        <w:ind w:left="0" w:firstLine="0"/>
        <w:jc w:val="both"/>
        <w:rPr>
          <w:rFonts w:ascii="Verdana" w:hAnsi="Verdana"/>
          <w:sz w:val="20"/>
          <w:szCs w:val="20"/>
          <w:lang w:val="es-ES_tradnl"/>
        </w:rPr>
      </w:pPr>
      <w:r w:rsidRPr="004C09CF">
        <w:rPr>
          <w:rFonts w:ascii="Verdana" w:hAnsi="Verdana"/>
          <w:sz w:val="20"/>
          <w:szCs w:val="20"/>
          <w:lang w:val="es-ES_tradnl"/>
        </w:rPr>
        <w:t>Los escritos de 29 de enero, 10 de mayo, 28 de junio y 15 de octubre de 2013; de 20 de marzo, 18 de agosto y 28 de agosto de 2014; de 19 de enero, 22 de abril, 21 de julio, 10 de septiembre, 13 de octubre y 4 de diciembre de 2015; de 5 de febrero, 4 de mayo, 4 de agosto</w:t>
      </w:r>
      <w:r w:rsidR="007E2B2E">
        <w:rPr>
          <w:rFonts w:ascii="Verdana" w:hAnsi="Verdana"/>
          <w:sz w:val="20"/>
          <w:szCs w:val="20"/>
          <w:lang w:val="es-ES_tradnl"/>
        </w:rPr>
        <w:t>,</w:t>
      </w:r>
      <w:r w:rsidRPr="004C09CF">
        <w:rPr>
          <w:rFonts w:ascii="Verdana" w:hAnsi="Verdana"/>
          <w:sz w:val="20"/>
          <w:szCs w:val="20"/>
          <w:lang w:val="es-ES_tradnl"/>
        </w:rPr>
        <w:t xml:space="preserve"> 8 de septiembre </w:t>
      </w:r>
      <w:r w:rsidR="00BF67C1">
        <w:rPr>
          <w:rFonts w:ascii="Verdana" w:hAnsi="Verdana"/>
          <w:sz w:val="20"/>
          <w:szCs w:val="20"/>
          <w:lang w:val="es-ES_tradnl"/>
        </w:rPr>
        <w:t>y</w:t>
      </w:r>
      <w:r w:rsidRPr="004C09CF">
        <w:rPr>
          <w:rFonts w:ascii="Verdana" w:hAnsi="Verdana"/>
          <w:sz w:val="20"/>
          <w:szCs w:val="20"/>
          <w:lang w:val="es-ES_tradnl"/>
        </w:rPr>
        <w:t xml:space="preserve"> </w:t>
      </w:r>
      <w:r w:rsidR="00DF243A">
        <w:rPr>
          <w:rFonts w:ascii="Verdana" w:hAnsi="Verdana"/>
          <w:sz w:val="20"/>
          <w:szCs w:val="20"/>
          <w:lang w:val="es-ES_tradnl"/>
        </w:rPr>
        <w:t>11</w:t>
      </w:r>
      <w:r w:rsidR="007E2B2E">
        <w:rPr>
          <w:rFonts w:ascii="Verdana" w:hAnsi="Verdana"/>
          <w:sz w:val="20"/>
          <w:szCs w:val="20"/>
          <w:lang w:val="es-ES_tradnl"/>
        </w:rPr>
        <w:t xml:space="preserve"> noviembre de 2016, </w:t>
      </w:r>
      <w:r w:rsidRPr="004C09CF">
        <w:rPr>
          <w:rFonts w:ascii="Verdana" w:hAnsi="Verdana"/>
          <w:sz w:val="20"/>
          <w:szCs w:val="20"/>
          <w:lang w:val="es-ES_tradnl"/>
        </w:rPr>
        <w:t>mediante los cuales la República de Honduras (en adelante “el Estado” u “Honduras”) presentó sus informes sobre la implementación de las medidas.</w:t>
      </w:r>
    </w:p>
    <w:p w:rsidR="00125431" w:rsidRPr="004C09CF" w:rsidRDefault="00125431" w:rsidP="005A632D">
      <w:pPr>
        <w:pStyle w:val="NoSpacing"/>
        <w:jc w:val="both"/>
        <w:rPr>
          <w:rFonts w:ascii="Verdana" w:hAnsi="Verdana"/>
          <w:sz w:val="20"/>
          <w:szCs w:val="20"/>
          <w:lang w:val="es-ES_tradnl"/>
        </w:rPr>
      </w:pPr>
    </w:p>
    <w:p w:rsidR="00125431" w:rsidRPr="004C09CF" w:rsidRDefault="00125431" w:rsidP="005A632D">
      <w:pPr>
        <w:pStyle w:val="NoSpacing"/>
        <w:numPr>
          <w:ilvl w:val="0"/>
          <w:numId w:val="3"/>
        </w:numPr>
        <w:ind w:left="0" w:firstLine="0"/>
        <w:jc w:val="both"/>
        <w:rPr>
          <w:rFonts w:ascii="Verdana" w:hAnsi="Verdana"/>
          <w:sz w:val="20"/>
          <w:szCs w:val="20"/>
          <w:lang w:val="es-ES_tradnl"/>
        </w:rPr>
      </w:pPr>
      <w:r w:rsidRPr="004C09CF">
        <w:rPr>
          <w:rFonts w:ascii="Verdana" w:hAnsi="Verdana"/>
          <w:sz w:val="20"/>
          <w:szCs w:val="20"/>
          <w:lang w:val="es-ES_tradnl"/>
        </w:rPr>
        <w:t>Los escritos de 23 de mayo, 18 de julio y 30 de octubre de 2013; de 25 de abril, 4 de agosto y 17 de septiembre de 2014; de 25 de febrero, 14 de mayo, 10 de agosto, 3 de septiembre, 17 de septiembre y 23 de diciembre de 2015; de 11 de marzo, 19 de mayo</w:t>
      </w:r>
      <w:r w:rsidRPr="00BF67C1">
        <w:rPr>
          <w:rFonts w:ascii="Verdana" w:hAnsi="Verdana"/>
          <w:sz w:val="20"/>
          <w:szCs w:val="20"/>
          <w:lang w:val="es-ES_tradnl"/>
        </w:rPr>
        <w:t>,</w:t>
      </w:r>
      <w:r w:rsidRPr="004C09CF">
        <w:rPr>
          <w:rFonts w:ascii="Verdana" w:hAnsi="Verdana"/>
          <w:sz w:val="20"/>
          <w:szCs w:val="20"/>
          <w:lang w:val="es-ES_tradnl"/>
        </w:rPr>
        <w:t xml:space="preserve"> y 24 de agosto de 2016</w:t>
      </w:r>
      <w:r w:rsidR="00FE76D0" w:rsidRPr="004C09CF">
        <w:rPr>
          <w:rFonts w:ascii="Verdana" w:hAnsi="Verdana"/>
          <w:sz w:val="20"/>
          <w:szCs w:val="20"/>
          <w:lang w:val="es-ES_tradnl"/>
        </w:rPr>
        <w:t xml:space="preserve">, así como sus anexos, </w:t>
      </w:r>
      <w:r w:rsidRPr="004C09CF">
        <w:rPr>
          <w:rFonts w:ascii="Verdana" w:hAnsi="Verdana"/>
          <w:sz w:val="20"/>
          <w:szCs w:val="20"/>
          <w:lang w:val="es-ES_tradnl"/>
        </w:rPr>
        <w:t xml:space="preserve">mediante los cuales los representantes de los beneficiarios de las medidas provisionales (en adelante “los representantes”) presentaron sus consideraciones e información respecto a las medidas provisionales, así como sus observaciones a lo informado por el Estado. </w:t>
      </w:r>
    </w:p>
    <w:p w:rsidR="00125431" w:rsidRPr="004C09CF" w:rsidRDefault="00125431" w:rsidP="005A632D">
      <w:pPr>
        <w:pStyle w:val="NoSpacing"/>
        <w:jc w:val="both"/>
        <w:rPr>
          <w:rFonts w:ascii="Verdana" w:hAnsi="Verdana"/>
          <w:sz w:val="20"/>
          <w:szCs w:val="20"/>
          <w:lang w:val="es-ES_tradnl"/>
        </w:rPr>
      </w:pPr>
    </w:p>
    <w:p w:rsidR="00125431" w:rsidRPr="004C09CF" w:rsidRDefault="00125431" w:rsidP="005A632D">
      <w:pPr>
        <w:pStyle w:val="NoSpacing"/>
        <w:numPr>
          <w:ilvl w:val="0"/>
          <w:numId w:val="3"/>
        </w:numPr>
        <w:ind w:left="0" w:firstLine="0"/>
        <w:jc w:val="both"/>
        <w:rPr>
          <w:rFonts w:ascii="Verdana" w:hAnsi="Verdana"/>
          <w:sz w:val="20"/>
          <w:szCs w:val="20"/>
          <w:lang w:val="es-ES_tradnl"/>
        </w:rPr>
      </w:pPr>
      <w:r w:rsidRPr="004C09CF">
        <w:rPr>
          <w:rFonts w:ascii="Verdana" w:hAnsi="Verdana"/>
          <w:sz w:val="20"/>
          <w:szCs w:val="20"/>
          <w:lang w:val="es-ES_tradnl"/>
        </w:rPr>
        <w:t>Los escritos de 27 de marzo, 14 de agosto</w:t>
      </w:r>
      <w:r w:rsidR="00373D82">
        <w:rPr>
          <w:rFonts w:ascii="Verdana" w:hAnsi="Verdana"/>
          <w:sz w:val="20"/>
          <w:szCs w:val="20"/>
          <w:lang w:val="es-ES_tradnl"/>
        </w:rPr>
        <w:t xml:space="preserve"> </w:t>
      </w:r>
      <w:r w:rsidRPr="004C09CF">
        <w:rPr>
          <w:rFonts w:ascii="Verdana" w:hAnsi="Verdana"/>
          <w:sz w:val="20"/>
          <w:szCs w:val="20"/>
          <w:lang w:val="es-ES_tradnl"/>
        </w:rPr>
        <w:t xml:space="preserve">y 25 de noviembre de 2013; de 13 de junio, 16 de junio y 3 de octubre de 2014; </w:t>
      </w:r>
      <w:r w:rsidR="00BF67C1">
        <w:rPr>
          <w:rFonts w:ascii="Verdana" w:hAnsi="Verdana"/>
          <w:sz w:val="20"/>
          <w:szCs w:val="20"/>
          <w:lang w:val="es-ES_tradnl"/>
        </w:rPr>
        <w:t xml:space="preserve">de </w:t>
      </w:r>
      <w:r w:rsidRPr="004C09CF">
        <w:rPr>
          <w:rFonts w:ascii="Verdana" w:hAnsi="Verdana"/>
          <w:sz w:val="20"/>
          <w:szCs w:val="20"/>
          <w:lang w:val="es-ES_tradnl"/>
        </w:rPr>
        <w:t>4 de junio, 22 de septiembre</w:t>
      </w:r>
      <w:r w:rsidR="00373D82">
        <w:rPr>
          <w:rFonts w:ascii="Verdana" w:hAnsi="Verdana"/>
          <w:sz w:val="20"/>
          <w:szCs w:val="20"/>
          <w:lang w:val="es-ES_tradnl"/>
        </w:rPr>
        <w:t xml:space="preserve"> y </w:t>
      </w:r>
      <w:r w:rsidRPr="004C09CF">
        <w:rPr>
          <w:rFonts w:ascii="Verdana" w:hAnsi="Verdana"/>
          <w:sz w:val="20"/>
          <w:szCs w:val="20"/>
          <w:lang w:val="es-ES_tradnl"/>
        </w:rPr>
        <w:t>2 de diciembre de 2015</w:t>
      </w:r>
      <w:r w:rsidR="00BF67C1">
        <w:rPr>
          <w:rFonts w:ascii="Verdana" w:hAnsi="Verdana"/>
          <w:sz w:val="20"/>
          <w:szCs w:val="20"/>
          <w:lang w:val="es-ES_tradnl"/>
        </w:rPr>
        <w:t>;</w:t>
      </w:r>
      <w:r w:rsidRPr="004C09CF">
        <w:rPr>
          <w:rFonts w:ascii="Verdana" w:hAnsi="Verdana"/>
          <w:sz w:val="20"/>
          <w:szCs w:val="20"/>
          <w:lang w:val="es-ES_tradnl"/>
        </w:rPr>
        <w:t xml:space="preserve"> de 28 enero, 20 de mayo, 21 de junio y 15 de </w:t>
      </w:r>
      <w:r w:rsidR="00DF243A">
        <w:rPr>
          <w:rFonts w:ascii="Verdana" w:hAnsi="Verdana"/>
          <w:sz w:val="20"/>
          <w:szCs w:val="20"/>
          <w:lang w:val="es-ES_tradnl"/>
        </w:rPr>
        <w:t>s</w:t>
      </w:r>
      <w:r w:rsidRPr="004C09CF">
        <w:rPr>
          <w:rFonts w:ascii="Verdana" w:hAnsi="Verdana"/>
          <w:sz w:val="20"/>
          <w:szCs w:val="20"/>
          <w:lang w:val="es-ES_tradnl"/>
        </w:rPr>
        <w:t xml:space="preserve">eptiembre de 2016, </w:t>
      </w:r>
      <w:r w:rsidRPr="004C09CF">
        <w:rPr>
          <w:rFonts w:ascii="Verdana" w:hAnsi="Verdana"/>
          <w:sz w:val="20"/>
          <w:szCs w:val="20"/>
          <w:lang w:val="es-ES_tradnl"/>
        </w:rPr>
        <w:lastRenderedPageBreak/>
        <w:t xml:space="preserve">mediante los cuales la Comisión Interamericana de Derechos Humanos (en adelante “la Comisión” o “la Comisión Interamericana”) remitió sus observaciones a lo informado por el Estado, así como en relación </w:t>
      </w:r>
      <w:r w:rsidR="006B1906">
        <w:rPr>
          <w:rFonts w:ascii="Verdana" w:hAnsi="Verdana"/>
          <w:sz w:val="20"/>
          <w:szCs w:val="20"/>
          <w:lang w:val="es-ES_tradnl"/>
        </w:rPr>
        <w:t>con</w:t>
      </w:r>
      <w:r w:rsidRPr="004C09CF">
        <w:rPr>
          <w:rFonts w:ascii="Verdana" w:hAnsi="Verdana"/>
          <w:sz w:val="20"/>
          <w:szCs w:val="20"/>
          <w:lang w:val="es-ES_tradnl"/>
        </w:rPr>
        <w:t xml:space="preserve"> las correspondientes observaciones de los representantes.</w:t>
      </w:r>
    </w:p>
    <w:p w:rsidR="00125431" w:rsidRPr="004C09CF" w:rsidRDefault="00125431" w:rsidP="00125431">
      <w:pPr>
        <w:pStyle w:val="NoSpacing"/>
        <w:jc w:val="both"/>
        <w:rPr>
          <w:rFonts w:ascii="Verdana" w:hAnsi="Verdana"/>
          <w:sz w:val="20"/>
          <w:szCs w:val="20"/>
          <w:lang w:val="es-ES_tradnl"/>
        </w:rPr>
      </w:pPr>
    </w:p>
    <w:p w:rsidR="009F2874" w:rsidRDefault="00125431" w:rsidP="009F2874">
      <w:pPr>
        <w:pStyle w:val="NoSpacing"/>
        <w:numPr>
          <w:ilvl w:val="0"/>
          <w:numId w:val="3"/>
        </w:numPr>
        <w:ind w:left="0" w:firstLine="0"/>
        <w:jc w:val="both"/>
        <w:rPr>
          <w:rFonts w:ascii="Verdana" w:hAnsi="Verdana"/>
          <w:sz w:val="20"/>
          <w:szCs w:val="20"/>
          <w:lang w:val="es-ES_tradnl"/>
        </w:rPr>
      </w:pPr>
      <w:r w:rsidRPr="004C09CF">
        <w:rPr>
          <w:rFonts w:ascii="Verdana" w:hAnsi="Verdana"/>
          <w:sz w:val="20"/>
          <w:szCs w:val="20"/>
          <w:lang w:val="es-ES_tradnl"/>
        </w:rPr>
        <w:t xml:space="preserve">La nota de la Secretaría de 22 de septiembre de 2015, mediante la cual, siguiendo instrucciones del Presidente de la Corte, solicitó a los representantes </w:t>
      </w:r>
      <w:r w:rsidRPr="004C09CF">
        <w:rPr>
          <w:rFonts w:ascii="Verdana" w:eastAsia="Times New Roman" w:hAnsi="Verdana" w:cs="Times New Roman"/>
          <w:sz w:val="20"/>
          <w:szCs w:val="20"/>
          <w:lang w:val="es-ES_tradnl" w:eastAsia="es-ES"/>
        </w:rPr>
        <w:t>información sobre la situación de riesgo en la que presuntamente se encontraba la señora Wendy Orellana Molina y sobre cuáles serían los principales elementos de extrema gravedad, urgencia y daños irreparables a los que se habían referido anteriormente, así como la razón por la cual consideraban que los patrullajes acordados en el acta de</w:t>
      </w:r>
      <w:r w:rsidR="00DF243A">
        <w:rPr>
          <w:rFonts w:ascii="Verdana" w:eastAsia="Times New Roman" w:hAnsi="Verdana" w:cs="Times New Roman"/>
          <w:sz w:val="20"/>
          <w:szCs w:val="20"/>
          <w:lang w:val="es-ES_tradnl" w:eastAsia="es-ES"/>
        </w:rPr>
        <w:t xml:space="preserve"> la</w:t>
      </w:r>
      <w:r w:rsidRPr="004C09CF">
        <w:rPr>
          <w:rFonts w:ascii="Verdana" w:eastAsia="Times New Roman" w:hAnsi="Verdana" w:cs="Times New Roman"/>
          <w:sz w:val="20"/>
          <w:szCs w:val="20"/>
          <w:lang w:val="es-ES_tradnl" w:eastAsia="es-ES"/>
        </w:rPr>
        <w:t xml:space="preserve"> reunión de 10 de septiembre del 2015 no habrían sido, en su caso, adecuados. Al respecto, </w:t>
      </w:r>
      <w:r w:rsidRPr="004C09CF">
        <w:rPr>
          <w:rFonts w:ascii="Verdana" w:hAnsi="Verdana"/>
          <w:sz w:val="20"/>
          <w:szCs w:val="20"/>
          <w:lang w:val="es-ES_tradnl"/>
        </w:rPr>
        <w:t>los representantes remitieron la información requerida mediante comunicación de 13 de octubre de 201</w:t>
      </w:r>
      <w:r w:rsidR="00420B48">
        <w:rPr>
          <w:rFonts w:ascii="Verdana" w:hAnsi="Verdana"/>
          <w:sz w:val="20"/>
          <w:szCs w:val="20"/>
          <w:lang w:val="es-ES_tradnl"/>
        </w:rPr>
        <w:t>5.</w:t>
      </w:r>
    </w:p>
    <w:p w:rsidR="004C09CF" w:rsidRPr="004C09CF" w:rsidRDefault="004C09CF" w:rsidP="004C09CF">
      <w:pPr>
        <w:pStyle w:val="NoSpacing"/>
        <w:jc w:val="both"/>
        <w:rPr>
          <w:rFonts w:ascii="Verdana" w:hAnsi="Verdana"/>
          <w:sz w:val="20"/>
          <w:szCs w:val="20"/>
          <w:lang w:val="es-ES_tradnl"/>
        </w:rPr>
      </w:pPr>
    </w:p>
    <w:p w:rsidR="009F2874" w:rsidRPr="004C09CF" w:rsidRDefault="00FE76D0" w:rsidP="009F2874">
      <w:pPr>
        <w:rPr>
          <w:rFonts w:ascii="Verdana" w:hAnsi="Verdana"/>
          <w:b/>
          <w:sz w:val="20"/>
          <w:szCs w:val="20"/>
        </w:rPr>
      </w:pPr>
      <w:r w:rsidRPr="004C09CF">
        <w:rPr>
          <w:rFonts w:ascii="Verdana" w:hAnsi="Verdana"/>
          <w:b/>
          <w:sz w:val="20"/>
          <w:szCs w:val="20"/>
        </w:rPr>
        <w:t>CONSIDERANDO QUE</w:t>
      </w:r>
      <w:r w:rsidR="00DF243A">
        <w:rPr>
          <w:rFonts w:ascii="Verdana" w:hAnsi="Verdana"/>
          <w:b/>
          <w:sz w:val="20"/>
          <w:szCs w:val="20"/>
        </w:rPr>
        <w:t>:</w:t>
      </w:r>
    </w:p>
    <w:p w:rsidR="00FE76D0" w:rsidRPr="004C09CF" w:rsidRDefault="00FE76D0" w:rsidP="00FE76D0">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ES_tradnl"/>
        </w:rPr>
        <w:t xml:space="preserve">Honduras ratificó la Convención Americana sobre Derechos Humanos (en adelante “la Convención Americana” o “la Convención”) el 8 de septiembre de 1977 y, de acuerdo con el artículo 62 de la misma, reconoció la competencia contenciosa de la Corte el 9 de septiembre de 1981. </w:t>
      </w:r>
    </w:p>
    <w:p w:rsidR="00FE76D0" w:rsidRPr="004C09CF" w:rsidRDefault="00FE76D0" w:rsidP="00FE76D0">
      <w:pPr>
        <w:pStyle w:val="NoSpacing"/>
        <w:jc w:val="both"/>
        <w:rPr>
          <w:rFonts w:ascii="Verdana" w:hAnsi="Verdana"/>
          <w:sz w:val="20"/>
          <w:szCs w:val="20"/>
          <w:lang w:val="es-ES_tradnl"/>
        </w:rPr>
      </w:pPr>
    </w:p>
    <w:p w:rsidR="00686F47" w:rsidRPr="007F64F4" w:rsidRDefault="00DF243A" w:rsidP="008B6CF0">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E</w:t>
      </w:r>
      <w:r w:rsidR="00FE76D0" w:rsidRPr="004C09CF">
        <w:rPr>
          <w:rFonts w:ascii="Verdana" w:hAnsi="Verdana"/>
          <w:sz w:val="20"/>
          <w:szCs w:val="20"/>
          <w:lang w:val="es-ES_tradnl"/>
        </w:rPr>
        <w:t>l artículo 63.2 de la Convención exige que para que la Corte pueda disponer de medidas provisionales deben concurrir tres condiciones: a) “extrema gravedad”; b) “urgencia”, y c) que se trate de “evitar daños irreparables a las personas”. Así, las medidas provisionales se transforman en una verdadera garantía jurisdiccional de carácter preventivo</w:t>
      </w:r>
      <w:r w:rsidR="007F64F4">
        <w:rPr>
          <w:rFonts w:ascii="Verdana" w:hAnsi="Verdana"/>
          <w:sz w:val="20"/>
          <w:szCs w:val="20"/>
          <w:lang w:val="es-ES_tradnl"/>
        </w:rPr>
        <w:t xml:space="preserve">. </w:t>
      </w:r>
      <w:r w:rsidR="00255C86">
        <w:rPr>
          <w:rFonts w:ascii="Verdana" w:hAnsi="Verdana"/>
          <w:sz w:val="20"/>
          <w:szCs w:val="20"/>
          <w:lang w:val="es-ES_tradnl"/>
        </w:rPr>
        <w:t>Estas tres condiciones son coexistentes y deben estar presentes en toda situación en la que se solicite la intervención del Tribunal. Del mismo modo, las tres condiciones descritas deben persistir para que la Corte mantenga la protección ordenada</w:t>
      </w:r>
      <w:r w:rsidR="007F64F4">
        <w:rPr>
          <w:rStyle w:val="FootnoteReference"/>
          <w:rFonts w:ascii="Verdana" w:hAnsi="Verdana"/>
          <w:sz w:val="20"/>
          <w:szCs w:val="20"/>
          <w:lang w:val="es-ES_tradnl"/>
        </w:rPr>
        <w:footnoteReference w:id="2"/>
      </w:r>
      <w:r w:rsidR="00255C86">
        <w:rPr>
          <w:rFonts w:ascii="Verdana" w:hAnsi="Verdana"/>
          <w:sz w:val="20"/>
          <w:szCs w:val="20"/>
          <w:lang w:val="es-ES_tradnl"/>
        </w:rPr>
        <w:t>. Si una de ellas ha dejado de tener vigencia, corresponderá al Tribunal valorar la pertinencia de continuar con la protección ordenada</w:t>
      </w:r>
      <w:r w:rsidR="007F64F4">
        <w:rPr>
          <w:rStyle w:val="FootnoteReference"/>
          <w:rFonts w:ascii="Verdana" w:hAnsi="Verdana"/>
          <w:sz w:val="20"/>
          <w:szCs w:val="20"/>
          <w:lang w:val="es-ES_tradnl"/>
        </w:rPr>
        <w:footnoteReference w:id="3"/>
      </w:r>
      <w:r w:rsidR="00EF1ED0">
        <w:rPr>
          <w:rFonts w:ascii="Verdana" w:hAnsi="Verdana"/>
          <w:sz w:val="20"/>
          <w:szCs w:val="20"/>
          <w:lang w:val="es-ES_tradnl"/>
        </w:rPr>
        <w:t>.</w:t>
      </w:r>
    </w:p>
    <w:p w:rsidR="00FE76D0" w:rsidRPr="005A632D" w:rsidRDefault="00FE76D0" w:rsidP="00FE76D0">
      <w:pPr>
        <w:pStyle w:val="NoSpacing"/>
        <w:jc w:val="both"/>
        <w:rPr>
          <w:rFonts w:ascii="Verdana" w:hAnsi="Verdana"/>
          <w:sz w:val="20"/>
          <w:szCs w:val="20"/>
          <w:lang w:val="es-ES_tradnl"/>
        </w:rPr>
      </w:pPr>
    </w:p>
    <w:p w:rsidR="00FE76D0" w:rsidRDefault="00255C86" w:rsidP="008B6CF0">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Las medidas provisionales tienen un car</w:t>
      </w:r>
      <w:r w:rsidR="007805A5">
        <w:rPr>
          <w:rFonts w:ascii="Verdana" w:hAnsi="Verdana"/>
          <w:sz w:val="20"/>
          <w:szCs w:val="20"/>
          <w:lang w:val="es-ES_tradnl"/>
        </w:rPr>
        <w:t>ácter excepcional, son dictadas en función de las necesidades de protección y, una vez dictadas, deben mantenerse siempre y cuando subsistan los requisitos básicos mencionados en el considerando anterior</w:t>
      </w:r>
      <w:r w:rsidR="00264336">
        <w:rPr>
          <w:rStyle w:val="FootnoteReference"/>
          <w:rFonts w:ascii="Verdana" w:hAnsi="Verdana"/>
          <w:sz w:val="20"/>
          <w:szCs w:val="20"/>
          <w:lang w:val="es-ES_tradnl"/>
        </w:rPr>
        <w:footnoteReference w:id="4"/>
      </w:r>
      <w:r w:rsidR="00264336">
        <w:rPr>
          <w:rFonts w:ascii="Verdana" w:hAnsi="Verdana"/>
          <w:sz w:val="20"/>
          <w:szCs w:val="20"/>
          <w:lang w:val="es-ES_tradnl"/>
        </w:rPr>
        <w:t xml:space="preserve">. </w:t>
      </w:r>
      <w:r w:rsidR="00FE76D0" w:rsidRPr="008B6CF0">
        <w:rPr>
          <w:rFonts w:ascii="Verdana" w:hAnsi="Verdana"/>
          <w:sz w:val="20"/>
          <w:szCs w:val="20"/>
          <w:lang w:val="es-ES_tradnl"/>
        </w:rPr>
        <w:t xml:space="preserve">En razón de su competencia, en el marco de medidas provisionales, el Tribunal debe analizar si persiste la situación de extrema gravedad y urgencia que determinó su adopción, o bien si las circunstancias </w:t>
      </w:r>
      <w:r w:rsidR="006B1906" w:rsidRPr="008B6CF0">
        <w:rPr>
          <w:rFonts w:ascii="Verdana" w:hAnsi="Verdana"/>
          <w:sz w:val="20"/>
          <w:szCs w:val="20"/>
          <w:lang w:val="es-ES_tradnl"/>
        </w:rPr>
        <w:t xml:space="preserve">no </w:t>
      </w:r>
      <w:r w:rsidR="00FE76D0" w:rsidRPr="008B6CF0">
        <w:rPr>
          <w:rFonts w:ascii="Verdana" w:hAnsi="Verdana"/>
          <w:sz w:val="20"/>
          <w:szCs w:val="20"/>
          <w:lang w:val="es-ES_tradnl"/>
        </w:rPr>
        <w:t>ameritan su mantenimiento</w:t>
      </w:r>
      <w:r w:rsidR="00EF1ED0">
        <w:rPr>
          <w:rStyle w:val="FootnoteReference"/>
          <w:rFonts w:ascii="Verdana" w:hAnsi="Verdana"/>
          <w:sz w:val="20"/>
          <w:szCs w:val="20"/>
          <w:lang w:val="es-ES_tradnl"/>
        </w:rPr>
        <w:footnoteReference w:id="5"/>
      </w:r>
      <w:r w:rsidR="00FE76D0" w:rsidRPr="008B6CF0">
        <w:rPr>
          <w:rFonts w:ascii="Verdana" w:hAnsi="Verdana"/>
          <w:sz w:val="20"/>
          <w:szCs w:val="20"/>
          <w:lang w:val="es-ES_tradnl"/>
        </w:rPr>
        <w:t>.</w:t>
      </w:r>
    </w:p>
    <w:p w:rsidR="00FE76D0" w:rsidRPr="004C09CF" w:rsidRDefault="00FE76D0" w:rsidP="00FE76D0">
      <w:pPr>
        <w:pStyle w:val="NoSpacing"/>
        <w:jc w:val="both"/>
        <w:rPr>
          <w:rFonts w:ascii="Verdana" w:hAnsi="Verdana"/>
          <w:sz w:val="20"/>
          <w:szCs w:val="20"/>
          <w:lang w:val="es-ES_tradnl"/>
        </w:rPr>
      </w:pPr>
    </w:p>
    <w:p w:rsidR="007E2B2E" w:rsidRDefault="00FE76D0" w:rsidP="005A632D">
      <w:pPr>
        <w:pStyle w:val="NoSpacing"/>
        <w:numPr>
          <w:ilvl w:val="0"/>
          <w:numId w:val="5"/>
        </w:numPr>
        <w:ind w:left="0" w:firstLine="0"/>
        <w:jc w:val="both"/>
        <w:rPr>
          <w:rFonts w:ascii="Verdana" w:hAnsi="Verdana"/>
          <w:sz w:val="20"/>
          <w:szCs w:val="20"/>
          <w:lang w:val="es-ES_tradnl"/>
        </w:rPr>
      </w:pPr>
      <w:r w:rsidRPr="007E2B2E">
        <w:rPr>
          <w:rFonts w:ascii="Verdana" w:hAnsi="Verdana"/>
          <w:sz w:val="20"/>
          <w:szCs w:val="20"/>
          <w:lang w:val="es-ES_tradnl"/>
        </w:rPr>
        <w:t>Dado el período de casi seis años transcurrido desde la adopción de las medidas provisionales a favor d</w:t>
      </w:r>
      <w:r w:rsidRPr="008608AA">
        <w:rPr>
          <w:rFonts w:ascii="Verdana" w:hAnsi="Verdana"/>
          <w:sz w:val="20"/>
          <w:szCs w:val="20"/>
          <w:lang w:val="es-ES_tradnl"/>
        </w:rPr>
        <w:t xml:space="preserve">e los beneficiarios y en atención a la naturaleza de los hechos que suscitaron la adopción de las mismas, la Corte estima oportuno realizar un examen sobre el estado en que se encuentran tales medidas, a efectos de decidir </w:t>
      </w:r>
      <w:r w:rsidR="00DF243A">
        <w:rPr>
          <w:rFonts w:ascii="Verdana" w:hAnsi="Verdana"/>
          <w:sz w:val="20"/>
          <w:szCs w:val="20"/>
          <w:lang w:val="es-ES_tradnl"/>
        </w:rPr>
        <w:t xml:space="preserve">sobre </w:t>
      </w:r>
      <w:r w:rsidRPr="008608AA">
        <w:rPr>
          <w:rFonts w:ascii="Verdana" w:hAnsi="Verdana"/>
          <w:sz w:val="20"/>
          <w:szCs w:val="20"/>
          <w:lang w:val="es-ES_tradnl"/>
        </w:rPr>
        <w:t xml:space="preserve">la </w:t>
      </w:r>
      <w:r w:rsidRPr="008608AA">
        <w:rPr>
          <w:rFonts w:ascii="Verdana" w:hAnsi="Verdana"/>
          <w:sz w:val="20"/>
          <w:szCs w:val="20"/>
          <w:lang w:val="es-ES_tradnl"/>
        </w:rPr>
        <w:lastRenderedPageBreak/>
        <w:t>necesi</w:t>
      </w:r>
      <w:r w:rsidRPr="00A66B62">
        <w:rPr>
          <w:rFonts w:ascii="Verdana" w:hAnsi="Verdana"/>
          <w:sz w:val="20"/>
          <w:szCs w:val="20"/>
          <w:lang w:val="es-ES_tradnl"/>
        </w:rPr>
        <w:t>dad de mantener</w:t>
      </w:r>
      <w:r w:rsidR="00E055A3">
        <w:rPr>
          <w:rFonts w:ascii="Verdana" w:hAnsi="Verdana"/>
          <w:sz w:val="20"/>
          <w:szCs w:val="20"/>
          <w:lang w:val="es-ES_tradnl"/>
        </w:rPr>
        <w:t>, o no,</w:t>
      </w:r>
      <w:r w:rsidRPr="00A66B62">
        <w:rPr>
          <w:rFonts w:ascii="Verdana" w:hAnsi="Verdana"/>
          <w:sz w:val="20"/>
          <w:szCs w:val="20"/>
          <w:lang w:val="es-ES_tradnl"/>
        </w:rPr>
        <w:t xml:space="preserve"> su vigencia. Por consiguiente, la Corte debe evaluar, teniendo presente la temporalidad y excepcionalidad propia de las medidas provisionales dispuestas, si existen elementos de juicio suficientes para estimar que se </w:t>
      </w:r>
      <w:r w:rsidR="00250662">
        <w:rPr>
          <w:rFonts w:ascii="Verdana" w:hAnsi="Verdana"/>
          <w:sz w:val="20"/>
          <w:szCs w:val="20"/>
          <w:lang w:val="es-ES_tradnl"/>
        </w:rPr>
        <w:t>mantienen</w:t>
      </w:r>
      <w:r w:rsidR="007E2B2E" w:rsidRPr="00A66B62">
        <w:rPr>
          <w:rFonts w:ascii="Verdana" w:hAnsi="Verdana"/>
          <w:sz w:val="20"/>
          <w:szCs w:val="20"/>
          <w:lang w:val="es-ES_tradnl"/>
        </w:rPr>
        <w:t xml:space="preserve"> los requisitos antes expuestos</w:t>
      </w:r>
      <w:r w:rsidRPr="004C09CF">
        <w:rPr>
          <w:rStyle w:val="FootnoteReference"/>
          <w:rFonts w:ascii="Verdana" w:hAnsi="Verdana"/>
          <w:sz w:val="20"/>
          <w:szCs w:val="20"/>
          <w:lang w:val="es-ES_tradnl"/>
        </w:rPr>
        <w:footnoteReference w:id="6"/>
      </w:r>
      <w:r w:rsidRPr="007E2B2E">
        <w:rPr>
          <w:rFonts w:ascii="Verdana" w:hAnsi="Verdana"/>
          <w:sz w:val="20"/>
          <w:szCs w:val="20"/>
          <w:lang w:val="es-ES_tradnl"/>
        </w:rPr>
        <w:t>.</w:t>
      </w:r>
      <w:r w:rsidR="007E2B2E">
        <w:rPr>
          <w:rFonts w:ascii="Verdana" w:hAnsi="Verdana"/>
          <w:sz w:val="20"/>
          <w:szCs w:val="20"/>
          <w:lang w:val="es-ES_tradnl"/>
        </w:rPr>
        <w:t xml:space="preserve"> Para ello, analizará </w:t>
      </w:r>
      <w:r w:rsidR="005A632D">
        <w:rPr>
          <w:rFonts w:ascii="Verdana" w:hAnsi="Verdana"/>
          <w:sz w:val="20"/>
          <w:szCs w:val="20"/>
          <w:lang w:val="es-ES_tradnl"/>
        </w:rPr>
        <w:t xml:space="preserve">a continuación: </w:t>
      </w:r>
      <w:r w:rsidR="008608AA">
        <w:rPr>
          <w:rFonts w:ascii="Verdana" w:hAnsi="Verdana"/>
          <w:sz w:val="20"/>
          <w:szCs w:val="20"/>
          <w:lang w:val="es-ES_tradnl"/>
        </w:rPr>
        <w:t xml:space="preserve">a) el objeto de las medidas provisionales </w:t>
      </w:r>
      <w:r w:rsidR="00C46D3A">
        <w:rPr>
          <w:rFonts w:ascii="Verdana" w:hAnsi="Verdana"/>
          <w:sz w:val="20"/>
          <w:szCs w:val="20"/>
          <w:lang w:val="es-ES_tradnl"/>
        </w:rPr>
        <w:t xml:space="preserve">en relación con el señor Galdámez, </w:t>
      </w:r>
      <w:r w:rsidR="008608AA">
        <w:rPr>
          <w:rFonts w:ascii="Verdana" w:hAnsi="Verdana"/>
          <w:sz w:val="20"/>
          <w:szCs w:val="20"/>
          <w:lang w:val="es-ES_tradnl"/>
        </w:rPr>
        <w:t>y b) la implementación de las medidas y situación de riesgo de los familiares.</w:t>
      </w:r>
    </w:p>
    <w:p w:rsidR="008608AA" w:rsidRDefault="008608AA" w:rsidP="007E2B2E">
      <w:pPr>
        <w:pStyle w:val="NoSpacing"/>
        <w:jc w:val="both"/>
        <w:rPr>
          <w:rFonts w:ascii="Verdana" w:hAnsi="Verdana"/>
          <w:sz w:val="20"/>
          <w:szCs w:val="20"/>
          <w:highlight w:val="yellow"/>
          <w:lang w:val="es-ES_tradnl"/>
        </w:rPr>
      </w:pPr>
    </w:p>
    <w:p w:rsidR="008608AA" w:rsidRPr="005A632D" w:rsidRDefault="005A632D" w:rsidP="00E435A0">
      <w:pPr>
        <w:pStyle w:val="ListParagraph"/>
        <w:numPr>
          <w:ilvl w:val="0"/>
          <w:numId w:val="1"/>
        </w:numPr>
        <w:jc w:val="both"/>
        <w:rPr>
          <w:rFonts w:ascii="Verdana" w:hAnsi="Verdana"/>
          <w:b/>
          <w:i/>
          <w:sz w:val="20"/>
          <w:szCs w:val="20"/>
        </w:rPr>
      </w:pPr>
      <w:r>
        <w:rPr>
          <w:rFonts w:ascii="Verdana" w:hAnsi="Verdana"/>
          <w:b/>
          <w:i/>
          <w:sz w:val="20"/>
          <w:szCs w:val="20"/>
        </w:rPr>
        <w:t>O</w:t>
      </w:r>
      <w:r w:rsidRPr="005A632D">
        <w:rPr>
          <w:rFonts w:ascii="Verdana" w:hAnsi="Verdana"/>
          <w:b/>
          <w:i/>
          <w:sz w:val="20"/>
          <w:szCs w:val="20"/>
        </w:rPr>
        <w:t>bjeto</w:t>
      </w:r>
      <w:r w:rsidR="008608AA" w:rsidRPr="005A632D">
        <w:rPr>
          <w:rFonts w:ascii="Verdana" w:hAnsi="Verdana"/>
          <w:b/>
          <w:i/>
          <w:sz w:val="20"/>
          <w:szCs w:val="20"/>
        </w:rPr>
        <w:t xml:space="preserve"> de las medidas provisionales</w:t>
      </w:r>
      <w:r w:rsidR="00B73089">
        <w:rPr>
          <w:rFonts w:ascii="Verdana" w:hAnsi="Verdana"/>
          <w:b/>
          <w:i/>
          <w:sz w:val="20"/>
          <w:szCs w:val="20"/>
        </w:rPr>
        <w:t xml:space="preserve"> en relación con el </w:t>
      </w:r>
      <w:r w:rsidR="00B73089" w:rsidRPr="004C09CF">
        <w:rPr>
          <w:rFonts w:ascii="Verdana" w:hAnsi="Verdana"/>
          <w:b/>
          <w:i/>
          <w:sz w:val="20"/>
          <w:szCs w:val="20"/>
        </w:rPr>
        <w:t>señor Galdámez</w:t>
      </w:r>
    </w:p>
    <w:p w:rsidR="00FE76D0" w:rsidRPr="004C09CF" w:rsidRDefault="005A632D" w:rsidP="00FE76D0">
      <w:pPr>
        <w:pStyle w:val="NoSpacing"/>
        <w:numPr>
          <w:ilvl w:val="0"/>
          <w:numId w:val="5"/>
        </w:numPr>
        <w:ind w:left="0" w:firstLine="0"/>
        <w:jc w:val="both"/>
        <w:rPr>
          <w:rFonts w:ascii="Verdana" w:hAnsi="Verdana"/>
          <w:sz w:val="20"/>
          <w:szCs w:val="20"/>
          <w:lang w:val="es-ES_tradnl"/>
        </w:rPr>
      </w:pPr>
      <w:r>
        <w:rPr>
          <w:rFonts w:ascii="Verdana" w:hAnsi="Verdana" w:cstheme="minorHAnsi"/>
          <w:sz w:val="20"/>
          <w:szCs w:val="20"/>
          <w:lang w:val="es-ES"/>
        </w:rPr>
        <w:t xml:space="preserve">Primeramente, </w:t>
      </w:r>
      <w:r>
        <w:rPr>
          <w:rFonts w:ascii="Verdana" w:hAnsi="Verdana" w:cstheme="minorHAnsi"/>
          <w:sz w:val="20"/>
          <w:szCs w:val="20"/>
          <w:lang w:val="es-CR"/>
        </w:rPr>
        <w:t>l</w:t>
      </w:r>
      <w:r w:rsidR="007E2B2E">
        <w:rPr>
          <w:rFonts w:ascii="Verdana" w:hAnsi="Verdana" w:cstheme="minorHAnsi"/>
          <w:sz w:val="20"/>
          <w:szCs w:val="20"/>
          <w:lang w:val="es-CR"/>
        </w:rPr>
        <w:t>a Corte recuerda</w:t>
      </w:r>
      <w:r w:rsidR="00FE76D0" w:rsidRPr="004C09CF">
        <w:rPr>
          <w:rFonts w:ascii="Verdana" w:hAnsi="Verdana" w:cstheme="minorHAnsi"/>
          <w:sz w:val="20"/>
          <w:szCs w:val="20"/>
          <w:lang w:val="es-CR"/>
        </w:rPr>
        <w:t xml:space="preserve"> que la solicitud de las presentes medidas provisionales no se relacio</w:t>
      </w:r>
      <w:r w:rsidR="00DF243A">
        <w:rPr>
          <w:rFonts w:ascii="Verdana" w:hAnsi="Verdana" w:cstheme="minorHAnsi"/>
          <w:sz w:val="20"/>
          <w:szCs w:val="20"/>
          <w:lang w:val="es-CR"/>
        </w:rPr>
        <w:t>n</w:t>
      </w:r>
      <w:r w:rsidR="00FE76D0" w:rsidRPr="004C09CF">
        <w:rPr>
          <w:rFonts w:ascii="Verdana" w:hAnsi="Verdana" w:cstheme="minorHAnsi"/>
          <w:sz w:val="20"/>
          <w:szCs w:val="20"/>
          <w:lang w:val="es-CR"/>
        </w:rPr>
        <w:t>ó con un caso en conocimiento de la Corte, sino que se originó mediante una solicitud de medidas cautelares presentada ante la Comisión Interamericana</w:t>
      </w:r>
      <w:r w:rsidR="00FE76D0" w:rsidRPr="004C09CF">
        <w:rPr>
          <w:rStyle w:val="FootnoteReference"/>
          <w:rFonts w:ascii="Verdana" w:hAnsi="Verdana" w:cstheme="minorHAnsi"/>
          <w:sz w:val="20"/>
          <w:szCs w:val="20"/>
          <w:lang w:val="es-CR"/>
        </w:rPr>
        <w:footnoteReference w:id="7"/>
      </w:r>
      <w:r>
        <w:rPr>
          <w:rFonts w:ascii="Verdana" w:hAnsi="Verdana" w:cstheme="minorHAnsi"/>
          <w:sz w:val="20"/>
          <w:szCs w:val="20"/>
          <w:lang w:val="es-CR"/>
        </w:rPr>
        <w:t xml:space="preserve">. </w:t>
      </w:r>
      <w:r w:rsidR="00FE76D0" w:rsidRPr="004C09CF">
        <w:rPr>
          <w:rFonts w:ascii="Verdana" w:hAnsi="Verdana" w:cstheme="minorHAnsi"/>
          <w:sz w:val="20"/>
          <w:szCs w:val="20"/>
          <w:lang w:val="es-CR"/>
        </w:rPr>
        <w:t>Por lo tanto, el análisis que procede se circunscribe a la dimensión tutelar de las presentes medidas provisionales, en la medida que buscan evitar daños irreparables a las personas</w:t>
      </w:r>
      <w:r w:rsidR="00FE76D0" w:rsidRPr="004C09CF">
        <w:rPr>
          <w:rStyle w:val="FootnoteReference"/>
          <w:rFonts w:ascii="Verdana" w:hAnsi="Verdana" w:cstheme="minorHAnsi"/>
          <w:sz w:val="20"/>
          <w:szCs w:val="20"/>
          <w:lang w:val="es-CR"/>
        </w:rPr>
        <w:footnoteReference w:id="8"/>
      </w:r>
      <w:r w:rsidR="00FE76D0" w:rsidRPr="004C09CF">
        <w:rPr>
          <w:rFonts w:ascii="Verdana" w:hAnsi="Verdana" w:cstheme="minorHAnsi"/>
          <w:sz w:val="20"/>
          <w:szCs w:val="20"/>
          <w:lang w:val="es-CR"/>
        </w:rPr>
        <w:t xml:space="preserve">. </w:t>
      </w:r>
    </w:p>
    <w:p w:rsidR="00FE76D0" w:rsidRPr="004C09CF" w:rsidRDefault="00FE76D0" w:rsidP="00FE76D0">
      <w:pPr>
        <w:pStyle w:val="NoSpacing"/>
        <w:jc w:val="both"/>
        <w:rPr>
          <w:rFonts w:ascii="Verdana" w:hAnsi="Verdana"/>
          <w:sz w:val="20"/>
          <w:szCs w:val="20"/>
          <w:lang w:val="es-ES_tradnl"/>
        </w:rPr>
      </w:pPr>
    </w:p>
    <w:p w:rsidR="008608AA" w:rsidRPr="005A632D" w:rsidRDefault="005A632D" w:rsidP="005A632D">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Asimismo, l</w:t>
      </w:r>
      <w:r w:rsidR="00FE76D0" w:rsidRPr="004C09CF">
        <w:rPr>
          <w:rFonts w:ascii="Verdana" w:hAnsi="Verdana"/>
          <w:sz w:val="20"/>
          <w:szCs w:val="20"/>
          <w:lang w:val="es-ES_tradnl"/>
        </w:rPr>
        <w:t xml:space="preserve">as medidas provisionales en el presente asunto se </w:t>
      </w:r>
      <w:r>
        <w:rPr>
          <w:rFonts w:ascii="Verdana" w:hAnsi="Verdana"/>
          <w:sz w:val="20"/>
          <w:szCs w:val="20"/>
          <w:lang w:val="es-ES_tradnl"/>
        </w:rPr>
        <w:t>adoptaron</w:t>
      </w:r>
      <w:r w:rsidRPr="004C09CF">
        <w:rPr>
          <w:rFonts w:ascii="Verdana" w:hAnsi="Verdana"/>
          <w:sz w:val="20"/>
          <w:szCs w:val="20"/>
          <w:lang w:val="es-ES_tradnl"/>
        </w:rPr>
        <w:t xml:space="preserve"> </w:t>
      </w:r>
      <w:r w:rsidR="00FE76D0" w:rsidRPr="004C09CF">
        <w:rPr>
          <w:rFonts w:ascii="Verdana" w:hAnsi="Verdana"/>
          <w:sz w:val="20"/>
          <w:szCs w:val="20"/>
          <w:lang w:val="es-ES_tradnl"/>
        </w:rPr>
        <w:t xml:space="preserve">y mantuvieron sobre </w:t>
      </w:r>
      <w:r>
        <w:rPr>
          <w:rFonts w:ascii="Verdana" w:hAnsi="Verdana"/>
          <w:sz w:val="20"/>
          <w:szCs w:val="20"/>
          <w:lang w:val="es-ES_tradnl"/>
        </w:rPr>
        <w:t xml:space="preserve">un contexto </w:t>
      </w:r>
      <w:r w:rsidR="00FE76D0" w:rsidRPr="004C09CF">
        <w:rPr>
          <w:rFonts w:ascii="Verdana" w:hAnsi="Verdana"/>
          <w:sz w:val="20"/>
          <w:szCs w:val="20"/>
          <w:lang w:val="es-ES_tradnl"/>
        </w:rPr>
        <w:t xml:space="preserve">en </w:t>
      </w:r>
      <w:r>
        <w:rPr>
          <w:rFonts w:ascii="Verdana" w:hAnsi="Verdana"/>
          <w:sz w:val="20"/>
          <w:szCs w:val="20"/>
          <w:lang w:val="es-ES_tradnl"/>
        </w:rPr>
        <w:t>el</w:t>
      </w:r>
      <w:r w:rsidR="00FE76D0" w:rsidRPr="004C09CF">
        <w:rPr>
          <w:rFonts w:ascii="Verdana" w:hAnsi="Verdana"/>
          <w:sz w:val="20"/>
          <w:szCs w:val="20"/>
          <w:lang w:val="es-ES_tradnl"/>
        </w:rPr>
        <w:t xml:space="preserve"> que, tras el alegado golpe de estado ocurrido en Honduras el día 28 de junio de 2009, la labor de los periodistas en Honduras había sido afectada por amenazas y otras formas de intimidación. En </w:t>
      </w:r>
      <w:r>
        <w:rPr>
          <w:rFonts w:ascii="Verdana" w:hAnsi="Verdana"/>
          <w:sz w:val="20"/>
          <w:szCs w:val="20"/>
          <w:lang w:val="es-ES_tradnl"/>
        </w:rPr>
        <w:t>dicho</w:t>
      </w:r>
      <w:r w:rsidRPr="004C09CF">
        <w:rPr>
          <w:rFonts w:ascii="Verdana" w:hAnsi="Verdana"/>
          <w:sz w:val="20"/>
          <w:szCs w:val="20"/>
          <w:lang w:val="es-ES_tradnl"/>
        </w:rPr>
        <w:t xml:space="preserve"> </w:t>
      </w:r>
      <w:r w:rsidR="00FE76D0" w:rsidRPr="004C09CF">
        <w:rPr>
          <w:rFonts w:ascii="Verdana" w:hAnsi="Verdana"/>
          <w:sz w:val="20"/>
          <w:szCs w:val="20"/>
          <w:lang w:val="es-ES_tradnl"/>
        </w:rPr>
        <w:t>contexto, la Corte estableció que el señor Galdámez, que en esa época tenía una participación activa como periodista y director del Programa “Tras la Verdad" de</w:t>
      </w:r>
      <w:r w:rsidR="00E055A3">
        <w:rPr>
          <w:rFonts w:ascii="Verdana" w:hAnsi="Verdana"/>
          <w:sz w:val="20"/>
          <w:szCs w:val="20"/>
          <w:lang w:val="es-ES_tradnl"/>
        </w:rPr>
        <w:t xml:space="preserve"> la emisora</w:t>
      </w:r>
      <w:r w:rsidR="00FE76D0" w:rsidRPr="004C09CF">
        <w:rPr>
          <w:rFonts w:ascii="Verdana" w:hAnsi="Verdana"/>
          <w:sz w:val="20"/>
          <w:szCs w:val="20"/>
          <w:lang w:val="es-ES_tradnl"/>
        </w:rPr>
        <w:t xml:space="preserve"> Radio Globo y que se había manifestado </w:t>
      </w:r>
      <w:r>
        <w:rPr>
          <w:rFonts w:ascii="Verdana" w:hAnsi="Verdana"/>
          <w:sz w:val="20"/>
          <w:szCs w:val="20"/>
          <w:lang w:val="es-ES_tradnl"/>
        </w:rPr>
        <w:t>en</w:t>
      </w:r>
      <w:r w:rsidR="00FE76D0" w:rsidRPr="004C09CF">
        <w:rPr>
          <w:rFonts w:ascii="Verdana" w:hAnsi="Verdana"/>
          <w:sz w:val="20"/>
          <w:szCs w:val="20"/>
          <w:lang w:val="es-ES_tradnl"/>
        </w:rPr>
        <w:t xml:space="preserve"> favor del entonces Presidente Zelaya y en contra del alegado </w:t>
      </w:r>
      <w:r w:rsidR="00D02E6F" w:rsidRPr="004C09CF">
        <w:rPr>
          <w:rFonts w:ascii="Verdana" w:hAnsi="Verdana"/>
          <w:sz w:val="20"/>
          <w:szCs w:val="20"/>
          <w:lang w:val="es-ES_tradnl"/>
        </w:rPr>
        <w:t>golpe de e</w:t>
      </w:r>
      <w:r w:rsidR="00FE76D0" w:rsidRPr="004C09CF">
        <w:rPr>
          <w:rFonts w:ascii="Verdana" w:hAnsi="Verdana"/>
          <w:sz w:val="20"/>
          <w:szCs w:val="20"/>
          <w:lang w:val="es-ES_tradnl"/>
        </w:rPr>
        <w:t>stado en Honduras, fue objeto de intimidación, de vigilancia en su vivienda y de amenazas con armas de fuego, para que desistiera de su postura política</w:t>
      </w:r>
      <w:r w:rsidR="00FE76D0" w:rsidRPr="004C09CF">
        <w:rPr>
          <w:rStyle w:val="FootnoteReference"/>
          <w:rFonts w:ascii="Verdana" w:hAnsi="Verdana"/>
          <w:sz w:val="20"/>
          <w:szCs w:val="20"/>
          <w:lang w:val="es-ES_tradnl"/>
        </w:rPr>
        <w:footnoteReference w:id="9"/>
      </w:r>
      <w:r w:rsidR="00FE76D0" w:rsidRPr="004C09CF">
        <w:rPr>
          <w:rFonts w:ascii="Verdana" w:hAnsi="Verdana"/>
          <w:sz w:val="20"/>
          <w:szCs w:val="20"/>
          <w:lang w:val="es-ES_tradnl"/>
        </w:rPr>
        <w:t>.</w:t>
      </w:r>
      <w:r w:rsidR="00FE76D0" w:rsidRPr="004C09CF">
        <w:rPr>
          <w:rFonts w:ascii="Verdana" w:hAnsi="Verdana"/>
          <w:sz w:val="20"/>
          <w:szCs w:val="20"/>
          <w:lang w:val="es-CR"/>
        </w:rPr>
        <w:t xml:space="preserve"> </w:t>
      </w:r>
    </w:p>
    <w:p w:rsidR="008608AA" w:rsidRPr="005A632D" w:rsidRDefault="008608AA" w:rsidP="005A632D">
      <w:pPr>
        <w:pStyle w:val="NoSpacing"/>
        <w:jc w:val="both"/>
        <w:rPr>
          <w:rFonts w:ascii="Verdana" w:hAnsi="Verdana"/>
          <w:sz w:val="20"/>
          <w:szCs w:val="20"/>
          <w:lang w:val="es-ES_tradnl"/>
        </w:rPr>
      </w:pPr>
    </w:p>
    <w:p w:rsidR="00A66B62" w:rsidRDefault="00A66B62" w:rsidP="00A66B62">
      <w:pPr>
        <w:pStyle w:val="NoSpacing"/>
        <w:numPr>
          <w:ilvl w:val="0"/>
          <w:numId w:val="5"/>
        </w:numPr>
        <w:ind w:left="0" w:firstLine="0"/>
        <w:jc w:val="both"/>
        <w:rPr>
          <w:rFonts w:ascii="Verdana" w:hAnsi="Verdana"/>
          <w:sz w:val="20"/>
          <w:szCs w:val="20"/>
          <w:lang w:val="es-ES_tradnl"/>
        </w:rPr>
      </w:pPr>
      <w:r w:rsidRPr="005A632D">
        <w:rPr>
          <w:rFonts w:ascii="Verdana" w:hAnsi="Verdana"/>
          <w:sz w:val="20"/>
          <w:szCs w:val="20"/>
          <w:lang w:val="es-ES_tradnl"/>
        </w:rPr>
        <w:t xml:space="preserve">Con posterioridad a la adopción </w:t>
      </w:r>
      <w:r>
        <w:rPr>
          <w:rFonts w:ascii="Verdana" w:hAnsi="Verdana"/>
          <w:sz w:val="20"/>
          <w:szCs w:val="20"/>
          <w:lang w:val="es-ES_tradnl"/>
        </w:rPr>
        <w:t xml:space="preserve">de la </w:t>
      </w:r>
      <w:r w:rsidRPr="004C09CF">
        <w:rPr>
          <w:rFonts w:ascii="Verdana" w:hAnsi="Verdana"/>
          <w:sz w:val="20"/>
          <w:szCs w:val="20"/>
          <w:lang w:val="es-ES_tradnl"/>
        </w:rPr>
        <w:t>Resolución de la Corte de 24 de octubre de 2012</w:t>
      </w:r>
      <w:r>
        <w:rPr>
          <w:rFonts w:ascii="Verdana" w:hAnsi="Verdana"/>
          <w:sz w:val="20"/>
          <w:szCs w:val="20"/>
          <w:lang w:val="es-ES_tradnl"/>
        </w:rPr>
        <w:t xml:space="preserve">, los representantes reportaron algunos incidentes en relación con la </w:t>
      </w:r>
      <w:r w:rsidRPr="004C09CF">
        <w:rPr>
          <w:rFonts w:ascii="Verdana" w:hAnsi="Verdana"/>
          <w:sz w:val="20"/>
          <w:szCs w:val="20"/>
          <w:lang w:val="es-ES_tradnl"/>
        </w:rPr>
        <w:t>situación de riesgo del señor Galdámez</w:t>
      </w:r>
      <w:r>
        <w:rPr>
          <w:rFonts w:ascii="Verdana" w:hAnsi="Verdana"/>
          <w:sz w:val="20"/>
          <w:szCs w:val="20"/>
          <w:lang w:val="es-ES_tradnl"/>
        </w:rPr>
        <w:t>.</w:t>
      </w:r>
      <w:r w:rsidRPr="004C09CF">
        <w:rPr>
          <w:rFonts w:ascii="Verdana" w:hAnsi="Verdana"/>
          <w:sz w:val="20"/>
          <w:szCs w:val="20"/>
          <w:lang w:val="es-ES_tradnl"/>
        </w:rPr>
        <w:t xml:space="preserve"> </w:t>
      </w:r>
      <w:r>
        <w:rPr>
          <w:rFonts w:ascii="Verdana" w:hAnsi="Verdana"/>
          <w:sz w:val="20"/>
          <w:szCs w:val="20"/>
          <w:lang w:val="es-ES_tradnl"/>
        </w:rPr>
        <w:t>Particularmente,</w:t>
      </w:r>
      <w:r w:rsidR="00E055A3">
        <w:rPr>
          <w:rFonts w:ascii="Verdana" w:hAnsi="Verdana"/>
          <w:sz w:val="20"/>
          <w:szCs w:val="20"/>
          <w:lang w:val="es-ES_tradnl"/>
        </w:rPr>
        <w:t xml:space="preserve"> durante el periodo previo a su detención</w:t>
      </w:r>
      <w:r w:rsidRPr="004C09CF">
        <w:rPr>
          <w:rFonts w:ascii="Verdana" w:hAnsi="Verdana"/>
          <w:sz w:val="20"/>
          <w:szCs w:val="20"/>
          <w:lang w:val="es-ES_tradnl"/>
        </w:rPr>
        <w:t xml:space="preserve">, alegaron </w:t>
      </w:r>
      <w:r w:rsidR="005A632D">
        <w:rPr>
          <w:rFonts w:ascii="Verdana" w:hAnsi="Verdana"/>
          <w:sz w:val="20"/>
          <w:szCs w:val="20"/>
          <w:lang w:val="es-ES_tradnl"/>
        </w:rPr>
        <w:t xml:space="preserve">ciertos incidentes relacionados con </w:t>
      </w:r>
      <w:r w:rsidRPr="004C09CF">
        <w:rPr>
          <w:rFonts w:ascii="Verdana" w:hAnsi="Verdana"/>
          <w:sz w:val="20"/>
          <w:szCs w:val="20"/>
          <w:lang w:val="es-ES_tradnl"/>
        </w:rPr>
        <w:t xml:space="preserve">la vigilancia y persecución </w:t>
      </w:r>
      <w:r w:rsidR="00EF2F94">
        <w:rPr>
          <w:rFonts w:ascii="Verdana" w:hAnsi="Verdana"/>
          <w:sz w:val="20"/>
          <w:szCs w:val="20"/>
          <w:lang w:val="es-ES_tradnl"/>
        </w:rPr>
        <w:t xml:space="preserve">al beneficiario </w:t>
      </w:r>
      <w:r w:rsidRPr="004C09CF">
        <w:rPr>
          <w:rFonts w:ascii="Verdana" w:hAnsi="Verdana"/>
          <w:sz w:val="20"/>
          <w:szCs w:val="20"/>
          <w:lang w:val="es-ES_tradnl"/>
        </w:rPr>
        <w:t xml:space="preserve">por </w:t>
      </w:r>
      <w:r w:rsidR="00EF2F94">
        <w:rPr>
          <w:rFonts w:ascii="Verdana" w:hAnsi="Verdana"/>
          <w:sz w:val="20"/>
          <w:szCs w:val="20"/>
          <w:lang w:val="es-ES_tradnl"/>
        </w:rPr>
        <w:t xml:space="preserve">un </w:t>
      </w:r>
      <w:r w:rsidRPr="004C09CF">
        <w:rPr>
          <w:rFonts w:ascii="Verdana" w:hAnsi="Verdana"/>
          <w:sz w:val="20"/>
          <w:szCs w:val="20"/>
          <w:lang w:val="es-ES_tradnl"/>
        </w:rPr>
        <w:t xml:space="preserve">vehículo sin placas y </w:t>
      </w:r>
      <w:r w:rsidR="00B73089">
        <w:rPr>
          <w:rFonts w:ascii="Verdana" w:hAnsi="Verdana"/>
          <w:sz w:val="20"/>
          <w:szCs w:val="20"/>
          <w:lang w:val="es-ES_tradnl"/>
        </w:rPr>
        <w:t>ciertas</w:t>
      </w:r>
      <w:r>
        <w:rPr>
          <w:rFonts w:ascii="Verdana" w:hAnsi="Verdana"/>
          <w:sz w:val="20"/>
          <w:szCs w:val="20"/>
          <w:lang w:val="es-ES_tradnl"/>
        </w:rPr>
        <w:t xml:space="preserve"> </w:t>
      </w:r>
      <w:r w:rsidRPr="004C09CF">
        <w:rPr>
          <w:rFonts w:ascii="Verdana" w:hAnsi="Verdana"/>
          <w:sz w:val="20"/>
          <w:szCs w:val="20"/>
          <w:lang w:val="es-ES_tradnl"/>
        </w:rPr>
        <w:t xml:space="preserve">amenazas </w:t>
      </w:r>
      <w:r w:rsidR="00EF2F94">
        <w:rPr>
          <w:rFonts w:ascii="Verdana" w:hAnsi="Verdana"/>
          <w:sz w:val="20"/>
          <w:szCs w:val="20"/>
          <w:lang w:val="es-ES_tradnl"/>
        </w:rPr>
        <w:t>ocurrida</w:t>
      </w:r>
      <w:r w:rsidR="00730CA8">
        <w:rPr>
          <w:rFonts w:ascii="Verdana" w:hAnsi="Verdana"/>
          <w:sz w:val="20"/>
          <w:szCs w:val="20"/>
          <w:lang w:val="es-ES_tradnl"/>
        </w:rPr>
        <w:t>s</w:t>
      </w:r>
      <w:r w:rsidR="00EF2F94">
        <w:rPr>
          <w:rFonts w:ascii="Verdana" w:hAnsi="Verdana"/>
          <w:sz w:val="20"/>
          <w:szCs w:val="20"/>
          <w:lang w:val="es-ES_tradnl"/>
        </w:rPr>
        <w:t xml:space="preserve"> </w:t>
      </w:r>
      <w:r w:rsidRPr="004C09CF">
        <w:rPr>
          <w:rFonts w:ascii="Verdana" w:hAnsi="Verdana"/>
          <w:sz w:val="20"/>
          <w:szCs w:val="20"/>
          <w:lang w:val="es-ES_tradnl"/>
        </w:rPr>
        <w:t>en 2012 y 2013</w:t>
      </w:r>
      <w:r w:rsidR="00B73089">
        <w:rPr>
          <w:rStyle w:val="FootnoteReference"/>
          <w:rFonts w:ascii="Verdana" w:hAnsi="Verdana"/>
          <w:sz w:val="20"/>
          <w:szCs w:val="20"/>
          <w:lang w:val="es-ES_tradnl"/>
        </w:rPr>
        <w:footnoteReference w:id="10"/>
      </w:r>
      <w:r w:rsidR="009B4D40">
        <w:rPr>
          <w:rFonts w:ascii="Verdana" w:hAnsi="Verdana"/>
          <w:sz w:val="20"/>
          <w:szCs w:val="20"/>
          <w:lang w:val="es-ES_tradnl"/>
        </w:rPr>
        <w:t xml:space="preserve"> </w:t>
      </w:r>
      <w:r w:rsidRPr="004C09CF">
        <w:rPr>
          <w:rFonts w:ascii="Verdana" w:hAnsi="Verdana"/>
          <w:sz w:val="20"/>
          <w:szCs w:val="20"/>
          <w:lang w:val="es-ES_tradnl"/>
        </w:rPr>
        <w:t xml:space="preserve">e hicieron </w:t>
      </w:r>
      <w:r w:rsidRPr="004C09CF">
        <w:rPr>
          <w:rFonts w:ascii="Verdana" w:hAnsi="Verdana"/>
          <w:sz w:val="20"/>
          <w:szCs w:val="20"/>
          <w:lang w:val="es-ES_tradnl"/>
        </w:rPr>
        <w:lastRenderedPageBreak/>
        <w:t xml:space="preserve">referencia a que la situación general de riesgo de los periodistas </w:t>
      </w:r>
      <w:r>
        <w:rPr>
          <w:rFonts w:ascii="Verdana" w:hAnsi="Verdana"/>
          <w:sz w:val="20"/>
          <w:szCs w:val="20"/>
          <w:lang w:val="es-ES_tradnl"/>
        </w:rPr>
        <w:t xml:space="preserve">en Honduras </w:t>
      </w:r>
      <w:r w:rsidRPr="004C09CF">
        <w:rPr>
          <w:rFonts w:ascii="Verdana" w:hAnsi="Verdana"/>
          <w:sz w:val="20"/>
          <w:szCs w:val="20"/>
          <w:lang w:val="es-ES_tradnl"/>
        </w:rPr>
        <w:t>se ha</w:t>
      </w:r>
      <w:r>
        <w:rPr>
          <w:rFonts w:ascii="Verdana" w:hAnsi="Verdana"/>
          <w:sz w:val="20"/>
          <w:szCs w:val="20"/>
          <w:lang w:val="es-ES_tradnl"/>
        </w:rPr>
        <w:t>bía</w:t>
      </w:r>
      <w:r w:rsidRPr="004C09CF">
        <w:rPr>
          <w:rFonts w:ascii="Verdana" w:hAnsi="Verdana"/>
          <w:sz w:val="20"/>
          <w:szCs w:val="20"/>
          <w:lang w:val="es-ES_tradnl"/>
        </w:rPr>
        <w:t xml:space="preserve"> incrementa</w:t>
      </w:r>
      <w:r w:rsidR="0035332A">
        <w:rPr>
          <w:rFonts w:ascii="Verdana" w:hAnsi="Verdana"/>
          <w:sz w:val="20"/>
          <w:szCs w:val="20"/>
          <w:lang w:val="es-ES_tradnl"/>
        </w:rPr>
        <w:t>do</w:t>
      </w:r>
      <w:r w:rsidRPr="004C09CF">
        <w:rPr>
          <w:rFonts w:ascii="Verdana" w:hAnsi="Verdana"/>
          <w:sz w:val="20"/>
          <w:szCs w:val="20"/>
          <w:lang w:val="es-ES_tradnl"/>
        </w:rPr>
        <w:t xml:space="preserve"> en los últimos años.</w:t>
      </w:r>
    </w:p>
    <w:p w:rsidR="00A66B62" w:rsidRPr="004C09CF" w:rsidRDefault="00A66B62" w:rsidP="005A632D">
      <w:pPr>
        <w:pStyle w:val="NoSpacing"/>
        <w:jc w:val="both"/>
        <w:rPr>
          <w:rFonts w:ascii="Verdana" w:hAnsi="Verdana"/>
          <w:sz w:val="20"/>
          <w:szCs w:val="20"/>
          <w:lang w:val="es-ES_tradnl"/>
        </w:rPr>
      </w:pPr>
    </w:p>
    <w:p w:rsidR="008608AA" w:rsidRPr="005A632D" w:rsidRDefault="006B1906" w:rsidP="005A632D">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L</w:t>
      </w:r>
      <w:r w:rsidR="008608AA" w:rsidRPr="00A66B62">
        <w:rPr>
          <w:rFonts w:ascii="Verdana" w:hAnsi="Verdana"/>
          <w:sz w:val="20"/>
          <w:szCs w:val="20"/>
          <w:lang w:val="es-ES_tradnl"/>
        </w:rPr>
        <w:t xml:space="preserve">a Corte </w:t>
      </w:r>
      <w:r>
        <w:rPr>
          <w:rFonts w:ascii="Verdana" w:hAnsi="Verdana"/>
          <w:sz w:val="20"/>
          <w:szCs w:val="20"/>
          <w:lang w:val="es-ES_tradnl"/>
        </w:rPr>
        <w:t xml:space="preserve">también ha sido informada </w:t>
      </w:r>
      <w:r w:rsidR="008608AA" w:rsidRPr="00A66B62">
        <w:rPr>
          <w:rFonts w:ascii="Verdana" w:hAnsi="Verdana"/>
          <w:sz w:val="20"/>
          <w:szCs w:val="20"/>
          <w:lang w:val="es-ES_tradnl"/>
        </w:rPr>
        <w:t xml:space="preserve">de las medidas de protección </w:t>
      </w:r>
      <w:r w:rsidR="00A66B62" w:rsidRPr="00A66B62">
        <w:rPr>
          <w:rFonts w:ascii="Verdana" w:hAnsi="Verdana"/>
          <w:sz w:val="20"/>
          <w:szCs w:val="20"/>
          <w:lang w:val="es-ES_tradnl"/>
        </w:rPr>
        <w:t xml:space="preserve">implementadas por el Estado </w:t>
      </w:r>
      <w:r w:rsidR="00EF2F94">
        <w:rPr>
          <w:rFonts w:ascii="Verdana" w:hAnsi="Verdana"/>
          <w:sz w:val="20"/>
          <w:szCs w:val="20"/>
          <w:lang w:val="es-ES_tradnl"/>
        </w:rPr>
        <w:t>a favor d</w:t>
      </w:r>
      <w:r w:rsidR="008608AA" w:rsidRPr="00A66B62">
        <w:rPr>
          <w:rFonts w:ascii="Verdana" w:hAnsi="Verdana"/>
          <w:sz w:val="20"/>
          <w:szCs w:val="20"/>
          <w:lang w:val="es-ES_tradnl"/>
        </w:rPr>
        <w:t>el señor Galdámez y las observaciones de las partes</w:t>
      </w:r>
      <w:r w:rsidR="00EF2F94">
        <w:rPr>
          <w:rFonts w:ascii="Verdana" w:hAnsi="Verdana"/>
          <w:sz w:val="20"/>
          <w:szCs w:val="20"/>
          <w:lang w:val="es-ES_tradnl"/>
        </w:rPr>
        <w:t xml:space="preserve"> al respecto</w:t>
      </w:r>
      <w:r>
        <w:rPr>
          <w:rFonts w:ascii="Verdana" w:hAnsi="Verdana"/>
          <w:sz w:val="20"/>
          <w:szCs w:val="20"/>
          <w:lang w:val="es-ES_tradnl"/>
        </w:rPr>
        <w:t xml:space="preserve"> (</w:t>
      </w:r>
      <w:r w:rsidRPr="005D08E9">
        <w:rPr>
          <w:rFonts w:ascii="Verdana" w:hAnsi="Verdana"/>
          <w:i/>
          <w:sz w:val="20"/>
          <w:szCs w:val="20"/>
          <w:lang w:val="es-ES_tradnl"/>
        </w:rPr>
        <w:t>supra</w:t>
      </w:r>
      <w:r>
        <w:rPr>
          <w:rFonts w:ascii="Verdana" w:hAnsi="Verdana"/>
          <w:sz w:val="20"/>
          <w:szCs w:val="20"/>
          <w:lang w:val="es-ES_tradnl"/>
        </w:rPr>
        <w:t xml:space="preserve"> </w:t>
      </w:r>
      <w:r w:rsidR="00F6032C">
        <w:rPr>
          <w:rFonts w:ascii="Verdana" w:hAnsi="Verdana"/>
          <w:sz w:val="20"/>
          <w:szCs w:val="20"/>
          <w:lang w:val="es-ES_tradnl"/>
        </w:rPr>
        <w:t>Visto</w:t>
      </w:r>
      <w:r w:rsidR="00FC4FEF">
        <w:rPr>
          <w:rFonts w:ascii="Verdana" w:hAnsi="Verdana"/>
          <w:sz w:val="20"/>
          <w:szCs w:val="20"/>
          <w:lang w:val="es-ES_tradnl"/>
        </w:rPr>
        <w:t xml:space="preserve"> </w:t>
      </w:r>
      <w:r w:rsidR="00FC4FEF" w:rsidRPr="003B77AF">
        <w:rPr>
          <w:rFonts w:ascii="Verdana" w:hAnsi="Verdana"/>
          <w:sz w:val="20"/>
          <w:szCs w:val="20"/>
          <w:lang w:val="es-ES_tradnl"/>
        </w:rPr>
        <w:t>2</w:t>
      </w:r>
      <w:r>
        <w:rPr>
          <w:rFonts w:ascii="Verdana" w:hAnsi="Verdana"/>
          <w:sz w:val="20"/>
          <w:szCs w:val="20"/>
          <w:lang w:val="es-ES_tradnl"/>
        </w:rPr>
        <w:t>)</w:t>
      </w:r>
      <w:r w:rsidR="008608AA" w:rsidRPr="00A66B62">
        <w:rPr>
          <w:rFonts w:ascii="Verdana" w:hAnsi="Verdana"/>
          <w:sz w:val="20"/>
          <w:szCs w:val="20"/>
          <w:lang w:val="es-ES_tradnl"/>
        </w:rPr>
        <w:t xml:space="preserve">. </w:t>
      </w:r>
      <w:r w:rsidR="00A66B62" w:rsidRPr="004D1660">
        <w:rPr>
          <w:rFonts w:ascii="Verdana" w:hAnsi="Verdana"/>
          <w:sz w:val="20"/>
          <w:szCs w:val="20"/>
          <w:lang w:val="es-CR"/>
        </w:rPr>
        <w:t>Asimismo, el</w:t>
      </w:r>
      <w:r w:rsidR="008608AA" w:rsidRPr="004D1660">
        <w:rPr>
          <w:rFonts w:ascii="Verdana" w:hAnsi="Verdana"/>
          <w:sz w:val="20"/>
          <w:szCs w:val="20"/>
          <w:lang w:val="es-CR"/>
        </w:rPr>
        <w:t xml:space="preserve"> Estado se comprometió a dar prioridad a la investigación de las a</w:t>
      </w:r>
      <w:r w:rsidR="008608AA" w:rsidRPr="00A64690">
        <w:rPr>
          <w:rFonts w:ascii="Verdana" w:hAnsi="Verdana"/>
          <w:sz w:val="20"/>
          <w:szCs w:val="20"/>
          <w:lang w:val="es-CR"/>
        </w:rPr>
        <w:t>menazas descritas</w:t>
      </w:r>
      <w:r w:rsidR="00A66B62">
        <w:rPr>
          <w:rFonts w:ascii="Verdana" w:hAnsi="Verdana"/>
          <w:sz w:val="20"/>
          <w:szCs w:val="20"/>
          <w:lang w:val="es-CR"/>
        </w:rPr>
        <w:t>.</w:t>
      </w:r>
    </w:p>
    <w:p w:rsidR="00017816" w:rsidRPr="005A632D" w:rsidRDefault="00017816" w:rsidP="00017816">
      <w:pPr>
        <w:pStyle w:val="NoSpacing"/>
        <w:jc w:val="both"/>
        <w:rPr>
          <w:rFonts w:ascii="Verdana" w:hAnsi="Verdana"/>
          <w:sz w:val="20"/>
          <w:szCs w:val="20"/>
          <w:lang w:val="es-ES_tradnl"/>
        </w:rPr>
      </w:pPr>
    </w:p>
    <w:p w:rsidR="00EA16DD" w:rsidRDefault="006B1906" w:rsidP="005A632D">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R</w:t>
      </w:r>
      <w:r w:rsidR="00EA16DD">
        <w:rPr>
          <w:rFonts w:ascii="Verdana" w:hAnsi="Verdana"/>
          <w:sz w:val="20"/>
          <w:szCs w:val="20"/>
          <w:lang w:val="es-ES_tradnl"/>
        </w:rPr>
        <w:t xml:space="preserve">esulta de mayor relevancia </w:t>
      </w:r>
      <w:r w:rsidR="000D5F87">
        <w:rPr>
          <w:rFonts w:ascii="Verdana" w:hAnsi="Verdana"/>
          <w:sz w:val="20"/>
          <w:szCs w:val="20"/>
          <w:lang w:val="es-ES_tradnl"/>
        </w:rPr>
        <w:t xml:space="preserve">señalar </w:t>
      </w:r>
      <w:r w:rsidR="00EA16DD">
        <w:rPr>
          <w:rFonts w:ascii="Verdana" w:hAnsi="Verdana"/>
          <w:sz w:val="20"/>
          <w:szCs w:val="20"/>
          <w:lang w:val="es-ES_tradnl"/>
        </w:rPr>
        <w:t xml:space="preserve">que </w:t>
      </w:r>
      <w:r w:rsidR="008608AA">
        <w:rPr>
          <w:rFonts w:ascii="Verdana" w:hAnsi="Verdana"/>
          <w:sz w:val="20"/>
          <w:szCs w:val="20"/>
          <w:lang w:val="es-ES_tradnl"/>
        </w:rPr>
        <w:t>d</w:t>
      </w:r>
      <w:r w:rsidR="00FE76D0" w:rsidRPr="004C09CF">
        <w:rPr>
          <w:rFonts w:ascii="Verdana" w:hAnsi="Verdana"/>
          <w:sz w:val="20"/>
          <w:szCs w:val="20"/>
          <w:lang w:val="es-ES_tradnl"/>
        </w:rPr>
        <w:t xml:space="preserve">esde la fecha de la última Resolución de la Corte </w:t>
      </w:r>
      <w:r w:rsidR="00B73089">
        <w:rPr>
          <w:rFonts w:ascii="Verdana" w:hAnsi="Verdana"/>
          <w:sz w:val="20"/>
          <w:szCs w:val="20"/>
          <w:lang w:val="es-ES_tradnl"/>
        </w:rPr>
        <w:t>de</w:t>
      </w:r>
      <w:r w:rsidR="00FE76D0" w:rsidRPr="004C09CF">
        <w:rPr>
          <w:rFonts w:ascii="Verdana" w:hAnsi="Verdana"/>
          <w:sz w:val="20"/>
          <w:szCs w:val="20"/>
          <w:lang w:val="es-ES_tradnl"/>
        </w:rPr>
        <w:t xml:space="preserve"> 24 de octubre de 2012</w:t>
      </w:r>
      <w:r w:rsidR="000D5F87">
        <w:rPr>
          <w:rFonts w:ascii="Verdana" w:hAnsi="Verdana"/>
          <w:sz w:val="20"/>
          <w:szCs w:val="20"/>
          <w:lang w:val="es-ES_tradnl"/>
        </w:rPr>
        <w:t>,</w:t>
      </w:r>
      <w:r w:rsidR="00FE76D0" w:rsidRPr="004C09CF">
        <w:rPr>
          <w:rFonts w:ascii="Verdana" w:hAnsi="Verdana"/>
          <w:sz w:val="20"/>
          <w:szCs w:val="20"/>
          <w:lang w:val="es-ES_tradnl"/>
        </w:rPr>
        <w:t xml:space="preserve"> las circunstancias del beneficiario </w:t>
      </w:r>
      <w:r w:rsidR="008608AA">
        <w:rPr>
          <w:rFonts w:ascii="Verdana" w:hAnsi="Verdana"/>
          <w:sz w:val="20"/>
          <w:szCs w:val="20"/>
          <w:lang w:val="es-ES_tradnl"/>
        </w:rPr>
        <w:t xml:space="preserve">han </w:t>
      </w:r>
      <w:r w:rsidR="00FE76D0" w:rsidRPr="004C09CF">
        <w:rPr>
          <w:rFonts w:ascii="Verdana" w:hAnsi="Verdana"/>
          <w:sz w:val="20"/>
          <w:szCs w:val="20"/>
          <w:lang w:val="es-ES_tradnl"/>
        </w:rPr>
        <w:t>cambia</w:t>
      </w:r>
      <w:r w:rsidR="00B73089">
        <w:rPr>
          <w:rFonts w:ascii="Verdana" w:hAnsi="Verdana"/>
          <w:sz w:val="20"/>
          <w:szCs w:val="20"/>
          <w:lang w:val="es-ES_tradnl"/>
        </w:rPr>
        <w:t>do</w:t>
      </w:r>
      <w:r w:rsidR="00EA16DD">
        <w:rPr>
          <w:rFonts w:ascii="Verdana" w:hAnsi="Verdana"/>
          <w:sz w:val="20"/>
          <w:szCs w:val="20"/>
          <w:lang w:val="es-ES_tradnl"/>
        </w:rPr>
        <w:t>, a saber:</w:t>
      </w:r>
    </w:p>
    <w:p w:rsidR="00EA16DD" w:rsidRDefault="00EA16DD" w:rsidP="00E435A0">
      <w:pPr>
        <w:pStyle w:val="NoSpacing"/>
        <w:jc w:val="both"/>
        <w:rPr>
          <w:rFonts w:ascii="Verdana" w:hAnsi="Verdana"/>
          <w:sz w:val="20"/>
          <w:szCs w:val="20"/>
          <w:lang w:val="es-ES_tradnl"/>
        </w:rPr>
      </w:pPr>
    </w:p>
    <w:p w:rsidR="008608AA" w:rsidRPr="005A632D" w:rsidRDefault="00EA16DD" w:rsidP="00E435A0">
      <w:pPr>
        <w:pStyle w:val="NoSpacing"/>
        <w:ind w:left="567"/>
        <w:jc w:val="both"/>
        <w:rPr>
          <w:rFonts w:ascii="Verdana" w:hAnsi="Verdana"/>
          <w:sz w:val="20"/>
          <w:szCs w:val="20"/>
          <w:lang w:val="es-ES_tradnl"/>
        </w:rPr>
      </w:pPr>
      <w:r>
        <w:rPr>
          <w:rFonts w:ascii="Verdana" w:hAnsi="Verdana"/>
          <w:sz w:val="20"/>
          <w:szCs w:val="20"/>
          <w:lang w:val="es-ES_tradnl"/>
        </w:rPr>
        <w:t>a) E</w:t>
      </w:r>
      <w:r w:rsidR="00FE76D0" w:rsidRPr="004C09CF">
        <w:rPr>
          <w:rFonts w:ascii="Verdana" w:hAnsi="Verdana"/>
          <w:sz w:val="20"/>
          <w:szCs w:val="20"/>
          <w:lang w:val="es-ES_tradnl"/>
        </w:rPr>
        <w:t>n noviembre de 2012 el señor Galdámez participó como candidato en elecciones primarias del Partido Libertad y Refundación (Libre) a cargo de elección popular y fue candidato al Congreso Nacional. Posteriormente, en las elecciones generales del 24 de noviembre de 2013</w:t>
      </w:r>
      <w:r w:rsidR="00730CA8">
        <w:rPr>
          <w:rFonts w:ascii="Verdana" w:hAnsi="Verdana"/>
          <w:sz w:val="20"/>
          <w:szCs w:val="20"/>
          <w:lang w:val="es-ES_tradnl"/>
        </w:rPr>
        <w:t>,</w:t>
      </w:r>
      <w:r w:rsidR="00FE76D0" w:rsidRPr="004C09CF">
        <w:rPr>
          <w:rFonts w:ascii="Verdana" w:hAnsi="Verdana"/>
          <w:sz w:val="20"/>
          <w:szCs w:val="20"/>
          <w:lang w:val="es-ES_tradnl"/>
        </w:rPr>
        <w:t xml:space="preserve"> resultó electo como diputado al Congreso Nacional de la República para el periodo 2014-2018</w:t>
      </w:r>
      <w:r w:rsidR="00FE76D0" w:rsidRPr="004C09CF">
        <w:rPr>
          <w:rFonts w:ascii="Verdana" w:hAnsi="Verdana"/>
          <w:sz w:val="20"/>
          <w:szCs w:val="20"/>
          <w:lang w:val="es-CR"/>
        </w:rPr>
        <w:t xml:space="preserve">. </w:t>
      </w:r>
    </w:p>
    <w:p w:rsidR="008608AA" w:rsidRPr="005A632D" w:rsidRDefault="008608AA" w:rsidP="00EA16DD">
      <w:pPr>
        <w:pStyle w:val="NoSpacing"/>
        <w:ind w:left="567"/>
        <w:jc w:val="both"/>
        <w:rPr>
          <w:rFonts w:ascii="Verdana" w:hAnsi="Verdana"/>
          <w:sz w:val="20"/>
          <w:szCs w:val="20"/>
          <w:lang w:val="es-ES_tradnl"/>
        </w:rPr>
      </w:pPr>
    </w:p>
    <w:p w:rsidR="00FE76D0" w:rsidRPr="004C09CF" w:rsidRDefault="00EA16DD" w:rsidP="00E435A0">
      <w:pPr>
        <w:pStyle w:val="NoSpacing"/>
        <w:ind w:left="567"/>
        <w:jc w:val="both"/>
        <w:rPr>
          <w:rFonts w:ascii="Verdana" w:hAnsi="Verdana"/>
          <w:sz w:val="20"/>
          <w:szCs w:val="20"/>
          <w:lang w:val="es-ES_tradnl"/>
        </w:rPr>
      </w:pPr>
      <w:r>
        <w:rPr>
          <w:rFonts w:ascii="Verdana" w:hAnsi="Verdana"/>
          <w:sz w:val="20"/>
          <w:szCs w:val="20"/>
          <w:lang w:val="es-CR"/>
        </w:rPr>
        <w:t xml:space="preserve">b) </w:t>
      </w:r>
      <w:r w:rsidR="00DF243A">
        <w:rPr>
          <w:rFonts w:ascii="Verdana" w:hAnsi="Verdana"/>
          <w:sz w:val="20"/>
          <w:szCs w:val="20"/>
          <w:lang w:val="es-ES_tradnl"/>
        </w:rPr>
        <w:t>E</w:t>
      </w:r>
      <w:r w:rsidR="00DF243A" w:rsidRPr="004C09CF">
        <w:rPr>
          <w:rFonts w:ascii="Verdana" w:hAnsi="Verdana"/>
          <w:sz w:val="20"/>
          <w:szCs w:val="20"/>
          <w:lang w:val="es-ES_tradnl"/>
        </w:rPr>
        <w:t xml:space="preserve">l 16 de julio de 2014 el señor Galdámez </w:t>
      </w:r>
      <w:r w:rsidR="00FE76D0" w:rsidRPr="004C09CF">
        <w:rPr>
          <w:rFonts w:ascii="Verdana" w:hAnsi="Verdana"/>
          <w:sz w:val="20"/>
          <w:szCs w:val="20"/>
          <w:lang w:val="es-ES_tradnl"/>
        </w:rPr>
        <w:t>fue arrestado y detenido al día siguiente como presunto responsable de los delitos de homicidio simple y homicidio en grado de tentativa con uso de arma de fuego. Dicho incidente y procedimiento penal no estuvo vinculado con su actividad de periodista o director de la radio. En 2014, algunos días después</w:t>
      </w:r>
      <w:r w:rsidR="00730CA8">
        <w:rPr>
          <w:rFonts w:ascii="Verdana" w:hAnsi="Verdana"/>
          <w:sz w:val="20"/>
          <w:szCs w:val="20"/>
          <w:lang w:val="es-ES_tradnl"/>
        </w:rPr>
        <w:t xml:space="preserve"> de</w:t>
      </w:r>
      <w:r w:rsidR="00FE76D0" w:rsidRPr="004C09CF">
        <w:rPr>
          <w:rFonts w:ascii="Verdana" w:hAnsi="Verdana"/>
          <w:sz w:val="20"/>
          <w:szCs w:val="20"/>
          <w:lang w:val="es-ES_tradnl"/>
        </w:rPr>
        <w:t xml:space="preserve"> </w:t>
      </w:r>
      <w:r w:rsidR="00DF243A">
        <w:rPr>
          <w:rFonts w:ascii="Verdana" w:hAnsi="Verdana"/>
          <w:sz w:val="20"/>
          <w:szCs w:val="20"/>
          <w:lang w:val="es-ES_tradnl"/>
        </w:rPr>
        <w:t>su</w:t>
      </w:r>
      <w:r w:rsidR="00FE76D0" w:rsidRPr="004C09CF">
        <w:rPr>
          <w:rFonts w:ascii="Verdana" w:hAnsi="Verdana"/>
          <w:sz w:val="20"/>
          <w:szCs w:val="20"/>
          <w:lang w:val="es-ES_tradnl"/>
        </w:rPr>
        <w:t xml:space="preserve"> detención, tras la publicación de una nota en el diario </w:t>
      </w:r>
      <w:r w:rsidR="00730CA8">
        <w:rPr>
          <w:rFonts w:ascii="Verdana" w:hAnsi="Verdana"/>
          <w:sz w:val="20"/>
          <w:szCs w:val="20"/>
          <w:lang w:val="es-ES_tradnl"/>
        </w:rPr>
        <w:t>“</w:t>
      </w:r>
      <w:r w:rsidR="00FE76D0" w:rsidRPr="004C09CF">
        <w:rPr>
          <w:rFonts w:ascii="Verdana" w:hAnsi="Verdana"/>
          <w:sz w:val="20"/>
          <w:szCs w:val="20"/>
          <w:lang w:val="es-ES_tradnl"/>
        </w:rPr>
        <w:t>El Heraldo</w:t>
      </w:r>
      <w:r w:rsidR="00730CA8">
        <w:rPr>
          <w:rFonts w:ascii="Verdana" w:hAnsi="Verdana"/>
          <w:sz w:val="20"/>
          <w:szCs w:val="20"/>
          <w:lang w:val="es-ES_tradnl"/>
        </w:rPr>
        <w:t>”</w:t>
      </w:r>
      <w:r w:rsidR="00FE76D0" w:rsidRPr="004C09CF">
        <w:rPr>
          <w:rFonts w:ascii="Verdana" w:hAnsi="Verdana"/>
          <w:sz w:val="20"/>
          <w:szCs w:val="20"/>
          <w:lang w:val="es-ES_tradnl"/>
        </w:rPr>
        <w:t xml:space="preserve"> titulada “Diputado de Libre mata de un balazo a taxista”, un usuario de internet publicó en la red social “Twitter” la dirección de la vivienda del señor Galdámez y su familia e incitó a “ha[</w:t>
      </w:r>
      <w:proofErr w:type="spellStart"/>
      <w:r w:rsidR="00FE76D0" w:rsidRPr="004C09CF">
        <w:rPr>
          <w:rFonts w:ascii="Verdana" w:hAnsi="Verdana"/>
          <w:sz w:val="20"/>
          <w:szCs w:val="20"/>
          <w:lang w:val="es-ES_tradnl"/>
        </w:rPr>
        <w:t>cer</w:t>
      </w:r>
      <w:proofErr w:type="spellEnd"/>
      <w:r w:rsidR="00FE76D0" w:rsidRPr="004C09CF">
        <w:rPr>
          <w:rFonts w:ascii="Verdana" w:hAnsi="Verdana"/>
          <w:sz w:val="20"/>
          <w:szCs w:val="20"/>
          <w:lang w:val="es-ES_tradnl"/>
        </w:rPr>
        <w:t xml:space="preserve">] justicia con sus propias manos”. Por otra parte, en la red social “Facebook” surgieron incitaciones de algunos usuarios para matar al señor Galdámez y a sus familiares. </w:t>
      </w:r>
    </w:p>
    <w:p w:rsidR="00FE76D0" w:rsidRPr="004C09CF" w:rsidRDefault="00FE76D0" w:rsidP="00EA16DD">
      <w:pPr>
        <w:pStyle w:val="NoSpacing"/>
        <w:ind w:left="567"/>
        <w:jc w:val="both"/>
        <w:rPr>
          <w:rFonts w:ascii="Verdana" w:hAnsi="Verdana"/>
          <w:sz w:val="20"/>
          <w:szCs w:val="20"/>
          <w:lang w:val="es-ES_tradnl"/>
        </w:rPr>
      </w:pPr>
    </w:p>
    <w:p w:rsidR="00FE76D0" w:rsidRPr="004C09CF" w:rsidRDefault="00EA16DD" w:rsidP="00E435A0">
      <w:pPr>
        <w:pStyle w:val="NoSpacing"/>
        <w:ind w:left="567"/>
        <w:jc w:val="both"/>
        <w:rPr>
          <w:rFonts w:ascii="Verdana" w:hAnsi="Verdana"/>
          <w:sz w:val="20"/>
          <w:szCs w:val="20"/>
          <w:lang w:val="es-ES_tradnl"/>
        </w:rPr>
      </w:pPr>
      <w:r>
        <w:rPr>
          <w:rFonts w:ascii="Verdana" w:hAnsi="Verdana"/>
          <w:sz w:val="20"/>
          <w:szCs w:val="20"/>
          <w:lang w:val="es-ES_tradnl"/>
        </w:rPr>
        <w:t xml:space="preserve">c) </w:t>
      </w:r>
      <w:r w:rsidR="00FE76D0" w:rsidRPr="004C09CF">
        <w:rPr>
          <w:rFonts w:ascii="Verdana" w:hAnsi="Verdana"/>
          <w:sz w:val="20"/>
          <w:szCs w:val="20"/>
          <w:lang w:val="es-ES_tradnl"/>
        </w:rPr>
        <w:t xml:space="preserve">Recientemente, el 26 de abril de 2016 el señor Galdámez fue declarado culpable por el delito de homicidio simple y </w:t>
      </w:r>
      <w:r w:rsidR="00D02E6F" w:rsidRPr="004C09CF">
        <w:rPr>
          <w:rFonts w:ascii="Verdana" w:hAnsi="Verdana"/>
          <w:sz w:val="20"/>
          <w:szCs w:val="20"/>
          <w:lang w:val="es-ES_tradnl"/>
        </w:rPr>
        <w:t xml:space="preserve">absuelto </w:t>
      </w:r>
      <w:r w:rsidR="00FE76D0" w:rsidRPr="004C09CF">
        <w:rPr>
          <w:rFonts w:ascii="Verdana" w:hAnsi="Verdana"/>
          <w:sz w:val="20"/>
          <w:szCs w:val="20"/>
          <w:lang w:val="es-ES_tradnl"/>
        </w:rPr>
        <w:t>del cargo de homicidio en su grado de ejecución de tentativa. El 16 de mayo de 2016 la Corte Suprema de Justicia determinó imponerle una sentencia de 15 años</w:t>
      </w:r>
      <w:r w:rsidR="00D02E6F" w:rsidRPr="004C09CF">
        <w:rPr>
          <w:rFonts w:ascii="Verdana" w:hAnsi="Verdana"/>
          <w:sz w:val="20"/>
          <w:szCs w:val="20"/>
          <w:lang w:val="es-ES_tradnl"/>
        </w:rPr>
        <w:t xml:space="preserve"> de reclusión. En relación con </w:t>
      </w:r>
      <w:r w:rsidR="00FE76D0" w:rsidRPr="004C09CF">
        <w:rPr>
          <w:rFonts w:ascii="Verdana" w:hAnsi="Verdana"/>
          <w:sz w:val="20"/>
          <w:szCs w:val="20"/>
          <w:lang w:val="es-ES_tradnl"/>
        </w:rPr>
        <w:t>este procedimiento penal, desde el 16 de julio de 2014 hasta la fecha, el señor Galdámez se encuentra privado de libertad en el Primer Batallón de Infantería</w:t>
      </w:r>
      <w:r w:rsidR="00FE76D0" w:rsidRPr="008B6CF0">
        <w:rPr>
          <w:rFonts w:ascii="Verdana" w:hAnsi="Verdana"/>
          <w:sz w:val="20"/>
          <w:szCs w:val="20"/>
          <w:lang w:val="es-ES_tradnl"/>
        </w:rPr>
        <w:t>.</w:t>
      </w:r>
    </w:p>
    <w:p w:rsidR="00FE76D0" w:rsidRPr="004C09CF" w:rsidRDefault="00FE76D0" w:rsidP="00FE76D0">
      <w:pPr>
        <w:pStyle w:val="NoSpacing"/>
        <w:jc w:val="both"/>
        <w:rPr>
          <w:rFonts w:ascii="Verdana" w:hAnsi="Verdana"/>
          <w:sz w:val="20"/>
          <w:szCs w:val="20"/>
          <w:lang w:val="es-ES_tradnl"/>
        </w:rPr>
      </w:pPr>
    </w:p>
    <w:p w:rsidR="00FE76D0" w:rsidRDefault="00FE76D0" w:rsidP="009F2874">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ES_tradnl"/>
        </w:rPr>
        <w:t xml:space="preserve">En el marco de la detención de 16 de julio de 2014, la Corte </w:t>
      </w:r>
      <w:r w:rsidR="00EA16DD">
        <w:rPr>
          <w:rFonts w:ascii="Verdana" w:hAnsi="Verdana"/>
          <w:sz w:val="20"/>
          <w:szCs w:val="20"/>
          <w:lang w:val="es-ES_tradnl"/>
        </w:rPr>
        <w:t>analizará</w:t>
      </w:r>
      <w:r w:rsidR="00EA16DD" w:rsidRPr="004C09CF">
        <w:rPr>
          <w:rFonts w:ascii="Verdana" w:hAnsi="Verdana"/>
          <w:sz w:val="20"/>
          <w:szCs w:val="20"/>
          <w:lang w:val="es-ES_tradnl"/>
        </w:rPr>
        <w:t xml:space="preserve"> </w:t>
      </w:r>
      <w:r w:rsidRPr="004C09CF">
        <w:rPr>
          <w:rFonts w:ascii="Verdana" w:hAnsi="Verdana"/>
          <w:sz w:val="20"/>
          <w:szCs w:val="20"/>
          <w:lang w:val="es-ES_tradnl"/>
        </w:rPr>
        <w:t xml:space="preserve">los alegatos </w:t>
      </w:r>
      <w:r w:rsidR="00A64690">
        <w:rPr>
          <w:rFonts w:ascii="Verdana" w:hAnsi="Verdana"/>
          <w:sz w:val="20"/>
          <w:szCs w:val="20"/>
          <w:lang w:val="es-ES_tradnl"/>
        </w:rPr>
        <w:t xml:space="preserve">de las partes y la Comisión </w:t>
      </w:r>
      <w:r w:rsidRPr="004C09CF">
        <w:rPr>
          <w:rFonts w:ascii="Verdana" w:hAnsi="Verdana"/>
          <w:sz w:val="20"/>
          <w:szCs w:val="20"/>
          <w:lang w:val="es-ES_tradnl"/>
        </w:rPr>
        <w:t xml:space="preserve">sobre los acontecimientos ocurridos desde </w:t>
      </w:r>
      <w:r w:rsidR="00EA16DD">
        <w:rPr>
          <w:rFonts w:ascii="Verdana" w:hAnsi="Verdana"/>
          <w:sz w:val="20"/>
          <w:szCs w:val="20"/>
          <w:lang w:val="es-ES_tradnl"/>
        </w:rPr>
        <w:t xml:space="preserve">ese </w:t>
      </w:r>
      <w:r w:rsidRPr="004C09CF">
        <w:rPr>
          <w:rFonts w:ascii="Verdana" w:hAnsi="Verdana"/>
          <w:sz w:val="20"/>
          <w:szCs w:val="20"/>
          <w:lang w:val="es-ES_tradnl"/>
        </w:rPr>
        <w:t>entonces hasta la actualidad, a fin de evaluar</w:t>
      </w:r>
      <w:r w:rsidR="00730CA8">
        <w:rPr>
          <w:rFonts w:ascii="Verdana" w:hAnsi="Verdana"/>
          <w:sz w:val="20"/>
          <w:szCs w:val="20"/>
          <w:lang w:val="es-ES_tradnl"/>
        </w:rPr>
        <w:t xml:space="preserve"> la necesidad del</w:t>
      </w:r>
      <w:r w:rsidRPr="004C09CF">
        <w:rPr>
          <w:rFonts w:ascii="Verdana" w:hAnsi="Verdana"/>
          <w:sz w:val="20"/>
          <w:szCs w:val="20"/>
          <w:lang w:val="es-ES_tradnl"/>
        </w:rPr>
        <w:t xml:space="preserve"> mantenimiento de las medidas provisionales</w:t>
      </w:r>
      <w:r w:rsidR="00B73089">
        <w:rPr>
          <w:rFonts w:ascii="Verdana" w:hAnsi="Verdana"/>
          <w:sz w:val="20"/>
          <w:szCs w:val="20"/>
          <w:lang w:val="es-ES_tradnl"/>
        </w:rPr>
        <w:t>.</w:t>
      </w:r>
    </w:p>
    <w:p w:rsidR="004C09CF" w:rsidRPr="004C09CF" w:rsidRDefault="004C09CF" w:rsidP="004C09CF">
      <w:pPr>
        <w:pStyle w:val="NoSpacing"/>
        <w:jc w:val="both"/>
        <w:rPr>
          <w:rFonts w:ascii="Verdana" w:hAnsi="Verdana"/>
          <w:sz w:val="20"/>
          <w:szCs w:val="20"/>
          <w:lang w:val="es-ES_tradnl"/>
        </w:rPr>
      </w:pPr>
    </w:p>
    <w:p w:rsidR="009F2874" w:rsidRPr="004C09CF" w:rsidRDefault="009F2874" w:rsidP="009F2874">
      <w:pPr>
        <w:ind w:left="360" w:firstLine="348"/>
        <w:rPr>
          <w:rFonts w:ascii="Verdana" w:hAnsi="Verdana"/>
          <w:b/>
          <w:i/>
          <w:sz w:val="20"/>
          <w:szCs w:val="20"/>
        </w:rPr>
      </w:pPr>
      <w:r w:rsidRPr="004C09CF">
        <w:rPr>
          <w:rFonts w:ascii="Verdana" w:hAnsi="Verdana"/>
          <w:b/>
          <w:i/>
          <w:sz w:val="20"/>
          <w:szCs w:val="20"/>
        </w:rPr>
        <w:t xml:space="preserve">A.1. </w:t>
      </w:r>
      <w:r w:rsidR="00B73089" w:rsidRPr="004C09CF">
        <w:rPr>
          <w:rFonts w:ascii="Verdana" w:hAnsi="Verdana"/>
          <w:b/>
          <w:i/>
          <w:sz w:val="20"/>
          <w:szCs w:val="20"/>
        </w:rPr>
        <w:t>Alegatos de las partes y de la Comisión</w:t>
      </w:r>
    </w:p>
    <w:p w:rsidR="004D1660" w:rsidRPr="005A632D" w:rsidRDefault="004D1660" w:rsidP="004D1660">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ES_tradnl"/>
        </w:rPr>
        <w:t xml:space="preserve">Respecto </w:t>
      </w:r>
      <w:r w:rsidR="009146A9">
        <w:rPr>
          <w:rFonts w:ascii="Verdana" w:hAnsi="Verdana"/>
          <w:sz w:val="20"/>
          <w:szCs w:val="20"/>
          <w:lang w:val="es-ES_tradnl"/>
        </w:rPr>
        <w:t>del per</w:t>
      </w:r>
      <w:r w:rsidR="006B1906">
        <w:rPr>
          <w:rFonts w:ascii="Verdana" w:hAnsi="Verdana"/>
          <w:sz w:val="20"/>
          <w:szCs w:val="20"/>
          <w:lang w:val="es-ES_tradnl"/>
        </w:rPr>
        <w:t>í</w:t>
      </w:r>
      <w:r w:rsidR="009146A9">
        <w:rPr>
          <w:rFonts w:ascii="Verdana" w:hAnsi="Verdana"/>
          <w:sz w:val="20"/>
          <w:szCs w:val="20"/>
          <w:lang w:val="es-ES_tradnl"/>
        </w:rPr>
        <w:t xml:space="preserve">odo de </w:t>
      </w:r>
      <w:r w:rsidRPr="004C09CF">
        <w:rPr>
          <w:rFonts w:ascii="Verdana" w:hAnsi="Verdana"/>
          <w:sz w:val="20"/>
          <w:szCs w:val="20"/>
          <w:lang w:val="es-ES_tradnl"/>
        </w:rPr>
        <w:t xml:space="preserve">detención del señor Galdámez, los </w:t>
      </w:r>
      <w:r w:rsidRPr="00E435A0">
        <w:rPr>
          <w:rFonts w:ascii="Verdana" w:hAnsi="Verdana"/>
          <w:b/>
          <w:i/>
          <w:sz w:val="20"/>
          <w:szCs w:val="20"/>
          <w:lang w:val="es-ES_tradnl"/>
        </w:rPr>
        <w:t>representantes</w:t>
      </w:r>
      <w:r w:rsidRPr="004C09CF">
        <w:rPr>
          <w:rFonts w:ascii="Verdana" w:hAnsi="Verdana"/>
          <w:sz w:val="20"/>
          <w:szCs w:val="20"/>
          <w:lang w:val="es-ES_tradnl"/>
        </w:rPr>
        <w:t xml:space="preserve"> alegaron </w:t>
      </w:r>
      <w:r w:rsidR="009146A9">
        <w:rPr>
          <w:rFonts w:ascii="Verdana" w:hAnsi="Verdana"/>
          <w:sz w:val="20"/>
          <w:szCs w:val="20"/>
          <w:lang w:val="es-ES_tradnl"/>
        </w:rPr>
        <w:t>hechos tales como que</w:t>
      </w:r>
      <w:r w:rsidRPr="004C09CF">
        <w:rPr>
          <w:rFonts w:ascii="Verdana" w:hAnsi="Verdana"/>
          <w:sz w:val="20"/>
          <w:szCs w:val="20"/>
          <w:lang w:val="es-ES_tradnl"/>
        </w:rPr>
        <w:t>: i) vio restringido sus derechos a recibir visitas –en particular, de miembros de su equipo defensor–, a realizar llamadas telefónicas y a una atención médica adecuada; ii) existían especulaciones que apuntaban al traslado de varias personas del Batallón en el que el señor Galdámez se encontraba recluido a la Penitenciaría Nacional de Támara, lugar en el cual su seguridad no estaría garantizada; iii) decidió salir de su celda sólo una hora al día por miedo a que el resto de internos le agredieran; iv) estaba siendo objeto de hostigamientos e intimidaciones por parte de otros reclusos y por part</w:t>
      </w:r>
      <w:r>
        <w:rPr>
          <w:rFonts w:ascii="Verdana" w:hAnsi="Verdana"/>
          <w:sz w:val="20"/>
          <w:szCs w:val="20"/>
          <w:lang w:val="es-ES_tradnl"/>
        </w:rPr>
        <w:t xml:space="preserve">e de un agente policial que se </w:t>
      </w:r>
      <w:r w:rsidRPr="004C09CF">
        <w:rPr>
          <w:rFonts w:ascii="Verdana" w:hAnsi="Verdana"/>
          <w:sz w:val="20"/>
          <w:szCs w:val="20"/>
          <w:lang w:val="es-ES_tradnl"/>
        </w:rPr>
        <w:t xml:space="preserve">encontraba privado de libertad en el mismo establecimiento, y v) existía información en el Batallón que apuntaba a que eventualmente se le obligaría a compartir su pequeña celda con otra persona, situación que lo colocaría en una posición de mayor vulnerabilidad y precariedad dado que dicho espacio únicamente contaba con una pequeña cama y una letrina. </w:t>
      </w:r>
    </w:p>
    <w:p w:rsidR="004D1660" w:rsidRPr="004C09CF" w:rsidRDefault="004D1660" w:rsidP="005A632D">
      <w:pPr>
        <w:pStyle w:val="NoSpacing"/>
        <w:jc w:val="both"/>
        <w:rPr>
          <w:rFonts w:ascii="Verdana" w:hAnsi="Verdana"/>
          <w:sz w:val="20"/>
          <w:szCs w:val="20"/>
          <w:lang w:val="es-ES_tradnl"/>
        </w:rPr>
      </w:pPr>
    </w:p>
    <w:p w:rsidR="00D02E6F" w:rsidRPr="004C09CF" w:rsidRDefault="00D02E6F" w:rsidP="004D1660">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ES_tradnl"/>
        </w:rPr>
        <w:lastRenderedPageBreak/>
        <w:t xml:space="preserve">El </w:t>
      </w:r>
      <w:r w:rsidRPr="004C09CF">
        <w:rPr>
          <w:rFonts w:ascii="Verdana" w:hAnsi="Verdana"/>
          <w:b/>
          <w:i/>
          <w:sz w:val="20"/>
          <w:szCs w:val="20"/>
          <w:lang w:val="es-ES_tradnl"/>
        </w:rPr>
        <w:t>Estado</w:t>
      </w:r>
      <w:r w:rsidRPr="004C09CF">
        <w:rPr>
          <w:rFonts w:ascii="Verdana" w:hAnsi="Verdana"/>
          <w:sz w:val="20"/>
          <w:szCs w:val="20"/>
          <w:lang w:val="es-ES_tradnl"/>
        </w:rPr>
        <w:t xml:space="preserve"> argumentó que en noviembre de 2013 el beneficiario Galdámez fue electo para el cargo de diputado del Congreso Nacional y que dicha circunstancia demostraba que el contexto que dio origen “[…] a la medida provisional” hab</w:t>
      </w:r>
      <w:r w:rsidR="006B1906">
        <w:rPr>
          <w:rFonts w:ascii="Verdana" w:hAnsi="Verdana"/>
          <w:sz w:val="20"/>
          <w:szCs w:val="20"/>
          <w:lang w:val="es-ES_tradnl"/>
        </w:rPr>
        <w:t>r</w:t>
      </w:r>
      <w:r w:rsidRPr="004C09CF">
        <w:rPr>
          <w:rFonts w:ascii="Verdana" w:hAnsi="Verdana"/>
          <w:sz w:val="20"/>
          <w:szCs w:val="20"/>
          <w:lang w:val="es-ES_tradnl"/>
        </w:rPr>
        <w:t>ían cambiado sustancialmente y solicitó que “[fuera] analizado y considerado dicho extremo en la continuidad y seguimiento de la implementación de dicha medida de protección”</w:t>
      </w:r>
      <w:r w:rsidRPr="008B6CF0">
        <w:rPr>
          <w:rFonts w:ascii="Verdana" w:hAnsi="Verdana"/>
          <w:sz w:val="20"/>
          <w:szCs w:val="20"/>
          <w:lang w:val="es-ES_tradnl"/>
        </w:rPr>
        <w:t>.</w:t>
      </w:r>
    </w:p>
    <w:p w:rsidR="00E42E0B" w:rsidRPr="004C09CF" w:rsidRDefault="00E42E0B" w:rsidP="00E42E0B">
      <w:pPr>
        <w:pStyle w:val="NoSpacing"/>
        <w:jc w:val="both"/>
        <w:rPr>
          <w:rFonts w:ascii="Verdana" w:hAnsi="Verdana"/>
          <w:sz w:val="20"/>
          <w:szCs w:val="20"/>
          <w:lang w:val="es-ES_tradnl"/>
        </w:rPr>
      </w:pPr>
    </w:p>
    <w:p w:rsidR="00D02E6F" w:rsidRPr="004C09CF" w:rsidRDefault="00D02E6F" w:rsidP="00D02E6F">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ES_tradnl"/>
        </w:rPr>
        <w:t>Sobre la situación del señor Galdámez en detención</w:t>
      </w:r>
      <w:r w:rsidR="009146A9">
        <w:rPr>
          <w:rFonts w:ascii="Verdana" w:hAnsi="Verdana"/>
          <w:sz w:val="20"/>
          <w:szCs w:val="20"/>
          <w:lang w:val="es-ES_tradnl"/>
        </w:rPr>
        <w:t>,</w:t>
      </w:r>
      <w:r w:rsidRPr="004C09CF">
        <w:rPr>
          <w:rFonts w:ascii="Verdana" w:hAnsi="Verdana"/>
          <w:sz w:val="20"/>
          <w:szCs w:val="20"/>
          <w:lang w:val="es-ES_tradnl"/>
        </w:rPr>
        <w:t xml:space="preserve"> el Estado señaló</w:t>
      </w:r>
      <w:r w:rsidR="00B73089">
        <w:rPr>
          <w:rFonts w:ascii="Verdana" w:hAnsi="Verdana"/>
          <w:sz w:val="20"/>
          <w:szCs w:val="20"/>
          <w:lang w:val="es-ES_tradnl"/>
        </w:rPr>
        <w:t xml:space="preserve">, </w:t>
      </w:r>
      <w:r w:rsidR="00B73089" w:rsidRPr="005A632D">
        <w:rPr>
          <w:rFonts w:ascii="Verdana" w:hAnsi="Verdana"/>
          <w:i/>
          <w:sz w:val="20"/>
          <w:szCs w:val="20"/>
          <w:lang w:val="es-ES_tradnl"/>
        </w:rPr>
        <w:t xml:space="preserve">inter </w:t>
      </w:r>
      <w:proofErr w:type="spellStart"/>
      <w:r w:rsidR="00B73089" w:rsidRPr="005A632D">
        <w:rPr>
          <w:rFonts w:ascii="Verdana" w:hAnsi="Verdana"/>
          <w:i/>
          <w:sz w:val="20"/>
          <w:szCs w:val="20"/>
          <w:lang w:val="es-ES_tradnl"/>
        </w:rPr>
        <w:t>alia</w:t>
      </w:r>
      <w:proofErr w:type="spellEnd"/>
      <w:r w:rsidR="00B73089">
        <w:rPr>
          <w:rFonts w:ascii="Verdana" w:hAnsi="Verdana"/>
          <w:sz w:val="20"/>
          <w:szCs w:val="20"/>
          <w:lang w:val="es-ES_tradnl"/>
        </w:rPr>
        <w:t>,</w:t>
      </w:r>
      <w:r w:rsidRPr="004C09CF">
        <w:rPr>
          <w:rFonts w:ascii="Verdana" w:hAnsi="Verdana"/>
          <w:sz w:val="20"/>
          <w:szCs w:val="20"/>
          <w:lang w:val="es-ES_tradnl"/>
        </w:rPr>
        <w:t xml:space="preserve"> que: i) respecto a la restricción del derecho a recibir visitas alegada por los representantes</w:t>
      </w:r>
      <w:r w:rsidR="009146A9">
        <w:rPr>
          <w:rFonts w:ascii="Verdana" w:hAnsi="Verdana"/>
          <w:sz w:val="20"/>
          <w:szCs w:val="20"/>
          <w:lang w:val="es-ES_tradnl"/>
        </w:rPr>
        <w:t>,</w:t>
      </w:r>
      <w:r w:rsidRPr="004C09CF">
        <w:rPr>
          <w:rFonts w:ascii="Verdana" w:hAnsi="Verdana"/>
          <w:sz w:val="20"/>
          <w:szCs w:val="20"/>
          <w:lang w:val="es-ES_tradnl"/>
        </w:rPr>
        <w:t xml:space="preserve"> </w:t>
      </w:r>
      <w:r w:rsidR="00E42E0B" w:rsidRPr="004C09CF">
        <w:rPr>
          <w:rFonts w:ascii="Verdana" w:hAnsi="Verdana"/>
          <w:sz w:val="20"/>
          <w:szCs w:val="20"/>
          <w:lang w:val="es-ES_tradnl"/>
        </w:rPr>
        <w:t xml:space="preserve">el </w:t>
      </w:r>
      <w:r w:rsidRPr="004C09CF">
        <w:rPr>
          <w:rFonts w:ascii="Verdana" w:hAnsi="Verdana"/>
          <w:sz w:val="20"/>
          <w:szCs w:val="20"/>
          <w:lang w:val="es-ES_tradnl"/>
        </w:rPr>
        <w:t xml:space="preserve">abogado </w:t>
      </w:r>
      <w:r w:rsidR="00E42E0B" w:rsidRPr="004C09CF">
        <w:rPr>
          <w:rFonts w:ascii="Verdana" w:hAnsi="Verdana"/>
          <w:sz w:val="20"/>
          <w:szCs w:val="20"/>
          <w:lang w:val="es-ES_tradnl"/>
        </w:rPr>
        <w:t xml:space="preserve">del señor Galdámez </w:t>
      </w:r>
      <w:r w:rsidRPr="00E435A0">
        <w:rPr>
          <w:rFonts w:ascii="Verdana" w:hAnsi="Verdana"/>
          <w:sz w:val="20"/>
          <w:szCs w:val="20"/>
          <w:lang w:val="es-ES_tradnl"/>
        </w:rPr>
        <w:t>había manifestado</w:t>
      </w:r>
      <w:r w:rsidRPr="004C09CF">
        <w:rPr>
          <w:rFonts w:ascii="Verdana" w:hAnsi="Verdana"/>
          <w:sz w:val="20"/>
          <w:szCs w:val="20"/>
          <w:lang w:val="es-ES_tradnl"/>
        </w:rPr>
        <w:t xml:space="preserve"> “que </w:t>
      </w:r>
      <w:r w:rsidR="00E42E0B" w:rsidRPr="004C09CF">
        <w:rPr>
          <w:rFonts w:ascii="Verdana" w:hAnsi="Verdana"/>
          <w:sz w:val="20"/>
          <w:szCs w:val="20"/>
          <w:lang w:val="es-ES_tradnl"/>
        </w:rPr>
        <w:t>desde que</w:t>
      </w:r>
      <w:r w:rsidRPr="004C09CF">
        <w:rPr>
          <w:rFonts w:ascii="Verdana" w:hAnsi="Verdana"/>
          <w:sz w:val="20"/>
          <w:szCs w:val="20"/>
          <w:lang w:val="es-ES_tradnl"/>
        </w:rPr>
        <w:t xml:space="preserve"> </w:t>
      </w:r>
      <w:r w:rsidR="00E42E0B" w:rsidRPr="004C09CF">
        <w:rPr>
          <w:rFonts w:ascii="Verdana" w:hAnsi="Verdana"/>
          <w:sz w:val="20"/>
          <w:szCs w:val="20"/>
          <w:lang w:val="es-ES_tradnl"/>
        </w:rPr>
        <w:t xml:space="preserve">él </w:t>
      </w:r>
      <w:r w:rsidRPr="004C09CF">
        <w:rPr>
          <w:rFonts w:ascii="Verdana" w:hAnsi="Verdana"/>
          <w:sz w:val="20"/>
          <w:szCs w:val="20"/>
          <w:lang w:val="es-ES_tradnl"/>
        </w:rPr>
        <w:t xml:space="preserve">estaba a cargo de su defensa lo </w:t>
      </w:r>
      <w:proofErr w:type="gramStart"/>
      <w:r w:rsidRPr="004C09CF">
        <w:rPr>
          <w:rFonts w:ascii="Verdana" w:hAnsi="Verdana"/>
          <w:sz w:val="20"/>
          <w:szCs w:val="20"/>
          <w:lang w:val="es-ES_tradnl"/>
        </w:rPr>
        <w:t>ha[</w:t>
      </w:r>
      <w:proofErr w:type="spellStart"/>
      <w:proofErr w:type="gramEnd"/>
      <w:r w:rsidRPr="004C09CF">
        <w:rPr>
          <w:rFonts w:ascii="Verdana" w:hAnsi="Verdana"/>
          <w:sz w:val="20"/>
          <w:szCs w:val="20"/>
          <w:lang w:val="es-ES_tradnl"/>
        </w:rPr>
        <w:t>bía</w:t>
      </w:r>
      <w:proofErr w:type="spellEnd"/>
      <w:r w:rsidRPr="004C09CF">
        <w:rPr>
          <w:rFonts w:ascii="Verdana" w:hAnsi="Verdana"/>
          <w:sz w:val="20"/>
          <w:szCs w:val="20"/>
          <w:lang w:val="es-ES_tradnl"/>
        </w:rPr>
        <w:t>] visitado en varias ocasiones y no ha[</w:t>
      </w:r>
      <w:proofErr w:type="spellStart"/>
      <w:r w:rsidRPr="004C09CF">
        <w:rPr>
          <w:rFonts w:ascii="Verdana" w:hAnsi="Verdana"/>
          <w:sz w:val="20"/>
          <w:szCs w:val="20"/>
          <w:lang w:val="es-ES_tradnl"/>
        </w:rPr>
        <w:t>bía</w:t>
      </w:r>
      <w:proofErr w:type="spellEnd"/>
      <w:r w:rsidRPr="004C09CF">
        <w:rPr>
          <w:rFonts w:ascii="Verdana" w:hAnsi="Verdana"/>
          <w:sz w:val="20"/>
          <w:szCs w:val="20"/>
          <w:lang w:val="es-ES_tradnl"/>
        </w:rPr>
        <w:t>] tenido problemas al respecto con su cliente”</w:t>
      </w:r>
      <w:r w:rsidR="00E42E0B" w:rsidRPr="004C09CF">
        <w:rPr>
          <w:rFonts w:ascii="Verdana" w:hAnsi="Verdana"/>
          <w:sz w:val="20"/>
          <w:szCs w:val="20"/>
          <w:lang w:val="es-ES_tradnl"/>
        </w:rPr>
        <w:t xml:space="preserve">, lo cual, además </w:t>
      </w:r>
      <w:r w:rsidRPr="004C09CF">
        <w:rPr>
          <w:rFonts w:ascii="Verdana" w:hAnsi="Verdana"/>
          <w:sz w:val="20"/>
          <w:szCs w:val="20"/>
          <w:lang w:val="es-ES_tradnl"/>
        </w:rPr>
        <w:t>constaba en el libro de Visitas del Batallón</w:t>
      </w:r>
      <w:r w:rsidR="009146A9" w:rsidRPr="00DE3966">
        <w:rPr>
          <w:rFonts w:ascii="Verdana" w:hAnsi="Verdana"/>
          <w:sz w:val="20"/>
          <w:szCs w:val="20"/>
          <w:lang w:val="es-ES_tradnl"/>
        </w:rPr>
        <w:t>.</w:t>
      </w:r>
      <w:r w:rsidRPr="00DE3966">
        <w:rPr>
          <w:rFonts w:ascii="Verdana" w:hAnsi="Verdana"/>
          <w:sz w:val="20"/>
          <w:szCs w:val="20"/>
          <w:lang w:val="es-ES_tradnl"/>
        </w:rPr>
        <w:t xml:space="preserve"> </w:t>
      </w:r>
      <w:r w:rsidR="00DF243A" w:rsidRPr="00DE3966">
        <w:rPr>
          <w:rFonts w:ascii="Verdana" w:hAnsi="Verdana"/>
          <w:sz w:val="20"/>
          <w:szCs w:val="20"/>
          <w:lang w:val="es-ES_tradnl"/>
        </w:rPr>
        <w:t>También</w:t>
      </w:r>
      <w:r w:rsidRPr="004C09CF">
        <w:rPr>
          <w:rFonts w:ascii="Verdana" w:hAnsi="Verdana"/>
          <w:sz w:val="20"/>
          <w:szCs w:val="20"/>
          <w:lang w:val="es-ES_tradnl"/>
        </w:rPr>
        <w:t>, afirmó que se le permitían tanto visitas familiares como conyugales; ii) en cuanto a la atención médica, resaltó que el señor Galdámez había señalado que sí recibía atención médica por parte del médico del Instituto Nacional Penitenciario, pero que él quería ser evaluado por Medicina Forense o que le mandaran al Hospital Militar para que se le diera un diagnóstico para ser atendido, ya que dicho Instituto no contaba con un cardiólogo ni con otro médico especialista para ser tratado, puesto que el encierro le daba ansiedad</w:t>
      </w:r>
      <w:r w:rsidR="006B1906" w:rsidRPr="005D08E9">
        <w:rPr>
          <w:rFonts w:ascii="Verdana" w:hAnsi="Verdana"/>
          <w:sz w:val="20"/>
          <w:szCs w:val="20"/>
          <w:lang w:val="es-ES_tradnl"/>
        </w:rPr>
        <w:t>;</w:t>
      </w:r>
      <w:r w:rsidRPr="004C09CF">
        <w:rPr>
          <w:rFonts w:ascii="Verdana" w:hAnsi="Verdana"/>
          <w:b/>
          <w:sz w:val="20"/>
          <w:szCs w:val="20"/>
          <w:lang w:val="es-ES_tradnl"/>
        </w:rPr>
        <w:t xml:space="preserve"> </w:t>
      </w:r>
      <w:r w:rsidRPr="004C09CF">
        <w:rPr>
          <w:rFonts w:ascii="Verdana" w:hAnsi="Verdana"/>
          <w:sz w:val="20"/>
          <w:szCs w:val="20"/>
          <w:lang w:val="es-ES_tradnl"/>
        </w:rPr>
        <w:t xml:space="preserve">iii) </w:t>
      </w:r>
      <w:r w:rsidR="00CD03AE">
        <w:rPr>
          <w:rFonts w:ascii="Verdana" w:hAnsi="Verdana"/>
          <w:sz w:val="20"/>
          <w:szCs w:val="20"/>
          <w:lang w:val="es-ES_tradnl"/>
        </w:rPr>
        <w:t>E</w:t>
      </w:r>
      <w:r w:rsidRPr="004C09CF">
        <w:rPr>
          <w:rFonts w:ascii="Verdana" w:hAnsi="Verdana"/>
          <w:sz w:val="20"/>
          <w:szCs w:val="20"/>
          <w:lang w:val="es-ES_tradnl"/>
        </w:rPr>
        <w:t xml:space="preserve">n </w:t>
      </w:r>
      <w:r w:rsidR="009146A9">
        <w:rPr>
          <w:rFonts w:ascii="Verdana" w:hAnsi="Verdana"/>
          <w:sz w:val="20"/>
          <w:szCs w:val="20"/>
          <w:lang w:val="es-ES_tradnl"/>
        </w:rPr>
        <w:t xml:space="preserve">relación con </w:t>
      </w:r>
      <w:r w:rsidRPr="004C09CF">
        <w:rPr>
          <w:rFonts w:ascii="Verdana" w:hAnsi="Verdana"/>
          <w:sz w:val="20"/>
          <w:szCs w:val="20"/>
          <w:lang w:val="es-ES_tradnl"/>
        </w:rPr>
        <w:t>la salida de su celda, el Estado informó que el señor Galdámez tenía permitido salir todos los días de la semana al patio interno del módulo 5 o más horas diarias,</w:t>
      </w:r>
      <w:r w:rsidR="009146A9">
        <w:rPr>
          <w:rFonts w:ascii="Verdana" w:hAnsi="Verdana"/>
          <w:sz w:val="20"/>
          <w:szCs w:val="20"/>
          <w:lang w:val="es-ES_tradnl"/>
        </w:rPr>
        <w:t xml:space="preserve"> y</w:t>
      </w:r>
      <w:r w:rsidRPr="004C09CF">
        <w:rPr>
          <w:rFonts w:ascii="Verdana" w:hAnsi="Verdana"/>
          <w:sz w:val="20"/>
          <w:szCs w:val="20"/>
          <w:lang w:val="es-ES_tradnl"/>
        </w:rPr>
        <w:t xml:space="preserve"> iv) </w:t>
      </w:r>
      <w:r w:rsidR="009146A9">
        <w:rPr>
          <w:rFonts w:ascii="Verdana" w:hAnsi="Verdana"/>
          <w:sz w:val="20"/>
          <w:szCs w:val="20"/>
          <w:lang w:val="es-ES_tradnl"/>
        </w:rPr>
        <w:t xml:space="preserve">se concedió </w:t>
      </w:r>
      <w:r w:rsidRPr="004C09CF">
        <w:rPr>
          <w:rFonts w:ascii="Verdana" w:hAnsi="Verdana"/>
          <w:sz w:val="20"/>
          <w:szCs w:val="20"/>
          <w:lang w:val="es-ES_tradnl"/>
        </w:rPr>
        <w:t xml:space="preserve">la posibilidad de autorizar la visita del personal de Derechos Humanos de la Secretaría de </w:t>
      </w:r>
      <w:r w:rsidR="00E435A0" w:rsidRPr="004C09CF">
        <w:rPr>
          <w:rFonts w:ascii="Verdana" w:hAnsi="Verdana"/>
          <w:sz w:val="20"/>
          <w:szCs w:val="20"/>
          <w:lang w:val="es-ES_tradnl"/>
        </w:rPr>
        <w:t>Seguridad</w:t>
      </w:r>
      <w:r w:rsidR="009146A9">
        <w:rPr>
          <w:rFonts w:ascii="Verdana" w:hAnsi="Verdana"/>
          <w:sz w:val="20"/>
          <w:szCs w:val="20"/>
          <w:lang w:val="es-ES_tradnl"/>
        </w:rPr>
        <w:t>.</w:t>
      </w:r>
    </w:p>
    <w:p w:rsidR="00D02E6F" w:rsidRPr="004C09CF" w:rsidRDefault="00D02E6F" w:rsidP="00D02E6F">
      <w:pPr>
        <w:pStyle w:val="NoSpacing"/>
        <w:jc w:val="both"/>
        <w:rPr>
          <w:rFonts w:ascii="Verdana" w:hAnsi="Verdana"/>
          <w:sz w:val="20"/>
          <w:szCs w:val="20"/>
          <w:lang w:val="es-ES_tradnl"/>
        </w:rPr>
      </w:pPr>
    </w:p>
    <w:p w:rsidR="00CF598D" w:rsidRDefault="00D02E6F" w:rsidP="00CF598D">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ES_tradnl"/>
        </w:rPr>
        <w:t xml:space="preserve">La </w:t>
      </w:r>
      <w:r w:rsidRPr="004C09CF">
        <w:rPr>
          <w:rFonts w:ascii="Verdana" w:hAnsi="Verdana"/>
          <w:b/>
          <w:i/>
          <w:sz w:val="20"/>
          <w:szCs w:val="20"/>
          <w:lang w:val="es-ES_tradnl"/>
        </w:rPr>
        <w:t>Comisión</w:t>
      </w:r>
      <w:r w:rsidR="004D1660">
        <w:rPr>
          <w:rFonts w:ascii="Verdana" w:hAnsi="Verdana"/>
          <w:b/>
          <w:i/>
          <w:sz w:val="20"/>
          <w:szCs w:val="20"/>
          <w:lang w:val="es-ES_tradnl"/>
        </w:rPr>
        <w:t xml:space="preserve"> </w:t>
      </w:r>
      <w:r w:rsidRPr="004C09CF">
        <w:rPr>
          <w:rFonts w:ascii="Verdana" w:hAnsi="Verdana"/>
          <w:sz w:val="20"/>
          <w:szCs w:val="20"/>
          <w:lang w:val="es-ES_tradnl"/>
        </w:rPr>
        <w:t xml:space="preserve">tomó nota de lo alegado por las partes respecto </w:t>
      </w:r>
      <w:r w:rsidR="00730CA8">
        <w:rPr>
          <w:rFonts w:ascii="Verdana" w:hAnsi="Verdana"/>
          <w:sz w:val="20"/>
          <w:szCs w:val="20"/>
          <w:lang w:val="es-ES_tradnl"/>
        </w:rPr>
        <w:t>a</w:t>
      </w:r>
      <w:r w:rsidRPr="004C09CF">
        <w:rPr>
          <w:rFonts w:ascii="Verdana" w:hAnsi="Verdana"/>
          <w:sz w:val="20"/>
          <w:szCs w:val="20"/>
          <w:lang w:val="es-ES_tradnl"/>
        </w:rPr>
        <w:t xml:space="preserve"> </w:t>
      </w:r>
      <w:r w:rsidR="009146A9">
        <w:rPr>
          <w:rFonts w:ascii="Verdana" w:hAnsi="Verdana"/>
          <w:sz w:val="20"/>
          <w:szCs w:val="20"/>
          <w:lang w:val="es-ES_tradnl"/>
        </w:rPr>
        <w:t xml:space="preserve">las </w:t>
      </w:r>
      <w:r w:rsidRPr="004C09CF">
        <w:rPr>
          <w:rFonts w:ascii="Verdana" w:hAnsi="Verdana"/>
          <w:sz w:val="20"/>
          <w:szCs w:val="20"/>
          <w:lang w:val="es-ES_tradnl"/>
        </w:rPr>
        <w:t>condiciones carcelarias</w:t>
      </w:r>
      <w:r w:rsidR="009146A9">
        <w:rPr>
          <w:rFonts w:ascii="Verdana" w:hAnsi="Verdana"/>
          <w:sz w:val="20"/>
          <w:szCs w:val="20"/>
          <w:lang w:val="es-ES_tradnl"/>
        </w:rPr>
        <w:t xml:space="preserve"> </w:t>
      </w:r>
      <w:r w:rsidR="00DF243A">
        <w:rPr>
          <w:rFonts w:ascii="Verdana" w:hAnsi="Verdana"/>
          <w:sz w:val="20"/>
          <w:szCs w:val="20"/>
          <w:lang w:val="es-ES_tradnl"/>
        </w:rPr>
        <w:t>d</w:t>
      </w:r>
      <w:r w:rsidR="009146A9">
        <w:rPr>
          <w:rFonts w:ascii="Verdana" w:hAnsi="Verdana"/>
          <w:sz w:val="20"/>
          <w:szCs w:val="20"/>
          <w:lang w:val="es-ES_tradnl"/>
        </w:rPr>
        <w:t>el beneficiario</w:t>
      </w:r>
      <w:r w:rsidR="00CF598D">
        <w:rPr>
          <w:rStyle w:val="FootnoteReference"/>
          <w:rFonts w:ascii="Verdana" w:hAnsi="Verdana"/>
          <w:sz w:val="20"/>
          <w:szCs w:val="20"/>
          <w:lang w:val="es-ES_tradnl"/>
        </w:rPr>
        <w:footnoteReference w:id="11"/>
      </w:r>
      <w:r w:rsidR="00CD03AE">
        <w:rPr>
          <w:rFonts w:ascii="Verdana" w:hAnsi="Verdana"/>
          <w:sz w:val="20"/>
          <w:szCs w:val="20"/>
          <w:lang w:val="es-ES_tradnl"/>
        </w:rPr>
        <w:t>.</w:t>
      </w:r>
      <w:r w:rsidRPr="004C09CF">
        <w:rPr>
          <w:rFonts w:ascii="Verdana" w:hAnsi="Verdana"/>
          <w:sz w:val="20"/>
          <w:szCs w:val="20"/>
          <w:lang w:val="es-ES_tradnl"/>
        </w:rPr>
        <w:t xml:space="preserve"> Asimismo, se refirió a que se le había concedido </w:t>
      </w:r>
      <w:r w:rsidR="00CF598D">
        <w:rPr>
          <w:rFonts w:ascii="Verdana" w:hAnsi="Verdana"/>
          <w:sz w:val="20"/>
          <w:szCs w:val="20"/>
          <w:lang w:val="es-ES_tradnl"/>
        </w:rPr>
        <w:t xml:space="preserve">al beneficiario </w:t>
      </w:r>
      <w:r w:rsidRPr="004C09CF">
        <w:rPr>
          <w:rFonts w:ascii="Verdana" w:hAnsi="Verdana"/>
          <w:sz w:val="20"/>
          <w:szCs w:val="20"/>
          <w:lang w:val="es-ES_tradnl"/>
        </w:rPr>
        <w:t>la salida del recinto de su celda por espacio de 4 horas al día en beneficio de su salud y que se realizaría una visita por parte del Departamento de Derechos Humanos de la Secretaría de Estado en el Despacho de Seguridad una vez que se notificara la fecha.</w:t>
      </w:r>
      <w:r w:rsidR="00CF598D">
        <w:rPr>
          <w:rFonts w:ascii="Verdana" w:hAnsi="Verdana"/>
          <w:sz w:val="20"/>
          <w:szCs w:val="20"/>
          <w:lang w:val="es-ES_tradnl"/>
        </w:rPr>
        <w:t xml:space="preserve"> </w:t>
      </w:r>
    </w:p>
    <w:p w:rsidR="00EA16DD" w:rsidRPr="004C09CF" w:rsidRDefault="00EA16DD" w:rsidP="00CF598D">
      <w:pPr>
        <w:pStyle w:val="NoSpacing"/>
        <w:jc w:val="both"/>
        <w:rPr>
          <w:rFonts w:ascii="Verdana" w:hAnsi="Verdana"/>
          <w:sz w:val="20"/>
          <w:szCs w:val="20"/>
          <w:lang w:val="es-ES_tradnl"/>
        </w:rPr>
      </w:pPr>
    </w:p>
    <w:p w:rsidR="009F2874" w:rsidRPr="004C09CF" w:rsidRDefault="009F2874" w:rsidP="009F2874">
      <w:pPr>
        <w:ind w:left="360" w:firstLine="348"/>
        <w:rPr>
          <w:rFonts w:ascii="Verdana" w:hAnsi="Verdana"/>
          <w:b/>
          <w:i/>
          <w:sz w:val="20"/>
          <w:szCs w:val="20"/>
        </w:rPr>
      </w:pPr>
      <w:r w:rsidRPr="004C09CF">
        <w:rPr>
          <w:rFonts w:ascii="Verdana" w:hAnsi="Verdana"/>
          <w:b/>
          <w:i/>
          <w:sz w:val="20"/>
          <w:szCs w:val="20"/>
        </w:rPr>
        <w:tab/>
      </w:r>
      <w:r w:rsidR="00017816">
        <w:rPr>
          <w:rFonts w:ascii="Verdana" w:hAnsi="Verdana"/>
          <w:b/>
          <w:i/>
          <w:sz w:val="20"/>
          <w:szCs w:val="20"/>
        </w:rPr>
        <w:t>A</w:t>
      </w:r>
      <w:r w:rsidRPr="004C09CF">
        <w:rPr>
          <w:rFonts w:ascii="Verdana" w:hAnsi="Verdana"/>
          <w:b/>
          <w:i/>
          <w:sz w:val="20"/>
          <w:szCs w:val="20"/>
        </w:rPr>
        <w:t>.</w:t>
      </w:r>
      <w:r w:rsidR="00017816">
        <w:rPr>
          <w:rFonts w:ascii="Verdana" w:hAnsi="Verdana"/>
          <w:b/>
          <w:i/>
          <w:sz w:val="20"/>
          <w:szCs w:val="20"/>
        </w:rPr>
        <w:t>2</w:t>
      </w:r>
      <w:r w:rsidRPr="004C09CF">
        <w:rPr>
          <w:rFonts w:ascii="Verdana" w:hAnsi="Verdana"/>
          <w:b/>
          <w:i/>
          <w:sz w:val="20"/>
          <w:szCs w:val="20"/>
        </w:rPr>
        <w:t>. Consideraciones de la Corte</w:t>
      </w:r>
    </w:p>
    <w:p w:rsidR="004060D0" w:rsidRPr="00C46D3A" w:rsidRDefault="00017816" w:rsidP="004060D0">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En primer lugar, l</w:t>
      </w:r>
      <w:r w:rsidR="004D1660">
        <w:rPr>
          <w:rFonts w:ascii="Verdana" w:hAnsi="Verdana"/>
          <w:sz w:val="20"/>
          <w:szCs w:val="20"/>
          <w:lang w:val="es-ES_tradnl"/>
        </w:rPr>
        <w:t>a Corte nota que</w:t>
      </w:r>
      <w:r w:rsidR="00B44DB8" w:rsidRPr="004C09CF">
        <w:rPr>
          <w:rFonts w:ascii="Verdana" w:hAnsi="Verdana"/>
          <w:sz w:val="20"/>
          <w:szCs w:val="20"/>
          <w:lang w:val="es-ES_tradnl"/>
        </w:rPr>
        <w:t xml:space="preserve"> </w:t>
      </w:r>
      <w:r w:rsidR="00CF598D">
        <w:rPr>
          <w:rFonts w:ascii="Verdana" w:hAnsi="Verdana"/>
          <w:sz w:val="20"/>
          <w:szCs w:val="20"/>
          <w:lang w:val="es-ES_tradnl"/>
        </w:rPr>
        <w:t xml:space="preserve">los </w:t>
      </w:r>
      <w:r>
        <w:rPr>
          <w:rFonts w:ascii="Verdana" w:hAnsi="Verdana"/>
          <w:sz w:val="20"/>
          <w:szCs w:val="20"/>
          <w:lang w:val="es-ES_tradnl"/>
        </w:rPr>
        <w:t xml:space="preserve">alegatos relacionados con supuestos </w:t>
      </w:r>
      <w:r w:rsidR="00B44DB8" w:rsidRPr="004C09CF">
        <w:rPr>
          <w:rFonts w:ascii="Verdana" w:hAnsi="Verdana"/>
          <w:sz w:val="20"/>
          <w:szCs w:val="20"/>
          <w:lang w:val="es-ES_tradnl"/>
        </w:rPr>
        <w:t xml:space="preserve">actos de hostigamiento, persecución y amenazas </w:t>
      </w:r>
      <w:r w:rsidR="00CF598D" w:rsidRPr="00C46D3A">
        <w:rPr>
          <w:rFonts w:ascii="Verdana" w:hAnsi="Verdana"/>
          <w:sz w:val="20"/>
          <w:szCs w:val="20"/>
          <w:lang w:val="es-ES_tradnl"/>
        </w:rPr>
        <w:t xml:space="preserve">documentados durante </w:t>
      </w:r>
      <w:r w:rsidR="00CF598D">
        <w:rPr>
          <w:rFonts w:ascii="Verdana" w:hAnsi="Verdana"/>
          <w:sz w:val="20"/>
          <w:szCs w:val="20"/>
          <w:lang w:val="es-ES_tradnl"/>
        </w:rPr>
        <w:t xml:space="preserve">el </w:t>
      </w:r>
      <w:r w:rsidR="00CF598D" w:rsidRPr="00C46D3A">
        <w:rPr>
          <w:rFonts w:ascii="Verdana" w:hAnsi="Verdana"/>
          <w:sz w:val="20"/>
          <w:szCs w:val="20"/>
          <w:lang w:val="es-ES_tradnl"/>
        </w:rPr>
        <w:t>per</w:t>
      </w:r>
      <w:r w:rsidR="006B1906">
        <w:rPr>
          <w:rFonts w:ascii="Verdana" w:hAnsi="Verdana"/>
          <w:sz w:val="20"/>
          <w:szCs w:val="20"/>
          <w:lang w:val="es-ES_tradnl"/>
        </w:rPr>
        <w:t>í</w:t>
      </w:r>
      <w:r w:rsidR="00CF598D" w:rsidRPr="00C46D3A">
        <w:rPr>
          <w:rFonts w:ascii="Verdana" w:hAnsi="Verdana"/>
          <w:sz w:val="20"/>
          <w:szCs w:val="20"/>
          <w:lang w:val="es-ES_tradnl"/>
        </w:rPr>
        <w:t xml:space="preserve">odo en el que </w:t>
      </w:r>
      <w:r w:rsidR="00CF598D">
        <w:rPr>
          <w:rFonts w:ascii="Verdana" w:hAnsi="Verdana"/>
          <w:sz w:val="20"/>
          <w:szCs w:val="20"/>
          <w:lang w:val="es-ES_tradnl"/>
        </w:rPr>
        <w:t xml:space="preserve">el </w:t>
      </w:r>
      <w:r w:rsidR="00CF598D" w:rsidRPr="004C09CF">
        <w:rPr>
          <w:rFonts w:ascii="Verdana" w:hAnsi="Verdana"/>
          <w:sz w:val="20"/>
          <w:szCs w:val="20"/>
          <w:lang w:val="es-ES_tradnl"/>
        </w:rPr>
        <w:t>señor Galdámez</w:t>
      </w:r>
      <w:r w:rsidR="00CF598D" w:rsidRPr="00C46D3A">
        <w:rPr>
          <w:rFonts w:ascii="Verdana" w:hAnsi="Verdana"/>
          <w:sz w:val="20"/>
          <w:szCs w:val="20"/>
          <w:lang w:val="es-ES_tradnl"/>
        </w:rPr>
        <w:t xml:space="preserve"> estaba en libertad ejerciendo el periodismo</w:t>
      </w:r>
      <w:r w:rsidR="00730CA8">
        <w:rPr>
          <w:rFonts w:ascii="Verdana" w:hAnsi="Verdana"/>
          <w:sz w:val="20"/>
          <w:szCs w:val="20"/>
          <w:lang w:val="es-ES_tradnl"/>
        </w:rPr>
        <w:t>,</w:t>
      </w:r>
      <w:r w:rsidR="00CF598D">
        <w:rPr>
          <w:rFonts w:ascii="Verdana" w:hAnsi="Verdana"/>
          <w:sz w:val="20"/>
          <w:szCs w:val="20"/>
          <w:lang w:val="es-ES_tradnl"/>
        </w:rPr>
        <w:t xml:space="preserve"> </w:t>
      </w:r>
      <w:r w:rsidR="00B44DB8" w:rsidRPr="00C46D3A">
        <w:rPr>
          <w:rFonts w:ascii="Verdana" w:hAnsi="Verdana"/>
          <w:sz w:val="20"/>
          <w:szCs w:val="20"/>
          <w:lang w:val="es-ES_tradnl"/>
        </w:rPr>
        <w:t xml:space="preserve">y los cuales generaron el otorgamiento de las medidas provisionales, </w:t>
      </w:r>
      <w:r w:rsidRPr="00C46D3A">
        <w:rPr>
          <w:rFonts w:ascii="Verdana" w:hAnsi="Verdana"/>
          <w:sz w:val="20"/>
          <w:szCs w:val="20"/>
          <w:lang w:val="es-ES_tradnl"/>
        </w:rPr>
        <w:t xml:space="preserve">no </w:t>
      </w:r>
      <w:r w:rsidR="00CF598D">
        <w:rPr>
          <w:rFonts w:ascii="Verdana" w:hAnsi="Verdana"/>
          <w:sz w:val="20"/>
          <w:szCs w:val="20"/>
          <w:lang w:val="es-ES_tradnl"/>
        </w:rPr>
        <w:t xml:space="preserve">se </w:t>
      </w:r>
      <w:r w:rsidR="00CD03AE">
        <w:rPr>
          <w:rFonts w:ascii="Verdana" w:hAnsi="Verdana"/>
          <w:sz w:val="20"/>
          <w:szCs w:val="20"/>
          <w:lang w:val="es-ES_tradnl"/>
        </w:rPr>
        <w:t xml:space="preserve">han </w:t>
      </w:r>
      <w:r w:rsidR="00CF598D">
        <w:rPr>
          <w:rFonts w:ascii="Verdana" w:hAnsi="Verdana"/>
          <w:sz w:val="20"/>
          <w:szCs w:val="20"/>
          <w:lang w:val="es-ES_tradnl"/>
        </w:rPr>
        <w:t xml:space="preserve">repetido </w:t>
      </w:r>
      <w:r w:rsidR="004060D0" w:rsidRPr="00C46D3A">
        <w:rPr>
          <w:rFonts w:ascii="Verdana" w:hAnsi="Verdana"/>
          <w:sz w:val="20"/>
          <w:szCs w:val="20"/>
          <w:lang w:val="es-ES_tradnl"/>
        </w:rPr>
        <w:t xml:space="preserve">desde que </w:t>
      </w:r>
      <w:r w:rsidR="004D1660" w:rsidRPr="00C46D3A">
        <w:rPr>
          <w:rFonts w:ascii="Verdana" w:hAnsi="Verdana"/>
          <w:sz w:val="20"/>
          <w:szCs w:val="20"/>
          <w:lang w:val="es-ES_tradnl"/>
        </w:rPr>
        <w:t>fue</w:t>
      </w:r>
      <w:r w:rsidR="004060D0" w:rsidRPr="00C46D3A">
        <w:rPr>
          <w:rFonts w:ascii="Verdana" w:hAnsi="Verdana"/>
          <w:sz w:val="20"/>
          <w:szCs w:val="20"/>
          <w:lang w:val="es-ES_tradnl"/>
        </w:rPr>
        <w:t xml:space="preserve"> detenido.</w:t>
      </w:r>
      <w:r w:rsidR="00717AD9" w:rsidRPr="00C46D3A">
        <w:rPr>
          <w:rFonts w:ascii="Verdana" w:hAnsi="Verdana"/>
          <w:sz w:val="20"/>
          <w:szCs w:val="20"/>
          <w:lang w:val="es-ES_tradnl"/>
        </w:rPr>
        <w:t xml:space="preserve"> </w:t>
      </w:r>
    </w:p>
    <w:p w:rsidR="002A5366" w:rsidRPr="00C46D3A" w:rsidRDefault="002A5366" w:rsidP="005A632D">
      <w:pPr>
        <w:pStyle w:val="NoSpacing"/>
        <w:jc w:val="both"/>
        <w:rPr>
          <w:rFonts w:ascii="Verdana" w:hAnsi="Verdana"/>
          <w:sz w:val="20"/>
          <w:szCs w:val="20"/>
          <w:lang w:val="es-ES_tradnl"/>
        </w:rPr>
      </w:pPr>
    </w:p>
    <w:p w:rsidR="004060D0" w:rsidRPr="00AE0A46" w:rsidRDefault="00017816" w:rsidP="004060D0">
      <w:pPr>
        <w:pStyle w:val="NoSpacing"/>
        <w:numPr>
          <w:ilvl w:val="0"/>
          <w:numId w:val="5"/>
        </w:numPr>
        <w:ind w:left="0" w:firstLine="0"/>
        <w:jc w:val="both"/>
        <w:rPr>
          <w:rFonts w:ascii="Verdana" w:hAnsi="Verdana"/>
          <w:sz w:val="20"/>
          <w:szCs w:val="20"/>
          <w:lang w:val="es-ES_tradnl"/>
        </w:rPr>
      </w:pPr>
      <w:r w:rsidRPr="00C46D3A">
        <w:rPr>
          <w:rFonts w:ascii="Verdana" w:hAnsi="Verdana"/>
          <w:sz w:val="20"/>
          <w:szCs w:val="20"/>
          <w:lang w:val="es-ES_tradnl"/>
        </w:rPr>
        <w:t xml:space="preserve">En según lugar, </w:t>
      </w:r>
      <w:r w:rsidR="00CF598D">
        <w:rPr>
          <w:rFonts w:ascii="Verdana" w:hAnsi="Verdana"/>
          <w:sz w:val="20"/>
          <w:szCs w:val="20"/>
          <w:lang w:val="es-ES_tradnl"/>
        </w:rPr>
        <w:t xml:space="preserve">el Tribunal estima que </w:t>
      </w:r>
      <w:r w:rsidR="004D1660" w:rsidRPr="00C46D3A">
        <w:rPr>
          <w:rFonts w:ascii="Verdana" w:hAnsi="Verdana"/>
          <w:sz w:val="20"/>
          <w:szCs w:val="20"/>
          <w:lang w:val="es-ES_tradnl"/>
        </w:rPr>
        <w:t>la</w:t>
      </w:r>
      <w:r w:rsidR="00B44DB8" w:rsidRPr="00C46D3A">
        <w:rPr>
          <w:rFonts w:ascii="Verdana" w:eastAsia="Calibri" w:hAnsi="Verdana" w:cs="Times New Roman"/>
          <w:bCs/>
          <w:sz w:val="20"/>
          <w:szCs w:val="20"/>
          <w:lang w:val="es-CR"/>
        </w:rPr>
        <w:t xml:space="preserve"> situación actual </w:t>
      </w:r>
      <w:r w:rsidR="004D1660" w:rsidRPr="00C46D3A">
        <w:rPr>
          <w:rFonts w:ascii="Verdana" w:eastAsia="Calibri" w:hAnsi="Verdana" w:cs="Times New Roman"/>
          <w:bCs/>
          <w:sz w:val="20"/>
          <w:szCs w:val="20"/>
          <w:lang w:val="es-CR"/>
        </w:rPr>
        <w:t xml:space="preserve">del señor Galdámez </w:t>
      </w:r>
      <w:r w:rsidRPr="00C46D3A">
        <w:rPr>
          <w:rFonts w:ascii="Verdana" w:eastAsia="Calibri" w:hAnsi="Verdana" w:cs="Times New Roman"/>
          <w:bCs/>
          <w:sz w:val="20"/>
          <w:szCs w:val="20"/>
          <w:lang w:val="es-CR"/>
        </w:rPr>
        <w:t xml:space="preserve">y los incidentes reportados durante su detención, </w:t>
      </w:r>
      <w:r w:rsidR="00B44DB8" w:rsidRPr="00C46D3A">
        <w:rPr>
          <w:rFonts w:ascii="Verdana" w:eastAsia="Calibri" w:hAnsi="Verdana" w:cs="Times New Roman"/>
          <w:bCs/>
          <w:sz w:val="20"/>
          <w:szCs w:val="20"/>
          <w:lang w:val="es-CR"/>
        </w:rPr>
        <w:t>no guarda</w:t>
      </w:r>
      <w:r w:rsidR="00A203DA">
        <w:rPr>
          <w:rFonts w:ascii="Verdana" w:eastAsia="Calibri" w:hAnsi="Verdana" w:cs="Times New Roman"/>
          <w:bCs/>
          <w:sz w:val="20"/>
          <w:szCs w:val="20"/>
          <w:lang w:val="es-CR"/>
        </w:rPr>
        <w:t>n</w:t>
      </w:r>
      <w:r w:rsidR="00B44DB8" w:rsidRPr="00C46D3A">
        <w:rPr>
          <w:rFonts w:ascii="Verdana" w:eastAsia="Calibri" w:hAnsi="Verdana" w:cs="Times New Roman"/>
          <w:bCs/>
          <w:sz w:val="20"/>
          <w:szCs w:val="20"/>
          <w:lang w:val="es-CR"/>
        </w:rPr>
        <w:t xml:space="preserve"> relación con los hechos que </w:t>
      </w:r>
      <w:r w:rsidR="00B44DB8" w:rsidRPr="006B1906">
        <w:rPr>
          <w:rFonts w:ascii="Verdana" w:eastAsia="Calibri" w:hAnsi="Verdana" w:cs="Times New Roman"/>
          <w:bCs/>
          <w:sz w:val="20"/>
          <w:szCs w:val="20"/>
          <w:lang w:val="es-CR"/>
        </w:rPr>
        <w:t>motivaron el otorgamiento de las medidas provisionales</w:t>
      </w:r>
      <w:r w:rsidR="00B44DB8" w:rsidRPr="006B1906">
        <w:rPr>
          <w:rStyle w:val="FootnoteReference"/>
          <w:rFonts w:ascii="Verdana" w:eastAsia="Calibri" w:hAnsi="Verdana" w:cs="Times New Roman"/>
          <w:bCs/>
          <w:sz w:val="20"/>
          <w:szCs w:val="20"/>
          <w:lang w:val="es-CR"/>
        </w:rPr>
        <w:footnoteReference w:id="12"/>
      </w:r>
      <w:r w:rsidR="00B44DB8" w:rsidRPr="006B1906">
        <w:rPr>
          <w:rFonts w:ascii="Verdana" w:eastAsia="Calibri" w:hAnsi="Verdana" w:cs="Times New Roman"/>
          <w:bCs/>
          <w:sz w:val="20"/>
          <w:szCs w:val="20"/>
          <w:lang w:val="es-CR"/>
        </w:rPr>
        <w:t>.</w:t>
      </w:r>
      <w:r w:rsidR="00B44DB8" w:rsidRPr="006B1906">
        <w:rPr>
          <w:rFonts w:ascii="Verdana" w:hAnsi="Verdana"/>
          <w:sz w:val="20"/>
          <w:szCs w:val="20"/>
          <w:lang w:val="es-ES_tradnl"/>
        </w:rPr>
        <w:t xml:space="preserve"> </w:t>
      </w:r>
    </w:p>
    <w:p w:rsidR="00717AD9" w:rsidRPr="005D08E9" w:rsidRDefault="00717AD9" w:rsidP="004060D0">
      <w:pPr>
        <w:pStyle w:val="NoSpacing"/>
        <w:jc w:val="both"/>
        <w:rPr>
          <w:rFonts w:ascii="Verdana" w:hAnsi="Verdana"/>
          <w:sz w:val="20"/>
          <w:szCs w:val="20"/>
          <w:lang w:val="es-ES_tradnl"/>
        </w:rPr>
      </w:pPr>
    </w:p>
    <w:p w:rsidR="00B44DB8" w:rsidRPr="005D08E9" w:rsidRDefault="00B44DB8" w:rsidP="004060D0">
      <w:pPr>
        <w:pStyle w:val="NoSpacing"/>
        <w:numPr>
          <w:ilvl w:val="0"/>
          <w:numId w:val="5"/>
        </w:numPr>
        <w:ind w:left="0" w:firstLine="0"/>
        <w:jc w:val="both"/>
        <w:rPr>
          <w:rFonts w:ascii="Verdana" w:hAnsi="Verdana"/>
          <w:sz w:val="20"/>
          <w:szCs w:val="20"/>
          <w:lang w:val="es-ES_tradnl"/>
        </w:rPr>
      </w:pPr>
      <w:r w:rsidRPr="005D08E9">
        <w:rPr>
          <w:rFonts w:ascii="Verdana" w:hAnsi="Verdana"/>
          <w:sz w:val="20"/>
          <w:szCs w:val="20"/>
          <w:lang w:val="es-CR"/>
        </w:rPr>
        <w:t>La Corte reitera que</w:t>
      </w:r>
      <w:r w:rsidR="004060D0" w:rsidRPr="005D08E9">
        <w:rPr>
          <w:rFonts w:ascii="Verdana" w:hAnsi="Verdana"/>
          <w:sz w:val="20"/>
          <w:szCs w:val="20"/>
          <w:lang w:val="es-CR"/>
        </w:rPr>
        <w:t>,</w:t>
      </w:r>
      <w:r w:rsidRPr="005D08E9">
        <w:rPr>
          <w:rFonts w:ascii="Verdana" w:hAnsi="Verdana"/>
          <w:sz w:val="20"/>
          <w:szCs w:val="20"/>
          <w:lang w:val="es-CR"/>
        </w:rPr>
        <w:t xml:space="preserve"> en el marco de </w:t>
      </w:r>
      <w:r w:rsidR="00A64690" w:rsidRPr="005D08E9">
        <w:rPr>
          <w:rFonts w:ascii="Verdana" w:hAnsi="Verdana"/>
          <w:sz w:val="20"/>
          <w:szCs w:val="20"/>
          <w:lang w:val="es-CR"/>
        </w:rPr>
        <w:t xml:space="preserve">las </w:t>
      </w:r>
      <w:r w:rsidRPr="005D08E9">
        <w:rPr>
          <w:rFonts w:ascii="Verdana" w:hAnsi="Verdana"/>
          <w:sz w:val="20"/>
          <w:szCs w:val="20"/>
          <w:lang w:val="es-CR"/>
        </w:rPr>
        <w:t xml:space="preserve">medidas provisionales, corresponde </w:t>
      </w:r>
      <w:r w:rsidR="004060D0" w:rsidRPr="005D08E9">
        <w:rPr>
          <w:rFonts w:ascii="Verdana" w:hAnsi="Verdana"/>
          <w:sz w:val="20"/>
          <w:szCs w:val="20"/>
          <w:lang w:val="es-CR"/>
        </w:rPr>
        <w:t xml:space="preserve">a </w:t>
      </w:r>
      <w:r w:rsidR="00F6032C">
        <w:rPr>
          <w:rFonts w:ascii="Verdana" w:hAnsi="Verdana"/>
          <w:sz w:val="20"/>
          <w:szCs w:val="20"/>
          <w:lang w:val="es-CR"/>
        </w:rPr>
        <w:t>é</w:t>
      </w:r>
      <w:r w:rsidRPr="005D08E9">
        <w:rPr>
          <w:rFonts w:ascii="Verdana" w:hAnsi="Verdana"/>
          <w:sz w:val="20"/>
          <w:szCs w:val="20"/>
          <w:lang w:val="es-CR"/>
        </w:rPr>
        <w:t xml:space="preserve">sta considerar única y estrictamente aquellos argumentos que se relacionan directamente con la extrema gravedad, urgencia y la necesidad de evitar daños irreparables a personas. Cualquier otro hecho o argumento sólo puede ser analizado y </w:t>
      </w:r>
      <w:r w:rsidRPr="005D08E9">
        <w:rPr>
          <w:rFonts w:ascii="Verdana" w:hAnsi="Verdana"/>
          <w:sz w:val="20"/>
          <w:szCs w:val="20"/>
          <w:lang w:val="es-CR"/>
        </w:rPr>
        <w:lastRenderedPageBreak/>
        <w:t>resuelto durante la consideración del fondo de un caso contencioso</w:t>
      </w:r>
      <w:r w:rsidRPr="005D08E9">
        <w:rPr>
          <w:rStyle w:val="FootnoteReference"/>
          <w:rFonts w:ascii="Verdana" w:hAnsi="Verdana"/>
          <w:sz w:val="20"/>
          <w:szCs w:val="20"/>
          <w:lang w:val="es-CR"/>
        </w:rPr>
        <w:footnoteReference w:id="13"/>
      </w:r>
      <w:r w:rsidRPr="005D08E9">
        <w:rPr>
          <w:rFonts w:ascii="Verdana" w:hAnsi="Verdana"/>
          <w:sz w:val="20"/>
          <w:szCs w:val="20"/>
          <w:lang w:val="es-CR"/>
        </w:rPr>
        <w:t>.</w:t>
      </w:r>
      <w:r w:rsidRPr="005D08E9">
        <w:rPr>
          <w:rFonts w:ascii="Verdana" w:hAnsi="Verdana"/>
          <w:sz w:val="20"/>
          <w:szCs w:val="20"/>
          <w:lang w:val="es-ES_tradnl"/>
        </w:rPr>
        <w:t xml:space="preserve"> </w:t>
      </w:r>
      <w:r w:rsidR="00725149" w:rsidRPr="005D08E9">
        <w:rPr>
          <w:rFonts w:ascii="Verdana" w:hAnsi="Verdana"/>
          <w:sz w:val="20"/>
          <w:szCs w:val="20"/>
          <w:lang w:val="es-ES_tradnl"/>
        </w:rPr>
        <w:t xml:space="preserve">En consecuencia corresponde levantar las medidas provisionales en relación con este beneficiario. </w:t>
      </w:r>
    </w:p>
    <w:p w:rsidR="00100FA1" w:rsidRPr="006B1906" w:rsidRDefault="00100FA1" w:rsidP="00E435A0">
      <w:pPr>
        <w:pStyle w:val="NoSpacing"/>
        <w:jc w:val="both"/>
        <w:rPr>
          <w:rFonts w:ascii="Verdana" w:hAnsi="Verdana"/>
          <w:sz w:val="20"/>
          <w:szCs w:val="20"/>
          <w:lang w:val="es-ES_tradnl"/>
        </w:rPr>
      </w:pPr>
    </w:p>
    <w:p w:rsidR="009F2874" w:rsidRPr="004C09CF" w:rsidRDefault="00017816" w:rsidP="009F2874">
      <w:pPr>
        <w:pStyle w:val="ListParagraph"/>
        <w:numPr>
          <w:ilvl w:val="0"/>
          <w:numId w:val="1"/>
        </w:numPr>
        <w:rPr>
          <w:rFonts w:ascii="Verdana" w:hAnsi="Verdana"/>
          <w:b/>
          <w:i/>
          <w:sz w:val="20"/>
          <w:szCs w:val="20"/>
        </w:rPr>
      </w:pPr>
      <w:r w:rsidRPr="004C09CF">
        <w:rPr>
          <w:rFonts w:ascii="Verdana" w:hAnsi="Verdana"/>
          <w:b/>
          <w:i/>
          <w:sz w:val="20"/>
          <w:szCs w:val="20"/>
        </w:rPr>
        <w:t>Sobre la implementación de las medidas</w:t>
      </w:r>
      <w:r>
        <w:rPr>
          <w:rFonts w:ascii="Verdana" w:hAnsi="Verdana"/>
          <w:b/>
          <w:i/>
          <w:sz w:val="20"/>
          <w:szCs w:val="20"/>
        </w:rPr>
        <w:t xml:space="preserve"> y situación de riesgo de </w:t>
      </w:r>
      <w:r w:rsidR="009F2874" w:rsidRPr="004C09CF">
        <w:rPr>
          <w:rFonts w:ascii="Verdana" w:hAnsi="Verdana"/>
          <w:b/>
          <w:i/>
          <w:sz w:val="20"/>
          <w:szCs w:val="20"/>
        </w:rPr>
        <w:t xml:space="preserve">los </w:t>
      </w:r>
      <w:r w:rsidR="00BD5EB4">
        <w:rPr>
          <w:rFonts w:ascii="Verdana" w:hAnsi="Verdana"/>
          <w:b/>
          <w:i/>
          <w:sz w:val="20"/>
          <w:szCs w:val="20"/>
        </w:rPr>
        <w:t xml:space="preserve">beneficiarios </w:t>
      </w:r>
      <w:r w:rsidR="009F2874" w:rsidRPr="004C09CF">
        <w:rPr>
          <w:rFonts w:ascii="Verdana" w:hAnsi="Verdana"/>
          <w:b/>
          <w:i/>
          <w:sz w:val="20"/>
          <w:szCs w:val="20"/>
        </w:rPr>
        <w:t>familiares del señor Galdámez</w:t>
      </w:r>
    </w:p>
    <w:p w:rsidR="009F2874" w:rsidRPr="004C09CF" w:rsidRDefault="009F2874" w:rsidP="00017816">
      <w:pPr>
        <w:ind w:left="360" w:firstLine="348"/>
        <w:rPr>
          <w:rFonts w:ascii="Verdana" w:hAnsi="Verdana"/>
          <w:b/>
          <w:i/>
          <w:sz w:val="20"/>
          <w:szCs w:val="20"/>
        </w:rPr>
      </w:pPr>
      <w:r w:rsidRPr="004C09CF">
        <w:rPr>
          <w:rFonts w:ascii="Verdana" w:hAnsi="Verdana"/>
          <w:b/>
          <w:i/>
          <w:sz w:val="20"/>
          <w:szCs w:val="20"/>
        </w:rPr>
        <w:t xml:space="preserve">B.1. </w:t>
      </w:r>
      <w:r w:rsidR="00017816" w:rsidRPr="004C09CF">
        <w:rPr>
          <w:rFonts w:ascii="Verdana" w:hAnsi="Verdana"/>
          <w:b/>
          <w:i/>
          <w:sz w:val="20"/>
          <w:szCs w:val="20"/>
        </w:rPr>
        <w:t>Alegatos de las partes y de la Comisión</w:t>
      </w:r>
      <w:r w:rsidR="00017816" w:rsidRPr="004C09CF" w:rsidDel="00017816">
        <w:rPr>
          <w:rFonts w:ascii="Verdana" w:hAnsi="Verdana"/>
          <w:b/>
          <w:i/>
          <w:sz w:val="20"/>
          <w:szCs w:val="20"/>
        </w:rPr>
        <w:t xml:space="preserve"> </w:t>
      </w:r>
    </w:p>
    <w:p w:rsidR="00F64DE8" w:rsidRDefault="00F64DE8" w:rsidP="00F64DE8">
      <w:pPr>
        <w:pStyle w:val="NoSpacing"/>
        <w:numPr>
          <w:ilvl w:val="0"/>
          <w:numId w:val="5"/>
        </w:numPr>
        <w:ind w:left="0" w:firstLine="0"/>
        <w:jc w:val="both"/>
        <w:rPr>
          <w:rFonts w:ascii="Verdana" w:hAnsi="Verdana"/>
          <w:sz w:val="20"/>
          <w:szCs w:val="20"/>
          <w:lang w:val="es-CR"/>
        </w:rPr>
      </w:pPr>
      <w:r w:rsidRPr="004C09CF">
        <w:rPr>
          <w:rFonts w:ascii="Verdana" w:hAnsi="Verdana"/>
          <w:sz w:val="20"/>
          <w:szCs w:val="20"/>
          <w:lang w:val="es-CR"/>
        </w:rPr>
        <w:t>Los</w:t>
      </w:r>
      <w:r w:rsidRPr="004C09CF">
        <w:rPr>
          <w:rFonts w:ascii="Verdana" w:hAnsi="Verdana"/>
          <w:b/>
          <w:i/>
          <w:sz w:val="20"/>
          <w:szCs w:val="20"/>
          <w:lang w:val="es-CR"/>
        </w:rPr>
        <w:t xml:space="preserve"> </w:t>
      </w:r>
      <w:r w:rsidRPr="005A632D">
        <w:rPr>
          <w:rFonts w:ascii="Verdana" w:hAnsi="Verdana"/>
          <w:b/>
          <w:i/>
          <w:sz w:val="20"/>
          <w:szCs w:val="20"/>
          <w:lang w:val="es-CR"/>
        </w:rPr>
        <w:t>representantes</w:t>
      </w:r>
      <w:r w:rsidRPr="004C09CF">
        <w:rPr>
          <w:rFonts w:ascii="Verdana" w:hAnsi="Verdana"/>
          <w:sz w:val="20"/>
          <w:szCs w:val="20"/>
          <w:lang w:val="es-CR"/>
        </w:rPr>
        <w:t xml:space="preserve"> lamentaron que el Estado </w:t>
      </w:r>
      <w:r>
        <w:rPr>
          <w:rFonts w:ascii="Verdana" w:hAnsi="Verdana"/>
          <w:sz w:val="20"/>
          <w:szCs w:val="20"/>
          <w:lang w:val="es-CR"/>
        </w:rPr>
        <w:t xml:space="preserve">tomara </w:t>
      </w:r>
      <w:r w:rsidRPr="004C09CF">
        <w:rPr>
          <w:rFonts w:ascii="Verdana" w:hAnsi="Verdana"/>
          <w:sz w:val="20"/>
          <w:szCs w:val="20"/>
          <w:lang w:val="es-CR"/>
        </w:rPr>
        <w:t>la decisión</w:t>
      </w:r>
      <w:r w:rsidR="006B1906">
        <w:rPr>
          <w:rFonts w:ascii="Verdana" w:hAnsi="Verdana"/>
          <w:sz w:val="20"/>
          <w:szCs w:val="20"/>
          <w:lang w:val="es-CR"/>
        </w:rPr>
        <w:t>,</w:t>
      </w:r>
      <w:r w:rsidRPr="004C09CF">
        <w:rPr>
          <w:rFonts w:ascii="Verdana" w:hAnsi="Verdana"/>
          <w:sz w:val="20"/>
          <w:szCs w:val="20"/>
          <w:lang w:val="es-CR"/>
        </w:rPr>
        <w:t xml:space="preserve"> </w:t>
      </w:r>
      <w:r w:rsidR="00C46D3A" w:rsidRPr="004C09CF">
        <w:rPr>
          <w:rFonts w:ascii="Verdana" w:hAnsi="Verdana"/>
          <w:sz w:val="20"/>
          <w:szCs w:val="20"/>
          <w:lang w:val="es-CR"/>
        </w:rPr>
        <w:t xml:space="preserve">en el mes de </w:t>
      </w:r>
      <w:r w:rsidR="00730CA8">
        <w:rPr>
          <w:rFonts w:ascii="Verdana" w:hAnsi="Verdana"/>
          <w:sz w:val="20"/>
          <w:szCs w:val="20"/>
          <w:lang w:val="es-CR"/>
        </w:rPr>
        <w:t>agosto</w:t>
      </w:r>
      <w:r w:rsidR="00C46D3A" w:rsidRPr="004C09CF">
        <w:rPr>
          <w:rFonts w:ascii="Verdana" w:hAnsi="Verdana"/>
          <w:sz w:val="20"/>
          <w:szCs w:val="20"/>
          <w:lang w:val="es-CR"/>
        </w:rPr>
        <w:t xml:space="preserve"> de 2015</w:t>
      </w:r>
      <w:r w:rsidR="006B1906">
        <w:rPr>
          <w:rFonts w:ascii="Verdana" w:hAnsi="Verdana"/>
          <w:sz w:val="20"/>
          <w:szCs w:val="20"/>
          <w:lang w:val="es-CR"/>
        </w:rPr>
        <w:t>,</w:t>
      </w:r>
      <w:r w:rsidR="00C46D3A">
        <w:rPr>
          <w:rFonts w:ascii="Verdana" w:hAnsi="Verdana"/>
          <w:sz w:val="20"/>
          <w:szCs w:val="20"/>
          <w:lang w:val="es-CR"/>
        </w:rPr>
        <w:t xml:space="preserve"> </w:t>
      </w:r>
      <w:r w:rsidRPr="004C09CF">
        <w:rPr>
          <w:rFonts w:ascii="Verdana" w:hAnsi="Verdana"/>
          <w:sz w:val="20"/>
          <w:szCs w:val="20"/>
          <w:lang w:val="es-CR"/>
        </w:rPr>
        <w:t>de retirar arbitraria y unilateralmente el servicio de escolta</w:t>
      </w:r>
      <w:r w:rsidR="00BD5EB4">
        <w:rPr>
          <w:rFonts w:ascii="Verdana" w:hAnsi="Verdana"/>
          <w:sz w:val="20"/>
          <w:szCs w:val="20"/>
          <w:lang w:val="es-CR"/>
        </w:rPr>
        <w:t xml:space="preserve"> a favor de la beneficiaria Orellana y sus hijos</w:t>
      </w:r>
      <w:r w:rsidR="00C46D3A">
        <w:rPr>
          <w:rFonts w:ascii="Verdana" w:hAnsi="Verdana"/>
          <w:sz w:val="20"/>
          <w:szCs w:val="20"/>
          <w:lang w:val="es-CR"/>
        </w:rPr>
        <w:t>, lo</w:t>
      </w:r>
      <w:r>
        <w:rPr>
          <w:rFonts w:ascii="Verdana" w:hAnsi="Verdana"/>
          <w:sz w:val="20"/>
          <w:szCs w:val="20"/>
          <w:lang w:val="es-CR"/>
        </w:rPr>
        <w:t xml:space="preserve"> cual, según el Estado</w:t>
      </w:r>
      <w:r w:rsidR="00C46D3A">
        <w:rPr>
          <w:rFonts w:ascii="Verdana" w:hAnsi="Verdana"/>
          <w:sz w:val="20"/>
          <w:szCs w:val="20"/>
          <w:lang w:val="es-CR"/>
        </w:rPr>
        <w:t>,</w:t>
      </w:r>
      <w:r w:rsidRPr="004C09CF">
        <w:rPr>
          <w:rFonts w:ascii="Verdana" w:hAnsi="Verdana"/>
          <w:sz w:val="20"/>
          <w:szCs w:val="20"/>
          <w:lang w:val="es-CR"/>
        </w:rPr>
        <w:t xml:space="preserve"> se encontra</w:t>
      </w:r>
      <w:r>
        <w:rPr>
          <w:rFonts w:ascii="Verdana" w:hAnsi="Verdana"/>
          <w:sz w:val="20"/>
          <w:szCs w:val="20"/>
          <w:lang w:val="es-CR"/>
        </w:rPr>
        <w:t>ba</w:t>
      </w:r>
      <w:r w:rsidRPr="004C09CF">
        <w:rPr>
          <w:rFonts w:ascii="Verdana" w:hAnsi="Verdana"/>
          <w:sz w:val="20"/>
          <w:szCs w:val="20"/>
          <w:lang w:val="es-CR"/>
        </w:rPr>
        <w:t xml:space="preserve"> justificada por </w:t>
      </w:r>
      <w:r w:rsidRPr="009D688D">
        <w:rPr>
          <w:rFonts w:ascii="Verdana" w:hAnsi="Verdana"/>
          <w:sz w:val="20"/>
          <w:szCs w:val="20"/>
          <w:lang w:val="es-CR"/>
        </w:rPr>
        <w:t>las necesidades de seguridad del resto del país</w:t>
      </w:r>
      <w:r w:rsidR="009D688D">
        <w:rPr>
          <w:rFonts w:ascii="Verdana" w:hAnsi="Verdana"/>
          <w:sz w:val="20"/>
          <w:szCs w:val="20"/>
          <w:lang w:val="es-CR"/>
        </w:rPr>
        <w:t xml:space="preserve"> en la prevención del delito</w:t>
      </w:r>
      <w:r w:rsidRPr="004C09CF">
        <w:rPr>
          <w:rFonts w:ascii="Verdana" w:hAnsi="Verdana"/>
          <w:sz w:val="20"/>
          <w:szCs w:val="20"/>
          <w:lang w:val="es-CR"/>
        </w:rPr>
        <w:t>.</w:t>
      </w:r>
    </w:p>
    <w:p w:rsidR="00F64DE8" w:rsidRPr="004C09CF" w:rsidRDefault="00F64DE8" w:rsidP="005A632D">
      <w:pPr>
        <w:pStyle w:val="NoSpacing"/>
        <w:jc w:val="both"/>
        <w:rPr>
          <w:rFonts w:ascii="Verdana" w:hAnsi="Verdana"/>
          <w:sz w:val="20"/>
          <w:szCs w:val="20"/>
          <w:lang w:val="es-CR"/>
        </w:rPr>
      </w:pPr>
    </w:p>
    <w:p w:rsidR="00717AD9" w:rsidRPr="00F64DE8" w:rsidRDefault="00F64DE8" w:rsidP="00BD5EB4">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CR"/>
        </w:rPr>
        <w:t xml:space="preserve">Respecto a la situación de riesgo de la beneficiaria </w:t>
      </w:r>
      <w:r w:rsidR="00BD5EB4">
        <w:rPr>
          <w:rFonts w:ascii="Verdana" w:hAnsi="Verdana"/>
          <w:sz w:val="20"/>
          <w:szCs w:val="20"/>
          <w:lang w:val="es-CR"/>
        </w:rPr>
        <w:t xml:space="preserve">Orellana y sus hijos, </w:t>
      </w:r>
      <w:r>
        <w:rPr>
          <w:rFonts w:ascii="Verdana" w:hAnsi="Verdana"/>
          <w:sz w:val="20"/>
          <w:szCs w:val="20"/>
          <w:lang w:val="es-CR"/>
        </w:rPr>
        <w:t>señalaron</w:t>
      </w:r>
      <w:r w:rsidRPr="004C09CF">
        <w:rPr>
          <w:rFonts w:ascii="Verdana" w:hAnsi="Verdana"/>
          <w:sz w:val="20"/>
          <w:szCs w:val="20"/>
          <w:lang w:val="es-CR"/>
        </w:rPr>
        <w:t xml:space="preserve"> que: i) los encargados de proporcionar seguridad privada en la zona donde reside</w:t>
      </w:r>
      <w:r w:rsidR="00BD5EB4">
        <w:rPr>
          <w:rFonts w:ascii="Verdana" w:hAnsi="Verdana"/>
          <w:sz w:val="20"/>
          <w:szCs w:val="20"/>
          <w:lang w:val="es-CR"/>
        </w:rPr>
        <w:t>n</w:t>
      </w:r>
      <w:r w:rsidRPr="004C09CF">
        <w:rPr>
          <w:rFonts w:ascii="Verdana" w:hAnsi="Verdana"/>
          <w:sz w:val="20"/>
          <w:szCs w:val="20"/>
          <w:lang w:val="es-CR"/>
        </w:rPr>
        <w:t>, le dieron aviso que, durante la semana inmediatamente anterior a la reunión de monitoreo del 18 de noviembre de 2015, entre las 12:00 y las 13:00 horas</w:t>
      </w:r>
      <w:r>
        <w:rPr>
          <w:rFonts w:ascii="Verdana" w:hAnsi="Verdana"/>
          <w:sz w:val="20"/>
          <w:szCs w:val="20"/>
          <w:lang w:val="es-CR"/>
        </w:rPr>
        <w:t>,</w:t>
      </w:r>
      <w:r w:rsidRPr="004C09CF">
        <w:rPr>
          <w:rFonts w:ascii="Verdana" w:hAnsi="Verdana"/>
          <w:sz w:val="20"/>
          <w:szCs w:val="20"/>
          <w:lang w:val="es-CR"/>
        </w:rPr>
        <w:t xml:space="preserve"> observaron la presencia de un joven de entre dieciocho y veintidós [18 y 22] años que estaba armado y en moto</w:t>
      </w:r>
      <w:r w:rsidR="00DF243A">
        <w:rPr>
          <w:rFonts w:ascii="Verdana" w:hAnsi="Verdana"/>
          <w:sz w:val="20"/>
          <w:szCs w:val="20"/>
          <w:lang w:val="es-CR"/>
        </w:rPr>
        <w:t>cicleta</w:t>
      </w:r>
      <w:r w:rsidRPr="004C09CF">
        <w:rPr>
          <w:rFonts w:ascii="Verdana" w:hAnsi="Verdana"/>
          <w:sz w:val="20"/>
          <w:szCs w:val="20"/>
          <w:lang w:val="es-CR"/>
        </w:rPr>
        <w:t xml:space="preserve">, </w:t>
      </w:r>
      <w:r>
        <w:rPr>
          <w:rFonts w:ascii="Verdana" w:hAnsi="Verdana"/>
          <w:sz w:val="20"/>
          <w:szCs w:val="20"/>
          <w:lang w:val="es-CR"/>
        </w:rPr>
        <w:t>por</w:t>
      </w:r>
      <w:r w:rsidRPr="004C09CF">
        <w:rPr>
          <w:rFonts w:ascii="Verdana" w:hAnsi="Verdana"/>
          <w:sz w:val="20"/>
          <w:szCs w:val="20"/>
          <w:lang w:val="es-CR"/>
        </w:rPr>
        <w:t xml:space="preserve"> lo que los guardias de seguridad llamaron a la Policía Militar, la cual se hizo presente en el lugar y comprobó que el arma que portaba la persona estaba en regla</w:t>
      </w:r>
      <w:r>
        <w:rPr>
          <w:rFonts w:ascii="Verdana" w:hAnsi="Verdana"/>
          <w:sz w:val="20"/>
          <w:szCs w:val="20"/>
          <w:lang w:val="es-CR"/>
        </w:rPr>
        <w:t>; ii)</w:t>
      </w:r>
      <w:r w:rsidRPr="004C09CF">
        <w:rPr>
          <w:rFonts w:ascii="Verdana" w:hAnsi="Verdana"/>
          <w:sz w:val="20"/>
          <w:szCs w:val="20"/>
          <w:lang w:val="es-CR"/>
        </w:rPr>
        <w:t xml:space="preserve"> el 15 de enero de 2016, sobre las 10:00 horas, un taxi con un hombre y tres mujeres desconocidas ingresó a la zona de su residencia, preguntaron a varios de los vecinos por la vivienda del señor Galdámez y su familia</w:t>
      </w:r>
      <w:r>
        <w:rPr>
          <w:rFonts w:ascii="Verdana" w:hAnsi="Verdana"/>
          <w:sz w:val="20"/>
          <w:szCs w:val="20"/>
          <w:lang w:val="es-CR"/>
        </w:rPr>
        <w:t xml:space="preserve">, y iii) </w:t>
      </w:r>
      <w:r w:rsidRPr="004C09CF">
        <w:rPr>
          <w:rFonts w:ascii="Verdana" w:hAnsi="Verdana"/>
          <w:sz w:val="20"/>
          <w:szCs w:val="20"/>
          <w:lang w:val="es-CR"/>
        </w:rPr>
        <w:t>en la noche del 11 de agosto de 2016 un vehículo gris sin placas estuvo estacionado cerca de dos horas a escasos metros de su vivienda, desde donde se veía el interior del inmueble</w:t>
      </w:r>
      <w:r w:rsidRPr="008B6CF0">
        <w:rPr>
          <w:rFonts w:ascii="Verdana" w:hAnsi="Verdana"/>
          <w:sz w:val="20"/>
          <w:szCs w:val="20"/>
          <w:lang w:val="es-CR"/>
        </w:rPr>
        <w:t>.</w:t>
      </w:r>
      <w:r w:rsidRPr="004C09CF">
        <w:rPr>
          <w:rFonts w:ascii="Verdana" w:hAnsi="Verdana"/>
          <w:b/>
          <w:sz w:val="20"/>
          <w:szCs w:val="20"/>
          <w:lang w:val="es-CR"/>
        </w:rPr>
        <w:t xml:space="preserve"> </w:t>
      </w:r>
      <w:r w:rsidRPr="005A632D">
        <w:rPr>
          <w:rFonts w:ascii="Verdana" w:hAnsi="Verdana"/>
          <w:sz w:val="20"/>
          <w:szCs w:val="20"/>
          <w:lang w:val="es-ES_tradnl"/>
        </w:rPr>
        <w:t>Los representantes también señalaron que la señora Orellana decidió que, en virtud de la desconfianza</w:t>
      </w:r>
      <w:r w:rsidRPr="004C09CF">
        <w:rPr>
          <w:rFonts w:ascii="Verdana" w:hAnsi="Verdana"/>
          <w:sz w:val="20"/>
          <w:szCs w:val="20"/>
          <w:lang w:val="es-ES_tradnl"/>
        </w:rPr>
        <w:t xml:space="preserve"> que existía respecto las fuerzas de seguridad hondureñas, no denunciar</w:t>
      </w:r>
      <w:r w:rsidR="00AE0A46">
        <w:rPr>
          <w:rFonts w:ascii="Verdana" w:hAnsi="Verdana"/>
          <w:sz w:val="20"/>
          <w:szCs w:val="20"/>
          <w:lang w:val="es-ES_tradnl"/>
        </w:rPr>
        <w:t>ía</w:t>
      </w:r>
      <w:r w:rsidRPr="004C09CF">
        <w:rPr>
          <w:rFonts w:ascii="Verdana" w:hAnsi="Verdana"/>
          <w:sz w:val="20"/>
          <w:szCs w:val="20"/>
          <w:lang w:val="es-ES_tradnl"/>
        </w:rPr>
        <w:t xml:space="preserve"> </w:t>
      </w:r>
      <w:r>
        <w:rPr>
          <w:rFonts w:ascii="Verdana" w:hAnsi="Verdana"/>
          <w:sz w:val="20"/>
          <w:szCs w:val="20"/>
          <w:lang w:val="es-ES_tradnl"/>
        </w:rPr>
        <w:t>tales</w:t>
      </w:r>
      <w:r w:rsidRPr="004C09CF">
        <w:rPr>
          <w:rFonts w:ascii="Verdana" w:hAnsi="Verdana"/>
          <w:sz w:val="20"/>
          <w:szCs w:val="20"/>
          <w:lang w:val="es-ES_tradnl"/>
        </w:rPr>
        <w:t xml:space="preserve"> nuevos hechos.</w:t>
      </w:r>
    </w:p>
    <w:p w:rsidR="00717AD9" w:rsidRDefault="00717AD9" w:rsidP="005A632D">
      <w:pPr>
        <w:pStyle w:val="NoSpacing"/>
        <w:jc w:val="both"/>
        <w:rPr>
          <w:rFonts w:ascii="Verdana" w:hAnsi="Verdana"/>
          <w:sz w:val="20"/>
          <w:szCs w:val="20"/>
          <w:lang w:val="es-CR"/>
        </w:rPr>
      </w:pPr>
    </w:p>
    <w:p w:rsidR="001E5E11" w:rsidRPr="005A632D" w:rsidRDefault="00F64DE8" w:rsidP="001E5E11">
      <w:pPr>
        <w:pStyle w:val="NoSpacing"/>
        <w:numPr>
          <w:ilvl w:val="0"/>
          <w:numId w:val="5"/>
        </w:numPr>
        <w:ind w:left="0" w:firstLine="0"/>
        <w:jc w:val="both"/>
        <w:rPr>
          <w:rFonts w:ascii="Verdana" w:hAnsi="Verdana"/>
          <w:sz w:val="20"/>
          <w:szCs w:val="20"/>
          <w:lang w:val="es-CR"/>
        </w:rPr>
      </w:pPr>
      <w:r w:rsidRPr="001E5E11">
        <w:rPr>
          <w:rFonts w:ascii="Verdana" w:hAnsi="Verdana"/>
          <w:sz w:val="20"/>
          <w:szCs w:val="20"/>
          <w:lang w:val="es-CR"/>
        </w:rPr>
        <w:t xml:space="preserve">El </w:t>
      </w:r>
      <w:r w:rsidRPr="005A632D">
        <w:rPr>
          <w:rFonts w:ascii="Verdana" w:hAnsi="Verdana"/>
          <w:b/>
          <w:i/>
          <w:sz w:val="20"/>
          <w:szCs w:val="20"/>
          <w:lang w:val="es-CR"/>
        </w:rPr>
        <w:t>Estado</w:t>
      </w:r>
      <w:r w:rsidRPr="001E5E11">
        <w:rPr>
          <w:rFonts w:ascii="Verdana" w:hAnsi="Verdana"/>
          <w:sz w:val="20"/>
          <w:szCs w:val="20"/>
          <w:lang w:val="es-CR"/>
        </w:rPr>
        <w:t xml:space="preserve"> </w:t>
      </w:r>
      <w:r w:rsidR="001E5E11" w:rsidRPr="005A632D">
        <w:rPr>
          <w:rFonts w:ascii="Verdana" w:hAnsi="Verdana"/>
          <w:sz w:val="20"/>
          <w:szCs w:val="20"/>
          <w:lang w:val="es-CR"/>
        </w:rPr>
        <w:t xml:space="preserve">señaló que, debido a la carencia de personal a lo largo y ancho del territorio nacional, suspendió el servicio de escoltas de la señora Orellana para incorporar a los agentes de policía al fortalecimiento de las tareas de prevención y combate al delito. </w:t>
      </w:r>
      <w:r w:rsidR="001E5E11">
        <w:rPr>
          <w:rFonts w:ascii="Verdana" w:hAnsi="Verdana"/>
          <w:sz w:val="20"/>
          <w:szCs w:val="20"/>
          <w:lang w:val="es-CR"/>
        </w:rPr>
        <w:t>Sin embargo, durante ese</w:t>
      </w:r>
      <w:r w:rsidR="001E5E11" w:rsidRPr="004C09CF">
        <w:rPr>
          <w:rFonts w:ascii="Verdana" w:hAnsi="Verdana"/>
          <w:sz w:val="20"/>
          <w:szCs w:val="20"/>
          <w:lang w:val="es-CR"/>
        </w:rPr>
        <w:t xml:space="preserve"> per</w:t>
      </w:r>
      <w:r w:rsidR="00AE0A46">
        <w:rPr>
          <w:rFonts w:ascii="Verdana" w:hAnsi="Verdana"/>
          <w:sz w:val="20"/>
          <w:szCs w:val="20"/>
          <w:lang w:val="es-CR"/>
        </w:rPr>
        <w:t>í</w:t>
      </w:r>
      <w:r w:rsidR="001E5E11" w:rsidRPr="004C09CF">
        <w:rPr>
          <w:rFonts w:ascii="Verdana" w:hAnsi="Verdana"/>
          <w:sz w:val="20"/>
          <w:szCs w:val="20"/>
          <w:lang w:val="es-CR"/>
        </w:rPr>
        <w:t xml:space="preserve">odo </w:t>
      </w:r>
      <w:r w:rsidR="00BD5EB4">
        <w:rPr>
          <w:rFonts w:ascii="Verdana" w:hAnsi="Verdana"/>
          <w:sz w:val="20"/>
          <w:szCs w:val="20"/>
          <w:lang w:val="es-CR"/>
        </w:rPr>
        <w:t>continuaron</w:t>
      </w:r>
      <w:r w:rsidR="001E5E11" w:rsidRPr="004C09CF">
        <w:rPr>
          <w:rFonts w:ascii="Verdana" w:hAnsi="Verdana"/>
          <w:sz w:val="20"/>
          <w:szCs w:val="20"/>
          <w:lang w:val="es-CR"/>
        </w:rPr>
        <w:t xml:space="preserve"> disponibles las otras medidas de protección a favor de la beneficiaria</w:t>
      </w:r>
      <w:r w:rsidR="00BD5EB4">
        <w:rPr>
          <w:rFonts w:ascii="Verdana" w:hAnsi="Verdana"/>
          <w:sz w:val="20"/>
          <w:szCs w:val="20"/>
          <w:lang w:val="es-CR"/>
        </w:rPr>
        <w:t xml:space="preserve"> y sus hijos</w:t>
      </w:r>
      <w:r w:rsidR="001E5E11" w:rsidRPr="004C09CF">
        <w:rPr>
          <w:rFonts w:ascii="Verdana" w:hAnsi="Verdana"/>
          <w:sz w:val="20"/>
          <w:szCs w:val="20"/>
          <w:lang w:val="es-CR"/>
        </w:rPr>
        <w:t>.</w:t>
      </w:r>
      <w:r w:rsidR="001E5E11" w:rsidRPr="001E5E11">
        <w:rPr>
          <w:rFonts w:ascii="Verdana" w:hAnsi="Verdana"/>
          <w:sz w:val="20"/>
          <w:szCs w:val="20"/>
          <w:lang w:val="es-CR"/>
        </w:rPr>
        <w:t xml:space="preserve"> </w:t>
      </w:r>
      <w:r w:rsidR="001E5E11" w:rsidRPr="004C09CF">
        <w:rPr>
          <w:rFonts w:ascii="Verdana" w:hAnsi="Verdana"/>
          <w:sz w:val="20"/>
          <w:szCs w:val="20"/>
          <w:lang w:val="es-CR"/>
        </w:rPr>
        <w:t>En esta línea, e</w:t>
      </w:r>
      <w:r w:rsidR="001E5E11" w:rsidRPr="004C09CF">
        <w:rPr>
          <w:rFonts w:ascii="Verdana" w:hAnsi="Verdana"/>
          <w:sz w:val="20"/>
          <w:szCs w:val="20"/>
          <w:lang w:val="es-ES_tradnl"/>
        </w:rPr>
        <w:t>l Estado señaló que los patrullajes acordados se llevaron a cabo a diario pero que la señora Orellana se negó a firmar las bitácoras correspondientes. Ademá</w:t>
      </w:r>
      <w:r w:rsidR="001E5E11">
        <w:rPr>
          <w:rFonts w:ascii="Verdana" w:hAnsi="Verdana"/>
          <w:sz w:val="20"/>
          <w:szCs w:val="20"/>
          <w:lang w:val="es-ES_tradnl"/>
        </w:rPr>
        <w:t xml:space="preserve">s de patrullajes, se otorgó un </w:t>
      </w:r>
      <w:r w:rsidR="001E5E11" w:rsidRPr="004C09CF">
        <w:rPr>
          <w:rFonts w:ascii="Verdana" w:hAnsi="Verdana"/>
          <w:sz w:val="20"/>
          <w:szCs w:val="20"/>
          <w:lang w:val="es-CR"/>
        </w:rPr>
        <w:t>enlace policial con un número que fue asignado como contacto directo en casos de emergencia.</w:t>
      </w:r>
      <w:r w:rsidR="001E5E11">
        <w:rPr>
          <w:rFonts w:ascii="Verdana" w:hAnsi="Verdana"/>
          <w:sz w:val="20"/>
          <w:szCs w:val="20"/>
          <w:lang w:val="es-CR"/>
        </w:rPr>
        <w:t xml:space="preserve"> Sin perjuicio de lo anterior, </w:t>
      </w:r>
      <w:r w:rsidR="001E5E11" w:rsidRPr="005A632D">
        <w:rPr>
          <w:rFonts w:ascii="Verdana" w:hAnsi="Verdana"/>
          <w:sz w:val="20"/>
          <w:szCs w:val="20"/>
          <w:lang w:val="es-ES_tradnl"/>
        </w:rPr>
        <w:t>tras la reunión de monitoreo celebrada el 19 de agosto de 2016, el Estado acordó que gestionaría la reasignación d</w:t>
      </w:r>
      <w:r w:rsidR="00730CA8">
        <w:rPr>
          <w:rFonts w:ascii="Verdana" w:hAnsi="Verdana"/>
          <w:sz w:val="20"/>
          <w:szCs w:val="20"/>
          <w:lang w:val="es-ES_tradnl"/>
        </w:rPr>
        <w:t>el servicio de</w:t>
      </w:r>
      <w:r w:rsidR="001E5E11" w:rsidRPr="005A632D">
        <w:rPr>
          <w:rFonts w:ascii="Verdana" w:hAnsi="Verdana"/>
          <w:sz w:val="20"/>
          <w:szCs w:val="20"/>
          <w:lang w:val="es-ES_tradnl"/>
        </w:rPr>
        <w:t xml:space="preserve"> escolta policial asignada al domicilio de los beneficiarios. Sin embargo, el Estado informó posteriormente que la Dirección General de la Policía Nacional manifestó que no era factible dicha reasignación por carecer de personal suficiente para realizar ese tipo de actividades.</w:t>
      </w:r>
      <w:r w:rsidR="001E5E11" w:rsidRPr="005A632D">
        <w:rPr>
          <w:rFonts w:ascii="Verdana" w:hAnsi="Verdana"/>
          <w:sz w:val="20"/>
          <w:szCs w:val="20"/>
          <w:highlight w:val="yellow"/>
          <w:lang w:val="es-ES_tradnl"/>
        </w:rPr>
        <w:t xml:space="preserve"> </w:t>
      </w:r>
    </w:p>
    <w:p w:rsidR="00F64DE8" w:rsidRPr="007E78E4" w:rsidRDefault="00F64DE8" w:rsidP="005A632D">
      <w:pPr>
        <w:pStyle w:val="NoSpacing"/>
        <w:jc w:val="both"/>
        <w:rPr>
          <w:rFonts w:ascii="Verdana" w:hAnsi="Verdana"/>
          <w:sz w:val="20"/>
          <w:szCs w:val="20"/>
          <w:lang w:val="es-CR"/>
        </w:rPr>
      </w:pPr>
    </w:p>
    <w:p w:rsidR="008D467F" w:rsidRPr="004C09CF" w:rsidRDefault="001E5E11" w:rsidP="008D467F">
      <w:pPr>
        <w:pStyle w:val="NoSpacing"/>
        <w:numPr>
          <w:ilvl w:val="0"/>
          <w:numId w:val="5"/>
        </w:numPr>
        <w:ind w:left="0" w:firstLine="0"/>
        <w:jc w:val="both"/>
        <w:rPr>
          <w:rFonts w:ascii="Verdana" w:hAnsi="Verdana"/>
          <w:sz w:val="20"/>
          <w:szCs w:val="20"/>
          <w:lang w:val="es-CR"/>
        </w:rPr>
      </w:pPr>
      <w:r>
        <w:rPr>
          <w:rFonts w:ascii="Verdana" w:hAnsi="Verdana"/>
          <w:sz w:val="20"/>
          <w:szCs w:val="20"/>
          <w:lang w:val="es-ES_tradnl"/>
        </w:rPr>
        <w:t>Además, el Estado</w:t>
      </w:r>
      <w:r w:rsidR="008D467F" w:rsidRPr="004C09CF">
        <w:rPr>
          <w:rFonts w:ascii="Verdana" w:hAnsi="Verdana"/>
          <w:sz w:val="20"/>
          <w:szCs w:val="20"/>
          <w:lang w:val="es-ES_tradnl"/>
        </w:rPr>
        <w:t xml:space="preserve"> afirmó que las únicas denuncias hechas ante las autoridades competentes eran la No. 0801-30167-2010 y la </w:t>
      </w:r>
      <w:r w:rsidR="00717AD9">
        <w:rPr>
          <w:rFonts w:ascii="Verdana" w:hAnsi="Verdana"/>
          <w:sz w:val="20"/>
          <w:szCs w:val="20"/>
          <w:lang w:val="es-ES_tradnl"/>
        </w:rPr>
        <w:t>N</w:t>
      </w:r>
      <w:r w:rsidR="008D467F" w:rsidRPr="004C09CF">
        <w:rPr>
          <w:rFonts w:ascii="Verdana" w:hAnsi="Verdana"/>
          <w:sz w:val="20"/>
          <w:szCs w:val="20"/>
          <w:lang w:val="es-ES_tradnl"/>
        </w:rPr>
        <w:t xml:space="preserve">o. 0801-10219-2013, las cuales dieron origen a la implementación de las presentes medidas y continuaban siendo investigadas. </w:t>
      </w:r>
    </w:p>
    <w:p w:rsidR="008D467F" w:rsidRDefault="008D467F" w:rsidP="008D467F">
      <w:pPr>
        <w:pStyle w:val="NoSpacing"/>
        <w:jc w:val="both"/>
        <w:rPr>
          <w:rFonts w:ascii="Verdana" w:hAnsi="Verdana"/>
          <w:sz w:val="20"/>
          <w:szCs w:val="20"/>
          <w:lang w:val="es-CR"/>
        </w:rPr>
      </w:pPr>
    </w:p>
    <w:p w:rsidR="001E5E11" w:rsidRPr="005A632D" w:rsidRDefault="001E5E11" w:rsidP="005A632D">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CR"/>
        </w:rPr>
        <w:t xml:space="preserve">Por su parte, </w:t>
      </w:r>
      <w:r w:rsidR="00BD5EB4" w:rsidRPr="004C09CF">
        <w:rPr>
          <w:rFonts w:ascii="Verdana" w:hAnsi="Verdana"/>
          <w:sz w:val="20"/>
          <w:szCs w:val="20"/>
          <w:lang w:val="es-ES_tradnl"/>
        </w:rPr>
        <w:t>respecto de la implementación de las medidas</w:t>
      </w:r>
      <w:r w:rsidR="00BD5EB4" w:rsidRPr="00730CA8">
        <w:rPr>
          <w:rFonts w:ascii="Verdana" w:hAnsi="Verdana"/>
          <w:sz w:val="20"/>
          <w:szCs w:val="20"/>
          <w:lang w:val="es-ES_tradnl"/>
        </w:rPr>
        <w:t>,</w:t>
      </w:r>
      <w:r w:rsidR="00BD5EB4" w:rsidRPr="008B6CF0">
        <w:rPr>
          <w:rFonts w:ascii="Verdana" w:hAnsi="Verdana"/>
          <w:sz w:val="20"/>
          <w:szCs w:val="20"/>
          <w:lang w:val="es-ES_tradnl"/>
        </w:rPr>
        <w:t xml:space="preserve"> </w:t>
      </w:r>
      <w:r w:rsidRPr="008B6CF0">
        <w:rPr>
          <w:rFonts w:ascii="Verdana" w:hAnsi="Verdana"/>
          <w:sz w:val="20"/>
          <w:szCs w:val="20"/>
          <w:lang w:val="es-ES_tradnl"/>
        </w:rPr>
        <w:t>l</w:t>
      </w:r>
      <w:r w:rsidR="00FD24C2" w:rsidRPr="008B6CF0">
        <w:rPr>
          <w:rFonts w:ascii="Verdana" w:hAnsi="Verdana"/>
          <w:sz w:val="20"/>
          <w:szCs w:val="20"/>
          <w:lang w:val="es-ES_tradnl"/>
        </w:rPr>
        <w:t>a</w:t>
      </w:r>
      <w:r w:rsidR="00FD24C2" w:rsidRPr="004C09CF">
        <w:rPr>
          <w:rFonts w:ascii="Verdana" w:hAnsi="Verdana"/>
          <w:b/>
          <w:i/>
          <w:sz w:val="20"/>
          <w:szCs w:val="20"/>
          <w:lang w:val="es-ES_tradnl"/>
        </w:rPr>
        <w:t xml:space="preserve"> Comisión</w:t>
      </w:r>
      <w:r w:rsidR="00EC739D" w:rsidRPr="004C09CF">
        <w:rPr>
          <w:rFonts w:ascii="Verdana" w:hAnsi="Verdana"/>
          <w:sz w:val="20"/>
          <w:szCs w:val="20"/>
          <w:lang w:val="es-ES_tradnl"/>
        </w:rPr>
        <w:t xml:space="preserve"> </w:t>
      </w:r>
      <w:r w:rsidR="00BD5EB4">
        <w:rPr>
          <w:rFonts w:ascii="Verdana" w:hAnsi="Verdana"/>
          <w:sz w:val="20"/>
          <w:szCs w:val="20"/>
          <w:lang w:val="es-ES_tradnl"/>
        </w:rPr>
        <w:t>señaló</w:t>
      </w:r>
      <w:r w:rsidR="00EC739D" w:rsidRPr="004C09CF">
        <w:rPr>
          <w:rFonts w:ascii="Verdana" w:hAnsi="Verdana"/>
          <w:sz w:val="20"/>
          <w:szCs w:val="20"/>
          <w:lang w:val="es-ES_tradnl"/>
        </w:rPr>
        <w:t xml:space="preserve"> </w:t>
      </w:r>
      <w:r w:rsidR="00FD24C2" w:rsidRPr="004C09CF">
        <w:rPr>
          <w:rFonts w:ascii="Verdana" w:hAnsi="Verdana"/>
          <w:sz w:val="20"/>
          <w:szCs w:val="20"/>
          <w:lang w:val="es-ES_tradnl"/>
        </w:rPr>
        <w:t xml:space="preserve">que posteriormente al retiro de la escolta, y aunque el Estado hubiera manifestado que continuaría proveyendo medidas como patrullajes y un enlace policial, los beneficiarios </w:t>
      </w:r>
      <w:r w:rsidR="00FD24C2" w:rsidRPr="004C09CF">
        <w:rPr>
          <w:rFonts w:ascii="Verdana" w:hAnsi="Verdana"/>
          <w:sz w:val="20"/>
          <w:szCs w:val="20"/>
          <w:lang w:val="es-ES_tradnl"/>
        </w:rPr>
        <w:lastRenderedPageBreak/>
        <w:t>se encontraba</w:t>
      </w:r>
      <w:r w:rsidR="00730CA8">
        <w:rPr>
          <w:rFonts w:ascii="Verdana" w:hAnsi="Verdana"/>
          <w:sz w:val="20"/>
          <w:szCs w:val="20"/>
          <w:lang w:val="es-ES_tradnl"/>
        </w:rPr>
        <w:t>n</w:t>
      </w:r>
      <w:r w:rsidR="00FD24C2" w:rsidRPr="004C09CF">
        <w:rPr>
          <w:rFonts w:ascii="Verdana" w:hAnsi="Verdana"/>
          <w:sz w:val="20"/>
          <w:szCs w:val="20"/>
          <w:lang w:val="es-ES_tradnl"/>
        </w:rPr>
        <w:t xml:space="preserve"> en "una situación de completa vulnerabilidad y desprotección" en vista de que tales medidas no eran implementadas de forma adecuada. En sus observaciones de 15 de septiembre de 2016, la Comisión observó que en la reunión entre las partes realizada el 19 de agosto de 2016 se habría consensuado restablecer la protección por parte de escoltas. Asimismo, observó la importancia de que el Estado regularizara en forma continua la realización de los patrullajes ofreciendo suficiente previsibilidad a los representantes de los horarios en que serían verificados </w:t>
      </w:r>
      <w:r w:rsidR="00D17A8C">
        <w:rPr>
          <w:rFonts w:ascii="Verdana" w:hAnsi="Verdana"/>
          <w:sz w:val="20"/>
          <w:szCs w:val="20"/>
          <w:lang w:val="es-ES_tradnl"/>
        </w:rPr>
        <w:t>y</w:t>
      </w:r>
      <w:r w:rsidR="00BD5EB4">
        <w:rPr>
          <w:rFonts w:ascii="Verdana" w:hAnsi="Verdana"/>
          <w:sz w:val="20"/>
          <w:szCs w:val="20"/>
          <w:lang w:val="es-ES_tradnl"/>
        </w:rPr>
        <w:t xml:space="preserve"> señaló</w:t>
      </w:r>
      <w:r w:rsidR="00FD24C2" w:rsidRPr="004C09CF">
        <w:rPr>
          <w:rFonts w:ascii="Verdana" w:hAnsi="Verdana"/>
          <w:sz w:val="20"/>
          <w:szCs w:val="20"/>
          <w:lang w:val="es-ES_tradnl"/>
        </w:rPr>
        <w:t xml:space="preserve"> la importancia de que los beneficiarios colabor</w:t>
      </w:r>
      <w:r>
        <w:rPr>
          <w:rFonts w:ascii="Verdana" w:hAnsi="Verdana"/>
          <w:sz w:val="20"/>
          <w:szCs w:val="20"/>
          <w:lang w:val="es-ES_tradnl"/>
        </w:rPr>
        <w:t>en</w:t>
      </w:r>
      <w:r w:rsidR="00FD24C2" w:rsidRPr="004C09CF">
        <w:rPr>
          <w:rFonts w:ascii="Verdana" w:hAnsi="Verdana"/>
          <w:sz w:val="20"/>
          <w:szCs w:val="20"/>
          <w:lang w:val="es-ES_tradnl"/>
        </w:rPr>
        <w:t xml:space="preserve"> con dejar constancia sobre la verificación de tales patrullajes.</w:t>
      </w:r>
      <w:r>
        <w:rPr>
          <w:rFonts w:ascii="Verdana" w:hAnsi="Verdana"/>
          <w:sz w:val="20"/>
          <w:szCs w:val="20"/>
          <w:lang w:val="es-ES_tradnl"/>
        </w:rPr>
        <w:t xml:space="preserve"> </w:t>
      </w:r>
      <w:r w:rsidRPr="001E5E11">
        <w:rPr>
          <w:rFonts w:ascii="Verdana" w:hAnsi="Verdana"/>
          <w:sz w:val="20"/>
          <w:szCs w:val="20"/>
          <w:lang w:val="es-CR"/>
        </w:rPr>
        <w:t>La Comisión no se pronunció sobre el nivel de riesgo de la señora Orellana y sus hijos.</w:t>
      </w:r>
    </w:p>
    <w:p w:rsidR="001E5E11" w:rsidRPr="005A632D" w:rsidRDefault="001E5E11" w:rsidP="005A632D">
      <w:pPr>
        <w:pStyle w:val="NoSpacing"/>
        <w:jc w:val="both"/>
        <w:rPr>
          <w:rFonts w:ascii="Verdana" w:hAnsi="Verdana"/>
          <w:sz w:val="20"/>
          <w:szCs w:val="20"/>
          <w:lang w:val="es-CR"/>
        </w:rPr>
      </w:pPr>
    </w:p>
    <w:p w:rsidR="00FA727E" w:rsidRPr="004C09CF" w:rsidRDefault="009F2874" w:rsidP="00FA727E">
      <w:pPr>
        <w:ind w:left="360" w:firstLine="348"/>
        <w:rPr>
          <w:rFonts w:ascii="Verdana" w:hAnsi="Verdana"/>
          <w:b/>
          <w:i/>
          <w:sz w:val="20"/>
          <w:szCs w:val="20"/>
        </w:rPr>
      </w:pPr>
      <w:r w:rsidRPr="004C09CF">
        <w:rPr>
          <w:rFonts w:ascii="Verdana" w:hAnsi="Verdana"/>
          <w:b/>
          <w:i/>
          <w:sz w:val="20"/>
          <w:szCs w:val="20"/>
        </w:rPr>
        <w:t>B.2. Consideraciones de la Corte</w:t>
      </w:r>
    </w:p>
    <w:p w:rsidR="002D7535" w:rsidRPr="004C09CF" w:rsidRDefault="002D7535" w:rsidP="002D7535">
      <w:pPr>
        <w:pStyle w:val="NoSpacing"/>
        <w:numPr>
          <w:ilvl w:val="0"/>
          <w:numId w:val="5"/>
        </w:numPr>
        <w:ind w:left="0" w:firstLine="0"/>
        <w:jc w:val="both"/>
        <w:rPr>
          <w:rFonts w:ascii="Verdana" w:hAnsi="Verdana"/>
          <w:sz w:val="20"/>
          <w:szCs w:val="20"/>
          <w:lang w:val="es-ES_tradnl"/>
        </w:rPr>
      </w:pPr>
      <w:r w:rsidRPr="004C09CF">
        <w:rPr>
          <w:rFonts w:ascii="Verdana" w:hAnsi="Verdana" w:cstheme="minorHAnsi"/>
          <w:sz w:val="20"/>
          <w:szCs w:val="20"/>
          <w:lang w:val="es-ES"/>
        </w:rPr>
        <w:t>A efectos de decidir s</w:t>
      </w:r>
      <w:r w:rsidR="009D0F78">
        <w:rPr>
          <w:rFonts w:ascii="Verdana" w:hAnsi="Verdana" w:cstheme="minorHAnsi"/>
          <w:sz w:val="20"/>
          <w:szCs w:val="20"/>
          <w:lang w:val="es-ES"/>
        </w:rPr>
        <w:t>obre el mantenimiento</w:t>
      </w:r>
      <w:r w:rsidRPr="004C09CF">
        <w:rPr>
          <w:rFonts w:ascii="Verdana" w:hAnsi="Verdana" w:cstheme="minorHAnsi"/>
          <w:sz w:val="20"/>
          <w:szCs w:val="20"/>
          <w:lang w:val="es-ES"/>
        </w:rPr>
        <w:t xml:space="preserve"> de las medidas en favor de los familiares</w:t>
      </w:r>
      <w:r w:rsidR="009D0F78">
        <w:rPr>
          <w:rFonts w:ascii="Verdana" w:hAnsi="Verdana" w:cstheme="minorHAnsi"/>
          <w:sz w:val="20"/>
          <w:szCs w:val="20"/>
          <w:lang w:val="es-ES"/>
        </w:rPr>
        <w:t xml:space="preserve"> beneficiarios,</w:t>
      </w:r>
      <w:r w:rsidRPr="004C09CF">
        <w:rPr>
          <w:rFonts w:ascii="Verdana" w:hAnsi="Verdana" w:cstheme="minorHAnsi"/>
          <w:sz w:val="20"/>
          <w:szCs w:val="20"/>
          <w:lang w:val="es-ES"/>
        </w:rPr>
        <w:t xml:space="preserve"> el Tribunal debe analizar, de conformidad con el artículo 63 de la Convención, si persiste la situación de </w:t>
      </w:r>
      <w:r w:rsidR="00597373">
        <w:rPr>
          <w:rFonts w:ascii="Verdana" w:hAnsi="Verdana" w:cstheme="minorHAnsi"/>
          <w:sz w:val="20"/>
          <w:szCs w:val="20"/>
          <w:lang w:val="es-ES"/>
        </w:rPr>
        <w:t xml:space="preserve">extrema </w:t>
      </w:r>
      <w:r w:rsidRPr="004C09CF">
        <w:rPr>
          <w:rFonts w:ascii="Verdana" w:hAnsi="Verdana" w:cstheme="minorHAnsi"/>
          <w:sz w:val="20"/>
          <w:szCs w:val="20"/>
          <w:lang w:val="es-ES"/>
        </w:rPr>
        <w:t>“gravedad”</w:t>
      </w:r>
      <w:r w:rsidR="00597373">
        <w:rPr>
          <w:rFonts w:ascii="Verdana" w:hAnsi="Verdana" w:cstheme="minorHAnsi"/>
          <w:sz w:val="20"/>
          <w:szCs w:val="20"/>
          <w:lang w:val="es-ES"/>
        </w:rPr>
        <w:t xml:space="preserve"> y </w:t>
      </w:r>
      <w:r w:rsidRPr="004C09CF">
        <w:rPr>
          <w:rFonts w:ascii="Verdana" w:hAnsi="Verdana" w:cstheme="minorHAnsi"/>
          <w:sz w:val="20"/>
          <w:szCs w:val="20"/>
          <w:lang w:val="es-ES"/>
        </w:rPr>
        <w:t>“urgencia” relativa a posibles “daños irreparables a la</w:t>
      </w:r>
      <w:r w:rsidR="009D0F78">
        <w:rPr>
          <w:rFonts w:ascii="Verdana" w:hAnsi="Verdana" w:cstheme="minorHAnsi"/>
          <w:sz w:val="20"/>
          <w:szCs w:val="20"/>
          <w:lang w:val="es-ES"/>
        </w:rPr>
        <w:t>s</w:t>
      </w:r>
      <w:r w:rsidRPr="004C09CF">
        <w:rPr>
          <w:rFonts w:ascii="Verdana" w:hAnsi="Verdana" w:cstheme="minorHAnsi"/>
          <w:sz w:val="20"/>
          <w:szCs w:val="20"/>
          <w:lang w:val="es-ES"/>
        </w:rPr>
        <w:t xml:space="preserve"> </w:t>
      </w:r>
      <w:r w:rsidRPr="00F30A13">
        <w:rPr>
          <w:rFonts w:ascii="Verdana" w:hAnsi="Verdana" w:cstheme="minorHAnsi"/>
          <w:sz w:val="20"/>
          <w:szCs w:val="20"/>
          <w:lang w:val="es-ES"/>
        </w:rPr>
        <w:t>persona</w:t>
      </w:r>
      <w:r w:rsidR="00DF243A" w:rsidRPr="00F30A13">
        <w:rPr>
          <w:rFonts w:ascii="Verdana" w:hAnsi="Verdana" w:cstheme="minorHAnsi"/>
          <w:sz w:val="20"/>
          <w:szCs w:val="20"/>
          <w:lang w:val="es-ES"/>
        </w:rPr>
        <w:t>s</w:t>
      </w:r>
      <w:r w:rsidRPr="00F30A13">
        <w:rPr>
          <w:rFonts w:ascii="Verdana" w:hAnsi="Verdana" w:cstheme="minorHAnsi"/>
          <w:sz w:val="20"/>
          <w:szCs w:val="20"/>
          <w:lang w:val="es-ES"/>
        </w:rPr>
        <w:t>” beneficiaria</w:t>
      </w:r>
      <w:r w:rsidR="009D0F78" w:rsidRPr="00F30A13">
        <w:rPr>
          <w:rFonts w:ascii="Verdana" w:hAnsi="Verdana" w:cstheme="minorHAnsi"/>
          <w:sz w:val="20"/>
          <w:szCs w:val="20"/>
          <w:lang w:val="es-ES"/>
        </w:rPr>
        <w:t>s</w:t>
      </w:r>
      <w:r w:rsidR="00DF243A" w:rsidRPr="005B60E9">
        <w:rPr>
          <w:rFonts w:ascii="Verdana" w:hAnsi="Verdana" w:cstheme="minorHAnsi"/>
          <w:sz w:val="20"/>
          <w:szCs w:val="20"/>
          <w:lang w:val="es-ES"/>
        </w:rPr>
        <w:t xml:space="preserve"> (</w:t>
      </w:r>
      <w:r w:rsidR="00DF243A" w:rsidRPr="00B37E7D">
        <w:rPr>
          <w:rFonts w:ascii="Verdana" w:hAnsi="Verdana" w:cstheme="minorHAnsi"/>
          <w:i/>
          <w:sz w:val="20"/>
          <w:szCs w:val="20"/>
          <w:lang w:val="es-ES"/>
        </w:rPr>
        <w:t>supra</w:t>
      </w:r>
      <w:r w:rsidR="00DF243A" w:rsidRPr="003B77AF">
        <w:rPr>
          <w:rFonts w:ascii="Verdana" w:hAnsi="Verdana" w:cstheme="minorHAnsi"/>
          <w:sz w:val="20"/>
          <w:szCs w:val="20"/>
          <w:lang w:val="es-ES"/>
        </w:rPr>
        <w:t xml:space="preserve"> </w:t>
      </w:r>
      <w:r w:rsidR="00F30A13" w:rsidRPr="008B6CF0">
        <w:rPr>
          <w:rFonts w:ascii="Verdana" w:hAnsi="Verdana" w:cstheme="minorHAnsi"/>
          <w:sz w:val="20"/>
          <w:szCs w:val="20"/>
          <w:lang w:val="es-ES"/>
        </w:rPr>
        <w:t>párr. 3</w:t>
      </w:r>
      <w:r w:rsidR="00DF243A" w:rsidRPr="00F30A13">
        <w:rPr>
          <w:rFonts w:ascii="Verdana" w:hAnsi="Verdana" w:cstheme="minorHAnsi"/>
          <w:sz w:val="20"/>
          <w:szCs w:val="20"/>
          <w:lang w:val="es-ES"/>
        </w:rPr>
        <w:t>)</w:t>
      </w:r>
      <w:r w:rsidRPr="00F30A13">
        <w:rPr>
          <w:rStyle w:val="FootnoteReference"/>
          <w:rFonts w:ascii="Verdana" w:hAnsi="Verdana" w:cstheme="minorHAnsi"/>
          <w:sz w:val="20"/>
          <w:szCs w:val="20"/>
          <w:lang w:val="es-ES"/>
        </w:rPr>
        <w:footnoteReference w:id="14"/>
      </w:r>
      <w:r w:rsidRPr="00F30A13">
        <w:rPr>
          <w:rFonts w:ascii="Verdana" w:hAnsi="Verdana" w:cstheme="minorHAnsi"/>
          <w:sz w:val="20"/>
          <w:szCs w:val="20"/>
          <w:lang w:val="es-ES"/>
        </w:rPr>
        <w:t>. Si</w:t>
      </w:r>
      <w:r w:rsidRPr="004C09CF">
        <w:rPr>
          <w:rFonts w:ascii="Verdana" w:hAnsi="Verdana" w:cstheme="minorHAnsi"/>
          <w:sz w:val="20"/>
          <w:szCs w:val="20"/>
          <w:lang w:val="es-ES"/>
        </w:rPr>
        <w:t xml:space="preserve"> bien </w:t>
      </w:r>
      <w:r w:rsidRPr="004C09CF">
        <w:rPr>
          <w:rFonts w:ascii="Verdana" w:hAnsi="Verdana" w:cstheme="minorHAnsi"/>
          <w:sz w:val="20"/>
          <w:szCs w:val="20"/>
          <w:lang w:val="es-CR"/>
        </w:rPr>
        <w:t>la apreciación de tales requisitos al dictar la adopción de las medidas provisionales se hace</w:t>
      </w:r>
      <w:r w:rsidRPr="004C09CF">
        <w:rPr>
          <w:rFonts w:ascii="Verdana" w:eastAsia="Calibri" w:hAnsi="Verdana" w:cstheme="minorHAnsi"/>
          <w:sz w:val="20"/>
          <w:szCs w:val="20"/>
          <w:lang w:val="es-CR"/>
        </w:rPr>
        <w:t xml:space="preserve"> “</w:t>
      </w:r>
      <w:r w:rsidRPr="004C09CF">
        <w:rPr>
          <w:rFonts w:ascii="Verdana" w:eastAsia="Calibri" w:hAnsi="Verdana" w:cstheme="minorHAnsi"/>
          <w:i/>
          <w:sz w:val="20"/>
          <w:szCs w:val="20"/>
          <w:lang w:val="es-CR"/>
        </w:rPr>
        <w:t>prima facie</w:t>
      </w:r>
      <w:r w:rsidRPr="004C09CF">
        <w:rPr>
          <w:rFonts w:ascii="Verdana" w:eastAsia="Calibri" w:hAnsi="Verdana" w:cstheme="minorHAnsi"/>
          <w:sz w:val="20"/>
          <w:szCs w:val="20"/>
          <w:lang w:val="es-CR"/>
        </w:rPr>
        <w:t>, siendo en ocasiones necesaria la aplicación de presunciones ante las necesidades de protección</w:t>
      </w:r>
      <w:r w:rsidRPr="004C09CF">
        <w:rPr>
          <w:rFonts w:ascii="Verdana" w:hAnsi="Verdana" w:cstheme="minorHAnsi"/>
          <w:sz w:val="20"/>
          <w:szCs w:val="20"/>
          <w:lang w:val="es-CR"/>
        </w:rPr>
        <w:t>”</w:t>
      </w:r>
      <w:r w:rsidRPr="004C09CF">
        <w:rPr>
          <w:rFonts w:ascii="Verdana" w:eastAsia="Calibri" w:hAnsi="Verdana" w:cstheme="minorHAnsi"/>
          <w:sz w:val="20"/>
          <w:szCs w:val="20"/>
          <w:vertAlign w:val="superscript"/>
        </w:rPr>
        <w:footnoteReference w:id="15"/>
      </w:r>
      <w:r w:rsidRPr="004C09CF">
        <w:rPr>
          <w:rFonts w:ascii="Verdana" w:eastAsia="Calibri" w:hAnsi="Verdana" w:cstheme="minorHAnsi"/>
          <w:sz w:val="20"/>
          <w:szCs w:val="20"/>
          <w:lang w:val="es-CR"/>
        </w:rPr>
        <w:t xml:space="preserve">, </w:t>
      </w:r>
      <w:r w:rsidRPr="004C09CF">
        <w:rPr>
          <w:rFonts w:ascii="Verdana" w:hAnsi="Verdana" w:cstheme="minorHAnsi"/>
          <w:sz w:val="20"/>
          <w:szCs w:val="20"/>
          <w:lang w:val="es-CR"/>
        </w:rPr>
        <w:t>e</w:t>
      </w:r>
      <w:r w:rsidRPr="004C09CF">
        <w:rPr>
          <w:rFonts w:ascii="Verdana" w:eastAsia="Calibri" w:hAnsi="Verdana" w:cstheme="minorHAnsi"/>
          <w:sz w:val="20"/>
          <w:szCs w:val="20"/>
          <w:lang w:val="es-CR"/>
        </w:rPr>
        <w:t xml:space="preserve">ste Tribunal </w:t>
      </w:r>
      <w:r w:rsidR="009D0F78" w:rsidRPr="004C09CF">
        <w:rPr>
          <w:rFonts w:ascii="Verdana" w:hAnsi="Verdana" w:cstheme="minorHAnsi"/>
          <w:sz w:val="20"/>
          <w:szCs w:val="20"/>
          <w:lang w:val="es-CR"/>
        </w:rPr>
        <w:t xml:space="preserve">ha advertido </w:t>
      </w:r>
      <w:r w:rsidRPr="004C09CF">
        <w:rPr>
          <w:rFonts w:ascii="Verdana" w:eastAsia="Calibri" w:hAnsi="Verdana" w:cstheme="minorHAnsi"/>
          <w:sz w:val="20"/>
          <w:szCs w:val="20"/>
          <w:lang w:val="es-CR"/>
        </w:rPr>
        <w:t>que</w:t>
      </w:r>
      <w:r w:rsidRPr="004C09CF">
        <w:rPr>
          <w:rFonts w:ascii="Verdana" w:hAnsi="Verdana" w:cstheme="minorHAnsi"/>
          <w:sz w:val="20"/>
          <w:szCs w:val="20"/>
          <w:lang w:val="es-CR"/>
        </w:rPr>
        <w:t xml:space="preserve"> “</w:t>
      </w:r>
      <w:r w:rsidRPr="004C09CF">
        <w:rPr>
          <w:rFonts w:ascii="Verdana" w:eastAsia="Calibri" w:hAnsi="Verdana" w:cstheme="minorHAnsi"/>
          <w:sz w:val="20"/>
          <w:szCs w:val="20"/>
          <w:lang w:val="es-CR"/>
        </w:rPr>
        <w:t>el mantenimiento de las medidas de protección exige una evaluación más rigurosa de la Corte en cuanto a la persistencia de la situación que dio origen a las mismas</w:t>
      </w:r>
      <w:r w:rsidRPr="004C09CF">
        <w:rPr>
          <w:rFonts w:ascii="Verdana" w:hAnsi="Verdana" w:cstheme="minorHAnsi"/>
          <w:sz w:val="20"/>
          <w:szCs w:val="20"/>
          <w:lang w:val="es-CR"/>
        </w:rPr>
        <w:t>”</w:t>
      </w:r>
      <w:r w:rsidRPr="004C09CF">
        <w:rPr>
          <w:rFonts w:ascii="Verdana" w:eastAsia="Calibri" w:hAnsi="Verdana" w:cstheme="minorHAnsi"/>
          <w:sz w:val="20"/>
          <w:szCs w:val="20"/>
          <w:vertAlign w:val="superscript"/>
        </w:rPr>
        <w:footnoteReference w:id="16"/>
      </w:r>
      <w:r w:rsidRPr="004C09CF">
        <w:rPr>
          <w:rFonts w:ascii="Verdana" w:eastAsia="Calibri" w:hAnsi="Verdana" w:cstheme="minorHAnsi"/>
          <w:sz w:val="20"/>
          <w:szCs w:val="20"/>
          <w:lang w:val="es-CR"/>
        </w:rPr>
        <w:t xml:space="preserve">. </w:t>
      </w:r>
    </w:p>
    <w:p w:rsidR="002D7535" w:rsidRPr="005A632D" w:rsidRDefault="002D7535" w:rsidP="005A632D">
      <w:pPr>
        <w:pStyle w:val="NoSpacing"/>
        <w:jc w:val="both"/>
        <w:rPr>
          <w:rFonts w:ascii="Verdana" w:hAnsi="Verdana"/>
          <w:strike/>
          <w:sz w:val="20"/>
          <w:szCs w:val="20"/>
          <w:lang w:val="es-CR"/>
        </w:rPr>
      </w:pPr>
    </w:p>
    <w:p w:rsidR="00EC739D" w:rsidRPr="004C09CF" w:rsidRDefault="00DF243A" w:rsidP="002D7535">
      <w:pPr>
        <w:pStyle w:val="NoSpacing"/>
        <w:numPr>
          <w:ilvl w:val="0"/>
          <w:numId w:val="5"/>
        </w:numPr>
        <w:ind w:left="0" w:firstLine="0"/>
        <w:jc w:val="both"/>
        <w:rPr>
          <w:rFonts w:ascii="Verdana" w:hAnsi="Verdana"/>
          <w:sz w:val="20"/>
          <w:szCs w:val="20"/>
          <w:lang w:val="es-ES_tradnl"/>
        </w:rPr>
      </w:pPr>
      <w:r>
        <w:rPr>
          <w:rFonts w:ascii="Verdana" w:hAnsi="Verdana" w:cstheme="minorHAnsi"/>
          <w:sz w:val="20"/>
          <w:szCs w:val="20"/>
          <w:lang w:val="es-CR"/>
        </w:rPr>
        <w:t>Además, l</w:t>
      </w:r>
      <w:r w:rsidR="00EC739D" w:rsidRPr="004C09CF">
        <w:rPr>
          <w:rFonts w:ascii="Verdana" w:hAnsi="Verdana" w:cstheme="minorHAnsi"/>
          <w:sz w:val="20"/>
          <w:szCs w:val="20"/>
          <w:lang w:val="es-CR"/>
        </w:rPr>
        <w:t>a Corte</w:t>
      </w:r>
      <w:r w:rsidR="00EC739D" w:rsidRPr="004C09CF">
        <w:rPr>
          <w:rFonts w:ascii="Verdana" w:hAnsi="Verdana" w:cstheme="minorHAnsi"/>
          <w:b/>
          <w:i/>
          <w:sz w:val="20"/>
          <w:szCs w:val="20"/>
          <w:lang w:val="es-CR"/>
        </w:rPr>
        <w:t xml:space="preserve"> </w:t>
      </w:r>
      <w:r w:rsidR="000B39C1" w:rsidRPr="004C09CF">
        <w:rPr>
          <w:rFonts w:ascii="Verdana" w:hAnsi="Verdana" w:cstheme="minorHAnsi"/>
          <w:sz w:val="20"/>
          <w:szCs w:val="20"/>
          <w:lang w:val="es-CR"/>
        </w:rPr>
        <w:t>r</w:t>
      </w:r>
      <w:r w:rsidR="000B39C1">
        <w:rPr>
          <w:rFonts w:ascii="Verdana" w:hAnsi="Verdana" w:cstheme="minorHAnsi"/>
          <w:sz w:val="20"/>
          <w:szCs w:val="20"/>
          <w:lang w:val="es-CR"/>
        </w:rPr>
        <w:t>eitera</w:t>
      </w:r>
      <w:r w:rsidR="000B39C1" w:rsidRPr="004C09CF">
        <w:rPr>
          <w:rFonts w:ascii="Verdana" w:hAnsi="Verdana" w:cstheme="minorHAnsi"/>
          <w:sz w:val="20"/>
          <w:szCs w:val="20"/>
          <w:lang w:val="es-CR"/>
        </w:rPr>
        <w:t xml:space="preserve"> </w:t>
      </w:r>
      <w:r w:rsidR="00EC739D" w:rsidRPr="004C09CF">
        <w:rPr>
          <w:rFonts w:ascii="Verdana" w:hAnsi="Verdana" w:cstheme="minorHAnsi"/>
          <w:sz w:val="20"/>
          <w:szCs w:val="20"/>
          <w:lang w:val="es-CR"/>
        </w:rPr>
        <w:t>que la excepcionalidad y temporalidad es propia de las medidas provisionales dispuestas</w:t>
      </w:r>
      <w:r w:rsidR="00EC739D" w:rsidRPr="004C09CF">
        <w:rPr>
          <w:rStyle w:val="FootnoteReference"/>
          <w:rFonts w:ascii="Verdana" w:hAnsi="Verdana" w:cstheme="minorHAnsi"/>
          <w:sz w:val="20"/>
          <w:szCs w:val="20"/>
        </w:rPr>
        <w:footnoteReference w:id="17"/>
      </w:r>
      <w:r w:rsidR="00EC739D" w:rsidRPr="004C09CF">
        <w:rPr>
          <w:rFonts w:ascii="Verdana" w:hAnsi="Verdana" w:cstheme="minorHAnsi"/>
          <w:sz w:val="20"/>
          <w:szCs w:val="20"/>
          <w:lang w:val="es-CR"/>
        </w:rPr>
        <w:t>. En ese sentido, cabe señalar</w:t>
      </w:r>
      <w:r w:rsidR="00EC739D" w:rsidRPr="004C09CF">
        <w:rPr>
          <w:rFonts w:ascii="Verdana" w:hAnsi="Verdana" w:cstheme="minorHAnsi"/>
          <w:sz w:val="20"/>
          <w:szCs w:val="20"/>
          <w:lang w:val="es-ES"/>
        </w:rPr>
        <w:t xml:space="preserve"> que </w:t>
      </w:r>
      <w:r w:rsidR="00EC739D" w:rsidRPr="004C09CF">
        <w:rPr>
          <w:rFonts w:ascii="Verdana" w:hAnsi="Verdana" w:cstheme="minorHAnsi"/>
          <w:sz w:val="20"/>
          <w:szCs w:val="20"/>
          <w:lang w:val="es-CO"/>
        </w:rPr>
        <w:t>las presentes medidas provisionales fueron adoptadas hace casi seis años, ante una solicitud presentada por la Comisión Interamericana</w:t>
      </w:r>
      <w:r w:rsidR="00EC739D" w:rsidRPr="004C09CF">
        <w:rPr>
          <w:rStyle w:val="FootnoteReference"/>
          <w:rFonts w:ascii="Verdana" w:hAnsi="Verdana" w:cstheme="minorHAnsi"/>
          <w:sz w:val="20"/>
          <w:szCs w:val="20"/>
          <w:lang w:val="es-CO"/>
        </w:rPr>
        <w:footnoteReference w:id="18"/>
      </w:r>
      <w:r w:rsidR="00EC739D" w:rsidRPr="004C09CF">
        <w:rPr>
          <w:rFonts w:ascii="Verdana" w:hAnsi="Verdana" w:cstheme="minorHAnsi"/>
          <w:sz w:val="20"/>
          <w:szCs w:val="20"/>
          <w:lang w:val="es-CO"/>
        </w:rPr>
        <w:t xml:space="preserve">, </w:t>
      </w:r>
      <w:r w:rsidR="00EC739D" w:rsidRPr="004C09CF">
        <w:rPr>
          <w:rFonts w:ascii="Verdana" w:hAnsi="Verdana" w:cstheme="minorHAnsi"/>
          <w:sz w:val="20"/>
          <w:szCs w:val="20"/>
          <w:lang w:val="es-ES"/>
        </w:rPr>
        <w:t>para proteger al señor Galdámez</w:t>
      </w:r>
      <w:r w:rsidR="009D0F78">
        <w:rPr>
          <w:rFonts w:ascii="Verdana" w:hAnsi="Verdana" w:cstheme="minorHAnsi"/>
          <w:sz w:val="20"/>
          <w:szCs w:val="20"/>
          <w:lang w:val="es-ES"/>
        </w:rPr>
        <w:t xml:space="preserve"> y su núcleo familiar,</w:t>
      </w:r>
      <w:r w:rsidR="00EC739D" w:rsidRPr="004C09CF">
        <w:rPr>
          <w:rFonts w:ascii="Verdana" w:hAnsi="Verdana" w:cstheme="minorHAnsi"/>
          <w:sz w:val="20"/>
          <w:szCs w:val="20"/>
          <w:lang w:val="es-ES"/>
        </w:rPr>
        <w:t xml:space="preserve"> frente a los hostigamientos y al riesgo generado como consecuencia de actividades del señor Galdámez como periodista.</w:t>
      </w:r>
    </w:p>
    <w:p w:rsidR="00EC739D" w:rsidRPr="004C09CF" w:rsidRDefault="00EC739D" w:rsidP="00EC739D">
      <w:pPr>
        <w:pStyle w:val="NoSpacing"/>
        <w:jc w:val="both"/>
        <w:rPr>
          <w:rFonts w:ascii="Verdana" w:hAnsi="Verdana"/>
          <w:sz w:val="20"/>
          <w:szCs w:val="20"/>
          <w:lang w:val="es-ES_tradnl"/>
        </w:rPr>
      </w:pPr>
    </w:p>
    <w:p w:rsidR="00EC739D" w:rsidRPr="000B39C1" w:rsidRDefault="00EC739D" w:rsidP="000B39C1">
      <w:pPr>
        <w:pStyle w:val="NoSpacing"/>
        <w:numPr>
          <w:ilvl w:val="0"/>
          <w:numId w:val="5"/>
        </w:numPr>
        <w:ind w:left="0" w:firstLine="0"/>
        <w:jc w:val="both"/>
        <w:rPr>
          <w:rFonts w:ascii="Verdana" w:hAnsi="Verdana"/>
          <w:sz w:val="20"/>
          <w:szCs w:val="20"/>
          <w:lang w:val="es-ES_tradnl"/>
        </w:rPr>
      </w:pPr>
      <w:r w:rsidRPr="004C09CF">
        <w:rPr>
          <w:rFonts w:ascii="Verdana" w:hAnsi="Verdana"/>
          <w:sz w:val="20"/>
          <w:szCs w:val="20"/>
          <w:lang w:val="es-CR"/>
        </w:rPr>
        <w:t>Por lo tanto, a partir de la orden del Tribunal (</w:t>
      </w:r>
      <w:r w:rsidRPr="004C09CF">
        <w:rPr>
          <w:rFonts w:ascii="Verdana" w:hAnsi="Verdana"/>
          <w:i/>
          <w:sz w:val="20"/>
          <w:szCs w:val="20"/>
          <w:lang w:val="es-CR"/>
        </w:rPr>
        <w:t>supra</w:t>
      </w:r>
      <w:r w:rsidRPr="004C09CF">
        <w:rPr>
          <w:rFonts w:ascii="Verdana" w:hAnsi="Verdana"/>
          <w:sz w:val="20"/>
          <w:szCs w:val="20"/>
          <w:lang w:val="es-CR"/>
        </w:rPr>
        <w:t xml:space="preserve"> Visto 1), el Estado debió adoptar, de forma inmediata, las medidas que fueran necesarias para proteger la vida e integridad personal del señor Galdámez y sus familiares</w:t>
      </w:r>
      <w:r w:rsidRPr="004C09CF">
        <w:rPr>
          <w:rStyle w:val="FootnoteReference"/>
          <w:rFonts w:ascii="Verdana" w:hAnsi="Verdana"/>
          <w:sz w:val="20"/>
          <w:szCs w:val="20"/>
        </w:rPr>
        <w:footnoteReference w:id="19"/>
      </w:r>
      <w:r w:rsidRPr="004C09CF">
        <w:rPr>
          <w:rFonts w:ascii="Verdana" w:hAnsi="Verdana"/>
          <w:sz w:val="20"/>
          <w:szCs w:val="20"/>
          <w:lang w:val="es-CR"/>
        </w:rPr>
        <w:t>.</w:t>
      </w:r>
      <w:r w:rsidR="000B39C1" w:rsidRPr="000B39C1">
        <w:rPr>
          <w:rFonts w:ascii="Verdana" w:hAnsi="Verdana"/>
          <w:sz w:val="20"/>
          <w:szCs w:val="20"/>
          <w:lang w:val="es-CR"/>
        </w:rPr>
        <w:t xml:space="preserve"> </w:t>
      </w:r>
      <w:r w:rsidR="000B39C1">
        <w:rPr>
          <w:rFonts w:ascii="Verdana" w:hAnsi="Verdana"/>
          <w:sz w:val="20"/>
          <w:szCs w:val="20"/>
          <w:lang w:val="es-CR"/>
        </w:rPr>
        <w:t xml:space="preserve">Al respecto, </w:t>
      </w:r>
      <w:r w:rsidR="000B39C1" w:rsidRPr="004C09CF">
        <w:rPr>
          <w:rFonts w:ascii="Verdana" w:hAnsi="Verdana"/>
          <w:sz w:val="20"/>
          <w:szCs w:val="20"/>
          <w:lang w:val="es-CR"/>
        </w:rPr>
        <w:t xml:space="preserve">la Corte </w:t>
      </w:r>
      <w:r w:rsidR="009D0F78">
        <w:rPr>
          <w:rFonts w:ascii="Verdana" w:hAnsi="Verdana"/>
          <w:sz w:val="20"/>
          <w:szCs w:val="20"/>
          <w:lang w:val="es-CR"/>
        </w:rPr>
        <w:t>advierte</w:t>
      </w:r>
      <w:r w:rsidR="009D0F78" w:rsidRPr="004C09CF">
        <w:rPr>
          <w:rFonts w:ascii="Verdana" w:hAnsi="Verdana"/>
          <w:sz w:val="20"/>
          <w:szCs w:val="20"/>
          <w:lang w:val="es-CR"/>
        </w:rPr>
        <w:t xml:space="preserve"> </w:t>
      </w:r>
      <w:r w:rsidR="000B39C1" w:rsidRPr="004C09CF">
        <w:rPr>
          <w:rFonts w:ascii="Verdana" w:hAnsi="Verdana"/>
          <w:sz w:val="20"/>
          <w:szCs w:val="20"/>
          <w:lang w:val="es-CR"/>
        </w:rPr>
        <w:t xml:space="preserve">que, a pesar de que las medidas se </w:t>
      </w:r>
      <w:r w:rsidR="00DF243A">
        <w:rPr>
          <w:rFonts w:ascii="Verdana" w:hAnsi="Verdana"/>
          <w:sz w:val="20"/>
          <w:szCs w:val="20"/>
          <w:lang w:val="es-CR"/>
        </w:rPr>
        <w:t xml:space="preserve">implementaron por parte de Honduras </w:t>
      </w:r>
      <w:r w:rsidR="009D0F78">
        <w:rPr>
          <w:rFonts w:ascii="Verdana" w:hAnsi="Verdana"/>
          <w:sz w:val="20"/>
          <w:szCs w:val="20"/>
          <w:lang w:val="es-CR"/>
        </w:rPr>
        <w:t xml:space="preserve">de manera </w:t>
      </w:r>
      <w:r w:rsidR="000B39C1" w:rsidRPr="004C09CF">
        <w:rPr>
          <w:rFonts w:ascii="Verdana" w:hAnsi="Verdana"/>
          <w:sz w:val="20"/>
          <w:szCs w:val="20"/>
          <w:lang w:val="es-CR"/>
        </w:rPr>
        <w:t xml:space="preserve">parcial, el Estado </w:t>
      </w:r>
      <w:r w:rsidR="009D0F78">
        <w:rPr>
          <w:rFonts w:ascii="Verdana" w:hAnsi="Verdana"/>
          <w:sz w:val="20"/>
          <w:szCs w:val="20"/>
          <w:lang w:val="es-CR"/>
        </w:rPr>
        <w:t xml:space="preserve">mantuvo un </w:t>
      </w:r>
      <w:r w:rsidR="009D0F78" w:rsidRPr="004C09CF">
        <w:rPr>
          <w:rFonts w:ascii="Verdana" w:hAnsi="Verdana"/>
          <w:sz w:val="20"/>
          <w:szCs w:val="20"/>
          <w:lang w:val="es-ES_tradnl"/>
        </w:rPr>
        <w:t>esquema de protección</w:t>
      </w:r>
      <w:r w:rsidR="009D0F78">
        <w:rPr>
          <w:rFonts w:ascii="Verdana" w:hAnsi="Verdana"/>
          <w:sz w:val="20"/>
          <w:szCs w:val="20"/>
          <w:lang w:val="es-ES_tradnl"/>
        </w:rPr>
        <w:t xml:space="preserve">, a fin de </w:t>
      </w:r>
      <w:r w:rsidR="009D0F78">
        <w:rPr>
          <w:rFonts w:ascii="Verdana" w:hAnsi="Verdana"/>
          <w:sz w:val="20"/>
          <w:szCs w:val="20"/>
          <w:lang w:val="es-CR"/>
        </w:rPr>
        <w:t xml:space="preserve">brindar </w:t>
      </w:r>
      <w:r w:rsidR="000B39C1" w:rsidRPr="004C09CF">
        <w:rPr>
          <w:rFonts w:ascii="Verdana" w:hAnsi="Verdana"/>
          <w:sz w:val="20"/>
          <w:szCs w:val="20"/>
          <w:lang w:val="es-CR"/>
        </w:rPr>
        <w:t xml:space="preserve">asistencia para </w:t>
      </w:r>
      <w:r w:rsidR="009D0F78">
        <w:rPr>
          <w:rFonts w:ascii="Verdana" w:hAnsi="Verdana"/>
          <w:sz w:val="20"/>
          <w:szCs w:val="20"/>
          <w:lang w:val="es-CR"/>
        </w:rPr>
        <w:t>garantizar</w:t>
      </w:r>
      <w:r w:rsidR="009D0F78" w:rsidRPr="004C09CF">
        <w:rPr>
          <w:rFonts w:ascii="Verdana" w:hAnsi="Verdana"/>
          <w:sz w:val="20"/>
          <w:szCs w:val="20"/>
          <w:lang w:val="es-CR"/>
        </w:rPr>
        <w:t xml:space="preserve"> </w:t>
      </w:r>
      <w:r w:rsidR="000B39C1" w:rsidRPr="004C09CF">
        <w:rPr>
          <w:rFonts w:ascii="Verdana" w:hAnsi="Verdana"/>
          <w:sz w:val="20"/>
          <w:szCs w:val="20"/>
          <w:lang w:val="es-CR"/>
        </w:rPr>
        <w:t>la vida e integridad del señor Galdámez y sus familiares</w:t>
      </w:r>
      <w:r w:rsidR="000B39C1" w:rsidRPr="004C09CF">
        <w:rPr>
          <w:rFonts w:ascii="Verdana" w:hAnsi="Verdana"/>
          <w:sz w:val="20"/>
          <w:szCs w:val="20"/>
          <w:lang w:val="es-ES_tradnl"/>
        </w:rPr>
        <w:t xml:space="preserve">. En ese sentido, </w:t>
      </w:r>
      <w:r w:rsidR="009D0F78">
        <w:rPr>
          <w:rFonts w:ascii="Verdana" w:hAnsi="Verdana"/>
          <w:sz w:val="20"/>
          <w:szCs w:val="20"/>
          <w:lang w:val="es-ES_tradnl"/>
        </w:rPr>
        <w:t>el Estado</w:t>
      </w:r>
      <w:r w:rsidR="000B39C1" w:rsidRPr="004C09CF">
        <w:rPr>
          <w:rFonts w:ascii="Verdana" w:hAnsi="Verdana"/>
          <w:sz w:val="20"/>
          <w:szCs w:val="20"/>
          <w:lang w:val="es-ES_tradnl"/>
        </w:rPr>
        <w:t xml:space="preserve"> desarrolló diversas acciones, asignando el servicio de patrullaje, de escoltas, </w:t>
      </w:r>
      <w:r w:rsidR="009D0F78">
        <w:rPr>
          <w:rFonts w:ascii="Verdana" w:hAnsi="Verdana"/>
          <w:sz w:val="20"/>
          <w:szCs w:val="20"/>
          <w:lang w:val="es-ES_tradnl"/>
        </w:rPr>
        <w:t xml:space="preserve">enlaces, </w:t>
      </w:r>
      <w:r w:rsidR="000B39C1" w:rsidRPr="004C09CF">
        <w:rPr>
          <w:rFonts w:ascii="Verdana" w:hAnsi="Verdana"/>
          <w:sz w:val="20"/>
          <w:szCs w:val="20"/>
          <w:lang w:val="es-ES_tradnl"/>
        </w:rPr>
        <w:t>así como realizando reuniones de monitoreo para la protección de la señora Orellana y sus hijos.</w:t>
      </w:r>
      <w:r w:rsidR="000B39C1">
        <w:rPr>
          <w:rFonts w:ascii="Verdana" w:hAnsi="Verdana"/>
          <w:sz w:val="20"/>
          <w:szCs w:val="20"/>
          <w:lang w:val="es-ES_tradnl"/>
        </w:rPr>
        <w:t xml:space="preserve"> Asimismo, el Estado cumplió periódicamente con su deber de informar a la Corte</w:t>
      </w:r>
      <w:r w:rsidR="009D0F78">
        <w:rPr>
          <w:rFonts w:ascii="Verdana" w:hAnsi="Verdana"/>
          <w:sz w:val="20"/>
          <w:szCs w:val="20"/>
          <w:lang w:val="es-ES_tradnl"/>
        </w:rPr>
        <w:t xml:space="preserve"> al respecto</w:t>
      </w:r>
      <w:r w:rsidR="00DF243A">
        <w:rPr>
          <w:rFonts w:ascii="Verdana" w:hAnsi="Verdana"/>
          <w:sz w:val="20"/>
          <w:szCs w:val="20"/>
          <w:lang w:val="es-ES_tradnl"/>
        </w:rPr>
        <w:t xml:space="preserve"> (</w:t>
      </w:r>
      <w:r w:rsidR="00DF243A" w:rsidRPr="00DE3966">
        <w:rPr>
          <w:rFonts w:ascii="Verdana" w:hAnsi="Verdana"/>
          <w:i/>
          <w:sz w:val="20"/>
          <w:szCs w:val="20"/>
          <w:lang w:val="es-ES_tradnl"/>
        </w:rPr>
        <w:t>supra</w:t>
      </w:r>
      <w:r w:rsidR="00DF243A">
        <w:rPr>
          <w:rFonts w:ascii="Verdana" w:hAnsi="Verdana"/>
          <w:sz w:val="20"/>
          <w:szCs w:val="20"/>
          <w:lang w:val="es-ES_tradnl"/>
        </w:rPr>
        <w:t xml:space="preserve"> </w:t>
      </w:r>
      <w:r w:rsidR="00FC4FEF">
        <w:rPr>
          <w:rFonts w:ascii="Verdana" w:hAnsi="Verdana"/>
          <w:sz w:val="20"/>
          <w:szCs w:val="20"/>
          <w:lang w:val="es-ES_tradnl"/>
        </w:rPr>
        <w:t>Visto 2</w:t>
      </w:r>
      <w:r w:rsidR="00DF243A">
        <w:rPr>
          <w:rFonts w:ascii="Verdana" w:hAnsi="Verdana"/>
          <w:sz w:val="20"/>
          <w:szCs w:val="20"/>
          <w:lang w:val="es-ES_tradnl"/>
        </w:rPr>
        <w:t>)</w:t>
      </w:r>
      <w:r w:rsidR="000B39C1">
        <w:rPr>
          <w:rFonts w:ascii="Verdana" w:hAnsi="Verdana"/>
          <w:sz w:val="20"/>
          <w:szCs w:val="20"/>
          <w:lang w:val="es-ES_tradnl"/>
        </w:rPr>
        <w:t xml:space="preserve">. </w:t>
      </w:r>
    </w:p>
    <w:p w:rsidR="00EC739D" w:rsidRPr="004C09CF" w:rsidRDefault="00EC739D" w:rsidP="00EC739D">
      <w:pPr>
        <w:pStyle w:val="NoSpacing"/>
        <w:jc w:val="both"/>
        <w:rPr>
          <w:rFonts w:ascii="Verdana" w:hAnsi="Verdana"/>
          <w:sz w:val="20"/>
          <w:szCs w:val="20"/>
          <w:lang w:val="es-ES_tradnl"/>
        </w:rPr>
      </w:pPr>
    </w:p>
    <w:p w:rsidR="009D0F78" w:rsidRDefault="009D0F78" w:rsidP="002D7535">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CR"/>
        </w:rPr>
        <w:lastRenderedPageBreak/>
        <w:t>En relación con</w:t>
      </w:r>
      <w:r w:rsidR="000B39C1">
        <w:rPr>
          <w:rFonts w:ascii="Verdana" w:hAnsi="Verdana"/>
          <w:sz w:val="20"/>
          <w:szCs w:val="20"/>
          <w:lang w:val="es-CR"/>
        </w:rPr>
        <w:t xml:space="preserve"> la situación de riesgo de </w:t>
      </w:r>
      <w:r>
        <w:rPr>
          <w:rFonts w:ascii="Verdana" w:hAnsi="Verdana"/>
          <w:sz w:val="20"/>
          <w:szCs w:val="20"/>
          <w:lang w:val="es-CR"/>
        </w:rPr>
        <w:t>la señora Orellana y sus hijos</w:t>
      </w:r>
      <w:r w:rsidR="000B39C1">
        <w:rPr>
          <w:rFonts w:ascii="Verdana" w:hAnsi="Verdana"/>
          <w:sz w:val="20"/>
          <w:szCs w:val="20"/>
          <w:lang w:val="es-CR"/>
        </w:rPr>
        <w:t xml:space="preserve">, </w:t>
      </w:r>
      <w:r>
        <w:rPr>
          <w:rFonts w:ascii="Verdana" w:hAnsi="Verdana"/>
          <w:sz w:val="20"/>
          <w:szCs w:val="20"/>
          <w:lang w:val="es-CR"/>
        </w:rPr>
        <w:t xml:space="preserve">se observa que la misma </w:t>
      </w:r>
      <w:r w:rsidR="00EA0D4D">
        <w:rPr>
          <w:rFonts w:ascii="Verdana" w:hAnsi="Verdana"/>
          <w:sz w:val="20"/>
          <w:szCs w:val="20"/>
          <w:lang w:val="es-CR"/>
        </w:rPr>
        <w:t xml:space="preserve">pudo haber incrementado con la detención del señor </w:t>
      </w:r>
      <w:r w:rsidR="002D7535">
        <w:rPr>
          <w:rFonts w:ascii="Verdana" w:hAnsi="Verdana"/>
          <w:sz w:val="20"/>
          <w:szCs w:val="20"/>
          <w:lang w:val="es-CR"/>
        </w:rPr>
        <w:t>Galdámez</w:t>
      </w:r>
      <w:r w:rsidR="00EA0D4D">
        <w:rPr>
          <w:rFonts w:ascii="Verdana" w:hAnsi="Verdana"/>
          <w:sz w:val="20"/>
          <w:szCs w:val="20"/>
          <w:lang w:val="es-CR"/>
        </w:rPr>
        <w:t xml:space="preserve">, con motivo de </w:t>
      </w:r>
      <w:r w:rsidR="002D7535">
        <w:rPr>
          <w:rFonts w:ascii="Verdana" w:hAnsi="Verdana"/>
          <w:sz w:val="20"/>
          <w:szCs w:val="20"/>
          <w:lang w:val="es-CR"/>
        </w:rPr>
        <w:t>ciertas</w:t>
      </w:r>
      <w:r w:rsidR="00EC739D" w:rsidRPr="004C09CF">
        <w:rPr>
          <w:rFonts w:ascii="Verdana" w:hAnsi="Verdana"/>
          <w:sz w:val="20"/>
          <w:szCs w:val="20"/>
          <w:lang w:val="es-CR"/>
        </w:rPr>
        <w:t xml:space="preserve"> </w:t>
      </w:r>
      <w:r w:rsidR="002D7535" w:rsidRPr="004C09CF">
        <w:rPr>
          <w:rFonts w:ascii="Verdana" w:hAnsi="Verdana"/>
          <w:sz w:val="20"/>
          <w:szCs w:val="20"/>
          <w:lang w:val="es-ES_tradnl"/>
        </w:rPr>
        <w:t>amenazas e intimidaciones en redes sociales</w:t>
      </w:r>
      <w:r w:rsidR="002D7535">
        <w:rPr>
          <w:rFonts w:ascii="Verdana" w:hAnsi="Verdana"/>
          <w:sz w:val="20"/>
          <w:szCs w:val="20"/>
          <w:lang w:val="es-ES_tradnl"/>
        </w:rPr>
        <w:t>,</w:t>
      </w:r>
      <w:r>
        <w:rPr>
          <w:rFonts w:ascii="Verdana" w:hAnsi="Verdana"/>
          <w:sz w:val="20"/>
          <w:szCs w:val="20"/>
          <w:lang w:val="es-ES_tradnl"/>
        </w:rPr>
        <w:t xml:space="preserve"> las cuales estuvieron relacionadas principalmente con el presunto homicidio imputado al señor Galdámez. </w:t>
      </w:r>
    </w:p>
    <w:p w:rsidR="00707AB5" w:rsidRDefault="00707AB5" w:rsidP="00E435A0">
      <w:pPr>
        <w:pStyle w:val="NoSpacing"/>
        <w:jc w:val="both"/>
        <w:rPr>
          <w:rFonts w:ascii="Verdana" w:hAnsi="Verdana"/>
          <w:sz w:val="20"/>
          <w:szCs w:val="20"/>
          <w:lang w:val="es-ES_tradnl"/>
        </w:rPr>
      </w:pPr>
    </w:p>
    <w:p w:rsidR="002D7535" w:rsidRPr="005A632D" w:rsidRDefault="002D7535" w:rsidP="00707AB5">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 xml:space="preserve"> </w:t>
      </w:r>
      <w:r w:rsidR="00DF243A">
        <w:rPr>
          <w:rFonts w:ascii="Verdana" w:hAnsi="Verdana"/>
          <w:sz w:val="20"/>
          <w:szCs w:val="20"/>
          <w:lang w:val="es-ES_tradnl"/>
        </w:rPr>
        <w:t>En particular, e</w:t>
      </w:r>
      <w:r w:rsidRPr="004C09CF">
        <w:rPr>
          <w:rFonts w:ascii="Verdana" w:hAnsi="Verdana"/>
          <w:sz w:val="20"/>
          <w:szCs w:val="20"/>
          <w:lang w:val="es-ES_tradnl"/>
        </w:rPr>
        <w:t xml:space="preserve">l 22 de septiembre de 2015 la Corte solicitó a los representantes que informaran sobre la situación de riesgo en la que presuntamente se encontraría la señora Orellana </w:t>
      </w:r>
      <w:r w:rsidR="00707AB5">
        <w:rPr>
          <w:rFonts w:ascii="Verdana" w:hAnsi="Verdana"/>
          <w:sz w:val="20"/>
          <w:szCs w:val="20"/>
          <w:lang w:val="es-ES_tradnl"/>
        </w:rPr>
        <w:t xml:space="preserve">y </w:t>
      </w:r>
      <w:r w:rsidR="00F025FD">
        <w:rPr>
          <w:rFonts w:ascii="Verdana" w:hAnsi="Verdana"/>
          <w:sz w:val="20"/>
          <w:szCs w:val="20"/>
          <w:lang w:val="es-ES_tradnl"/>
        </w:rPr>
        <w:t xml:space="preserve">su </w:t>
      </w:r>
      <w:r w:rsidR="00707AB5">
        <w:rPr>
          <w:rFonts w:ascii="Verdana" w:hAnsi="Verdana"/>
          <w:sz w:val="20"/>
          <w:szCs w:val="20"/>
          <w:lang w:val="es-ES_tradnl"/>
        </w:rPr>
        <w:t>familia</w:t>
      </w:r>
      <w:r w:rsidRPr="008B6CF0">
        <w:rPr>
          <w:rFonts w:ascii="Verdana" w:hAnsi="Verdana"/>
          <w:sz w:val="20"/>
          <w:szCs w:val="20"/>
          <w:lang w:val="es-ES_tradnl"/>
        </w:rPr>
        <w:t>.</w:t>
      </w:r>
      <w:r w:rsidRPr="004C09CF">
        <w:rPr>
          <w:rFonts w:ascii="Verdana" w:hAnsi="Verdana"/>
          <w:sz w:val="20"/>
          <w:szCs w:val="20"/>
          <w:lang w:val="es-ES_tradnl"/>
        </w:rPr>
        <w:t xml:space="preserve"> </w:t>
      </w:r>
      <w:r>
        <w:rPr>
          <w:rFonts w:ascii="Verdana" w:hAnsi="Verdana"/>
          <w:sz w:val="20"/>
          <w:szCs w:val="20"/>
          <w:lang w:val="es-CR"/>
        </w:rPr>
        <w:t>Al respecto, l</w:t>
      </w:r>
      <w:r w:rsidRPr="004C09CF">
        <w:rPr>
          <w:rFonts w:ascii="Verdana" w:hAnsi="Verdana"/>
          <w:sz w:val="20"/>
          <w:szCs w:val="20"/>
          <w:lang w:val="es-CR"/>
        </w:rPr>
        <w:t xml:space="preserve">os representantes enumeraron un episodio en 2015, a decir, la presencia diaria de un joven armado al frente de la casa familiar y dos sucesos en 2016, a saber, el ingreso de personas desconocidas a la zona de residencia de la familia Galdámez y </w:t>
      </w:r>
      <w:r w:rsidR="00725149">
        <w:rPr>
          <w:rFonts w:ascii="Verdana" w:hAnsi="Verdana"/>
          <w:sz w:val="20"/>
          <w:szCs w:val="20"/>
          <w:lang w:val="es-CR"/>
        </w:rPr>
        <w:t xml:space="preserve">la </w:t>
      </w:r>
      <w:r w:rsidRPr="004C09CF">
        <w:rPr>
          <w:rFonts w:ascii="Verdana" w:hAnsi="Verdana"/>
          <w:sz w:val="20"/>
          <w:szCs w:val="20"/>
          <w:lang w:val="es-CR"/>
        </w:rPr>
        <w:t>presencia de</w:t>
      </w:r>
      <w:r w:rsidR="00725149">
        <w:rPr>
          <w:rFonts w:ascii="Verdana" w:hAnsi="Verdana"/>
          <w:sz w:val="20"/>
          <w:szCs w:val="20"/>
          <w:lang w:val="es-CR"/>
        </w:rPr>
        <w:t xml:space="preserve"> un</w:t>
      </w:r>
      <w:r w:rsidRPr="004C09CF">
        <w:rPr>
          <w:rFonts w:ascii="Verdana" w:hAnsi="Verdana"/>
          <w:sz w:val="20"/>
          <w:szCs w:val="20"/>
          <w:lang w:val="es-CR"/>
        </w:rPr>
        <w:t xml:space="preserve"> vehículo sin placas al frente del inmueble (</w:t>
      </w:r>
      <w:r w:rsidRPr="004C09CF">
        <w:rPr>
          <w:rFonts w:ascii="Verdana" w:hAnsi="Verdana"/>
          <w:i/>
          <w:sz w:val="20"/>
          <w:szCs w:val="20"/>
          <w:lang w:val="es-CR"/>
        </w:rPr>
        <w:t>supra</w:t>
      </w:r>
      <w:r w:rsidRPr="004C09CF">
        <w:rPr>
          <w:rFonts w:ascii="Verdana" w:hAnsi="Verdana"/>
          <w:sz w:val="20"/>
          <w:szCs w:val="20"/>
          <w:lang w:val="es-CR"/>
        </w:rPr>
        <w:t xml:space="preserve"> </w:t>
      </w:r>
      <w:r w:rsidR="008C238E">
        <w:rPr>
          <w:rFonts w:ascii="Verdana" w:hAnsi="Verdana"/>
          <w:sz w:val="20"/>
          <w:szCs w:val="20"/>
          <w:lang w:val="es-CR"/>
        </w:rPr>
        <w:t>C</w:t>
      </w:r>
      <w:r w:rsidRPr="004C09CF">
        <w:rPr>
          <w:rFonts w:ascii="Verdana" w:hAnsi="Verdana"/>
          <w:sz w:val="20"/>
          <w:szCs w:val="20"/>
          <w:lang w:val="es-CR"/>
        </w:rPr>
        <w:t>on</w:t>
      </w:r>
      <w:r>
        <w:rPr>
          <w:rFonts w:ascii="Verdana" w:hAnsi="Verdana"/>
          <w:sz w:val="20"/>
          <w:szCs w:val="20"/>
          <w:lang w:val="es-CR"/>
        </w:rPr>
        <w:t>siderando</w:t>
      </w:r>
      <w:r w:rsidRPr="004C09CF">
        <w:rPr>
          <w:rFonts w:ascii="Verdana" w:hAnsi="Verdana"/>
          <w:sz w:val="20"/>
          <w:szCs w:val="20"/>
          <w:lang w:val="es-CR"/>
        </w:rPr>
        <w:t xml:space="preserve"> </w:t>
      </w:r>
      <w:r w:rsidR="008C238E">
        <w:rPr>
          <w:rFonts w:ascii="Verdana" w:hAnsi="Verdana"/>
          <w:sz w:val="20"/>
          <w:szCs w:val="20"/>
          <w:lang w:val="es-CR"/>
        </w:rPr>
        <w:t>19</w:t>
      </w:r>
      <w:r w:rsidRPr="004C09CF">
        <w:rPr>
          <w:rFonts w:ascii="Verdana" w:hAnsi="Verdana"/>
          <w:sz w:val="20"/>
          <w:szCs w:val="20"/>
          <w:lang w:val="es-CR"/>
        </w:rPr>
        <w:t xml:space="preserve">). Afirmaron que, teniendo en cuenta estos incidentes arriba descritos, resultaba necesario el mantenimiento de las medidas provisionales. </w:t>
      </w:r>
    </w:p>
    <w:p w:rsidR="002D7535" w:rsidRPr="004C09CF" w:rsidRDefault="002D7535" w:rsidP="005A632D">
      <w:pPr>
        <w:pStyle w:val="NoSpacing"/>
        <w:jc w:val="both"/>
        <w:rPr>
          <w:rFonts w:ascii="Verdana" w:hAnsi="Verdana"/>
          <w:sz w:val="20"/>
          <w:szCs w:val="20"/>
          <w:lang w:val="es-ES_tradnl"/>
        </w:rPr>
      </w:pPr>
    </w:p>
    <w:p w:rsidR="009D244C" w:rsidRPr="002D7535" w:rsidRDefault="00707AB5" w:rsidP="009D244C">
      <w:pPr>
        <w:pStyle w:val="NoSpacing"/>
        <w:numPr>
          <w:ilvl w:val="0"/>
          <w:numId w:val="5"/>
        </w:numPr>
        <w:ind w:left="0" w:firstLine="0"/>
        <w:jc w:val="both"/>
        <w:rPr>
          <w:rFonts w:ascii="Verdana" w:hAnsi="Verdana"/>
          <w:sz w:val="20"/>
          <w:szCs w:val="20"/>
          <w:lang w:val="es-ES_tradnl"/>
        </w:rPr>
      </w:pPr>
      <w:r>
        <w:rPr>
          <w:rFonts w:ascii="Verdana" w:hAnsi="Verdana"/>
          <w:sz w:val="20"/>
          <w:szCs w:val="20"/>
          <w:lang w:val="es-ES_tradnl"/>
        </w:rPr>
        <w:t>Asimismo, l</w:t>
      </w:r>
      <w:r w:rsidR="002D7535" w:rsidRPr="002D7535">
        <w:rPr>
          <w:rFonts w:ascii="Verdana" w:hAnsi="Verdana"/>
          <w:sz w:val="20"/>
          <w:szCs w:val="20"/>
          <w:lang w:val="es-CR"/>
        </w:rPr>
        <w:t xml:space="preserve">a Corte </w:t>
      </w:r>
      <w:r w:rsidR="000B39C1" w:rsidRPr="002D7535">
        <w:rPr>
          <w:rFonts w:ascii="Verdana" w:hAnsi="Verdana"/>
          <w:sz w:val="20"/>
          <w:szCs w:val="20"/>
          <w:lang w:val="es-CR"/>
        </w:rPr>
        <w:t xml:space="preserve">nota </w:t>
      </w:r>
      <w:r w:rsidR="002D7535">
        <w:rPr>
          <w:rFonts w:ascii="Verdana" w:hAnsi="Verdana"/>
          <w:sz w:val="20"/>
          <w:szCs w:val="20"/>
          <w:lang w:val="es-CR"/>
        </w:rPr>
        <w:t xml:space="preserve">que </w:t>
      </w:r>
      <w:r w:rsidR="00EC739D" w:rsidRPr="002D7535">
        <w:rPr>
          <w:rFonts w:ascii="Verdana" w:hAnsi="Verdana"/>
          <w:sz w:val="20"/>
          <w:szCs w:val="20"/>
          <w:lang w:val="es-CR"/>
        </w:rPr>
        <w:t>la señora Orellana decidió voluntariamente no denunciar</w:t>
      </w:r>
      <w:r w:rsidR="002D7535">
        <w:rPr>
          <w:rFonts w:ascii="Verdana" w:hAnsi="Verdana"/>
          <w:sz w:val="20"/>
          <w:szCs w:val="20"/>
          <w:lang w:val="es-CR"/>
        </w:rPr>
        <w:t xml:space="preserve"> dichos hechos ante las autoridades competentes (</w:t>
      </w:r>
      <w:r w:rsidR="002D7535" w:rsidRPr="008B6CF0">
        <w:rPr>
          <w:rFonts w:ascii="Verdana" w:hAnsi="Verdana"/>
          <w:i/>
          <w:sz w:val="20"/>
          <w:szCs w:val="20"/>
          <w:lang w:val="es-CR"/>
        </w:rPr>
        <w:t>supra</w:t>
      </w:r>
      <w:r w:rsidR="002D7535">
        <w:rPr>
          <w:rFonts w:ascii="Verdana" w:hAnsi="Verdana"/>
          <w:sz w:val="20"/>
          <w:szCs w:val="20"/>
          <w:lang w:val="es-CR"/>
        </w:rPr>
        <w:t xml:space="preserve"> </w:t>
      </w:r>
      <w:r w:rsidR="008C238E">
        <w:rPr>
          <w:rFonts w:ascii="Verdana" w:hAnsi="Verdana"/>
          <w:sz w:val="20"/>
          <w:szCs w:val="20"/>
          <w:lang w:val="es-CR"/>
        </w:rPr>
        <w:t>Considerando 19</w:t>
      </w:r>
      <w:r w:rsidR="002D7535">
        <w:rPr>
          <w:rFonts w:ascii="Verdana" w:hAnsi="Verdana"/>
          <w:sz w:val="20"/>
          <w:szCs w:val="20"/>
          <w:lang w:val="es-CR"/>
        </w:rPr>
        <w:t>)</w:t>
      </w:r>
      <w:r w:rsidR="00F025FD">
        <w:rPr>
          <w:rFonts w:ascii="Verdana" w:hAnsi="Verdana"/>
          <w:sz w:val="20"/>
          <w:szCs w:val="20"/>
          <w:lang w:val="es-CR"/>
        </w:rPr>
        <w:t>. Este Tribunal estima que lo anterior</w:t>
      </w:r>
      <w:r w:rsidR="002D7535">
        <w:rPr>
          <w:rFonts w:ascii="Verdana" w:hAnsi="Verdana"/>
          <w:sz w:val="20"/>
          <w:szCs w:val="20"/>
          <w:lang w:val="es-CR"/>
        </w:rPr>
        <w:t xml:space="preserve"> puede </w:t>
      </w:r>
      <w:r w:rsidR="00EC739D" w:rsidRPr="002D7535">
        <w:rPr>
          <w:rFonts w:ascii="Verdana" w:hAnsi="Verdana"/>
          <w:sz w:val="20"/>
          <w:szCs w:val="20"/>
          <w:lang w:val="es-CR"/>
        </w:rPr>
        <w:t>representa</w:t>
      </w:r>
      <w:r w:rsidR="002D7535">
        <w:rPr>
          <w:rFonts w:ascii="Verdana" w:hAnsi="Verdana"/>
          <w:sz w:val="20"/>
          <w:szCs w:val="20"/>
          <w:lang w:val="es-CR"/>
        </w:rPr>
        <w:t>r</w:t>
      </w:r>
      <w:r w:rsidR="00EC739D" w:rsidRPr="002D7535">
        <w:rPr>
          <w:rFonts w:ascii="Verdana" w:hAnsi="Verdana"/>
          <w:sz w:val="20"/>
          <w:szCs w:val="20"/>
          <w:lang w:val="es-CR"/>
        </w:rPr>
        <w:t xml:space="preserve"> un impedimento para que el Estado pueda actuar</w:t>
      </w:r>
      <w:r w:rsidR="00D17A8C">
        <w:rPr>
          <w:rFonts w:ascii="Verdana" w:hAnsi="Verdana"/>
          <w:sz w:val="20"/>
          <w:szCs w:val="20"/>
          <w:lang w:val="es-CR"/>
        </w:rPr>
        <w:t xml:space="preserve"> frente a un posible riesgo a través de sus autoridades </w:t>
      </w:r>
      <w:r w:rsidR="00BC7001">
        <w:rPr>
          <w:rFonts w:ascii="Verdana" w:hAnsi="Verdana"/>
          <w:sz w:val="20"/>
          <w:szCs w:val="20"/>
          <w:lang w:val="es-CR"/>
        </w:rPr>
        <w:t>y</w:t>
      </w:r>
      <w:r w:rsidR="00D17A8C">
        <w:rPr>
          <w:rFonts w:ascii="Verdana" w:hAnsi="Verdana"/>
          <w:sz w:val="20"/>
          <w:szCs w:val="20"/>
          <w:lang w:val="es-CR"/>
        </w:rPr>
        <w:t>,</w:t>
      </w:r>
      <w:r w:rsidR="00BC7001">
        <w:rPr>
          <w:rFonts w:ascii="Verdana" w:hAnsi="Verdana"/>
          <w:sz w:val="20"/>
          <w:szCs w:val="20"/>
          <w:lang w:val="es-CR"/>
        </w:rPr>
        <w:t xml:space="preserve"> más aún, verificar que, en su caso, </w:t>
      </w:r>
      <w:r>
        <w:rPr>
          <w:rFonts w:ascii="Verdana" w:hAnsi="Verdana"/>
          <w:sz w:val="20"/>
          <w:szCs w:val="20"/>
          <w:lang w:val="es-CR"/>
        </w:rPr>
        <w:t>dichos hechos se encuentren</w:t>
      </w:r>
      <w:r w:rsidR="00BC7001">
        <w:rPr>
          <w:rFonts w:ascii="Verdana" w:hAnsi="Verdana"/>
          <w:sz w:val="20"/>
          <w:szCs w:val="20"/>
          <w:lang w:val="es-CR"/>
        </w:rPr>
        <w:t xml:space="preserve"> o no vinculado</w:t>
      </w:r>
      <w:r w:rsidR="00F6032C">
        <w:rPr>
          <w:rFonts w:ascii="Verdana" w:hAnsi="Verdana"/>
          <w:sz w:val="20"/>
          <w:szCs w:val="20"/>
          <w:lang w:val="es-CR"/>
        </w:rPr>
        <w:t>s</w:t>
      </w:r>
      <w:r w:rsidR="00BC7001">
        <w:rPr>
          <w:rFonts w:ascii="Verdana" w:hAnsi="Verdana"/>
          <w:sz w:val="20"/>
          <w:szCs w:val="20"/>
          <w:lang w:val="es-CR"/>
        </w:rPr>
        <w:t xml:space="preserve"> con </w:t>
      </w:r>
      <w:r>
        <w:rPr>
          <w:rFonts w:ascii="Verdana" w:hAnsi="Verdana"/>
          <w:sz w:val="20"/>
          <w:szCs w:val="20"/>
          <w:lang w:val="es-CR"/>
        </w:rPr>
        <w:t xml:space="preserve">los hechos que originaron </w:t>
      </w:r>
      <w:r w:rsidR="00BC7001">
        <w:rPr>
          <w:rFonts w:ascii="Verdana" w:hAnsi="Verdana"/>
          <w:sz w:val="20"/>
          <w:szCs w:val="20"/>
          <w:lang w:val="es-CR"/>
        </w:rPr>
        <w:t>las presentes medidas.</w:t>
      </w:r>
      <w:r w:rsidR="00EC739D" w:rsidRPr="002D7535">
        <w:rPr>
          <w:rFonts w:ascii="Verdana" w:hAnsi="Verdana"/>
          <w:sz w:val="20"/>
          <w:szCs w:val="20"/>
          <w:lang w:val="es-CR"/>
        </w:rPr>
        <w:t xml:space="preserve"> </w:t>
      </w:r>
    </w:p>
    <w:p w:rsidR="009D244C" w:rsidRPr="004C09CF" w:rsidRDefault="009D244C" w:rsidP="009D244C">
      <w:pPr>
        <w:pStyle w:val="NoSpacing"/>
        <w:jc w:val="both"/>
        <w:rPr>
          <w:rFonts w:ascii="Verdana" w:hAnsi="Verdana"/>
          <w:sz w:val="20"/>
          <w:szCs w:val="20"/>
          <w:lang w:val="es-ES_tradnl"/>
        </w:rPr>
      </w:pPr>
    </w:p>
    <w:p w:rsidR="009D244C" w:rsidRPr="004C09CF" w:rsidRDefault="009D244C" w:rsidP="009D244C">
      <w:pPr>
        <w:pStyle w:val="NoSpacing"/>
        <w:numPr>
          <w:ilvl w:val="0"/>
          <w:numId w:val="5"/>
        </w:numPr>
        <w:ind w:left="0" w:firstLine="0"/>
        <w:jc w:val="both"/>
        <w:rPr>
          <w:rFonts w:ascii="Verdana" w:hAnsi="Verdana"/>
          <w:sz w:val="20"/>
          <w:szCs w:val="20"/>
          <w:lang w:val="es-ES_tradnl"/>
        </w:rPr>
      </w:pPr>
      <w:r w:rsidRPr="004C09CF">
        <w:rPr>
          <w:rFonts w:ascii="Verdana" w:hAnsi="Verdana" w:cstheme="minorHAnsi"/>
          <w:sz w:val="20"/>
          <w:szCs w:val="20"/>
          <w:lang w:val="es-CR"/>
        </w:rPr>
        <w:t xml:space="preserve">En relación con lo anterior, la Corte </w:t>
      </w:r>
      <w:r w:rsidR="00F025FD">
        <w:rPr>
          <w:rFonts w:ascii="Verdana" w:hAnsi="Verdana" w:cstheme="minorHAnsi"/>
          <w:sz w:val="20"/>
          <w:szCs w:val="20"/>
          <w:lang w:val="es-CR"/>
        </w:rPr>
        <w:t>considera</w:t>
      </w:r>
      <w:r w:rsidR="00F025FD" w:rsidRPr="004C09CF">
        <w:rPr>
          <w:rFonts w:ascii="Verdana" w:hAnsi="Verdana" w:cstheme="minorHAnsi"/>
          <w:sz w:val="20"/>
          <w:szCs w:val="20"/>
          <w:lang w:val="es-CR"/>
        </w:rPr>
        <w:t xml:space="preserve"> </w:t>
      </w:r>
      <w:r w:rsidRPr="004C09CF">
        <w:rPr>
          <w:rFonts w:ascii="Verdana" w:hAnsi="Verdana" w:cstheme="minorHAnsi"/>
          <w:sz w:val="20"/>
          <w:szCs w:val="20"/>
          <w:lang w:val="es-CR"/>
        </w:rPr>
        <w:t>que</w:t>
      </w:r>
      <w:r w:rsidR="00707AB5">
        <w:rPr>
          <w:rFonts w:ascii="Verdana" w:hAnsi="Verdana" w:cstheme="minorHAnsi"/>
          <w:sz w:val="20"/>
          <w:szCs w:val="20"/>
          <w:lang w:val="es-CR"/>
        </w:rPr>
        <w:t>,</w:t>
      </w:r>
      <w:r w:rsidRPr="004C09CF">
        <w:rPr>
          <w:rFonts w:ascii="Verdana" w:hAnsi="Verdana" w:cstheme="minorHAnsi"/>
          <w:sz w:val="20"/>
          <w:szCs w:val="20"/>
          <w:lang w:val="es-CR"/>
        </w:rPr>
        <w:t xml:space="preserve"> </w:t>
      </w:r>
      <w:r w:rsidR="002D7535">
        <w:rPr>
          <w:rFonts w:ascii="Verdana" w:hAnsi="Verdana" w:cstheme="minorHAnsi"/>
          <w:sz w:val="20"/>
          <w:szCs w:val="20"/>
          <w:lang w:val="es-CR"/>
        </w:rPr>
        <w:t xml:space="preserve">de la información remitida por las partes, no se desprende que en la actualidad </w:t>
      </w:r>
      <w:r w:rsidRPr="004C09CF">
        <w:rPr>
          <w:rFonts w:ascii="Verdana" w:hAnsi="Verdana" w:cstheme="minorHAnsi"/>
          <w:sz w:val="20"/>
          <w:szCs w:val="20"/>
          <w:lang w:val="es-CR"/>
        </w:rPr>
        <w:t>la señora Orellana</w:t>
      </w:r>
      <w:r w:rsidR="00707AB5">
        <w:rPr>
          <w:rFonts w:ascii="Verdana" w:hAnsi="Verdana" w:cstheme="minorHAnsi"/>
          <w:sz w:val="20"/>
          <w:szCs w:val="20"/>
          <w:lang w:val="es-CR"/>
        </w:rPr>
        <w:t xml:space="preserve"> y sus hijos</w:t>
      </w:r>
      <w:r w:rsidRPr="004C09CF">
        <w:rPr>
          <w:rFonts w:ascii="Verdana" w:hAnsi="Verdana" w:cstheme="minorHAnsi"/>
          <w:sz w:val="20"/>
          <w:szCs w:val="20"/>
          <w:lang w:val="es-CR"/>
        </w:rPr>
        <w:t xml:space="preserve"> </w:t>
      </w:r>
      <w:r w:rsidR="002D7535">
        <w:rPr>
          <w:rFonts w:ascii="Verdana" w:hAnsi="Verdana" w:cstheme="minorHAnsi"/>
          <w:sz w:val="20"/>
          <w:szCs w:val="20"/>
          <w:lang w:val="es-CR"/>
        </w:rPr>
        <w:t>se encuentre</w:t>
      </w:r>
      <w:r w:rsidR="00707AB5">
        <w:rPr>
          <w:rFonts w:ascii="Verdana" w:hAnsi="Verdana" w:cstheme="minorHAnsi"/>
          <w:sz w:val="20"/>
          <w:szCs w:val="20"/>
          <w:lang w:val="es-CR"/>
        </w:rPr>
        <w:t>n</w:t>
      </w:r>
      <w:r w:rsidR="002D7535">
        <w:rPr>
          <w:rFonts w:ascii="Verdana" w:hAnsi="Verdana" w:cstheme="minorHAnsi"/>
          <w:sz w:val="20"/>
          <w:szCs w:val="20"/>
          <w:lang w:val="es-CR"/>
        </w:rPr>
        <w:t xml:space="preserve"> en una situación de riesgo</w:t>
      </w:r>
      <w:r w:rsidRPr="004C09CF">
        <w:rPr>
          <w:rFonts w:ascii="Verdana" w:hAnsi="Verdana" w:cstheme="minorHAnsi"/>
          <w:sz w:val="20"/>
          <w:szCs w:val="20"/>
          <w:lang w:val="es-CR"/>
        </w:rPr>
        <w:t xml:space="preserve"> </w:t>
      </w:r>
      <w:r w:rsidR="00AE0A46">
        <w:rPr>
          <w:rFonts w:ascii="Verdana" w:hAnsi="Verdana" w:cstheme="minorHAnsi"/>
          <w:sz w:val="20"/>
          <w:szCs w:val="20"/>
          <w:lang w:val="es-CR"/>
        </w:rPr>
        <w:t xml:space="preserve">vinculada </w:t>
      </w:r>
      <w:r w:rsidRPr="004C09CF">
        <w:rPr>
          <w:rFonts w:ascii="Verdana" w:hAnsi="Verdana" w:cstheme="minorHAnsi"/>
          <w:sz w:val="20"/>
          <w:szCs w:val="20"/>
          <w:lang w:val="es-CR"/>
        </w:rPr>
        <w:t>a la que justific</w:t>
      </w:r>
      <w:r w:rsidR="002D7535">
        <w:rPr>
          <w:rFonts w:ascii="Verdana" w:hAnsi="Verdana" w:cstheme="minorHAnsi"/>
          <w:sz w:val="20"/>
          <w:szCs w:val="20"/>
          <w:lang w:val="es-CR"/>
        </w:rPr>
        <w:t>ó la adopción y mantenimiento</w:t>
      </w:r>
      <w:r w:rsidRPr="004C09CF">
        <w:rPr>
          <w:rFonts w:ascii="Verdana" w:hAnsi="Verdana" w:cstheme="minorHAnsi"/>
          <w:sz w:val="20"/>
          <w:szCs w:val="20"/>
          <w:lang w:val="es-CR"/>
        </w:rPr>
        <w:t xml:space="preserve"> de las </w:t>
      </w:r>
      <w:r w:rsidR="002D7535">
        <w:rPr>
          <w:rFonts w:ascii="Verdana" w:hAnsi="Verdana" w:cstheme="minorHAnsi"/>
          <w:sz w:val="20"/>
          <w:szCs w:val="20"/>
          <w:lang w:val="es-CR"/>
        </w:rPr>
        <w:t xml:space="preserve">presentes </w:t>
      </w:r>
      <w:r w:rsidRPr="004C09CF">
        <w:rPr>
          <w:rFonts w:ascii="Verdana" w:hAnsi="Verdana" w:cstheme="minorHAnsi"/>
          <w:sz w:val="20"/>
          <w:szCs w:val="20"/>
          <w:lang w:val="es-CR"/>
        </w:rPr>
        <w:t>medidas</w:t>
      </w:r>
      <w:r w:rsidR="00BC7001" w:rsidRPr="004C09CF">
        <w:rPr>
          <w:rStyle w:val="FootnoteReference"/>
          <w:rFonts w:ascii="Verdana" w:hAnsi="Verdana"/>
          <w:sz w:val="20"/>
          <w:szCs w:val="20"/>
          <w:lang w:val="es-ES_tradnl"/>
        </w:rPr>
        <w:footnoteReference w:id="20"/>
      </w:r>
      <w:r w:rsidR="00707AB5">
        <w:rPr>
          <w:rFonts w:ascii="Verdana" w:hAnsi="Verdana" w:cstheme="minorHAnsi"/>
          <w:sz w:val="20"/>
          <w:szCs w:val="20"/>
          <w:lang w:val="es-ES_tradnl"/>
        </w:rPr>
        <w:t>,</w:t>
      </w:r>
      <w:r w:rsidR="00BC7001">
        <w:rPr>
          <w:rFonts w:ascii="Verdana" w:hAnsi="Verdana" w:cstheme="minorHAnsi"/>
          <w:sz w:val="20"/>
          <w:szCs w:val="20"/>
          <w:lang w:val="es-CR"/>
        </w:rPr>
        <w:t xml:space="preserve"> </w:t>
      </w:r>
      <w:r w:rsidR="00707AB5">
        <w:rPr>
          <w:rFonts w:ascii="Verdana" w:hAnsi="Verdana" w:cstheme="minorHAnsi"/>
          <w:sz w:val="20"/>
          <w:szCs w:val="20"/>
          <w:lang w:val="es-CR"/>
        </w:rPr>
        <w:t>y que</w:t>
      </w:r>
      <w:r w:rsidR="00D17A8C">
        <w:rPr>
          <w:rFonts w:ascii="Verdana" w:hAnsi="Verdana" w:cstheme="minorHAnsi"/>
          <w:sz w:val="20"/>
          <w:szCs w:val="20"/>
          <w:lang w:val="es-CR"/>
        </w:rPr>
        <w:t>,</w:t>
      </w:r>
      <w:r w:rsidR="00707AB5">
        <w:rPr>
          <w:rFonts w:ascii="Verdana" w:hAnsi="Verdana" w:cstheme="minorHAnsi"/>
          <w:sz w:val="20"/>
          <w:szCs w:val="20"/>
          <w:lang w:val="es-CR"/>
        </w:rPr>
        <w:t xml:space="preserve"> </w:t>
      </w:r>
      <w:r w:rsidR="00BC7001">
        <w:rPr>
          <w:rFonts w:ascii="Verdana" w:hAnsi="Verdana" w:cstheme="minorHAnsi"/>
          <w:sz w:val="20"/>
          <w:szCs w:val="20"/>
          <w:lang w:val="es-CR"/>
        </w:rPr>
        <w:t>a la luz de los requisitos del artículo 63.2 de la Convención</w:t>
      </w:r>
      <w:r w:rsidR="00F025FD">
        <w:rPr>
          <w:rFonts w:ascii="Verdana" w:hAnsi="Verdana" w:cstheme="minorHAnsi"/>
          <w:sz w:val="20"/>
          <w:szCs w:val="20"/>
          <w:lang w:val="es-CR"/>
        </w:rPr>
        <w:t>,</w:t>
      </w:r>
      <w:r w:rsidR="00BC7001">
        <w:rPr>
          <w:rFonts w:ascii="Verdana" w:hAnsi="Verdana" w:cstheme="minorHAnsi"/>
          <w:sz w:val="20"/>
          <w:szCs w:val="20"/>
          <w:lang w:val="es-CR"/>
        </w:rPr>
        <w:t xml:space="preserve"> amerite el mantenimiento de las</w:t>
      </w:r>
      <w:r w:rsidR="00725149">
        <w:rPr>
          <w:rFonts w:ascii="Verdana" w:hAnsi="Verdana" w:cstheme="minorHAnsi"/>
          <w:sz w:val="20"/>
          <w:szCs w:val="20"/>
          <w:lang w:val="es-CR"/>
        </w:rPr>
        <w:t xml:space="preserve"> mismas</w:t>
      </w:r>
      <w:r w:rsidR="00BC7001" w:rsidRPr="004C09CF">
        <w:rPr>
          <w:rStyle w:val="FootnoteReference"/>
          <w:rFonts w:ascii="Verdana" w:hAnsi="Verdana" w:cstheme="minorHAnsi"/>
          <w:sz w:val="20"/>
          <w:szCs w:val="20"/>
        </w:rPr>
        <w:footnoteReference w:id="21"/>
      </w:r>
      <w:r w:rsidR="00BC7001" w:rsidRPr="004C09CF">
        <w:rPr>
          <w:rFonts w:ascii="Verdana" w:hAnsi="Verdana" w:cstheme="minorHAnsi"/>
          <w:sz w:val="20"/>
          <w:szCs w:val="20"/>
          <w:lang w:val="es-CR"/>
        </w:rPr>
        <w:t>.</w:t>
      </w:r>
    </w:p>
    <w:p w:rsidR="00DF2481" w:rsidRPr="004C09CF" w:rsidRDefault="00DF2481" w:rsidP="00DF2481">
      <w:pPr>
        <w:pStyle w:val="NoSpacing"/>
        <w:jc w:val="both"/>
        <w:rPr>
          <w:rFonts w:ascii="Verdana" w:hAnsi="Verdana"/>
          <w:sz w:val="20"/>
          <w:szCs w:val="20"/>
          <w:lang w:val="es-ES_tradnl"/>
        </w:rPr>
      </w:pPr>
    </w:p>
    <w:p w:rsidR="00BC7001" w:rsidRDefault="00AE0A46" w:rsidP="005A632D">
      <w:pPr>
        <w:pStyle w:val="NoSpacing"/>
        <w:numPr>
          <w:ilvl w:val="0"/>
          <w:numId w:val="5"/>
        </w:numPr>
        <w:ind w:left="0" w:firstLine="0"/>
        <w:jc w:val="both"/>
        <w:rPr>
          <w:rFonts w:ascii="Verdana" w:hAnsi="Verdana"/>
          <w:sz w:val="20"/>
          <w:szCs w:val="20"/>
          <w:lang w:val="es-ES_tradnl"/>
        </w:rPr>
      </w:pPr>
      <w:r>
        <w:rPr>
          <w:rFonts w:ascii="Verdana" w:hAnsi="Verdana" w:cstheme="minorHAnsi"/>
          <w:sz w:val="20"/>
          <w:szCs w:val="20"/>
          <w:lang w:val="es-CR"/>
        </w:rPr>
        <w:t>Además</w:t>
      </w:r>
      <w:r w:rsidR="00BC7001">
        <w:rPr>
          <w:rFonts w:ascii="Verdana" w:hAnsi="Verdana" w:cstheme="minorHAnsi"/>
          <w:sz w:val="20"/>
          <w:szCs w:val="20"/>
          <w:lang w:val="es-CR"/>
        </w:rPr>
        <w:t xml:space="preserve">, el Tribunal recuerda que </w:t>
      </w:r>
      <w:r w:rsidR="00DF2481" w:rsidRPr="004C09CF">
        <w:rPr>
          <w:rFonts w:ascii="Verdana" w:hAnsi="Verdana"/>
          <w:sz w:val="20"/>
          <w:szCs w:val="20"/>
          <w:lang w:val="es-ES_tradnl"/>
        </w:rPr>
        <w:t>el transcurso de un razonable período de tiempo sin amenazas o intimidaciones, sumado a la falta de un riesgo inminente, puede conllevar el levantamiento de las medidas provisionales</w:t>
      </w:r>
      <w:r w:rsidR="00DF2481" w:rsidRPr="004C09CF">
        <w:rPr>
          <w:rStyle w:val="FootnoteReference"/>
          <w:rFonts w:ascii="Verdana" w:hAnsi="Verdana"/>
          <w:sz w:val="20"/>
          <w:szCs w:val="20"/>
          <w:lang w:val="es-ES_tradnl"/>
        </w:rPr>
        <w:footnoteReference w:id="22"/>
      </w:r>
      <w:r w:rsidR="00BC7001">
        <w:rPr>
          <w:rFonts w:ascii="Verdana" w:hAnsi="Verdana"/>
          <w:sz w:val="20"/>
          <w:szCs w:val="20"/>
          <w:lang w:val="es-ES_tradnl"/>
        </w:rPr>
        <w:t>.</w:t>
      </w:r>
    </w:p>
    <w:p w:rsidR="00BC7001" w:rsidRDefault="00BC7001" w:rsidP="00BC7001">
      <w:pPr>
        <w:pStyle w:val="NoSpacing"/>
        <w:jc w:val="both"/>
        <w:rPr>
          <w:rFonts w:ascii="Verdana" w:hAnsi="Verdana"/>
          <w:sz w:val="20"/>
          <w:szCs w:val="20"/>
          <w:lang w:val="es-ES_tradnl"/>
        </w:rPr>
      </w:pPr>
    </w:p>
    <w:p w:rsidR="00DB7EB6" w:rsidRPr="008B6CF0" w:rsidRDefault="00BC7001" w:rsidP="008B6CF0">
      <w:pPr>
        <w:pStyle w:val="NoSpacing"/>
        <w:numPr>
          <w:ilvl w:val="0"/>
          <w:numId w:val="5"/>
        </w:numPr>
        <w:ind w:left="0" w:firstLine="0"/>
        <w:jc w:val="both"/>
        <w:rPr>
          <w:rFonts w:ascii="Verdana" w:hAnsi="Verdana"/>
          <w:sz w:val="20"/>
          <w:szCs w:val="20"/>
          <w:lang w:val="es-ES_tradnl"/>
        </w:rPr>
      </w:pPr>
      <w:r w:rsidRPr="005A632D">
        <w:rPr>
          <w:rFonts w:ascii="Verdana" w:hAnsi="Verdana"/>
          <w:sz w:val="20"/>
          <w:szCs w:val="20"/>
          <w:lang w:val="es-CR"/>
        </w:rPr>
        <w:t xml:space="preserve">En consecuencia, este Tribunal estima pertinente levantar las medidas provisionales dictadas </w:t>
      </w:r>
      <w:r w:rsidR="00F025FD">
        <w:rPr>
          <w:rFonts w:ascii="Verdana" w:hAnsi="Verdana"/>
          <w:sz w:val="20"/>
          <w:szCs w:val="20"/>
          <w:lang w:val="es-CR"/>
        </w:rPr>
        <w:t>en</w:t>
      </w:r>
      <w:r w:rsidRPr="005A632D">
        <w:rPr>
          <w:rFonts w:ascii="Verdana" w:hAnsi="Verdana"/>
          <w:sz w:val="20"/>
          <w:szCs w:val="20"/>
          <w:lang w:val="es-CR"/>
        </w:rPr>
        <w:t xml:space="preserve"> favor de </w:t>
      </w:r>
      <w:r w:rsidR="00707AB5">
        <w:rPr>
          <w:rFonts w:ascii="Verdana" w:hAnsi="Verdana"/>
          <w:sz w:val="20"/>
          <w:szCs w:val="20"/>
          <w:lang w:val="es-CR"/>
        </w:rPr>
        <w:t xml:space="preserve">la señora Orellana </w:t>
      </w:r>
      <w:r w:rsidR="00F025FD">
        <w:rPr>
          <w:rFonts w:ascii="Verdana" w:hAnsi="Verdana"/>
          <w:sz w:val="20"/>
          <w:szCs w:val="20"/>
          <w:lang w:val="es-CR"/>
        </w:rPr>
        <w:t>y sus</w:t>
      </w:r>
      <w:r w:rsidR="00707AB5">
        <w:rPr>
          <w:rFonts w:ascii="Verdana" w:hAnsi="Verdana"/>
          <w:sz w:val="20"/>
          <w:szCs w:val="20"/>
          <w:lang w:val="es-CR"/>
        </w:rPr>
        <w:t xml:space="preserve"> hijos</w:t>
      </w:r>
      <w:r w:rsidR="00DB7EB6">
        <w:rPr>
          <w:rFonts w:ascii="Verdana" w:hAnsi="Verdana"/>
          <w:sz w:val="20"/>
          <w:szCs w:val="20"/>
          <w:lang w:val="es-CR"/>
        </w:rPr>
        <w:t>.</w:t>
      </w:r>
    </w:p>
    <w:p w:rsidR="00DF2481" w:rsidRPr="00DB7EB6" w:rsidRDefault="00DF2481" w:rsidP="00DB7EB6">
      <w:pPr>
        <w:pStyle w:val="NoSpacing"/>
        <w:jc w:val="both"/>
        <w:rPr>
          <w:rFonts w:ascii="Verdana" w:hAnsi="Verdana"/>
          <w:sz w:val="20"/>
          <w:szCs w:val="20"/>
          <w:lang w:val="es-ES_tradnl"/>
        </w:rPr>
      </w:pPr>
    </w:p>
    <w:p w:rsidR="00E435A0" w:rsidRDefault="00E435A0" w:rsidP="00DB7EB6">
      <w:pPr>
        <w:pStyle w:val="NoSpacing"/>
        <w:jc w:val="center"/>
        <w:rPr>
          <w:rFonts w:ascii="Verdana" w:hAnsi="Verdana"/>
          <w:sz w:val="20"/>
          <w:szCs w:val="20"/>
          <w:lang w:val="es-ES_tradnl"/>
        </w:rPr>
      </w:pPr>
      <w:r>
        <w:rPr>
          <w:rFonts w:ascii="Verdana" w:hAnsi="Verdana"/>
          <w:sz w:val="20"/>
          <w:szCs w:val="20"/>
          <w:lang w:val="es-ES_tradnl"/>
        </w:rPr>
        <w:t>*</w:t>
      </w:r>
    </w:p>
    <w:p w:rsidR="00DF2481" w:rsidRPr="004C09CF" w:rsidRDefault="00DF2481" w:rsidP="00DF2481">
      <w:pPr>
        <w:pStyle w:val="NoSpacing"/>
        <w:jc w:val="both"/>
        <w:rPr>
          <w:rFonts w:ascii="Verdana" w:hAnsi="Verdana"/>
          <w:sz w:val="20"/>
          <w:szCs w:val="20"/>
          <w:lang w:val="es-ES_tradnl"/>
        </w:rPr>
      </w:pPr>
    </w:p>
    <w:p w:rsidR="00DF2481" w:rsidRPr="004C09CF" w:rsidRDefault="006862EE" w:rsidP="00271731">
      <w:pPr>
        <w:pStyle w:val="NoSpacing"/>
        <w:numPr>
          <w:ilvl w:val="0"/>
          <w:numId w:val="5"/>
        </w:numPr>
        <w:ind w:left="0" w:firstLine="0"/>
        <w:jc w:val="both"/>
        <w:rPr>
          <w:rFonts w:ascii="Verdana" w:hAnsi="Verdana" w:cstheme="minorHAnsi"/>
          <w:sz w:val="20"/>
          <w:szCs w:val="20"/>
          <w:lang w:val="es-CR"/>
        </w:rPr>
      </w:pPr>
      <w:r>
        <w:rPr>
          <w:rFonts w:ascii="Verdana" w:hAnsi="Verdana"/>
          <w:sz w:val="20"/>
          <w:szCs w:val="20"/>
          <w:lang w:val="es-CR"/>
        </w:rPr>
        <w:t xml:space="preserve">La </w:t>
      </w:r>
      <w:r w:rsidR="00DF2481" w:rsidRPr="005A632D">
        <w:rPr>
          <w:rFonts w:ascii="Verdana" w:hAnsi="Verdana"/>
          <w:sz w:val="20"/>
          <w:szCs w:val="20"/>
          <w:lang w:val="es-CR"/>
        </w:rPr>
        <w:t xml:space="preserve">Corte recuerda que </w:t>
      </w:r>
      <w:r w:rsidR="00DF2481" w:rsidRPr="00BC7001">
        <w:rPr>
          <w:rFonts w:ascii="Verdana" w:hAnsi="Verdana"/>
          <w:sz w:val="20"/>
          <w:szCs w:val="20"/>
          <w:lang w:val="es-CR"/>
        </w:rPr>
        <w:t>los Estados tienen el deber constante y permanente de</w:t>
      </w:r>
      <w:r w:rsidR="00DF2481" w:rsidRPr="004C09CF">
        <w:rPr>
          <w:rFonts w:ascii="Verdana" w:hAnsi="Verdana" w:cstheme="minorHAnsi"/>
          <w:sz w:val="20"/>
          <w:szCs w:val="20"/>
          <w:lang w:val="es-CR"/>
        </w:rPr>
        <w:t xml:space="preserve"> cumplir con las obligaciones generales que le corresponden bajo el artículo 1.1 de la Convención, de respetar los derechos y libertades en ella reconocidos</w:t>
      </w:r>
      <w:r w:rsidR="00D17A8C">
        <w:rPr>
          <w:rFonts w:ascii="Verdana" w:hAnsi="Verdana" w:cstheme="minorHAnsi"/>
          <w:sz w:val="20"/>
          <w:szCs w:val="20"/>
          <w:lang w:val="es-CR"/>
        </w:rPr>
        <w:t>,</w:t>
      </w:r>
      <w:r w:rsidR="00DF2481" w:rsidRPr="004C09CF">
        <w:rPr>
          <w:rFonts w:ascii="Verdana" w:hAnsi="Verdana" w:cstheme="minorHAnsi"/>
          <w:sz w:val="20"/>
          <w:szCs w:val="20"/>
          <w:lang w:val="es-CR"/>
        </w:rPr>
        <w:t xml:space="preserve"> y de garantizar su libre y pleno ejercicio a toda persona sujeta a su jurisdicción</w:t>
      </w:r>
      <w:r w:rsidR="00DF2481" w:rsidRPr="004C09CF">
        <w:rPr>
          <w:rStyle w:val="FootnoteReference"/>
          <w:rFonts w:ascii="Verdana" w:hAnsi="Verdana" w:cstheme="minorHAnsi"/>
          <w:sz w:val="20"/>
          <w:szCs w:val="20"/>
        </w:rPr>
        <w:footnoteReference w:id="23"/>
      </w:r>
      <w:r w:rsidR="00DF2481" w:rsidRPr="004C09CF">
        <w:rPr>
          <w:rFonts w:ascii="Verdana" w:hAnsi="Verdana" w:cstheme="minorHAnsi"/>
          <w:sz w:val="20"/>
          <w:szCs w:val="20"/>
          <w:lang w:val="es-MX"/>
        </w:rPr>
        <w:t xml:space="preserve">. </w:t>
      </w:r>
      <w:r w:rsidR="00DF2481" w:rsidRPr="004C09CF">
        <w:rPr>
          <w:rFonts w:ascii="Verdana" w:hAnsi="Verdana" w:cstheme="minorHAnsi"/>
          <w:sz w:val="20"/>
          <w:szCs w:val="20"/>
          <w:lang w:val="es-ES"/>
        </w:rPr>
        <w:t xml:space="preserve">En consecuencia, independientemente de la existencia de medidas provisionales específicas, el Estado se encuentra especialmente obligado a garantizar los derechos de las personas en situación de riesgo y debe impulsar las investigaciones necesarias para esclarecer los hechos y, en </w:t>
      </w:r>
      <w:r w:rsidR="00DF2481" w:rsidRPr="004C09CF">
        <w:rPr>
          <w:rFonts w:ascii="Verdana" w:hAnsi="Verdana" w:cstheme="minorHAnsi"/>
          <w:sz w:val="20"/>
          <w:szCs w:val="20"/>
          <w:lang w:val="es-ES"/>
        </w:rPr>
        <w:lastRenderedPageBreak/>
        <w:t>su caso, sancionar a los responsables</w:t>
      </w:r>
      <w:r w:rsidR="00DF2481" w:rsidRPr="004C09CF">
        <w:rPr>
          <w:rStyle w:val="FootnoteReference"/>
          <w:rFonts w:ascii="Verdana" w:eastAsia="Times" w:hAnsi="Verdana" w:cstheme="minorHAnsi"/>
          <w:sz w:val="20"/>
          <w:szCs w:val="20"/>
          <w:lang w:val="es-ES"/>
        </w:rPr>
        <w:footnoteReference w:id="24"/>
      </w:r>
      <w:r w:rsidR="00DF2481" w:rsidRPr="004C09CF">
        <w:rPr>
          <w:rFonts w:ascii="Verdana" w:hAnsi="Verdana" w:cstheme="minorHAnsi"/>
          <w:sz w:val="20"/>
          <w:szCs w:val="20"/>
          <w:lang w:val="es-ES"/>
        </w:rPr>
        <w:t xml:space="preserve">. </w:t>
      </w:r>
      <w:r w:rsidR="00DF2481" w:rsidRPr="004C09CF">
        <w:rPr>
          <w:rFonts w:ascii="Verdana" w:hAnsi="Verdana" w:cstheme="minorHAnsi"/>
          <w:sz w:val="20"/>
          <w:szCs w:val="20"/>
          <w:lang w:val="es-CR"/>
        </w:rPr>
        <w:t>Los supuestos de levantamiento de medidas provisionales no implican que el Estado quede relevado de sus obligaciones convencionales de protección.</w:t>
      </w:r>
    </w:p>
    <w:p w:rsidR="00271731" w:rsidRDefault="00271731" w:rsidP="00271731">
      <w:pPr>
        <w:spacing w:after="0" w:line="240" w:lineRule="auto"/>
        <w:rPr>
          <w:rFonts w:ascii="Verdana" w:hAnsi="Verdana"/>
          <w:b/>
          <w:sz w:val="20"/>
          <w:szCs w:val="20"/>
        </w:rPr>
      </w:pPr>
    </w:p>
    <w:p w:rsidR="009F2874" w:rsidRDefault="004C09CF" w:rsidP="00271731">
      <w:pPr>
        <w:spacing w:after="0" w:line="240" w:lineRule="auto"/>
        <w:rPr>
          <w:rFonts w:ascii="Verdana" w:hAnsi="Verdana"/>
          <w:b/>
          <w:sz w:val="20"/>
          <w:szCs w:val="20"/>
        </w:rPr>
      </w:pPr>
      <w:r>
        <w:rPr>
          <w:rFonts w:ascii="Verdana" w:hAnsi="Verdana"/>
          <w:b/>
          <w:sz w:val="20"/>
          <w:szCs w:val="20"/>
        </w:rPr>
        <w:t>POR TANTO</w:t>
      </w:r>
      <w:r w:rsidR="0066464D">
        <w:rPr>
          <w:rFonts w:ascii="Verdana" w:hAnsi="Verdana"/>
          <w:b/>
          <w:sz w:val="20"/>
          <w:szCs w:val="20"/>
        </w:rPr>
        <w:t>:</w:t>
      </w:r>
    </w:p>
    <w:p w:rsidR="008E5599" w:rsidRPr="004C09CF" w:rsidRDefault="008E5599" w:rsidP="00271731">
      <w:pPr>
        <w:spacing w:after="0" w:line="240" w:lineRule="auto"/>
        <w:rPr>
          <w:rFonts w:ascii="Verdana" w:hAnsi="Verdana"/>
          <w:b/>
          <w:sz w:val="20"/>
          <w:szCs w:val="20"/>
        </w:rPr>
      </w:pPr>
    </w:p>
    <w:p w:rsidR="00DF2481" w:rsidRPr="004C09CF" w:rsidRDefault="00DF2481" w:rsidP="00DF2481">
      <w:pPr>
        <w:pStyle w:val="NoSpacing"/>
        <w:jc w:val="both"/>
        <w:rPr>
          <w:rFonts w:ascii="Verdana" w:eastAsia="Times New Roman" w:hAnsi="Verdana" w:cs="Times New Roman"/>
          <w:b/>
          <w:sz w:val="20"/>
          <w:szCs w:val="20"/>
          <w:lang w:val="es-ES_tradnl" w:eastAsia="es-ES"/>
        </w:rPr>
      </w:pPr>
      <w:r w:rsidRPr="004C09CF">
        <w:rPr>
          <w:rFonts w:ascii="Verdana" w:eastAsia="Times New Roman" w:hAnsi="Verdana" w:cs="Times New Roman"/>
          <w:b/>
          <w:sz w:val="20"/>
          <w:szCs w:val="20"/>
          <w:lang w:val="es-ES_tradnl" w:eastAsia="es-ES"/>
        </w:rPr>
        <w:t>LA CORTE INTERAMERICANA DE DERECHOS HUMANOS</w:t>
      </w:r>
      <w:r w:rsidR="0066464D">
        <w:rPr>
          <w:rFonts w:ascii="Verdana" w:eastAsia="Times New Roman" w:hAnsi="Verdana" w:cs="Times New Roman"/>
          <w:b/>
          <w:sz w:val="20"/>
          <w:szCs w:val="20"/>
          <w:lang w:val="es-ES_tradnl" w:eastAsia="es-ES"/>
        </w:rPr>
        <w:t>,</w:t>
      </w:r>
    </w:p>
    <w:p w:rsidR="00DF2481" w:rsidRPr="004C09CF" w:rsidRDefault="00DF2481" w:rsidP="00DF2481">
      <w:pPr>
        <w:pStyle w:val="NoSpacing"/>
        <w:jc w:val="both"/>
        <w:rPr>
          <w:rFonts w:ascii="Verdana" w:eastAsia="Times New Roman" w:hAnsi="Verdana" w:cs="Times New Roman"/>
          <w:sz w:val="20"/>
          <w:szCs w:val="20"/>
          <w:lang w:val="es-ES_tradnl" w:eastAsia="es-ES"/>
        </w:rPr>
      </w:pPr>
    </w:p>
    <w:p w:rsidR="00DF2481" w:rsidRPr="004C09CF" w:rsidRDefault="00DF2481" w:rsidP="00DF2481">
      <w:pPr>
        <w:pStyle w:val="NoSpacing"/>
        <w:jc w:val="both"/>
        <w:rPr>
          <w:rFonts w:ascii="Verdana" w:eastAsia="Times New Roman" w:hAnsi="Verdana" w:cs="Times New Roman"/>
          <w:sz w:val="20"/>
          <w:szCs w:val="20"/>
          <w:lang w:val="es-ES_tradnl" w:eastAsia="es-ES"/>
        </w:rPr>
      </w:pPr>
      <w:r w:rsidRPr="004C09CF">
        <w:rPr>
          <w:rFonts w:ascii="Verdana" w:eastAsia="Times New Roman" w:hAnsi="Verdana" w:cs="Times New Roman"/>
          <w:sz w:val="20"/>
          <w:szCs w:val="20"/>
          <w:lang w:val="es-ES_tradnl" w:eastAsia="es-ES"/>
        </w:rPr>
        <w:t>En uso de las atribuciones que le confieren el artículo 63.2 de la Convención Americana sobre Derechos Humanos</w:t>
      </w:r>
      <w:r w:rsidRPr="00707AB5">
        <w:rPr>
          <w:rFonts w:ascii="Verdana" w:eastAsia="Times New Roman" w:hAnsi="Verdana" w:cs="Times New Roman"/>
          <w:sz w:val="20"/>
          <w:szCs w:val="20"/>
          <w:lang w:val="es-ES_tradnl" w:eastAsia="es-ES"/>
        </w:rPr>
        <w:t xml:space="preserve">, </w:t>
      </w:r>
      <w:r w:rsidRPr="00E435A0">
        <w:rPr>
          <w:rFonts w:ascii="Verdana" w:eastAsia="Times New Roman" w:hAnsi="Verdana" w:cs="Times New Roman"/>
          <w:sz w:val="20"/>
          <w:szCs w:val="20"/>
          <w:lang w:val="es-ES_tradnl" w:eastAsia="es-ES"/>
        </w:rPr>
        <w:t>y el artículo 27</w:t>
      </w:r>
      <w:r w:rsidRPr="00707AB5">
        <w:rPr>
          <w:rFonts w:ascii="Verdana" w:eastAsia="Times New Roman" w:hAnsi="Verdana" w:cs="Times New Roman"/>
          <w:sz w:val="20"/>
          <w:szCs w:val="20"/>
          <w:lang w:val="es-ES_tradnl" w:eastAsia="es-ES"/>
        </w:rPr>
        <w:t xml:space="preserve"> de</w:t>
      </w:r>
      <w:r w:rsidRPr="004C09CF">
        <w:rPr>
          <w:rFonts w:ascii="Verdana" w:eastAsia="Times New Roman" w:hAnsi="Verdana" w:cs="Times New Roman"/>
          <w:sz w:val="20"/>
          <w:szCs w:val="20"/>
          <w:lang w:val="es-ES_tradnl" w:eastAsia="es-ES"/>
        </w:rPr>
        <w:t xml:space="preserve"> su Reglamento, </w:t>
      </w:r>
    </w:p>
    <w:p w:rsidR="00DF2481" w:rsidRPr="004C09CF" w:rsidRDefault="00DF2481" w:rsidP="00DF2481">
      <w:pPr>
        <w:pStyle w:val="NoSpacing"/>
        <w:jc w:val="both"/>
        <w:rPr>
          <w:rFonts w:ascii="Verdana" w:eastAsia="Times New Roman" w:hAnsi="Verdana" w:cs="Times New Roman"/>
          <w:sz w:val="20"/>
          <w:szCs w:val="20"/>
          <w:lang w:val="es-ES_tradnl" w:eastAsia="es-ES"/>
        </w:rPr>
      </w:pPr>
    </w:p>
    <w:p w:rsidR="00DF2481" w:rsidRPr="004C09CF" w:rsidRDefault="00DF2481" w:rsidP="00DF2481">
      <w:pPr>
        <w:pStyle w:val="NoSpacing"/>
        <w:jc w:val="both"/>
        <w:rPr>
          <w:rFonts w:ascii="Verdana" w:eastAsia="Times New Roman" w:hAnsi="Verdana" w:cs="Times New Roman"/>
          <w:b/>
          <w:sz w:val="20"/>
          <w:szCs w:val="20"/>
          <w:lang w:val="es-ES_tradnl" w:eastAsia="es-ES"/>
        </w:rPr>
      </w:pPr>
      <w:r w:rsidRPr="004C09CF">
        <w:rPr>
          <w:rFonts w:ascii="Verdana" w:eastAsia="Times New Roman" w:hAnsi="Verdana" w:cs="Times New Roman"/>
          <w:b/>
          <w:sz w:val="20"/>
          <w:szCs w:val="20"/>
          <w:lang w:val="es-ES_tradnl" w:eastAsia="es-ES"/>
        </w:rPr>
        <w:t>RESUELVE:</w:t>
      </w:r>
    </w:p>
    <w:p w:rsidR="00DF2481" w:rsidRPr="004C09CF" w:rsidRDefault="00DF2481" w:rsidP="00DF2481">
      <w:pPr>
        <w:pStyle w:val="NoSpacing"/>
        <w:jc w:val="both"/>
        <w:rPr>
          <w:rFonts w:ascii="Verdana" w:eastAsia="Times New Roman" w:hAnsi="Verdana" w:cs="Times New Roman"/>
          <w:sz w:val="20"/>
          <w:szCs w:val="20"/>
          <w:lang w:val="es-ES_tradnl" w:eastAsia="es-ES"/>
        </w:rPr>
      </w:pPr>
    </w:p>
    <w:p w:rsidR="00DF2481" w:rsidRPr="004C09CF" w:rsidRDefault="00DF2481" w:rsidP="00DF2481">
      <w:pPr>
        <w:spacing w:after="0" w:line="240" w:lineRule="auto"/>
        <w:jc w:val="both"/>
        <w:rPr>
          <w:rFonts w:ascii="Verdana" w:hAnsi="Verdana"/>
          <w:sz w:val="20"/>
          <w:szCs w:val="20"/>
          <w:lang w:val="es-CR"/>
        </w:rPr>
      </w:pPr>
      <w:r w:rsidRPr="004C09CF">
        <w:rPr>
          <w:rFonts w:ascii="Verdana" w:eastAsia="Times New Roman" w:hAnsi="Verdana" w:cs="Times New Roman"/>
          <w:sz w:val="20"/>
          <w:szCs w:val="20"/>
          <w:lang w:val="es-CR" w:eastAsia="es-ES"/>
        </w:rPr>
        <w:t xml:space="preserve">1. Levantar las medidas provisionales ordenadas por la Corte Interamericana de Derechos Humanos </w:t>
      </w:r>
      <w:r w:rsidR="00707AB5">
        <w:rPr>
          <w:rFonts w:ascii="Verdana" w:eastAsia="Times New Roman" w:hAnsi="Verdana" w:cs="Times New Roman"/>
          <w:sz w:val="20"/>
          <w:szCs w:val="20"/>
          <w:lang w:val="es-CR" w:eastAsia="es-ES"/>
        </w:rPr>
        <w:t>en</w:t>
      </w:r>
      <w:r w:rsidRPr="004C09CF">
        <w:rPr>
          <w:rFonts w:ascii="Verdana" w:eastAsia="Times New Roman" w:hAnsi="Verdana" w:cs="Times New Roman"/>
          <w:sz w:val="20"/>
          <w:szCs w:val="20"/>
          <w:lang w:val="es-CR" w:eastAsia="es-ES"/>
        </w:rPr>
        <w:t xml:space="preserve"> favor </w:t>
      </w:r>
      <w:r w:rsidRPr="004C09CF">
        <w:rPr>
          <w:rFonts w:ascii="Verdana" w:hAnsi="Verdana"/>
          <w:sz w:val="20"/>
          <w:szCs w:val="20"/>
          <w:lang w:val="es-CR"/>
        </w:rPr>
        <w:t>del señor José Luis Galdámez Álvarez</w:t>
      </w:r>
      <w:r w:rsidR="00F025FD">
        <w:rPr>
          <w:rFonts w:ascii="Verdana" w:hAnsi="Verdana"/>
          <w:sz w:val="20"/>
          <w:szCs w:val="20"/>
          <w:lang w:val="es-CR"/>
        </w:rPr>
        <w:t>,</w:t>
      </w:r>
      <w:r w:rsidRPr="004C09CF">
        <w:rPr>
          <w:rFonts w:ascii="Verdana" w:hAnsi="Verdana"/>
          <w:sz w:val="20"/>
          <w:szCs w:val="20"/>
          <w:lang w:val="es-CR"/>
        </w:rPr>
        <w:t xml:space="preserve"> así como de su compañera Wendy Orellana Molina y sus hijos Pedro Luis, José Luis, Marlon Josué, Ramón Israel, </w:t>
      </w:r>
      <w:r w:rsidR="00D17A8C">
        <w:rPr>
          <w:rFonts w:ascii="Verdana" w:hAnsi="Verdana"/>
          <w:sz w:val="20"/>
          <w:szCs w:val="20"/>
          <w:lang w:val="es-CR"/>
        </w:rPr>
        <w:t xml:space="preserve">así como </w:t>
      </w:r>
      <w:r w:rsidR="007468D0" w:rsidRPr="007468D0">
        <w:rPr>
          <w:rFonts w:ascii="Verdana" w:hAnsi="Verdana"/>
          <w:sz w:val="20"/>
          <w:szCs w:val="20"/>
          <w:lang w:val="es-CR"/>
        </w:rPr>
        <w:t>Michael Douglas y Kevin Mauricio</w:t>
      </w:r>
      <w:r w:rsidRPr="004C09CF">
        <w:rPr>
          <w:rFonts w:ascii="Verdana" w:hAnsi="Verdana"/>
          <w:sz w:val="20"/>
          <w:szCs w:val="20"/>
          <w:lang w:val="es-CR"/>
        </w:rPr>
        <w:t xml:space="preserve">, todos ellos de apellido Galdámez. </w:t>
      </w:r>
    </w:p>
    <w:p w:rsidR="00DF2481" w:rsidRPr="004C09CF" w:rsidRDefault="00DF2481" w:rsidP="00DF2481">
      <w:pPr>
        <w:spacing w:after="0" w:line="240" w:lineRule="auto"/>
        <w:jc w:val="both"/>
        <w:rPr>
          <w:rFonts w:ascii="Verdana" w:eastAsia="Times New Roman" w:hAnsi="Verdana" w:cs="Times New Roman"/>
          <w:sz w:val="20"/>
          <w:szCs w:val="20"/>
          <w:lang w:val="es-CR" w:eastAsia="es-ES"/>
        </w:rPr>
      </w:pPr>
    </w:p>
    <w:p w:rsidR="00DF2481" w:rsidRPr="004C09CF" w:rsidRDefault="00DF2481" w:rsidP="00DF2481">
      <w:pPr>
        <w:spacing w:after="0" w:line="240" w:lineRule="auto"/>
        <w:jc w:val="both"/>
        <w:rPr>
          <w:rFonts w:ascii="Verdana" w:eastAsia="Times New Roman" w:hAnsi="Verdana" w:cs="Times New Roman"/>
          <w:sz w:val="20"/>
          <w:szCs w:val="20"/>
          <w:lang w:val="es-CR" w:eastAsia="es-ES"/>
        </w:rPr>
      </w:pPr>
      <w:r w:rsidRPr="004C09CF">
        <w:rPr>
          <w:rFonts w:ascii="Verdana" w:eastAsia="Times New Roman" w:hAnsi="Verdana" w:cs="Times New Roman"/>
          <w:sz w:val="20"/>
          <w:szCs w:val="20"/>
          <w:lang w:val="es-CR" w:eastAsia="es-ES"/>
        </w:rPr>
        <w:t xml:space="preserve">2. Reiterar que el Estado debe cumplir con las obligaciones generales del artículo 1.1 de la Convención, de conformidad con el Considerando </w:t>
      </w:r>
      <w:r w:rsidR="008C238E">
        <w:rPr>
          <w:rFonts w:ascii="Verdana" w:eastAsia="Times New Roman" w:hAnsi="Verdana" w:cs="Times New Roman"/>
          <w:sz w:val="20"/>
          <w:szCs w:val="20"/>
          <w:lang w:val="es-CR" w:eastAsia="es-ES"/>
        </w:rPr>
        <w:t>32</w:t>
      </w:r>
      <w:r w:rsidRPr="004C09CF">
        <w:rPr>
          <w:rFonts w:ascii="Verdana" w:eastAsia="Times New Roman" w:hAnsi="Verdana" w:cs="Times New Roman"/>
          <w:sz w:val="20"/>
          <w:szCs w:val="20"/>
          <w:lang w:val="es-CR" w:eastAsia="es-ES"/>
        </w:rPr>
        <w:t xml:space="preserve"> de la presente Resolución.</w:t>
      </w:r>
    </w:p>
    <w:p w:rsidR="00DF2481" w:rsidRPr="004C09CF" w:rsidRDefault="00DF2481" w:rsidP="00DF2481">
      <w:pPr>
        <w:spacing w:after="0" w:line="240" w:lineRule="auto"/>
        <w:jc w:val="both"/>
        <w:rPr>
          <w:rFonts w:ascii="Verdana" w:eastAsia="Times New Roman" w:hAnsi="Verdana" w:cs="Times New Roman"/>
          <w:sz w:val="20"/>
          <w:szCs w:val="20"/>
          <w:lang w:val="es-CR" w:eastAsia="es-ES"/>
        </w:rPr>
      </w:pPr>
    </w:p>
    <w:p w:rsidR="00DF2481" w:rsidRPr="004C09CF" w:rsidRDefault="00DF2481" w:rsidP="00DF2481">
      <w:pPr>
        <w:spacing w:after="0" w:line="240" w:lineRule="auto"/>
        <w:jc w:val="both"/>
        <w:rPr>
          <w:rFonts w:ascii="Verdana" w:eastAsia="Times New Roman" w:hAnsi="Verdana" w:cs="Times New Roman"/>
          <w:sz w:val="20"/>
          <w:szCs w:val="20"/>
          <w:lang w:val="es-CR" w:eastAsia="es-ES"/>
        </w:rPr>
      </w:pPr>
      <w:r w:rsidRPr="004C09CF">
        <w:rPr>
          <w:rFonts w:ascii="Verdana" w:eastAsia="Times New Roman" w:hAnsi="Verdana" w:cs="Times New Roman"/>
          <w:sz w:val="20"/>
          <w:szCs w:val="20"/>
          <w:lang w:val="es-CR" w:eastAsia="es-ES"/>
        </w:rPr>
        <w:t xml:space="preserve">3. Requerir a la Secretaría de la Corte que notifique la presente Resolución a los representantes, al Estado de </w:t>
      </w:r>
      <w:r w:rsidR="00707AB5">
        <w:rPr>
          <w:rFonts w:ascii="Verdana" w:eastAsia="Times New Roman" w:hAnsi="Verdana" w:cs="Times New Roman"/>
          <w:sz w:val="20"/>
          <w:szCs w:val="20"/>
          <w:lang w:val="es-CR" w:eastAsia="es-ES"/>
        </w:rPr>
        <w:t>Honduras</w:t>
      </w:r>
      <w:r w:rsidRPr="004C09CF">
        <w:rPr>
          <w:rFonts w:ascii="Verdana" w:eastAsia="Times New Roman" w:hAnsi="Verdana" w:cs="Times New Roman"/>
          <w:sz w:val="20"/>
          <w:szCs w:val="20"/>
          <w:lang w:val="es-CR" w:eastAsia="es-ES"/>
        </w:rPr>
        <w:t xml:space="preserve"> y a la Comisión Interamericana.</w:t>
      </w:r>
    </w:p>
    <w:p w:rsidR="00DF2481" w:rsidRDefault="00DF2481"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Default="00C90373" w:rsidP="00DF2481">
      <w:pPr>
        <w:spacing w:after="0" w:line="240" w:lineRule="auto"/>
        <w:jc w:val="both"/>
        <w:rPr>
          <w:rFonts w:ascii="Verdana" w:eastAsia="Times New Roman" w:hAnsi="Verdana" w:cs="Times New Roman"/>
          <w:sz w:val="20"/>
          <w:szCs w:val="20"/>
          <w:lang w:val="es-CR" w:eastAsia="es-ES"/>
        </w:rPr>
      </w:pPr>
    </w:p>
    <w:p w:rsidR="00C90373" w:rsidRPr="004C09CF" w:rsidRDefault="00C90373" w:rsidP="00DF2481">
      <w:pPr>
        <w:spacing w:after="0" w:line="240" w:lineRule="auto"/>
        <w:jc w:val="both"/>
        <w:rPr>
          <w:rFonts w:ascii="Verdana" w:eastAsia="Times New Roman" w:hAnsi="Verdana" w:cs="Times New Roman"/>
          <w:sz w:val="20"/>
          <w:szCs w:val="20"/>
          <w:lang w:val="es-CR" w:eastAsia="es-ES"/>
        </w:rPr>
      </w:pPr>
    </w:p>
    <w:p w:rsidR="00A026B5" w:rsidRDefault="00DF2481" w:rsidP="005A632D">
      <w:pPr>
        <w:spacing w:after="0" w:line="240" w:lineRule="auto"/>
        <w:jc w:val="both"/>
        <w:rPr>
          <w:rFonts w:ascii="Verdana" w:eastAsia="Times New Roman" w:hAnsi="Verdana" w:cs="Times New Roman"/>
          <w:sz w:val="20"/>
          <w:szCs w:val="20"/>
          <w:lang w:val="es-CR" w:eastAsia="es-ES"/>
        </w:rPr>
      </w:pPr>
      <w:r w:rsidRPr="004C09CF">
        <w:rPr>
          <w:rFonts w:ascii="Verdana" w:eastAsia="Times New Roman" w:hAnsi="Verdana" w:cs="Times New Roman"/>
          <w:sz w:val="20"/>
          <w:szCs w:val="20"/>
          <w:lang w:val="es-CR" w:eastAsia="es-ES"/>
        </w:rPr>
        <w:lastRenderedPageBreak/>
        <w:t xml:space="preserve">Resolución de la Corte Interamericana de Derechos Humanos. </w:t>
      </w:r>
      <w:r w:rsidR="00C90373" w:rsidRPr="004C09CF">
        <w:rPr>
          <w:rFonts w:ascii="Verdana" w:eastAsia="Times New Roman" w:hAnsi="Verdana" w:cs="Times New Roman"/>
          <w:sz w:val="20"/>
          <w:szCs w:val="20"/>
          <w:lang w:val="es-CR" w:eastAsia="es-ES"/>
        </w:rPr>
        <w:t>Medidas Provisionales respecto de Honduras</w:t>
      </w:r>
      <w:r w:rsidR="00C90373">
        <w:rPr>
          <w:rFonts w:ascii="Verdana" w:eastAsia="Times New Roman" w:hAnsi="Verdana" w:cs="Times New Roman"/>
          <w:sz w:val="20"/>
          <w:szCs w:val="20"/>
          <w:lang w:val="es-CR" w:eastAsia="es-ES"/>
        </w:rPr>
        <w:t xml:space="preserve">. </w:t>
      </w:r>
      <w:r w:rsidR="00C90373" w:rsidRPr="004C09CF">
        <w:rPr>
          <w:rFonts w:ascii="Verdana" w:eastAsia="Times New Roman" w:hAnsi="Verdana" w:cs="Times New Roman"/>
          <w:sz w:val="20"/>
          <w:szCs w:val="20"/>
          <w:lang w:val="es-CR" w:eastAsia="es-ES"/>
        </w:rPr>
        <w:t xml:space="preserve"> </w:t>
      </w:r>
      <w:r w:rsidRPr="004C09CF">
        <w:rPr>
          <w:rFonts w:ascii="Verdana" w:eastAsia="Times New Roman" w:hAnsi="Verdana" w:cs="Times New Roman"/>
          <w:sz w:val="20"/>
          <w:szCs w:val="20"/>
          <w:lang w:val="es-CR" w:eastAsia="es-ES"/>
        </w:rPr>
        <w:t>Asunto José Luis Galdámez Álvarez y otros.</w:t>
      </w:r>
    </w:p>
    <w:p w:rsidR="00C90373" w:rsidRDefault="00C90373" w:rsidP="005A632D">
      <w:pPr>
        <w:spacing w:after="0" w:line="240" w:lineRule="auto"/>
        <w:jc w:val="both"/>
        <w:rPr>
          <w:rFonts w:ascii="Verdana" w:eastAsia="Times New Roman" w:hAnsi="Verdana" w:cs="Times New Roman"/>
          <w:sz w:val="20"/>
          <w:szCs w:val="20"/>
          <w:lang w:val="es-CR" w:eastAsia="es-ES"/>
        </w:rPr>
      </w:pPr>
    </w:p>
    <w:p w:rsidR="00C90373" w:rsidRDefault="00C90373" w:rsidP="00C90373">
      <w:pPr>
        <w:spacing w:after="0" w:line="240" w:lineRule="auto"/>
        <w:rPr>
          <w:rFonts w:ascii="Verdana" w:hAnsi="Verdana"/>
          <w:sz w:val="20"/>
        </w:rPr>
      </w:pPr>
    </w:p>
    <w:p w:rsidR="00C90373" w:rsidRDefault="00C90373" w:rsidP="00C90373">
      <w:pPr>
        <w:spacing w:after="0" w:line="240" w:lineRule="auto"/>
        <w:rPr>
          <w:rFonts w:ascii="Verdana" w:hAnsi="Verdana"/>
          <w:sz w:val="20"/>
        </w:rPr>
      </w:pPr>
    </w:p>
    <w:p w:rsidR="00C90373" w:rsidRDefault="00C90373" w:rsidP="00C90373">
      <w:pPr>
        <w:spacing w:after="0" w:line="240" w:lineRule="auto"/>
        <w:jc w:val="center"/>
        <w:rPr>
          <w:rFonts w:ascii="Verdana" w:hAnsi="Verdana"/>
          <w:sz w:val="20"/>
        </w:rPr>
      </w:pPr>
      <w:r>
        <w:rPr>
          <w:rFonts w:ascii="Verdana" w:hAnsi="Verdana"/>
          <w:sz w:val="20"/>
          <w:lang w:val="es-CR"/>
        </w:rPr>
        <w:t>Roberto F. Caldas</w:t>
      </w:r>
    </w:p>
    <w:p w:rsidR="00C90373" w:rsidRDefault="00C90373" w:rsidP="00C90373">
      <w:pPr>
        <w:spacing w:after="0" w:line="240" w:lineRule="auto"/>
        <w:jc w:val="center"/>
        <w:rPr>
          <w:rFonts w:ascii="Verdana" w:hAnsi="Verdana"/>
          <w:sz w:val="20"/>
        </w:rPr>
      </w:pPr>
      <w:r>
        <w:rPr>
          <w:rFonts w:ascii="Verdana" w:hAnsi="Verdana"/>
          <w:sz w:val="20"/>
        </w:rPr>
        <w:t xml:space="preserve">Presidente </w:t>
      </w:r>
    </w:p>
    <w:p w:rsidR="00C90373" w:rsidRDefault="00C90373" w:rsidP="00C90373">
      <w:pPr>
        <w:spacing w:after="0" w:line="240" w:lineRule="auto"/>
        <w:jc w:val="both"/>
        <w:rPr>
          <w:rFonts w:ascii="Verdana" w:hAnsi="Verdana"/>
          <w:sz w:val="20"/>
        </w:rPr>
      </w:pPr>
    </w:p>
    <w:p w:rsidR="00C90373" w:rsidRDefault="00C90373" w:rsidP="00C90373">
      <w:pPr>
        <w:spacing w:after="0" w:line="240" w:lineRule="auto"/>
        <w:jc w:val="both"/>
        <w:rPr>
          <w:rFonts w:ascii="Verdana" w:hAnsi="Verdana"/>
          <w:sz w:val="20"/>
        </w:rPr>
      </w:pPr>
    </w:p>
    <w:p w:rsidR="00C90373" w:rsidRDefault="00C90373" w:rsidP="00C90373">
      <w:pPr>
        <w:spacing w:after="0" w:line="240" w:lineRule="auto"/>
        <w:jc w:val="both"/>
        <w:rPr>
          <w:rFonts w:ascii="Verdana" w:hAnsi="Verdana"/>
          <w:sz w:val="20"/>
        </w:rPr>
      </w:pPr>
    </w:p>
    <w:p w:rsidR="00C90373" w:rsidRDefault="00C90373" w:rsidP="00C90373">
      <w:pPr>
        <w:spacing w:after="0" w:line="240" w:lineRule="auto"/>
        <w:jc w:val="both"/>
        <w:rPr>
          <w:rFonts w:ascii="Verdana" w:hAnsi="Verdana"/>
          <w:sz w:val="20"/>
        </w:rPr>
      </w:pPr>
    </w:p>
    <w:p w:rsidR="00C90373" w:rsidRDefault="00C90373" w:rsidP="00C90373">
      <w:pPr>
        <w:spacing w:after="0" w:line="240" w:lineRule="auto"/>
        <w:jc w:val="both"/>
        <w:rPr>
          <w:rFonts w:ascii="Verdana" w:hAnsi="Verdana"/>
          <w:sz w:val="20"/>
          <w:lang w:val="es-CR"/>
        </w:rPr>
      </w:pPr>
      <w:r>
        <w:rPr>
          <w:rFonts w:ascii="Verdana" w:hAnsi="Verdana"/>
          <w:sz w:val="20"/>
          <w:lang w:val="es-CR"/>
        </w:rPr>
        <w:t>Eduardo Ferrer Mac-Gregor Poisot</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Eduardo Vio Grossi</w:t>
      </w:r>
    </w:p>
    <w:p w:rsidR="00C90373" w:rsidRDefault="00C90373" w:rsidP="00C90373">
      <w:pPr>
        <w:spacing w:after="0" w:line="240" w:lineRule="auto"/>
        <w:jc w:val="both"/>
        <w:rPr>
          <w:rFonts w:ascii="Verdana" w:hAnsi="Verdana"/>
          <w:sz w:val="20"/>
          <w:lang w:val="es-CR"/>
        </w:rPr>
      </w:pPr>
    </w:p>
    <w:p w:rsidR="00C90373" w:rsidRDefault="00C90373" w:rsidP="00C90373">
      <w:pPr>
        <w:spacing w:after="0" w:line="240" w:lineRule="auto"/>
        <w:jc w:val="both"/>
        <w:rPr>
          <w:rFonts w:ascii="Verdana" w:hAnsi="Verdana"/>
          <w:sz w:val="20"/>
          <w:lang w:val="es-CR"/>
        </w:rPr>
      </w:pPr>
    </w:p>
    <w:p w:rsidR="00C90373" w:rsidRDefault="00C90373" w:rsidP="00C90373">
      <w:pPr>
        <w:spacing w:after="0" w:line="240" w:lineRule="auto"/>
        <w:jc w:val="both"/>
        <w:rPr>
          <w:rFonts w:ascii="Verdana" w:hAnsi="Verdana"/>
          <w:sz w:val="20"/>
          <w:lang w:val="es-CR"/>
        </w:rPr>
      </w:pPr>
    </w:p>
    <w:p w:rsidR="00C90373" w:rsidRDefault="00C90373" w:rsidP="00C90373">
      <w:pPr>
        <w:spacing w:after="0" w:line="240" w:lineRule="auto"/>
        <w:jc w:val="both"/>
        <w:rPr>
          <w:rFonts w:ascii="Verdana" w:hAnsi="Verdana"/>
          <w:sz w:val="20"/>
          <w:lang w:val="es-CR"/>
        </w:rPr>
      </w:pPr>
    </w:p>
    <w:p w:rsidR="00C90373" w:rsidRPr="003D7CEE" w:rsidRDefault="00C90373" w:rsidP="00C90373">
      <w:pPr>
        <w:spacing w:after="0" w:line="240" w:lineRule="auto"/>
        <w:jc w:val="both"/>
        <w:rPr>
          <w:rFonts w:ascii="Verdana" w:hAnsi="Verdana"/>
          <w:sz w:val="20"/>
          <w:lang w:val="es-CR"/>
        </w:rPr>
      </w:pPr>
      <w:r>
        <w:rPr>
          <w:rFonts w:ascii="Verdana" w:hAnsi="Verdana"/>
          <w:sz w:val="20"/>
          <w:lang w:val="es-CR"/>
        </w:rPr>
        <w:t>Humberto Antonio Sierra Porto</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Elizabeth Odio Benito</w:t>
      </w:r>
    </w:p>
    <w:p w:rsidR="00C90373" w:rsidRDefault="00C90373" w:rsidP="00C90373">
      <w:pPr>
        <w:spacing w:after="0" w:line="240" w:lineRule="auto"/>
        <w:jc w:val="center"/>
        <w:rPr>
          <w:rFonts w:ascii="Verdana" w:hAnsi="Verdana"/>
          <w:sz w:val="20"/>
        </w:rPr>
      </w:pPr>
    </w:p>
    <w:p w:rsidR="00C90373" w:rsidRDefault="00C90373" w:rsidP="00C90373">
      <w:pPr>
        <w:spacing w:after="0" w:line="240" w:lineRule="auto"/>
        <w:jc w:val="center"/>
        <w:rPr>
          <w:rFonts w:ascii="Verdana" w:hAnsi="Verdana"/>
          <w:sz w:val="20"/>
        </w:rPr>
      </w:pPr>
    </w:p>
    <w:p w:rsidR="00C90373" w:rsidRDefault="00C90373" w:rsidP="00C90373">
      <w:pPr>
        <w:spacing w:after="0" w:line="240" w:lineRule="auto"/>
        <w:rPr>
          <w:rFonts w:ascii="Verdana" w:hAnsi="Verdana"/>
          <w:sz w:val="20"/>
        </w:rPr>
      </w:pPr>
    </w:p>
    <w:p w:rsidR="00C90373" w:rsidRDefault="00C90373" w:rsidP="00C90373">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p>
    <w:p w:rsidR="00C90373" w:rsidRDefault="00C90373" w:rsidP="00C90373">
      <w:pPr>
        <w:spacing w:after="0" w:line="240" w:lineRule="auto"/>
        <w:rPr>
          <w:rFonts w:ascii="Verdana" w:hAnsi="Verdana"/>
          <w:sz w:val="20"/>
          <w:lang w:val="es-CR"/>
        </w:rPr>
      </w:pPr>
      <w:r>
        <w:rPr>
          <w:rFonts w:ascii="Verdana" w:hAnsi="Verdana"/>
          <w:sz w:val="20"/>
          <w:lang w:val="es-CR"/>
        </w:rPr>
        <w:t xml:space="preserve">Eugenio Raúl </w:t>
      </w:r>
      <w:proofErr w:type="spellStart"/>
      <w:r>
        <w:rPr>
          <w:rFonts w:ascii="Verdana" w:hAnsi="Verdana"/>
          <w:sz w:val="20"/>
          <w:lang w:val="es-CR"/>
        </w:rPr>
        <w:t>Zaffaroni</w:t>
      </w:r>
      <w:proofErr w:type="spellEnd"/>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L. Patricio Pazmiño Freire</w:t>
      </w:r>
    </w:p>
    <w:p w:rsidR="00C90373" w:rsidRDefault="00C90373" w:rsidP="00C90373">
      <w:pPr>
        <w:spacing w:after="0" w:line="240" w:lineRule="auto"/>
        <w:rPr>
          <w:rFonts w:ascii="Verdana" w:hAnsi="Verdana"/>
          <w:sz w:val="20"/>
          <w:lang w:val="es-CR"/>
        </w:rPr>
      </w:pPr>
      <w:r>
        <w:rPr>
          <w:rFonts w:ascii="Verdana" w:hAnsi="Verdana"/>
          <w:sz w:val="20"/>
          <w:lang w:val="es-CR"/>
        </w:rPr>
        <w:tab/>
      </w:r>
      <w:r>
        <w:rPr>
          <w:rFonts w:ascii="Verdana" w:hAnsi="Verdana"/>
          <w:sz w:val="20"/>
          <w:lang w:val="es-CR"/>
        </w:rPr>
        <w:tab/>
      </w:r>
      <w:r>
        <w:rPr>
          <w:rFonts w:ascii="Verdana" w:hAnsi="Verdana"/>
          <w:sz w:val="20"/>
          <w:lang w:val="es-CR"/>
        </w:rPr>
        <w:tab/>
      </w:r>
    </w:p>
    <w:p w:rsidR="00C90373" w:rsidRDefault="00C90373" w:rsidP="00C90373">
      <w:pPr>
        <w:spacing w:after="0" w:line="240" w:lineRule="auto"/>
        <w:rPr>
          <w:rFonts w:ascii="Verdana" w:hAnsi="Verdana"/>
          <w:sz w:val="20"/>
          <w:lang w:val="es-CR"/>
        </w:rPr>
      </w:pPr>
    </w:p>
    <w:p w:rsidR="00C90373" w:rsidRDefault="00C90373" w:rsidP="00C90373">
      <w:pPr>
        <w:tabs>
          <w:tab w:val="left" w:pos="8460"/>
          <w:tab w:val="left" w:pos="8640"/>
        </w:tabs>
        <w:spacing w:after="0" w:line="240" w:lineRule="auto"/>
        <w:jc w:val="both"/>
        <w:rPr>
          <w:rFonts w:ascii="Verdana" w:hAnsi="Verdana"/>
          <w:sz w:val="20"/>
          <w:lang w:val="es-CR"/>
        </w:rPr>
      </w:pPr>
    </w:p>
    <w:p w:rsidR="00C90373" w:rsidRPr="00274D2F" w:rsidRDefault="00C90373" w:rsidP="00C90373">
      <w:pPr>
        <w:tabs>
          <w:tab w:val="left" w:pos="8460"/>
          <w:tab w:val="left" w:pos="8640"/>
        </w:tabs>
        <w:spacing w:after="0" w:line="240" w:lineRule="auto"/>
        <w:jc w:val="both"/>
        <w:rPr>
          <w:rFonts w:ascii="Verdana" w:hAnsi="Verdana"/>
          <w:sz w:val="20"/>
          <w:lang w:val="es-CR"/>
        </w:rPr>
      </w:pPr>
    </w:p>
    <w:p w:rsidR="00C90373" w:rsidRDefault="00C90373" w:rsidP="00C90373">
      <w:pPr>
        <w:tabs>
          <w:tab w:val="left" w:pos="8460"/>
          <w:tab w:val="left" w:pos="8640"/>
        </w:tabs>
        <w:spacing w:after="0" w:line="240" w:lineRule="auto"/>
        <w:jc w:val="center"/>
        <w:rPr>
          <w:rFonts w:ascii="Verdana" w:hAnsi="Verdana"/>
          <w:sz w:val="20"/>
        </w:rPr>
      </w:pPr>
      <w:r>
        <w:rPr>
          <w:rFonts w:ascii="Verdana" w:hAnsi="Verdana"/>
          <w:sz w:val="20"/>
        </w:rPr>
        <w:t>Pablo Saavedra Alessandri</w:t>
      </w:r>
    </w:p>
    <w:p w:rsidR="00C90373" w:rsidRDefault="00C90373" w:rsidP="00C90373">
      <w:pPr>
        <w:tabs>
          <w:tab w:val="left" w:pos="8460"/>
          <w:tab w:val="left" w:pos="8640"/>
        </w:tabs>
        <w:spacing w:after="0" w:line="240" w:lineRule="auto"/>
        <w:jc w:val="center"/>
        <w:rPr>
          <w:rFonts w:ascii="Verdana" w:hAnsi="Verdana"/>
          <w:sz w:val="20"/>
        </w:rPr>
      </w:pPr>
      <w:r>
        <w:rPr>
          <w:rFonts w:ascii="Verdana" w:hAnsi="Verdana"/>
          <w:sz w:val="20"/>
        </w:rPr>
        <w:t>Secretario</w:t>
      </w: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r>
        <w:rPr>
          <w:rFonts w:ascii="Verdana" w:hAnsi="Verdana"/>
          <w:sz w:val="20"/>
        </w:rPr>
        <w:t>Comuníquese y ejecútese,</w:t>
      </w: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spacing w:after="0" w:line="240" w:lineRule="auto"/>
        <w:ind w:firstLine="720"/>
        <w:jc w:val="right"/>
        <w:rPr>
          <w:rFonts w:ascii="Verdana" w:hAnsi="Verdana"/>
          <w:sz w:val="20"/>
        </w:rPr>
      </w:pPr>
      <w:r>
        <w:rPr>
          <w:rFonts w:ascii="Verdana" w:hAnsi="Verdana"/>
          <w:sz w:val="20"/>
          <w:lang w:val="es-CR"/>
        </w:rPr>
        <w:t xml:space="preserve">                  Roberto F. Caldas</w:t>
      </w:r>
    </w:p>
    <w:p w:rsidR="00C90373" w:rsidRDefault="00C90373" w:rsidP="00C90373">
      <w:pPr>
        <w:spacing w:after="0" w:line="240" w:lineRule="auto"/>
        <w:ind w:right="360"/>
        <w:jc w:val="right"/>
        <w:rPr>
          <w:rFonts w:ascii="Verdana" w:hAnsi="Verdana"/>
          <w:sz w:val="20"/>
        </w:rPr>
      </w:pPr>
      <w:r>
        <w:rPr>
          <w:rFonts w:ascii="Verdana" w:hAnsi="Verdana"/>
          <w:sz w:val="20"/>
        </w:rPr>
        <w:t xml:space="preserve">Presidente </w:t>
      </w: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p>
    <w:p w:rsidR="00C90373" w:rsidRDefault="00C90373" w:rsidP="00C90373">
      <w:pPr>
        <w:tabs>
          <w:tab w:val="left" w:pos="8460"/>
          <w:tab w:val="left" w:pos="8640"/>
        </w:tabs>
        <w:spacing w:after="0" w:line="240" w:lineRule="auto"/>
        <w:jc w:val="both"/>
        <w:rPr>
          <w:rFonts w:ascii="Verdana" w:hAnsi="Verdana"/>
          <w:sz w:val="20"/>
        </w:rPr>
      </w:pPr>
      <w:r>
        <w:rPr>
          <w:rFonts w:ascii="Verdana" w:hAnsi="Verdana"/>
          <w:sz w:val="20"/>
        </w:rPr>
        <w:t>Pablo Saavedra Alessandri</w:t>
      </w:r>
    </w:p>
    <w:p w:rsidR="00C90373" w:rsidRDefault="00C90373" w:rsidP="00C90373">
      <w:pPr>
        <w:tabs>
          <w:tab w:val="left" w:pos="8640"/>
        </w:tabs>
        <w:spacing w:after="0" w:line="240" w:lineRule="auto"/>
        <w:ind w:left="720"/>
        <w:rPr>
          <w:rFonts w:ascii="Verdana" w:hAnsi="Verdana"/>
          <w:sz w:val="20"/>
        </w:rPr>
      </w:pPr>
      <w:r>
        <w:rPr>
          <w:rFonts w:ascii="Verdana" w:hAnsi="Verdana"/>
          <w:sz w:val="20"/>
        </w:rPr>
        <w:t xml:space="preserve">  Secretario</w:t>
      </w:r>
    </w:p>
    <w:p w:rsidR="00C90373" w:rsidRDefault="00C90373" w:rsidP="00C90373">
      <w:pPr>
        <w:tabs>
          <w:tab w:val="left" w:pos="8640"/>
        </w:tabs>
        <w:spacing w:after="0" w:line="240" w:lineRule="auto"/>
        <w:ind w:left="720"/>
        <w:rPr>
          <w:rFonts w:ascii="Verdana" w:hAnsi="Verdana"/>
          <w:sz w:val="20"/>
        </w:rPr>
      </w:pPr>
    </w:p>
    <w:p w:rsidR="00C90373" w:rsidRDefault="00C90373" w:rsidP="00C90373">
      <w:pPr>
        <w:tabs>
          <w:tab w:val="left" w:pos="8640"/>
        </w:tabs>
        <w:ind w:left="720"/>
        <w:rPr>
          <w:rFonts w:ascii="Verdana" w:hAnsi="Verdana"/>
          <w:sz w:val="20"/>
        </w:rPr>
      </w:pPr>
    </w:p>
    <w:p w:rsidR="00C90373" w:rsidRDefault="00C90373" w:rsidP="00C90373">
      <w:pPr>
        <w:tabs>
          <w:tab w:val="left" w:pos="8640"/>
        </w:tabs>
        <w:ind w:left="720"/>
        <w:rPr>
          <w:rFonts w:ascii="Verdana" w:hAnsi="Verdana"/>
          <w:sz w:val="20"/>
        </w:rPr>
      </w:pPr>
    </w:p>
    <w:p w:rsidR="00C90373" w:rsidRPr="004C09CF" w:rsidRDefault="00C90373" w:rsidP="005A632D">
      <w:pPr>
        <w:spacing w:after="0" w:line="240" w:lineRule="auto"/>
        <w:jc w:val="both"/>
        <w:rPr>
          <w:rFonts w:ascii="Verdana" w:hAnsi="Verdana"/>
          <w:sz w:val="20"/>
          <w:szCs w:val="20"/>
        </w:rPr>
      </w:pPr>
    </w:p>
    <w:sectPr w:rsidR="00C90373" w:rsidRPr="004C09CF" w:rsidSect="008B6CF0">
      <w:headerReference w:type="default" r:id="rId12"/>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D1" w:rsidRDefault="003438D1" w:rsidP="00125431">
      <w:pPr>
        <w:spacing w:after="0" w:line="240" w:lineRule="auto"/>
      </w:pPr>
      <w:r>
        <w:separator/>
      </w:r>
    </w:p>
  </w:endnote>
  <w:endnote w:type="continuationSeparator" w:id="0">
    <w:p w:rsidR="003438D1" w:rsidRDefault="003438D1" w:rsidP="00125431">
      <w:pPr>
        <w:spacing w:after="0" w:line="240" w:lineRule="auto"/>
      </w:pPr>
      <w:r>
        <w:continuationSeparator/>
      </w:r>
    </w:p>
  </w:endnote>
  <w:endnote w:type="continuationNotice" w:id="1">
    <w:p w:rsidR="003438D1" w:rsidRDefault="00343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Baskerville">
    <w:altName w:val="Times New Roman"/>
    <w:charset w:val="00"/>
    <w:family w:val="roman"/>
    <w:pitch w:val="default"/>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D1" w:rsidRDefault="003438D1" w:rsidP="00125431">
      <w:pPr>
        <w:spacing w:after="0" w:line="240" w:lineRule="auto"/>
      </w:pPr>
      <w:r>
        <w:separator/>
      </w:r>
    </w:p>
  </w:footnote>
  <w:footnote w:type="continuationSeparator" w:id="0">
    <w:p w:rsidR="003438D1" w:rsidRDefault="003438D1" w:rsidP="00125431">
      <w:pPr>
        <w:spacing w:after="0" w:line="240" w:lineRule="auto"/>
      </w:pPr>
      <w:r>
        <w:continuationSeparator/>
      </w:r>
    </w:p>
  </w:footnote>
  <w:footnote w:type="continuationNotice" w:id="1">
    <w:p w:rsidR="003438D1" w:rsidRDefault="003438D1">
      <w:pPr>
        <w:spacing w:after="0" w:line="240" w:lineRule="auto"/>
      </w:pPr>
    </w:p>
  </w:footnote>
  <w:footnote w:id="2">
    <w:p w:rsidR="008B6CF0" w:rsidRPr="008B6CF0" w:rsidRDefault="008B6CF0" w:rsidP="008B6CF0">
      <w:pPr>
        <w:pStyle w:val="FootnoteText"/>
        <w:jc w:val="both"/>
        <w:rPr>
          <w:rFonts w:ascii="Verdana" w:hAnsi="Verdana"/>
          <w:sz w:val="16"/>
          <w:szCs w:val="16"/>
          <w:lang w:val="es-CR"/>
        </w:rPr>
      </w:pPr>
      <w:r w:rsidRPr="008B6CF0">
        <w:rPr>
          <w:rStyle w:val="FootnoteReference"/>
          <w:rFonts w:ascii="Verdana" w:hAnsi="Verdana"/>
          <w:sz w:val="16"/>
          <w:szCs w:val="16"/>
        </w:rPr>
        <w:footnoteRef/>
      </w:r>
      <w:r w:rsidRPr="008B6CF0">
        <w:rPr>
          <w:rFonts w:ascii="Verdana" w:hAnsi="Verdana"/>
          <w:sz w:val="16"/>
          <w:szCs w:val="16"/>
          <w:lang w:val="es-CR"/>
        </w:rPr>
        <w:tab/>
      </w:r>
      <w:r w:rsidRPr="009B7396">
        <w:rPr>
          <w:rFonts w:ascii="Verdana" w:hAnsi="Verdana"/>
          <w:i/>
          <w:iCs/>
          <w:sz w:val="16"/>
          <w:szCs w:val="16"/>
          <w:lang w:val="es-CR"/>
        </w:rPr>
        <w:t xml:space="preserve">Cfr. Caso Carpio </w:t>
      </w:r>
      <w:proofErr w:type="spellStart"/>
      <w:r w:rsidRPr="009B7396">
        <w:rPr>
          <w:rFonts w:ascii="Verdana" w:hAnsi="Verdana"/>
          <w:i/>
          <w:iCs/>
          <w:sz w:val="16"/>
          <w:szCs w:val="16"/>
          <w:lang w:val="es-CR"/>
        </w:rPr>
        <w:t>Nicolle</w:t>
      </w:r>
      <w:proofErr w:type="spellEnd"/>
      <w:r w:rsidRPr="009B7396">
        <w:rPr>
          <w:rFonts w:ascii="Verdana" w:hAnsi="Verdana"/>
          <w:i/>
          <w:iCs/>
          <w:sz w:val="16"/>
          <w:szCs w:val="16"/>
          <w:lang w:val="es-CR"/>
        </w:rPr>
        <w:t>.</w:t>
      </w:r>
      <w:r w:rsidRPr="009B7396">
        <w:rPr>
          <w:rFonts w:ascii="Verdana" w:hAnsi="Verdana"/>
          <w:iCs/>
          <w:sz w:val="16"/>
          <w:szCs w:val="16"/>
          <w:lang w:val="es-CR"/>
        </w:rPr>
        <w:t xml:space="preserve"> Medidas Provisionales respecto de Guatemala. </w:t>
      </w:r>
      <w:r w:rsidRPr="009B7396">
        <w:rPr>
          <w:rFonts w:ascii="Verdana" w:hAnsi="Verdana"/>
          <w:sz w:val="16"/>
          <w:szCs w:val="16"/>
          <w:lang w:val="es-CR"/>
        </w:rPr>
        <w:t xml:space="preserve">Resolución de la Corte Interamericana de Derechos Humanos de 6 de julio de 2009, Considerando 14, y </w:t>
      </w:r>
      <w:r w:rsidRPr="008B6CF0">
        <w:rPr>
          <w:rFonts w:ascii="Verdana" w:hAnsi="Verdana"/>
          <w:i/>
          <w:sz w:val="16"/>
          <w:szCs w:val="16"/>
          <w:lang w:val="es-CR"/>
        </w:rPr>
        <w:t xml:space="preserve">Caso Wong Ho </w:t>
      </w:r>
      <w:proofErr w:type="spellStart"/>
      <w:r w:rsidRPr="008B6CF0">
        <w:rPr>
          <w:rFonts w:ascii="Verdana" w:hAnsi="Verdana"/>
          <w:i/>
          <w:sz w:val="16"/>
          <w:szCs w:val="16"/>
          <w:lang w:val="es-CR"/>
        </w:rPr>
        <w:t>Wing</w:t>
      </w:r>
      <w:proofErr w:type="spellEnd"/>
      <w:r w:rsidRPr="009B7396">
        <w:rPr>
          <w:rFonts w:ascii="Verdana" w:hAnsi="Verdana"/>
          <w:sz w:val="16"/>
          <w:szCs w:val="16"/>
          <w:lang w:val="es-CR"/>
        </w:rPr>
        <w:t xml:space="preserve">. Solicitud de Medidas Provisionales respecto de Perú. Resolución del Presidente de la Corte Interamericana de Derechos Humanos de 28 de mayo de 2016, Considerando 23. </w:t>
      </w:r>
    </w:p>
  </w:footnote>
  <w:footnote w:id="3">
    <w:p w:rsidR="008B6CF0" w:rsidRPr="008B6CF0" w:rsidRDefault="008B6CF0" w:rsidP="008B6CF0">
      <w:pPr>
        <w:pStyle w:val="FootnoteText"/>
        <w:jc w:val="both"/>
        <w:rPr>
          <w:rFonts w:ascii="Verdana" w:hAnsi="Verdana"/>
          <w:sz w:val="16"/>
          <w:szCs w:val="16"/>
          <w:lang w:val="es-CR"/>
        </w:rPr>
      </w:pPr>
      <w:r w:rsidRPr="008B6CF0">
        <w:rPr>
          <w:rStyle w:val="FootnoteReference"/>
          <w:rFonts w:ascii="Verdana" w:hAnsi="Verdana"/>
          <w:sz w:val="16"/>
          <w:szCs w:val="16"/>
        </w:rPr>
        <w:footnoteRef/>
      </w:r>
      <w:r w:rsidRPr="008B6CF0">
        <w:rPr>
          <w:rFonts w:ascii="Verdana" w:hAnsi="Verdana"/>
          <w:sz w:val="16"/>
          <w:szCs w:val="16"/>
          <w:lang w:val="es-CR"/>
        </w:rPr>
        <w:tab/>
      </w:r>
      <w:r w:rsidRPr="008B6CF0">
        <w:rPr>
          <w:rFonts w:ascii="Verdana" w:hAnsi="Verdana"/>
          <w:i/>
          <w:sz w:val="16"/>
          <w:szCs w:val="16"/>
          <w:lang w:val="es-CR"/>
        </w:rPr>
        <w:t xml:space="preserve">Cfr. </w:t>
      </w:r>
      <w:r>
        <w:rPr>
          <w:rFonts w:ascii="Verdana" w:hAnsi="Verdana" w:cs="Times-Roman"/>
          <w:i/>
          <w:sz w:val="16"/>
          <w:szCs w:val="16"/>
          <w:lang w:val="es-CR" w:bidi="en-US"/>
        </w:rPr>
        <w:t xml:space="preserve">Caso Carpio </w:t>
      </w:r>
      <w:proofErr w:type="spellStart"/>
      <w:r>
        <w:rPr>
          <w:rFonts w:ascii="Verdana" w:hAnsi="Verdana" w:cs="Times-Roman"/>
          <w:i/>
          <w:sz w:val="16"/>
          <w:szCs w:val="16"/>
          <w:lang w:val="es-CR" w:bidi="en-US"/>
        </w:rPr>
        <w:t>Nicolle</w:t>
      </w:r>
      <w:proofErr w:type="spellEnd"/>
      <w:r>
        <w:rPr>
          <w:rFonts w:ascii="Verdana" w:hAnsi="Verdana" w:cs="Times-Roman"/>
          <w:i/>
          <w:sz w:val="16"/>
          <w:szCs w:val="16"/>
          <w:lang w:val="es-CR" w:bidi="en-US"/>
        </w:rPr>
        <w:t xml:space="preserve"> </w:t>
      </w:r>
      <w:r>
        <w:rPr>
          <w:rFonts w:ascii="Verdana" w:hAnsi="Verdana" w:cs="Times-Roman"/>
          <w:sz w:val="16"/>
          <w:szCs w:val="16"/>
          <w:lang w:val="es-CR" w:bidi="en-US"/>
        </w:rPr>
        <w:t xml:space="preserve">respecto de Guatemala, </w:t>
      </w:r>
      <w:r>
        <w:rPr>
          <w:rFonts w:ascii="Verdana" w:hAnsi="Verdana" w:cs="Times-Roman"/>
          <w:i/>
          <w:sz w:val="16"/>
          <w:szCs w:val="16"/>
          <w:lang w:val="es-CR" w:bidi="en-US"/>
        </w:rPr>
        <w:t xml:space="preserve">supra, </w:t>
      </w:r>
      <w:r>
        <w:rPr>
          <w:rFonts w:ascii="Verdana" w:hAnsi="Verdana" w:cs="Times-Roman"/>
          <w:sz w:val="16"/>
          <w:szCs w:val="16"/>
          <w:lang w:val="es-CR" w:bidi="en-US"/>
        </w:rPr>
        <w:t>Considerando 14, y</w:t>
      </w:r>
      <w:r w:rsidRPr="00FB1C79">
        <w:rPr>
          <w:rFonts w:ascii="Verdana" w:hAnsi="Verdana"/>
          <w:i/>
          <w:sz w:val="16"/>
          <w:szCs w:val="16"/>
          <w:lang w:val="es-CR"/>
        </w:rPr>
        <w:t xml:space="preserve"> </w:t>
      </w:r>
      <w:r w:rsidRPr="008B6CF0">
        <w:rPr>
          <w:rFonts w:ascii="Verdana" w:hAnsi="Verdana"/>
          <w:i/>
          <w:sz w:val="16"/>
          <w:szCs w:val="16"/>
          <w:lang w:val="es-CR"/>
        </w:rPr>
        <w:t>Caso Rosendo Cantú y otra</w:t>
      </w:r>
      <w:r w:rsidRPr="008B6CF0">
        <w:rPr>
          <w:rFonts w:ascii="Verdana" w:hAnsi="Verdana"/>
          <w:sz w:val="16"/>
          <w:szCs w:val="16"/>
          <w:lang w:val="es-CR"/>
        </w:rPr>
        <w:t>. Medidas Provisionales respecto de México. Resolución de la Corte Interamericana de Derechos Humanos de 23 de febrero de 2016, Considerando 3</w:t>
      </w:r>
      <w:r w:rsidRPr="009B7396">
        <w:rPr>
          <w:rFonts w:ascii="Verdana" w:hAnsi="Verdana"/>
          <w:sz w:val="16"/>
          <w:szCs w:val="16"/>
          <w:lang w:val="es-CR"/>
        </w:rPr>
        <w:t>.</w:t>
      </w:r>
    </w:p>
  </w:footnote>
  <w:footnote w:id="4">
    <w:p w:rsidR="008B6CF0" w:rsidRPr="008B6CF0" w:rsidRDefault="008B6CF0" w:rsidP="008B6CF0">
      <w:pPr>
        <w:pStyle w:val="FootnoteText"/>
        <w:jc w:val="both"/>
        <w:rPr>
          <w:rFonts w:ascii="Verdana" w:hAnsi="Verdana"/>
          <w:sz w:val="16"/>
          <w:szCs w:val="16"/>
          <w:lang w:val="es-CR"/>
        </w:rPr>
      </w:pPr>
      <w:r w:rsidRPr="008B6CF0">
        <w:rPr>
          <w:rStyle w:val="FootnoteReference"/>
          <w:rFonts w:ascii="Verdana" w:hAnsi="Verdana"/>
          <w:sz w:val="16"/>
          <w:szCs w:val="16"/>
        </w:rPr>
        <w:footnoteRef/>
      </w:r>
      <w:r w:rsidRPr="008B6CF0">
        <w:rPr>
          <w:rFonts w:ascii="Verdana" w:hAnsi="Verdana"/>
          <w:sz w:val="16"/>
          <w:szCs w:val="16"/>
          <w:lang w:val="es-CR"/>
        </w:rPr>
        <w:t xml:space="preserve"> </w:t>
      </w:r>
      <w:r w:rsidRPr="008B6CF0">
        <w:rPr>
          <w:rFonts w:ascii="Verdana" w:hAnsi="Verdana"/>
          <w:sz w:val="16"/>
          <w:szCs w:val="16"/>
          <w:lang w:val="es-CR"/>
        </w:rPr>
        <w:tab/>
      </w:r>
      <w:r w:rsidRPr="009B7396">
        <w:rPr>
          <w:rFonts w:ascii="Verdana" w:hAnsi="Verdana"/>
          <w:i/>
          <w:iCs/>
          <w:sz w:val="16"/>
          <w:szCs w:val="16"/>
          <w:lang w:val="es-CR"/>
        </w:rPr>
        <w:t>Cfr.</w:t>
      </w:r>
      <w:r w:rsidRPr="009B7396">
        <w:rPr>
          <w:rFonts w:ascii="Verdana" w:hAnsi="Verdana"/>
          <w:iCs/>
          <w:sz w:val="16"/>
          <w:szCs w:val="16"/>
          <w:lang w:val="es-CR"/>
        </w:rPr>
        <w:t xml:space="preserve"> </w:t>
      </w:r>
      <w:r w:rsidRPr="009B7396">
        <w:rPr>
          <w:rFonts w:ascii="Verdana" w:hAnsi="Verdana"/>
          <w:i/>
          <w:iCs/>
          <w:sz w:val="16"/>
          <w:szCs w:val="16"/>
          <w:lang w:val="es-CR"/>
        </w:rPr>
        <w:t xml:space="preserve">Asunto Clemente Teherán y otros (Comunidad Indígena </w:t>
      </w:r>
      <w:proofErr w:type="spellStart"/>
      <w:r w:rsidRPr="009B7396">
        <w:rPr>
          <w:rFonts w:ascii="Verdana" w:hAnsi="Verdana"/>
          <w:i/>
          <w:iCs/>
          <w:sz w:val="16"/>
          <w:szCs w:val="16"/>
          <w:lang w:val="es-CR"/>
        </w:rPr>
        <w:t>Zenú</w:t>
      </w:r>
      <w:proofErr w:type="spellEnd"/>
      <w:r w:rsidRPr="009B7396">
        <w:rPr>
          <w:rFonts w:ascii="Verdana" w:hAnsi="Verdana"/>
          <w:i/>
          <w:iCs/>
          <w:sz w:val="16"/>
          <w:szCs w:val="16"/>
          <w:lang w:val="es-CR"/>
        </w:rPr>
        <w:t>)</w:t>
      </w:r>
      <w:r w:rsidRPr="009B7396">
        <w:rPr>
          <w:rFonts w:ascii="Verdana" w:hAnsi="Verdana"/>
          <w:iCs/>
          <w:sz w:val="16"/>
          <w:szCs w:val="16"/>
          <w:lang w:val="es-CR"/>
        </w:rPr>
        <w:t xml:space="preserve">. Medidas Provisionales respecto de Colombia. </w:t>
      </w:r>
      <w:r w:rsidRPr="009B7396">
        <w:rPr>
          <w:rFonts w:ascii="Verdana" w:hAnsi="Verdana"/>
          <w:sz w:val="16"/>
          <w:szCs w:val="16"/>
          <w:lang w:val="es-CR"/>
        </w:rPr>
        <w:t xml:space="preserve">Resolución de la Corte Interamericana de Derechos Humanos de 1 de diciembre de 2003, Considerando 3, y </w:t>
      </w:r>
      <w:r w:rsidRPr="008B6CF0">
        <w:rPr>
          <w:rFonts w:ascii="Verdana" w:hAnsi="Verdana"/>
          <w:i/>
          <w:sz w:val="16"/>
          <w:szCs w:val="16"/>
          <w:lang w:val="es-CR"/>
        </w:rPr>
        <w:t>Caso</w:t>
      </w:r>
      <w:r w:rsidRPr="009B7396">
        <w:rPr>
          <w:rFonts w:ascii="Verdana" w:hAnsi="Verdana"/>
          <w:i/>
          <w:sz w:val="16"/>
          <w:szCs w:val="16"/>
          <w:lang w:val="es-CR"/>
        </w:rPr>
        <w:t xml:space="preserve"> Mack Chang y otros</w:t>
      </w:r>
      <w:r w:rsidRPr="009B7396">
        <w:rPr>
          <w:rFonts w:ascii="Verdana" w:hAnsi="Verdana"/>
          <w:sz w:val="16"/>
          <w:szCs w:val="16"/>
          <w:lang w:val="es-CR"/>
        </w:rPr>
        <w:t xml:space="preserve">. </w:t>
      </w:r>
      <w:r w:rsidRPr="00420B48">
        <w:rPr>
          <w:rFonts w:ascii="Verdana" w:hAnsi="Verdana"/>
          <w:sz w:val="16"/>
          <w:szCs w:val="16"/>
          <w:lang w:val="es-CR"/>
        </w:rPr>
        <w:t>Medidas Provisionales respecto de Guatemala. Resolución de la Corte Interamericana de Derechos Humanos de 26 de enero de 2015</w:t>
      </w:r>
      <w:r w:rsidRPr="009B7396">
        <w:rPr>
          <w:rFonts w:ascii="Verdana" w:hAnsi="Verdana"/>
          <w:sz w:val="16"/>
          <w:szCs w:val="16"/>
          <w:lang w:val="es-CR"/>
        </w:rPr>
        <w:t>, Considerando 17.</w:t>
      </w:r>
    </w:p>
  </w:footnote>
  <w:footnote w:id="5">
    <w:p w:rsidR="008B6CF0" w:rsidRPr="008B6CF0" w:rsidRDefault="008B6CF0" w:rsidP="008B6CF0">
      <w:pPr>
        <w:pStyle w:val="FootnoteText"/>
        <w:jc w:val="both"/>
        <w:rPr>
          <w:rFonts w:ascii="Verdana" w:hAnsi="Verdana"/>
          <w:sz w:val="16"/>
          <w:szCs w:val="16"/>
          <w:lang w:val="es-CR"/>
        </w:rPr>
      </w:pPr>
      <w:r w:rsidRPr="008B6CF0">
        <w:rPr>
          <w:rStyle w:val="FootnoteReference"/>
          <w:rFonts w:ascii="Verdana" w:hAnsi="Verdana"/>
          <w:sz w:val="16"/>
          <w:szCs w:val="16"/>
        </w:rPr>
        <w:footnoteRef/>
      </w:r>
      <w:r w:rsidRPr="008B6CF0">
        <w:rPr>
          <w:rFonts w:ascii="Verdana" w:hAnsi="Verdana"/>
          <w:sz w:val="16"/>
          <w:szCs w:val="16"/>
          <w:lang w:val="es-CR"/>
        </w:rPr>
        <w:t xml:space="preserve"> </w:t>
      </w:r>
      <w:r w:rsidRPr="008B6CF0">
        <w:rPr>
          <w:rFonts w:ascii="Verdana" w:hAnsi="Verdana"/>
          <w:sz w:val="16"/>
          <w:szCs w:val="16"/>
          <w:lang w:val="es-CR"/>
        </w:rPr>
        <w:tab/>
      </w:r>
      <w:r w:rsidRPr="009B7396">
        <w:rPr>
          <w:rFonts w:ascii="Verdana" w:hAnsi="Verdana"/>
          <w:sz w:val="16"/>
          <w:szCs w:val="16"/>
          <w:lang w:val="es-CR"/>
        </w:rPr>
        <w:t xml:space="preserve">Cfr. </w:t>
      </w:r>
      <w:r w:rsidRPr="009B7396">
        <w:rPr>
          <w:rFonts w:ascii="Verdana" w:hAnsi="Verdana"/>
          <w:i/>
          <w:sz w:val="16"/>
          <w:szCs w:val="16"/>
          <w:lang w:val="es-CR"/>
        </w:rPr>
        <w:t>Asunto James y otros</w:t>
      </w:r>
      <w:r w:rsidRPr="009B7396">
        <w:rPr>
          <w:rFonts w:ascii="Verdana" w:hAnsi="Verdana"/>
          <w:sz w:val="16"/>
          <w:szCs w:val="16"/>
          <w:lang w:val="es-CR"/>
        </w:rPr>
        <w:t xml:space="preserve">. Medidas Provisionales respecto de Trinidad y Tobago. Resolución de la Corte Interamericana de Derechos Humanos de 29 de agosto de 1998, Considerando 6, y </w:t>
      </w:r>
      <w:r w:rsidRPr="009B7396">
        <w:rPr>
          <w:rFonts w:ascii="Verdana" w:hAnsi="Verdana"/>
          <w:i/>
          <w:sz w:val="16"/>
          <w:szCs w:val="16"/>
          <w:lang w:val="es-CR"/>
        </w:rPr>
        <w:t>Asunto Fernández Ortega y otros</w:t>
      </w:r>
      <w:r w:rsidRPr="009B7396">
        <w:rPr>
          <w:rFonts w:ascii="Verdana" w:hAnsi="Verdana"/>
          <w:sz w:val="16"/>
          <w:szCs w:val="16"/>
          <w:lang w:val="es-CR"/>
        </w:rPr>
        <w:t xml:space="preserve">. </w:t>
      </w:r>
      <w:r w:rsidRPr="00420B48">
        <w:rPr>
          <w:rFonts w:ascii="Verdana" w:hAnsi="Verdana"/>
          <w:sz w:val="16"/>
          <w:szCs w:val="16"/>
          <w:lang w:val="es-CR"/>
        </w:rPr>
        <w:t>Medidas Provisionales respecto de México Resolución de la Corte Interamericana de Derechos Humanos de 23 de febrero de 2016</w:t>
      </w:r>
      <w:r w:rsidRPr="008B6CF0">
        <w:rPr>
          <w:rFonts w:ascii="Verdana" w:hAnsi="Verdana"/>
          <w:i/>
          <w:sz w:val="16"/>
          <w:szCs w:val="16"/>
          <w:lang w:val="es-CR"/>
        </w:rPr>
        <w:t>,</w:t>
      </w:r>
      <w:r w:rsidRPr="009B7396">
        <w:rPr>
          <w:rFonts w:ascii="Verdana" w:hAnsi="Verdana"/>
          <w:sz w:val="16"/>
          <w:szCs w:val="16"/>
          <w:lang w:val="es-CR"/>
        </w:rPr>
        <w:t xml:space="preserve"> Considerando 2.</w:t>
      </w:r>
    </w:p>
  </w:footnote>
  <w:footnote w:id="6">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9B7396">
        <w:rPr>
          <w:rFonts w:ascii="Verdana" w:hAnsi="Verdana"/>
          <w:i/>
          <w:sz w:val="16"/>
          <w:szCs w:val="16"/>
          <w:lang w:val="es-CR"/>
        </w:rPr>
        <w:t xml:space="preserve">Cfr. Asunto Guerrero </w:t>
      </w:r>
      <w:proofErr w:type="spellStart"/>
      <w:r w:rsidRPr="009B7396">
        <w:rPr>
          <w:rFonts w:ascii="Verdana" w:hAnsi="Verdana"/>
          <w:i/>
          <w:sz w:val="16"/>
          <w:szCs w:val="16"/>
          <w:lang w:val="es-CR"/>
        </w:rPr>
        <w:t>Gallucci</w:t>
      </w:r>
      <w:proofErr w:type="spellEnd"/>
      <w:r w:rsidRPr="009B7396">
        <w:rPr>
          <w:rFonts w:ascii="Verdana" w:hAnsi="Verdana"/>
          <w:i/>
          <w:sz w:val="16"/>
          <w:szCs w:val="16"/>
          <w:lang w:val="es-CR"/>
        </w:rPr>
        <w:t xml:space="preserve">. </w:t>
      </w:r>
      <w:r w:rsidRPr="009B7396">
        <w:rPr>
          <w:rFonts w:ascii="Verdana" w:hAnsi="Verdana"/>
          <w:sz w:val="16"/>
          <w:szCs w:val="16"/>
          <w:lang w:val="es-CR"/>
        </w:rPr>
        <w:t xml:space="preserve">Medidas Provisionales respecto de Venezuela. Resolución de la Corte Interamericana de Derechos Humanos de 21 de noviembre de 2011, Considerando 6, y </w:t>
      </w:r>
      <w:r w:rsidRPr="008B6CF0">
        <w:rPr>
          <w:rFonts w:ascii="Verdana" w:hAnsi="Verdana"/>
          <w:i/>
          <w:sz w:val="16"/>
          <w:szCs w:val="16"/>
          <w:lang w:val="es-CR"/>
        </w:rPr>
        <w:t xml:space="preserve">Caso </w:t>
      </w:r>
      <w:proofErr w:type="spellStart"/>
      <w:r w:rsidRPr="008B6CF0">
        <w:rPr>
          <w:rFonts w:ascii="Verdana" w:hAnsi="Verdana"/>
          <w:i/>
          <w:sz w:val="16"/>
          <w:szCs w:val="16"/>
          <w:lang w:val="es-CR"/>
        </w:rPr>
        <w:t>Kawas</w:t>
      </w:r>
      <w:proofErr w:type="spellEnd"/>
      <w:r w:rsidRPr="008B6CF0">
        <w:rPr>
          <w:rFonts w:ascii="Verdana" w:hAnsi="Verdana"/>
          <w:i/>
          <w:sz w:val="16"/>
          <w:szCs w:val="16"/>
          <w:lang w:val="es-CR"/>
        </w:rPr>
        <w:t xml:space="preserve"> Fernández</w:t>
      </w:r>
      <w:r w:rsidRPr="009B7396">
        <w:rPr>
          <w:rFonts w:ascii="Verdana" w:hAnsi="Verdana"/>
          <w:sz w:val="16"/>
          <w:szCs w:val="16"/>
          <w:lang w:val="es-CR"/>
        </w:rPr>
        <w:t xml:space="preserve">. Medidas Provisionales respecto de Honduras. Resolución de la Corte Interamericana de Derechos Humanos de 23 de junio de 2015, Considerando 17. </w:t>
      </w:r>
    </w:p>
  </w:footnote>
  <w:footnote w:id="7">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8B6CF0">
        <w:rPr>
          <w:rFonts w:ascii="Verdana" w:hAnsi="Verdana"/>
          <w:i/>
          <w:sz w:val="16"/>
          <w:szCs w:val="16"/>
          <w:lang w:val="es-CR"/>
        </w:rPr>
        <w:t>Cfr.</w:t>
      </w:r>
      <w:r w:rsidRPr="009B7396">
        <w:rPr>
          <w:rFonts w:ascii="Verdana" w:hAnsi="Verdana"/>
          <w:sz w:val="16"/>
          <w:szCs w:val="16"/>
          <w:lang w:val="es-CR"/>
        </w:rPr>
        <w:t xml:space="preserve"> </w:t>
      </w:r>
      <w:r w:rsidRPr="009B7396">
        <w:rPr>
          <w:rFonts w:ascii="Verdana" w:hAnsi="Verdana"/>
          <w:i/>
          <w:sz w:val="16"/>
          <w:szCs w:val="16"/>
          <w:lang w:val="es-CR"/>
        </w:rPr>
        <w:t>Asunto José Luis Galdámez Álvarez y Otros</w:t>
      </w:r>
      <w:r w:rsidRPr="009B7396">
        <w:rPr>
          <w:rFonts w:ascii="Verdana" w:hAnsi="Verdana"/>
          <w:sz w:val="16"/>
          <w:szCs w:val="16"/>
          <w:lang w:val="es-CR"/>
        </w:rPr>
        <w:t>. Medidas Provisionales respecto de Honduras. Resolución de la Corte Interamericana de Derechos Humanos de 22 de diciembre de 2010, Considerando 9.</w:t>
      </w:r>
    </w:p>
  </w:footnote>
  <w:footnote w:id="8">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9B7396">
        <w:rPr>
          <w:rFonts w:ascii="Verdana" w:hAnsi="Verdana"/>
          <w:i/>
          <w:iCs/>
          <w:sz w:val="16"/>
          <w:szCs w:val="16"/>
          <w:lang w:val="es-CR"/>
        </w:rPr>
        <w:t>Cfr. Caso del Periódico la “La Nación”</w:t>
      </w:r>
      <w:r w:rsidRPr="009B7396">
        <w:rPr>
          <w:rFonts w:ascii="Verdana" w:hAnsi="Verdana"/>
          <w:iCs/>
          <w:sz w:val="16"/>
          <w:szCs w:val="16"/>
          <w:lang w:val="es-CR"/>
        </w:rPr>
        <w:t xml:space="preserve">. </w:t>
      </w:r>
      <w:r w:rsidRPr="009B7396">
        <w:rPr>
          <w:rFonts w:ascii="Verdana" w:hAnsi="Verdana"/>
          <w:sz w:val="16"/>
          <w:szCs w:val="16"/>
          <w:lang w:val="es-CR"/>
        </w:rPr>
        <w:t xml:space="preserve">Medidas Provisionales respecto de Costa Rica. Resolución de la Corte Interamericana de Derechos Humanos de 7 de septiembre de 2001, Considerando 4, y </w:t>
      </w:r>
      <w:r w:rsidRPr="009B7396">
        <w:rPr>
          <w:rFonts w:ascii="Verdana" w:hAnsi="Verdana"/>
          <w:i/>
          <w:sz w:val="16"/>
          <w:szCs w:val="16"/>
          <w:lang w:val="es-CR"/>
        </w:rPr>
        <w:t>Asunto Po</w:t>
      </w:r>
      <w:r w:rsidRPr="008B6CF0">
        <w:rPr>
          <w:rFonts w:ascii="Verdana" w:hAnsi="Verdana"/>
          <w:i/>
          <w:sz w:val="16"/>
          <w:szCs w:val="16"/>
          <w:lang w:val="es-CR"/>
        </w:rPr>
        <w:t>b</w:t>
      </w:r>
      <w:r w:rsidRPr="009B7396">
        <w:rPr>
          <w:rFonts w:ascii="Verdana" w:hAnsi="Verdana"/>
          <w:i/>
          <w:sz w:val="16"/>
          <w:szCs w:val="16"/>
          <w:lang w:val="es-CR"/>
        </w:rPr>
        <w:t>ladores de las C</w:t>
      </w:r>
      <w:r w:rsidRPr="008B6CF0">
        <w:rPr>
          <w:rFonts w:ascii="Verdana" w:hAnsi="Verdana"/>
          <w:i/>
          <w:sz w:val="16"/>
          <w:szCs w:val="16"/>
          <w:lang w:val="es-CR"/>
        </w:rPr>
        <w:t xml:space="preserve">omunidades del Pueblo Indígena </w:t>
      </w:r>
      <w:proofErr w:type="spellStart"/>
      <w:r w:rsidRPr="008B6CF0">
        <w:rPr>
          <w:rFonts w:ascii="Verdana" w:hAnsi="Verdana"/>
          <w:i/>
          <w:sz w:val="16"/>
          <w:szCs w:val="16"/>
          <w:lang w:val="es-CR"/>
        </w:rPr>
        <w:t>Miskitu</w:t>
      </w:r>
      <w:proofErr w:type="spellEnd"/>
      <w:r w:rsidRPr="008B6CF0">
        <w:rPr>
          <w:rFonts w:ascii="Verdana" w:hAnsi="Verdana"/>
          <w:i/>
          <w:sz w:val="16"/>
          <w:szCs w:val="16"/>
          <w:lang w:val="es-CR"/>
        </w:rPr>
        <w:t xml:space="preserve"> de la</w:t>
      </w:r>
      <w:r w:rsidRPr="009B7396">
        <w:rPr>
          <w:rFonts w:ascii="Verdana" w:hAnsi="Verdana"/>
          <w:i/>
          <w:sz w:val="16"/>
          <w:szCs w:val="16"/>
          <w:lang w:val="es-CR"/>
        </w:rPr>
        <w:t xml:space="preserve"> R</w:t>
      </w:r>
      <w:r w:rsidRPr="008B6CF0">
        <w:rPr>
          <w:rFonts w:ascii="Verdana" w:hAnsi="Verdana"/>
          <w:i/>
          <w:sz w:val="16"/>
          <w:szCs w:val="16"/>
          <w:lang w:val="es-CR"/>
        </w:rPr>
        <w:t>egión Costa Caribe Norte</w:t>
      </w:r>
      <w:r w:rsidRPr="009B7396">
        <w:rPr>
          <w:rFonts w:ascii="Verdana" w:hAnsi="Verdana"/>
          <w:sz w:val="16"/>
          <w:szCs w:val="16"/>
          <w:lang w:val="es-CR"/>
        </w:rPr>
        <w:t xml:space="preserve"> Medidas Provisionales respecto de Nicaragua. Resolución de la Corte Interamericana de Derechos Humanos de 23 de noviembre de 2016, Considerando 3.</w:t>
      </w:r>
    </w:p>
  </w:footnote>
  <w:footnote w:id="9">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9B7396">
        <w:rPr>
          <w:rFonts w:ascii="Verdana" w:hAnsi="Verdana"/>
          <w:i/>
          <w:sz w:val="16"/>
          <w:szCs w:val="16"/>
          <w:lang w:val="es-CR"/>
        </w:rPr>
        <w:t>Cfr. Asunto José Luis Galdámez Álvarez y Otros</w:t>
      </w:r>
      <w:r w:rsidRPr="009B7396">
        <w:rPr>
          <w:rFonts w:ascii="Verdana" w:hAnsi="Verdana"/>
          <w:sz w:val="16"/>
          <w:szCs w:val="16"/>
          <w:lang w:val="es-CR"/>
        </w:rPr>
        <w:t xml:space="preserve"> respecto de Honduras, </w:t>
      </w:r>
      <w:r w:rsidRPr="009B7396">
        <w:rPr>
          <w:rFonts w:ascii="Verdana" w:hAnsi="Verdana"/>
          <w:i/>
          <w:sz w:val="16"/>
          <w:szCs w:val="16"/>
          <w:lang w:val="es-CR"/>
        </w:rPr>
        <w:t>supra</w:t>
      </w:r>
      <w:r>
        <w:rPr>
          <w:rFonts w:ascii="Verdana" w:hAnsi="Verdana"/>
          <w:sz w:val="16"/>
          <w:szCs w:val="16"/>
          <w:lang w:val="es-CR"/>
        </w:rPr>
        <w:t xml:space="preserve">, </w:t>
      </w:r>
      <w:r w:rsidRPr="009B7396">
        <w:rPr>
          <w:rFonts w:ascii="Verdana" w:hAnsi="Verdana"/>
          <w:sz w:val="16"/>
          <w:szCs w:val="16"/>
          <w:lang w:val="es-CR"/>
        </w:rPr>
        <w:t>Considerandos 17, 18 y 22; Resolución de la Corte de 22 de febrero de 2011, Considerando 17, y Resolución de la Corte de 24 de octubre de 2012, Considerandos 9 y 13.</w:t>
      </w:r>
    </w:p>
  </w:footnote>
  <w:footnote w:id="10">
    <w:p w:rsidR="008B6CF0" w:rsidRPr="009B7396" w:rsidRDefault="008B6CF0" w:rsidP="008B6CF0">
      <w:pPr>
        <w:pStyle w:val="NoSpacing"/>
        <w:jc w:val="both"/>
        <w:rPr>
          <w:rFonts w:ascii="Verdana" w:hAnsi="Verdana"/>
          <w:sz w:val="16"/>
          <w:szCs w:val="16"/>
          <w:lang w:val="es-CR"/>
        </w:rPr>
      </w:pPr>
      <w:r w:rsidRPr="008B6CF0">
        <w:rPr>
          <w:rStyle w:val="FootnoteReference"/>
          <w:rFonts w:ascii="Verdana" w:hAnsi="Verdana"/>
          <w:sz w:val="16"/>
          <w:szCs w:val="16"/>
        </w:rPr>
        <w:footnoteRef/>
      </w:r>
      <w:r w:rsidRPr="008B6CF0">
        <w:rPr>
          <w:rFonts w:ascii="Verdana" w:hAnsi="Verdana"/>
          <w:sz w:val="16"/>
          <w:szCs w:val="16"/>
          <w:lang w:val="es-CR"/>
        </w:rPr>
        <w:t xml:space="preserve"> </w:t>
      </w:r>
      <w:r w:rsidRPr="009B7396">
        <w:rPr>
          <w:rFonts w:ascii="Verdana" w:hAnsi="Verdana"/>
          <w:sz w:val="16"/>
          <w:szCs w:val="16"/>
          <w:lang w:val="es-CR"/>
        </w:rPr>
        <w:t>Respecto al periodo desde la última resolución de la Corte hasta la fecha de la detención, los representantes argumentaron particularmente que: con el fin de disuadir dichas amenazas, el señor Galdámez decidió salir junto con su familia el 24 de junio de 2013 hacia Estados Unidos hasta el 15</w:t>
      </w:r>
      <w:r>
        <w:rPr>
          <w:rFonts w:ascii="Verdana" w:hAnsi="Verdana"/>
          <w:sz w:val="16"/>
          <w:szCs w:val="16"/>
          <w:lang w:val="es-CR"/>
        </w:rPr>
        <w:t xml:space="preserve"> de julio del mismo año</w:t>
      </w:r>
      <w:r w:rsidRPr="009B7396">
        <w:rPr>
          <w:rFonts w:ascii="Verdana" w:hAnsi="Verdana"/>
          <w:sz w:val="16"/>
          <w:szCs w:val="16"/>
          <w:lang w:val="es-CR"/>
        </w:rPr>
        <w:t xml:space="preserve">. Asimismo, señalaron los incidentes siguientes: (i) el 23, 24 y 25 de noviembre de 2012 el señor Galdámez observó un vehículo sin placa estacionado frente a su casa durante unos 15 </w:t>
      </w:r>
      <w:r>
        <w:rPr>
          <w:rFonts w:ascii="Verdana" w:hAnsi="Verdana"/>
          <w:sz w:val="16"/>
          <w:szCs w:val="16"/>
          <w:lang w:val="es-CR"/>
        </w:rPr>
        <w:t>minutos aproximadamente</w:t>
      </w:r>
      <w:r w:rsidRPr="009B7396">
        <w:rPr>
          <w:rFonts w:ascii="Verdana" w:hAnsi="Verdana"/>
          <w:sz w:val="16"/>
          <w:szCs w:val="16"/>
          <w:lang w:val="es-CR"/>
        </w:rPr>
        <w:t>; (ii) el 11 de abril de 2013, durante la transmisión en vivo de su programa radial, alguien del público dio a entender que sabía dónde había veran</w:t>
      </w:r>
      <w:r>
        <w:rPr>
          <w:rFonts w:ascii="Verdana" w:hAnsi="Verdana"/>
          <w:sz w:val="16"/>
          <w:szCs w:val="16"/>
          <w:lang w:val="es-CR"/>
        </w:rPr>
        <w:t>eado la familia Galdámez</w:t>
      </w:r>
      <w:r w:rsidRPr="009B7396">
        <w:rPr>
          <w:rFonts w:ascii="Verdana" w:hAnsi="Verdana"/>
          <w:sz w:val="16"/>
          <w:szCs w:val="16"/>
          <w:lang w:val="es-CR"/>
        </w:rPr>
        <w:t>; (iii) en mayo de 2013 fue perseguido por vehículos sin placas y encontró tres ba</w:t>
      </w:r>
      <w:r>
        <w:rPr>
          <w:rFonts w:ascii="Verdana" w:hAnsi="Verdana"/>
          <w:sz w:val="16"/>
          <w:szCs w:val="16"/>
          <w:lang w:val="es-CR"/>
        </w:rPr>
        <w:t>las pegadas en su automóvil</w:t>
      </w:r>
      <w:r w:rsidRPr="009B7396">
        <w:rPr>
          <w:rFonts w:ascii="Verdana" w:hAnsi="Verdana"/>
          <w:sz w:val="16"/>
          <w:szCs w:val="16"/>
          <w:lang w:val="es-CR"/>
        </w:rPr>
        <w:t>, y (iv) el 10 de octubre de 2013 el señor Galdámez fue interceptado por la policía al llegar al estacionamiento de su centro de trabajo, increpándosele haber cometido una infracción de tránsito y fue agredido por dichas fuerzas</w:t>
      </w:r>
      <w:r>
        <w:rPr>
          <w:rFonts w:ascii="Verdana" w:hAnsi="Verdana"/>
          <w:sz w:val="16"/>
          <w:szCs w:val="16"/>
          <w:lang w:val="es-CR"/>
        </w:rPr>
        <w:t xml:space="preserve"> de seguridad policial</w:t>
      </w:r>
      <w:r w:rsidRPr="009B7396">
        <w:rPr>
          <w:rFonts w:ascii="Verdana" w:hAnsi="Verdana"/>
          <w:sz w:val="16"/>
          <w:szCs w:val="16"/>
          <w:lang w:val="es-CR"/>
        </w:rPr>
        <w:t xml:space="preserve">. Por su parte, el Estado tomó nota de la información surgida por parte de los representantes respecto de: i) el decomiso del arma de propiedad del señor Galdámez </w:t>
      </w:r>
      <w:r>
        <w:rPr>
          <w:rFonts w:ascii="Verdana" w:hAnsi="Verdana"/>
          <w:sz w:val="16"/>
          <w:szCs w:val="16"/>
          <w:lang w:val="es-CR"/>
        </w:rPr>
        <w:t>el 18 de febrero de 2013</w:t>
      </w:r>
      <w:r w:rsidRPr="009B7396">
        <w:rPr>
          <w:rFonts w:ascii="Verdana" w:hAnsi="Verdana"/>
          <w:sz w:val="16"/>
          <w:szCs w:val="16"/>
          <w:lang w:val="es-CR"/>
        </w:rPr>
        <w:t>; ii) el acecho de vehículos sin placas en las instalaciones del Canal Globo TV, a la hora del programa noctur</w:t>
      </w:r>
      <w:r>
        <w:rPr>
          <w:rFonts w:ascii="Verdana" w:hAnsi="Verdana"/>
          <w:sz w:val="16"/>
          <w:szCs w:val="16"/>
          <w:lang w:val="es-CR"/>
        </w:rPr>
        <w:t>no que él dirige</w:t>
      </w:r>
      <w:r w:rsidRPr="009B7396">
        <w:rPr>
          <w:rFonts w:ascii="Verdana" w:hAnsi="Verdana"/>
          <w:sz w:val="16"/>
          <w:szCs w:val="16"/>
          <w:lang w:val="es-CR"/>
        </w:rPr>
        <w:t xml:space="preserve">, y iii) amenazas al beneficiario por mensajes escritos anónimos, hechos puestos de manifiesto en </w:t>
      </w:r>
      <w:r>
        <w:rPr>
          <w:rFonts w:ascii="Verdana" w:hAnsi="Verdana"/>
          <w:sz w:val="16"/>
          <w:szCs w:val="16"/>
          <w:lang w:val="es-CR"/>
        </w:rPr>
        <w:t>mayo y junio de 2013</w:t>
      </w:r>
      <w:r w:rsidRPr="009B7396">
        <w:rPr>
          <w:rFonts w:ascii="Verdana" w:hAnsi="Verdana"/>
          <w:sz w:val="16"/>
          <w:szCs w:val="16"/>
          <w:lang w:val="es-CR"/>
        </w:rPr>
        <w:t>, respecto de las cuales se comprometió a darle prioridad a la investi</w:t>
      </w:r>
      <w:r>
        <w:rPr>
          <w:rFonts w:ascii="Verdana" w:hAnsi="Verdana"/>
          <w:sz w:val="16"/>
          <w:szCs w:val="16"/>
          <w:lang w:val="es-CR"/>
        </w:rPr>
        <w:t>gación de dichos hechos</w:t>
      </w:r>
      <w:r w:rsidRPr="009B7396">
        <w:rPr>
          <w:rFonts w:ascii="Verdana" w:hAnsi="Verdana"/>
          <w:sz w:val="16"/>
          <w:szCs w:val="16"/>
          <w:lang w:val="es-CR"/>
        </w:rPr>
        <w:t>.</w:t>
      </w:r>
    </w:p>
  </w:footnote>
  <w:footnote w:id="11">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t>Tales como que: i) tuvo visitas por parte de su apoderado así como atención médica en el lugar donde se encontra</w:t>
      </w:r>
      <w:r>
        <w:rPr>
          <w:rFonts w:ascii="Verdana" w:hAnsi="Verdana"/>
          <w:sz w:val="16"/>
          <w:szCs w:val="16"/>
          <w:lang w:val="es-CR"/>
        </w:rPr>
        <w:t>ba privado de libertad</w:t>
      </w:r>
      <w:r w:rsidRPr="009B7396">
        <w:rPr>
          <w:rFonts w:ascii="Verdana" w:hAnsi="Verdana"/>
          <w:sz w:val="16"/>
          <w:szCs w:val="16"/>
          <w:lang w:val="es-CR"/>
        </w:rPr>
        <w:t>; ii) durante más de nueve meses no se le permitió hacer llamad</w:t>
      </w:r>
      <w:r>
        <w:rPr>
          <w:rFonts w:ascii="Verdana" w:hAnsi="Verdana"/>
          <w:sz w:val="16"/>
          <w:szCs w:val="16"/>
          <w:lang w:val="es-CR"/>
        </w:rPr>
        <w:t>as telefónicas</w:t>
      </w:r>
      <w:r w:rsidRPr="009B7396">
        <w:rPr>
          <w:rFonts w:ascii="Verdana" w:hAnsi="Verdana"/>
          <w:sz w:val="16"/>
          <w:szCs w:val="16"/>
          <w:lang w:val="es-CR"/>
        </w:rPr>
        <w:t>; iii) padecía presión alta y n</w:t>
      </w:r>
      <w:r>
        <w:rPr>
          <w:rFonts w:ascii="Verdana" w:hAnsi="Verdana"/>
          <w:sz w:val="16"/>
          <w:szCs w:val="16"/>
          <w:lang w:val="es-CR"/>
        </w:rPr>
        <w:t>o le tomaban la presión</w:t>
      </w:r>
      <w:r w:rsidRPr="009B7396">
        <w:rPr>
          <w:rFonts w:ascii="Verdana" w:hAnsi="Verdana"/>
          <w:sz w:val="16"/>
          <w:szCs w:val="16"/>
          <w:lang w:val="es-CR"/>
        </w:rPr>
        <w:t>; iv) no se le brindaba acceso a medios para mantener adecuadamente</w:t>
      </w:r>
      <w:r>
        <w:rPr>
          <w:rFonts w:ascii="Verdana" w:hAnsi="Verdana"/>
          <w:sz w:val="16"/>
          <w:szCs w:val="16"/>
          <w:lang w:val="es-CR"/>
        </w:rPr>
        <w:t xml:space="preserve"> su limpieza</w:t>
      </w:r>
      <w:r w:rsidRPr="009B7396">
        <w:rPr>
          <w:rFonts w:ascii="Verdana" w:hAnsi="Verdana"/>
          <w:sz w:val="16"/>
          <w:szCs w:val="16"/>
          <w:lang w:val="es-CR"/>
        </w:rPr>
        <w:t>; v) de forma casual lo revisaban para prestarle servicios de a</w:t>
      </w:r>
      <w:r>
        <w:rPr>
          <w:rFonts w:ascii="Verdana" w:hAnsi="Verdana"/>
          <w:sz w:val="16"/>
          <w:szCs w:val="16"/>
          <w:lang w:val="es-CR"/>
        </w:rPr>
        <w:t>tención médica</w:t>
      </w:r>
      <w:r w:rsidRPr="009B7396">
        <w:rPr>
          <w:rFonts w:ascii="Verdana" w:hAnsi="Verdana"/>
          <w:sz w:val="16"/>
          <w:szCs w:val="16"/>
          <w:lang w:val="es-CR"/>
        </w:rPr>
        <w:t>; v) tirab</w:t>
      </w:r>
      <w:r>
        <w:rPr>
          <w:rFonts w:ascii="Verdana" w:hAnsi="Verdana"/>
          <w:sz w:val="16"/>
          <w:szCs w:val="16"/>
          <w:lang w:val="es-CR"/>
        </w:rPr>
        <w:t>an la comida a una mesa</w:t>
      </w:r>
      <w:r w:rsidRPr="009B7396">
        <w:rPr>
          <w:rFonts w:ascii="Verdana" w:hAnsi="Verdana"/>
          <w:sz w:val="16"/>
          <w:szCs w:val="16"/>
          <w:lang w:val="es-CR"/>
        </w:rPr>
        <w:t>; vi) no siempre le suministrab</w:t>
      </w:r>
      <w:r>
        <w:rPr>
          <w:rFonts w:ascii="Verdana" w:hAnsi="Verdana"/>
          <w:sz w:val="16"/>
          <w:szCs w:val="16"/>
          <w:lang w:val="es-CR"/>
        </w:rPr>
        <w:t>an agua para su consumo</w:t>
      </w:r>
      <w:r w:rsidRPr="009B7396">
        <w:rPr>
          <w:rFonts w:ascii="Verdana" w:hAnsi="Verdana"/>
          <w:sz w:val="16"/>
          <w:szCs w:val="16"/>
          <w:lang w:val="es-CR"/>
        </w:rPr>
        <w:t xml:space="preserve">, y vii) existía un riesgo de agresión por </w:t>
      </w:r>
      <w:r>
        <w:rPr>
          <w:rFonts w:ascii="Verdana" w:hAnsi="Verdana"/>
          <w:sz w:val="16"/>
          <w:szCs w:val="16"/>
          <w:lang w:val="es-CR"/>
        </w:rPr>
        <w:t>parte de otros internos</w:t>
      </w:r>
      <w:r w:rsidRPr="009B7396">
        <w:rPr>
          <w:rFonts w:ascii="Verdana" w:hAnsi="Verdana"/>
          <w:sz w:val="16"/>
          <w:szCs w:val="16"/>
          <w:lang w:val="es-CR"/>
        </w:rPr>
        <w:t>. Así, observó la importancia de que el Estado precisara cuáles eran las medidas que implementa a favor del beneficiario para cumplir con el objetivo de las presentes medidas provisionales dentro del centro en que se encontraba privado de libertad.</w:t>
      </w:r>
    </w:p>
  </w:footnote>
  <w:footnote w:id="12">
    <w:p w:rsidR="00FE5DA2"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9B7396">
        <w:rPr>
          <w:rFonts w:ascii="Verdana" w:hAnsi="Verdana"/>
          <w:i/>
          <w:sz w:val="16"/>
          <w:szCs w:val="16"/>
          <w:lang w:val="es-CR"/>
        </w:rPr>
        <w:t>Cfr. Caso Mack Chang y Otros</w:t>
      </w:r>
      <w:r w:rsidRPr="009B7396">
        <w:rPr>
          <w:rFonts w:ascii="Verdana" w:hAnsi="Verdana"/>
          <w:sz w:val="16"/>
          <w:szCs w:val="16"/>
          <w:lang w:val="es-CR"/>
        </w:rPr>
        <w:t xml:space="preserve">. Medidas Provisionales respecto de Guatemala. Resolución de la Corte de 16 de noviembre de 2009, Considerando 23, y </w:t>
      </w:r>
      <w:r w:rsidRPr="009B7396">
        <w:rPr>
          <w:rFonts w:ascii="Verdana" w:hAnsi="Verdana"/>
          <w:i/>
          <w:sz w:val="16"/>
          <w:szCs w:val="16"/>
          <w:lang w:val="es-CR"/>
        </w:rPr>
        <w:t>Asunto Álvarez y Otros</w:t>
      </w:r>
      <w:r w:rsidRPr="009B7396">
        <w:rPr>
          <w:rFonts w:ascii="Verdana" w:hAnsi="Verdana"/>
          <w:sz w:val="16"/>
          <w:szCs w:val="16"/>
          <w:lang w:val="es-CR"/>
        </w:rPr>
        <w:t>. Medidas Provisionales respecto a Colombia. Resolución de la Corte Interamericana de Derechos Humanos de 22 de mayo de 2013, Considerandos 68</w:t>
      </w:r>
      <w:r>
        <w:rPr>
          <w:rFonts w:ascii="Verdana" w:hAnsi="Verdana"/>
          <w:sz w:val="16"/>
          <w:szCs w:val="16"/>
          <w:lang w:val="es-CR"/>
        </w:rPr>
        <w:t xml:space="preserve"> y</w:t>
      </w:r>
      <w:r w:rsidR="00FE5DA2">
        <w:rPr>
          <w:rFonts w:ascii="Verdana" w:hAnsi="Verdana"/>
          <w:sz w:val="16"/>
          <w:szCs w:val="16"/>
          <w:lang w:val="es-CR"/>
        </w:rPr>
        <w:t xml:space="preserve"> 71.</w:t>
      </w:r>
    </w:p>
  </w:footnote>
  <w:footnote w:id="13">
    <w:p w:rsidR="008B6CF0" w:rsidRPr="009B7396" w:rsidRDefault="008B6CF0" w:rsidP="009B7396">
      <w:pPr>
        <w:autoSpaceDE w:val="0"/>
        <w:autoSpaceDN w:val="0"/>
        <w:adjustRightInd w:val="0"/>
        <w:spacing w:after="0" w:line="240" w:lineRule="auto"/>
        <w:jc w:val="both"/>
        <w:rPr>
          <w:rFonts w:ascii="Verdana" w:hAnsi="Verdana" w:cs="Baskerville"/>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8B6CF0">
        <w:rPr>
          <w:rFonts w:ascii="Verdana" w:hAnsi="Verdana" w:cs="Baskerville"/>
          <w:i/>
          <w:sz w:val="16"/>
          <w:szCs w:val="16"/>
        </w:rPr>
        <w:t>Cfr. Asunto James y otros</w:t>
      </w:r>
      <w:r w:rsidRPr="009B7396">
        <w:rPr>
          <w:rFonts w:ascii="Verdana" w:hAnsi="Verdana" w:cs="Baskerville"/>
          <w:sz w:val="16"/>
          <w:szCs w:val="16"/>
        </w:rPr>
        <w:t xml:space="preserve">. Medidas Provisionales respecto de Trinidad y Tobago. Resolución de la Corte Interamericana de Derechos Humanos de 29 de agosto de 1998, Considerando 6, y </w:t>
      </w:r>
      <w:r w:rsidRPr="009B7396">
        <w:rPr>
          <w:rFonts w:ascii="Verdana" w:hAnsi="Verdana" w:cs="Baskerville"/>
          <w:i/>
          <w:sz w:val="16"/>
          <w:szCs w:val="16"/>
          <w:lang w:val="es-CR"/>
        </w:rPr>
        <w:t xml:space="preserve">Asunto Pobladores de las Comunidades del Pueblo Indígena </w:t>
      </w:r>
      <w:proofErr w:type="spellStart"/>
      <w:r w:rsidRPr="009B7396">
        <w:rPr>
          <w:rFonts w:ascii="Verdana" w:hAnsi="Verdana" w:cs="Baskerville"/>
          <w:i/>
          <w:sz w:val="16"/>
          <w:szCs w:val="16"/>
          <w:lang w:val="es-CR"/>
        </w:rPr>
        <w:t>Miskitu</w:t>
      </w:r>
      <w:proofErr w:type="spellEnd"/>
      <w:r w:rsidRPr="009B7396">
        <w:rPr>
          <w:rFonts w:ascii="Verdana" w:hAnsi="Verdana" w:cs="Baskerville"/>
          <w:i/>
          <w:sz w:val="16"/>
          <w:szCs w:val="16"/>
          <w:lang w:val="es-CR"/>
        </w:rPr>
        <w:t xml:space="preserve"> de la Región Costa Caribe Norte</w:t>
      </w:r>
      <w:r w:rsidRPr="009B7396">
        <w:rPr>
          <w:rFonts w:ascii="Verdana" w:hAnsi="Verdana" w:cs="Baskerville"/>
          <w:sz w:val="16"/>
          <w:szCs w:val="16"/>
          <w:lang w:val="es-CR"/>
        </w:rPr>
        <w:t xml:space="preserve">, Solicitud de Medidas Provisionales respecto de Nicaragua. Resolución de la Corte Interamericana de Derechos Humanos de 1 de septiembre de 2016, Considerando 9. </w:t>
      </w:r>
    </w:p>
  </w:footnote>
  <w:footnote w:id="14">
    <w:p w:rsidR="008B6CF0" w:rsidRPr="009B7396" w:rsidRDefault="008B6CF0" w:rsidP="009B7396">
      <w:pPr>
        <w:pStyle w:val="FootnoteText"/>
        <w:jc w:val="both"/>
        <w:rPr>
          <w:rFonts w:ascii="Verdana" w:hAnsi="Verdana" w:cstheme="minorHAnsi"/>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9B7396">
        <w:rPr>
          <w:rFonts w:ascii="Verdana" w:hAnsi="Verdana" w:cstheme="minorHAnsi"/>
          <w:i/>
          <w:sz w:val="16"/>
          <w:szCs w:val="16"/>
          <w:lang w:val="es-CR"/>
        </w:rPr>
        <w:t xml:space="preserve">Cfr. </w:t>
      </w:r>
      <w:r w:rsidRPr="009B7396">
        <w:rPr>
          <w:rFonts w:ascii="Verdana" w:hAnsi="Verdana" w:cstheme="minorHAnsi"/>
          <w:i/>
          <w:iCs/>
          <w:sz w:val="16"/>
          <w:szCs w:val="16"/>
          <w:lang w:val="es-MX"/>
        </w:rPr>
        <w:t xml:space="preserve">Asunto James y otros </w:t>
      </w:r>
      <w:r w:rsidRPr="008B6CF0">
        <w:rPr>
          <w:rFonts w:ascii="Verdana" w:hAnsi="Verdana" w:cstheme="minorHAnsi"/>
          <w:iCs/>
          <w:sz w:val="16"/>
          <w:szCs w:val="16"/>
          <w:lang w:val="es-MX"/>
        </w:rPr>
        <w:t>respecto de Trinidad y Tobago</w:t>
      </w:r>
      <w:r w:rsidRPr="009B7396">
        <w:rPr>
          <w:rFonts w:ascii="Verdana" w:hAnsi="Verdana" w:cstheme="minorHAnsi"/>
          <w:iCs/>
          <w:sz w:val="16"/>
          <w:szCs w:val="16"/>
          <w:lang w:val="es-MX"/>
        </w:rPr>
        <w:t xml:space="preserve">, </w:t>
      </w:r>
      <w:r w:rsidRPr="009B7396">
        <w:rPr>
          <w:rFonts w:ascii="Verdana" w:hAnsi="Verdana" w:cstheme="minorHAnsi"/>
          <w:i/>
          <w:iCs/>
          <w:sz w:val="16"/>
          <w:szCs w:val="16"/>
          <w:lang w:val="es-MX"/>
        </w:rPr>
        <w:t>supra</w:t>
      </w:r>
      <w:r w:rsidRPr="009B7396">
        <w:rPr>
          <w:rFonts w:ascii="Verdana" w:hAnsi="Verdana" w:cstheme="minorHAnsi"/>
          <w:iCs/>
          <w:sz w:val="16"/>
          <w:szCs w:val="16"/>
          <w:lang w:val="es-MX"/>
        </w:rPr>
        <w:t xml:space="preserve">, </w:t>
      </w:r>
      <w:r w:rsidRPr="009B7396">
        <w:rPr>
          <w:rFonts w:ascii="Verdana" w:hAnsi="Verdana" w:cstheme="minorHAnsi"/>
          <w:sz w:val="16"/>
          <w:szCs w:val="16"/>
          <w:lang w:val="es-MX"/>
        </w:rPr>
        <w:t>Considerando 6</w:t>
      </w:r>
      <w:r w:rsidRPr="009B7396">
        <w:rPr>
          <w:rFonts w:ascii="Verdana" w:hAnsi="Verdana" w:cstheme="minorHAnsi"/>
          <w:i/>
          <w:iCs/>
          <w:sz w:val="16"/>
          <w:szCs w:val="16"/>
          <w:lang w:val="es-MX"/>
        </w:rPr>
        <w:t xml:space="preserve">, </w:t>
      </w:r>
      <w:r w:rsidRPr="009B7396">
        <w:rPr>
          <w:rFonts w:ascii="Verdana" w:hAnsi="Verdana" w:cstheme="minorHAnsi"/>
          <w:sz w:val="16"/>
          <w:szCs w:val="16"/>
          <w:lang w:val="es-MX"/>
        </w:rPr>
        <w:t xml:space="preserve">y </w:t>
      </w:r>
      <w:r w:rsidRPr="009B7396">
        <w:rPr>
          <w:rFonts w:ascii="Verdana" w:hAnsi="Verdana" w:cstheme="minorHAnsi"/>
          <w:i/>
          <w:iCs/>
          <w:sz w:val="16"/>
          <w:szCs w:val="16"/>
          <w:lang w:val="es-MX"/>
        </w:rPr>
        <w:t xml:space="preserve">Asunto </w:t>
      </w:r>
      <w:r w:rsidRPr="009B7396">
        <w:rPr>
          <w:rFonts w:ascii="Verdana" w:hAnsi="Verdana" w:cstheme="minorHAnsi"/>
          <w:i/>
          <w:sz w:val="16"/>
          <w:szCs w:val="16"/>
          <w:lang w:val="es-MX"/>
        </w:rPr>
        <w:t>Fernández Ortega y otros</w:t>
      </w:r>
      <w:r w:rsidRPr="009B7396">
        <w:rPr>
          <w:rFonts w:ascii="Verdana" w:hAnsi="Verdana" w:cstheme="minorHAnsi"/>
          <w:sz w:val="16"/>
          <w:szCs w:val="16"/>
          <w:lang w:val="es-MX"/>
        </w:rPr>
        <w:t xml:space="preserve"> respecto de México, </w:t>
      </w:r>
      <w:r w:rsidRPr="009B7396">
        <w:rPr>
          <w:rFonts w:ascii="Verdana" w:hAnsi="Verdana" w:cstheme="minorHAnsi"/>
          <w:i/>
          <w:sz w:val="16"/>
          <w:szCs w:val="16"/>
          <w:lang w:val="es-MX"/>
        </w:rPr>
        <w:t>supra</w:t>
      </w:r>
      <w:r w:rsidRPr="009B7396">
        <w:rPr>
          <w:rFonts w:ascii="Verdana" w:hAnsi="Verdana" w:cstheme="minorHAnsi"/>
          <w:sz w:val="16"/>
          <w:szCs w:val="16"/>
          <w:lang w:val="es-MX"/>
        </w:rPr>
        <w:t>, Considerando 2.</w:t>
      </w:r>
    </w:p>
  </w:footnote>
  <w:footnote w:id="15">
    <w:p w:rsidR="008B6CF0" w:rsidRPr="009B7396" w:rsidRDefault="008B6CF0" w:rsidP="009B7396">
      <w:pPr>
        <w:pStyle w:val="FootnoteText"/>
        <w:jc w:val="both"/>
        <w:rPr>
          <w:rFonts w:ascii="Verdana" w:hAnsi="Verdana" w:cstheme="minorHAnsi"/>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9B7396">
        <w:rPr>
          <w:rFonts w:ascii="Verdana" w:hAnsi="Verdana" w:cstheme="minorHAnsi"/>
          <w:i/>
          <w:sz w:val="16"/>
          <w:szCs w:val="16"/>
          <w:lang w:val="es-CR"/>
        </w:rPr>
        <w:t xml:space="preserve">Cfr. Caso </w:t>
      </w:r>
      <w:proofErr w:type="spellStart"/>
      <w:r w:rsidRPr="009B7396">
        <w:rPr>
          <w:rFonts w:ascii="Verdana" w:hAnsi="Verdana" w:cstheme="minorHAnsi"/>
          <w:i/>
          <w:sz w:val="16"/>
          <w:szCs w:val="16"/>
          <w:lang w:val="es-CR"/>
        </w:rPr>
        <w:t>Raxcacó</w:t>
      </w:r>
      <w:proofErr w:type="spellEnd"/>
      <w:r w:rsidRPr="009B7396">
        <w:rPr>
          <w:rFonts w:ascii="Verdana" w:hAnsi="Verdana" w:cstheme="minorHAnsi"/>
          <w:i/>
          <w:sz w:val="16"/>
          <w:szCs w:val="16"/>
          <w:lang w:val="es-CR"/>
        </w:rPr>
        <w:t xml:space="preserve"> Reyes. </w:t>
      </w:r>
      <w:r w:rsidRPr="009B7396">
        <w:rPr>
          <w:rFonts w:ascii="Verdana" w:hAnsi="Verdana" w:cstheme="minorHAnsi"/>
          <w:sz w:val="16"/>
          <w:szCs w:val="16"/>
          <w:lang w:val="es-CR"/>
        </w:rPr>
        <w:t>Solicitud de Medidas Provisionales respecto de Guatemala. Resolución de la Corte Interamericana de Derechos Humanos de 30 de agosto de 2004, Considerando 10, y</w:t>
      </w:r>
      <w:r w:rsidRPr="008B6CF0">
        <w:rPr>
          <w:rFonts w:ascii="Verdana" w:hAnsi="Verdana"/>
          <w:sz w:val="16"/>
          <w:szCs w:val="16"/>
          <w:lang w:val="es-CR"/>
        </w:rPr>
        <w:t xml:space="preserve"> </w:t>
      </w:r>
      <w:r w:rsidRPr="008B6CF0">
        <w:rPr>
          <w:rFonts w:ascii="Verdana" w:hAnsi="Verdana" w:cstheme="minorHAnsi"/>
          <w:i/>
          <w:sz w:val="16"/>
          <w:szCs w:val="16"/>
          <w:lang w:val="es-CR"/>
        </w:rPr>
        <w:t>Caso Rosendo Cantú y otra</w:t>
      </w:r>
      <w:r w:rsidRPr="009B7396">
        <w:rPr>
          <w:rFonts w:ascii="Verdana" w:hAnsi="Verdana" w:cstheme="minorHAnsi"/>
          <w:sz w:val="16"/>
          <w:szCs w:val="16"/>
          <w:lang w:val="es-CR"/>
        </w:rPr>
        <w:t xml:space="preserve"> respecto de México, </w:t>
      </w:r>
      <w:r w:rsidRPr="008B6CF0">
        <w:rPr>
          <w:rFonts w:ascii="Verdana" w:hAnsi="Verdana" w:cstheme="minorHAnsi"/>
          <w:i/>
          <w:sz w:val="16"/>
          <w:szCs w:val="16"/>
          <w:lang w:val="es-CR"/>
        </w:rPr>
        <w:t>supra</w:t>
      </w:r>
      <w:r w:rsidRPr="009B7396">
        <w:rPr>
          <w:rFonts w:ascii="Verdana" w:hAnsi="Verdana" w:cstheme="minorHAnsi"/>
          <w:sz w:val="16"/>
          <w:szCs w:val="16"/>
          <w:lang w:val="es-CR"/>
        </w:rPr>
        <w:t>, Considerando 16.</w:t>
      </w:r>
    </w:p>
  </w:footnote>
  <w:footnote w:id="16">
    <w:p w:rsidR="008B6CF0" w:rsidRPr="009B7396" w:rsidRDefault="008B6CF0" w:rsidP="009B7396">
      <w:pPr>
        <w:pStyle w:val="FootnoteText"/>
        <w:jc w:val="both"/>
        <w:rPr>
          <w:rFonts w:ascii="Verdana" w:hAnsi="Verdana" w:cstheme="minorHAnsi"/>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9B7396">
        <w:rPr>
          <w:rFonts w:ascii="Verdana" w:hAnsi="Verdana" w:cstheme="minorHAnsi"/>
          <w:i/>
          <w:sz w:val="16"/>
          <w:szCs w:val="16"/>
          <w:lang w:val="es-CR"/>
        </w:rPr>
        <w:t xml:space="preserve">Cfr. Asunto del Pueblo Indígena </w:t>
      </w:r>
      <w:proofErr w:type="spellStart"/>
      <w:r w:rsidRPr="009B7396">
        <w:rPr>
          <w:rFonts w:ascii="Verdana" w:hAnsi="Verdana" w:cstheme="minorHAnsi"/>
          <w:i/>
          <w:sz w:val="16"/>
          <w:szCs w:val="16"/>
          <w:lang w:val="es-CR"/>
        </w:rPr>
        <w:t>Kankuamo</w:t>
      </w:r>
      <w:proofErr w:type="spellEnd"/>
      <w:r w:rsidRPr="009B7396">
        <w:rPr>
          <w:rFonts w:ascii="Verdana" w:hAnsi="Verdana" w:cstheme="minorHAnsi"/>
          <w:i/>
          <w:sz w:val="16"/>
          <w:szCs w:val="16"/>
          <w:lang w:val="es-CR"/>
        </w:rPr>
        <w:t xml:space="preserve">. </w:t>
      </w:r>
      <w:r w:rsidRPr="009B7396">
        <w:rPr>
          <w:rFonts w:ascii="Verdana" w:hAnsi="Verdana" w:cstheme="minorHAnsi"/>
          <w:sz w:val="16"/>
          <w:szCs w:val="16"/>
          <w:lang w:val="es-CR"/>
        </w:rPr>
        <w:t xml:space="preserve">Medidas provisionales respecto de Colombia. Resolución de la Corte Interamericana de Derechos Humanos de 3 de abril de 2009, Considerando 7, y </w:t>
      </w:r>
      <w:r w:rsidRPr="008B6CF0">
        <w:rPr>
          <w:rFonts w:ascii="Verdana" w:hAnsi="Verdana" w:cstheme="minorHAnsi"/>
          <w:i/>
          <w:sz w:val="16"/>
          <w:szCs w:val="16"/>
          <w:lang w:val="es-CR"/>
        </w:rPr>
        <w:t xml:space="preserve">Caso </w:t>
      </w:r>
      <w:proofErr w:type="spellStart"/>
      <w:r w:rsidRPr="008B6CF0">
        <w:rPr>
          <w:rFonts w:ascii="Verdana" w:hAnsi="Verdana" w:cstheme="minorHAnsi"/>
          <w:i/>
          <w:sz w:val="16"/>
          <w:szCs w:val="16"/>
          <w:lang w:val="es-CR"/>
        </w:rPr>
        <w:t>Bámaca</w:t>
      </w:r>
      <w:proofErr w:type="spellEnd"/>
      <w:r w:rsidRPr="008B6CF0">
        <w:rPr>
          <w:rFonts w:ascii="Verdana" w:hAnsi="Verdana" w:cstheme="minorHAnsi"/>
          <w:i/>
          <w:sz w:val="16"/>
          <w:szCs w:val="16"/>
          <w:lang w:val="es-CR"/>
        </w:rPr>
        <w:t xml:space="preserve"> Velásquez</w:t>
      </w:r>
      <w:r w:rsidRPr="009B7396">
        <w:rPr>
          <w:rFonts w:ascii="Verdana" w:hAnsi="Verdana" w:cstheme="minorHAnsi"/>
          <w:sz w:val="16"/>
          <w:szCs w:val="16"/>
          <w:lang w:val="es-CR"/>
        </w:rPr>
        <w:t>. Medidas Provisionales respecto de Guatemala. Resolución de la Corte Interamericana de Derechos Humanos de 31 de agosto de 2016, Considerando 3</w:t>
      </w:r>
      <w:proofErr w:type="gramStart"/>
      <w:r w:rsidRPr="009B7396">
        <w:rPr>
          <w:rFonts w:ascii="Verdana" w:hAnsi="Verdana" w:cstheme="minorHAnsi"/>
          <w:sz w:val="16"/>
          <w:szCs w:val="16"/>
          <w:lang w:val="es-CR"/>
        </w:rPr>
        <w:t>.</w:t>
      </w:r>
      <w:r w:rsidRPr="009B7396">
        <w:rPr>
          <w:rStyle w:val="Strong"/>
          <w:rFonts w:ascii="Verdana" w:hAnsi="Verdana" w:cstheme="minorHAnsi"/>
          <w:b w:val="0"/>
          <w:sz w:val="16"/>
          <w:szCs w:val="16"/>
          <w:lang w:val="es-CR"/>
        </w:rPr>
        <w:t>.</w:t>
      </w:r>
      <w:proofErr w:type="gramEnd"/>
    </w:p>
  </w:footnote>
  <w:footnote w:id="17">
    <w:p w:rsidR="008B6CF0" w:rsidRPr="009B7396" w:rsidRDefault="008B6CF0" w:rsidP="009B7396">
      <w:pPr>
        <w:pStyle w:val="FootnoteText"/>
        <w:jc w:val="both"/>
        <w:rPr>
          <w:rFonts w:ascii="Verdana" w:hAnsi="Verdana" w:cstheme="minorHAnsi"/>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9B7396">
        <w:rPr>
          <w:rFonts w:ascii="Verdana" w:hAnsi="Verdana" w:cstheme="minorHAnsi"/>
          <w:i/>
          <w:sz w:val="16"/>
          <w:szCs w:val="16"/>
          <w:lang w:val="es-CR"/>
        </w:rPr>
        <w:t xml:space="preserve">Cfr. </w:t>
      </w:r>
      <w:r w:rsidRPr="008B6CF0">
        <w:rPr>
          <w:rFonts w:ascii="Verdana" w:hAnsi="Verdana" w:cstheme="minorHAnsi"/>
          <w:i/>
          <w:sz w:val="16"/>
          <w:szCs w:val="16"/>
          <w:lang w:val="es-CR"/>
        </w:rPr>
        <w:t>Asunto del</w:t>
      </w:r>
      <w:r w:rsidRPr="009B7396">
        <w:rPr>
          <w:rFonts w:ascii="Verdana" w:hAnsi="Verdana" w:cstheme="minorHAnsi"/>
          <w:i/>
          <w:sz w:val="16"/>
          <w:szCs w:val="16"/>
          <w:lang w:val="es-CR"/>
        </w:rPr>
        <w:t xml:space="preserve"> Pueblo Indígena </w:t>
      </w:r>
      <w:proofErr w:type="spellStart"/>
      <w:r w:rsidRPr="009B7396">
        <w:rPr>
          <w:rFonts w:ascii="Verdana" w:hAnsi="Verdana" w:cstheme="minorHAnsi"/>
          <w:i/>
          <w:sz w:val="16"/>
          <w:szCs w:val="16"/>
          <w:lang w:val="es-CR"/>
        </w:rPr>
        <w:t>Kankuamo</w:t>
      </w:r>
      <w:proofErr w:type="spellEnd"/>
      <w:r w:rsidRPr="009B7396">
        <w:rPr>
          <w:rFonts w:ascii="Verdana" w:hAnsi="Verdana" w:cstheme="minorHAnsi"/>
          <w:i/>
          <w:sz w:val="16"/>
          <w:szCs w:val="16"/>
          <w:lang w:val="es-CR"/>
        </w:rPr>
        <w:t xml:space="preserve">. </w:t>
      </w:r>
      <w:r w:rsidRPr="009B7396">
        <w:rPr>
          <w:rFonts w:ascii="Verdana" w:hAnsi="Verdana" w:cstheme="minorHAnsi"/>
          <w:sz w:val="16"/>
          <w:szCs w:val="16"/>
          <w:lang w:val="es-CR"/>
        </w:rPr>
        <w:t xml:space="preserve">Medidas provisionales respecto de Colombia, </w:t>
      </w:r>
      <w:r w:rsidRPr="009B7396">
        <w:rPr>
          <w:rFonts w:ascii="Verdana" w:hAnsi="Verdana" w:cstheme="minorHAnsi"/>
          <w:i/>
          <w:sz w:val="16"/>
          <w:szCs w:val="16"/>
          <w:lang w:val="es-CR"/>
        </w:rPr>
        <w:t>supra,</w:t>
      </w:r>
      <w:r w:rsidRPr="009B7396">
        <w:rPr>
          <w:rFonts w:ascii="Verdana" w:hAnsi="Verdana" w:cstheme="minorHAnsi"/>
          <w:sz w:val="16"/>
          <w:szCs w:val="16"/>
          <w:lang w:val="es-CR"/>
        </w:rPr>
        <w:t xml:space="preserve"> Considerando 9, y </w:t>
      </w:r>
      <w:r w:rsidRPr="008B6CF0">
        <w:rPr>
          <w:rFonts w:ascii="Verdana" w:hAnsi="Verdana" w:cstheme="minorHAnsi"/>
          <w:i/>
          <w:sz w:val="16"/>
          <w:szCs w:val="16"/>
          <w:lang w:val="es-CR"/>
        </w:rPr>
        <w:t>Caso Rosendo Cantú y otra</w:t>
      </w:r>
      <w:r w:rsidRPr="009B7396">
        <w:rPr>
          <w:rFonts w:ascii="Verdana" w:hAnsi="Verdana" w:cstheme="minorHAnsi"/>
          <w:i/>
          <w:sz w:val="16"/>
          <w:szCs w:val="16"/>
          <w:lang w:val="es-CR"/>
        </w:rPr>
        <w:t xml:space="preserve"> </w:t>
      </w:r>
      <w:r w:rsidRPr="009B7396">
        <w:rPr>
          <w:rFonts w:ascii="Verdana" w:hAnsi="Verdana" w:cstheme="minorHAnsi"/>
          <w:sz w:val="16"/>
          <w:szCs w:val="16"/>
          <w:lang w:val="es-CR"/>
        </w:rPr>
        <w:t xml:space="preserve">respecto de México, </w:t>
      </w:r>
      <w:r w:rsidRPr="009B7396">
        <w:rPr>
          <w:rFonts w:ascii="Verdana" w:hAnsi="Verdana" w:cstheme="minorHAnsi"/>
          <w:i/>
          <w:sz w:val="16"/>
          <w:szCs w:val="16"/>
          <w:lang w:val="es-CR"/>
        </w:rPr>
        <w:t>supra</w:t>
      </w:r>
      <w:r w:rsidRPr="009B7396">
        <w:rPr>
          <w:rFonts w:ascii="Verdana" w:hAnsi="Verdana" w:cstheme="minorHAnsi"/>
          <w:sz w:val="16"/>
          <w:szCs w:val="16"/>
          <w:lang w:val="es-CR"/>
        </w:rPr>
        <w:t xml:space="preserve">, Considerando 16. </w:t>
      </w:r>
    </w:p>
  </w:footnote>
  <w:footnote w:id="18">
    <w:p w:rsidR="008B6CF0" w:rsidRPr="009B7396" w:rsidRDefault="008B6CF0" w:rsidP="009B7396">
      <w:pPr>
        <w:pStyle w:val="FootnoteText"/>
        <w:jc w:val="both"/>
        <w:rPr>
          <w:rFonts w:ascii="Verdana" w:hAnsi="Verdana" w:cstheme="minorHAnsi"/>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t xml:space="preserve">Mediante comunicación de 6 de diciembre de 2010, la Comisión Interamericana de Derechos Humanos interpuso solicitud de Medidas Provisionales ante la Corte Interamericana de Derechos Humanos en favor de José Luis Galdámez Álvarez y su núcleo familiar en relación con el Ilustrado Estado de Honduras. </w:t>
      </w:r>
    </w:p>
  </w:footnote>
  <w:footnote w:id="19">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9B7396">
        <w:rPr>
          <w:rFonts w:ascii="Verdana" w:hAnsi="Verdana"/>
          <w:i/>
          <w:sz w:val="16"/>
          <w:szCs w:val="16"/>
          <w:lang w:val="es-CR"/>
        </w:rPr>
        <w:t>Cfr. Asunto José Luis Galdámez Álvarez y Otros</w:t>
      </w:r>
      <w:r>
        <w:rPr>
          <w:rFonts w:ascii="Verdana" w:hAnsi="Verdana"/>
          <w:sz w:val="16"/>
          <w:szCs w:val="16"/>
          <w:lang w:val="es-CR"/>
        </w:rPr>
        <w:t xml:space="preserve"> </w:t>
      </w:r>
      <w:r w:rsidRPr="009B7396">
        <w:rPr>
          <w:rFonts w:ascii="Verdana" w:hAnsi="Verdana"/>
          <w:sz w:val="16"/>
          <w:szCs w:val="16"/>
          <w:lang w:val="es-CR"/>
        </w:rPr>
        <w:t xml:space="preserve">respecto de Honduras. Resolución de 22 de diciembre de 2010, </w:t>
      </w:r>
      <w:r w:rsidRPr="008B6CF0">
        <w:rPr>
          <w:rFonts w:ascii="Verdana" w:hAnsi="Verdana"/>
          <w:i/>
          <w:sz w:val="16"/>
          <w:szCs w:val="16"/>
          <w:lang w:val="es-CR"/>
        </w:rPr>
        <w:t>supra</w:t>
      </w:r>
      <w:r>
        <w:rPr>
          <w:rFonts w:ascii="Verdana" w:hAnsi="Verdana"/>
          <w:sz w:val="16"/>
          <w:szCs w:val="16"/>
          <w:lang w:val="es-CR"/>
        </w:rPr>
        <w:t xml:space="preserve">, </w:t>
      </w:r>
      <w:r w:rsidRPr="009B7396">
        <w:rPr>
          <w:rFonts w:ascii="Verdana" w:hAnsi="Verdana"/>
          <w:sz w:val="16"/>
          <w:szCs w:val="16"/>
          <w:lang w:val="es-CR"/>
        </w:rPr>
        <w:t xml:space="preserve">Considerando 23 y Resolutivo 1; Resolución de la Corte de 22 de febrero de 2011, </w:t>
      </w:r>
      <w:r>
        <w:rPr>
          <w:rFonts w:ascii="Verdana" w:hAnsi="Verdana"/>
          <w:i/>
          <w:sz w:val="16"/>
          <w:szCs w:val="16"/>
          <w:lang w:val="es-CR"/>
        </w:rPr>
        <w:t xml:space="preserve">supra, </w:t>
      </w:r>
      <w:r w:rsidRPr="009B7396">
        <w:rPr>
          <w:rFonts w:ascii="Verdana" w:hAnsi="Verdana"/>
          <w:sz w:val="16"/>
          <w:szCs w:val="16"/>
          <w:lang w:val="es-CR"/>
        </w:rPr>
        <w:t>Considerando 17 y Resolutivo 2, y Resolución de la Corte</w:t>
      </w:r>
      <w:r>
        <w:rPr>
          <w:rFonts w:ascii="Verdana" w:hAnsi="Verdana"/>
          <w:sz w:val="16"/>
          <w:szCs w:val="16"/>
          <w:lang w:val="es-CR"/>
        </w:rPr>
        <w:t xml:space="preserve"> Interamericana de Derechos Humanos</w:t>
      </w:r>
      <w:r w:rsidRPr="009B7396">
        <w:rPr>
          <w:rFonts w:ascii="Verdana" w:hAnsi="Verdana"/>
          <w:sz w:val="16"/>
          <w:szCs w:val="16"/>
          <w:lang w:val="es-CR"/>
        </w:rPr>
        <w:t xml:space="preserve"> de 24 de octubre de 2012, Considerandos 14 y 15 y Resolutivo 2.</w:t>
      </w:r>
    </w:p>
  </w:footnote>
  <w:footnote w:id="20">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sz w:val="16"/>
          <w:szCs w:val="16"/>
        </w:rPr>
        <w:footnoteRef/>
      </w:r>
      <w:r w:rsidRPr="009B7396">
        <w:rPr>
          <w:rFonts w:ascii="Verdana" w:hAnsi="Verdana"/>
          <w:sz w:val="16"/>
          <w:szCs w:val="16"/>
          <w:lang w:val="es-CR"/>
        </w:rPr>
        <w:t xml:space="preserve"> </w:t>
      </w:r>
      <w:r w:rsidRPr="009B7396">
        <w:rPr>
          <w:rFonts w:ascii="Verdana" w:hAnsi="Verdana"/>
          <w:sz w:val="16"/>
          <w:szCs w:val="16"/>
          <w:lang w:val="es-CR"/>
        </w:rPr>
        <w:tab/>
      </w:r>
      <w:r w:rsidRPr="009B7396">
        <w:rPr>
          <w:rFonts w:ascii="Verdana" w:hAnsi="Verdana"/>
          <w:i/>
          <w:sz w:val="16"/>
          <w:szCs w:val="16"/>
          <w:lang w:val="es-CR"/>
        </w:rPr>
        <w:t xml:space="preserve">Cfr. </w:t>
      </w:r>
      <w:r w:rsidRPr="009B7396">
        <w:rPr>
          <w:rFonts w:ascii="Verdana" w:hAnsi="Verdana" w:cstheme="minorHAnsi"/>
          <w:i/>
          <w:iCs/>
          <w:sz w:val="16"/>
          <w:szCs w:val="16"/>
          <w:lang w:val="es-MX"/>
        </w:rPr>
        <w:t xml:space="preserve">Asunto James y otros </w:t>
      </w:r>
      <w:r w:rsidRPr="009B7396">
        <w:rPr>
          <w:rFonts w:ascii="Verdana" w:hAnsi="Verdana" w:cstheme="minorHAnsi"/>
          <w:iCs/>
          <w:sz w:val="16"/>
          <w:szCs w:val="16"/>
          <w:lang w:val="es-MX"/>
        </w:rPr>
        <w:t>respecto de Trinidad y Tobago</w:t>
      </w:r>
      <w:r w:rsidRPr="009B7396">
        <w:rPr>
          <w:rFonts w:ascii="Verdana" w:hAnsi="Verdana" w:cstheme="minorHAnsi"/>
          <w:sz w:val="16"/>
          <w:szCs w:val="16"/>
          <w:lang w:val="es-MX"/>
        </w:rPr>
        <w:t xml:space="preserve">, </w:t>
      </w:r>
      <w:r w:rsidRPr="009B7396">
        <w:rPr>
          <w:rFonts w:ascii="Verdana" w:hAnsi="Verdana" w:cstheme="minorHAnsi"/>
          <w:i/>
          <w:sz w:val="16"/>
          <w:szCs w:val="16"/>
          <w:lang w:val="es-MX"/>
        </w:rPr>
        <w:t>supra</w:t>
      </w:r>
      <w:r w:rsidRPr="009B7396">
        <w:rPr>
          <w:rFonts w:ascii="Verdana" w:hAnsi="Verdana" w:cstheme="minorHAnsi"/>
          <w:sz w:val="16"/>
          <w:szCs w:val="16"/>
          <w:lang w:val="es-MX"/>
        </w:rPr>
        <w:t>, Considerando 6</w:t>
      </w:r>
      <w:r w:rsidRPr="009B7396">
        <w:rPr>
          <w:rFonts w:ascii="Verdana" w:hAnsi="Verdana" w:cstheme="minorHAnsi"/>
          <w:i/>
          <w:iCs/>
          <w:sz w:val="16"/>
          <w:szCs w:val="16"/>
          <w:lang w:val="es-MX"/>
        </w:rPr>
        <w:t xml:space="preserve">, </w:t>
      </w:r>
      <w:r w:rsidRPr="009B7396">
        <w:rPr>
          <w:rFonts w:ascii="Verdana" w:hAnsi="Verdana" w:cstheme="minorHAnsi"/>
          <w:sz w:val="16"/>
          <w:szCs w:val="16"/>
          <w:lang w:val="es-MX"/>
        </w:rPr>
        <w:t xml:space="preserve">y </w:t>
      </w:r>
      <w:r w:rsidRPr="009B7396">
        <w:rPr>
          <w:rFonts w:ascii="Verdana" w:hAnsi="Verdana" w:cstheme="minorHAnsi"/>
          <w:i/>
          <w:iCs/>
          <w:sz w:val="16"/>
          <w:szCs w:val="16"/>
          <w:lang w:val="es-MX"/>
        </w:rPr>
        <w:t xml:space="preserve">Asunto </w:t>
      </w:r>
      <w:r w:rsidRPr="009B7396">
        <w:rPr>
          <w:rFonts w:ascii="Verdana" w:hAnsi="Verdana" w:cstheme="minorHAnsi"/>
          <w:i/>
          <w:sz w:val="16"/>
          <w:szCs w:val="16"/>
          <w:lang w:val="es-MX"/>
        </w:rPr>
        <w:t>Fernández Ortega y otros</w:t>
      </w:r>
      <w:r w:rsidRPr="009B7396">
        <w:rPr>
          <w:rFonts w:ascii="Verdana" w:hAnsi="Verdana" w:cstheme="minorHAnsi"/>
          <w:sz w:val="16"/>
          <w:szCs w:val="16"/>
          <w:lang w:val="es-MX"/>
        </w:rPr>
        <w:t xml:space="preserve"> respecto de México, </w:t>
      </w:r>
      <w:r w:rsidRPr="009B7396">
        <w:rPr>
          <w:rFonts w:ascii="Verdana" w:hAnsi="Verdana" w:cstheme="minorHAnsi"/>
          <w:i/>
          <w:sz w:val="16"/>
          <w:szCs w:val="16"/>
          <w:lang w:val="es-MX"/>
        </w:rPr>
        <w:t>supra</w:t>
      </w:r>
      <w:r w:rsidRPr="009B7396">
        <w:rPr>
          <w:rFonts w:ascii="Verdana" w:hAnsi="Verdana" w:cstheme="minorHAnsi"/>
          <w:sz w:val="16"/>
          <w:szCs w:val="16"/>
          <w:lang w:val="es-MX"/>
        </w:rPr>
        <w:t>, Considerando 2.</w:t>
      </w:r>
      <w:r w:rsidRPr="009B7396">
        <w:rPr>
          <w:rFonts w:ascii="Verdana" w:hAnsi="Verdana"/>
          <w:sz w:val="16"/>
          <w:szCs w:val="16"/>
          <w:lang w:val="es-CR"/>
        </w:rPr>
        <w:t xml:space="preserve">  </w:t>
      </w:r>
    </w:p>
  </w:footnote>
  <w:footnote w:id="21">
    <w:p w:rsidR="008B6CF0" w:rsidRPr="009B7396" w:rsidRDefault="008B6CF0" w:rsidP="009B7396">
      <w:pPr>
        <w:pStyle w:val="NoSpacing"/>
        <w:jc w:val="both"/>
        <w:rPr>
          <w:rFonts w:ascii="Verdana" w:hAnsi="Verdana" w:cstheme="minorHAnsi"/>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8B6CF0">
        <w:rPr>
          <w:rFonts w:ascii="Verdana" w:hAnsi="Verdana" w:cstheme="minorHAnsi"/>
          <w:i/>
          <w:sz w:val="16"/>
          <w:szCs w:val="16"/>
          <w:lang w:val="es-ES"/>
        </w:rPr>
        <w:t>Cfr. Caso Tribunal Constitucional</w:t>
      </w:r>
      <w:r w:rsidRPr="009B7396">
        <w:rPr>
          <w:rFonts w:ascii="Verdana" w:hAnsi="Verdana" w:cstheme="minorHAnsi"/>
          <w:sz w:val="16"/>
          <w:szCs w:val="16"/>
          <w:lang w:val="es-ES"/>
        </w:rPr>
        <w:t xml:space="preserve">. Medidas Provisionales respecto del Perú. Resolución de la Corte de 14 de marzo de 2001, Considerando 4, y </w:t>
      </w:r>
      <w:r w:rsidRPr="009B7396">
        <w:rPr>
          <w:rFonts w:ascii="Verdana" w:hAnsi="Verdana" w:cstheme="minorHAnsi"/>
          <w:i/>
          <w:sz w:val="16"/>
          <w:szCs w:val="16"/>
          <w:lang w:val="es-ES"/>
        </w:rPr>
        <w:t xml:space="preserve">Caso </w:t>
      </w:r>
      <w:proofErr w:type="spellStart"/>
      <w:r w:rsidRPr="009B7396">
        <w:rPr>
          <w:rFonts w:ascii="Verdana" w:hAnsi="Verdana" w:cstheme="minorHAnsi"/>
          <w:i/>
          <w:sz w:val="16"/>
          <w:szCs w:val="16"/>
          <w:lang w:val="es-ES"/>
        </w:rPr>
        <w:t>Bámaca</w:t>
      </w:r>
      <w:proofErr w:type="spellEnd"/>
      <w:r w:rsidRPr="009B7396">
        <w:rPr>
          <w:rFonts w:ascii="Verdana" w:hAnsi="Verdana" w:cstheme="minorHAnsi"/>
          <w:i/>
          <w:sz w:val="16"/>
          <w:szCs w:val="16"/>
          <w:lang w:val="es-ES"/>
        </w:rPr>
        <w:t xml:space="preserve"> Velásquez </w:t>
      </w:r>
      <w:r w:rsidRPr="009B7396">
        <w:rPr>
          <w:rFonts w:ascii="Verdana" w:hAnsi="Verdana" w:cstheme="minorHAnsi"/>
          <w:sz w:val="16"/>
          <w:szCs w:val="16"/>
          <w:lang w:val="es-ES"/>
        </w:rPr>
        <w:t xml:space="preserve">respecto de Guatemala, </w:t>
      </w:r>
      <w:r w:rsidRPr="009B7396">
        <w:rPr>
          <w:rFonts w:ascii="Verdana" w:hAnsi="Verdana" w:cstheme="minorHAnsi"/>
          <w:i/>
          <w:sz w:val="16"/>
          <w:szCs w:val="16"/>
          <w:lang w:val="es-ES"/>
        </w:rPr>
        <w:t xml:space="preserve">supra, </w:t>
      </w:r>
      <w:r w:rsidRPr="009B7396">
        <w:rPr>
          <w:rFonts w:ascii="Verdana" w:hAnsi="Verdana" w:cstheme="minorHAnsi"/>
          <w:sz w:val="16"/>
          <w:szCs w:val="16"/>
          <w:lang w:val="es-ES"/>
        </w:rPr>
        <w:t xml:space="preserve">Considerando 54.  </w:t>
      </w:r>
    </w:p>
  </w:footnote>
  <w:footnote w:id="22">
    <w:p w:rsidR="008B6CF0" w:rsidRPr="009B7396" w:rsidRDefault="008B6CF0" w:rsidP="009B7396">
      <w:pPr>
        <w:pStyle w:val="NoSpacing"/>
        <w:jc w:val="both"/>
        <w:rPr>
          <w:rFonts w:ascii="Verdana" w:hAnsi="Verdana"/>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9B7396">
        <w:rPr>
          <w:rFonts w:ascii="Verdana" w:hAnsi="Verdana"/>
          <w:sz w:val="16"/>
          <w:szCs w:val="16"/>
          <w:lang w:val="es-CR"/>
        </w:rPr>
        <w:t xml:space="preserve"> </w:t>
      </w:r>
      <w:r w:rsidRPr="008B6CF0">
        <w:rPr>
          <w:rFonts w:ascii="Verdana" w:hAnsi="Verdana"/>
          <w:i/>
          <w:sz w:val="16"/>
          <w:szCs w:val="16"/>
          <w:lang w:val="es-ES"/>
        </w:rPr>
        <w:t>Cfr.</w:t>
      </w:r>
      <w:r w:rsidRPr="009B7396">
        <w:rPr>
          <w:rFonts w:ascii="Verdana" w:hAnsi="Verdana"/>
          <w:sz w:val="16"/>
          <w:szCs w:val="16"/>
          <w:lang w:val="es-ES"/>
        </w:rPr>
        <w:t xml:space="preserve"> </w:t>
      </w:r>
      <w:r w:rsidRPr="008B6CF0">
        <w:rPr>
          <w:rFonts w:ascii="Verdana" w:hAnsi="Verdana"/>
          <w:i/>
          <w:sz w:val="16"/>
          <w:szCs w:val="16"/>
          <w:lang w:val="es-ES"/>
        </w:rPr>
        <w:t>Asunto Gallardo Rodríguez. Medidas Provisionales respecto de México</w:t>
      </w:r>
      <w:r w:rsidRPr="009B7396">
        <w:rPr>
          <w:rFonts w:ascii="Verdana" w:hAnsi="Verdana"/>
          <w:sz w:val="16"/>
          <w:szCs w:val="16"/>
          <w:lang w:val="es-ES"/>
        </w:rPr>
        <w:t xml:space="preserve">. Resolución de la Corte de 11 de julio de 2007, Considerando 11, y </w:t>
      </w:r>
      <w:r w:rsidRPr="008B6CF0">
        <w:rPr>
          <w:rFonts w:ascii="Verdana" w:hAnsi="Verdana"/>
          <w:i/>
          <w:sz w:val="16"/>
          <w:szCs w:val="16"/>
          <w:lang w:val="es-ES"/>
        </w:rPr>
        <w:t>Caso Fernández Ortega</w:t>
      </w:r>
      <w:r w:rsidRPr="009B7396">
        <w:rPr>
          <w:rFonts w:ascii="Verdana" w:hAnsi="Verdana"/>
          <w:i/>
          <w:sz w:val="16"/>
          <w:szCs w:val="16"/>
          <w:lang w:val="es-ES"/>
        </w:rPr>
        <w:t xml:space="preserve"> y otros</w:t>
      </w:r>
      <w:r w:rsidRPr="009B7396">
        <w:rPr>
          <w:rFonts w:ascii="Verdana" w:hAnsi="Verdana"/>
          <w:sz w:val="16"/>
          <w:szCs w:val="16"/>
          <w:lang w:val="es-ES"/>
        </w:rPr>
        <w:t xml:space="preserve"> respecto de México, </w:t>
      </w:r>
      <w:r w:rsidRPr="009B7396">
        <w:rPr>
          <w:rFonts w:ascii="Verdana" w:hAnsi="Verdana"/>
          <w:i/>
          <w:sz w:val="16"/>
          <w:szCs w:val="16"/>
          <w:lang w:val="es-ES"/>
        </w:rPr>
        <w:t>supra</w:t>
      </w:r>
      <w:r w:rsidRPr="009B7396">
        <w:rPr>
          <w:rFonts w:ascii="Verdana" w:hAnsi="Verdana"/>
          <w:sz w:val="16"/>
          <w:szCs w:val="16"/>
          <w:lang w:val="es-ES"/>
        </w:rPr>
        <w:t xml:space="preserve">, Considerando 28. </w:t>
      </w:r>
    </w:p>
  </w:footnote>
  <w:footnote w:id="23">
    <w:p w:rsidR="008B6CF0" w:rsidRPr="009B7396" w:rsidRDefault="008B6CF0" w:rsidP="009B7396">
      <w:pPr>
        <w:pStyle w:val="FootnoteText"/>
        <w:jc w:val="both"/>
        <w:rPr>
          <w:rFonts w:ascii="Verdana" w:hAnsi="Verdana"/>
          <w:sz w:val="16"/>
          <w:szCs w:val="16"/>
          <w:lang w:val="es-CR"/>
        </w:rPr>
      </w:pPr>
      <w:r w:rsidRPr="009B7396">
        <w:rPr>
          <w:rStyle w:val="FootnoteReference"/>
          <w:rFonts w:ascii="Verdana" w:hAnsi="Verdana" w:cstheme="minorHAnsi"/>
          <w:sz w:val="16"/>
          <w:szCs w:val="16"/>
        </w:rPr>
        <w:footnoteRef/>
      </w:r>
      <w:r w:rsidRPr="009B7396">
        <w:rPr>
          <w:rFonts w:ascii="Verdana" w:hAnsi="Verdana" w:cstheme="minorHAnsi"/>
          <w:sz w:val="16"/>
          <w:szCs w:val="16"/>
          <w:lang w:val="es-CR"/>
        </w:rPr>
        <w:t xml:space="preserve"> </w:t>
      </w:r>
      <w:r w:rsidRPr="009B7396">
        <w:rPr>
          <w:rFonts w:ascii="Verdana" w:hAnsi="Verdana" w:cstheme="minorHAnsi"/>
          <w:sz w:val="16"/>
          <w:szCs w:val="16"/>
          <w:lang w:val="es-CR"/>
        </w:rPr>
        <w:tab/>
      </w:r>
      <w:r w:rsidRPr="009B7396">
        <w:rPr>
          <w:rFonts w:ascii="Verdana" w:hAnsi="Verdana" w:cstheme="minorHAnsi"/>
          <w:i/>
          <w:sz w:val="16"/>
          <w:szCs w:val="16"/>
          <w:lang w:val="es-CR"/>
        </w:rPr>
        <w:t>Cfr. Caso Velásquez Rodríguez</w:t>
      </w:r>
      <w:r w:rsidRPr="009B7396">
        <w:rPr>
          <w:rFonts w:ascii="Verdana" w:hAnsi="Verdana" w:cstheme="minorHAnsi"/>
          <w:sz w:val="16"/>
          <w:szCs w:val="16"/>
          <w:lang w:val="es-CR"/>
        </w:rPr>
        <w:t xml:space="preserve">. Medidas Provisionales respecto de Honduras. Resolución de la Corte de 15 de enero de 198, Considerando 3, y </w:t>
      </w:r>
      <w:r w:rsidRPr="008B6CF0">
        <w:rPr>
          <w:rFonts w:ascii="Verdana" w:hAnsi="Verdana" w:cstheme="minorHAnsi"/>
          <w:i/>
          <w:sz w:val="16"/>
          <w:szCs w:val="16"/>
          <w:lang w:val="es-CR"/>
        </w:rPr>
        <w:t xml:space="preserve">Asunto Pobladores de las Comunidades del Pueblo Indígena </w:t>
      </w:r>
      <w:proofErr w:type="spellStart"/>
      <w:r w:rsidRPr="008B6CF0">
        <w:rPr>
          <w:rFonts w:ascii="Verdana" w:hAnsi="Verdana" w:cstheme="minorHAnsi"/>
          <w:i/>
          <w:sz w:val="16"/>
          <w:szCs w:val="16"/>
          <w:lang w:val="es-CR"/>
        </w:rPr>
        <w:t>Miskitu</w:t>
      </w:r>
      <w:proofErr w:type="spellEnd"/>
      <w:r w:rsidRPr="008B6CF0">
        <w:rPr>
          <w:rFonts w:ascii="Verdana" w:hAnsi="Verdana" w:cstheme="minorHAnsi"/>
          <w:i/>
          <w:sz w:val="16"/>
          <w:szCs w:val="16"/>
          <w:lang w:val="es-CR"/>
        </w:rPr>
        <w:t xml:space="preserve"> de la Región Cosa Caribe Norte</w:t>
      </w:r>
      <w:r w:rsidRPr="009B7396">
        <w:rPr>
          <w:rFonts w:ascii="Verdana" w:hAnsi="Verdana" w:cstheme="minorHAnsi"/>
          <w:i/>
          <w:sz w:val="16"/>
          <w:szCs w:val="16"/>
          <w:lang w:val="es-CR"/>
        </w:rPr>
        <w:t xml:space="preserve"> </w:t>
      </w:r>
      <w:r w:rsidRPr="009B7396">
        <w:rPr>
          <w:rFonts w:ascii="Verdana" w:hAnsi="Verdana" w:cstheme="minorHAnsi"/>
          <w:sz w:val="16"/>
          <w:szCs w:val="16"/>
          <w:lang w:val="es-CR"/>
        </w:rPr>
        <w:t xml:space="preserve">respecto de Nicaragua. Resolución de 4 de noviembre de 2016, </w:t>
      </w:r>
      <w:r w:rsidRPr="008B6CF0">
        <w:rPr>
          <w:rFonts w:ascii="Verdana" w:hAnsi="Verdana" w:cstheme="minorHAnsi"/>
          <w:i/>
          <w:sz w:val="16"/>
          <w:szCs w:val="16"/>
          <w:lang w:val="es-CR"/>
        </w:rPr>
        <w:t>supra</w:t>
      </w:r>
      <w:r w:rsidRPr="009B7396">
        <w:rPr>
          <w:rFonts w:ascii="Verdana" w:hAnsi="Verdana" w:cstheme="minorHAnsi"/>
          <w:sz w:val="16"/>
          <w:szCs w:val="16"/>
          <w:lang w:val="es-CR"/>
        </w:rPr>
        <w:t xml:space="preserve">, Considerando 4. </w:t>
      </w:r>
    </w:p>
  </w:footnote>
  <w:footnote w:id="24">
    <w:p w:rsidR="008B6CF0" w:rsidRPr="002B757F" w:rsidRDefault="008B6CF0" w:rsidP="009B7396">
      <w:pPr>
        <w:pStyle w:val="FootnoteText"/>
        <w:jc w:val="both"/>
        <w:rPr>
          <w:rFonts w:ascii="Verdana" w:hAnsi="Verdana" w:cstheme="minorHAnsi"/>
          <w:bCs/>
          <w:color w:val="000000"/>
          <w:sz w:val="16"/>
          <w:szCs w:val="16"/>
          <w:lang w:val="es-ES"/>
        </w:rPr>
      </w:pPr>
      <w:r w:rsidRPr="009B7396">
        <w:rPr>
          <w:rStyle w:val="FootnoteReference"/>
          <w:rFonts w:ascii="Verdana" w:hAnsi="Verdana" w:cstheme="minorHAnsi"/>
          <w:sz w:val="16"/>
          <w:szCs w:val="16"/>
          <w:lang w:val="es-ES"/>
        </w:rPr>
        <w:footnoteRef/>
      </w:r>
      <w:r w:rsidRPr="009B7396">
        <w:rPr>
          <w:rFonts w:ascii="Verdana" w:hAnsi="Verdana" w:cstheme="minorHAnsi"/>
          <w:sz w:val="16"/>
          <w:szCs w:val="16"/>
          <w:lang w:val="es-ES"/>
        </w:rPr>
        <w:t xml:space="preserve"> </w:t>
      </w:r>
      <w:r w:rsidRPr="009B7396">
        <w:rPr>
          <w:rFonts w:ascii="Verdana" w:hAnsi="Verdana" w:cstheme="minorHAnsi"/>
          <w:sz w:val="16"/>
          <w:szCs w:val="16"/>
          <w:lang w:val="es-ES"/>
        </w:rPr>
        <w:tab/>
      </w:r>
      <w:r w:rsidRPr="009B7396">
        <w:rPr>
          <w:rFonts w:ascii="Verdana" w:hAnsi="Verdana" w:cstheme="minorHAnsi"/>
          <w:i/>
          <w:sz w:val="16"/>
          <w:szCs w:val="16"/>
          <w:lang w:val="es-ES"/>
        </w:rPr>
        <w:t xml:space="preserve">Cfr. Caso Velásquez Rodríguez </w:t>
      </w:r>
      <w:r w:rsidRPr="009B7396">
        <w:rPr>
          <w:rFonts w:ascii="Verdana" w:hAnsi="Verdana" w:cstheme="minorHAnsi"/>
          <w:sz w:val="16"/>
          <w:szCs w:val="16"/>
          <w:lang w:val="es-ES"/>
        </w:rPr>
        <w:t>respecto de Honduras</w:t>
      </w:r>
      <w:r w:rsidRPr="009B7396">
        <w:rPr>
          <w:rFonts w:ascii="Verdana" w:hAnsi="Verdana" w:cstheme="minorHAnsi"/>
          <w:i/>
          <w:sz w:val="16"/>
          <w:szCs w:val="16"/>
          <w:lang w:val="es-ES"/>
        </w:rPr>
        <w:t xml:space="preserve">, </w:t>
      </w:r>
      <w:r w:rsidRPr="009B7396">
        <w:rPr>
          <w:rFonts w:ascii="Verdana" w:hAnsi="Verdana" w:cstheme="minorHAnsi"/>
          <w:i/>
          <w:sz w:val="16"/>
          <w:szCs w:val="16"/>
          <w:lang w:val="es-CR"/>
        </w:rPr>
        <w:t>supra</w:t>
      </w:r>
      <w:r w:rsidRPr="008B6CF0">
        <w:rPr>
          <w:rFonts w:ascii="Verdana" w:hAnsi="Verdana" w:cstheme="minorHAnsi"/>
          <w:sz w:val="16"/>
          <w:szCs w:val="16"/>
          <w:lang w:val="es-CR"/>
        </w:rPr>
        <w:t xml:space="preserve">, </w:t>
      </w:r>
      <w:r w:rsidRPr="008B6CF0">
        <w:rPr>
          <w:rFonts w:ascii="Verdana" w:hAnsi="Verdana" w:cstheme="minorHAnsi"/>
          <w:sz w:val="16"/>
          <w:szCs w:val="16"/>
          <w:lang w:val="es-ES"/>
        </w:rPr>
        <w:t>Considerando 3, y</w:t>
      </w:r>
      <w:r w:rsidRPr="008B6CF0">
        <w:rPr>
          <w:rFonts w:ascii="Verdana" w:hAnsi="Verdana" w:cstheme="minorHAnsi"/>
          <w:i/>
          <w:sz w:val="16"/>
          <w:szCs w:val="16"/>
          <w:lang w:val="es-CR"/>
        </w:rPr>
        <w:t xml:space="preserve"> Asunto</w:t>
      </w:r>
      <w:r w:rsidRPr="009B7396">
        <w:rPr>
          <w:rFonts w:ascii="Verdana" w:hAnsi="Verdana" w:cstheme="minorHAnsi"/>
          <w:i/>
          <w:sz w:val="16"/>
          <w:szCs w:val="16"/>
          <w:lang w:val="es-CR"/>
        </w:rPr>
        <w:t xml:space="preserve"> del Complejo Penitenciario de Curado. </w:t>
      </w:r>
      <w:r w:rsidRPr="009B7396">
        <w:rPr>
          <w:rFonts w:ascii="Verdana" w:hAnsi="Verdana" w:cstheme="minorHAnsi"/>
          <w:sz w:val="16"/>
          <w:szCs w:val="16"/>
          <w:lang w:val="es-CR"/>
        </w:rPr>
        <w:t>Medidas Provisionales respecto de Brasil. Resolución de la Corte Interamericana de Derechos Humanos de 23 de noviembre de 2016, Considerando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386166"/>
      <w:docPartObj>
        <w:docPartGallery w:val="Page Numbers (Top of Page)"/>
        <w:docPartUnique/>
      </w:docPartObj>
    </w:sdtPr>
    <w:sdtEndPr>
      <w:rPr>
        <w:rFonts w:ascii="Verdana" w:hAnsi="Verdana"/>
        <w:sz w:val="20"/>
        <w:szCs w:val="20"/>
      </w:rPr>
    </w:sdtEndPr>
    <w:sdtContent>
      <w:p w:rsidR="008B6CF0" w:rsidRPr="00A53A15" w:rsidRDefault="008B6CF0">
        <w:pPr>
          <w:pStyle w:val="Header"/>
          <w:jc w:val="center"/>
          <w:rPr>
            <w:rFonts w:ascii="Verdana" w:hAnsi="Verdana"/>
            <w:sz w:val="20"/>
            <w:szCs w:val="20"/>
          </w:rPr>
        </w:pPr>
        <w:r w:rsidRPr="00A53A15">
          <w:rPr>
            <w:rFonts w:ascii="Verdana" w:hAnsi="Verdana"/>
            <w:sz w:val="20"/>
            <w:szCs w:val="20"/>
          </w:rPr>
          <w:fldChar w:fldCharType="begin"/>
        </w:r>
        <w:r w:rsidRPr="00A53A15">
          <w:rPr>
            <w:rFonts w:ascii="Verdana" w:hAnsi="Verdana"/>
            <w:sz w:val="20"/>
            <w:szCs w:val="20"/>
          </w:rPr>
          <w:instrText>PAGE   \* MERGEFORMAT</w:instrText>
        </w:r>
        <w:r w:rsidRPr="00A53A15">
          <w:rPr>
            <w:rFonts w:ascii="Verdana" w:hAnsi="Verdana"/>
            <w:sz w:val="20"/>
            <w:szCs w:val="20"/>
          </w:rPr>
          <w:fldChar w:fldCharType="separate"/>
        </w:r>
        <w:r w:rsidR="002905E2">
          <w:rPr>
            <w:rFonts w:ascii="Verdana" w:hAnsi="Verdana"/>
            <w:noProof/>
            <w:sz w:val="20"/>
            <w:szCs w:val="20"/>
          </w:rPr>
          <w:t>10</w:t>
        </w:r>
        <w:r w:rsidRPr="00A53A15">
          <w:rPr>
            <w:rFonts w:ascii="Verdana" w:hAnsi="Verdana"/>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9C4"/>
    <w:multiLevelType w:val="hybridMultilevel"/>
    <w:tmpl w:val="1DC6899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7B0265"/>
    <w:multiLevelType w:val="hybridMultilevel"/>
    <w:tmpl w:val="7AFC9A76"/>
    <w:lvl w:ilvl="0" w:tplc="B5DA01E2">
      <w:start w:val="4"/>
      <w:numFmt w:val="decimal"/>
      <w:lvlText w:val="%1."/>
      <w:lvlJc w:val="left"/>
      <w:pPr>
        <w:ind w:left="1350" w:hanging="360"/>
      </w:pPr>
      <w:rPr>
        <w:rFonts w:cstheme="minorBidi"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nsid w:val="325407FA"/>
    <w:multiLevelType w:val="hybridMultilevel"/>
    <w:tmpl w:val="B2F4C8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
      <w:lvlJc w:val="right"/>
      <w:pPr>
        <w:ind w:left="6120" w:hanging="180"/>
      </w:pPr>
    </w:lvl>
  </w:abstractNum>
  <w:abstractNum w:abstractNumId="3">
    <w:nsid w:val="3968151B"/>
    <w:multiLevelType w:val="hybridMultilevel"/>
    <w:tmpl w:val="315AC2B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330D42"/>
    <w:multiLevelType w:val="hybridMultilevel"/>
    <w:tmpl w:val="60D661F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5547A2D"/>
    <w:multiLevelType w:val="hybridMultilevel"/>
    <w:tmpl w:val="0EC87ABE"/>
    <w:lvl w:ilvl="0" w:tplc="E4E22EA0">
      <w:start w:val="1"/>
      <w:numFmt w:val="decimal"/>
      <w:lvlText w:val="%1."/>
      <w:lvlJc w:val="left"/>
      <w:pPr>
        <w:ind w:left="360" w:hanging="360"/>
      </w:pPr>
    </w:lvl>
    <w:lvl w:ilvl="1" w:tplc="080A0019">
      <w:start w:val="1"/>
      <w:numFmt w:val="lowerLetter"/>
      <w:lvlText w:val="%2."/>
      <w:lvlJc w:val="left"/>
      <w:pPr>
        <w:ind w:left="720" w:hanging="360"/>
      </w:pPr>
    </w:lvl>
    <w:lvl w:ilvl="2" w:tplc="080A001B">
      <w:start w:val="1"/>
      <w:numFmt w:val="lowerRoman"/>
      <w:lvlText w:val="%3."/>
      <w:lvlJc w:val="right"/>
      <w:pPr>
        <w:ind w:left="1440" w:hanging="180"/>
      </w:pPr>
    </w:lvl>
    <w:lvl w:ilvl="3" w:tplc="080A000F">
      <w:start w:val="1"/>
      <w:numFmt w:val="decimal"/>
      <w:lvlText w:val="%4."/>
      <w:lvlJc w:val="left"/>
      <w:pPr>
        <w:ind w:left="2160" w:hanging="360"/>
      </w:pPr>
    </w:lvl>
    <w:lvl w:ilvl="4" w:tplc="080A0019">
      <w:start w:val="1"/>
      <w:numFmt w:val="lowerLetter"/>
      <w:lvlText w:val="%5."/>
      <w:lvlJc w:val="left"/>
      <w:pPr>
        <w:ind w:left="2880" w:hanging="360"/>
      </w:pPr>
    </w:lvl>
    <w:lvl w:ilvl="5" w:tplc="080A001B">
      <w:start w:val="1"/>
      <w:numFmt w:val="lowerRoman"/>
      <w:lvlText w:val="%6."/>
      <w:lvlJc w:val="right"/>
      <w:pPr>
        <w:ind w:left="3600" w:hanging="180"/>
      </w:pPr>
    </w:lvl>
    <w:lvl w:ilvl="6" w:tplc="080A000F">
      <w:start w:val="1"/>
      <w:numFmt w:val="decimal"/>
      <w:lvlText w:val="%7."/>
      <w:lvlJc w:val="left"/>
      <w:pPr>
        <w:ind w:left="4320" w:hanging="360"/>
      </w:pPr>
    </w:lvl>
    <w:lvl w:ilvl="7" w:tplc="080A0019">
      <w:start w:val="1"/>
      <w:numFmt w:val="lowerLetter"/>
      <w:lvlText w:val="%8."/>
      <w:lvlJc w:val="left"/>
      <w:pPr>
        <w:ind w:left="5040" w:hanging="360"/>
      </w:pPr>
    </w:lvl>
    <w:lvl w:ilvl="8" w:tplc="080A001B">
      <w:start w:val="1"/>
      <w:numFmt w:val="lowerRoman"/>
      <w:lvlText w:val="%9."/>
      <w:lvlJc w:val="right"/>
      <w:pPr>
        <w:ind w:left="5760" w:hanging="180"/>
      </w:pPr>
    </w:lvl>
  </w:abstractNum>
  <w:abstractNum w:abstractNumId="6">
    <w:nsid w:val="5B936DAF"/>
    <w:multiLevelType w:val="hybridMultilevel"/>
    <w:tmpl w:val="FC3297E4"/>
    <w:lvl w:ilvl="0" w:tplc="9B1E4E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74"/>
    <w:rsid w:val="00017816"/>
    <w:rsid w:val="000246C4"/>
    <w:rsid w:val="0004744C"/>
    <w:rsid w:val="00054D79"/>
    <w:rsid w:val="000636A4"/>
    <w:rsid w:val="00071122"/>
    <w:rsid w:val="00071D13"/>
    <w:rsid w:val="000B39C1"/>
    <w:rsid w:val="000D4128"/>
    <w:rsid w:val="000D5F87"/>
    <w:rsid w:val="00100FA1"/>
    <w:rsid w:val="00125431"/>
    <w:rsid w:val="00125A5C"/>
    <w:rsid w:val="00136A5B"/>
    <w:rsid w:val="0017455C"/>
    <w:rsid w:val="001769C2"/>
    <w:rsid w:val="001804A0"/>
    <w:rsid w:val="00183D20"/>
    <w:rsid w:val="001A0174"/>
    <w:rsid w:val="001A1FF1"/>
    <w:rsid w:val="001A6A12"/>
    <w:rsid w:val="001C7051"/>
    <w:rsid w:val="001C7059"/>
    <w:rsid w:val="001E5E11"/>
    <w:rsid w:val="001E790A"/>
    <w:rsid w:val="001E7AD8"/>
    <w:rsid w:val="00211EF7"/>
    <w:rsid w:val="002207EA"/>
    <w:rsid w:val="00250662"/>
    <w:rsid w:val="00255C86"/>
    <w:rsid w:val="00264336"/>
    <w:rsid w:val="00271731"/>
    <w:rsid w:val="00272BC5"/>
    <w:rsid w:val="002756E2"/>
    <w:rsid w:val="00281AF4"/>
    <w:rsid w:val="0028306E"/>
    <w:rsid w:val="00285F85"/>
    <w:rsid w:val="002900CB"/>
    <w:rsid w:val="002905E2"/>
    <w:rsid w:val="00297FCC"/>
    <w:rsid w:val="002A11D9"/>
    <w:rsid w:val="002A26D4"/>
    <w:rsid w:val="002A2C3A"/>
    <w:rsid w:val="002A5366"/>
    <w:rsid w:val="002A5E82"/>
    <w:rsid w:val="002B757F"/>
    <w:rsid w:val="002D2221"/>
    <w:rsid w:val="002D7535"/>
    <w:rsid w:val="002E4AE5"/>
    <w:rsid w:val="002F2978"/>
    <w:rsid w:val="003015B7"/>
    <w:rsid w:val="00304678"/>
    <w:rsid w:val="003216E2"/>
    <w:rsid w:val="00323E8D"/>
    <w:rsid w:val="003438D1"/>
    <w:rsid w:val="00345928"/>
    <w:rsid w:val="0035332A"/>
    <w:rsid w:val="00357B91"/>
    <w:rsid w:val="00357FC7"/>
    <w:rsid w:val="00373D82"/>
    <w:rsid w:val="003876F6"/>
    <w:rsid w:val="003A5B99"/>
    <w:rsid w:val="003B77AF"/>
    <w:rsid w:val="003C5103"/>
    <w:rsid w:val="003D46A9"/>
    <w:rsid w:val="003E7BD2"/>
    <w:rsid w:val="00405110"/>
    <w:rsid w:val="004060D0"/>
    <w:rsid w:val="00420B48"/>
    <w:rsid w:val="0042561D"/>
    <w:rsid w:val="004A70AE"/>
    <w:rsid w:val="004C09CF"/>
    <w:rsid w:val="004D1660"/>
    <w:rsid w:val="004E4833"/>
    <w:rsid w:val="0050024D"/>
    <w:rsid w:val="00516C00"/>
    <w:rsid w:val="00520099"/>
    <w:rsid w:val="00521166"/>
    <w:rsid w:val="00526D28"/>
    <w:rsid w:val="00540247"/>
    <w:rsid w:val="00550F1A"/>
    <w:rsid w:val="00557B43"/>
    <w:rsid w:val="005845FE"/>
    <w:rsid w:val="00597373"/>
    <w:rsid w:val="005A632D"/>
    <w:rsid w:val="005B60E9"/>
    <w:rsid w:val="005D08E9"/>
    <w:rsid w:val="005D5DE3"/>
    <w:rsid w:val="005D7D9F"/>
    <w:rsid w:val="00601A50"/>
    <w:rsid w:val="00627D0D"/>
    <w:rsid w:val="00641913"/>
    <w:rsid w:val="00647B35"/>
    <w:rsid w:val="00664304"/>
    <w:rsid w:val="0066464D"/>
    <w:rsid w:val="006857FF"/>
    <w:rsid w:val="006862EE"/>
    <w:rsid w:val="00686F47"/>
    <w:rsid w:val="00696D2F"/>
    <w:rsid w:val="006A66DC"/>
    <w:rsid w:val="006B1906"/>
    <w:rsid w:val="006C26C5"/>
    <w:rsid w:val="00704BF5"/>
    <w:rsid w:val="00707AB5"/>
    <w:rsid w:val="00717AD9"/>
    <w:rsid w:val="00725149"/>
    <w:rsid w:val="00730CA8"/>
    <w:rsid w:val="00737986"/>
    <w:rsid w:val="007468D0"/>
    <w:rsid w:val="007518B1"/>
    <w:rsid w:val="00771D3E"/>
    <w:rsid w:val="00775C21"/>
    <w:rsid w:val="007805A5"/>
    <w:rsid w:val="00793F69"/>
    <w:rsid w:val="007A49E2"/>
    <w:rsid w:val="007C0608"/>
    <w:rsid w:val="007C125F"/>
    <w:rsid w:val="007C1F80"/>
    <w:rsid w:val="007E03E6"/>
    <w:rsid w:val="007E2B2E"/>
    <w:rsid w:val="007F216C"/>
    <w:rsid w:val="007F64F4"/>
    <w:rsid w:val="008077DB"/>
    <w:rsid w:val="00814FCC"/>
    <w:rsid w:val="00833B35"/>
    <w:rsid w:val="0084196A"/>
    <w:rsid w:val="00843298"/>
    <w:rsid w:val="00843B7F"/>
    <w:rsid w:val="00854550"/>
    <w:rsid w:val="008608AA"/>
    <w:rsid w:val="008B128A"/>
    <w:rsid w:val="008B5B82"/>
    <w:rsid w:val="008B6CF0"/>
    <w:rsid w:val="008C238E"/>
    <w:rsid w:val="008D467F"/>
    <w:rsid w:val="008E4168"/>
    <w:rsid w:val="008E5599"/>
    <w:rsid w:val="008F7245"/>
    <w:rsid w:val="009146A9"/>
    <w:rsid w:val="00926462"/>
    <w:rsid w:val="0094216B"/>
    <w:rsid w:val="009555F0"/>
    <w:rsid w:val="00956F78"/>
    <w:rsid w:val="009755CA"/>
    <w:rsid w:val="009B1EC7"/>
    <w:rsid w:val="009B4D40"/>
    <w:rsid w:val="009B7396"/>
    <w:rsid w:val="009D0F78"/>
    <w:rsid w:val="009D244C"/>
    <w:rsid w:val="009D688D"/>
    <w:rsid w:val="009F2874"/>
    <w:rsid w:val="00A026B5"/>
    <w:rsid w:val="00A203DA"/>
    <w:rsid w:val="00A46773"/>
    <w:rsid w:val="00A53A15"/>
    <w:rsid w:val="00A64690"/>
    <w:rsid w:val="00A66B62"/>
    <w:rsid w:val="00A826A8"/>
    <w:rsid w:val="00AB4CFD"/>
    <w:rsid w:val="00AB67F8"/>
    <w:rsid w:val="00AD14A9"/>
    <w:rsid w:val="00AE0A46"/>
    <w:rsid w:val="00AF57B5"/>
    <w:rsid w:val="00B10869"/>
    <w:rsid w:val="00B2353B"/>
    <w:rsid w:val="00B36A33"/>
    <w:rsid w:val="00B37E7D"/>
    <w:rsid w:val="00B44DB8"/>
    <w:rsid w:val="00B66AD2"/>
    <w:rsid w:val="00B73089"/>
    <w:rsid w:val="00BC3B27"/>
    <w:rsid w:val="00BC7001"/>
    <w:rsid w:val="00BD5EB4"/>
    <w:rsid w:val="00BE718B"/>
    <w:rsid w:val="00BF67C1"/>
    <w:rsid w:val="00C27632"/>
    <w:rsid w:val="00C46D3A"/>
    <w:rsid w:val="00C90373"/>
    <w:rsid w:val="00C93956"/>
    <w:rsid w:val="00C978BF"/>
    <w:rsid w:val="00CC06E8"/>
    <w:rsid w:val="00CC5652"/>
    <w:rsid w:val="00CD03AE"/>
    <w:rsid w:val="00CF598D"/>
    <w:rsid w:val="00D02E6F"/>
    <w:rsid w:val="00D16531"/>
    <w:rsid w:val="00D17A8C"/>
    <w:rsid w:val="00D351B7"/>
    <w:rsid w:val="00D8380E"/>
    <w:rsid w:val="00DA02F9"/>
    <w:rsid w:val="00DB7EB6"/>
    <w:rsid w:val="00DE3966"/>
    <w:rsid w:val="00DF243A"/>
    <w:rsid w:val="00DF2481"/>
    <w:rsid w:val="00DF6F2D"/>
    <w:rsid w:val="00E01702"/>
    <w:rsid w:val="00E055A3"/>
    <w:rsid w:val="00E11910"/>
    <w:rsid w:val="00E42E0B"/>
    <w:rsid w:val="00E435A0"/>
    <w:rsid w:val="00E4379C"/>
    <w:rsid w:val="00E92E5E"/>
    <w:rsid w:val="00EA0D4D"/>
    <w:rsid w:val="00EA16DD"/>
    <w:rsid w:val="00EB2AC6"/>
    <w:rsid w:val="00EC1013"/>
    <w:rsid w:val="00EC739D"/>
    <w:rsid w:val="00EF1ED0"/>
    <w:rsid w:val="00EF2095"/>
    <w:rsid w:val="00EF2F94"/>
    <w:rsid w:val="00F025FD"/>
    <w:rsid w:val="00F30A13"/>
    <w:rsid w:val="00F414F4"/>
    <w:rsid w:val="00F46F27"/>
    <w:rsid w:val="00F6032C"/>
    <w:rsid w:val="00F60764"/>
    <w:rsid w:val="00F64DE8"/>
    <w:rsid w:val="00F70068"/>
    <w:rsid w:val="00F7045F"/>
    <w:rsid w:val="00F72CC6"/>
    <w:rsid w:val="00FA727E"/>
    <w:rsid w:val="00FB1C79"/>
    <w:rsid w:val="00FC4FEF"/>
    <w:rsid w:val="00FD24C2"/>
    <w:rsid w:val="00FE5DA2"/>
    <w:rsid w:val="00FE76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uiPriority w:val="34"/>
    <w:qFormat/>
    <w:rsid w:val="009F2874"/>
    <w:pPr>
      <w:ind w:left="720"/>
      <w:contextualSpacing/>
    </w:pPr>
  </w:style>
  <w:style w:type="paragraph" w:styleId="NoSpacing">
    <w:name w:val="No Spacing"/>
    <w:uiPriority w:val="1"/>
    <w:qFormat/>
    <w:rsid w:val="009F2874"/>
    <w:pPr>
      <w:spacing w:after="0" w:line="240" w:lineRule="auto"/>
    </w:pPr>
    <w:rPr>
      <w:rFonts w:asciiTheme="minorHAnsi" w:hAnsiTheme="minorHAnsi"/>
      <w:sz w:val="22"/>
      <w:lang w:val="en-US"/>
    </w:rPr>
  </w:style>
  <w:style w:type="paragraph" w:styleId="FootnoteText">
    <w:name w:val="footnote text"/>
    <w:aliases w:val="Footnote reference,FA Fu,Footnote Text Char Char Char Char Char,Footnote Text Char Char Char Char,Footnote Text Char Char Char,Footnote Text Cha,FA Fußnotentext,Footnote Text Char Char,FA Fu Car,Ca,Texto nota pie Car1,C,FA Fuﬂnotentext"/>
    <w:basedOn w:val="Normal"/>
    <w:link w:val="FootnoteTextChar"/>
    <w:uiPriority w:val="99"/>
    <w:unhideWhenUsed/>
    <w:qFormat/>
    <w:rsid w:val="00125431"/>
    <w:pPr>
      <w:spacing w:after="0" w:line="240" w:lineRule="auto"/>
    </w:pPr>
    <w:rPr>
      <w:rFonts w:asciiTheme="minorHAnsi" w:hAnsiTheme="minorHAnsi"/>
      <w:sz w:val="20"/>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ootnote Text Char Char Char1,C Char"/>
    <w:basedOn w:val="DefaultParagraphFont"/>
    <w:link w:val="FootnoteText"/>
    <w:uiPriority w:val="99"/>
    <w:rsid w:val="00125431"/>
    <w:rPr>
      <w:rFonts w:asciiTheme="minorHAnsi" w:hAnsiTheme="minorHAnsi"/>
      <w:sz w:val="20"/>
      <w:szCs w:val="20"/>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semiHidden/>
    <w:unhideWhenUsed/>
    <w:qFormat/>
    <w:rsid w:val="00125431"/>
    <w:rPr>
      <w:vertAlign w:val="superscript"/>
    </w:rPr>
  </w:style>
  <w:style w:type="character" w:styleId="Strong">
    <w:name w:val="Strong"/>
    <w:basedOn w:val="DefaultParagraphFont"/>
    <w:uiPriority w:val="22"/>
    <w:qFormat/>
    <w:rsid w:val="009D244C"/>
    <w:rPr>
      <w:b/>
      <w:bCs/>
    </w:rPr>
  </w:style>
  <w:style w:type="paragraph" w:styleId="Header">
    <w:name w:val="header"/>
    <w:basedOn w:val="Normal"/>
    <w:link w:val="HeaderChar"/>
    <w:uiPriority w:val="99"/>
    <w:unhideWhenUsed/>
    <w:rsid w:val="00A53A1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53A15"/>
  </w:style>
  <w:style w:type="paragraph" w:styleId="Footer">
    <w:name w:val="footer"/>
    <w:basedOn w:val="Normal"/>
    <w:link w:val="FooterChar"/>
    <w:uiPriority w:val="99"/>
    <w:unhideWhenUsed/>
    <w:rsid w:val="00A53A1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53A15"/>
  </w:style>
  <w:style w:type="paragraph" w:styleId="BalloonText">
    <w:name w:val="Balloon Text"/>
    <w:basedOn w:val="Normal"/>
    <w:link w:val="BalloonTextChar"/>
    <w:uiPriority w:val="99"/>
    <w:semiHidden/>
    <w:unhideWhenUsed/>
    <w:rsid w:val="00A53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15"/>
    <w:rPr>
      <w:rFonts w:ascii="Tahoma" w:hAnsi="Tahoma" w:cs="Tahoma"/>
      <w:sz w:val="16"/>
      <w:szCs w:val="16"/>
    </w:rPr>
  </w:style>
  <w:style w:type="paragraph" w:styleId="Revision">
    <w:name w:val="Revision"/>
    <w:hidden/>
    <w:uiPriority w:val="99"/>
    <w:semiHidden/>
    <w:rsid w:val="00F64DE8"/>
    <w:pPr>
      <w:spacing w:after="0" w:line="240" w:lineRule="auto"/>
    </w:pPr>
  </w:style>
  <w:style w:type="character" w:styleId="CommentReference">
    <w:name w:val="annotation reference"/>
    <w:basedOn w:val="DefaultParagraphFont"/>
    <w:uiPriority w:val="99"/>
    <w:semiHidden/>
    <w:unhideWhenUsed/>
    <w:rsid w:val="00725149"/>
    <w:rPr>
      <w:sz w:val="16"/>
      <w:szCs w:val="16"/>
    </w:rPr>
  </w:style>
  <w:style w:type="paragraph" w:styleId="CommentText">
    <w:name w:val="annotation text"/>
    <w:basedOn w:val="Normal"/>
    <w:link w:val="CommentTextChar"/>
    <w:uiPriority w:val="99"/>
    <w:semiHidden/>
    <w:unhideWhenUsed/>
    <w:rsid w:val="00725149"/>
    <w:pPr>
      <w:spacing w:line="240" w:lineRule="auto"/>
    </w:pPr>
    <w:rPr>
      <w:sz w:val="20"/>
      <w:szCs w:val="20"/>
    </w:rPr>
  </w:style>
  <w:style w:type="character" w:customStyle="1" w:styleId="CommentTextChar">
    <w:name w:val="Comment Text Char"/>
    <w:basedOn w:val="DefaultParagraphFont"/>
    <w:link w:val="CommentText"/>
    <w:uiPriority w:val="99"/>
    <w:semiHidden/>
    <w:rsid w:val="00725149"/>
    <w:rPr>
      <w:sz w:val="20"/>
      <w:szCs w:val="20"/>
    </w:rPr>
  </w:style>
  <w:style w:type="paragraph" w:styleId="CommentSubject">
    <w:name w:val="annotation subject"/>
    <w:basedOn w:val="CommentText"/>
    <w:next w:val="CommentText"/>
    <w:link w:val="CommentSubjectChar"/>
    <w:uiPriority w:val="99"/>
    <w:semiHidden/>
    <w:unhideWhenUsed/>
    <w:rsid w:val="00725149"/>
    <w:rPr>
      <w:b/>
      <w:bCs/>
    </w:rPr>
  </w:style>
  <w:style w:type="character" w:customStyle="1" w:styleId="CommentSubjectChar">
    <w:name w:val="Comment Subject Char"/>
    <w:basedOn w:val="CommentTextChar"/>
    <w:link w:val="CommentSubject"/>
    <w:uiPriority w:val="99"/>
    <w:semiHidden/>
    <w:rsid w:val="00725149"/>
    <w:rPr>
      <w:b/>
      <w:bCs/>
      <w:sz w:val="20"/>
      <w:szCs w:val="20"/>
    </w:rPr>
  </w:style>
  <w:style w:type="character" w:styleId="LineNumber">
    <w:name w:val="line number"/>
    <w:basedOn w:val="DefaultParagraphFont"/>
    <w:uiPriority w:val="99"/>
    <w:semiHidden/>
    <w:unhideWhenUsed/>
    <w:rsid w:val="00297FCC"/>
  </w:style>
  <w:style w:type="character" w:styleId="Hyperlink">
    <w:name w:val="Hyperlink"/>
    <w:basedOn w:val="DefaultParagraphFont"/>
    <w:uiPriority w:val="99"/>
    <w:unhideWhenUsed/>
    <w:rsid w:val="007805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uiPriority w:val="34"/>
    <w:qFormat/>
    <w:rsid w:val="009F2874"/>
    <w:pPr>
      <w:ind w:left="720"/>
      <w:contextualSpacing/>
    </w:pPr>
  </w:style>
  <w:style w:type="paragraph" w:styleId="NoSpacing">
    <w:name w:val="No Spacing"/>
    <w:uiPriority w:val="1"/>
    <w:qFormat/>
    <w:rsid w:val="009F2874"/>
    <w:pPr>
      <w:spacing w:after="0" w:line="240" w:lineRule="auto"/>
    </w:pPr>
    <w:rPr>
      <w:rFonts w:asciiTheme="minorHAnsi" w:hAnsiTheme="minorHAnsi"/>
      <w:sz w:val="22"/>
      <w:lang w:val="en-US"/>
    </w:rPr>
  </w:style>
  <w:style w:type="paragraph" w:styleId="FootnoteText">
    <w:name w:val="footnote text"/>
    <w:aliases w:val="Footnote reference,FA Fu,Footnote Text Char Char Char Char Char,Footnote Text Char Char Char Char,Footnote Text Char Char Char,Footnote Text Cha,FA Fußnotentext,Footnote Text Char Char,FA Fu Car,Ca,Texto nota pie Car1,C,FA Fuﬂnotentext"/>
    <w:basedOn w:val="Normal"/>
    <w:link w:val="FootnoteTextChar"/>
    <w:uiPriority w:val="99"/>
    <w:unhideWhenUsed/>
    <w:qFormat/>
    <w:rsid w:val="00125431"/>
    <w:pPr>
      <w:spacing w:after="0" w:line="240" w:lineRule="auto"/>
    </w:pPr>
    <w:rPr>
      <w:rFonts w:asciiTheme="minorHAnsi" w:hAnsiTheme="minorHAnsi"/>
      <w:sz w:val="20"/>
      <w:szCs w:val="20"/>
      <w:lang w:val="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ootnote Text Char Char Char1,C Char"/>
    <w:basedOn w:val="DefaultParagraphFont"/>
    <w:link w:val="FootnoteText"/>
    <w:uiPriority w:val="99"/>
    <w:rsid w:val="00125431"/>
    <w:rPr>
      <w:rFonts w:asciiTheme="minorHAnsi" w:hAnsiTheme="minorHAnsi"/>
      <w:sz w:val="20"/>
      <w:szCs w:val="20"/>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semiHidden/>
    <w:unhideWhenUsed/>
    <w:qFormat/>
    <w:rsid w:val="00125431"/>
    <w:rPr>
      <w:vertAlign w:val="superscript"/>
    </w:rPr>
  </w:style>
  <w:style w:type="character" w:styleId="Strong">
    <w:name w:val="Strong"/>
    <w:basedOn w:val="DefaultParagraphFont"/>
    <w:uiPriority w:val="22"/>
    <w:qFormat/>
    <w:rsid w:val="009D244C"/>
    <w:rPr>
      <w:b/>
      <w:bCs/>
    </w:rPr>
  </w:style>
  <w:style w:type="paragraph" w:styleId="Header">
    <w:name w:val="header"/>
    <w:basedOn w:val="Normal"/>
    <w:link w:val="HeaderChar"/>
    <w:uiPriority w:val="99"/>
    <w:unhideWhenUsed/>
    <w:rsid w:val="00A53A1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53A15"/>
  </w:style>
  <w:style w:type="paragraph" w:styleId="Footer">
    <w:name w:val="footer"/>
    <w:basedOn w:val="Normal"/>
    <w:link w:val="FooterChar"/>
    <w:uiPriority w:val="99"/>
    <w:unhideWhenUsed/>
    <w:rsid w:val="00A53A1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53A15"/>
  </w:style>
  <w:style w:type="paragraph" w:styleId="BalloonText">
    <w:name w:val="Balloon Text"/>
    <w:basedOn w:val="Normal"/>
    <w:link w:val="BalloonTextChar"/>
    <w:uiPriority w:val="99"/>
    <w:semiHidden/>
    <w:unhideWhenUsed/>
    <w:rsid w:val="00A53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15"/>
    <w:rPr>
      <w:rFonts w:ascii="Tahoma" w:hAnsi="Tahoma" w:cs="Tahoma"/>
      <w:sz w:val="16"/>
      <w:szCs w:val="16"/>
    </w:rPr>
  </w:style>
  <w:style w:type="paragraph" w:styleId="Revision">
    <w:name w:val="Revision"/>
    <w:hidden/>
    <w:uiPriority w:val="99"/>
    <w:semiHidden/>
    <w:rsid w:val="00F64DE8"/>
    <w:pPr>
      <w:spacing w:after="0" w:line="240" w:lineRule="auto"/>
    </w:pPr>
  </w:style>
  <w:style w:type="character" w:styleId="CommentReference">
    <w:name w:val="annotation reference"/>
    <w:basedOn w:val="DefaultParagraphFont"/>
    <w:uiPriority w:val="99"/>
    <w:semiHidden/>
    <w:unhideWhenUsed/>
    <w:rsid w:val="00725149"/>
    <w:rPr>
      <w:sz w:val="16"/>
      <w:szCs w:val="16"/>
    </w:rPr>
  </w:style>
  <w:style w:type="paragraph" w:styleId="CommentText">
    <w:name w:val="annotation text"/>
    <w:basedOn w:val="Normal"/>
    <w:link w:val="CommentTextChar"/>
    <w:uiPriority w:val="99"/>
    <w:semiHidden/>
    <w:unhideWhenUsed/>
    <w:rsid w:val="00725149"/>
    <w:pPr>
      <w:spacing w:line="240" w:lineRule="auto"/>
    </w:pPr>
    <w:rPr>
      <w:sz w:val="20"/>
      <w:szCs w:val="20"/>
    </w:rPr>
  </w:style>
  <w:style w:type="character" w:customStyle="1" w:styleId="CommentTextChar">
    <w:name w:val="Comment Text Char"/>
    <w:basedOn w:val="DefaultParagraphFont"/>
    <w:link w:val="CommentText"/>
    <w:uiPriority w:val="99"/>
    <w:semiHidden/>
    <w:rsid w:val="00725149"/>
    <w:rPr>
      <w:sz w:val="20"/>
      <w:szCs w:val="20"/>
    </w:rPr>
  </w:style>
  <w:style w:type="paragraph" w:styleId="CommentSubject">
    <w:name w:val="annotation subject"/>
    <w:basedOn w:val="CommentText"/>
    <w:next w:val="CommentText"/>
    <w:link w:val="CommentSubjectChar"/>
    <w:uiPriority w:val="99"/>
    <w:semiHidden/>
    <w:unhideWhenUsed/>
    <w:rsid w:val="00725149"/>
    <w:rPr>
      <w:b/>
      <w:bCs/>
    </w:rPr>
  </w:style>
  <w:style w:type="character" w:customStyle="1" w:styleId="CommentSubjectChar">
    <w:name w:val="Comment Subject Char"/>
    <w:basedOn w:val="CommentTextChar"/>
    <w:link w:val="CommentSubject"/>
    <w:uiPriority w:val="99"/>
    <w:semiHidden/>
    <w:rsid w:val="00725149"/>
    <w:rPr>
      <w:b/>
      <w:bCs/>
      <w:sz w:val="20"/>
      <w:szCs w:val="20"/>
    </w:rPr>
  </w:style>
  <w:style w:type="character" w:styleId="LineNumber">
    <w:name w:val="line number"/>
    <w:basedOn w:val="DefaultParagraphFont"/>
    <w:uiPriority w:val="99"/>
    <w:semiHidden/>
    <w:unhideWhenUsed/>
    <w:rsid w:val="00297FCC"/>
  </w:style>
  <w:style w:type="character" w:styleId="Hyperlink">
    <w:name w:val="Hyperlink"/>
    <w:basedOn w:val="DefaultParagraphFont"/>
    <w:uiPriority w:val="99"/>
    <w:unhideWhenUsed/>
    <w:rsid w:val="00780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0094">
      <w:bodyDiv w:val="1"/>
      <w:marLeft w:val="0"/>
      <w:marRight w:val="0"/>
      <w:marTop w:val="0"/>
      <w:marBottom w:val="0"/>
      <w:divBdr>
        <w:top w:val="none" w:sz="0" w:space="0" w:color="auto"/>
        <w:left w:val="none" w:sz="0" w:space="0" w:color="auto"/>
        <w:bottom w:val="none" w:sz="0" w:space="0" w:color="auto"/>
        <w:right w:val="none" w:sz="0" w:space="0" w:color="auto"/>
      </w:divBdr>
    </w:div>
    <w:div w:id="21241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8A29-E9F8-415E-BD01-460EC51F68DB}">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B2C8121-F292-48F1-8E4B-C6987A99655A}">
  <ds:schemaRefs>
    <ds:schemaRef ds:uri="http://schemas.microsoft.com/sharepoint/v3/contenttype/forms"/>
  </ds:schemaRefs>
</ds:datastoreItem>
</file>

<file path=customXml/itemProps3.xml><?xml version="1.0" encoding="utf-8"?>
<ds:datastoreItem xmlns:ds="http://schemas.openxmlformats.org/officeDocument/2006/customXml" ds:itemID="{D2559947-ADD3-4A5A-93EC-3427C986E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C3C6D7-E3D6-4208-8EE8-9E15A503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3900</Words>
  <Characters>21452</Characters>
  <Application>Microsoft Office Word</Application>
  <DocSecurity>4</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2016-12-13T16:45:00Z</cp:lastPrinted>
  <dcterms:created xsi:type="dcterms:W3CDTF">2016-12-13T16:46:00Z</dcterms:created>
  <dcterms:modified xsi:type="dcterms:W3CDTF">2016-12-13T16:46:00Z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